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63C0F63">
      <w:pPr>
        <w:jc w:val="left"/>
        <w:rPr>
          <w:rFonts w:hint="eastAsia" w:asciiTheme="minorEastAsia" w:hAnsiTheme="minorEastAsia" w:eastAsiaTheme="minorEastAsia" w:cstheme="minorEastAsia"/>
          <w:b/>
          <w:bCs/>
          <w:sz w:val="32"/>
          <w:szCs w:val="32"/>
          <w:highlight w:val="none"/>
          <w:lang w:eastAsia="zh-CN"/>
        </w:rPr>
      </w:pPr>
      <w:r>
        <w:rPr>
          <w:rFonts w:hint="eastAsia" w:asciiTheme="minorEastAsia" w:hAnsiTheme="minorEastAsia" w:eastAsiaTheme="minorEastAsia" w:cstheme="minorEastAsia"/>
          <w:b/>
          <w:bCs/>
          <w:sz w:val="32"/>
          <w:szCs w:val="32"/>
          <w:highlight w:val="none"/>
        </w:rPr>
        <w:t>项目编号：</w:t>
      </w:r>
      <w:r>
        <w:rPr>
          <w:rFonts w:hint="eastAsia" w:asciiTheme="minorEastAsia" w:hAnsiTheme="minorEastAsia" w:eastAsiaTheme="minorEastAsia" w:cstheme="minorEastAsia"/>
          <w:b/>
          <w:bCs/>
          <w:sz w:val="32"/>
          <w:szCs w:val="32"/>
          <w:highlight w:val="none"/>
          <w:lang w:eastAsia="zh-CN"/>
        </w:rPr>
        <w:t>YZZB-20250144</w:t>
      </w:r>
    </w:p>
    <w:p w14:paraId="320F8FED">
      <w:pPr>
        <w:jc w:val="center"/>
        <w:rPr>
          <w:rFonts w:asciiTheme="minorEastAsia" w:hAnsiTheme="minorEastAsia" w:eastAsiaTheme="minorEastAsia" w:cstheme="minorEastAsia"/>
          <w:b/>
          <w:sz w:val="36"/>
          <w:highlight w:val="none"/>
        </w:rPr>
      </w:pPr>
    </w:p>
    <w:p w14:paraId="2794946B">
      <w:pPr>
        <w:jc w:val="center"/>
        <w:rPr>
          <w:rFonts w:asciiTheme="minorEastAsia" w:hAnsiTheme="minorEastAsia" w:eastAsiaTheme="minorEastAsia" w:cstheme="minorEastAsia"/>
          <w:b/>
          <w:sz w:val="36"/>
          <w:highlight w:val="none"/>
        </w:rPr>
      </w:pPr>
    </w:p>
    <w:p w14:paraId="6D2CA5C6">
      <w:pPr>
        <w:jc w:val="center"/>
        <w:rPr>
          <w:rFonts w:asciiTheme="minorEastAsia" w:hAnsiTheme="minorEastAsia" w:eastAsiaTheme="minorEastAsia" w:cstheme="minorEastAsia"/>
          <w:b/>
          <w:sz w:val="48"/>
          <w:szCs w:val="48"/>
          <w:highlight w:val="none"/>
        </w:rPr>
      </w:pPr>
    </w:p>
    <w:p w14:paraId="5FD1D335">
      <w:pPr>
        <w:jc w:val="center"/>
        <w:rPr>
          <w:rFonts w:hint="eastAsia" w:asciiTheme="minorEastAsia" w:hAnsiTheme="minorEastAsia" w:eastAsiaTheme="minorEastAsia" w:cstheme="minorEastAsia"/>
          <w:b/>
          <w:sz w:val="24"/>
          <w:szCs w:val="24"/>
          <w:highlight w:val="none"/>
          <w:lang w:eastAsia="zh-CN"/>
        </w:rPr>
      </w:pPr>
      <w:r>
        <w:rPr>
          <w:rFonts w:hint="eastAsia" w:asciiTheme="minorEastAsia" w:hAnsiTheme="minorEastAsia" w:eastAsiaTheme="minorEastAsia" w:cstheme="minorEastAsia"/>
          <w:b/>
          <w:sz w:val="48"/>
          <w:szCs w:val="48"/>
          <w:highlight w:val="none"/>
          <w:lang w:eastAsia="zh-CN"/>
        </w:rPr>
        <w:t>商洛市柞水县2024年中央财政林业草原改革发展资金其他国土绿化项目（退化林修复）</w:t>
      </w:r>
    </w:p>
    <w:p w14:paraId="04FFC196">
      <w:pPr>
        <w:jc w:val="center"/>
        <w:rPr>
          <w:rFonts w:asciiTheme="minorEastAsia" w:hAnsiTheme="minorEastAsia" w:eastAsiaTheme="minorEastAsia" w:cstheme="minorEastAsia"/>
          <w:b/>
          <w:sz w:val="36"/>
          <w:szCs w:val="36"/>
          <w:highlight w:val="none"/>
        </w:rPr>
      </w:pPr>
    </w:p>
    <w:p w14:paraId="7A534D86">
      <w:pPr>
        <w:pStyle w:val="28"/>
        <w:ind w:left="0" w:leftChars="0" w:firstLine="0" w:firstLineChars="0"/>
        <w:jc w:val="center"/>
        <w:rPr>
          <w:rFonts w:hint="eastAsia" w:ascii="宋体" w:hAnsi="宋体" w:eastAsia="宋体" w:cs="宋体"/>
          <w:b/>
          <w:bCs/>
          <w:sz w:val="40"/>
          <w:szCs w:val="32"/>
          <w:highlight w:val="none"/>
          <w:lang w:val="en-US" w:eastAsia="zh-CN"/>
        </w:rPr>
      </w:pPr>
    </w:p>
    <w:p w14:paraId="15495FBE">
      <w:pPr>
        <w:spacing w:line="780" w:lineRule="auto"/>
        <w:jc w:val="center"/>
        <w:rPr>
          <w:rFonts w:hint="eastAsia" w:asciiTheme="minorEastAsia" w:hAnsiTheme="minorEastAsia" w:eastAsiaTheme="minorEastAsia" w:cstheme="minorEastAsia"/>
          <w:b/>
          <w:sz w:val="72"/>
          <w:szCs w:val="72"/>
          <w:highlight w:val="none"/>
        </w:rPr>
      </w:pPr>
    </w:p>
    <w:p w14:paraId="2263F28A">
      <w:pPr>
        <w:spacing w:line="780" w:lineRule="auto"/>
        <w:jc w:val="center"/>
        <w:rPr>
          <w:rFonts w:hint="eastAsia" w:asciiTheme="minorEastAsia" w:hAnsiTheme="minorEastAsia" w:eastAsiaTheme="minorEastAsia" w:cstheme="minorEastAsia"/>
          <w:b/>
          <w:sz w:val="72"/>
          <w:szCs w:val="72"/>
          <w:highlight w:val="none"/>
        </w:rPr>
      </w:pPr>
    </w:p>
    <w:p w14:paraId="5A031886">
      <w:pPr>
        <w:spacing w:line="780" w:lineRule="auto"/>
        <w:jc w:val="center"/>
        <w:rPr>
          <w:rFonts w:asciiTheme="minorEastAsia" w:hAnsiTheme="minorEastAsia" w:eastAsiaTheme="minorEastAsia" w:cstheme="minorEastAsia"/>
          <w:b/>
          <w:sz w:val="72"/>
          <w:szCs w:val="72"/>
          <w:highlight w:val="none"/>
        </w:rPr>
      </w:pPr>
      <w:r>
        <w:rPr>
          <w:rFonts w:hint="eastAsia" w:asciiTheme="minorEastAsia" w:hAnsiTheme="minorEastAsia" w:eastAsiaTheme="minorEastAsia" w:cstheme="minorEastAsia"/>
          <w:b/>
          <w:sz w:val="72"/>
          <w:szCs w:val="72"/>
          <w:highlight w:val="none"/>
        </w:rPr>
        <w:t>招标文件</w:t>
      </w:r>
    </w:p>
    <w:p w14:paraId="5B89C55C">
      <w:pPr>
        <w:rPr>
          <w:rFonts w:asciiTheme="minorEastAsia" w:hAnsiTheme="minorEastAsia" w:eastAsiaTheme="minorEastAsia" w:cstheme="minorEastAsia"/>
          <w:highlight w:val="none"/>
        </w:rPr>
      </w:pPr>
      <w:bookmarkStart w:id="0" w:name="_Toc363463325"/>
    </w:p>
    <w:p w14:paraId="435D9C8F">
      <w:pPr>
        <w:rPr>
          <w:rFonts w:asciiTheme="minorEastAsia" w:hAnsiTheme="minorEastAsia" w:eastAsiaTheme="minorEastAsia" w:cstheme="minorEastAsia"/>
          <w:highlight w:val="none"/>
        </w:rPr>
      </w:pPr>
    </w:p>
    <w:bookmarkEnd w:id="0"/>
    <w:p w14:paraId="13FE9850">
      <w:pPr>
        <w:jc w:val="center"/>
        <w:rPr>
          <w:rFonts w:asciiTheme="minorEastAsia" w:hAnsiTheme="minorEastAsia" w:eastAsiaTheme="minorEastAsia" w:cstheme="minorEastAsia"/>
          <w:b/>
          <w:sz w:val="36"/>
          <w:szCs w:val="36"/>
          <w:highlight w:val="none"/>
        </w:rPr>
      </w:pPr>
    </w:p>
    <w:p w14:paraId="7925760D">
      <w:pPr>
        <w:rPr>
          <w:rFonts w:asciiTheme="minorEastAsia" w:hAnsiTheme="minorEastAsia" w:eastAsiaTheme="minorEastAsia" w:cstheme="minorEastAsia"/>
          <w:sz w:val="36"/>
          <w:szCs w:val="36"/>
          <w:highlight w:val="none"/>
        </w:rPr>
      </w:pPr>
    </w:p>
    <w:p w14:paraId="0CBBF01F">
      <w:pPr>
        <w:jc w:val="center"/>
        <w:rPr>
          <w:rFonts w:asciiTheme="minorEastAsia" w:hAnsiTheme="minorEastAsia" w:eastAsiaTheme="minorEastAsia" w:cstheme="minorEastAsia"/>
          <w:sz w:val="36"/>
          <w:szCs w:val="36"/>
          <w:highlight w:val="none"/>
        </w:rPr>
      </w:pPr>
    </w:p>
    <w:p w14:paraId="7D051F8A">
      <w:pPr>
        <w:rPr>
          <w:rFonts w:asciiTheme="minorEastAsia" w:hAnsiTheme="minorEastAsia" w:eastAsiaTheme="minorEastAsia" w:cstheme="minorEastAsia"/>
          <w:sz w:val="18"/>
          <w:szCs w:val="18"/>
          <w:highlight w:val="none"/>
        </w:rPr>
      </w:pPr>
    </w:p>
    <w:p w14:paraId="4519BEDF">
      <w:pPr>
        <w:pStyle w:val="28"/>
        <w:keepNext w:val="0"/>
        <w:keepLines w:val="0"/>
        <w:pageBreakBefore w:val="0"/>
        <w:widowControl/>
        <w:kinsoku/>
        <w:wordWrap/>
        <w:overflowPunct/>
        <w:topLinePunct w:val="0"/>
        <w:autoSpaceDE/>
        <w:autoSpaceDN/>
        <w:bidi w:val="0"/>
        <w:adjustRightInd/>
        <w:snapToGrid/>
        <w:ind w:firstLine="2024" w:firstLineChars="630"/>
        <w:textAlignment w:val="auto"/>
        <w:rPr>
          <w:rFonts w:hint="eastAsia" w:asciiTheme="minorEastAsia" w:hAnsiTheme="minorEastAsia" w:eastAsiaTheme="minorEastAsia" w:cstheme="minorEastAsia"/>
          <w:b/>
          <w:bCs/>
          <w:sz w:val="32"/>
          <w:szCs w:val="32"/>
          <w:highlight w:val="none"/>
          <w:lang w:eastAsia="zh-CN"/>
        </w:rPr>
      </w:pPr>
      <w:r>
        <w:rPr>
          <w:rFonts w:hint="eastAsia" w:asciiTheme="minorEastAsia" w:hAnsiTheme="minorEastAsia" w:eastAsiaTheme="minorEastAsia" w:cstheme="minorEastAsia"/>
          <w:b/>
          <w:bCs/>
          <w:sz w:val="32"/>
          <w:szCs w:val="32"/>
          <w:highlight w:val="none"/>
        </w:rPr>
        <w:t>采 购 人：</w:t>
      </w:r>
      <w:r>
        <w:rPr>
          <w:rFonts w:hint="eastAsia" w:asciiTheme="minorEastAsia" w:hAnsiTheme="minorEastAsia" w:eastAsiaTheme="minorEastAsia" w:cstheme="minorEastAsia"/>
          <w:b/>
          <w:bCs/>
          <w:sz w:val="32"/>
          <w:szCs w:val="32"/>
          <w:highlight w:val="none"/>
          <w:lang w:eastAsia="zh-CN"/>
        </w:rPr>
        <w:t>柞水县林业局</w:t>
      </w:r>
    </w:p>
    <w:p w14:paraId="5AE0DCFA">
      <w:pPr>
        <w:pStyle w:val="28"/>
        <w:keepNext w:val="0"/>
        <w:keepLines w:val="0"/>
        <w:pageBreakBefore w:val="0"/>
        <w:widowControl/>
        <w:kinsoku/>
        <w:wordWrap/>
        <w:overflowPunct/>
        <w:topLinePunct w:val="0"/>
        <w:autoSpaceDE/>
        <w:autoSpaceDN/>
        <w:bidi w:val="0"/>
        <w:adjustRightInd/>
        <w:snapToGrid/>
        <w:ind w:firstLine="2024" w:firstLineChars="630"/>
        <w:textAlignment w:val="auto"/>
        <w:rPr>
          <w:rFonts w:hint="eastAsia" w:asciiTheme="minorEastAsia" w:hAnsiTheme="minorEastAsia" w:eastAsiaTheme="minorEastAsia" w:cstheme="minorEastAsia"/>
          <w:b/>
          <w:bCs/>
          <w:sz w:val="32"/>
          <w:szCs w:val="32"/>
          <w:highlight w:val="none"/>
          <w:lang w:eastAsia="zh-CN"/>
        </w:rPr>
      </w:pPr>
      <w:r>
        <w:rPr>
          <w:rFonts w:hint="eastAsia" w:asciiTheme="minorEastAsia" w:hAnsiTheme="minorEastAsia" w:eastAsiaTheme="minorEastAsia" w:cstheme="minorEastAsia"/>
          <w:b/>
          <w:bCs/>
          <w:sz w:val="32"/>
          <w:szCs w:val="32"/>
          <w:highlight w:val="none"/>
        </w:rPr>
        <w:t>代理机构：</w:t>
      </w:r>
      <w:r>
        <w:rPr>
          <w:rFonts w:hint="eastAsia" w:asciiTheme="minorEastAsia" w:hAnsiTheme="minorEastAsia" w:eastAsiaTheme="minorEastAsia" w:cstheme="minorEastAsia"/>
          <w:b/>
          <w:bCs/>
          <w:sz w:val="32"/>
          <w:szCs w:val="32"/>
          <w:highlight w:val="none"/>
          <w:lang w:eastAsia="zh-CN"/>
        </w:rPr>
        <w:t>陕西银正项目管理有限公司</w:t>
      </w:r>
    </w:p>
    <w:p w14:paraId="2B10FF23">
      <w:pPr>
        <w:pStyle w:val="28"/>
        <w:keepNext w:val="0"/>
        <w:keepLines w:val="0"/>
        <w:pageBreakBefore w:val="0"/>
        <w:widowControl/>
        <w:kinsoku/>
        <w:wordWrap/>
        <w:overflowPunct/>
        <w:topLinePunct w:val="0"/>
        <w:autoSpaceDE/>
        <w:autoSpaceDN/>
        <w:bidi w:val="0"/>
        <w:adjustRightInd/>
        <w:snapToGrid/>
        <w:ind w:firstLine="2024" w:firstLineChars="630"/>
        <w:textAlignment w:val="auto"/>
        <w:rPr>
          <w:rFonts w:asciiTheme="minorEastAsia" w:hAnsiTheme="minorEastAsia" w:eastAsiaTheme="minorEastAsia" w:cstheme="minorEastAsia"/>
          <w:b/>
          <w:bCs/>
          <w:sz w:val="32"/>
          <w:szCs w:val="32"/>
          <w:highlight w:val="none"/>
        </w:rPr>
      </w:pPr>
      <w:r>
        <w:rPr>
          <w:rFonts w:hint="eastAsia" w:asciiTheme="minorEastAsia" w:hAnsiTheme="minorEastAsia" w:eastAsiaTheme="minorEastAsia" w:cstheme="minorEastAsia"/>
          <w:b/>
          <w:bCs/>
          <w:sz w:val="32"/>
          <w:szCs w:val="32"/>
          <w:highlight w:val="none"/>
        </w:rPr>
        <w:t>日    期：二〇二五年</w:t>
      </w:r>
      <w:r>
        <w:rPr>
          <w:rFonts w:hint="eastAsia" w:asciiTheme="minorEastAsia" w:hAnsiTheme="minorEastAsia" w:eastAsiaTheme="minorEastAsia" w:cstheme="minorEastAsia"/>
          <w:b/>
          <w:bCs/>
          <w:sz w:val="32"/>
          <w:szCs w:val="32"/>
          <w:highlight w:val="none"/>
          <w:lang w:val="en-US" w:eastAsia="zh-CN"/>
        </w:rPr>
        <w:t>十一</w:t>
      </w:r>
      <w:r>
        <w:rPr>
          <w:rFonts w:hint="eastAsia" w:asciiTheme="minorEastAsia" w:hAnsiTheme="minorEastAsia" w:eastAsiaTheme="minorEastAsia" w:cstheme="minorEastAsia"/>
          <w:b/>
          <w:bCs/>
          <w:sz w:val="32"/>
          <w:szCs w:val="32"/>
          <w:highlight w:val="none"/>
        </w:rPr>
        <w:t>月</w:t>
      </w:r>
    </w:p>
    <w:p w14:paraId="3B42D458">
      <w:pPr>
        <w:pStyle w:val="28"/>
        <w:ind w:firstLine="749"/>
        <w:rPr>
          <w:rFonts w:asciiTheme="minorEastAsia" w:hAnsiTheme="minorEastAsia" w:eastAsiaTheme="minorEastAsia" w:cstheme="minorEastAsia"/>
          <w:b/>
          <w:bCs/>
          <w:sz w:val="32"/>
          <w:szCs w:val="32"/>
          <w:highlight w:val="none"/>
        </w:rPr>
      </w:pPr>
    </w:p>
    <w:p w14:paraId="60630330">
      <w:pPr>
        <w:pStyle w:val="28"/>
        <w:ind w:firstLine="749"/>
        <w:rPr>
          <w:rFonts w:asciiTheme="minorEastAsia" w:hAnsiTheme="minorEastAsia" w:eastAsiaTheme="minorEastAsia" w:cstheme="minorEastAsia"/>
          <w:b/>
          <w:bCs/>
          <w:sz w:val="32"/>
          <w:szCs w:val="32"/>
          <w:highlight w:val="none"/>
        </w:rPr>
        <w:sectPr>
          <w:headerReference r:id="rId5" w:type="first"/>
          <w:headerReference r:id="rId3" w:type="default"/>
          <w:footerReference r:id="rId6" w:type="default"/>
          <w:headerReference r:id="rId4" w:type="even"/>
          <w:footerReference r:id="rId7" w:type="even"/>
          <w:pgSz w:w="11906" w:h="16838"/>
          <w:pgMar w:top="1304" w:right="1361" w:bottom="1304" w:left="1361" w:header="851" w:footer="992" w:gutter="0"/>
          <w:pgNumType w:start="1"/>
          <w:cols w:space="720" w:num="1"/>
          <w:titlePg/>
          <w:docGrid w:type="lines" w:linePitch="312" w:charSpace="0"/>
        </w:sectPr>
      </w:pPr>
    </w:p>
    <w:p w14:paraId="3AE44E09">
      <w:pPr>
        <w:spacing w:line="480" w:lineRule="auto"/>
        <w:jc w:val="center"/>
        <w:rPr>
          <w:rFonts w:asciiTheme="minorEastAsia" w:hAnsiTheme="minorEastAsia" w:eastAsiaTheme="minorEastAsia" w:cstheme="minorEastAsia"/>
          <w:b/>
          <w:sz w:val="44"/>
          <w:szCs w:val="44"/>
          <w:highlight w:val="none"/>
        </w:rPr>
      </w:pPr>
      <w:r>
        <w:rPr>
          <w:rFonts w:hint="eastAsia" w:asciiTheme="minorEastAsia" w:hAnsiTheme="minorEastAsia" w:eastAsiaTheme="minorEastAsia" w:cstheme="minorEastAsia"/>
          <w:b/>
          <w:sz w:val="44"/>
          <w:szCs w:val="44"/>
          <w:highlight w:val="none"/>
        </w:rPr>
        <w:t>目   录</w:t>
      </w:r>
    </w:p>
    <w:p w14:paraId="1E288154">
      <w:pPr>
        <w:pStyle w:val="21"/>
        <w:keepNext w:val="0"/>
        <w:keepLines w:val="0"/>
        <w:pageBreakBefore w:val="0"/>
        <w:widowControl w:val="0"/>
        <w:tabs>
          <w:tab w:val="right" w:leader="dot" w:pos="9184"/>
        </w:tabs>
        <w:kinsoku/>
        <w:wordWrap/>
        <w:overflowPunct/>
        <w:topLinePunct w:val="0"/>
        <w:autoSpaceDE/>
        <w:autoSpaceDN/>
        <w:bidi w:val="0"/>
        <w:adjustRightInd/>
        <w:snapToGrid/>
        <w:spacing w:line="480" w:lineRule="auto"/>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TOC \o "1-4" \h \u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\l _Toc11394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第一章  招标公告</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_Toc11394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2</w:t>
      </w:r>
      <w:r>
        <w:rPr>
          <w:rFonts w:hint="eastAsia" w:ascii="宋体" w:hAnsi="宋体" w:eastAsia="宋体" w:cs="宋体"/>
          <w:sz w:val="24"/>
          <w:szCs w:val="24"/>
          <w:highlight w:val="none"/>
        </w:rPr>
        <w:fldChar w:fldCharType="end"/>
      </w:r>
      <w:r>
        <w:rPr>
          <w:rFonts w:hint="eastAsia" w:ascii="宋体" w:hAnsi="宋体" w:eastAsia="宋体" w:cs="宋体"/>
          <w:sz w:val="24"/>
          <w:szCs w:val="24"/>
          <w:highlight w:val="none"/>
        </w:rPr>
        <w:fldChar w:fldCharType="end"/>
      </w:r>
    </w:p>
    <w:p w14:paraId="669A28A5">
      <w:pPr>
        <w:pStyle w:val="21"/>
        <w:keepNext w:val="0"/>
        <w:keepLines w:val="0"/>
        <w:pageBreakBefore w:val="0"/>
        <w:widowControl w:val="0"/>
        <w:tabs>
          <w:tab w:val="right" w:leader="dot" w:pos="9184"/>
        </w:tabs>
        <w:kinsoku/>
        <w:wordWrap/>
        <w:overflowPunct/>
        <w:topLinePunct w:val="0"/>
        <w:autoSpaceDE/>
        <w:autoSpaceDN/>
        <w:bidi w:val="0"/>
        <w:adjustRightInd/>
        <w:snapToGrid/>
        <w:spacing w:line="480" w:lineRule="auto"/>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\l _Toc24715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第二章  投标人须知</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_Toc24715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28</w:t>
      </w:r>
      <w:r>
        <w:rPr>
          <w:rFonts w:hint="eastAsia" w:ascii="宋体" w:hAnsi="宋体" w:eastAsia="宋体" w:cs="宋体"/>
          <w:sz w:val="24"/>
          <w:szCs w:val="24"/>
          <w:highlight w:val="none"/>
        </w:rPr>
        <w:fldChar w:fldCharType="end"/>
      </w:r>
      <w:r>
        <w:rPr>
          <w:rFonts w:hint="eastAsia" w:ascii="宋体" w:hAnsi="宋体" w:eastAsia="宋体" w:cs="宋体"/>
          <w:sz w:val="24"/>
          <w:szCs w:val="24"/>
          <w:highlight w:val="none"/>
        </w:rPr>
        <w:fldChar w:fldCharType="end"/>
      </w:r>
    </w:p>
    <w:p w14:paraId="04997D7D">
      <w:pPr>
        <w:pStyle w:val="24"/>
        <w:keepNext w:val="0"/>
        <w:keepLines w:val="0"/>
        <w:pageBreakBefore w:val="0"/>
        <w:widowControl w:val="0"/>
        <w:tabs>
          <w:tab w:val="right" w:leader="dot" w:pos="9184"/>
        </w:tabs>
        <w:kinsoku/>
        <w:wordWrap/>
        <w:overflowPunct/>
        <w:topLinePunct w:val="0"/>
        <w:autoSpaceDE/>
        <w:autoSpaceDN/>
        <w:bidi w:val="0"/>
        <w:adjustRightInd/>
        <w:snapToGrid/>
        <w:spacing w:line="480" w:lineRule="auto"/>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\l _Toc23536 </w:instrText>
      </w:r>
      <w:r>
        <w:rPr>
          <w:rFonts w:hint="eastAsia" w:ascii="宋体" w:hAnsi="宋体" w:eastAsia="宋体" w:cs="宋体"/>
          <w:sz w:val="24"/>
          <w:szCs w:val="24"/>
          <w:highlight w:val="none"/>
        </w:rPr>
        <w:fldChar w:fldCharType="separate"/>
      </w:r>
      <w:r>
        <w:rPr>
          <w:rFonts w:hint="eastAsia" w:ascii="宋体" w:hAnsi="宋体" w:eastAsia="宋体" w:cs="宋体"/>
          <w:bCs/>
          <w:sz w:val="24"/>
          <w:szCs w:val="24"/>
          <w:highlight w:val="none"/>
        </w:rPr>
        <w:t>投标人须知前附表</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_Toc23536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28</w:t>
      </w:r>
      <w:r>
        <w:rPr>
          <w:rFonts w:hint="eastAsia" w:ascii="宋体" w:hAnsi="宋体" w:eastAsia="宋体" w:cs="宋体"/>
          <w:sz w:val="24"/>
          <w:szCs w:val="24"/>
          <w:highlight w:val="none"/>
        </w:rPr>
        <w:fldChar w:fldCharType="end"/>
      </w:r>
      <w:r>
        <w:rPr>
          <w:rFonts w:hint="eastAsia" w:ascii="宋体" w:hAnsi="宋体" w:eastAsia="宋体" w:cs="宋体"/>
          <w:sz w:val="24"/>
          <w:szCs w:val="24"/>
          <w:highlight w:val="none"/>
        </w:rPr>
        <w:fldChar w:fldCharType="end"/>
      </w:r>
    </w:p>
    <w:p w14:paraId="6D60B019">
      <w:pPr>
        <w:pStyle w:val="21"/>
        <w:keepNext w:val="0"/>
        <w:keepLines w:val="0"/>
        <w:pageBreakBefore w:val="0"/>
        <w:widowControl w:val="0"/>
        <w:tabs>
          <w:tab w:val="right" w:leader="dot" w:pos="9184"/>
        </w:tabs>
        <w:kinsoku/>
        <w:wordWrap/>
        <w:overflowPunct/>
        <w:topLinePunct w:val="0"/>
        <w:autoSpaceDE/>
        <w:autoSpaceDN/>
        <w:bidi w:val="0"/>
        <w:adjustRightInd/>
        <w:snapToGrid/>
        <w:spacing w:line="480" w:lineRule="auto"/>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\l _Toc19056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第三章  评审方法</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_Toc19056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44</w:t>
      </w:r>
      <w:r>
        <w:rPr>
          <w:rFonts w:hint="eastAsia" w:ascii="宋体" w:hAnsi="宋体" w:eastAsia="宋体" w:cs="宋体"/>
          <w:sz w:val="24"/>
          <w:szCs w:val="24"/>
          <w:highlight w:val="none"/>
        </w:rPr>
        <w:fldChar w:fldCharType="end"/>
      </w:r>
      <w:r>
        <w:rPr>
          <w:rFonts w:hint="eastAsia" w:ascii="宋体" w:hAnsi="宋体" w:eastAsia="宋体" w:cs="宋体"/>
          <w:sz w:val="24"/>
          <w:szCs w:val="24"/>
          <w:highlight w:val="none"/>
        </w:rPr>
        <w:fldChar w:fldCharType="end"/>
      </w:r>
    </w:p>
    <w:p w14:paraId="17E76FFE">
      <w:pPr>
        <w:pStyle w:val="21"/>
        <w:keepNext w:val="0"/>
        <w:keepLines w:val="0"/>
        <w:pageBreakBefore w:val="0"/>
        <w:widowControl w:val="0"/>
        <w:tabs>
          <w:tab w:val="right" w:leader="dot" w:pos="9184"/>
        </w:tabs>
        <w:kinsoku/>
        <w:wordWrap/>
        <w:overflowPunct/>
        <w:topLinePunct w:val="0"/>
        <w:autoSpaceDE/>
        <w:autoSpaceDN/>
        <w:bidi w:val="0"/>
        <w:adjustRightInd/>
        <w:snapToGrid/>
        <w:spacing w:line="480" w:lineRule="auto"/>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\l _Toc10065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 xml:space="preserve">第四章  </w:t>
      </w:r>
      <w:r>
        <w:rPr>
          <w:rFonts w:hint="eastAsia" w:ascii="宋体" w:hAnsi="宋体" w:eastAsia="宋体" w:cs="宋体"/>
          <w:bCs/>
          <w:sz w:val="24"/>
          <w:szCs w:val="24"/>
          <w:highlight w:val="none"/>
        </w:rPr>
        <w:t>合同条款及格式</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_Toc10065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54</w:t>
      </w:r>
      <w:r>
        <w:rPr>
          <w:rFonts w:hint="eastAsia" w:ascii="宋体" w:hAnsi="宋体" w:eastAsia="宋体" w:cs="宋体"/>
          <w:sz w:val="24"/>
          <w:szCs w:val="24"/>
          <w:highlight w:val="none"/>
        </w:rPr>
        <w:fldChar w:fldCharType="end"/>
      </w:r>
      <w:r>
        <w:rPr>
          <w:rFonts w:hint="eastAsia" w:ascii="宋体" w:hAnsi="宋体" w:eastAsia="宋体" w:cs="宋体"/>
          <w:sz w:val="24"/>
          <w:szCs w:val="24"/>
          <w:highlight w:val="none"/>
        </w:rPr>
        <w:fldChar w:fldCharType="end"/>
      </w:r>
    </w:p>
    <w:p w14:paraId="274D32BB">
      <w:pPr>
        <w:pStyle w:val="24"/>
        <w:keepNext w:val="0"/>
        <w:keepLines w:val="0"/>
        <w:pageBreakBefore w:val="0"/>
        <w:widowControl w:val="0"/>
        <w:tabs>
          <w:tab w:val="right" w:leader="dot" w:pos="9184"/>
        </w:tabs>
        <w:kinsoku/>
        <w:wordWrap/>
        <w:overflowPunct/>
        <w:topLinePunct w:val="0"/>
        <w:autoSpaceDE/>
        <w:autoSpaceDN/>
        <w:bidi w:val="0"/>
        <w:adjustRightInd/>
        <w:snapToGrid/>
        <w:spacing w:line="480" w:lineRule="auto"/>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\l _Toc30782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合同条款及格式前附表</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_Toc30782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54</w:t>
      </w:r>
      <w:r>
        <w:rPr>
          <w:rFonts w:hint="eastAsia" w:ascii="宋体" w:hAnsi="宋体" w:eastAsia="宋体" w:cs="宋体"/>
          <w:sz w:val="24"/>
          <w:szCs w:val="24"/>
          <w:highlight w:val="none"/>
        </w:rPr>
        <w:fldChar w:fldCharType="end"/>
      </w:r>
      <w:r>
        <w:rPr>
          <w:rFonts w:hint="eastAsia" w:ascii="宋体" w:hAnsi="宋体" w:eastAsia="宋体" w:cs="宋体"/>
          <w:sz w:val="24"/>
          <w:szCs w:val="24"/>
          <w:highlight w:val="none"/>
        </w:rPr>
        <w:fldChar w:fldCharType="end"/>
      </w:r>
    </w:p>
    <w:p w14:paraId="48D1DD56">
      <w:pPr>
        <w:pStyle w:val="21"/>
        <w:keepNext w:val="0"/>
        <w:keepLines w:val="0"/>
        <w:pageBreakBefore w:val="0"/>
        <w:widowControl w:val="0"/>
        <w:tabs>
          <w:tab w:val="right" w:leader="dot" w:pos="9184"/>
        </w:tabs>
        <w:kinsoku/>
        <w:wordWrap/>
        <w:overflowPunct/>
        <w:topLinePunct w:val="0"/>
        <w:autoSpaceDE/>
        <w:autoSpaceDN/>
        <w:bidi w:val="0"/>
        <w:adjustRightInd/>
        <w:snapToGrid/>
        <w:spacing w:line="480" w:lineRule="auto"/>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\l _Toc27836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第五章  项目概况及技术要求</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_Toc27836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61</w:t>
      </w:r>
      <w:r>
        <w:rPr>
          <w:rFonts w:hint="eastAsia" w:ascii="宋体" w:hAnsi="宋体" w:eastAsia="宋体" w:cs="宋体"/>
          <w:sz w:val="24"/>
          <w:szCs w:val="24"/>
          <w:highlight w:val="none"/>
        </w:rPr>
        <w:fldChar w:fldCharType="end"/>
      </w:r>
      <w:r>
        <w:rPr>
          <w:rFonts w:hint="eastAsia" w:ascii="宋体" w:hAnsi="宋体" w:eastAsia="宋体" w:cs="宋体"/>
          <w:sz w:val="24"/>
          <w:szCs w:val="24"/>
          <w:highlight w:val="none"/>
        </w:rPr>
        <w:fldChar w:fldCharType="end"/>
      </w:r>
    </w:p>
    <w:p w14:paraId="0BF99001">
      <w:pPr>
        <w:pStyle w:val="21"/>
        <w:keepNext w:val="0"/>
        <w:keepLines w:val="0"/>
        <w:pageBreakBefore w:val="0"/>
        <w:widowControl w:val="0"/>
        <w:tabs>
          <w:tab w:val="right" w:leader="dot" w:pos="9184"/>
        </w:tabs>
        <w:kinsoku/>
        <w:wordWrap/>
        <w:overflowPunct/>
        <w:topLinePunct w:val="0"/>
        <w:autoSpaceDE/>
        <w:autoSpaceDN/>
        <w:bidi w:val="0"/>
        <w:adjustRightInd/>
        <w:snapToGrid/>
        <w:spacing w:line="480" w:lineRule="auto"/>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\l _Toc11907 </w:instrText>
      </w:r>
      <w:r>
        <w:rPr>
          <w:rFonts w:hint="eastAsia" w:ascii="宋体" w:hAnsi="宋体" w:eastAsia="宋体" w:cs="宋体"/>
          <w:sz w:val="24"/>
          <w:szCs w:val="24"/>
          <w:highlight w:val="none"/>
        </w:rPr>
        <w:fldChar w:fldCharType="separate"/>
      </w:r>
      <w:r>
        <w:rPr>
          <w:rFonts w:hint="eastAsia" w:ascii="宋体" w:hAnsi="宋体" w:eastAsia="宋体" w:cs="宋体"/>
          <w:bCs/>
          <w:sz w:val="24"/>
          <w:szCs w:val="24"/>
          <w:highlight w:val="none"/>
        </w:rPr>
        <w:t>第六章  投标文件构成及格式</w:t>
      </w:r>
      <w:r>
        <w:rPr>
          <w:rFonts w:hint="eastAsia" w:ascii="宋体" w:hAnsi="宋体" w:eastAsia="宋体" w:cs="宋体"/>
          <w:sz w:val="24"/>
          <w:szCs w:val="24"/>
          <w:highlight w:val="none"/>
        </w:rPr>
        <w:tab/>
      </w:r>
      <w:r>
        <w:rPr>
          <w:rFonts w:hint="eastAsia" w:ascii="宋体" w:hAnsi="宋体" w:cs="宋体"/>
          <w:sz w:val="24"/>
          <w:szCs w:val="24"/>
          <w:highlight w:val="none"/>
          <w:lang w:val="en-US" w:eastAsia="zh-CN"/>
        </w:rPr>
        <w:t>8</w:t>
      </w:r>
      <w:r>
        <w:rPr>
          <w:rFonts w:hint="eastAsia" w:ascii="宋体" w:hAnsi="宋体" w:eastAsia="宋体" w:cs="宋体"/>
          <w:sz w:val="24"/>
          <w:szCs w:val="24"/>
          <w:highlight w:val="none"/>
        </w:rPr>
        <w:fldChar w:fldCharType="end"/>
      </w:r>
      <w:r>
        <w:rPr>
          <w:rFonts w:hint="eastAsia" w:ascii="宋体" w:hAnsi="宋体" w:cs="宋体"/>
          <w:sz w:val="24"/>
          <w:szCs w:val="24"/>
          <w:highlight w:val="none"/>
          <w:lang w:val="en-US" w:eastAsia="zh-CN"/>
        </w:rPr>
        <w:t>0</w:t>
      </w:r>
    </w:p>
    <w:p w14:paraId="1491B576">
      <w:pPr>
        <w:keepNext w:val="0"/>
        <w:keepLines w:val="0"/>
        <w:pageBreakBefore w:val="0"/>
        <w:widowControl w:val="0"/>
        <w:kinsoku/>
        <w:wordWrap/>
        <w:overflowPunct/>
        <w:topLinePunct w:val="0"/>
        <w:autoSpaceDE/>
        <w:autoSpaceDN/>
        <w:bidi w:val="0"/>
        <w:adjustRightInd/>
        <w:snapToGrid/>
        <w:spacing w:line="480" w:lineRule="auto"/>
        <w:textAlignment w:val="auto"/>
        <w:rPr>
          <w:rFonts w:asciiTheme="minorEastAsia" w:hAnsiTheme="minorEastAsia" w:eastAsiaTheme="minorEastAsia" w:cstheme="minorEastAsia"/>
          <w:sz w:val="24"/>
          <w:szCs w:val="24"/>
          <w:highlight w:val="none"/>
        </w:rPr>
      </w:pPr>
      <w:r>
        <w:rPr>
          <w:rFonts w:hint="eastAsia" w:ascii="宋体" w:hAnsi="宋体" w:eastAsia="宋体" w:cs="宋体"/>
          <w:sz w:val="24"/>
          <w:szCs w:val="24"/>
          <w:highlight w:val="none"/>
        </w:rPr>
        <w:fldChar w:fldCharType="end"/>
      </w:r>
      <w:r>
        <w:rPr>
          <w:rFonts w:hint="eastAsia" w:asciiTheme="minorEastAsia" w:hAnsiTheme="minorEastAsia" w:eastAsiaTheme="minorEastAsia" w:cstheme="minorEastAsia"/>
          <w:sz w:val="24"/>
          <w:szCs w:val="24"/>
          <w:highlight w:val="none"/>
        </w:rPr>
        <w:br w:type="page"/>
      </w:r>
    </w:p>
    <w:p w14:paraId="17A15A6A">
      <w:pPr>
        <w:pStyle w:val="4"/>
        <w:jc w:val="center"/>
        <w:rPr>
          <w:rFonts w:asciiTheme="minorEastAsia" w:hAnsiTheme="minorEastAsia" w:eastAsiaTheme="minorEastAsia" w:cstheme="minorEastAsia"/>
          <w:highlight w:val="none"/>
        </w:rPr>
      </w:pPr>
      <w:bookmarkStart w:id="1" w:name="_Toc14968"/>
      <w:bookmarkStart w:id="2" w:name="_Toc11394"/>
      <w:r>
        <w:rPr>
          <w:rFonts w:hint="eastAsia" w:asciiTheme="minorEastAsia" w:hAnsiTheme="minorEastAsia" w:eastAsiaTheme="minorEastAsia" w:cstheme="minorEastAsia"/>
          <w:highlight w:val="none"/>
        </w:rPr>
        <w:t>第一章  招标公告</w:t>
      </w:r>
      <w:bookmarkEnd w:id="1"/>
      <w:bookmarkEnd w:id="2"/>
    </w:p>
    <w:p w14:paraId="1FFD32CA">
      <w:pPr>
        <w:pStyle w:val="64"/>
        <w:spacing w:line="360" w:lineRule="auto"/>
        <w:outlineLvl w:val="5"/>
        <w:rPr>
          <w:rFonts w:hint="eastAsia" w:ascii="宋体" w:hAnsi="宋体" w:eastAsia="宋体" w:cs="宋体"/>
          <w:sz w:val="24"/>
          <w:szCs w:val="24"/>
        </w:rPr>
      </w:pPr>
      <w:bookmarkStart w:id="3" w:name="_Toc421778363"/>
      <w:bookmarkStart w:id="4" w:name="_Toc18593"/>
      <w:r>
        <w:rPr>
          <w:rFonts w:hint="eastAsia" w:ascii="宋体" w:hAnsi="宋体" w:eastAsia="宋体" w:cs="宋体"/>
          <w:b/>
          <w:sz w:val="24"/>
          <w:szCs w:val="24"/>
        </w:rPr>
        <w:t>项目概况</w:t>
      </w:r>
    </w:p>
    <w:p w14:paraId="76B7E2B7">
      <w:pPr>
        <w:pStyle w:val="64"/>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商洛市柞水县2024年中央财政林业草原改革发展资金其他国土绿化项目（退化林修复）招标项目的潜在投标人应在陕西省西安市未央区未央路银池广场21楼获取招标文件，并于 2025年12月11日 09时30分 （北京时间）前递交投标文件。</w:t>
      </w:r>
    </w:p>
    <w:p w14:paraId="5667B98B">
      <w:pPr>
        <w:pStyle w:val="64"/>
        <w:spacing w:line="360" w:lineRule="auto"/>
        <w:outlineLvl w:val="3"/>
        <w:rPr>
          <w:rFonts w:hint="eastAsia" w:ascii="宋体" w:hAnsi="宋体" w:eastAsia="宋体" w:cs="宋体"/>
          <w:sz w:val="24"/>
          <w:szCs w:val="24"/>
        </w:rPr>
      </w:pPr>
      <w:r>
        <w:rPr>
          <w:rFonts w:hint="eastAsia" w:ascii="宋体" w:hAnsi="宋体" w:eastAsia="宋体" w:cs="宋体"/>
          <w:b/>
          <w:sz w:val="24"/>
          <w:szCs w:val="24"/>
        </w:rPr>
        <w:t>一、项目基本情况</w:t>
      </w:r>
    </w:p>
    <w:p w14:paraId="6C9569FF">
      <w:pPr>
        <w:pStyle w:val="64"/>
        <w:spacing w:line="360" w:lineRule="auto"/>
        <w:rPr>
          <w:rFonts w:hint="eastAsia" w:ascii="宋体" w:hAnsi="宋体" w:eastAsia="宋体" w:cs="宋体"/>
          <w:sz w:val="24"/>
          <w:szCs w:val="24"/>
        </w:rPr>
      </w:pPr>
      <w:r>
        <w:rPr>
          <w:rFonts w:hint="eastAsia" w:ascii="宋体" w:hAnsi="宋体" w:eastAsia="宋体" w:cs="宋体"/>
          <w:sz w:val="24"/>
          <w:szCs w:val="24"/>
        </w:rPr>
        <w:t>项目编号：YZZB-20250144</w:t>
      </w:r>
    </w:p>
    <w:p w14:paraId="411EC4A7">
      <w:pPr>
        <w:pStyle w:val="64"/>
        <w:spacing w:line="360" w:lineRule="auto"/>
        <w:rPr>
          <w:rFonts w:hint="eastAsia" w:ascii="宋体" w:hAnsi="宋体" w:eastAsia="宋体" w:cs="宋体"/>
          <w:sz w:val="24"/>
          <w:szCs w:val="24"/>
        </w:rPr>
      </w:pPr>
      <w:r>
        <w:rPr>
          <w:rFonts w:hint="eastAsia" w:ascii="宋体" w:hAnsi="宋体" w:eastAsia="宋体" w:cs="宋体"/>
          <w:sz w:val="24"/>
          <w:szCs w:val="24"/>
        </w:rPr>
        <w:t>项目名称：商洛市柞水县2024年中央财政林业草原改革发展资金其他国土绿化项目（退化林修复）</w:t>
      </w:r>
    </w:p>
    <w:p w14:paraId="03F17D6A">
      <w:pPr>
        <w:pStyle w:val="64"/>
        <w:spacing w:line="360" w:lineRule="auto"/>
        <w:rPr>
          <w:rFonts w:hint="eastAsia" w:ascii="宋体" w:hAnsi="宋体" w:eastAsia="宋体" w:cs="宋体"/>
          <w:sz w:val="24"/>
          <w:szCs w:val="24"/>
        </w:rPr>
      </w:pPr>
      <w:r>
        <w:rPr>
          <w:rFonts w:hint="eastAsia" w:ascii="宋体" w:hAnsi="宋体" w:eastAsia="宋体" w:cs="宋体"/>
          <w:sz w:val="24"/>
          <w:szCs w:val="24"/>
        </w:rPr>
        <w:t>采购方式：公开招标</w:t>
      </w:r>
    </w:p>
    <w:p w14:paraId="36B915AB">
      <w:pPr>
        <w:pStyle w:val="64"/>
        <w:spacing w:line="360" w:lineRule="auto"/>
        <w:rPr>
          <w:rFonts w:hint="eastAsia" w:ascii="宋体" w:hAnsi="宋体" w:eastAsia="宋体" w:cs="宋体"/>
          <w:sz w:val="24"/>
          <w:szCs w:val="24"/>
        </w:rPr>
      </w:pPr>
      <w:r>
        <w:rPr>
          <w:rFonts w:hint="eastAsia" w:ascii="宋体" w:hAnsi="宋体" w:eastAsia="宋体" w:cs="宋体"/>
          <w:sz w:val="24"/>
          <w:szCs w:val="24"/>
        </w:rPr>
        <w:t>预算金额：16,000,000.00元</w:t>
      </w:r>
    </w:p>
    <w:p w14:paraId="7979A3CC">
      <w:pPr>
        <w:pStyle w:val="64"/>
        <w:spacing w:line="360" w:lineRule="auto"/>
        <w:rPr>
          <w:rFonts w:hint="eastAsia" w:ascii="宋体" w:hAnsi="宋体" w:eastAsia="宋体" w:cs="宋体"/>
          <w:sz w:val="24"/>
          <w:szCs w:val="24"/>
        </w:rPr>
      </w:pPr>
      <w:r>
        <w:rPr>
          <w:rFonts w:hint="eastAsia" w:ascii="宋体" w:hAnsi="宋体" w:eastAsia="宋体" w:cs="宋体"/>
          <w:sz w:val="24"/>
          <w:szCs w:val="24"/>
        </w:rPr>
        <w:t>采购需求：</w:t>
      </w:r>
    </w:p>
    <w:p w14:paraId="289937CC">
      <w:pPr>
        <w:pStyle w:val="64"/>
        <w:spacing w:line="360" w:lineRule="auto"/>
        <w:rPr>
          <w:rFonts w:hint="eastAsia" w:ascii="宋体" w:hAnsi="宋体" w:eastAsia="宋体" w:cs="宋体"/>
          <w:sz w:val="24"/>
          <w:szCs w:val="24"/>
        </w:rPr>
      </w:pPr>
      <w:r>
        <w:rPr>
          <w:rFonts w:hint="eastAsia" w:ascii="宋体" w:hAnsi="宋体" w:eastAsia="宋体" w:cs="宋体"/>
          <w:sz w:val="24"/>
          <w:szCs w:val="24"/>
        </w:rPr>
        <w:t>合同包1(1标段：马房子作业区退化林修复52、56、59、 62、63、72、 75、76、79、 81、84、91、93 小班763亩，修复方式为采伐+补植+修枝):</w:t>
      </w:r>
    </w:p>
    <w:p w14:paraId="3B1353BE">
      <w:pPr>
        <w:pStyle w:val="64"/>
        <w:spacing w:line="360" w:lineRule="auto"/>
        <w:ind w:firstLine="630"/>
        <w:rPr>
          <w:rFonts w:hint="eastAsia" w:ascii="宋体" w:hAnsi="宋体" w:eastAsia="宋体" w:cs="宋体"/>
          <w:sz w:val="24"/>
          <w:szCs w:val="24"/>
        </w:rPr>
      </w:pPr>
      <w:r>
        <w:rPr>
          <w:rFonts w:hint="eastAsia" w:ascii="宋体" w:hAnsi="宋体" w:eastAsia="宋体" w:cs="宋体"/>
          <w:sz w:val="24"/>
          <w:szCs w:val="24"/>
        </w:rPr>
        <w:t>合同包预算金额：611,162.20元</w:t>
      </w:r>
    </w:p>
    <w:p w14:paraId="6265AD66">
      <w:pPr>
        <w:pStyle w:val="64"/>
        <w:spacing w:line="360" w:lineRule="auto"/>
        <w:ind w:firstLine="630"/>
        <w:rPr>
          <w:rFonts w:hint="eastAsia" w:ascii="宋体" w:hAnsi="宋体" w:eastAsia="宋体" w:cs="宋体"/>
          <w:sz w:val="24"/>
          <w:szCs w:val="24"/>
        </w:rPr>
      </w:pPr>
      <w:r>
        <w:rPr>
          <w:rFonts w:hint="eastAsia" w:ascii="宋体" w:hAnsi="宋体" w:eastAsia="宋体" w:cs="宋体"/>
          <w:sz w:val="24"/>
          <w:szCs w:val="24"/>
        </w:rPr>
        <w:t xml:space="preserve"> 合同包最高限价：611,162.20元</w:t>
      </w:r>
    </w:p>
    <w:tbl>
      <w:tblPr>
        <w:tblStyle w:val="29"/>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1384"/>
        <w:gridCol w:w="1384"/>
        <w:gridCol w:w="1384"/>
        <w:gridCol w:w="1384"/>
        <w:gridCol w:w="1384"/>
        <w:gridCol w:w="1416"/>
      </w:tblGrid>
      <w:tr w14:paraId="253C169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384" w:type="dxa"/>
          </w:tcPr>
          <w:p w14:paraId="4970F3C3">
            <w:pPr>
              <w:pStyle w:val="64"/>
              <w:spacing w:line="360" w:lineRule="auto"/>
              <w:rPr>
                <w:rFonts w:hint="eastAsia" w:ascii="宋体" w:hAnsi="宋体" w:eastAsia="宋体" w:cs="宋体"/>
                <w:sz w:val="24"/>
                <w:szCs w:val="24"/>
              </w:rPr>
            </w:pPr>
            <w:r>
              <w:rPr>
                <w:rFonts w:hint="eastAsia" w:ascii="宋体" w:hAnsi="宋体" w:eastAsia="宋体" w:cs="宋体"/>
                <w:sz w:val="24"/>
                <w:szCs w:val="24"/>
              </w:rPr>
              <w:t>品目号</w:t>
            </w:r>
          </w:p>
        </w:tc>
        <w:tc>
          <w:tcPr>
            <w:tcW w:w="1384" w:type="dxa"/>
          </w:tcPr>
          <w:p w14:paraId="3ECF0E21">
            <w:pPr>
              <w:pStyle w:val="64"/>
              <w:spacing w:line="360" w:lineRule="auto"/>
              <w:rPr>
                <w:rFonts w:hint="eastAsia" w:ascii="宋体" w:hAnsi="宋体" w:eastAsia="宋体" w:cs="宋体"/>
                <w:sz w:val="24"/>
                <w:szCs w:val="24"/>
              </w:rPr>
            </w:pPr>
            <w:r>
              <w:rPr>
                <w:rFonts w:hint="eastAsia" w:ascii="宋体" w:hAnsi="宋体" w:eastAsia="宋体" w:cs="宋体"/>
                <w:sz w:val="24"/>
                <w:szCs w:val="24"/>
              </w:rPr>
              <w:t>品目名称</w:t>
            </w:r>
          </w:p>
        </w:tc>
        <w:tc>
          <w:tcPr>
            <w:tcW w:w="1384" w:type="dxa"/>
          </w:tcPr>
          <w:p w14:paraId="26BF16A5">
            <w:pPr>
              <w:pStyle w:val="64"/>
              <w:spacing w:line="360" w:lineRule="auto"/>
              <w:rPr>
                <w:rFonts w:hint="eastAsia" w:ascii="宋体" w:hAnsi="宋体" w:eastAsia="宋体" w:cs="宋体"/>
                <w:sz w:val="24"/>
                <w:szCs w:val="24"/>
              </w:rPr>
            </w:pPr>
            <w:r>
              <w:rPr>
                <w:rFonts w:hint="eastAsia" w:ascii="宋体" w:hAnsi="宋体" w:eastAsia="宋体" w:cs="宋体"/>
                <w:sz w:val="24"/>
                <w:szCs w:val="24"/>
              </w:rPr>
              <w:t>采购标的</w:t>
            </w:r>
          </w:p>
        </w:tc>
        <w:tc>
          <w:tcPr>
            <w:tcW w:w="1384" w:type="dxa"/>
          </w:tcPr>
          <w:p w14:paraId="2E4191CD">
            <w:pPr>
              <w:pStyle w:val="64"/>
              <w:spacing w:line="360" w:lineRule="auto"/>
              <w:rPr>
                <w:rFonts w:hint="eastAsia" w:ascii="宋体" w:hAnsi="宋体" w:eastAsia="宋体" w:cs="宋体"/>
                <w:sz w:val="24"/>
                <w:szCs w:val="24"/>
              </w:rPr>
            </w:pPr>
            <w:r>
              <w:rPr>
                <w:rFonts w:hint="eastAsia" w:ascii="宋体" w:hAnsi="宋体" w:eastAsia="宋体" w:cs="宋体"/>
                <w:sz w:val="24"/>
                <w:szCs w:val="24"/>
              </w:rPr>
              <w:t>数量（单位）</w:t>
            </w:r>
          </w:p>
        </w:tc>
        <w:tc>
          <w:tcPr>
            <w:tcW w:w="1384" w:type="dxa"/>
          </w:tcPr>
          <w:p w14:paraId="38EFFB30">
            <w:pPr>
              <w:pStyle w:val="64"/>
              <w:spacing w:line="360" w:lineRule="auto"/>
              <w:rPr>
                <w:rFonts w:hint="eastAsia" w:ascii="宋体" w:hAnsi="宋体" w:eastAsia="宋体" w:cs="宋体"/>
                <w:sz w:val="24"/>
                <w:szCs w:val="24"/>
              </w:rPr>
            </w:pPr>
            <w:r>
              <w:rPr>
                <w:rFonts w:hint="eastAsia" w:ascii="宋体" w:hAnsi="宋体" w:eastAsia="宋体" w:cs="宋体"/>
                <w:sz w:val="24"/>
                <w:szCs w:val="24"/>
              </w:rPr>
              <w:t>技术规格、参数及要求</w:t>
            </w:r>
          </w:p>
        </w:tc>
        <w:tc>
          <w:tcPr>
            <w:tcW w:w="1384" w:type="dxa"/>
          </w:tcPr>
          <w:p w14:paraId="45B6E705">
            <w:pPr>
              <w:pStyle w:val="64"/>
              <w:spacing w:line="360" w:lineRule="auto"/>
              <w:rPr>
                <w:rFonts w:hint="eastAsia" w:ascii="宋体" w:hAnsi="宋体" w:eastAsia="宋体" w:cs="宋体"/>
                <w:sz w:val="24"/>
                <w:szCs w:val="24"/>
              </w:rPr>
            </w:pPr>
            <w:r>
              <w:rPr>
                <w:rFonts w:hint="eastAsia" w:ascii="宋体" w:hAnsi="宋体" w:eastAsia="宋体" w:cs="宋体"/>
                <w:sz w:val="24"/>
                <w:szCs w:val="24"/>
              </w:rPr>
              <w:t>品目预算(元)</w:t>
            </w:r>
          </w:p>
        </w:tc>
      </w:tr>
      <w:tr w14:paraId="72773C5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384" w:type="dxa"/>
          </w:tcPr>
          <w:p w14:paraId="26A08F1F">
            <w:pPr>
              <w:pStyle w:val="64"/>
              <w:spacing w:line="360" w:lineRule="auto"/>
              <w:rPr>
                <w:rFonts w:hint="eastAsia" w:ascii="宋体" w:hAnsi="宋体" w:eastAsia="宋体" w:cs="宋体"/>
                <w:sz w:val="24"/>
                <w:szCs w:val="24"/>
              </w:rPr>
            </w:pPr>
            <w:r>
              <w:rPr>
                <w:rFonts w:hint="eastAsia" w:ascii="宋体" w:hAnsi="宋体" w:eastAsia="宋体" w:cs="宋体"/>
                <w:sz w:val="24"/>
                <w:szCs w:val="24"/>
              </w:rPr>
              <w:t>1-1</w:t>
            </w:r>
          </w:p>
        </w:tc>
        <w:tc>
          <w:tcPr>
            <w:tcW w:w="1384" w:type="dxa"/>
          </w:tcPr>
          <w:p w14:paraId="5A9B9C2C">
            <w:pPr>
              <w:pStyle w:val="64"/>
              <w:spacing w:line="360" w:lineRule="auto"/>
              <w:rPr>
                <w:rFonts w:hint="eastAsia" w:ascii="宋体" w:hAnsi="宋体" w:eastAsia="宋体" w:cs="宋体"/>
                <w:sz w:val="24"/>
                <w:szCs w:val="24"/>
              </w:rPr>
            </w:pPr>
            <w:r>
              <w:rPr>
                <w:rFonts w:hint="eastAsia" w:ascii="宋体" w:hAnsi="宋体" w:eastAsia="宋体" w:cs="宋体"/>
                <w:sz w:val="24"/>
                <w:szCs w:val="24"/>
              </w:rPr>
              <w:t>林木抚育管理服务</w:t>
            </w:r>
          </w:p>
        </w:tc>
        <w:tc>
          <w:tcPr>
            <w:tcW w:w="1384" w:type="dxa"/>
          </w:tcPr>
          <w:p w14:paraId="5FEFBD35">
            <w:pPr>
              <w:pStyle w:val="64"/>
              <w:spacing w:line="360" w:lineRule="auto"/>
              <w:rPr>
                <w:rFonts w:hint="eastAsia" w:ascii="宋体" w:hAnsi="宋体" w:eastAsia="宋体" w:cs="宋体"/>
                <w:sz w:val="24"/>
                <w:szCs w:val="24"/>
              </w:rPr>
            </w:pPr>
            <w:r>
              <w:rPr>
                <w:rFonts w:hint="eastAsia" w:ascii="宋体" w:hAnsi="宋体" w:eastAsia="宋体" w:cs="宋体"/>
                <w:sz w:val="24"/>
                <w:szCs w:val="24"/>
              </w:rPr>
              <w:t>1标段：马房子作业区退化林修复52、56、59、62、63、72、75、76、79、 81、84、91、93小班763亩，修复方式为采伐+补植+修枝。</w:t>
            </w:r>
          </w:p>
        </w:tc>
        <w:tc>
          <w:tcPr>
            <w:tcW w:w="1384" w:type="dxa"/>
          </w:tcPr>
          <w:p w14:paraId="64D89B24">
            <w:pPr>
              <w:pStyle w:val="64"/>
              <w:spacing w:line="360" w:lineRule="auto"/>
              <w:rPr>
                <w:rFonts w:hint="eastAsia" w:ascii="宋体" w:hAnsi="宋体" w:eastAsia="宋体" w:cs="宋体"/>
                <w:sz w:val="24"/>
                <w:szCs w:val="24"/>
              </w:rPr>
            </w:pPr>
            <w:r>
              <w:rPr>
                <w:rFonts w:hint="eastAsia" w:ascii="宋体" w:hAnsi="宋体" w:eastAsia="宋体" w:cs="宋体"/>
                <w:sz w:val="24"/>
                <w:szCs w:val="24"/>
              </w:rPr>
              <w:t>763(亩)</w:t>
            </w:r>
          </w:p>
        </w:tc>
        <w:tc>
          <w:tcPr>
            <w:tcW w:w="1384" w:type="dxa"/>
          </w:tcPr>
          <w:p w14:paraId="6C44DD9E">
            <w:pPr>
              <w:pStyle w:val="64"/>
              <w:spacing w:line="360" w:lineRule="auto"/>
              <w:rPr>
                <w:rFonts w:hint="eastAsia" w:ascii="宋体" w:hAnsi="宋体" w:eastAsia="宋体" w:cs="宋体"/>
                <w:sz w:val="24"/>
                <w:szCs w:val="24"/>
              </w:rPr>
            </w:pPr>
            <w:r>
              <w:rPr>
                <w:rFonts w:hint="eastAsia" w:ascii="宋体" w:hAnsi="宋体" w:eastAsia="宋体" w:cs="宋体"/>
                <w:sz w:val="24"/>
                <w:szCs w:val="24"/>
              </w:rPr>
              <w:t>详见采购文件</w:t>
            </w:r>
          </w:p>
        </w:tc>
        <w:tc>
          <w:tcPr>
            <w:tcW w:w="1384" w:type="dxa"/>
          </w:tcPr>
          <w:p w14:paraId="0311BF49">
            <w:pPr>
              <w:pStyle w:val="64"/>
              <w:spacing w:line="360" w:lineRule="auto"/>
              <w:rPr>
                <w:rFonts w:hint="eastAsia" w:ascii="宋体" w:hAnsi="宋体" w:eastAsia="宋体" w:cs="宋体"/>
                <w:sz w:val="24"/>
                <w:szCs w:val="24"/>
              </w:rPr>
            </w:pPr>
            <w:r>
              <w:rPr>
                <w:rFonts w:hint="eastAsia" w:ascii="宋体" w:hAnsi="宋体" w:eastAsia="宋体" w:cs="宋体"/>
                <w:sz w:val="24"/>
                <w:szCs w:val="24"/>
              </w:rPr>
              <w:t>611,162.20</w:t>
            </w:r>
          </w:p>
        </w:tc>
      </w:tr>
    </w:tbl>
    <w:p w14:paraId="3F17B6CE">
      <w:pPr>
        <w:pStyle w:val="64"/>
        <w:spacing w:line="360" w:lineRule="auto"/>
        <w:rPr>
          <w:rFonts w:hint="eastAsia" w:ascii="宋体" w:hAnsi="宋体" w:eastAsia="宋体" w:cs="宋体"/>
          <w:sz w:val="24"/>
          <w:szCs w:val="24"/>
        </w:rPr>
      </w:pPr>
      <w:r>
        <w:rPr>
          <w:rFonts w:hint="eastAsia" w:ascii="宋体" w:hAnsi="宋体" w:eastAsia="宋体" w:cs="宋体"/>
          <w:sz w:val="24"/>
          <w:szCs w:val="24"/>
        </w:rPr>
        <w:t xml:space="preserve"> 本合同包不接受联合体投标</w:t>
      </w:r>
    </w:p>
    <w:p w14:paraId="5D6C7D7E">
      <w:pPr>
        <w:pStyle w:val="64"/>
        <w:spacing w:line="360" w:lineRule="auto"/>
        <w:rPr>
          <w:rFonts w:hint="eastAsia" w:ascii="宋体" w:hAnsi="宋体" w:eastAsia="宋体" w:cs="宋体"/>
          <w:sz w:val="24"/>
          <w:szCs w:val="24"/>
        </w:rPr>
      </w:pPr>
      <w:r>
        <w:rPr>
          <w:rFonts w:hint="eastAsia" w:ascii="宋体" w:hAnsi="宋体" w:eastAsia="宋体" w:cs="宋体"/>
          <w:sz w:val="24"/>
          <w:szCs w:val="24"/>
        </w:rPr>
        <w:t xml:space="preserve"> 合同履行期限：详见招标文件。</w:t>
      </w:r>
    </w:p>
    <w:p w14:paraId="17AA3226">
      <w:pPr>
        <w:pStyle w:val="64"/>
        <w:spacing w:line="360" w:lineRule="auto"/>
        <w:rPr>
          <w:rFonts w:hint="eastAsia" w:ascii="宋体" w:hAnsi="宋体" w:eastAsia="宋体" w:cs="宋体"/>
          <w:sz w:val="24"/>
          <w:szCs w:val="24"/>
        </w:rPr>
      </w:pPr>
      <w:r>
        <w:rPr>
          <w:rFonts w:hint="eastAsia" w:ascii="宋体" w:hAnsi="宋体" w:eastAsia="宋体" w:cs="宋体"/>
          <w:sz w:val="24"/>
          <w:szCs w:val="24"/>
        </w:rPr>
        <w:t>合同包2(2标段：马房子作业区退化林修复55、58、66、 70、74、78、 80、83、85、 88、89、94小班776亩，修复方式为采伐+补植+修枝):</w:t>
      </w:r>
    </w:p>
    <w:p w14:paraId="63867B87">
      <w:pPr>
        <w:pStyle w:val="64"/>
        <w:spacing w:line="360" w:lineRule="auto"/>
        <w:ind w:firstLine="630"/>
        <w:rPr>
          <w:rFonts w:hint="eastAsia" w:ascii="宋体" w:hAnsi="宋体" w:eastAsia="宋体" w:cs="宋体"/>
          <w:sz w:val="24"/>
          <w:szCs w:val="24"/>
        </w:rPr>
      </w:pPr>
      <w:r>
        <w:rPr>
          <w:rFonts w:hint="eastAsia" w:ascii="宋体" w:hAnsi="宋体" w:eastAsia="宋体" w:cs="宋体"/>
          <w:sz w:val="24"/>
          <w:szCs w:val="24"/>
        </w:rPr>
        <w:t>合同包预算金额：607,909.50元</w:t>
      </w:r>
    </w:p>
    <w:p w14:paraId="2FB1CBD2">
      <w:pPr>
        <w:pStyle w:val="64"/>
        <w:spacing w:line="360" w:lineRule="auto"/>
        <w:ind w:firstLine="630"/>
        <w:rPr>
          <w:rFonts w:hint="eastAsia" w:ascii="宋体" w:hAnsi="宋体" w:eastAsia="宋体" w:cs="宋体"/>
          <w:sz w:val="24"/>
          <w:szCs w:val="24"/>
        </w:rPr>
      </w:pPr>
      <w:r>
        <w:rPr>
          <w:rFonts w:hint="eastAsia" w:ascii="宋体" w:hAnsi="宋体" w:eastAsia="宋体" w:cs="宋体"/>
          <w:sz w:val="24"/>
          <w:szCs w:val="24"/>
        </w:rPr>
        <w:t xml:space="preserve"> 合同包最高限价：607,909.50元</w:t>
      </w:r>
    </w:p>
    <w:tbl>
      <w:tblPr>
        <w:tblStyle w:val="29"/>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1384"/>
        <w:gridCol w:w="1384"/>
        <w:gridCol w:w="1384"/>
        <w:gridCol w:w="1384"/>
        <w:gridCol w:w="1384"/>
        <w:gridCol w:w="1416"/>
      </w:tblGrid>
      <w:tr w14:paraId="788B158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384" w:type="dxa"/>
          </w:tcPr>
          <w:p w14:paraId="37FA8160">
            <w:pPr>
              <w:pStyle w:val="64"/>
              <w:spacing w:line="360" w:lineRule="auto"/>
              <w:rPr>
                <w:rFonts w:hint="eastAsia" w:ascii="宋体" w:hAnsi="宋体" w:eastAsia="宋体" w:cs="宋体"/>
                <w:sz w:val="24"/>
                <w:szCs w:val="24"/>
              </w:rPr>
            </w:pPr>
            <w:r>
              <w:rPr>
                <w:rFonts w:hint="eastAsia" w:ascii="宋体" w:hAnsi="宋体" w:eastAsia="宋体" w:cs="宋体"/>
                <w:sz w:val="24"/>
                <w:szCs w:val="24"/>
              </w:rPr>
              <w:t>品目号</w:t>
            </w:r>
          </w:p>
        </w:tc>
        <w:tc>
          <w:tcPr>
            <w:tcW w:w="1384" w:type="dxa"/>
          </w:tcPr>
          <w:p w14:paraId="7629C95D">
            <w:pPr>
              <w:pStyle w:val="64"/>
              <w:spacing w:line="360" w:lineRule="auto"/>
              <w:rPr>
                <w:rFonts w:hint="eastAsia" w:ascii="宋体" w:hAnsi="宋体" w:eastAsia="宋体" w:cs="宋体"/>
                <w:sz w:val="24"/>
                <w:szCs w:val="24"/>
              </w:rPr>
            </w:pPr>
            <w:r>
              <w:rPr>
                <w:rFonts w:hint="eastAsia" w:ascii="宋体" w:hAnsi="宋体" w:eastAsia="宋体" w:cs="宋体"/>
                <w:sz w:val="24"/>
                <w:szCs w:val="24"/>
              </w:rPr>
              <w:t>品目名称</w:t>
            </w:r>
          </w:p>
        </w:tc>
        <w:tc>
          <w:tcPr>
            <w:tcW w:w="1384" w:type="dxa"/>
          </w:tcPr>
          <w:p w14:paraId="6C289541">
            <w:pPr>
              <w:pStyle w:val="64"/>
              <w:spacing w:line="360" w:lineRule="auto"/>
              <w:rPr>
                <w:rFonts w:hint="eastAsia" w:ascii="宋体" w:hAnsi="宋体" w:eastAsia="宋体" w:cs="宋体"/>
                <w:sz w:val="24"/>
                <w:szCs w:val="24"/>
              </w:rPr>
            </w:pPr>
            <w:r>
              <w:rPr>
                <w:rFonts w:hint="eastAsia" w:ascii="宋体" w:hAnsi="宋体" w:eastAsia="宋体" w:cs="宋体"/>
                <w:sz w:val="24"/>
                <w:szCs w:val="24"/>
              </w:rPr>
              <w:t>采购标的</w:t>
            </w:r>
          </w:p>
        </w:tc>
        <w:tc>
          <w:tcPr>
            <w:tcW w:w="1384" w:type="dxa"/>
          </w:tcPr>
          <w:p w14:paraId="78854F83">
            <w:pPr>
              <w:pStyle w:val="64"/>
              <w:spacing w:line="360" w:lineRule="auto"/>
              <w:rPr>
                <w:rFonts w:hint="eastAsia" w:ascii="宋体" w:hAnsi="宋体" w:eastAsia="宋体" w:cs="宋体"/>
                <w:sz w:val="24"/>
                <w:szCs w:val="24"/>
              </w:rPr>
            </w:pPr>
            <w:r>
              <w:rPr>
                <w:rFonts w:hint="eastAsia" w:ascii="宋体" w:hAnsi="宋体" w:eastAsia="宋体" w:cs="宋体"/>
                <w:sz w:val="24"/>
                <w:szCs w:val="24"/>
              </w:rPr>
              <w:t>数量（单位）</w:t>
            </w:r>
          </w:p>
        </w:tc>
        <w:tc>
          <w:tcPr>
            <w:tcW w:w="1384" w:type="dxa"/>
          </w:tcPr>
          <w:p w14:paraId="09E1F47D">
            <w:pPr>
              <w:pStyle w:val="64"/>
              <w:spacing w:line="360" w:lineRule="auto"/>
              <w:rPr>
                <w:rFonts w:hint="eastAsia" w:ascii="宋体" w:hAnsi="宋体" w:eastAsia="宋体" w:cs="宋体"/>
                <w:sz w:val="24"/>
                <w:szCs w:val="24"/>
              </w:rPr>
            </w:pPr>
            <w:r>
              <w:rPr>
                <w:rFonts w:hint="eastAsia" w:ascii="宋体" w:hAnsi="宋体" w:eastAsia="宋体" w:cs="宋体"/>
                <w:sz w:val="24"/>
                <w:szCs w:val="24"/>
              </w:rPr>
              <w:t>技术规格、参数及要求</w:t>
            </w:r>
          </w:p>
        </w:tc>
        <w:tc>
          <w:tcPr>
            <w:tcW w:w="1384" w:type="dxa"/>
          </w:tcPr>
          <w:p w14:paraId="087A0B2A">
            <w:pPr>
              <w:pStyle w:val="64"/>
              <w:spacing w:line="360" w:lineRule="auto"/>
              <w:rPr>
                <w:rFonts w:hint="eastAsia" w:ascii="宋体" w:hAnsi="宋体" w:eastAsia="宋体" w:cs="宋体"/>
                <w:sz w:val="24"/>
                <w:szCs w:val="24"/>
              </w:rPr>
            </w:pPr>
            <w:r>
              <w:rPr>
                <w:rFonts w:hint="eastAsia" w:ascii="宋体" w:hAnsi="宋体" w:eastAsia="宋体" w:cs="宋体"/>
                <w:sz w:val="24"/>
                <w:szCs w:val="24"/>
              </w:rPr>
              <w:t>品目预算(元)</w:t>
            </w:r>
          </w:p>
        </w:tc>
      </w:tr>
      <w:tr w14:paraId="42C87C2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384" w:type="dxa"/>
          </w:tcPr>
          <w:p w14:paraId="03A78810">
            <w:pPr>
              <w:pStyle w:val="64"/>
              <w:spacing w:line="360" w:lineRule="auto"/>
              <w:rPr>
                <w:rFonts w:hint="eastAsia" w:ascii="宋体" w:hAnsi="宋体" w:eastAsia="宋体" w:cs="宋体"/>
                <w:sz w:val="24"/>
                <w:szCs w:val="24"/>
              </w:rPr>
            </w:pPr>
            <w:r>
              <w:rPr>
                <w:rFonts w:hint="eastAsia" w:ascii="宋体" w:hAnsi="宋体" w:eastAsia="宋体" w:cs="宋体"/>
                <w:sz w:val="24"/>
                <w:szCs w:val="24"/>
              </w:rPr>
              <w:t>2-1</w:t>
            </w:r>
          </w:p>
        </w:tc>
        <w:tc>
          <w:tcPr>
            <w:tcW w:w="1384" w:type="dxa"/>
          </w:tcPr>
          <w:p w14:paraId="4F74B96D">
            <w:pPr>
              <w:pStyle w:val="64"/>
              <w:spacing w:line="360" w:lineRule="auto"/>
              <w:rPr>
                <w:rFonts w:hint="eastAsia" w:ascii="宋体" w:hAnsi="宋体" w:eastAsia="宋体" w:cs="宋体"/>
                <w:sz w:val="24"/>
                <w:szCs w:val="24"/>
              </w:rPr>
            </w:pPr>
            <w:r>
              <w:rPr>
                <w:rFonts w:hint="eastAsia" w:ascii="宋体" w:hAnsi="宋体" w:eastAsia="宋体" w:cs="宋体"/>
                <w:sz w:val="24"/>
                <w:szCs w:val="24"/>
              </w:rPr>
              <w:t>林木抚育管理服务</w:t>
            </w:r>
          </w:p>
        </w:tc>
        <w:tc>
          <w:tcPr>
            <w:tcW w:w="1384" w:type="dxa"/>
          </w:tcPr>
          <w:p w14:paraId="4B17F43B">
            <w:pPr>
              <w:pStyle w:val="64"/>
              <w:spacing w:line="360" w:lineRule="auto"/>
              <w:rPr>
                <w:rFonts w:hint="eastAsia" w:ascii="宋体" w:hAnsi="宋体" w:eastAsia="宋体" w:cs="宋体"/>
                <w:sz w:val="24"/>
                <w:szCs w:val="24"/>
              </w:rPr>
            </w:pPr>
            <w:r>
              <w:rPr>
                <w:rFonts w:hint="eastAsia" w:ascii="宋体" w:hAnsi="宋体" w:eastAsia="宋体" w:cs="宋体"/>
                <w:sz w:val="24"/>
                <w:szCs w:val="24"/>
              </w:rPr>
              <w:t>2标段：马房子作业区退化林修复55、58、66、70、74、78、80、83、85、 88、89、94小班776亩，修复方式为采伐+补植+修枝。</w:t>
            </w:r>
          </w:p>
        </w:tc>
        <w:tc>
          <w:tcPr>
            <w:tcW w:w="1384" w:type="dxa"/>
          </w:tcPr>
          <w:p w14:paraId="031A3C63">
            <w:pPr>
              <w:pStyle w:val="64"/>
              <w:spacing w:line="360" w:lineRule="auto"/>
              <w:rPr>
                <w:rFonts w:hint="eastAsia" w:ascii="宋体" w:hAnsi="宋体" w:eastAsia="宋体" w:cs="宋体"/>
                <w:sz w:val="24"/>
                <w:szCs w:val="24"/>
              </w:rPr>
            </w:pPr>
            <w:r>
              <w:rPr>
                <w:rFonts w:hint="eastAsia" w:ascii="宋体" w:hAnsi="宋体" w:eastAsia="宋体" w:cs="宋体"/>
                <w:sz w:val="24"/>
                <w:szCs w:val="24"/>
              </w:rPr>
              <w:t>776(亩)</w:t>
            </w:r>
          </w:p>
        </w:tc>
        <w:tc>
          <w:tcPr>
            <w:tcW w:w="1384" w:type="dxa"/>
          </w:tcPr>
          <w:p w14:paraId="6A38FAE1">
            <w:pPr>
              <w:pStyle w:val="64"/>
              <w:spacing w:line="360" w:lineRule="auto"/>
              <w:rPr>
                <w:rFonts w:hint="eastAsia" w:ascii="宋体" w:hAnsi="宋体" w:eastAsia="宋体" w:cs="宋体"/>
                <w:sz w:val="24"/>
                <w:szCs w:val="24"/>
              </w:rPr>
            </w:pPr>
            <w:r>
              <w:rPr>
                <w:rFonts w:hint="eastAsia" w:ascii="宋体" w:hAnsi="宋体" w:eastAsia="宋体" w:cs="宋体"/>
                <w:sz w:val="24"/>
                <w:szCs w:val="24"/>
              </w:rPr>
              <w:t>详见采购文件</w:t>
            </w:r>
          </w:p>
        </w:tc>
        <w:tc>
          <w:tcPr>
            <w:tcW w:w="1384" w:type="dxa"/>
          </w:tcPr>
          <w:p w14:paraId="25DB636E">
            <w:pPr>
              <w:pStyle w:val="64"/>
              <w:spacing w:line="360" w:lineRule="auto"/>
              <w:rPr>
                <w:rFonts w:hint="eastAsia" w:ascii="宋体" w:hAnsi="宋体" w:eastAsia="宋体" w:cs="宋体"/>
                <w:sz w:val="24"/>
                <w:szCs w:val="24"/>
              </w:rPr>
            </w:pPr>
            <w:r>
              <w:rPr>
                <w:rFonts w:hint="eastAsia" w:ascii="宋体" w:hAnsi="宋体" w:eastAsia="宋体" w:cs="宋体"/>
                <w:sz w:val="24"/>
                <w:szCs w:val="24"/>
              </w:rPr>
              <w:t>607,909.50</w:t>
            </w:r>
          </w:p>
        </w:tc>
      </w:tr>
    </w:tbl>
    <w:p w14:paraId="5E5A8705">
      <w:pPr>
        <w:pStyle w:val="64"/>
        <w:spacing w:line="360" w:lineRule="auto"/>
        <w:rPr>
          <w:rFonts w:hint="eastAsia" w:ascii="宋体" w:hAnsi="宋体" w:eastAsia="宋体" w:cs="宋体"/>
          <w:sz w:val="24"/>
          <w:szCs w:val="24"/>
        </w:rPr>
      </w:pPr>
      <w:r>
        <w:rPr>
          <w:rFonts w:hint="eastAsia" w:ascii="宋体" w:hAnsi="宋体" w:eastAsia="宋体" w:cs="宋体"/>
          <w:sz w:val="24"/>
          <w:szCs w:val="24"/>
        </w:rPr>
        <w:t xml:space="preserve"> 本合同包不接受联合体投标</w:t>
      </w:r>
    </w:p>
    <w:p w14:paraId="4D2B0BD0">
      <w:pPr>
        <w:pStyle w:val="64"/>
        <w:spacing w:line="360" w:lineRule="auto"/>
        <w:rPr>
          <w:rFonts w:hint="eastAsia" w:ascii="宋体" w:hAnsi="宋体" w:eastAsia="宋体" w:cs="宋体"/>
          <w:sz w:val="24"/>
          <w:szCs w:val="24"/>
        </w:rPr>
      </w:pPr>
      <w:r>
        <w:rPr>
          <w:rFonts w:hint="eastAsia" w:ascii="宋体" w:hAnsi="宋体" w:eastAsia="宋体" w:cs="宋体"/>
          <w:sz w:val="24"/>
          <w:szCs w:val="24"/>
        </w:rPr>
        <w:t xml:space="preserve"> 合同履行期限：详见招标文件。</w:t>
      </w:r>
    </w:p>
    <w:p w14:paraId="1707BEF0">
      <w:pPr>
        <w:pStyle w:val="64"/>
        <w:spacing w:line="360" w:lineRule="auto"/>
        <w:rPr>
          <w:rFonts w:hint="eastAsia" w:ascii="宋体" w:hAnsi="宋体" w:eastAsia="宋体" w:cs="宋体"/>
          <w:sz w:val="24"/>
          <w:szCs w:val="24"/>
        </w:rPr>
      </w:pPr>
      <w:r>
        <w:rPr>
          <w:rFonts w:hint="eastAsia" w:ascii="宋体" w:hAnsi="宋体" w:eastAsia="宋体" w:cs="宋体"/>
          <w:sz w:val="24"/>
          <w:szCs w:val="24"/>
        </w:rPr>
        <w:t>合同包3(3标段：马房子作业区退化林修复39、40、43、 50、71小班614亩，修复方式为采伐+补植+修枝):</w:t>
      </w:r>
    </w:p>
    <w:p w14:paraId="3ADAFF81">
      <w:pPr>
        <w:pStyle w:val="64"/>
        <w:spacing w:line="360" w:lineRule="auto"/>
        <w:ind w:firstLine="630"/>
        <w:rPr>
          <w:rFonts w:hint="eastAsia" w:ascii="宋体" w:hAnsi="宋体" w:eastAsia="宋体" w:cs="宋体"/>
          <w:sz w:val="24"/>
          <w:szCs w:val="24"/>
        </w:rPr>
      </w:pPr>
      <w:r>
        <w:rPr>
          <w:rFonts w:hint="eastAsia" w:ascii="宋体" w:hAnsi="宋体" w:eastAsia="宋体" w:cs="宋体"/>
          <w:sz w:val="24"/>
          <w:szCs w:val="24"/>
        </w:rPr>
        <w:t>合同包预算金额：499,688.80元</w:t>
      </w:r>
    </w:p>
    <w:p w14:paraId="48D5D36A">
      <w:pPr>
        <w:pStyle w:val="64"/>
        <w:spacing w:line="360" w:lineRule="auto"/>
        <w:ind w:firstLine="630"/>
        <w:rPr>
          <w:rFonts w:hint="eastAsia" w:ascii="宋体" w:hAnsi="宋体" w:eastAsia="宋体" w:cs="宋体"/>
          <w:sz w:val="24"/>
          <w:szCs w:val="24"/>
        </w:rPr>
      </w:pPr>
      <w:r>
        <w:rPr>
          <w:rFonts w:hint="eastAsia" w:ascii="宋体" w:hAnsi="宋体" w:eastAsia="宋体" w:cs="宋体"/>
          <w:sz w:val="24"/>
          <w:szCs w:val="24"/>
        </w:rPr>
        <w:t xml:space="preserve"> 合同包最高限价：499,688.80元</w:t>
      </w:r>
    </w:p>
    <w:tbl>
      <w:tblPr>
        <w:tblStyle w:val="29"/>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1384"/>
        <w:gridCol w:w="1384"/>
        <w:gridCol w:w="1384"/>
        <w:gridCol w:w="1384"/>
        <w:gridCol w:w="1384"/>
        <w:gridCol w:w="1416"/>
      </w:tblGrid>
      <w:tr w14:paraId="50BC691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384" w:type="dxa"/>
          </w:tcPr>
          <w:p w14:paraId="0E9416BC">
            <w:pPr>
              <w:pStyle w:val="64"/>
              <w:spacing w:line="360" w:lineRule="auto"/>
              <w:rPr>
                <w:rFonts w:hint="eastAsia" w:ascii="宋体" w:hAnsi="宋体" w:eastAsia="宋体" w:cs="宋体"/>
                <w:sz w:val="24"/>
                <w:szCs w:val="24"/>
              </w:rPr>
            </w:pPr>
            <w:r>
              <w:rPr>
                <w:rFonts w:hint="eastAsia" w:ascii="宋体" w:hAnsi="宋体" w:eastAsia="宋体" w:cs="宋体"/>
                <w:sz w:val="24"/>
                <w:szCs w:val="24"/>
              </w:rPr>
              <w:t>品目号</w:t>
            </w:r>
          </w:p>
        </w:tc>
        <w:tc>
          <w:tcPr>
            <w:tcW w:w="1384" w:type="dxa"/>
          </w:tcPr>
          <w:p w14:paraId="2B7DF8DE">
            <w:pPr>
              <w:pStyle w:val="64"/>
              <w:spacing w:line="360" w:lineRule="auto"/>
              <w:rPr>
                <w:rFonts w:hint="eastAsia" w:ascii="宋体" w:hAnsi="宋体" w:eastAsia="宋体" w:cs="宋体"/>
                <w:sz w:val="24"/>
                <w:szCs w:val="24"/>
              </w:rPr>
            </w:pPr>
            <w:r>
              <w:rPr>
                <w:rFonts w:hint="eastAsia" w:ascii="宋体" w:hAnsi="宋体" w:eastAsia="宋体" w:cs="宋体"/>
                <w:sz w:val="24"/>
                <w:szCs w:val="24"/>
              </w:rPr>
              <w:t>品目名称</w:t>
            </w:r>
          </w:p>
        </w:tc>
        <w:tc>
          <w:tcPr>
            <w:tcW w:w="1384" w:type="dxa"/>
          </w:tcPr>
          <w:p w14:paraId="723A08F6">
            <w:pPr>
              <w:pStyle w:val="64"/>
              <w:spacing w:line="360" w:lineRule="auto"/>
              <w:rPr>
                <w:rFonts w:hint="eastAsia" w:ascii="宋体" w:hAnsi="宋体" w:eastAsia="宋体" w:cs="宋体"/>
                <w:sz w:val="24"/>
                <w:szCs w:val="24"/>
              </w:rPr>
            </w:pPr>
            <w:r>
              <w:rPr>
                <w:rFonts w:hint="eastAsia" w:ascii="宋体" w:hAnsi="宋体" w:eastAsia="宋体" w:cs="宋体"/>
                <w:sz w:val="24"/>
                <w:szCs w:val="24"/>
              </w:rPr>
              <w:t>采购标的</w:t>
            </w:r>
          </w:p>
        </w:tc>
        <w:tc>
          <w:tcPr>
            <w:tcW w:w="1384" w:type="dxa"/>
          </w:tcPr>
          <w:p w14:paraId="0DAE6B47">
            <w:pPr>
              <w:pStyle w:val="64"/>
              <w:spacing w:line="360" w:lineRule="auto"/>
              <w:rPr>
                <w:rFonts w:hint="eastAsia" w:ascii="宋体" w:hAnsi="宋体" w:eastAsia="宋体" w:cs="宋体"/>
                <w:sz w:val="24"/>
                <w:szCs w:val="24"/>
              </w:rPr>
            </w:pPr>
            <w:r>
              <w:rPr>
                <w:rFonts w:hint="eastAsia" w:ascii="宋体" w:hAnsi="宋体" w:eastAsia="宋体" w:cs="宋体"/>
                <w:sz w:val="24"/>
                <w:szCs w:val="24"/>
              </w:rPr>
              <w:t>数量（单位）</w:t>
            </w:r>
          </w:p>
        </w:tc>
        <w:tc>
          <w:tcPr>
            <w:tcW w:w="1384" w:type="dxa"/>
          </w:tcPr>
          <w:p w14:paraId="160FF50F">
            <w:pPr>
              <w:pStyle w:val="64"/>
              <w:spacing w:line="360" w:lineRule="auto"/>
              <w:rPr>
                <w:rFonts w:hint="eastAsia" w:ascii="宋体" w:hAnsi="宋体" w:eastAsia="宋体" w:cs="宋体"/>
                <w:sz w:val="24"/>
                <w:szCs w:val="24"/>
              </w:rPr>
            </w:pPr>
            <w:r>
              <w:rPr>
                <w:rFonts w:hint="eastAsia" w:ascii="宋体" w:hAnsi="宋体" w:eastAsia="宋体" w:cs="宋体"/>
                <w:sz w:val="24"/>
                <w:szCs w:val="24"/>
              </w:rPr>
              <w:t>技术规格、参数及要求</w:t>
            </w:r>
          </w:p>
        </w:tc>
        <w:tc>
          <w:tcPr>
            <w:tcW w:w="1384" w:type="dxa"/>
          </w:tcPr>
          <w:p w14:paraId="6B414528">
            <w:pPr>
              <w:pStyle w:val="64"/>
              <w:spacing w:line="360" w:lineRule="auto"/>
              <w:rPr>
                <w:rFonts w:hint="eastAsia" w:ascii="宋体" w:hAnsi="宋体" w:eastAsia="宋体" w:cs="宋体"/>
                <w:sz w:val="24"/>
                <w:szCs w:val="24"/>
              </w:rPr>
            </w:pPr>
            <w:r>
              <w:rPr>
                <w:rFonts w:hint="eastAsia" w:ascii="宋体" w:hAnsi="宋体" w:eastAsia="宋体" w:cs="宋体"/>
                <w:sz w:val="24"/>
                <w:szCs w:val="24"/>
              </w:rPr>
              <w:t>品目预算(元)</w:t>
            </w:r>
          </w:p>
        </w:tc>
      </w:tr>
      <w:tr w14:paraId="33A97E4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384" w:type="dxa"/>
          </w:tcPr>
          <w:p w14:paraId="680912A6">
            <w:pPr>
              <w:pStyle w:val="64"/>
              <w:spacing w:line="360" w:lineRule="auto"/>
              <w:rPr>
                <w:rFonts w:hint="eastAsia" w:ascii="宋体" w:hAnsi="宋体" w:eastAsia="宋体" w:cs="宋体"/>
                <w:sz w:val="24"/>
                <w:szCs w:val="24"/>
              </w:rPr>
            </w:pPr>
            <w:r>
              <w:rPr>
                <w:rFonts w:hint="eastAsia" w:ascii="宋体" w:hAnsi="宋体" w:eastAsia="宋体" w:cs="宋体"/>
                <w:sz w:val="24"/>
                <w:szCs w:val="24"/>
              </w:rPr>
              <w:t>3-1</w:t>
            </w:r>
          </w:p>
        </w:tc>
        <w:tc>
          <w:tcPr>
            <w:tcW w:w="1384" w:type="dxa"/>
          </w:tcPr>
          <w:p w14:paraId="53EED7A2">
            <w:pPr>
              <w:pStyle w:val="64"/>
              <w:spacing w:line="360" w:lineRule="auto"/>
              <w:rPr>
                <w:rFonts w:hint="eastAsia" w:ascii="宋体" w:hAnsi="宋体" w:eastAsia="宋体" w:cs="宋体"/>
                <w:sz w:val="24"/>
                <w:szCs w:val="24"/>
              </w:rPr>
            </w:pPr>
            <w:r>
              <w:rPr>
                <w:rFonts w:hint="eastAsia" w:ascii="宋体" w:hAnsi="宋体" w:eastAsia="宋体" w:cs="宋体"/>
                <w:sz w:val="24"/>
                <w:szCs w:val="24"/>
              </w:rPr>
              <w:t>林木抚育管理服务</w:t>
            </w:r>
          </w:p>
        </w:tc>
        <w:tc>
          <w:tcPr>
            <w:tcW w:w="1384" w:type="dxa"/>
          </w:tcPr>
          <w:p w14:paraId="43A1D0AE">
            <w:pPr>
              <w:pStyle w:val="64"/>
              <w:spacing w:line="360" w:lineRule="auto"/>
              <w:rPr>
                <w:rFonts w:hint="eastAsia" w:ascii="宋体" w:hAnsi="宋体" w:eastAsia="宋体" w:cs="宋体"/>
                <w:sz w:val="24"/>
                <w:szCs w:val="24"/>
              </w:rPr>
            </w:pPr>
            <w:r>
              <w:rPr>
                <w:rFonts w:hint="eastAsia" w:ascii="宋体" w:hAnsi="宋体" w:eastAsia="宋体" w:cs="宋体"/>
                <w:sz w:val="24"/>
                <w:szCs w:val="24"/>
              </w:rPr>
              <w:t>3标段：马房子作业区退化林修复39、40、43、50、71小班614亩，修复方式为采伐+补植+修枝。</w:t>
            </w:r>
          </w:p>
        </w:tc>
        <w:tc>
          <w:tcPr>
            <w:tcW w:w="1384" w:type="dxa"/>
          </w:tcPr>
          <w:p w14:paraId="7532CF26">
            <w:pPr>
              <w:pStyle w:val="64"/>
              <w:spacing w:line="360" w:lineRule="auto"/>
              <w:rPr>
                <w:rFonts w:hint="eastAsia" w:ascii="宋体" w:hAnsi="宋体" w:eastAsia="宋体" w:cs="宋体"/>
                <w:sz w:val="24"/>
                <w:szCs w:val="24"/>
              </w:rPr>
            </w:pPr>
            <w:r>
              <w:rPr>
                <w:rFonts w:hint="eastAsia" w:ascii="宋体" w:hAnsi="宋体" w:eastAsia="宋体" w:cs="宋体"/>
                <w:sz w:val="24"/>
                <w:szCs w:val="24"/>
              </w:rPr>
              <w:t>614(亩)</w:t>
            </w:r>
          </w:p>
        </w:tc>
        <w:tc>
          <w:tcPr>
            <w:tcW w:w="1384" w:type="dxa"/>
          </w:tcPr>
          <w:p w14:paraId="54184141">
            <w:pPr>
              <w:pStyle w:val="64"/>
              <w:spacing w:line="360" w:lineRule="auto"/>
              <w:rPr>
                <w:rFonts w:hint="eastAsia" w:ascii="宋体" w:hAnsi="宋体" w:eastAsia="宋体" w:cs="宋体"/>
                <w:sz w:val="24"/>
                <w:szCs w:val="24"/>
              </w:rPr>
            </w:pPr>
            <w:r>
              <w:rPr>
                <w:rFonts w:hint="eastAsia" w:ascii="宋体" w:hAnsi="宋体" w:eastAsia="宋体" w:cs="宋体"/>
                <w:sz w:val="24"/>
                <w:szCs w:val="24"/>
              </w:rPr>
              <w:t>详见采购文件</w:t>
            </w:r>
          </w:p>
        </w:tc>
        <w:tc>
          <w:tcPr>
            <w:tcW w:w="1384" w:type="dxa"/>
          </w:tcPr>
          <w:p w14:paraId="5BBED66E">
            <w:pPr>
              <w:pStyle w:val="64"/>
              <w:spacing w:line="360" w:lineRule="auto"/>
              <w:rPr>
                <w:rFonts w:hint="eastAsia" w:ascii="宋体" w:hAnsi="宋体" w:eastAsia="宋体" w:cs="宋体"/>
                <w:sz w:val="24"/>
                <w:szCs w:val="24"/>
              </w:rPr>
            </w:pPr>
            <w:r>
              <w:rPr>
                <w:rFonts w:hint="eastAsia" w:ascii="宋体" w:hAnsi="宋体" w:eastAsia="宋体" w:cs="宋体"/>
                <w:sz w:val="24"/>
                <w:szCs w:val="24"/>
              </w:rPr>
              <w:t>499,688.80</w:t>
            </w:r>
          </w:p>
        </w:tc>
      </w:tr>
    </w:tbl>
    <w:p w14:paraId="4CBC2020">
      <w:pPr>
        <w:pStyle w:val="64"/>
        <w:spacing w:line="360" w:lineRule="auto"/>
        <w:rPr>
          <w:rFonts w:hint="eastAsia" w:ascii="宋体" w:hAnsi="宋体" w:eastAsia="宋体" w:cs="宋体"/>
          <w:sz w:val="24"/>
          <w:szCs w:val="24"/>
        </w:rPr>
      </w:pPr>
      <w:r>
        <w:rPr>
          <w:rFonts w:hint="eastAsia" w:ascii="宋体" w:hAnsi="宋体" w:eastAsia="宋体" w:cs="宋体"/>
          <w:sz w:val="24"/>
          <w:szCs w:val="24"/>
        </w:rPr>
        <w:t xml:space="preserve"> 本合同包不接受联合体投标</w:t>
      </w:r>
    </w:p>
    <w:p w14:paraId="5BC4C971">
      <w:pPr>
        <w:pStyle w:val="64"/>
        <w:spacing w:line="360" w:lineRule="auto"/>
        <w:rPr>
          <w:rFonts w:hint="eastAsia" w:ascii="宋体" w:hAnsi="宋体" w:eastAsia="宋体" w:cs="宋体"/>
          <w:sz w:val="24"/>
          <w:szCs w:val="24"/>
        </w:rPr>
      </w:pPr>
      <w:r>
        <w:rPr>
          <w:rFonts w:hint="eastAsia" w:ascii="宋体" w:hAnsi="宋体" w:eastAsia="宋体" w:cs="宋体"/>
          <w:sz w:val="24"/>
          <w:szCs w:val="24"/>
        </w:rPr>
        <w:t xml:space="preserve"> 合同履行期限：详见招标文件。</w:t>
      </w:r>
    </w:p>
    <w:p w14:paraId="6436B138">
      <w:pPr>
        <w:pStyle w:val="64"/>
        <w:spacing w:line="360" w:lineRule="auto"/>
        <w:rPr>
          <w:rFonts w:hint="eastAsia" w:ascii="宋体" w:hAnsi="宋体" w:eastAsia="宋体" w:cs="宋体"/>
          <w:sz w:val="24"/>
          <w:szCs w:val="24"/>
        </w:rPr>
      </w:pPr>
      <w:r>
        <w:rPr>
          <w:rFonts w:hint="eastAsia" w:ascii="宋体" w:hAnsi="宋体" w:eastAsia="宋体" w:cs="宋体"/>
          <w:sz w:val="24"/>
          <w:szCs w:val="24"/>
        </w:rPr>
        <w:t>合同包4(4标段：马房子作业区退化林修复19、23、28、 32、37、42小班708亩，修复方式为采伐+补植+ 修枝):</w:t>
      </w:r>
    </w:p>
    <w:p w14:paraId="6550B44C">
      <w:pPr>
        <w:pStyle w:val="64"/>
        <w:spacing w:line="360" w:lineRule="auto"/>
        <w:ind w:firstLine="630"/>
        <w:rPr>
          <w:rFonts w:hint="eastAsia" w:ascii="宋体" w:hAnsi="宋体" w:eastAsia="宋体" w:cs="宋体"/>
          <w:sz w:val="24"/>
          <w:szCs w:val="24"/>
        </w:rPr>
      </w:pPr>
      <w:r>
        <w:rPr>
          <w:rFonts w:hint="eastAsia" w:ascii="宋体" w:hAnsi="宋体" w:eastAsia="宋体" w:cs="宋体"/>
          <w:sz w:val="24"/>
          <w:szCs w:val="24"/>
        </w:rPr>
        <w:t>合同包预算金额：565,750.30元</w:t>
      </w:r>
    </w:p>
    <w:p w14:paraId="118A0C85">
      <w:pPr>
        <w:pStyle w:val="64"/>
        <w:spacing w:line="360" w:lineRule="auto"/>
        <w:ind w:firstLine="630"/>
        <w:rPr>
          <w:rFonts w:hint="eastAsia" w:ascii="宋体" w:hAnsi="宋体" w:eastAsia="宋体" w:cs="宋体"/>
          <w:sz w:val="24"/>
          <w:szCs w:val="24"/>
        </w:rPr>
      </w:pPr>
      <w:r>
        <w:rPr>
          <w:rFonts w:hint="eastAsia" w:ascii="宋体" w:hAnsi="宋体" w:eastAsia="宋体" w:cs="宋体"/>
          <w:sz w:val="24"/>
          <w:szCs w:val="24"/>
        </w:rPr>
        <w:t xml:space="preserve"> 合同包最高限价：565,750.30元</w:t>
      </w:r>
    </w:p>
    <w:tbl>
      <w:tblPr>
        <w:tblStyle w:val="29"/>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1384"/>
        <w:gridCol w:w="1384"/>
        <w:gridCol w:w="1384"/>
        <w:gridCol w:w="1384"/>
        <w:gridCol w:w="1384"/>
        <w:gridCol w:w="1416"/>
      </w:tblGrid>
      <w:tr w14:paraId="0A0401C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384" w:type="dxa"/>
          </w:tcPr>
          <w:p w14:paraId="58A192C5">
            <w:pPr>
              <w:pStyle w:val="64"/>
              <w:spacing w:line="360" w:lineRule="auto"/>
              <w:rPr>
                <w:rFonts w:hint="eastAsia" w:ascii="宋体" w:hAnsi="宋体" w:eastAsia="宋体" w:cs="宋体"/>
                <w:sz w:val="24"/>
                <w:szCs w:val="24"/>
              </w:rPr>
            </w:pPr>
            <w:r>
              <w:rPr>
                <w:rFonts w:hint="eastAsia" w:ascii="宋体" w:hAnsi="宋体" w:eastAsia="宋体" w:cs="宋体"/>
                <w:sz w:val="24"/>
                <w:szCs w:val="24"/>
              </w:rPr>
              <w:t>品目号</w:t>
            </w:r>
          </w:p>
        </w:tc>
        <w:tc>
          <w:tcPr>
            <w:tcW w:w="1384" w:type="dxa"/>
          </w:tcPr>
          <w:p w14:paraId="573EF858">
            <w:pPr>
              <w:pStyle w:val="64"/>
              <w:spacing w:line="360" w:lineRule="auto"/>
              <w:rPr>
                <w:rFonts w:hint="eastAsia" w:ascii="宋体" w:hAnsi="宋体" w:eastAsia="宋体" w:cs="宋体"/>
                <w:sz w:val="24"/>
                <w:szCs w:val="24"/>
              </w:rPr>
            </w:pPr>
            <w:r>
              <w:rPr>
                <w:rFonts w:hint="eastAsia" w:ascii="宋体" w:hAnsi="宋体" w:eastAsia="宋体" w:cs="宋体"/>
                <w:sz w:val="24"/>
                <w:szCs w:val="24"/>
              </w:rPr>
              <w:t>品目名称</w:t>
            </w:r>
          </w:p>
        </w:tc>
        <w:tc>
          <w:tcPr>
            <w:tcW w:w="1384" w:type="dxa"/>
          </w:tcPr>
          <w:p w14:paraId="335F6177">
            <w:pPr>
              <w:pStyle w:val="64"/>
              <w:spacing w:line="360" w:lineRule="auto"/>
              <w:rPr>
                <w:rFonts w:hint="eastAsia" w:ascii="宋体" w:hAnsi="宋体" w:eastAsia="宋体" w:cs="宋体"/>
                <w:sz w:val="24"/>
                <w:szCs w:val="24"/>
              </w:rPr>
            </w:pPr>
            <w:r>
              <w:rPr>
                <w:rFonts w:hint="eastAsia" w:ascii="宋体" w:hAnsi="宋体" w:eastAsia="宋体" w:cs="宋体"/>
                <w:sz w:val="24"/>
                <w:szCs w:val="24"/>
              </w:rPr>
              <w:t>采购标的</w:t>
            </w:r>
          </w:p>
        </w:tc>
        <w:tc>
          <w:tcPr>
            <w:tcW w:w="1384" w:type="dxa"/>
          </w:tcPr>
          <w:p w14:paraId="4FFCF7D5">
            <w:pPr>
              <w:pStyle w:val="64"/>
              <w:spacing w:line="360" w:lineRule="auto"/>
              <w:rPr>
                <w:rFonts w:hint="eastAsia" w:ascii="宋体" w:hAnsi="宋体" w:eastAsia="宋体" w:cs="宋体"/>
                <w:sz w:val="24"/>
                <w:szCs w:val="24"/>
              </w:rPr>
            </w:pPr>
            <w:r>
              <w:rPr>
                <w:rFonts w:hint="eastAsia" w:ascii="宋体" w:hAnsi="宋体" w:eastAsia="宋体" w:cs="宋体"/>
                <w:sz w:val="24"/>
                <w:szCs w:val="24"/>
              </w:rPr>
              <w:t>数量（单位）</w:t>
            </w:r>
          </w:p>
        </w:tc>
        <w:tc>
          <w:tcPr>
            <w:tcW w:w="1384" w:type="dxa"/>
          </w:tcPr>
          <w:p w14:paraId="79587E66">
            <w:pPr>
              <w:pStyle w:val="64"/>
              <w:spacing w:line="360" w:lineRule="auto"/>
              <w:rPr>
                <w:rFonts w:hint="eastAsia" w:ascii="宋体" w:hAnsi="宋体" w:eastAsia="宋体" w:cs="宋体"/>
                <w:sz w:val="24"/>
                <w:szCs w:val="24"/>
              </w:rPr>
            </w:pPr>
            <w:r>
              <w:rPr>
                <w:rFonts w:hint="eastAsia" w:ascii="宋体" w:hAnsi="宋体" w:eastAsia="宋体" w:cs="宋体"/>
                <w:sz w:val="24"/>
                <w:szCs w:val="24"/>
              </w:rPr>
              <w:t>技术规格、参数及要求</w:t>
            </w:r>
          </w:p>
        </w:tc>
        <w:tc>
          <w:tcPr>
            <w:tcW w:w="1384" w:type="dxa"/>
          </w:tcPr>
          <w:p w14:paraId="5F472A20">
            <w:pPr>
              <w:pStyle w:val="64"/>
              <w:spacing w:line="360" w:lineRule="auto"/>
              <w:rPr>
                <w:rFonts w:hint="eastAsia" w:ascii="宋体" w:hAnsi="宋体" w:eastAsia="宋体" w:cs="宋体"/>
                <w:sz w:val="24"/>
                <w:szCs w:val="24"/>
              </w:rPr>
            </w:pPr>
            <w:r>
              <w:rPr>
                <w:rFonts w:hint="eastAsia" w:ascii="宋体" w:hAnsi="宋体" w:eastAsia="宋体" w:cs="宋体"/>
                <w:sz w:val="24"/>
                <w:szCs w:val="24"/>
              </w:rPr>
              <w:t>品目预算(元)</w:t>
            </w:r>
          </w:p>
        </w:tc>
      </w:tr>
      <w:tr w14:paraId="012A041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384" w:type="dxa"/>
          </w:tcPr>
          <w:p w14:paraId="75F0EAD6">
            <w:pPr>
              <w:pStyle w:val="64"/>
              <w:spacing w:line="360" w:lineRule="auto"/>
              <w:rPr>
                <w:rFonts w:hint="eastAsia" w:ascii="宋体" w:hAnsi="宋体" w:eastAsia="宋体" w:cs="宋体"/>
                <w:sz w:val="24"/>
                <w:szCs w:val="24"/>
              </w:rPr>
            </w:pPr>
            <w:r>
              <w:rPr>
                <w:rFonts w:hint="eastAsia" w:ascii="宋体" w:hAnsi="宋体" w:eastAsia="宋体" w:cs="宋体"/>
                <w:sz w:val="24"/>
                <w:szCs w:val="24"/>
              </w:rPr>
              <w:t>4-1</w:t>
            </w:r>
          </w:p>
        </w:tc>
        <w:tc>
          <w:tcPr>
            <w:tcW w:w="1384" w:type="dxa"/>
          </w:tcPr>
          <w:p w14:paraId="753D0BE9">
            <w:pPr>
              <w:pStyle w:val="64"/>
              <w:spacing w:line="360" w:lineRule="auto"/>
              <w:rPr>
                <w:rFonts w:hint="eastAsia" w:ascii="宋体" w:hAnsi="宋体" w:eastAsia="宋体" w:cs="宋体"/>
                <w:sz w:val="24"/>
                <w:szCs w:val="24"/>
              </w:rPr>
            </w:pPr>
            <w:r>
              <w:rPr>
                <w:rFonts w:hint="eastAsia" w:ascii="宋体" w:hAnsi="宋体" w:eastAsia="宋体" w:cs="宋体"/>
                <w:sz w:val="24"/>
                <w:szCs w:val="24"/>
              </w:rPr>
              <w:t>林木抚育管理服务</w:t>
            </w:r>
          </w:p>
        </w:tc>
        <w:tc>
          <w:tcPr>
            <w:tcW w:w="1384" w:type="dxa"/>
          </w:tcPr>
          <w:p w14:paraId="1871F58D">
            <w:pPr>
              <w:pStyle w:val="64"/>
              <w:spacing w:line="360" w:lineRule="auto"/>
              <w:rPr>
                <w:rFonts w:hint="eastAsia" w:ascii="宋体" w:hAnsi="宋体" w:eastAsia="宋体" w:cs="宋体"/>
                <w:sz w:val="24"/>
                <w:szCs w:val="24"/>
              </w:rPr>
            </w:pPr>
            <w:r>
              <w:rPr>
                <w:rFonts w:hint="eastAsia" w:ascii="宋体" w:hAnsi="宋体" w:eastAsia="宋体" w:cs="宋体"/>
                <w:sz w:val="24"/>
                <w:szCs w:val="24"/>
              </w:rPr>
              <w:t>4标段：马房子作业区退化林修复19、23、28、32、37、42小班708亩，修复方式为采伐+补植+修枝。</w:t>
            </w:r>
          </w:p>
        </w:tc>
        <w:tc>
          <w:tcPr>
            <w:tcW w:w="1384" w:type="dxa"/>
          </w:tcPr>
          <w:p w14:paraId="13051BE8">
            <w:pPr>
              <w:pStyle w:val="64"/>
              <w:spacing w:line="360" w:lineRule="auto"/>
              <w:rPr>
                <w:rFonts w:hint="eastAsia" w:ascii="宋体" w:hAnsi="宋体" w:eastAsia="宋体" w:cs="宋体"/>
                <w:sz w:val="24"/>
                <w:szCs w:val="24"/>
              </w:rPr>
            </w:pPr>
            <w:r>
              <w:rPr>
                <w:rFonts w:hint="eastAsia" w:ascii="宋体" w:hAnsi="宋体" w:eastAsia="宋体" w:cs="宋体"/>
                <w:sz w:val="24"/>
                <w:szCs w:val="24"/>
              </w:rPr>
              <w:t>708(亩)</w:t>
            </w:r>
          </w:p>
        </w:tc>
        <w:tc>
          <w:tcPr>
            <w:tcW w:w="1384" w:type="dxa"/>
          </w:tcPr>
          <w:p w14:paraId="0407BBD9">
            <w:pPr>
              <w:pStyle w:val="64"/>
              <w:spacing w:line="360" w:lineRule="auto"/>
              <w:rPr>
                <w:rFonts w:hint="eastAsia" w:ascii="宋体" w:hAnsi="宋体" w:eastAsia="宋体" w:cs="宋体"/>
                <w:sz w:val="24"/>
                <w:szCs w:val="24"/>
              </w:rPr>
            </w:pPr>
            <w:r>
              <w:rPr>
                <w:rFonts w:hint="eastAsia" w:ascii="宋体" w:hAnsi="宋体" w:eastAsia="宋体" w:cs="宋体"/>
                <w:sz w:val="24"/>
                <w:szCs w:val="24"/>
              </w:rPr>
              <w:t>详见采购文件</w:t>
            </w:r>
          </w:p>
        </w:tc>
        <w:tc>
          <w:tcPr>
            <w:tcW w:w="1384" w:type="dxa"/>
          </w:tcPr>
          <w:p w14:paraId="745B6B0F">
            <w:pPr>
              <w:pStyle w:val="64"/>
              <w:spacing w:line="360" w:lineRule="auto"/>
              <w:rPr>
                <w:rFonts w:hint="eastAsia" w:ascii="宋体" w:hAnsi="宋体" w:eastAsia="宋体" w:cs="宋体"/>
                <w:sz w:val="24"/>
                <w:szCs w:val="24"/>
              </w:rPr>
            </w:pPr>
            <w:r>
              <w:rPr>
                <w:rFonts w:hint="eastAsia" w:ascii="宋体" w:hAnsi="宋体" w:eastAsia="宋体" w:cs="宋体"/>
                <w:sz w:val="24"/>
                <w:szCs w:val="24"/>
              </w:rPr>
              <w:t>565,750.30</w:t>
            </w:r>
          </w:p>
        </w:tc>
      </w:tr>
    </w:tbl>
    <w:p w14:paraId="2FBB890D">
      <w:pPr>
        <w:pStyle w:val="64"/>
        <w:spacing w:line="360" w:lineRule="auto"/>
        <w:rPr>
          <w:rFonts w:hint="eastAsia" w:ascii="宋体" w:hAnsi="宋体" w:eastAsia="宋体" w:cs="宋体"/>
          <w:sz w:val="24"/>
          <w:szCs w:val="24"/>
        </w:rPr>
      </w:pPr>
      <w:r>
        <w:rPr>
          <w:rFonts w:hint="eastAsia" w:ascii="宋体" w:hAnsi="宋体" w:eastAsia="宋体" w:cs="宋体"/>
          <w:sz w:val="24"/>
          <w:szCs w:val="24"/>
        </w:rPr>
        <w:t xml:space="preserve"> 本合同包不接受联合体投标</w:t>
      </w:r>
    </w:p>
    <w:p w14:paraId="6C9F7586">
      <w:pPr>
        <w:pStyle w:val="64"/>
        <w:spacing w:line="360" w:lineRule="auto"/>
        <w:rPr>
          <w:rFonts w:hint="eastAsia" w:ascii="宋体" w:hAnsi="宋体" w:eastAsia="宋体" w:cs="宋体"/>
          <w:sz w:val="24"/>
          <w:szCs w:val="24"/>
        </w:rPr>
      </w:pPr>
      <w:r>
        <w:rPr>
          <w:rFonts w:hint="eastAsia" w:ascii="宋体" w:hAnsi="宋体" w:eastAsia="宋体" w:cs="宋体"/>
          <w:sz w:val="24"/>
          <w:szCs w:val="24"/>
        </w:rPr>
        <w:t xml:space="preserve"> 合同履行期限：详见招标文件。</w:t>
      </w:r>
    </w:p>
    <w:p w14:paraId="6F942D2B">
      <w:pPr>
        <w:pStyle w:val="64"/>
        <w:spacing w:line="360" w:lineRule="auto"/>
        <w:rPr>
          <w:rFonts w:hint="eastAsia" w:ascii="宋体" w:hAnsi="宋体" w:eastAsia="宋体" w:cs="宋体"/>
          <w:sz w:val="24"/>
          <w:szCs w:val="24"/>
        </w:rPr>
      </w:pPr>
      <w:r>
        <w:rPr>
          <w:rFonts w:hint="eastAsia" w:ascii="宋体" w:hAnsi="宋体" w:eastAsia="宋体" w:cs="宋体"/>
          <w:sz w:val="24"/>
          <w:szCs w:val="24"/>
        </w:rPr>
        <w:t>合同包5(5标段：马房子作业区退化林修复8、15、21、 25、38、44、 53、57小班674亩，修复方式为采伐+补植+修枝):</w:t>
      </w:r>
    </w:p>
    <w:p w14:paraId="367683E5">
      <w:pPr>
        <w:pStyle w:val="64"/>
        <w:spacing w:line="360" w:lineRule="auto"/>
        <w:ind w:firstLine="630"/>
        <w:rPr>
          <w:rFonts w:hint="eastAsia" w:ascii="宋体" w:hAnsi="宋体" w:eastAsia="宋体" w:cs="宋体"/>
          <w:sz w:val="24"/>
          <w:szCs w:val="24"/>
        </w:rPr>
      </w:pPr>
      <w:r>
        <w:rPr>
          <w:rFonts w:hint="eastAsia" w:ascii="宋体" w:hAnsi="宋体" w:eastAsia="宋体" w:cs="宋体"/>
          <w:sz w:val="24"/>
          <w:szCs w:val="24"/>
        </w:rPr>
        <w:t>合同包预算金额：534,209.70元</w:t>
      </w:r>
    </w:p>
    <w:p w14:paraId="051CC78C">
      <w:pPr>
        <w:pStyle w:val="64"/>
        <w:spacing w:line="360" w:lineRule="auto"/>
        <w:ind w:firstLine="630"/>
        <w:rPr>
          <w:rFonts w:hint="eastAsia" w:ascii="宋体" w:hAnsi="宋体" w:eastAsia="宋体" w:cs="宋体"/>
          <w:sz w:val="24"/>
          <w:szCs w:val="24"/>
        </w:rPr>
      </w:pPr>
      <w:r>
        <w:rPr>
          <w:rFonts w:hint="eastAsia" w:ascii="宋体" w:hAnsi="宋体" w:eastAsia="宋体" w:cs="宋体"/>
          <w:sz w:val="24"/>
          <w:szCs w:val="24"/>
        </w:rPr>
        <w:t xml:space="preserve"> 合同包最高限价：534,209.70元</w:t>
      </w:r>
    </w:p>
    <w:tbl>
      <w:tblPr>
        <w:tblStyle w:val="29"/>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1384"/>
        <w:gridCol w:w="1384"/>
        <w:gridCol w:w="1384"/>
        <w:gridCol w:w="1384"/>
        <w:gridCol w:w="1384"/>
        <w:gridCol w:w="1416"/>
      </w:tblGrid>
      <w:tr w14:paraId="3E23A06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384" w:type="dxa"/>
          </w:tcPr>
          <w:p w14:paraId="7581BB20">
            <w:pPr>
              <w:pStyle w:val="64"/>
              <w:spacing w:line="360" w:lineRule="auto"/>
              <w:rPr>
                <w:rFonts w:hint="eastAsia" w:ascii="宋体" w:hAnsi="宋体" w:eastAsia="宋体" w:cs="宋体"/>
                <w:sz w:val="24"/>
                <w:szCs w:val="24"/>
              </w:rPr>
            </w:pPr>
            <w:r>
              <w:rPr>
                <w:rFonts w:hint="eastAsia" w:ascii="宋体" w:hAnsi="宋体" w:eastAsia="宋体" w:cs="宋体"/>
                <w:sz w:val="24"/>
                <w:szCs w:val="24"/>
              </w:rPr>
              <w:t>品目号</w:t>
            </w:r>
          </w:p>
        </w:tc>
        <w:tc>
          <w:tcPr>
            <w:tcW w:w="1384" w:type="dxa"/>
          </w:tcPr>
          <w:p w14:paraId="4ED60728">
            <w:pPr>
              <w:pStyle w:val="64"/>
              <w:spacing w:line="360" w:lineRule="auto"/>
              <w:rPr>
                <w:rFonts w:hint="eastAsia" w:ascii="宋体" w:hAnsi="宋体" w:eastAsia="宋体" w:cs="宋体"/>
                <w:sz w:val="24"/>
                <w:szCs w:val="24"/>
              </w:rPr>
            </w:pPr>
            <w:r>
              <w:rPr>
                <w:rFonts w:hint="eastAsia" w:ascii="宋体" w:hAnsi="宋体" w:eastAsia="宋体" w:cs="宋体"/>
                <w:sz w:val="24"/>
                <w:szCs w:val="24"/>
              </w:rPr>
              <w:t>品目名称</w:t>
            </w:r>
          </w:p>
        </w:tc>
        <w:tc>
          <w:tcPr>
            <w:tcW w:w="1384" w:type="dxa"/>
          </w:tcPr>
          <w:p w14:paraId="535A39DC">
            <w:pPr>
              <w:pStyle w:val="64"/>
              <w:spacing w:line="360" w:lineRule="auto"/>
              <w:rPr>
                <w:rFonts w:hint="eastAsia" w:ascii="宋体" w:hAnsi="宋体" w:eastAsia="宋体" w:cs="宋体"/>
                <w:sz w:val="24"/>
                <w:szCs w:val="24"/>
              </w:rPr>
            </w:pPr>
            <w:r>
              <w:rPr>
                <w:rFonts w:hint="eastAsia" w:ascii="宋体" w:hAnsi="宋体" w:eastAsia="宋体" w:cs="宋体"/>
                <w:sz w:val="24"/>
                <w:szCs w:val="24"/>
              </w:rPr>
              <w:t>采购标的</w:t>
            </w:r>
          </w:p>
        </w:tc>
        <w:tc>
          <w:tcPr>
            <w:tcW w:w="1384" w:type="dxa"/>
          </w:tcPr>
          <w:p w14:paraId="224C89DF">
            <w:pPr>
              <w:pStyle w:val="64"/>
              <w:spacing w:line="360" w:lineRule="auto"/>
              <w:rPr>
                <w:rFonts w:hint="eastAsia" w:ascii="宋体" w:hAnsi="宋体" w:eastAsia="宋体" w:cs="宋体"/>
                <w:sz w:val="24"/>
                <w:szCs w:val="24"/>
              </w:rPr>
            </w:pPr>
            <w:r>
              <w:rPr>
                <w:rFonts w:hint="eastAsia" w:ascii="宋体" w:hAnsi="宋体" w:eastAsia="宋体" w:cs="宋体"/>
                <w:sz w:val="24"/>
                <w:szCs w:val="24"/>
              </w:rPr>
              <w:t>数量（单位）</w:t>
            </w:r>
          </w:p>
        </w:tc>
        <w:tc>
          <w:tcPr>
            <w:tcW w:w="1384" w:type="dxa"/>
          </w:tcPr>
          <w:p w14:paraId="4A4BFF0F">
            <w:pPr>
              <w:pStyle w:val="64"/>
              <w:spacing w:line="360" w:lineRule="auto"/>
              <w:rPr>
                <w:rFonts w:hint="eastAsia" w:ascii="宋体" w:hAnsi="宋体" w:eastAsia="宋体" w:cs="宋体"/>
                <w:sz w:val="24"/>
                <w:szCs w:val="24"/>
              </w:rPr>
            </w:pPr>
            <w:r>
              <w:rPr>
                <w:rFonts w:hint="eastAsia" w:ascii="宋体" w:hAnsi="宋体" w:eastAsia="宋体" w:cs="宋体"/>
                <w:sz w:val="24"/>
                <w:szCs w:val="24"/>
              </w:rPr>
              <w:t>技术规格、参数及要求</w:t>
            </w:r>
          </w:p>
        </w:tc>
        <w:tc>
          <w:tcPr>
            <w:tcW w:w="1384" w:type="dxa"/>
          </w:tcPr>
          <w:p w14:paraId="2BDD920A">
            <w:pPr>
              <w:pStyle w:val="64"/>
              <w:spacing w:line="360" w:lineRule="auto"/>
              <w:rPr>
                <w:rFonts w:hint="eastAsia" w:ascii="宋体" w:hAnsi="宋体" w:eastAsia="宋体" w:cs="宋体"/>
                <w:sz w:val="24"/>
                <w:szCs w:val="24"/>
              </w:rPr>
            </w:pPr>
            <w:r>
              <w:rPr>
                <w:rFonts w:hint="eastAsia" w:ascii="宋体" w:hAnsi="宋体" w:eastAsia="宋体" w:cs="宋体"/>
                <w:sz w:val="24"/>
                <w:szCs w:val="24"/>
              </w:rPr>
              <w:t>品目预算(元)</w:t>
            </w:r>
          </w:p>
        </w:tc>
      </w:tr>
      <w:tr w14:paraId="26835DD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384" w:type="dxa"/>
          </w:tcPr>
          <w:p w14:paraId="6760FE08">
            <w:pPr>
              <w:pStyle w:val="64"/>
              <w:spacing w:line="360" w:lineRule="auto"/>
              <w:rPr>
                <w:rFonts w:hint="eastAsia" w:ascii="宋体" w:hAnsi="宋体" w:eastAsia="宋体" w:cs="宋体"/>
                <w:sz w:val="24"/>
                <w:szCs w:val="24"/>
              </w:rPr>
            </w:pPr>
            <w:r>
              <w:rPr>
                <w:rFonts w:hint="eastAsia" w:ascii="宋体" w:hAnsi="宋体" w:eastAsia="宋体" w:cs="宋体"/>
                <w:sz w:val="24"/>
                <w:szCs w:val="24"/>
              </w:rPr>
              <w:t>5-1</w:t>
            </w:r>
          </w:p>
        </w:tc>
        <w:tc>
          <w:tcPr>
            <w:tcW w:w="1384" w:type="dxa"/>
          </w:tcPr>
          <w:p w14:paraId="3DD9A82A">
            <w:pPr>
              <w:pStyle w:val="64"/>
              <w:spacing w:line="360" w:lineRule="auto"/>
              <w:rPr>
                <w:rFonts w:hint="eastAsia" w:ascii="宋体" w:hAnsi="宋体" w:eastAsia="宋体" w:cs="宋体"/>
                <w:sz w:val="24"/>
                <w:szCs w:val="24"/>
              </w:rPr>
            </w:pPr>
            <w:r>
              <w:rPr>
                <w:rFonts w:hint="eastAsia" w:ascii="宋体" w:hAnsi="宋体" w:eastAsia="宋体" w:cs="宋体"/>
                <w:sz w:val="24"/>
                <w:szCs w:val="24"/>
              </w:rPr>
              <w:t>林木抚育管理服务</w:t>
            </w:r>
          </w:p>
        </w:tc>
        <w:tc>
          <w:tcPr>
            <w:tcW w:w="1384" w:type="dxa"/>
          </w:tcPr>
          <w:p w14:paraId="764AAC9F">
            <w:pPr>
              <w:pStyle w:val="64"/>
              <w:spacing w:line="360" w:lineRule="auto"/>
              <w:rPr>
                <w:rFonts w:hint="eastAsia" w:ascii="宋体" w:hAnsi="宋体" w:eastAsia="宋体" w:cs="宋体"/>
                <w:sz w:val="24"/>
                <w:szCs w:val="24"/>
              </w:rPr>
            </w:pPr>
            <w:r>
              <w:rPr>
                <w:rFonts w:hint="eastAsia" w:ascii="宋体" w:hAnsi="宋体" w:eastAsia="宋体" w:cs="宋体"/>
                <w:sz w:val="24"/>
                <w:szCs w:val="24"/>
              </w:rPr>
              <w:t>5标段：马房子作业区退化林修复8、15、21、25、38、44、53、57小班674亩，修复方式为采伐+补植+修枝。</w:t>
            </w:r>
          </w:p>
        </w:tc>
        <w:tc>
          <w:tcPr>
            <w:tcW w:w="1384" w:type="dxa"/>
          </w:tcPr>
          <w:p w14:paraId="411AF600">
            <w:pPr>
              <w:pStyle w:val="64"/>
              <w:spacing w:line="360" w:lineRule="auto"/>
              <w:rPr>
                <w:rFonts w:hint="eastAsia" w:ascii="宋体" w:hAnsi="宋体" w:eastAsia="宋体" w:cs="宋体"/>
                <w:sz w:val="24"/>
                <w:szCs w:val="24"/>
              </w:rPr>
            </w:pPr>
            <w:r>
              <w:rPr>
                <w:rFonts w:hint="eastAsia" w:ascii="宋体" w:hAnsi="宋体" w:eastAsia="宋体" w:cs="宋体"/>
                <w:sz w:val="24"/>
                <w:szCs w:val="24"/>
              </w:rPr>
              <w:t>674(亩)</w:t>
            </w:r>
          </w:p>
        </w:tc>
        <w:tc>
          <w:tcPr>
            <w:tcW w:w="1384" w:type="dxa"/>
          </w:tcPr>
          <w:p w14:paraId="490E6C8E">
            <w:pPr>
              <w:pStyle w:val="64"/>
              <w:spacing w:line="360" w:lineRule="auto"/>
              <w:rPr>
                <w:rFonts w:hint="eastAsia" w:ascii="宋体" w:hAnsi="宋体" w:eastAsia="宋体" w:cs="宋体"/>
                <w:sz w:val="24"/>
                <w:szCs w:val="24"/>
              </w:rPr>
            </w:pPr>
            <w:r>
              <w:rPr>
                <w:rFonts w:hint="eastAsia" w:ascii="宋体" w:hAnsi="宋体" w:eastAsia="宋体" w:cs="宋体"/>
                <w:sz w:val="24"/>
                <w:szCs w:val="24"/>
              </w:rPr>
              <w:t>详见采购文件</w:t>
            </w:r>
          </w:p>
        </w:tc>
        <w:tc>
          <w:tcPr>
            <w:tcW w:w="1384" w:type="dxa"/>
          </w:tcPr>
          <w:p w14:paraId="1D119DF0">
            <w:pPr>
              <w:pStyle w:val="64"/>
              <w:spacing w:line="360" w:lineRule="auto"/>
              <w:rPr>
                <w:rFonts w:hint="eastAsia" w:ascii="宋体" w:hAnsi="宋体" w:eastAsia="宋体" w:cs="宋体"/>
                <w:sz w:val="24"/>
                <w:szCs w:val="24"/>
              </w:rPr>
            </w:pPr>
            <w:r>
              <w:rPr>
                <w:rFonts w:hint="eastAsia" w:ascii="宋体" w:hAnsi="宋体" w:eastAsia="宋体" w:cs="宋体"/>
                <w:sz w:val="24"/>
                <w:szCs w:val="24"/>
              </w:rPr>
              <w:t>534,209.70</w:t>
            </w:r>
          </w:p>
        </w:tc>
      </w:tr>
    </w:tbl>
    <w:p w14:paraId="0BC2B99E">
      <w:pPr>
        <w:pStyle w:val="64"/>
        <w:spacing w:line="360" w:lineRule="auto"/>
        <w:rPr>
          <w:rFonts w:hint="eastAsia" w:ascii="宋体" w:hAnsi="宋体" w:eastAsia="宋体" w:cs="宋体"/>
          <w:sz w:val="24"/>
          <w:szCs w:val="24"/>
        </w:rPr>
      </w:pPr>
      <w:r>
        <w:rPr>
          <w:rFonts w:hint="eastAsia" w:ascii="宋体" w:hAnsi="宋体" w:eastAsia="宋体" w:cs="宋体"/>
          <w:sz w:val="24"/>
          <w:szCs w:val="24"/>
        </w:rPr>
        <w:t xml:space="preserve"> 本合同包不接受联合体投标</w:t>
      </w:r>
    </w:p>
    <w:p w14:paraId="79F4146A">
      <w:pPr>
        <w:pStyle w:val="64"/>
        <w:spacing w:line="360" w:lineRule="auto"/>
        <w:rPr>
          <w:rFonts w:hint="eastAsia" w:ascii="宋体" w:hAnsi="宋体" w:eastAsia="宋体" w:cs="宋体"/>
          <w:sz w:val="24"/>
          <w:szCs w:val="24"/>
        </w:rPr>
      </w:pPr>
      <w:r>
        <w:rPr>
          <w:rFonts w:hint="eastAsia" w:ascii="宋体" w:hAnsi="宋体" w:eastAsia="宋体" w:cs="宋体"/>
          <w:sz w:val="24"/>
          <w:szCs w:val="24"/>
        </w:rPr>
        <w:t xml:space="preserve"> 合同履行期限：详见招标文件。</w:t>
      </w:r>
    </w:p>
    <w:p w14:paraId="1BE0F827">
      <w:pPr>
        <w:pStyle w:val="64"/>
        <w:spacing w:line="360" w:lineRule="auto"/>
        <w:rPr>
          <w:rFonts w:hint="eastAsia" w:ascii="宋体" w:hAnsi="宋体" w:eastAsia="宋体" w:cs="宋体"/>
          <w:sz w:val="24"/>
          <w:szCs w:val="24"/>
        </w:rPr>
      </w:pPr>
      <w:r>
        <w:rPr>
          <w:rFonts w:hint="eastAsia" w:ascii="宋体" w:hAnsi="宋体" w:eastAsia="宋体" w:cs="宋体"/>
          <w:sz w:val="24"/>
          <w:szCs w:val="24"/>
        </w:rPr>
        <w:t>合同包6(6标段：马房子作业区退化林修复14、16、20、 24、27、36、41、47小班904亩，修复方式为采伐+补植+修枝):</w:t>
      </w:r>
    </w:p>
    <w:p w14:paraId="14DEB823">
      <w:pPr>
        <w:pStyle w:val="64"/>
        <w:spacing w:line="360" w:lineRule="auto"/>
        <w:ind w:firstLine="630"/>
        <w:rPr>
          <w:rFonts w:hint="eastAsia" w:ascii="宋体" w:hAnsi="宋体" w:eastAsia="宋体" w:cs="宋体"/>
          <w:sz w:val="24"/>
          <w:szCs w:val="24"/>
        </w:rPr>
      </w:pPr>
      <w:r>
        <w:rPr>
          <w:rFonts w:hint="eastAsia" w:ascii="宋体" w:hAnsi="宋体" w:eastAsia="宋体" w:cs="宋体"/>
          <w:sz w:val="24"/>
          <w:szCs w:val="24"/>
        </w:rPr>
        <w:t>合同包预算金额：720,188.10元</w:t>
      </w:r>
    </w:p>
    <w:p w14:paraId="448FC4F1">
      <w:pPr>
        <w:pStyle w:val="64"/>
        <w:spacing w:line="360" w:lineRule="auto"/>
        <w:ind w:firstLine="630"/>
        <w:rPr>
          <w:rFonts w:hint="eastAsia" w:ascii="宋体" w:hAnsi="宋体" w:eastAsia="宋体" w:cs="宋体"/>
          <w:sz w:val="24"/>
          <w:szCs w:val="24"/>
        </w:rPr>
      </w:pPr>
      <w:r>
        <w:rPr>
          <w:rFonts w:hint="eastAsia" w:ascii="宋体" w:hAnsi="宋体" w:eastAsia="宋体" w:cs="宋体"/>
          <w:sz w:val="24"/>
          <w:szCs w:val="24"/>
        </w:rPr>
        <w:t xml:space="preserve"> 合同包最高限价：720,188.10元</w:t>
      </w:r>
    </w:p>
    <w:tbl>
      <w:tblPr>
        <w:tblStyle w:val="29"/>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1384"/>
        <w:gridCol w:w="1384"/>
        <w:gridCol w:w="1384"/>
        <w:gridCol w:w="1384"/>
        <w:gridCol w:w="1384"/>
        <w:gridCol w:w="1416"/>
      </w:tblGrid>
      <w:tr w14:paraId="1D99DBB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384" w:type="dxa"/>
          </w:tcPr>
          <w:p w14:paraId="4D213837">
            <w:pPr>
              <w:pStyle w:val="64"/>
              <w:spacing w:line="360" w:lineRule="auto"/>
              <w:rPr>
                <w:rFonts w:hint="eastAsia" w:ascii="宋体" w:hAnsi="宋体" w:eastAsia="宋体" w:cs="宋体"/>
                <w:sz w:val="24"/>
                <w:szCs w:val="24"/>
              </w:rPr>
            </w:pPr>
            <w:r>
              <w:rPr>
                <w:rFonts w:hint="eastAsia" w:ascii="宋体" w:hAnsi="宋体" w:eastAsia="宋体" w:cs="宋体"/>
                <w:sz w:val="24"/>
                <w:szCs w:val="24"/>
              </w:rPr>
              <w:t>品目号</w:t>
            </w:r>
          </w:p>
        </w:tc>
        <w:tc>
          <w:tcPr>
            <w:tcW w:w="1384" w:type="dxa"/>
          </w:tcPr>
          <w:p w14:paraId="4062FC2A">
            <w:pPr>
              <w:pStyle w:val="64"/>
              <w:spacing w:line="360" w:lineRule="auto"/>
              <w:rPr>
                <w:rFonts w:hint="eastAsia" w:ascii="宋体" w:hAnsi="宋体" w:eastAsia="宋体" w:cs="宋体"/>
                <w:sz w:val="24"/>
                <w:szCs w:val="24"/>
              </w:rPr>
            </w:pPr>
            <w:r>
              <w:rPr>
                <w:rFonts w:hint="eastAsia" w:ascii="宋体" w:hAnsi="宋体" w:eastAsia="宋体" w:cs="宋体"/>
                <w:sz w:val="24"/>
                <w:szCs w:val="24"/>
              </w:rPr>
              <w:t>品目名称</w:t>
            </w:r>
          </w:p>
        </w:tc>
        <w:tc>
          <w:tcPr>
            <w:tcW w:w="1384" w:type="dxa"/>
          </w:tcPr>
          <w:p w14:paraId="7FB0AB11">
            <w:pPr>
              <w:pStyle w:val="64"/>
              <w:spacing w:line="360" w:lineRule="auto"/>
              <w:rPr>
                <w:rFonts w:hint="eastAsia" w:ascii="宋体" w:hAnsi="宋体" w:eastAsia="宋体" w:cs="宋体"/>
                <w:sz w:val="24"/>
                <w:szCs w:val="24"/>
              </w:rPr>
            </w:pPr>
            <w:r>
              <w:rPr>
                <w:rFonts w:hint="eastAsia" w:ascii="宋体" w:hAnsi="宋体" w:eastAsia="宋体" w:cs="宋体"/>
                <w:sz w:val="24"/>
                <w:szCs w:val="24"/>
              </w:rPr>
              <w:t>采购标的</w:t>
            </w:r>
          </w:p>
        </w:tc>
        <w:tc>
          <w:tcPr>
            <w:tcW w:w="1384" w:type="dxa"/>
          </w:tcPr>
          <w:p w14:paraId="509C429C">
            <w:pPr>
              <w:pStyle w:val="64"/>
              <w:spacing w:line="360" w:lineRule="auto"/>
              <w:rPr>
                <w:rFonts w:hint="eastAsia" w:ascii="宋体" w:hAnsi="宋体" w:eastAsia="宋体" w:cs="宋体"/>
                <w:sz w:val="24"/>
                <w:szCs w:val="24"/>
              </w:rPr>
            </w:pPr>
            <w:r>
              <w:rPr>
                <w:rFonts w:hint="eastAsia" w:ascii="宋体" w:hAnsi="宋体" w:eastAsia="宋体" w:cs="宋体"/>
                <w:sz w:val="24"/>
                <w:szCs w:val="24"/>
              </w:rPr>
              <w:t>数量（单位）</w:t>
            </w:r>
          </w:p>
        </w:tc>
        <w:tc>
          <w:tcPr>
            <w:tcW w:w="1384" w:type="dxa"/>
          </w:tcPr>
          <w:p w14:paraId="1D41D4BB">
            <w:pPr>
              <w:pStyle w:val="64"/>
              <w:spacing w:line="360" w:lineRule="auto"/>
              <w:rPr>
                <w:rFonts w:hint="eastAsia" w:ascii="宋体" w:hAnsi="宋体" w:eastAsia="宋体" w:cs="宋体"/>
                <w:sz w:val="24"/>
                <w:szCs w:val="24"/>
              </w:rPr>
            </w:pPr>
            <w:r>
              <w:rPr>
                <w:rFonts w:hint="eastAsia" w:ascii="宋体" w:hAnsi="宋体" w:eastAsia="宋体" w:cs="宋体"/>
                <w:sz w:val="24"/>
                <w:szCs w:val="24"/>
              </w:rPr>
              <w:t>技术规格、参数及要求</w:t>
            </w:r>
          </w:p>
        </w:tc>
        <w:tc>
          <w:tcPr>
            <w:tcW w:w="1384" w:type="dxa"/>
          </w:tcPr>
          <w:p w14:paraId="6ECACF1E">
            <w:pPr>
              <w:pStyle w:val="64"/>
              <w:spacing w:line="360" w:lineRule="auto"/>
              <w:rPr>
                <w:rFonts w:hint="eastAsia" w:ascii="宋体" w:hAnsi="宋体" w:eastAsia="宋体" w:cs="宋体"/>
                <w:sz w:val="24"/>
                <w:szCs w:val="24"/>
              </w:rPr>
            </w:pPr>
            <w:r>
              <w:rPr>
                <w:rFonts w:hint="eastAsia" w:ascii="宋体" w:hAnsi="宋体" w:eastAsia="宋体" w:cs="宋体"/>
                <w:sz w:val="24"/>
                <w:szCs w:val="24"/>
              </w:rPr>
              <w:t>品目预算(元)</w:t>
            </w:r>
          </w:p>
        </w:tc>
      </w:tr>
      <w:tr w14:paraId="3A53381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384" w:type="dxa"/>
          </w:tcPr>
          <w:p w14:paraId="4C26D55A">
            <w:pPr>
              <w:pStyle w:val="64"/>
              <w:spacing w:line="360" w:lineRule="auto"/>
              <w:rPr>
                <w:rFonts w:hint="eastAsia" w:ascii="宋体" w:hAnsi="宋体" w:eastAsia="宋体" w:cs="宋体"/>
                <w:sz w:val="24"/>
                <w:szCs w:val="24"/>
              </w:rPr>
            </w:pPr>
            <w:r>
              <w:rPr>
                <w:rFonts w:hint="eastAsia" w:ascii="宋体" w:hAnsi="宋体" w:eastAsia="宋体" w:cs="宋体"/>
                <w:sz w:val="24"/>
                <w:szCs w:val="24"/>
              </w:rPr>
              <w:t>6-1</w:t>
            </w:r>
          </w:p>
        </w:tc>
        <w:tc>
          <w:tcPr>
            <w:tcW w:w="1384" w:type="dxa"/>
          </w:tcPr>
          <w:p w14:paraId="1414AF91">
            <w:pPr>
              <w:pStyle w:val="64"/>
              <w:spacing w:line="360" w:lineRule="auto"/>
              <w:rPr>
                <w:rFonts w:hint="eastAsia" w:ascii="宋体" w:hAnsi="宋体" w:eastAsia="宋体" w:cs="宋体"/>
                <w:sz w:val="24"/>
                <w:szCs w:val="24"/>
              </w:rPr>
            </w:pPr>
            <w:r>
              <w:rPr>
                <w:rFonts w:hint="eastAsia" w:ascii="宋体" w:hAnsi="宋体" w:eastAsia="宋体" w:cs="宋体"/>
                <w:sz w:val="24"/>
                <w:szCs w:val="24"/>
              </w:rPr>
              <w:t>林木抚育管理服务</w:t>
            </w:r>
          </w:p>
        </w:tc>
        <w:tc>
          <w:tcPr>
            <w:tcW w:w="1384" w:type="dxa"/>
          </w:tcPr>
          <w:p w14:paraId="15CEA6F2">
            <w:pPr>
              <w:pStyle w:val="64"/>
              <w:spacing w:line="360" w:lineRule="auto"/>
              <w:rPr>
                <w:rFonts w:hint="eastAsia" w:ascii="宋体" w:hAnsi="宋体" w:eastAsia="宋体" w:cs="宋体"/>
                <w:sz w:val="24"/>
                <w:szCs w:val="24"/>
              </w:rPr>
            </w:pPr>
            <w:r>
              <w:rPr>
                <w:rFonts w:hint="eastAsia" w:ascii="宋体" w:hAnsi="宋体" w:eastAsia="宋体" w:cs="宋体"/>
                <w:sz w:val="24"/>
                <w:szCs w:val="24"/>
              </w:rPr>
              <w:t>6标段：马房子作业区退化林修复14、16、20、24、27、36、41、47小班904亩，修复方式为采伐+补植+修枝。</w:t>
            </w:r>
          </w:p>
        </w:tc>
        <w:tc>
          <w:tcPr>
            <w:tcW w:w="1384" w:type="dxa"/>
          </w:tcPr>
          <w:p w14:paraId="0C4ECBC9">
            <w:pPr>
              <w:pStyle w:val="64"/>
              <w:spacing w:line="360" w:lineRule="auto"/>
              <w:rPr>
                <w:rFonts w:hint="eastAsia" w:ascii="宋体" w:hAnsi="宋体" w:eastAsia="宋体" w:cs="宋体"/>
                <w:sz w:val="24"/>
                <w:szCs w:val="24"/>
              </w:rPr>
            </w:pPr>
            <w:r>
              <w:rPr>
                <w:rFonts w:hint="eastAsia" w:ascii="宋体" w:hAnsi="宋体" w:eastAsia="宋体" w:cs="宋体"/>
                <w:sz w:val="24"/>
                <w:szCs w:val="24"/>
              </w:rPr>
              <w:t>904(亩)</w:t>
            </w:r>
          </w:p>
        </w:tc>
        <w:tc>
          <w:tcPr>
            <w:tcW w:w="1384" w:type="dxa"/>
          </w:tcPr>
          <w:p w14:paraId="5753DCA3">
            <w:pPr>
              <w:pStyle w:val="64"/>
              <w:spacing w:line="360" w:lineRule="auto"/>
              <w:rPr>
                <w:rFonts w:hint="eastAsia" w:ascii="宋体" w:hAnsi="宋体" w:eastAsia="宋体" w:cs="宋体"/>
                <w:sz w:val="24"/>
                <w:szCs w:val="24"/>
              </w:rPr>
            </w:pPr>
            <w:r>
              <w:rPr>
                <w:rFonts w:hint="eastAsia" w:ascii="宋体" w:hAnsi="宋体" w:eastAsia="宋体" w:cs="宋体"/>
                <w:sz w:val="24"/>
                <w:szCs w:val="24"/>
              </w:rPr>
              <w:t>详见采购文件</w:t>
            </w:r>
          </w:p>
        </w:tc>
        <w:tc>
          <w:tcPr>
            <w:tcW w:w="1384" w:type="dxa"/>
          </w:tcPr>
          <w:p w14:paraId="2BEEE2E9">
            <w:pPr>
              <w:pStyle w:val="64"/>
              <w:spacing w:line="360" w:lineRule="auto"/>
              <w:rPr>
                <w:rFonts w:hint="eastAsia" w:ascii="宋体" w:hAnsi="宋体" w:eastAsia="宋体" w:cs="宋体"/>
                <w:sz w:val="24"/>
                <w:szCs w:val="24"/>
              </w:rPr>
            </w:pPr>
            <w:r>
              <w:rPr>
                <w:rFonts w:hint="eastAsia" w:ascii="宋体" w:hAnsi="宋体" w:eastAsia="宋体" w:cs="宋体"/>
                <w:sz w:val="24"/>
                <w:szCs w:val="24"/>
              </w:rPr>
              <w:t>720,188.10</w:t>
            </w:r>
          </w:p>
        </w:tc>
      </w:tr>
    </w:tbl>
    <w:p w14:paraId="2CCF9612">
      <w:pPr>
        <w:pStyle w:val="64"/>
        <w:spacing w:line="360" w:lineRule="auto"/>
        <w:rPr>
          <w:rFonts w:hint="eastAsia" w:ascii="宋体" w:hAnsi="宋体" w:eastAsia="宋体" w:cs="宋体"/>
          <w:sz w:val="24"/>
          <w:szCs w:val="24"/>
        </w:rPr>
      </w:pPr>
      <w:r>
        <w:rPr>
          <w:rFonts w:hint="eastAsia" w:ascii="宋体" w:hAnsi="宋体" w:eastAsia="宋体" w:cs="宋体"/>
          <w:sz w:val="24"/>
          <w:szCs w:val="24"/>
        </w:rPr>
        <w:t xml:space="preserve"> 本合同包不接受联合体投标</w:t>
      </w:r>
    </w:p>
    <w:p w14:paraId="5D2B179B">
      <w:pPr>
        <w:pStyle w:val="64"/>
        <w:spacing w:line="360" w:lineRule="auto"/>
        <w:rPr>
          <w:rFonts w:hint="eastAsia" w:ascii="宋体" w:hAnsi="宋体" w:eastAsia="宋体" w:cs="宋体"/>
          <w:sz w:val="24"/>
          <w:szCs w:val="24"/>
        </w:rPr>
      </w:pPr>
      <w:r>
        <w:rPr>
          <w:rFonts w:hint="eastAsia" w:ascii="宋体" w:hAnsi="宋体" w:eastAsia="宋体" w:cs="宋体"/>
          <w:sz w:val="24"/>
          <w:szCs w:val="24"/>
        </w:rPr>
        <w:t xml:space="preserve"> 合同履行期限：详见招标文件。</w:t>
      </w:r>
    </w:p>
    <w:p w14:paraId="54A37C04">
      <w:pPr>
        <w:pStyle w:val="64"/>
        <w:spacing w:line="360" w:lineRule="auto"/>
        <w:rPr>
          <w:rFonts w:hint="eastAsia" w:ascii="宋体" w:hAnsi="宋体" w:eastAsia="宋体" w:cs="宋体"/>
          <w:sz w:val="24"/>
          <w:szCs w:val="24"/>
        </w:rPr>
      </w:pPr>
      <w:r>
        <w:rPr>
          <w:rFonts w:hint="eastAsia" w:ascii="宋体" w:hAnsi="宋体" w:eastAsia="宋体" w:cs="宋体"/>
          <w:sz w:val="24"/>
          <w:szCs w:val="24"/>
        </w:rPr>
        <w:t>合同包7(7标段：马房子作业区退化林修复2、10、18小班629亩，修复方式为采伐+补植+修枝):</w:t>
      </w:r>
    </w:p>
    <w:p w14:paraId="73493DCF">
      <w:pPr>
        <w:pStyle w:val="64"/>
        <w:spacing w:line="360" w:lineRule="auto"/>
        <w:ind w:firstLine="630"/>
        <w:rPr>
          <w:rFonts w:hint="eastAsia" w:ascii="宋体" w:hAnsi="宋体" w:eastAsia="宋体" w:cs="宋体"/>
          <w:sz w:val="24"/>
          <w:szCs w:val="24"/>
        </w:rPr>
      </w:pPr>
      <w:r>
        <w:rPr>
          <w:rFonts w:hint="eastAsia" w:ascii="宋体" w:hAnsi="宋体" w:eastAsia="宋体" w:cs="宋体"/>
          <w:sz w:val="24"/>
          <w:szCs w:val="24"/>
        </w:rPr>
        <w:t>合同包预算金额：501,627.50元</w:t>
      </w:r>
    </w:p>
    <w:p w14:paraId="7EA8B658">
      <w:pPr>
        <w:pStyle w:val="64"/>
        <w:spacing w:line="360" w:lineRule="auto"/>
        <w:ind w:firstLine="630"/>
        <w:rPr>
          <w:rFonts w:hint="eastAsia" w:ascii="宋体" w:hAnsi="宋体" w:eastAsia="宋体" w:cs="宋体"/>
          <w:sz w:val="24"/>
          <w:szCs w:val="24"/>
        </w:rPr>
      </w:pPr>
      <w:r>
        <w:rPr>
          <w:rFonts w:hint="eastAsia" w:ascii="宋体" w:hAnsi="宋体" w:eastAsia="宋体" w:cs="宋体"/>
          <w:sz w:val="24"/>
          <w:szCs w:val="24"/>
        </w:rPr>
        <w:t xml:space="preserve"> 合同包最高限价：501,627.50元</w:t>
      </w:r>
    </w:p>
    <w:tbl>
      <w:tblPr>
        <w:tblStyle w:val="29"/>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1384"/>
        <w:gridCol w:w="1384"/>
        <w:gridCol w:w="1384"/>
        <w:gridCol w:w="1384"/>
        <w:gridCol w:w="1384"/>
        <w:gridCol w:w="1416"/>
      </w:tblGrid>
      <w:tr w14:paraId="3882C25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c>
          <w:tcPr>
            <w:tcW w:w="1384" w:type="dxa"/>
          </w:tcPr>
          <w:p w14:paraId="488C4736">
            <w:pPr>
              <w:pStyle w:val="64"/>
              <w:spacing w:line="360" w:lineRule="auto"/>
              <w:rPr>
                <w:rFonts w:hint="eastAsia" w:ascii="宋体" w:hAnsi="宋体" w:eastAsia="宋体" w:cs="宋体"/>
                <w:sz w:val="24"/>
                <w:szCs w:val="24"/>
              </w:rPr>
            </w:pPr>
            <w:r>
              <w:rPr>
                <w:rFonts w:hint="eastAsia" w:ascii="宋体" w:hAnsi="宋体" w:eastAsia="宋体" w:cs="宋体"/>
                <w:sz w:val="24"/>
                <w:szCs w:val="24"/>
              </w:rPr>
              <w:t>品目号</w:t>
            </w:r>
          </w:p>
        </w:tc>
        <w:tc>
          <w:tcPr>
            <w:tcW w:w="1384" w:type="dxa"/>
          </w:tcPr>
          <w:p w14:paraId="1E9F81DB">
            <w:pPr>
              <w:pStyle w:val="64"/>
              <w:spacing w:line="360" w:lineRule="auto"/>
              <w:rPr>
                <w:rFonts w:hint="eastAsia" w:ascii="宋体" w:hAnsi="宋体" w:eastAsia="宋体" w:cs="宋体"/>
                <w:sz w:val="24"/>
                <w:szCs w:val="24"/>
              </w:rPr>
            </w:pPr>
            <w:r>
              <w:rPr>
                <w:rFonts w:hint="eastAsia" w:ascii="宋体" w:hAnsi="宋体" w:eastAsia="宋体" w:cs="宋体"/>
                <w:sz w:val="24"/>
                <w:szCs w:val="24"/>
              </w:rPr>
              <w:t>品目名称</w:t>
            </w:r>
          </w:p>
        </w:tc>
        <w:tc>
          <w:tcPr>
            <w:tcW w:w="1384" w:type="dxa"/>
          </w:tcPr>
          <w:p w14:paraId="0DEFA220">
            <w:pPr>
              <w:pStyle w:val="64"/>
              <w:spacing w:line="360" w:lineRule="auto"/>
              <w:rPr>
                <w:rFonts w:hint="eastAsia" w:ascii="宋体" w:hAnsi="宋体" w:eastAsia="宋体" w:cs="宋体"/>
                <w:sz w:val="24"/>
                <w:szCs w:val="24"/>
              </w:rPr>
            </w:pPr>
            <w:r>
              <w:rPr>
                <w:rFonts w:hint="eastAsia" w:ascii="宋体" w:hAnsi="宋体" w:eastAsia="宋体" w:cs="宋体"/>
                <w:sz w:val="24"/>
                <w:szCs w:val="24"/>
              </w:rPr>
              <w:t>采购标的</w:t>
            </w:r>
          </w:p>
        </w:tc>
        <w:tc>
          <w:tcPr>
            <w:tcW w:w="1384" w:type="dxa"/>
          </w:tcPr>
          <w:p w14:paraId="77C3EFBE">
            <w:pPr>
              <w:pStyle w:val="64"/>
              <w:spacing w:line="360" w:lineRule="auto"/>
              <w:rPr>
                <w:rFonts w:hint="eastAsia" w:ascii="宋体" w:hAnsi="宋体" w:eastAsia="宋体" w:cs="宋体"/>
                <w:sz w:val="24"/>
                <w:szCs w:val="24"/>
              </w:rPr>
            </w:pPr>
            <w:r>
              <w:rPr>
                <w:rFonts w:hint="eastAsia" w:ascii="宋体" w:hAnsi="宋体" w:eastAsia="宋体" w:cs="宋体"/>
                <w:sz w:val="24"/>
                <w:szCs w:val="24"/>
              </w:rPr>
              <w:t>数量（单位）</w:t>
            </w:r>
          </w:p>
        </w:tc>
        <w:tc>
          <w:tcPr>
            <w:tcW w:w="1384" w:type="dxa"/>
          </w:tcPr>
          <w:p w14:paraId="7DA7EFE9">
            <w:pPr>
              <w:pStyle w:val="64"/>
              <w:spacing w:line="360" w:lineRule="auto"/>
              <w:rPr>
                <w:rFonts w:hint="eastAsia" w:ascii="宋体" w:hAnsi="宋体" w:eastAsia="宋体" w:cs="宋体"/>
                <w:sz w:val="24"/>
                <w:szCs w:val="24"/>
              </w:rPr>
            </w:pPr>
            <w:r>
              <w:rPr>
                <w:rFonts w:hint="eastAsia" w:ascii="宋体" w:hAnsi="宋体" w:eastAsia="宋体" w:cs="宋体"/>
                <w:sz w:val="24"/>
                <w:szCs w:val="24"/>
              </w:rPr>
              <w:t>技术规格、参数及要求</w:t>
            </w:r>
          </w:p>
        </w:tc>
        <w:tc>
          <w:tcPr>
            <w:tcW w:w="1384" w:type="dxa"/>
          </w:tcPr>
          <w:p w14:paraId="10A10C5E">
            <w:pPr>
              <w:pStyle w:val="64"/>
              <w:spacing w:line="360" w:lineRule="auto"/>
              <w:rPr>
                <w:rFonts w:hint="eastAsia" w:ascii="宋体" w:hAnsi="宋体" w:eastAsia="宋体" w:cs="宋体"/>
                <w:sz w:val="24"/>
                <w:szCs w:val="24"/>
              </w:rPr>
            </w:pPr>
            <w:r>
              <w:rPr>
                <w:rFonts w:hint="eastAsia" w:ascii="宋体" w:hAnsi="宋体" w:eastAsia="宋体" w:cs="宋体"/>
                <w:sz w:val="24"/>
                <w:szCs w:val="24"/>
              </w:rPr>
              <w:t>品目预算(元)</w:t>
            </w:r>
          </w:p>
        </w:tc>
      </w:tr>
      <w:tr w14:paraId="64BA447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384" w:type="dxa"/>
          </w:tcPr>
          <w:p w14:paraId="461E5696">
            <w:pPr>
              <w:pStyle w:val="64"/>
              <w:spacing w:line="360" w:lineRule="auto"/>
              <w:rPr>
                <w:rFonts w:hint="eastAsia" w:ascii="宋体" w:hAnsi="宋体" w:eastAsia="宋体" w:cs="宋体"/>
                <w:sz w:val="24"/>
                <w:szCs w:val="24"/>
              </w:rPr>
            </w:pPr>
            <w:r>
              <w:rPr>
                <w:rFonts w:hint="eastAsia" w:ascii="宋体" w:hAnsi="宋体" w:eastAsia="宋体" w:cs="宋体"/>
                <w:sz w:val="24"/>
                <w:szCs w:val="24"/>
              </w:rPr>
              <w:t>7-1</w:t>
            </w:r>
          </w:p>
        </w:tc>
        <w:tc>
          <w:tcPr>
            <w:tcW w:w="1384" w:type="dxa"/>
          </w:tcPr>
          <w:p w14:paraId="706C343B">
            <w:pPr>
              <w:pStyle w:val="64"/>
              <w:spacing w:line="360" w:lineRule="auto"/>
              <w:rPr>
                <w:rFonts w:hint="eastAsia" w:ascii="宋体" w:hAnsi="宋体" w:eastAsia="宋体" w:cs="宋体"/>
                <w:sz w:val="24"/>
                <w:szCs w:val="24"/>
              </w:rPr>
            </w:pPr>
            <w:r>
              <w:rPr>
                <w:rFonts w:hint="eastAsia" w:ascii="宋体" w:hAnsi="宋体" w:eastAsia="宋体" w:cs="宋体"/>
                <w:sz w:val="24"/>
                <w:szCs w:val="24"/>
              </w:rPr>
              <w:t>林木抚育管理服务</w:t>
            </w:r>
          </w:p>
        </w:tc>
        <w:tc>
          <w:tcPr>
            <w:tcW w:w="1384" w:type="dxa"/>
          </w:tcPr>
          <w:p w14:paraId="0B664391">
            <w:pPr>
              <w:pStyle w:val="64"/>
              <w:spacing w:line="360" w:lineRule="auto"/>
              <w:rPr>
                <w:rFonts w:hint="eastAsia" w:ascii="宋体" w:hAnsi="宋体" w:eastAsia="宋体" w:cs="宋体"/>
                <w:sz w:val="24"/>
                <w:szCs w:val="24"/>
              </w:rPr>
            </w:pPr>
            <w:r>
              <w:rPr>
                <w:rFonts w:hint="eastAsia" w:ascii="宋体" w:hAnsi="宋体" w:eastAsia="宋体" w:cs="宋体"/>
                <w:sz w:val="24"/>
                <w:szCs w:val="24"/>
              </w:rPr>
              <w:t>7标段：马房子作业区退化林修复2、10、18小班629亩，修复方式为采伐+补植+修枝。</w:t>
            </w:r>
          </w:p>
        </w:tc>
        <w:tc>
          <w:tcPr>
            <w:tcW w:w="1384" w:type="dxa"/>
          </w:tcPr>
          <w:p w14:paraId="32292CC7">
            <w:pPr>
              <w:pStyle w:val="64"/>
              <w:spacing w:line="360" w:lineRule="auto"/>
              <w:rPr>
                <w:rFonts w:hint="eastAsia" w:ascii="宋体" w:hAnsi="宋体" w:eastAsia="宋体" w:cs="宋体"/>
                <w:sz w:val="24"/>
                <w:szCs w:val="24"/>
              </w:rPr>
            </w:pPr>
            <w:r>
              <w:rPr>
                <w:rFonts w:hint="eastAsia" w:ascii="宋体" w:hAnsi="宋体" w:eastAsia="宋体" w:cs="宋体"/>
                <w:sz w:val="24"/>
                <w:szCs w:val="24"/>
              </w:rPr>
              <w:t>629(亩)</w:t>
            </w:r>
          </w:p>
        </w:tc>
        <w:tc>
          <w:tcPr>
            <w:tcW w:w="1384" w:type="dxa"/>
          </w:tcPr>
          <w:p w14:paraId="618490FB">
            <w:pPr>
              <w:pStyle w:val="64"/>
              <w:spacing w:line="360" w:lineRule="auto"/>
              <w:rPr>
                <w:rFonts w:hint="eastAsia" w:ascii="宋体" w:hAnsi="宋体" w:eastAsia="宋体" w:cs="宋体"/>
                <w:sz w:val="24"/>
                <w:szCs w:val="24"/>
              </w:rPr>
            </w:pPr>
            <w:r>
              <w:rPr>
                <w:rFonts w:hint="eastAsia" w:ascii="宋体" w:hAnsi="宋体" w:eastAsia="宋体" w:cs="宋体"/>
                <w:sz w:val="24"/>
                <w:szCs w:val="24"/>
              </w:rPr>
              <w:t>详见采购文件</w:t>
            </w:r>
          </w:p>
        </w:tc>
        <w:tc>
          <w:tcPr>
            <w:tcW w:w="1384" w:type="dxa"/>
          </w:tcPr>
          <w:p w14:paraId="7DB5320C">
            <w:pPr>
              <w:pStyle w:val="64"/>
              <w:spacing w:line="360" w:lineRule="auto"/>
              <w:rPr>
                <w:rFonts w:hint="eastAsia" w:ascii="宋体" w:hAnsi="宋体" w:eastAsia="宋体" w:cs="宋体"/>
                <w:sz w:val="24"/>
                <w:szCs w:val="24"/>
              </w:rPr>
            </w:pPr>
            <w:r>
              <w:rPr>
                <w:rFonts w:hint="eastAsia" w:ascii="宋体" w:hAnsi="宋体" w:eastAsia="宋体" w:cs="宋体"/>
                <w:sz w:val="24"/>
                <w:szCs w:val="24"/>
              </w:rPr>
              <w:t>501,627.50</w:t>
            </w:r>
          </w:p>
        </w:tc>
      </w:tr>
    </w:tbl>
    <w:p w14:paraId="19BA9AFB">
      <w:pPr>
        <w:pStyle w:val="64"/>
        <w:spacing w:line="360" w:lineRule="auto"/>
        <w:rPr>
          <w:rFonts w:hint="eastAsia" w:ascii="宋体" w:hAnsi="宋体" w:eastAsia="宋体" w:cs="宋体"/>
          <w:sz w:val="24"/>
          <w:szCs w:val="24"/>
        </w:rPr>
      </w:pPr>
      <w:r>
        <w:rPr>
          <w:rFonts w:hint="eastAsia" w:ascii="宋体" w:hAnsi="宋体" w:eastAsia="宋体" w:cs="宋体"/>
          <w:sz w:val="24"/>
          <w:szCs w:val="24"/>
        </w:rPr>
        <w:t xml:space="preserve"> 本合同包不接受联合体投标</w:t>
      </w:r>
    </w:p>
    <w:p w14:paraId="26C1C71B">
      <w:pPr>
        <w:pStyle w:val="64"/>
        <w:spacing w:line="360" w:lineRule="auto"/>
        <w:rPr>
          <w:rFonts w:hint="eastAsia" w:ascii="宋体" w:hAnsi="宋体" w:eastAsia="宋体" w:cs="宋体"/>
          <w:sz w:val="24"/>
          <w:szCs w:val="24"/>
        </w:rPr>
      </w:pPr>
      <w:r>
        <w:rPr>
          <w:rFonts w:hint="eastAsia" w:ascii="宋体" w:hAnsi="宋体" w:eastAsia="宋体" w:cs="宋体"/>
          <w:sz w:val="24"/>
          <w:szCs w:val="24"/>
        </w:rPr>
        <w:t xml:space="preserve"> 合同履行期限：详见招标文件。</w:t>
      </w:r>
    </w:p>
    <w:p w14:paraId="5E6CF545">
      <w:pPr>
        <w:pStyle w:val="64"/>
        <w:spacing w:line="360" w:lineRule="auto"/>
        <w:rPr>
          <w:rFonts w:hint="eastAsia" w:ascii="宋体" w:hAnsi="宋体" w:eastAsia="宋体" w:cs="宋体"/>
          <w:sz w:val="24"/>
          <w:szCs w:val="24"/>
        </w:rPr>
      </w:pPr>
      <w:r>
        <w:rPr>
          <w:rFonts w:hint="eastAsia" w:ascii="宋体" w:hAnsi="宋体" w:eastAsia="宋体" w:cs="宋体"/>
          <w:sz w:val="24"/>
          <w:szCs w:val="24"/>
        </w:rPr>
        <w:t>合同包8(8标段：马房子作业区退化林修复1、5、6、9小班745亩，修复方式为采伐+补植+修枝):</w:t>
      </w:r>
    </w:p>
    <w:p w14:paraId="3AA704AF">
      <w:pPr>
        <w:pStyle w:val="64"/>
        <w:spacing w:line="360" w:lineRule="auto"/>
        <w:ind w:firstLine="630"/>
        <w:rPr>
          <w:rFonts w:hint="eastAsia" w:ascii="宋体" w:hAnsi="宋体" w:eastAsia="宋体" w:cs="宋体"/>
          <w:sz w:val="24"/>
          <w:szCs w:val="24"/>
        </w:rPr>
      </w:pPr>
      <w:r>
        <w:rPr>
          <w:rFonts w:hint="eastAsia" w:ascii="宋体" w:hAnsi="宋体" w:eastAsia="宋体" w:cs="宋体"/>
          <w:sz w:val="24"/>
          <w:szCs w:val="24"/>
        </w:rPr>
        <w:t>合同包预算金额：594,137.50元</w:t>
      </w:r>
    </w:p>
    <w:p w14:paraId="6F06C4F3">
      <w:pPr>
        <w:pStyle w:val="64"/>
        <w:spacing w:line="360" w:lineRule="auto"/>
        <w:ind w:firstLine="630"/>
        <w:rPr>
          <w:rFonts w:hint="eastAsia" w:ascii="宋体" w:hAnsi="宋体" w:eastAsia="宋体" w:cs="宋体"/>
          <w:sz w:val="24"/>
          <w:szCs w:val="24"/>
        </w:rPr>
      </w:pPr>
      <w:r>
        <w:rPr>
          <w:rFonts w:hint="eastAsia" w:ascii="宋体" w:hAnsi="宋体" w:eastAsia="宋体" w:cs="宋体"/>
          <w:sz w:val="24"/>
          <w:szCs w:val="24"/>
        </w:rPr>
        <w:t xml:space="preserve"> 合同包最高限价：594,137.50元</w:t>
      </w:r>
    </w:p>
    <w:tbl>
      <w:tblPr>
        <w:tblStyle w:val="29"/>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1384"/>
        <w:gridCol w:w="1384"/>
        <w:gridCol w:w="1384"/>
        <w:gridCol w:w="1384"/>
        <w:gridCol w:w="1384"/>
        <w:gridCol w:w="1416"/>
      </w:tblGrid>
      <w:tr w14:paraId="6D84862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384" w:type="dxa"/>
          </w:tcPr>
          <w:p w14:paraId="66CCA334">
            <w:pPr>
              <w:pStyle w:val="64"/>
              <w:spacing w:line="360" w:lineRule="auto"/>
              <w:rPr>
                <w:rFonts w:hint="eastAsia" w:ascii="宋体" w:hAnsi="宋体" w:eastAsia="宋体" w:cs="宋体"/>
                <w:sz w:val="24"/>
                <w:szCs w:val="24"/>
              </w:rPr>
            </w:pPr>
            <w:r>
              <w:rPr>
                <w:rFonts w:hint="eastAsia" w:ascii="宋体" w:hAnsi="宋体" w:eastAsia="宋体" w:cs="宋体"/>
                <w:sz w:val="24"/>
                <w:szCs w:val="24"/>
              </w:rPr>
              <w:t>品目号</w:t>
            </w:r>
          </w:p>
        </w:tc>
        <w:tc>
          <w:tcPr>
            <w:tcW w:w="1384" w:type="dxa"/>
          </w:tcPr>
          <w:p w14:paraId="48130B29">
            <w:pPr>
              <w:pStyle w:val="64"/>
              <w:spacing w:line="360" w:lineRule="auto"/>
              <w:rPr>
                <w:rFonts w:hint="eastAsia" w:ascii="宋体" w:hAnsi="宋体" w:eastAsia="宋体" w:cs="宋体"/>
                <w:sz w:val="24"/>
                <w:szCs w:val="24"/>
              </w:rPr>
            </w:pPr>
            <w:r>
              <w:rPr>
                <w:rFonts w:hint="eastAsia" w:ascii="宋体" w:hAnsi="宋体" w:eastAsia="宋体" w:cs="宋体"/>
                <w:sz w:val="24"/>
                <w:szCs w:val="24"/>
              </w:rPr>
              <w:t>品目名称</w:t>
            </w:r>
          </w:p>
        </w:tc>
        <w:tc>
          <w:tcPr>
            <w:tcW w:w="1384" w:type="dxa"/>
          </w:tcPr>
          <w:p w14:paraId="321EA7D9">
            <w:pPr>
              <w:pStyle w:val="64"/>
              <w:spacing w:line="360" w:lineRule="auto"/>
              <w:rPr>
                <w:rFonts w:hint="eastAsia" w:ascii="宋体" w:hAnsi="宋体" w:eastAsia="宋体" w:cs="宋体"/>
                <w:sz w:val="24"/>
                <w:szCs w:val="24"/>
              </w:rPr>
            </w:pPr>
            <w:r>
              <w:rPr>
                <w:rFonts w:hint="eastAsia" w:ascii="宋体" w:hAnsi="宋体" w:eastAsia="宋体" w:cs="宋体"/>
                <w:sz w:val="24"/>
                <w:szCs w:val="24"/>
              </w:rPr>
              <w:t>采购标的</w:t>
            </w:r>
          </w:p>
        </w:tc>
        <w:tc>
          <w:tcPr>
            <w:tcW w:w="1384" w:type="dxa"/>
          </w:tcPr>
          <w:p w14:paraId="73A195A9">
            <w:pPr>
              <w:pStyle w:val="64"/>
              <w:spacing w:line="360" w:lineRule="auto"/>
              <w:rPr>
                <w:rFonts w:hint="eastAsia" w:ascii="宋体" w:hAnsi="宋体" w:eastAsia="宋体" w:cs="宋体"/>
                <w:sz w:val="24"/>
                <w:szCs w:val="24"/>
              </w:rPr>
            </w:pPr>
            <w:r>
              <w:rPr>
                <w:rFonts w:hint="eastAsia" w:ascii="宋体" w:hAnsi="宋体" w:eastAsia="宋体" w:cs="宋体"/>
                <w:sz w:val="24"/>
                <w:szCs w:val="24"/>
              </w:rPr>
              <w:t>数量（单位）</w:t>
            </w:r>
          </w:p>
        </w:tc>
        <w:tc>
          <w:tcPr>
            <w:tcW w:w="1384" w:type="dxa"/>
          </w:tcPr>
          <w:p w14:paraId="0CEDE106">
            <w:pPr>
              <w:pStyle w:val="64"/>
              <w:spacing w:line="360" w:lineRule="auto"/>
              <w:rPr>
                <w:rFonts w:hint="eastAsia" w:ascii="宋体" w:hAnsi="宋体" w:eastAsia="宋体" w:cs="宋体"/>
                <w:sz w:val="24"/>
                <w:szCs w:val="24"/>
              </w:rPr>
            </w:pPr>
            <w:r>
              <w:rPr>
                <w:rFonts w:hint="eastAsia" w:ascii="宋体" w:hAnsi="宋体" w:eastAsia="宋体" w:cs="宋体"/>
                <w:sz w:val="24"/>
                <w:szCs w:val="24"/>
              </w:rPr>
              <w:t>技术规格、参数及要求</w:t>
            </w:r>
          </w:p>
        </w:tc>
        <w:tc>
          <w:tcPr>
            <w:tcW w:w="1384" w:type="dxa"/>
          </w:tcPr>
          <w:p w14:paraId="68E710DD">
            <w:pPr>
              <w:pStyle w:val="64"/>
              <w:spacing w:line="360" w:lineRule="auto"/>
              <w:rPr>
                <w:rFonts w:hint="eastAsia" w:ascii="宋体" w:hAnsi="宋体" w:eastAsia="宋体" w:cs="宋体"/>
                <w:sz w:val="24"/>
                <w:szCs w:val="24"/>
              </w:rPr>
            </w:pPr>
            <w:r>
              <w:rPr>
                <w:rFonts w:hint="eastAsia" w:ascii="宋体" w:hAnsi="宋体" w:eastAsia="宋体" w:cs="宋体"/>
                <w:sz w:val="24"/>
                <w:szCs w:val="24"/>
              </w:rPr>
              <w:t>品目预算(元)</w:t>
            </w:r>
          </w:p>
        </w:tc>
      </w:tr>
      <w:tr w14:paraId="526DE82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384" w:type="dxa"/>
          </w:tcPr>
          <w:p w14:paraId="270E6E82">
            <w:pPr>
              <w:pStyle w:val="64"/>
              <w:spacing w:line="360" w:lineRule="auto"/>
              <w:rPr>
                <w:rFonts w:hint="eastAsia" w:ascii="宋体" w:hAnsi="宋体" w:eastAsia="宋体" w:cs="宋体"/>
                <w:sz w:val="24"/>
                <w:szCs w:val="24"/>
              </w:rPr>
            </w:pPr>
            <w:r>
              <w:rPr>
                <w:rFonts w:hint="eastAsia" w:ascii="宋体" w:hAnsi="宋体" w:eastAsia="宋体" w:cs="宋体"/>
                <w:sz w:val="24"/>
                <w:szCs w:val="24"/>
              </w:rPr>
              <w:t>8-1</w:t>
            </w:r>
          </w:p>
        </w:tc>
        <w:tc>
          <w:tcPr>
            <w:tcW w:w="1384" w:type="dxa"/>
          </w:tcPr>
          <w:p w14:paraId="670DBA7D">
            <w:pPr>
              <w:pStyle w:val="64"/>
              <w:spacing w:line="360" w:lineRule="auto"/>
              <w:rPr>
                <w:rFonts w:hint="eastAsia" w:ascii="宋体" w:hAnsi="宋体" w:eastAsia="宋体" w:cs="宋体"/>
                <w:sz w:val="24"/>
                <w:szCs w:val="24"/>
              </w:rPr>
            </w:pPr>
            <w:r>
              <w:rPr>
                <w:rFonts w:hint="eastAsia" w:ascii="宋体" w:hAnsi="宋体" w:eastAsia="宋体" w:cs="宋体"/>
                <w:sz w:val="24"/>
                <w:szCs w:val="24"/>
              </w:rPr>
              <w:t>林木抚育管理服务</w:t>
            </w:r>
          </w:p>
        </w:tc>
        <w:tc>
          <w:tcPr>
            <w:tcW w:w="1384" w:type="dxa"/>
          </w:tcPr>
          <w:p w14:paraId="288C3399">
            <w:pPr>
              <w:pStyle w:val="64"/>
              <w:spacing w:line="360" w:lineRule="auto"/>
              <w:rPr>
                <w:rFonts w:hint="eastAsia" w:ascii="宋体" w:hAnsi="宋体" w:eastAsia="宋体" w:cs="宋体"/>
                <w:sz w:val="24"/>
                <w:szCs w:val="24"/>
              </w:rPr>
            </w:pPr>
            <w:r>
              <w:rPr>
                <w:rFonts w:hint="eastAsia" w:ascii="宋体" w:hAnsi="宋体" w:eastAsia="宋体" w:cs="宋体"/>
                <w:sz w:val="24"/>
                <w:szCs w:val="24"/>
              </w:rPr>
              <w:t>8标段：马房子作业区退化林修复1、5、6、9小班745亩，修复方式为采伐+补植+修枝。</w:t>
            </w:r>
          </w:p>
        </w:tc>
        <w:tc>
          <w:tcPr>
            <w:tcW w:w="1384" w:type="dxa"/>
          </w:tcPr>
          <w:p w14:paraId="3AC3C209">
            <w:pPr>
              <w:pStyle w:val="64"/>
              <w:spacing w:line="360" w:lineRule="auto"/>
              <w:rPr>
                <w:rFonts w:hint="eastAsia" w:ascii="宋体" w:hAnsi="宋体" w:eastAsia="宋体" w:cs="宋体"/>
                <w:sz w:val="24"/>
                <w:szCs w:val="24"/>
              </w:rPr>
            </w:pPr>
            <w:r>
              <w:rPr>
                <w:rFonts w:hint="eastAsia" w:ascii="宋体" w:hAnsi="宋体" w:eastAsia="宋体" w:cs="宋体"/>
                <w:sz w:val="24"/>
                <w:szCs w:val="24"/>
              </w:rPr>
              <w:t>745(亩)</w:t>
            </w:r>
          </w:p>
        </w:tc>
        <w:tc>
          <w:tcPr>
            <w:tcW w:w="1384" w:type="dxa"/>
          </w:tcPr>
          <w:p w14:paraId="675F7512">
            <w:pPr>
              <w:pStyle w:val="64"/>
              <w:spacing w:line="360" w:lineRule="auto"/>
              <w:rPr>
                <w:rFonts w:hint="eastAsia" w:ascii="宋体" w:hAnsi="宋体" w:eastAsia="宋体" w:cs="宋体"/>
                <w:sz w:val="24"/>
                <w:szCs w:val="24"/>
              </w:rPr>
            </w:pPr>
            <w:r>
              <w:rPr>
                <w:rFonts w:hint="eastAsia" w:ascii="宋体" w:hAnsi="宋体" w:eastAsia="宋体" w:cs="宋体"/>
                <w:sz w:val="24"/>
                <w:szCs w:val="24"/>
              </w:rPr>
              <w:t>详见采购文件</w:t>
            </w:r>
          </w:p>
        </w:tc>
        <w:tc>
          <w:tcPr>
            <w:tcW w:w="1384" w:type="dxa"/>
          </w:tcPr>
          <w:p w14:paraId="771311A5">
            <w:pPr>
              <w:pStyle w:val="64"/>
              <w:spacing w:line="360" w:lineRule="auto"/>
              <w:rPr>
                <w:rFonts w:hint="eastAsia" w:ascii="宋体" w:hAnsi="宋体" w:eastAsia="宋体" w:cs="宋体"/>
                <w:sz w:val="24"/>
                <w:szCs w:val="24"/>
              </w:rPr>
            </w:pPr>
            <w:r>
              <w:rPr>
                <w:rFonts w:hint="eastAsia" w:ascii="宋体" w:hAnsi="宋体" w:eastAsia="宋体" w:cs="宋体"/>
                <w:sz w:val="24"/>
                <w:szCs w:val="24"/>
              </w:rPr>
              <w:t>594,137.50</w:t>
            </w:r>
          </w:p>
        </w:tc>
      </w:tr>
    </w:tbl>
    <w:p w14:paraId="61017E36">
      <w:pPr>
        <w:pStyle w:val="64"/>
        <w:spacing w:line="360" w:lineRule="auto"/>
        <w:rPr>
          <w:rFonts w:hint="eastAsia" w:ascii="宋体" w:hAnsi="宋体" w:eastAsia="宋体" w:cs="宋体"/>
          <w:sz w:val="24"/>
          <w:szCs w:val="24"/>
        </w:rPr>
      </w:pPr>
      <w:r>
        <w:rPr>
          <w:rFonts w:hint="eastAsia" w:ascii="宋体" w:hAnsi="宋体" w:eastAsia="宋体" w:cs="宋体"/>
          <w:sz w:val="24"/>
          <w:szCs w:val="24"/>
        </w:rPr>
        <w:t xml:space="preserve"> 本合同包不接受联合体投标</w:t>
      </w:r>
    </w:p>
    <w:p w14:paraId="0106E40A">
      <w:pPr>
        <w:pStyle w:val="64"/>
        <w:spacing w:line="360" w:lineRule="auto"/>
        <w:rPr>
          <w:rFonts w:hint="eastAsia" w:ascii="宋体" w:hAnsi="宋体" w:eastAsia="宋体" w:cs="宋体"/>
          <w:sz w:val="24"/>
          <w:szCs w:val="24"/>
        </w:rPr>
      </w:pPr>
      <w:r>
        <w:rPr>
          <w:rFonts w:hint="eastAsia" w:ascii="宋体" w:hAnsi="宋体" w:eastAsia="宋体" w:cs="宋体"/>
          <w:sz w:val="24"/>
          <w:szCs w:val="24"/>
        </w:rPr>
        <w:t xml:space="preserve"> 合同履行期限：详见招标文件。</w:t>
      </w:r>
    </w:p>
    <w:p w14:paraId="0E9E12BD">
      <w:pPr>
        <w:pStyle w:val="64"/>
        <w:spacing w:line="360" w:lineRule="auto"/>
        <w:rPr>
          <w:rFonts w:hint="eastAsia" w:ascii="宋体" w:hAnsi="宋体" w:eastAsia="宋体" w:cs="宋体"/>
          <w:sz w:val="24"/>
          <w:szCs w:val="24"/>
        </w:rPr>
      </w:pPr>
      <w:r>
        <w:rPr>
          <w:rFonts w:hint="eastAsia" w:ascii="宋体" w:hAnsi="宋体" w:eastAsia="宋体" w:cs="宋体"/>
          <w:sz w:val="24"/>
          <w:szCs w:val="24"/>
        </w:rPr>
        <w:t>合同包9(9标段：马房子作业区退化林修复3、4、13、 22、29、31小班909亩，修复方式为采伐+补植+修枝):</w:t>
      </w:r>
    </w:p>
    <w:p w14:paraId="452DE52B">
      <w:pPr>
        <w:pStyle w:val="64"/>
        <w:spacing w:line="360" w:lineRule="auto"/>
        <w:ind w:firstLine="630"/>
        <w:rPr>
          <w:rFonts w:hint="eastAsia" w:ascii="宋体" w:hAnsi="宋体" w:eastAsia="宋体" w:cs="宋体"/>
          <w:sz w:val="24"/>
          <w:szCs w:val="24"/>
        </w:rPr>
      </w:pPr>
      <w:r>
        <w:rPr>
          <w:rFonts w:hint="eastAsia" w:ascii="宋体" w:hAnsi="宋体" w:eastAsia="宋体" w:cs="宋体"/>
          <w:sz w:val="24"/>
          <w:szCs w:val="24"/>
        </w:rPr>
        <w:t>合同包预算金额：712,947.60元</w:t>
      </w:r>
    </w:p>
    <w:p w14:paraId="2114D41B">
      <w:pPr>
        <w:pStyle w:val="64"/>
        <w:spacing w:line="360" w:lineRule="auto"/>
        <w:ind w:firstLine="630"/>
        <w:rPr>
          <w:rFonts w:hint="eastAsia" w:ascii="宋体" w:hAnsi="宋体" w:eastAsia="宋体" w:cs="宋体"/>
          <w:sz w:val="24"/>
          <w:szCs w:val="24"/>
        </w:rPr>
      </w:pPr>
      <w:r>
        <w:rPr>
          <w:rFonts w:hint="eastAsia" w:ascii="宋体" w:hAnsi="宋体" w:eastAsia="宋体" w:cs="宋体"/>
          <w:sz w:val="24"/>
          <w:szCs w:val="24"/>
        </w:rPr>
        <w:t xml:space="preserve"> 合同包最高限价：712,947.60元</w:t>
      </w:r>
    </w:p>
    <w:tbl>
      <w:tblPr>
        <w:tblStyle w:val="29"/>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1384"/>
        <w:gridCol w:w="1384"/>
        <w:gridCol w:w="1384"/>
        <w:gridCol w:w="1384"/>
        <w:gridCol w:w="1384"/>
        <w:gridCol w:w="1416"/>
      </w:tblGrid>
      <w:tr w14:paraId="0CF5C2B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384" w:type="dxa"/>
          </w:tcPr>
          <w:p w14:paraId="033D0CCB">
            <w:pPr>
              <w:pStyle w:val="64"/>
              <w:spacing w:line="360" w:lineRule="auto"/>
              <w:rPr>
                <w:rFonts w:hint="eastAsia" w:ascii="宋体" w:hAnsi="宋体" w:eastAsia="宋体" w:cs="宋体"/>
                <w:sz w:val="24"/>
                <w:szCs w:val="24"/>
              </w:rPr>
            </w:pPr>
            <w:r>
              <w:rPr>
                <w:rFonts w:hint="eastAsia" w:ascii="宋体" w:hAnsi="宋体" w:eastAsia="宋体" w:cs="宋体"/>
                <w:sz w:val="24"/>
                <w:szCs w:val="24"/>
              </w:rPr>
              <w:t>品目号</w:t>
            </w:r>
          </w:p>
        </w:tc>
        <w:tc>
          <w:tcPr>
            <w:tcW w:w="1384" w:type="dxa"/>
          </w:tcPr>
          <w:p w14:paraId="1FD57B0D">
            <w:pPr>
              <w:pStyle w:val="64"/>
              <w:spacing w:line="360" w:lineRule="auto"/>
              <w:rPr>
                <w:rFonts w:hint="eastAsia" w:ascii="宋体" w:hAnsi="宋体" w:eastAsia="宋体" w:cs="宋体"/>
                <w:sz w:val="24"/>
                <w:szCs w:val="24"/>
              </w:rPr>
            </w:pPr>
            <w:r>
              <w:rPr>
                <w:rFonts w:hint="eastAsia" w:ascii="宋体" w:hAnsi="宋体" w:eastAsia="宋体" w:cs="宋体"/>
                <w:sz w:val="24"/>
                <w:szCs w:val="24"/>
              </w:rPr>
              <w:t>品目名称</w:t>
            </w:r>
          </w:p>
        </w:tc>
        <w:tc>
          <w:tcPr>
            <w:tcW w:w="1384" w:type="dxa"/>
          </w:tcPr>
          <w:p w14:paraId="1546269C">
            <w:pPr>
              <w:pStyle w:val="64"/>
              <w:spacing w:line="360" w:lineRule="auto"/>
              <w:rPr>
                <w:rFonts w:hint="eastAsia" w:ascii="宋体" w:hAnsi="宋体" w:eastAsia="宋体" w:cs="宋体"/>
                <w:sz w:val="24"/>
                <w:szCs w:val="24"/>
              </w:rPr>
            </w:pPr>
            <w:r>
              <w:rPr>
                <w:rFonts w:hint="eastAsia" w:ascii="宋体" w:hAnsi="宋体" w:eastAsia="宋体" w:cs="宋体"/>
                <w:sz w:val="24"/>
                <w:szCs w:val="24"/>
              </w:rPr>
              <w:t>采购标的</w:t>
            </w:r>
          </w:p>
        </w:tc>
        <w:tc>
          <w:tcPr>
            <w:tcW w:w="1384" w:type="dxa"/>
          </w:tcPr>
          <w:p w14:paraId="64CC322E">
            <w:pPr>
              <w:pStyle w:val="64"/>
              <w:spacing w:line="360" w:lineRule="auto"/>
              <w:rPr>
                <w:rFonts w:hint="eastAsia" w:ascii="宋体" w:hAnsi="宋体" w:eastAsia="宋体" w:cs="宋体"/>
                <w:sz w:val="24"/>
                <w:szCs w:val="24"/>
              </w:rPr>
            </w:pPr>
            <w:r>
              <w:rPr>
                <w:rFonts w:hint="eastAsia" w:ascii="宋体" w:hAnsi="宋体" w:eastAsia="宋体" w:cs="宋体"/>
                <w:sz w:val="24"/>
                <w:szCs w:val="24"/>
              </w:rPr>
              <w:t>数量（单位）</w:t>
            </w:r>
          </w:p>
        </w:tc>
        <w:tc>
          <w:tcPr>
            <w:tcW w:w="1384" w:type="dxa"/>
          </w:tcPr>
          <w:p w14:paraId="19B62978">
            <w:pPr>
              <w:pStyle w:val="64"/>
              <w:spacing w:line="360" w:lineRule="auto"/>
              <w:rPr>
                <w:rFonts w:hint="eastAsia" w:ascii="宋体" w:hAnsi="宋体" w:eastAsia="宋体" w:cs="宋体"/>
                <w:sz w:val="24"/>
                <w:szCs w:val="24"/>
              </w:rPr>
            </w:pPr>
            <w:r>
              <w:rPr>
                <w:rFonts w:hint="eastAsia" w:ascii="宋体" w:hAnsi="宋体" w:eastAsia="宋体" w:cs="宋体"/>
                <w:sz w:val="24"/>
                <w:szCs w:val="24"/>
              </w:rPr>
              <w:t>技术规格、参数及要求</w:t>
            </w:r>
          </w:p>
        </w:tc>
        <w:tc>
          <w:tcPr>
            <w:tcW w:w="1384" w:type="dxa"/>
          </w:tcPr>
          <w:p w14:paraId="67C73C26">
            <w:pPr>
              <w:pStyle w:val="64"/>
              <w:spacing w:line="360" w:lineRule="auto"/>
              <w:rPr>
                <w:rFonts w:hint="eastAsia" w:ascii="宋体" w:hAnsi="宋体" w:eastAsia="宋体" w:cs="宋体"/>
                <w:sz w:val="24"/>
                <w:szCs w:val="24"/>
              </w:rPr>
            </w:pPr>
            <w:r>
              <w:rPr>
                <w:rFonts w:hint="eastAsia" w:ascii="宋体" w:hAnsi="宋体" w:eastAsia="宋体" w:cs="宋体"/>
                <w:sz w:val="24"/>
                <w:szCs w:val="24"/>
              </w:rPr>
              <w:t>品目预算(元)</w:t>
            </w:r>
          </w:p>
        </w:tc>
      </w:tr>
      <w:tr w14:paraId="06862E4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384" w:type="dxa"/>
          </w:tcPr>
          <w:p w14:paraId="03BE2B8C">
            <w:pPr>
              <w:pStyle w:val="64"/>
              <w:spacing w:line="360" w:lineRule="auto"/>
              <w:rPr>
                <w:rFonts w:hint="eastAsia" w:ascii="宋体" w:hAnsi="宋体" w:eastAsia="宋体" w:cs="宋体"/>
                <w:sz w:val="24"/>
                <w:szCs w:val="24"/>
              </w:rPr>
            </w:pPr>
            <w:r>
              <w:rPr>
                <w:rFonts w:hint="eastAsia" w:ascii="宋体" w:hAnsi="宋体" w:eastAsia="宋体" w:cs="宋体"/>
                <w:sz w:val="24"/>
                <w:szCs w:val="24"/>
              </w:rPr>
              <w:t>9-1</w:t>
            </w:r>
          </w:p>
        </w:tc>
        <w:tc>
          <w:tcPr>
            <w:tcW w:w="1384" w:type="dxa"/>
          </w:tcPr>
          <w:p w14:paraId="2774D8F8">
            <w:pPr>
              <w:pStyle w:val="64"/>
              <w:spacing w:line="360" w:lineRule="auto"/>
              <w:rPr>
                <w:rFonts w:hint="eastAsia" w:ascii="宋体" w:hAnsi="宋体" w:eastAsia="宋体" w:cs="宋体"/>
                <w:sz w:val="24"/>
                <w:szCs w:val="24"/>
              </w:rPr>
            </w:pPr>
            <w:r>
              <w:rPr>
                <w:rFonts w:hint="eastAsia" w:ascii="宋体" w:hAnsi="宋体" w:eastAsia="宋体" w:cs="宋体"/>
                <w:sz w:val="24"/>
                <w:szCs w:val="24"/>
              </w:rPr>
              <w:t>林木抚育管理服务</w:t>
            </w:r>
          </w:p>
        </w:tc>
        <w:tc>
          <w:tcPr>
            <w:tcW w:w="1384" w:type="dxa"/>
          </w:tcPr>
          <w:p w14:paraId="6CA103A5">
            <w:pPr>
              <w:pStyle w:val="64"/>
              <w:spacing w:line="360" w:lineRule="auto"/>
              <w:rPr>
                <w:rFonts w:hint="eastAsia" w:ascii="宋体" w:hAnsi="宋体" w:eastAsia="宋体" w:cs="宋体"/>
                <w:sz w:val="24"/>
                <w:szCs w:val="24"/>
              </w:rPr>
            </w:pPr>
            <w:r>
              <w:rPr>
                <w:rFonts w:hint="eastAsia" w:ascii="宋体" w:hAnsi="宋体" w:eastAsia="宋体" w:cs="宋体"/>
                <w:sz w:val="24"/>
                <w:szCs w:val="24"/>
              </w:rPr>
              <w:t>9标段：马房子作业区退化林修复3、4、13、22、29、31小班909亩，修复方式为采伐+补植+修枝。</w:t>
            </w:r>
          </w:p>
        </w:tc>
        <w:tc>
          <w:tcPr>
            <w:tcW w:w="1384" w:type="dxa"/>
          </w:tcPr>
          <w:p w14:paraId="317D34BF">
            <w:pPr>
              <w:pStyle w:val="64"/>
              <w:spacing w:line="360" w:lineRule="auto"/>
              <w:rPr>
                <w:rFonts w:hint="eastAsia" w:ascii="宋体" w:hAnsi="宋体" w:eastAsia="宋体" w:cs="宋体"/>
                <w:sz w:val="24"/>
                <w:szCs w:val="24"/>
              </w:rPr>
            </w:pPr>
            <w:r>
              <w:rPr>
                <w:rFonts w:hint="eastAsia" w:ascii="宋体" w:hAnsi="宋体" w:eastAsia="宋体" w:cs="宋体"/>
                <w:sz w:val="24"/>
                <w:szCs w:val="24"/>
              </w:rPr>
              <w:t>909(亩)</w:t>
            </w:r>
          </w:p>
        </w:tc>
        <w:tc>
          <w:tcPr>
            <w:tcW w:w="1384" w:type="dxa"/>
          </w:tcPr>
          <w:p w14:paraId="3B3E6D21">
            <w:pPr>
              <w:pStyle w:val="64"/>
              <w:spacing w:line="360" w:lineRule="auto"/>
              <w:rPr>
                <w:rFonts w:hint="eastAsia" w:ascii="宋体" w:hAnsi="宋体" w:eastAsia="宋体" w:cs="宋体"/>
                <w:sz w:val="24"/>
                <w:szCs w:val="24"/>
              </w:rPr>
            </w:pPr>
            <w:r>
              <w:rPr>
                <w:rFonts w:hint="eastAsia" w:ascii="宋体" w:hAnsi="宋体" w:eastAsia="宋体" w:cs="宋体"/>
                <w:sz w:val="24"/>
                <w:szCs w:val="24"/>
              </w:rPr>
              <w:t>详见采购文件</w:t>
            </w:r>
          </w:p>
        </w:tc>
        <w:tc>
          <w:tcPr>
            <w:tcW w:w="1384" w:type="dxa"/>
          </w:tcPr>
          <w:p w14:paraId="71B64D88">
            <w:pPr>
              <w:pStyle w:val="64"/>
              <w:spacing w:line="360" w:lineRule="auto"/>
              <w:rPr>
                <w:rFonts w:hint="eastAsia" w:ascii="宋体" w:hAnsi="宋体" w:eastAsia="宋体" w:cs="宋体"/>
                <w:sz w:val="24"/>
                <w:szCs w:val="24"/>
              </w:rPr>
            </w:pPr>
            <w:r>
              <w:rPr>
                <w:rFonts w:hint="eastAsia" w:ascii="宋体" w:hAnsi="宋体" w:eastAsia="宋体" w:cs="宋体"/>
                <w:sz w:val="24"/>
                <w:szCs w:val="24"/>
              </w:rPr>
              <w:t>712,947.60</w:t>
            </w:r>
          </w:p>
        </w:tc>
      </w:tr>
    </w:tbl>
    <w:p w14:paraId="35B0A441">
      <w:pPr>
        <w:pStyle w:val="64"/>
        <w:spacing w:line="360" w:lineRule="auto"/>
        <w:rPr>
          <w:rFonts w:hint="eastAsia" w:ascii="宋体" w:hAnsi="宋体" w:eastAsia="宋体" w:cs="宋体"/>
          <w:sz w:val="24"/>
          <w:szCs w:val="24"/>
        </w:rPr>
      </w:pPr>
      <w:r>
        <w:rPr>
          <w:rFonts w:hint="eastAsia" w:ascii="宋体" w:hAnsi="宋体" w:eastAsia="宋体" w:cs="宋体"/>
          <w:sz w:val="24"/>
          <w:szCs w:val="24"/>
        </w:rPr>
        <w:t xml:space="preserve"> 本合同包不接受联合体投标</w:t>
      </w:r>
    </w:p>
    <w:p w14:paraId="58B05395">
      <w:pPr>
        <w:pStyle w:val="64"/>
        <w:spacing w:line="360" w:lineRule="auto"/>
        <w:rPr>
          <w:rFonts w:hint="eastAsia" w:ascii="宋体" w:hAnsi="宋体" w:eastAsia="宋体" w:cs="宋体"/>
          <w:sz w:val="24"/>
          <w:szCs w:val="24"/>
        </w:rPr>
      </w:pPr>
      <w:r>
        <w:rPr>
          <w:rFonts w:hint="eastAsia" w:ascii="宋体" w:hAnsi="宋体" w:eastAsia="宋体" w:cs="宋体"/>
          <w:sz w:val="24"/>
          <w:szCs w:val="24"/>
        </w:rPr>
        <w:t xml:space="preserve"> 合同履行期限：详见招标文件。</w:t>
      </w:r>
    </w:p>
    <w:p w14:paraId="746D84E0">
      <w:pPr>
        <w:pStyle w:val="64"/>
        <w:spacing w:line="360" w:lineRule="auto"/>
        <w:rPr>
          <w:rFonts w:hint="eastAsia" w:ascii="宋体" w:hAnsi="宋体" w:eastAsia="宋体" w:cs="宋体"/>
          <w:sz w:val="24"/>
          <w:szCs w:val="24"/>
        </w:rPr>
      </w:pPr>
      <w:r>
        <w:rPr>
          <w:rFonts w:hint="eastAsia" w:ascii="宋体" w:hAnsi="宋体" w:eastAsia="宋体" w:cs="宋体"/>
          <w:sz w:val="24"/>
          <w:szCs w:val="24"/>
        </w:rPr>
        <w:t>合同包10(10标段：马房子作业区退化林修复7、11、12、30小班827亩，修复方式为采伐+补植+修枝):</w:t>
      </w:r>
    </w:p>
    <w:p w14:paraId="670C8D84">
      <w:pPr>
        <w:pStyle w:val="64"/>
        <w:spacing w:line="360" w:lineRule="auto"/>
        <w:ind w:firstLine="630"/>
        <w:rPr>
          <w:rFonts w:hint="eastAsia" w:ascii="宋体" w:hAnsi="宋体" w:eastAsia="宋体" w:cs="宋体"/>
          <w:sz w:val="24"/>
          <w:szCs w:val="24"/>
        </w:rPr>
      </w:pPr>
      <w:r>
        <w:rPr>
          <w:rFonts w:hint="eastAsia" w:ascii="宋体" w:hAnsi="宋体" w:eastAsia="宋体" w:cs="宋体"/>
          <w:sz w:val="24"/>
          <w:szCs w:val="24"/>
        </w:rPr>
        <w:t>合同包预算金额：659,532.50元</w:t>
      </w:r>
    </w:p>
    <w:p w14:paraId="14C951A8">
      <w:pPr>
        <w:pStyle w:val="64"/>
        <w:spacing w:line="360" w:lineRule="auto"/>
        <w:ind w:firstLine="630"/>
        <w:rPr>
          <w:rFonts w:hint="eastAsia" w:ascii="宋体" w:hAnsi="宋体" w:eastAsia="宋体" w:cs="宋体"/>
          <w:sz w:val="24"/>
          <w:szCs w:val="24"/>
        </w:rPr>
      </w:pPr>
      <w:r>
        <w:rPr>
          <w:rFonts w:hint="eastAsia" w:ascii="宋体" w:hAnsi="宋体" w:eastAsia="宋体" w:cs="宋体"/>
          <w:sz w:val="24"/>
          <w:szCs w:val="24"/>
        </w:rPr>
        <w:t xml:space="preserve"> 合同包最高限价：659,532.50元</w:t>
      </w:r>
    </w:p>
    <w:tbl>
      <w:tblPr>
        <w:tblStyle w:val="29"/>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1384"/>
        <w:gridCol w:w="1384"/>
        <w:gridCol w:w="1384"/>
        <w:gridCol w:w="1384"/>
        <w:gridCol w:w="1384"/>
        <w:gridCol w:w="1416"/>
      </w:tblGrid>
      <w:tr w14:paraId="2F31EAF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384" w:type="dxa"/>
          </w:tcPr>
          <w:p w14:paraId="33DB2350">
            <w:pPr>
              <w:pStyle w:val="64"/>
              <w:spacing w:line="360" w:lineRule="auto"/>
              <w:rPr>
                <w:rFonts w:hint="eastAsia" w:ascii="宋体" w:hAnsi="宋体" w:eastAsia="宋体" w:cs="宋体"/>
                <w:sz w:val="24"/>
                <w:szCs w:val="24"/>
              </w:rPr>
            </w:pPr>
            <w:r>
              <w:rPr>
                <w:rFonts w:hint="eastAsia" w:ascii="宋体" w:hAnsi="宋体" w:eastAsia="宋体" w:cs="宋体"/>
                <w:sz w:val="24"/>
                <w:szCs w:val="24"/>
              </w:rPr>
              <w:t>品目号</w:t>
            </w:r>
          </w:p>
        </w:tc>
        <w:tc>
          <w:tcPr>
            <w:tcW w:w="1384" w:type="dxa"/>
          </w:tcPr>
          <w:p w14:paraId="7C19A63E">
            <w:pPr>
              <w:pStyle w:val="64"/>
              <w:spacing w:line="360" w:lineRule="auto"/>
              <w:rPr>
                <w:rFonts w:hint="eastAsia" w:ascii="宋体" w:hAnsi="宋体" w:eastAsia="宋体" w:cs="宋体"/>
                <w:sz w:val="24"/>
                <w:szCs w:val="24"/>
              </w:rPr>
            </w:pPr>
            <w:r>
              <w:rPr>
                <w:rFonts w:hint="eastAsia" w:ascii="宋体" w:hAnsi="宋体" w:eastAsia="宋体" w:cs="宋体"/>
                <w:sz w:val="24"/>
                <w:szCs w:val="24"/>
              </w:rPr>
              <w:t>品目名称</w:t>
            </w:r>
          </w:p>
        </w:tc>
        <w:tc>
          <w:tcPr>
            <w:tcW w:w="1384" w:type="dxa"/>
          </w:tcPr>
          <w:p w14:paraId="3E8BE3E1">
            <w:pPr>
              <w:pStyle w:val="64"/>
              <w:spacing w:line="360" w:lineRule="auto"/>
              <w:rPr>
                <w:rFonts w:hint="eastAsia" w:ascii="宋体" w:hAnsi="宋体" w:eastAsia="宋体" w:cs="宋体"/>
                <w:sz w:val="24"/>
                <w:szCs w:val="24"/>
              </w:rPr>
            </w:pPr>
            <w:r>
              <w:rPr>
                <w:rFonts w:hint="eastAsia" w:ascii="宋体" w:hAnsi="宋体" w:eastAsia="宋体" w:cs="宋体"/>
                <w:sz w:val="24"/>
                <w:szCs w:val="24"/>
              </w:rPr>
              <w:t>采购标的</w:t>
            </w:r>
          </w:p>
        </w:tc>
        <w:tc>
          <w:tcPr>
            <w:tcW w:w="1384" w:type="dxa"/>
          </w:tcPr>
          <w:p w14:paraId="78C99660">
            <w:pPr>
              <w:pStyle w:val="64"/>
              <w:spacing w:line="360" w:lineRule="auto"/>
              <w:rPr>
                <w:rFonts w:hint="eastAsia" w:ascii="宋体" w:hAnsi="宋体" w:eastAsia="宋体" w:cs="宋体"/>
                <w:sz w:val="24"/>
                <w:szCs w:val="24"/>
              </w:rPr>
            </w:pPr>
            <w:r>
              <w:rPr>
                <w:rFonts w:hint="eastAsia" w:ascii="宋体" w:hAnsi="宋体" w:eastAsia="宋体" w:cs="宋体"/>
                <w:sz w:val="24"/>
                <w:szCs w:val="24"/>
              </w:rPr>
              <w:t>数量（单位）</w:t>
            </w:r>
          </w:p>
        </w:tc>
        <w:tc>
          <w:tcPr>
            <w:tcW w:w="1384" w:type="dxa"/>
          </w:tcPr>
          <w:p w14:paraId="1E1E1B9C">
            <w:pPr>
              <w:pStyle w:val="64"/>
              <w:spacing w:line="360" w:lineRule="auto"/>
              <w:rPr>
                <w:rFonts w:hint="eastAsia" w:ascii="宋体" w:hAnsi="宋体" w:eastAsia="宋体" w:cs="宋体"/>
                <w:sz w:val="24"/>
                <w:szCs w:val="24"/>
              </w:rPr>
            </w:pPr>
            <w:r>
              <w:rPr>
                <w:rFonts w:hint="eastAsia" w:ascii="宋体" w:hAnsi="宋体" w:eastAsia="宋体" w:cs="宋体"/>
                <w:sz w:val="24"/>
                <w:szCs w:val="24"/>
              </w:rPr>
              <w:t>技术规格、参数及要求</w:t>
            </w:r>
          </w:p>
        </w:tc>
        <w:tc>
          <w:tcPr>
            <w:tcW w:w="1384" w:type="dxa"/>
          </w:tcPr>
          <w:p w14:paraId="236087FF">
            <w:pPr>
              <w:pStyle w:val="64"/>
              <w:spacing w:line="360" w:lineRule="auto"/>
              <w:rPr>
                <w:rFonts w:hint="eastAsia" w:ascii="宋体" w:hAnsi="宋体" w:eastAsia="宋体" w:cs="宋体"/>
                <w:sz w:val="24"/>
                <w:szCs w:val="24"/>
              </w:rPr>
            </w:pPr>
            <w:r>
              <w:rPr>
                <w:rFonts w:hint="eastAsia" w:ascii="宋体" w:hAnsi="宋体" w:eastAsia="宋体" w:cs="宋体"/>
                <w:sz w:val="24"/>
                <w:szCs w:val="24"/>
              </w:rPr>
              <w:t>品目预算(元)</w:t>
            </w:r>
          </w:p>
        </w:tc>
      </w:tr>
      <w:tr w14:paraId="2828F63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384" w:type="dxa"/>
          </w:tcPr>
          <w:p w14:paraId="474B4CED">
            <w:pPr>
              <w:pStyle w:val="64"/>
              <w:spacing w:line="360" w:lineRule="auto"/>
              <w:rPr>
                <w:rFonts w:hint="eastAsia" w:ascii="宋体" w:hAnsi="宋体" w:eastAsia="宋体" w:cs="宋体"/>
                <w:sz w:val="24"/>
                <w:szCs w:val="24"/>
              </w:rPr>
            </w:pPr>
            <w:r>
              <w:rPr>
                <w:rFonts w:hint="eastAsia" w:ascii="宋体" w:hAnsi="宋体" w:eastAsia="宋体" w:cs="宋体"/>
                <w:sz w:val="24"/>
                <w:szCs w:val="24"/>
              </w:rPr>
              <w:t>10-1</w:t>
            </w:r>
          </w:p>
        </w:tc>
        <w:tc>
          <w:tcPr>
            <w:tcW w:w="1384" w:type="dxa"/>
          </w:tcPr>
          <w:p w14:paraId="4A9380FE">
            <w:pPr>
              <w:pStyle w:val="64"/>
              <w:spacing w:line="360" w:lineRule="auto"/>
              <w:rPr>
                <w:rFonts w:hint="eastAsia" w:ascii="宋体" w:hAnsi="宋体" w:eastAsia="宋体" w:cs="宋体"/>
                <w:sz w:val="24"/>
                <w:szCs w:val="24"/>
              </w:rPr>
            </w:pPr>
            <w:r>
              <w:rPr>
                <w:rFonts w:hint="eastAsia" w:ascii="宋体" w:hAnsi="宋体" w:eastAsia="宋体" w:cs="宋体"/>
                <w:sz w:val="24"/>
                <w:szCs w:val="24"/>
              </w:rPr>
              <w:t>林木抚育管理服务</w:t>
            </w:r>
          </w:p>
        </w:tc>
        <w:tc>
          <w:tcPr>
            <w:tcW w:w="1384" w:type="dxa"/>
          </w:tcPr>
          <w:p w14:paraId="7EDDB6B1">
            <w:pPr>
              <w:pStyle w:val="64"/>
              <w:spacing w:line="360" w:lineRule="auto"/>
              <w:rPr>
                <w:rFonts w:hint="eastAsia" w:ascii="宋体" w:hAnsi="宋体" w:eastAsia="宋体" w:cs="宋体"/>
                <w:sz w:val="24"/>
                <w:szCs w:val="24"/>
              </w:rPr>
            </w:pPr>
            <w:r>
              <w:rPr>
                <w:rFonts w:hint="eastAsia" w:ascii="宋体" w:hAnsi="宋体" w:eastAsia="宋体" w:cs="宋体"/>
                <w:sz w:val="24"/>
                <w:szCs w:val="24"/>
              </w:rPr>
              <w:t>10标段：马房子作业区退化林修复7、11、12、30小班827亩，修复方式为采伐+补植+修枝。</w:t>
            </w:r>
          </w:p>
        </w:tc>
        <w:tc>
          <w:tcPr>
            <w:tcW w:w="1384" w:type="dxa"/>
          </w:tcPr>
          <w:p w14:paraId="6B0EF20A">
            <w:pPr>
              <w:pStyle w:val="64"/>
              <w:spacing w:line="360" w:lineRule="auto"/>
              <w:rPr>
                <w:rFonts w:hint="eastAsia" w:ascii="宋体" w:hAnsi="宋体" w:eastAsia="宋体" w:cs="宋体"/>
                <w:sz w:val="24"/>
                <w:szCs w:val="24"/>
              </w:rPr>
            </w:pPr>
            <w:r>
              <w:rPr>
                <w:rFonts w:hint="eastAsia" w:ascii="宋体" w:hAnsi="宋体" w:eastAsia="宋体" w:cs="宋体"/>
                <w:sz w:val="24"/>
                <w:szCs w:val="24"/>
              </w:rPr>
              <w:t>827(亩)</w:t>
            </w:r>
          </w:p>
        </w:tc>
        <w:tc>
          <w:tcPr>
            <w:tcW w:w="1384" w:type="dxa"/>
          </w:tcPr>
          <w:p w14:paraId="5C858799">
            <w:pPr>
              <w:pStyle w:val="64"/>
              <w:spacing w:line="360" w:lineRule="auto"/>
              <w:rPr>
                <w:rFonts w:hint="eastAsia" w:ascii="宋体" w:hAnsi="宋体" w:eastAsia="宋体" w:cs="宋体"/>
                <w:sz w:val="24"/>
                <w:szCs w:val="24"/>
              </w:rPr>
            </w:pPr>
            <w:r>
              <w:rPr>
                <w:rFonts w:hint="eastAsia" w:ascii="宋体" w:hAnsi="宋体" w:eastAsia="宋体" w:cs="宋体"/>
                <w:sz w:val="24"/>
                <w:szCs w:val="24"/>
              </w:rPr>
              <w:t>详见采购文件</w:t>
            </w:r>
          </w:p>
        </w:tc>
        <w:tc>
          <w:tcPr>
            <w:tcW w:w="1384" w:type="dxa"/>
          </w:tcPr>
          <w:p w14:paraId="534B6622">
            <w:pPr>
              <w:pStyle w:val="64"/>
              <w:spacing w:line="360" w:lineRule="auto"/>
              <w:rPr>
                <w:rFonts w:hint="eastAsia" w:ascii="宋体" w:hAnsi="宋体" w:eastAsia="宋体" w:cs="宋体"/>
                <w:sz w:val="24"/>
                <w:szCs w:val="24"/>
              </w:rPr>
            </w:pPr>
            <w:r>
              <w:rPr>
                <w:rFonts w:hint="eastAsia" w:ascii="宋体" w:hAnsi="宋体" w:eastAsia="宋体" w:cs="宋体"/>
                <w:sz w:val="24"/>
                <w:szCs w:val="24"/>
              </w:rPr>
              <w:t>659,532.50</w:t>
            </w:r>
          </w:p>
        </w:tc>
      </w:tr>
    </w:tbl>
    <w:p w14:paraId="20EF956A">
      <w:pPr>
        <w:pStyle w:val="64"/>
        <w:spacing w:line="360" w:lineRule="auto"/>
        <w:rPr>
          <w:rFonts w:hint="eastAsia" w:ascii="宋体" w:hAnsi="宋体" w:eastAsia="宋体" w:cs="宋体"/>
          <w:sz w:val="24"/>
          <w:szCs w:val="24"/>
        </w:rPr>
      </w:pPr>
      <w:r>
        <w:rPr>
          <w:rFonts w:hint="eastAsia" w:ascii="宋体" w:hAnsi="宋体" w:eastAsia="宋体" w:cs="宋体"/>
          <w:sz w:val="24"/>
          <w:szCs w:val="24"/>
        </w:rPr>
        <w:t xml:space="preserve"> 本合同包不接受联合体投标</w:t>
      </w:r>
    </w:p>
    <w:p w14:paraId="5204005F">
      <w:pPr>
        <w:pStyle w:val="64"/>
        <w:spacing w:line="360" w:lineRule="auto"/>
        <w:rPr>
          <w:rFonts w:hint="eastAsia" w:ascii="宋体" w:hAnsi="宋体" w:eastAsia="宋体" w:cs="宋体"/>
          <w:sz w:val="24"/>
          <w:szCs w:val="24"/>
        </w:rPr>
      </w:pPr>
      <w:r>
        <w:rPr>
          <w:rFonts w:hint="eastAsia" w:ascii="宋体" w:hAnsi="宋体" w:eastAsia="宋体" w:cs="宋体"/>
          <w:sz w:val="24"/>
          <w:szCs w:val="24"/>
        </w:rPr>
        <w:t xml:space="preserve"> 合同履行期限：详见招标文件。</w:t>
      </w:r>
    </w:p>
    <w:p w14:paraId="7F65DE2F">
      <w:pPr>
        <w:pStyle w:val="64"/>
        <w:spacing w:line="360" w:lineRule="auto"/>
        <w:rPr>
          <w:rFonts w:hint="eastAsia" w:ascii="宋体" w:hAnsi="宋体" w:eastAsia="宋体" w:cs="宋体"/>
          <w:sz w:val="24"/>
          <w:szCs w:val="24"/>
        </w:rPr>
      </w:pPr>
      <w:r>
        <w:rPr>
          <w:rFonts w:hint="eastAsia" w:ascii="宋体" w:hAnsi="宋体" w:eastAsia="宋体" w:cs="宋体"/>
          <w:sz w:val="24"/>
          <w:szCs w:val="24"/>
        </w:rPr>
        <w:t>合同包11(11标段：马房子作业区退化林修复17、26、34、46、49、54、60小班819亩，修复方式为采伐+补植+修枝):</w:t>
      </w:r>
    </w:p>
    <w:p w14:paraId="0A7E7340">
      <w:pPr>
        <w:pStyle w:val="64"/>
        <w:spacing w:line="360" w:lineRule="auto"/>
        <w:ind w:firstLine="630"/>
        <w:rPr>
          <w:rFonts w:hint="eastAsia" w:ascii="宋体" w:hAnsi="宋体" w:eastAsia="宋体" w:cs="宋体"/>
          <w:sz w:val="24"/>
          <w:szCs w:val="24"/>
        </w:rPr>
      </w:pPr>
      <w:r>
        <w:rPr>
          <w:rFonts w:hint="eastAsia" w:ascii="宋体" w:hAnsi="宋体" w:eastAsia="宋体" w:cs="宋体"/>
          <w:sz w:val="24"/>
          <w:szCs w:val="24"/>
        </w:rPr>
        <w:t>合同包预算金额：639,667.20元</w:t>
      </w:r>
    </w:p>
    <w:p w14:paraId="356F4C0E">
      <w:pPr>
        <w:pStyle w:val="64"/>
        <w:spacing w:line="360" w:lineRule="auto"/>
        <w:ind w:firstLine="630"/>
        <w:rPr>
          <w:rFonts w:hint="eastAsia" w:ascii="宋体" w:hAnsi="宋体" w:eastAsia="宋体" w:cs="宋体"/>
          <w:sz w:val="24"/>
          <w:szCs w:val="24"/>
        </w:rPr>
      </w:pPr>
      <w:r>
        <w:rPr>
          <w:rFonts w:hint="eastAsia" w:ascii="宋体" w:hAnsi="宋体" w:eastAsia="宋体" w:cs="宋体"/>
          <w:sz w:val="24"/>
          <w:szCs w:val="24"/>
        </w:rPr>
        <w:t xml:space="preserve"> 合同包最高限价：639,667.20元</w:t>
      </w:r>
    </w:p>
    <w:tbl>
      <w:tblPr>
        <w:tblStyle w:val="29"/>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1384"/>
        <w:gridCol w:w="1384"/>
        <w:gridCol w:w="1384"/>
        <w:gridCol w:w="1384"/>
        <w:gridCol w:w="1384"/>
        <w:gridCol w:w="1416"/>
      </w:tblGrid>
      <w:tr w14:paraId="45EAFE7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384" w:type="dxa"/>
          </w:tcPr>
          <w:p w14:paraId="55B31D4E">
            <w:pPr>
              <w:pStyle w:val="64"/>
              <w:spacing w:line="360" w:lineRule="auto"/>
              <w:rPr>
                <w:rFonts w:hint="eastAsia" w:ascii="宋体" w:hAnsi="宋体" w:eastAsia="宋体" w:cs="宋体"/>
                <w:sz w:val="24"/>
                <w:szCs w:val="24"/>
              </w:rPr>
            </w:pPr>
            <w:r>
              <w:rPr>
                <w:rFonts w:hint="eastAsia" w:ascii="宋体" w:hAnsi="宋体" w:eastAsia="宋体" w:cs="宋体"/>
                <w:sz w:val="24"/>
                <w:szCs w:val="24"/>
              </w:rPr>
              <w:t>品目号</w:t>
            </w:r>
          </w:p>
        </w:tc>
        <w:tc>
          <w:tcPr>
            <w:tcW w:w="1384" w:type="dxa"/>
          </w:tcPr>
          <w:p w14:paraId="236FB197">
            <w:pPr>
              <w:pStyle w:val="64"/>
              <w:spacing w:line="360" w:lineRule="auto"/>
              <w:rPr>
                <w:rFonts w:hint="eastAsia" w:ascii="宋体" w:hAnsi="宋体" w:eastAsia="宋体" w:cs="宋体"/>
                <w:sz w:val="24"/>
                <w:szCs w:val="24"/>
              </w:rPr>
            </w:pPr>
            <w:r>
              <w:rPr>
                <w:rFonts w:hint="eastAsia" w:ascii="宋体" w:hAnsi="宋体" w:eastAsia="宋体" w:cs="宋体"/>
                <w:sz w:val="24"/>
                <w:szCs w:val="24"/>
              </w:rPr>
              <w:t>品目名称</w:t>
            </w:r>
          </w:p>
        </w:tc>
        <w:tc>
          <w:tcPr>
            <w:tcW w:w="1384" w:type="dxa"/>
          </w:tcPr>
          <w:p w14:paraId="3412EF16">
            <w:pPr>
              <w:pStyle w:val="64"/>
              <w:spacing w:line="360" w:lineRule="auto"/>
              <w:rPr>
                <w:rFonts w:hint="eastAsia" w:ascii="宋体" w:hAnsi="宋体" w:eastAsia="宋体" w:cs="宋体"/>
                <w:sz w:val="24"/>
                <w:szCs w:val="24"/>
              </w:rPr>
            </w:pPr>
            <w:r>
              <w:rPr>
                <w:rFonts w:hint="eastAsia" w:ascii="宋体" w:hAnsi="宋体" w:eastAsia="宋体" w:cs="宋体"/>
                <w:sz w:val="24"/>
                <w:szCs w:val="24"/>
              </w:rPr>
              <w:t>采购标的</w:t>
            </w:r>
          </w:p>
        </w:tc>
        <w:tc>
          <w:tcPr>
            <w:tcW w:w="1384" w:type="dxa"/>
          </w:tcPr>
          <w:p w14:paraId="1C37A120">
            <w:pPr>
              <w:pStyle w:val="64"/>
              <w:spacing w:line="360" w:lineRule="auto"/>
              <w:rPr>
                <w:rFonts w:hint="eastAsia" w:ascii="宋体" w:hAnsi="宋体" w:eastAsia="宋体" w:cs="宋体"/>
                <w:sz w:val="24"/>
                <w:szCs w:val="24"/>
              </w:rPr>
            </w:pPr>
            <w:r>
              <w:rPr>
                <w:rFonts w:hint="eastAsia" w:ascii="宋体" w:hAnsi="宋体" w:eastAsia="宋体" w:cs="宋体"/>
                <w:sz w:val="24"/>
                <w:szCs w:val="24"/>
              </w:rPr>
              <w:t>数量（单位）</w:t>
            </w:r>
          </w:p>
        </w:tc>
        <w:tc>
          <w:tcPr>
            <w:tcW w:w="1384" w:type="dxa"/>
          </w:tcPr>
          <w:p w14:paraId="7DCE2470">
            <w:pPr>
              <w:pStyle w:val="64"/>
              <w:spacing w:line="360" w:lineRule="auto"/>
              <w:rPr>
                <w:rFonts w:hint="eastAsia" w:ascii="宋体" w:hAnsi="宋体" w:eastAsia="宋体" w:cs="宋体"/>
                <w:sz w:val="24"/>
                <w:szCs w:val="24"/>
              </w:rPr>
            </w:pPr>
            <w:r>
              <w:rPr>
                <w:rFonts w:hint="eastAsia" w:ascii="宋体" w:hAnsi="宋体" w:eastAsia="宋体" w:cs="宋体"/>
                <w:sz w:val="24"/>
                <w:szCs w:val="24"/>
              </w:rPr>
              <w:t>技术规格、参数及要求</w:t>
            </w:r>
          </w:p>
        </w:tc>
        <w:tc>
          <w:tcPr>
            <w:tcW w:w="1384" w:type="dxa"/>
          </w:tcPr>
          <w:p w14:paraId="465FEF75">
            <w:pPr>
              <w:pStyle w:val="64"/>
              <w:spacing w:line="360" w:lineRule="auto"/>
              <w:rPr>
                <w:rFonts w:hint="eastAsia" w:ascii="宋体" w:hAnsi="宋体" w:eastAsia="宋体" w:cs="宋体"/>
                <w:sz w:val="24"/>
                <w:szCs w:val="24"/>
              </w:rPr>
            </w:pPr>
            <w:r>
              <w:rPr>
                <w:rFonts w:hint="eastAsia" w:ascii="宋体" w:hAnsi="宋体" w:eastAsia="宋体" w:cs="宋体"/>
                <w:sz w:val="24"/>
                <w:szCs w:val="24"/>
              </w:rPr>
              <w:t>品目预算(元)</w:t>
            </w:r>
          </w:p>
        </w:tc>
      </w:tr>
      <w:tr w14:paraId="7AA327A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384" w:type="dxa"/>
          </w:tcPr>
          <w:p w14:paraId="61A410DC">
            <w:pPr>
              <w:pStyle w:val="64"/>
              <w:spacing w:line="360" w:lineRule="auto"/>
              <w:rPr>
                <w:rFonts w:hint="eastAsia" w:ascii="宋体" w:hAnsi="宋体" w:eastAsia="宋体" w:cs="宋体"/>
                <w:sz w:val="24"/>
                <w:szCs w:val="24"/>
              </w:rPr>
            </w:pPr>
            <w:r>
              <w:rPr>
                <w:rFonts w:hint="eastAsia" w:ascii="宋体" w:hAnsi="宋体" w:eastAsia="宋体" w:cs="宋体"/>
                <w:sz w:val="24"/>
                <w:szCs w:val="24"/>
              </w:rPr>
              <w:t>11-1</w:t>
            </w:r>
          </w:p>
        </w:tc>
        <w:tc>
          <w:tcPr>
            <w:tcW w:w="1384" w:type="dxa"/>
          </w:tcPr>
          <w:p w14:paraId="054207DE">
            <w:pPr>
              <w:pStyle w:val="64"/>
              <w:spacing w:line="360" w:lineRule="auto"/>
              <w:rPr>
                <w:rFonts w:hint="eastAsia" w:ascii="宋体" w:hAnsi="宋体" w:eastAsia="宋体" w:cs="宋体"/>
                <w:sz w:val="24"/>
                <w:szCs w:val="24"/>
              </w:rPr>
            </w:pPr>
            <w:r>
              <w:rPr>
                <w:rFonts w:hint="eastAsia" w:ascii="宋体" w:hAnsi="宋体" w:eastAsia="宋体" w:cs="宋体"/>
                <w:sz w:val="24"/>
                <w:szCs w:val="24"/>
              </w:rPr>
              <w:t>林木抚育管理服务</w:t>
            </w:r>
          </w:p>
        </w:tc>
        <w:tc>
          <w:tcPr>
            <w:tcW w:w="1384" w:type="dxa"/>
          </w:tcPr>
          <w:p w14:paraId="353CF59A">
            <w:pPr>
              <w:pStyle w:val="64"/>
              <w:spacing w:line="360" w:lineRule="auto"/>
              <w:rPr>
                <w:rFonts w:hint="eastAsia" w:ascii="宋体" w:hAnsi="宋体" w:eastAsia="宋体" w:cs="宋体"/>
                <w:sz w:val="24"/>
                <w:szCs w:val="24"/>
              </w:rPr>
            </w:pPr>
            <w:r>
              <w:rPr>
                <w:rFonts w:hint="eastAsia" w:ascii="宋体" w:hAnsi="宋体" w:eastAsia="宋体" w:cs="宋体"/>
                <w:sz w:val="24"/>
                <w:szCs w:val="24"/>
              </w:rPr>
              <w:t>11标段：马房子作业区退化林修复17、26、34、46、49、54、60小班819亩，修复方式为采伐+补植+修枝。</w:t>
            </w:r>
          </w:p>
        </w:tc>
        <w:tc>
          <w:tcPr>
            <w:tcW w:w="1384" w:type="dxa"/>
          </w:tcPr>
          <w:p w14:paraId="3F316212">
            <w:pPr>
              <w:pStyle w:val="64"/>
              <w:spacing w:line="360" w:lineRule="auto"/>
              <w:rPr>
                <w:rFonts w:hint="eastAsia" w:ascii="宋体" w:hAnsi="宋体" w:eastAsia="宋体" w:cs="宋体"/>
                <w:sz w:val="24"/>
                <w:szCs w:val="24"/>
              </w:rPr>
            </w:pPr>
            <w:r>
              <w:rPr>
                <w:rFonts w:hint="eastAsia" w:ascii="宋体" w:hAnsi="宋体" w:eastAsia="宋体" w:cs="宋体"/>
                <w:sz w:val="24"/>
                <w:szCs w:val="24"/>
              </w:rPr>
              <w:t>819(亩)</w:t>
            </w:r>
          </w:p>
        </w:tc>
        <w:tc>
          <w:tcPr>
            <w:tcW w:w="1384" w:type="dxa"/>
          </w:tcPr>
          <w:p w14:paraId="4142C3DC">
            <w:pPr>
              <w:pStyle w:val="64"/>
              <w:spacing w:line="360" w:lineRule="auto"/>
              <w:rPr>
                <w:rFonts w:hint="eastAsia" w:ascii="宋体" w:hAnsi="宋体" w:eastAsia="宋体" w:cs="宋体"/>
                <w:sz w:val="24"/>
                <w:szCs w:val="24"/>
              </w:rPr>
            </w:pPr>
            <w:r>
              <w:rPr>
                <w:rFonts w:hint="eastAsia" w:ascii="宋体" w:hAnsi="宋体" w:eastAsia="宋体" w:cs="宋体"/>
                <w:sz w:val="24"/>
                <w:szCs w:val="24"/>
              </w:rPr>
              <w:t>详见采购文件</w:t>
            </w:r>
          </w:p>
        </w:tc>
        <w:tc>
          <w:tcPr>
            <w:tcW w:w="1384" w:type="dxa"/>
          </w:tcPr>
          <w:p w14:paraId="32B08331">
            <w:pPr>
              <w:pStyle w:val="64"/>
              <w:spacing w:line="360" w:lineRule="auto"/>
              <w:rPr>
                <w:rFonts w:hint="eastAsia" w:ascii="宋体" w:hAnsi="宋体" w:eastAsia="宋体" w:cs="宋体"/>
                <w:sz w:val="24"/>
                <w:szCs w:val="24"/>
              </w:rPr>
            </w:pPr>
            <w:r>
              <w:rPr>
                <w:rFonts w:hint="eastAsia" w:ascii="宋体" w:hAnsi="宋体" w:eastAsia="宋体" w:cs="宋体"/>
                <w:sz w:val="24"/>
                <w:szCs w:val="24"/>
              </w:rPr>
              <w:t>639,667.20</w:t>
            </w:r>
          </w:p>
        </w:tc>
      </w:tr>
    </w:tbl>
    <w:p w14:paraId="1F5C081C">
      <w:pPr>
        <w:pStyle w:val="64"/>
        <w:spacing w:line="360" w:lineRule="auto"/>
        <w:rPr>
          <w:rFonts w:hint="eastAsia" w:ascii="宋体" w:hAnsi="宋体" w:eastAsia="宋体" w:cs="宋体"/>
          <w:sz w:val="24"/>
          <w:szCs w:val="24"/>
        </w:rPr>
      </w:pPr>
      <w:r>
        <w:rPr>
          <w:rFonts w:hint="eastAsia" w:ascii="宋体" w:hAnsi="宋体" w:eastAsia="宋体" w:cs="宋体"/>
          <w:sz w:val="24"/>
          <w:szCs w:val="24"/>
        </w:rPr>
        <w:t xml:space="preserve"> 本合同包不接受联合体投标</w:t>
      </w:r>
    </w:p>
    <w:p w14:paraId="13D66261">
      <w:pPr>
        <w:pStyle w:val="64"/>
        <w:spacing w:line="360" w:lineRule="auto"/>
        <w:rPr>
          <w:rFonts w:hint="eastAsia" w:ascii="宋体" w:hAnsi="宋体" w:eastAsia="宋体" w:cs="宋体"/>
          <w:sz w:val="24"/>
          <w:szCs w:val="24"/>
        </w:rPr>
      </w:pPr>
      <w:r>
        <w:rPr>
          <w:rFonts w:hint="eastAsia" w:ascii="宋体" w:hAnsi="宋体" w:eastAsia="宋体" w:cs="宋体"/>
          <w:sz w:val="24"/>
          <w:szCs w:val="24"/>
        </w:rPr>
        <w:t xml:space="preserve"> 合同履行期限：详见招标文件。</w:t>
      </w:r>
    </w:p>
    <w:p w14:paraId="0F33430A">
      <w:pPr>
        <w:pStyle w:val="64"/>
        <w:spacing w:line="360" w:lineRule="auto"/>
        <w:rPr>
          <w:rFonts w:hint="eastAsia" w:ascii="宋体" w:hAnsi="宋体" w:eastAsia="宋体" w:cs="宋体"/>
          <w:sz w:val="24"/>
          <w:szCs w:val="24"/>
        </w:rPr>
      </w:pPr>
      <w:r>
        <w:rPr>
          <w:rFonts w:hint="eastAsia" w:ascii="宋体" w:hAnsi="宋体" w:eastAsia="宋体" w:cs="宋体"/>
          <w:sz w:val="24"/>
          <w:szCs w:val="24"/>
        </w:rPr>
        <w:t>合同包12(12标段：马房子作业区退化林修复45、48、61、77、82、86、97小班1055亩，修复方式为采伐+补植+修枝):</w:t>
      </w:r>
    </w:p>
    <w:p w14:paraId="24FAA7BB">
      <w:pPr>
        <w:pStyle w:val="64"/>
        <w:spacing w:line="360" w:lineRule="auto"/>
        <w:ind w:firstLine="630"/>
        <w:rPr>
          <w:rFonts w:hint="eastAsia" w:ascii="宋体" w:hAnsi="宋体" w:eastAsia="宋体" w:cs="宋体"/>
          <w:sz w:val="24"/>
          <w:szCs w:val="24"/>
        </w:rPr>
      </w:pPr>
      <w:r>
        <w:rPr>
          <w:rFonts w:hint="eastAsia" w:ascii="宋体" w:hAnsi="宋体" w:eastAsia="宋体" w:cs="宋体"/>
          <w:sz w:val="24"/>
          <w:szCs w:val="24"/>
        </w:rPr>
        <w:t>合同包预算金额：820,118.10元</w:t>
      </w:r>
    </w:p>
    <w:p w14:paraId="4251E2B6">
      <w:pPr>
        <w:pStyle w:val="64"/>
        <w:spacing w:line="360" w:lineRule="auto"/>
        <w:ind w:firstLine="630"/>
        <w:rPr>
          <w:rFonts w:hint="eastAsia" w:ascii="宋体" w:hAnsi="宋体" w:eastAsia="宋体" w:cs="宋体"/>
          <w:sz w:val="24"/>
          <w:szCs w:val="24"/>
        </w:rPr>
      </w:pPr>
      <w:r>
        <w:rPr>
          <w:rFonts w:hint="eastAsia" w:ascii="宋体" w:hAnsi="宋体" w:eastAsia="宋体" w:cs="宋体"/>
          <w:sz w:val="24"/>
          <w:szCs w:val="24"/>
        </w:rPr>
        <w:t xml:space="preserve"> 合同包最高限价：820,118.10元</w:t>
      </w:r>
    </w:p>
    <w:tbl>
      <w:tblPr>
        <w:tblStyle w:val="29"/>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1384"/>
        <w:gridCol w:w="1384"/>
        <w:gridCol w:w="1384"/>
        <w:gridCol w:w="1384"/>
        <w:gridCol w:w="1384"/>
        <w:gridCol w:w="1416"/>
      </w:tblGrid>
      <w:tr w14:paraId="62B9C3B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384" w:type="dxa"/>
          </w:tcPr>
          <w:p w14:paraId="0D44D05D">
            <w:pPr>
              <w:pStyle w:val="64"/>
              <w:spacing w:line="360" w:lineRule="auto"/>
              <w:rPr>
                <w:rFonts w:hint="eastAsia" w:ascii="宋体" w:hAnsi="宋体" w:eastAsia="宋体" w:cs="宋体"/>
                <w:sz w:val="24"/>
                <w:szCs w:val="24"/>
              </w:rPr>
            </w:pPr>
            <w:r>
              <w:rPr>
                <w:rFonts w:hint="eastAsia" w:ascii="宋体" w:hAnsi="宋体" w:eastAsia="宋体" w:cs="宋体"/>
                <w:sz w:val="24"/>
                <w:szCs w:val="24"/>
              </w:rPr>
              <w:t>品目号</w:t>
            </w:r>
          </w:p>
        </w:tc>
        <w:tc>
          <w:tcPr>
            <w:tcW w:w="1384" w:type="dxa"/>
          </w:tcPr>
          <w:p w14:paraId="5FE672F0">
            <w:pPr>
              <w:pStyle w:val="64"/>
              <w:spacing w:line="360" w:lineRule="auto"/>
              <w:rPr>
                <w:rFonts w:hint="eastAsia" w:ascii="宋体" w:hAnsi="宋体" w:eastAsia="宋体" w:cs="宋体"/>
                <w:sz w:val="24"/>
                <w:szCs w:val="24"/>
              </w:rPr>
            </w:pPr>
            <w:r>
              <w:rPr>
                <w:rFonts w:hint="eastAsia" w:ascii="宋体" w:hAnsi="宋体" w:eastAsia="宋体" w:cs="宋体"/>
                <w:sz w:val="24"/>
                <w:szCs w:val="24"/>
              </w:rPr>
              <w:t>品目名称</w:t>
            </w:r>
          </w:p>
        </w:tc>
        <w:tc>
          <w:tcPr>
            <w:tcW w:w="1384" w:type="dxa"/>
          </w:tcPr>
          <w:p w14:paraId="173A4408">
            <w:pPr>
              <w:pStyle w:val="64"/>
              <w:spacing w:line="360" w:lineRule="auto"/>
              <w:rPr>
                <w:rFonts w:hint="eastAsia" w:ascii="宋体" w:hAnsi="宋体" w:eastAsia="宋体" w:cs="宋体"/>
                <w:sz w:val="24"/>
                <w:szCs w:val="24"/>
              </w:rPr>
            </w:pPr>
            <w:r>
              <w:rPr>
                <w:rFonts w:hint="eastAsia" w:ascii="宋体" w:hAnsi="宋体" w:eastAsia="宋体" w:cs="宋体"/>
                <w:sz w:val="24"/>
                <w:szCs w:val="24"/>
              </w:rPr>
              <w:t>采购标的</w:t>
            </w:r>
          </w:p>
        </w:tc>
        <w:tc>
          <w:tcPr>
            <w:tcW w:w="1384" w:type="dxa"/>
          </w:tcPr>
          <w:p w14:paraId="64998615">
            <w:pPr>
              <w:pStyle w:val="64"/>
              <w:spacing w:line="360" w:lineRule="auto"/>
              <w:rPr>
                <w:rFonts w:hint="eastAsia" w:ascii="宋体" w:hAnsi="宋体" w:eastAsia="宋体" w:cs="宋体"/>
                <w:sz w:val="24"/>
                <w:szCs w:val="24"/>
              </w:rPr>
            </w:pPr>
            <w:r>
              <w:rPr>
                <w:rFonts w:hint="eastAsia" w:ascii="宋体" w:hAnsi="宋体" w:eastAsia="宋体" w:cs="宋体"/>
                <w:sz w:val="24"/>
                <w:szCs w:val="24"/>
              </w:rPr>
              <w:t>数量（单位）</w:t>
            </w:r>
          </w:p>
        </w:tc>
        <w:tc>
          <w:tcPr>
            <w:tcW w:w="1384" w:type="dxa"/>
          </w:tcPr>
          <w:p w14:paraId="7D84C4DD">
            <w:pPr>
              <w:pStyle w:val="64"/>
              <w:spacing w:line="360" w:lineRule="auto"/>
              <w:rPr>
                <w:rFonts w:hint="eastAsia" w:ascii="宋体" w:hAnsi="宋体" w:eastAsia="宋体" w:cs="宋体"/>
                <w:sz w:val="24"/>
                <w:szCs w:val="24"/>
              </w:rPr>
            </w:pPr>
            <w:r>
              <w:rPr>
                <w:rFonts w:hint="eastAsia" w:ascii="宋体" w:hAnsi="宋体" w:eastAsia="宋体" w:cs="宋体"/>
                <w:sz w:val="24"/>
                <w:szCs w:val="24"/>
              </w:rPr>
              <w:t>技术规格、参数及要求</w:t>
            </w:r>
          </w:p>
        </w:tc>
        <w:tc>
          <w:tcPr>
            <w:tcW w:w="1384" w:type="dxa"/>
          </w:tcPr>
          <w:p w14:paraId="2C663FCB">
            <w:pPr>
              <w:pStyle w:val="64"/>
              <w:spacing w:line="360" w:lineRule="auto"/>
              <w:rPr>
                <w:rFonts w:hint="eastAsia" w:ascii="宋体" w:hAnsi="宋体" w:eastAsia="宋体" w:cs="宋体"/>
                <w:sz w:val="24"/>
                <w:szCs w:val="24"/>
              </w:rPr>
            </w:pPr>
            <w:r>
              <w:rPr>
                <w:rFonts w:hint="eastAsia" w:ascii="宋体" w:hAnsi="宋体" w:eastAsia="宋体" w:cs="宋体"/>
                <w:sz w:val="24"/>
                <w:szCs w:val="24"/>
              </w:rPr>
              <w:t>品目预算(元)</w:t>
            </w:r>
          </w:p>
        </w:tc>
      </w:tr>
      <w:tr w14:paraId="5A29396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384" w:type="dxa"/>
          </w:tcPr>
          <w:p w14:paraId="69C7607B">
            <w:pPr>
              <w:pStyle w:val="64"/>
              <w:spacing w:line="360" w:lineRule="auto"/>
              <w:rPr>
                <w:rFonts w:hint="eastAsia" w:ascii="宋体" w:hAnsi="宋体" w:eastAsia="宋体" w:cs="宋体"/>
                <w:sz w:val="24"/>
                <w:szCs w:val="24"/>
              </w:rPr>
            </w:pPr>
            <w:r>
              <w:rPr>
                <w:rFonts w:hint="eastAsia" w:ascii="宋体" w:hAnsi="宋体" w:eastAsia="宋体" w:cs="宋体"/>
                <w:sz w:val="24"/>
                <w:szCs w:val="24"/>
              </w:rPr>
              <w:t>12-1</w:t>
            </w:r>
          </w:p>
        </w:tc>
        <w:tc>
          <w:tcPr>
            <w:tcW w:w="1384" w:type="dxa"/>
          </w:tcPr>
          <w:p w14:paraId="1520C136">
            <w:pPr>
              <w:pStyle w:val="64"/>
              <w:spacing w:line="360" w:lineRule="auto"/>
              <w:rPr>
                <w:rFonts w:hint="eastAsia" w:ascii="宋体" w:hAnsi="宋体" w:eastAsia="宋体" w:cs="宋体"/>
                <w:sz w:val="24"/>
                <w:szCs w:val="24"/>
              </w:rPr>
            </w:pPr>
            <w:r>
              <w:rPr>
                <w:rFonts w:hint="eastAsia" w:ascii="宋体" w:hAnsi="宋体" w:eastAsia="宋体" w:cs="宋体"/>
                <w:sz w:val="24"/>
                <w:szCs w:val="24"/>
              </w:rPr>
              <w:t>林木抚育管理服务</w:t>
            </w:r>
          </w:p>
        </w:tc>
        <w:tc>
          <w:tcPr>
            <w:tcW w:w="1384" w:type="dxa"/>
          </w:tcPr>
          <w:p w14:paraId="5907AFC6">
            <w:pPr>
              <w:pStyle w:val="64"/>
              <w:spacing w:line="360" w:lineRule="auto"/>
              <w:rPr>
                <w:rFonts w:hint="eastAsia" w:ascii="宋体" w:hAnsi="宋体" w:eastAsia="宋体" w:cs="宋体"/>
                <w:sz w:val="24"/>
                <w:szCs w:val="24"/>
              </w:rPr>
            </w:pPr>
            <w:r>
              <w:rPr>
                <w:rFonts w:hint="eastAsia" w:ascii="宋体" w:hAnsi="宋体" w:eastAsia="宋体" w:cs="宋体"/>
                <w:sz w:val="24"/>
                <w:szCs w:val="24"/>
              </w:rPr>
              <w:t>12标段：马房子作业区退化林修复45、48、61、77、82、86、97小班1055亩，修复方式为采伐+补植+修枝。</w:t>
            </w:r>
          </w:p>
        </w:tc>
        <w:tc>
          <w:tcPr>
            <w:tcW w:w="1384" w:type="dxa"/>
          </w:tcPr>
          <w:p w14:paraId="39F71436">
            <w:pPr>
              <w:pStyle w:val="64"/>
              <w:spacing w:line="360" w:lineRule="auto"/>
              <w:rPr>
                <w:rFonts w:hint="eastAsia" w:ascii="宋体" w:hAnsi="宋体" w:eastAsia="宋体" w:cs="宋体"/>
                <w:sz w:val="24"/>
                <w:szCs w:val="24"/>
              </w:rPr>
            </w:pPr>
            <w:r>
              <w:rPr>
                <w:rFonts w:hint="eastAsia" w:ascii="宋体" w:hAnsi="宋体" w:eastAsia="宋体" w:cs="宋体"/>
                <w:sz w:val="24"/>
                <w:szCs w:val="24"/>
              </w:rPr>
              <w:t>1,055(亩)</w:t>
            </w:r>
          </w:p>
        </w:tc>
        <w:tc>
          <w:tcPr>
            <w:tcW w:w="1384" w:type="dxa"/>
          </w:tcPr>
          <w:p w14:paraId="0268C59A">
            <w:pPr>
              <w:pStyle w:val="64"/>
              <w:spacing w:line="360" w:lineRule="auto"/>
              <w:rPr>
                <w:rFonts w:hint="eastAsia" w:ascii="宋体" w:hAnsi="宋体" w:eastAsia="宋体" w:cs="宋体"/>
                <w:sz w:val="24"/>
                <w:szCs w:val="24"/>
              </w:rPr>
            </w:pPr>
            <w:r>
              <w:rPr>
                <w:rFonts w:hint="eastAsia" w:ascii="宋体" w:hAnsi="宋体" w:eastAsia="宋体" w:cs="宋体"/>
                <w:sz w:val="24"/>
                <w:szCs w:val="24"/>
              </w:rPr>
              <w:t>详见采购文件</w:t>
            </w:r>
          </w:p>
        </w:tc>
        <w:tc>
          <w:tcPr>
            <w:tcW w:w="1384" w:type="dxa"/>
          </w:tcPr>
          <w:p w14:paraId="23B952BF">
            <w:pPr>
              <w:pStyle w:val="64"/>
              <w:spacing w:line="360" w:lineRule="auto"/>
              <w:rPr>
                <w:rFonts w:hint="eastAsia" w:ascii="宋体" w:hAnsi="宋体" w:eastAsia="宋体" w:cs="宋体"/>
                <w:sz w:val="24"/>
                <w:szCs w:val="24"/>
              </w:rPr>
            </w:pPr>
            <w:r>
              <w:rPr>
                <w:rFonts w:hint="eastAsia" w:ascii="宋体" w:hAnsi="宋体" w:eastAsia="宋体" w:cs="宋体"/>
                <w:sz w:val="24"/>
                <w:szCs w:val="24"/>
              </w:rPr>
              <w:t>820,118.10</w:t>
            </w:r>
          </w:p>
        </w:tc>
      </w:tr>
    </w:tbl>
    <w:p w14:paraId="4C6F2BC9">
      <w:pPr>
        <w:pStyle w:val="64"/>
        <w:spacing w:line="360" w:lineRule="auto"/>
        <w:rPr>
          <w:rFonts w:hint="eastAsia" w:ascii="宋体" w:hAnsi="宋体" w:eastAsia="宋体" w:cs="宋体"/>
          <w:sz w:val="24"/>
          <w:szCs w:val="24"/>
        </w:rPr>
      </w:pPr>
      <w:r>
        <w:rPr>
          <w:rFonts w:hint="eastAsia" w:ascii="宋体" w:hAnsi="宋体" w:eastAsia="宋体" w:cs="宋体"/>
          <w:sz w:val="24"/>
          <w:szCs w:val="24"/>
        </w:rPr>
        <w:t xml:space="preserve"> 本合同包不接受联合体投标</w:t>
      </w:r>
    </w:p>
    <w:p w14:paraId="08336BD9">
      <w:pPr>
        <w:pStyle w:val="64"/>
        <w:spacing w:line="360" w:lineRule="auto"/>
        <w:rPr>
          <w:rFonts w:hint="eastAsia" w:ascii="宋体" w:hAnsi="宋体" w:eastAsia="宋体" w:cs="宋体"/>
          <w:sz w:val="24"/>
          <w:szCs w:val="24"/>
        </w:rPr>
      </w:pPr>
      <w:r>
        <w:rPr>
          <w:rFonts w:hint="eastAsia" w:ascii="宋体" w:hAnsi="宋体" w:eastAsia="宋体" w:cs="宋体"/>
          <w:sz w:val="24"/>
          <w:szCs w:val="24"/>
        </w:rPr>
        <w:t xml:space="preserve"> 合同履行期限：详见招标文件。</w:t>
      </w:r>
    </w:p>
    <w:p w14:paraId="203A0349">
      <w:pPr>
        <w:pStyle w:val="64"/>
        <w:spacing w:line="360" w:lineRule="auto"/>
        <w:rPr>
          <w:rFonts w:hint="eastAsia" w:ascii="宋体" w:hAnsi="宋体" w:eastAsia="宋体" w:cs="宋体"/>
          <w:sz w:val="24"/>
          <w:szCs w:val="24"/>
        </w:rPr>
      </w:pPr>
      <w:r>
        <w:rPr>
          <w:rFonts w:hint="eastAsia" w:ascii="宋体" w:hAnsi="宋体" w:eastAsia="宋体" w:cs="宋体"/>
          <w:sz w:val="24"/>
          <w:szCs w:val="24"/>
        </w:rPr>
        <w:t>合同包13(13标段：马房子作业区退化林修复33、35、51小班937亩，修复方式为采伐+补植+修枝):</w:t>
      </w:r>
    </w:p>
    <w:p w14:paraId="7125E869">
      <w:pPr>
        <w:pStyle w:val="64"/>
        <w:spacing w:line="360" w:lineRule="auto"/>
        <w:ind w:firstLine="630"/>
        <w:rPr>
          <w:rFonts w:hint="eastAsia" w:ascii="宋体" w:hAnsi="宋体" w:eastAsia="宋体" w:cs="宋体"/>
          <w:sz w:val="24"/>
          <w:szCs w:val="24"/>
        </w:rPr>
      </w:pPr>
      <w:r>
        <w:rPr>
          <w:rFonts w:hint="eastAsia" w:ascii="宋体" w:hAnsi="宋体" w:eastAsia="宋体" w:cs="宋体"/>
          <w:sz w:val="24"/>
          <w:szCs w:val="24"/>
        </w:rPr>
        <w:t>合同包预算金额：718,686.00元</w:t>
      </w:r>
    </w:p>
    <w:p w14:paraId="4078F0F3">
      <w:pPr>
        <w:pStyle w:val="64"/>
        <w:spacing w:line="360" w:lineRule="auto"/>
        <w:ind w:firstLine="630"/>
        <w:rPr>
          <w:rFonts w:hint="eastAsia" w:ascii="宋体" w:hAnsi="宋体" w:eastAsia="宋体" w:cs="宋体"/>
          <w:sz w:val="24"/>
          <w:szCs w:val="24"/>
        </w:rPr>
      </w:pPr>
      <w:r>
        <w:rPr>
          <w:rFonts w:hint="eastAsia" w:ascii="宋体" w:hAnsi="宋体" w:eastAsia="宋体" w:cs="宋体"/>
          <w:sz w:val="24"/>
          <w:szCs w:val="24"/>
        </w:rPr>
        <w:t xml:space="preserve"> 合同包最高限价：718,686.00元</w:t>
      </w:r>
    </w:p>
    <w:tbl>
      <w:tblPr>
        <w:tblStyle w:val="29"/>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1384"/>
        <w:gridCol w:w="1384"/>
        <w:gridCol w:w="1384"/>
        <w:gridCol w:w="1384"/>
        <w:gridCol w:w="1384"/>
        <w:gridCol w:w="1416"/>
      </w:tblGrid>
      <w:tr w14:paraId="215EDA9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384" w:type="dxa"/>
          </w:tcPr>
          <w:p w14:paraId="60622092">
            <w:pPr>
              <w:pStyle w:val="64"/>
              <w:spacing w:line="360" w:lineRule="auto"/>
              <w:rPr>
                <w:rFonts w:hint="eastAsia" w:ascii="宋体" w:hAnsi="宋体" w:eastAsia="宋体" w:cs="宋体"/>
                <w:sz w:val="24"/>
                <w:szCs w:val="24"/>
              </w:rPr>
            </w:pPr>
            <w:r>
              <w:rPr>
                <w:rFonts w:hint="eastAsia" w:ascii="宋体" w:hAnsi="宋体" w:eastAsia="宋体" w:cs="宋体"/>
                <w:sz w:val="24"/>
                <w:szCs w:val="24"/>
              </w:rPr>
              <w:t>品目号</w:t>
            </w:r>
          </w:p>
        </w:tc>
        <w:tc>
          <w:tcPr>
            <w:tcW w:w="1384" w:type="dxa"/>
          </w:tcPr>
          <w:p w14:paraId="4E53523A">
            <w:pPr>
              <w:pStyle w:val="64"/>
              <w:spacing w:line="360" w:lineRule="auto"/>
              <w:rPr>
                <w:rFonts w:hint="eastAsia" w:ascii="宋体" w:hAnsi="宋体" w:eastAsia="宋体" w:cs="宋体"/>
                <w:sz w:val="24"/>
                <w:szCs w:val="24"/>
              </w:rPr>
            </w:pPr>
            <w:r>
              <w:rPr>
                <w:rFonts w:hint="eastAsia" w:ascii="宋体" w:hAnsi="宋体" w:eastAsia="宋体" w:cs="宋体"/>
                <w:sz w:val="24"/>
                <w:szCs w:val="24"/>
              </w:rPr>
              <w:t>品目名称</w:t>
            </w:r>
          </w:p>
        </w:tc>
        <w:tc>
          <w:tcPr>
            <w:tcW w:w="1384" w:type="dxa"/>
          </w:tcPr>
          <w:p w14:paraId="3A9502F6">
            <w:pPr>
              <w:pStyle w:val="64"/>
              <w:spacing w:line="360" w:lineRule="auto"/>
              <w:rPr>
                <w:rFonts w:hint="eastAsia" w:ascii="宋体" w:hAnsi="宋体" w:eastAsia="宋体" w:cs="宋体"/>
                <w:sz w:val="24"/>
                <w:szCs w:val="24"/>
              </w:rPr>
            </w:pPr>
            <w:r>
              <w:rPr>
                <w:rFonts w:hint="eastAsia" w:ascii="宋体" w:hAnsi="宋体" w:eastAsia="宋体" w:cs="宋体"/>
                <w:sz w:val="24"/>
                <w:szCs w:val="24"/>
              </w:rPr>
              <w:t>采购标的</w:t>
            </w:r>
          </w:p>
        </w:tc>
        <w:tc>
          <w:tcPr>
            <w:tcW w:w="1384" w:type="dxa"/>
          </w:tcPr>
          <w:p w14:paraId="51E88AF5">
            <w:pPr>
              <w:pStyle w:val="64"/>
              <w:spacing w:line="360" w:lineRule="auto"/>
              <w:rPr>
                <w:rFonts w:hint="eastAsia" w:ascii="宋体" w:hAnsi="宋体" w:eastAsia="宋体" w:cs="宋体"/>
                <w:sz w:val="24"/>
                <w:szCs w:val="24"/>
              </w:rPr>
            </w:pPr>
            <w:r>
              <w:rPr>
                <w:rFonts w:hint="eastAsia" w:ascii="宋体" w:hAnsi="宋体" w:eastAsia="宋体" w:cs="宋体"/>
                <w:sz w:val="24"/>
                <w:szCs w:val="24"/>
              </w:rPr>
              <w:t>数量（单位）</w:t>
            </w:r>
          </w:p>
        </w:tc>
        <w:tc>
          <w:tcPr>
            <w:tcW w:w="1384" w:type="dxa"/>
          </w:tcPr>
          <w:p w14:paraId="25BEF8ED">
            <w:pPr>
              <w:pStyle w:val="64"/>
              <w:spacing w:line="360" w:lineRule="auto"/>
              <w:rPr>
                <w:rFonts w:hint="eastAsia" w:ascii="宋体" w:hAnsi="宋体" w:eastAsia="宋体" w:cs="宋体"/>
                <w:sz w:val="24"/>
                <w:szCs w:val="24"/>
              </w:rPr>
            </w:pPr>
            <w:r>
              <w:rPr>
                <w:rFonts w:hint="eastAsia" w:ascii="宋体" w:hAnsi="宋体" w:eastAsia="宋体" w:cs="宋体"/>
                <w:sz w:val="24"/>
                <w:szCs w:val="24"/>
              </w:rPr>
              <w:t>技术规格、参数及要求</w:t>
            </w:r>
          </w:p>
        </w:tc>
        <w:tc>
          <w:tcPr>
            <w:tcW w:w="1384" w:type="dxa"/>
          </w:tcPr>
          <w:p w14:paraId="7D924A72">
            <w:pPr>
              <w:pStyle w:val="64"/>
              <w:spacing w:line="360" w:lineRule="auto"/>
              <w:rPr>
                <w:rFonts w:hint="eastAsia" w:ascii="宋体" w:hAnsi="宋体" w:eastAsia="宋体" w:cs="宋体"/>
                <w:sz w:val="24"/>
                <w:szCs w:val="24"/>
              </w:rPr>
            </w:pPr>
            <w:r>
              <w:rPr>
                <w:rFonts w:hint="eastAsia" w:ascii="宋体" w:hAnsi="宋体" w:eastAsia="宋体" w:cs="宋体"/>
                <w:sz w:val="24"/>
                <w:szCs w:val="24"/>
              </w:rPr>
              <w:t>品目预算(元)</w:t>
            </w:r>
          </w:p>
        </w:tc>
      </w:tr>
      <w:tr w14:paraId="2EF581D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384" w:type="dxa"/>
          </w:tcPr>
          <w:p w14:paraId="3EF44195">
            <w:pPr>
              <w:pStyle w:val="64"/>
              <w:spacing w:line="360" w:lineRule="auto"/>
              <w:rPr>
                <w:rFonts w:hint="eastAsia" w:ascii="宋体" w:hAnsi="宋体" w:eastAsia="宋体" w:cs="宋体"/>
                <w:sz w:val="24"/>
                <w:szCs w:val="24"/>
              </w:rPr>
            </w:pPr>
            <w:r>
              <w:rPr>
                <w:rFonts w:hint="eastAsia" w:ascii="宋体" w:hAnsi="宋体" w:eastAsia="宋体" w:cs="宋体"/>
                <w:sz w:val="24"/>
                <w:szCs w:val="24"/>
              </w:rPr>
              <w:t>13-1</w:t>
            </w:r>
          </w:p>
        </w:tc>
        <w:tc>
          <w:tcPr>
            <w:tcW w:w="1384" w:type="dxa"/>
          </w:tcPr>
          <w:p w14:paraId="5DC7F42C">
            <w:pPr>
              <w:pStyle w:val="64"/>
              <w:spacing w:line="360" w:lineRule="auto"/>
              <w:rPr>
                <w:rFonts w:hint="eastAsia" w:ascii="宋体" w:hAnsi="宋体" w:eastAsia="宋体" w:cs="宋体"/>
                <w:sz w:val="24"/>
                <w:szCs w:val="24"/>
              </w:rPr>
            </w:pPr>
            <w:r>
              <w:rPr>
                <w:rFonts w:hint="eastAsia" w:ascii="宋体" w:hAnsi="宋体" w:eastAsia="宋体" w:cs="宋体"/>
                <w:sz w:val="24"/>
                <w:szCs w:val="24"/>
              </w:rPr>
              <w:t>林木抚育管理服务</w:t>
            </w:r>
          </w:p>
        </w:tc>
        <w:tc>
          <w:tcPr>
            <w:tcW w:w="1384" w:type="dxa"/>
          </w:tcPr>
          <w:p w14:paraId="5DC198B9">
            <w:pPr>
              <w:pStyle w:val="64"/>
              <w:spacing w:line="360" w:lineRule="auto"/>
              <w:rPr>
                <w:rFonts w:hint="eastAsia" w:ascii="宋体" w:hAnsi="宋体" w:eastAsia="宋体" w:cs="宋体"/>
                <w:sz w:val="24"/>
                <w:szCs w:val="24"/>
              </w:rPr>
            </w:pPr>
            <w:r>
              <w:rPr>
                <w:rFonts w:hint="eastAsia" w:ascii="宋体" w:hAnsi="宋体" w:eastAsia="宋体" w:cs="宋体"/>
                <w:sz w:val="24"/>
                <w:szCs w:val="24"/>
              </w:rPr>
              <w:t>13标段：马房子作业区退化林修复33、35、51小班937亩，修复方式为采伐+补植+修枝。</w:t>
            </w:r>
          </w:p>
        </w:tc>
        <w:tc>
          <w:tcPr>
            <w:tcW w:w="1384" w:type="dxa"/>
          </w:tcPr>
          <w:p w14:paraId="3E8F5536">
            <w:pPr>
              <w:pStyle w:val="64"/>
              <w:spacing w:line="360" w:lineRule="auto"/>
              <w:rPr>
                <w:rFonts w:hint="eastAsia" w:ascii="宋体" w:hAnsi="宋体" w:eastAsia="宋体" w:cs="宋体"/>
                <w:sz w:val="24"/>
                <w:szCs w:val="24"/>
              </w:rPr>
            </w:pPr>
            <w:r>
              <w:rPr>
                <w:rFonts w:hint="eastAsia" w:ascii="宋体" w:hAnsi="宋体" w:eastAsia="宋体" w:cs="宋体"/>
                <w:sz w:val="24"/>
                <w:szCs w:val="24"/>
              </w:rPr>
              <w:t>937(亩)</w:t>
            </w:r>
          </w:p>
        </w:tc>
        <w:tc>
          <w:tcPr>
            <w:tcW w:w="1384" w:type="dxa"/>
          </w:tcPr>
          <w:p w14:paraId="68D6B473">
            <w:pPr>
              <w:pStyle w:val="64"/>
              <w:spacing w:line="360" w:lineRule="auto"/>
              <w:rPr>
                <w:rFonts w:hint="eastAsia" w:ascii="宋体" w:hAnsi="宋体" w:eastAsia="宋体" w:cs="宋体"/>
                <w:sz w:val="24"/>
                <w:szCs w:val="24"/>
              </w:rPr>
            </w:pPr>
            <w:r>
              <w:rPr>
                <w:rFonts w:hint="eastAsia" w:ascii="宋体" w:hAnsi="宋体" w:eastAsia="宋体" w:cs="宋体"/>
                <w:sz w:val="24"/>
                <w:szCs w:val="24"/>
              </w:rPr>
              <w:t>详见采购文件</w:t>
            </w:r>
          </w:p>
        </w:tc>
        <w:tc>
          <w:tcPr>
            <w:tcW w:w="1384" w:type="dxa"/>
          </w:tcPr>
          <w:p w14:paraId="1744D74B">
            <w:pPr>
              <w:pStyle w:val="64"/>
              <w:spacing w:line="360" w:lineRule="auto"/>
              <w:rPr>
                <w:rFonts w:hint="eastAsia" w:ascii="宋体" w:hAnsi="宋体" w:eastAsia="宋体" w:cs="宋体"/>
                <w:sz w:val="24"/>
                <w:szCs w:val="24"/>
              </w:rPr>
            </w:pPr>
            <w:r>
              <w:rPr>
                <w:rFonts w:hint="eastAsia" w:ascii="宋体" w:hAnsi="宋体" w:eastAsia="宋体" w:cs="宋体"/>
                <w:sz w:val="24"/>
                <w:szCs w:val="24"/>
              </w:rPr>
              <w:t>718,686.00</w:t>
            </w:r>
          </w:p>
        </w:tc>
      </w:tr>
    </w:tbl>
    <w:p w14:paraId="51135413">
      <w:pPr>
        <w:pStyle w:val="64"/>
        <w:spacing w:line="360" w:lineRule="auto"/>
        <w:rPr>
          <w:rFonts w:hint="eastAsia" w:ascii="宋体" w:hAnsi="宋体" w:eastAsia="宋体" w:cs="宋体"/>
          <w:sz w:val="24"/>
          <w:szCs w:val="24"/>
        </w:rPr>
      </w:pPr>
      <w:r>
        <w:rPr>
          <w:rFonts w:hint="eastAsia" w:ascii="宋体" w:hAnsi="宋体" w:eastAsia="宋体" w:cs="宋体"/>
          <w:sz w:val="24"/>
          <w:szCs w:val="24"/>
        </w:rPr>
        <w:t xml:space="preserve"> 本合同包不接受联合体投标</w:t>
      </w:r>
    </w:p>
    <w:p w14:paraId="048903DA">
      <w:pPr>
        <w:pStyle w:val="64"/>
        <w:spacing w:line="360" w:lineRule="auto"/>
        <w:rPr>
          <w:rFonts w:hint="eastAsia" w:ascii="宋体" w:hAnsi="宋体" w:eastAsia="宋体" w:cs="宋体"/>
          <w:sz w:val="24"/>
          <w:szCs w:val="24"/>
        </w:rPr>
      </w:pPr>
      <w:r>
        <w:rPr>
          <w:rFonts w:hint="eastAsia" w:ascii="宋体" w:hAnsi="宋体" w:eastAsia="宋体" w:cs="宋体"/>
          <w:sz w:val="24"/>
          <w:szCs w:val="24"/>
        </w:rPr>
        <w:t xml:space="preserve"> 合同履行期限：详见招标文件。</w:t>
      </w:r>
    </w:p>
    <w:p w14:paraId="7937A6EE">
      <w:pPr>
        <w:pStyle w:val="64"/>
        <w:spacing w:line="360" w:lineRule="auto"/>
        <w:rPr>
          <w:rFonts w:hint="eastAsia" w:ascii="宋体" w:hAnsi="宋体" w:eastAsia="宋体" w:cs="宋体"/>
          <w:sz w:val="24"/>
          <w:szCs w:val="24"/>
        </w:rPr>
      </w:pPr>
      <w:r>
        <w:rPr>
          <w:rFonts w:hint="eastAsia" w:ascii="宋体" w:hAnsi="宋体" w:eastAsia="宋体" w:cs="宋体"/>
          <w:sz w:val="24"/>
          <w:szCs w:val="24"/>
        </w:rPr>
        <w:t>合同包14(14标段：马房子作业区退化林修复73、87、99、100、110小班957亩，修复方式为采伐+补植+修枝):</w:t>
      </w:r>
    </w:p>
    <w:p w14:paraId="2B62FD4F">
      <w:pPr>
        <w:pStyle w:val="64"/>
        <w:spacing w:line="360" w:lineRule="auto"/>
        <w:ind w:firstLine="630"/>
        <w:rPr>
          <w:rFonts w:hint="eastAsia" w:ascii="宋体" w:hAnsi="宋体" w:eastAsia="宋体" w:cs="宋体"/>
          <w:sz w:val="24"/>
          <w:szCs w:val="24"/>
        </w:rPr>
      </w:pPr>
      <w:r>
        <w:rPr>
          <w:rFonts w:hint="eastAsia" w:ascii="宋体" w:hAnsi="宋体" w:eastAsia="宋体" w:cs="宋体"/>
          <w:sz w:val="24"/>
          <w:szCs w:val="24"/>
        </w:rPr>
        <w:t>合同包预算金额：738,601.50元</w:t>
      </w:r>
    </w:p>
    <w:p w14:paraId="00858F8C">
      <w:pPr>
        <w:pStyle w:val="64"/>
        <w:spacing w:line="360" w:lineRule="auto"/>
        <w:ind w:firstLine="630"/>
        <w:rPr>
          <w:rFonts w:hint="eastAsia" w:ascii="宋体" w:hAnsi="宋体" w:eastAsia="宋体" w:cs="宋体"/>
          <w:sz w:val="24"/>
          <w:szCs w:val="24"/>
        </w:rPr>
      </w:pPr>
      <w:r>
        <w:rPr>
          <w:rFonts w:hint="eastAsia" w:ascii="宋体" w:hAnsi="宋体" w:eastAsia="宋体" w:cs="宋体"/>
          <w:sz w:val="24"/>
          <w:szCs w:val="24"/>
        </w:rPr>
        <w:t xml:space="preserve"> 合同包最高限价：738,601.50元</w:t>
      </w:r>
    </w:p>
    <w:tbl>
      <w:tblPr>
        <w:tblStyle w:val="29"/>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1384"/>
        <w:gridCol w:w="1384"/>
        <w:gridCol w:w="1384"/>
        <w:gridCol w:w="1384"/>
        <w:gridCol w:w="1384"/>
        <w:gridCol w:w="1416"/>
      </w:tblGrid>
      <w:tr w14:paraId="24A3DDA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384" w:type="dxa"/>
          </w:tcPr>
          <w:p w14:paraId="336881EE">
            <w:pPr>
              <w:pStyle w:val="64"/>
              <w:spacing w:line="360" w:lineRule="auto"/>
              <w:rPr>
                <w:rFonts w:hint="eastAsia" w:ascii="宋体" w:hAnsi="宋体" w:eastAsia="宋体" w:cs="宋体"/>
                <w:sz w:val="24"/>
                <w:szCs w:val="24"/>
              </w:rPr>
            </w:pPr>
            <w:r>
              <w:rPr>
                <w:rFonts w:hint="eastAsia" w:ascii="宋体" w:hAnsi="宋体" w:eastAsia="宋体" w:cs="宋体"/>
                <w:sz w:val="24"/>
                <w:szCs w:val="24"/>
              </w:rPr>
              <w:t>品目号</w:t>
            </w:r>
          </w:p>
        </w:tc>
        <w:tc>
          <w:tcPr>
            <w:tcW w:w="1384" w:type="dxa"/>
          </w:tcPr>
          <w:p w14:paraId="3C92A5D9">
            <w:pPr>
              <w:pStyle w:val="64"/>
              <w:spacing w:line="360" w:lineRule="auto"/>
              <w:rPr>
                <w:rFonts w:hint="eastAsia" w:ascii="宋体" w:hAnsi="宋体" w:eastAsia="宋体" w:cs="宋体"/>
                <w:sz w:val="24"/>
                <w:szCs w:val="24"/>
              </w:rPr>
            </w:pPr>
            <w:r>
              <w:rPr>
                <w:rFonts w:hint="eastAsia" w:ascii="宋体" w:hAnsi="宋体" w:eastAsia="宋体" w:cs="宋体"/>
                <w:sz w:val="24"/>
                <w:szCs w:val="24"/>
              </w:rPr>
              <w:t>品目名称</w:t>
            </w:r>
          </w:p>
        </w:tc>
        <w:tc>
          <w:tcPr>
            <w:tcW w:w="1384" w:type="dxa"/>
          </w:tcPr>
          <w:p w14:paraId="4D368AE4">
            <w:pPr>
              <w:pStyle w:val="64"/>
              <w:spacing w:line="360" w:lineRule="auto"/>
              <w:rPr>
                <w:rFonts w:hint="eastAsia" w:ascii="宋体" w:hAnsi="宋体" w:eastAsia="宋体" w:cs="宋体"/>
                <w:sz w:val="24"/>
                <w:szCs w:val="24"/>
              </w:rPr>
            </w:pPr>
            <w:r>
              <w:rPr>
                <w:rFonts w:hint="eastAsia" w:ascii="宋体" w:hAnsi="宋体" w:eastAsia="宋体" w:cs="宋体"/>
                <w:sz w:val="24"/>
                <w:szCs w:val="24"/>
              </w:rPr>
              <w:t>采购标的</w:t>
            </w:r>
          </w:p>
        </w:tc>
        <w:tc>
          <w:tcPr>
            <w:tcW w:w="1384" w:type="dxa"/>
          </w:tcPr>
          <w:p w14:paraId="1DA3C763">
            <w:pPr>
              <w:pStyle w:val="64"/>
              <w:spacing w:line="360" w:lineRule="auto"/>
              <w:rPr>
                <w:rFonts w:hint="eastAsia" w:ascii="宋体" w:hAnsi="宋体" w:eastAsia="宋体" w:cs="宋体"/>
                <w:sz w:val="24"/>
                <w:szCs w:val="24"/>
              </w:rPr>
            </w:pPr>
            <w:r>
              <w:rPr>
                <w:rFonts w:hint="eastAsia" w:ascii="宋体" w:hAnsi="宋体" w:eastAsia="宋体" w:cs="宋体"/>
                <w:sz w:val="24"/>
                <w:szCs w:val="24"/>
              </w:rPr>
              <w:t>数量（单位）</w:t>
            </w:r>
          </w:p>
        </w:tc>
        <w:tc>
          <w:tcPr>
            <w:tcW w:w="1384" w:type="dxa"/>
          </w:tcPr>
          <w:p w14:paraId="4882775A">
            <w:pPr>
              <w:pStyle w:val="64"/>
              <w:spacing w:line="360" w:lineRule="auto"/>
              <w:rPr>
                <w:rFonts w:hint="eastAsia" w:ascii="宋体" w:hAnsi="宋体" w:eastAsia="宋体" w:cs="宋体"/>
                <w:sz w:val="24"/>
                <w:szCs w:val="24"/>
              </w:rPr>
            </w:pPr>
            <w:r>
              <w:rPr>
                <w:rFonts w:hint="eastAsia" w:ascii="宋体" w:hAnsi="宋体" w:eastAsia="宋体" w:cs="宋体"/>
                <w:sz w:val="24"/>
                <w:szCs w:val="24"/>
              </w:rPr>
              <w:t>技术规格、参数及要求</w:t>
            </w:r>
          </w:p>
        </w:tc>
        <w:tc>
          <w:tcPr>
            <w:tcW w:w="1384" w:type="dxa"/>
          </w:tcPr>
          <w:p w14:paraId="785CEA89">
            <w:pPr>
              <w:pStyle w:val="64"/>
              <w:spacing w:line="360" w:lineRule="auto"/>
              <w:rPr>
                <w:rFonts w:hint="eastAsia" w:ascii="宋体" w:hAnsi="宋体" w:eastAsia="宋体" w:cs="宋体"/>
                <w:sz w:val="24"/>
                <w:szCs w:val="24"/>
              </w:rPr>
            </w:pPr>
            <w:r>
              <w:rPr>
                <w:rFonts w:hint="eastAsia" w:ascii="宋体" w:hAnsi="宋体" w:eastAsia="宋体" w:cs="宋体"/>
                <w:sz w:val="24"/>
                <w:szCs w:val="24"/>
              </w:rPr>
              <w:t>品目预算(元)</w:t>
            </w:r>
          </w:p>
        </w:tc>
      </w:tr>
      <w:tr w14:paraId="630DA42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384" w:type="dxa"/>
          </w:tcPr>
          <w:p w14:paraId="44FE82E4">
            <w:pPr>
              <w:pStyle w:val="64"/>
              <w:spacing w:line="360" w:lineRule="auto"/>
              <w:rPr>
                <w:rFonts w:hint="eastAsia" w:ascii="宋体" w:hAnsi="宋体" w:eastAsia="宋体" w:cs="宋体"/>
                <w:sz w:val="24"/>
                <w:szCs w:val="24"/>
              </w:rPr>
            </w:pPr>
            <w:r>
              <w:rPr>
                <w:rFonts w:hint="eastAsia" w:ascii="宋体" w:hAnsi="宋体" w:eastAsia="宋体" w:cs="宋体"/>
                <w:sz w:val="24"/>
                <w:szCs w:val="24"/>
              </w:rPr>
              <w:t>14-1</w:t>
            </w:r>
          </w:p>
        </w:tc>
        <w:tc>
          <w:tcPr>
            <w:tcW w:w="1384" w:type="dxa"/>
          </w:tcPr>
          <w:p w14:paraId="4A9B7929">
            <w:pPr>
              <w:pStyle w:val="64"/>
              <w:spacing w:line="360" w:lineRule="auto"/>
              <w:rPr>
                <w:rFonts w:hint="eastAsia" w:ascii="宋体" w:hAnsi="宋体" w:eastAsia="宋体" w:cs="宋体"/>
                <w:sz w:val="24"/>
                <w:szCs w:val="24"/>
              </w:rPr>
            </w:pPr>
            <w:r>
              <w:rPr>
                <w:rFonts w:hint="eastAsia" w:ascii="宋体" w:hAnsi="宋体" w:eastAsia="宋体" w:cs="宋体"/>
                <w:sz w:val="24"/>
                <w:szCs w:val="24"/>
              </w:rPr>
              <w:t>林木抚育管理服务</w:t>
            </w:r>
          </w:p>
        </w:tc>
        <w:tc>
          <w:tcPr>
            <w:tcW w:w="1384" w:type="dxa"/>
          </w:tcPr>
          <w:p w14:paraId="45B3D16F">
            <w:pPr>
              <w:pStyle w:val="64"/>
              <w:spacing w:line="360" w:lineRule="auto"/>
              <w:rPr>
                <w:rFonts w:hint="eastAsia" w:ascii="宋体" w:hAnsi="宋体" w:eastAsia="宋体" w:cs="宋体"/>
                <w:sz w:val="24"/>
                <w:szCs w:val="24"/>
              </w:rPr>
            </w:pPr>
            <w:r>
              <w:rPr>
                <w:rFonts w:hint="eastAsia" w:ascii="宋体" w:hAnsi="宋体" w:eastAsia="宋体" w:cs="宋体"/>
                <w:sz w:val="24"/>
                <w:szCs w:val="24"/>
              </w:rPr>
              <w:t>14标段：马房子作业区退化林修复73、87、99、100、110小班957亩，修复方式为采伐+补植+修枝。</w:t>
            </w:r>
          </w:p>
        </w:tc>
        <w:tc>
          <w:tcPr>
            <w:tcW w:w="1384" w:type="dxa"/>
          </w:tcPr>
          <w:p w14:paraId="36ADF453">
            <w:pPr>
              <w:pStyle w:val="64"/>
              <w:spacing w:line="360" w:lineRule="auto"/>
              <w:rPr>
                <w:rFonts w:hint="eastAsia" w:ascii="宋体" w:hAnsi="宋体" w:eastAsia="宋体" w:cs="宋体"/>
                <w:sz w:val="24"/>
                <w:szCs w:val="24"/>
              </w:rPr>
            </w:pPr>
            <w:r>
              <w:rPr>
                <w:rFonts w:hint="eastAsia" w:ascii="宋体" w:hAnsi="宋体" w:eastAsia="宋体" w:cs="宋体"/>
                <w:sz w:val="24"/>
                <w:szCs w:val="24"/>
              </w:rPr>
              <w:t>957(亩)</w:t>
            </w:r>
          </w:p>
        </w:tc>
        <w:tc>
          <w:tcPr>
            <w:tcW w:w="1384" w:type="dxa"/>
          </w:tcPr>
          <w:p w14:paraId="727C1E25">
            <w:pPr>
              <w:pStyle w:val="64"/>
              <w:spacing w:line="360" w:lineRule="auto"/>
              <w:rPr>
                <w:rFonts w:hint="eastAsia" w:ascii="宋体" w:hAnsi="宋体" w:eastAsia="宋体" w:cs="宋体"/>
                <w:sz w:val="24"/>
                <w:szCs w:val="24"/>
              </w:rPr>
            </w:pPr>
            <w:r>
              <w:rPr>
                <w:rFonts w:hint="eastAsia" w:ascii="宋体" w:hAnsi="宋体" w:eastAsia="宋体" w:cs="宋体"/>
                <w:sz w:val="24"/>
                <w:szCs w:val="24"/>
              </w:rPr>
              <w:t>详见采购文件</w:t>
            </w:r>
          </w:p>
        </w:tc>
        <w:tc>
          <w:tcPr>
            <w:tcW w:w="1384" w:type="dxa"/>
          </w:tcPr>
          <w:p w14:paraId="41A319EE">
            <w:pPr>
              <w:pStyle w:val="64"/>
              <w:spacing w:line="360" w:lineRule="auto"/>
              <w:rPr>
                <w:rFonts w:hint="eastAsia" w:ascii="宋体" w:hAnsi="宋体" w:eastAsia="宋体" w:cs="宋体"/>
                <w:sz w:val="24"/>
                <w:szCs w:val="24"/>
              </w:rPr>
            </w:pPr>
            <w:r>
              <w:rPr>
                <w:rFonts w:hint="eastAsia" w:ascii="宋体" w:hAnsi="宋体" w:eastAsia="宋体" w:cs="宋体"/>
                <w:sz w:val="24"/>
                <w:szCs w:val="24"/>
              </w:rPr>
              <w:t>738,601.50</w:t>
            </w:r>
          </w:p>
        </w:tc>
      </w:tr>
    </w:tbl>
    <w:p w14:paraId="4D7E9F79">
      <w:pPr>
        <w:pStyle w:val="64"/>
        <w:spacing w:line="360" w:lineRule="auto"/>
        <w:rPr>
          <w:rFonts w:hint="eastAsia" w:ascii="宋体" w:hAnsi="宋体" w:eastAsia="宋体" w:cs="宋体"/>
          <w:sz w:val="24"/>
          <w:szCs w:val="24"/>
        </w:rPr>
      </w:pPr>
      <w:r>
        <w:rPr>
          <w:rFonts w:hint="eastAsia" w:ascii="宋体" w:hAnsi="宋体" w:eastAsia="宋体" w:cs="宋体"/>
          <w:sz w:val="24"/>
          <w:szCs w:val="24"/>
        </w:rPr>
        <w:t xml:space="preserve"> 本合同包不接受联合体投标</w:t>
      </w:r>
    </w:p>
    <w:p w14:paraId="75FE44F0">
      <w:pPr>
        <w:pStyle w:val="64"/>
        <w:spacing w:line="360" w:lineRule="auto"/>
        <w:rPr>
          <w:rFonts w:hint="eastAsia" w:ascii="宋体" w:hAnsi="宋体" w:eastAsia="宋体" w:cs="宋体"/>
          <w:sz w:val="24"/>
          <w:szCs w:val="24"/>
        </w:rPr>
      </w:pPr>
      <w:r>
        <w:rPr>
          <w:rFonts w:hint="eastAsia" w:ascii="宋体" w:hAnsi="宋体" w:eastAsia="宋体" w:cs="宋体"/>
          <w:sz w:val="24"/>
          <w:szCs w:val="24"/>
        </w:rPr>
        <w:t xml:space="preserve"> 合同履行期限：详见招标文件。</w:t>
      </w:r>
    </w:p>
    <w:p w14:paraId="60CD980F">
      <w:pPr>
        <w:pStyle w:val="64"/>
        <w:spacing w:line="360" w:lineRule="auto"/>
        <w:rPr>
          <w:rFonts w:hint="eastAsia" w:ascii="宋体" w:hAnsi="宋体" w:eastAsia="宋体" w:cs="宋体"/>
          <w:sz w:val="24"/>
          <w:szCs w:val="24"/>
        </w:rPr>
      </w:pPr>
      <w:r>
        <w:rPr>
          <w:rFonts w:hint="eastAsia" w:ascii="宋体" w:hAnsi="宋体" w:eastAsia="宋体" w:cs="宋体"/>
          <w:sz w:val="24"/>
          <w:szCs w:val="24"/>
        </w:rPr>
        <w:t>合同包15(15标段：马房子作业区退化林修复64、67、68、 90、98、121小班987亩，修复方式为采伐+补植+修枝):</w:t>
      </w:r>
    </w:p>
    <w:p w14:paraId="3BB1F228">
      <w:pPr>
        <w:pStyle w:val="64"/>
        <w:spacing w:line="360" w:lineRule="auto"/>
        <w:ind w:firstLine="630"/>
        <w:rPr>
          <w:rFonts w:hint="eastAsia" w:ascii="宋体" w:hAnsi="宋体" w:eastAsia="宋体" w:cs="宋体"/>
          <w:sz w:val="24"/>
          <w:szCs w:val="24"/>
        </w:rPr>
      </w:pPr>
      <w:r>
        <w:rPr>
          <w:rFonts w:hint="eastAsia" w:ascii="宋体" w:hAnsi="宋体" w:eastAsia="宋体" w:cs="宋体"/>
          <w:sz w:val="24"/>
          <w:szCs w:val="24"/>
        </w:rPr>
        <w:t>合同包预算金额：814,973.20元</w:t>
      </w:r>
    </w:p>
    <w:p w14:paraId="24ABF6CF">
      <w:pPr>
        <w:pStyle w:val="64"/>
        <w:spacing w:line="360" w:lineRule="auto"/>
        <w:ind w:firstLine="630"/>
        <w:rPr>
          <w:rFonts w:hint="eastAsia" w:ascii="宋体" w:hAnsi="宋体" w:eastAsia="宋体" w:cs="宋体"/>
          <w:sz w:val="24"/>
          <w:szCs w:val="24"/>
        </w:rPr>
      </w:pPr>
      <w:r>
        <w:rPr>
          <w:rFonts w:hint="eastAsia" w:ascii="宋体" w:hAnsi="宋体" w:eastAsia="宋体" w:cs="宋体"/>
          <w:sz w:val="24"/>
          <w:szCs w:val="24"/>
        </w:rPr>
        <w:t xml:space="preserve"> 合同包最高限价：814,973.20元</w:t>
      </w:r>
    </w:p>
    <w:tbl>
      <w:tblPr>
        <w:tblStyle w:val="29"/>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1384"/>
        <w:gridCol w:w="1384"/>
        <w:gridCol w:w="1384"/>
        <w:gridCol w:w="1384"/>
        <w:gridCol w:w="1384"/>
        <w:gridCol w:w="1416"/>
      </w:tblGrid>
      <w:tr w14:paraId="37BE64B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384" w:type="dxa"/>
          </w:tcPr>
          <w:p w14:paraId="4EC93A35">
            <w:pPr>
              <w:pStyle w:val="64"/>
              <w:spacing w:line="360" w:lineRule="auto"/>
              <w:rPr>
                <w:rFonts w:hint="eastAsia" w:ascii="宋体" w:hAnsi="宋体" w:eastAsia="宋体" w:cs="宋体"/>
                <w:sz w:val="24"/>
                <w:szCs w:val="24"/>
              </w:rPr>
            </w:pPr>
            <w:r>
              <w:rPr>
                <w:rFonts w:hint="eastAsia" w:ascii="宋体" w:hAnsi="宋体" w:eastAsia="宋体" w:cs="宋体"/>
                <w:sz w:val="24"/>
                <w:szCs w:val="24"/>
              </w:rPr>
              <w:t>品目号</w:t>
            </w:r>
          </w:p>
        </w:tc>
        <w:tc>
          <w:tcPr>
            <w:tcW w:w="1384" w:type="dxa"/>
          </w:tcPr>
          <w:p w14:paraId="0557BFE9">
            <w:pPr>
              <w:pStyle w:val="64"/>
              <w:spacing w:line="360" w:lineRule="auto"/>
              <w:rPr>
                <w:rFonts w:hint="eastAsia" w:ascii="宋体" w:hAnsi="宋体" w:eastAsia="宋体" w:cs="宋体"/>
                <w:sz w:val="24"/>
                <w:szCs w:val="24"/>
              </w:rPr>
            </w:pPr>
            <w:r>
              <w:rPr>
                <w:rFonts w:hint="eastAsia" w:ascii="宋体" w:hAnsi="宋体" w:eastAsia="宋体" w:cs="宋体"/>
                <w:sz w:val="24"/>
                <w:szCs w:val="24"/>
              </w:rPr>
              <w:t>品目名称</w:t>
            </w:r>
          </w:p>
        </w:tc>
        <w:tc>
          <w:tcPr>
            <w:tcW w:w="1384" w:type="dxa"/>
          </w:tcPr>
          <w:p w14:paraId="31385532">
            <w:pPr>
              <w:pStyle w:val="64"/>
              <w:spacing w:line="360" w:lineRule="auto"/>
              <w:rPr>
                <w:rFonts w:hint="eastAsia" w:ascii="宋体" w:hAnsi="宋体" w:eastAsia="宋体" w:cs="宋体"/>
                <w:sz w:val="24"/>
                <w:szCs w:val="24"/>
              </w:rPr>
            </w:pPr>
            <w:r>
              <w:rPr>
                <w:rFonts w:hint="eastAsia" w:ascii="宋体" w:hAnsi="宋体" w:eastAsia="宋体" w:cs="宋体"/>
                <w:sz w:val="24"/>
                <w:szCs w:val="24"/>
              </w:rPr>
              <w:t>采购标的</w:t>
            </w:r>
          </w:p>
        </w:tc>
        <w:tc>
          <w:tcPr>
            <w:tcW w:w="1384" w:type="dxa"/>
          </w:tcPr>
          <w:p w14:paraId="5BC804C0">
            <w:pPr>
              <w:pStyle w:val="64"/>
              <w:spacing w:line="360" w:lineRule="auto"/>
              <w:rPr>
                <w:rFonts w:hint="eastAsia" w:ascii="宋体" w:hAnsi="宋体" w:eastAsia="宋体" w:cs="宋体"/>
                <w:sz w:val="24"/>
                <w:szCs w:val="24"/>
              </w:rPr>
            </w:pPr>
            <w:r>
              <w:rPr>
                <w:rFonts w:hint="eastAsia" w:ascii="宋体" w:hAnsi="宋体" w:eastAsia="宋体" w:cs="宋体"/>
                <w:sz w:val="24"/>
                <w:szCs w:val="24"/>
              </w:rPr>
              <w:t>数量（单位）</w:t>
            </w:r>
          </w:p>
        </w:tc>
        <w:tc>
          <w:tcPr>
            <w:tcW w:w="1384" w:type="dxa"/>
          </w:tcPr>
          <w:p w14:paraId="468A9732">
            <w:pPr>
              <w:pStyle w:val="64"/>
              <w:spacing w:line="360" w:lineRule="auto"/>
              <w:rPr>
                <w:rFonts w:hint="eastAsia" w:ascii="宋体" w:hAnsi="宋体" w:eastAsia="宋体" w:cs="宋体"/>
                <w:sz w:val="24"/>
                <w:szCs w:val="24"/>
              </w:rPr>
            </w:pPr>
            <w:r>
              <w:rPr>
                <w:rFonts w:hint="eastAsia" w:ascii="宋体" w:hAnsi="宋体" w:eastAsia="宋体" w:cs="宋体"/>
                <w:sz w:val="24"/>
                <w:szCs w:val="24"/>
              </w:rPr>
              <w:t>技术规格、参数及要求</w:t>
            </w:r>
          </w:p>
        </w:tc>
        <w:tc>
          <w:tcPr>
            <w:tcW w:w="1384" w:type="dxa"/>
          </w:tcPr>
          <w:p w14:paraId="3A735F85">
            <w:pPr>
              <w:pStyle w:val="64"/>
              <w:spacing w:line="360" w:lineRule="auto"/>
              <w:rPr>
                <w:rFonts w:hint="eastAsia" w:ascii="宋体" w:hAnsi="宋体" w:eastAsia="宋体" w:cs="宋体"/>
                <w:sz w:val="24"/>
                <w:szCs w:val="24"/>
              </w:rPr>
            </w:pPr>
            <w:r>
              <w:rPr>
                <w:rFonts w:hint="eastAsia" w:ascii="宋体" w:hAnsi="宋体" w:eastAsia="宋体" w:cs="宋体"/>
                <w:sz w:val="24"/>
                <w:szCs w:val="24"/>
              </w:rPr>
              <w:t>品目预算(元)</w:t>
            </w:r>
          </w:p>
        </w:tc>
      </w:tr>
      <w:tr w14:paraId="464ABDB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384" w:type="dxa"/>
          </w:tcPr>
          <w:p w14:paraId="0F05347F">
            <w:pPr>
              <w:pStyle w:val="64"/>
              <w:spacing w:line="360" w:lineRule="auto"/>
              <w:rPr>
                <w:rFonts w:hint="eastAsia" w:ascii="宋体" w:hAnsi="宋体" w:eastAsia="宋体" w:cs="宋体"/>
                <w:sz w:val="24"/>
                <w:szCs w:val="24"/>
              </w:rPr>
            </w:pPr>
            <w:r>
              <w:rPr>
                <w:rFonts w:hint="eastAsia" w:ascii="宋体" w:hAnsi="宋体" w:eastAsia="宋体" w:cs="宋体"/>
                <w:sz w:val="24"/>
                <w:szCs w:val="24"/>
              </w:rPr>
              <w:t>15-1</w:t>
            </w:r>
          </w:p>
        </w:tc>
        <w:tc>
          <w:tcPr>
            <w:tcW w:w="1384" w:type="dxa"/>
          </w:tcPr>
          <w:p w14:paraId="3C007796">
            <w:pPr>
              <w:pStyle w:val="64"/>
              <w:spacing w:line="360" w:lineRule="auto"/>
              <w:rPr>
                <w:rFonts w:hint="eastAsia" w:ascii="宋体" w:hAnsi="宋体" w:eastAsia="宋体" w:cs="宋体"/>
                <w:sz w:val="24"/>
                <w:szCs w:val="24"/>
              </w:rPr>
            </w:pPr>
            <w:r>
              <w:rPr>
                <w:rFonts w:hint="eastAsia" w:ascii="宋体" w:hAnsi="宋体" w:eastAsia="宋体" w:cs="宋体"/>
                <w:sz w:val="24"/>
                <w:szCs w:val="24"/>
              </w:rPr>
              <w:t>林木抚育管理服务</w:t>
            </w:r>
          </w:p>
        </w:tc>
        <w:tc>
          <w:tcPr>
            <w:tcW w:w="1384" w:type="dxa"/>
          </w:tcPr>
          <w:p w14:paraId="7BEC6796">
            <w:pPr>
              <w:pStyle w:val="64"/>
              <w:spacing w:line="360" w:lineRule="auto"/>
              <w:rPr>
                <w:rFonts w:hint="eastAsia" w:ascii="宋体" w:hAnsi="宋体" w:eastAsia="宋体" w:cs="宋体"/>
                <w:sz w:val="24"/>
                <w:szCs w:val="24"/>
              </w:rPr>
            </w:pPr>
            <w:r>
              <w:rPr>
                <w:rFonts w:hint="eastAsia" w:ascii="宋体" w:hAnsi="宋体" w:eastAsia="宋体" w:cs="宋体"/>
                <w:sz w:val="24"/>
                <w:szCs w:val="24"/>
              </w:rPr>
              <w:t>15标段：马房子作业区退化林修复64、67、68、90、98、121小班987亩，修复方式为采伐+补植+修枝。</w:t>
            </w:r>
          </w:p>
        </w:tc>
        <w:tc>
          <w:tcPr>
            <w:tcW w:w="1384" w:type="dxa"/>
          </w:tcPr>
          <w:p w14:paraId="5D07B278">
            <w:pPr>
              <w:pStyle w:val="64"/>
              <w:spacing w:line="360" w:lineRule="auto"/>
              <w:rPr>
                <w:rFonts w:hint="eastAsia" w:ascii="宋体" w:hAnsi="宋体" w:eastAsia="宋体" w:cs="宋体"/>
                <w:sz w:val="24"/>
                <w:szCs w:val="24"/>
              </w:rPr>
            </w:pPr>
            <w:r>
              <w:rPr>
                <w:rFonts w:hint="eastAsia" w:ascii="宋体" w:hAnsi="宋体" w:eastAsia="宋体" w:cs="宋体"/>
                <w:sz w:val="24"/>
                <w:szCs w:val="24"/>
              </w:rPr>
              <w:t>987(亩)</w:t>
            </w:r>
          </w:p>
        </w:tc>
        <w:tc>
          <w:tcPr>
            <w:tcW w:w="1384" w:type="dxa"/>
          </w:tcPr>
          <w:p w14:paraId="1A917C17">
            <w:pPr>
              <w:pStyle w:val="64"/>
              <w:spacing w:line="360" w:lineRule="auto"/>
              <w:rPr>
                <w:rFonts w:hint="eastAsia" w:ascii="宋体" w:hAnsi="宋体" w:eastAsia="宋体" w:cs="宋体"/>
                <w:sz w:val="24"/>
                <w:szCs w:val="24"/>
              </w:rPr>
            </w:pPr>
            <w:r>
              <w:rPr>
                <w:rFonts w:hint="eastAsia" w:ascii="宋体" w:hAnsi="宋体" w:eastAsia="宋体" w:cs="宋体"/>
                <w:sz w:val="24"/>
                <w:szCs w:val="24"/>
              </w:rPr>
              <w:t>详见采购文件</w:t>
            </w:r>
          </w:p>
        </w:tc>
        <w:tc>
          <w:tcPr>
            <w:tcW w:w="1384" w:type="dxa"/>
          </w:tcPr>
          <w:p w14:paraId="2BFAD89D">
            <w:pPr>
              <w:pStyle w:val="64"/>
              <w:spacing w:line="360" w:lineRule="auto"/>
              <w:rPr>
                <w:rFonts w:hint="eastAsia" w:ascii="宋体" w:hAnsi="宋体" w:eastAsia="宋体" w:cs="宋体"/>
                <w:sz w:val="24"/>
                <w:szCs w:val="24"/>
              </w:rPr>
            </w:pPr>
            <w:r>
              <w:rPr>
                <w:rFonts w:hint="eastAsia" w:ascii="宋体" w:hAnsi="宋体" w:eastAsia="宋体" w:cs="宋体"/>
                <w:sz w:val="24"/>
                <w:szCs w:val="24"/>
              </w:rPr>
              <w:t>814,973.20</w:t>
            </w:r>
          </w:p>
        </w:tc>
      </w:tr>
    </w:tbl>
    <w:p w14:paraId="02CAABDC">
      <w:pPr>
        <w:pStyle w:val="64"/>
        <w:spacing w:line="360" w:lineRule="auto"/>
        <w:rPr>
          <w:rFonts w:hint="eastAsia" w:ascii="宋体" w:hAnsi="宋体" w:eastAsia="宋体" w:cs="宋体"/>
          <w:sz w:val="24"/>
          <w:szCs w:val="24"/>
        </w:rPr>
      </w:pPr>
      <w:r>
        <w:rPr>
          <w:rFonts w:hint="eastAsia" w:ascii="宋体" w:hAnsi="宋体" w:eastAsia="宋体" w:cs="宋体"/>
          <w:sz w:val="24"/>
          <w:szCs w:val="24"/>
        </w:rPr>
        <w:t xml:space="preserve"> 本合同包不接受联合体投标</w:t>
      </w:r>
    </w:p>
    <w:p w14:paraId="72935B93">
      <w:pPr>
        <w:pStyle w:val="64"/>
        <w:spacing w:line="360" w:lineRule="auto"/>
        <w:rPr>
          <w:rFonts w:hint="eastAsia" w:ascii="宋体" w:hAnsi="宋体" w:eastAsia="宋体" w:cs="宋体"/>
          <w:sz w:val="24"/>
          <w:szCs w:val="24"/>
        </w:rPr>
      </w:pPr>
      <w:r>
        <w:rPr>
          <w:rFonts w:hint="eastAsia" w:ascii="宋体" w:hAnsi="宋体" w:eastAsia="宋体" w:cs="宋体"/>
          <w:sz w:val="24"/>
          <w:szCs w:val="24"/>
        </w:rPr>
        <w:t xml:space="preserve"> 合同履行期限：详见招标文件。</w:t>
      </w:r>
    </w:p>
    <w:p w14:paraId="32925B05">
      <w:pPr>
        <w:pStyle w:val="64"/>
        <w:spacing w:line="360" w:lineRule="auto"/>
        <w:rPr>
          <w:rFonts w:hint="eastAsia" w:ascii="宋体" w:hAnsi="宋体" w:eastAsia="宋体" w:cs="宋体"/>
          <w:sz w:val="24"/>
          <w:szCs w:val="24"/>
        </w:rPr>
      </w:pPr>
      <w:r>
        <w:rPr>
          <w:rFonts w:hint="eastAsia" w:ascii="宋体" w:hAnsi="宋体" w:eastAsia="宋体" w:cs="宋体"/>
          <w:sz w:val="24"/>
          <w:szCs w:val="24"/>
        </w:rPr>
        <w:t>合同包16(16标段：马房子作业区退化林修复65、69、95、 101、104、 106、112、 114、115、116、122小班983亩，修复方式为采伐+补植+修枝):</w:t>
      </w:r>
    </w:p>
    <w:p w14:paraId="080C16D0">
      <w:pPr>
        <w:pStyle w:val="64"/>
        <w:spacing w:line="360" w:lineRule="auto"/>
        <w:ind w:firstLine="630"/>
        <w:rPr>
          <w:rFonts w:hint="eastAsia" w:ascii="宋体" w:hAnsi="宋体" w:eastAsia="宋体" w:cs="宋体"/>
          <w:sz w:val="24"/>
          <w:szCs w:val="24"/>
        </w:rPr>
      </w:pPr>
      <w:r>
        <w:rPr>
          <w:rFonts w:hint="eastAsia" w:ascii="宋体" w:hAnsi="宋体" w:eastAsia="宋体" w:cs="宋体"/>
          <w:sz w:val="24"/>
          <w:szCs w:val="24"/>
        </w:rPr>
        <w:t>合同包预算金额：776,403.30元</w:t>
      </w:r>
    </w:p>
    <w:p w14:paraId="42AB3D37">
      <w:pPr>
        <w:pStyle w:val="64"/>
        <w:spacing w:line="360" w:lineRule="auto"/>
        <w:ind w:firstLine="630"/>
        <w:rPr>
          <w:rFonts w:hint="eastAsia" w:ascii="宋体" w:hAnsi="宋体" w:eastAsia="宋体" w:cs="宋体"/>
          <w:sz w:val="24"/>
          <w:szCs w:val="24"/>
        </w:rPr>
      </w:pPr>
      <w:r>
        <w:rPr>
          <w:rFonts w:hint="eastAsia" w:ascii="宋体" w:hAnsi="宋体" w:eastAsia="宋体" w:cs="宋体"/>
          <w:sz w:val="24"/>
          <w:szCs w:val="24"/>
        </w:rPr>
        <w:t xml:space="preserve"> 合同包最高限价：776,403.30元</w:t>
      </w:r>
    </w:p>
    <w:tbl>
      <w:tblPr>
        <w:tblStyle w:val="29"/>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1384"/>
        <w:gridCol w:w="1384"/>
        <w:gridCol w:w="1384"/>
        <w:gridCol w:w="1384"/>
        <w:gridCol w:w="1384"/>
        <w:gridCol w:w="1416"/>
      </w:tblGrid>
      <w:tr w14:paraId="0B42E27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384" w:type="dxa"/>
          </w:tcPr>
          <w:p w14:paraId="711C2865">
            <w:pPr>
              <w:pStyle w:val="64"/>
              <w:spacing w:line="360" w:lineRule="auto"/>
              <w:rPr>
                <w:rFonts w:hint="eastAsia" w:ascii="宋体" w:hAnsi="宋体" w:eastAsia="宋体" w:cs="宋体"/>
                <w:sz w:val="24"/>
                <w:szCs w:val="24"/>
              </w:rPr>
            </w:pPr>
            <w:r>
              <w:rPr>
                <w:rFonts w:hint="eastAsia" w:ascii="宋体" w:hAnsi="宋体" w:eastAsia="宋体" w:cs="宋体"/>
                <w:sz w:val="24"/>
                <w:szCs w:val="24"/>
              </w:rPr>
              <w:t>品目号</w:t>
            </w:r>
          </w:p>
        </w:tc>
        <w:tc>
          <w:tcPr>
            <w:tcW w:w="1384" w:type="dxa"/>
          </w:tcPr>
          <w:p w14:paraId="0E59B8F8">
            <w:pPr>
              <w:pStyle w:val="64"/>
              <w:spacing w:line="360" w:lineRule="auto"/>
              <w:rPr>
                <w:rFonts w:hint="eastAsia" w:ascii="宋体" w:hAnsi="宋体" w:eastAsia="宋体" w:cs="宋体"/>
                <w:sz w:val="24"/>
                <w:szCs w:val="24"/>
              </w:rPr>
            </w:pPr>
            <w:r>
              <w:rPr>
                <w:rFonts w:hint="eastAsia" w:ascii="宋体" w:hAnsi="宋体" w:eastAsia="宋体" w:cs="宋体"/>
                <w:sz w:val="24"/>
                <w:szCs w:val="24"/>
              </w:rPr>
              <w:t>品目名称</w:t>
            </w:r>
          </w:p>
        </w:tc>
        <w:tc>
          <w:tcPr>
            <w:tcW w:w="1384" w:type="dxa"/>
          </w:tcPr>
          <w:p w14:paraId="5D7D68B3">
            <w:pPr>
              <w:pStyle w:val="64"/>
              <w:spacing w:line="360" w:lineRule="auto"/>
              <w:rPr>
                <w:rFonts w:hint="eastAsia" w:ascii="宋体" w:hAnsi="宋体" w:eastAsia="宋体" w:cs="宋体"/>
                <w:sz w:val="24"/>
                <w:szCs w:val="24"/>
              </w:rPr>
            </w:pPr>
            <w:r>
              <w:rPr>
                <w:rFonts w:hint="eastAsia" w:ascii="宋体" w:hAnsi="宋体" w:eastAsia="宋体" w:cs="宋体"/>
                <w:sz w:val="24"/>
                <w:szCs w:val="24"/>
              </w:rPr>
              <w:t>采购标的</w:t>
            </w:r>
          </w:p>
        </w:tc>
        <w:tc>
          <w:tcPr>
            <w:tcW w:w="1384" w:type="dxa"/>
          </w:tcPr>
          <w:p w14:paraId="0A417DE5">
            <w:pPr>
              <w:pStyle w:val="64"/>
              <w:spacing w:line="360" w:lineRule="auto"/>
              <w:rPr>
                <w:rFonts w:hint="eastAsia" w:ascii="宋体" w:hAnsi="宋体" w:eastAsia="宋体" w:cs="宋体"/>
                <w:sz w:val="24"/>
                <w:szCs w:val="24"/>
              </w:rPr>
            </w:pPr>
            <w:r>
              <w:rPr>
                <w:rFonts w:hint="eastAsia" w:ascii="宋体" w:hAnsi="宋体" w:eastAsia="宋体" w:cs="宋体"/>
                <w:sz w:val="24"/>
                <w:szCs w:val="24"/>
              </w:rPr>
              <w:t>数量（单位）</w:t>
            </w:r>
          </w:p>
        </w:tc>
        <w:tc>
          <w:tcPr>
            <w:tcW w:w="1384" w:type="dxa"/>
          </w:tcPr>
          <w:p w14:paraId="39756C5C">
            <w:pPr>
              <w:pStyle w:val="64"/>
              <w:spacing w:line="360" w:lineRule="auto"/>
              <w:rPr>
                <w:rFonts w:hint="eastAsia" w:ascii="宋体" w:hAnsi="宋体" w:eastAsia="宋体" w:cs="宋体"/>
                <w:sz w:val="24"/>
                <w:szCs w:val="24"/>
              </w:rPr>
            </w:pPr>
            <w:r>
              <w:rPr>
                <w:rFonts w:hint="eastAsia" w:ascii="宋体" w:hAnsi="宋体" w:eastAsia="宋体" w:cs="宋体"/>
                <w:sz w:val="24"/>
                <w:szCs w:val="24"/>
              </w:rPr>
              <w:t>技术规格、参数及要求</w:t>
            </w:r>
          </w:p>
        </w:tc>
        <w:tc>
          <w:tcPr>
            <w:tcW w:w="1384" w:type="dxa"/>
          </w:tcPr>
          <w:p w14:paraId="0CBC61A1">
            <w:pPr>
              <w:pStyle w:val="64"/>
              <w:spacing w:line="360" w:lineRule="auto"/>
              <w:rPr>
                <w:rFonts w:hint="eastAsia" w:ascii="宋体" w:hAnsi="宋体" w:eastAsia="宋体" w:cs="宋体"/>
                <w:sz w:val="24"/>
                <w:szCs w:val="24"/>
              </w:rPr>
            </w:pPr>
            <w:r>
              <w:rPr>
                <w:rFonts w:hint="eastAsia" w:ascii="宋体" w:hAnsi="宋体" w:eastAsia="宋体" w:cs="宋体"/>
                <w:sz w:val="24"/>
                <w:szCs w:val="24"/>
              </w:rPr>
              <w:t>品目预算(元)</w:t>
            </w:r>
          </w:p>
        </w:tc>
      </w:tr>
      <w:tr w14:paraId="2DA267F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384" w:type="dxa"/>
          </w:tcPr>
          <w:p w14:paraId="370B6A16">
            <w:pPr>
              <w:pStyle w:val="64"/>
              <w:spacing w:line="360" w:lineRule="auto"/>
              <w:rPr>
                <w:rFonts w:hint="eastAsia" w:ascii="宋体" w:hAnsi="宋体" w:eastAsia="宋体" w:cs="宋体"/>
                <w:sz w:val="24"/>
                <w:szCs w:val="24"/>
              </w:rPr>
            </w:pPr>
            <w:r>
              <w:rPr>
                <w:rFonts w:hint="eastAsia" w:ascii="宋体" w:hAnsi="宋体" w:eastAsia="宋体" w:cs="宋体"/>
                <w:sz w:val="24"/>
                <w:szCs w:val="24"/>
              </w:rPr>
              <w:t>16-1</w:t>
            </w:r>
          </w:p>
        </w:tc>
        <w:tc>
          <w:tcPr>
            <w:tcW w:w="1384" w:type="dxa"/>
          </w:tcPr>
          <w:p w14:paraId="5E3A8F81">
            <w:pPr>
              <w:pStyle w:val="64"/>
              <w:spacing w:line="360" w:lineRule="auto"/>
              <w:rPr>
                <w:rFonts w:hint="eastAsia" w:ascii="宋体" w:hAnsi="宋体" w:eastAsia="宋体" w:cs="宋体"/>
                <w:sz w:val="24"/>
                <w:szCs w:val="24"/>
              </w:rPr>
            </w:pPr>
            <w:r>
              <w:rPr>
                <w:rFonts w:hint="eastAsia" w:ascii="宋体" w:hAnsi="宋体" w:eastAsia="宋体" w:cs="宋体"/>
                <w:sz w:val="24"/>
                <w:szCs w:val="24"/>
              </w:rPr>
              <w:t>林木抚育管理服务</w:t>
            </w:r>
          </w:p>
        </w:tc>
        <w:tc>
          <w:tcPr>
            <w:tcW w:w="1384" w:type="dxa"/>
          </w:tcPr>
          <w:p w14:paraId="3F5DD6ED">
            <w:pPr>
              <w:pStyle w:val="64"/>
              <w:spacing w:line="360" w:lineRule="auto"/>
              <w:rPr>
                <w:rFonts w:hint="eastAsia" w:ascii="宋体" w:hAnsi="宋体" w:eastAsia="宋体" w:cs="宋体"/>
                <w:sz w:val="24"/>
                <w:szCs w:val="24"/>
              </w:rPr>
            </w:pPr>
            <w:r>
              <w:rPr>
                <w:rFonts w:hint="eastAsia" w:ascii="宋体" w:hAnsi="宋体" w:eastAsia="宋体" w:cs="宋体"/>
                <w:sz w:val="24"/>
                <w:szCs w:val="24"/>
              </w:rPr>
              <w:t>16标段：马房子作业区退化林修复65、69、95、101、104、106、112、114、115、116、122小班983亩，修复方式为采伐+补植+修枝。</w:t>
            </w:r>
          </w:p>
        </w:tc>
        <w:tc>
          <w:tcPr>
            <w:tcW w:w="1384" w:type="dxa"/>
          </w:tcPr>
          <w:p w14:paraId="28F1681B">
            <w:pPr>
              <w:pStyle w:val="64"/>
              <w:spacing w:line="360" w:lineRule="auto"/>
              <w:rPr>
                <w:rFonts w:hint="eastAsia" w:ascii="宋体" w:hAnsi="宋体" w:eastAsia="宋体" w:cs="宋体"/>
                <w:sz w:val="24"/>
                <w:szCs w:val="24"/>
              </w:rPr>
            </w:pPr>
            <w:r>
              <w:rPr>
                <w:rFonts w:hint="eastAsia" w:ascii="宋体" w:hAnsi="宋体" w:eastAsia="宋体" w:cs="宋体"/>
                <w:sz w:val="24"/>
                <w:szCs w:val="24"/>
              </w:rPr>
              <w:t>983(亩)</w:t>
            </w:r>
          </w:p>
        </w:tc>
        <w:tc>
          <w:tcPr>
            <w:tcW w:w="1384" w:type="dxa"/>
          </w:tcPr>
          <w:p w14:paraId="6CFFBA09">
            <w:pPr>
              <w:pStyle w:val="64"/>
              <w:spacing w:line="360" w:lineRule="auto"/>
              <w:rPr>
                <w:rFonts w:hint="eastAsia" w:ascii="宋体" w:hAnsi="宋体" w:eastAsia="宋体" w:cs="宋体"/>
                <w:sz w:val="24"/>
                <w:szCs w:val="24"/>
              </w:rPr>
            </w:pPr>
            <w:r>
              <w:rPr>
                <w:rFonts w:hint="eastAsia" w:ascii="宋体" w:hAnsi="宋体" w:eastAsia="宋体" w:cs="宋体"/>
                <w:sz w:val="24"/>
                <w:szCs w:val="24"/>
              </w:rPr>
              <w:t>详见采购文件</w:t>
            </w:r>
          </w:p>
        </w:tc>
        <w:tc>
          <w:tcPr>
            <w:tcW w:w="1384" w:type="dxa"/>
          </w:tcPr>
          <w:p w14:paraId="34900E01">
            <w:pPr>
              <w:pStyle w:val="64"/>
              <w:spacing w:line="360" w:lineRule="auto"/>
              <w:rPr>
                <w:rFonts w:hint="eastAsia" w:ascii="宋体" w:hAnsi="宋体" w:eastAsia="宋体" w:cs="宋体"/>
                <w:sz w:val="24"/>
                <w:szCs w:val="24"/>
              </w:rPr>
            </w:pPr>
            <w:r>
              <w:rPr>
                <w:rFonts w:hint="eastAsia" w:ascii="宋体" w:hAnsi="宋体" w:eastAsia="宋体" w:cs="宋体"/>
                <w:sz w:val="24"/>
                <w:szCs w:val="24"/>
              </w:rPr>
              <w:t>776,403.30</w:t>
            </w:r>
          </w:p>
        </w:tc>
      </w:tr>
    </w:tbl>
    <w:p w14:paraId="383C5803">
      <w:pPr>
        <w:pStyle w:val="64"/>
        <w:spacing w:line="360" w:lineRule="auto"/>
        <w:rPr>
          <w:rFonts w:hint="eastAsia" w:ascii="宋体" w:hAnsi="宋体" w:eastAsia="宋体" w:cs="宋体"/>
          <w:sz w:val="24"/>
          <w:szCs w:val="24"/>
        </w:rPr>
      </w:pPr>
      <w:r>
        <w:rPr>
          <w:rFonts w:hint="eastAsia" w:ascii="宋体" w:hAnsi="宋体" w:eastAsia="宋体" w:cs="宋体"/>
          <w:sz w:val="24"/>
          <w:szCs w:val="24"/>
        </w:rPr>
        <w:t xml:space="preserve"> 本合同包不接受联合体投标</w:t>
      </w:r>
    </w:p>
    <w:p w14:paraId="4974A57F">
      <w:pPr>
        <w:pStyle w:val="64"/>
        <w:spacing w:line="360" w:lineRule="auto"/>
        <w:rPr>
          <w:rFonts w:hint="eastAsia" w:ascii="宋体" w:hAnsi="宋体" w:eastAsia="宋体" w:cs="宋体"/>
          <w:sz w:val="24"/>
          <w:szCs w:val="24"/>
        </w:rPr>
      </w:pPr>
      <w:r>
        <w:rPr>
          <w:rFonts w:hint="eastAsia" w:ascii="宋体" w:hAnsi="宋体" w:eastAsia="宋体" w:cs="宋体"/>
          <w:sz w:val="24"/>
          <w:szCs w:val="24"/>
        </w:rPr>
        <w:t xml:space="preserve"> 合同履行期限：详见招标文件。</w:t>
      </w:r>
    </w:p>
    <w:p w14:paraId="5F1C96D2">
      <w:pPr>
        <w:pStyle w:val="64"/>
        <w:spacing w:line="360" w:lineRule="auto"/>
        <w:rPr>
          <w:rFonts w:hint="eastAsia" w:ascii="宋体" w:hAnsi="宋体" w:eastAsia="宋体" w:cs="宋体"/>
          <w:sz w:val="24"/>
          <w:szCs w:val="24"/>
        </w:rPr>
      </w:pPr>
      <w:r>
        <w:rPr>
          <w:rFonts w:hint="eastAsia" w:ascii="宋体" w:hAnsi="宋体" w:eastAsia="宋体" w:cs="宋体"/>
          <w:sz w:val="24"/>
          <w:szCs w:val="24"/>
        </w:rPr>
        <w:t>合同包17(17标段：马房子作业区退化林修复92、96、 102、103、 105、107、 108、109、 111、117、 118、119、 123、125、133、138小班928亩，修复方式为采伐+补植+修枝):</w:t>
      </w:r>
    </w:p>
    <w:p w14:paraId="562051CC">
      <w:pPr>
        <w:pStyle w:val="64"/>
        <w:spacing w:line="360" w:lineRule="auto"/>
        <w:ind w:firstLine="630"/>
        <w:rPr>
          <w:rFonts w:hint="eastAsia" w:ascii="宋体" w:hAnsi="宋体" w:eastAsia="宋体" w:cs="宋体"/>
          <w:sz w:val="24"/>
          <w:szCs w:val="24"/>
        </w:rPr>
      </w:pPr>
      <w:r>
        <w:rPr>
          <w:rFonts w:hint="eastAsia" w:ascii="宋体" w:hAnsi="宋体" w:eastAsia="宋体" w:cs="宋体"/>
          <w:sz w:val="24"/>
          <w:szCs w:val="24"/>
        </w:rPr>
        <w:t>合同包预算金额：792,973.20元</w:t>
      </w:r>
    </w:p>
    <w:p w14:paraId="5F94B067">
      <w:pPr>
        <w:pStyle w:val="64"/>
        <w:spacing w:line="360" w:lineRule="auto"/>
        <w:ind w:firstLine="630"/>
        <w:rPr>
          <w:rFonts w:hint="eastAsia" w:ascii="宋体" w:hAnsi="宋体" w:eastAsia="宋体" w:cs="宋体"/>
          <w:sz w:val="24"/>
          <w:szCs w:val="24"/>
        </w:rPr>
      </w:pPr>
      <w:r>
        <w:rPr>
          <w:rFonts w:hint="eastAsia" w:ascii="宋体" w:hAnsi="宋体" w:eastAsia="宋体" w:cs="宋体"/>
          <w:sz w:val="24"/>
          <w:szCs w:val="24"/>
        </w:rPr>
        <w:t xml:space="preserve"> 合同包最高限价：792,973.20元</w:t>
      </w:r>
    </w:p>
    <w:tbl>
      <w:tblPr>
        <w:tblStyle w:val="29"/>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1384"/>
        <w:gridCol w:w="1384"/>
        <w:gridCol w:w="1384"/>
        <w:gridCol w:w="1384"/>
        <w:gridCol w:w="1384"/>
        <w:gridCol w:w="1416"/>
      </w:tblGrid>
      <w:tr w14:paraId="5E67405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384" w:type="dxa"/>
          </w:tcPr>
          <w:p w14:paraId="1B9AA9F8">
            <w:pPr>
              <w:pStyle w:val="64"/>
              <w:spacing w:line="360" w:lineRule="auto"/>
              <w:rPr>
                <w:rFonts w:hint="eastAsia" w:ascii="宋体" w:hAnsi="宋体" w:eastAsia="宋体" w:cs="宋体"/>
                <w:sz w:val="24"/>
                <w:szCs w:val="24"/>
              </w:rPr>
            </w:pPr>
            <w:r>
              <w:rPr>
                <w:rFonts w:hint="eastAsia" w:ascii="宋体" w:hAnsi="宋体" w:eastAsia="宋体" w:cs="宋体"/>
                <w:sz w:val="24"/>
                <w:szCs w:val="24"/>
              </w:rPr>
              <w:t>品目号</w:t>
            </w:r>
          </w:p>
        </w:tc>
        <w:tc>
          <w:tcPr>
            <w:tcW w:w="1384" w:type="dxa"/>
          </w:tcPr>
          <w:p w14:paraId="5ED27A30">
            <w:pPr>
              <w:pStyle w:val="64"/>
              <w:spacing w:line="360" w:lineRule="auto"/>
              <w:rPr>
                <w:rFonts w:hint="eastAsia" w:ascii="宋体" w:hAnsi="宋体" w:eastAsia="宋体" w:cs="宋体"/>
                <w:sz w:val="24"/>
                <w:szCs w:val="24"/>
              </w:rPr>
            </w:pPr>
            <w:r>
              <w:rPr>
                <w:rFonts w:hint="eastAsia" w:ascii="宋体" w:hAnsi="宋体" w:eastAsia="宋体" w:cs="宋体"/>
                <w:sz w:val="24"/>
                <w:szCs w:val="24"/>
              </w:rPr>
              <w:t>品目名称</w:t>
            </w:r>
          </w:p>
        </w:tc>
        <w:tc>
          <w:tcPr>
            <w:tcW w:w="1384" w:type="dxa"/>
          </w:tcPr>
          <w:p w14:paraId="13EFC948">
            <w:pPr>
              <w:pStyle w:val="64"/>
              <w:spacing w:line="360" w:lineRule="auto"/>
              <w:rPr>
                <w:rFonts w:hint="eastAsia" w:ascii="宋体" w:hAnsi="宋体" w:eastAsia="宋体" w:cs="宋体"/>
                <w:sz w:val="24"/>
                <w:szCs w:val="24"/>
              </w:rPr>
            </w:pPr>
            <w:r>
              <w:rPr>
                <w:rFonts w:hint="eastAsia" w:ascii="宋体" w:hAnsi="宋体" w:eastAsia="宋体" w:cs="宋体"/>
                <w:sz w:val="24"/>
                <w:szCs w:val="24"/>
              </w:rPr>
              <w:t>采购标的</w:t>
            </w:r>
          </w:p>
        </w:tc>
        <w:tc>
          <w:tcPr>
            <w:tcW w:w="1384" w:type="dxa"/>
          </w:tcPr>
          <w:p w14:paraId="5CD5E337">
            <w:pPr>
              <w:pStyle w:val="64"/>
              <w:spacing w:line="360" w:lineRule="auto"/>
              <w:rPr>
                <w:rFonts w:hint="eastAsia" w:ascii="宋体" w:hAnsi="宋体" w:eastAsia="宋体" w:cs="宋体"/>
                <w:sz w:val="24"/>
                <w:szCs w:val="24"/>
              </w:rPr>
            </w:pPr>
            <w:r>
              <w:rPr>
                <w:rFonts w:hint="eastAsia" w:ascii="宋体" w:hAnsi="宋体" w:eastAsia="宋体" w:cs="宋体"/>
                <w:sz w:val="24"/>
                <w:szCs w:val="24"/>
              </w:rPr>
              <w:t>数量（单位）</w:t>
            </w:r>
          </w:p>
        </w:tc>
        <w:tc>
          <w:tcPr>
            <w:tcW w:w="1384" w:type="dxa"/>
          </w:tcPr>
          <w:p w14:paraId="629485DC">
            <w:pPr>
              <w:pStyle w:val="64"/>
              <w:spacing w:line="360" w:lineRule="auto"/>
              <w:rPr>
                <w:rFonts w:hint="eastAsia" w:ascii="宋体" w:hAnsi="宋体" w:eastAsia="宋体" w:cs="宋体"/>
                <w:sz w:val="24"/>
                <w:szCs w:val="24"/>
              </w:rPr>
            </w:pPr>
            <w:r>
              <w:rPr>
                <w:rFonts w:hint="eastAsia" w:ascii="宋体" w:hAnsi="宋体" w:eastAsia="宋体" w:cs="宋体"/>
                <w:sz w:val="24"/>
                <w:szCs w:val="24"/>
              </w:rPr>
              <w:t>技术规格、参数及要求</w:t>
            </w:r>
          </w:p>
        </w:tc>
        <w:tc>
          <w:tcPr>
            <w:tcW w:w="1384" w:type="dxa"/>
          </w:tcPr>
          <w:p w14:paraId="5A0E3A00">
            <w:pPr>
              <w:pStyle w:val="64"/>
              <w:spacing w:line="360" w:lineRule="auto"/>
              <w:rPr>
                <w:rFonts w:hint="eastAsia" w:ascii="宋体" w:hAnsi="宋体" w:eastAsia="宋体" w:cs="宋体"/>
                <w:sz w:val="24"/>
                <w:szCs w:val="24"/>
              </w:rPr>
            </w:pPr>
            <w:r>
              <w:rPr>
                <w:rFonts w:hint="eastAsia" w:ascii="宋体" w:hAnsi="宋体" w:eastAsia="宋体" w:cs="宋体"/>
                <w:sz w:val="24"/>
                <w:szCs w:val="24"/>
              </w:rPr>
              <w:t>品目预算(元)</w:t>
            </w:r>
          </w:p>
        </w:tc>
      </w:tr>
      <w:tr w14:paraId="1FFC746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384" w:type="dxa"/>
          </w:tcPr>
          <w:p w14:paraId="4AB98EE7">
            <w:pPr>
              <w:pStyle w:val="64"/>
              <w:spacing w:line="360" w:lineRule="auto"/>
              <w:rPr>
                <w:rFonts w:hint="eastAsia" w:ascii="宋体" w:hAnsi="宋体" w:eastAsia="宋体" w:cs="宋体"/>
                <w:sz w:val="24"/>
                <w:szCs w:val="24"/>
              </w:rPr>
            </w:pPr>
            <w:r>
              <w:rPr>
                <w:rFonts w:hint="eastAsia" w:ascii="宋体" w:hAnsi="宋体" w:eastAsia="宋体" w:cs="宋体"/>
                <w:sz w:val="24"/>
                <w:szCs w:val="24"/>
              </w:rPr>
              <w:t>17-1</w:t>
            </w:r>
          </w:p>
        </w:tc>
        <w:tc>
          <w:tcPr>
            <w:tcW w:w="1384" w:type="dxa"/>
          </w:tcPr>
          <w:p w14:paraId="7723E39F">
            <w:pPr>
              <w:pStyle w:val="64"/>
              <w:spacing w:line="360" w:lineRule="auto"/>
              <w:rPr>
                <w:rFonts w:hint="eastAsia" w:ascii="宋体" w:hAnsi="宋体" w:eastAsia="宋体" w:cs="宋体"/>
                <w:sz w:val="24"/>
                <w:szCs w:val="24"/>
              </w:rPr>
            </w:pPr>
            <w:r>
              <w:rPr>
                <w:rFonts w:hint="eastAsia" w:ascii="宋体" w:hAnsi="宋体" w:eastAsia="宋体" w:cs="宋体"/>
                <w:sz w:val="24"/>
                <w:szCs w:val="24"/>
              </w:rPr>
              <w:t>林木抚育管理服务</w:t>
            </w:r>
          </w:p>
        </w:tc>
        <w:tc>
          <w:tcPr>
            <w:tcW w:w="1384" w:type="dxa"/>
          </w:tcPr>
          <w:p w14:paraId="0A8E7FF5">
            <w:pPr>
              <w:pStyle w:val="64"/>
              <w:spacing w:line="360" w:lineRule="auto"/>
              <w:rPr>
                <w:rFonts w:hint="eastAsia" w:ascii="宋体" w:hAnsi="宋体" w:eastAsia="宋体" w:cs="宋体"/>
                <w:sz w:val="24"/>
                <w:szCs w:val="24"/>
              </w:rPr>
            </w:pPr>
            <w:r>
              <w:rPr>
                <w:rFonts w:hint="eastAsia" w:ascii="宋体" w:hAnsi="宋体" w:eastAsia="宋体" w:cs="宋体"/>
                <w:sz w:val="24"/>
                <w:szCs w:val="24"/>
              </w:rPr>
              <w:t>17标段：马房子作业区退化林修复92、96、102、103、105、107、108、109、111、117、118、119、123、125、133、138小班928亩，修复方式为采伐+补植+修枝。</w:t>
            </w:r>
          </w:p>
        </w:tc>
        <w:tc>
          <w:tcPr>
            <w:tcW w:w="1384" w:type="dxa"/>
          </w:tcPr>
          <w:p w14:paraId="7796BB21">
            <w:pPr>
              <w:pStyle w:val="64"/>
              <w:spacing w:line="360" w:lineRule="auto"/>
              <w:rPr>
                <w:rFonts w:hint="eastAsia" w:ascii="宋体" w:hAnsi="宋体" w:eastAsia="宋体" w:cs="宋体"/>
                <w:sz w:val="24"/>
                <w:szCs w:val="24"/>
              </w:rPr>
            </w:pPr>
            <w:r>
              <w:rPr>
                <w:rFonts w:hint="eastAsia" w:ascii="宋体" w:hAnsi="宋体" w:eastAsia="宋体" w:cs="宋体"/>
                <w:sz w:val="24"/>
                <w:szCs w:val="24"/>
              </w:rPr>
              <w:t>928(亩)</w:t>
            </w:r>
          </w:p>
        </w:tc>
        <w:tc>
          <w:tcPr>
            <w:tcW w:w="1384" w:type="dxa"/>
          </w:tcPr>
          <w:p w14:paraId="5869CAF3">
            <w:pPr>
              <w:pStyle w:val="64"/>
              <w:spacing w:line="360" w:lineRule="auto"/>
              <w:rPr>
                <w:rFonts w:hint="eastAsia" w:ascii="宋体" w:hAnsi="宋体" w:eastAsia="宋体" w:cs="宋体"/>
                <w:sz w:val="24"/>
                <w:szCs w:val="24"/>
              </w:rPr>
            </w:pPr>
            <w:r>
              <w:rPr>
                <w:rFonts w:hint="eastAsia" w:ascii="宋体" w:hAnsi="宋体" w:eastAsia="宋体" w:cs="宋体"/>
                <w:sz w:val="24"/>
                <w:szCs w:val="24"/>
              </w:rPr>
              <w:t>详见采购文件</w:t>
            </w:r>
          </w:p>
        </w:tc>
        <w:tc>
          <w:tcPr>
            <w:tcW w:w="1384" w:type="dxa"/>
          </w:tcPr>
          <w:p w14:paraId="56B38892">
            <w:pPr>
              <w:pStyle w:val="64"/>
              <w:spacing w:line="360" w:lineRule="auto"/>
              <w:rPr>
                <w:rFonts w:hint="eastAsia" w:ascii="宋体" w:hAnsi="宋体" w:eastAsia="宋体" w:cs="宋体"/>
                <w:sz w:val="24"/>
                <w:szCs w:val="24"/>
              </w:rPr>
            </w:pPr>
            <w:r>
              <w:rPr>
                <w:rFonts w:hint="eastAsia" w:ascii="宋体" w:hAnsi="宋体" w:eastAsia="宋体" w:cs="宋体"/>
                <w:sz w:val="24"/>
                <w:szCs w:val="24"/>
              </w:rPr>
              <w:t>792,973.20</w:t>
            </w:r>
          </w:p>
        </w:tc>
      </w:tr>
    </w:tbl>
    <w:p w14:paraId="1B4306C8">
      <w:pPr>
        <w:pStyle w:val="64"/>
        <w:spacing w:line="360" w:lineRule="auto"/>
        <w:rPr>
          <w:rFonts w:hint="eastAsia" w:ascii="宋体" w:hAnsi="宋体" w:eastAsia="宋体" w:cs="宋体"/>
          <w:sz w:val="24"/>
          <w:szCs w:val="24"/>
        </w:rPr>
      </w:pPr>
      <w:r>
        <w:rPr>
          <w:rFonts w:hint="eastAsia" w:ascii="宋体" w:hAnsi="宋体" w:eastAsia="宋体" w:cs="宋体"/>
          <w:sz w:val="24"/>
          <w:szCs w:val="24"/>
        </w:rPr>
        <w:t xml:space="preserve"> 本合同包不接受联合体投标</w:t>
      </w:r>
    </w:p>
    <w:p w14:paraId="370E3E98">
      <w:pPr>
        <w:pStyle w:val="64"/>
        <w:spacing w:line="360" w:lineRule="auto"/>
        <w:rPr>
          <w:rFonts w:hint="eastAsia" w:ascii="宋体" w:hAnsi="宋体" w:eastAsia="宋体" w:cs="宋体"/>
          <w:sz w:val="24"/>
          <w:szCs w:val="24"/>
        </w:rPr>
      </w:pPr>
      <w:r>
        <w:rPr>
          <w:rFonts w:hint="eastAsia" w:ascii="宋体" w:hAnsi="宋体" w:eastAsia="宋体" w:cs="宋体"/>
          <w:sz w:val="24"/>
          <w:szCs w:val="24"/>
        </w:rPr>
        <w:t xml:space="preserve"> 合同履行期限：详见招标文件。</w:t>
      </w:r>
    </w:p>
    <w:p w14:paraId="25B8ED16">
      <w:pPr>
        <w:pStyle w:val="64"/>
        <w:spacing w:line="360" w:lineRule="auto"/>
        <w:rPr>
          <w:rFonts w:hint="eastAsia" w:ascii="宋体" w:hAnsi="宋体" w:eastAsia="宋体" w:cs="宋体"/>
          <w:sz w:val="24"/>
          <w:szCs w:val="24"/>
        </w:rPr>
      </w:pPr>
      <w:r>
        <w:rPr>
          <w:rFonts w:hint="eastAsia" w:ascii="宋体" w:hAnsi="宋体" w:eastAsia="宋体" w:cs="宋体"/>
          <w:sz w:val="24"/>
          <w:szCs w:val="24"/>
        </w:rPr>
        <w:t>合同包18(18标段：马房子作业区退化林修复113、120、 124、126、 127、128、129、130、 131、142、144小班852亩，修复方式为采伐+补植+修枝):</w:t>
      </w:r>
    </w:p>
    <w:p w14:paraId="748BEA47">
      <w:pPr>
        <w:pStyle w:val="64"/>
        <w:spacing w:line="360" w:lineRule="auto"/>
        <w:ind w:firstLine="630"/>
        <w:rPr>
          <w:rFonts w:hint="eastAsia" w:ascii="宋体" w:hAnsi="宋体" w:eastAsia="宋体" w:cs="宋体"/>
          <w:sz w:val="24"/>
          <w:szCs w:val="24"/>
        </w:rPr>
      </w:pPr>
      <w:r>
        <w:rPr>
          <w:rFonts w:hint="eastAsia" w:ascii="宋体" w:hAnsi="宋体" w:eastAsia="宋体" w:cs="宋体"/>
          <w:sz w:val="24"/>
          <w:szCs w:val="24"/>
        </w:rPr>
        <w:t>合同包预算金额：708,249.10元</w:t>
      </w:r>
    </w:p>
    <w:p w14:paraId="510B6B43">
      <w:pPr>
        <w:pStyle w:val="64"/>
        <w:spacing w:line="360" w:lineRule="auto"/>
        <w:ind w:firstLine="630"/>
        <w:rPr>
          <w:rFonts w:hint="eastAsia" w:ascii="宋体" w:hAnsi="宋体" w:eastAsia="宋体" w:cs="宋体"/>
          <w:sz w:val="24"/>
          <w:szCs w:val="24"/>
        </w:rPr>
      </w:pPr>
      <w:r>
        <w:rPr>
          <w:rFonts w:hint="eastAsia" w:ascii="宋体" w:hAnsi="宋体" w:eastAsia="宋体" w:cs="宋体"/>
          <w:sz w:val="24"/>
          <w:szCs w:val="24"/>
        </w:rPr>
        <w:t xml:space="preserve"> 合同包最高限价：708,249.10元</w:t>
      </w:r>
    </w:p>
    <w:tbl>
      <w:tblPr>
        <w:tblStyle w:val="29"/>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1384"/>
        <w:gridCol w:w="1384"/>
        <w:gridCol w:w="1384"/>
        <w:gridCol w:w="1384"/>
        <w:gridCol w:w="1384"/>
        <w:gridCol w:w="1416"/>
      </w:tblGrid>
      <w:tr w14:paraId="7EBF77B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384" w:type="dxa"/>
          </w:tcPr>
          <w:p w14:paraId="49D4977E">
            <w:pPr>
              <w:pStyle w:val="64"/>
              <w:spacing w:line="360" w:lineRule="auto"/>
              <w:rPr>
                <w:rFonts w:hint="eastAsia" w:ascii="宋体" w:hAnsi="宋体" w:eastAsia="宋体" w:cs="宋体"/>
                <w:sz w:val="24"/>
                <w:szCs w:val="24"/>
              </w:rPr>
            </w:pPr>
            <w:r>
              <w:rPr>
                <w:rFonts w:hint="eastAsia" w:ascii="宋体" w:hAnsi="宋体" w:eastAsia="宋体" w:cs="宋体"/>
                <w:sz w:val="24"/>
                <w:szCs w:val="24"/>
              </w:rPr>
              <w:t>品目号</w:t>
            </w:r>
          </w:p>
        </w:tc>
        <w:tc>
          <w:tcPr>
            <w:tcW w:w="1384" w:type="dxa"/>
          </w:tcPr>
          <w:p w14:paraId="6540A8DB">
            <w:pPr>
              <w:pStyle w:val="64"/>
              <w:spacing w:line="360" w:lineRule="auto"/>
              <w:rPr>
                <w:rFonts w:hint="eastAsia" w:ascii="宋体" w:hAnsi="宋体" w:eastAsia="宋体" w:cs="宋体"/>
                <w:sz w:val="24"/>
                <w:szCs w:val="24"/>
              </w:rPr>
            </w:pPr>
            <w:r>
              <w:rPr>
                <w:rFonts w:hint="eastAsia" w:ascii="宋体" w:hAnsi="宋体" w:eastAsia="宋体" w:cs="宋体"/>
                <w:sz w:val="24"/>
                <w:szCs w:val="24"/>
              </w:rPr>
              <w:t>品目名称</w:t>
            </w:r>
          </w:p>
        </w:tc>
        <w:tc>
          <w:tcPr>
            <w:tcW w:w="1384" w:type="dxa"/>
          </w:tcPr>
          <w:p w14:paraId="4896F727">
            <w:pPr>
              <w:pStyle w:val="64"/>
              <w:spacing w:line="360" w:lineRule="auto"/>
              <w:rPr>
                <w:rFonts w:hint="eastAsia" w:ascii="宋体" w:hAnsi="宋体" w:eastAsia="宋体" w:cs="宋体"/>
                <w:sz w:val="24"/>
                <w:szCs w:val="24"/>
              </w:rPr>
            </w:pPr>
            <w:r>
              <w:rPr>
                <w:rFonts w:hint="eastAsia" w:ascii="宋体" w:hAnsi="宋体" w:eastAsia="宋体" w:cs="宋体"/>
                <w:sz w:val="24"/>
                <w:szCs w:val="24"/>
              </w:rPr>
              <w:t>采购标的</w:t>
            </w:r>
          </w:p>
        </w:tc>
        <w:tc>
          <w:tcPr>
            <w:tcW w:w="1384" w:type="dxa"/>
          </w:tcPr>
          <w:p w14:paraId="30BFF402">
            <w:pPr>
              <w:pStyle w:val="64"/>
              <w:spacing w:line="360" w:lineRule="auto"/>
              <w:rPr>
                <w:rFonts w:hint="eastAsia" w:ascii="宋体" w:hAnsi="宋体" w:eastAsia="宋体" w:cs="宋体"/>
                <w:sz w:val="24"/>
                <w:szCs w:val="24"/>
              </w:rPr>
            </w:pPr>
            <w:r>
              <w:rPr>
                <w:rFonts w:hint="eastAsia" w:ascii="宋体" w:hAnsi="宋体" w:eastAsia="宋体" w:cs="宋体"/>
                <w:sz w:val="24"/>
                <w:szCs w:val="24"/>
              </w:rPr>
              <w:t>数量（单位）</w:t>
            </w:r>
          </w:p>
        </w:tc>
        <w:tc>
          <w:tcPr>
            <w:tcW w:w="1384" w:type="dxa"/>
          </w:tcPr>
          <w:p w14:paraId="6EB96EEC">
            <w:pPr>
              <w:pStyle w:val="64"/>
              <w:spacing w:line="360" w:lineRule="auto"/>
              <w:rPr>
                <w:rFonts w:hint="eastAsia" w:ascii="宋体" w:hAnsi="宋体" w:eastAsia="宋体" w:cs="宋体"/>
                <w:sz w:val="24"/>
                <w:szCs w:val="24"/>
              </w:rPr>
            </w:pPr>
            <w:r>
              <w:rPr>
                <w:rFonts w:hint="eastAsia" w:ascii="宋体" w:hAnsi="宋体" w:eastAsia="宋体" w:cs="宋体"/>
                <w:sz w:val="24"/>
                <w:szCs w:val="24"/>
              </w:rPr>
              <w:t>技术规格、参数及要求</w:t>
            </w:r>
          </w:p>
        </w:tc>
        <w:tc>
          <w:tcPr>
            <w:tcW w:w="1384" w:type="dxa"/>
          </w:tcPr>
          <w:p w14:paraId="4588E432">
            <w:pPr>
              <w:pStyle w:val="64"/>
              <w:spacing w:line="360" w:lineRule="auto"/>
              <w:rPr>
                <w:rFonts w:hint="eastAsia" w:ascii="宋体" w:hAnsi="宋体" w:eastAsia="宋体" w:cs="宋体"/>
                <w:sz w:val="24"/>
                <w:szCs w:val="24"/>
              </w:rPr>
            </w:pPr>
            <w:r>
              <w:rPr>
                <w:rFonts w:hint="eastAsia" w:ascii="宋体" w:hAnsi="宋体" w:eastAsia="宋体" w:cs="宋体"/>
                <w:sz w:val="24"/>
                <w:szCs w:val="24"/>
              </w:rPr>
              <w:t>品目预算(元)</w:t>
            </w:r>
          </w:p>
        </w:tc>
      </w:tr>
      <w:tr w14:paraId="726976A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384" w:type="dxa"/>
          </w:tcPr>
          <w:p w14:paraId="2960F19D">
            <w:pPr>
              <w:pStyle w:val="64"/>
              <w:spacing w:line="360" w:lineRule="auto"/>
              <w:rPr>
                <w:rFonts w:hint="eastAsia" w:ascii="宋体" w:hAnsi="宋体" w:eastAsia="宋体" w:cs="宋体"/>
                <w:sz w:val="24"/>
                <w:szCs w:val="24"/>
              </w:rPr>
            </w:pPr>
            <w:r>
              <w:rPr>
                <w:rFonts w:hint="eastAsia" w:ascii="宋体" w:hAnsi="宋体" w:eastAsia="宋体" w:cs="宋体"/>
                <w:sz w:val="24"/>
                <w:szCs w:val="24"/>
              </w:rPr>
              <w:t>18-1</w:t>
            </w:r>
          </w:p>
        </w:tc>
        <w:tc>
          <w:tcPr>
            <w:tcW w:w="1384" w:type="dxa"/>
          </w:tcPr>
          <w:p w14:paraId="71D65D16">
            <w:pPr>
              <w:pStyle w:val="64"/>
              <w:spacing w:line="360" w:lineRule="auto"/>
              <w:rPr>
                <w:rFonts w:hint="eastAsia" w:ascii="宋体" w:hAnsi="宋体" w:eastAsia="宋体" w:cs="宋体"/>
                <w:sz w:val="24"/>
                <w:szCs w:val="24"/>
              </w:rPr>
            </w:pPr>
            <w:r>
              <w:rPr>
                <w:rFonts w:hint="eastAsia" w:ascii="宋体" w:hAnsi="宋体" w:eastAsia="宋体" w:cs="宋体"/>
                <w:sz w:val="24"/>
                <w:szCs w:val="24"/>
              </w:rPr>
              <w:t>林木抚育管理服务</w:t>
            </w:r>
          </w:p>
        </w:tc>
        <w:tc>
          <w:tcPr>
            <w:tcW w:w="1384" w:type="dxa"/>
          </w:tcPr>
          <w:p w14:paraId="384D1486">
            <w:pPr>
              <w:pStyle w:val="64"/>
              <w:spacing w:line="360" w:lineRule="auto"/>
              <w:rPr>
                <w:rFonts w:hint="eastAsia" w:ascii="宋体" w:hAnsi="宋体" w:eastAsia="宋体" w:cs="宋体"/>
                <w:sz w:val="24"/>
                <w:szCs w:val="24"/>
              </w:rPr>
            </w:pPr>
            <w:r>
              <w:rPr>
                <w:rFonts w:hint="eastAsia" w:ascii="宋体" w:hAnsi="宋体" w:eastAsia="宋体" w:cs="宋体"/>
                <w:sz w:val="24"/>
                <w:szCs w:val="24"/>
              </w:rPr>
              <w:t>18标段：马房子作业区退化林修复113、120、124、126、127、128、129、130、131、142、144小班852亩，修复方式为采伐+补植+修枝。</w:t>
            </w:r>
          </w:p>
        </w:tc>
        <w:tc>
          <w:tcPr>
            <w:tcW w:w="1384" w:type="dxa"/>
          </w:tcPr>
          <w:p w14:paraId="1ADAD7E0">
            <w:pPr>
              <w:pStyle w:val="64"/>
              <w:spacing w:line="360" w:lineRule="auto"/>
              <w:rPr>
                <w:rFonts w:hint="eastAsia" w:ascii="宋体" w:hAnsi="宋体" w:eastAsia="宋体" w:cs="宋体"/>
                <w:sz w:val="24"/>
                <w:szCs w:val="24"/>
              </w:rPr>
            </w:pPr>
            <w:r>
              <w:rPr>
                <w:rFonts w:hint="eastAsia" w:ascii="宋体" w:hAnsi="宋体" w:eastAsia="宋体" w:cs="宋体"/>
                <w:sz w:val="24"/>
                <w:szCs w:val="24"/>
              </w:rPr>
              <w:t>852(亩)</w:t>
            </w:r>
          </w:p>
        </w:tc>
        <w:tc>
          <w:tcPr>
            <w:tcW w:w="1384" w:type="dxa"/>
          </w:tcPr>
          <w:p w14:paraId="4CE37A03">
            <w:pPr>
              <w:pStyle w:val="64"/>
              <w:spacing w:line="360" w:lineRule="auto"/>
              <w:rPr>
                <w:rFonts w:hint="eastAsia" w:ascii="宋体" w:hAnsi="宋体" w:eastAsia="宋体" w:cs="宋体"/>
                <w:sz w:val="24"/>
                <w:szCs w:val="24"/>
              </w:rPr>
            </w:pPr>
            <w:r>
              <w:rPr>
                <w:rFonts w:hint="eastAsia" w:ascii="宋体" w:hAnsi="宋体" w:eastAsia="宋体" w:cs="宋体"/>
                <w:sz w:val="24"/>
                <w:szCs w:val="24"/>
              </w:rPr>
              <w:t>详见采购文件</w:t>
            </w:r>
          </w:p>
        </w:tc>
        <w:tc>
          <w:tcPr>
            <w:tcW w:w="1384" w:type="dxa"/>
          </w:tcPr>
          <w:p w14:paraId="2B00EF87">
            <w:pPr>
              <w:pStyle w:val="64"/>
              <w:spacing w:line="360" w:lineRule="auto"/>
              <w:rPr>
                <w:rFonts w:hint="eastAsia" w:ascii="宋体" w:hAnsi="宋体" w:eastAsia="宋体" w:cs="宋体"/>
                <w:sz w:val="24"/>
                <w:szCs w:val="24"/>
              </w:rPr>
            </w:pPr>
            <w:r>
              <w:rPr>
                <w:rFonts w:hint="eastAsia" w:ascii="宋体" w:hAnsi="宋体" w:eastAsia="宋体" w:cs="宋体"/>
                <w:sz w:val="24"/>
                <w:szCs w:val="24"/>
              </w:rPr>
              <w:t>708,249.10</w:t>
            </w:r>
          </w:p>
        </w:tc>
      </w:tr>
    </w:tbl>
    <w:p w14:paraId="7BC4C90C">
      <w:pPr>
        <w:pStyle w:val="64"/>
        <w:spacing w:line="360" w:lineRule="auto"/>
        <w:rPr>
          <w:rFonts w:hint="eastAsia" w:ascii="宋体" w:hAnsi="宋体" w:eastAsia="宋体" w:cs="宋体"/>
          <w:sz w:val="24"/>
          <w:szCs w:val="24"/>
        </w:rPr>
      </w:pPr>
      <w:r>
        <w:rPr>
          <w:rFonts w:hint="eastAsia" w:ascii="宋体" w:hAnsi="宋体" w:eastAsia="宋体" w:cs="宋体"/>
          <w:sz w:val="24"/>
          <w:szCs w:val="24"/>
        </w:rPr>
        <w:t xml:space="preserve"> 本合同包不接受联合体投标</w:t>
      </w:r>
    </w:p>
    <w:p w14:paraId="512B2353">
      <w:pPr>
        <w:pStyle w:val="64"/>
        <w:spacing w:line="360" w:lineRule="auto"/>
        <w:rPr>
          <w:rFonts w:hint="eastAsia" w:ascii="宋体" w:hAnsi="宋体" w:eastAsia="宋体" w:cs="宋体"/>
          <w:sz w:val="24"/>
          <w:szCs w:val="24"/>
        </w:rPr>
      </w:pPr>
      <w:r>
        <w:rPr>
          <w:rFonts w:hint="eastAsia" w:ascii="宋体" w:hAnsi="宋体" w:eastAsia="宋体" w:cs="宋体"/>
          <w:sz w:val="24"/>
          <w:szCs w:val="24"/>
        </w:rPr>
        <w:t xml:space="preserve"> 合同履行期限：详见招标文件。</w:t>
      </w:r>
    </w:p>
    <w:p w14:paraId="42CBFCB4">
      <w:pPr>
        <w:pStyle w:val="64"/>
        <w:spacing w:line="360" w:lineRule="auto"/>
        <w:rPr>
          <w:rFonts w:hint="eastAsia" w:ascii="宋体" w:hAnsi="宋体" w:eastAsia="宋体" w:cs="宋体"/>
          <w:sz w:val="24"/>
          <w:szCs w:val="24"/>
        </w:rPr>
      </w:pPr>
      <w:r>
        <w:rPr>
          <w:rFonts w:hint="eastAsia" w:ascii="宋体" w:hAnsi="宋体" w:eastAsia="宋体" w:cs="宋体"/>
          <w:sz w:val="24"/>
          <w:szCs w:val="24"/>
        </w:rPr>
        <w:t>合同包19(19标段：马房子作业区退化林修复132、134、 135、136、 137、139、 140、141、143、145、146、147小班759亩，修复方式为采伐+补植+修枝):</w:t>
      </w:r>
    </w:p>
    <w:p w14:paraId="4FD8D9E5">
      <w:pPr>
        <w:pStyle w:val="64"/>
        <w:spacing w:line="360" w:lineRule="auto"/>
        <w:ind w:firstLine="630"/>
        <w:rPr>
          <w:rFonts w:hint="eastAsia" w:ascii="宋体" w:hAnsi="宋体" w:eastAsia="宋体" w:cs="宋体"/>
          <w:sz w:val="24"/>
          <w:szCs w:val="24"/>
        </w:rPr>
      </w:pPr>
      <w:r>
        <w:rPr>
          <w:rFonts w:hint="eastAsia" w:ascii="宋体" w:hAnsi="宋体" w:eastAsia="宋体" w:cs="宋体"/>
          <w:sz w:val="24"/>
          <w:szCs w:val="24"/>
        </w:rPr>
        <w:t>合同包预算金额：652,923.00元</w:t>
      </w:r>
    </w:p>
    <w:p w14:paraId="4284D9CE">
      <w:pPr>
        <w:pStyle w:val="64"/>
        <w:spacing w:line="360" w:lineRule="auto"/>
        <w:ind w:firstLine="630"/>
        <w:rPr>
          <w:rFonts w:hint="eastAsia" w:ascii="宋体" w:hAnsi="宋体" w:eastAsia="宋体" w:cs="宋体"/>
          <w:sz w:val="24"/>
          <w:szCs w:val="24"/>
        </w:rPr>
      </w:pPr>
      <w:r>
        <w:rPr>
          <w:rFonts w:hint="eastAsia" w:ascii="宋体" w:hAnsi="宋体" w:eastAsia="宋体" w:cs="宋体"/>
          <w:sz w:val="24"/>
          <w:szCs w:val="24"/>
        </w:rPr>
        <w:t xml:space="preserve"> 合同包最高限价：652,923.00元</w:t>
      </w:r>
    </w:p>
    <w:tbl>
      <w:tblPr>
        <w:tblStyle w:val="29"/>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1384"/>
        <w:gridCol w:w="1384"/>
        <w:gridCol w:w="1384"/>
        <w:gridCol w:w="1384"/>
        <w:gridCol w:w="1384"/>
        <w:gridCol w:w="1416"/>
      </w:tblGrid>
      <w:tr w14:paraId="121B7AA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384" w:type="dxa"/>
          </w:tcPr>
          <w:p w14:paraId="41642EBC">
            <w:pPr>
              <w:pStyle w:val="64"/>
              <w:spacing w:line="360" w:lineRule="auto"/>
              <w:rPr>
                <w:rFonts w:hint="eastAsia" w:ascii="宋体" w:hAnsi="宋体" w:eastAsia="宋体" w:cs="宋体"/>
                <w:sz w:val="24"/>
                <w:szCs w:val="24"/>
              </w:rPr>
            </w:pPr>
            <w:r>
              <w:rPr>
                <w:rFonts w:hint="eastAsia" w:ascii="宋体" w:hAnsi="宋体" w:eastAsia="宋体" w:cs="宋体"/>
                <w:sz w:val="24"/>
                <w:szCs w:val="24"/>
              </w:rPr>
              <w:t>品目号</w:t>
            </w:r>
          </w:p>
        </w:tc>
        <w:tc>
          <w:tcPr>
            <w:tcW w:w="1384" w:type="dxa"/>
          </w:tcPr>
          <w:p w14:paraId="6419A50C">
            <w:pPr>
              <w:pStyle w:val="64"/>
              <w:spacing w:line="360" w:lineRule="auto"/>
              <w:rPr>
                <w:rFonts w:hint="eastAsia" w:ascii="宋体" w:hAnsi="宋体" w:eastAsia="宋体" w:cs="宋体"/>
                <w:sz w:val="24"/>
                <w:szCs w:val="24"/>
              </w:rPr>
            </w:pPr>
            <w:r>
              <w:rPr>
                <w:rFonts w:hint="eastAsia" w:ascii="宋体" w:hAnsi="宋体" w:eastAsia="宋体" w:cs="宋体"/>
                <w:sz w:val="24"/>
                <w:szCs w:val="24"/>
              </w:rPr>
              <w:t>品目名称</w:t>
            </w:r>
          </w:p>
        </w:tc>
        <w:tc>
          <w:tcPr>
            <w:tcW w:w="1384" w:type="dxa"/>
          </w:tcPr>
          <w:p w14:paraId="58322A85">
            <w:pPr>
              <w:pStyle w:val="64"/>
              <w:spacing w:line="360" w:lineRule="auto"/>
              <w:rPr>
                <w:rFonts w:hint="eastAsia" w:ascii="宋体" w:hAnsi="宋体" w:eastAsia="宋体" w:cs="宋体"/>
                <w:sz w:val="24"/>
                <w:szCs w:val="24"/>
              </w:rPr>
            </w:pPr>
            <w:r>
              <w:rPr>
                <w:rFonts w:hint="eastAsia" w:ascii="宋体" w:hAnsi="宋体" w:eastAsia="宋体" w:cs="宋体"/>
                <w:sz w:val="24"/>
                <w:szCs w:val="24"/>
              </w:rPr>
              <w:t>采购标的</w:t>
            </w:r>
          </w:p>
        </w:tc>
        <w:tc>
          <w:tcPr>
            <w:tcW w:w="1384" w:type="dxa"/>
          </w:tcPr>
          <w:p w14:paraId="781E7DAB">
            <w:pPr>
              <w:pStyle w:val="64"/>
              <w:spacing w:line="360" w:lineRule="auto"/>
              <w:rPr>
                <w:rFonts w:hint="eastAsia" w:ascii="宋体" w:hAnsi="宋体" w:eastAsia="宋体" w:cs="宋体"/>
                <w:sz w:val="24"/>
                <w:szCs w:val="24"/>
              </w:rPr>
            </w:pPr>
            <w:r>
              <w:rPr>
                <w:rFonts w:hint="eastAsia" w:ascii="宋体" w:hAnsi="宋体" w:eastAsia="宋体" w:cs="宋体"/>
                <w:sz w:val="24"/>
                <w:szCs w:val="24"/>
              </w:rPr>
              <w:t>数量（单位）</w:t>
            </w:r>
          </w:p>
        </w:tc>
        <w:tc>
          <w:tcPr>
            <w:tcW w:w="1384" w:type="dxa"/>
          </w:tcPr>
          <w:p w14:paraId="2BD51D7E">
            <w:pPr>
              <w:pStyle w:val="64"/>
              <w:spacing w:line="360" w:lineRule="auto"/>
              <w:rPr>
                <w:rFonts w:hint="eastAsia" w:ascii="宋体" w:hAnsi="宋体" w:eastAsia="宋体" w:cs="宋体"/>
                <w:sz w:val="24"/>
                <w:szCs w:val="24"/>
              </w:rPr>
            </w:pPr>
            <w:r>
              <w:rPr>
                <w:rFonts w:hint="eastAsia" w:ascii="宋体" w:hAnsi="宋体" w:eastAsia="宋体" w:cs="宋体"/>
                <w:sz w:val="24"/>
                <w:szCs w:val="24"/>
              </w:rPr>
              <w:t>技术规格、参数及要求</w:t>
            </w:r>
          </w:p>
        </w:tc>
        <w:tc>
          <w:tcPr>
            <w:tcW w:w="1384" w:type="dxa"/>
          </w:tcPr>
          <w:p w14:paraId="528C7482">
            <w:pPr>
              <w:pStyle w:val="64"/>
              <w:spacing w:line="360" w:lineRule="auto"/>
              <w:rPr>
                <w:rFonts w:hint="eastAsia" w:ascii="宋体" w:hAnsi="宋体" w:eastAsia="宋体" w:cs="宋体"/>
                <w:sz w:val="24"/>
                <w:szCs w:val="24"/>
              </w:rPr>
            </w:pPr>
            <w:r>
              <w:rPr>
                <w:rFonts w:hint="eastAsia" w:ascii="宋体" w:hAnsi="宋体" w:eastAsia="宋体" w:cs="宋体"/>
                <w:sz w:val="24"/>
                <w:szCs w:val="24"/>
              </w:rPr>
              <w:t>品目预算(元)</w:t>
            </w:r>
          </w:p>
        </w:tc>
      </w:tr>
      <w:tr w14:paraId="0CF62DA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384" w:type="dxa"/>
          </w:tcPr>
          <w:p w14:paraId="485DF14F">
            <w:pPr>
              <w:pStyle w:val="64"/>
              <w:spacing w:line="360" w:lineRule="auto"/>
              <w:rPr>
                <w:rFonts w:hint="eastAsia" w:ascii="宋体" w:hAnsi="宋体" w:eastAsia="宋体" w:cs="宋体"/>
                <w:sz w:val="24"/>
                <w:szCs w:val="24"/>
              </w:rPr>
            </w:pPr>
            <w:r>
              <w:rPr>
                <w:rFonts w:hint="eastAsia" w:ascii="宋体" w:hAnsi="宋体" w:eastAsia="宋体" w:cs="宋体"/>
                <w:sz w:val="24"/>
                <w:szCs w:val="24"/>
              </w:rPr>
              <w:t>19-1</w:t>
            </w:r>
          </w:p>
        </w:tc>
        <w:tc>
          <w:tcPr>
            <w:tcW w:w="1384" w:type="dxa"/>
          </w:tcPr>
          <w:p w14:paraId="4C91CC75">
            <w:pPr>
              <w:pStyle w:val="64"/>
              <w:spacing w:line="360" w:lineRule="auto"/>
              <w:rPr>
                <w:rFonts w:hint="eastAsia" w:ascii="宋体" w:hAnsi="宋体" w:eastAsia="宋体" w:cs="宋体"/>
                <w:sz w:val="24"/>
                <w:szCs w:val="24"/>
              </w:rPr>
            </w:pPr>
            <w:r>
              <w:rPr>
                <w:rFonts w:hint="eastAsia" w:ascii="宋体" w:hAnsi="宋体" w:eastAsia="宋体" w:cs="宋体"/>
                <w:sz w:val="24"/>
                <w:szCs w:val="24"/>
              </w:rPr>
              <w:t>林木抚育管理服务</w:t>
            </w:r>
          </w:p>
        </w:tc>
        <w:tc>
          <w:tcPr>
            <w:tcW w:w="1384" w:type="dxa"/>
          </w:tcPr>
          <w:p w14:paraId="3F4088F6">
            <w:pPr>
              <w:pStyle w:val="64"/>
              <w:spacing w:line="360" w:lineRule="auto"/>
              <w:rPr>
                <w:rFonts w:hint="eastAsia" w:ascii="宋体" w:hAnsi="宋体" w:eastAsia="宋体" w:cs="宋体"/>
                <w:sz w:val="24"/>
                <w:szCs w:val="24"/>
              </w:rPr>
            </w:pPr>
            <w:r>
              <w:rPr>
                <w:rFonts w:hint="eastAsia" w:ascii="宋体" w:hAnsi="宋体" w:eastAsia="宋体" w:cs="宋体"/>
                <w:sz w:val="24"/>
                <w:szCs w:val="24"/>
              </w:rPr>
              <w:t>19标段：马房子作业区退化林修复132、134、135、136、137、139、140、141、143、145、146、147小班759亩，修复方式为采伐+补植+修枝。</w:t>
            </w:r>
          </w:p>
        </w:tc>
        <w:tc>
          <w:tcPr>
            <w:tcW w:w="1384" w:type="dxa"/>
          </w:tcPr>
          <w:p w14:paraId="47D0EEBA">
            <w:pPr>
              <w:pStyle w:val="64"/>
              <w:spacing w:line="360" w:lineRule="auto"/>
              <w:rPr>
                <w:rFonts w:hint="eastAsia" w:ascii="宋体" w:hAnsi="宋体" w:eastAsia="宋体" w:cs="宋体"/>
                <w:sz w:val="24"/>
                <w:szCs w:val="24"/>
              </w:rPr>
            </w:pPr>
            <w:r>
              <w:rPr>
                <w:rFonts w:hint="eastAsia" w:ascii="宋体" w:hAnsi="宋体" w:eastAsia="宋体" w:cs="宋体"/>
                <w:sz w:val="24"/>
                <w:szCs w:val="24"/>
              </w:rPr>
              <w:t>759(亩)</w:t>
            </w:r>
          </w:p>
        </w:tc>
        <w:tc>
          <w:tcPr>
            <w:tcW w:w="1384" w:type="dxa"/>
          </w:tcPr>
          <w:p w14:paraId="7A991B6A">
            <w:pPr>
              <w:pStyle w:val="64"/>
              <w:spacing w:line="360" w:lineRule="auto"/>
              <w:rPr>
                <w:rFonts w:hint="eastAsia" w:ascii="宋体" w:hAnsi="宋体" w:eastAsia="宋体" w:cs="宋体"/>
                <w:sz w:val="24"/>
                <w:szCs w:val="24"/>
              </w:rPr>
            </w:pPr>
            <w:r>
              <w:rPr>
                <w:rFonts w:hint="eastAsia" w:ascii="宋体" w:hAnsi="宋体" w:eastAsia="宋体" w:cs="宋体"/>
                <w:sz w:val="24"/>
                <w:szCs w:val="24"/>
              </w:rPr>
              <w:t>详见采购文件</w:t>
            </w:r>
          </w:p>
        </w:tc>
        <w:tc>
          <w:tcPr>
            <w:tcW w:w="1384" w:type="dxa"/>
          </w:tcPr>
          <w:p w14:paraId="2D55EE12">
            <w:pPr>
              <w:pStyle w:val="64"/>
              <w:spacing w:line="360" w:lineRule="auto"/>
              <w:rPr>
                <w:rFonts w:hint="eastAsia" w:ascii="宋体" w:hAnsi="宋体" w:eastAsia="宋体" w:cs="宋体"/>
                <w:sz w:val="24"/>
                <w:szCs w:val="24"/>
              </w:rPr>
            </w:pPr>
            <w:r>
              <w:rPr>
                <w:rFonts w:hint="eastAsia" w:ascii="宋体" w:hAnsi="宋体" w:eastAsia="宋体" w:cs="宋体"/>
                <w:sz w:val="24"/>
                <w:szCs w:val="24"/>
              </w:rPr>
              <w:t>652,923.00</w:t>
            </w:r>
          </w:p>
        </w:tc>
      </w:tr>
    </w:tbl>
    <w:p w14:paraId="3B677872">
      <w:pPr>
        <w:pStyle w:val="64"/>
        <w:spacing w:line="360" w:lineRule="auto"/>
        <w:rPr>
          <w:rFonts w:hint="eastAsia" w:ascii="宋体" w:hAnsi="宋体" w:eastAsia="宋体" w:cs="宋体"/>
          <w:sz w:val="24"/>
          <w:szCs w:val="24"/>
        </w:rPr>
      </w:pPr>
      <w:r>
        <w:rPr>
          <w:rFonts w:hint="eastAsia" w:ascii="宋体" w:hAnsi="宋体" w:eastAsia="宋体" w:cs="宋体"/>
          <w:sz w:val="24"/>
          <w:szCs w:val="24"/>
        </w:rPr>
        <w:t xml:space="preserve"> 本合同包不接受联合体投标</w:t>
      </w:r>
    </w:p>
    <w:p w14:paraId="6E3D8D1F">
      <w:pPr>
        <w:pStyle w:val="64"/>
        <w:spacing w:line="360" w:lineRule="auto"/>
        <w:rPr>
          <w:rFonts w:hint="eastAsia" w:ascii="宋体" w:hAnsi="宋体" w:eastAsia="宋体" w:cs="宋体"/>
          <w:sz w:val="24"/>
          <w:szCs w:val="24"/>
        </w:rPr>
      </w:pPr>
      <w:r>
        <w:rPr>
          <w:rFonts w:hint="eastAsia" w:ascii="宋体" w:hAnsi="宋体" w:eastAsia="宋体" w:cs="宋体"/>
          <w:sz w:val="24"/>
          <w:szCs w:val="24"/>
        </w:rPr>
        <w:t xml:space="preserve"> 合同履行期限：详见招标文件。</w:t>
      </w:r>
    </w:p>
    <w:p w14:paraId="28CF35A6">
      <w:pPr>
        <w:pStyle w:val="64"/>
        <w:spacing w:line="360" w:lineRule="auto"/>
        <w:rPr>
          <w:rFonts w:hint="eastAsia" w:ascii="宋体" w:hAnsi="宋体" w:eastAsia="宋体" w:cs="宋体"/>
          <w:sz w:val="24"/>
          <w:szCs w:val="24"/>
        </w:rPr>
      </w:pPr>
      <w:r>
        <w:rPr>
          <w:rFonts w:hint="eastAsia" w:ascii="宋体" w:hAnsi="宋体" w:eastAsia="宋体" w:cs="宋体"/>
          <w:sz w:val="24"/>
          <w:szCs w:val="24"/>
        </w:rPr>
        <w:t>合同包20(20标段：马房子作业区退化林修复148、149、150、151、152、153、154、155、156、159小班462亩，修复方式为采伐+补植+修枝):</w:t>
      </w:r>
    </w:p>
    <w:p w14:paraId="5037C7CC">
      <w:pPr>
        <w:pStyle w:val="64"/>
        <w:spacing w:line="360" w:lineRule="auto"/>
        <w:ind w:firstLine="630"/>
        <w:rPr>
          <w:rFonts w:hint="eastAsia" w:ascii="宋体" w:hAnsi="宋体" w:eastAsia="宋体" w:cs="宋体"/>
          <w:sz w:val="24"/>
          <w:szCs w:val="24"/>
        </w:rPr>
      </w:pPr>
      <w:r>
        <w:rPr>
          <w:rFonts w:hint="eastAsia" w:ascii="宋体" w:hAnsi="宋体" w:eastAsia="宋体" w:cs="宋体"/>
          <w:sz w:val="24"/>
          <w:szCs w:val="24"/>
        </w:rPr>
        <w:t>合同包预算金额：371,929.80元</w:t>
      </w:r>
    </w:p>
    <w:p w14:paraId="5B3F7460">
      <w:pPr>
        <w:pStyle w:val="64"/>
        <w:spacing w:line="360" w:lineRule="auto"/>
        <w:ind w:firstLine="630"/>
        <w:rPr>
          <w:rFonts w:hint="eastAsia" w:ascii="宋体" w:hAnsi="宋体" w:eastAsia="宋体" w:cs="宋体"/>
          <w:sz w:val="24"/>
          <w:szCs w:val="24"/>
        </w:rPr>
      </w:pPr>
      <w:r>
        <w:rPr>
          <w:rFonts w:hint="eastAsia" w:ascii="宋体" w:hAnsi="宋体" w:eastAsia="宋体" w:cs="宋体"/>
          <w:sz w:val="24"/>
          <w:szCs w:val="24"/>
        </w:rPr>
        <w:t xml:space="preserve"> 合同包最高限价：371,929.80元</w:t>
      </w:r>
    </w:p>
    <w:tbl>
      <w:tblPr>
        <w:tblStyle w:val="29"/>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1384"/>
        <w:gridCol w:w="1384"/>
        <w:gridCol w:w="1384"/>
        <w:gridCol w:w="1384"/>
        <w:gridCol w:w="1384"/>
        <w:gridCol w:w="1416"/>
      </w:tblGrid>
      <w:tr w14:paraId="1F66978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384" w:type="dxa"/>
          </w:tcPr>
          <w:p w14:paraId="4B0CD1FD">
            <w:pPr>
              <w:pStyle w:val="64"/>
              <w:spacing w:line="360" w:lineRule="auto"/>
              <w:rPr>
                <w:rFonts w:hint="eastAsia" w:ascii="宋体" w:hAnsi="宋体" w:eastAsia="宋体" w:cs="宋体"/>
                <w:sz w:val="24"/>
                <w:szCs w:val="24"/>
              </w:rPr>
            </w:pPr>
            <w:r>
              <w:rPr>
                <w:rFonts w:hint="eastAsia" w:ascii="宋体" w:hAnsi="宋体" w:eastAsia="宋体" w:cs="宋体"/>
                <w:sz w:val="24"/>
                <w:szCs w:val="24"/>
              </w:rPr>
              <w:t>品目号</w:t>
            </w:r>
          </w:p>
        </w:tc>
        <w:tc>
          <w:tcPr>
            <w:tcW w:w="1384" w:type="dxa"/>
          </w:tcPr>
          <w:p w14:paraId="716009D0">
            <w:pPr>
              <w:pStyle w:val="64"/>
              <w:spacing w:line="360" w:lineRule="auto"/>
              <w:rPr>
                <w:rFonts w:hint="eastAsia" w:ascii="宋体" w:hAnsi="宋体" w:eastAsia="宋体" w:cs="宋体"/>
                <w:sz w:val="24"/>
                <w:szCs w:val="24"/>
              </w:rPr>
            </w:pPr>
            <w:r>
              <w:rPr>
                <w:rFonts w:hint="eastAsia" w:ascii="宋体" w:hAnsi="宋体" w:eastAsia="宋体" w:cs="宋体"/>
                <w:sz w:val="24"/>
                <w:szCs w:val="24"/>
              </w:rPr>
              <w:t>品目名称</w:t>
            </w:r>
          </w:p>
        </w:tc>
        <w:tc>
          <w:tcPr>
            <w:tcW w:w="1384" w:type="dxa"/>
          </w:tcPr>
          <w:p w14:paraId="0626D0EB">
            <w:pPr>
              <w:pStyle w:val="64"/>
              <w:spacing w:line="360" w:lineRule="auto"/>
              <w:rPr>
                <w:rFonts w:hint="eastAsia" w:ascii="宋体" w:hAnsi="宋体" w:eastAsia="宋体" w:cs="宋体"/>
                <w:sz w:val="24"/>
                <w:szCs w:val="24"/>
              </w:rPr>
            </w:pPr>
            <w:r>
              <w:rPr>
                <w:rFonts w:hint="eastAsia" w:ascii="宋体" w:hAnsi="宋体" w:eastAsia="宋体" w:cs="宋体"/>
                <w:sz w:val="24"/>
                <w:szCs w:val="24"/>
              </w:rPr>
              <w:t>采购标的</w:t>
            </w:r>
          </w:p>
        </w:tc>
        <w:tc>
          <w:tcPr>
            <w:tcW w:w="1384" w:type="dxa"/>
          </w:tcPr>
          <w:p w14:paraId="1527751D">
            <w:pPr>
              <w:pStyle w:val="64"/>
              <w:spacing w:line="360" w:lineRule="auto"/>
              <w:rPr>
                <w:rFonts w:hint="eastAsia" w:ascii="宋体" w:hAnsi="宋体" w:eastAsia="宋体" w:cs="宋体"/>
                <w:sz w:val="24"/>
                <w:szCs w:val="24"/>
              </w:rPr>
            </w:pPr>
            <w:r>
              <w:rPr>
                <w:rFonts w:hint="eastAsia" w:ascii="宋体" w:hAnsi="宋体" w:eastAsia="宋体" w:cs="宋体"/>
                <w:sz w:val="24"/>
                <w:szCs w:val="24"/>
              </w:rPr>
              <w:t>数量（单位）</w:t>
            </w:r>
          </w:p>
        </w:tc>
        <w:tc>
          <w:tcPr>
            <w:tcW w:w="1384" w:type="dxa"/>
          </w:tcPr>
          <w:p w14:paraId="5B385B24">
            <w:pPr>
              <w:pStyle w:val="64"/>
              <w:spacing w:line="360" w:lineRule="auto"/>
              <w:rPr>
                <w:rFonts w:hint="eastAsia" w:ascii="宋体" w:hAnsi="宋体" w:eastAsia="宋体" w:cs="宋体"/>
                <w:sz w:val="24"/>
                <w:szCs w:val="24"/>
              </w:rPr>
            </w:pPr>
            <w:r>
              <w:rPr>
                <w:rFonts w:hint="eastAsia" w:ascii="宋体" w:hAnsi="宋体" w:eastAsia="宋体" w:cs="宋体"/>
                <w:sz w:val="24"/>
                <w:szCs w:val="24"/>
              </w:rPr>
              <w:t>技术规格、参数及要求</w:t>
            </w:r>
          </w:p>
        </w:tc>
        <w:tc>
          <w:tcPr>
            <w:tcW w:w="1384" w:type="dxa"/>
          </w:tcPr>
          <w:p w14:paraId="29FFC34A">
            <w:pPr>
              <w:pStyle w:val="64"/>
              <w:spacing w:line="360" w:lineRule="auto"/>
              <w:rPr>
                <w:rFonts w:hint="eastAsia" w:ascii="宋体" w:hAnsi="宋体" w:eastAsia="宋体" w:cs="宋体"/>
                <w:sz w:val="24"/>
                <w:szCs w:val="24"/>
              </w:rPr>
            </w:pPr>
            <w:r>
              <w:rPr>
                <w:rFonts w:hint="eastAsia" w:ascii="宋体" w:hAnsi="宋体" w:eastAsia="宋体" w:cs="宋体"/>
                <w:sz w:val="24"/>
                <w:szCs w:val="24"/>
              </w:rPr>
              <w:t>品目预算(元)</w:t>
            </w:r>
          </w:p>
        </w:tc>
      </w:tr>
      <w:tr w14:paraId="73040E0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384" w:type="dxa"/>
          </w:tcPr>
          <w:p w14:paraId="05D5837A">
            <w:pPr>
              <w:pStyle w:val="64"/>
              <w:spacing w:line="360" w:lineRule="auto"/>
              <w:rPr>
                <w:rFonts w:hint="eastAsia" w:ascii="宋体" w:hAnsi="宋体" w:eastAsia="宋体" w:cs="宋体"/>
                <w:sz w:val="24"/>
                <w:szCs w:val="24"/>
              </w:rPr>
            </w:pPr>
            <w:r>
              <w:rPr>
                <w:rFonts w:hint="eastAsia" w:ascii="宋体" w:hAnsi="宋体" w:eastAsia="宋体" w:cs="宋体"/>
                <w:sz w:val="24"/>
                <w:szCs w:val="24"/>
              </w:rPr>
              <w:t>20-1</w:t>
            </w:r>
          </w:p>
        </w:tc>
        <w:tc>
          <w:tcPr>
            <w:tcW w:w="1384" w:type="dxa"/>
          </w:tcPr>
          <w:p w14:paraId="304E6EC3">
            <w:pPr>
              <w:pStyle w:val="64"/>
              <w:spacing w:line="360" w:lineRule="auto"/>
              <w:rPr>
                <w:rFonts w:hint="eastAsia" w:ascii="宋体" w:hAnsi="宋体" w:eastAsia="宋体" w:cs="宋体"/>
                <w:sz w:val="24"/>
                <w:szCs w:val="24"/>
              </w:rPr>
            </w:pPr>
            <w:r>
              <w:rPr>
                <w:rFonts w:hint="eastAsia" w:ascii="宋体" w:hAnsi="宋体" w:eastAsia="宋体" w:cs="宋体"/>
                <w:sz w:val="24"/>
                <w:szCs w:val="24"/>
              </w:rPr>
              <w:t>林木抚育管理服务</w:t>
            </w:r>
          </w:p>
        </w:tc>
        <w:tc>
          <w:tcPr>
            <w:tcW w:w="1384" w:type="dxa"/>
          </w:tcPr>
          <w:p w14:paraId="6D312FB0">
            <w:pPr>
              <w:pStyle w:val="64"/>
              <w:spacing w:line="360" w:lineRule="auto"/>
              <w:rPr>
                <w:rFonts w:hint="eastAsia" w:ascii="宋体" w:hAnsi="宋体" w:eastAsia="宋体" w:cs="宋体"/>
                <w:sz w:val="24"/>
                <w:szCs w:val="24"/>
              </w:rPr>
            </w:pPr>
            <w:r>
              <w:rPr>
                <w:rFonts w:hint="eastAsia" w:ascii="宋体" w:hAnsi="宋体" w:eastAsia="宋体" w:cs="宋体"/>
                <w:sz w:val="24"/>
                <w:szCs w:val="24"/>
              </w:rPr>
              <w:t>20标段：马房子作业区退化林修复148、149、150、151、152、153、154、155、156、159小班462亩，修复方式为采伐+补植+修枝。</w:t>
            </w:r>
          </w:p>
        </w:tc>
        <w:tc>
          <w:tcPr>
            <w:tcW w:w="1384" w:type="dxa"/>
          </w:tcPr>
          <w:p w14:paraId="25711649">
            <w:pPr>
              <w:pStyle w:val="64"/>
              <w:spacing w:line="360" w:lineRule="auto"/>
              <w:rPr>
                <w:rFonts w:hint="eastAsia" w:ascii="宋体" w:hAnsi="宋体" w:eastAsia="宋体" w:cs="宋体"/>
                <w:sz w:val="24"/>
                <w:szCs w:val="24"/>
              </w:rPr>
            </w:pPr>
            <w:r>
              <w:rPr>
                <w:rFonts w:hint="eastAsia" w:ascii="宋体" w:hAnsi="宋体" w:eastAsia="宋体" w:cs="宋体"/>
                <w:sz w:val="24"/>
                <w:szCs w:val="24"/>
              </w:rPr>
              <w:t>462(亩)</w:t>
            </w:r>
          </w:p>
        </w:tc>
        <w:tc>
          <w:tcPr>
            <w:tcW w:w="1384" w:type="dxa"/>
          </w:tcPr>
          <w:p w14:paraId="230F886E">
            <w:pPr>
              <w:pStyle w:val="64"/>
              <w:spacing w:line="360" w:lineRule="auto"/>
              <w:rPr>
                <w:rFonts w:hint="eastAsia" w:ascii="宋体" w:hAnsi="宋体" w:eastAsia="宋体" w:cs="宋体"/>
                <w:sz w:val="24"/>
                <w:szCs w:val="24"/>
              </w:rPr>
            </w:pPr>
            <w:r>
              <w:rPr>
                <w:rFonts w:hint="eastAsia" w:ascii="宋体" w:hAnsi="宋体" w:eastAsia="宋体" w:cs="宋体"/>
                <w:sz w:val="24"/>
                <w:szCs w:val="24"/>
              </w:rPr>
              <w:t>详见采购文件</w:t>
            </w:r>
          </w:p>
        </w:tc>
        <w:tc>
          <w:tcPr>
            <w:tcW w:w="1384" w:type="dxa"/>
          </w:tcPr>
          <w:p w14:paraId="15A44585">
            <w:pPr>
              <w:pStyle w:val="64"/>
              <w:spacing w:line="360" w:lineRule="auto"/>
              <w:rPr>
                <w:rFonts w:hint="eastAsia" w:ascii="宋体" w:hAnsi="宋体" w:eastAsia="宋体" w:cs="宋体"/>
                <w:sz w:val="24"/>
                <w:szCs w:val="24"/>
              </w:rPr>
            </w:pPr>
            <w:r>
              <w:rPr>
                <w:rFonts w:hint="eastAsia" w:ascii="宋体" w:hAnsi="宋体" w:eastAsia="宋体" w:cs="宋体"/>
                <w:sz w:val="24"/>
                <w:szCs w:val="24"/>
              </w:rPr>
              <w:t>371,929.80</w:t>
            </w:r>
          </w:p>
        </w:tc>
      </w:tr>
    </w:tbl>
    <w:p w14:paraId="7E0324CA">
      <w:pPr>
        <w:pStyle w:val="64"/>
        <w:spacing w:line="360" w:lineRule="auto"/>
        <w:rPr>
          <w:rFonts w:hint="eastAsia" w:ascii="宋体" w:hAnsi="宋体" w:eastAsia="宋体" w:cs="宋体"/>
          <w:sz w:val="24"/>
          <w:szCs w:val="24"/>
        </w:rPr>
      </w:pPr>
      <w:r>
        <w:rPr>
          <w:rFonts w:hint="eastAsia" w:ascii="宋体" w:hAnsi="宋体" w:eastAsia="宋体" w:cs="宋体"/>
          <w:sz w:val="24"/>
          <w:szCs w:val="24"/>
        </w:rPr>
        <w:t xml:space="preserve"> 本合同包不接受联合体投标</w:t>
      </w:r>
    </w:p>
    <w:p w14:paraId="5F51C1BF">
      <w:pPr>
        <w:pStyle w:val="64"/>
        <w:spacing w:line="360" w:lineRule="auto"/>
        <w:rPr>
          <w:rFonts w:hint="eastAsia" w:ascii="宋体" w:hAnsi="宋体" w:eastAsia="宋体" w:cs="宋体"/>
          <w:sz w:val="24"/>
          <w:szCs w:val="24"/>
        </w:rPr>
      </w:pPr>
      <w:r>
        <w:rPr>
          <w:rFonts w:hint="eastAsia" w:ascii="宋体" w:hAnsi="宋体" w:eastAsia="宋体" w:cs="宋体"/>
          <w:sz w:val="24"/>
          <w:szCs w:val="24"/>
        </w:rPr>
        <w:t xml:space="preserve"> 合同履行期限：详见招标文件。</w:t>
      </w:r>
    </w:p>
    <w:p w14:paraId="55285F0C">
      <w:pPr>
        <w:pStyle w:val="64"/>
        <w:spacing w:line="360" w:lineRule="auto"/>
        <w:rPr>
          <w:rFonts w:hint="eastAsia" w:ascii="宋体" w:hAnsi="宋体" w:eastAsia="宋体" w:cs="宋体"/>
          <w:sz w:val="24"/>
          <w:szCs w:val="24"/>
        </w:rPr>
      </w:pPr>
      <w:r>
        <w:rPr>
          <w:rFonts w:hint="eastAsia" w:ascii="宋体" w:hAnsi="宋体" w:eastAsia="宋体" w:cs="宋体"/>
          <w:sz w:val="24"/>
          <w:szCs w:val="24"/>
        </w:rPr>
        <w:t>合同包21(21标段：马房子作业区退化林修复157、158、 160、161、 162、163、164小班852亩，修复方式为采伐+补植+修枝):</w:t>
      </w:r>
    </w:p>
    <w:p w14:paraId="2463C1DC">
      <w:pPr>
        <w:pStyle w:val="64"/>
        <w:spacing w:line="360" w:lineRule="auto"/>
        <w:ind w:firstLine="630"/>
        <w:rPr>
          <w:rFonts w:hint="eastAsia" w:ascii="宋体" w:hAnsi="宋体" w:eastAsia="宋体" w:cs="宋体"/>
          <w:sz w:val="24"/>
          <w:szCs w:val="24"/>
        </w:rPr>
      </w:pPr>
      <w:r>
        <w:rPr>
          <w:rFonts w:hint="eastAsia" w:ascii="宋体" w:hAnsi="宋体" w:eastAsia="宋体" w:cs="宋体"/>
          <w:sz w:val="24"/>
          <w:szCs w:val="24"/>
        </w:rPr>
        <w:t>合同包预算金额：694,987.60元</w:t>
      </w:r>
    </w:p>
    <w:p w14:paraId="59B577AC">
      <w:pPr>
        <w:pStyle w:val="64"/>
        <w:spacing w:line="360" w:lineRule="auto"/>
        <w:ind w:firstLine="630"/>
        <w:rPr>
          <w:rFonts w:hint="eastAsia" w:ascii="宋体" w:hAnsi="宋体" w:eastAsia="宋体" w:cs="宋体"/>
          <w:sz w:val="24"/>
          <w:szCs w:val="24"/>
        </w:rPr>
      </w:pPr>
      <w:r>
        <w:rPr>
          <w:rFonts w:hint="eastAsia" w:ascii="宋体" w:hAnsi="宋体" w:eastAsia="宋体" w:cs="宋体"/>
          <w:sz w:val="24"/>
          <w:szCs w:val="24"/>
        </w:rPr>
        <w:t xml:space="preserve"> 合同包最高限价：694,987.60元</w:t>
      </w:r>
    </w:p>
    <w:tbl>
      <w:tblPr>
        <w:tblStyle w:val="29"/>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1384"/>
        <w:gridCol w:w="1384"/>
        <w:gridCol w:w="1384"/>
        <w:gridCol w:w="1384"/>
        <w:gridCol w:w="1384"/>
        <w:gridCol w:w="1416"/>
      </w:tblGrid>
      <w:tr w14:paraId="76FCC5D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384" w:type="dxa"/>
          </w:tcPr>
          <w:p w14:paraId="6AC4A5CF">
            <w:pPr>
              <w:pStyle w:val="64"/>
              <w:spacing w:line="360" w:lineRule="auto"/>
              <w:rPr>
                <w:rFonts w:hint="eastAsia" w:ascii="宋体" w:hAnsi="宋体" w:eastAsia="宋体" w:cs="宋体"/>
                <w:sz w:val="24"/>
                <w:szCs w:val="24"/>
              </w:rPr>
            </w:pPr>
            <w:r>
              <w:rPr>
                <w:rFonts w:hint="eastAsia" w:ascii="宋体" w:hAnsi="宋体" w:eastAsia="宋体" w:cs="宋体"/>
                <w:sz w:val="24"/>
                <w:szCs w:val="24"/>
              </w:rPr>
              <w:t>品目号</w:t>
            </w:r>
          </w:p>
        </w:tc>
        <w:tc>
          <w:tcPr>
            <w:tcW w:w="1384" w:type="dxa"/>
          </w:tcPr>
          <w:p w14:paraId="46699300">
            <w:pPr>
              <w:pStyle w:val="64"/>
              <w:spacing w:line="360" w:lineRule="auto"/>
              <w:rPr>
                <w:rFonts w:hint="eastAsia" w:ascii="宋体" w:hAnsi="宋体" w:eastAsia="宋体" w:cs="宋体"/>
                <w:sz w:val="24"/>
                <w:szCs w:val="24"/>
              </w:rPr>
            </w:pPr>
            <w:r>
              <w:rPr>
                <w:rFonts w:hint="eastAsia" w:ascii="宋体" w:hAnsi="宋体" w:eastAsia="宋体" w:cs="宋体"/>
                <w:sz w:val="24"/>
                <w:szCs w:val="24"/>
              </w:rPr>
              <w:t>品目名称</w:t>
            </w:r>
          </w:p>
        </w:tc>
        <w:tc>
          <w:tcPr>
            <w:tcW w:w="1384" w:type="dxa"/>
          </w:tcPr>
          <w:p w14:paraId="5D82E1FD">
            <w:pPr>
              <w:pStyle w:val="64"/>
              <w:spacing w:line="360" w:lineRule="auto"/>
              <w:rPr>
                <w:rFonts w:hint="eastAsia" w:ascii="宋体" w:hAnsi="宋体" w:eastAsia="宋体" w:cs="宋体"/>
                <w:sz w:val="24"/>
                <w:szCs w:val="24"/>
              </w:rPr>
            </w:pPr>
            <w:r>
              <w:rPr>
                <w:rFonts w:hint="eastAsia" w:ascii="宋体" w:hAnsi="宋体" w:eastAsia="宋体" w:cs="宋体"/>
                <w:sz w:val="24"/>
                <w:szCs w:val="24"/>
              </w:rPr>
              <w:t>采购标的</w:t>
            </w:r>
          </w:p>
        </w:tc>
        <w:tc>
          <w:tcPr>
            <w:tcW w:w="1384" w:type="dxa"/>
          </w:tcPr>
          <w:p w14:paraId="4A252DB9">
            <w:pPr>
              <w:pStyle w:val="64"/>
              <w:spacing w:line="360" w:lineRule="auto"/>
              <w:rPr>
                <w:rFonts w:hint="eastAsia" w:ascii="宋体" w:hAnsi="宋体" w:eastAsia="宋体" w:cs="宋体"/>
                <w:sz w:val="24"/>
                <w:szCs w:val="24"/>
              </w:rPr>
            </w:pPr>
            <w:r>
              <w:rPr>
                <w:rFonts w:hint="eastAsia" w:ascii="宋体" w:hAnsi="宋体" w:eastAsia="宋体" w:cs="宋体"/>
                <w:sz w:val="24"/>
                <w:szCs w:val="24"/>
              </w:rPr>
              <w:t>数量（单位）</w:t>
            </w:r>
          </w:p>
        </w:tc>
        <w:tc>
          <w:tcPr>
            <w:tcW w:w="1384" w:type="dxa"/>
          </w:tcPr>
          <w:p w14:paraId="2FDC0F2C">
            <w:pPr>
              <w:pStyle w:val="64"/>
              <w:spacing w:line="360" w:lineRule="auto"/>
              <w:rPr>
                <w:rFonts w:hint="eastAsia" w:ascii="宋体" w:hAnsi="宋体" w:eastAsia="宋体" w:cs="宋体"/>
                <w:sz w:val="24"/>
                <w:szCs w:val="24"/>
              </w:rPr>
            </w:pPr>
            <w:r>
              <w:rPr>
                <w:rFonts w:hint="eastAsia" w:ascii="宋体" w:hAnsi="宋体" w:eastAsia="宋体" w:cs="宋体"/>
                <w:sz w:val="24"/>
                <w:szCs w:val="24"/>
              </w:rPr>
              <w:t>技术规格、参数及要求</w:t>
            </w:r>
          </w:p>
        </w:tc>
        <w:tc>
          <w:tcPr>
            <w:tcW w:w="1384" w:type="dxa"/>
          </w:tcPr>
          <w:p w14:paraId="218C5BC9">
            <w:pPr>
              <w:pStyle w:val="64"/>
              <w:spacing w:line="360" w:lineRule="auto"/>
              <w:rPr>
                <w:rFonts w:hint="eastAsia" w:ascii="宋体" w:hAnsi="宋体" w:eastAsia="宋体" w:cs="宋体"/>
                <w:sz w:val="24"/>
                <w:szCs w:val="24"/>
              </w:rPr>
            </w:pPr>
            <w:r>
              <w:rPr>
                <w:rFonts w:hint="eastAsia" w:ascii="宋体" w:hAnsi="宋体" w:eastAsia="宋体" w:cs="宋体"/>
                <w:sz w:val="24"/>
                <w:szCs w:val="24"/>
              </w:rPr>
              <w:t>品目预算(元)</w:t>
            </w:r>
          </w:p>
        </w:tc>
      </w:tr>
      <w:tr w14:paraId="2A9BC43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384" w:type="dxa"/>
          </w:tcPr>
          <w:p w14:paraId="26C55BAC">
            <w:pPr>
              <w:pStyle w:val="64"/>
              <w:spacing w:line="360" w:lineRule="auto"/>
              <w:rPr>
                <w:rFonts w:hint="eastAsia" w:ascii="宋体" w:hAnsi="宋体" w:eastAsia="宋体" w:cs="宋体"/>
                <w:sz w:val="24"/>
                <w:szCs w:val="24"/>
              </w:rPr>
            </w:pPr>
            <w:r>
              <w:rPr>
                <w:rFonts w:hint="eastAsia" w:ascii="宋体" w:hAnsi="宋体" w:eastAsia="宋体" w:cs="宋体"/>
                <w:sz w:val="24"/>
                <w:szCs w:val="24"/>
              </w:rPr>
              <w:t>21-1</w:t>
            </w:r>
          </w:p>
        </w:tc>
        <w:tc>
          <w:tcPr>
            <w:tcW w:w="1384" w:type="dxa"/>
          </w:tcPr>
          <w:p w14:paraId="12DF308A">
            <w:pPr>
              <w:pStyle w:val="64"/>
              <w:spacing w:line="360" w:lineRule="auto"/>
              <w:rPr>
                <w:rFonts w:hint="eastAsia" w:ascii="宋体" w:hAnsi="宋体" w:eastAsia="宋体" w:cs="宋体"/>
                <w:sz w:val="24"/>
                <w:szCs w:val="24"/>
              </w:rPr>
            </w:pPr>
            <w:r>
              <w:rPr>
                <w:rFonts w:hint="eastAsia" w:ascii="宋体" w:hAnsi="宋体" w:eastAsia="宋体" w:cs="宋体"/>
                <w:sz w:val="24"/>
                <w:szCs w:val="24"/>
              </w:rPr>
              <w:t>林木抚育管理服务</w:t>
            </w:r>
          </w:p>
        </w:tc>
        <w:tc>
          <w:tcPr>
            <w:tcW w:w="1384" w:type="dxa"/>
          </w:tcPr>
          <w:p w14:paraId="7223736F">
            <w:pPr>
              <w:pStyle w:val="64"/>
              <w:spacing w:line="360" w:lineRule="auto"/>
              <w:rPr>
                <w:rFonts w:hint="eastAsia" w:ascii="宋体" w:hAnsi="宋体" w:eastAsia="宋体" w:cs="宋体"/>
                <w:sz w:val="24"/>
                <w:szCs w:val="24"/>
              </w:rPr>
            </w:pPr>
            <w:r>
              <w:rPr>
                <w:rFonts w:hint="eastAsia" w:ascii="宋体" w:hAnsi="宋体" w:eastAsia="宋体" w:cs="宋体"/>
                <w:sz w:val="24"/>
                <w:szCs w:val="24"/>
              </w:rPr>
              <w:t>21标段：马房子作业区退化林修复157、158、160、161、162、163、164小班852亩，修复方式为采伐+补植+修枝。</w:t>
            </w:r>
          </w:p>
        </w:tc>
        <w:tc>
          <w:tcPr>
            <w:tcW w:w="1384" w:type="dxa"/>
          </w:tcPr>
          <w:p w14:paraId="4A2B3823">
            <w:pPr>
              <w:pStyle w:val="64"/>
              <w:spacing w:line="360" w:lineRule="auto"/>
              <w:rPr>
                <w:rFonts w:hint="eastAsia" w:ascii="宋体" w:hAnsi="宋体" w:eastAsia="宋体" w:cs="宋体"/>
                <w:sz w:val="24"/>
                <w:szCs w:val="24"/>
              </w:rPr>
            </w:pPr>
            <w:r>
              <w:rPr>
                <w:rFonts w:hint="eastAsia" w:ascii="宋体" w:hAnsi="宋体" w:eastAsia="宋体" w:cs="宋体"/>
                <w:sz w:val="24"/>
                <w:szCs w:val="24"/>
              </w:rPr>
              <w:t>852(亩)</w:t>
            </w:r>
          </w:p>
        </w:tc>
        <w:tc>
          <w:tcPr>
            <w:tcW w:w="1384" w:type="dxa"/>
          </w:tcPr>
          <w:p w14:paraId="464F2049">
            <w:pPr>
              <w:pStyle w:val="64"/>
              <w:spacing w:line="360" w:lineRule="auto"/>
              <w:rPr>
                <w:rFonts w:hint="eastAsia" w:ascii="宋体" w:hAnsi="宋体" w:eastAsia="宋体" w:cs="宋体"/>
                <w:sz w:val="24"/>
                <w:szCs w:val="24"/>
              </w:rPr>
            </w:pPr>
            <w:r>
              <w:rPr>
                <w:rFonts w:hint="eastAsia" w:ascii="宋体" w:hAnsi="宋体" w:eastAsia="宋体" w:cs="宋体"/>
                <w:sz w:val="24"/>
                <w:szCs w:val="24"/>
              </w:rPr>
              <w:t>详见采购文件</w:t>
            </w:r>
          </w:p>
        </w:tc>
        <w:tc>
          <w:tcPr>
            <w:tcW w:w="1384" w:type="dxa"/>
          </w:tcPr>
          <w:p w14:paraId="4B780155">
            <w:pPr>
              <w:pStyle w:val="64"/>
              <w:spacing w:line="360" w:lineRule="auto"/>
              <w:rPr>
                <w:rFonts w:hint="eastAsia" w:ascii="宋体" w:hAnsi="宋体" w:eastAsia="宋体" w:cs="宋体"/>
                <w:sz w:val="24"/>
                <w:szCs w:val="24"/>
              </w:rPr>
            </w:pPr>
            <w:r>
              <w:rPr>
                <w:rFonts w:hint="eastAsia" w:ascii="宋体" w:hAnsi="宋体" w:eastAsia="宋体" w:cs="宋体"/>
                <w:sz w:val="24"/>
                <w:szCs w:val="24"/>
              </w:rPr>
              <w:t>694,987.60</w:t>
            </w:r>
          </w:p>
        </w:tc>
      </w:tr>
    </w:tbl>
    <w:p w14:paraId="17614BB0">
      <w:pPr>
        <w:pStyle w:val="64"/>
        <w:spacing w:line="360" w:lineRule="auto"/>
        <w:rPr>
          <w:rFonts w:hint="eastAsia" w:ascii="宋体" w:hAnsi="宋体" w:eastAsia="宋体" w:cs="宋体"/>
          <w:sz w:val="24"/>
          <w:szCs w:val="24"/>
        </w:rPr>
      </w:pPr>
      <w:r>
        <w:rPr>
          <w:rFonts w:hint="eastAsia" w:ascii="宋体" w:hAnsi="宋体" w:eastAsia="宋体" w:cs="宋体"/>
          <w:sz w:val="24"/>
          <w:szCs w:val="24"/>
        </w:rPr>
        <w:t xml:space="preserve"> 本合同包不接受联合体投标</w:t>
      </w:r>
    </w:p>
    <w:p w14:paraId="3FC660B5">
      <w:pPr>
        <w:pStyle w:val="64"/>
        <w:spacing w:line="360" w:lineRule="auto"/>
        <w:rPr>
          <w:rFonts w:hint="eastAsia" w:ascii="宋体" w:hAnsi="宋体" w:eastAsia="宋体" w:cs="宋体"/>
          <w:sz w:val="24"/>
          <w:szCs w:val="24"/>
        </w:rPr>
      </w:pPr>
      <w:r>
        <w:rPr>
          <w:rFonts w:hint="eastAsia" w:ascii="宋体" w:hAnsi="宋体" w:eastAsia="宋体" w:cs="宋体"/>
          <w:sz w:val="24"/>
          <w:szCs w:val="24"/>
        </w:rPr>
        <w:t xml:space="preserve"> 合同履行期限：详见招标文件。</w:t>
      </w:r>
    </w:p>
    <w:p w14:paraId="4967118D">
      <w:pPr>
        <w:pStyle w:val="64"/>
        <w:spacing w:line="360" w:lineRule="auto"/>
        <w:rPr>
          <w:rFonts w:hint="eastAsia" w:ascii="宋体" w:hAnsi="宋体" w:eastAsia="宋体" w:cs="宋体"/>
          <w:sz w:val="24"/>
          <w:szCs w:val="24"/>
        </w:rPr>
      </w:pPr>
      <w:r>
        <w:rPr>
          <w:rFonts w:hint="eastAsia" w:ascii="宋体" w:hAnsi="宋体" w:eastAsia="宋体" w:cs="宋体"/>
          <w:sz w:val="24"/>
          <w:szCs w:val="24"/>
        </w:rPr>
        <w:t>合同包22(22标段：两河作业区退化林修复1、2、4、5、 6、7、8、9、12小班649亩，修复方式为采伐+补植+修枝):</w:t>
      </w:r>
    </w:p>
    <w:p w14:paraId="15364BED">
      <w:pPr>
        <w:pStyle w:val="64"/>
        <w:spacing w:line="360" w:lineRule="auto"/>
        <w:ind w:firstLine="630"/>
        <w:rPr>
          <w:rFonts w:hint="eastAsia" w:ascii="宋体" w:hAnsi="宋体" w:eastAsia="宋体" w:cs="宋体"/>
          <w:sz w:val="24"/>
          <w:szCs w:val="24"/>
        </w:rPr>
      </w:pPr>
      <w:r>
        <w:rPr>
          <w:rFonts w:hint="eastAsia" w:ascii="宋体" w:hAnsi="宋体" w:eastAsia="宋体" w:cs="宋体"/>
          <w:sz w:val="24"/>
          <w:szCs w:val="24"/>
        </w:rPr>
        <w:t>合同包预算金额：512,737.40元</w:t>
      </w:r>
    </w:p>
    <w:p w14:paraId="606B20C4">
      <w:pPr>
        <w:pStyle w:val="64"/>
        <w:spacing w:line="360" w:lineRule="auto"/>
        <w:ind w:firstLine="630"/>
        <w:rPr>
          <w:rFonts w:hint="eastAsia" w:ascii="宋体" w:hAnsi="宋体" w:eastAsia="宋体" w:cs="宋体"/>
          <w:sz w:val="24"/>
          <w:szCs w:val="24"/>
        </w:rPr>
      </w:pPr>
      <w:r>
        <w:rPr>
          <w:rFonts w:hint="eastAsia" w:ascii="宋体" w:hAnsi="宋体" w:eastAsia="宋体" w:cs="宋体"/>
          <w:sz w:val="24"/>
          <w:szCs w:val="24"/>
        </w:rPr>
        <w:t xml:space="preserve"> 合同包最高限价：512,737.40元</w:t>
      </w:r>
    </w:p>
    <w:tbl>
      <w:tblPr>
        <w:tblStyle w:val="29"/>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1384"/>
        <w:gridCol w:w="1384"/>
        <w:gridCol w:w="1384"/>
        <w:gridCol w:w="1384"/>
        <w:gridCol w:w="1384"/>
        <w:gridCol w:w="1416"/>
      </w:tblGrid>
      <w:tr w14:paraId="3D84D52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384" w:type="dxa"/>
          </w:tcPr>
          <w:p w14:paraId="5DA2E55F">
            <w:pPr>
              <w:pStyle w:val="64"/>
              <w:spacing w:line="360" w:lineRule="auto"/>
              <w:rPr>
                <w:rFonts w:hint="eastAsia" w:ascii="宋体" w:hAnsi="宋体" w:eastAsia="宋体" w:cs="宋体"/>
                <w:sz w:val="24"/>
                <w:szCs w:val="24"/>
              </w:rPr>
            </w:pPr>
            <w:r>
              <w:rPr>
                <w:rFonts w:hint="eastAsia" w:ascii="宋体" w:hAnsi="宋体" w:eastAsia="宋体" w:cs="宋体"/>
                <w:sz w:val="24"/>
                <w:szCs w:val="24"/>
              </w:rPr>
              <w:t>品目号</w:t>
            </w:r>
          </w:p>
        </w:tc>
        <w:tc>
          <w:tcPr>
            <w:tcW w:w="1384" w:type="dxa"/>
          </w:tcPr>
          <w:p w14:paraId="2852C4F8">
            <w:pPr>
              <w:pStyle w:val="64"/>
              <w:spacing w:line="360" w:lineRule="auto"/>
              <w:rPr>
                <w:rFonts w:hint="eastAsia" w:ascii="宋体" w:hAnsi="宋体" w:eastAsia="宋体" w:cs="宋体"/>
                <w:sz w:val="24"/>
                <w:szCs w:val="24"/>
              </w:rPr>
            </w:pPr>
            <w:r>
              <w:rPr>
                <w:rFonts w:hint="eastAsia" w:ascii="宋体" w:hAnsi="宋体" w:eastAsia="宋体" w:cs="宋体"/>
                <w:sz w:val="24"/>
                <w:szCs w:val="24"/>
              </w:rPr>
              <w:t>品目名称</w:t>
            </w:r>
          </w:p>
        </w:tc>
        <w:tc>
          <w:tcPr>
            <w:tcW w:w="1384" w:type="dxa"/>
          </w:tcPr>
          <w:p w14:paraId="02418294">
            <w:pPr>
              <w:pStyle w:val="64"/>
              <w:spacing w:line="360" w:lineRule="auto"/>
              <w:rPr>
                <w:rFonts w:hint="eastAsia" w:ascii="宋体" w:hAnsi="宋体" w:eastAsia="宋体" w:cs="宋体"/>
                <w:sz w:val="24"/>
                <w:szCs w:val="24"/>
              </w:rPr>
            </w:pPr>
            <w:r>
              <w:rPr>
                <w:rFonts w:hint="eastAsia" w:ascii="宋体" w:hAnsi="宋体" w:eastAsia="宋体" w:cs="宋体"/>
                <w:sz w:val="24"/>
                <w:szCs w:val="24"/>
              </w:rPr>
              <w:t>采购标的</w:t>
            </w:r>
          </w:p>
        </w:tc>
        <w:tc>
          <w:tcPr>
            <w:tcW w:w="1384" w:type="dxa"/>
          </w:tcPr>
          <w:p w14:paraId="31983953">
            <w:pPr>
              <w:pStyle w:val="64"/>
              <w:spacing w:line="360" w:lineRule="auto"/>
              <w:rPr>
                <w:rFonts w:hint="eastAsia" w:ascii="宋体" w:hAnsi="宋体" w:eastAsia="宋体" w:cs="宋体"/>
                <w:sz w:val="24"/>
                <w:szCs w:val="24"/>
              </w:rPr>
            </w:pPr>
            <w:r>
              <w:rPr>
                <w:rFonts w:hint="eastAsia" w:ascii="宋体" w:hAnsi="宋体" w:eastAsia="宋体" w:cs="宋体"/>
                <w:sz w:val="24"/>
                <w:szCs w:val="24"/>
              </w:rPr>
              <w:t>数量（单位）</w:t>
            </w:r>
          </w:p>
        </w:tc>
        <w:tc>
          <w:tcPr>
            <w:tcW w:w="1384" w:type="dxa"/>
          </w:tcPr>
          <w:p w14:paraId="6A2D003A">
            <w:pPr>
              <w:pStyle w:val="64"/>
              <w:spacing w:line="360" w:lineRule="auto"/>
              <w:rPr>
                <w:rFonts w:hint="eastAsia" w:ascii="宋体" w:hAnsi="宋体" w:eastAsia="宋体" w:cs="宋体"/>
                <w:sz w:val="24"/>
                <w:szCs w:val="24"/>
              </w:rPr>
            </w:pPr>
            <w:r>
              <w:rPr>
                <w:rFonts w:hint="eastAsia" w:ascii="宋体" w:hAnsi="宋体" w:eastAsia="宋体" w:cs="宋体"/>
                <w:sz w:val="24"/>
                <w:szCs w:val="24"/>
              </w:rPr>
              <w:t>技术规格、参数及要求</w:t>
            </w:r>
          </w:p>
        </w:tc>
        <w:tc>
          <w:tcPr>
            <w:tcW w:w="1384" w:type="dxa"/>
          </w:tcPr>
          <w:p w14:paraId="074A6B5C">
            <w:pPr>
              <w:pStyle w:val="64"/>
              <w:spacing w:line="360" w:lineRule="auto"/>
              <w:rPr>
                <w:rFonts w:hint="eastAsia" w:ascii="宋体" w:hAnsi="宋体" w:eastAsia="宋体" w:cs="宋体"/>
                <w:sz w:val="24"/>
                <w:szCs w:val="24"/>
              </w:rPr>
            </w:pPr>
            <w:r>
              <w:rPr>
                <w:rFonts w:hint="eastAsia" w:ascii="宋体" w:hAnsi="宋体" w:eastAsia="宋体" w:cs="宋体"/>
                <w:sz w:val="24"/>
                <w:szCs w:val="24"/>
              </w:rPr>
              <w:t>品目预算(元)</w:t>
            </w:r>
          </w:p>
        </w:tc>
      </w:tr>
      <w:tr w14:paraId="04831E3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384" w:type="dxa"/>
          </w:tcPr>
          <w:p w14:paraId="1843E516">
            <w:pPr>
              <w:pStyle w:val="64"/>
              <w:spacing w:line="360" w:lineRule="auto"/>
              <w:rPr>
                <w:rFonts w:hint="eastAsia" w:ascii="宋体" w:hAnsi="宋体" w:eastAsia="宋体" w:cs="宋体"/>
                <w:sz w:val="24"/>
                <w:szCs w:val="24"/>
              </w:rPr>
            </w:pPr>
            <w:r>
              <w:rPr>
                <w:rFonts w:hint="eastAsia" w:ascii="宋体" w:hAnsi="宋体" w:eastAsia="宋体" w:cs="宋体"/>
                <w:sz w:val="24"/>
                <w:szCs w:val="24"/>
              </w:rPr>
              <w:t>22-1</w:t>
            </w:r>
          </w:p>
        </w:tc>
        <w:tc>
          <w:tcPr>
            <w:tcW w:w="1384" w:type="dxa"/>
          </w:tcPr>
          <w:p w14:paraId="4A8871BD">
            <w:pPr>
              <w:pStyle w:val="64"/>
              <w:spacing w:line="360" w:lineRule="auto"/>
              <w:rPr>
                <w:rFonts w:hint="eastAsia" w:ascii="宋体" w:hAnsi="宋体" w:eastAsia="宋体" w:cs="宋体"/>
                <w:sz w:val="24"/>
                <w:szCs w:val="24"/>
              </w:rPr>
            </w:pPr>
            <w:r>
              <w:rPr>
                <w:rFonts w:hint="eastAsia" w:ascii="宋体" w:hAnsi="宋体" w:eastAsia="宋体" w:cs="宋体"/>
                <w:sz w:val="24"/>
                <w:szCs w:val="24"/>
              </w:rPr>
              <w:t>林木抚育管理服务</w:t>
            </w:r>
          </w:p>
        </w:tc>
        <w:tc>
          <w:tcPr>
            <w:tcW w:w="1384" w:type="dxa"/>
          </w:tcPr>
          <w:p w14:paraId="6BADEBA1">
            <w:pPr>
              <w:pStyle w:val="64"/>
              <w:spacing w:line="360" w:lineRule="auto"/>
              <w:rPr>
                <w:rFonts w:hint="eastAsia" w:ascii="宋体" w:hAnsi="宋体" w:eastAsia="宋体" w:cs="宋体"/>
                <w:sz w:val="24"/>
                <w:szCs w:val="24"/>
              </w:rPr>
            </w:pPr>
            <w:r>
              <w:rPr>
                <w:rFonts w:hint="eastAsia" w:ascii="宋体" w:hAnsi="宋体" w:eastAsia="宋体" w:cs="宋体"/>
                <w:sz w:val="24"/>
                <w:szCs w:val="24"/>
              </w:rPr>
              <w:t>22标段：两河作业区退化林修复1、2、4、5、6、7、8、9、12小班649亩，修复方式为采伐+补植+修枝。</w:t>
            </w:r>
          </w:p>
        </w:tc>
        <w:tc>
          <w:tcPr>
            <w:tcW w:w="1384" w:type="dxa"/>
          </w:tcPr>
          <w:p w14:paraId="515BB092">
            <w:pPr>
              <w:pStyle w:val="64"/>
              <w:spacing w:line="360" w:lineRule="auto"/>
              <w:rPr>
                <w:rFonts w:hint="eastAsia" w:ascii="宋体" w:hAnsi="宋体" w:eastAsia="宋体" w:cs="宋体"/>
                <w:sz w:val="24"/>
                <w:szCs w:val="24"/>
              </w:rPr>
            </w:pPr>
            <w:r>
              <w:rPr>
                <w:rFonts w:hint="eastAsia" w:ascii="宋体" w:hAnsi="宋体" w:eastAsia="宋体" w:cs="宋体"/>
                <w:sz w:val="24"/>
                <w:szCs w:val="24"/>
              </w:rPr>
              <w:t>649(亩)</w:t>
            </w:r>
          </w:p>
        </w:tc>
        <w:tc>
          <w:tcPr>
            <w:tcW w:w="1384" w:type="dxa"/>
          </w:tcPr>
          <w:p w14:paraId="2B70221E">
            <w:pPr>
              <w:pStyle w:val="64"/>
              <w:spacing w:line="360" w:lineRule="auto"/>
              <w:rPr>
                <w:rFonts w:hint="eastAsia" w:ascii="宋体" w:hAnsi="宋体" w:eastAsia="宋体" w:cs="宋体"/>
                <w:sz w:val="24"/>
                <w:szCs w:val="24"/>
              </w:rPr>
            </w:pPr>
            <w:r>
              <w:rPr>
                <w:rFonts w:hint="eastAsia" w:ascii="宋体" w:hAnsi="宋体" w:eastAsia="宋体" w:cs="宋体"/>
                <w:sz w:val="24"/>
                <w:szCs w:val="24"/>
              </w:rPr>
              <w:t>详见采购文件</w:t>
            </w:r>
          </w:p>
        </w:tc>
        <w:tc>
          <w:tcPr>
            <w:tcW w:w="1384" w:type="dxa"/>
          </w:tcPr>
          <w:p w14:paraId="1B0F310B">
            <w:pPr>
              <w:pStyle w:val="64"/>
              <w:spacing w:line="360" w:lineRule="auto"/>
              <w:rPr>
                <w:rFonts w:hint="eastAsia" w:ascii="宋体" w:hAnsi="宋体" w:eastAsia="宋体" w:cs="宋体"/>
                <w:sz w:val="24"/>
                <w:szCs w:val="24"/>
              </w:rPr>
            </w:pPr>
            <w:r>
              <w:rPr>
                <w:rFonts w:hint="eastAsia" w:ascii="宋体" w:hAnsi="宋体" w:eastAsia="宋体" w:cs="宋体"/>
                <w:sz w:val="24"/>
                <w:szCs w:val="24"/>
              </w:rPr>
              <w:t>512,737.40</w:t>
            </w:r>
          </w:p>
        </w:tc>
      </w:tr>
    </w:tbl>
    <w:p w14:paraId="64A8DB03">
      <w:pPr>
        <w:pStyle w:val="64"/>
        <w:spacing w:line="360" w:lineRule="auto"/>
        <w:rPr>
          <w:rFonts w:hint="eastAsia" w:ascii="宋体" w:hAnsi="宋体" w:eastAsia="宋体" w:cs="宋体"/>
          <w:sz w:val="24"/>
          <w:szCs w:val="24"/>
        </w:rPr>
      </w:pPr>
      <w:r>
        <w:rPr>
          <w:rFonts w:hint="eastAsia" w:ascii="宋体" w:hAnsi="宋体" w:eastAsia="宋体" w:cs="宋体"/>
          <w:sz w:val="24"/>
          <w:szCs w:val="24"/>
        </w:rPr>
        <w:t xml:space="preserve"> 本合同包不接受联合体投标</w:t>
      </w:r>
    </w:p>
    <w:p w14:paraId="19663CBA">
      <w:pPr>
        <w:pStyle w:val="64"/>
        <w:spacing w:line="360" w:lineRule="auto"/>
        <w:rPr>
          <w:rFonts w:hint="eastAsia" w:ascii="宋体" w:hAnsi="宋体" w:eastAsia="宋体" w:cs="宋体"/>
          <w:sz w:val="24"/>
          <w:szCs w:val="24"/>
        </w:rPr>
      </w:pPr>
      <w:r>
        <w:rPr>
          <w:rFonts w:hint="eastAsia" w:ascii="宋体" w:hAnsi="宋体" w:eastAsia="宋体" w:cs="宋体"/>
          <w:sz w:val="24"/>
          <w:szCs w:val="24"/>
        </w:rPr>
        <w:t xml:space="preserve"> 合同履行期限：详见招标文件。</w:t>
      </w:r>
    </w:p>
    <w:p w14:paraId="1A90D991">
      <w:pPr>
        <w:pStyle w:val="64"/>
        <w:spacing w:line="360" w:lineRule="auto"/>
        <w:rPr>
          <w:rFonts w:hint="eastAsia" w:ascii="宋体" w:hAnsi="宋体" w:eastAsia="宋体" w:cs="宋体"/>
          <w:sz w:val="24"/>
          <w:szCs w:val="24"/>
        </w:rPr>
      </w:pPr>
      <w:r>
        <w:rPr>
          <w:rFonts w:hint="eastAsia" w:ascii="宋体" w:hAnsi="宋体" w:eastAsia="宋体" w:cs="宋体"/>
          <w:sz w:val="24"/>
          <w:szCs w:val="24"/>
        </w:rPr>
        <w:t>合同包23(23标段：两河作业区退化林修复3、11、18小班610亩，修复方式为采伐+补植+修枝):</w:t>
      </w:r>
    </w:p>
    <w:p w14:paraId="7CA73C71">
      <w:pPr>
        <w:pStyle w:val="64"/>
        <w:spacing w:line="360" w:lineRule="auto"/>
        <w:ind w:firstLine="630"/>
        <w:rPr>
          <w:rFonts w:hint="eastAsia" w:ascii="宋体" w:hAnsi="宋体" w:eastAsia="宋体" w:cs="宋体"/>
          <w:sz w:val="24"/>
          <w:szCs w:val="24"/>
        </w:rPr>
      </w:pPr>
      <w:r>
        <w:rPr>
          <w:rFonts w:hint="eastAsia" w:ascii="宋体" w:hAnsi="宋体" w:eastAsia="宋体" w:cs="宋体"/>
          <w:sz w:val="24"/>
          <w:szCs w:val="24"/>
        </w:rPr>
        <w:t>合同包预算金额：474,992.90元</w:t>
      </w:r>
    </w:p>
    <w:p w14:paraId="6BDC34F1">
      <w:pPr>
        <w:pStyle w:val="64"/>
        <w:spacing w:line="360" w:lineRule="auto"/>
        <w:ind w:firstLine="630"/>
        <w:rPr>
          <w:rFonts w:hint="eastAsia" w:ascii="宋体" w:hAnsi="宋体" w:eastAsia="宋体" w:cs="宋体"/>
          <w:sz w:val="24"/>
          <w:szCs w:val="24"/>
        </w:rPr>
      </w:pPr>
      <w:r>
        <w:rPr>
          <w:rFonts w:hint="eastAsia" w:ascii="宋体" w:hAnsi="宋体" w:eastAsia="宋体" w:cs="宋体"/>
          <w:sz w:val="24"/>
          <w:szCs w:val="24"/>
        </w:rPr>
        <w:t xml:space="preserve"> 合同包最高限价：474,992.90元</w:t>
      </w:r>
    </w:p>
    <w:tbl>
      <w:tblPr>
        <w:tblStyle w:val="29"/>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1384"/>
        <w:gridCol w:w="1384"/>
        <w:gridCol w:w="1384"/>
        <w:gridCol w:w="1384"/>
        <w:gridCol w:w="1384"/>
        <w:gridCol w:w="1416"/>
      </w:tblGrid>
      <w:tr w14:paraId="671CBB8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384" w:type="dxa"/>
          </w:tcPr>
          <w:p w14:paraId="3C60FB4F">
            <w:pPr>
              <w:pStyle w:val="64"/>
              <w:spacing w:line="360" w:lineRule="auto"/>
              <w:rPr>
                <w:rFonts w:hint="eastAsia" w:ascii="宋体" w:hAnsi="宋体" w:eastAsia="宋体" w:cs="宋体"/>
                <w:sz w:val="24"/>
                <w:szCs w:val="24"/>
              </w:rPr>
            </w:pPr>
            <w:r>
              <w:rPr>
                <w:rFonts w:hint="eastAsia" w:ascii="宋体" w:hAnsi="宋体" w:eastAsia="宋体" w:cs="宋体"/>
                <w:sz w:val="24"/>
                <w:szCs w:val="24"/>
              </w:rPr>
              <w:t>品目号</w:t>
            </w:r>
          </w:p>
        </w:tc>
        <w:tc>
          <w:tcPr>
            <w:tcW w:w="1384" w:type="dxa"/>
          </w:tcPr>
          <w:p w14:paraId="15B8C18A">
            <w:pPr>
              <w:pStyle w:val="64"/>
              <w:spacing w:line="360" w:lineRule="auto"/>
              <w:rPr>
                <w:rFonts w:hint="eastAsia" w:ascii="宋体" w:hAnsi="宋体" w:eastAsia="宋体" w:cs="宋体"/>
                <w:sz w:val="24"/>
                <w:szCs w:val="24"/>
              </w:rPr>
            </w:pPr>
            <w:r>
              <w:rPr>
                <w:rFonts w:hint="eastAsia" w:ascii="宋体" w:hAnsi="宋体" w:eastAsia="宋体" w:cs="宋体"/>
                <w:sz w:val="24"/>
                <w:szCs w:val="24"/>
              </w:rPr>
              <w:t>品目名称</w:t>
            </w:r>
          </w:p>
        </w:tc>
        <w:tc>
          <w:tcPr>
            <w:tcW w:w="1384" w:type="dxa"/>
          </w:tcPr>
          <w:p w14:paraId="2FF43ABF">
            <w:pPr>
              <w:pStyle w:val="64"/>
              <w:spacing w:line="360" w:lineRule="auto"/>
              <w:rPr>
                <w:rFonts w:hint="eastAsia" w:ascii="宋体" w:hAnsi="宋体" w:eastAsia="宋体" w:cs="宋体"/>
                <w:sz w:val="24"/>
                <w:szCs w:val="24"/>
              </w:rPr>
            </w:pPr>
            <w:r>
              <w:rPr>
                <w:rFonts w:hint="eastAsia" w:ascii="宋体" w:hAnsi="宋体" w:eastAsia="宋体" w:cs="宋体"/>
                <w:sz w:val="24"/>
                <w:szCs w:val="24"/>
              </w:rPr>
              <w:t>采购标的</w:t>
            </w:r>
          </w:p>
        </w:tc>
        <w:tc>
          <w:tcPr>
            <w:tcW w:w="1384" w:type="dxa"/>
          </w:tcPr>
          <w:p w14:paraId="1EEE96E3">
            <w:pPr>
              <w:pStyle w:val="64"/>
              <w:spacing w:line="360" w:lineRule="auto"/>
              <w:rPr>
                <w:rFonts w:hint="eastAsia" w:ascii="宋体" w:hAnsi="宋体" w:eastAsia="宋体" w:cs="宋体"/>
                <w:sz w:val="24"/>
                <w:szCs w:val="24"/>
              </w:rPr>
            </w:pPr>
            <w:r>
              <w:rPr>
                <w:rFonts w:hint="eastAsia" w:ascii="宋体" w:hAnsi="宋体" w:eastAsia="宋体" w:cs="宋体"/>
                <w:sz w:val="24"/>
                <w:szCs w:val="24"/>
              </w:rPr>
              <w:t>数量（单位）</w:t>
            </w:r>
          </w:p>
        </w:tc>
        <w:tc>
          <w:tcPr>
            <w:tcW w:w="1384" w:type="dxa"/>
          </w:tcPr>
          <w:p w14:paraId="3DC8A436">
            <w:pPr>
              <w:pStyle w:val="64"/>
              <w:spacing w:line="360" w:lineRule="auto"/>
              <w:rPr>
                <w:rFonts w:hint="eastAsia" w:ascii="宋体" w:hAnsi="宋体" w:eastAsia="宋体" w:cs="宋体"/>
                <w:sz w:val="24"/>
                <w:szCs w:val="24"/>
              </w:rPr>
            </w:pPr>
            <w:r>
              <w:rPr>
                <w:rFonts w:hint="eastAsia" w:ascii="宋体" w:hAnsi="宋体" w:eastAsia="宋体" w:cs="宋体"/>
                <w:sz w:val="24"/>
                <w:szCs w:val="24"/>
              </w:rPr>
              <w:t>技术规格、参数及要求</w:t>
            </w:r>
          </w:p>
        </w:tc>
        <w:tc>
          <w:tcPr>
            <w:tcW w:w="1384" w:type="dxa"/>
          </w:tcPr>
          <w:p w14:paraId="685E46F9">
            <w:pPr>
              <w:pStyle w:val="64"/>
              <w:spacing w:line="360" w:lineRule="auto"/>
              <w:rPr>
                <w:rFonts w:hint="eastAsia" w:ascii="宋体" w:hAnsi="宋体" w:eastAsia="宋体" w:cs="宋体"/>
                <w:sz w:val="24"/>
                <w:szCs w:val="24"/>
              </w:rPr>
            </w:pPr>
            <w:r>
              <w:rPr>
                <w:rFonts w:hint="eastAsia" w:ascii="宋体" w:hAnsi="宋体" w:eastAsia="宋体" w:cs="宋体"/>
                <w:sz w:val="24"/>
                <w:szCs w:val="24"/>
              </w:rPr>
              <w:t>品目预算(元)</w:t>
            </w:r>
          </w:p>
        </w:tc>
      </w:tr>
      <w:tr w14:paraId="2AD46C8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384" w:type="dxa"/>
          </w:tcPr>
          <w:p w14:paraId="0840FEC2">
            <w:pPr>
              <w:pStyle w:val="64"/>
              <w:spacing w:line="360" w:lineRule="auto"/>
              <w:rPr>
                <w:rFonts w:hint="eastAsia" w:ascii="宋体" w:hAnsi="宋体" w:eastAsia="宋体" w:cs="宋体"/>
                <w:sz w:val="24"/>
                <w:szCs w:val="24"/>
              </w:rPr>
            </w:pPr>
            <w:r>
              <w:rPr>
                <w:rFonts w:hint="eastAsia" w:ascii="宋体" w:hAnsi="宋体" w:eastAsia="宋体" w:cs="宋体"/>
                <w:sz w:val="24"/>
                <w:szCs w:val="24"/>
              </w:rPr>
              <w:t>23-1</w:t>
            </w:r>
          </w:p>
        </w:tc>
        <w:tc>
          <w:tcPr>
            <w:tcW w:w="1384" w:type="dxa"/>
          </w:tcPr>
          <w:p w14:paraId="0301DD50">
            <w:pPr>
              <w:pStyle w:val="64"/>
              <w:spacing w:line="360" w:lineRule="auto"/>
              <w:rPr>
                <w:rFonts w:hint="eastAsia" w:ascii="宋体" w:hAnsi="宋体" w:eastAsia="宋体" w:cs="宋体"/>
                <w:sz w:val="24"/>
                <w:szCs w:val="24"/>
              </w:rPr>
            </w:pPr>
            <w:r>
              <w:rPr>
                <w:rFonts w:hint="eastAsia" w:ascii="宋体" w:hAnsi="宋体" w:eastAsia="宋体" w:cs="宋体"/>
                <w:sz w:val="24"/>
                <w:szCs w:val="24"/>
              </w:rPr>
              <w:t>林木抚育管理服务</w:t>
            </w:r>
          </w:p>
        </w:tc>
        <w:tc>
          <w:tcPr>
            <w:tcW w:w="1384" w:type="dxa"/>
          </w:tcPr>
          <w:p w14:paraId="72DC9B01">
            <w:pPr>
              <w:pStyle w:val="64"/>
              <w:spacing w:line="360" w:lineRule="auto"/>
              <w:rPr>
                <w:rFonts w:hint="eastAsia" w:ascii="宋体" w:hAnsi="宋体" w:eastAsia="宋体" w:cs="宋体"/>
                <w:sz w:val="24"/>
                <w:szCs w:val="24"/>
              </w:rPr>
            </w:pPr>
            <w:r>
              <w:rPr>
                <w:rFonts w:hint="eastAsia" w:ascii="宋体" w:hAnsi="宋体" w:eastAsia="宋体" w:cs="宋体"/>
                <w:sz w:val="24"/>
                <w:szCs w:val="24"/>
              </w:rPr>
              <w:t>23标段：两河作业区退化林修复3、11、18小班610亩，修复方式为采伐+补植+修枝。</w:t>
            </w:r>
          </w:p>
        </w:tc>
        <w:tc>
          <w:tcPr>
            <w:tcW w:w="1384" w:type="dxa"/>
          </w:tcPr>
          <w:p w14:paraId="06628C98">
            <w:pPr>
              <w:pStyle w:val="64"/>
              <w:spacing w:line="360" w:lineRule="auto"/>
              <w:rPr>
                <w:rFonts w:hint="eastAsia" w:ascii="宋体" w:hAnsi="宋体" w:eastAsia="宋体" w:cs="宋体"/>
                <w:sz w:val="24"/>
                <w:szCs w:val="24"/>
              </w:rPr>
            </w:pPr>
            <w:r>
              <w:rPr>
                <w:rFonts w:hint="eastAsia" w:ascii="宋体" w:hAnsi="宋体" w:eastAsia="宋体" w:cs="宋体"/>
                <w:sz w:val="24"/>
                <w:szCs w:val="24"/>
              </w:rPr>
              <w:t>610(亩)</w:t>
            </w:r>
          </w:p>
        </w:tc>
        <w:tc>
          <w:tcPr>
            <w:tcW w:w="1384" w:type="dxa"/>
          </w:tcPr>
          <w:p w14:paraId="5D4A1E9C">
            <w:pPr>
              <w:pStyle w:val="64"/>
              <w:spacing w:line="360" w:lineRule="auto"/>
              <w:rPr>
                <w:rFonts w:hint="eastAsia" w:ascii="宋体" w:hAnsi="宋体" w:eastAsia="宋体" w:cs="宋体"/>
                <w:sz w:val="24"/>
                <w:szCs w:val="24"/>
              </w:rPr>
            </w:pPr>
            <w:r>
              <w:rPr>
                <w:rFonts w:hint="eastAsia" w:ascii="宋体" w:hAnsi="宋体" w:eastAsia="宋体" w:cs="宋体"/>
                <w:sz w:val="24"/>
                <w:szCs w:val="24"/>
              </w:rPr>
              <w:t>详见采购文件</w:t>
            </w:r>
          </w:p>
        </w:tc>
        <w:tc>
          <w:tcPr>
            <w:tcW w:w="1384" w:type="dxa"/>
          </w:tcPr>
          <w:p w14:paraId="53683ECE">
            <w:pPr>
              <w:pStyle w:val="64"/>
              <w:spacing w:line="360" w:lineRule="auto"/>
              <w:rPr>
                <w:rFonts w:hint="eastAsia" w:ascii="宋体" w:hAnsi="宋体" w:eastAsia="宋体" w:cs="宋体"/>
                <w:sz w:val="24"/>
                <w:szCs w:val="24"/>
              </w:rPr>
            </w:pPr>
            <w:r>
              <w:rPr>
                <w:rFonts w:hint="eastAsia" w:ascii="宋体" w:hAnsi="宋体" w:eastAsia="宋体" w:cs="宋体"/>
                <w:sz w:val="24"/>
                <w:szCs w:val="24"/>
              </w:rPr>
              <w:t>474,992.90</w:t>
            </w:r>
          </w:p>
        </w:tc>
      </w:tr>
    </w:tbl>
    <w:p w14:paraId="0AE568A8">
      <w:pPr>
        <w:pStyle w:val="64"/>
        <w:spacing w:line="360" w:lineRule="auto"/>
        <w:rPr>
          <w:rFonts w:hint="eastAsia" w:ascii="宋体" w:hAnsi="宋体" w:eastAsia="宋体" w:cs="宋体"/>
          <w:sz w:val="24"/>
          <w:szCs w:val="24"/>
        </w:rPr>
      </w:pPr>
      <w:r>
        <w:rPr>
          <w:rFonts w:hint="eastAsia" w:ascii="宋体" w:hAnsi="宋体" w:eastAsia="宋体" w:cs="宋体"/>
          <w:sz w:val="24"/>
          <w:szCs w:val="24"/>
        </w:rPr>
        <w:t xml:space="preserve"> 本合同包不接受联合体投标</w:t>
      </w:r>
    </w:p>
    <w:p w14:paraId="765D17AF">
      <w:pPr>
        <w:pStyle w:val="64"/>
        <w:spacing w:line="360" w:lineRule="auto"/>
        <w:rPr>
          <w:rFonts w:hint="eastAsia" w:ascii="宋体" w:hAnsi="宋体" w:eastAsia="宋体" w:cs="宋体"/>
          <w:sz w:val="24"/>
          <w:szCs w:val="24"/>
        </w:rPr>
      </w:pPr>
      <w:r>
        <w:rPr>
          <w:rFonts w:hint="eastAsia" w:ascii="宋体" w:hAnsi="宋体" w:eastAsia="宋体" w:cs="宋体"/>
          <w:sz w:val="24"/>
          <w:szCs w:val="24"/>
        </w:rPr>
        <w:t xml:space="preserve"> 合同履行期限：详见招标文件。</w:t>
      </w:r>
    </w:p>
    <w:p w14:paraId="09017A19">
      <w:pPr>
        <w:pStyle w:val="64"/>
        <w:spacing w:line="360" w:lineRule="auto"/>
        <w:rPr>
          <w:rFonts w:hint="eastAsia" w:ascii="宋体" w:hAnsi="宋体" w:eastAsia="宋体" w:cs="宋体"/>
          <w:sz w:val="24"/>
          <w:szCs w:val="24"/>
        </w:rPr>
      </w:pPr>
      <w:r>
        <w:rPr>
          <w:rFonts w:hint="eastAsia" w:ascii="宋体" w:hAnsi="宋体" w:eastAsia="宋体" w:cs="宋体"/>
          <w:sz w:val="24"/>
          <w:szCs w:val="24"/>
        </w:rPr>
        <w:t>合同包24(24标段：两河作业区退化林修复10、13、14、 16、17、19小班1001亩，修复方式为采伐+补植+修枝):</w:t>
      </w:r>
    </w:p>
    <w:p w14:paraId="0EE4DDB8">
      <w:pPr>
        <w:pStyle w:val="64"/>
        <w:spacing w:line="360" w:lineRule="auto"/>
        <w:ind w:firstLine="630"/>
        <w:rPr>
          <w:rFonts w:hint="eastAsia" w:ascii="宋体" w:hAnsi="宋体" w:eastAsia="宋体" w:cs="宋体"/>
          <w:sz w:val="24"/>
          <w:szCs w:val="24"/>
        </w:rPr>
      </w:pPr>
      <w:r>
        <w:rPr>
          <w:rFonts w:hint="eastAsia" w:ascii="宋体" w:hAnsi="宋体" w:eastAsia="宋体" w:cs="宋体"/>
          <w:sz w:val="24"/>
          <w:szCs w:val="24"/>
        </w:rPr>
        <w:t>合同包预算金额：798,297.50元</w:t>
      </w:r>
    </w:p>
    <w:p w14:paraId="28B810A7">
      <w:pPr>
        <w:pStyle w:val="64"/>
        <w:spacing w:line="360" w:lineRule="auto"/>
        <w:ind w:firstLine="630"/>
        <w:rPr>
          <w:rFonts w:hint="eastAsia" w:ascii="宋体" w:hAnsi="宋体" w:eastAsia="宋体" w:cs="宋体"/>
          <w:sz w:val="24"/>
          <w:szCs w:val="24"/>
        </w:rPr>
      </w:pPr>
      <w:r>
        <w:rPr>
          <w:rFonts w:hint="eastAsia" w:ascii="宋体" w:hAnsi="宋体" w:eastAsia="宋体" w:cs="宋体"/>
          <w:sz w:val="24"/>
          <w:szCs w:val="24"/>
        </w:rPr>
        <w:t xml:space="preserve"> 合同包最高限价：798,297.50元</w:t>
      </w:r>
    </w:p>
    <w:tbl>
      <w:tblPr>
        <w:tblStyle w:val="29"/>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1384"/>
        <w:gridCol w:w="1384"/>
        <w:gridCol w:w="1384"/>
        <w:gridCol w:w="1384"/>
        <w:gridCol w:w="1384"/>
        <w:gridCol w:w="1416"/>
      </w:tblGrid>
      <w:tr w14:paraId="6759784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384" w:type="dxa"/>
          </w:tcPr>
          <w:p w14:paraId="53063795">
            <w:pPr>
              <w:pStyle w:val="64"/>
              <w:spacing w:line="360" w:lineRule="auto"/>
              <w:rPr>
                <w:rFonts w:hint="eastAsia" w:ascii="宋体" w:hAnsi="宋体" w:eastAsia="宋体" w:cs="宋体"/>
                <w:sz w:val="24"/>
                <w:szCs w:val="24"/>
              </w:rPr>
            </w:pPr>
            <w:r>
              <w:rPr>
                <w:rFonts w:hint="eastAsia" w:ascii="宋体" w:hAnsi="宋体" w:eastAsia="宋体" w:cs="宋体"/>
                <w:sz w:val="24"/>
                <w:szCs w:val="24"/>
              </w:rPr>
              <w:t>品目号</w:t>
            </w:r>
          </w:p>
        </w:tc>
        <w:tc>
          <w:tcPr>
            <w:tcW w:w="1384" w:type="dxa"/>
          </w:tcPr>
          <w:p w14:paraId="7657E36D">
            <w:pPr>
              <w:pStyle w:val="64"/>
              <w:spacing w:line="360" w:lineRule="auto"/>
              <w:rPr>
                <w:rFonts w:hint="eastAsia" w:ascii="宋体" w:hAnsi="宋体" w:eastAsia="宋体" w:cs="宋体"/>
                <w:sz w:val="24"/>
                <w:szCs w:val="24"/>
              </w:rPr>
            </w:pPr>
            <w:r>
              <w:rPr>
                <w:rFonts w:hint="eastAsia" w:ascii="宋体" w:hAnsi="宋体" w:eastAsia="宋体" w:cs="宋体"/>
                <w:sz w:val="24"/>
                <w:szCs w:val="24"/>
              </w:rPr>
              <w:t>品目名称</w:t>
            </w:r>
          </w:p>
        </w:tc>
        <w:tc>
          <w:tcPr>
            <w:tcW w:w="1384" w:type="dxa"/>
          </w:tcPr>
          <w:p w14:paraId="5F048977">
            <w:pPr>
              <w:pStyle w:val="64"/>
              <w:spacing w:line="360" w:lineRule="auto"/>
              <w:rPr>
                <w:rFonts w:hint="eastAsia" w:ascii="宋体" w:hAnsi="宋体" w:eastAsia="宋体" w:cs="宋体"/>
                <w:sz w:val="24"/>
                <w:szCs w:val="24"/>
              </w:rPr>
            </w:pPr>
            <w:r>
              <w:rPr>
                <w:rFonts w:hint="eastAsia" w:ascii="宋体" w:hAnsi="宋体" w:eastAsia="宋体" w:cs="宋体"/>
                <w:sz w:val="24"/>
                <w:szCs w:val="24"/>
              </w:rPr>
              <w:t>采购标的</w:t>
            </w:r>
          </w:p>
        </w:tc>
        <w:tc>
          <w:tcPr>
            <w:tcW w:w="1384" w:type="dxa"/>
          </w:tcPr>
          <w:p w14:paraId="7C0CF0E5">
            <w:pPr>
              <w:pStyle w:val="64"/>
              <w:spacing w:line="360" w:lineRule="auto"/>
              <w:rPr>
                <w:rFonts w:hint="eastAsia" w:ascii="宋体" w:hAnsi="宋体" w:eastAsia="宋体" w:cs="宋体"/>
                <w:sz w:val="24"/>
                <w:szCs w:val="24"/>
              </w:rPr>
            </w:pPr>
            <w:r>
              <w:rPr>
                <w:rFonts w:hint="eastAsia" w:ascii="宋体" w:hAnsi="宋体" w:eastAsia="宋体" w:cs="宋体"/>
                <w:sz w:val="24"/>
                <w:szCs w:val="24"/>
              </w:rPr>
              <w:t>数量（单位）</w:t>
            </w:r>
          </w:p>
        </w:tc>
        <w:tc>
          <w:tcPr>
            <w:tcW w:w="1384" w:type="dxa"/>
          </w:tcPr>
          <w:p w14:paraId="5A72918A">
            <w:pPr>
              <w:pStyle w:val="64"/>
              <w:spacing w:line="360" w:lineRule="auto"/>
              <w:rPr>
                <w:rFonts w:hint="eastAsia" w:ascii="宋体" w:hAnsi="宋体" w:eastAsia="宋体" w:cs="宋体"/>
                <w:sz w:val="24"/>
                <w:szCs w:val="24"/>
              </w:rPr>
            </w:pPr>
            <w:r>
              <w:rPr>
                <w:rFonts w:hint="eastAsia" w:ascii="宋体" w:hAnsi="宋体" w:eastAsia="宋体" w:cs="宋体"/>
                <w:sz w:val="24"/>
                <w:szCs w:val="24"/>
              </w:rPr>
              <w:t>技术规格、参数及要求</w:t>
            </w:r>
          </w:p>
        </w:tc>
        <w:tc>
          <w:tcPr>
            <w:tcW w:w="1384" w:type="dxa"/>
          </w:tcPr>
          <w:p w14:paraId="0DF464CB">
            <w:pPr>
              <w:pStyle w:val="64"/>
              <w:spacing w:line="360" w:lineRule="auto"/>
              <w:rPr>
                <w:rFonts w:hint="eastAsia" w:ascii="宋体" w:hAnsi="宋体" w:eastAsia="宋体" w:cs="宋体"/>
                <w:sz w:val="24"/>
                <w:szCs w:val="24"/>
              </w:rPr>
            </w:pPr>
            <w:r>
              <w:rPr>
                <w:rFonts w:hint="eastAsia" w:ascii="宋体" w:hAnsi="宋体" w:eastAsia="宋体" w:cs="宋体"/>
                <w:sz w:val="24"/>
                <w:szCs w:val="24"/>
              </w:rPr>
              <w:t>品目预算(元)</w:t>
            </w:r>
          </w:p>
        </w:tc>
      </w:tr>
      <w:tr w14:paraId="429E6DA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384" w:type="dxa"/>
          </w:tcPr>
          <w:p w14:paraId="5A8CBD21">
            <w:pPr>
              <w:pStyle w:val="64"/>
              <w:spacing w:line="360" w:lineRule="auto"/>
              <w:rPr>
                <w:rFonts w:hint="eastAsia" w:ascii="宋体" w:hAnsi="宋体" w:eastAsia="宋体" w:cs="宋体"/>
                <w:sz w:val="24"/>
                <w:szCs w:val="24"/>
              </w:rPr>
            </w:pPr>
            <w:r>
              <w:rPr>
                <w:rFonts w:hint="eastAsia" w:ascii="宋体" w:hAnsi="宋体" w:eastAsia="宋体" w:cs="宋体"/>
                <w:sz w:val="24"/>
                <w:szCs w:val="24"/>
              </w:rPr>
              <w:t>24-1</w:t>
            </w:r>
          </w:p>
        </w:tc>
        <w:tc>
          <w:tcPr>
            <w:tcW w:w="1384" w:type="dxa"/>
          </w:tcPr>
          <w:p w14:paraId="01ECE8D7">
            <w:pPr>
              <w:pStyle w:val="64"/>
              <w:spacing w:line="360" w:lineRule="auto"/>
              <w:rPr>
                <w:rFonts w:hint="eastAsia" w:ascii="宋体" w:hAnsi="宋体" w:eastAsia="宋体" w:cs="宋体"/>
                <w:sz w:val="24"/>
                <w:szCs w:val="24"/>
              </w:rPr>
            </w:pPr>
            <w:r>
              <w:rPr>
                <w:rFonts w:hint="eastAsia" w:ascii="宋体" w:hAnsi="宋体" w:eastAsia="宋体" w:cs="宋体"/>
                <w:sz w:val="24"/>
                <w:szCs w:val="24"/>
              </w:rPr>
              <w:t>林木抚育管理服务</w:t>
            </w:r>
          </w:p>
        </w:tc>
        <w:tc>
          <w:tcPr>
            <w:tcW w:w="1384" w:type="dxa"/>
          </w:tcPr>
          <w:p w14:paraId="1AEC6C5F">
            <w:pPr>
              <w:pStyle w:val="64"/>
              <w:spacing w:line="360" w:lineRule="auto"/>
              <w:rPr>
                <w:rFonts w:hint="eastAsia" w:ascii="宋体" w:hAnsi="宋体" w:eastAsia="宋体" w:cs="宋体"/>
                <w:sz w:val="24"/>
                <w:szCs w:val="24"/>
              </w:rPr>
            </w:pPr>
            <w:r>
              <w:rPr>
                <w:rFonts w:hint="eastAsia" w:ascii="宋体" w:hAnsi="宋体" w:eastAsia="宋体" w:cs="宋体"/>
                <w:sz w:val="24"/>
                <w:szCs w:val="24"/>
              </w:rPr>
              <w:t>24标段：两河作业区退化林修复10、13、14、16、17、19小班1001亩，修复方式为采伐+补植+修枝。</w:t>
            </w:r>
          </w:p>
        </w:tc>
        <w:tc>
          <w:tcPr>
            <w:tcW w:w="1384" w:type="dxa"/>
          </w:tcPr>
          <w:p w14:paraId="66FC5C03">
            <w:pPr>
              <w:pStyle w:val="64"/>
              <w:spacing w:line="360" w:lineRule="auto"/>
              <w:rPr>
                <w:rFonts w:hint="eastAsia" w:ascii="宋体" w:hAnsi="宋体" w:eastAsia="宋体" w:cs="宋体"/>
                <w:sz w:val="24"/>
                <w:szCs w:val="24"/>
              </w:rPr>
            </w:pPr>
            <w:r>
              <w:rPr>
                <w:rFonts w:hint="eastAsia" w:ascii="宋体" w:hAnsi="宋体" w:eastAsia="宋体" w:cs="宋体"/>
                <w:sz w:val="24"/>
                <w:szCs w:val="24"/>
              </w:rPr>
              <w:t>1,001(亩)</w:t>
            </w:r>
          </w:p>
        </w:tc>
        <w:tc>
          <w:tcPr>
            <w:tcW w:w="1384" w:type="dxa"/>
          </w:tcPr>
          <w:p w14:paraId="649CFE7F">
            <w:pPr>
              <w:pStyle w:val="64"/>
              <w:spacing w:line="360" w:lineRule="auto"/>
              <w:rPr>
                <w:rFonts w:hint="eastAsia" w:ascii="宋体" w:hAnsi="宋体" w:eastAsia="宋体" w:cs="宋体"/>
                <w:sz w:val="24"/>
                <w:szCs w:val="24"/>
              </w:rPr>
            </w:pPr>
            <w:r>
              <w:rPr>
                <w:rFonts w:hint="eastAsia" w:ascii="宋体" w:hAnsi="宋体" w:eastAsia="宋体" w:cs="宋体"/>
                <w:sz w:val="24"/>
                <w:szCs w:val="24"/>
              </w:rPr>
              <w:t>详见采购文件</w:t>
            </w:r>
          </w:p>
        </w:tc>
        <w:tc>
          <w:tcPr>
            <w:tcW w:w="1384" w:type="dxa"/>
          </w:tcPr>
          <w:p w14:paraId="285B218E">
            <w:pPr>
              <w:pStyle w:val="64"/>
              <w:spacing w:line="360" w:lineRule="auto"/>
              <w:rPr>
                <w:rFonts w:hint="eastAsia" w:ascii="宋体" w:hAnsi="宋体" w:eastAsia="宋体" w:cs="宋体"/>
                <w:sz w:val="24"/>
                <w:szCs w:val="24"/>
              </w:rPr>
            </w:pPr>
            <w:r>
              <w:rPr>
                <w:rFonts w:hint="eastAsia" w:ascii="宋体" w:hAnsi="宋体" w:eastAsia="宋体" w:cs="宋体"/>
                <w:sz w:val="24"/>
                <w:szCs w:val="24"/>
              </w:rPr>
              <w:t>798,297.50</w:t>
            </w:r>
          </w:p>
        </w:tc>
      </w:tr>
    </w:tbl>
    <w:p w14:paraId="10FA85A3">
      <w:pPr>
        <w:pStyle w:val="64"/>
        <w:spacing w:line="360" w:lineRule="auto"/>
        <w:rPr>
          <w:rFonts w:hint="eastAsia" w:ascii="宋体" w:hAnsi="宋体" w:eastAsia="宋体" w:cs="宋体"/>
          <w:sz w:val="24"/>
          <w:szCs w:val="24"/>
        </w:rPr>
      </w:pPr>
      <w:r>
        <w:rPr>
          <w:rFonts w:hint="eastAsia" w:ascii="宋体" w:hAnsi="宋体" w:eastAsia="宋体" w:cs="宋体"/>
          <w:sz w:val="24"/>
          <w:szCs w:val="24"/>
        </w:rPr>
        <w:t xml:space="preserve"> 本合同包不接受联合体投标</w:t>
      </w:r>
    </w:p>
    <w:p w14:paraId="639E7B55">
      <w:pPr>
        <w:pStyle w:val="64"/>
        <w:spacing w:line="360" w:lineRule="auto"/>
        <w:rPr>
          <w:rFonts w:hint="eastAsia" w:ascii="宋体" w:hAnsi="宋体" w:eastAsia="宋体" w:cs="宋体"/>
          <w:sz w:val="24"/>
          <w:szCs w:val="24"/>
        </w:rPr>
      </w:pPr>
      <w:r>
        <w:rPr>
          <w:rFonts w:hint="eastAsia" w:ascii="宋体" w:hAnsi="宋体" w:eastAsia="宋体" w:cs="宋体"/>
          <w:sz w:val="24"/>
          <w:szCs w:val="24"/>
        </w:rPr>
        <w:t xml:space="preserve"> 合同履行期限：详见招标文件。</w:t>
      </w:r>
    </w:p>
    <w:p w14:paraId="78EACC00">
      <w:pPr>
        <w:pStyle w:val="64"/>
        <w:spacing w:line="360" w:lineRule="auto"/>
        <w:rPr>
          <w:rFonts w:hint="eastAsia" w:ascii="宋体" w:hAnsi="宋体" w:eastAsia="宋体" w:cs="宋体"/>
          <w:sz w:val="24"/>
          <w:szCs w:val="24"/>
        </w:rPr>
      </w:pPr>
      <w:r>
        <w:rPr>
          <w:rFonts w:hint="eastAsia" w:ascii="宋体" w:hAnsi="宋体" w:eastAsia="宋体" w:cs="宋体"/>
          <w:sz w:val="24"/>
          <w:szCs w:val="24"/>
        </w:rPr>
        <w:t>合同包25(25标段：两河作业区退化林修复15、20小班600亩，修复方式为采伐+补植+修枝):</w:t>
      </w:r>
    </w:p>
    <w:p w14:paraId="3DC1EECB">
      <w:pPr>
        <w:pStyle w:val="64"/>
        <w:spacing w:line="360" w:lineRule="auto"/>
        <w:ind w:firstLine="630"/>
        <w:rPr>
          <w:rFonts w:hint="eastAsia" w:ascii="宋体" w:hAnsi="宋体" w:eastAsia="宋体" w:cs="宋体"/>
          <w:sz w:val="24"/>
          <w:szCs w:val="24"/>
        </w:rPr>
      </w:pPr>
      <w:r>
        <w:rPr>
          <w:rFonts w:hint="eastAsia" w:ascii="宋体" w:hAnsi="宋体" w:eastAsia="宋体" w:cs="宋体"/>
          <w:sz w:val="24"/>
          <w:szCs w:val="24"/>
        </w:rPr>
        <w:t>合同包预算金额：477,306.50元</w:t>
      </w:r>
    </w:p>
    <w:p w14:paraId="56707347">
      <w:pPr>
        <w:pStyle w:val="64"/>
        <w:spacing w:line="360" w:lineRule="auto"/>
        <w:ind w:firstLine="630"/>
        <w:rPr>
          <w:rFonts w:hint="eastAsia" w:ascii="宋体" w:hAnsi="宋体" w:eastAsia="宋体" w:cs="宋体"/>
          <w:sz w:val="24"/>
          <w:szCs w:val="24"/>
        </w:rPr>
      </w:pPr>
      <w:r>
        <w:rPr>
          <w:rFonts w:hint="eastAsia" w:ascii="宋体" w:hAnsi="宋体" w:eastAsia="宋体" w:cs="宋体"/>
          <w:sz w:val="24"/>
          <w:szCs w:val="24"/>
        </w:rPr>
        <w:t xml:space="preserve"> 合同包最高限价：477,306.50元</w:t>
      </w:r>
    </w:p>
    <w:tbl>
      <w:tblPr>
        <w:tblStyle w:val="29"/>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1384"/>
        <w:gridCol w:w="1384"/>
        <w:gridCol w:w="1384"/>
        <w:gridCol w:w="1384"/>
        <w:gridCol w:w="1384"/>
        <w:gridCol w:w="1416"/>
      </w:tblGrid>
      <w:tr w14:paraId="4DD01FA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384" w:type="dxa"/>
          </w:tcPr>
          <w:p w14:paraId="3223403E">
            <w:pPr>
              <w:pStyle w:val="64"/>
              <w:spacing w:line="360" w:lineRule="auto"/>
              <w:rPr>
                <w:rFonts w:hint="eastAsia" w:ascii="宋体" w:hAnsi="宋体" w:eastAsia="宋体" w:cs="宋体"/>
                <w:sz w:val="24"/>
                <w:szCs w:val="24"/>
              </w:rPr>
            </w:pPr>
            <w:r>
              <w:rPr>
                <w:rFonts w:hint="eastAsia" w:ascii="宋体" w:hAnsi="宋体" w:eastAsia="宋体" w:cs="宋体"/>
                <w:sz w:val="24"/>
                <w:szCs w:val="24"/>
              </w:rPr>
              <w:t>品目号</w:t>
            </w:r>
          </w:p>
        </w:tc>
        <w:tc>
          <w:tcPr>
            <w:tcW w:w="1384" w:type="dxa"/>
          </w:tcPr>
          <w:p w14:paraId="5129CE62">
            <w:pPr>
              <w:pStyle w:val="64"/>
              <w:spacing w:line="360" w:lineRule="auto"/>
              <w:rPr>
                <w:rFonts w:hint="eastAsia" w:ascii="宋体" w:hAnsi="宋体" w:eastAsia="宋体" w:cs="宋体"/>
                <w:sz w:val="24"/>
                <w:szCs w:val="24"/>
              </w:rPr>
            </w:pPr>
            <w:r>
              <w:rPr>
                <w:rFonts w:hint="eastAsia" w:ascii="宋体" w:hAnsi="宋体" w:eastAsia="宋体" w:cs="宋体"/>
                <w:sz w:val="24"/>
                <w:szCs w:val="24"/>
              </w:rPr>
              <w:t>品目名称</w:t>
            </w:r>
          </w:p>
        </w:tc>
        <w:tc>
          <w:tcPr>
            <w:tcW w:w="1384" w:type="dxa"/>
          </w:tcPr>
          <w:p w14:paraId="12BA49B1">
            <w:pPr>
              <w:pStyle w:val="64"/>
              <w:spacing w:line="360" w:lineRule="auto"/>
              <w:rPr>
                <w:rFonts w:hint="eastAsia" w:ascii="宋体" w:hAnsi="宋体" w:eastAsia="宋体" w:cs="宋体"/>
                <w:sz w:val="24"/>
                <w:szCs w:val="24"/>
              </w:rPr>
            </w:pPr>
            <w:r>
              <w:rPr>
                <w:rFonts w:hint="eastAsia" w:ascii="宋体" w:hAnsi="宋体" w:eastAsia="宋体" w:cs="宋体"/>
                <w:sz w:val="24"/>
                <w:szCs w:val="24"/>
              </w:rPr>
              <w:t>采购标的</w:t>
            </w:r>
          </w:p>
        </w:tc>
        <w:tc>
          <w:tcPr>
            <w:tcW w:w="1384" w:type="dxa"/>
          </w:tcPr>
          <w:p w14:paraId="1CEADC3F">
            <w:pPr>
              <w:pStyle w:val="64"/>
              <w:spacing w:line="360" w:lineRule="auto"/>
              <w:rPr>
                <w:rFonts w:hint="eastAsia" w:ascii="宋体" w:hAnsi="宋体" w:eastAsia="宋体" w:cs="宋体"/>
                <w:sz w:val="24"/>
                <w:szCs w:val="24"/>
              </w:rPr>
            </w:pPr>
            <w:r>
              <w:rPr>
                <w:rFonts w:hint="eastAsia" w:ascii="宋体" w:hAnsi="宋体" w:eastAsia="宋体" w:cs="宋体"/>
                <w:sz w:val="24"/>
                <w:szCs w:val="24"/>
              </w:rPr>
              <w:t>数量（单位）</w:t>
            </w:r>
          </w:p>
        </w:tc>
        <w:tc>
          <w:tcPr>
            <w:tcW w:w="1384" w:type="dxa"/>
          </w:tcPr>
          <w:p w14:paraId="6BE5A18D">
            <w:pPr>
              <w:pStyle w:val="64"/>
              <w:spacing w:line="360" w:lineRule="auto"/>
              <w:rPr>
                <w:rFonts w:hint="eastAsia" w:ascii="宋体" w:hAnsi="宋体" w:eastAsia="宋体" w:cs="宋体"/>
                <w:sz w:val="24"/>
                <w:szCs w:val="24"/>
              </w:rPr>
            </w:pPr>
            <w:r>
              <w:rPr>
                <w:rFonts w:hint="eastAsia" w:ascii="宋体" w:hAnsi="宋体" w:eastAsia="宋体" w:cs="宋体"/>
                <w:sz w:val="24"/>
                <w:szCs w:val="24"/>
              </w:rPr>
              <w:t>技术规格、参数及要求</w:t>
            </w:r>
          </w:p>
        </w:tc>
        <w:tc>
          <w:tcPr>
            <w:tcW w:w="1384" w:type="dxa"/>
          </w:tcPr>
          <w:p w14:paraId="2D9F0D2D">
            <w:pPr>
              <w:pStyle w:val="64"/>
              <w:spacing w:line="360" w:lineRule="auto"/>
              <w:rPr>
                <w:rFonts w:hint="eastAsia" w:ascii="宋体" w:hAnsi="宋体" w:eastAsia="宋体" w:cs="宋体"/>
                <w:sz w:val="24"/>
                <w:szCs w:val="24"/>
              </w:rPr>
            </w:pPr>
            <w:r>
              <w:rPr>
                <w:rFonts w:hint="eastAsia" w:ascii="宋体" w:hAnsi="宋体" w:eastAsia="宋体" w:cs="宋体"/>
                <w:sz w:val="24"/>
                <w:szCs w:val="24"/>
              </w:rPr>
              <w:t>品目预算(元)</w:t>
            </w:r>
          </w:p>
        </w:tc>
      </w:tr>
      <w:tr w14:paraId="20E8BA3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384" w:type="dxa"/>
          </w:tcPr>
          <w:p w14:paraId="59892B67">
            <w:pPr>
              <w:pStyle w:val="64"/>
              <w:spacing w:line="360" w:lineRule="auto"/>
              <w:rPr>
                <w:rFonts w:hint="eastAsia" w:ascii="宋体" w:hAnsi="宋体" w:eastAsia="宋体" w:cs="宋体"/>
                <w:sz w:val="24"/>
                <w:szCs w:val="24"/>
              </w:rPr>
            </w:pPr>
            <w:r>
              <w:rPr>
                <w:rFonts w:hint="eastAsia" w:ascii="宋体" w:hAnsi="宋体" w:eastAsia="宋体" w:cs="宋体"/>
                <w:sz w:val="24"/>
                <w:szCs w:val="24"/>
              </w:rPr>
              <w:t>25-1</w:t>
            </w:r>
          </w:p>
        </w:tc>
        <w:tc>
          <w:tcPr>
            <w:tcW w:w="1384" w:type="dxa"/>
          </w:tcPr>
          <w:p w14:paraId="755210FA">
            <w:pPr>
              <w:pStyle w:val="64"/>
              <w:spacing w:line="360" w:lineRule="auto"/>
              <w:rPr>
                <w:rFonts w:hint="eastAsia" w:ascii="宋体" w:hAnsi="宋体" w:eastAsia="宋体" w:cs="宋体"/>
                <w:sz w:val="24"/>
                <w:szCs w:val="24"/>
              </w:rPr>
            </w:pPr>
            <w:r>
              <w:rPr>
                <w:rFonts w:hint="eastAsia" w:ascii="宋体" w:hAnsi="宋体" w:eastAsia="宋体" w:cs="宋体"/>
                <w:sz w:val="24"/>
                <w:szCs w:val="24"/>
              </w:rPr>
              <w:t>林木抚育管理服务</w:t>
            </w:r>
          </w:p>
        </w:tc>
        <w:tc>
          <w:tcPr>
            <w:tcW w:w="1384" w:type="dxa"/>
          </w:tcPr>
          <w:p w14:paraId="711BA029">
            <w:pPr>
              <w:pStyle w:val="64"/>
              <w:spacing w:line="360" w:lineRule="auto"/>
              <w:rPr>
                <w:rFonts w:hint="eastAsia" w:ascii="宋体" w:hAnsi="宋体" w:eastAsia="宋体" w:cs="宋体"/>
                <w:sz w:val="24"/>
                <w:szCs w:val="24"/>
              </w:rPr>
            </w:pPr>
            <w:r>
              <w:rPr>
                <w:rFonts w:hint="eastAsia" w:ascii="宋体" w:hAnsi="宋体" w:eastAsia="宋体" w:cs="宋体"/>
                <w:sz w:val="24"/>
                <w:szCs w:val="24"/>
              </w:rPr>
              <w:t>25标段：两河作业区退化林修复15、20小班600亩，修复方式为采伐+补植+修枝。</w:t>
            </w:r>
          </w:p>
        </w:tc>
        <w:tc>
          <w:tcPr>
            <w:tcW w:w="1384" w:type="dxa"/>
          </w:tcPr>
          <w:p w14:paraId="03DF8C4B">
            <w:pPr>
              <w:pStyle w:val="64"/>
              <w:spacing w:line="360" w:lineRule="auto"/>
              <w:rPr>
                <w:rFonts w:hint="eastAsia" w:ascii="宋体" w:hAnsi="宋体" w:eastAsia="宋体" w:cs="宋体"/>
                <w:sz w:val="24"/>
                <w:szCs w:val="24"/>
              </w:rPr>
            </w:pPr>
            <w:r>
              <w:rPr>
                <w:rFonts w:hint="eastAsia" w:ascii="宋体" w:hAnsi="宋体" w:eastAsia="宋体" w:cs="宋体"/>
                <w:sz w:val="24"/>
                <w:szCs w:val="24"/>
              </w:rPr>
              <w:t>600(亩)</w:t>
            </w:r>
          </w:p>
        </w:tc>
        <w:tc>
          <w:tcPr>
            <w:tcW w:w="1384" w:type="dxa"/>
          </w:tcPr>
          <w:p w14:paraId="6D4BC6F7">
            <w:pPr>
              <w:pStyle w:val="64"/>
              <w:spacing w:line="360" w:lineRule="auto"/>
              <w:rPr>
                <w:rFonts w:hint="eastAsia" w:ascii="宋体" w:hAnsi="宋体" w:eastAsia="宋体" w:cs="宋体"/>
                <w:sz w:val="24"/>
                <w:szCs w:val="24"/>
              </w:rPr>
            </w:pPr>
            <w:r>
              <w:rPr>
                <w:rFonts w:hint="eastAsia" w:ascii="宋体" w:hAnsi="宋体" w:eastAsia="宋体" w:cs="宋体"/>
                <w:sz w:val="24"/>
                <w:szCs w:val="24"/>
              </w:rPr>
              <w:t>详见采购文件</w:t>
            </w:r>
          </w:p>
        </w:tc>
        <w:tc>
          <w:tcPr>
            <w:tcW w:w="1384" w:type="dxa"/>
          </w:tcPr>
          <w:p w14:paraId="31750475">
            <w:pPr>
              <w:pStyle w:val="64"/>
              <w:spacing w:line="360" w:lineRule="auto"/>
              <w:rPr>
                <w:rFonts w:hint="eastAsia" w:ascii="宋体" w:hAnsi="宋体" w:eastAsia="宋体" w:cs="宋体"/>
                <w:sz w:val="24"/>
                <w:szCs w:val="24"/>
              </w:rPr>
            </w:pPr>
            <w:r>
              <w:rPr>
                <w:rFonts w:hint="eastAsia" w:ascii="宋体" w:hAnsi="宋体" w:eastAsia="宋体" w:cs="宋体"/>
                <w:sz w:val="24"/>
                <w:szCs w:val="24"/>
              </w:rPr>
              <w:t>477,306.50</w:t>
            </w:r>
          </w:p>
        </w:tc>
      </w:tr>
    </w:tbl>
    <w:p w14:paraId="44E79848">
      <w:pPr>
        <w:pStyle w:val="64"/>
        <w:spacing w:line="360" w:lineRule="auto"/>
        <w:rPr>
          <w:rFonts w:hint="eastAsia" w:ascii="宋体" w:hAnsi="宋体" w:eastAsia="宋体" w:cs="宋体"/>
          <w:sz w:val="24"/>
          <w:szCs w:val="24"/>
        </w:rPr>
      </w:pPr>
      <w:r>
        <w:rPr>
          <w:rFonts w:hint="eastAsia" w:ascii="宋体" w:hAnsi="宋体" w:eastAsia="宋体" w:cs="宋体"/>
          <w:sz w:val="24"/>
          <w:szCs w:val="24"/>
        </w:rPr>
        <w:t xml:space="preserve"> 本合同包不接受联合体投标</w:t>
      </w:r>
    </w:p>
    <w:p w14:paraId="0C575E52">
      <w:pPr>
        <w:pStyle w:val="64"/>
        <w:spacing w:line="360" w:lineRule="auto"/>
        <w:rPr>
          <w:rFonts w:hint="eastAsia" w:ascii="宋体" w:hAnsi="宋体" w:eastAsia="宋体" w:cs="宋体"/>
          <w:sz w:val="24"/>
          <w:szCs w:val="24"/>
        </w:rPr>
      </w:pPr>
      <w:r>
        <w:rPr>
          <w:rFonts w:hint="eastAsia" w:ascii="宋体" w:hAnsi="宋体" w:eastAsia="宋体" w:cs="宋体"/>
          <w:sz w:val="24"/>
          <w:szCs w:val="24"/>
        </w:rPr>
        <w:t xml:space="preserve"> 合同履行期限：详见招标文件。</w:t>
      </w:r>
    </w:p>
    <w:p w14:paraId="57056333">
      <w:pPr>
        <w:pStyle w:val="64"/>
        <w:spacing w:line="360" w:lineRule="auto"/>
        <w:outlineLvl w:val="3"/>
        <w:rPr>
          <w:rFonts w:hint="eastAsia" w:ascii="宋体" w:hAnsi="宋体" w:eastAsia="宋体" w:cs="宋体"/>
          <w:sz w:val="24"/>
          <w:szCs w:val="24"/>
        </w:rPr>
      </w:pPr>
      <w:r>
        <w:rPr>
          <w:rFonts w:hint="eastAsia" w:ascii="宋体" w:hAnsi="宋体" w:eastAsia="宋体" w:cs="宋体"/>
          <w:b/>
          <w:sz w:val="24"/>
          <w:szCs w:val="24"/>
        </w:rPr>
        <w:t>二、申请人的资格要求：</w:t>
      </w:r>
    </w:p>
    <w:p w14:paraId="1C55AA8D">
      <w:pPr>
        <w:pStyle w:val="64"/>
        <w:spacing w:line="360" w:lineRule="auto"/>
        <w:rPr>
          <w:rFonts w:hint="eastAsia" w:ascii="宋体" w:hAnsi="宋体" w:eastAsia="宋体" w:cs="宋体"/>
          <w:sz w:val="24"/>
          <w:szCs w:val="24"/>
        </w:rPr>
      </w:pPr>
      <w:r>
        <w:rPr>
          <w:rFonts w:hint="eastAsia" w:ascii="宋体" w:hAnsi="宋体" w:eastAsia="宋体" w:cs="宋体"/>
          <w:sz w:val="24"/>
          <w:szCs w:val="24"/>
        </w:rPr>
        <w:t>1.满足《中华人民共和国政府采购法》第二十二条规定;</w:t>
      </w:r>
    </w:p>
    <w:p w14:paraId="146C6100">
      <w:pPr>
        <w:pStyle w:val="64"/>
        <w:spacing w:line="360" w:lineRule="auto"/>
        <w:rPr>
          <w:rFonts w:hint="eastAsia" w:ascii="宋体" w:hAnsi="宋体" w:eastAsia="宋体" w:cs="宋体"/>
          <w:sz w:val="24"/>
          <w:szCs w:val="24"/>
        </w:rPr>
      </w:pPr>
      <w:r>
        <w:rPr>
          <w:rFonts w:hint="eastAsia" w:ascii="宋体" w:hAnsi="宋体" w:eastAsia="宋体" w:cs="宋体"/>
          <w:sz w:val="24"/>
          <w:szCs w:val="24"/>
        </w:rPr>
        <w:t>2.落实政府采购政策需满足的资格要求：</w:t>
      </w:r>
    </w:p>
    <w:p w14:paraId="502D8CF1">
      <w:pPr>
        <w:pStyle w:val="64"/>
        <w:spacing w:line="360" w:lineRule="auto"/>
        <w:rPr>
          <w:rFonts w:hint="eastAsia" w:ascii="宋体" w:hAnsi="宋体" w:eastAsia="宋体" w:cs="宋体"/>
          <w:sz w:val="24"/>
          <w:szCs w:val="24"/>
        </w:rPr>
      </w:pPr>
      <w:r>
        <w:rPr>
          <w:rFonts w:hint="eastAsia" w:ascii="宋体" w:hAnsi="宋体" w:eastAsia="宋体" w:cs="宋体"/>
          <w:sz w:val="24"/>
          <w:szCs w:val="24"/>
        </w:rPr>
        <w:t>合同包1(1标段：马房子作业区退化林修复52、56、59、 62、63、72、 75、76、79、 81、84、91、93 小班763亩，修复方式为采伐+补植+修枝)落实政府采购政策需满足的资格要求如下:</w:t>
      </w:r>
    </w:p>
    <w:p w14:paraId="6B4B966E">
      <w:pPr>
        <w:pStyle w:val="64"/>
        <w:spacing w:line="360" w:lineRule="auto"/>
        <w:ind w:left="480"/>
        <w:rPr>
          <w:rFonts w:hint="eastAsia" w:ascii="宋体" w:hAnsi="宋体" w:eastAsia="宋体" w:cs="宋体"/>
          <w:sz w:val="24"/>
          <w:szCs w:val="24"/>
        </w:rPr>
      </w:pPr>
      <w:r>
        <w:rPr>
          <w:rFonts w:hint="eastAsia" w:ascii="宋体" w:hAnsi="宋体" w:eastAsia="宋体" w:cs="宋体"/>
          <w:sz w:val="24"/>
          <w:szCs w:val="24"/>
        </w:rPr>
        <w:t>（1）《政府采购促进中小企业发展管理办法》（财库〔2020〕46号）；</w:t>
      </w:r>
      <w:r>
        <w:rPr>
          <w:rFonts w:hint="eastAsia" w:ascii="宋体" w:hAnsi="宋体" w:eastAsia="宋体" w:cs="宋体"/>
          <w:sz w:val="24"/>
          <w:szCs w:val="24"/>
        </w:rPr>
        <w:br w:type="textWrapping"/>
      </w:r>
      <w:r>
        <w:rPr>
          <w:rFonts w:hint="eastAsia" w:ascii="宋体" w:hAnsi="宋体" w:eastAsia="宋体" w:cs="宋体"/>
          <w:sz w:val="24"/>
          <w:szCs w:val="24"/>
        </w:rPr>
        <w:t>（2）《财政部司法部关于政府采购支持监狱企业发展有关问题的通知》（财库〔2014〕68号）；</w:t>
      </w:r>
      <w:r>
        <w:rPr>
          <w:rFonts w:hint="eastAsia" w:ascii="宋体" w:hAnsi="宋体" w:eastAsia="宋体" w:cs="宋体"/>
          <w:sz w:val="24"/>
          <w:szCs w:val="24"/>
        </w:rPr>
        <w:br w:type="textWrapping"/>
      </w:r>
      <w:r>
        <w:rPr>
          <w:rFonts w:hint="eastAsia" w:ascii="宋体" w:hAnsi="宋体" w:eastAsia="宋体" w:cs="宋体"/>
          <w:sz w:val="24"/>
          <w:szCs w:val="24"/>
        </w:rPr>
        <w:t>（3）《关于促进残疾人就业政府采购政策的通知》（财库〔2017〕141号）；</w:t>
      </w:r>
      <w:r>
        <w:rPr>
          <w:rFonts w:hint="eastAsia" w:ascii="宋体" w:hAnsi="宋体" w:eastAsia="宋体" w:cs="宋体"/>
          <w:sz w:val="24"/>
          <w:szCs w:val="24"/>
        </w:rPr>
        <w:br w:type="textWrapping"/>
      </w:r>
      <w:r>
        <w:rPr>
          <w:rFonts w:hint="eastAsia" w:ascii="宋体" w:hAnsi="宋体" w:eastAsia="宋体" w:cs="宋体"/>
          <w:sz w:val="24"/>
          <w:szCs w:val="24"/>
        </w:rPr>
        <w:t>（4）《节能产品政府采购实施意见》（财库〔2004〕185号）；</w:t>
      </w:r>
      <w:r>
        <w:rPr>
          <w:rFonts w:hint="eastAsia" w:ascii="宋体" w:hAnsi="宋体" w:eastAsia="宋体" w:cs="宋体"/>
          <w:sz w:val="24"/>
          <w:szCs w:val="24"/>
        </w:rPr>
        <w:br w:type="textWrapping"/>
      </w:r>
      <w:r>
        <w:rPr>
          <w:rFonts w:hint="eastAsia" w:ascii="宋体" w:hAnsi="宋体" w:eastAsia="宋体" w:cs="宋体"/>
          <w:sz w:val="24"/>
          <w:szCs w:val="24"/>
        </w:rPr>
        <w:t>（5）《环境标志产品政府采购实施的意见》（财库〔2006〕90号）；</w:t>
      </w:r>
      <w:r>
        <w:rPr>
          <w:rFonts w:hint="eastAsia" w:ascii="宋体" w:hAnsi="宋体" w:eastAsia="宋体" w:cs="宋体"/>
          <w:sz w:val="24"/>
          <w:szCs w:val="24"/>
        </w:rPr>
        <w:br w:type="textWrapping"/>
      </w:r>
      <w:r>
        <w:rPr>
          <w:rFonts w:hint="eastAsia" w:ascii="宋体" w:hAnsi="宋体" w:eastAsia="宋体" w:cs="宋体"/>
          <w:sz w:val="24"/>
          <w:szCs w:val="24"/>
        </w:rPr>
        <w:t>（6）《国务院办公厅关于建立政府强制采购节能产品制度的通知》（国办发〔2007〕51号）；</w:t>
      </w:r>
      <w:r>
        <w:rPr>
          <w:rFonts w:hint="eastAsia" w:ascii="宋体" w:hAnsi="宋体" w:eastAsia="宋体" w:cs="宋体"/>
          <w:sz w:val="24"/>
          <w:szCs w:val="24"/>
        </w:rPr>
        <w:br w:type="textWrapping"/>
      </w:r>
      <w:r>
        <w:rPr>
          <w:rFonts w:hint="eastAsia" w:ascii="宋体" w:hAnsi="宋体" w:eastAsia="宋体" w:cs="宋体"/>
          <w:sz w:val="24"/>
          <w:szCs w:val="24"/>
        </w:rPr>
        <w:t>（7）财政部发展改革委生态环境部市场监管总局关于调整优化节能产品、环境标志产品政府采购执行机制的通知（财库〔2019〕9号）；</w:t>
      </w:r>
      <w:r>
        <w:rPr>
          <w:rFonts w:hint="eastAsia" w:ascii="宋体" w:hAnsi="宋体" w:eastAsia="宋体" w:cs="宋体"/>
          <w:sz w:val="24"/>
          <w:szCs w:val="24"/>
        </w:rPr>
        <w:br w:type="textWrapping"/>
      </w:r>
      <w:r>
        <w:rPr>
          <w:rFonts w:hint="eastAsia" w:ascii="宋体" w:hAnsi="宋体" w:eastAsia="宋体" w:cs="宋体"/>
          <w:sz w:val="24"/>
          <w:szCs w:val="24"/>
        </w:rPr>
        <w:t>（8）《关于印发环境标志产品政府采购品目清单的通知》--（财库〔2019〕18号）；</w:t>
      </w:r>
      <w:r>
        <w:rPr>
          <w:rFonts w:hint="eastAsia" w:ascii="宋体" w:hAnsi="宋体" w:eastAsia="宋体" w:cs="宋体"/>
          <w:sz w:val="24"/>
          <w:szCs w:val="24"/>
        </w:rPr>
        <w:br w:type="textWrapping"/>
      </w:r>
      <w:r>
        <w:rPr>
          <w:rFonts w:hint="eastAsia" w:ascii="宋体" w:hAnsi="宋体" w:eastAsia="宋体" w:cs="宋体"/>
          <w:sz w:val="24"/>
          <w:szCs w:val="24"/>
        </w:rPr>
        <w:t>（9）《关于印发节能产品政府采购品目清单的通知》--（财库〔2019〕19号）；</w:t>
      </w:r>
      <w:r>
        <w:rPr>
          <w:rFonts w:hint="eastAsia" w:ascii="宋体" w:hAnsi="宋体" w:eastAsia="宋体" w:cs="宋体"/>
          <w:sz w:val="24"/>
          <w:szCs w:val="24"/>
        </w:rPr>
        <w:br w:type="textWrapping"/>
      </w:r>
      <w:r>
        <w:rPr>
          <w:rFonts w:hint="eastAsia" w:ascii="宋体" w:hAnsi="宋体" w:eastAsia="宋体" w:cs="宋体"/>
          <w:sz w:val="24"/>
          <w:szCs w:val="24"/>
        </w:rPr>
        <w:t>（10）《关于发布参与实施政府采购节能产品、环境标志产品认证机构名录的公告》—2019年第16号；</w:t>
      </w:r>
      <w:r>
        <w:rPr>
          <w:rFonts w:hint="eastAsia" w:ascii="宋体" w:hAnsi="宋体" w:eastAsia="宋体" w:cs="宋体"/>
          <w:sz w:val="24"/>
          <w:szCs w:val="24"/>
        </w:rPr>
        <w:br w:type="textWrapping"/>
      </w:r>
      <w:r>
        <w:rPr>
          <w:rFonts w:hint="eastAsia" w:ascii="宋体" w:hAnsi="宋体" w:eastAsia="宋体" w:cs="宋体"/>
          <w:sz w:val="24"/>
          <w:szCs w:val="24"/>
        </w:rPr>
        <w:t>（11）《关于运用政府采购政策支持乡村产业振兴的通知》（财库〔2021〕19号）；</w:t>
      </w:r>
      <w:r>
        <w:rPr>
          <w:rFonts w:hint="eastAsia" w:ascii="宋体" w:hAnsi="宋体" w:eastAsia="宋体" w:cs="宋体"/>
          <w:sz w:val="24"/>
          <w:szCs w:val="24"/>
        </w:rPr>
        <w:br w:type="textWrapping"/>
      </w:r>
      <w:r>
        <w:rPr>
          <w:rFonts w:hint="eastAsia" w:ascii="宋体" w:hAnsi="宋体" w:eastAsia="宋体" w:cs="宋体"/>
          <w:sz w:val="24"/>
          <w:szCs w:val="24"/>
        </w:rPr>
        <w:t>（12）陕西省财政厅关于印发《陕西省中小企业政府采购信用融资办法》（陕财办采〔2018〕23号），相关政策、业务流程、办理</w:t>
      </w:r>
      <w:r>
        <w:rPr>
          <w:rFonts w:hint="eastAsia" w:ascii="宋体" w:hAnsi="宋体" w:eastAsia="宋体" w:cs="宋体"/>
          <w:sz w:val="24"/>
          <w:szCs w:val="24"/>
        </w:rPr>
        <w:br w:type="textWrapping"/>
      </w:r>
      <w:r>
        <w:rPr>
          <w:rFonts w:hint="eastAsia" w:ascii="宋体" w:hAnsi="宋体" w:eastAsia="宋体" w:cs="宋体"/>
          <w:sz w:val="24"/>
          <w:szCs w:val="24"/>
        </w:rPr>
        <w:t>平台（详见http://www.ccgp-shaanxi.gov.cn/zcdservice/zcd/shanxi/）；</w:t>
      </w:r>
      <w:r>
        <w:rPr>
          <w:rFonts w:hint="eastAsia" w:ascii="宋体" w:hAnsi="宋体" w:eastAsia="宋体" w:cs="宋体"/>
          <w:sz w:val="24"/>
          <w:szCs w:val="24"/>
        </w:rPr>
        <w:br w:type="textWrapping"/>
      </w:r>
      <w:r>
        <w:rPr>
          <w:rFonts w:hint="eastAsia" w:ascii="宋体" w:hAnsi="宋体" w:eastAsia="宋体" w:cs="宋体"/>
          <w:sz w:val="24"/>
          <w:szCs w:val="24"/>
        </w:rPr>
        <w:t>（13）《陕西省财政厅关于加快推进我省中小企业政府采购信用融资工作的通知》（陕财办采〔2020〕15号）；</w:t>
      </w:r>
      <w:r>
        <w:rPr>
          <w:rFonts w:hint="eastAsia" w:ascii="宋体" w:hAnsi="宋体" w:eastAsia="宋体" w:cs="宋体"/>
          <w:sz w:val="24"/>
          <w:szCs w:val="24"/>
        </w:rPr>
        <w:br w:type="textWrapping"/>
      </w:r>
      <w:r>
        <w:rPr>
          <w:rFonts w:hint="eastAsia" w:ascii="宋体" w:hAnsi="宋体" w:eastAsia="宋体" w:cs="宋体"/>
          <w:sz w:val="24"/>
          <w:szCs w:val="24"/>
        </w:rPr>
        <w:t>（14）《关于进一步加强政府绿色采购有关问题的通知》（陕财办采〔2021〕29号）</w:t>
      </w:r>
      <w:r>
        <w:rPr>
          <w:rFonts w:hint="eastAsia" w:ascii="宋体" w:hAnsi="宋体" w:eastAsia="宋体" w:cs="宋体"/>
          <w:sz w:val="24"/>
          <w:szCs w:val="24"/>
        </w:rPr>
        <w:br w:type="textWrapping"/>
      </w:r>
      <w:r>
        <w:rPr>
          <w:rFonts w:hint="eastAsia" w:ascii="宋体" w:hAnsi="宋体" w:eastAsia="宋体" w:cs="宋体"/>
          <w:sz w:val="24"/>
          <w:szCs w:val="24"/>
        </w:rPr>
        <w:t>（15）《陕西省财政厅陕西省工业和信息化厅关于运用政府采购政策支持首台（套）及创新产品有关事项的通知》（陕财办采〔2021〕17号）；</w:t>
      </w:r>
      <w:r>
        <w:rPr>
          <w:rFonts w:hint="eastAsia" w:ascii="宋体" w:hAnsi="宋体" w:eastAsia="宋体" w:cs="宋体"/>
          <w:sz w:val="24"/>
          <w:szCs w:val="24"/>
        </w:rPr>
        <w:br w:type="textWrapping"/>
      </w:r>
      <w:r>
        <w:rPr>
          <w:rFonts w:hint="eastAsia" w:ascii="宋体" w:hAnsi="宋体" w:eastAsia="宋体" w:cs="宋体"/>
          <w:sz w:val="24"/>
          <w:szCs w:val="24"/>
        </w:rPr>
        <w:t>（16）《关于进一步加大政府采购支持中小企业力度的通知》（财库〔2022〕19号）、《关于落实政府采购支持中小企业政策有关事项的通知》（陕财办采函〔2022〕10号）；</w:t>
      </w:r>
      <w:r>
        <w:rPr>
          <w:rFonts w:hint="eastAsia" w:ascii="宋体" w:hAnsi="宋体" w:eastAsia="宋体" w:cs="宋体"/>
          <w:sz w:val="24"/>
          <w:szCs w:val="24"/>
        </w:rPr>
        <w:br w:type="textWrapping"/>
      </w:r>
      <w:r>
        <w:rPr>
          <w:rFonts w:hint="eastAsia" w:ascii="宋体" w:hAnsi="宋体" w:eastAsia="宋体" w:cs="宋体"/>
          <w:sz w:val="24"/>
          <w:szCs w:val="24"/>
        </w:rPr>
        <w:t>（17）其他需要落实的政府采购政策。</w:t>
      </w:r>
    </w:p>
    <w:p w14:paraId="1DF64E91">
      <w:pPr>
        <w:pStyle w:val="64"/>
        <w:spacing w:line="360" w:lineRule="auto"/>
        <w:rPr>
          <w:rFonts w:hint="eastAsia" w:ascii="宋体" w:hAnsi="宋体" w:eastAsia="宋体" w:cs="宋体"/>
          <w:sz w:val="24"/>
          <w:szCs w:val="24"/>
        </w:rPr>
      </w:pPr>
      <w:r>
        <w:rPr>
          <w:rFonts w:hint="eastAsia" w:ascii="宋体" w:hAnsi="宋体" w:eastAsia="宋体" w:cs="宋体"/>
          <w:sz w:val="24"/>
          <w:szCs w:val="24"/>
        </w:rPr>
        <w:t>合同包2(2标段：马房子作业区退化林修复55、58、66、 70、74、78、 80、83、85、 88、89、94小班776亩，修复方式为采伐+补植+修枝)落实政府采购政策需满足的资格要求如下:</w:t>
      </w:r>
    </w:p>
    <w:p w14:paraId="0EF72C6E">
      <w:pPr>
        <w:pStyle w:val="64"/>
        <w:spacing w:line="360" w:lineRule="auto"/>
        <w:ind w:left="480"/>
        <w:rPr>
          <w:rFonts w:hint="eastAsia" w:ascii="宋体" w:hAnsi="宋体" w:eastAsia="宋体" w:cs="宋体"/>
          <w:sz w:val="24"/>
          <w:szCs w:val="24"/>
        </w:rPr>
      </w:pPr>
      <w:r>
        <w:rPr>
          <w:rFonts w:hint="eastAsia" w:ascii="宋体" w:hAnsi="宋体" w:eastAsia="宋体" w:cs="宋体"/>
          <w:sz w:val="24"/>
          <w:szCs w:val="24"/>
        </w:rPr>
        <w:t>同合同包1。</w:t>
      </w:r>
    </w:p>
    <w:p w14:paraId="74B7D29F">
      <w:pPr>
        <w:pStyle w:val="64"/>
        <w:spacing w:line="360" w:lineRule="auto"/>
        <w:rPr>
          <w:rFonts w:hint="eastAsia" w:ascii="宋体" w:hAnsi="宋体" w:eastAsia="宋体" w:cs="宋体"/>
          <w:sz w:val="24"/>
          <w:szCs w:val="24"/>
        </w:rPr>
      </w:pPr>
      <w:r>
        <w:rPr>
          <w:rFonts w:hint="eastAsia" w:ascii="宋体" w:hAnsi="宋体" w:eastAsia="宋体" w:cs="宋体"/>
          <w:sz w:val="24"/>
          <w:szCs w:val="24"/>
        </w:rPr>
        <w:t>合同包3(3标段：马房子作业区退化林修复39、40、43、 50、71小班614亩，修复方式为采伐+补植+修枝)落实政府采购政策需满足的资格要求如下:</w:t>
      </w:r>
    </w:p>
    <w:p w14:paraId="4EBCEE9B">
      <w:pPr>
        <w:pStyle w:val="64"/>
        <w:spacing w:line="360" w:lineRule="auto"/>
        <w:ind w:left="480"/>
        <w:rPr>
          <w:rFonts w:hint="eastAsia" w:ascii="宋体" w:hAnsi="宋体" w:eastAsia="宋体" w:cs="宋体"/>
          <w:sz w:val="24"/>
          <w:szCs w:val="24"/>
        </w:rPr>
      </w:pPr>
      <w:r>
        <w:rPr>
          <w:rFonts w:hint="eastAsia" w:ascii="宋体" w:hAnsi="宋体" w:eastAsia="宋体" w:cs="宋体"/>
          <w:sz w:val="24"/>
          <w:szCs w:val="24"/>
        </w:rPr>
        <w:t>同合同包1。</w:t>
      </w:r>
    </w:p>
    <w:p w14:paraId="47E13CA5">
      <w:pPr>
        <w:pStyle w:val="64"/>
        <w:spacing w:line="360" w:lineRule="auto"/>
        <w:rPr>
          <w:rFonts w:hint="eastAsia" w:ascii="宋体" w:hAnsi="宋体" w:eastAsia="宋体" w:cs="宋体"/>
          <w:sz w:val="24"/>
          <w:szCs w:val="24"/>
        </w:rPr>
      </w:pPr>
      <w:r>
        <w:rPr>
          <w:rFonts w:hint="eastAsia" w:ascii="宋体" w:hAnsi="宋体" w:eastAsia="宋体" w:cs="宋体"/>
          <w:sz w:val="24"/>
          <w:szCs w:val="24"/>
        </w:rPr>
        <w:t>合同包4(4标段：马房子作业区退化林修复19、23、28、 32、37、42小班708亩，修复方式为采伐+补植+ 修枝)落实政府采购政策需满足的资格要求如下:</w:t>
      </w:r>
    </w:p>
    <w:p w14:paraId="7A4A2BEA">
      <w:pPr>
        <w:pStyle w:val="64"/>
        <w:spacing w:line="360" w:lineRule="auto"/>
        <w:ind w:left="480"/>
        <w:rPr>
          <w:rFonts w:hint="eastAsia" w:ascii="宋体" w:hAnsi="宋体" w:eastAsia="宋体" w:cs="宋体"/>
          <w:sz w:val="24"/>
          <w:szCs w:val="24"/>
        </w:rPr>
      </w:pPr>
      <w:r>
        <w:rPr>
          <w:rFonts w:hint="eastAsia" w:ascii="宋体" w:hAnsi="宋体" w:eastAsia="宋体" w:cs="宋体"/>
          <w:sz w:val="24"/>
          <w:szCs w:val="24"/>
        </w:rPr>
        <w:t>同合同包1。</w:t>
      </w:r>
    </w:p>
    <w:p w14:paraId="691C078D">
      <w:pPr>
        <w:pStyle w:val="64"/>
        <w:spacing w:line="360" w:lineRule="auto"/>
        <w:rPr>
          <w:rFonts w:hint="eastAsia" w:ascii="宋体" w:hAnsi="宋体" w:eastAsia="宋体" w:cs="宋体"/>
          <w:sz w:val="24"/>
          <w:szCs w:val="24"/>
        </w:rPr>
      </w:pPr>
      <w:r>
        <w:rPr>
          <w:rFonts w:hint="eastAsia" w:ascii="宋体" w:hAnsi="宋体" w:eastAsia="宋体" w:cs="宋体"/>
          <w:sz w:val="24"/>
          <w:szCs w:val="24"/>
        </w:rPr>
        <w:t>合同包5(5标段：马房子作业区退化林修复8、15、21、 25、38、44、 53、57小班674亩，修复方式为采伐+补植+修枝)落实政府采购政策需满足的资格要求如下:</w:t>
      </w:r>
    </w:p>
    <w:p w14:paraId="586DA246">
      <w:pPr>
        <w:pStyle w:val="64"/>
        <w:spacing w:line="360" w:lineRule="auto"/>
        <w:ind w:left="480"/>
        <w:rPr>
          <w:rFonts w:hint="eastAsia" w:ascii="宋体" w:hAnsi="宋体" w:eastAsia="宋体" w:cs="宋体"/>
          <w:sz w:val="24"/>
          <w:szCs w:val="24"/>
        </w:rPr>
      </w:pPr>
      <w:r>
        <w:rPr>
          <w:rFonts w:hint="eastAsia" w:ascii="宋体" w:hAnsi="宋体" w:eastAsia="宋体" w:cs="宋体"/>
          <w:sz w:val="24"/>
          <w:szCs w:val="24"/>
        </w:rPr>
        <w:t>同合同包1。</w:t>
      </w:r>
    </w:p>
    <w:p w14:paraId="4CEC19AA">
      <w:pPr>
        <w:pStyle w:val="64"/>
        <w:spacing w:line="360" w:lineRule="auto"/>
        <w:rPr>
          <w:rFonts w:hint="eastAsia" w:ascii="宋体" w:hAnsi="宋体" w:eastAsia="宋体" w:cs="宋体"/>
          <w:sz w:val="24"/>
          <w:szCs w:val="24"/>
        </w:rPr>
      </w:pPr>
      <w:r>
        <w:rPr>
          <w:rFonts w:hint="eastAsia" w:ascii="宋体" w:hAnsi="宋体" w:eastAsia="宋体" w:cs="宋体"/>
          <w:sz w:val="24"/>
          <w:szCs w:val="24"/>
        </w:rPr>
        <w:t>合同包6(6标段：马房子作业区退化林修复14、16、20、 24、27、36、41、47小班904亩，修复方式为采伐+补植+修枝)落实政府采购政策需满足的资格要求如下:</w:t>
      </w:r>
    </w:p>
    <w:p w14:paraId="3852F2ED">
      <w:pPr>
        <w:pStyle w:val="64"/>
        <w:spacing w:line="360" w:lineRule="auto"/>
        <w:ind w:left="480"/>
        <w:rPr>
          <w:rFonts w:hint="eastAsia" w:ascii="宋体" w:hAnsi="宋体" w:eastAsia="宋体" w:cs="宋体"/>
          <w:sz w:val="24"/>
          <w:szCs w:val="24"/>
        </w:rPr>
      </w:pPr>
      <w:r>
        <w:rPr>
          <w:rFonts w:hint="eastAsia" w:ascii="宋体" w:hAnsi="宋体" w:eastAsia="宋体" w:cs="宋体"/>
          <w:sz w:val="24"/>
          <w:szCs w:val="24"/>
        </w:rPr>
        <w:t>同合同包1。</w:t>
      </w:r>
    </w:p>
    <w:p w14:paraId="532BBE65">
      <w:pPr>
        <w:pStyle w:val="64"/>
        <w:spacing w:line="360" w:lineRule="auto"/>
        <w:rPr>
          <w:rFonts w:hint="eastAsia" w:ascii="宋体" w:hAnsi="宋体" w:eastAsia="宋体" w:cs="宋体"/>
          <w:sz w:val="24"/>
          <w:szCs w:val="24"/>
        </w:rPr>
      </w:pPr>
      <w:r>
        <w:rPr>
          <w:rFonts w:hint="eastAsia" w:ascii="宋体" w:hAnsi="宋体" w:eastAsia="宋体" w:cs="宋体"/>
          <w:sz w:val="24"/>
          <w:szCs w:val="24"/>
        </w:rPr>
        <w:t>合同包7(7标段：马房子作业区退化林修复2、10、18小班629亩，修复方式为采伐+补植+修枝)落实政府采购政策需满足的资格要求如下:</w:t>
      </w:r>
    </w:p>
    <w:p w14:paraId="759BCD7F">
      <w:pPr>
        <w:pStyle w:val="64"/>
        <w:spacing w:line="360" w:lineRule="auto"/>
        <w:ind w:left="480"/>
        <w:rPr>
          <w:rFonts w:hint="eastAsia" w:ascii="宋体" w:hAnsi="宋体" w:eastAsia="宋体" w:cs="宋体"/>
          <w:sz w:val="24"/>
          <w:szCs w:val="24"/>
        </w:rPr>
      </w:pPr>
      <w:r>
        <w:rPr>
          <w:rFonts w:hint="eastAsia" w:ascii="宋体" w:hAnsi="宋体" w:eastAsia="宋体" w:cs="宋体"/>
          <w:sz w:val="24"/>
          <w:szCs w:val="24"/>
        </w:rPr>
        <w:t>同合同包1。</w:t>
      </w:r>
    </w:p>
    <w:p w14:paraId="53B3C980">
      <w:pPr>
        <w:pStyle w:val="64"/>
        <w:spacing w:line="360" w:lineRule="auto"/>
        <w:rPr>
          <w:rFonts w:hint="eastAsia" w:ascii="宋体" w:hAnsi="宋体" w:eastAsia="宋体" w:cs="宋体"/>
          <w:sz w:val="24"/>
          <w:szCs w:val="24"/>
        </w:rPr>
      </w:pPr>
      <w:r>
        <w:rPr>
          <w:rFonts w:hint="eastAsia" w:ascii="宋体" w:hAnsi="宋体" w:eastAsia="宋体" w:cs="宋体"/>
          <w:sz w:val="24"/>
          <w:szCs w:val="24"/>
        </w:rPr>
        <w:t>合同包8(8标段：马房子作业区退化林修复1、5、6、9小班745亩，修复方式为采伐+补植+修枝)落实政府采购政策需满足的资格要求如下:</w:t>
      </w:r>
    </w:p>
    <w:p w14:paraId="3F9AAA57">
      <w:pPr>
        <w:pStyle w:val="64"/>
        <w:spacing w:line="360" w:lineRule="auto"/>
        <w:ind w:left="480"/>
        <w:rPr>
          <w:rFonts w:hint="eastAsia" w:ascii="宋体" w:hAnsi="宋体" w:eastAsia="宋体" w:cs="宋体"/>
          <w:sz w:val="24"/>
          <w:szCs w:val="24"/>
        </w:rPr>
      </w:pPr>
      <w:r>
        <w:rPr>
          <w:rFonts w:hint="eastAsia" w:ascii="宋体" w:hAnsi="宋体" w:eastAsia="宋体" w:cs="宋体"/>
          <w:sz w:val="24"/>
          <w:szCs w:val="24"/>
        </w:rPr>
        <w:t>同合同包1。</w:t>
      </w:r>
    </w:p>
    <w:p w14:paraId="3EC28899">
      <w:pPr>
        <w:pStyle w:val="64"/>
        <w:spacing w:line="360" w:lineRule="auto"/>
        <w:rPr>
          <w:rFonts w:hint="eastAsia" w:ascii="宋体" w:hAnsi="宋体" w:eastAsia="宋体" w:cs="宋体"/>
          <w:sz w:val="24"/>
          <w:szCs w:val="24"/>
        </w:rPr>
      </w:pPr>
      <w:r>
        <w:rPr>
          <w:rFonts w:hint="eastAsia" w:ascii="宋体" w:hAnsi="宋体" w:eastAsia="宋体" w:cs="宋体"/>
          <w:sz w:val="24"/>
          <w:szCs w:val="24"/>
        </w:rPr>
        <w:t>合同包9(9标段：马房子作业区退化林修复3、4、13、 22、29、31小班909亩，修复方式为采伐+补植+修枝)落实政府采购政策需满足的资格要求如下:</w:t>
      </w:r>
    </w:p>
    <w:p w14:paraId="37425E5A">
      <w:pPr>
        <w:pStyle w:val="64"/>
        <w:spacing w:line="360" w:lineRule="auto"/>
        <w:ind w:left="480"/>
        <w:rPr>
          <w:rFonts w:hint="eastAsia" w:ascii="宋体" w:hAnsi="宋体" w:eastAsia="宋体" w:cs="宋体"/>
          <w:sz w:val="24"/>
          <w:szCs w:val="24"/>
        </w:rPr>
      </w:pPr>
      <w:r>
        <w:rPr>
          <w:rFonts w:hint="eastAsia" w:ascii="宋体" w:hAnsi="宋体" w:eastAsia="宋体" w:cs="宋体"/>
          <w:sz w:val="24"/>
          <w:szCs w:val="24"/>
        </w:rPr>
        <w:t>同合同包1。</w:t>
      </w:r>
    </w:p>
    <w:p w14:paraId="6AE1119B">
      <w:pPr>
        <w:pStyle w:val="64"/>
        <w:spacing w:line="360" w:lineRule="auto"/>
        <w:rPr>
          <w:rFonts w:hint="eastAsia" w:ascii="宋体" w:hAnsi="宋体" w:eastAsia="宋体" w:cs="宋体"/>
          <w:sz w:val="24"/>
          <w:szCs w:val="24"/>
        </w:rPr>
      </w:pPr>
      <w:r>
        <w:rPr>
          <w:rFonts w:hint="eastAsia" w:ascii="宋体" w:hAnsi="宋体" w:eastAsia="宋体" w:cs="宋体"/>
          <w:sz w:val="24"/>
          <w:szCs w:val="24"/>
        </w:rPr>
        <w:t>合同包10(10标段：马房子作业区退化林修复7、11、12、30小班827亩，修复方式为采伐+补植+修枝)落实政府采购政策需满足的资格要求如下:</w:t>
      </w:r>
    </w:p>
    <w:p w14:paraId="31B115BF">
      <w:pPr>
        <w:pStyle w:val="64"/>
        <w:spacing w:line="360" w:lineRule="auto"/>
        <w:ind w:left="480"/>
        <w:rPr>
          <w:rFonts w:hint="eastAsia" w:ascii="宋体" w:hAnsi="宋体" w:eastAsia="宋体" w:cs="宋体"/>
          <w:sz w:val="24"/>
          <w:szCs w:val="24"/>
        </w:rPr>
      </w:pPr>
      <w:r>
        <w:rPr>
          <w:rFonts w:hint="eastAsia" w:ascii="宋体" w:hAnsi="宋体" w:eastAsia="宋体" w:cs="宋体"/>
          <w:sz w:val="24"/>
          <w:szCs w:val="24"/>
        </w:rPr>
        <w:t>同合同包1。</w:t>
      </w:r>
    </w:p>
    <w:p w14:paraId="3DBAF32A">
      <w:pPr>
        <w:pStyle w:val="64"/>
        <w:spacing w:line="360" w:lineRule="auto"/>
        <w:rPr>
          <w:rFonts w:hint="eastAsia" w:ascii="宋体" w:hAnsi="宋体" w:eastAsia="宋体" w:cs="宋体"/>
          <w:sz w:val="24"/>
          <w:szCs w:val="24"/>
        </w:rPr>
      </w:pPr>
      <w:r>
        <w:rPr>
          <w:rFonts w:hint="eastAsia" w:ascii="宋体" w:hAnsi="宋体" w:eastAsia="宋体" w:cs="宋体"/>
          <w:sz w:val="24"/>
          <w:szCs w:val="24"/>
        </w:rPr>
        <w:t>合同包11(11标段：马房子作业区退化林修复17、26、34、46、49、54、60小班819亩，修复方式为采伐+补植+修枝)落实政府采购政策需满足的资格要求如下:</w:t>
      </w:r>
    </w:p>
    <w:p w14:paraId="593BFA63">
      <w:pPr>
        <w:pStyle w:val="64"/>
        <w:spacing w:line="360" w:lineRule="auto"/>
        <w:ind w:left="480"/>
        <w:rPr>
          <w:rFonts w:hint="eastAsia" w:ascii="宋体" w:hAnsi="宋体" w:eastAsia="宋体" w:cs="宋体"/>
          <w:sz w:val="24"/>
          <w:szCs w:val="24"/>
        </w:rPr>
      </w:pPr>
      <w:r>
        <w:rPr>
          <w:rFonts w:hint="eastAsia" w:ascii="宋体" w:hAnsi="宋体" w:eastAsia="宋体" w:cs="宋体"/>
          <w:sz w:val="24"/>
          <w:szCs w:val="24"/>
        </w:rPr>
        <w:t>同合同包1。</w:t>
      </w:r>
    </w:p>
    <w:p w14:paraId="40029831">
      <w:pPr>
        <w:pStyle w:val="64"/>
        <w:spacing w:line="360" w:lineRule="auto"/>
        <w:rPr>
          <w:rFonts w:hint="eastAsia" w:ascii="宋体" w:hAnsi="宋体" w:eastAsia="宋体" w:cs="宋体"/>
          <w:sz w:val="24"/>
          <w:szCs w:val="24"/>
        </w:rPr>
      </w:pPr>
      <w:r>
        <w:rPr>
          <w:rFonts w:hint="eastAsia" w:ascii="宋体" w:hAnsi="宋体" w:eastAsia="宋体" w:cs="宋体"/>
          <w:sz w:val="24"/>
          <w:szCs w:val="24"/>
        </w:rPr>
        <w:t>合同包12(12标段：马房子作业区退化林修复45、48、61、77、82、86、97小班1055亩，修复方式为采伐+补植+修枝)落实政府采购政策需满足的资格要求如下:</w:t>
      </w:r>
    </w:p>
    <w:p w14:paraId="78D24817">
      <w:pPr>
        <w:pStyle w:val="64"/>
        <w:spacing w:line="360" w:lineRule="auto"/>
        <w:ind w:left="480"/>
        <w:rPr>
          <w:rFonts w:hint="eastAsia" w:ascii="宋体" w:hAnsi="宋体" w:eastAsia="宋体" w:cs="宋体"/>
          <w:sz w:val="24"/>
          <w:szCs w:val="24"/>
        </w:rPr>
      </w:pPr>
      <w:r>
        <w:rPr>
          <w:rFonts w:hint="eastAsia" w:ascii="宋体" w:hAnsi="宋体" w:eastAsia="宋体" w:cs="宋体"/>
          <w:sz w:val="24"/>
          <w:szCs w:val="24"/>
        </w:rPr>
        <w:t>同合同包1。</w:t>
      </w:r>
    </w:p>
    <w:p w14:paraId="7B061B2E">
      <w:pPr>
        <w:pStyle w:val="64"/>
        <w:spacing w:line="360" w:lineRule="auto"/>
        <w:rPr>
          <w:rFonts w:hint="eastAsia" w:ascii="宋体" w:hAnsi="宋体" w:eastAsia="宋体" w:cs="宋体"/>
          <w:sz w:val="24"/>
          <w:szCs w:val="24"/>
        </w:rPr>
      </w:pPr>
      <w:r>
        <w:rPr>
          <w:rFonts w:hint="eastAsia" w:ascii="宋体" w:hAnsi="宋体" w:eastAsia="宋体" w:cs="宋体"/>
          <w:sz w:val="24"/>
          <w:szCs w:val="24"/>
        </w:rPr>
        <w:t>合同包13(13标段：马房子作业区退化林修复33、35、51小班937亩，修复方式为采伐+补植+修枝)落实政府采购政策需满足的资格要求如下:</w:t>
      </w:r>
    </w:p>
    <w:p w14:paraId="1BA0EE4C">
      <w:pPr>
        <w:pStyle w:val="64"/>
        <w:spacing w:line="360" w:lineRule="auto"/>
        <w:ind w:left="480"/>
        <w:rPr>
          <w:rFonts w:hint="eastAsia" w:ascii="宋体" w:hAnsi="宋体" w:eastAsia="宋体" w:cs="宋体"/>
          <w:sz w:val="24"/>
          <w:szCs w:val="24"/>
        </w:rPr>
      </w:pPr>
      <w:r>
        <w:rPr>
          <w:rFonts w:hint="eastAsia" w:ascii="宋体" w:hAnsi="宋体" w:eastAsia="宋体" w:cs="宋体"/>
          <w:sz w:val="24"/>
          <w:szCs w:val="24"/>
        </w:rPr>
        <w:t>同合同包1。</w:t>
      </w:r>
    </w:p>
    <w:p w14:paraId="32E52E64">
      <w:pPr>
        <w:pStyle w:val="64"/>
        <w:spacing w:line="360" w:lineRule="auto"/>
        <w:rPr>
          <w:rFonts w:hint="eastAsia" w:ascii="宋体" w:hAnsi="宋体" w:eastAsia="宋体" w:cs="宋体"/>
          <w:sz w:val="24"/>
          <w:szCs w:val="24"/>
        </w:rPr>
      </w:pPr>
      <w:r>
        <w:rPr>
          <w:rFonts w:hint="eastAsia" w:ascii="宋体" w:hAnsi="宋体" w:eastAsia="宋体" w:cs="宋体"/>
          <w:sz w:val="24"/>
          <w:szCs w:val="24"/>
        </w:rPr>
        <w:t>合同包14(14标段：马房子作业区退化林修复73、87、99、100、110小班957亩，修复方式为采伐+补植+修枝)落实政府采购政策需满足的资格要求如下:</w:t>
      </w:r>
    </w:p>
    <w:p w14:paraId="229EA99D">
      <w:pPr>
        <w:pStyle w:val="64"/>
        <w:spacing w:line="360" w:lineRule="auto"/>
        <w:ind w:left="480"/>
        <w:rPr>
          <w:rFonts w:hint="eastAsia" w:ascii="宋体" w:hAnsi="宋体" w:eastAsia="宋体" w:cs="宋体"/>
          <w:sz w:val="24"/>
          <w:szCs w:val="24"/>
        </w:rPr>
      </w:pPr>
      <w:r>
        <w:rPr>
          <w:rFonts w:hint="eastAsia" w:ascii="宋体" w:hAnsi="宋体" w:eastAsia="宋体" w:cs="宋体"/>
          <w:sz w:val="24"/>
          <w:szCs w:val="24"/>
        </w:rPr>
        <w:t>同合同包1。</w:t>
      </w:r>
    </w:p>
    <w:p w14:paraId="54B60A6F">
      <w:pPr>
        <w:pStyle w:val="64"/>
        <w:spacing w:line="360" w:lineRule="auto"/>
        <w:rPr>
          <w:rFonts w:hint="eastAsia" w:ascii="宋体" w:hAnsi="宋体" w:eastAsia="宋体" w:cs="宋体"/>
          <w:sz w:val="24"/>
          <w:szCs w:val="24"/>
        </w:rPr>
      </w:pPr>
      <w:r>
        <w:rPr>
          <w:rFonts w:hint="eastAsia" w:ascii="宋体" w:hAnsi="宋体" w:eastAsia="宋体" w:cs="宋体"/>
          <w:sz w:val="24"/>
          <w:szCs w:val="24"/>
        </w:rPr>
        <w:t>合同包15(15标段：马房子作业区退化林修复64、67、68、 90、98、121小班987亩，修复方式为采伐+补植+修枝)落实政府采购政策需满足的资格要求如下:</w:t>
      </w:r>
    </w:p>
    <w:p w14:paraId="5BEC858A">
      <w:pPr>
        <w:pStyle w:val="64"/>
        <w:spacing w:line="360" w:lineRule="auto"/>
        <w:ind w:left="480"/>
        <w:rPr>
          <w:rFonts w:hint="eastAsia" w:ascii="宋体" w:hAnsi="宋体" w:eastAsia="宋体" w:cs="宋体"/>
          <w:sz w:val="24"/>
          <w:szCs w:val="24"/>
        </w:rPr>
      </w:pPr>
      <w:r>
        <w:rPr>
          <w:rFonts w:hint="eastAsia" w:ascii="宋体" w:hAnsi="宋体" w:eastAsia="宋体" w:cs="宋体"/>
          <w:sz w:val="24"/>
          <w:szCs w:val="24"/>
        </w:rPr>
        <w:t>同合同包1。</w:t>
      </w:r>
    </w:p>
    <w:p w14:paraId="6872F8E7">
      <w:pPr>
        <w:pStyle w:val="64"/>
        <w:spacing w:line="360" w:lineRule="auto"/>
        <w:rPr>
          <w:rFonts w:hint="eastAsia" w:ascii="宋体" w:hAnsi="宋体" w:eastAsia="宋体" w:cs="宋体"/>
          <w:sz w:val="24"/>
          <w:szCs w:val="24"/>
        </w:rPr>
      </w:pPr>
      <w:r>
        <w:rPr>
          <w:rFonts w:hint="eastAsia" w:ascii="宋体" w:hAnsi="宋体" w:eastAsia="宋体" w:cs="宋体"/>
          <w:sz w:val="24"/>
          <w:szCs w:val="24"/>
        </w:rPr>
        <w:t>合同包16(16标段：马房子作业区退化林修复65、69、95、 101、104、 106、112、 114、115、116、122小班983亩，修复方式为采伐+补植+修枝)落实政府采购政策需满足的资格要求如下:</w:t>
      </w:r>
    </w:p>
    <w:p w14:paraId="56EA6A07">
      <w:pPr>
        <w:pStyle w:val="64"/>
        <w:spacing w:line="360" w:lineRule="auto"/>
        <w:ind w:left="480"/>
        <w:rPr>
          <w:rFonts w:hint="eastAsia" w:ascii="宋体" w:hAnsi="宋体" w:eastAsia="宋体" w:cs="宋体"/>
          <w:sz w:val="24"/>
          <w:szCs w:val="24"/>
        </w:rPr>
      </w:pPr>
      <w:r>
        <w:rPr>
          <w:rFonts w:hint="eastAsia" w:ascii="宋体" w:hAnsi="宋体" w:eastAsia="宋体" w:cs="宋体"/>
          <w:sz w:val="24"/>
          <w:szCs w:val="24"/>
        </w:rPr>
        <w:t>同合同包1。</w:t>
      </w:r>
    </w:p>
    <w:p w14:paraId="7FA95DE3">
      <w:pPr>
        <w:pStyle w:val="64"/>
        <w:spacing w:line="360" w:lineRule="auto"/>
        <w:rPr>
          <w:rFonts w:hint="eastAsia" w:ascii="宋体" w:hAnsi="宋体" w:eastAsia="宋体" w:cs="宋体"/>
          <w:sz w:val="24"/>
          <w:szCs w:val="24"/>
        </w:rPr>
      </w:pPr>
      <w:r>
        <w:rPr>
          <w:rFonts w:hint="eastAsia" w:ascii="宋体" w:hAnsi="宋体" w:eastAsia="宋体" w:cs="宋体"/>
          <w:sz w:val="24"/>
          <w:szCs w:val="24"/>
        </w:rPr>
        <w:t>合同包17(17标段：马房子作业区退化林修复92、96、 102、103、 105、107、 108、109、 111、117、 118、119、 123、125、133、138小班928亩，修复方式为采伐+补植+修枝)落实政府采购政策需满足的资格要求如下:</w:t>
      </w:r>
    </w:p>
    <w:p w14:paraId="7006E988">
      <w:pPr>
        <w:pStyle w:val="64"/>
        <w:spacing w:line="360" w:lineRule="auto"/>
        <w:ind w:left="480"/>
        <w:rPr>
          <w:rFonts w:hint="eastAsia" w:ascii="宋体" w:hAnsi="宋体" w:eastAsia="宋体" w:cs="宋体"/>
          <w:sz w:val="24"/>
          <w:szCs w:val="24"/>
        </w:rPr>
      </w:pPr>
      <w:r>
        <w:rPr>
          <w:rFonts w:hint="eastAsia" w:ascii="宋体" w:hAnsi="宋体" w:eastAsia="宋体" w:cs="宋体"/>
          <w:sz w:val="24"/>
          <w:szCs w:val="24"/>
        </w:rPr>
        <w:t>同合同包1。</w:t>
      </w:r>
    </w:p>
    <w:p w14:paraId="0CFD8EDA">
      <w:pPr>
        <w:pStyle w:val="64"/>
        <w:spacing w:line="360" w:lineRule="auto"/>
        <w:rPr>
          <w:rFonts w:hint="eastAsia" w:ascii="宋体" w:hAnsi="宋体" w:eastAsia="宋体" w:cs="宋体"/>
          <w:sz w:val="24"/>
          <w:szCs w:val="24"/>
        </w:rPr>
      </w:pPr>
      <w:r>
        <w:rPr>
          <w:rFonts w:hint="eastAsia" w:ascii="宋体" w:hAnsi="宋体" w:eastAsia="宋体" w:cs="宋体"/>
          <w:sz w:val="24"/>
          <w:szCs w:val="24"/>
        </w:rPr>
        <w:t>合同包18(18标段：马房子作业区退化林修复113、120、 124、126、 127、128、129、130、 131、142、144小班852亩，修复方式为采伐+补植+修枝)落实政府采购政策需满足的资格要求如下:</w:t>
      </w:r>
    </w:p>
    <w:p w14:paraId="080E71A6">
      <w:pPr>
        <w:pStyle w:val="64"/>
        <w:spacing w:line="360" w:lineRule="auto"/>
        <w:ind w:left="480"/>
        <w:rPr>
          <w:rFonts w:hint="eastAsia" w:ascii="宋体" w:hAnsi="宋体" w:eastAsia="宋体" w:cs="宋体"/>
          <w:sz w:val="24"/>
          <w:szCs w:val="24"/>
        </w:rPr>
      </w:pPr>
      <w:r>
        <w:rPr>
          <w:rFonts w:hint="eastAsia" w:ascii="宋体" w:hAnsi="宋体" w:eastAsia="宋体" w:cs="宋体"/>
          <w:sz w:val="24"/>
          <w:szCs w:val="24"/>
        </w:rPr>
        <w:t>同合同包1。</w:t>
      </w:r>
    </w:p>
    <w:p w14:paraId="511A1115">
      <w:pPr>
        <w:pStyle w:val="64"/>
        <w:spacing w:line="360" w:lineRule="auto"/>
        <w:rPr>
          <w:rFonts w:hint="eastAsia" w:ascii="宋体" w:hAnsi="宋体" w:eastAsia="宋体" w:cs="宋体"/>
          <w:sz w:val="24"/>
          <w:szCs w:val="24"/>
        </w:rPr>
      </w:pPr>
      <w:r>
        <w:rPr>
          <w:rFonts w:hint="eastAsia" w:ascii="宋体" w:hAnsi="宋体" w:eastAsia="宋体" w:cs="宋体"/>
          <w:sz w:val="24"/>
          <w:szCs w:val="24"/>
        </w:rPr>
        <w:t>合同包19(19标段：马房子作业区退化林修复132、134、 135、136、 137、139、 140、141、143、145、146、147小班759亩，修复方式为采伐+补植+修枝)落实政府采购政策需满足的资格要求如下:</w:t>
      </w:r>
    </w:p>
    <w:p w14:paraId="12BE888D">
      <w:pPr>
        <w:pStyle w:val="64"/>
        <w:spacing w:line="360" w:lineRule="auto"/>
        <w:ind w:left="480"/>
        <w:rPr>
          <w:rFonts w:hint="eastAsia" w:ascii="宋体" w:hAnsi="宋体" w:eastAsia="宋体" w:cs="宋体"/>
          <w:sz w:val="24"/>
          <w:szCs w:val="24"/>
        </w:rPr>
      </w:pPr>
      <w:r>
        <w:rPr>
          <w:rFonts w:hint="eastAsia" w:ascii="宋体" w:hAnsi="宋体" w:eastAsia="宋体" w:cs="宋体"/>
          <w:sz w:val="24"/>
          <w:szCs w:val="24"/>
        </w:rPr>
        <w:t>同合同包1。</w:t>
      </w:r>
    </w:p>
    <w:p w14:paraId="4F8293F2">
      <w:pPr>
        <w:pStyle w:val="64"/>
        <w:spacing w:line="360" w:lineRule="auto"/>
        <w:rPr>
          <w:rFonts w:hint="eastAsia" w:ascii="宋体" w:hAnsi="宋体" w:eastAsia="宋体" w:cs="宋体"/>
          <w:sz w:val="24"/>
          <w:szCs w:val="24"/>
        </w:rPr>
      </w:pPr>
      <w:r>
        <w:rPr>
          <w:rFonts w:hint="eastAsia" w:ascii="宋体" w:hAnsi="宋体" w:eastAsia="宋体" w:cs="宋体"/>
          <w:sz w:val="24"/>
          <w:szCs w:val="24"/>
        </w:rPr>
        <w:t>合同包20(20标段：马房子作业区退化林修复148、149、150、151、152、153、154、155、156、159小班462亩，修复方式为采伐+补植+修枝)落实政府采购政策需满足的资格要求如下:</w:t>
      </w:r>
    </w:p>
    <w:p w14:paraId="52B33E54">
      <w:pPr>
        <w:pStyle w:val="64"/>
        <w:spacing w:line="360" w:lineRule="auto"/>
        <w:ind w:left="480"/>
        <w:rPr>
          <w:rFonts w:hint="eastAsia" w:ascii="宋体" w:hAnsi="宋体" w:eastAsia="宋体" w:cs="宋体"/>
          <w:sz w:val="24"/>
          <w:szCs w:val="24"/>
        </w:rPr>
      </w:pPr>
      <w:r>
        <w:rPr>
          <w:rFonts w:hint="eastAsia" w:ascii="宋体" w:hAnsi="宋体" w:eastAsia="宋体" w:cs="宋体"/>
          <w:sz w:val="24"/>
          <w:szCs w:val="24"/>
        </w:rPr>
        <w:t>同合同包1。</w:t>
      </w:r>
    </w:p>
    <w:p w14:paraId="6744C825">
      <w:pPr>
        <w:pStyle w:val="64"/>
        <w:spacing w:line="360" w:lineRule="auto"/>
        <w:rPr>
          <w:rFonts w:hint="eastAsia" w:ascii="宋体" w:hAnsi="宋体" w:eastAsia="宋体" w:cs="宋体"/>
          <w:sz w:val="24"/>
          <w:szCs w:val="24"/>
        </w:rPr>
      </w:pPr>
      <w:r>
        <w:rPr>
          <w:rFonts w:hint="eastAsia" w:ascii="宋体" w:hAnsi="宋体" w:eastAsia="宋体" w:cs="宋体"/>
          <w:sz w:val="24"/>
          <w:szCs w:val="24"/>
        </w:rPr>
        <w:t>合同包21(21标段：马房子作业区退化林修复157、158、 160、161、 162、163、164小班852亩，修复方式为采伐+补植+修枝)落实政府采购政策需满足的资格要求如下:</w:t>
      </w:r>
    </w:p>
    <w:p w14:paraId="7B012AFD">
      <w:pPr>
        <w:pStyle w:val="64"/>
        <w:spacing w:line="360" w:lineRule="auto"/>
        <w:ind w:left="480"/>
        <w:rPr>
          <w:rFonts w:hint="eastAsia" w:ascii="宋体" w:hAnsi="宋体" w:eastAsia="宋体" w:cs="宋体"/>
          <w:sz w:val="24"/>
          <w:szCs w:val="24"/>
        </w:rPr>
      </w:pPr>
      <w:r>
        <w:rPr>
          <w:rFonts w:hint="eastAsia" w:ascii="宋体" w:hAnsi="宋体" w:eastAsia="宋体" w:cs="宋体"/>
          <w:sz w:val="24"/>
          <w:szCs w:val="24"/>
        </w:rPr>
        <w:t>同合同包1。</w:t>
      </w:r>
    </w:p>
    <w:p w14:paraId="4D6A449C">
      <w:pPr>
        <w:pStyle w:val="64"/>
        <w:spacing w:line="360" w:lineRule="auto"/>
        <w:rPr>
          <w:rFonts w:hint="eastAsia" w:ascii="宋体" w:hAnsi="宋体" w:eastAsia="宋体" w:cs="宋体"/>
          <w:sz w:val="24"/>
          <w:szCs w:val="24"/>
        </w:rPr>
      </w:pPr>
      <w:r>
        <w:rPr>
          <w:rFonts w:hint="eastAsia" w:ascii="宋体" w:hAnsi="宋体" w:eastAsia="宋体" w:cs="宋体"/>
          <w:sz w:val="24"/>
          <w:szCs w:val="24"/>
        </w:rPr>
        <w:t>合同包22(22标段：两河作业区退化林修复1、2、4、5、 6、7、8、9、12小班649亩，修复方式为采伐+补植+修枝)落实政府采购政策需满足的资格要求如下:</w:t>
      </w:r>
    </w:p>
    <w:p w14:paraId="1D106F61">
      <w:pPr>
        <w:pStyle w:val="64"/>
        <w:spacing w:line="360" w:lineRule="auto"/>
        <w:ind w:left="480"/>
        <w:rPr>
          <w:rFonts w:hint="eastAsia" w:ascii="宋体" w:hAnsi="宋体" w:eastAsia="宋体" w:cs="宋体"/>
          <w:sz w:val="24"/>
          <w:szCs w:val="24"/>
        </w:rPr>
      </w:pPr>
      <w:r>
        <w:rPr>
          <w:rFonts w:hint="eastAsia" w:ascii="宋体" w:hAnsi="宋体" w:eastAsia="宋体" w:cs="宋体"/>
          <w:sz w:val="24"/>
          <w:szCs w:val="24"/>
        </w:rPr>
        <w:t>同合同包1。</w:t>
      </w:r>
    </w:p>
    <w:p w14:paraId="61C15C9A">
      <w:pPr>
        <w:pStyle w:val="64"/>
        <w:spacing w:line="360" w:lineRule="auto"/>
        <w:rPr>
          <w:rFonts w:hint="eastAsia" w:ascii="宋体" w:hAnsi="宋体" w:eastAsia="宋体" w:cs="宋体"/>
          <w:sz w:val="24"/>
          <w:szCs w:val="24"/>
        </w:rPr>
      </w:pPr>
      <w:r>
        <w:rPr>
          <w:rFonts w:hint="eastAsia" w:ascii="宋体" w:hAnsi="宋体" w:eastAsia="宋体" w:cs="宋体"/>
          <w:sz w:val="24"/>
          <w:szCs w:val="24"/>
        </w:rPr>
        <w:t>合同包23(23标段：两河作业区退化林修复3、11、18小班610亩，修复方式为采伐+补植+修枝)落实政府采购政策需满足的资格要求如下:</w:t>
      </w:r>
    </w:p>
    <w:p w14:paraId="1C3BAA2C">
      <w:pPr>
        <w:pStyle w:val="64"/>
        <w:spacing w:line="360" w:lineRule="auto"/>
        <w:ind w:left="480"/>
        <w:rPr>
          <w:rFonts w:hint="eastAsia" w:ascii="宋体" w:hAnsi="宋体" w:eastAsia="宋体" w:cs="宋体"/>
          <w:sz w:val="24"/>
          <w:szCs w:val="24"/>
        </w:rPr>
      </w:pPr>
      <w:r>
        <w:rPr>
          <w:rFonts w:hint="eastAsia" w:ascii="宋体" w:hAnsi="宋体" w:eastAsia="宋体" w:cs="宋体"/>
          <w:sz w:val="24"/>
          <w:szCs w:val="24"/>
        </w:rPr>
        <w:t>同合同包1。</w:t>
      </w:r>
    </w:p>
    <w:p w14:paraId="16BAB27B">
      <w:pPr>
        <w:pStyle w:val="64"/>
        <w:spacing w:line="360" w:lineRule="auto"/>
        <w:rPr>
          <w:rFonts w:hint="eastAsia" w:ascii="宋体" w:hAnsi="宋体" w:eastAsia="宋体" w:cs="宋体"/>
          <w:sz w:val="24"/>
          <w:szCs w:val="24"/>
        </w:rPr>
      </w:pPr>
      <w:r>
        <w:rPr>
          <w:rFonts w:hint="eastAsia" w:ascii="宋体" w:hAnsi="宋体" w:eastAsia="宋体" w:cs="宋体"/>
          <w:sz w:val="24"/>
          <w:szCs w:val="24"/>
        </w:rPr>
        <w:t>合同包24(24标段：两河作业区退化林修复10、13、14、 16、17、19小班1001亩，修复方式为采伐+补植+修枝)落实政府采购政策需满足的资格要求如下:</w:t>
      </w:r>
    </w:p>
    <w:p w14:paraId="0F9089A4">
      <w:pPr>
        <w:pStyle w:val="64"/>
        <w:spacing w:line="360" w:lineRule="auto"/>
        <w:ind w:left="480"/>
        <w:rPr>
          <w:rFonts w:hint="eastAsia" w:ascii="宋体" w:hAnsi="宋体" w:eastAsia="宋体" w:cs="宋体"/>
          <w:sz w:val="24"/>
          <w:szCs w:val="24"/>
        </w:rPr>
      </w:pPr>
      <w:r>
        <w:rPr>
          <w:rFonts w:hint="eastAsia" w:ascii="宋体" w:hAnsi="宋体" w:eastAsia="宋体" w:cs="宋体"/>
          <w:sz w:val="24"/>
          <w:szCs w:val="24"/>
        </w:rPr>
        <w:t>同合同包1。</w:t>
      </w:r>
    </w:p>
    <w:p w14:paraId="0BDF7B26">
      <w:pPr>
        <w:pStyle w:val="64"/>
        <w:spacing w:line="360" w:lineRule="auto"/>
        <w:rPr>
          <w:rFonts w:hint="eastAsia" w:ascii="宋体" w:hAnsi="宋体" w:eastAsia="宋体" w:cs="宋体"/>
          <w:sz w:val="24"/>
          <w:szCs w:val="24"/>
        </w:rPr>
      </w:pPr>
      <w:r>
        <w:rPr>
          <w:rFonts w:hint="eastAsia" w:ascii="宋体" w:hAnsi="宋体" w:eastAsia="宋体" w:cs="宋体"/>
          <w:sz w:val="24"/>
          <w:szCs w:val="24"/>
        </w:rPr>
        <w:t>合同包25(25标段：两河作业区退化林修复15、20小班600亩，修复方式为采伐+补植+修枝)落实政府采购政策需满足的资格要求如下:</w:t>
      </w:r>
    </w:p>
    <w:p w14:paraId="7CE84A07">
      <w:pPr>
        <w:pStyle w:val="64"/>
        <w:spacing w:line="360" w:lineRule="auto"/>
        <w:ind w:left="480"/>
        <w:rPr>
          <w:rFonts w:hint="eastAsia" w:ascii="宋体" w:hAnsi="宋体" w:eastAsia="宋体" w:cs="宋体"/>
          <w:sz w:val="24"/>
          <w:szCs w:val="24"/>
        </w:rPr>
      </w:pPr>
      <w:r>
        <w:rPr>
          <w:rFonts w:hint="eastAsia" w:ascii="宋体" w:hAnsi="宋体" w:eastAsia="宋体" w:cs="宋体"/>
          <w:sz w:val="24"/>
          <w:szCs w:val="24"/>
        </w:rPr>
        <w:t>同合同包1。</w:t>
      </w:r>
    </w:p>
    <w:p w14:paraId="16C85773">
      <w:pPr>
        <w:pStyle w:val="64"/>
        <w:spacing w:line="360" w:lineRule="auto"/>
        <w:rPr>
          <w:rFonts w:hint="eastAsia" w:ascii="宋体" w:hAnsi="宋体" w:eastAsia="宋体" w:cs="宋体"/>
          <w:sz w:val="24"/>
          <w:szCs w:val="24"/>
        </w:rPr>
      </w:pPr>
      <w:r>
        <w:rPr>
          <w:rFonts w:hint="eastAsia" w:ascii="宋体" w:hAnsi="宋体" w:eastAsia="宋体" w:cs="宋体"/>
          <w:sz w:val="24"/>
          <w:szCs w:val="24"/>
        </w:rPr>
        <w:t>3.本项目的特定资格要求：</w:t>
      </w:r>
    </w:p>
    <w:p w14:paraId="3488FDA0">
      <w:pPr>
        <w:pStyle w:val="64"/>
        <w:spacing w:line="360" w:lineRule="auto"/>
        <w:rPr>
          <w:rFonts w:hint="eastAsia" w:ascii="宋体" w:hAnsi="宋体" w:eastAsia="宋体" w:cs="宋体"/>
          <w:sz w:val="24"/>
          <w:szCs w:val="24"/>
        </w:rPr>
      </w:pPr>
      <w:r>
        <w:rPr>
          <w:rFonts w:hint="eastAsia" w:ascii="宋体" w:hAnsi="宋体" w:eastAsia="宋体" w:cs="宋体"/>
          <w:sz w:val="24"/>
          <w:szCs w:val="24"/>
        </w:rPr>
        <w:t>合同包1(1标段：马房子作业区退化林修复52、56、59、 62、63、72、 75、76、79、 81、84、91、93 小班763亩，修复方式为采伐+补植+修枝)特定资格要求如下:</w:t>
      </w:r>
    </w:p>
    <w:p w14:paraId="7EFFAE8D">
      <w:pPr>
        <w:pStyle w:val="64"/>
        <w:spacing w:line="360" w:lineRule="auto"/>
        <w:ind w:left="480"/>
        <w:rPr>
          <w:rFonts w:hint="eastAsia" w:ascii="宋体" w:hAnsi="宋体" w:eastAsia="宋体" w:cs="宋体"/>
          <w:sz w:val="24"/>
          <w:szCs w:val="24"/>
        </w:rPr>
      </w:pPr>
      <w:r>
        <w:rPr>
          <w:rFonts w:hint="eastAsia" w:ascii="宋体" w:hAnsi="宋体" w:eastAsia="宋体" w:cs="宋体"/>
          <w:sz w:val="24"/>
          <w:szCs w:val="24"/>
        </w:rPr>
        <w:t>（1）提供合格有效的法人或者其他组织的营业执照等证明文件，自然人的身份证明；</w:t>
      </w:r>
      <w:r>
        <w:rPr>
          <w:rFonts w:hint="eastAsia" w:ascii="宋体" w:hAnsi="宋体" w:eastAsia="宋体" w:cs="宋体"/>
          <w:sz w:val="24"/>
          <w:szCs w:val="24"/>
        </w:rPr>
        <w:br w:type="textWrapping"/>
      </w:r>
      <w:r>
        <w:rPr>
          <w:rFonts w:hint="eastAsia" w:ascii="宋体" w:hAnsi="宋体" w:eastAsia="宋体" w:cs="宋体"/>
          <w:sz w:val="24"/>
          <w:szCs w:val="24"/>
        </w:rPr>
        <w:t>（2）提供法定代表人授权书（附法定代表人、被授权人身份证复印件，法定代表人直接参加投标，须提供法定代表人身份证明及身份证复印件）；</w:t>
      </w:r>
      <w:r>
        <w:rPr>
          <w:rFonts w:hint="eastAsia" w:ascii="宋体" w:hAnsi="宋体" w:eastAsia="宋体" w:cs="宋体"/>
          <w:sz w:val="24"/>
          <w:szCs w:val="24"/>
        </w:rPr>
        <w:br w:type="textWrapping"/>
      </w:r>
      <w:r>
        <w:rPr>
          <w:rFonts w:hint="eastAsia" w:ascii="宋体" w:hAnsi="宋体" w:eastAsia="宋体" w:cs="宋体"/>
          <w:sz w:val="24"/>
          <w:szCs w:val="24"/>
        </w:rPr>
        <w:t>（3）提供2024年度的财务审计报告（成立时间至提交投标文件截止时间不足一年的可提供成立后任意时段的资产负债表）或开标时间前六个月内银行出具的资信证明；</w:t>
      </w:r>
      <w:r>
        <w:rPr>
          <w:rFonts w:hint="eastAsia" w:ascii="宋体" w:hAnsi="宋体" w:eastAsia="宋体" w:cs="宋体"/>
          <w:sz w:val="24"/>
          <w:szCs w:val="24"/>
        </w:rPr>
        <w:br w:type="textWrapping"/>
      </w:r>
      <w:r>
        <w:rPr>
          <w:rFonts w:hint="eastAsia" w:ascii="宋体" w:hAnsi="宋体" w:eastAsia="宋体" w:cs="宋体"/>
          <w:sz w:val="24"/>
          <w:szCs w:val="24"/>
        </w:rPr>
        <w:t>（4）税收缴纳证明：提供投标截止日前近一年内任意一个月的纳税证明或完税证明（任意税种），依法免税的单位应提供相关证明材料；</w:t>
      </w:r>
      <w:r>
        <w:rPr>
          <w:rFonts w:hint="eastAsia" w:ascii="宋体" w:hAnsi="宋体" w:eastAsia="宋体" w:cs="宋体"/>
          <w:sz w:val="24"/>
          <w:szCs w:val="24"/>
        </w:rPr>
        <w:br w:type="textWrapping"/>
      </w:r>
      <w:r>
        <w:rPr>
          <w:rFonts w:hint="eastAsia" w:ascii="宋体" w:hAnsi="宋体" w:eastAsia="宋体" w:cs="宋体"/>
          <w:sz w:val="24"/>
          <w:szCs w:val="24"/>
        </w:rPr>
        <w:t>（5）社会保障资金缴纳证明：提供投标截止日前近一年内任意一个月的社会保障资金缴存单据或社保机构开具的社会保险参保缴费情况证明，依法不需要缴纳社会保障资金的单位应提供相关证明材料；</w:t>
      </w:r>
      <w:r>
        <w:rPr>
          <w:rFonts w:hint="eastAsia" w:ascii="宋体" w:hAnsi="宋体" w:eastAsia="宋体" w:cs="宋体"/>
          <w:sz w:val="24"/>
          <w:szCs w:val="24"/>
        </w:rPr>
        <w:br w:type="textWrapping"/>
      </w:r>
      <w:r>
        <w:rPr>
          <w:rFonts w:hint="eastAsia" w:ascii="宋体" w:hAnsi="宋体" w:eastAsia="宋体" w:cs="宋体"/>
          <w:sz w:val="24"/>
          <w:szCs w:val="24"/>
        </w:rPr>
        <w:t>（6）提供具有履行本合同所必需的设备和专业技术能力的说明及承诺书；</w:t>
      </w:r>
      <w:r>
        <w:rPr>
          <w:rFonts w:hint="eastAsia" w:ascii="宋体" w:hAnsi="宋体" w:eastAsia="宋体" w:cs="宋体"/>
          <w:sz w:val="24"/>
          <w:szCs w:val="24"/>
        </w:rPr>
        <w:br w:type="textWrapping"/>
      </w:r>
      <w:r>
        <w:rPr>
          <w:rFonts w:hint="eastAsia" w:ascii="宋体" w:hAnsi="宋体" w:eastAsia="宋体" w:cs="宋体"/>
          <w:sz w:val="24"/>
          <w:szCs w:val="24"/>
        </w:rPr>
        <w:t>（7）供应商通过“信用中国”网站(www.creditchina.gov.cn)、中国政府采购网(www.ccgp.gov.cn)等查询相关主体信用记录；</w:t>
      </w:r>
      <w:r>
        <w:rPr>
          <w:rFonts w:hint="eastAsia" w:ascii="宋体" w:hAnsi="宋体" w:eastAsia="宋体" w:cs="宋体"/>
          <w:sz w:val="24"/>
          <w:szCs w:val="24"/>
        </w:rPr>
        <w:br w:type="textWrapping"/>
      </w:r>
      <w:r>
        <w:rPr>
          <w:rFonts w:hint="eastAsia" w:ascii="宋体" w:hAnsi="宋体" w:eastAsia="宋体" w:cs="宋体"/>
          <w:sz w:val="24"/>
          <w:szCs w:val="24"/>
        </w:rPr>
        <w:t>（8）参加政府采购活动前3年内，在经营活动中没有重大违法记录的书面声明；</w:t>
      </w:r>
      <w:r>
        <w:rPr>
          <w:rFonts w:hint="eastAsia" w:ascii="宋体" w:hAnsi="宋体" w:eastAsia="宋体" w:cs="宋体"/>
          <w:sz w:val="24"/>
          <w:szCs w:val="24"/>
        </w:rPr>
        <w:br w:type="textWrapping"/>
      </w:r>
      <w:r>
        <w:rPr>
          <w:rFonts w:hint="eastAsia" w:ascii="宋体" w:hAnsi="宋体" w:eastAsia="宋体" w:cs="宋体"/>
          <w:sz w:val="24"/>
          <w:szCs w:val="24"/>
        </w:rPr>
        <w:t>（9）提供中小企业声明函；</w:t>
      </w:r>
      <w:r>
        <w:rPr>
          <w:rFonts w:hint="eastAsia" w:ascii="宋体" w:hAnsi="宋体" w:eastAsia="宋体" w:cs="宋体"/>
          <w:sz w:val="24"/>
          <w:szCs w:val="24"/>
        </w:rPr>
        <w:br w:type="textWrapping"/>
      </w:r>
      <w:r>
        <w:rPr>
          <w:rFonts w:hint="eastAsia" w:ascii="宋体" w:hAnsi="宋体" w:eastAsia="宋体" w:cs="宋体"/>
          <w:sz w:val="24"/>
          <w:szCs w:val="24"/>
        </w:rPr>
        <w:t>（10）本项目不接受联合体投标（提供承诺书）。</w:t>
      </w:r>
    </w:p>
    <w:p w14:paraId="6401D37C">
      <w:pPr>
        <w:pStyle w:val="64"/>
        <w:spacing w:line="360" w:lineRule="auto"/>
        <w:rPr>
          <w:rFonts w:hint="eastAsia" w:ascii="宋体" w:hAnsi="宋体" w:eastAsia="宋体" w:cs="宋体"/>
          <w:sz w:val="24"/>
          <w:szCs w:val="24"/>
        </w:rPr>
      </w:pPr>
      <w:r>
        <w:rPr>
          <w:rFonts w:hint="eastAsia" w:ascii="宋体" w:hAnsi="宋体" w:eastAsia="宋体" w:cs="宋体"/>
          <w:sz w:val="24"/>
          <w:szCs w:val="24"/>
        </w:rPr>
        <w:t>合同包2(2标段：马房子作业区退化林修复55、58、66、 70、74、78、 80、83、85、 88、89、94小班776亩，修复方式为采伐+补植+修枝)特定资格要求如下:</w:t>
      </w:r>
    </w:p>
    <w:p w14:paraId="3FC75860">
      <w:pPr>
        <w:pStyle w:val="64"/>
        <w:spacing w:line="360" w:lineRule="auto"/>
        <w:ind w:left="480"/>
        <w:rPr>
          <w:rFonts w:hint="eastAsia" w:ascii="宋体" w:hAnsi="宋体" w:eastAsia="宋体" w:cs="宋体"/>
          <w:sz w:val="24"/>
          <w:szCs w:val="24"/>
        </w:rPr>
      </w:pPr>
      <w:r>
        <w:rPr>
          <w:rFonts w:hint="eastAsia" w:ascii="宋体" w:hAnsi="宋体" w:eastAsia="宋体" w:cs="宋体"/>
          <w:sz w:val="24"/>
          <w:szCs w:val="24"/>
        </w:rPr>
        <w:t>同合同包1。</w:t>
      </w:r>
    </w:p>
    <w:p w14:paraId="0455BBCB">
      <w:pPr>
        <w:pStyle w:val="64"/>
        <w:spacing w:line="360" w:lineRule="auto"/>
        <w:rPr>
          <w:rFonts w:hint="eastAsia" w:ascii="宋体" w:hAnsi="宋体" w:eastAsia="宋体" w:cs="宋体"/>
          <w:sz w:val="24"/>
          <w:szCs w:val="24"/>
        </w:rPr>
      </w:pPr>
      <w:r>
        <w:rPr>
          <w:rFonts w:hint="eastAsia" w:ascii="宋体" w:hAnsi="宋体" w:eastAsia="宋体" w:cs="宋体"/>
          <w:sz w:val="24"/>
          <w:szCs w:val="24"/>
        </w:rPr>
        <w:t>合同包3(3标段：马房子作业区退化林修复39、40、43、 50、71小班614亩，修复方式为采伐+补植+修枝)特定资格要求如下:</w:t>
      </w:r>
    </w:p>
    <w:p w14:paraId="3085A56F">
      <w:pPr>
        <w:pStyle w:val="64"/>
        <w:spacing w:line="360" w:lineRule="auto"/>
        <w:ind w:left="480"/>
        <w:rPr>
          <w:rFonts w:hint="eastAsia" w:ascii="宋体" w:hAnsi="宋体" w:eastAsia="宋体" w:cs="宋体"/>
          <w:sz w:val="24"/>
          <w:szCs w:val="24"/>
        </w:rPr>
      </w:pPr>
      <w:r>
        <w:rPr>
          <w:rFonts w:hint="eastAsia" w:ascii="宋体" w:hAnsi="宋体" w:eastAsia="宋体" w:cs="宋体"/>
          <w:sz w:val="24"/>
          <w:szCs w:val="24"/>
        </w:rPr>
        <w:t>同合同包1。</w:t>
      </w:r>
    </w:p>
    <w:p w14:paraId="5EB3CE67">
      <w:pPr>
        <w:pStyle w:val="64"/>
        <w:spacing w:line="360" w:lineRule="auto"/>
        <w:rPr>
          <w:rFonts w:hint="eastAsia" w:ascii="宋体" w:hAnsi="宋体" w:eastAsia="宋体" w:cs="宋体"/>
          <w:sz w:val="24"/>
          <w:szCs w:val="24"/>
        </w:rPr>
      </w:pPr>
      <w:r>
        <w:rPr>
          <w:rFonts w:hint="eastAsia" w:ascii="宋体" w:hAnsi="宋体" w:eastAsia="宋体" w:cs="宋体"/>
          <w:sz w:val="24"/>
          <w:szCs w:val="24"/>
        </w:rPr>
        <w:t>合同包4(4标段：马房子作业区退化林修复19、23、28、 32、37、42小班708亩，修复方式为采伐+补植+ 修枝)特定资格要求如下:</w:t>
      </w:r>
    </w:p>
    <w:p w14:paraId="6D94CBD8">
      <w:pPr>
        <w:pStyle w:val="64"/>
        <w:spacing w:line="360" w:lineRule="auto"/>
        <w:ind w:left="480"/>
        <w:rPr>
          <w:rFonts w:hint="eastAsia" w:ascii="宋体" w:hAnsi="宋体" w:eastAsia="宋体" w:cs="宋体"/>
          <w:sz w:val="24"/>
          <w:szCs w:val="24"/>
        </w:rPr>
      </w:pPr>
      <w:r>
        <w:rPr>
          <w:rFonts w:hint="eastAsia" w:ascii="宋体" w:hAnsi="宋体" w:eastAsia="宋体" w:cs="宋体"/>
          <w:sz w:val="24"/>
          <w:szCs w:val="24"/>
        </w:rPr>
        <w:t>同合同包1。</w:t>
      </w:r>
    </w:p>
    <w:p w14:paraId="7A932A11">
      <w:pPr>
        <w:pStyle w:val="64"/>
        <w:spacing w:line="360" w:lineRule="auto"/>
        <w:rPr>
          <w:rFonts w:hint="eastAsia" w:ascii="宋体" w:hAnsi="宋体" w:eastAsia="宋体" w:cs="宋体"/>
          <w:sz w:val="24"/>
          <w:szCs w:val="24"/>
        </w:rPr>
      </w:pPr>
      <w:r>
        <w:rPr>
          <w:rFonts w:hint="eastAsia" w:ascii="宋体" w:hAnsi="宋体" w:eastAsia="宋体" w:cs="宋体"/>
          <w:sz w:val="24"/>
          <w:szCs w:val="24"/>
        </w:rPr>
        <w:t>合同包5(5标段：马房子作业区退化林修复8、15、21、 25、38、44、 53、57小班674亩，修复方式为采伐+补植+修枝)特定资格要求如下:</w:t>
      </w:r>
    </w:p>
    <w:p w14:paraId="6A613E17">
      <w:pPr>
        <w:pStyle w:val="64"/>
        <w:spacing w:line="360" w:lineRule="auto"/>
        <w:ind w:left="480"/>
        <w:rPr>
          <w:rFonts w:hint="eastAsia" w:ascii="宋体" w:hAnsi="宋体" w:eastAsia="宋体" w:cs="宋体"/>
          <w:sz w:val="24"/>
          <w:szCs w:val="24"/>
        </w:rPr>
      </w:pPr>
      <w:r>
        <w:rPr>
          <w:rFonts w:hint="eastAsia" w:ascii="宋体" w:hAnsi="宋体" w:eastAsia="宋体" w:cs="宋体"/>
          <w:sz w:val="24"/>
          <w:szCs w:val="24"/>
        </w:rPr>
        <w:t>同合同包1。</w:t>
      </w:r>
    </w:p>
    <w:p w14:paraId="75974C92">
      <w:pPr>
        <w:pStyle w:val="64"/>
        <w:spacing w:line="360" w:lineRule="auto"/>
        <w:rPr>
          <w:rFonts w:hint="eastAsia" w:ascii="宋体" w:hAnsi="宋体" w:eastAsia="宋体" w:cs="宋体"/>
          <w:sz w:val="24"/>
          <w:szCs w:val="24"/>
        </w:rPr>
      </w:pPr>
      <w:r>
        <w:rPr>
          <w:rFonts w:hint="eastAsia" w:ascii="宋体" w:hAnsi="宋体" w:eastAsia="宋体" w:cs="宋体"/>
          <w:sz w:val="24"/>
          <w:szCs w:val="24"/>
        </w:rPr>
        <w:t>合同包6(6标段：马房子作业区退化林修复14、16、20、 24、27、36、41、47小班904亩，修复方式为采伐+补植+修枝)特定资格要求如下:</w:t>
      </w:r>
    </w:p>
    <w:p w14:paraId="0EF67E2E">
      <w:pPr>
        <w:pStyle w:val="64"/>
        <w:spacing w:line="360" w:lineRule="auto"/>
        <w:ind w:left="480"/>
        <w:rPr>
          <w:rFonts w:hint="eastAsia" w:ascii="宋体" w:hAnsi="宋体" w:eastAsia="宋体" w:cs="宋体"/>
          <w:sz w:val="24"/>
          <w:szCs w:val="24"/>
        </w:rPr>
      </w:pPr>
      <w:r>
        <w:rPr>
          <w:rFonts w:hint="eastAsia" w:ascii="宋体" w:hAnsi="宋体" w:eastAsia="宋体" w:cs="宋体"/>
          <w:sz w:val="24"/>
          <w:szCs w:val="24"/>
        </w:rPr>
        <w:t>同合同包1。</w:t>
      </w:r>
    </w:p>
    <w:p w14:paraId="1A24C81E">
      <w:pPr>
        <w:pStyle w:val="64"/>
        <w:spacing w:line="360" w:lineRule="auto"/>
        <w:rPr>
          <w:rFonts w:hint="eastAsia" w:ascii="宋体" w:hAnsi="宋体" w:eastAsia="宋体" w:cs="宋体"/>
          <w:sz w:val="24"/>
          <w:szCs w:val="24"/>
        </w:rPr>
      </w:pPr>
      <w:r>
        <w:rPr>
          <w:rFonts w:hint="eastAsia" w:ascii="宋体" w:hAnsi="宋体" w:eastAsia="宋体" w:cs="宋体"/>
          <w:sz w:val="24"/>
          <w:szCs w:val="24"/>
        </w:rPr>
        <w:t>合同包7(7标段：马房子作业区退化林修复2、10、18小班629亩，修复方式为采伐+补植+修枝)特定资格要求如下:</w:t>
      </w:r>
    </w:p>
    <w:p w14:paraId="666A7305">
      <w:pPr>
        <w:pStyle w:val="64"/>
        <w:spacing w:line="360" w:lineRule="auto"/>
        <w:ind w:left="480"/>
        <w:rPr>
          <w:rFonts w:hint="eastAsia" w:ascii="宋体" w:hAnsi="宋体" w:eastAsia="宋体" w:cs="宋体"/>
          <w:sz w:val="24"/>
          <w:szCs w:val="24"/>
        </w:rPr>
      </w:pPr>
      <w:r>
        <w:rPr>
          <w:rFonts w:hint="eastAsia" w:ascii="宋体" w:hAnsi="宋体" w:eastAsia="宋体" w:cs="宋体"/>
          <w:sz w:val="24"/>
          <w:szCs w:val="24"/>
        </w:rPr>
        <w:t>同合同包1。</w:t>
      </w:r>
    </w:p>
    <w:p w14:paraId="3D657672">
      <w:pPr>
        <w:pStyle w:val="64"/>
        <w:spacing w:line="360" w:lineRule="auto"/>
        <w:rPr>
          <w:rFonts w:hint="eastAsia" w:ascii="宋体" w:hAnsi="宋体" w:eastAsia="宋体" w:cs="宋体"/>
          <w:sz w:val="24"/>
          <w:szCs w:val="24"/>
        </w:rPr>
      </w:pPr>
      <w:r>
        <w:rPr>
          <w:rFonts w:hint="eastAsia" w:ascii="宋体" w:hAnsi="宋体" w:eastAsia="宋体" w:cs="宋体"/>
          <w:sz w:val="24"/>
          <w:szCs w:val="24"/>
        </w:rPr>
        <w:t>合同包8(8标段：马房子作业区退化林修复1、5、6、9小班745亩，修复方式为采伐+补植+修枝)特定资格要求如下:</w:t>
      </w:r>
    </w:p>
    <w:p w14:paraId="6285E22E">
      <w:pPr>
        <w:pStyle w:val="64"/>
        <w:spacing w:line="360" w:lineRule="auto"/>
        <w:ind w:left="480"/>
        <w:rPr>
          <w:rFonts w:hint="eastAsia" w:ascii="宋体" w:hAnsi="宋体" w:eastAsia="宋体" w:cs="宋体"/>
          <w:sz w:val="24"/>
          <w:szCs w:val="24"/>
        </w:rPr>
      </w:pPr>
      <w:r>
        <w:rPr>
          <w:rFonts w:hint="eastAsia" w:ascii="宋体" w:hAnsi="宋体" w:eastAsia="宋体" w:cs="宋体"/>
          <w:sz w:val="24"/>
          <w:szCs w:val="24"/>
        </w:rPr>
        <w:t>同合同包1。</w:t>
      </w:r>
    </w:p>
    <w:p w14:paraId="3085486B">
      <w:pPr>
        <w:pStyle w:val="64"/>
        <w:spacing w:line="360" w:lineRule="auto"/>
        <w:rPr>
          <w:rFonts w:hint="eastAsia" w:ascii="宋体" w:hAnsi="宋体" w:eastAsia="宋体" w:cs="宋体"/>
          <w:sz w:val="24"/>
          <w:szCs w:val="24"/>
        </w:rPr>
      </w:pPr>
      <w:r>
        <w:rPr>
          <w:rFonts w:hint="eastAsia" w:ascii="宋体" w:hAnsi="宋体" w:eastAsia="宋体" w:cs="宋体"/>
          <w:sz w:val="24"/>
          <w:szCs w:val="24"/>
        </w:rPr>
        <w:t>合同包9(9标段：马房子作业区退化林修复3、4、13、 22、29、31小班909亩，修复方式为采伐+补植+修枝)特定资格要求如下:</w:t>
      </w:r>
    </w:p>
    <w:p w14:paraId="269450EB">
      <w:pPr>
        <w:pStyle w:val="64"/>
        <w:spacing w:line="360" w:lineRule="auto"/>
        <w:ind w:left="480"/>
        <w:rPr>
          <w:rFonts w:hint="eastAsia" w:ascii="宋体" w:hAnsi="宋体" w:eastAsia="宋体" w:cs="宋体"/>
          <w:sz w:val="24"/>
          <w:szCs w:val="24"/>
        </w:rPr>
      </w:pPr>
      <w:r>
        <w:rPr>
          <w:rFonts w:hint="eastAsia" w:ascii="宋体" w:hAnsi="宋体" w:eastAsia="宋体" w:cs="宋体"/>
          <w:sz w:val="24"/>
          <w:szCs w:val="24"/>
        </w:rPr>
        <w:t>同合同包1。</w:t>
      </w:r>
    </w:p>
    <w:p w14:paraId="7FEDD8ED">
      <w:pPr>
        <w:pStyle w:val="64"/>
        <w:spacing w:line="360" w:lineRule="auto"/>
        <w:rPr>
          <w:rFonts w:hint="eastAsia" w:ascii="宋体" w:hAnsi="宋体" w:eastAsia="宋体" w:cs="宋体"/>
          <w:sz w:val="24"/>
          <w:szCs w:val="24"/>
        </w:rPr>
      </w:pPr>
      <w:r>
        <w:rPr>
          <w:rFonts w:hint="eastAsia" w:ascii="宋体" w:hAnsi="宋体" w:eastAsia="宋体" w:cs="宋体"/>
          <w:sz w:val="24"/>
          <w:szCs w:val="24"/>
        </w:rPr>
        <w:t>合同包10(10标段：马房子作业区退化林修复7、11、12、30小班827亩，修复方式为采伐+补植+修枝)特定资格要求如下:</w:t>
      </w:r>
    </w:p>
    <w:p w14:paraId="2886E985">
      <w:pPr>
        <w:pStyle w:val="64"/>
        <w:spacing w:line="360" w:lineRule="auto"/>
        <w:ind w:left="480"/>
        <w:rPr>
          <w:rFonts w:hint="eastAsia" w:ascii="宋体" w:hAnsi="宋体" w:eastAsia="宋体" w:cs="宋体"/>
          <w:sz w:val="24"/>
          <w:szCs w:val="24"/>
        </w:rPr>
      </w:pPr>
      <w:r>
        <w:rPr>
          <w:rFonts w:hint="eastAsia" w:ascii="宋体" w:hAnsi="宋体" w:eastAsia="宋体" w:cs="宋体"/>
          <w:sz w:val="24"/>
          <w:szCs w:val="24"/>
        </w:rPr>
        <w:t>同合同包1。</w:t>
      </w:r>
    </w:p>
    <w:p w14:paraId="5CA3206A">
      <w:pPr>
        <w:pStyle w:val="64"/>
        <w:spacing w:line="360" w:lineRule="auto"/>
        <w:rPr>
          <w:rFonts w:hint="eastAsia" w:ascii="宋体" w:hAnsi="宋体" w:eastAsia="宋体" w:cs="宋体"/>
          <w:sz w:val="24"/>
          <w:szCs w:val="24"/>
        </w:rPr>
      </w:pPr>
      <w:r>
        <w:rPr>
          <w:rFonts w:hint="eastAsia" w:ascii="宋体" w:hAnsi="宋体" w:eastAsia="宋体" w:cs="宋体"/>
          <w:sz w:val="24"/>
          <w:szCs w:val="24"/>
        </w:rPr>
        <w:t>合同包11(11标段：马房子作业区退化林修复17、26、34、46、49、54、60小班819亩，修复方式为采伐+补植+修枝)特定资格要求如下:</w:t>
      </w:r>
    </w:p>
    <w:p w14:paraId="3E4656C6">
      <w:pPr>
        <w:pStyle w:val="64"/>
        <w:spacing w:line="360" w:lineRule="auto"/>
        <w:ind w:left="480"/>
        <w:rPr>
          <w:rFonts w:hint="eastAsia" w:ascii="宋体" w:hAnsi="宋体" w:eastAsia="宋体" w:cs="宋体"/>
          <w:sz w:val="24"/>
          <w:szCs w:val="24"/>
        </w:rPr>
      </w:pPr>
      <w:r>
        <w:rPr>
          <w:rFonts w:hint="eastAsia" w:ascii="宋体" w:hAnsi="宋体" w:eastAsia="宋体" w:cs="宋体"/>
          <w:sz w:val="24"/>
          <w:szCs w:val="24"/>
        </w:rPr>
        <w:t>同合同包1。</w:t>
      </w:r>
    </w:p>
    <w:p w14:paraId="2718B7C4">
      <w:pPr>
        <w:pStyle w:val="64"/>
        <w:spacing w:line="360" w:lineRule="auto"/>
        <w:rPr>
          <w:rFonts w:hint="eastAsia" w:ascii="宋体" w:hAnsi="宋体" w:eastAsia="宋体" w:cs="宋体"/>
          <w:sz w:val="24"/>
          <w:szCs w:val="24"/>
        </w:rPr>
      </w:pPr>
      <w:r>
        <w:rPr>
          <w:rFonts w:hint="eastAsia" w:ascii="宋体" w:hAnsi="宋体" w:eastAsia="宋体" w:cs="宋体"/>
          <w:sz w:val="24"/>
          <w:szCs w:val="24"/>
        </w:rPr>
        <w:t>合同包12(12标段：马房子作业区退化林修复45、48、61、77、82、86、97小班1055亩，修复方式为采伐+补植+修枝)特定资格要求如下:</w:t>
      </w:r>
    </w:p>
    <w:p w14:paraId="075222D9">
      <w:pPr>
        <w:pStyle w:val="64"/>
        <w:spacing w:line="360" w:lineRule="auto"/>
        <w:ind w:left="480"/>
        <w:rPr>
          <w:rFonts w:hint="eastAsia" w:ascii="宋体" w:hAnsi="宋体" w:eastAsia="宋体" w:cs="宋体"/>
          <w:sz w:val="24"/>
          <w:szCs w:val="24"/>
        </w:rPr>
      </w:pPr>
      <w:r>
        <w:rPr>
          <w:rFonts w:hint="eastAsia" w:ascii="宋体" w:hAnsi="宋体" w:eastAsia="宋体" w:cs="宋体"/>
          <w:sz w:val="24"/>
          <w:szCs w:val="24"/>
        </w:rPr>
        <w:t>同合同包1。</w:t>
      </w:r>
    </w:p>
    <w:p w14:paraId="0C7A8919">
      <w:pPr>
        <w:pStyle w:val="64"/>
        <w:spacing w:line="360" w:lineRule="auto"/>
        <w:rPr>
          <w:rFonts w:hint="eastAsia" w:ascii="宋体" w:hAnsi="宋体" w:eastAsia="宋体" w:cs="宋体"/>
          <w:sz w:val="24"/>
          <w:szCs w:val="24"/>
        </w:rPr>
      </w:pPr>
      <w:r>
        <w:rPr>
          <w:rFonts w:hint="eastAsia" w:ascii="宋体" w:hAnsi="宋体" w:eastAsia="宋体" w:cs="宋体"/>
          <w:sz w:val="24"/>
          <w:szCs w:val="24"/>
        </w:rPr>
        <w:t>合同包13(13标段：马房子作业区退化林修复33、35、51小班937亩，修复方式为采伐+补植+修枝)特定资格要求如下:</w:t>
      </w:r>
    </w:p>
    <w:p w14:paraId="269C73C6">
      <w:pPr>
        <w:pStyle w:val="64"/>
        <w:spacing w:line="360" w:lineRule="auto"/>
        <w:ind w:left="480"/>
        <w:rPr>
          <w:rFonts w:hint="eastAsia" w:ascii="宋体" w:hAnsi="宋体" w:eastAsia="宋体" w:cs="宋体"/>
          <w:sz w:val="24"/>
          <w:szCs w:val="24"/>
        </w:rPr>
      </w:pPr>
      <w:r>
        <w:rPr>
          <w:rFonts w:hint="eastAsia" w:ascii="宋体" w:hAnsi="宋体" w:eastAsia="宋体" w:cs="宋体"/>
          <w:sz w:val="24"/>
          <w:szCs w:val="24"/>
        </w:rPr>
        <w:t>同合同包1。</w:t>
      </w:r>
    </w:p>
    <w:p w14:paraId="5EC007C8">
      <w:pPr>
        <w:pStyle w:val="64"/>
        <w:spacing w:line="360" w:lineRule="auto"/>
        <w:rPr>
          <w:rFonts w:hint="eastAsia" w:ascii="宋体" w:hAnsi="宋体" w:eastAsia="宋体" w:cs="宋体"/>
          <w:sz w:val="24"/>
          <w:szCs w:val="24"/>
        </w:rPr>
      </w:pPr>
      <w:r>
        <w:rPr>
          <w:rFonts w:hint="eastAsia" w:ascii="宋体" w:hAnsi="宋体" w:eastAsia="宋体" w:cs="宋体"/>
          <w:sz w:val="24"/>
          <w:szCs w:val="24"/>
        </w:rPr>
        <w:t>合同包14(14标段：马房子作业区退化林修复73、87、99、100、110小班957亩，修复方式为采伐+补植+修枝)特定资格要求如下:</w:t>
      </w:r>
    </w:p>
    <w:p w14:paraId="25FCDA1E">
      <w:pPr>
        <w:pStyle w:val="64"/>
        <w:spacing w:line="360" w:lineRule="auto"/>
        <w:ind w:left="480"/>
        <w:rPr>
          <w:rFonts w:hint="eastAsia" w:ascii="宋体" w:hAnsi="宋体" w:eastAsia="宋体" w:cs="宋体"/>
          <w:sz w:val="24"/>
          <w:szCs w:val="24"/>
        </w:rPr>
      </w:pPr>
      <w:r>
        <w:rPr>
          <w:rFonts w:hint="eastAsia" w:ascii="宋体" w:hAnsi="宋体" w:eastAsia="宋体" w:cs="宋体"/>
          <w:sz w:val="24"/>
          <w:szCs w:val="24"/>
        </w:rPr>
        <w:t>同合同包1。</w:t>
      </w:r>
    </w:p>
    <w:p w14:paraId="42C08709">
      <w:pPr>
        <w:pStyle w:val="64"/>
        <w:spacing w:line="360" w:lineRule="auto"/>
        <w:rPr>
          <w:rFonts w:hint="eastAsia" w:ascii="宋体" w:hAnsi="宋体" w:eastAsia="宋体" w:cs="宋体"/>
          <w:sz w:val="24"/>
          <w:szCs w:val="24"/>
        </w:rPr>
      </w:pPr>
      <w:r>
        <w:rPr>
          <w:rFonts w:hint="eastAsia" w:ascii="宋体" w:hAnsi="宋体" w:eastAsia="宋体" w:cs="宋体"/>
          <w:sz w:val="24"/>
          <w:szCs w:val="24"/>
        </w:rPr>
        <w:t>合同包15(15标段：马房子作业区退化林修复64、67、68、 90、98、121小班987亩，修复方式为采伐+补植+修枝)特定资格要求如下:</w:t>
      </w:r>
    </w:p>
    <w:p w14:paraId="1CFB8AA8">
      <w:pPr>
        <w:pStyle w:val="64"/>
        <w:spacing w:line="360" w:lineRule="auto"/>
        <w:ind w:left="480"/>
        <w:rPr>
          <w:rFonts w:hint="eastAsia" w:ascii="宋体" w:hAnsi="宋体" w:eastAsia="宋体" w:cs="宋体"/>
          <w:sz w:val="24"/>
          <w:szCs w:val="24"/>
        </w:rPr>
      </w:pPr>
      <w:r>
        <w:rPr>
          <w:rFonts w:hint="eastAsia" w:ascii="宋体" w:hAnsi="宋体" w:eastAsia="宋体" w:cs="宋体"/>
          <w:sz w:val="24"/>
          <w:szCs w:val="24"/>
        </w:rPr>
        <w:t>同合同包1。</w:t>
      </w:r>
    </w:p>
    <w:p w14:paraId="60E71749">
      <w:pPr>
        <w:pStyle w:val="64"/>
        <w:spacing w:line="360" w:lineRule="auto"/>
        <w:rPr>
          <w:rFonts w:hint="eastAsia" w:ascii="宋体" w:hAnsi="宋体" w:eastAsia="宋体" w:cs="宋体"/>
          <w:sz w:val="24"/>
          <w:szCs w:val="24"/>
        </w:rPr>
      </w:pPr>
      <w:r>
        <w:rPr>
          <w:rFonts w:hint="eastAsia" w:ascii="宋体" w:hAnsi="宋体" w:eastAsia="宋体" w:cs="宋体"/>
          <w:sz w:val="24"/>
          <w:szCs w:val="24"/>
        </w:rPr>
        <w:t>合同包16(16标段：马房子作业区退化林修复65、69、95、 101、104、 106、112、 114、115、116、122小班983亩，修复方式为采伐+补植+修枝)特定资格要求如下:</w:t>
      </w:r>
    </w:p>
    <w:p w14:paraId="4BA2FE2D">
      <w:pPr>
        <w:pStyle w:val="64"/>
        <w:spacing w:line="360" w:lineRule="auto"/>
        <w:ind w:left="480"/>
        <w:rPr>
          <w:rFonts w:hint="eastAsia" w:ascii="宋体" w:hAnsi="宋体" w:eastAsia="宋体" w:cs="宋体"/>
          <w:sz w:val="24"/>
          <w:szCs w:val="24"/>
        </w:rPr>
      </w:pPr>
      <w:r>
        <w:rPr>
          <w:rFonts w:hint="eastAsia" w:ascii="宋体" w:hAnsi="宋体" w:eastAsia="宋体" w:cs="宋体"/>
          <w:sz w:val="24"/>
          <w:szCs w:val="24"/>
        </w:rPr>
        <w:t>同合同包1。</w:t>
      </w:r>
    </w:p>
    <w:p w14:paraId="3198C2C7">
      <w:pPr>
        <w:pStyle w:val="64"/>
        <w:spacing w:line="360" w:lineRule="auto"/>
        <w:rPr>
          <w:rFonts w:hint="eastAsia" w:ascii="宋体" w:hAnsi="宋体" w:eastAsia="宋体" w:cs="宋体"/>
          <w:sz w:val="24"/>
          <w:szCs w:val="24"/>
        </w:rPr>
      </w:pPr>
      <w:r>
        <w:rPr>
          <w:rFonts w:hint="eastAsia" w:ascii="宋体" w:hAnsi="宋体" w:eastAsia="宋体" w:cs="宋体"/>
          <w:sz w:val="24"/>
          <w:szCs w:val="24"/>
        </w:rPr>
        <w:t>合同包17(17标段：马房子作业区退化林修复92、96、 102、103、 105、107、 108、109、 111、117、 118、119、 123、125、133、138小班928亩，修复方式为采伐+补植+修枝)特定资格要求如下:</w:t>
      </w:r>
    </w:p>
    <w:p w14:paraId="69541A4D">
      <w:pPr>
        <w:pStyle w:val="64"/>
        <w:spacing w:line="360" w:lineRule="auto"/>
        <w:ind w:left="480"/>
        <w:rPr>
          <w:rFonts w:hint="eastAsia" w:ascii="宋体" w:hAnsi="宋体" w:eastAsia="宋体" w:cs="宋体"/>
          <w:sz w:val="24"/>
          <w:szCs w:val="24"/>
        </w:rPr>
      </w:pPr>
      <w:r>
        <w:rPr>
          <w:rFonts w:hint="eastAsia" w:ascii="宋体" w:hAnsi="宋体" w:eastAsia="宋体" w:cs="宋体"/>
          <w:sz w:val="24"/>
          <w:szCs w:val="24"/>
        </w:rPr>
        <w:t>同合同包1。</w:t>
      </w:r>
    </w:p>
    <w:p w14:paraId="013DD455">
      <w:pPr>
        <w:pStyle w:val="64"/>
        <w:spacing w:line="360" w:lineRule="auto"/>
        <w:rPr>
          <w:rFonts w:hint="eastAsia" w:ascii="宋体" w:hAnsi="宋体" w:eastAsia="宋体" w:cs="宋体"/>
          <w:sz w:val="24"/>
          <w:szCs w:val="24"/>
        </w:rPr>
      </w:pPr>
      <w:r>
        <w:rPr>
          <w:rFonts w:hint="eastAsia" w:ascii="宋体" w:hAnsi="宋体" w:eastAsia="宋体" w:cs="宋体"/>
          <w:sz w:val="24"/>
          <w:szCs w:val="24"/>
        </w:rPr>
        <w:t>合同包18(18标段：马房子作业区退化林修复113、120、 124、126、 127、128、129、130、 131、142、144小班852亩，修复方式为采伐+补植+修枝)特定资格要求如下:</w:t>
      </w:r>
    </w:p>
    <w:p w14:paraId="6457669B">
      <w:pPr>
        <w:pStyle w:val="64"/>
        <w:spacing w:line="360" w:lineRule="auto"/>
        <w:ind w:left="480"/>
        <w:rPr>
          <w:rFonts w:hint="eastAsia" w:ascii="宋体" w:hAnsi="宋体" w:eastAsia="宋体" w:cs="宋体"/>
          <w:sz w:val="24"/>
          <w:szCs w:val="24"/>
        </w:rPr>
      </w:pPr>
      <w:r>
        <w:rPr>
          <w:rFonts w:hint="eastAsia" w:ascii="宋体" w:hAnsi="宋体" w:eastAsia="宋体" w:cs="宋体"/>
          <w:sz w:val="24"/>
          <w:szCs w:val="24"/>
        </w:rPr>
        <w:t>同合同包1。</w:t>
      </w:r>
    </w:p>
    <w:p w14:paraId="4C88EF6C">
      <w:pPr>
        <w:pStyle w:val="64"/>
        <w:spacing w:line="360" w:lineRule="auto"/>
        <w:rPr>
          <w:rFonts w:hint="eastAsia" w:ascii="宋体" w:hAnsi="宋体" w:eastAsia="宋体" w:cs="宋体"/>
          <w:sz w:val="24"/>
          <w:szCs w:val="24"/>
        </w:rPr>
      </w:pPr>
      <w:r>
        <w:rPr>
          <w:rFonts w:hint="eastAsia" w:ascii="宋体" w:hAnsi="宋体" w:eastAsia="宋体" w:cs="宋体"/>
          <w:sz w:val="24"/>
          <w:szCs w:val="24"/>
        </w:rPr>
        <w:t>合同包19(19标段：马房子作业区退化林修复132、134、 135、136、 137、139、 140、141、143、145、146、147小班759亩，修复方式为采伐+补植+修枝)特定资格要求如下:</w:t>
      </w:r>
    </w:p>
    <w:p w14:paraId="112AE1B2">
      <w:pPr>
        <w:pStyle w:val="64"/>
        <w:spacing w:line="360" w:lineRule="auto"/>
        <w:ind w:left="480"/>
        <w:rPr>
          <w:rFonts w:hint="eastAsia" w:ascii="宋体" w:hAnsi="宋体" w:eastAsia="宋体" w:cs="宋体"/>
          <w:sz w:val="24"/>
          <w:szCs w:val="24"/>
        </w:rPr>
      </w:pPr>
      <w:r>
        <w:rPr>
          <w:rFonts w:hint="eastAsia" w:ascii="宋体" w:hAnsi="宋体" w:eastAsia="宋体" w:cs="宋体"/>
          <w:sz w:val="24"/>
          <w:szCs w:val="24"/>
        </w:rPr>
        <w:t>同合同包1。</w:t>
      </w:r>
    </w:p>
    <w:p w14:paraId="7BF499AC">
      <w:pPr>
        <w:pStyle w:val="64"/>
        <w:spacing w:line="360" w:lineRule="auto"/>
        <w:rPr>
          <w:rFonts w:hint="eastAsia" w:ascii="宋体" w:hAnsi="宋体" w:eastAsia="宋体" w:cs="宋体"/>
          <w:sz w:val="24"/>
          <w:szCs w:val="24"/>
        </w:rPr>
      </w:pPr>
      <w:r>
        <w:rPr>
          <w:rFonts w:hint="eastAsia" w:ascii="宋体" w:hAnsi="宋体" w:eastAsia="宋体" w:cs="宋体"/>
          <w:sz w:val="24"/>
          <w:szCs w:val="24"/>
        </w:rPr>
        <w:t>合同包20(20标段：马房子作业区退化林修复148、149、150、151、152、153、154、155、156、159小班462亩，修复方式为采伐+补植+修枝)特定资格要求如下:</w:t>
      </w:r>
    </w:p>
    <w:p w14:paraId="30390593">
      <w:pPr>
        <w:pStyle w:val="64"/>
        <w:spacing w:line="360" w:lineRule="auto"/>
        <w:ind w:left="480"/>
        <w:rPr>
          <w:rFonts w:hint="eastAsia" w:ascii="宋体" w:hAnsi="宋体" w:eastAsia="宋体" w:cs="宋体"/>
          <w:sz w:val="24"/>
          <w:szCs w:val="24"/>
        </w:rPr>
      </w:pPr>
      <w:r>
        <w:rPr>
          <w:rFonts w:hint="eastAsia" w:ascii="宋体" w:hAnsi="宋体" w:eastAsia="宋体" w:cs="宋体"/>
          <w:sz w:val="24"/>
          <w:szCs w:val="24"/>
        </w:rPr>
        <w:t>同合同包1。</w:t>
      </w:r>
    </w:p>
    <w:p w14:paraId="09ECC975">
      <w:pPr>
        <w:pStyle w:val="64"/>
        <w:spacing w:line="360" w:lineRule="auto"/>
        <w:rPr>
          <w:rFonts w:hint="eastAsia" w:ascii="宋体" w:hAnsi="宋体" w:eastAsia="宋体" w:cs="宋体"/>
          <w:sz w:val="24"/>
          <w:szCs w:val="24"/>
        </w:rPr>
      </w:pPr>
      <w:r>
        <w:rPr>
          <w:rFonts w:hint="eastAsia" w:ascii="宋体" w:hAnsi="宋体" w:eastAsia="宋体" w:cs="宋体"/>
          <w:sz w:val="24"/>
          <w:szCs w:val="24"/>
        </w:rPr>
        <w:t>合同包21(21标段：马房子作业区退化林修复157、158、 160、161、 162、163、164小班852亩，修复方式为采伐+补植+修枝)特定资格要求如下:</w:t>
      </w:r>
    </w:p>
    <w:p w14:paraId="31575DA9">
      <w:pPr>
        <w:pStyle w:val="64"/>
        <w:spacing w:line="360" w:lineRule="auto"/>
        <w:ind w:left="480"/>
        <w:rPr>
          <w:rFonts w:hint="eastAsia" w:ascii="宋体" w:hAnsi="宋体" w:eastAsia="宋体" w:cs="宋体"/>
          <w:sz w:val="24"/>
          <w:szCs w:val="24"/>
        </w:rPr>
      </w:pPr>
      <w:r>
        <w:rPr>
          <w:rFonts w:hint="eastAsia" w:ascii="宋体" w:hAnsi="宋体" w:eastAsia="宋体" w:cs="宋体"/>
          <w:sz w:val="24"/>
          <w:szCs w:val="24"/>
        </w:rPr>
        <w:t>同合同包1。</w:t>
      </w:r>
    </w:p>
    <w:p w14:paraId="7E3204C1">
      <w:pPr>
        <w:pStyle w:val="64"/>
        <w:spacing w:line="360" w:lineRule="auto"/>
        <w:rPr>
          <w:rFonts w:hint="eastAsia" w:ascii="宋体" w:hAnsi="宋体" w:eastAsia="宋体" w:cs="宋体"/>
          <w:sz w:val="24"/>
          <w:szCs w:val="24"/>
        </w:rPr>
      </w:pPr>
      <w:r>
        <w:rPr>
          <w:rFonts w:hint="eastAsia" w:ascii="宋体" w:hAnsi="宋体" w:eastAsia="宋体" w:cs="宋体"/>
          <w:sz w:val="24"/>
          <w:szCs w:val="24"/>
        </w:rPr>
        <w:t>合同包22(22标段：两河作业区退化林修复1、2、4、5、 6、7、8、9、12小班649亩，修复方式为采伐+补植+修枝)特定资格要求如下:</w:t>
      </w:r>
    </w:p>
    <w:p w14:paraId="2BBF65DE">
      <w:pPr>
        <w:pStyle w:val="64"/>
        <w:spacing w:line="360" w:lineRule="auto"/>
        <w:ind w:left="480"/>
        <w:rPr>
          <w:rFonts w:hint="eastAsia" w:ascii="宋体" w:hAnsi="宋体" w:eastAsia="宋体" w:cs="宋体"/>
          <w:sz w:val="24"/>
          <w:szCs w:val="24"/>
        </w:rPr>
      </w:pPr>
      <w:r>
        <w:rPr>
          <w:rFonts w:hint="eastAsia" w:ascii="宋体" w:hAnsi="宋体" w:eastAsia="宋体" w:cs="宋体"/>
          <w:sz w:val="24"/>
          <w:szCs w:val="24"/>
        </w:rPr>
        <w:t>同合同包1。</w:t>
      </w:r>
    </w:p>
    <w:p w14:paraId="12F25970">
      <w:pPr>
        <w:pStyle w:val="64"/>
        <w:spacing w:line="360" w:lineRule="auto"/>
        <w:rPr>
          <w:rFonts w:hint="eastAsia" w:ascii="宋体" w:hAnsi="宋体" w:eastAsia="宋体" w:cs="宋体"/>
          <w:sz w:val="24"/>
          <w:szCs w:val="24"/>
        </w:rPr>
      </w:pPr>
      <w:r>
        <w:rPr>
          <w:rFonts w:hint="eastAsia" w:ascii="宋体" w:hAnsi="宋体" w:eastAsia="宋体" w:cs="宋体"/>
          <w:sz w:val="24"/>
          <w:szCs w:val="24"/>
        </w:rPr>
        <w:t>合同包23(23标段：两河作业区退化林修复3、11、18小班610亩，修复方式为采伐+补植+修枝)特定资格要求如下:</w:t>
      </w:r>
    </w:p>
    <w:p w14:paraId="446BA5DE">
      <w:pPr>
        <w:pStyle w:val="64"/>
        <w:spacing w:line="360" w:lineRule="auto"/>
        <w:ind w:left="480"/>
        <w:rPr>
          <w:rFonts w:hint="eastAsia" w:ascii="宋体" w:hAnsi="宋体" w:eastAsia="宋体" w:cs="宋体"/>
          <w:sz w:val="24"/>
          <w:szCs w:val="24"/>
        </w:rPr>
      </w:pPr>
      <w:r>
        <w:rPr>
          <w:rFonts w:hint="eastAsia" w:ascii="宋体" w:hAnsi="宋体" w:eastAsia="宋体" w:cs="宋体"/>
          <w:sz w:val="24"/>
          <w:szCs w:val="24"/>
        </w:rPr>
        <w:t>同合同包1。</w:t>
      </w:r>
    </w:p>
    <w:p w14:paraId="43FD9F9F">
      <w:pPr>
        <w:pStyle w:val="64"/>
        <w:spacing w:line="360" w:lineRule="auto"/>
        <w:rPr>
          <w:rFonts w:hint="eastAsia" w:ascii="宋体" w:hAnsi="宋体" w:eastAsia="宋体" w:cs="宋体"/>
          <w:sz w:val="24"/>
          <w:szCs w:val="24"/>
        </w:rPr>
      </w:pPr>
      <w:r>
        <w:rPr>
          <w:rFonts w:hint="eastAsia" w:ascii="宋体" w:hAnsi="宋体" w:eastAsia="宋体" w:cs="宋体"/>
          <w:sz w:val="24"/>
          <w:szCs w:val="24"/>
        </w:rPr>
        <w:t>合同包24(24标段：两河作业区退化林修复10、13、14、 16、17、19小班1001亩，修复方式为采伐+补植+修枝)特定资格要求如下:</w:t>
      </w:r>
    </w:p>
    <w:p w14:paraId="381759ED">
      <w:pPr>
        <w:pStyle w:val="64"/>
        <w:spacing w:line="360" w:lineRule="auto"/>
        <w:ind w:left="480"/>
        <w:rPr>
          <w:rFonts w:hint="eastAsia" w:ascii="宋体" w:hAnsi="宋体" w:eastAsia="宋体" w:cs="宋体"/>
          <w:sz w:val="24"/>
          <w:szCs w:val="24"/>
        </w:rPr>
      </w:pPr>
      <w:r>
        <w:rPr>
          <w:rFonts w:hint="eastAsia" w:ascii="宋体" w:hAnsi="宋体" w:eastAsia="宋体" w:cs="宋体"/>
          <w:sz w:val="24"/>
          <w:szCs w:val="24"/>
        </w:rPr>
        <w:t>同合同包1。</w:t>
      </w:r>
    </w:p>
    <w:p w14:paraId="34F3B74D">
      <w:pPr>
        <w:pStyle w:val="64"/>
        <w:spacing w:line="360" w:lineRule="auto"/>
        <w:rPr>
          <w:rFonts w:hint="eastAsia" w:ascii="宋体" w:hAnsi="宋体" w:eastAsia="宋体" w:cs="宋体"/>
          <w:sz w:val="24"/>
          <w:szCs w:val="24"/>
        </w:rPr>
      </w:pPr>
      <w:r>
        <w:rPr>
          <w:rFonts w:hint="eastAsia" w:ascii="宋体" w:hAnsi="宋体" w:eastAsia="宋体" w:cs="宋体"/>
          <w:sz w:val="24"/>
          <w:szCs w:val="24"/>
        </w:rPr>
        <w:t>合同包25(25标段：两河作业区退化林修复15、20小班600亩，修复方式为采伐+补植+修枝)特定资格要求如下:</w:t>
      </w:r>
    </w:p>
    <w:p w14:paraId="2AB8572E">
      <w:pPr>
        <w:pStyle w:val="64"/>
        <w:spacing w:line="360" w:lineRule="auto"/>
        <w:ind w:left="480"/>
        <w:rPr>
          <w:rFonts w:hint="eastAsia" w:ascii="宋体" w:hAnsi="宋体" w:eastAsia="宋体" w:cs="宋体"/>
          <w:sz w:val="24"/>
          <w:szCs w:val="24"/>
        </w:rPr>
      </w:pPr>
      <w:r>
        <w:rPr>
          <w:rFonts w:hint="eastAsia" w:ascii="宋体" w:hAnsi="宋体" w:eastAsia="宋体" w:cs="宋体"/>
          <w:sz w:val="24"/>
          <w:szCs w:val="24"/>
        </w:rPr>
        <w:t>同合同包1。</w:t>
      </w:r>
    </w:p>
    <w:p w14:paraId="376F1663">
      <w:pPr>
        <w:pStyle w:val="64"/>
        <w:spacing w:line="360" w:lineRule="auto"/>
        <w:outlineLvl w:val="3"/>
        <w:rPr>
          <w:rFonts w:hint="eastAsia" w:ascii="宋体" w:hAnsi="宋体" w:eastAsia="宋体" w:cs="宋体"/>
          <w:sz w:val="24"/>
          <w:szCs w:val="24"/>
        </w:rPr>
      </w:pPr>
      <w:r>
        <w:rPr>
          <w:rFonts w:hint="eastAsia" w:ascii="宋体" w:hAnsi="宋体" w:eastAsia="宋体" w:cs="宋体"/>
          <w:b/>
          <w:sz w:val="24"/>
          <w:szCs w:val="24"/>
        </w:rPr>
        <w:t>三、获取招标文件</w:t>
      </w:r>
    </w:p>
    <w:p w14:paraId="2839592B">
      <w:pPr>
        <w:pStyle w:val="64"/>
        <w:spacing w:line="360" w:lineRule="auto"/>
        <w:rPr>
          <w:rFonts w:hint="eastAsia" w:ascii="宋体" w:hAnsi="宋体" w:eastAsia="宋体" w:cs="宋体"/>
          <w:sz w:val="24"/>
          <w:szCs w:val="24"/>
        </w:rPr>
      </w:pPr>
      <w:r>
        <w:rPr>
          <w:rFonts w:hint="eastAsia" w:ascii="宋体" w:hAnsi="宋体" w:eastAsia="宋体" w:cs="宋体"/>
          <w:sz w:val="24"/>
          <w:szCs w:val="24"/>
        </w:rPr>
        <w:t>时间： 2025年11月21日 至 2025年11月27日 ，每天上午 09:00:00 至 12:00:00 ，下午 14:00:00 至 17:00:00 （北京时间）</w:t>
      </w:r>
    </w:p>
    <w:p w14:paraId="069EE91B">
      <w:pPr>
        <w:pStyle w:val="64"/>
        <w:spacing w:line="360" w:lineRule="auto"/>
        <w:rPr>
          <w:rFonts w:hint="eastAsia" w:ascii="宋体" w:hAnsi="宋体" w:eastAsia="宋体" w:cs="宋体"/>
          <w:sz w:val="24"/>
          <w:szCs w:val="24"/>
        </w:rPr>
      </w:pPr>
      <w:r>
        <w:rPr>
          <w:rFonts w:hint="eastAsia" w:ascii="宋体" w:hAnsi="宋体" w:eastAsia="宋体" w:cs="宋体"/>
          <w:sz w:val="24"/>
          <w:szCs w:val="24"/>
        </w:rPr>
        <w:t>途径：陕西省西安市未央区未央路银池广场21楼</w:t>
      </w:r>
    </w:p>
    <w:p w14:paraId="7CD17BBE">
      <w:pPr>
        <w:pStyle w:val="64"/>
        <w:spacing w:line="360" w:lineRule="auto"/>
        <w:rPr>
          <w:rFonts w:hint="eastAsia" w:ascii="宋体" w:hAnsi="宋体" w:eastAsia="宋体" w:cs="宋体"/>
          <w:sz w:val="24"/>
          <w:szCs w:val="24"/>
        </w:rPr>
      </w:pPr>
      <w:r>
        <w:rPr>
          <w:rFonts w:hint="eastAsia" w:ascii="宋体" w:hAnsi="宋体" w:eastAsia="宋体" w:cs="宋体"/>
          <w:sz w:val="24"/>
          <w:szCs w:val="24"/>
        </w:rPr>
        <w:t>方式：现场获取</w:t>
      </w:r>
    </w:p>
    <w:p w14:paraId="32A9ABE4">
      <w:pPr>
        <w:pStyle w:val="64"/>
        <w:spacing w:line="360" w:lineRule="auto"/>
        <w:rPr>
          <w:rFonts w:hint="eastAsia" w:ascii="宋体" w:hAnsi="宋体" w:eastAsia="宋体" w:cs="宋体"/>
          <w:sz w:val="24"/>
          <w:szCs w:val="24"/>
        </w:rPr>
      </w:pPr>
      <w:r>
        <w:rPr>
          <w:rFonts w:hint="eastAsia" w:ascii="宋体" w:hAnsi="宋体" w:eastAsia="宋体" w:cs="宋体"/>
          <w:sz w:val="24"/>
          <w:szCs w:val="24"/>
        </w:rPr>
        <w:t>售价： 0元</w:t>
      </w:r>
    </w:p>
    <w:p w14:paraId="1BF08C01">
      <w:pPr>
        <w:pStyle w:val="64"/>
        <w:spacing w:line="360" w:lineRule="auto"/>
        <w:outlineLvl w:val="3"/>
        <w:rPr>
          <w:rFonts w:hint="eastAsia" w:ascii="宋体" w:hAnsi="宋体" w:eastAsia="宋体" w:cs="宋体"/>
          <w:sz w:val="24"/>
          <w:szCs w:val="24"/>
        </w:rPr>
      </w:pPr>
      <w:r>
        <w:rPr>
          <w:rFonts w:hint="eastAsia" w:ascii="宋体" w:hAnsi="宋体" w:eastAsia="宋体" w:cs="宋体"/>
          <w:b/>
          <w:sz w:val="24"/>
          <w:szCs w:val="24"/>
        </w:rPr>
        <w:t>四、提交投标文件截止时间、开标时间和地点</w:t>
      </w:r>
    </w:p>
    <w:p w14:paraId="04BBE7D6">
      <w:pPr>
        <w:pStyle w:val="64"/>
        <w:spacing w:line="360" w:lineRule="auto"/>
        <w:rPr>
          <w:rFonts w:hint="eastAsia" w:ascii="宋体" w:hAnsi="宋体" w:eastAsia="宋体" w:cs="宋体"/>
          <w:sz w:val="24"/>
          <w:szCs w:val="24"/>
        </w:rPr>
      </w:pPr>
      <w:r>
        <w:rPr>
          <w:rFonts w:hint="eastAsia" w:ascii="宋体" w:hAnsi="宋体" w:eastAsia="宋体" w:cs="宋体"/>
          <w:sz w:val="24"/>
          <w:szCs w:val="24"/>
        </w:rPr>
        <w:t>时间： 2025年12月11日 09时30分00秒 （北京时间）</w:t>
      </w:r>
    </w:p>
    <w:p w14:paraId="4F1375F7">
      <w:pPr>
        <w:pStyle w:val="64"/>
        <w:spacing w:line="360" w:lineRule="auto"/>
        <w:rPr>
          <w:rFonts w:hint="eastAsia" w:ascii="宋体" w:hAnsi="宋体" w:eastAsia="宋体" w:cs="宋体"/>
          <w:sz w:val="24"/>
          <w:szCs w:val="24"/>
        </w:rPr>
      </w:pPr>
      <w:r>
        <w:rPr>
          <w:rFonts w:hint="eastAsia" w:ascii="宋体" w:hAnsi="宋体" w:eastAsia="宋体" w:cs="宋体"/>
          <w:sz w:val="24"/>
          <w:szCs w:val="24"/>
        </w:rPr>
        <w:t>提交投标文件地点：陕西省西安市未央区未央路银池广场21楼</w:t>
      </w:r>
    </w:p>
    <w:p w14:paraId="397C9643">
      <w:pPr>
        <w:pStyle w:val="64"/>
        <w:spacing w:line="360" w:lineRule="auto"/>
        <w:rPr>
          <w:rFonts w:hint="eastAsia" w:ascii="宋体" w:hAnsi="宋体" w:eastAsia="宋体" w:cs="宋体"/>
          <w:sz w:val="24"/>
          <w:szCs w:val="24"/>
        </w:rPr>
      </w:pPr>
      <w:r>
        <w:rPr>
          <w:rFonts w:hint="eastAsia" w:ascii="宋体" w:hAnsi="宋体" w:eastAsia="宋体" w:cs="宋体"/>
          <w:sz w:val="24"/>
          <w:szCs w:val="24"/>
        </w:rPr>
        <w:t>开标地点：陕西省西安市未央区未央路银池广场21楼</w:t>
      </w:r>
    </w:p>
    <w:p w14:paraId="7085E30C">
      <w:pPr>
        <w:pStyle w:val="64"/>
        <w:spacing w:line="360" w:lineRule="auto"/>
        <w:outlineLvl w:val="3"/>
        <w:rPr>
          <w:rFonts w:hint="eastAsia" w:ascii="宋体" w:hAnsi="宋体" w:eastAsia="宋体" w:cs="宋体"/>
          <w:sz w:val="24"/>
          <w:szCs w:val="24"/>
        </w:rPr>
      </w:pPr>
      <w:r>
        <w:rPr>
          <w:rFonts w:hint="eastAsia" w:ascii="宋体" w:hAnsi="宋体" w:eastAsia="宋体" w:cs="宋体"/>
          <w:b/>
          <w:sz w:val="24"/>
          <w:szCs w:val="24"/>
        </w:rPr>
        <w:t>五、公告期限</w:t>
      </w:r>
    </w:p>
    <w:p w14:paraId="5BBAA38E">
      <w:pPr>
        <w:pStyle w:val="64"/>
        <w:spacing w:line="360" w:lineRule="auto"/>
        <w:rPr>
          <w:rFonts w:hint="eastAsia" w:ascii="宋体" w:hAnsi="宋体" w:eastAsia="宋体" w:cs="宋体"/>
          <w:sz w:val="24"/>
          <w:szCs w:val="24"/>
        </w:rPr>
      </w:pPr>
      <w:r>
        <w:rPr>
          <w:rFonts w:hint="eastAsia" w:ascii="宋体" w:hAnsi="宋体" w:eastAsia="宋体" w:cs="宋体"/>
          <w:sz w:val="24"/>
          <w:szCs w:val="24"/>
        </w:rPr>
        <w:t>自本公告发布之日起5个工作日。</w:t>
      </w:r>
    </w:p>
    <w:p w14:paraId="66C18BCD">
      <w:pPr>
        <w:pStyle w:val="64"/>
        <w:spacing w:line="360" w:lineRule="auto"/>
        <w:outlineLvl w:val="3"/>
        <w:rPr>
          <w:rFonts w:hint="eastAsia" w:ascii="宋体" w:hAnsi="宋体" w:eastAsia="宋体" w:cs="宋体"/>
          <w:sz w:val="24"/>
          <w:szCs w:val="24"/>
        </w:rPr>
      </w:pPr>
      <w:r>
        <w:rPr>
          <w:rFonts w:hint="eastAsia" w:ascii="宋体" w:hAnsi="宋体" w:eastAsia="宋体" w:cs="宋体"/>
          <w:b/>
          <w:sz w:val="24"/>
          <w:szCs w:val="24"/>
        </w:rPr>
        <w:t>六、其他补充事宜</w:t>
      </w:r>
    </w:p>
    <w:p w14:paraId="21C3A611">
      <w:pPr>
        <w:pStyle w:val="64"/>
        <w:spacing w:line="360" w:lineRule="auto"/>
        <w:rPr>
          <w:rFonts w:hint="eastAsia" w:ascii="宋体" w:hAnsi="宋体" w:eastAsia="宋体" w:cs="宋体"/>
          <w:sz w:val="24"/>
          <w:szCs w:val="24"/>
        </w:rPr>
      </w:pPr>
      <w:r>
        <w:rPr>
          <w:rFonts w:hint="eastAsia" w:ascii="宋体" w:hAnsi="宋体" w:eastAsia="宋体" w:cs="宋体"/>
          <w:color w:val="3D3D3D"/>
          <w:sz w:val="24"/>
          <w:szCs w:val="24"/>
          <w:shd w:val="clear" w:fill="FFFFFF"/>
        </w:rPr>
        <w:t>（1）供应商领取标书时，请携带单位介绍信及经办人身份证原件及复印件加盖公章。</w:t>
      </w:r>
    </w:p>
    <w:p w14:paraId="32C960CB">
      <w:pPr>
        <w:pStyle w:val="64"/>
        <w:spacing w:line="360" w:lineRule="auto"/>
        <w:jc w:val="both"/>
        <w:rPr>
          <w:rFonts w:hint="eastAsia" w:ascii="宋体" w:hAnsi="宋体" w:eastAsia="宋体" w:cs="宋体"/>
          <w:sz w:val="24"/>
          <w:szCs w:val="24"/>
        </w:rPr>
      </w:pPr>
      <w:r>
        <w:rPr>
          <w:rFonts w:hint="eastAsia" w:ascii="宋体" w:hAnsi="宋体" w:eastAsia="宋体" w:cs="宋体"/>
          <w:color w:val="3D3D3D"/>
          <w:sz w:val="24"/>
          <w:szCs w:val="24"/>
          <w:shd w:val="clear" w:fill="FFFFFF"/>
        </w:rPr>
        <w:t>（2）请投标人按照《陕西省财政厅关于政府采购供应商注册登记有关事项的通知》中的要求，通过陕西省政府采购网（http://www.ccgp-shaanxi.gov.cn/）注册登记加入陕西省政府采购供应商库。</w:t>
      </w:r>
    </w:p>
    <w:p w14:paraId="2D70813D">
      <w:pPr>
        <w:pStyle w:val="64"/>
        <w:spacing w:line="360" w:lineRule="auto"/>
        <w:jc w:val="both"/>
        <w:rPr>
          <w:rFonts w:hint="eastAsia" w:ascii="宋体" w:hAnsi="宋体" w:eastAsia="宋体" w:cs="宋体"/>
          <w:sz w:val="24"/>
          <w:szCs w:val="24"/>
        </w:rPr>
      </w:pPr>
      <w:r>
        <w:rPr>
          <w:rFonts w:hint="eastAsia" w:ascii="宋体" w:hAnsi="宋体" w:eastAsia="宋体" w:cs="宋体"/>
          <w:color w:val="3D3D3D"/>
          <w:sz w:val="24"/>
          <w:szCs w:val="24"/>
          <w:shd w:val="clear" w:fill="FFFFFF"/>
        </w:rPr>
        <w:t>（3</w:t>
      </w:r>
      <w:r>
        <w:rPr>
          <w:rFonts w:hint="eastAsia" w:ascii="宋体" w:hAnsi="宋体" w:eastAsia="宋体" w:cs="宋体"/>
          <w:color w:val="3D3D3D"/>
          <w:sz w:val="24"/>
          <w:szCs w:val="24"/>
          <w:shd w:val="clear" w:fill="FFFFFF"/>
          <w:lang w:eastAsia="zh-CN"/>
        </w:rPr>
        <w:t>）</w:t>
      </w:r>
      <w:r>
        <w:rPr>
          <w:rFonts w:hint="eastAsia" w:ascii="宋体" w:hAnsi="宋体" w:eastAsia="宋体" w:cs="宋体"/>
          <w:color w:val="3D3D3D"/>
          <w:sz w:val="24"/>
          <w:szCs w:val="24"/>
          <w:shd w:val="clear" w:fill="FFFFFF"/>
        </w:rPr>
        <w:t>本项目专门面向中小企业。</w:t>
      </w:r>
    </w:p>
    <w:p w14:paraId="12BCF16E">
      <w:pPr>
        <w:pStyle w:val="64"/>
        <w:spacing w:line="360" w:lineRule="auto"/>
        <w:jc w:val="both"/>
        <w:rPr>
          <w:rFonts w:hint="eastAsia" w:ascii="宋体" w:hAnsi="宋体" w:eastAsia="宋体" w:cs="宋体"/>
          <w:sz w:val="24"/>
          <w:szCs w:val="24"/>
        </w:rPr>
      </w:pPr>
      <w:r>
        <w:rPr>
          <w:rFonts w:hint="eastAsia" w:ascii="宋体" w:hAnsi="宋体" w:eastAsia="宋体" w:cs="宋体"/>
          <w:color w:val="3D3D3D"/>
          <w:sz w:val="24"/>
          <w:szCs w:val="24"/>
          <w:shd w:val="clear" w:fill="FFFFFF"/>
        </w:rPr>
        <w:t>（4）本项目允许多个标段投标，但只允许中一个标段。</w:t>
      </w:r>
    </w:p>
    <w:p w14:paraId="76FA6169">
      <w:pPr>
        <w:pStyle w:val="64"/>
        <w:spacing w:line="360" w:lineRule="auto"/>
        <w:outlineLvl w:val="3"/>
        <w:rPr>
          <w:rFonts w:hint="eastAsia" w:ascii="宋体" w:hAnsi="宋体" w:eastAsia="宋体" w:cs="宋体"/>
          <w:sz w:val="24"/>
          <w:szCs w:val="24"/>
        </w:rPr>
      </w:pPr>
      <w:r>
        <w:rPr>
          <w:rFonts w:hint="eastAsia" w:ascii="宋体" w:hAnsi="宋体" w:eastAsia="宋体" w:cs="宋体"/>
          <w:b/>
          <w:sz w:val="24"/>
          <w:szCs w:val="24"/>
        </w:rPr>
        <w:t>七、对本次招标提出询问，请按以下方式联系。</w:t>
      </w:r>
    </w:p>
    <w:p w14:paraId="7F185821">
      <w:pPr>
        <w:pStyle w:val="64"/>
        <w:spacing w:line="360" w:lineRule="auto"/>
        <w:outlineLvl w:val="5"/>
        <w:rPr>
          <w:rFonts w:hint="eastAsia" w:ascii="宋体" w:hAnsi="宋体" w:eastAsia="宋体" w:cs="宋体"/>
          <w:sz w:val="24"/>
          <w:szCs w:val="24"/>
        </w:rPr>
      </w:pPr>
      <w:r>
        <w:rPr>
          <w:rFonts w:hint="eastAsia" w:ascii="宋体" w:hAnsi="宋体" w:eastAsia="宋体" w:cs="宋体"/>
          <w:b/>
          <w:sz w:val="24"/>
          <w:szCs w:val="24"/>
        </w:rPr>
        <w:t>1.采购人信息</w:t>
      </w:r>
    </w:p>
    <w:p w14:paraId="7663ED8A">
      <w:pPr>
        <w:pStyle w:val="64"/>
        <w:spacing w:line="360" w:lineRule="auto"/>
        <w:rPr>
          <w:rFonts w:hint="eastAsia" w:ascii="宋体" w:hAnsi="宋体" w:eastAsia="宋体" w:cs="宋体"/>
          <w:sz w:val="24"/>
          <w:szCs w:val="24"/>
        </w:rPr>
      </w:pPr>
      <w:r>
        <w:rPr>
          <w:rFonts w:hint="eastAsia" w:ascii="宋体" w:hAnsi="宋体" w:eastAsia="宋体" w:cs="宋体"/>
          <w:sz w:val="24"/>
          <w:szCs w:val="24"/>
        </w:rPr>
        <w:t>名称：柞水县林业局</w:t>
      </w:r>
    </w:p>
    <w:p w14:paraId="01480DBC">
      <w:pPr>
        <w:pStyle w:val="64"/>
        <w:spacing w:line="360" w:lineRule="auto"/>
        <w:rPr>
          <w:rFonts w:hint="eastAsia" w:ascii="宋体" w:hAnsi="宋体" w:eastAsia="宋体" w:cs="宋体"/>
          <w:sz w:val="24"/>
          <w:szCs w:val="24"/>
        </w:rPr>
      </w:pPr>
      <w:r>
        <w:rPr>
          <w:rFonts w:hint="eastAsia" w:ascii="宋体" w:hAnsi="宋体" w:eastAsia="宋体" w:cs="宋体"/>
          <w:sz w:val="24"/>
          <w:szCs w:val="24"/>
        </w:rPr>
        <w:t>地址：柞水县乾佑街道办中街151号</w:t>
      </w:r>
    </w:p>
    <w:p w14:paraId="608C9895">
      <w:pPr>
        <w:pStyle w:val="64"/>
        <w:spacing w:line="360" w:lineRule="auto"/>
        <w:rPr>
          <w:rFonts w:hint="eastAsia" w:ascii="宋体" w:hAnsi="宋体" w:eastAsia="宋体" w:cs="宋体"/>
          <w:sz w:val="24"/>
          <w:szCs w:val="24"/>
        </w:rPr>
      </w:pPr>
      <w:r>
        <w:rPr>
          <w:rFonts w:hint="eastAsia" w:ascii="宋体" w:hAnsi="宋体" w:eastAsia="宋体" w:cs="宋体"/>
          <w:sz w:val="24"/>
          <w:szCs w:val="24"/>
        </w:rPr>
        <w:t>联系方式：18991453077</w:t>
      </w:r>
    </w:p>
    <w:p w14:paraId="24FD2059">
      <w:pPr>
        <w:pStyle w:val="64"/>
        <w:spacing w:line="360" w:lineRule="auto"/>
        <w:outlineLvl w:val="5"/>
        <w:rPr>
          <w:rFonts w:hint="eastAsia" w:ascii="宋体" w:hAnsi="宋体" w:eastAsia="宋体" w:cs="宋体"/>
          <w:sz w:val="24"/>
          <w:szCs w:val="24"/>
        </w:rPr>
      </w:pPr>
      <w:r>
        <w:rPr>
          <w:rFonts w:hint="eastAsia" w:ascii="宋体" w:hAnsi="宋体" w:eastAsia="宋体" w:cs="宋体"/>
          <w:b/>
          <w:sz w:val="24"/>
          <w:szCs w:val="24"/>
        </w:rPr>
        <w:t>2.采购代理机构信息</w:t>
      </w:r>
    </w:p>
    <w:p w14:paraId="2369F651">
      <w:pPr>
        <w:pStyle w:val="64"/>
        <w:spacing w:line="360" w:lineRule="auto"/>
        <w:rPr>
          <w:rFonts w:hint="eastAsia" w:ascii="宋体" w:hAnsi="宋体" w:eastAsia="宋体" w:cs="宋体"/>
          <w:sz w:val="24"/>
          <w:szCs w:val="24"/>
        </w:rPr>
      </w:pPr>
      <w:r>
        <w:rPr>
          <w:rFonts w:hint="eastAsia" w:ascii="宋体" w:hAnsi="宋体" w:eastAsia="宋体" w:cs="宋体"/>
          <w:sz w:val="24"/>
          <w:szCs w:val="24"/>
        </w:rPr>
        <w:t>名称：陕西银正项目管理有限公司</w:t>
      </w:r>
    </w:p>
    <w:p w14:paraId="3629F609">
      <w:pPr>
        <w:pStyle w:val="64"/>
        <w:spacing w:line="360" w:lineRule="auto"/>
        <w:rPr>
          <w:rFonts w:hint="eastAsia" w:ascii="宋体" w:hAnsi="宋体" w:eastAsia="宋体" w:cs="宋体"/>
          <w:sz w:val="24"/>
          <w:szCs w:val="24"/>
        </w:rPr>
      </w:pPr>
      <w:r>
        <w:rPr>
          <w:rFonts w:hint="eastAsia" w:ascii="宋体" w:hAnsi="宋体" w:eastAsia="宋体" w:cs="宋体"/>
          <w:sz w:val="24"/>
          <w:szCs w:val="24"/>
        </w:rPr>
        <w:t>地址：陕西省西安市经济技术开发区凤城二路海荣翡翠国际城1幢12306号</w:t>
      </w:r>
    </w:p>
    <w:p w14:paraId="3AA0B600">
      <w:pPr>
        <w:pStyle w:val="64"/>
        <w:spacing w:line="360" w:lineRule="auto"/>
        <w:rPr>
          <w:rFonts w:hint="eastAsia" w:ascii="宋体" w:hAnsi="宋体" w:eastAsia="宋体" w:cs="宋体"/>
          <w:sz w:val="24"/>
          <w:szCs w:val="24"/>
        </w:rPr>
      </w:pPr>
      <w:r>
        <w:rPr>
          <w:rFonts w:hint="eastAsia" w:ascii="宋体" w:hAnsi="宋体" w:eastAsia="宋体" w:cs="宋体"/>
          <w:sz w:val="24"/>
          <w:szCs w:val="24"/>
        </w:rPr>
        <w:t>联系方式：18202922130</w:t>
      </w:r>
    </w:p>
    <w:p w14:paraId="1BC34B49">
      <w:pPr>
        <w:pStyle w:val="64"/>
        <w:spacing w:line="360" w:lineRule="auto"/>
        <w:outlineLvl w:val="5"/>
        <w:rPr>
          <w:rFonts w:hint="eastAsia" w:ascii="宋体" w:hAnsi="宋体" w:eastAsia="宋体" w:cs="宋体"/>
          <w:sz w:val="24"/>
          <w:szCs w:val="24"/>
        </w:rPr>
      </w:pPr>
      <w:r>
        <w:rPr>
          <w:rFonts w:hint="eastAsia" w:ascii="宋体" w:hAnsi="宋体" w:eastAsia="宋体" w:cs="宋体"/>
          <w:b/>
          <w:sz w:val="24"/>
          <w:szCs w:val="24"/>
        </w:rPr>
        <w:t>3.项目联系方式</w:t>
      </w:r>
    </w:p>
    <w:p w14:paraId="14CA854C">
      <w:pPr>
        <w:pStyle w:val="64"/>
        <w:spacing w:line="360" w:lineRule="auto"/>
        <w:rPr>
          <w:rFonts w:hint="eastAsia" w:ascii="宋体" w:hAnsi="宋体" w:eastAsia="宋体" w:cs="宋体"/>
          <w:sz w:val="24"/>
          <w:szCs w:val="24"/>
        </w:rPr>
      </w:pPr>
      <w:r>
        <w:rPr>
          <w:rFonts w:hint="eastAsia" w:ascii="宋体" w:hAnsi="宋体" w:eastAsia="宋体" w:cs="宋体"/>
          <w:sz w:val="24"/>
          <w:szCs w:val="24"/>
        </w:rPr>
        <w:t>项目联系人：孙工</w:t>
      </w:r>
    </w:p>
    <w:p w14:paraId="3CB67FD2">
      <w:pPr>
        <w:pStyle w:val="64"/>
        <w:spacing w:line="360" w:lineRule="auto"/>
      </w:pPr>
      <w:r>
        <w:rPr>
          <w:rFonts w:hint="eastAsia" w:ascii="宋体" w:hAnsi="宋体" w:eastAsia="宋体" w:cs="宋体"/>
          <w:sz w:val="24"/>
          <w:szCs w:val="24"/>
        </w:rPr>
        <w:t>电话：18202922130</w:t>
      </w:r>
    </w:p>
    <w:p w14:paraId="0D15AF42">
      <w:pPr>
        <w:pStyle w:val="64"/>
        <w:jc w:val="right"/>
        <w:rPr>
          <w:rFonts w:hint="eastAsia" w:ascii="宋体" w:hAnsi="宋体" w:eastAsia="宋体" w:cs="宋体"/>
          <w:sz w:val="24"/>
          <w:szCs w:val="24"/>
        </w:rPr>
      </w:pPr>
      <w:r>
        <w:rPr>
          <w:rFonts w:hint="eastAsia" w:ascii="宋体" w:hAnsi="宋体" w:eastAsia="宋体" w:cs="宋体"/>
          <w:sz w:val="24"/>
          <w:szCs w:val="24"/>
        </w:rPr>
        <w:t>陕西银正项目管理有限公司</w:t>
      </w:r>
    </w:p>
    <w:p w14:paraId="614BBD13">
      <w:pPr>
        <w:pStyle w:val="2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right"/>
        <w:textAlignment w:val="auto"/>
        <w:outlineLvl w:val="9"/>
        <w:rPr>
          <w:rFonts w:hint="eastAsia" w:ascii="宋体" w:hAnsi="宋体" w:eastAsia="宋体" w:cs="宋体"/>
          <w:i w:val="0"/>
          <w:iCs w:val="0"/>
          <w:caps w:val="0"/>
          <w:color w:val="333333"/>
          <w:spacing w:val="0"/>
          <w:sz w:val="24"/>
          <w:szCs w:val="24"/>
          <w:highlight w:val="none"/>
          <w:shd w:val="clear" w:fill="FFFFFF"/>
          <w:vertAlign w:val="baseline"/>
        </w:rPr>
      </w:pPr>
      <w:r>
        <w:rPr>
          <w:rFonts w:hint="eastAsia" w:ascii="宋体" w:hAnsi="宋体" w:eastAsia="宋体" w:cs="宋体"/>
          <w:sz w:val="24"/>
          <w:szCs w:val="24"/>
          <w:lang w:val="en-US" w:eastAsia="zh-CN"/>
        </w:rPr>
        <w:t>2025年11月20日</w:t>
      </w:r>
    </w:p>
    <w:p w14:paraId="3AEB1073">
      <w:pPr>
        <w:rPr>
          <w:rFonts w:hint="eastAsia" w:ascii="宋体" w:hAnsi="宋体" w:eastAsia="宋体" w:cs="宋体"/>
          <w:i w:val="0"/>
          <w:iCs w:val="0"/>
          <w:caps w:val="0"/>
          <w:color w:val="333333"/>
          <w:spacing w:val="0"/>
          <w:sz w:val="24"/>
          <w:szCs w:val="24"/>
          <w:highlight w:val="none"/>
          <w:shd w:val="clear" w:fill="FFFFFF"/>
          <w:vertAlign w:val="baseline"/>
        </w:rPr>
      </w:pPr>
      <w:r>
        <w:rPr>
          <w:rFonts w:hint="eastAsia" w:ascii="宋体" w:hAnsi="宋体" w:eastAsia="宋体" w:cs="宋体"/>
          <w:i w:val="0"/>
          <w:iCs w:val="0"/>
          <w:caps w:val="0"/>
          <w:color w:val="333333"/>
          <w:spacing w:val="0"/>
          <w:sz w:val="24"/>
          <w:szCs w:val="24"/>
          <w:highlight w:val="none"/>
          <w:shd w:val="clear" w:fill="FFFFFF"/>
          <w:vertAlign w:val="baseline"/>
        </w:rPr>
        <w:br w:type="page"/>
      </w:r>
    </w:p>
    <w:p w14:paraId="6159F2C6">
      <w:pPr>
        <w:pStyle w:val="4"/>
        <w:keepNext w:val="0"/>
        <w:pageBreakBefore/>
        <w:spacing w:line="350" w:lineRule="auto"/>
        <w:jc w:val="center"/>
        <w:rPr>
          <w:rFonts w:asciiTheme="minorEastAsia" w:hAnsiTheme="minorEastAsia" w:eastAsiaTheme="minorEastAsia" w:cstheme="minorEastAsia"/>
          <w:sz w:val="36"/>
          <w:szCs w:val="20"/>
          <w:highlight w:val="none"/>
        </w:rPr>
      </w:pPr>
      <w:bookmarkStart w:id="5" w:name="_Toc24715"/>
      <w:r>
        <w:rPr>
          <w:rFonts w:hint="eastAsia" w:asciiTheme="minorEastAsia" w:hAnsiTheme="minorEastAsia" w:eastAsiaTheme="minorEastAsia" w:cstheme="minorEastAsia"/>
          <w:sz w:val="36"/>
          <w:szCs w:val="20"/>
          <w:highlight w:val="none"/>
        </w:rPr>
        <w:t>第二章  投标人须知</w:t>
      </w:r>
      <w:bookmarkEnd w:id="3"/>
      <w:bookmarkEnd w:id="4"/>
      <w:bookmarkEnd w:id="5"/>
    </w:p>
    <w:p w14:paraId="680282EA">
      <w:pPr>
        <w:spacing w:line="360" w:lineRule="auto"/>
        <w:jc w:val="center"/>
        <w:outlineLvl w:val="1"/>
        <w:rPr>
          <w:rFonts w:asciiTheme="minorEastAsia" w:hAnsiTheme="minorEastAsia" w:eastAsiaTheme="minorEastAsia" w:cstheme="minorEastAsia"/>
          <w:b/>
          <w:bCs/>
          <w:sz w:val="28"/>
          <w:szCs w:val="28"/>
          <w:highlight w:val="none"/>
        </w:rPr>
      </w:pPr>
      <w:bookmarkStart w:id="6" w:name="_Toc23536"/>
      <w:bookmarkStart w:id="7" w:name="_Toc421778364"/>
      <w:bookmarkStart w:id="8" w:name="_Toc420591642"/>
      <w:bookmarkStart w:id="9" w:name="_Toc19675"/>
      <w:r>
        <w:rPr>
          <w:rFonts w:hint="eastAsia" w:asciiTheme="minorEastAsia" w:hAnsiTheme="minorEastAsia" w:eastAsiaTheme="minorEastAsia" w:cstheme="minorEastAsia"/>
          <w:b/>
          <w:bCs/>
          <w:sz w:val="28"/>
          <w:szCs w:val="28"/>
          <w:highlight w:val="none"/>
        </w:rPr>
        <w:t>投标人须知前附表</w:t>
      </w:r>
      <w:bookmarkEnd w:id="6"/>
      <w:bookmarkEnd w:id="7"/>
      <w:bookmarkEnd w:id="8"/>
      <w:bookmarkEnd w:id="9"/>
    </w:p>
    <w:tbl>
      <w:tblPr>
        <w:tblStyle w:val="2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24"/>
        <w:gridCol w:w="2054"/>
        <w:gridCol w:w="6318"/>
      </w:tblGrid>
      <w:tr w14:paraId="11FDF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45" w:type="pct"/>
            <w:vAlign w:val="center"/>
          </w:tcPr>
          <w:p w14:paraId="6387364E">
            <w:pPr>
              <w:spacing w:line="360" w:lineRule="auto"/>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条款号</w:t>
            </w:r>
          </w:p>
        </w:tc>
        <w:tc>
          <w:tcPr>
            <w:tcW w:w="1092" w:type="pct"/>
            <w:vAlign w:val="center"/>
          </w:tcPr>
          <w:p w14:paraId="3CE9F0D6">
            <w:pPr>
              <w:spacing w:line="360" w:lineRule="auto"/>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条款名称</w:t>
            </w:r>
          </w:p>
        </w:tc>
        <w:tc>
          <w:tcPr>
            <w:tcW w:w="3361" w:type="pct"/>
            <w:vAlign w:val="center"/>
          </w:tcPr>
          <w:p w14:paraId="6103602E">
            <w:pPr>
              <w:spacing w:line="360" w:lineRule="auto"/>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编列内容</w:t>
            </w:r>
          </w:p>
        </w:tc>
      </w:tr>
      <w:tr w14:paraId="69AE3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45" w:type="pct"/>
            <w:vAlign w:val="center"/>
          </w:tcPr>
          <w:p w14:paraId="18C576CF">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1.1.2</w:t>
            </w:r>
          </w:p>
        </w:tc>
        <w:tc>
          <w:tcPr>
            <w:tcW w:w="1092" w:type="pct"/>
            <w:vAlign w:val="center"/>
          </w:tcPr>
          <w:p w14:paraId="2BCE6EA0">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招标人</w:t>
            </w:r>
          </w:p>
        </w:tc>
        <w:tc>
          <w:tcPr>
            <w:tcW w:w="3361" w:type="pct"/>
            <w:vAlign w:val="center"/>
          </w:tcPr>
          <w:p w14:paraId="6D8069F3">
            <w:pPr>
              <w:spacing w:line="360" w:lineRule="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招标人：</w:t>
            </w:r>
            <w:r>
              <w:rPr>
                <w:rFonts w:hint="eastAsia" w:ascii="宋体" w:hAnsi="宋体" w:cs="宋体"/>
                <w:sz w:val="24"/>
                <w:szCs w:val="24"/>
                <w:highlight w:val="none"/>
                <w:lang w:eastAsia="zh-CN"/>
              </w:rPr>
              <w:t>柞水县林业局</w:t>
            </w:r>
          </w:p>
          <w:p w14:paraId="2381AA21">
            <w:pPr>
              <w:spacing w:line="360" w:lineRule="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地  址：</w:t>
            </w:r>
            <w:r>
              <w:rPr>
                <w:rFonts w:hint="eastAsia" w:ascii="宋体" w:hAnsi="宋体" w:cs="宋体"/>
                <w:sz w:val="24"/>
                <w:szCs w:val="24"/>
                <w:highlight w:val="none"/>
                <w:lang w:eastAsia="zh-CN"/>
              </w:rPr>
              <w:t>柞水县乾佑街道办中街151号</w:t>
            </w:r>
          </w:p>
        </w:tc>
      </w:tr>
      <w:tr w14:paraId="73BCD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45" w:type="pct"/>
            <w:vAlign w:val="center"/>
          </w:tcPr>
          <w:p w14:paraId="389F69D6">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1.1.3</w:t>
            </w:r>
          </w:p>
        </w:tc>
        <w:tc>
          <w:tcPr>
            <w:tcW w:w="1092" w:type="pct"/>
            <w:vAlign w:val="center"/>
          </w:tcPr>
          <w:p w14:paraId="7D57943D">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招标代理机构</w:t>
            </w:r>
          </w:p>
        </w:tc>
        <w:tc>
          <w:tcPr>
            <w:tcW w:w="3361" w:type="pct"/>
            <w:vAlign w:val="center"/>
          </w:tcPr>
          <w:p w14:paraId="1FDBDA45">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名称：</w:t>
            </w:r>
            <w:r>
              <w:rPr>
                <w:rFonts w:hint="eastAsia" w:ascii="宋体" w:hAnsi="宋体" w:cs="宋体"/>
                <w:kern w:val="0"/>
                <w:sz w:val="24"/>
                <w:szCs w:val="24"/>
                <w:highlight w:val="none"/>
                <w:lang w:eastAsia="zh-CN"/>
              </w:rPr>
              <w:t>陕西银正项目管理有限公司</w:t>
            </w:r>
            <w:r>
              <w:rPr>
                <w:rFonts w:hint="eastAsia" w:ascii="宋体" w:hAnsi="宋体" w:eastAsia="宋体" w:cs="宋体"/>
                <w:kern w:val="0"/>
                <w:sz w:val="24"/>
                <w:szCs w:val="24"/>
                <w:highlight w:val="none"/>
              </w:rPr>
              <w:t xml:space="preserve"> </w:t>
            </w:r>
          </w:p>
          <w:p w14:paraId="67B588A5">
            <w:pPr>
              <w:spacing w:line="360" w:lineRule="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地址：</w:t>
            </w:r>
            <w:r>
              <w:rPr>
                <w:rFonts w:hint="eastAsia" w:ascii="宋体" w:hAnsi="宋体" w:cs="宋体"/>
                <w:sz w:val="24"/>
                <w:szCs w:val="24"/>
                <w:highlight w:val="none"/>
                <w:lang w:eastAsia="zh-CN"/>
              </w:rPr>
              <w:t>陕西省西安市经济技术开发区凤城二路海荣翡翠国际城1幢12306号</w:t>
            </w:r>
          </w:p>
          <w:p w14:paraId="69E04F4C">
            <w:pPr>
              <w:spacing w:line="360" w:lineRule="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联系人：</w:t>
            </w:r>
            <w:r>
              <w:rPr>
                <w:rFonts w:hint="eastAsia" w:ascii="宋体" w:hAnsi="宋体" w:cs="宋体"/>
                <w:sz w:val="24"/>
                <w:szCs w:val="24"/>
                <w:highlight w:val="none"/>
                <w:lang w:eastAsia="zh-CN"/>
              </w:rPr>
              <w:t>孙工</w:t>
            </w:r>
          </w:p>
          <w:p w14:paraId="7597A704">
            <w:pPr>
              <w:spacing w:line="360" w:lineRule="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电话：</w:t>
            </w:r>
            <w:r>
              <w:rPr>
                <w:rFonts w:hint="eastAsia" w:ascii="宋体" w:hAnsi="宋体" w:cs="宋体"/>
                <w:i w:val="0"/>
                <w:iCs w:val="0"/>
                <w:caps w:val="0"/>
                <w:color w:val="333333"/>
                <w:spacing w:val="0"/>
                <w:sz w:val="24"/>
                <w:szCs w:val="24"/>
                <w:highlight w:val="none"/>
                <w:shd w:val="clear" w:fill="FFFFFF"/>
                <w:vertAlign w:val="baseline"/>
                <w:lang w:eastAsia="zh-CN"/>
              </w:rPr>
              <w:t>18202922130</w:t>
            </w:r>
          </w:p>
        </w:tc>
      </w:tr>
      <w:tr w14:paraId="21BFD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45" w:type="pct"/>
            <w:vAlign w:val="center"/>
          </w:tcPr>
          <w:p w14:paraId="50D4267F">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1.1.5</w:t>
            </w:r>
          </w:p>
        </w:tc>
        <w:tc>
          <w:tcPr>
            <w:tcW w:w="1092" w:type="pct"/>
            <w:vAlign w:val="center"/>
          </w:tcPr>
          <w:p w14:paraId="1525EF54">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建设地点</w:t>
            </w:r>
          </w:p>
        </w:tc>
        <w:tc>
          <w:tcPr>
            <w:tcW w:w="3361" w:type="pct"/>
            <w:vAlign w:val="center"/>
          </w:tcPr>
          <w:p w14:paraId="799A901E">
            <w:pPr>
              <w:spacing w:line="360" w:lineRule="auto"/>
              <w:rPr>
                <w:rFonts w:hint="eastAsia" w:ascii="宋体" w:hAnsi="宋体" w:eastAsia="宋体" w:cs="宋体"/>
                <w:sz w:val="24"/>
                <w:szCs w:val="24"/>
                <w:highlight w:val="none"/>
                <w:lang w:eastAsia="zh-CN"/>
              </w:rPr>
            </w:pPr>
            <w:r>
              <w:rPr>
                <w:rFonts w:hint="eastAsia" w:ascii="宋体" w:hAnsi="宋体" w:cs="宋体"/>
                <w:sz w:val="24"/>
                <w:szCs w:val="24"/>
                <w:highlight w:val="none"/>
                <w:lang w:val="en-US" w:eastAsia="zh-CN"/>
              </w:rPr>
              <w:t>柞水县</w:t>
            </w:r>
          </w:p>
        </w:tc>
      </w:tr>
      <w:tr w14:paraId="77447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45" w:type="pct"/>
            <w:vAlign w:val="center"/>
          </w:tcPr>
          <w:p w14:paraId="4F00F28D">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1.2.1</w:t>
            </w:r>
          </w:p>
        </w:tc>
        <w:tc>
          <w:tcPr>
            <w:tcW w:w="1092" w:type="pct"/>
            <w:vAlign w:val="center"/>
          </w:tcPr>
          <w:p w14:paraId="416E3DBA">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资金来源</w:t>
            </w:r>
          </w:p>
        </w:tc>
        <w:tc>
          <w:tcPr>
            <w:tcW w:w="3361" w:type="pct"/>
            <w:vAlign w:val="center"/>
          </w:tcPr>
          <w:p w14:paraId="16EBA9AE">
            <w:pPr>
              <w:spacing w:line="360" w:lineRule="auto"/>
              <w:rPr>
                <w:rFonts w:hint="eastAsia" w:ascii="宋体" w:hAnsi="宋体" w:eastAsia="宋体" w:cs="宋体"/>
                <w:sz w:val="24"/>
                <w:szCs w:val="24"/>
                <w:highlight w:val="none"/>
                <w:lang w:eastAsia="zh-CN"/>
              </w:rPr>
            </w:pPr>
            <w:r>
              <w:rPr>
                <w:rFonts w:hint="eastAsia" w:ascii="宋体" w:hAnsi="宋体" w:cs="宋体"/>
                <w:sz w:val="24"/>
                <w:szCs w:val="24"/>
                <w:highlight w:val="none"/>
                <w:lang w:val="en-US" w:eastAsia="zh-CN"/>
              </w:rPr>
              <w:t>中央财政林业草原改革发展资金</w:t>
            </w:r>
          </w:p>
        </w:tc>
      </w:tr>
      <w:tr w14:paraId="755A4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45" w:type="pct"/>
            <w:vAlign w:val="center"/>
          </w:tcPr>
          <w:p w14:paraId="3586678C">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1.2.2</w:t>
            </w:r>
          </w:p>
        </w:tc>
        <w:tc>
          <w:tcPr>
            <w:tcW w:w="1092" w:type="pct"/>
            <w:vAlign w:val="center"/>
          </w:tcPr>
          <w:p w14:paraId="73FC73EA">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资金落实情况</w:t>
            </w:r>
          </w:p>
        </w:tc>
        <w:tc>
          <w:tcPr>
            <w:tcW w:w="3361" w:type="pct"/>
            <w:vAlign w:val="center"/>
          </w:tcPr>
          <w:p w14:paraId="2218524C">
            <w:pPr>
              <w:spacing w:line="360" w:lineRule="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资金已落实到位</w:t>
            </w:r>
          </w:p>
        </w:tc>
      </w:tr>
      <w:tr w14:paraId="59662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45" w:type="pct"/>
            <w:vAlign w:val="center"/>
          </w:tcPr>
          <w:p w14:paraId="0F06DC14">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1.3.1</w:t>
            </w:r>
          </w:p>
        </w:tc>
        <w:tc>
          <w:tcPr>
            <w:tcW w:w="1092" w:type="pct"/>
            <w:vAlign w:val="center"/>
          </w:tcPr>
          <w:p w14:paraId="7A0FA612">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招标范围</w:t>
            </w:r>
          </w:p>
        </w:tc>
        <w:tc>
          <w:tcPr>
            <w:tcW w:w="3361" w:type="pct"/>
            <w:vAlign w:val="center"/>
          </w:tcPr>
          <w:p w14:paraId="14307C1D">
            <w:pPr>
              <w:spacing w:line="360" w:lineRule="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本项目包含的所有</w:t>
            </w:r>
            <w:r>
              <w:rPr>
                <w:rFonts w:hint="eastAsia" w:ascii="宋体" w:hAnsi="宋体" w:cs="宋体"/>
                <w:color w:val="000000" w:themeColor="text1"/>
                <w:sz w:val="24"/>
                <w:szCs w:val="24"/>
                <w:highlight w:val="none"/>
                <w:lang w:val="en-US" w:eastAsia="zh-CN"/>
                <w14:textFill>
                  <w14:solidFill>
                    <w14:schemeClr w14:val="tx1"/>
                  </w14:solidFill>
                </w14:textFill>
              </w:rPr>
              <w:t>服务</w:t>
            </w:r>
            <w:r>
              <w:rPr>
                <w:rFonts w:hint="eastAsia" w:ascii="宋体" w:hAnsi="宋体" w:eastAsia="宋体" w:cs="宋体"/>
                <w:color w:val="000000" w:themeColor="text1"/>
                <w:sz w:val="24"/>
                <w:szCs w:val="24"/>
                <w:highlight w:val="none"/>
                <w14:textFill>
                  <w14:solidFill>
                    <w14:schemeClr w14:val="tx1"/>
                  </w14:solidFill>
                </w14:textFill>
              </w:rPr>
              <w:t>内容</w:t>
            </w:r>
          </w:p>
        </w:tc>
      </w:tr>
      <w:tr w14:paraId="3C0C1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45" w:type="pct"/>
            <w:vAlign w:val="center"/>
          </w:tcPr>
          <w:p w14:paraId="1EF8D9B4">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1.3.2</w:t>
            </w:r>
          </w:p>
        </w:tc>
        <w:tc>
          <w:tcPr>
            <w:tcW w:w="1092" w:type="pct"/>
            <w:vAlign w:val="center"/>
          </w:tcPr>
          <w:p w14:paraId="1EF27D32">
            <w:pPr>
              <w:spacing w:line="360" w:lineRule="auto"/>
              <w:jc w:val="center"/>
              <w:rPr>
                <w:rFonts w:hint="eastAsia" w:ascii="宋体" w:hAnsi="宋体" w:eastAsia="宋体" w:cs="宋体"/>
                <w:b/>
                <w:bCs/>
                <w:sz w:val="24"/>
                <w:szCs w:val="24"/>
                <w:highlight w:val="none"/>
                <w:lang w:eastAsia="zh-CN"/>
              </w:rPr>
            </w:pPr>
            <w:r>
              <w:rPr>
                <w:rFonts w:hint="eastAsia" w:ascii="宋体" w:hAnsi="宋体" w:cs="宋体"/>
                <w:b/>
                <w:bCs/>
                <w:sz w:val="24"/>
                <w:szCs w:val="24"/>
                <w:highlight w:val="none"/>
                <w:lang w:eastAsia="zh-CN"/>
              </w:rPr>
              <w:t>服务期</w:t>
            </w:r>
          </w:p>
        </w:tc>
        <w:tc>
          <w:tcPr>
            <w:tcW w:w="3361" w:type="pct"/>
            <w:vAlign w:val="center"/>
          </w:tcPr>
          <w:p w14:paraId="72E245A0">
            <w:pPr>
              <w:spacing w:line="360" w:lineRule="auto"/>
              <w:rPr>
                <w:rFonts w:hint="default"/>
                <w:highlight w:val="yellow"/>
                <w:lang w:val="en-US" w:eastAsia="zh-CN"/>
              </w:rPr>
            </w:pPr>
            <w:r>
              <w:rPr>
                <w:rFonts w:hint="eastAsia" w:ascii="宋体" w:hAnsi="宋体" w:cs="宋体"/>
                <w:b/>
                <w:bCs/>
                <w:color w:val="000000" w:themeColor="text1"/>
                <w:sz w:val="24"/>
                <w:szCs w:val="24"/>
                <w:highlight w:val="none"/>
                <w:lang w:val="en-US" w:eastAsia="zh-CN"/>
                <w14:textFill>
                  <w14:solidFill>
                    <w14:schemeClr w14:val="tx1"/>
                  </w14:solidFill>
                </w14:textFill>
              </w:rPr>
              <w:t>自合同签订之日起90日历天（由于天气因素影响，服务期可以顺延）</w:t>
            </w:r>
          </w:p>
        </w:tc>
      </w:tr>
      <w:tr w14:paraId="51F6E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45" w:type="pct"/>
            <w:vAlign w:val="center"/>
          </w:tcPr>
          <w:p w14:paraId="2E42ED0D">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1.3.3</w:t>
            </w:r>
          </w:p>
        </w:tc>
        <w:tc>
          <w:tcPr>
            <w:tcW w:w="1092" w:type="pct"/>
            <w:vAlign w:val="center"/>
          </w:tcPr>
          <w:p w14:paraId="50C3EDDD">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质量标准</w:t>
            </w:r>
          </w:p>
        </w:tc>
        <w:tc>
          <w:tcPr>
            <w:tcW w:w="3361" w:type="pct"/>
            <w:vAlign w:val="center"/>
          </w:tcPr>
          <w:p w14:paraId="161B3273">
            <w:pPr>
              <w:spacing w:line="360" w:lineRule="auto"/>
              <w:rPr>
                <w:rFonts w:hint="eastAsia" w:ascii="宋体" w:hAnsi="宋体" w:eastAsia="宋体" w:cs="宋体"/>
                <w:sz w:val="24"/>
                <w:szCs w:val="24"/>
                <w:highlight w:val="none"/>
              </w:rPr>
            </w:pPr>
            <w:bookmarkStart w:id="10" w:name="OLE_LINK18"/>
            <w:bookmarkStart w:id="11" w:name="OLE_LINK34"/>
            <w:r>
              <w:rPr>
                <w:rFonts w:hint="eastAsia" w:ascii="宋体" w:hAnsi="宋体" w:eastAsia="宋体" w:cs="宋体"/>
                <w:kern w:val="0"/>
                <w:sz w:val="24"/>
                <w:szCs w:val="24"/>
                <w:highlight w:val="none"/>
              </w:rPr>
              <w:t>符合国家现行有关质量验收规范“合格”要求。</w:t>
            </w:r>
            <w:bookmarkEnd w:id="10"/>
            <w:bookmarkEnd w:id="11"/>
          </w:p>
        </w:tc>
      </w:tr>
      <w:tr w14:paraId="75FB0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45" w:type="pct"/>
            <w:vAlign w:val="center"/>
          </w:tcPr>
          <w:p w14:paraId="670CAEB1">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1.4.1</w:t>
            </w:r>
          </w:p>
        </w:tc>
        <w:tc>
          <w:tcPr>
            <w:tcW w:w="1092" w:type="pct"/>
            <w:vAlign w:val="center"/>
          </w:tcPr>
          <w:p w14:paraId="7D5CC08F">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资格审查条件</w:t>
            </w:r>
          </w:p>
        </w:tc>
        <w:tc>
          <w:tcPr>
            <w:tcW w:w="3361" w:type="pct"/>
            <w:vAlign w:val="center"/>
          </w:tcPr>
          <w:p w14:paraId="465D49AE">
            <w:pPr>
              <w:spacing w:line="360" w:lineRule="auto"/>
              <w:rPr>
                <w:rFonts w:hint="eastAsia" w:ascii="宋体" w:hAnsi="宋体" w:eastAsia="宋体" w:cs="宋体"/>
                <w:sz w:val="24"/>
                <w:szCs w:val="24"/>
                <w:highlight w:val="none"/>
              </w:rPr>
            </w:pPr>
            <w:r>
              <w:rPr>
                <w:rFonts w:hint="eastAsia" w:ascii="宋体" w:hAnsi="宋体" w:cs="宋体"/>
                <w:sz w:val="24"/>
                <w:szCs w:val="24"/>
                <w:highlight w:val="none"/>
                <w:lang w:val="en-US" w:eastAsia="zh-CN"/>
              </w:rPr>
              <w:t>合同包1-合同包25</w:t>
            </w:r>
            <w:r>
              <w:rPr>
                <w:rFonts w:hint="eastAsia" w:ascii="宋体" w:hAnsi="宋体" w:eastAsia="宋体" w:cs="宋体"/>
                <w:sz w:val="24"/>
                <w:szCs w:val="24"/>
                <w:highlight w:val="none"/>
              </w:rPr>
              <w:t>资格证明文件：</w:t>
            </w:r>
          </w:p>
          <w:p w14:paraId="48EAB908">
            <w:pPr>
              <w:numPr>
                <w:ilvl w:val="0"/>
                <w:numId w:val="0"/>
              </w:numPr>
              <w:spacing w:line="360" w:lineRule="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（1）提供合格有效的法人或者其他组织的营业执照等证明文件，自然人的身份证明；</w:t>
            </w:r>
          </w:p>
          <w:p w14:paraId="6837954D">
            <w:pPr>
              <w:numPr>
                <w:ilvl w:val="0"/>
                <w:numId w:val="0"/>
              </w:numPr>
              <w:spacing w:line="360" w:lineRule="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（2）提供法定代表人授权书（附法定代表人、被授权人身份证复印件，法定代表人直接参加投标，须提供法定代表人身份证明及身份证复印件）；</w:t>
            </w:r>
          </w:p>
          <w:p w14:paraId="4F246E0A">
            <w:pPr>
              <w:numPr>
                <w:ilvl w:val="0"/>
                <w:numId w:val="0"/>
              </w:numPr>
              <w:spacing w:line="360" w:lineRule="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（3）提供2024年度的财务审计报告（成立时间至提交投标文件截止时间不足一年的可提供成立后任意时段的资产负债表）或开标时间前六个月内银行出具的资信证明；</w:t>
            </w:r>
          </w:p>
          <w:p w14:paraId="3EC9D242">
            <w:pPr>
              <w:numPr>
                <w:ilvl w:val="0"/>
                <w:numId w:val="0"/>
              </w:numPr>
              <w:spacing w:line="360" w:lineRule="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（4）税收缴纳证明：提供投标截止日前近一年内任意一个月的纳税证明或完税证明（任意税种），依法免税的单位应提供相关证明材料；</w:t>
            </w:r>
          </w:p>
          <w:p w14:paraId="677F9F5E">
            <w:pPr>
              <w:numPr>
                <w:ilvl w:val="0"/>
                <w:numId w:val="0"/>
              </w:numPr>
              <w:spacing w:line="360" w:lineRule="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（5）社会保障资金缴纳证明：提供投标截止日前近一年内任意一个月的社会保障资金缴存单据或社保机构开具的社会保险参保缴费情况证明，依法不需要缴纳社会保障资金的单位应提供相关证明材料；</w:t>
            </w:r>
          </w:p>
          <w:p w14:paraId="2394E065">
            <w:pPr>
              <w:numPr>
                <w:ilvl w:val="0"/>
                <w:numId w:val="0"/>
              </w:numPr>
              <w:spacing w:line="360" w:lineRule="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（6）提供具有履行本合同所必需的设备和专业技术能力的说明及承诺书；</w:t>
            </w:r>
          </w:p>
          <w:p w14:paraId="0FE0F8FC">
            <w:pPr>
              <w:numPr>
                <w:ilvl w:val="0"/>
                <w:numId w:val="0"/>
              </w:numPr>
              <w:spacing w:line="360" w:lineRule="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（7）供应商通过“信用中国”网站(www.creditchina.gov.cn)、中国政府采购网(www.ccgp.gov.cn)等查询相关主体信用记录；</w:t>
            </w:r>
          </w:p>
          <w:p w14:paraId="610B1A0B">
            <w:pPr>
              <w:numPr>
                <w:ilvl w:val="0"/>
                <w:numId w:val="0"/>
              </w:numPr>
              <w:spacing w:line="360" w:lineRule="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（8）参加政府采购活动前3年内，在经营活动中没有重大违法记录的书面声明；</w:t>
            </w:r>
          </w:p>
          <w:p w14:paraId="159B3C91">
            <w:pPr>
              <w:numPr>
                <w:ilvl w:val="0"/>
                <w:numId w:val="0"/>
              </w:numPr>
              <w:spacing w:line="360" w:lineRule="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（9）提供中小企业声明函；</w:t>
            </w:r>
          </w:p>
          <w:p w14:paraId="3178579A">
            <w:pPr>
              <w:numPr>
                <w:ilvl w:val="0"/>
                <w:numId w:val="0"/>
              </w:numPr>
              <w:spacing w:line="360" w:lineRule="auto"/>
              <w:rPr>
                <w:rFonts w:hint="eastAsia" w:ascii="宋体" w:hAnsi="宋体" w:eastAsia="宋体" w:cs="宋体"/>
                <w:sz w:val="24"/>
                <w:szCs w:val="24"/>
                <w:highlight w:val="none"/>
              </w:rPr>
            </w:pPr>
            <w:r>
              <w:rPr>
                <w:rFonts w:hint="eastAsia" w:ascii="宋体" w:hAnsi="宋体" w:eastAsia="宋体" w:cs="宋体"/>
                <w:kern w:val="2"/>
                <w:sz w:val="24"/>
                <w:szCs w:val="24"/>
                <w:lang w:val="en-US" w:eastAsia="zh-CN" w:bidi="ar-SA"/>
              </w:rPr>
              <w:t>（10）本项目不接受联合体投标（提供承诺书）。</w:t>
            </w:r>
          </w:p>
          <w:p w14:paraId="67A932DF">
            <w:pPr>
              <w:spacing w:line="360" w:lineRule="auto"/>
              <w:rPr>
                <w:rFonts w:hint="eastAsia" w:ascii="宋体" w:hAnsi="宋体" w:eastAsia="宋体" w:cs="宋体"/>
                <w:sz w:val="24"/>
                <w:szCs w:val="24"/>
                <w:highlight w:val="none"/>
              </w:rPr>
            </w:pPr>
            <w:r>
              <w:rPr>
                <w:rFonts w:hint="eastAsia" w:ascii="宋体" w:hAnsi="宋体" w:eastAsia="宋体" w:cs="宋体"/>
                <w:b/>
                <w:bCs/>
                <w:sz w:val="24"/>
                <w:szCs w:val="24"/>
                <w:highlight w:val="none"/>
              </w:rPr>
              <w:t>以上（1-10）为必备资质，缺一项或某项达不到要求，按无效投标处理。</w:t>
            </w:r>
          </w:p>
        </w:tc>
      </w:tr>
      <w:tr w14:paraId="4F4CD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45" w:type="pct"/>
            <w:vAlign w:val="center"/>
          </w:tcPr>
          <w:p w14:paraId="12A42797">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1.4.2</w:t>
            </w:r>
          </w:p>
        </w:tc>
        <w:tc>
          <w:tcPr>
            <w:tcW w:w="1092" w:type="pct"/>
            <w:vAlign w:val="center"/>
          </w:tcPr>
          <w:p w14:paraId="6AC1AF0A">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招标文件</w:t>
            </w:r>
            <w:r>
              <w:rPr>
                <w:rFonts w:hint="eastAsia" w:ascii="宋体" w:hAnsi="宋体" w:eastAsia="宋体" w:cs="宋体"/>
                <w:sz w:val="24"/>
                <w:szCs w:val="24"/>
                <w:highlight w:val="none"/>
                <w:lang w:val="en-US" w:eastAsia="zh-CN"/>
              </w:rPr>
              <w:t>获取</w:t>
            </w:r>
            <w:r>
              <w:rPr>
                <w:rFonts w:hint="eastAsia" w:ascii="宋体" w:hAnsi="宋体" w:eastAsia="宋体" w:cs="宋体"/>
                <w:sz w:val="24"/>
                <w:szCs w:val="24"/>
                <w:highlight w:val="none"/>
              </w:rPr>
              <w:t>时间</w:t>
            </w:r>
          </w:p>
        </w:tc>
        <w:tc>
          <w:tcPr>
            <w:tcW w:w="3361" w:type="pct"/>
            <w:vAlign w:val="center"/>
          </w:tcPr>
          <w:p w14:paraId="1DB3AF0C">
            <w:pPr>
              <w:spacing w:line="420" w:lineRule="exact"/>
              <w:rPr>
                <w:rFonts w:hint="eastAsia" w:ascii="宋体" w:hAnsi="宋体" w:eastAsia="宋体" w:cs="宋体"/>
                <w:sz w:val="24"/>
                <w:szCs w:val="24"/>
                <w:highlight w:val="none"/>
              </w:rPr>
            </w:pPr>
            <w:r>
              <w:rPr>
                <w:rFonts w:hint="eastAsia" w:ascii="宋体" w:hAnsi="宋体" w:eastAsia="宋体" w:cs="宋体"/>
                <w:sz w:val="24"/>
                <w:szCs w:val="24"/>
                <w:highlight w:val="none"/>
              </w:rPr>
              <w:t>详见招标公告</w:t>
            </w:r>
          </w:p>
        </w:tc>
      </w:tr>
      <w:tr w14:paraId="62C51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45" w:type="pct"/>
            <w:vAlign w:val="center"/>
          </w:tcPr>
          <w:p w14:paraId="4064E2F3">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1.9</w:t>
            </w:r>
          </w:p>
        </w:tc>
        <w:tc>
          <w:tcPr>
            <w:tcW w:w="1092" w:type="pct"/>
            <w:vAlign w:val="center"/>
          </w:tcPr>
          <w:p w14:paraId="77319D2A">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踏勘现场</w:t>
            </w:r>
          </w:p>
        </w:tc>
        <w:tc>
          <w:tcPr>
            <w:tcW w:w="3361" w:type="pct"/>
            <w:vAlign w:val="center"/>
          </w:tcPr>
          <w:p w14:paraId="7F26C7B2">
            <w:pPr>
              <w:spacing w:line="420" w:lineRule="exact"/>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1）招标代理机构不组织统一踏勘，各投标人自行踏勘，相关费用及安全由投标人自行承担，踏勘时遵守相关规定，不得扰民。</w:t>
            </w:r>
          </w:p>
          <w:p w14:paraId="0396038D">
            <w:pPr>
              <w:spacing w:line="420" w:lineRule="exact"/>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2）踏勘内容包含：完成本次招标所需要的现场工况及周围环境等资料。</w:t>
            </w:r>
          </w:p>
          <w:p w14:paraId="44118A4E">
            <w:pPr>
              <w:spacing w:line="360" w:lineRule="auto"/>
              <w:jc w:val="left"/>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联系人：</w:t>
            </w:r>
            <w:r>
              <w:rPr>
                <w:rFonts w:hint="eastAsia" w:ascii="宋体" w:hAnsi="宋体" w:cs="宋体"/>
                <w:sz w:val="24"/>
                <w:szCs w:val="24"/>
                <w:highlight w:val="none"/>
                <w:lang w:eastAsia="zh-CN"/>
              </w:rPr>
              <w:t>柞水县林业局</w:t>
            </w:r>
          </w:p>
          <w:p w14:paraId="0834EDA0">
            <w:pPr>
              <w:spacing w:line="360" w:lineRule="auto"/>
              <w:jc w:val="left"/>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联系电话：</w:t>
            </w:r>
            <w:r>
              <w:rPr>
                <w:rFonts w:hint="eastAsia" w:ascii="宋体" w:hAnsi="宋体" w:cs="宋体"/>
                <w:sz w:val="24"/>
                <w:szCs w:val="24"/>
                <w:highlight w:val="none"/>
                <w:lang w:eastAsia="zh-CN"/>
              </w:rPr>
              <w:t>18202922130</w:t>
            </w:r>
          </w:p>
        </w:tc>
      </w:tr>
      <w:tr w14:paraId="37020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45" w:type="pct"/>
            <w:vAlign w:val="center"/>
          </w:tcPr>
          <w:p w14:paraId="05B9E311">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1.10</w:t>
            </w:r>
          </w:p>
        </w:tc>
        <w:tc>
          <w:tcPr>
            <w:tcW w:w="1092" w:type="pct"/>
            <w:vAlign w:val="center"/>
          </w:tcPr>
          <w:p w14:paraId="66D66001">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投标答疑会</w:t>
            </w:r>
          </w:p>
        </w:tc>
        <w:tc>
          <w:tcPr>
            <w:tcW w:w="3361" w:type="pct"/>
            <w:vAlign w:val="center"/>
          </w:tcPr>
          <w:p w14:paraId="26810965">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不召开；若有疑问，均应在购买招标文件后7个工作日内以书面形式向采购代理机构提出。</w:t>
            </w:r>
          </w:p>
        </w:tc>
      </w:tr>
      <w:tr w14:paraId="3AECF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45" w:type="pct"/>
            <w:vAlign w:val="center"/>
          </w:tcPr>
          <w:p w14:paraId="4D2F6C39">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1.11</w:t>
            </w:r>
          </w:p>
        </w:tc>
        <w:tc>
          <w:tcPr>
            <w:tcW w:w="1092" w:type="pct"/>
            <w:vAlign w:val="center"/>
          </w:tcPr>
          <w:p w14:paraId="193C5C24">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分包</w:t>
            </w:r>
          </w:p>
        </w:tc>
        <w:tc>
          <w:tcPr>
            <w:tcW w:w="3361" w:type="pct"/>
            <w:vAlign w:val="center"/>
          </w:tcPr>
          <w:p w14:paraId="4BB6F581">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不允许</w:t>
            </w:r>
          </w:p>
        </w:tc>
      </w:tr>
      <w:tr w14:paraId="19BAD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45" w:type="pct"/>
            <w:vAlign w:val="center"/>
          </w:tcPr>
          <w:p w14:paraId="1B943AFF">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3.1.1</w:t>
            </w:r>
          </w:p>
        </w:tc>
        <w:tc>
          <w:tcPr>
            <w:tcW w:w="1092" w:type="pct"/>
            <w:vAlign w:val="center"/>
          </w:tcPr>
          <w:p w14:paraId="21BD5988">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构成投标文件的其他材料</w:t>
            </w:r>
          </w:p>
        </w:tc>
        <w:tc>
          <w:tcPr>
            <w:tcW w:w="3361" w:type="pct"/>
            <w:vAlign w:val="center"/>
          </w:tcPr>
          <w:p w14:paraId="7EEFB499">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投标人按照招标文件的要求认为有利于投标的材料。</w:t>
            </w:r>
          </w:p>
        </w:tc>
      </w:tr>
      <w:tr w14:paraId="6B31E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45" w:type="pct"/>
            <w:vAlign w:val="center"/>
          </w:tcPr>
          <w:p w14:paraId="08CE4AE3">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3.4.1</w:t>
            </w:r>
          </w:p>
        </w:tc>
        <w:tc>
          <w:tcPr>
            <w:tcW w:w="1092" w:type="pct"/>
            <w:vAlign w:val="center"/>
          </w:tcPr>
          <w:p w14:paraId="04CACD7C">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投标报价</w:t>
            </w:r>
          </w:p>
        </w:tc>
        <w:tc>
          <w:tcPr>
            <w:tcW w:w="3361" w:type="pct"/>
            <w:vAlign w:val="center"/>
          </w:tcPr>
          <w:p w14:paraId="45EA02A5">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以中标价为依据签订总价合同。</w:t>
            </w:r>
          </w:p>
        </w:tc>
      </w:tr>
      <w:tr w14:paraId="3777C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45" w:type="pct"/>
            <w:vAlign w:val="center"/>
          </w:tcPr>
          <w:p w14:paraId="10438D83">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3.3.1</w:t>
            </w:r>
          </w:p>
        </w:tc>
        <w:tc>
          <w:tcPr>
            <w:tcW w:w="1092" w:type="pct"/>
            <w:vAlign w:val="center"/>
          </w:tcPr>
          <w:p w14:paraId="1E013333">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投标有效期</w:t>
            </w:r>
          </w:p>
        </w:tc>
        <w:tc>
          <w:tcPr>
            <w:tcW w:w="3361" w:type="pct"/>
            <w:vAlign w:val="center"/>
          </w:tcPr>
          <w:p w14:paraId="02997E84">
            <w:pPr>
              <w:spacing w:line="360" w:lineRule="auto"/>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90日历天（从投标截止之日算起）</w:t>
            </w:r>
          </w:p>
        </w:tc>
      </w:tr>
      <w:tr w14:paraId="46855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45" w:type="pct"/>
            <w:vAlign w:val="center"/>
          </w:tcPr>
          <w:p w14:paraId="6948B8AB">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3.6</w:t>
            </w:r>
          </w:p>
        </w:tc>
        <w:tc>
          <w:tcPr>
            <w:tcW w:w="1092" w:type="pct"/>
            <w:vAlign w:val="center"/>
          </w:tcPr>
          <w:p w14:paraId="72BF4EEB">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投标保证金</w:t>
            </w:r>
          </w:p>
        </w:tc>
        <w:tc>
          <w:tcPr>
            <w:tcW w:w="3361" w:type="pct"/>
            <w:vAlign w:val="center"/>
          </w:tcPr>
          <w:p w14:paraId="1F74469E">
            <w:pPr>
              <w:spacing w:line="360" w:lineRule="auto"/>
              <w:rPr>
                <w:rFonts w:hint="eastAsia" w:ascii="宋体" w:hAnsi="宋体" w:eastAsia="宋体" w:cs="宋体"/>
                <w:sz w:val="24"/>
                <w:szCs w:val="24"/>
                <w:highlight w:val="none"/>
              </w:rPr>
            </w:pPr>
            <w:r>
              <w:rPr>
                <w:rFonts w:hint="eastAsia" w:ascii="宋体" w:hAnsi="宋体" w:eastAsia="宋体" w:cs="宋体"/>
                <w:b/>
                <w:bCs/>
                <w:sz w:val="24"/>
                <w:szCs w:val="24"/>
                <w:highlight w:val="none"/>
              </w:rPr>
              <w:t>投标保证金：本项目不缴纳投标保证金（招标文件中关于投标保证金要求均不适用）</w:t>
            </w:r>
          </w:p>
        </w:tc>
      </w:tr>
      <w:tr w14:paraId="7BE87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45" w:type="pct"/>
            <w:vAlign w:val="center"/>
          </w:tcPr>
          <w:p w14:paraId="50A42762">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3.4.2</w:t>
            </w:r>
          </w:p>
        </w:tc>
        <w:tc>
          <w:tcPr>
            <w:tcW w:w="1092" w:type="pct"/>
            <w:vAlign w:val="center"/>
          </w:tcPr>
          <w:p w14:paraId="67785FF2">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代理服务费</w:t>
            </w:r>
          </w:p>
        </w:tc>
        <w:tc>
          <w:tcPr>
            <w:tcW w:w="3361" w:type="pct"/>
            <w:vAlign w:val="center"/>
          </w:tcPr>
          <w:p w14:paraId="7953DB5E">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1.收费标准：按国家计委颁发的《招标代理服务收费管理暂行办法》（计价格[2002]1980号）</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国家发展</w:t>
            </w:r>
            <w:r>
              <w:rPr>
                <w:rFonts w:hint="eastAsia" w:ascii="宋体" w:hAnsi="宋体" w:eastAsia="宋体" w:cs="宋体"/>
                <w:sz w:val="24"/>
                <w:szCs w:val="24"/>
                <w:highlight w:val="none"/>
                <w:lang w:val="en-US" w:eastAsia="zh-CN"/>
              </w:rPr>
              <w:t>和</w:t>
            </w:r>
            <w:r>
              <w:rPr>
                <w:rFonts w:hint="eastAsia" w:ascii="宋体" w:hAnsi="宋体" w:eastAsia="宋体" w:cs="宋体"/>
                <w:sz w:val="24"/>
                <w:szCs w:val="24"/>
                <w:highlight w:val="none"/>
              </w:rPr>
              <w:t>改革委员会办公厅颁发的《关于招标代理服务收费有关问题的通知》（发改办价格[2003]857号）的有关标准执行。</w:t>
            </w:r>
          </w:p>
          <w:p w14:paraId="505C6AE4">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2.由中标单位向招标代理机构一次性缴付招标代理服务费。</w:t>
            </w:r>
          </w:p>
        </w:tc>
      </w:tr>
      <w:tr w14:paraId="4AC99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45" w:type="pct"/>
            <w:vAlign w:val="center"/>
          </w:tcPr>
          <w:p w14:paraId="4FE1F447">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3.5</w:t>
            </w:r>
          </w:p>
        </w:tc>
        <w:tc>
          <w:tcPr>
            <w:tcW w:w="1092" w:type="pct"/>
            <w:vAlign w:val="center"/>
          </w:tcPr>
          <w:p w14:paraId="75B9C55C">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是否允许递交</w:t>
            </w:r>
          </w:p>
          <w:p w14:paraId="497DBFD2">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备选投标方案</w:t>
            </w:r>
          </w:p>
        </w:tc>
        <w:tc>
          <w:tcPr>
            <w:tcW w:w="3361" w:type="pct"/>
            <w:vAlign w:val="center"/>
          </w:tcPr>
          <w:p w14:paraId="5A13AF2C">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不允许</w:t>
            </w:r>
          </w:p>
        </w:tc>
      </w:tr>
      <w:tr w14:paraId="61123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45" w:type="pct"/>
            <w:vAlign w:val="center"/>
          </w:tcPr>
          <w:p w14:paraId="60FEF9EF">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3.6.3</w:t>
            </w:r>
          </w:p>
        </w:tc>
        <w:tc>
          <w:tcPr>
            <w:tcW w:w="1092" w:type="pct"/>
            <w:vAlign w:val="center"/>
          </w:tcPr>
          <w:p w14:paraId="20BFC28F">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签字或盖章要求</w:t>
            </w:r>
          </w:p>
        </w:tc>
        <w:tc>
          <w:tcPr>
            <w:tcW w:w="3361" w:type="pct"/>
            <w:vAlign w:val="center"/>
          </w:tcPr>
          <w:p w14:paraId="19C691E8">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投标文件封面、投标函及其它有要求处必须加盖投标人公章并经法定代表人或其委托代理人签字或盖章。</w:t>
            </w:r>
            <w:bookmarkStart w:id="12" w:name="_Toc343511347"/>
          </w:p>
          <w:p w14:paraId="76C33B00">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投标文件应无涂改或行间插字和增删。如确需修改，修改处必须由投标人加盖投标人公章并经法定代表人或其委托代理人签字或盖章。</w:t>
            </w:r>
            <w:bookmarkEnd w:id="12"/>
          </w:p>
        </w:tc>
      </w:tr>
      <w:tr w14:paraId="059F7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45" w:type="pct"/>
            <w:vAlign w:val="center"/>
          </w:tcPr>
          <w:p w14:paraId="359B33CE">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3.6.4</w:t>
            </w:r>
          </w:p>
        </w:tc>
        <w:tc>
          <w:tcPr>
            <w:tcW w:w="1092" w:type="pct"/>
            <w:vAlign w:val="center"/>
          </w:tcPr>
          <w:p w14:paraId="79CA15BA">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投标文件份数</w:t>
            </w:r>
          </w:p>
        </w:tc>
        <w:tc>
          <w:tcPr>
            <w:tcW w:w="3361" w:type="pct"/>
            <w:vAlign w:val="center"/>
          </w:tcPr>
          <w:p w14:paraId="6F75615E">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投标文件正本</w:t>
            </w:r>
            <w:r>
              <w:rPr>
                <w:rFonts w:hint="eastAsia" w:ascii="宋体" w:hAnsi="宋体" w:eastAsia="宋体" w:cs="宋体"/>
                <w:sz w:val="24"/>
                <w:szCs w:val="24"/>
                <w:highlight w:val="none"/>
                <w:u w:val="single"/>
              </w:rPr>
              <w:t>壹</w:t>
            </w:r>
            <w:r>
              <w:rPr>
                <w:rFonts w:hint="eastAsia" w:ascii="宋体" w:hAnsi="宋体" w:eastAsia="宋体" w:cs="宋体"/>
                <w:sz w:val="24"/>
                <w:szCs w:val="24"/>
                <w:highlight w:val="none"/>
              </w:rPr>
              <w:t>份,副本</w:t>
            </w:r>
            <w:r>
              <w:rPr>
                <w:rFonts w:hint="eastAsia" w:ascii="宋体" w:hAnsi="宋体" w:eastAsia="宋体" w:cs="宋体"/>
                <w:sz w:val="24"/>
                <w:szCs w:val="24"/>
                <w:highlight w:val="none"/>
                <w:u w:val="single"/>
              </w:rPr>
              <w:t>贰</w:t>
            </w:r>
            <w:r>
              <w:rPr>
                <w:rFonts w:hint="eastAsia" w:ascii="宋体" w:hAnsi="宋体" w:eastAsia="宋体" w:cs="宋体"/>
                <w:sz w:val="24"/>
                <w:szCs w:val="24"/>
                <w:highlight w:val="none"/>
              </w:rPr>
              <w:t>份,</w:t>
            </w:r>
            <w:r>
              <w:rPr>
                <w:rFonts w:hint="eastAsia" w:ascii="宋体" w:hAnsi="宋体" w:eastAsia="宋体" w:cs="宋体"/>
                <w:b/>
                <w:bCs/>
                <w:sz w:val="24"/>
                <w:szCs w:val="24"/>
                <w:highlight w:val="none"/>
              </w:rPr>
              <w:t>投标文件电子版</w:t>
            </w:r>
            <w:r>
              <w:rPr>
                <w:rFonts w:hint="eastAsia" w:ascii="宋体" w:hAnsi="宋体" w:eastAsia="宋体" w:cs="宋体"/>
                <w:b/>
                <w:bCs/>
                <w:sz w:val="24"/>
                <w:szCs w:val="24"/>
                <w:highlight w:val="none"/>
                <w:lang w:eastAsia="zh-CN"/>
              </w:rPr>
              <w:t>（</w:t>
            </w:r>
            <w:r>
              <w:rPr>
                <w:rFonts w:hint="eastAsia" w:ascii="宋体" w:hAnsi="宋体" w:eastAsia="宋体" w:cs="宋体"/>
                <w:b/>
                <w:bCs/>
                <w:sz w:val="24"/>
                <w:szCs w:val="24"/>
                <w:highlight w:val="none"/>
                <w:lang w:val="en-US" w:eastAsia="zh-CN"/>
              </w:rPr>
              <w:t>word及PDF)</w:t>
            </w:r>
            <w:r>
              <w:rPr>
                <w:rFonts w:hint="eastAsia" w:ascii="宋体" w:hAnsi="宋体" w:eastAsia="宋体" w:cs="宋体"/>
                <w:sz w:val="24"/>
                <w:szCs w:val="24"/>
                <w:highlight w:val="none"/>
                <w:u w:val="single"/>
              </w:rPr>
              <w:t>壹</w:t>
            </w:r>
            <w:r>
              <w:rPr>
                <w:rFonts w:hint="eastAsia" w:ascii="宋体" w:hAnsi="宋体" w:eastAsia="宋体" w:cs="宋体"/>
                <w:sz w:val="24"/>
                <w:szCs w:val="24"/>
                <w:highlight w:val="none"/>
              </w:rPr>
              <w:t>份（U盘），开标一览表</w:t>
            </w:r>
            <w:r>
              <w:rPr>
                <w:rFonts w:hint="eastAsia" w:ascii="宋体" w:hAnsi="宋体" w:eastAsia="宋体" w:cs="宋体"/>
                <w:sz w:val="24"/>
                <w:szCs w:val="24"/>
                <w:highlight w:val="none"/>
                <w:u w:val="single"/>
              </w:rPr>
              <w:t>壹</w:t>
            </w:r>
            <w:r>
              <w:rPr>
                <w:rFonts w:hint="eastAsia" w:ascii="宋体" w:hAnsi="宋体" w:eastAsia="宋体" w:cs="宋体"/>
                <w:sz w:val="24"/>
                <w:szCs w:val="24"/>
                <w:highlight w:val="none"/>
              </w:rPr>
              <w:t>份</w:t>
            </w:r>
          </w:p>
        </w:tc>
      </w:tr>
      <w:tr w14:paraId="28B25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45" w:type="pct"/>
            <w:vAlign w:val="center"/>
          </w:tcPr>
          <w:p w14:paraId="35922FA4">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4.1.2</w:t>
            </w:r>
          </w:p>
        </w:tc>
        <w:tc>
          <w:tcPr>
            <w:tcW w:w="1092" w:type="pct"/>
            <w:vAlign w:val="center"/>
          </w:tcPr>
          <w:p w14:paraId="298C9846">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投标文件密封</w:t>
            </w:r>
          </w:p>
        </w:tc>
        <w:tc>
          <w:tcPr>
            <w:tcW w:w="3361" w:type="pct"/>
            <w:vAlign w:val="center"/>
          </w:tcPr>
          <w:p w14:paraId="0072F78B">
            <w:pPr>
              <w:spacing w:line="360" w:lineRule="auto"/>
              <w:ind w:left="360" w:hanging="360" w:hangingChars="150"/>
              <w:rPr>
                <w:rFonts w:hint="eastAsia" w:ascii="宋体" w:hAnsi="宋体" w:eastAsia="宋体" w:cs="宋体"/>
                <w:sz w:val="24"/>
                <w:szCs w:val="24"/>
                <w:highlight w:val="none"/>
              </w:rPr>
            </w:pPr>
            <w:r>
              <w:rPr>
                <w:rFonts w:hint="eastAsia" w:ascii="宋体" w:hAnsi="宋体" w:eastAsia="宋体" w:cs="宋体"/>
                <w:sz w:val="24"/>
                <w:szCs w:val="24"/>
                <w:highlight w:val="none"/>
              </w:rPr>
              <w:t>1、投标文件正、副本应分别装订成册，装订应牢固、不易拆散和换页，不得采用活页装订。封袋应加贴封条，并在封线处由法定代表人或委托代理人签字盖章后加盖投标人公章。</w:t>
            </w:r>
          </w:p>
          <w:p w14:paraId="3C848583">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2、密封包装方式：</w:t>
            </w:r>
          </w:p>
          <w:p w14:paraId="65A661D9">
            <w:pPr>
              <w:spacing w:line="360" w:lineRule="auto"/>
              <w:ind w:firstLine="240" w:firstLineChars="100"/>
              <w:rPr>
                <w:rFonts w:hint="eastAsia" w:ascii="宋体" w:hAnsi="宋体" w:eastAsia="宋体" w:cs="宋体"/>
                <w:sz w:val="24"/>
                <w:szCs w:val="24"/>
                <w:highlight w:val="none"/>
              </w:rPr>
            </w:pPr>
            <w:r>
              <w:rPr>
                <w:rFonts w:hint="eastAsia" w:ascii="宋体" w:hAnsi="宋体" w:eastAsia="宋体" w:cs="宋体"/>
                <w:sz w:val="24"/>
                <w:szCs w:val="24"/>
                <w:highlight w:val="none"/>
              </w:rPr>
              <w:t>（1）投标文件正本、开标一览表、电子版一包密封。</w:t>
            </w:r>
          </w:p>
          <w:p w14:paraId="1314E342">
            <w:pPr>
              <w:spacing w:line="360" w:lineRule="auto"/>
              <w:ind w:firstLine="240" w:firstLineChars="100"/>
              <w:rPr>
                <w:rFonts w:hint="eastAsia" w:ascii="宋体" w:hAnsi="宋体" w:eastAsia="宋体" w:cs="宋体"/>
                <w:sz w:val="24"/>
                <w:szCs w:val="24"/>
                <w:highlight w:val="none"/>
              </w:rPr>
            </w:pPr>
            <w:r>
              <w:rPr>
                <w:rFonts w:hint="eastAsia" w:ascii="宋体" w:hAnsi="宋体" w:eastAsia="宋体" w:cs="宋体"/>
                <w:sz w:val="24"/>
                <w:szCs w:val="24"/>
                <w:highlight w:val="none"/>
              </w:rPr>
              <w:t>（2）投标文件所有副本一包密封。</w:t>
            </w:r>
          </w:p>
          <w:p w14:paraId="140B1BE1">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3、外层包装请按以下要求标记：</w:t>
            </w:r>
          </w:p>
          <w:p w14:paraId="287ADA03">
            <w:pPr>
              <w:spacing w:line="360" w:lineRule="auto"/>
              <w:ind w:firstLine="360" w:firstLineChars="150"/>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项目名称： </w:t>
            </w:r>
          </w:p>
          <w:p w14:paraId="52EA60A9">
            <w:pPr>
              <w:spacing w:line="360" w:lineRule="auto"/>
              <w:ind w:firstLine="360" w:firstLineChars="150"/>
              <w:rPr>
                <w:rFonts w:hint="eastAsia" w:ascii="宋体" w:hAnsi="宋体" w:eastAsia="宋体" w:cs="宋体"/>
                <w:sz w:val="24"/>
                <w:szCs w:val="24"/>
                <w:highlight w:val="none"/>
              </w:rPr>
            </w:pPr>
            <w:r>
              <w:rPr>
                <w:rFonts w:hint="eastAsia" w:ascii="宋体" w:hAnsi="宋体" w:eastAsia="宋体" w:cs="宋体"/>
                <w:sz w:val="24"/>
                <w:szCs w:val="24"/>
                <w:highlight w:val="none"/>
              </w:rPr>
              <w:t>项目编号：</w:t>
            </w:r>
          </w:p>
          <w:p w14:paraId="05D5F07B">
            <w:pPr>
              <w:spacing w:line="360" w:lineRule="auto"/>
              <w:ind w:firstLine="360" w:firstLineChars="150"/>
              <w:rPr>
                <w:rFonts w:hint="eastAsia" w:ascii="宋体" w:hAnsi="宋体" w:eastAsia="宋体" w:cs="宋体"/>
                <w:sz w:val="24"/>
                <w:szCs w:val="24"/>
                <w:highlight w:val="none"/>
              </w:rPr>
            </w:pPr>
            <w:r>
              <w:rPr>
                <w:rFonts w:hint="eastAsia" w:ascii="宋体" w:hAnsi="宋体" w:eastAsia="宋体" w:cs="宋体"/>
                <w:sz w:val="24"/>
                <w:szCs w:val="24"/>
                <w:highlight w:val="none"/>
              </w:rPr>
              <w:t>投标人名称：</w:t>
            </w:r>
          </w:p>
          <w:p w14:paraId="55EF1252">
            <w:pPr>
              <w:spacing w:line="360" w:lineRule="auto"/>
              <w:ind w:firstLine="360" w:firstLineChars="150"/>
              <w:rPr>
                <w:rFonts w:hint="eastAsia" w:ascii="宋体" w:hAnsi="宋体" w:eastAsia="宋体" w:cs="宋体"/>
                <w:sz w:val="24"/>
                <w:szCs w:val="24"/>
                <w:highlight w:val="none"/>
              </w:rPr>
            </w:pPr>
            <w:r>
              <w:rPr>
                <w:rFonts w:hint="eastAsia" w:ascii="宋体" w:hAnsi="宋体" w:eastAsia="宋体" w:cs="宋体"/>
                <w:sz w:val="24"/>
                <w:szCs w:val="24"/>
                <w:highlight w:val="none"/>
              </w:rPr>
              <w:t>内容：“正本”或“副本”</w:t>
            </w:r>
          </w:p>
          <w:p w14:paraId="4566725B">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投标文件在</w:t>
            </w:r>
            <w:r>
              <w:rPr>
                <w:rFonts w:hint="eastAsia" w:ascii="宋体" w:hAnsi="宋体" w:eastAsia="宋体" w:cs="宋体"/>
                <w:sz w:val="24"/>
                <w:szCs w:val="24"/>
                <w:highlight w:val="none"/>
                <w:u w:val="single"/>
              </w:rPr>
              <w:t xml:space="preserve"> 202</w:t>
            </w:r>
            <w:r>
              <w:rPr>
                <w:rFonts w:hint="eastAsia" w:ascii="宋体" w:hAnsi="宋体" w:eastAsia="宋体" w:cs="宋体"/>
                <w:sz w:val="24"/>
                <w:szCs w:val="24"/>
                <w:highlight w:val="none"/>
                <w:u w:val="single"/>
                <w:lang w:val="en-US" w:eastAsia="zh-CN"/>
              </w:rPr>
              <w:t>5</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年</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月</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日</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时</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分前不得开启；</w:t>
            </w:r>
          </w:p>
        </w:tc>
      </w:tr>
      <w:tr w14:paraId="75D0D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45" w:type="pct"/>
            <w:vAlign w:val="center"/>
          </w:tcPr>
          <w:p w14:paraId="49A94895">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4.2.2</w:t>
            </w:r>
          </w:p>
        </w:tc>
        <w:tc>
          <w:tcPr>
            <w:tcW w:w="1092" w:type="pct"/>
            <w:vAlign w:val="center"/>
          </w:tcPr>
          <w:p w14:paraId="47133433">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递交投标文件截止时间、地点</w:t>
            </w:r>
          </w:p>
        </w:tc>
        <w:tc>
          <w:tcPr>
            <w:tcW w:w="3361" w:type="pct"/>
            <w:vAlign w:val="center"/>
          </w:tcPr>
          <w:p w14:paraId="1C5891BC">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时间：202</w:t>
            </w:r>
            <w:r>
              <w:rPr>
                <w:rFonts w:hint="eastAsia" w:ascii="宋体" w:hAnsi="宋体" w:eastAsia="宋体" w:cs="宋体"/>
                <w:sz w:val="24"/>
                <w:szCs w:val="24"/>
                <w:highlight w:val="none"/>
                <w:lang w:val="en-US" w:eastAsia="zh-CN"/>
              </w:rPr>
              <w:t>5</w:t>
            </w:r>
            <w:r>
              <w:rPr>
                <w:rFonts w:hint="eastAsia" w:ascii="宋体" w:hAnsi="宋体" w:eastAsia="宋体" w:cs="宋体"/>
                <w:sz w:val="24"/>
                <w:szCs w:val="24"/>
                <w:highlight w:val="none"/>
              </w:rPr>
              <w:t>年</w:t>
            </w:r>
            <w:r>
              <w:rPr>
                <w:rFonts w:hint="eastAsia" w:ascii="宋体" w:hAnsi="宋体" w:cs="宋体"/>
                <w:sz w:val="24"/>
                <w:szCs w:val="24"/>
                <w:highlight w:val="none"/>
                <w:lang w:val="en-US" w:eastAsia="zh-CN"/>
              </w:rPr>
              <w:t>12</w:t>
            </w:r>
            <w:r>
              <w:rPr>
                <w:rFonts w:hint="eastAsia" w:ascii="宋体" w:hAnsi="宋体" w:eastAsia="宋体" w:cs="宋体"/>
                <w:sz w:val="24"/>
                <w:szCs w:val="24"/>
                <w:highlight w:val="none"/>
              </w:rPr>
              <w:t>月</w:t>
            </w:r>
            <w:r>
              <w:rPr>
                <w:rFonts w:hint="eastAsia" w:ascii="宋体" w:hAnsi="宋体" w:cs="宋体"/>
                <w:sz w:val="24"/>
                <w:szCs w:val="24"/>
                <w:highlight w:val="none"/>
                <w:lang w:val="en-US" w:eastAsia="zh-CN"/>
              </w:rPr>
              <w:t>11</w:t>
            </w:r>
            <w:r>
              <w:rPr>
                <w:rFonts w:hint="eastAsia" w:ascii="宋体" w:hAnsi="宋体" w:eastAsia="宋体" w:cs="宋体"/>
                <w:sz w:val="24"/>
                <w:szCs w:val="24"/>
                <w:highlight w:val="none"/>
              </w:rPr>
              <w:t>日</w:t>
            </w:r>
            <w:r>
              <w:rPr>
                <w:rFonts w:hint="eastAsia" w:ascii="宋体" w:hAnsi="宋体" w:cs="宋体"/>
                <w:sz w:val="24"/>
                <w:szCs w:val="24"/>
                <w:highlight w:val="none"/>
                <w:lang w:val="en-US" w:eastAsia="zh-CN"/>
              </w:rPr>
              <w:t>09</w:t>
            </w:r>
            <w:r>
              <w:rPr>
                <w:rFonts w:hint="eastAsia" w:ascii="宋体" w:hAnsi="宋体" w:eastAsia="宋体" w:cs="宋体"/>
                <w:sz w:val="24"/>
                <w:szCs w:val="24"/>
                <w:highlight w:val="none"/>
              </w:rPr>
              <w:t>时</w:t>
            </w:r>
            <w:r>
              <w:rPr>
                <w:rFonts w:hint="eastAsia" w:ascii="宋体" w:hAnsi="宋体" w:cs="宋体"/>
                <w:sz w:val="24"/>
                <w:szCs w:val="24"/>
                <w:highlight w:val="none"/>
                <w:lang w:val="en-US" w:eastAsia="zh-CN"/>
              </w:rPr>
              <w:t>30</w:t>
            </w:r>
            <w:r>
              <w:rPr>
                <w:rFonts w:hint="eastAsia" w:ascii="宋体" w:hAnsi="宋体" w:eastAsia="宋体" w:cs="宋体"/>
                <w:sz w:val="24"/>
                <w:szCs w:val="24"/>
                <w:highlight w:val="none"/>
              </w:rPr>
              <w:t xml:space="preserve">分00秒 </w:t>
            </w:r>
          </w:p>
          <w:p w14:paraId="25BD26EC">
            <w:pPr>
              <w:spacing w:line="360" w:lineRule="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地点：</w:t>
            </w:r>
            <w:r>
              <w:rPr>
                <w:rFonts w:hint="eastAsia" w:ascii="宋体" w:hAnsi="宋体" w:cs="宋体"/>
                <w:sz w:val="24"/>
                <w:szCs w:val="24"/>
                <w:highlight w:val="none"/>
                <w:lang w:eastAsia="zh-CN"/>
              </w:rPr>
              <w:t>陕西省西安市未央区未央路银池广场21楼</w:t>
            </w:r>
          </w:p>
        </w:tc>
      </w:tr>
      <w:tr w14:paraId="6A10D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45" w:type="pct"/>
            <w:vAlign w:val="center"/>
          </w:tcPr>
          <w:p w14:paraId="33823FBA">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4.2.3</w:t>
            </w:r>
          </w:p>
        </w:tc>
        <w:tc>
          <w:tcPr>
            <w:tcW w:w="1092" w:type="pct"/>
            <w:vAlign w:val="center"/>
          </w:tcPr>
          <w:p w14:paraId="201DD9B1">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是否退还投标文件</w:t>
            </w:r>
          </w:p>
        </w:tc>
        <w:tc>
          <w:tcPr>
            <w:tcW w:w="3361" w:type="pct"/>
            <w:vAlign w:val="center"/>
          </w:tcPr>
          <w:p w14:paraId="463CCD11">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否</w:t>
            </w:r>
          </w:p>
        </w:tc>
      </w:tr>
      <w:tr w14:paraId="61132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45" w:type="pct"/>
            <w:vAlign w:val="center"/>
          </w:tcPr>
          <w:p w14:paraId="22817554">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5.1</w:t>
            </w:r>
          </w:p>
        </w:tc>
        <w:tc>
          <w:tcPr>
            <w:tcW w:w="1092" w:type="pct"/>
            <w:vAlign w:val="center"/>
          </w:tcPr>
          <w:p w14:paraId="3391C5F4">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开标时间和地点</w:t>
            </w:r>
          </w:p>
        </w:tc>
        <w:tc>
          <w:tcPr>
            <w:tcW w:w="3361" w:type="pct"/>
            <w:vAlign w:val="center"/>
          </w:tcPr>
          <w:p w14:paraId="04708058">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开标时间：202</w:t>
            </w:r>
            <w:r>
              <w:rPr>
                <w:rFonts w:hint="eastAsia" w:ascii="宋体" w:hAnsi="宋体" w:eastAsia="宋体" w:cs="宋体"/>
                <w:sz w:val="24"/>
                <w:szCs w:val="24"/>
                <w:highlight w:val="none"/>
                <w:lang w:val="en-US" w:eastAsia="zh-CN"/>
              </w:rPr>
              <w:t>5</w:t>
            </w:r>
            <w:r>
              <w:rPr>
                <w:rFonts w:hint="eastAsia" w:ascii="宋体" w:hAnsi="宋体" w:eastAsia="宋体" w:cs="宋体"/>
                <w:sz w:val="24"/>
                <w:szCs w:val="24"/>
                <w:highlight w:val="none"/>
              </w:rPr>
              <w:t>年</w:t>
            </w:r>
            <w:r>
              <w:rPr>
                <w:rFonts w:hint="eastAsia" w:ascii="宋体" w:hAnsi="宋体" w:cs="宋体"/>
                <w:sz w:val="24"/>
                <w:szCs w:val="24"/>
                <w:highlight w:val="none"/>
                <w:lang w:val="en-US" w:eastAsia="zh-CN"/>
              </w:rPr>
              <w:t>12</w:t>
            </w:r>
            <w:r>
              <w:rPr>
                <w:rFonts w:hint="eastAsia" w:ascii="宋体" w:hAnsi="宋体" w:eastAsia="宋体" w:cs="宋体"/>
                <w:sz w:val="24"/>
                <w:szCs w:val="24"/>
                <w:highlight w:val="none"/>
              </w:rPr>
              <w:t>月</w:t>
            </w:r>
            <w:r>
              <w:rPr>
                <w:rFonts w:hint="eastAsia" w:ascii="宋体" w:hAnsi="宋体" w:cs="宋体"/>
                <w:sz w:val="24"/>
                <w:szCs w:val="24"/>
                <w:highlight w:val="none"/>
                <w:lang w:val="en-US" w:eastAsia="zh-CN"/>
              </w:rPr>
              <w:t>11</w:t>
            </w:r>
            <w:r>
              <w:rPr>
                <w:rFonts w:hint="eastAsia" w:ascii="宋体" w:hAnsi="宋体" w:eastAsia="宋体" w:cs="宋体"/>
                <w:sz w:val="24"/>
                <w:szCs w:val="24"/>
                <w:highlight w:val="none"/>
              </w:rPr>
              <w:t>日</w:t>
            </w:r>
            <w:r>
              <w:rPr>
                <w:rFonts w:hint="eastAsia" w:ascii="宋体" w:hAnsi="宋体" w:cs="宋体"/>
                <w:sz w:val="24"/>
                <w:szCs w:val="24"/>
                <w:highlight w:val="none"/>
                <w:lang w:val="en-US" w:eastAsia="zh-CN"/>
              </w:rPr>
              <w:t>09</w:t>
            </w:r>
            <w:r>
              <w:rPr>
                <w:rFonts w:hint="eastAsia" w:ascii="宋体" w:hAnsi="宋体" w:eastAsia="宋体" w:cs="宋体"/>
                <w:sz w:val="24"/>
                <w:szCs w:val="24"/>
                <w:highlight w:val="none"/>
              </w:rPr>
              <w:t>时</w:t>
            </w:r>
            <w:r>
              <w:rPr>
                <w:rFonts w:hint="eastAsia" w:ascii="宋体" w:hAnsi="宋体" w:cs="宋体"/>
                <w:sz w:val="24"/>
                <w:szCs w:val="24"/>
                <w:highlight w:val="none"/>
                <w:lang w:val="en-US" w:eastAsia="zh-CN"/>
              </w:rPr>
              <w:t>30</w:t>
            </w:r>
            <w:r>
              <w:rPr>
                <w:rFonts w:hint="eastAsia" w:ascii="宋体" w:hAnsi="宋体" w:eastAsia="宋体" w:cs="宋体"/>
                <w:sz w:val="24"/>
                <w:szCs w:val="24"/>
                <w:highlight w:val="none"/>
              </w:rPr>
              <w:t xml:space="preserve">分00秒 </w:t>
            </w:r>
          </w:p>
          <w:p w14:paraId="43091C66">
            <w:pPr>
              <w:spacing w:line="360" w:lineRule="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开标地点</w:t>
            </w:r>
            <w:r>
              <w:rPr>
                <w:rFonts w:hint="eastAsia" w:ascii="宋体" w:hAnsi="宋体" w:eastAsia="宋体" w:cs="宋体"/>
                <w:sz w:val="24"/>
                <w:szCs w:val="24"/>
                <w:highlight w:val="none"/>
                <w:lang w:eastAsia="zh-CN"/>
              </w:rPr>
              <w:t>：</w:t>
            </w:r>
            <w:r>
              <w:rPr>
                <w:rFonts w:hint="eastAsia" w:ascii="宋体" w:hAnsi="宋体" w:cs="宋体"/>
                <w:sz w:val="24"/>
                <w:szCs w:val="24"/>
                <w:highlight w:val="none"/>
                <w:lang w:eastAsia="zh-CN"/>
              </w:rPr>
              <w:t>陕西省西安市未央区未央路银池广场21楼</w:t>
            </w:r>
          </w:p>
        </w:tc>
      </w:tr>
      <w:tr w14:paraId="5ED38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45" w:type="pct"/>
            <w:vAlign w:val="center"/>
          </w:tcPr>
          <w:p w14:paraId="1AA7AA70">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7.1</w:t>
            </w:r>
          </w:p>
        </w:tc>
        <w:tc>
          <w:tcPr>
            <w:tcW w:w="1092" w:type="pct"/>
            <w:vAlign w:val="center"/>
          </w:tcPr>
          <w:p w14:paraId="3BCE4F2A">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是否授权评标委员会确定中标人</w:t>
            </w:r>
          </w:p>
        </w:tc>
        <w:tc>
          <w:tcPr>
            <w:tcW w:w="3361" w:type="pct"/>
            <w:vAlign w:val="center"/>
          </w:tcPr>
          <w:p w14:paraId="4BBB75C8">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否,</w:t>
            </w:r>
            <w:bookmarkStart w:id="13" w:name="OLE_LINK6"/>
            <w:r>
              <w:rPr>
                <w:rFonts w:hint="eastAsia" w:ascii="宋体" w:hAnsi="宋体" w:eastAsia="宋体" w:cs="宋体"/>
                <w:sz w:val="24"/>
                <w:szCs w:val="24"/>
                <w:highlight w:val="none"/>
              </w:rPr>
              <w:t>推荐3名中标候选人</w:t>
            </w:r>
            <w:bookmarkEnd w:id="13"/>
          </w:p>
        </w:tc>
      </w:tr>
      <w:tr w14:paraId="3B889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00" w:type="pct"/>
            <w:gridSpan w:val="3"/>
            <w:vAlign w:val="center"/>
          </w:tcPr>
          <w:p w14:paraId="0AFED424">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10.1计算机辅助评标</w:t>
            </w:r>
          </w:p>
        </w:tc>
      </w:tr>
      <w:tr w14:paraId="206F1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38" w:type="pct"/>
            <w:gridSpan w:val="2"/>
            <w:vAlign w:val="center"/>
          </w:tcPr>
          <w:p w14:paraId="00DF983A">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是否实行计算机辅助评标</w:t>
            </w:r>
          </w:p>
        </w:tc>
        <w:tc>
          <w:tcPr>
            <w:tcW w:w="3361" w:type="pct"/>
            <w:vAlign w:val="center"/>
          </w:tcPr>
          <w:p w14:paraId="51131090">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否</w:t>
            </w:r>
          </w:p>
        </w:tc>
      </w:tr>
      <w:tr w14:paraId="6E6A3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00" w:type="pct"/>
            <w:gridSpan w:val="3"/>
            <w:vAlign w:val="center"/>
          </w:tcPr>
          <w:p w14:paraId="4F8D8FB7">
            <w:pPr>
              <w:spacing w:line="360" w:lineRule="auto"/>
              <w:ind w:left="110" w:leftChars="52" w:hanging="1"/>
              <w:rPr>
                <w:rFonts w:hint="eastAsia" w:ascii="宋体" w:hAnsi="宋体" w:eastAsia="宋体" w:cs="宋体"/>
                <w:sz w:val="24"/>
                <w:szCs w:val="24"/>
                <w:highlight w:val="none"/>
              </w:rPr>
            </w:pPr>
            <w:r>
              <w:rPr>
                <w:rFonts w:hint="eastAsia" w:ascii="宋体" w:hAnsi="宋体" w:eastAsia="宋体" w:cs="宋体"/>
                <w:sz w:val="24"/>
                <w:szCs w:val="24"/>
                <w:highlight w:val="none"/>
              </w:rPr>
              <w:t>10.2 知识产权</w:t>
            </w:r>
          </w:p>
        </w:tc>
      </w:tr>
      <w:tr w14:paraId="3F16E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00" w:type="pct"/>
            <w:gridSpan w:val="3"/>
            <w:vAlign w:val="center"/>
          </w:tcPr>
          <w:p w14:paraId="40B36B5A">
            <w:pPr>
              <w:spacing w:line="360" w:lineRule="auto"/>
              <w:ind w:left="110" w:leftChars="52" w:hanging="1"/>
              <w:rPr>
                <w:rFonts w:hint="eastAsia" w:ascii="宋体" w:hAnsi="宋体" w:eastAsia="宋体" w:cs="宋体"/>
                <w:sz w:val="24"/>
                <w:szCs w:val="24"/>
                <w:highlight w:val="none"/>
              </w:rPr>
            </w:pPr>
            <w:r>
              <w:rPr>
                <w:rFonts w:hint="eastAsia" w:ascii="宋体" w:hAnsi="宋体" w:eastAsia="宋体" w:cs="宋体"/>
                <w:sz w:val="24"/>
                <w:szCs w:val="24"/>
                <w:highlight w:val="none"/>
              </w:rPr>
              <w:t>构成本招标文件各个组成部分的文件，未经招标人书面同意，投标人不得擅自复印和用于非本招标项目所需的其他目的。招标人全部或者部分使用未中标人投标文件中的技术成果或技术方案时，需征得其书面同意，并不得擅自复印或提供给第三人。</w:t>
            </w:r>
          </w:p>
        </w:tc>
      </w:tr>
      <w:tr w14:paraId="5756D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00" w:type="pct"/>
            <w:gridSpan w:val="3"/>
            <w:vAlign w:val="center"/>
          </w:tcPr>
          <w:p w14:paraId="5218EC2E">
            <w:pPr>
              <w:spacing w:line="360" w:lineRule="auto"/>
              <w:ind w:left="110" w:leftChars="52" w:hanging="1"/>
              <w:rPr>
                <w:rFonts w:hint="eastAsia" w:ascii="宋体" w:hAnsi="宋体" w:eastAsia="宋体" w:cs="宋体"/>
                <w:sz w:val="24"/>
                <w:szCs w:val="24"/>
                <w:highlight w:val="none"/>
              </w:rPr>
            </w:pPr>
            <w:r>
              <w:rPr>
                <w:rFonts w:hint="eastAsia" w:ascii="宋体" w:hAnsi="宋体" w:eastAsia="宋体" w:cs="宋体"/>
                <w:sz w:val="24"/>
                <w:szCs w:val="24"/>
                <w:highlight w:val="none"/>
              </w:rPr>
              <w:t>10.3 重新招标的其他情形</w:t>
            </w:r>
          </w:p>
        </w:tc>
      </w:tr>
      <w:tr w14:paraId="7B1A4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00" w:type="pct"/>
            <w:gridSpan w:val="3"/>
            <w:vAlign w:val="center"/>
          </w:tcPr>
          <w:p w14:paraId="1889DEBB">
            <w:pPr>
              <w:spacing w:line="360" w:lineRule="auto"/>
              <w:ind w:left="110" w:leftChars="52" w:hanging="1"/>
              <w:rPr>
                <w:rFonts w:hint="eastAsia" w:ascii="宋体" w:hAnsi="宋体" w:eastAsia="宋体" w:cs="宋体"/>
                <w:sz w:val="24"/>
                <w:szCs w:val="24"/>
                <w:highlight w:val="none"/>
              </w:rPr>
            </w:pPr>
            <w:r>
              <w:rPr>
                <w:rFonts w:hint="eastAsia" w:ascii="宋体" w:hAnsi="宋体" w:eastAsia="宋体" w:cs="宋体"/>
                <w:sz w:val="24"/>
                <w:szCs w:val="24"/>
                <w:highlight w:val="none"/>
              </w:rPr>
              <w:t>除投标人须知正文第8条规定的情形外，除非已经产生中标候选人，在投标有效期内同意延长投标有效期的投标人少于三个的，招标人应当依法重新招标。</w:t>
            </w:r>
          </w:p>
        </w:tc>
      </w:tr>
      <w:tr w14:paraId="68881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00" w:type="pct"/>
            <w:gridSpan w:val="3"/>
            <w:vAlign w:val="center"/>
          </w:tcPr>
          <w:p w14:paraId="294CB0F7">
            <w:pPr>
              <w:spacing w:line="360" w:lineRule="auto"/>
              <w:ind w:left="110" w:leftChars="52" w:hanging="1"/>
              <w:rPr>
                <w:rFonts w:hint="eastAsia" w:ascii="宋体" w:hAnsi="宋体" w:eastAsia="宋体" w:cs="宋体"/>
                <w:sz w:val="24"/>
                <w:szCs w:val="24"/>
                <w:highlight w:val="none"/>
              </w:rPr>
            </w:pPr>
            <w:r>
              <w:rPr>
                <w:rFonts w:hint="eastAsia" w:ascii="宋体" w:hAnsi="宋体" w:eastAsia="宋体" w:cs="宋体"/>
                <w:sz w:val="24"/>
                <w:szCs w:val="24"/>
                <w:highlight w:val="none"/>
              </w:rPr>
              <w:t>10.4  同义词语</w:t>
            </w:r>
          </w:p>
        </w:tc>
      </w:tr>
      <w:tr w14:paraId="0A4AE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00" w:type="pct"/>
            <w:gridSpan w:val="3"/>
            <w:vAlign w:val="center"/>
          </w:tcPr>
          <w:p w14:paraId="4E0B711A">
            <w:pPr>
              <w:spacing w:line="360" w:lineRule="auto"/>
              <w:ind w:left="110" w:leftChars="52" w:hanging="1"/>
              <w:rPr>
                <w:rFonts w:hint="eastAsia" w:ascii="宋体" w:hAnsi="宋体" w:eastAsia="宋体" w:cs="宋体"/>
                <w:sz w:val="24"/>
                <w:szCs w:val="24"/>
                <w:highlight w:val="none"/>
              </w:rPr>
            </w:pPr>
            <w:r>
              <w:rPr>
                <w:rFonts w:hint="eastAsia" w:ascii="宋体" w:hAnsi="宋体" w:eastAsia="宋体" w:cs="宋体"/>
                <w:sz w:val="24"/>
                <w:szCs w:val="24"/>
                <w:highlight w:val="none"/>
              </w:rPr>
              <w:t>构成招标文件组成部分的“通用合同条款”、“专用合同条款”、“技术标准和要求”等章节中出现的措辞“发包人”和“承包人”，在招标投标阶段应当分别按“招标人”和“投标人”进行理解。</w:t>
            </w:r>
          </w:p>
        </w:tc>
      </w:tr>
      <w:tr w14:paraId="611FA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00" w:type="pct"/>
            <w:gridSpan w:val="3"/>
            <w:vAlign w:val="center"/>
          </w:tcPr>
          <w:p w14:paraId="125CF227">
            <w:pPr>
              <w:spacing w:line="360" w:lineRule="auto"/>
              <w:ind w:left="68" w:leftChars="-2" w:hanging="72" w:hangingChars="30"/>
              <w:rPr>
                <w:rFonts w:hint="eastAsia" w:ascii="宋体" w:hAnsi="宋体" w:eastAsia="宋体" w:cs="宋体"/>
                <w:sz w:val="24"/>
                <w:szCs w:val="24"/>
                <w:highlight w:val="none"/>
              </w:rPr>
            </w:pPr>
            <w:r>
              <w:rPr>
                <w:rFonts w:hint="eastAsia" w:ascii="宋体" w:hAnsi="宋体" w:eastAsia="宋体" w:cs="宋体"/>
                <w:sz w:val="24"/>
                <w:szCs w:val="24"/>
                <w:highlight w:val="none"/>
              </w:rPr>
              <w:t>10.5  解释权</w:t>
            </w:r>
          </w:p>
        </w:tc>
      </w:tr>
      <w:tr w14:paraId="72DF0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jc w:val="center"/>
        </w:trPr>
        <w:tc>
          <w:tcPr>
            <w:tcW w:w="5000" w:type="pct"/>
            <w:gridSpan w:val="3"/>
            <w:vAlign w:val="center"/>
          </w:tcPr>
          <w:p w14:paraId="184CA6E7">
            <w:pPr>
              <w:spacing w:line="360" w:lineRule="auto"/>
              <w:ind w:left="68" w:leftChars="-2" w:hanging="72" w:hangingChars="30"/>
              <w:rPr>
                <w:rFonts w:hint="eastAsia" w:ascii="宋体" w:hAnsi="宋体" w:eastAsia="宋体" w:cs="宋体"/>
                <w:sz w:val="24"/>
                <w:szCs w:val="24"/>
                <w:highlight w:val="none"/>
              </w:rPr>
            </w:pPr>
            <w:r>
              <w:rPr>
                <w:rFonts w:hint="eastAsia" w:ascii="宋体" w:hAnsi="宋体" w:eastAsia="宋体" w:cs="宋体"/>
                <w:sz w:val="24"/>
                <w:szCs w:val="24"/>
                <w:highlight w:val="none"/>
              </w:rPr>
              <w:t>本招标文件由招标人和招标代理机构负责解释。</w:t>
            </w:r>
          </w:p>
        </w:tc>
      </w:tr>
      <w:tr w14:paraId="0AED7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00" w:type="pct"/>
            <w:gridSpan w:val="3"/>
            <w:vAlign w:val="center"/>
          </w:tcPr>
          <w:p w14:paraId="38E309E9">
            <w:pPr>
              <w:spacing w:line="360" w:lineRule="auto"/>
              <w:ind w:left="68" w:leftChars="-2" w:hanging="72" w:hangingChars="30"/>
              <w:jc w:val="center"/>
              <w:rPr>
                <w:rFonts w:hint="eastAsia" w:ascii="宋体" w:hAnsi="宋体" w:eastAsia="宋体" w:cs="宋体"/>
                <w:sz w:val="24"/>
                <w:szCs w:val="24"/>
                <w:highlight w:val="none"/>
              </w:rPr>
            </w:pPr>
            <w:r>
              <w:rPr>
                <w:rFonts w:hint="eastAsia" w:ascii="宋体" w:hAnsi="宋体" w:eastAsia="宋体" w:cs="宋体"/>
                <w:b/>
                <w:bCs/>
                <w:sz w:val="24"/>
                <w:szCs w:val="24"/>
                <w:highlight w:val="none"/>
              </w:rPr>
              <w:t>其他</w:t>
            </w:r>
          </w:p>
        </w:tc>
      </w:tr>
      <w:tr w14:paraId="69404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00" w:type="pct"/>
            <w:gridSpan w:val="3"/>
            <w:vAlign w:val="center"/>
          </w:tcPr>
          <w:p w14:paraId="0E5BBE88">
            <w:pPr>
              <w:spacing w:line="360" w:lineRule="auto"/>
              <w:ind w:left="68" w:leftChars="-2" w:hanging="72" w:hangingChars="30"/>
              <w:rPr>
                <w:rFonts w:hint="eastAsia" w:ascii="宋体" w:hAnsi="宋体" w:eastAsia="宋体" w:cs="宋体"/>
                <w:sz w:val="24"/>
                <w:szCs w:val="24"/>
                <w:highlight w:val="none"/>
              </w:rPr>
            </w:pPr>
            <w:r>
              <w:rPr>
                <w:rFonts w:hint="eastAsia" w:ascii="宋体" w:hAnsi="宋体" w:eastAsia="宋体" w:cs="宋体"/>
                <w:b/>
                <w:bCs/>
                <w:sz w:val="24"/>
                <w:szCs w:val="24"/>
                <w:highlight w:val="none"/>
                <w:lang w:val="en-US" w:eastAsia="zh-CN"/>
              </w:rPr>
              <w:t>项目</w:t>
            </w:r>
            <w:r>
              <w:rPr>
                <w:rFonts w:hint="eastAsia" w:ascii="宋体" w:hAnsi="宋体" w:eastAsia="宋体" w:cs="宋体"/>
                <w:b/>
                <w:bCs/>
                <w:sz w:val="24"/>
                <w:szCs w:val="24"/>
                <w:highlight w:val="none"/>
              </w:rPr>
              <w:t>所属行业：农、林、牧、渔业</w:t>
            </w:r>
          </w:p>
        </w:tc>
      </w:tr>
      <w:tr w14:paraId="15E86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00" w:type="pct"/>
            <w:gridSpan w:val="3"/>
            <w:vAlign w:val="center"/>
          </w:tcPr>
          <w:p w14:paraId="7F91E4CD">
            <w:pPr>
              <w:spacing w:line="360" w:lineRule="auto"/>
              <w:ind w:left="68" w:leftChars="-2" w:hanging="72" w:hangingChars="30"/>
              <w:rPr>
                <w:rFonts w:hint="eastAsia" w:ascii="宋体" w:hAnsi="宋体" w:eastAsia="宋体" w:cs="宋体"/>
                <w:sz w:val="24"/>
                <w:szCs w:val="24"/>
                <w:highlight w:val="none"/>
              </w:rPr>
            </w:pPr>
            <w:r>
              <w:rPr>
                <w:rFonts w:hint="eastAsia" w:ascii="宋体" w:hAnsi="宋体" w:eastAsia="宋体" w:cs="宋体"/>
                <w:b/>
                <w:bCs/>
                <w:sz w:val="24"/>
                <w:szCs w:val="24"/>
                <w:highlight w:val="none"/>
              </w:rPr>
              <w:t>项目性质：</w:t>
            </w:r>
            <w:r>
              <w:rPr>
                <w:rFonts w:hint="eastAsia" w:ascii="宋体" w:hAnsi="宋体" w:cs="宋体"/>
                <w:b/>
                <w:bCs/>
                <w:sz w:val="24"/>
                <w:szCs w:val="24"/>
                <w:highlight w:val="none"/>
                <w:lang w:eastAsia="zh-CN"/>
              </w:rPr>
              <w:t>本项目专门面向中小企业采购</w:t>
            </w:r>
            <w:r>
              <w:rPr>
                <w:rFonts w:hint="eastAsia" w:ascii="宋体" w:hAnsi="宋体" w:eastAsia="宋体" w:cs="宋体"/>
                <w:b/>
                <w:bCs/>
                <w:sz w:val="24"/>
                <w:szCs w:val="24"/>
                <w:highlight w:val="none"/>
              </w:rPr>
              <w:t>。</w:t>
            </w:r>
          </w:p>
        </w:tc>
      </w:tr>
      <w:tr w14:paraId="02BD2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00" w:type="pct"/>
            <w:gridSpan w:val="3"/>
            <w:vAlign w:val="center"/>
          </w:tcPr>
          <w:p w14:paraId="62C3CBE6">
            <w:pPr>
              <w:spacing w:line="360" w:lineRule="auto"/>
              <w:ind w:left="68" w:leftChars="-2" w:hanging="72" w:hangingChars="3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中小企业政策性扣减：对符合《政府采购促进中小企业发展管理办法》(财库(2020)46号)规定的小微企业(监狱企业视同小型、微型企业)的报价给予10%(10%-20%)的扣除,用扣除后的价格参加评审。</w:t>
            </w:r>
            <w:r>
              <w:rPr>
                <w:rFonts w:hint="eastAsia" w:ascii="宋体" w:hAnsi="宋体" w:cs="宋体"/>
                <w:sz w:val="24"/>
                <w:szCs w:val="24"/>
                <w:highlight w:val="none"/>
                <w:lang w:eastAsia="zh-CN"/>
              </w:rPr>
              <w:t>本项目专门面向中小企业采购</w:t>
            </w:r>
            <w:r>
              <w:rPr>
                <w:rFonts w:hint="eastAsia" w:ascii="宋体" w:hAnsi="宋体" w:eastAsia="宋体" w:cs="宋体"/>
                <w:sz w:val="24"/>
                <w:szCs w:val="24"/>
                <w:highlight w:val="none"/>
              </w:rPr>
              <w:t>，不</w:t>
            </w:r>
            <w:r>
              <w:rPr>
                <w:rFonts w:hint="eastAsia" w:ascii="宋体" w:hAnsi="宋体" w:cs="宋体"/>
                <w:sz w:val="24"/>
                <w:szCs w:val="24"/>
                <w:highlight w:val="none"/>
                <w:lang w:val="en-US" w:eastAsia="zh-CN"/>
              </w:rPr>
              <w:t>再</w:t>
            </w:r>
            <w:r>
              <w:rPr>
                <w:rFonts w:hint="eastAsia" w:ascii="宋体" w:hAnsi="宋体" w:eastAsia="宋体" w:cs="宋体"/>
                <w:sz w:val="24"/>
                <w:szCs w:val="24"/>
                <w:highlight w:val="none"/>
              </w:rPr>
              <w:t>进行价格扣减。</w:t>
            </w:r>
          </w:p>
        </w:tc>
      </w:tr>
      <w:tr w14:paraId="1A638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00" w:type="pct"/>
            <w:gridSpan w:val="3"/>
            <w:vAlign w:val="center"/>
          </w:tcPr>
          <w:p w14:paraId="2E509AAD">
            <w:pPr>
              <w:spacing w:line="360" w:lineRule="auto"/>
              <w:ind w:left="68" w:leftChars="-2" w:hanging="72" w:hangingChars="30"/>
              <w:rPr>
                <w:rFonts w:hint="eastAsia" w:ascii="宋体" w:hAnsi="宋体" w:eastAsia="宋体" w:cs="宋体"/>
                <w:sz w:val="24"/>
                <w:szCs w:val="24"/>
                <w:highlight w:val="none"/>
              </w:rPr>
            </w:pPr>
            <w:r>
              <w:rPr>
                <w:rFonts w:hint="eastAsia" w:ascii="宋体" w:hAnsi="宋体" w:cs="宋体"/>
                <w:b/>
                <w:bCs/>
                <w:sz w:val="24"/>
                <w:szCs w:val="24"/>
                <w:highlight w:val="none"/>
                <w:lang w:val="en-US" w:eastAsia="zh-CN"/>
              </w:rPr>
              <w:t>投标：</w:t>
            </w:r>
            <w:r>
              <w:rPr>
                <w:rFonts w:hint="eastAsia" w:ascii="宋体" w:hAnsi="宋体" w:eastAsia="宋体" w:cs="宋体"/>
                <w:b/>
                <w:bCs/>
                <w:sz w:val="24"/>
                <w:szCs w:val="24"/>
                <w:highlight w:val="none"/>
              </w:rPr>
              <w:t>本项目允许多个标段投标，但只允许中一个标段。</w:t>
            </w:r>
          </w:p>
        </w:tc>
      </w:tr>
      <w:tr w14:paraId="29EAA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00" w:type="pct"/>
            <w:gridSpan w:val="3"/>
            <w:vAlign w:val="center"/>
          </w:tcPr>
          <w:p w14:paraId="5ADCD531">
            <w:pPr>
              <w:spacing w:line="500" w:lineRule="exact"/>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备注：供应商注册登记提醒：</w:t>
            </w:r>
          </w:p>
          <w:p w14:paraId="4E79BB43">
            <w:pPr>
              <w:spacing w:line="500" w:lineRule="exact"/>
              <w:ind w:firstLine="482" w:firstLineChars="200"/>
              <w:jc w:val="both"/>
              <w:rPr>
                <w:rFonts w:hint="eastAsia" w:ascii="宋体" w:hAnsi="宋体" w:eastAsia="宋体" w:cs="宋体"/>
                <w:sz w:val="24"/>
                <w:szCs w:val="24"/>
                <w:highlight w:val="none"/>
              </w:rPr>
            </w:pPr>
            <w:r>
              <w:rPr>
                <w:rFonts w:hint="eastAsia" w:ascii="宋体" w:hAnsi="宋体" w:eastAsia="宋体" w:cs="宋体"/>
                <w:b/>
                <w:bCs/>
                <w:sz w:val="24"/>
                <w:szCs w:val="24"/>
                <w:highlight w:val="none"/>
              </w:rPr>
              <w:t>根据陕西省财政厅关于政府采购供应商注册登记有关事项的通知，如所投本项目的供应商未在陕西省政府采购网（</w:t>
            </w:r>
            <w:r>
              <w:rPr>
                <w:rFonts w:hint="eastAsia" w:ascii="宋体" w:hAnsi="宋体" w:eastAsia="宋体" w:cs="宋体"/>
                <w:b/>
                <w:bCs/>
                <w:sz w:val="24"/>
                <w:szCs w:val="24"/>
                <w:highlight w:val="none"/>
              </w:rPr>
              <w:fldChar w:fldCharType="begin"/>
            </w:r>
            <w:r>
              <w:rPr>
                <w:rFonts w:hint="eastAsia" w:ascii="宋体" w:hAnsi="宋体" w:eastAsia="宋体" w:cs="宋体"/>
                <w:b/>
                <w:bCs/>
                <w:sz w:val="24"/>
                <w:szCs w:val="24"/>
                <w:highlight w:val="none"/>
              </w:rPr>
              <w:instrText xml:space="preserve"> HYPERLINK "http://www.ccgp-shaanxi.gov.cn/information/informationDetail.do?informationguid=8a85be3567ed23460167ed36804d0009" </w:instrText>
            </w:r>
            <w:r>
              <w:rPr>
                <w:rFonts w:hint="eastAsia" w:ascii="宋体" w:hAnsi="宋体" w:eastAsia="宋体" w:cs="宋体"/>
                <w:b/>
                <w:bCs/>
                <w:sz w:val="24"/>
                <w:szCs w:val="24"/>
                <w:highlight w:val="none"/>
              </w:rPr>
              <w:fldChar w:fldCharType="separate"/>
            </w:r>
            <w:r>
              <w:rPr>
                <w:rFonts w:hint="eastAsia" w:ascii="宋体" w:hAnsi="宋体" w:eastAsia="宋体" w:cs="宋体"/>
                <w:b/>
                <w:bCs/>
                <w:sz w:val="24"/>
                <w:szCs w:val="24"/>
                <w:highlight w:val="none"/>
              </w:rPr>
              <w:t>http://www.ccgp-shaanxi.gov.cn/information/informationDetail.do?informationguid=8a85be3567ed23460167ed36804d0009</w:t>
            </w:r>
            <w:r>
              <w:rPr>
                <w:rFonts w:hint="eastAsia" w:ascii="宋体" w:hAnsi="宋体" w:eastAsia="宋体" w:cs="宋体"/>
                <w:b/>
                <w:bCs/>
                <w:sz w:val="24"/>
                <w:szCs w:val="24"/>
                <w:highlight w:val="none"/>
              </w:rPr>
              <w:fldChar w:fldCharType="end"/>
            </w:r>
            <w:r>
              <w:rPr>
                <w:rFonts w:hint="eastAsia" w:ascii="宋体" w:hAnsi="宋体" w:eastAsia="宋体" w:cs="宋体"/>
                <w:b/>
                <w:bCs/>
                <w:sz w:val="24"/>
                <w:szCs w:val="24"/>
                <w:highlight w:val="none"/>
              </w:rPr>
              <w:t>）注册登记加入陕西省政府采购供应商库的，应按要求及时办理注册登记，并接受财政部门监督管理。</w:t>
            </w:r>
          </w:p>
        </w:tc>
      </w:tr>
      <w:tr w14:paraId="5FF8F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00" w:type="pct"/>
            <w:gridSpan w:val="3"/>
            <w:vAlign w:val="center"/>
          </w:tcPr>
          <w:p w14:paraId="419007DD">
            <w:pPr>
              <w:spacing w:line="360" w:lineRule="auto"/>
              <w:ind w:firstLine="480" w:firstLineChars="200"/>
              <w:rPr>
                <w:rFonts w:hint="eastAsia" w:ascii="宋体" w:hAnsi="宋体" w:eastAsia="宋体" w:cs="宋体"/>
                <w:sz w:val="24"/>
                <w:szCs w:val="24"/>
                <w:highlight w:val="none"/>
              </w:rPr>
            </w:pPr>
            <w:bookmarkStart w:id="14" w:name="_Toc363473972"/>
            <w:bookmarkStart w:id="15" w:name="_Toc403077639"/>
            <w:bookmarkStart w:id="16" w:name="_Toc363474017"/>
            <w:bookmarkStart w:id="17" w:name="_Toc29568"/>
            <w:bookmarkStart w:id="18" w:name="_Toc8072"/>
            <w:r>
              <w:rPr>
                <w:rFonts w:hint="eastAsia" w:ascii="宋体" w:hAnsi="宋体" w:eastAsia="宋体" w:cs="宋体"/>
                <w:sz w:val="24"/>
                <w:szCs w:val="24"/>
                <w:highlight w:val="none"/>
              </w:rPr>
              <w:t>为了进一步推动金融支持政策更好适应市场主体的需要，扎实落实国务院关于支持中小企业发展的政策措施，积极发挥政府采购政策功能，有效缓解中小企业融资难、融资贵问题，根据中办、国办《关于促进中小企业健康发展的指导意见》、财政部、工信部《政府采购促进中小企业发展管理办法》（财库〔2020〕46 号）、《陕西省中小企业政府采购信用融资办法》（陕财办采【2018】23 号）、《陕西省财政厅关于加快推进我省中小企业政府采购信用融资工作的通知》陕财办采 【2020】15 号）等有关规定，按照市场主导、财政引导、银企自愿、风险自担的原则，中标（成交）供应商可根据自身资金需求，登录陕西省政府采购信用融资平台(http://www.ccgp-shaanxi.gov.cn/zcdservice/zcd/shan xi/）在线申请，依法参加政府采购信用融资活动。</w:t>
            </w:r>
          </w:p>
          <w:p w14:paraId="27E5C2A6">
            <w:pPr>
              <w:spacing w:line="360" w:lineRule="auto"/>
              <w:ind w:firstLine="480" w:firstLineChars="200"/>
              <w:rPr>
                <w:rFonts w:hint="eastAsia" w:ascii="宋体" w:hAnsi="宋体" w:eastAsia="宋体" w:cs="宋体"/>
                <w:b/>
                <w:bCs/>
                <w:sz w:val="24"/>
                <w:szCs w:val="24"/>
                <w:highlight w:val="none"/>
              </w:rPr>
            </w:pPr>
            <w:r>
              <w:rPr>
                <w:rFonts w:hint="eastAsia" w:ascii="宋体" w:hAnsi="宋体" w:eastAsia="宋体" w:cs="宋体"/>
                <w:sz w:val="24"/>
                <w:szCs w:val="24"/>
                <w:highlight w:val="none"/>
              </w:rPr>
              <w:t>目前的合作银行有∶北京银行、中国建设银行、中信银行、中国平安银行、中国光大银行、浦发银行、兴业银行、中国工商银行、秦农银行、浙商银行、中国银行、西安银行、中国农业银行、中国邮政储蓄银行（排名不分先后）。</w:t>
            </w:r>
          </w:p>
        </w:tc>
      </w:tr>
      <w:tr w14:paraId="2CBA5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00" w:type="pct"/>
            <w:gridSpan w:val="3"/>
            <w:vAlign w:val="center"/>
          </w:tcPr>
          <w:p w14:paraId="13061C27">
            <w:pPr>
              <w:spacing w:line="360" w:lineRule="auto"/>
              <w:ind w:left="68" w:leftChars="-2" w:hanging="72" w:hangingChars="30"/>
              <w:jc w:val="left"/>
              <w:rPr>
                <w:rFonts w:hint="eastAsia" w:ascii="宋体" w:hAnsi="宋体" w:cs="宋体"/>
                <w:b/>
                <w:bCs/>
                <w:sz w:val="24"/>
                <w:szCs w:val="24"/>
                <w:highlight w:val="none"/>
                <w:lang w:val="en-US" w:eastAsia="zh-CN"/>
              </w:rPr>
            </w:pPr>
            <w:r>
              <w:rPr>
                <w:rFonts w:hint="eastAsia" w:ascii="宋体" w:hAnsi="宋体" w:cs="宋体"/>
                <w:b/>
                <w:bCs/>
                <w:sz w:val="24"/>
                <w:szCs w:val="24"/>
                <w:highlight w:val="none"/>
                <w:lang w:val="en-US" w:eastAsia="zh-CN"/>
              </w:rPr>
              <w:t>招标代理机构银行账户信息：</w:t>
            </w:r>
          </w:p>
          <w:p w14:paraId="00F1B805">
            <w:pPr>
              <w:spacing w:line="360" w:lineRule="auto"/>
              <w:ind w:firstLine="482" w:firstLineChars="200"/>
              <w:rPr>
                <w:rFonts w:hint="eastAsia" w:ascii="宋体" w:hAnsi="宋体" w:eastAsia="宋体" w:cs="宋体"/>
                <w:b/>
                <w:bCs/>
                <w:sz w:val="24"/>
                <w:szCs w:val="32"/>
                <w:highlight w:val="none"/>
                <w:lang w:eastAsia="zh-CN"/>
              </w:rPr>
            </w:pPr>
            <w:r>
              <w:rPr>
                <w:rFonts w:hint="eastAsia" w:ascii="宋体" w:hAnsi="宋体" w:eastAsia="宋体" w:cs="宋体"/>
                <w:b/>
                <w:bCs/>
                <w:sz w:val="24"/>
                <w:szCs w:val="32"/>
                <w:highlight w:val="none"/>
                <w:lang w:eastAsia="zh-CN"/>
              </w:rPr>
              <w:t>①采购代理机构开户名称：</w:t>
            </w:r>
            <w:r>
              <w:rPr>
                <w:rFonts w:hint="eastAsia" w:ascii="宋体" w:hAnsi="宋体" w:cs="宋体"/>
                <w:b/>
                <w:bCs/>
                <w:sz w:val="24"/>
                <w:szCs w:val="32"/>
                <w:highlight w:val="none"/>
                <w:lang w:eastAsia="zh-CN"/>
              </w:rPr>
              <w:t>陕西银正项目管理有限公司</w:t>
            </w:r>
          </w:p>
          <w:p w14:paraId="655B1178">
            <w:pPr>
              <w:spacing w:line="360" w:lineRule="auto"/>
              <w:ind w:firstLine="482" w:firstLineChars="200"/>
              <w:rPr>
                <w:rFonts w:hint="eastAsia" w:ascii="宋体" w:hAnsi="宋体" w:eastAsia="宋体" w:cs="宋体"/>
                <w:b/>
                <w:bCs/>
                <w:sz w:val="24"/>
                <w:szCs w:val="32"/>
                <w:highlight w:val="none"/>
                <w:lang w:eastAsia="zh-CN"/>
              </w:rPr>
            </w:pPr>
            <w:r>
              <w:rPr>
                <w:rFonts w:hint="eastAsia" w:ascii="宋体" w:hAnsi="宋体" w:eastAsia="宋体" w:cs="宋体"/>
                <w:b/>
                <w:bCs/>
                <w:sz w:val="24"/>
                <w:szCs w:val="32"/>
                <w:highlight w:val="none"/>
                <w:lang w:eastAsia="zh-CN"/>
              </w:rPr>
              <w:t>②开户行名称：</w:t>
            </w:r>
            <w:r>
              <w:rPr>
                <w:rFonts w:hint="eastAsia" w:ascii="宋体" w:hAnsi="宋体" w:cs="宋体"/>
                <w:b/>
                <w:bCs/>
                <w:sz w:val="24"/>
                <w:szCs w:val="32"/>
                <w:highlight w:val="none"/>
                <w:lang w:eastAsia="zh-CN"/>
              </w:rPr>
              <w:t>中国工商银行股份有限公司西安凤城七路支行</w:t>
            </w:r>
          </w:p>
          <w:p w14:paraId="679DED70">
            <w:pPr>
              <w:spacing w:line="360" w:lineRule="auto"/>
              <w:ind w:firstLine="482" w:firstLineChars="200"/>
              <w:rPr>
                <w:rFonts w:hint="default" w:ascii="宋体" w:hAnsi="宋体" w:cs="宋体"/>
                <w:sz w:val="24"/>
                <w:szCs w:val="24"/>
                <w:highlight w:val="none"/>
                <w:lang w:val="en-US" w:eastAsia="zh-CN"/>
              </w:rPr>
            </w:pPr>
            <w:r>
              <w:rPr>
                <w:rFonts w:hint="eastAsia" w:ascii="宋体" w:hAnsi="宋体" w:eastAsia="宋体" w:cs="宋体"/>
                <w:b/>
                <w:bCs/>
                <w:sz w:val="24"/>
                <w:szCs w:val="32"/>
                <w:highlight w:val="none"/>
                <w:lang w:val="en-US" w:eastAsia="zh-CN"/>
              </w:rPr>
              <w:t>③账号：</w:t>
            </w:r>
            <w:r>
              <w:rPr>
                <w:rFonts w:hint="eastAsia" w:ascii="宋体" w:hAnsi="宋体" w:cs="宋体"/>
                <w:b/>
                <w:bCs/>
                <w:sz w:val="24"/>
                <w:szCs w:val="32"/>
                <w:highlight w:val="none"/>
                <w:lang w:val="en-US" w:eastAsia="zh-CN"/>
              </w:rPr>
              <w:t>3700085109100068236</w:t>
            </w:r>
          </w:p>
        </w:tc>
      </w:tr>
    </w:tbl>
    <w:p w14:paraId="1F603CC8">
      <w:pPr>
        <w:rPr>
          <w:rFonts w:asciiTheme="minorEastAsia" w:hAnsiTheme="minorEastAsia" w:eastAsiaTheme="minorEastAsia" w:cstheme="minorEastAsia"/>
          <w:sz w:val="30"/>
          <w:szCs w:val="30"/>
          <w:highlight w:val="none"/>
        </w:rPr>
      </w:pPr>
      <w:r>
        <w:rPr>
          <w:rFonts w:hint="eastAsia" w:asciiTheme="minorEastAsia" w:hAnsiTheme="minorEastAsia" w:eastAsiaTheme="minorEastAsia" w:cstheme="minorEastAsia"/>
          <w:sz w:val="30"/>
          <w:szCs w:val="30"/>
          <w:highlight w:val="none"/>
        </w:rPr>
        <w:br w:type="page"/>
      </w:r>
    </w:p>
    <w:bookmarkEnd w:id="14"/>
    <w:bookmarkEnd w:id="15"/>
    <w:bookmarkEnd w:id="16"/>
    <w:p w14:paraId="35AC5D1D">
      <w:pPr>
        <w:jc w:val="center"/>
        <w:rPr>
          <w:rFonts w:asciiTheme="minorEastAsia" w:hAnsiTheme="minorEastAsia" w:eastAsiaTheme="minorEastAsia" w:cstheme="minorEastAsia"/>
          <w:highlight w:val="none"/>
        </w:rPr>
      </w:pPr>
      <w:r>
        <w:rPr>
          <w:rFonts w:hint="eastAsia"/>
          <w:b/>
          <w:bCs/>
          <w:sz w:val="28"/>
          <w:szCs w:val="28"/>
          <w:highlight w:val="none"/>
        </w:rPr>
        <w:t>投标人须知</w:t>
      </w:r>
      <w:bookmarkEnd w:id="17"/>
      <w:bookmarkEnd w:id="18"/>
    </w:p>
    <w:p w14:paraId="498A24B4">
      <w:pPr>
        <w:spacing w:beforeLines="50" w:afterLines="50" w:line="360" w:lineRule="auto"/>
        <w:rPr>
          <w:rFonts w:asciiTheme="minorEastAsia" w:hAnsiTheme="minorEastAsia" w:eastAsiaTheme="minorEastAsia" w:cstheme="minorEastAsia"/>
          <w:b/>
          <w:bCs/>
          <w:sz w:val="24"/>
          <w:szCs w:val="24"/>
          <w:highlight w:val="none"/>
        </w:rPr>
      </w:pPr>
      <w:bookmarkStart w:id="19" w:name="_Toc420591643"/>
      <w:bookmarkStart w:id="20" w:name="_Toc425240464"/>
      <w:bookmarkStart w:id="21" w:name="_Toc421778365"/>
      <w:r>
        <w:rPr>
          <w:rFonts w:hint="eastAsia" w:asciiTheme="minorEastAsia" w:hAnsiTheme="minorEastAsia" w:eastAsiaTheme="minorEastAsia" w:cstheme="minorEastAsia"/>
          <w:b/>
          <w:bCs/>
          <w:sz w:val="24"/>
          <w:szCs w:val="24"/>
          <w:highlight w:val="none"/>
        </w:rPr>
        <w:t>1</w:t>
      </w:r>
      <w:bookmarkEnd w:id="19"/>
      <w:bookmarkEnd w:id="20"/>
      <w:bookmarkEnd w:id="21"/>
      <w:r>
        <w:rPr>
          <w:rFonts w:hint="eastAsia" w:asciiTheme="minorEastAsia" w:hAnsiTheme="minorEastAsia" w:eastAsiaTheme="minorEastAsia" w:cstheme="minorEastAsia"/>
          <w:b/>
          <w:bCs/>
          <w:sz w:val="24"/>
          <w:szCs w:val="24"/>
          <w:highlight w:val="none"/>
        </w:rPr>
        <w:t>．总则</w:t>
      </w:r>
    </w:p>
    <w:p w14:paraId="28D20A06">
      <w:pPr>
        <w:spacing w:line="360" w:lineRule="auto"/>
        <w:ind w:firstLine="482" w:firstLineChars="200"/>
        <w:rPr>
          <w:rFonts w:asciiTheme="minorEastAsia" w:hAnsiTheme="minorEastAsia" w:eastAsiaTheme="minorEastAsia" w:cstheme="minorEastAsia"/>
          <w:b/>
          <w:bCs/>
          <w:sz w:val="24"/>
          <w:szCs w:val="24"/>
          <w:highlight w:val="none"/>
        </w:rPr>
      </w:pPr>
      <w:r>
        <w:rPr>
          <w:rFonts w:hint="eastAsia" w:asciiTheme="minorEastAsia" w:hAnsiTheme="minorEastAsia" w:eastAsiaTheme="minorEastAsia" w:cstheme="minorEastAsia"/>
          <w:b/>
          <w:bCs/>
          <w:sz w:val="24"/>
          <w:szCs w:val="24"/>
          <w:highlight w:val="none"/>
        </w:rPr>
        <w:t>1.1 项目概况</w:t>
      </w:r>
    </w:p>
    <w:p w14:paraId="08545211">
      <w:pPr>
        <w:pStyle w:val="11"/>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1.1.1 根据《中华人民共和国政府采购法》、《中华人民共和国招标投标法》等有关法律、法规和规章的规定，本招标项目己具备招标条件，现对本招标项目施工进行招标。</w:t>
      </w:r>
    </w:p>
    <w:p w14:paraId="6326B7EB">
      <w:pPr>
        <w:spacing w:line="360" w:lineRule="auto"/>
        <w:ind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1.1.2 本招标项目招标人：见投标人须知前附表。</w:t>
      </w:r>
    </w:p>
    <w:p w14:paraId="6CD0849B">
      <w:pPr>
        <w:spacing w:line="360" w:lineRule="auto"/>
        <w:ind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1.1.3 本招标项目招标代理机构：见投标人须知前附表。</w:t>
      </w:r>
    </w:p>
    <w:p w14:paraId="1D1AD173">
      <w:pPr>
        <w:spacing w:line="360" w:lineRule="auto"/>
        <w:ind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1.1.4本招标项目名称：见投标人须知前附表。</w:t>
      </w:r>
    </w:p>
    <w:p w14:paraId="24DA16D3">
      <w:pPr>
        <w:spacing w:line="360" w:lineRule="auto"/>
        <w:ind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1.1.5本招标项目建设地点：见投标人须知前附表。</w:t>
      </w:r>
    </w:p>
    <w:p w14:paraId="4040FD91">
      <w:pPr>
        <w:spacing w:line="360" w:lineRule="auto"/>
        <w:ind w:firstLine="482" w:firstLineChars="200"/>
        <w:rPr>
          <w:rFonts w:asciiTheme="minorEastAsia" w:hAnsiTheme="minorEastAsia" w:eastAsiaTheme="minorEastAsia" w:cstheme="minorEastAsia"/>
          <w:b/>
          <w:bCs/>
          <w:sz w:val="24"/>
          <w:szCs w:val="24"/>
          <w:highlight w:val="none"/>
        </w:rPr>
      </w:pPr>
      <w:r>
        <w:rPr>
          <w:rFonts w:hint="eastAsia" w:asciiTheme="minorEastAsia" w:hAnsiTheme="minorEastAsia" w:eastAsiaTheme="minorEastAsia" w:cstheme="minorEastAsia"/>
          <w:b/>
          <w:bCs/>
          <w:sz w:val="24"/>
          <w:szCs w:val="24"/>
          <w:highlight w:val="none"/>
        </w:rPr>
        <w:t>1.2 资金来源和落实情况</w:t>
      </w:r>
    </w:p>
    <w:p w14:paraId="3463A391">
      <w:pPr>
        <w:spacing w:line="360" w:lineRule="auto"/>
        <w:ind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1.2.1 本招标项目的资金来源：见投标人须知前附表。</w:t>
      </w:r>
    </w:p>
    <w:p w14:paraId="0256BF47">
      <w:pPr>
        <w:spacing w:line="360" w:lineRule="auto"/>
        <w:ind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1.2.2 本招标项目的资金落实情况：见投标人须知前附表。</w:t>
      </w:r>
    </w:p>
    <w:p w14:paraId="23867297">
      <w:pPr>
        <w:spacing w:line="360" w:lineRule="auto"/>
        <w:ind w:firstLine="482" w:firstLineChars="200"/>
        <w:rPr>
          <w:rFonts w:asciiTheme="minorEastAsia" w:hAnsiTheme="minorEastAsia" w:eastAsiaTheme="minorEastAsia" w:cstheme="minorEastAsia"/>
          <w:b/>
          <w:bCs/>
          <w:sz w:val="24"/>
          <w:szCs w:val="24"/>
          <w:highlight w:val="none"/>
        </w:rPr>
      </w:pPr>
      <w:r>
        <w:rPr>
          <w:rFonts w:hint="eastAsia" w:asciiTheme="minorEastAsia" w:hAnsiTheme="minorEastAsia" w:eastAsiaTheme="minorEastAsia" w:cstheme="minorEastAsia"/>
          <w:b/>
          <w:bCs/>
          <w:sz w:val="24"/>
          <w:szCs w:val="24"/>
          <w:highlight w:val="none"/>
        </w:rPr>
        <w:t>1.3 招标范围、计划工期和质量要求</w:t>
      </w:r>
    </w:p>
    <w:p w14:paraId="61541F86">
      <w:pPr>
        <w:spacing w:line="360" w:lineRule="auto"/>
        <w:ind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1.3.1 本次招标范围：见投标人须知前附表。</w:t>
      </w:r>
    </w:p>
    <w:p w14:paraId="122B2BB6">
      <w:pPr>
        <w:spacing w:line="360" w:lineRule="auto"/>
        <w:ind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1.3.2 本招标项目的</w:t>
      </w:r>
      <w:r>
        <w:rPr>
          <w:rFonts w:hint="eastAsia" w:asciiTheme="minorEastAsia" w:hAnsiTheme="minorEastAsia" w:eastAsiaTheme="minorEastAsia" w:cstheme="minorEastAsia"/>
          <w:sz w:val="24"/>
          <w:szCs w:val="24"/>
          <w:highlight w:val="none"/>
          <w:lang w:val="en-US" w:eastAsia="zh-CN"/>
        </w:rPr>
        <w:t>服务期</w:t>
      </w:r>
      <w:r>
        <w:rPr>
          <w:rFonts w:hint="eastAsia" w:asciiTheme="minorEastAsia" w:hAnsiTheme="minorEastAsia" w:eastAsiaTheme="minorEastAsia" w:cstheme="minorEastAsia"/>
          <w:sz w:val="24"/>
          <w:szCs w:val="24"/>
          <w:highlight w:val="none"/>
        </w:rPr>
        <w:t>：</w:t>
      </w:r>
      <w:bookmarkStart w:id="22" w:name="OLE_LINK8"/>
      <w:r>
        <w:rPr>
          <w:rFonts w:hint="eastAsia" w:asciiTheme="minorEastAsia" w:hAnsiTheme="minorEastAsia" w:eastAsiaTheme="minorEastAsia" w:cstheme="minorEastAsia"/>
          <w:sz w:val="24"/>
          <w:szCs w:val="24"/>
          <w:highlight w:val="none"/>
        </w:rPr>
        <w:t>见投标人须知前附表。</w:t>
      </w:r>
      <w:bookmarkEnd w:id="22"/>
    </w:p>
    <w:p w14:paraId="0F3793D5">
      <w:pPr>
        <w:spacing w:line="360" w:lineRule="auto"/>
        <w:ind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1.3.4 本招标项目的质量要求：见投标人须知前附表。</w:t>
      </w:r>
    </w:p>
    <w:p w14:paraId="28D95B35">
      <w:pPr>
        <w:spacing w:line="360" w:lineRule="auto"/>
        <w:ind w:firstLine="482" w:firstLineChars="200"/>
        <w:rPr>
          <w:rFonts w:asciiTheme="minorEastAsia" w:hAnsiTheme="minorEastAsia" w:eastAsiaTheme="minorEastAsia" w:cstheme="minorEastAsia"/>
          <w:b/>
          <w:bCs/>
          <w:sz w:val="24"/>
          <w:szCs w:val="24"/>
          <w:highlight w:val="none"/>
        </w:rPr>
      </w:pPr>
      <w:r>
        <w:rPr>
          <w:rFonts w:hint="eastAsia" w:asciiTheme="minorEastAsia" w:hAnsiTheme="minorEastAsia" w:eastAsiaTheme="minorEastAsia" w:cstheme="minorEastAsia"/>
          <w:b/>
          <w:bCs/>
          <w:sz w:val="24"/>
          <w:szCs w:val="24"/>
          <w:highlight w:val="none"/>
        </w:rPr>
        <w:t>1.4 投标人资格要求及招标文件发售时间</w:t>
      </w:r>
    </w:p>
    <w:p w14:paraId="0D4792A6">
      <w:pPr>
        <w:pStyle w:val="11"/>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 xml:space="preserve">    1.4.1资格审查条件：见投标人须知前附表。</w:t>
      </w:r>
    </w:p>
    <w:p w14:paraId="53996749">
      <w:pPr>
        <w:spacing w:line="360" w:lineRule="auto"/>
        <w:ind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1.4.2招标文件发售时间：见投标人须知前附表。</w:t>
      </w:r>
    </w:p>
    <w:p w14:paraId="7D8626E0">
      <w:pPr>
        <w:spacing w:line="360" w:lineRule="auto"/>
        <w:ind w:firstLine="482" w:firstLineChars="200"/>
        <w:rPr>
          <w:rFonts w:asciiTheme="minorEastAsia" w:hAnsiTheme="minorEastAsia" w:eastAsiaTheme="minorEastAsia" w:cstheme="minorEastAsia"/>
          <w:b/>
          <w:bCs/>
          <w:sz w:val="24"/>
          <w:szCs w:val="24"/>
          <w:highlight w:val="none"/>
        </w:rPr>
      </w:pPr>
      <w:r>
        <w:rPr>
          <w:rFonts w:hint="eastAsia" w:asciiTheme="minorEastAsia" w:hAnsiTheme="minorEastAsia" w:eastAsiaTheme="minorEastAsia" w:cstheme="minorEastAsia"/>
          <w:b/>
          <w:bCs/>
          <w:sz w:val="24"/>
          <w:szCs w:val="24"/>
          <w:highlight w:val="none"/>
        </w:rPr>
        <w:t>1.5 费用承担</w:t>
      </w:r>
    </w:p>
    <w:p w14:paraId="07D90DBC">
      <w:pPr>
        <w:spacing w:line="360" w:lineRule="auto"/>
        <w:ind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投标人准备和参加投标活动发生的费用自理。</w:t>
      </w:r>
    </w:p>
    <w:p w14:paraId="78DAA2FF">
      <w:pPr>
        <w:spacing w:line="360" w:lineRule="auto"/>
        <w:ind w:firstLine="482" w:firstLineChars="200"/>
        <w:rPr>
          <w:rFonts w:asciiTheme="minorEastAsia" w:hAnsiTheme="minorEastAsia" w:eastAsiaTheme="minorEastAsia" w:cstheme="minorEastAsia"/>
          <w:b/>
          <w:bCs/>
          <w:sz w:val="24"/>
          <w:szCs w:val="24"/>
          <w:highlight w:val="none"/>
        </w:rPr>
      </w:pPr>
      <w:r>
        <w:rPr>
          <w:rFonts w:hint="eastAsia" w:asciiTheme="minorEastAsia" w:hAnsiTheme="minorEastAsia" w:eastAsiaTheme="minorEastAsia" w:cstheme="minorEastAsia"/>
          <w:b/>
          <w:bCs/>
          <w:sz w:val="24"/>
          <w:szCs w:val="24"/>
          <w:highlight w:val="none"/>
        </w:rPr>
        <w:t>1.6 保密</w:t>
      </w:r>
    </w:p>
    <w:p w14:paraId="08E395BB">
      <w:pPr>
        <w:spacing w:line="360" w:lineRule="auto"/>
        <w:ind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参与招标投标活动的各方应对招标文件和投标文件中的商业和技术等秘密保密，违者应对由此造成的后果承担法律责任。</w:t>
      </w:r>
    </w:p>
    <w:p w14:paraId="692EC760">
      <w:pPr>
        <w:spacing w:line="360" w:lineRule="auto"/>
        <w:ind w:firstLine="482" w:firstLineChars="200"/>
        <w:rPr>
          <w:rFonts w:asciiTheme="minorEastAsia" w:hAnsiTheme="minorEastAsia" w:eastAsiaTheme="minorEastAsia" w:cstheme="minorEastAsia"/>
          <w:b/>
          <w:bCs/>
          <w:sz w:val="24"/>
          <w:szCs w:val="24"/>
          <w:highlight w:val="none"/>
        </w:rPr>
      </w:pPr>
      <w:r>
        <w:rPr>
          <w:rFonts w:hint="eastAsia" w:asciiTheme="minorEastAsia" w:hAnsiTheme="minorEastAsia" w:eastAsiaTheme="minorEastAsia" w:cstheme="minorEastAsia"/>
          <w:b/>
          <w:bCs/>
          <w:sz w:val="24"/>
          <w:szCs w:val="24"/>
          <w:highlight w:val="none"/>
        </w:rPr>
        <w:t>1.7 语言文字</w:t>
      </w:r>
    </w:p>
    <w:p w14:paraId="39247D99">
      <w:pPr>
        <w:spacing w:line="360" w:lineRule="auto"/>
        <w:ind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除专用术语外，与招标投标有关的语言均使用中文。必要时专用术语应附有中文注释。</w:t>
      </w:r>
    </w:p>
    <w:p w14:paraId="7D4D3734">
      <w:pPr>
        <w:spacing w:line="360" w:lineRule="auto"/>
        <w:ind w:firstLine="482" w:firstLineChars="200"/>
        <w:rPr>
          <w:rFonts w:asciiTheme="minorEastAsia" w:hAnsiTheme="minorEastAsia" w:eastAsiaTheme="minorEastAsia" w:cstheme="minorEastAsia"/>
          <w:b/>
          <w:bCs/>
          <w:sz w:val="24"/>
          <w:szCs w:val="24"/>
          <w:highlight w:val="none"/>
        </w:rPr>
      </w:pPr>
      <w:r>
        <w:rPr>
          <w:rFonts w:hint="eastAsia" w:asciiTheme="minorEastAsia" w:hAnsiTheme="minorEastAsia" w:eastAsiaTheme="minorEastAsia" w:cstheme="minorEastAsia"/>
          <w:b/>
          <w:bCs/>
          <w:sz w:val="24"/>
          <w:szCs w:val="24"/>
          <w:highlight w:val="none"/>
        </w:rPr>
        <w:t>1.8 计量单位</w:t>
      </w:r>
    </w:p>
    <w:p w14:paraId="201FB56C">
      <w:pPr>
        <w:spacing w:line="360" w:lineRule="auto"/>
        <w:ind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所有计量均采用中华人民共和国法定计量单位。</w:t>
      </w:r>
    </w:p>
    <w:p w14:paraId="5A071BB2">
      <w:pPr>
        <w:spacing w:line="360" w:lineRule="auto"/>
        <w:ind w:firstLine="482" w:firstLineChars="200"/>
        <w:rPr>
          <w:rFonts w:asciiTheme="minorEastAsia" w:hAnsiTheme="minorEastAsia" w:eastAsiaTheme="minorEastAsia" w:cstheme="minorEastAsia"/>
          <w:b/>
          <w:bCs/>
          <w:sz w:val="24"/>
          <w:szCs w:val="24"/>
          <w:highlight w:val="none"/>
        </w:rPr>
      </w:pPr>
      <w:r>
        <w:rPr>
          <w:rFonts w:hint="eastAsia" w:asciiTheme="minorEastAsia" w:hAnsiTheme="minorEastAsia" w:eastAsiaTheme="minorEastAsia" w:cstheme="minorEastAsia"/>
          <w:b/>
          <w:bCs/>
          <w:sz w:val="24"/>
          <w:szCs w:val="24"/>
          <w:highlight w:val="none"/>
        </w:rPr>
        <w:t>1.9 踏勘现场</w:t>
      </w:r>
    </w:p>
    <w:p w14:paraId="51204583">
      <w:pPr>
        <w:spacing w:line="360" w:lineRule="auto"/>
        <w:ind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1.9.1见投标人须知前附表。</w:t>
      </w:r>
    </w:p>
    <w:p w14:paraId="527B202B">
      <w:pPr>
        <w:spacing w:line="360" w:lineRule="auto"/>
        <w:ind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1.9.2 投标人踏勘现场发生的费用自理，并自行负责在踏勘现场中所发生的人员伤亡和财产损失。</w:t>
      </w:r>
    </w:p>
    <w:p w14:paraId="393C81F5">
      <w:pPr>
        <w:spacing w:line="360" w:lineRule="auto"/>
        <w:ind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1.9.3 投标人应对现场及周围环境进行踏勘，充分了解现场环境、总体布置情况、地形地貌、现场道路、储存空间、运输、装卸等限制条件及其它任何足以影响投标报价的情况，以便各投标人获取须自主考虑的有关投标文件编制和合同签署所需的相关资料和数据，任何因忽视或误解工地情况而导致的索赔或工期延长申请将不获批准。</w:t>
      </w:r>
    </w:p>
    <w:p w14:paraId="362058EA">
      <w:pPr>
        <w:spacing w:line="360" w:lineRule="auto"/>
        <w:ind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1.9.4 招标人在踏勘现场中介绍的场地和相关的周边环境情况，供投标人在编制投标文件时参考，招标人不对投标人据此作出的判断和决策负责。</w:t>
      </w:r>
    </w:p>
    <w:p w14:paraId="6FDF5812">
      <w:pPr>
        <w:spacing w:line="360" w:lineRule="auto"/>
        <w:ind w:firstLine="482" w:firstLineChars="200"/>
        <w:rPr>
          <w:rFonts w:asciiTheme="minorEastAsia" w:hAnsiTheme="minorEastAsia" w:eastAsiaTheme="minorEastAsia" w:cstheme="minorEastAsia"/>
          <w:b/>
          <w:bCs/>
          <w:sz w:val="24"/>
          <w:szCs w:val="24"/>
          <w:highlight w:val="none"/>
        </w:rPr>
      </w:pPr>
      <w:r>
        <w:rPr>
          <w:rFonts w:hint="eastAsia" w:asciiTheme="minorEastAsia" w:hAnsiTheme="minorEastAsia" w:eastAsiaTheme="minorEastAsia" w:cstheme="minorEastAsia"/>
          <w:b/>
          <w:bCs/>
          <w:sz w:val="24"/>
          <w:szCs w:val="24"/>
          <w:highlight w:val="none"/>
        </w:rPr>
        <w:t>1.10 投标答疑会</w:t>
      </w:r>
    </w:p>
    <w:p w14:paraId="53015318">
      <w:pPr>
        <w:spacing w:line="360" w:lineRule="auto"/>
        <w:ind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不召开；若有疑问，均应在购买招标文件后7个工作日内以书面形式向采购代理机构提出。</w:t>
      </w:r>
    </w:p>
    <w:p w14:paraId="4F8440E0">
      <w:pPr>
        <w:spacing w:line="360" w:lineRule="auto"/>
        <w:ind w:firstLine="482" w:firstLineChars="200"/>
        <w:rPr>
          <w:rFonts w:asciiTheme="minorEastAsia" w:hAnsiTheme="minorEastAsia" w:eastAsiaTheme="minorEastAsia" w:cstheme="minorEastAsia"/>
          <w:b/>
          <w:bCs/>
          <w:sz w:val="24"/>
          <w:szCs w:val="24"/>
          <w:highlight w:val="none"/>
        </w:rPr>
      </w:pPr>
      <w:r>
        <w:rPr>
          <w:rFonts w:hint="eastAsia" w:asciiTheme="minorEastAsia" w:hAnsiTheme="minorEastAsia" w:eastAsiaTheme="minorEastAsia" w:cstheme="minorEastAsia"/>
          <w:b/>
          <w:bCs/>
          <w:sz w:val="24"/>
          <w:szCs w:val="24"/>
          <w:highlight w:val="none"/>
        </w:rPr>
        <w:t>1.11 分包</w:t>
      </w:r>
    </w:p>
    <w:p w14:paraId="61DCBF16">
      <w:pPr>
        <w:spacing w:line="360" w:lineRule="auto"/>
        <w:ind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不允许。</w:t>
      </w:r>
    </w:p>
    <w:p w14:paraId="4A7C543D">
      <w:pPr>
        <w:spacing w:line="360" w:lineRule="auto"/>
        <w:ind w:firstLine="482" w:firstLineChars="200"/>
        <w:rPr>
          <w:rFonts w:asciiTheme="minorEastAsia" w:hAnsiTheme="minorEastAsia" w:eastAsiaTheme="minorEastAsia" w:cstheme="minorEastAsia"/>
          <w:b/>
          <w:bCs/>
          <w:sz w:val="24"/>
          <w:szCs w:val="24"/>
          <w:highlight w:val="none"/>
        </w:rPr>
      </w:pPr>
      <w:r>
        <w:rPr>
          <w:rFonts w:hint="eastAsia" w:asciiTheme="minorEastAsia" w:hAnsiTheme="minorEastAsia" w:eastAsiaTheme="minorEastAsia" w:cstheme="minorEastAsia"/>
          <w:b/>
          <w:bCs/>
          <w:sz w:val="24"/>
          <w:szCs w:val="24"/>
          <w:highlight w:val="none"/>
        </w:rPr>
        <w:t>1.12 偏离</w:t>
      </w:r>
    </w:p>
    <w:p w14:paraId="28B356A2">
      <w:pPr>
        <w:spacing w:beforeLines="50" w:afterLines="50" w:line="360" w:lineRule="auto"/>
        <w:ind w:firstLine="480" w:firstLineChars="200"/>
        <w:rPr>
          <w:rFonts w:asciiTheme="minorEastAsia" w:hAnsiTheme="minorEastAsia" w:eastAsiaTheme="minorEastAsia" w:cstheme="minorEastAsia"/>
          <w:sz w:val="24"/>
          <w:szCs w:val="24"/>
          <w:highlight w:val="none"/>
        </w:rPr>
      </w:pPr>
      <w:bookmarkStart w:id="23" w:name="_Toc421778366"/>
      <w:bookmarkStart w:id="24" w:name="_Toc425240465"/>
      <w:bookmarkStart w:id="25" w:name="_Toc420591644"/>
      <w:r>
        <w:rPr>
          <w:rFonts w:hint="eastAsia" w:asciiTheme="minorEastAsia" w:hAnsiTheme="minorEastAsia" w:eastAsiaTheme="minorEastAsia" w:cstheme="minorEastAsia"/>
          <w:sz w:val="24"/>
          <w:szCs w:val="24"/>
          <w:highlight w:val="none"/>
        </w:rPr>
        <w:t>不满足评标办法中初步评审标准的，视为发生重大偏离，其投标被否决。其余偏离视为细微偏离，评标委员会将通过澄清方式对细微偏离进行澄清或修改。</w:t>
      </w:r>
    </w:p>
    <w:p w14:paraId="5306B58D">
      <w:pPr>
        <w:spacing w:beforeLines="50" w:afterLines="50" w:line="360" w:lineRule="auto"/>
        <w:rPr>
          <w:rFonts w:asciiTheme="minorEastAsia" w:hAnsiTheme="minorEastAsia" w:eastAsiaTheme="minorEastAsia" w:cstheme="minorEastAsia"/>
          <w:b/>
          <w:bCs/>
          <w:sz w:val="24"/>
          <w:szCs w:val="24"/>
          <w:highlight w:val="none"/>
        </w:rPr>
      </w:pPr>
      <w:r>
        <w:rPr>
          <w:rFonts w:hint="eastAsia" w:asciiTheme="minorEastAsia" w:hAnsiTheme="minorEastAsia" w:eastAsiaTheme="minorEastAsia" w:cstheme="minorEastAsia"/>
          <w:b/>
          <w:bCs/>
          <w:sz w:val="24"/>
          <w:szCs w:val="24"/>
          <w:highlight w:val="none"/>
        </w:rPr>
        <w:t>2．招标文件</w:t>
      </w:r>
      <w:bookmarkEnd w:id="23"/>
      <w:bookmarkEnd w:id="24"/>
      <w:bookmarkEnd w:id="25"/>
    </w:p>
    <w:p w14:paraId="25D72A43">
      <w:pPr>
        <w:spacing w:line="360" w:lineRule="auto"/>
        <w:ind w:firstLine="482" w:firstLineChars="200"/>
        <w:rPr>
          <w:rFonts w:asciiTheme="minorEastAsia" w:hAnsiTheme="minorEastAsia" w:eastAsiaTheme="minorEastAsia" w:cstheme="minorEastAsia"/>
          <w:b/>
          <w:bCs/>
          <w:sz w:val="24"/>
          <w:szCs w:val="24"/>
          <w:highlight w:val="none"/>
        </w:rPr>
      </w:pPr>
      <w:r>
        <w:rPr>
          <w:rFonts w:hint="eastAsia" w:asciiTheme="minorEastAsia" w:hAnsiTheme="minorEastAsia" w:eastAsiaTheme="minorEastAsia" w:cstheme="minorEastAsia"/>
          <w:b/>
          <w:bCs/>
          <w:sz w:val="24"/>
          <w:szCs w:val="24"/>
          <w:highlight w:val="none"/>
        </w:rPr>
        <w:t>2.1 招标文件的组成</w:t>
      </w:r>
    </w:p>
    <w:p w14:paraId="1A9D23A0">
      <w:pPr>
        <w:spacing w:line="360" w:lineRule="auto"/>
        <w:ind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本招标文件包括：</w:t>
      </w:r>
    </w:p>
    <w:p w14:paraId="246E61CF">
      <w:pPr>
        <w:spacing w:line="360" w:lineRule="auto"/>
        <w:ind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(1）招标公告；</w:t>
      </w:r>
    </w:p>
    <w:p w14:paraId="010B7AAC">
      <w:pPr>
        <w:spacing w:line="360" w:lineRule="auto"/>
        <w:ind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(2）投标人须知前附表及投标人须知；</w:t>
      </w:r>
    </w:p>
    <w:p w14:paraId="01636AF2">
      <w:pPr>
        <w:spacing w:line="360" w:lineRule="auto"/>
        <w:ind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(3）</w:t>
      </w:r>
      <w:r>
        <w:rPr>
          <w:rFonts w:hint="eastAsia" w:asciiTheme="minorEastAsia" w:hAnsiTheme="minorEastAsia" w:eastAsiaTheme="minorEastAsia" w:cstheme="minorEastAsia"/>
          <w:sz w:val="24"/>
          <w:szCs w:val="24"/>
          <w:highlight w:val="none"/>
          <w:lang w:val="en-US" w:eastAsia="zh-CN"/>
        </w:rPr>
        <w:t>评审</w:t>
      </w:r>
      <w:r>
        <w:rPr>
          <w:rFonts w:hint="eastAsia" w:asciiTheme="minorEastAsia" w:hAnsiTheme="minorEastAsia" w:eastAsiaTheme="minorEastAsia" w:cstheme="minorEastAsia"/>
          <w:sz w:val="24"/>
          <w:szCs w:val="24"/>
          <w:highlight w:val="none"/>
        </w:rPr>
        <w:t>办法；</w:t>
      </w:r>
    </w:p>
    <w:p w14:paraId="7DF7EFA0">
      <w:pPr>
        <w:spacing w:line="360" w:lineRule="auto"/>
        <w:ind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(4）合同条款及格式；</w:t>
      </w:r>
    </w:p>
    <w:p w14:paraId="47B69CC5">
      <w:pPr>
        <w:spacing w:line="360" w:lineRule="auto"/>
        <w:ind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(5）项目概况及技术要求;</w:t>
      </w:r>
    </w:p>
    <w:p w14:paraId="759D8266">
      <w:pPr>
        <w:spacing w:line="360" w:lineRule="auto"/>
        <w:ind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(6）投标文件格式。</w:t>
      </w:r>
    </w:p>
    <w:p w14:paraId="7A2102E7">
      <w:pPr>
        <w:spacing w:line="360" w:lineRule="auto"/>
        <w:ind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根据本章第1.10 款、第2.2 款和第2.3 款对招标文件所作的澄清、修改，构成招标文件的组成部分。</w:t>
      </w:r>
    </w:p>
    <w:p w14:paraId="58CC56BF">
      <w:pPr>
        <w:spacing w:line="360" w:lineRule="auto"/>
        <w:ind w:firstLine="482" w:firstLineChars="200"/>
        <w:rPr>
          <w:rFonts w:asciiTheme="minorEastAsia" w:hAnsiTheme="minorEastAsia" w:eastAsiaTheme="minorEastAsia" w:cstheme="minorEastAsia"/>
          <w:b/>
          <w:bCs/>
          <w:sz w:val="24"/>
          <w:szCs w:val="24"/>
          <w:highlight w:val="none"/>
        </w:rPr>
      </w:pPr>
      <w:r>
        <w:rPr>
          <w:rFonts w:hint="eastAsia" w:asciiTheme="minorEastAsia" w:hAnsiTheme="minorEastAsia" w:eastAsiaTheme="minorEastAsia" w:cstheme="minorEastAsia"/>
          <w:b/>
          <w:bCs/>
          <w:sz w:val="24"/>
          <w:szCs w:val="24"/>
          <w:highlight w:val="none"/>
        </w:rPr>
        <w:t>2.2 招标文件的澄清及修改</w:t>
      </w:r>
    </w:p>
    <w:p w14:paraId="320AE996">
      <w:pPr>
        <w:spacing w:line="360" w:lineRule="auto"/>
        <w:ind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2.2.1在投标文件递交截止时间三个工作日前，采购代理机构可以视采购具体情况，延长投标截止时间和开标时间并在财政部门指定的媒体上发布变更公告，同时将变更时间书面通知所有招标文件收受人。</w:t>
      </w:r>
    </w:p>
    <w:p w14:paraId="33F6BE8E">
      <w:pPr>
        <w:spacing w:line="360" w:lineRule="auto"/>
        <w:ind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 xml:space="preserve">2.2.2采购代理机构如果对已发出的招标文件进行修改，将在招标文件要求提交投标文件截止时间十五日前，在发布招标公告的财政部门指定媒体上发布更正公告，并以书面形式通知所有招标文件收受人。该澄清或者修改的内容为招标文件的组成部分。 </w:t>
      </w:r>
    </w:p>
    <w:p w14:paraId="2DDAD9D1">
      <w:pPr>
        <w:spacing w:line="360" w:lineRule="auto"/>
        <w:ind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2.2.3已经购买招标文件的投标人对招标文件有疑问的，均应在购买招标文件后7个工作日内以书面形式向采购代理机构提出。采购代理机构视情况必要时将书面答复传送给所有招标文件收受人。</w:t>
      </w:r>
    </w:p>
    <w:p w14:paraId="4F4AD2E8">
      <w:pPr>
        <w:spacing w:line="360" w:lineRule="auto"/>
        <w:ind w:firstLine="480" w:firstLineChars="200"/>
        <w:rPr>
          <w:rFonts w:asciiTheme="minorEastAsia" w:hAnsiTheme="minorEastAsia" w:eastAsiaTheme="minorEastAsia" w:cstheme="minorEastAsia"/>
          <w:b/>
          <w:bCs/>
          <w:sz w:val="24"/>
          <w:szCs w:val="24"/>
          <w:highlight w:val="none"/>
        </w:rPr>
      </w:pPr>
      <w:r>
        <w:rPr>
          <w:rFonts w:hint="eastAsia" w:asciiTheme="minorEastAsia" w:hAnsiTheme="minorEastAsia" w:eastAsiaTheme="minorEastAsia" w:cstheme="minorEastAsia"/>
          <w:sz w:val="24"/>
          <w:szCs w:val="24"/>
          <w:highlight w:val="none"/>
        </w:rPr>
        <w:t>2.2.4投标人在收到上述通知后，应立即向采购代理机构回函确认。</w:t>
      </w:r>
    </w:p>
    <w:p w14:paraId="69EE9B3D">
      <w:pPr>
        <w:spacing w:beforeLines="50" w:afterLines="50" w:line="360" w:lineRule="auto"/>
        <w:rPr>
          <w:rFonts w:asciiTheme="minorEastAsia" w:hAnsiTheme="minorEastAsia" w:eastAsiaTheme="minorEastAsia" w:cstheme="minorEastAsia"/>
          <w:b/>
          <w:bCs/>
          <w:sz w:val="24"/>
          <w:szCs w:val="24"/>
          <w:highlight w:val="none"/>
        </w:rPr>
      </w:pPr>
      <w:bookmarkStart w:id="26" w:name="_Toc420591645"/>
      <w:bookmarkStart w:id="27" w:name="_Toc425240466"/>
      <w:bookmarkStart w:id="28" w:name="_Toc421778367"/>
      <w:r>
        <w:rPr>
          <w:rFonts w:hint="eastAsia" w:asciiTheme="minorEastAsia" w:hAnsiTheme="minorEastAsia" w:eastAsiaTheme="minorEastAsia" w:cstheme="minorEastAsia"/>
          <w:b/>
          <w:bCs/>
          <w:sz w:val="24"/>
          <w:szCs w:val="24"/>
          <w:highlight w:val="none"/>
        </w:rPr>
        <w:t>3．投标文件</w:t>
      </w:r>
      <w:bookmarkEnd w:id="26"/>
      <w:bookmarkEnd w:id="27"/>
      <w:bookmarkEnd w:id="28"/>
    </w:p>
    <w:p w14:paraId="71A8AE7C">
      <w:pPr>
        <w:spacing w:line="360" w:lineRule="auto"/>
        <w:rPr>
          <w:rFonts w:asciiTheme="minorEastAsia" w:hAnsiTheme="minorEastAsia" w:eastAsiaTheme="minorEastAsia" w:cstheme="minorEastAsia"/>
          <w:b/>
          <w:sz w:val="24"/>
          <w:szCs w:val="24"/>
          <w:highlight w:val="none"/>
        </w:rPr>
      </w:pPr>
      <w:r>
        <w:rPr>
          <w:rFonts w:hint="eastAsia" w:asciiTheme="minorEastAsia" w:hAnsiTheme="minorEastAsia" w:eastAsiaTheme="minorEastAsia" w:cstheme="minorEastAsia"/>
          <w:b/>
          <w:sz w:val="24"/>
          <w:szCs w:val="24"/>
          <w:highlight w:val="none"/>
        </w:rPr>
        <w:t>3.1.投标语言和投标货币</w:t>
      </w:r>
    </w:p>
    <w:p w14:paraId="01D1B2C5">
      <w:pPr>
        <w:spacing w:line="360" w:lineRule="auto"/>
        <w:ind w:firstLine="480" w:firstLineChars="200"/>
        <w:rPr>
          <w:rFonts w:asciiTheme="minorEastAsia" w:hAnsiTheme="minorEastAsia" w:eastAsiaTheme="minorEastAsia" w:cstheme="minorEastAsia"/>
          <w:b/>
          <w:sz w:val="24"/>
          <w:szCs w:val="24"/>
          <w:highlight w:val="none"/>
        </w:rPr>
      </w:pPr>
      <w:r>
        <w:rPr>
          <w:rFonts w:hint="eastAsia" w:asciiTheme="minorEastAsia" w:hAnsiTheme="minorEastAsia" w:eastAsiaTheme="minorEastAsia" w:cstheme="minorEastAsia"/>
          <w:sz w:val="24"/>
          <w:szCs w:val="24"/>
          <w:highlight w:val="none"/>
        </w:rPr>
        <w:t>3.1.1投标人提交的投标文件以及投标人与采购代理机构就有关投标的所有来往函电均应使用中文。</w:t>
      </w:r>
    </w:p>
    <w:p w14:paraId="24F21892">
      <w:pPr>
        <w:spacing w:line="360" w:lineRule="auto"/>
        <w:ind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3.1.2投标应以人民币报价。任何包含非人民币报价的投标将按无效投标处理。</w:t>
      </w:r>
    </w:p>
    <w:p w14:paraId="70EE8B08">
      <w:pPr>
        <w:spacing w:line="360" w:lineRule="auto"/>
        <w:rPr>
          <w:rFonts w:asciiTheme="minorEastAsia" w:hAnsiTheme="minorEastAsia" w:eastAsiaTheme="minorEastAsia" w:cstheme="minorEastAsia"/>
          <w:b/>
          <w:sz w:val="24"/>
          <w:szCs w:val="24"/>
          <w:highlight w:val="none"/>
        </w:rPr>
      </w:pPr>
      <w:r>
        <w:rPr>
          <w:rFonts w:hint="eastAsia" w:asciiTheme="minorEastAsia" w:hAnsiTheme="minorEastAsia" w:eastAsiaTheme="minorEastAsia" w:cstheme="minorEastAsia"/>
          <w:b/>
          <w:sz w:val="24"/>
          <w:szCs w:val="24"/>
          <w:highlight w:val="none"/>
        </w:rPr>
        <w:t>3.2.投标文件的构成</w:t>
      </w:r>
    </w:p>
    <w:p w14:paraId="6B47811A">
      <w:pPr>
        <w:spacing w:line="360" w:lineRule="auto"/>
        <w:ind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3.2.1 投标人提交的投标文件应包含下列部分的内容：</w:t>
      </w:r>
    </w:p>
    <w:p w14:paraId="278831A3">
      <w:pPr>
        <w:spacing w:line="500" w:lineRule="exact"/>
        <w:ind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1）按照投标人须知的要求和招标文件规定格式填写的招标函、开标一览表、法定代表人授权委托书。</w:t>
      </w:r>
    </w:p>
    <w:p w14:paraId="4A970FFC">
      <w:pPr>
        <w:spacing w:line="500" w:lineRule="exact"/>
        <w:ind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2）按照招标文件的要求编制的投标方案说明书。</w:t>
      </w:r>
    </w:p>
    <w:p w14:paraId="7A5E5C73">
      <w:pPr>
        <w:spacing w:line="500" w:lineRule="exact"/>
        <w:ind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3）按照招标文件投标人须知前附表的要求提交的资格证明文件；</w:t>
      </w:r>
    </w:p>
    <w:p w14:paraId="5590C079">
      <w:pPr>
        <w:spacing w:line="500" w:lineRule="exact"/>
        <w:ind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4）按照本须知第14条要求提交的投标保证金。</w:t>
      </w:r>
    </w:p>
    <w:p w14:paraId="2BB1F56B">
      <w:pPr>
        <w:spacing w:line="500" w:lineRule="exact"/>
        <w:ind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5）招标文件中要求的其他证明文件。</w:t>
      </w:r>
    </w:p>
    <w:p w14:paraId="244A34EC">
      <w:pPr>
        <w:spacing w:line="360" w:lineRule="auto"/>
        <w:ind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3.2.2 如果在招标文件中没有允许提供备选方案，则每个投标人只允许提交一个投标方案，否则，其投标将被作无效响应处理。</w:t>
      </w:r>
    </w:p>
    <w:p w14:paraId="7C616A1B">
      <w:pPr>
        <w:spacing w:line="360" w:lineRule="auto"/>
        <w:ind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3.2.3 本次投标的最小单元为“标段”</w:t>
      </w:r>
      <w:r>
        <w:rPr>
          <w:rFonts w:hint="eastAsia" w:asciiTheme="minorEastAsia" w:hAnsiTheme="minorEastAsia" w:eastAsiaTheme="minorEastAsia" w:cstheme="minorEastAsia"/>
          <w:sz w:val="24"/>
          <w:szCs w:val="24"/>
          <w:highlight w:val="none"/>
          <w:lang w:eastAsia="zh-CN"/>
        </w:rPr>
        <w:t>。</w:t>
      </w:r>
      <w:r>
        <w:rPr>
          <w:rFonts w:hint="eastAsia" w:asciiTheme="minorEastAsia" w:hAnsiTheme="minorEastAsia" w:eastAsiaTheme="minorEastAsia" w:cstheme="minorEastAsia"/>
          <w:sz w:val="24"/>
          <w:szCs w:val="24"/>
          <w:highlight w:val="none"/>
        </w:rPr>
        <w:t>投标人</w:t>
      </w:r>
      <w:r>
        <w:rPr>
          <w:rFonts w:hint="eastAsia" w:asciiTheme="minorEastAsia" w:hAnsiTheme="minorEastAsia" w:eastAsiaTheme="minorEastAsia" w:cstheme="minorEastAsia"/>
          <w:kern w:val="0"/>
          <w:sz w:val="24"/>
          <w:szCs w:val="24"/>
          <w:highlight w:val="none"/>
        </w:rPr>
        <w:t>可根据自身的资质情况和经营范围对本次项目进行投标，不得将其子目再行分解或只对本次项目中的品目进行不完全投标，任何不完全的响应将会被拒绝。</w:t>
      </w:r>
    </w:p>
    <w:p w14:paraId="52CA61A0">
      <w:pPr>
        <w:spacing w:line="360" w:lineRule="auto"/>
        <w:rPr>
          <w:rFonts w:asciiTheme="minorEastAsia" w:hAnsiTheme="minorEastAsia" w:eastAsiaTheme="minorEastAsia" w:cstheme="minorEastAsia"/>
          <w:b/>
          <w:sz w:val="24"/>
          <w:szCs w:val="24"/>
          <w:highlight w:val="none"/>
        </w:rPr>
      </w:pPr>
      <w:r>
        <w:rPr>
          <w:rFonts w:hint="eastAsia" w:asciiTheme="minorEastAsia" w:hAnsiTheme="minorEastAsia" w:eastAsiaTheme="minorEastAsia" w:cstheme="minorEastAsia"/>
          <w:b/>
          <w:sz w:val="24"/>
          <w:szCs w:val="24"/>
          <w:highlight w:val="none"/>
        </w:rPr>
        <w:t xml:space="preserve">3.3.投标文件格式 </w:t>
      </w:r>
    </w:p>
    <w:p w14:paraId="0569240E">
      <w:pPr>
        <w:spacing w:line="360" w:lineRule="auto"/>
        <w:ind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3.3.1 投标人应按照招标文件中第六章“投标文件格式及构成”所提供的格式和要求制作投标文件，明确表达投标意愿，详细说明投标方案、承诺及价格。</w:t>
      </w:r>
    </w:p>
    <w:p w14:paraId="22AFF513">
      <w:pPr>
        <w:spacing w:line="360" w:lineRule="auto"/>
        <w:ind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3.3.2按招标文件第六章提供的格式和要求编写其投标文件，投标人不得缺少或留空任何招标文件要求填写的表格或提交的资料。</w:t>
      </w:r>
    </w:p>
    <w:p w14:paraId="5463835B">
      <w:pPr>
        <w:spacing w:line="360" w:lineRule="auto"/>
        <w:rPr>
          <w:rFonts w:asciiTheme="minorEastAsia" w:hAnsiTheme="minorEastAsia" w:eastAsiaTheme="minorEastAsia" w:cstheme="minorEastAsia"/>
          <w:b/>
          <w:bCs/>
          <w:sz w:val="24"/>
          <w:szCs w:val="24"/>
          <w:highlight w:val="none"/>
        </w:rPr>
      </w:pPr>
      <w:r>
        <w:rPr>
          <w:rFonts w:hint="eastAsia" w:asciiTheme="minorEastAsia" w:hAnsiTheme="minorEastAsia" w:eastAsiaTheme="minorEastAsia" w:cstheme="minorEastAsia"/>
          <w:b/>
          <w:bCs/>
          <w:sz w:val="24"/>
          <w:szCs w:val="24"/>
          <w:highlight w:val="none"/>
        </w:rPr>
        <w:t>3.4 投标报价</w:t>
      </w:r>
    </w:p>
    <w:p w14:paraId="35AFDFC7">
      <w:pPr>
        <w:spacing w:line="560" w:lineRule="exact"/>
        <w:ind w:firstLine="496" w:firstLineChars="207"/>
        <w:rPr>
          <w:rFonts w:ascii="宋体" w:hAnsi="宋体" w:cs="宋体"/>
          <w:sz w:val="24"/>
          <w:szCs w:val="24"/>
          <w:highlight w:val="none"/>
        </w:rPr>
      </w:pPr>
      <w:r>
        <w:rPr>
          <w:rFonts w:hint="eastAsia" w:ascii="宋体" w:hAnsi="宋体" w:cs="宋体"/>
          <w:sz w:val="24"/>
          <w:szCs w:val="24"/>
          <w:highlight w:val="none"/>
        </w:rPr>
        <w:t>3.4.1以中标固定总价为依据签订合同。</w:t>
      </w:r>
    </w:p>
    <w:p w14:paraId="7120B1BA">
      <w:pPr>
        <w:spacing w:line="360" w:lineRule="auto"/>
        <w:ind w:firstLine="480" w:firstLineChars="200"/>
        <w:rPr>
          <w:rFonts w:ascii="宋体"/>
          <w:sz w:val="24"/>
          <w:szCs w:val="24"/>
          <w:highlight w:val="none"/>
        </w:rPr>
      </w:pPr>
      <w:r>
        <w:rPr>
          <w:rFonts w:ascii="宋体" w:hAnsi="宋体" w:cs="宋体"/>
          <w:sz w:val="24"/>
          <w:szCs w:val="24"/>
          <w:highlight w:val="none"/>
        </w:rPr>
        <w:t>3.</w:t>
      </w:r>
      <w:r>
        <w:rPr>
          <w:rFonts w:hint="eastAsia" w:ascii="宋体" w:hAnsi="宋体" w:cs="宋体"/>
          <w:sz w:val="24"/>
          <w:szCs w:val="24"/>
          <w:highlight w:val="none"/>
        </w:rPr>
        <w:t>4</w:t>
      </w:r>
      <w:r>
        <w:rPr>
          <w:rFonts w:ascii="宋体" w:hAnsi="宋体" w:cs="宋体"/>
          <w:sz w:val="24"/>
          <w:szCs w:val="24"/>
          <w:highlight w:val="none"/>
        </w:rPr>
        <w:t>.</w:t>
      </w:r>
      <w:r>
        <w:rPr>
          <w:rFonts w:hint="eastAsia" w:ascii="宋体" w:hAnsi="宋体" w:cs="宋体"/>
          <w:sz w:val="24"/>
          <w:szCs w:val="24"/>
          <w:highlight w:val="none"/>
        </w:rPr>
        <w:t>2本项目投标总价包含：</w:t>
      </w:r>
      <w:r>
        <w:rPr>
          <w:rFonts w:hint="eastAsia" w:ascii="宋体" w:hAnsi="宋体" w:cs="宋体"/>
          <w:color w:val="000000" w:themeColor="text1"/>
          <w:sz w:val="24"/>
          <w:szCs w:val="24"/>
          <w:highlight w:val="none"/>
          <w:lang w:val="en-US" w:eastAsia="zh-CN"/>
          <w14:textFill>
            <w14:solidFill>
              <w14:schemeClr w14:val="tx1"/>
            </w14:solidFill>
          </w14:textFill>
        </w:rPr>
        <w:t>苗木</w:t>
      </w:r>
      <w:r>
        <w:rPr>
          <w:rFonts w:hint="eastAsia" w:ascii="宋体" w:hAnsi="宋体" w:cs="宋体"/>
          <w:color w:val="auto"/>
          <w:sz w:val="24"/>
          <w:szCs w:val="24"/>
          <w:highlight w:val="none"/>
        </w:rPr>
        <w:t>费、</w:t>
      </w:r>
      <w:r>
        <w:rPr>
          <w:rFonts w:hint="eastAsia" w:ascii="宋体" w:hAnsi="宋体" w:cs="宋体"/>
          <w:color w:val="000000" w:themeColor="text1"/>
          <w:sz w:val="24"/>
          <w:szCs w:val="24"/>
          <w:highlight w:val="none"/>
          <w14:textFill>
            <w14:solidFill>
              <w14:schemeClr w14:val="tx1"/>
            </w14:solidFill>
          </w14:textFill>
        </w:rPr>
        <w:t>人</w:t>
      </w:r>
      <w:r>
        <w:rPr>
          <w:rFonts w:hint="eastAsia" w:ascii="宋体" w:hAnsi="宋体" w:cs="宋体"/>
          <w:sz w:val="24"/>
          <w:szCs w:val="24"/>
          <w:highlight w:val="none"/>
        </w:rPr>
        <w:t>工（劳务）费、机械设备费、物料、其他、运输费、应缴税费等，完成项目所需的其他全部费用；</w:t>
      </w:r>
    </w:p>
    <w:p w14:paraId="215D3205">
      <w:pPr>
        <w:spacing w:line="360" w:lineRule="auto"/>
        <w:ind w:firstLine="480" w:firstLineChars="200"/>
        <w:rPr>
          <w:rFonts w:ascii="宋体"/>
          <w:sz w:val="24"/>
          <w:szCs w:val="24"/>
          <w:highlight w:val="none"/>
        </w:rPr>
      </w:pPr>
      <w:r>
        <w:rPr>
          <w:rFonts w:ascii="宋体" w:hAnsi="宋体" w:cs="宋体"/>
          <w:sz w:val="24"/>
          <w:szCs w:val="24"/>
          <w:highlight w:val="none"/>
        </w:rPr>
        <w:t>3.</w:t>
      </w:r>
      <w:r>
        <w:rPr>
          <w:rFonts w:hint="eastAsia" w:ascii="宋体" w:hAnsi="宋体" w:cs="宋体"/>
          <w:sz w:val="24"/>
          <w:szCs w:val="24"/>
          <w:highlight w:val="none"/>
        </w:rPr>
        <w:t>4</w:t>
      </w:r>
      <w:r>
        <w:rPr>
          <w:rFonts w:ascii="宋体" w:hAnsi="宋体" w:cs="宋体"/>
          <w:sz w:val="24"/>
          <w:szCs w:val="24"/>
          <w:highlight w:val="none"/>
        </w:rPr>
        <w:t>.</w:t>
      </w:r>
      <w:bookmarkStart w:id="29" w:name="OLE_LINK44"/>
      <w:r>
        <w:rPr>
          <w:rFonts w:hint="eastAsia" w:ascii="宋体" w:hAnsi="宋体" w:cs="宋体"/>
          <w:sz w:val="24"/>
          <w:szCs w:val="24"/>
          <w:highlight w:val="none"/>
        </w:rPr>
        <w:t>3本</w:t>
      </w:r>
      <w:r>
        <w:rPr>
          <w:rFonts w:hint="eastAsia" w:ascii="宋体" w:hAnsi="宋体" w:cs="宋体"/>
          <w:sz w:val="24"/>
          <w:szCs w:val="24"/>
          <w:highlight w:val="none"/>
          <w:lang w:val="en-US" w:eastAsia="zh-CN"/>
        </w:rPr>
        <w:t>项目</w:t>
      </w:r>
      <w:r>
        <w:rPr>
          <w:rFonts w:hint="eastAsia" w:ascii="宋体" w:hAnsi="宋体" w:cs="宋体"/>
          <w:sz w:val="24"/>
          <w:szCs w:val="24"/>
          <w:highlight w:val="none"/>
        </w:rPr>
        <w:t>投标组价时应妥善考虑，正式</w:t>
      </w:r>
      <w:r>
        <w:rPr>
          <w:rFonts w:hint="eastAsia" w:ascii="宋体" w:hAnsi="宋体" w:cs="宋体"/>
          <w:sz w:val="24"/>
          <w:szCs w:val="24"/>
          <w:highlight w:val="none"/>
          <w:lang w:val="en-US" w:eastAsia="zh-CN"/>
        </w:rPr>
        <w:t>服务</w:t>
      </w:r>
      <w:r>
        <w:rPr>
          <w:rFonts w:hint="eastAsia" w:ascii="宋体" w:hAnsi="宋体" w:cs="宋体"/>
          <w:sz w:val="24"/>
          <w:szCs w:val="24"/>
          <w:highlight w:val="none"/>
        </w:rPr>
        <w:t>时固定总价不因国家法律、行政法规和国家政策变化及原材料市场价发生变化等进行调整。</w:t>
      </w:r>
    </w:p>
    <w:bookmarkEnd w:id="29"/>
    <w:p w14:paraId="5F6BF42C">
      <w:pPr>
        <w:spacing w:line="360" w:lineRule="auto"/>
        <w:ind w:firstLine="480" w:firstLineChars="200"/>
        <w:rPr>
          <w:rFonts w:ascii="宋体"/>
          <w:sz w:val="24"/>
          <w:szCs w:val="24"/>
          <w:highlight w:val="none"/>
        </w:rPr>
      </w:pPr>
      <w:r>
        <w:rPr>
          <w:rFonts w:ascii="宋体" w:hAnsi="宋体" w:cs="宋体"/>
          <w:sz w:val="24"/>
          <w:szCs w:val="24"/>
          <w:highlight w:val="none"/>
        </w:rPr>
        <w:t>3.</w:t>
      </w:r>
      <w:r>
        <w:rPr>
          <w:rFonts w:hint="eastAsia" w:ascii="宋体" w:hAnsi="宋体" w:cs="宋体"/>
          <w:sz w:val="24"/>
          <w:szCs w:val="24"/>
          <w:highlight w:val="none"/>
        </w:rPr>
        <w:t>4</w:t>
      </w:r>
      <w:r>
        <w:rPr>
          <w:rFonts w:ascii="宋体" w:hAnsi="宋体" w:cs="宋体"/>
          <w:sz w:val="24"/>
          <w:szCs w:val="24"/>
          <w:highlight w:val="none"/>
        </w:rPr>
        <w:t>.</w:t>
      </w:r>
      <w:r>
        <w:rPr>
          <w:rFonts w:hint="eastAsia" w:ascii="宋体" w:hAnsi="宋体" w:cs="宋体"/>
          <w:sz w:val="24"/>
          <w:szCs w:val="24"/>
          <w:highlight w:val="none"/>
        </w:rPr>
        <w:t>4投标人应先到工地踏勘以充分了解工地位置、情况、道路、储存空间、装卸限制及任何其他足以影响投标价的情况，任何因投标人忽视或误解工地情况而导致的其提出的任何索赔或工期延长申请将不被批准。凡因投标人对招标文件阅读疏忽或误解，或因对施工现场、施工环境、市场行情等了解不清而造成的后果和风险，均由投标人负责。</w:t>
      </w:r>
    </w:p>
    <w:p w14:paraId="235EB2F0">
      <w:pPr>
        <w:spacing w:line="360" w:lineRule="auto"/>
        <w:ind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3.4.5编制投标报价的其他约定</w:t>
      </w:r>
    </w:p>
    <w:p w14:paraId="10858727">
      <w:pPr>
        <w:spacing w:line="360" w:lineRule="auto"/>
        <w:ind w:firstLine="480" w:firstLineChars="200"/>
        <w:rPr>
          <w:rFonts w:asciiTheme="minorEastAsia" w:hAnsiTheme="minorEastAsia" w:eastAsiaTheme="minorEastAsia" w:cstheme="minorEastAsia"/>
          <w:sz w:val="24"/>
          <w:szCs w:val="24"/>
          <w:highlight w:val="none"/>
        </w:rPr>
      </w:pPr>
      <w:bookmarkStart w:id="30" w:name="OLE_LINK21"/>
      <w:r>
        <w:rPr>
          <w:rFonts w:hint="eastAsia" w:asciiTheme="minorEastAsia" w:hAnsiTheme="minorEastAsia" w:eastAsiaTheme="minorEastAsia" w:cstheme="minorEastAsia"/>
          <w:sz w:val="24"/>
          <w:szCs w:val="24"/>
          <w:highlight w:val="none"/>
        </w:rPr>
        <w:t>3.4.6.</w:t>
      </w:r>
      <w:bookmarkEnd w:id="30"/>
      <w:r>
        <w:rPr>
          <w:rFonts w:hint="eastAsia" w:asciiTheme="minorEastAsia" w:hAnsiTheme="minorEastAsia" w:eastAsiaTheme="minorEastAsia" w:cstheme="minorEastAsia"/>
          <w:sz w:val="24"/>
          <w:szCs w:val="24"/>
          <w:highlight w:val="none"/>
        </w:rPr>
        <w:t>1投标人根据自行确定的施工组织设计或施工方案进行自主报价。</w:t>
      </w:r>
    </w:p>
    <w:p w14:paraId="379A3421">
      <w:pPr>
        <w:spacing w:line="360" w:lineRule="auto"/>
        <w:ind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3.4.6.2投标人应针对</w:t>
      </w:r>
      <w:r>
        <w:rPr>
          <w:rFonts w:hint="eastAsia" w:asciiTheme="minorEastAsia" w:hAnsiTheme="minorEastAsia" w:eastAsiaTheme="minorEastAsia" w:cstheme="minorEastAsia"/>
          <w:sz w:val="24"/>
          <w:szCs w:val="24"/>
          <w:highlight w:val="none"/>
          <w:lang w:val="en-US" w:eastAsia="zh-CN"/>
        </w:rPr>
        <w:t>本项目</w:t>
      </w:r>
      <w:r>
        <w:rPr>
          <w:rFonts w:hint="eastAsia" w:asciiTheme="minorEastAsia" w:hAnsiTheme="minorEastAsia" w:eastAsiaTheme="minorEastAsia" w:cstheme="minorEastAsia"/>
          <w:sz w:val="24"/>
          <w:szCs w:val="24"/>
          <w:highlight w:val="none"/>
        </w:rPr>
        <w:t>编制技术措施方案。</w:t>
      </w:r>
    </w:p>
    <w:p w14:paraId="79CC6AA1">
      <w:pPr>
        <w:spacing w:line="360" w:lineRule="auto"/>
        <w:ind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3.4.6.3投标人因承包本合同</w:t>
      </w:r>
      <w:r>
        <w:rPr>
          <w:rFonts w:hint="eastAsia" w:asciiTheme="minorEastAsia" w:hAnsiTheme="minorEastAsia" w:eastAsiaTheme="minorEastAsia" w:cstheme="minorEastAsia"/>
          <w:sz w:val="24"/>
          <w:szCs w:val="24"/>
          <w:highlight w:val="none"/>
          <w:lang w:eastAsia="zh-CN"/>
        </w:rPr>
        <w:t>服务</w:t>
      </w:r>
      <w:r>
        <w:rPr>
          <w:rFonts w:hint="eastAsia" w:asciiTheme="minorEastAsia" w:hAnsiTheme="minorEastAsia" w:eastAsiaTheme="minorEastAsia" w:cstheme="minorEastAsia"/>
          <w:sz w:val="24"/>
          <w:szCs w:val="24"/>
          <w:highlight w:val="none"/>
        </w:rPr>
        <w:t>需缴纳的一切税费均由投标人承担，并包含在所报的单价或总额价内。</w:t>
      </w:r>
    </w:p>
    <w:p w14:paraId="5A484992">
      <w:pPr>
        <w:spacing w:line="360" w:lineRule="auto"/>
        <w:ind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3.4.6.4投标人应为</w:t>
      </w:r>
      <w:r>
        <w:rPr>
          <w:rFonts w:hint="eastAsia" w:asciiTheme="minorEastAsia" w:hAnsiTheme="minorEastAsia" w:eastAsiaTheme="minorEastAsia" w:cstheme="minorEastAsia"/>
          <w:sz w:val="24"/>
          <w:szCs w:val="24"/>
          <w:highlight w:val="none"/>
          <w:lang w:val="en-US" w:eastAsia="zh-CN"/>
        </w:rPr>
        <w:t>本项目</w:t>
      </w:r>
      <w:r>
        <w:rPr>
          <w:rFonts w:hint="eastAsia" w:asciiTheme="minorEastAsia" w:hAnsiTheme="minorEastAsia" w:eastAsiaTheme="minorEastAsia" w:cstheme="minorEastAsia"/>
          <w:sz w:val="24"/>
          <w:szCs w:val="24"/>
          <w:highlight w:val="none"/>
        </w:rPr>
        <w:t>自有人员及第三方人员生命财产及运至施工场地内用于工程的材料办理保险，投标人的投标价中应含的保险费，承包人装备险和承包人职工的（人身）事故险由投标人在其他项目清单保险费栏内自主列报，中标后包干使用。施工期间在施工区域内因非招标人原因发生的设备、材料、人员等的损害、伤害，招标人不再承担任何责任和费用。</w:t>
      </w:r>
    </w:p>
    <w:p w14:paraId="79025DF3">
      <w:pPr>
        <w:spacing w:line="360" w:lineRule="auto"/>
        <w:ind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3.4.6.5投标报价中的总价要与综合单价相对应。</w:t>
      </w:r>
    </w:p>
    <w:p w14:paraId="3D164337">
      <w:pPr>
        <w:spacing w:line="360" w:lineRule="auto"/>
        <w:ind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3.4.6.6投标函中的投标报价应与“投标总价”表中的投标总价数字相符，不允许在投标文件中出现两个报价。任何有选择的报价将不予接受，如“若我方中标，愿在中标价基础上再优惠或下浮多少”等类似报价方法,否则按无效投标处理。</w:t>
      </w:r>
      <w:bookmarkStart w:id="31" w:name="OLE_LINK113"/>
      <w:bookmarkStart w:id="32" w:name="OLE_LINK63"/>
      <w:bookmarkStart w:id="33" w:name="OLE_LINK20"/>
      <w:bookmarkStart w:id="34" w:name="OLE_LINK74"/>
      <w:bookmarkStart w:id="35" w:name="OLE_LINK114"/>
      <w:bookmarkStart w:id="36" w:name="OLE_LINK64"/>
    </w:p>
    <w:bookmarkEnd w:id="31"/>
    <w:bookmarkEnd w:id="32"/>
    <w:bookmarkEnd w:id="33"/>
    <w:bookmarkEnd w:id="34"/>
    <w:bookmarkEnd w:id="35"/>
    <w:bookmarkEnd w:id="36"/>
    <w:p w14:paraId="5AC2E481">
      <w:pPr>
        <w:spacing w:line="360" w:lineRule="auto"/>
        <w:ind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3.4.7服务费收费标准：按国家计委颁发的《招标代理服务收费管理暂行办法》（计价格[2002]1980号）</w:t>
      </w:r>
      <w:r>
        <w:rPr>
          <w:rFonts w:hint="eastAsia" w:asciiTheme="minorEastAsia" w:hAnsiTheme="minorEastAsia" w:eastAsiaTheme="minorEastAsia" w:cstheme="minorEastAsia"/>
          <w:sz w:val="24"/>
          <w:szCs w:val="24"/>
          <w:highlight w:val="none"/>
          <w:lang w:eastAsia="zh-CN"/>
        </w:rPr>
        <w:t>、</w:t>
      </w:r>
      <w:r>
        <w:rPr>
          <w:rFonts w:hint="eastAsia" w:asciiTheme="minorEastAsia" w:hAnsiTheme="minorEastAsia" w:eastAsiaTheme="minorEastAsia" w:cstheme="minorEastAsia"/>
          <w:sz w:val="24"/>
          <w:szCs w:val="24"/>
          <w:highlight w:val="none"/>
        </w:rPr>
        <w:t>国家发展</w:t>
      </w:r>
      <w:r>
        <w:rPr>
          <w:rFonts w:hint="eastAsia" w:asciiTheme="minorEastAsia" w:hAnsiTheme="minorEastAsia" w:eastAsiaTheme="minorEastAsia" w:cstheme="minorEastAsia"/>
          <w:sz w:val="24"/>
          <w:szCs w:val="24"/>
          <w:highlight w:val="none"/>
          <w:lang w:val="en-US" w:eastAsia="zh-CN"/>
        </w:rPr>
        <w:t>和</w:t>
      </w:r>
      <w:r>
        <w:rPr>
          <w:rFonts w:hint="eastAsia" w:asciiTheme="minorEastAsia" w:hAnsiTheme="minorEastAsia" w:eastAsiaTheme="minorEastAsia" w:cstheme="minorEastAsia"/>
          <w:sz w:val="24"/>
          <w:szCs w:val="24"/>
          <w:highlight w:val="none"/>
        </w:rPr>
        <w:t>改革委员会办公厅颁发的《关于招标代理服务收费有关问题的通知》（发改办价格[2003]857号）的有关标准执行。</w:t>
      </w:r>
    </w:p>
    <w:p w14:paraId="13C509F7">
      <w:pPr>
        <w:spacing w:line="360" w:lineRule="auto"/>
        <w:ind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服务费收取方式：中标人承担招标代理服务费，中标人在领取中标通知书前，须向</w:t>
      </w:r>
      <w:r>
        <w:rPr>
          <w:rFonts w:hint="eastAsia" w:asciiTheme="minorEastAsia" w:hAnsiTheme="minorEastAsia" w:eastAsiaTheme="minorEastAsia" w:cstheme="minorEastAsia"/>
          <w:sz w:val="24"/>
          <w:szCs w:val="24"/>
          <w:highlight w:val="none"/>
          <w:lang w:val="en-US" w:eastAsia="zh-CN"/>
        </w:rPr>
        <w:t>招标</w:t>
      </w:r>
      <w:r>
        <w:rPr>
          <w:rFonts w:hint="eastAsia" w:asciiTheme="minorEastAsia" w:hAnsiTheme="minorEastAsia" w:eastAsiaTheme="minorEastAsia" w:cstheme="minorEastAsia"/>
          <w:sz w:val="24"/>
          <w:szCs w:val="24"/>
          <w:highlight w:val="none"/>
        </w:rPr>
        <w:t>代理机构一次性支付招标代理服务费。</w:t>
      </w:r>
    </w:p>
    <w:p w14:paraId="2E8EDC30">
      <w:pPr>
        <w:spacing w:line="360" w:lineRule="auto"/>
        <w:ind w:firstLine="482" w:firstLineChars="200"/>
        <w:rPr>
          <w:rFonts w:asciiTheme="minorEastAsia" w:hAnsiTheme="minorEastAsia" w:eastAsiaTheme="minorEastAsia" w:cstheme="minorEastAsia"/>
          <w:b/>
          <w:bCs/>
          <w:sz w:val="24"/>
          <w:szCs w:val="24"/>
          <w:highlight w:val="none"/>
        </w:rPr>
      </w:pPr>
      <w:r>
        <w:rPr>
          <w:rFonts w:hint="eastAsia" w:asciiTheme="minorEastAsia" w:hAnsiTheme="minorEastAsia" w:eastAsiaTheme="minorEastAsia" w:cstheme="minorEastAsia"/>
          <w:b/>
          <w:bCs/>
          <w:sz w:val="24"/>
          <w:szCs w:val="24"/>
          <w:highlight w:val="none"/>
        </w:rPr>
        <w:t>3.5 投标有效期</w:t>
      </w:r>
    </w:p>
    <w:p w14:paraId="438AE2ED">
      <w:pPr>
        <w:spacing w:line="360" w:lineRule="auto"/>
        <w:ind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3.5.1 在投标人须知前附表规定的投标有效期内，投标人不得要求撤销或修改其投标文件。</w:t>
      </w:r>
    </w:p>
    <w:p w14:paraId="626726D4">
      <w:pPr>
        <w:spacing w:line="360" w:lineRule="auto"/>
        <w:ind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3.5.2 出现特殊情况需要延长投标有效期的，招标人以书面形式通知所有投标人延长投标有效期。投标人同意延长的，应相应延长其投标保证金的有效期，但不得要求或被允许修改或撤销其投标文件；投标人拒绝延长的，其投标失效，但投标人有权收回其投标保证金。</w:t>
      </w:r>
    </w:p>
    <w:p w14:paraId="7858C973">
      <w:pPr>
        <w:spacing w:line="360" w:lineRule="auto"/>
        <w:ind w:firstLine="482" w:firstLineChars="200"/>
        <w:rPr>
          <w:rFonts w:asciiTheme="minorEastAsia" w:hAnsiTheme="minorEastAsia" w:eastAsiaTheme="minorEastAsia" w:cstheme="minorEastAsia"/>
          <w:b/>
          <w:bCs/>
          <w:sz w:val="24"/>
          <w:szCs w:val="24"/>
          <w:highlight w:val="none"/>
        </w:rPr>
      </w:pPr>
      <w:r>
        <w:rPr>
          <w:rFonts w:hint="eastAsia" w:asciiTheme="minorEastAsia" w:hAnsiTheme="minorEastAsia" w:eastAsiaTheme="minorEastAsia" w:cstheme="minorEastAsia"/>
          <w:b/>
          <w:bCs/>
          <w:sz w:val="24"/>
          <w:szCs w:val="24"/>
          <w:highlight w:val="none"/>
        </w:rPr>
        <w:t>3.6 投标保证金（本项目不缴纳投标保证金）</w:t>
      </w:r>
    </w:p>
    <w:p w14:paraId="7F94BC26">
      <w:pPr>
        <w:spacing w:line="360" w:lineRule="auto"/>
        <w:ind w:firstLine="482" w:firstLineChars="200"/>
        <w:rPr>
          <w:rFonts w:asciiTheme="minorEastAsia" w:hAnsiTheme="minorEastAsia" w:eastAsiaTheme="minorEastAsia" w:cstheme="minorEastAsia"/>
          <w:b/>
          <w:bCs/>
          <w:sz w:val="24"/>
          <w:szCs w:val="24"/>
          <w:highlight w:val="none"/>
        </w:rPr>
      </w:pPr>
      <w:r>
        <w:rPr>
          <w:rFonts w:hint="eastAsia" w:asciiTheme="minorEastAsia" w:hAnsiTheme="minorEastAsia" w:eastAsiaTheme="minorEastAsia" w:cstheme="minorEastAsia"/>
          <w:b/>
          <w:bCs/>
          <w:sz w:val="24"/>
          <w:szCs w:val="24"/>
          <w:highlight w:val="none"/>
        </w:rPr>
        <w:t>3.7备选投标方案</w:t>
      </w:r>
    </w:p>
    <w:p w14:paraId="058025C7">
      <w:pPr>
        <w:spacing w:line="360" w:lineRule="auto"/>
        <w:ind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除投标人须知前附表另有规定外，投标人不得递交备选投标方案。</w:t>
      </w:r>
    </w:p>
    <w:p w14:paraId="68CEF91C">
      <w:pPr>
        <w:spacing w:line="360" w:lineRule="auto"/>
        <w:ind w:firstLine="482" w:firstLineChars="200"/>
        <w:rPr>
          <w:rFonts w:asciiTheme="minorEastAsia" w:hAnsiTheme="minorEastAsia" w:eastAsiaTheme="minorEastAsia" w:cstheme="minorEastAsia"/>
          <w:b/>
          <w:bCs/>
          <w:sz w:val="24"/>
          <w:szCs w:val="24"/>
          <w:highlight w:val="none"/>
        </w:rPr>
      </w:pPr>
      <w:r>
        <w:rPr>
          <w:rFonts w:hint="eastAsia" w:asciiTheme="minorEastAsia" w:hAnsiTheme="minorEastAsia" w:eastAsiaTheme="minorEastAsia" w:cstheme="minorEastAsia"/>
          <w:b/>
          <w:bCs/>
          <w:sz w:val="24"/>
          <w:szCs w:val="24"/>
          <w:highlight w:val="none"/>
        </w:rPr>
        <w:t>3.8投标文件的编制</w:t>
      </w:r>
    </w:p>
    <w:p w14:paraId="34A4CA6B">
      <w:pPr>
        <w:spacing w:line="360" w:lineRule="auto"/>
        <w:ind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3.8.1 投标文件应按“投标文件格式”进行编写，如有必要，可以增加附页，作为投标文件的组成部分。</w:t>
      </w:r>
    </w:p>
    <w:p w14:paraId="62FC5F87">
      <w:pPr>
        <w:spacing w:line="360" w:lineRule="auto"/>
        <w:ind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3.8.2 投标文件应当对招标文件有关工期、投标有效期、质量要求、技术标准和要求、招标范围等实质性内容作出响应。</w:t>
      </w:r>
    </w:p>
    <w:p w14:paraId="19ACA085">
      <w:pPr>
        <w:spacing w:line="500" w:lineRule="exact"/>
        <w:ind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3.8.3 投标文件需打印或用不褪色的蓝(黑)色墨水(汁)书写,并由投标人法定代表人或经法定代表人正式授权的代表签字。投标文件若由授权代表签署，须按招标文件规定的格式出具的“法定代表人授权委托书”原件附在投标文件中。所有要求签字（名）处，均须由签字（名）者本人用不褪色的蓝(黑)色墨水(汁)书写，不得用任何形式的图章代替。所有投标文件按第六章规定的顺序编排、并应编制目录、逐页标注连续页码，每一页的正下方清楚标明第几页、共几页等字样，并统一装订（胶装）成册。</w:t>
      </w:r>
    </w:p>
    <w:p w14:paraId="0998B069">
      <w:pPr>
        <w:spacing w:line="360" w:lineRule="auto"/>
        <w:ind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3.8.4 投标文件正本、副本份数见投标人须知前附表。正本和副本的封面上应清楚地标记“正本”或“副本”的字样。当副本和正本不一致时，以正本为准。电子版投标文件内容包括投标文件的所有内容。</w:t>
      </w:r>
    </w:p>
    <w:p w14:paraId="657C8398">
      <w:pPr>
        <w:spacing w:line="500" w:lineRule="exact"/>
        <w:ind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3.8.5 所有投标文件正本和副本须按第八章规定的顺序编排、编制目录、</w:t>
      </w:r>
      <w:r>
        <w:rPr>
          <w:rFonts w:hint="eastAsia" w:asciiTheme="minorEastAsia" w:hAnsiTheme="minorEastAsia" w:eastAsiaTheme="minorEastAsia" w:cstheme="minorEastAsia"/>
          <w:b/>
          <w:bCs/>
          <w:sz w:val="24"/>
          <w:szCs w:val="24"/>
          <w:highlight w:val="none"/>
        </w:rPr>
        <w:t>投标文件正本需逐页加盖投标人公章</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sz w:val="24"/>
          <w:szCs w:val="24"/>
          <w:highlight w:val="none"/>
        </w:rPr>
        <w:t>并胶装成册。</w:t>
      </w:r>
    </w:p>
    <w:p w14:paraId="465551CB">
      <w:pPr>
        <w:spacing w:beforeLines="50" w:afterLines="50" w:line="360" w:lineRule="auto"/>
        <w:rPr>
          <w:rFonts w:asciiTheme="minorEastAsia" w:hAnsiTheme="minorEastAsia" w:eastAsiaTheme="minorEastAsia" w:cstheme="minorEastAsia"/>
          <w:b/>
          <w:bCs/>
          <w:sz w:val="24"/>
          <w:szCs w:val="24"/>
          <w:highlight w:val="none"/>
        </w:rPr>
      </w:pPr>
      <w:bookmarkStart w:id="37" w:name="_Toc420591646"/>
      <w:bookmarkStart w:id="38" w:name="_Toc425240467"/>
      <w:bookmarkStart w:id="39" w:name="_Toc421778368"/>
      <w:r>
        <w:rPr>
          <w:rFonts w:hint="eastAsia" w:asciiTheme="minorEastAsia" w:hAnsiTheme="minorEastAsia" w:eastAsiaTheme="minorEastAsia" w:cstheme="minorEastAsia"/>
          <w:b/>
          <w:bCs/>
          <w:sz w:val="24"/>
          <w:szCs w:val="24"/>
          <w:highlight w:val="none"/>
        </w:rPr>
        <w:t>4．投标</w:t>
      </w:r>
      <w:bookmarkEnd w:id="37"/>
      <w:bookmarkEnd w:id="38"/>
      <w:bookmarkEnd w:id="39"/>
    </w:p>
    <w:p w14:paraId="4F001A59">
      <w:pPr>
        <w:spacing w:line="360" w:lineRule="auto"/>
        <w:ind w:firstLine="482" w:firstLineChars="200"/>
        <w:rPr>
          <w:rFonts w:asciiTheme="minorEastAsia" w:hAnsiTheme="minorEastAsia" w:eastAsiaTheme="minorEastAsia" w:cstheme="minorEastAsia"/>
          <w:b/>
          <w:bCs/>
          <w:sz w:val="24"/>
          <w:szCs w:val="24"/>
          <w:highlight w:val="none"/>
        </w:rPr>
      </w:pPr>
      <w:r>
        <w:rPr>
          <w:rFonts w:hint="eastAsia" w:asciiTheme="minorEastAsia" w:hAnsiTheme="minorEastAsia" w:eastAsiaTheme="minorEastAsia" w:cstheme="minorEastAsia"/>
          <w:b/>
          <w:bCs/>
          <w:sz w:val="24"/>
          <w:szCs w:val="24"/>
          <w:highlight w:val="none"/>
        </w:rPr>
        <w:t>4.1 投标文件的密封和标记</w:t>
      </w:r>
    </w:p>
    <w:p w14:paraId="02D7F16E">
      <w:pPr>
        <w:spacing w:line="360" w:lineRule="auto"/>
        <w:ind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4.1.1投标文件的密封：投标文件须胶装成套且须用密封袋密封，包括投标文件正本、副本、投标文件电子版，开标一览表（投标人需另外单独准备一份与正本内容一致的开标一览表），若与正本内容不一致，则按单独的开标一览表为准。</w:t>
      </w:r>
    </w:p>
    <w:p w14:paraId="595BF842">
      <w:pPr>
        <w:spacing w:line="360" w:lineRule="auto"/>
        <w:ind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4.1.2投标文件的封套上应清楚地标记“正本”、“副本”“第</w:t>
      </w:r>
      <w:r>
        <w:rPr>
          <w:rFonts w:hint="eastAsia" w:asciiTheme="minorEastAsia" w:hAnsiTheme="minorEastAsia" w:eastAsiaTheme="minorEastAsia" w:cstheme="minorEastAsia"/>
          <w:sz w:val="24"/>
          <w:szCs w:val="24"/>
          <w:highlight w:val="none"/>
          <w:u w:val="single"/>
        </w:rPr>
        <w:t xml:space="preserve">   </w:t>
      </w:r>
      <w:r>
        <w:rPr>
          <w:rFonts w:hint="eastAsia" w:asciiTheme="minorEastAsia" w:hAnsiTheme="minorEastAsia" w:eastAsiaTheme="minorEastAsia" w:cstheme="minorEastAsia"/>
          <w:sz w:val="24"/>
          <w:szCs w:val="24"/>
          <w:highlight w:val="none"/>
        </w:rPr>
        <w:t>包”字样，封套上应写明的其他内容见投标人须知前附表。</w:t>
      </w:r>
    </w:p>
    <w:p w14:paraId="0E30EE7F">
      <w:pPr>
        <w:spacing w:line="360" w:lineRule="auto"/>
        <w:ind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4.1.3未按本章第3.6.3、第3.6.4项和第4.1.2项要求密封和加写标记的投标文件，招标代理机构不予受理。</w:t>
      </w:r>
    </w:p>
    <w:p w14:paraId="0F3DE117">
      <w:pPr>
        <w:spacing w:line="360" w:lineRule="auto"/>
        <w:ind w:firstLine="482" w:firstLineChars="200"/>
        <w:rPr>
          <w:rFonts w:asciiTheme="minorEastAsia" w:hAnsiTheme="minorEastAsia" w:eastAsiaTheme="minorEastAsia" w:cstheme="minorEastAsia"/>
          <w:b/>
          <w:bCs/>
          <w:sz w:val="24"/>
          <w:szCs w:val="24"/>
          <w:highlight w:val="none"/>
        </w:rPr>
      </w:pPr>
      <w:r>
        <w:rPr>
          <w:rFonts w:hint="eastAsia" w:asciiTheme="minorEastAsia" w:hAnsiTheme="minorEastAsia" w:eastAsiaTheme="minorEastAsia" w:cstheme="minorEastAsia"/>
          <w:b/>
          <w:bCs/>
          <w:sz w:val="24"/>
          <w:szCs w:val="24"/>
          <w:highlight w:val="none"/>
        </w:rPr>
        <w:t>4.2 投标文件的递交</w:t>
      </w:r>
    </w:p>
    <w:p w14:paraId="7C258188">
      <w:pPr>
        <w:spacing w:line="360" w:lineRule="auto"/>
        <w:ind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4.2.1 投标人应在投标人须知前附表第4.2.2 项规定的投标截止时间前递交投标文件。</w:t>
      </w:r>
    </w:p>
    <w:p w14:paraId="77E8FD71">
      <w:pPr>
        <w:spacing w:line="360" w:lineRule="auto"/>
        <w:ind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4.2.2 投标人递交投标文件的地点：见投标人须知前附表。</w:t>
      </w:r>
    </w:p>
    <w:p w14:paraId="6E066874">
      <w:pPr>
        <w:spacing w:line="360" w:lineRule="auto"/>
        <w:ind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4.2.3 投标人所递交的投标文件不予退还。</w:t>
      </w:r>
    </w:p>
    <w:p w14:paraId="7DA6FC74">
      <w:pPr>
        <w:spacing w:line="360" w:lineRule="auto"/>
        <w:ind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4.2.4逾期送达的或者未送达指定地点的投标文件，</w:t>
      </w:r>
      <w:bookmarkStart w:id="40" w:name="OLE_LINK50"/>
      <w:r>
        <w:rPr>
          <w:rFonts w:hint="eastAsia" w:asciiTheme="minorEastAsia" w:hAnsiTheme="minorEastAsia" w:eastAsiaTheme="minorEastAsia" w:cstheme="minorEastAsia"/>
          <w:sz w:val="24"/>
          <w:szCs w:val="24"/>
          <w:highlight w:val="none"/>
        </w:rPr>
        <w:t>招标代理机构</w:t>
      </w:r>
      <w:bookmarkEnd w:id="40"/>
      <w:r>
        <w:rPr>
          <w:rFonts w:hint="eastAsia" w:asciiTheme="minorEastAsia" w:hAnsiTheme="minorEastAsia" w:eastAsiaTheme="minorEastAsia" w:cstheme="minorEastAsia"/>
          <w:sz w:val="24"/>
          <w:szCs w:val="24"/>
          <w:highlight w:val="none"/>
        </w:rPr>
        <w:t>不予受理。</w:t>
      </w:r>
    </w:p>
    <w:p w14:paraId="5A354474">
      <w:pPr>
        <w:spacing w:line="360" w:lineRule="auto"/>
        <w:ind w:firstLine="482" w:firstLineChars="200"/>
        <w:rPr>
          <w:rFonts w:asciiTheme="minorEastAsia" w:hAnsiTheme="minorEastAsia" w:eastAsiaTheme="minorEastAsia" w:cstheme="minorEastAsia"/>
          <w:b/>
          <w:bCs/>
          <w:sz w:val="24"/>
          <w:szCs w:val="24"/>
          <w:highlight w:val="none"/>
        </w:rPr>
      </w:pPr>
      <w:r>
        <w:rPr>
          <w:rFonts w:hint="eastAsia" w:asciiTheme="minorEastAsia" w:hAnsiTheme="minorEastAsia" w:eastAsiaTheme="minorEastAsia" w:cstheme="minorEastAsia"/>
          <w:b/>
          <w:bCs/>
          <w:sz w:val="24"/>
          <w:szCs w:val="24"/>
          <w:highlight w:val="none"/>
        </w:rPr>
        <w:t>4.3 投标文件的修改与撤回</w:t>
      </w:r>
    </w:p>
    <w:p w14:paraId="5B39BF81">
      <w:pPr>
        <w:spacing w:line="360" w:lineRule="auto"/>
        <w:ind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4.3.1 在投标人须知前附表第4.2.2 项规定的投标截止时间前，投标人可以修改或撤回已递交的投标文件，但应以书面形式通知招标人。</w:t>
      </w:r>
    </w:p>
    <w:p w14:paraId="1FE38881">
      <w:pPr>
        <w:spacing w:line="360" w:lineRule="auto"/>
        <w:ind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4.3.2 投标人修改或撤回已递交投标文件的书面通知应按照本章第3.6.5项的要求签字和盖章。</w:t>
      </w:r>
    </w:p>
    <w:p w14:paraId="66358C74">
      <w:pPr>
        <w:spacing w:line="360" w:lineRule="auto"/>
        <w:ind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4.3.3 修改的内容为投标文件的组成部分。修改的投标文件应按照本章第3条、第4条规定进行编制、密封、标记和递交，并标明“修改”字样。</w:t>
      </w:r>
    </w:p>
    <w:p w14:paraId="79C1C76A">
      <w:pPr>
        <w:spacing w:beforeLines="50" w:afterLines="50" w:line="360" w:lineRule="auto"/>
        <w:rPr>
          <w:rFonts w:asciiTheme="minorEastAsia" w:hAnsiTheme="minorEastAsia" w:eastAsiaTheme="minorEastAsia" w:cstheme="minorEastAsia"/>
          <w:b/>
          <w:bCs/>
          <w:sz w:val="24"/>
          <w:szCs w:val="24"/>
          <w:highlight w:val="none"/>
        </w:rPr>
      </w:pPr>
      <w:bookmarkStart w:id="41" w:name="_Toc420591647"/>
      <w:bookmarkStart w:id="42" w:name="_Toc425240468"/>
      <w:bookmarkStart w:id="43" w:name="_Toc421778369"/>
      <w:r>
        <w:rPr>
          <w:rFonts w:hint="eastAsia" w:asciiTheme="minorEastAsia" w:hAnsiTheme="minorEastAsia" w:eastAsiaTheme="minorEastAsia" w:cstheme="minorEastAsia"/>
          <w:b/>
          <w:bCs/>
          <w:sz w:val="24"/>
          <w:szCs w:val="24"/>
          <w:highlight w:val="none"/>
        </w:rPr>
        <w:t>5．开标</w:t>
      </w:r>
      <w:bookmarkEnd w:id="41"/>
      <w:bookmarkEnd w:id="42"/>
      <w:bookmarkEnd w:id="43"/>
    </w:p>
    <w:p w14:paraId="246F6C7C">
      <w:pPr>
        <w:spacing w:line="360" w:lineRule="auto"/>
        <w:ind w:firstLine="482" w:firstLineChars="200"/>
        <w:rPr>
          <w:rFonts w:asciiTheme="minorEastAsia" w:hAnsiTheme="minorEastAsia" w:eastAsiaTheme="minorEastAsia" w:cstheme="minorEastAsia"/>
          <w:b/>
          <w:bCs/>
          <w:sz w:val="24"/>
          <w:szCs w:val="24"/>
          <w:highlight w:val="none"/>
        </w:rPr>
      </w:pPr>
      <w:r>
        <w:rPr>
          <w:rFonts w:hint="eastAsia" w:asciiTheme="minorEastAsia" w:hAnsiTheme="minorEastAsia" w:eastAsiaTheme="minorEastAsia" w:cstheme="minorEastAsia"/>
          <w:b/>
          <w:bCs/>
          <w:sz w:val="24"/>
          <w:szCs w:val="24"/>
          <w:highlight w:val="none"/>
        </w:rPr>
        <w:t>5.1 开标时间和地点</w:t>
      </w:r>
    </w:p>
    <w:p w14:paraId="019752BB">
      <w:pPr>
        <w:spacing w:line="360" w:lineRule="auto"/>
        <w:ind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见投标人须知前附表。</w:t>
      </w:r>
    </w:p>
    <w:p w14:paraId="20E640E2">
      <w:pPr>
        <w:spacing w:beforeLines="50" w:afterLines="50" w:line="360" w:lineRule="auto"/>
        <w:rPr>
          <w:rFonts w:asciiTheme="minorEastAsia" w:hAnsiTheme="minorEastAsia" w:eastAsiaTheme="minorEastAsia" w:cstheme="minorEastAsia"/>
          <w:b/>
          <w:bCs/>
          <w:sz w:val="24"/>
          <w:szCs w:val="24"/>
          <w:highlight w:val="none"/>
        </w:rPr>
      </w:pPr>
      <w:bookmarkStart w:id="44" w:name="_Toc421778370"/>
      <w:bookmarkStart w:id="45" w:name="_Toc420591648"/>
      <w:bookmarkStart w:id="46" w:name="_Toc425240469"/>
      <w:r>
        <w:rPr>
          <w:rFonts w:hint="eastAsia" w:asciiTheme="minorEastAsia" w:hAnsiTheme="minorEastAsia" w:eastAsiaTheme="minorEastAsia" w:cstheme="minorEastAsia"/>
          <w:b/>
          <w:bCs/>
          <w:sz w:val="24"/>
          <w:szCs w:val="24"/>
          <w:highlight w:val="none"/>
        </w:rPr>
        <w:t>6．评标</w:t>
      </w:r>
      <w:bookmarkEnd w:id="44"/>
      <w:bookmarkEnd w:id="45"/>
      <w:bookmarkEnd w:id="46"/>
    </w:p>
    <w:p w14:paraId="2D2B85EC">
      <w:pPr>
        <w:spacing w:line="360" w:lineRule="auto"/>
        <w:ind w:firstLine="482"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
          <w:bCs/>
          <w:sz w:val="24"/>
          <w:szCs w:val="24"/>
          <w:highlight w:val="none"/>
        </w:rPr>
        <w:t>6.1 评标委员会</w:t>
      </w:r>
    </w:p>
    <w:p w14:paraId="0FA4B4A2">
      <w:pPr>
        <w:spacing w:line="360" w:lineRule="auto"/>
        <w:ind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6.1.1 评标由招标人依法组建的评标委员会负责。评标委员会由招标人代表和具备相关专业的专家等</w:t>
      </w:r>
      <w:r>
        <w:rPr>
          <w:rFonts w:hint="eastAsia" w:asciiTheme="minorEastAsia" w:hAnsiTheme="minorEastAsia" w:eastAsiaTheme="minorEastAsia" w:cstheme="minorEastAsia"/>
          <w:sz w:val="24"/>
          <w:szCs w:val="24"/>
          <w:highlight w:val="none"/>
          <w:lang w:val="en-US" w:eastAsia="zh-CN"/>
        </w:rPr>
        <w:t>7</w:t>
      </w:r>
      <w:r>
        <w:rPr>
          <w:rFonts w:hint="eastAsia" w:asciiTheme="minorEastAsia" w:hAnsiTheme="minorEastAsia" w:eastAsiaTheme="minorEastAsia" w:cstheme="minorEastAsia"/>
          <w:sz w:val="24"/>
          <w:szCs w:val="24"/>
          <w:highlight w:val="none"/>
        </w:rPr>
        <w:t>人以上单数组成评标委员会；</w:t>
      </w:r>
    </w:p>
    <w:p w14:paraId="46C6191D">
      <w:pPr>
        <w:spacing w:line="360" w:lineRule="auto"/>
        <w:ind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6.1.2 评标委员会成员有下列情形之一的，应当回避：</w:t>
      </w:r>
    </w:p>
    <w:p w14:paraId="773D50CB">
      <w:pPr>
        <w:spacing w:line="360" w:lineRule="auto"/>
        <w:ind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(1）投标人或投标人的主要负责人的近亲属；</w:t>
      </w:r>
    </w:p>
    <w:p w14:paraId="606D70AB">
      <w:pPr>
        <w:spacing w:line="360" w:lineRule="auto"/>
        <w:ind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(2）与投标人有经济利益关系，可能影响对投标公正评审的；</w:t>
      </w:r>
    </w:p>
    <w:p w14:paraId="709D960F">
      <w:pPr>
        <w:spacing w:line="360" w:lineRule="auto"/>
        <w:ind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(3）曾因在招标、评标以及其他与招标投标有关活动中从事违法行为而受过行政处罚或刑事处罚的。</w:t>
      </w:r>
    </w:p>
    <w:p w14:paraId="30B7D37C">
      <w:pPr>
        <w:spacing w:line="360" w:lineRule="auto"/>
        <w:ind w:firstLine="482" w:firstLineChars="200"/>
        <w:rPr>
          <w:rFonts w:asciiTheme="minorEastAsia" w:hAnsiTheme="minorEastAsia" w:eastAsiaTheme="minorEastAsia" w:cstheme="minorEastAsia"/>
          <w:b/>
          <w:bCs/>
          <w:sz w:val="24"/>
          <w:szCs w:val="24"/>
          <w:highlight w:val="none"/>
        </w:rPr>
      </w:pPr>
      <w:r>
        <w:rPr>
          <w:rFonts w:hint="eastAsia" w:asciiTheme="minorEastAsia" w:hAnsiTheme="minorEastAsia" w:eastAsiaTheme="minorEastAsia" w:cstheme="minorEastAsia"/>
          <w:b/>
          <w:bCs/>
          <w:sz w:val="24"/>
          <w:szCs w:val="24"/>
          <w:highlight w:val="none"/>
        </w:rPr>
        <w:t>6.2 评标原则</w:t>
      </w:r>
    </w:p>
    <w:p w14:paraId="57A4CD45">
      <w:pPr>
        <w:spacing w:line="360" w:lineRule="auto"/>
        <w:ind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评标活动遵循公平、公正、科学和择优的原则。</w:t>
      </w:r>
    </w:p>
    <w:p w14:paraId="7FC0521D">
      <w:pPr>
        <w:spacing w:line="360" w:lineRule="auto"/>
        <w:ind w:firstLine="482" w:firstLineChars="200"/>
        <w:rPr>
          <w:rFonts w:asciiTheme="minorEastAsia" w:hAnsiTheme="minorEastAsia" w:eastAsiaTheme="minorEastAsia" w:cstheme="minorEastAsia"/>
          <w:b/>
          <w:bCs/>
          <w:sz w:val="24"/>
          <w:szCs w:val="24"/>
          <w:highlight w:val="none"/>
        </w:rPr>
      </w:pPr>
      <w:r>
        <w:rPr>
          <w:rFonts w:hint="eastAsia" w:asciiTheme="minorEastAsia" w:hAnsiTheme="minorEastAsia" w:eastAsiaTheme="minorEastAsia" w:cstheme="minorEastAsia"/>
          <w:b/>
          <w:bCs/>
          <w:sz w:val="24"/>
          <w:szCs w:val="24"/>
          <w:highlight w:val="none"/>
        </w:rPr>
        <w:t>6.3 评标</w:t>
      </w:r>
    </w:p>
    <w:p w14:paraId="426E27E2">
      <w:pPr>
        <w:spacing w:line="360" w:lineRule="auto"/>
        <w:ind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6.3.1评标委员会按照第三章“评标办法”规定的方法、评审因素、标准和程序对投标文件进行评审。第三章“评标办法”没有规定的方法、评审因素和标准，不作为评标依据。</w:t>
      </w:r>
    </w:p>
    <w:p w14:paraId="08FD1903">
      <w:pPr>
        <w:spacing w:line="360" w:lineRule="auto"/>
        <w:ind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6.3.2评标过程的保密</w:t>
      </w:r>
    </w:p>
    <w:p w14:paraId="03FBD735">
      <w:pPr>
        <w:spacing w:line="360" w:lineRule="auto"/>
        <w:ind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（1）开标后，直至授予中标人合同为止，凡属于对投标文件的审查、补遗、评价和比较的有关资料以及中标候选人的推荐情况等均严格保密。</w:t>
      </w:r>
    </w:p>
    <w:p w14:paraId="39EF210E">
      <w:pPr>
        <w:spacing w:line="360" w:lineRule="auto"/>
        <w:ind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（2）在投标文件的评审、中标候选人推荐以及授予合同的过程中，投标人向招标人和评标委员会施加影响的任何行为，都将会导致其投标被拒绝直至取消其中标资格。</w:t>
      </w:r>
    </w:p>
    <w:p w14:paraId="35BD8E6F">
      <w:pPr>
        <w:spacing w:line="360" w:lineRule="auto"/>
        <w:ind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（3）中标人确定后，招标人不对未中标人就评标过程以及未能中标原因作出任何解释。未中标人不得向评标委员会组成人员或其他有关人员索问评标过程的情况和材料。</w:t>
      </w:r>
    </w:p>
    <w:p w14:paraId="3446D31E">
      <w:pPr>
        <w:spacing w:beforeLines="50" w:afterLines="50" w:line="360" w:lineRule="auto"/>
        <w:rPr>
          <w:rFonts w:asciiTheme="minorEastAsia" w:hAnsiTheme="minorEastAsia" w:eastAsiaTheme="minorEastAsia" w:cstheme="minorEastAsia"/>
          <w:b/>
          <w:bCs/>
          <w:sz w:val="24"/>
          <w:szCs w:val="24"/>
          <w:highlight w:val="none"/>
        </w:rPr>
      </w:pPr>
      <w:bookmarkStart w:id="47" w:name="_Toc421778371"/>
      <w:bookmarkStart w:id="48" w:name="_Toc420591649"/>
      <w:bookmarkStart w:id="49" w:name="_Toc425240470"/>
      <w:r>
        <w:rPr>
          <w:rFonts w:hint="eastAsia" w:asciiTheme="minorEastAsia" w:hAnsiTheme="minorEastAsia" w:eastAsiaTheme="minorEastAsia" w:cstheme="minorEastAsia"/>
          <w:b/>
          <w:bCs/>
          <w:sz w:val="24"/>
          <w:szCs w:val="24"/>
          <w:highlight w:val="none"/>
        </w:rPr>
        <w:t>7．合同授予</w:t>
      </w:r>
      <w:bookmarkEnd w:id="47"/>
      <w:bookmarkEnd w:id="48"/>
      <w:bookmarkEnd w:id="49"/>
    </w:p>
    <w:p w14:paraId="30D1846F">
      <w:pPr>
        <w:spacing w:line="360" w:lineRule="auto"/>
        <w:ind w:firstLine="482" w:firstLineChars="200"/>
        <w:rPr>
          <w:rFonts w:asciiTheme="minorEastAsia" w:hAnsiTheme="minorEastAsia" w:eastAsiaTheme="minorEastAsia" w:cstheme="minorEastAsia"/>
          <w:b/>
          <w:bCs/>
          <w:sz w:val="24"/>
          <w:szCs w:val="24"/>
          <w:highlight w:val="none"/>
        </w:rPr>
      </w:pPr>
      <w:r>
        <w:rPr>
          <w:rFonts w:hint="eastAsia" w:asciiTheme="minorEastAsia" w:hAnsiTheme="minorEastAsia" w:eastAsiaTheme="minorEastAsia" w:cstheme="minorEastAsia"/>
          <w:b/>
          <w:bCs/>
          <w:sz w:val="24"/>
          <w:szCs w:val="24"/>
          <w:highlight w:val="none"/>
        </w:rPr>
        <w:t>7.1 定标方式</w:t>
      </w:r>
    </w:p>
    <w:p w14:paraId="1FFA4820">
      <w:pPr>
        <w:spacing w:line="360" w:lineRule="auto"/>
        <w:ind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评标委员会推荐3名中标候选人，并标明推荐顺序，招标人依据评标委员会推荐的中标候选人确定中标人。</w:t>
      </w:r>
    </w:p>
    <w:p w14:paraId="582AE274">
      <w:pPr>
        <w:spacing w:line="360" w:lineRule="auto"/>
        <w:ind w:firstLine="482" w:firstLineChars="200"/>
        <w:rPr>
          <w:rFonts w:asciiTheme="minorEastAsia" w:hAnsiTheme="minorEastAsia" w:eastAsiaTheme="minorEastAsia" w:cstheme="minorEastAsia"/>
          <w:b/>
          <w:bCs/>
          <w:sz w:val="24"/>
          <w:szCs w:val="24"/>
          <w:highlight w:val="none"/>
        </w:rPr>
      </w:pPr>
      <w:r>
        <w:rPr>
          <w:rFonts w:hint="eastAsia" w:asciiTheme="minorEastAsia" w:hAnsiTheme="minorEastAsia" w:eastAsiaTheme="minorEastAsia" w:cstheme="minorEastAsia"/>
          <w:b/>
          <w:bCs/>
          <w:sz w:val="24"/>
          <w:szCs w:val="24"/>
          <w:highlight w:val="none"/>
        </w:rPr>
        <w:t>7.2 中标通知</w:t>
      </w:r>
    </w:p>
    <w:p w14:paraId="0752FBA2">
      <w:pPr>
        <w:spacing w:line="360" w:lineRule="auto"/>
        <w:ind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在本章第3.3 款规定的投标有效期内，经招标人同意由招标代理机构以书面形式向中标人发出中标通知书。</w:t>
      </w:r>
    </w:p>
    <w:p w14:paraId="4B5F336A">
      <w:pPr>
        <w:spacing w:line="360" w:lineRule="auto"/>
        <w:ind w:firstLine="482" w:firstLineChars="200"/>
        <w:rPr>
          <w:rFonts w:asciiTheme="minorEastAsia" w:hAnsiTheme="minorEastAsia" w:eastAsiaTheme="minorEastAsia" w:cstheme="minorEastAsia"/>
          <w:b/>
          <w:bCs/>
          <w:sz w:val="24"/>
          <w:szCs w:val="24"/>
          <w:highlight w:val="none"/>
        </w:rPr>
      </w:pPr>
      <w:r>
        <w:rPr>
          <w:rFonts w:hint="eastAsia" w:asciiTheme="minorEastAsia" w:hAnsiTheme="minorEastAsia" w:eastAsiaTheme="minorEastAsia" w:cstheme="minorEastAsia"/>
          <w:b/>
          <w:bCs/>
          <w:sz w:val="24"/>
          <w:szCs w:val="24"/>
          <w:highlight w:val="none"/>
        </w:rPr>
        <w:t>7.3 签订合同</w:t>
      </w:r>
    </w:p>
    <w:p w14:paraId="3D428C98">
      <w:pPr>
        <w:spacing w:line="360" w:lineRule="auto"/>
        <w:ind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7.3.1 招标人和中标人应当自中标通知书发出之日起30天内，根据招标文件和中标人的投标文件订立书面合同；中标人无正当理由拒签合同的，招标人取消其中标资格，其投标保证金不予退还；给招标人和招标代理机构造成的损失超过投标保证金数额的，中标人还应当对超过部分予以赔偿。</w:t>
      </w:r>
    </w:p>
    <w:p w14:paraId="2F37A574">
      <w:pPr>
        <w:spacing w:beforeLines="50" w:afterLines="50" w:line="360" w:lineRule="auto"/>
        <w:rPr>
          <w:rFonts w:asciiTheme="minorEastAsia" w:hAnsiTheme="minorEastAsia" w:eastAsiaTheme="minorEastAsia" w:cstheme="minorEastAsia"/>
          <w:b/>
          <w:bCs/>
          <w:sz w:val="24"/>
          <w:szCs w:val="24"/>
          <w:highlight w:val="none"/>
        </w:rPr>
      </w:pPr>
      <w:bookmarkStart w:id="50" w:name="_Toc421778372"/>
      <w:bookmarkStart w:id="51" w:name="_Toc420591650"/>
      <w:bookmarkStart w:id="52" w:name="_Toc425240471"/>
      <w:r>
        <w:rPr>
          <w:rFonts w:hint="eastAsia" w:asciiTheme="minorEastAsia" w:hAnsiTheme="minorEastAsia" w:eastAsiaTheme="minorEastAsia" w:cstheme="minorEastAsia"/>
          <w:b/>
          <w:bCs/>
          <w:sz w:val="24"/>
          <w:szCs w:val="24"/>
          <w:highlight w:val="none"/>
        </w:rPr>
        <w:t>8．重新招标和不再招标</w:t>
      </w:r>
      <w:bookmarkEnd w:id="50"/>
      <w:bookmarkEnd w:id="51"/>
      <w:bookmarkEnd w:id="52"/>
    </w:p>
    <w:p w14:paraId="6A1EF8F8">
      <w:pPr>
        <w:spacing w:line="360" w:lineRule="auto"/>
        <w:ind w:firstLine="482" w:firstLineChars="200"/>
        <w:rPr>
          <w:rFonts w:asciiTheme="minorEastAsia" w:hAnsiTheme="minorEastAsia" w:eastAsiaTheme="minorEastAsia" w:cstheme="minorEastAsia"/>
          <w:b/>
          <w:bCs/>
          <w:sz w:val="24"/>
          <w:szCs w:val="24"/>
          <w:highlight w:val="none"/>
        </w:rPr>
      </w:pPr>
      <w:r>
        <w:rPr>
          <w:rFonts w:hint="eastAsia" w:asciiTheme="minorEastAsia" w:hAnsiTheme="minorEastAsia" w:eastAsiaTheme="minorEastAsia" w:cstheme="minorEastAsia"/>
          <w:b/>
          <w:bCs/>
          <w:sz w:val="24"/>
          <w:szCs w:val="24"/>
          <w:highlight w:val="none"/>
        </w:rPr>
        <w:t>8.1 重新招标</w:t>
      </w:r>
    </w:p>
    <w:p w14:paraId="6EF6120C">
      <w:pPr>
        <w:spacing w:line="360" w:lineRule="auto"/>
        <w:ind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有下列情形之一的，招标人将重新招标：</w:t>
      </w:r>
    </w:p>
    <w:p w14:paraId="0134393E">
      <w:pPr>
        <w:spacing w:line="360" w:lineRule="auto"/>
        <w:ind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（l）投标截止时间止，投标人少于3个的；</w:t>
      </w:r>
    </w:p>
    <w:p w14:paraId="217047DC">
      <w:pPr>
        <w:spacing w:line="360" w:lineRule="auto"/>
        <w:ind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（2）经评标委员会评审后否决所有投标的。</w:t>
      </w:r>
    </w:p>
    <w:p w14:paraId="349ABA27">
      <w:pPr>
        <w:spacing w:line="360" w:lineRule="auto"/>
        <w:ind w:firstLine="482" w:firstLineChars="200"/>
        <w:rPr>
          <w:rFonts w:asciiTheme="minorEastAsia" w:hAnsiTheme="minorEastAsia" w:eastAsiaTheme="minorEastAsia" w:cstheme="minorEastAsia"/>
          <w:b/>
          <w:bCs/>
          <w:sz w:val="24"/>
          <w:szCs w:val="24"/>
          <w:highlight w:val="none"/>
        </w:rPr>
      </w:pPr>
      <w:r>
        <w:rPr>
          <w:rFonts w:hint="eastAsia" w:asciiTheme="minorEastAsia" w:hAnsiTheme="minorEastAsia" w:eastAsiaTheme="minorEastAsia" w:cstheme="minorEastAsia"/>
          <w:b/>
          <w:bCs/>
          <w:sz w:val="24"/>
          <w:szCs w:val="24"/>
          <w:highlight w:val="none"/>
        </w:rPr>
        <w:t>8.2 不再招标</w:t>
      </w:r>
    </w:p>
    <w:p w14:paraId="5202994D">
      <w:pPr>
        <w:spacing w:line="360" w:lineRule="auto"/>
        <w:ind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重新招标后投标人仍少于3个或者所有投标被否决的，属于必须审批或核准的工程建设项目，经原审批或核准部门批准后不再进行招标。</w:t>
      </w:r>
    </w:p>
    <w:p w14:paraId="536BD6C1">
      <w:pPr>
        <w:spacing w:beforeLines="50" w:afterLines="50" w:line="360" w:lineRule="auto"/>
        <w:rPr>
          <w:rFonts w:asciiTheme="minorEastAsia" w:hAnsiTheme="minorEastAsia" w:eastAsiaTheme="minorEastAsia" w:cstheme="minorEastAsia"/>
          <w:b/>
          <w:bCs/>
          <w:sz w:val="24"/>
          <w:szCs w:val="24"/>
          <w:highlight w:val="none"/>
        </w:rPr>
      </w:pPr>
      <w:bookmarkStart w:id="53" w:name="_Toc420591651"/>
      <w:bookmarkStart w:id="54" w:name="_Toc421778373"/>
      <w:bookmarkStart w:id="55" w:name="_Toc425240472"/>
      <w:r>
        <w:rPr>
          <w:rFonts w:hint="eastAsia" w:asciiTheme="minorEastAsia" w:hAnsiTheme="minorEastAsia" w:eastAsiaTheme="minorEastAsia" w:cstheme="minorEastAsia"/>
          <w:b/>
          <w:bCs/>
          <w:sz w:val="24"/>
          <w:szCs w:val="24"/>
          <w:highlight w:val="none"/>
        </w:rPr>
        <w:t>9．纪律和监督</w:t>
      </w:r>
      <w:bookmarkEnd w:id="53"/>
      <w:bookmarkEnd w:id="54"/>
      <w:bookmarkEnd w:id="55"/>
    </w:p>
    <w:p w14:paraId="479437A4">
      <w:pPr>
        <w:spacing w:line="360" w:lineRule="auto"/>
        <w:ind w:firstLine="482" w:firstLineChars="200"/>
        <w:rPr>
          <w:rFonts w:asciiTheme="minorEastAsia" w:hAnsiTheme="minorEastAsia" w:eastAsiaTheme="minorEastAsia" w:cstheme="minorEastAsia"/>
          <w:b/>
          <w:bCs/>
          <w:sz w:val="24"/>
          <w:szCs w:val="24"/>
          <w:highlight w:val="none"/>
        </w:rPr>
      </w:pPr>
      <w:r>
        <w:rPr>
          <w:rFonts w:hint="eastAsia" w:asciiTheme="minorEastAsia" w:hAnsiTheme="minorEastAsia" w:eastAsiaTheme="minorEastAsia" w:cstheme="minorEastAsia"/>
          <w:b/>
          <w:bCs/>
          <w:sz w:val="24"/>
          <w:szCs w:val="24"/>
          <w:highlight w:val="none"/>
        </w:rPr>
        <w:t>9.1 对招标人的纪律要求</w:t>
      </w:r>
    </w:p>
    <w:p w14:paraId="2A1BA905">
      <w:pPr>
        <w:spacing w:line="360" w:lineRule="auto"/>
        <w:ind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招标人不得</w:t>
      </w:r>
      <w:r>
        <w:rPr>
          <w:rFonts w:hint="eastAsia" w:asciiTheme="minorEastAsia" w:hAnsiTheme="minorEastAsia" w:eastAsiaTheme="minorEastAsia" w:cstheme="minorEastAsia"/>
          <w:sz w:val="24"/>
          <w:szCs w:val="24"/>
          <w:highlight w:val="none"/>
          <w:lang w:val="en-US" w:eastAsia="zh-CN"/>
        </w:rPr>
        <w:t>泄露</w:t>
      </w:r>
      <w:r>
        <w:rPr>
          <w:rFonts w:hint="eastAsia" w:asciiTheme="minorEastAsia" w:hAnsiTheme="minorEastAsia" w:eastAsiaTheme="minorEastAsia" w:cstheme="minorEastAsia"/>
          <w:sz w:val="24"/>
          <w:szCs w:val="24"/>
          <w:highlight w:val="none"/>
        </w:rPr>
        <w:t>招标投标活动中应当保密的情况和资料，不得与投标人串通损害国家利益、社会公共利益或者他人合法权益。</w:t>
      </w:r>
    </w:p>
    <w:p w14:paraId="76B1E816">
      <w:pPr>
        <w:spacing w:line="360" w:lineRule="auto"/>
        <w:ind w:firstLine="482" w:firstLineChars="200"/>
        <w:rPr>
          <w:rFonts w:asciiTheme="minorEastAsia" w:hAnsiTheme="minorEastAsia" w:eastAsiaTheme="minorEastAsia" w:cstheme="minorEastAsia"/>
          <w:b/>
          <w:bCs/>
          <w:sz w:val="24"/>
          <w:szCs w:val="24"/>
          <w:highlight w:val="none"/>
        </w:rPr>
      </w:pPr>
      <w:r>
        <w:rPr>
          <w:rFonts w:hint="eastAsia" w:asciiTheme="minorEastAsia" w:hAnsiTheme="minorEastAsia" w:eastAsiaTheme="minorEastAsia" w:cstheme="minorEastAsia"/>
          <w:b/>
          <w:bCs/>
          <w:sz w:val="24"/>
          <w:szCs w:val="24"/>
          <w:highlight w:val="none"/>
        </w:rPr>
        <w:t>9.2 对投标人的纪律要求</w:t>
      </w:r>
    </w:p>
    <w:p w14:paraId="7D0A0D73">
      <w:pPr>
        <w:spacing w:line="360" w:lineRule="auto"/>
        <w:ind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投标人不得相互串通投标或者与招标人串通投标，不得向招标人或者评标委员会成员行贿谋取中标，不得以他人名义投标或者以其他方式弄虚作假骗取中标；投标人不得以任何方式干扰、影响评标工作。</w:t>
      </w:r>
    </w:p>
    <w:p w14:paraId="69B6D96E">
      <w:pPr>
        <w:spacing w:line="360" w:lineRule="auto"/>
        <w:ind w:firstLine="482" w:firstLineChars="200"/>
        <w:rPr>
          <w:rFonts w:asciiTheme="minorEastAsia" w:hAnsiTheme="minorEastAsia" w:eastAsiaTheme="minorEastAsia" w:cstheme="minorEastAsia"/>
          <w:b/>
          <w:bCs/>
          <w:sz w:val="24"/>
          <w:szCs w:val="24"/>
          <w:highlight w:val="none"/>
        </w:rPr>
      </w:pPr>
      <w:r>
        <w:rPr>
          <w:rFonts w:hint="eastAsia" w:asciiTheme="minorEastAsia" w:hAnsiTheme="minorEastAsia" w:eastAsiaTheme="minorEastAsia" w:cstheme="minorEastAsia"/>
          <w:b/>
          <w:bCs/>
          <w:sz w:val="24"/>
          <w:szCs w:val="24"/>
          <w:highlight w:val="none"/>
        </w:rPr>
        <w:t>9.3 对评标委员会成员的纪律要求</w:t>
      </w:r>
    </w:p>
    <w:p w14:paraId="1B0F920A">
      <w:pPr>
        <w:spacing w:line="360" w:lineRule="auto"/>
        <w:ind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评标委员会成员不得收受他人的财物或者其他好处，不得向他人</w:t>
      </w:r>
      <w:r>
        <w:rPr>
          <w:rFonts w:hint="eastAsia" w:asciiTheme="minorEastAsia" w:hAnsiTheme="minorEastAsia" w:eastAsiaTheme="minorEastAsia" w:cstheme="minorEastAsia"/>
          <w:sz w:val="24"/>
          <w:szCs w:val="24"/>
          <w:highlight w:val="none"/>
          <w:lang w:val="en-US" w:eastAsia="zh-CN"/>
        </w:rPr>
        <w:t>透露</w:t>
      </w:r>
      <w:r>
        <w:rPr>
          <w:rFonts w:hint="eastAsia" w:asciiTheme="minorEastAsia" w:hAnsiTheme="minorEastAsia" w:eastAsiaTheme="minorEastAsia" w:cstheme="minorEastAsia"/>
          <w:sz w:val="24"/>
          <w:szCs w:val="24"/>
          <w:highlight w:val="none"/>
        </w:rPr>
        <w:t>对投标文件的评审和比较、中标候选人的推荐情况以及评标有关的其他情况。在评标活动中，评标委员会成员不得擅离职守，影响评标程序正常进行，不得使用第三章“评标办法”没有规定的评审因素和标准进行评标。</w:t>
      </w:r>
    </w:p>
    <w:p w14:paraId="733146DC">
      <w:pPr>
        <w:spacing w:line="360" w:lineRule="auto"/>
        <w:ind w:firstLine="482" w:firstLineChars="200"/>
        <w:rPr>
          <w:rFonts w:asciiTheme="minorEastAsia" w:hAnsiTheme="minorEastAsia" w:eastAsiaTheme="minorEastAsia" w:cstheme="minorEastAsia"/>
          <w:b/>
          <w:bCs/>
          <w:sz w:val="24"/>
          <w:szCs w:val="24"/>
          <w:highlight w:val="none"/>
        </w:rPr>
      </w:pPr>
      <w:r>
        <w:rPr>
          <w:rFonts w:hint="eastAsia" w:asciiTheme="minorEastAsia" w:hAnsiTheme="minorEastAsia" w:eastAsiaTheme="minorEastAsia" w:cstheme="minorEastAsia"/>
          <w:b/>
          <w:bCs/>
          <w:sz w:val="24"/>
          <w:szCs w:val="24"/>
          <w:highlight w:val="none"/>
        </w:rPr>
        <w:t>9.4 对与评标活动有关的工作人员的纪律要求</w:t>
      </w:r>
    </w:p>
    <w:p w14:paraId="7B882A32">
      <w:pPr>
        <w:spacing w:line="360" w:lineRule="auto"/>
        <w:ind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与评标活动有关的工作人员不得收受他人的财物或者其他好处，不得向他人</w:t>
      </w:r>
      <w:r>
        <w:rPr>
          <w:rFonts w:hint="eastAsia" w:asciiTheme="minorEastAsia" w:hAnsiTheme="minorEastAsia" w:eastAsiaTheme="minorEastAsia" w:cstheme="minorEastAsia"/>
          <w:sz w:val="24"/>
          <w:szCs w:val="24"/>
          <w:highlight w:val="none"/>
          <w:lang w:val="en-US" w:eastAsia="zh-CN"/>
        </w:rPr>
        <w:t>透露</w:t>
      </w:r>
      <w:r>
        <w:rPr>
          <w:rFonts w:hint="eastAsia" w:asciiTheme="minorEastAsia" w:hAnsiTheme="minorEastAsia" w:eastAsiaTheme="minorEastAsia" w:cstheme="minorEastAsia"/>
          <w:sz w:val="24"/>
          <w:szCs w:val="24"/>
          <w:highlight w:val="none"/>
        </w:rPr>
        <w:t>对投标文件的评审和比较、中标候选人的推荐情况以及评标有关的其他情况。在评标活动中，与评标活动有关的工作人员不得擅离职守，影响评标程序正常进行。</w:t>
      </w:r>
    </w:p>
    <w:p w14:paraId="6B393ABB">
      <w:pPr>
        <w:spacing w:line="360" w:lineRule="auto"/>
        <w:ind w:firstLine="482" w:firstLineChars="200"/>
        <w:rPr>
          <w:rFonts w:asciiTheme="minorEastAsia" w:hAnsiTheme="minorEastAsia" w:eastAsiaTheme="minorEastAsia" w:cstheme="minorEastAsia"/>
          <w:b/>
          <w:bCs/>
          <w:sz w:val="24"/>
          <w:szCs w:val="24"/>
          <w:highlight w:val="none"/>
        </w:rPr>
      </w:pPr>
      <w:r>
        <w:rPr>
          <w:rFonts w:hint="eastAsia" w:asciiTheme="minorEastAsia" w:hAnsiTheme="minorEastAsia" w:eastAsiaTheme="minorEastAsia" w:cstheme="minorEastAsia"/>
          <w:b/>
          <w:bCs/>
          <w:sz w:val="24"/>
          <w:szCs w:val="24"/>
          <w:highlight w:val="none"/>
        </w:rPr>
        <w:t>9.5 投诉</w:t>
      </w:r>
    </w:p>
    <w:p w14:paraId="485068F3">
      <w:pPr>
        <w:spacing w:line="360" w:lineRule="auto"/>
        <w:ind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投标人和其他利害关系人认为本次招标活动违反法律、法规和规章规定的，有权向有关行政监督部门投诉。</w:t>
      </w:r>
    </w:p>
    <w:p w14:paraId="4C6A6C7D">
      <w:pPr>
        <w:spacing w:beforeLines="50" w:afterLines="50" w:line="360" w:lineRule="auto"/>
        <w:rPr>
          <w:rFonts w:asciiTheme="minorEastAsia" w:hAnsiTheme="minorEastAsia" w:eastAsiaTheme="minorEastAsia" w:cstheme="minorEastAsia"/>
          <w:b/>
          <w:bCs/>
          <w:sz w:val="24"/>
          <w:szCs w:val="24"/>
          <w:highlight w:val="none"/>
        </w:rPr>
      </w:pPr>
      <w:bookmarkStart w:id="56" w:name="_Toc421778374"/>
      <w:bookmarkStart w:id="57" w:name="_Toc420591652"/>
      <w:bookmarkStart w:id="58" w:name="_Toc425240473"/>
      <w:r>
        <w:rPr>
          <w:rFonts w:hint="eastAsia" w:asciiTheme="minorEastAsia" w:hAnsiTheme="minorEastAsia" w:eastAsiaTheme="minorEastAsia" w:cstheme="minorEastAsia"/>
          <w:b/>
          <w:bCs/>
          <w:sz w:val="24"/>
          <w:szCs w:val="24"/>
          <w:highlight w:val="none"/>
        </w:rPr>
        <w:t>10、需要补充的其他内容：</w:t>
      </w:r>
      <w:bookmarkStart w:id="59" w:name="_Toc356305901"/>
      <w:r>
        <w:rPr>
          <w:rFonts w:hint="eastAsia" w:asciiTheme="minorEastAsia" w:hAnsiTheme="minorEastAsia" w:eastAsiaTheme="minorEastAsia" w:cstheme="minorEastAsia"/>
          <w:b/>
          <w:bCs/>
          <w:sz w:val="24"/>
          <w:szCs w:val="24"/>
          <w:highlight w:val="none"/>
        </w:rPr>
        <w:t>详见投标人须知前附表</w:t>
      </w:r>
      <w:bookmarkEnd w:id="59"/>
      <w:r>
        <w:rPr>
          <w:rFonts w:hint="eastAsia" w:asciiTheme="minorEastAsia" w:hAnsiTheme="minorEastAsia" w:eastAsiaTheme="minorEastAsia" w:cstheme="minorEastAsia"/>
          <w:b/>
          <w:bCs/>
          <w:sz w:val="24"/>
          <w:szCs w:val="24"/>
          <w:highlight w:val="none"/>
        </w:rPr>
        <w:t>。</w:t>
      </w:r>
      <w:bookmarkEnd w:id="56"/>
      <w:bookmarkEnd w:id="57"/>
      <w:bookmarkEnd w:id="58"/>
    </w:p>
    <w:p w14:paraId="0EDC1FAD">
      <w:pPr>
        <w:spacing w:beforeLines="50" w:afterLines="50" w:line="360" w:lineRule="auto"/>
        <w:rPr>
          <w:rFonts w:asciiTheme="minorEastAsia" w:hAnsiTheme="minorEastAsia" w:eastAsiaTheme="minorEastAsia" w:cstheme="minorEastAsia"/>
          <w:b/>
          <w:bCs/>
          <w:sz w:val="24"/>
          <w:szCs w:val="24"/>
          <w:highlight w:val="none"/>
        </w:rPr>
      </w:pPr>
      <w:bookmarkStart w:id="60" w:name="_Toc425240474"/>
      <w:bookmarkStart w:id="61" w:name="_Toc420591653"/>
      <w:bookmarkStart w:id="62" w:name="_Toc421778375"/>
      <w:r>
        <w:rPr>
          <w:rFonts w:hint="eastAsia" w:asciiTheme="minorEastAsia" w:hAnsiTheme="minorEastAsia" w:eastAsiaTheme="minorEastAsia" w:cstheme="minorEastAsia"/>
          <w:b/>
          <w:bCs/>
          <w:sz w:val="24"/>
          <w:szCs w:val="24"/>
          <w:highlight w:val="none"/>
        </w:rPr>
        <w:t>11、招标代理服务费</w:t>
      </w:r>
      <w:bookmarkEnd w:id="60"/>
      <w:bookmarkEnd w:id="61"/>
      <w:bookmarkEnd w:id="62"/>
    </w:p>
    <w:p w14:paraId="6A0045DF">
      <w:pPr>
        <w:spacing w:line="360" w:lineRule="auto"/>
        <w:ind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11.1由中标单位向招标代理机构一次性缴付招标代理服务费。</w:t>
      </w:r>
    </w:p>
    <w:p w14:paraId="4F514AAE">
      <w:pPr>
        <w:spacing w:line="360" w:lineRule="auto"/>
        <w:ind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11.2收费标准：按国家计委颁发的《招标代理服务收费管理暂行办法》（计价格[2002]1980号）、国家发展和改革委员会办公厅颁发的《关于招标代理服务收费有关问题的通知》（发改办价格[2003]857号）的有关标准执行。</w:t>
      </w:r>
    </w:p>
    <w:p w14:paraId="1FFFB191">
      <w:pPr>
        <w:spacing w:line="500" w:lineRule="exact"/>
        <w:rPr>
          <w:rFonts w:asciiTheme="minorEastAsia" w:hAnsiTheme="minorEastAsia" w:eastAsiaTheme="minorEastAsia" w:cstheme="minorEastAsia"/>
          <w:b/>
          <w:bCs/>
          <w:sz w:val="24"/>
          <w:szCs w:val="24"/>
          <w:highlight w:val="none"/>
        </w:rPr>
      </w:pPr>
      <w:r>
        <w:rPr>
          <w:rFonts w:hint="eastAsia" w:asciiTheme="minorEastAsia" w:hAnsiTheme="minorEastAsia" w:eastAsiaTheme="minorEastAsia" w:cstheme="minorEastAsia"/>
          <w:b/>
          <w:bCs/>
          <w:sz w:val="24"/>
          <w:szCs w:val="24"/>
          <w:highlight w:val="none"/>
        </w:rPr>
        <w:t>12.质疑</w:t>
      </w:r>
    </w:p>
    <w:p w14:paraId="021C793B">
      <w:pPr>
        <w:spacing w:line="500" w:lineRule="exact"/>
        <w:ind w:right="12" w:firstLine="48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12.1投标人认为招标文件、招标过程、中标结果使自己的权益受到损害的，可以在知道或者应知其权益受到损害之日起7个工作日内，以书面形式向采购人、采购代理机构提出质疑。</w:t>
      </w:r>
    </w:p>
    <w:p w14:paraId="215DE7F6">
      <w:pPr>
        <w:spacing w:line="500" w:lineRule="exact"/>
        <w:ind w:right="12" w:firstLine="480"/>
        <w:rPr>
          <w:rStyle w:val="32"/>
          <w:rFonts w:asciiTheme="minorEastAsia" w:hAnsiTheme="minorEastAsia" w:eastAsiaTheme="minorEastAsia" w:cstheme="minorEastAsia"/>
          <w:bCs w:val="0"/>
          <w:sz w:val="24"/>
          <w:szCs w:val="24"/>
          <w:highlight w:val="none"/>
          <w:shd w:val="clear" w:color="auto" w:fill="FFFFFF"/>
        </w:rPr>
      </w:pPr>
      <w:r>
        <w:rPr>
          <w:rFonts w:hint="eastAsia" w:asciiTheme="minorEastAsia" w:hAnsiTheme="minorEastAsia" w:eastAsiaTheme="minorEastAsia" w:cstheme="minorEastAsia"/>
          <w:sz w:val="24"/>
          <w:szCs w:val="24"/>
          <w:highlight w:val="none"/>
        </w:rPr>
        <w:t>12.2投标人必须在法定质疑期内一次性提出针对同一采购程序环节的质疑。</w:t>
      </w:r>
    </w:p>
    <w:p w14:paraId="3377DE62">
      <w:pPr>
        <w:spacing w:line="500" w:lineRule="exact"/>
        <w:ind w:left="3" w:firstLine="518" w:firstLineChars="216"/>
        <w:rPr>
          <w:rStyle w:val="32"/>
          <w:rFonts w:asciiTheme="minorEastAsia" w:hAnsiTheme="minorEastAsia" w:eastAsiaTheme="minorEastAsia" w:cstheme="minorEastAsia"/>
          <w:sz w:val="24"/>
          <w:szCs w:val="24"/>
          <w:highlight w:val="none"/>
          <w:shd w:val="clear" w:color="auto" w:fill="FFFFFF"/>
        </w:rPr>
      </w:pPr>
      <w:r>
        <w:rPr>
          <w:rStyle w:val="32"/>
          <w:rFonts w:hint="eastAsia" w:asciiTheme="minorEastAsia" w:hAnsiTheme="minorEastAsia" w:eastAsiaTheme="minorEastAsia" w:cstheme="minorEastAsia"/>
          <w:sz w:val="24"/>
          <w:szCs w:val="24"/>
          <w:highlight w:val="none"/>
          <w:shd w:val="clear" w:color="auto" w:fill="FFFFFF"/>
        </w:rPr>
        <w:t>12.3投标人可以委托代理人进行质疑。代理人提出质疑的，应当提交授权委托书。授权委托书应当载明代理人的姓名或者名称、代理事项、具体权限、期限和相关事项。投标人为自然人的，应当由本人签字；投标人为法人或者其他组织的，应当由法定代表人、主要负责人签字或者盖章，并加盖公章。</w:t>
      </w:r>
    </w:p>
    <w:p w14:paraId="38EB3907">
      <w:pPr>
        <w:spacing w:line="500" w:lineRule="exact"/>
        <w:ind w:left="3" w:firstLine="518" w:firstLineChars="216"/>
        <w:rPr>
          <w:rStyle w:val="32"/>
          <w:rFonts w:asciiTheme="minorEastAsia" w:hAnsiTheme="minorEastAsia" w:eastAsiaTheme="minorEastAsia" w:cstheme="minorEastAsia"/>
          <w:sz w:val="24"/>
          <w:szCs w:val="24"/>
          <w:highlight w:val="none"/>
          <w:shd w:val="clear" w:color="auto" w:fill="FFFFFF"/>
        </w:rPr>
      </w:pPr>
      <w:r>
        <w:rPr>
          <w:rStyle w:val="32"/>
          <w:rFonts w:hint="eastAsia" w:asciiTheme="minorEastAsia" w:hAnsiTheme="minorEastAsia" w:eastAsiaTheme="minorEastAsia" w:cstheme="minorEastAsia"/>
          <w:sz w:val="24"/>
          <w:szCs w:val="24"/>
          <w:highlight w:val="none"/>
          <w:shd w:val="clear" w:color="auto" w:fill="FFFFFF"/>
        </w:rPr>
        <w:t>12.4以联合体形式参加政府采购活动的，其质疑应当由组成联合体的所有投标人共同提出。</w:t>
      </w:r>
    </w:p>
    <w:p w14:paraId="4C0AC3EC">
      <w:pPr>
        <w:spacing w:line="500" w:lineRule="exact"/>
        <w:ind w:right="12" w:firstLine="480" w:firstLineChars="200"/>
        <w:rPr>
          <w:rFonts w:asciiTheme="minorEastAsia" w:hAnsiTheme="minorEastAsia" w:eastAsiaTheme="minorEastAsia" w:cstheme="minorEastAsia"/>
          <w:sz w:val="24"/>
          <w:szCs w:val="24"/>
          <w:highlight w:val="none"/>
        </w:rPr>
      </w:pPr>
      <w:r>
        <w:rPr>
          <w:rStyle w:val="32"/>
          <w:rFonts w:hint="eastAsia" w:asciiTheme="minorEastAsia" w:hAnsiTheme="minorEastAsia" w:eastAsiaTheme="minorEastAsia" w:cstheme="minorEastAsia"/>
          <w:sz w:val="24"/>
          <w:szCs w:val="24"/>
          <w:highlight w:val="none"/>
          <w:shd w:val="clear" w:color="auto" w:fill="FFFFFF"/>
        </w:rPr>
        <w:t>12</w:t>
      </w:r>
      <w:r>
        <w:rPr>
          <w:rFonts w:hint="eastAsia" w:asciiTheme="minorEastAsia" w:hAnsiTheme="minorEastAsia" w:eastAsiaTheme="minorEastAsia" w:cstheme="minorEastAsia"/>
          <w:sz w:val="24"/>
          <w:szCs w:val="24"/>
          <w:highlight w:val="none"/>
        </w:rPr>
        <w:t>.5投标人提出质疑应当提交质疑函和必要的证明材料。质疑函应当包括下列内容：</w:t>
      </w:r>
    </w:p>
    <w:p w14:paraId="54E392A1">
      <w:pPr>
        <w:spacing w:line="500" w:lineRule="exact"/>
        <w:ind w:right="12"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12.5.1投标人的姓名或者名称、地址、邮编、联系人及联系电话；</w:t>
      </w:r>
    </w:p>
    <w:p w14:paraId="2803FA07">
      <w:pPr>
        <w:spacing w:line="500" w:lineRule="exact"/>
        <w:ind w:right="12"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12.5.2质疑项目的名称、编号；</w:t>
      </w:r>
    </w:p>
    <w:p w14:paraId="356D75AC">
      <w:pPr>
        <w:spacing w:line="500" w:lineRule="exact"/>
        <w:ind w:right="12"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12.5.3具体、明确的质疑事项和与质疑事项相关的请求；</w:t>
      </w:r>
    </w:p>
    <w:p w14:paraId="43F208BC">
      <w:pPr>
        <w:spacing w:line="500" w:lineRule="exact"/>
        <w:ind w:right="12"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12.5.4事实依据；</w:t>
      </w:r>
    </w:p>
    <w:p w14:paraId="53BDE7F9">
      <w:pPr>
        <w:spacing w:line="500" w:lineRule="exact"/>
        <w:ind w:right="12"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12.5.5必要的法律依据；</w:t>
      </w:r>
    </w:p>
    <w:p w14:paraId="6D880EA8">
      <w:pPr>
        <w:spacing w:line="500" w:lineRule="exact"/>
        <w:ind w:right="12" w:firstLine="480" w:firstLineChars="200"/>
        <w:rPr>
          <w:rStyle w:val="32"/>
          <w:rFonts w:asciiTheme="minorEastAsia" w:hAnsiTheme="minorEastAsia" w:eastAsiaTheme="minorEastAsia" w:cstheme="minorEastAsia"/>
          <w:sz w:val="24"/>
          <w:szCs w:val="24"/>
          <w:highlight w:val="none"/>
          <w:shd w:val="clear" w:color="auto" w:fill="FFFFFF"/>
        </w:rPr>
      </w:pPr>
      <w:r>
        <w:rPr>
          <w:rFonts w:hint="eastAsia" w:asciiTheme="minorEastAsia" w:hAnsiTheme="minorEastAsia" w:eastAsiaTheme="minorEastAsia" w:cstheme="minorEastAsia"/>
          <w:sz w:val="24"/>
          <w:szCs w:val="24"/>
          <w:highlight w:val="none"/>
        </w:rPr>
        <w:t>12.5.6提出质疑的日期。</w:t>
      </w:r>
    </w:p>
    <w:p w14:paraId="25E1B1E3">
      <w:pPr>
        <w:widowControl/>
        <w:spacing w:line="500" w:lineRule="exact"/>
        <w:ind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12.6有下列情形之一的，属于无效质疑，采购代理机构和采购人不予受理：</w:t>
      </w:r>
    </w:p>
    <w:p w14:paraId="5E026B7B">
      <w:pPr>
        <w:widowControl/>
        <w:spacing w:line="500" w:lineRule="exact"/>
        <w:ind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12.6.1质疑投标人不是参与本次政府采购项目的投标人；</w:t>
      </w:r>
    </w:p>
    <w:p w14:paraId="003E2F59">
      <w:pPr>
        <w:widowControl/>
        <w:spacing w:line="500" w:lineRule="exact"/>
        <w:ind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12.6.2质疑投标人与质疑事项不存在利害关系的；</w:t>
      </w:r>
    </w:p>
    <w:p w14:paraId="628DAB3D">
      <w:pPr>
        <w:widowControl/>
        <w:spacing w:line="500" w:lineRule="exact"/>
        <w:ind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12.6.3未在法定期限内提出质疑的；</w:t>
      </w:r>
    </w:p>
    <w:p w14:paraId="68EAB890">
      <w:pPr>
        <w:widowControl/>
        <w:spacing w:line="500" w:lineRule="exact"/>
        <w:ind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12.6.4质疑未以书面形式提出，或质疑函主要内容构成不完整的；</w:t>
      </w:r>
    </w:p>
    <w:p w14:paraId="2CA6FD17">
      <w:pPr>
        <w:widowControl/>
        <w:spacing w:line="500" w:lineRule="exact"/>
        <w:ind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12.6.5应当提交授权书而未提交的；</w:t>
      </w:r>
    </w:p>
    <w:p w14:paraId="2C4DDAD0">
      <w:pPr>
        <w:widowControl/>
        <w:spacing w:line="500" w:lineRule="exact"/>
        <w:ind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12.6.6以非法手段取得证据、材料的；</w:t>
      </w:r>
    </w:p>
    <w:p w14:paraId="53E5ACA5">
      <w:pPr>
        <w:widowControl/>
        <w:spacing w:line="500" w:lineRule="exact"/>
        <w:ind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12.6.7质疑答复后，同一质疑人就同一事项或同一采购程序环节再次提出质疑的；</w:t>
      </w:r>
    </w:p>
    <w:p w14:paraId="3D183759">
      <w:pPr>
        <w:widowControl/>
        <w:spacing w:line="500" w:lineRule="exact"/>
        <w:ind w:firstLine="480" w:firstLineChars="200"/>
        <w:rPr>
          <w:rStyle w:val="32"/>
          <w:rFonts w:asciiTheme="minorEastAsia" w:hAnsiTheme="minorEastAsia" w:eastAsiaTheme="minorEastAsia" w:cstheme="minorEastAsia"/>
          <w:sz w:val="24"/>
          <w:szCs w:val="24"/>
          <w:highlight w:val="none"/>
          <w:shd w:val="clear" w:color="auto" w:fill="FFFFFF"/>
        </w:rPr>
      </w:pPr>
      <w:r>
        <w:rPr>
          <w:rFonts w:hint="eastAsia" w:asciiTheme="minorEastAsia" w:hAnsiTheme="minorEastAsia" w:eastAsiaTheme="minorEastAsia" w:cstheme="minorEastAsia"/>
          <w:sz w:val="24"/>
          <w:szCs w:val="24"/>
          <w:highlight w:val="none"/>
        </w:rPr>
        <w:t>12.6.8不符合法律、法规、规章和政府采购监管机构规定的其他条件的。</w:t>
      </w:r>
    </w:p>
    <w:p w14:paraId="06689DE1">
      <w:pPr>
        <w:spacing w:line="500" w:lineRule="exact"/>
        <w:ind w:right="12"/>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 xml:space="preserve">    12.7质疑答复</w:t>
      </w:r>
    </w:p>
    <w:p w14:paraId="70CDDD8E">
      <w:pPr>
        <w:pStyle w:val="42"/>
        <w:spacing w:line="500" w:lineRule="exact"/>
        <w:ind w:firstLine="480"/>
        <w:jc w:val="left"/>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12.7.1采购人或采购代理机构在收到质疑函后7个工作日内作出答复，并以书面形式通知质疑投标人和其他有关投标人。</w:t>
      </w:r>
    </w:p>
    <w:p w14:paraId="53898CA7">
      <w:pPr>
        <w:pStyle w:val="42"/>
        <w:spacing w:line="500" w:lineRule="exact"/>
        <w:ind w:firstLine="480" w:firstLineChars="0"/>
        <w:jc w:val="left"/>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12.7.2质疑投标人对采购人、采购代理机构的答复不满意，或者采购人、采购代理机构未在规定时间内作出答复的，可以在答复期满后15个工作日内向项目主管财政部门提起投诉。</w:t>
      </w:r>
    </w:p>
    <w:p w14:paraId="1ABA2E51">
      <w:pPr>
        <w:pStyle w:val="42"/>
        <w:spacing w:line="500" w:lineRule="exact"/>
        <w:ind w:firstLine="480" w:firstLineChars="0"/>
        <w:jc w:val="left"/>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12.8.1质疑函须按财政部《质疑函范本》给定的格式进行填写，范本下载详见【财政部国库司（gks.mof.gov.cn）】网站〖首页·政府采购管理〗栏目中的《政府采购供应商质疑函范本》。《政府采购供应商质疑函范本》链接地址：</w:t>
      </w:r>
    </w:p>
    <w:p w14:paraId="565789B2">
      <w:pPr>
        <w:pStyle w:val="42"/>
        <w:spacing w:line="500" w:lineRule="exact"/>
        <w:ind w:firstLine="480" w:firstLineChars="0"/>
        <w:jc w:val="left"/>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http://gks.mof.gov.cn/zhengfucaigouguanli/201802/t20180201_2804589.html</w:t>
      </w:r>
    </w:p>
    <w:p w14:paraId="1AC2E63E">
      <w:pPr>
        <w:pStyle w:val="42"/>
        <w:spacing w:line="500" w:lineRule="exact"/>
        <w:ind w:firstLine="480" w:firstLineChars="0"/>
        <w:jc w:val="left"/>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12.8.2接收质疑函的方式：书面形式</w:t>
      </w:r>
    </w:p>
    <w:p w14:paraId="70380300">
      <w:pPr>
        <w:pStyle w:val="42"/>
        <w:spacing w:line="500" w:lineRule="exact"/>
        <w:ind w:firstLine="480" w:firstLineChars="0"/>
        <w:jc w:val="left"/>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12.8.3联系部门：</w:t>
      </w:r>
      <w:r>
        <w:rPr>
          <w:rFonts w:hint="eastAsia" w:asciiTheme="minorEastAsia" w:hAnsiTheme="minorEastAsia" w:eastAsiaTheme="minorEastAsia" w:cstheme="minorEastAsia"/>
          <w:sz w:val="24"/>
          <w:szCs w:val="24"/>
          <w:highlight w:val="none"/>
          <w:lang w:eastAsia="zh-CN"/>
        </w:rPr>
        <w:t>陕西银正项目管理有限公司</w:t>
      </w:r>
      <w:r>
        <w:rPr>
          <w:rFonts w:hint="eastAsia" w:asciiTheme="minorEastAsia" w:hAnsiTheme="minorEastAsia" w:eastAsiaTheme="minorEastAsia" w:cstheme="minorEastAsia"/>
          <w:sz w:val="24"/>
          <w:szCs w:val="24"/>
          <w:highlight w:val="none"/>
        </w:rPr>
        <w:t>前台</w:t>
      </w:r>
    </w:p>
    <w:p w14:paraId="09694EEE">
      <w:pPr>
        <w:pStyle w:val="42"/>
        <w:spacing w:line="500" w:lineRule="exact"/>
        <w:ind w:firstLine="480" w:firstLineChars="0"/>
        <w:jc w:val="left"/>
        <w:rPr>
          <w:rFonts w:hint="eastAsia" w:asciiTheme="minorEastAsia" w:hAnsiTheme="minorEastAsia" w:eastAsiaTheme="minorEastAsia" w:cstheme="minorEastAsia"/>
          <w:sz w:val="24"/>
          <w:szCs w:val="24"/>
          <w:highlight w:val="none"/>
          <w:lang w:eastAsia="zh-CN"/>
        </w:rPr>
      </w:pPr>
      <w:r>
        <w:rPr>
          <w:rFonts w:hint="eastAsia" w:asciiTheme="minorEastAsia" w:hAnsiTheme="minorEastAsia" w:eastAsiaTheme="minorEastAsia" w:cstheme="minorEastAsia"/>
          <w:sz w:val="24"/>
          <w:szCs w:val="24"/>
          <w:highlight w:val="none"/>
        </w:rPr>
        <w:t>12.8.4联系电话：</w:t>
      </w:r>
      <w:r>
        <w:rPr>
          <w:rFonts w:hint="eastAsia" w:ascii="宋体" w:hAnsi="宋体" w:cs="宋体"/>
          <w:i w:val="0"/>
          <w:iCs w:val="0"/>
          <w:caps w:val="0"/>
          <w:color w:val="333333"/>
          <w:spacing w:val="0"/>
          <w:sz w:val="24"/>
          <w:szCs w:val="24"/>
          <w:highlight w:val="none"/>
          <w:shd w:val="clear" w:fill="FFFFFF"/>
          <w:vertAlign w:val="baseline"/>
          <w:lang w:eastAsia="zh-CN"/>
        </w:rPr>
        <w:t>18202922130</w:t>
      </w:r>
    </w:p>
    <w:p w14:paraId="41BAA35D">
      <w:pPr>
        <w:pStyle w:val="42"/>
        <w:spacing w:line="500" w:lineRule="exact"/>
        <w:ind w:firstLine="480" w:firstLineChars="0"/>
        <w:jc w:val="left"/>
        <w:rPr>
          <w:rFonts w:hint="eastAsia" w:asciiTheme="minorEastAsia" w:hAnsiTheme="minorEastAsia" w:eastAsiaTheme="minorEastAsia" w:cstheme="minorEastAsia"/>
          <w:sz w:val="24"/>
          <w:szCs w:val="24"/>
          <w:highlight w:val="none"/>
          <w:lang w:eastAsia="zh-CN"/>
        </w:rPr>
      </w:pPr>
      <w:r>
        <w:rPr>
          <w:rFonts w:hint="eastAsia" w:asciiTheme="minorEastAsia" w:hAnsiTheme="minorEastAsia" w:eastAsiaTheme="minorEastAsia" w:cstheme="minorEastAsia"/>
          <w:sz w:val="24"/>
          <w:szCs w:val="24"/>
          <w:highlight w:val="none"/>
        </w:rPr>
        <w:t>31.8.5通讯地址：</w:t>
      </w:r>
      <w:r>
        <w:rPr>
          <w:rFonts w:hint="eastAsia" w:asciiTheme="minorEastAsia" w:hAnsiTheme="minorEastAsia" w:eastAsiaTheme="minorEastAsia" w:cstheme="minorEastAsia"/>
          <w:sz w:val="24"/>
          <w:szCs w:val="24"/>
          <w:highlight w:val="none"/>
          <w:lang w:eastAsia="zh-CN"/>
        </w:rPr>
        <w:t>陕西省西安市未央区未央路银池广场21楼</w:t>
      </w:r>
    </w:p>
    <w:p w14:paraId="2036A4B7">
      <w:pPr>
        <w:spacing w:line="500" w:lineRule="exact"/>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
          <w:bCs/>
          <w:sz w:val="24"/>
          <w:szCs w:val="24"/>
          <w:highlight w:val="none"/>
        </w:rPr>
        <w:t>13.其他</w:t>
      </w:r>
    </w:p>
    <w:p w14:paraId="76652139">
      <w:pPr>
        <w:spacing w:line="500" w:lineRule="exact"/>
        <w:ind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13.1 废标的情形</w:t>
      </w:r>
    </w:p>
    <w:p w14:paraId="0766F70E">
      <w:pPr>
        <w:spacing w:line="500" w:lineRule="exact"/>
        <w:ind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13.1.1招标采购中，出现下列情形之一的，应予以废标：</w:t>
      </w:r>
    </w:p>
    <w:p w14:paraId="3A9749C9">
      <w:pPr>
        <w:spacing w:line="500" w:lineRule="exact"/>
        <w:ind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（1）符合专业条件的投标人或者对招标文件作实质响应的投标人不足3家的；</w:t>
      </w:r>
    </w:p>
    <w:p w14:paraId="034FEE91">
      <w:pPr>
        <w:spacing w:line="500" w:lineRule="exact"/>
        <w:ind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（2）出现影响采购公正的违法、违规行为的；</w:t>
      </w:r>
    </w:p>
    <w:p w14:paraId="42DE7FF9">
      <w:pPr>
        <w:spacing w:line="500" w:lineRule="exact"/>
        <w:ind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（3）投标人的报价均超过了采购预算，采购人不能支付的；</w:t>
      </w:r>
    </w:p>
    <w:p w14:paraId="73E143DE">
      <w:pPr>
        <w:spacing w:line="500" w:lineRule="exact"/>
        <w:ind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（4）因重大变故，采购任务取消的。</w:t>
      </w:r>
    </w:p>
    <w:p w14:paraId="185FF750">
      <w:pPr>
        <w:spacing w:line="500" w:lineRule="exact"/>
        <w:ind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13.1.2废标后，采购代理机构应在财政部门指定采购网上公告，并公告废标的详细理由。</w:t>
      </w:r>
    </w:p>
    <w:p w14:paraId="321A072E">
      <w:pPr>
        <w:spacing w:line="500" w:lineRule="exact"/>
        <w:ind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13.2变更采购方式</w:t>
      </w:r>
    </w:p>
    <w:p w14:paraId="181A5937">
      <w:pPr>
        <w:spacing w:line="500" w:lineRule="exact"/>
        <w:ind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13.2.1存在下列情形之一的，除采购任务取消情形外，采购人经同级财政部门同意后，可按《政府采购货物和服务招标投标管理办法》（财政部87号令）第四十三条规定的方式处理：</w:t>
      </w:r>
    </w:p>
    <w:p w14:paraId="52ED0AA5">
      <w:pPr>
        <w:spacing w:line="500" w:lineRule="exact"/>
        <w:ind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（1）投标截止后参加投标的人不足3家的；</w:t>
      </w:r>
    </w:p>
    <w:p w14:paraId="22812675">
      <w:pPr>
        <w:spacing w:line="500" w:lineRule="exact"/>
        <w:ind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（2）通过资格审查的投标人不足3家的；</w:t>
      </w:r>
    </w:p>
    <w:p w14:paraId="6E8508E1">
      <w:pPr>
        <w:spacing w:line="500" w:lineRule="exact"/>
        <w:ind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（3）通过符合性审查的投标人不足3家的。</w:t>
      </w:r>
    </w:p>
    <w:p w14:paraId="51F5FB2C">
      <w:pPr>
        <w:spacing w:line="500" w:lineRule="exact"/>
        <w:ind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13.2.2通过符合性审查的投标人只有2家时，采购人经同级财政部门同意后，可以按《政府采购非招标采购方式管理办法》（财政部第74号令）的规定与该2家投标人进行竞争性谈判采购。</w:t>
      </w:r>
    </w:p>
    <w:p w14:paraId="17A2B8CA">
      <w:pPr>
        <w:spacing w:line="360" w:lineRule="auto"/>
        <w:ind w:firstLine="480" w:firstLineChars="200"/>
        <w:rPr>
          <w:rFonts w:asciiTheme="minorEastAsia" w:hAnsiTheme="minorEastAsia" w:eastAsiaTheme="minorEastAsia" w:cstheme="minorEastAsia"/>
          <w:sz w:val="24"/>
          <w:szCs w:val="24"/>
          <w:highlight w:val="none"/>
        </w:rPr>
      </w:pPr>
    </w:p>
    <w:p w14:paraId="2DF01B80">
      <w:pPr>
        <w:spacing w:line="360" w:lineRule="auto"/>
        <w:ind w:firstLine="420" w:firstLineChars="200"/>
        <w:rPr>
          <w:rFonts w:asciiTheme="minorEastAsia" w:hAnsiTheme="minorEastAsia" w:eastAsiaTheme="minorEastAsia" w:cstheme="minorEastAsia"/>
          <w:highlight w:val="none"/>
        </w:rPr>
        <w:sectPr>
          <w:footerReference r:id="rId8" w:type="default"/>
          <w:pgSz w:w="11906" w:h="16838"/>
          <w:pgMar w:top="1304" w:right="1361" w:bottom="1304" w:left="1361" w:header="851" w:footer="992" w:gutter="0"/>
          <w:pgNumType w:start="1"/>
          <w:cols w:space="0" w:num="1"/>
          <w:docGrid w:type="lines" w:linePitch="312" w:charSpace="0"/>
        </w:sectPr>
      </w:pPr>
    </w:p>
    <w:p w14:paraId="247B05BE">
      <w:pPr>
        <w:pStyle w:val="4"/>
        <w:keepNext w:val="0"/>
        <w:pageBreakBefore/>
        <w:spacing w:line="350" w:lineRule="auto"/>
        <w:jc w:val="center"/>
        <w:rPr>
          <w:rFonts w:hint="eastAsia" w:asciiTheme="minorEastAsia" w:hAnsiTheme="minorEastAsia" w:eastAsiaTheme="minorEastAsia" w:cstheme="minorEastAsia"/>
          <w:sz w:val="36"/>
          <w:szCs w:val="20"/>
          <w:highlight w:val="none"/>
        </w:rPr>
      </w:pPr>
      <w:bookmarkStart w:id="63" w:name="_Toc8864"/>
      <w:bookmarkStart w:id="64" w:name="_Toc30469"/>
      <w:bookmarkStart w:id="65" w:name="_Toc19056"/>
      <w:bookmarkStart w:id="66" w:name="_Toc13146"/>
      <w:bookmarkStart w:id="67" w:name="_Toc2711"/>
      <w:bookmarkStart w:id="68" w:name="_Toc4053"/>
      <w:bookmarkStart w:id="69" w:name="_Toc1025"/>
      <w:bookmarkStart w:id="70" w:name="_Toc20481"/>
      <w:bookmarkStart w:id="71" w:name="_Toc11450"/>
      <w:bookmarkStart w:id="72" w:name="_Toc23856"/>
      <w:bookmarkStart w:id="73" w:name="_Toc389582038"/>
      <w:bookmarkStart w:id="74" w:name="_Toc421778377"/>
      <w:bookmarkStart w:id="75" w:name="_Toc351989128"/>
      <w:bookmarkStart w:id="76" w:name="_Toc19346"/>
      <w:bookmarkStart w:id="77" w:name="_Toc221523521"/>
      <w:bookmarkStart w:id="78" w:name="_Toc9479"/>
      <w:r>
        <w:rPr>
          <w:rFonts w:hint="eastAsia" w:asciiTheme="minorEastAsia" w:hAnsiTheme="minorEastAsia" w:eastAsiaTheme="minorEastAsia" w:cstheme="minorEastAsia"/>
          <w:sz w:val="36"/>
          <w:szCs w:val="20"/>
          <w:highlight w:val="none"/>
        </w:rPr>
        <w:t>第三章  评审方法</w:t>
      </w:r>
      <w:bookmarkEnd w:id="63"/>
      <w:bookmarkEnd w:id="64"/>
      <w:bookmarkEnd w:id="65"/>
      <w:bookmarkEnd w:id="66"/>
    </w:p>
    <w:bookmarkEnd w:id="67"/>
    <w:bookmarkEnd w:id="68"/>
    <w:bookmarkEnd w:id="69"/>
    <w:bookmarkEnd w:id="70"/>
    <w:bookmarkEnd w:id="71"/>
    <w:bookmarkEnd w:id="72"/>
    <w:bookmarkEnd w:id="73"/>
    <w:p w14:paraId="55A63A6E">
      <w:pPr>
        <w:spacing w:beforeLines="50" w:line="360" w:lineRule="auto"/>
        <w:rPr>
          <w:rFonts w:asciiTheme="minorEastAsia" w:hAnsiTheme="minorEastAsia" w:eastAsiaTheme="minorEastAsia" w:cstheme="minorEastAsia"/>
          <w:b/>
          <w:spacing w:val="4"/>
          <w:sz w:val="24"/>
          <w:szCs w:val="24"/>
          <w:highlight w:val="none"/>
        </w:rPr>
      </w:pPr>
      <w:r>
        <w:rPr>
          <w:rFonts w:hint="eastAsia" w:asciiTheme="minorEastAsia" w:hAnsiTheme="minorEastAsia" w:eastAsiaTheme="minorEastAsia" w:cstheme="minorEastAsia"/>
          <w:b/>
          <w:spacing w:val="4"/>
          <w:sz w:val="24"/>
          <w:szCs w:val="24"/>
          <w:highlight w:val="none"/>
        </w:rPr>
        <w:t>一．评标方法</w:t>
      </w:r>
    </w:p>
    <w:p w14:paraId="1D723334">
      <w:pPr>
        <w:spacing w:line="360" w:lineRule="auto"/>
        <w:ind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按照《中华人民共和国政府采购法》及实施条例和《中华人民共和国招标投标法》及其实施条例的规定，本次评标采用综合评分法，即在最大限度地满足招标文件实质性要求前提下，按照招标文件中规定的各项因素和相应的权重分值进行综合评审后，以总得分最高的投标人作为中标候选人并依次排序（最低报价不是中标的唯一标准）。</w:t>
      </w:r>
    </w:p>
    <w:p w14:paraId="191D3EC5">
      <w:pPr>
        <w:spacing w:beforeLines="50" w:line="360" w:lineRule="auto"/>
        <w:rPr>
          <w:rFonts w:asciiTheme="minorEastAsia" w:hAnsiTheme="minorEastAsia" w:eastAsiaTheme="minorEastAsia" w:cstheme="minorEastAsia"/>
          <w:b/>
          <w:spacing w:val="4"/>
          <w:sz w:val="24"/>
          <w:szCs w:val="24"/>
          <w:highlight w:val="none"/>
        </w:rPr>
      </w:pPr>
      <w:r>
        <w:rPr>
          <w:rFonts w:hint="eastAsia" w:asciiTheme="minorEastAsia" w:hAnsiTheme="minorEastAsia" w:eastAsiaTheme="minorEastAsia" w:cstheme="minorEastAsia"/>
          <w:b/>
          <w:spacing w:val="4"/>
          <w:sz w:val="24"/>
          <w:szCs w:val="24"/>
          <w:highlight w:val="none"/>
        </w:rPr>
        <w:t>二．评标委员会负责具体评标事务，并独立履行下列职责：</w:t>
      </w:r>
    </w:p>
    <w:p w14:paraId="6D285E65">
      <w:pPr>
        <w:spacing w:line="360" w:lineRule="auto"/>
        <w:ind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（一）审查、评价投标文件是否符合招标文件的商务、技术等实质性要求；</w:t>
      </w:r>
    </w:p>
    <w:p w14:paraId="15A6ED4C">
      <w:pPr>
        <w:spacing w:line="360" w:lineRule="auto"/>
        <w:ind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（二）要求投标人对投标文件有关事项作出澄清或者说明；</w:t>
      </w:r>
    </w:p>
    <w:p w14:paraId="2789C379">
      <w:pPr>
        <w:spacing w:line="360" w:lineRule="auto"/>
        <w:ind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（三）对投标文件进行比较和评价；</w:t>
      </w:r>
    </w:p>
    <w:p w14:paraId="72F012FA">
      <w:pPr>
        <w:spacing w:line="360" w:lineRule="auto"/>
        <w:ind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（四）确定中标候选人名单，以及根据采购人委托直接确定中标人；</w:t>
      </w:r>
    </w:p>
    <w:p w14:paraId="22DD32B1">
      <w:pPr>
        <w:spacing w:line="360" w:lineRule="auto"/>
        <w:ind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（五）向采购人、采购代理机构或者有关部门报告评标中发现的违法行为。</w:t>
      </w:r>
    </w:p>
    <w:p w14:paraId="63FBECED">
      <w:pPr>
        <w:spacing w:beforeLines="50" w:line="360" w:lineRule="auto"/>
        <w:rPr>
          <w:rFonts w:asciiTheme="minorEastAsia" w:hAnsiTheme="minorEastAsia" w:eastAsiaTheme="minorEastAsia" w:cstheme="minorEastAsia"/>
          <w:b/>
          <w:spacing w:val="4"/>
          <w:sz w:val="24"/>
          <w:szCs w:val="24"/>
          <w:highlight w:val="none"/>
        </w:rPr>
      </w:pPr>
      <w:r>
        <w:rPr>
          <w:rFonts w:hint="eastAsia" w:asciiTheme="minorEastAsia" w:hAnsiTheme="minorEastAsia" w:eastAsiaTheme="minorEastAsia" w:cstheme="minorEastAsia"/>
          <w:b/>
          <w:spacing w:val="4"/>
          <w:sz w:val="24"/>
          <w:szCs w:val="24"/>
          <w:highlight w:val="none"/>
        </w:rPr>
        <w:t>三.投标人存在下列情况之一的，投标无效：</w:t>
      </w:r>
    </w:p>
    <w:p w14:paraId="7D04143C">
      <w:pPr>
        <w:tabs>
          <w:tab w:val="left" w:pos="1260"/>
        </w:tabs>
        <w:spacing w:line="500" w:lineRule="exact"/>
        <w:ind w:firstLine="482" w:firstLineChars="200"/>
        <w:rPr>
          <w:rFonts w:asciiTheme="minorEastAsia" w:hAnsiTheme="minorEastAsia" w:eastAsiaTheme="minorEastAsia" w:cstheme="minorEastAsia"/>
          <w:b/>
          <w:bCs/>
          <w:sz w:val="24"/>
          <w:szCs w:val="24"/>
          <w:highlight w:val="none"/>
        </w:rPr>
      </w:pPr>
      <w:r>
        <w:rPr>
          <w:rFonts w:hint="eastAsia" w:asciiTheme="minorEastAsia" w:hAnsiTheme="minorEastAsia" w:eastAsiaTheme="minorEastAsia" w:cstheme="minorEastAsia"/>
          <w:b/>
          <w:bCs/>
          <w:sz w:val="24"/>
          <w:szCs w:val="24"/>
          <w:highlight w:val="none"/>
        </w:rPr>
        <w:t>1）没有按照招标文件要求提供的投标文件或投标文件构成有重大缺项；</w:t>
      </w:r>
    </w:p>
    <w:p w14:paraId="1146BEF3">
      <w:pPr>
        <w:kinsoku w:val="0"/>
        <w:spacing w:line="500" w:lineRule="exact"/>
        <w:ind w:firstLine="482" w:firstLineChars="200"/>
        <w:rPr>
          <w:rFonts w:asciiTheme="minorEastAsia" w:hAnsiTheme="minorEastAsia" w:eastAsiaTheme="minorEastAsia" w:cstheme="minorEastAsia"/>
          <w:b/>
          <w:bCs/>
          <w:spacing w:val="-6"/>
          <w:sz w:val="24"/>
          <w:szCs w:val="24"/>
          <w:highlight w:val="none"/>
        </w:rPr>
      </w:pPr>
      <w:r>
        <w:rPr>
          <w:rFonts w:hint="eastAsia" w:asciiTheme="minorEastAsia" w:hAnsiTheme="minorEastAsia" w:eastAsiaTheme="minorEastAsia" w:cstheme="minorEastAsia"/>
          <w:b/>
          <w:bCs/>
          <w:sz w:val="24"/>
          <w:szCs w:val="24"/>
          <w:highlight w:val="none"/>
        </w:rPr>
        <w:t>2）投标</w:t>
      </w:r>
      <w:r>
        <w:rPr>
          <w:rFonts w:hint="eastAsia" w:asciiTheme="minorEastAsia" w:hAnsiTheme="minorEastAsia" w:eastAsiaTheme="minorEastAsia" w:cstheme="minorEastAsia"/>
          <w:b/>
          <w:bCs/>
          <w:spacing w:val="-6"/>
          <w:sz w:val="24"/>
          <w:szCs w:val="24"/>
          <w:highlight w:val="none"/>
        </w:rPr>
        <w:t>文件</w:t>
      </w:r>
      <w:r>
        <w:rPr>
          <w:rFonts w:hint="eastAsia" w:asciiTheme="minorEastAsia" w:hAnsiTheme="minorEastAsia" w:eastAsiaTheme="minorEastAsia" w:cstheme="minorEastAsia"/>
          <w:b/>
          <w:bCs/>
          <w:sz w:val="24"/>
          <w:szCs w:val="24"/>
          <w:highlight w:val="none"/>
        </w:rPr>
        <w:t>未按招标文件要求密封、签署、盖章的；</w:t>
      </w:r>
    </w:p>
    <w:p w14:paraId="143F7CB6">
      <w:pPr>
        <w:tabs>
          <w:tab w:val="left" w:pos="1260"/>
        </w:tabs>
        <w:spacing w:line="500" w:lineRule="exact"/>
        <w:ind w:firstLine="482" w:firstLineChars="200"/>
        <w:rPr>
          <w:rFonts w:asciiTheme="minorEastAsia" w:hAnsiTheme="minorEastAsia" w:eastAsiaTheme="minorEastAsia" w:cstheme="minorEastAsia"/>
          <w:b/>
          <w:bCs/>
          <w:sz w:val="24"/>
          <w:szCs w:val="24"/>
          <w:highlight w:val="none"/>
        </w:rPr>
      </w:pPr>
      <w:r>
        <w:rPr>
          <w:rFonts w:hint="eastAsia" w:asciiTheme="minorEastAsia" w:hAnsiTheme="minorEastAsia" w:eastAsiaTheme="minorEastAsia" w:cstheme="minorEastAsia"/>
          <w:b/>
          <w:bCs/>
          <w:sz w:val="24"/>
          <w:szCs w:val="24"/>
          <w:highlight w:val="none"/>
        </w:rPr>
        <w:t>3）投标人未提交有效的投标保证金或金额不足的、投标保证金形式不符合招标文件要求的；</w:t>
      </w:r>
    </w:p>
    <w:p w14:paraId="24FC1A24">
      <w:pPr>
        <w:tabs>
          <w:tab w:val="left" w:pos="1260"/>
        </w:tabs>
        <w:spacing w:line="500" w:lineRule="exact"/>
        <w:ind w:firstLine="482" w:firstLineChars="200"/>
        <w:rPr>
          <w:rFonts w:asciiTheme="minorEastAsia" w:hAnsiTheme="minorEastAsia" w:eastAsiaTheme="minorEastAsia" w:cstheme="minorEastAsia"/>
          <w:b/>
          <w:bCs/>
          <w:sz w:val="24"/>
          <w:szCs w:val="24"/>
          <w:highlight w:val="none"/>
        </w:rPr>
      </w:pPr>
      <w:r>
        <w:rPr>
          <w:rFonts w:hint="eastAsia" w:asciiTheme="minorEastAsia" w:hAnsiTheme="minorEastAsia" w:eastAsiaTheme="minorEastAsia" w:cstheme="minorEastAsia"/>
          <w:b/>
          <w:bCs/>
          <w:sz w:val="24"/>
          <w:szCs w:val="24"/>
          <w:highlight w:val="none"/>
        </w:rPr>
        <w:t>4）资格证明文件不全的或无效的，或不符合国家规定的；</w:t>
      </w:r>
    </w:p>
    <w:p w14:paraId="73D1487C">
      <w:pPr>
        <w:tabs>
          <w:tab w:val="left" w:pos="1260"/>
        </w:tabs>
        <w:spacing w:line="500" w:lineRule="exact"/>
        <w:ind w:firstLine="482" w:firstLineChars="200"/>
        <w:rPr>
          <w:rFonts w:asciiTheme="minorEastAsia" w:hAnsiTheme="minorEastAsia" w:eastAsiaTheme="minorEastAsia" w:cstheme="minorEastAsia"/>
          <w:b/>
          <w:bCs/>
          <w:sz w:val="24"/>
          <w:szCs w:val="24"/>
          <w:highlight w:val="none"/>
        </w:rPr>
      </w:pPr>
      <w:r>
        <w:rPr>
          <w:rFonts w:hint="eastAsia" w:asciiTheme="minorEastAsia" w:hAnsiTheme="minorEastAsia" w:eastAsiaTheme="minorEastAsia" w:cstheme="minorEastAsia"/>
          <w:b/>
          <w:bCs/>
          <w:sz w:val="24"/>
          <w:szCs w:val="24"/>
          <w:highlight w:val="none"/>
        </w:rPr>
        <w:t>5）投标文件无投标人公章、无法定代表人或授权人签章或签章人无法定代表人有效委托书的；</w:t>
      </w:r>
    </w:p>
    <w:p w14:paraId="617AAED1">
      <w:pPr>
        <w:tabs>
          <w:tab w:val="left" w:pos="1260"/>
        </w:tabs>
        <w:spacing w:line="500" w:lineRule="exact"/>
        <w:ind w:firstLine="482" w:firstLineChars="200"/>
        <w:rPr>
          <w:rFonts w:asciiTheme="minorEastAsia" w:hAnsiTheme="minorEastAsia" w:eastAsiaTheme="minorEastAsia" w:cstheme="minorEastAsia"/>
          <w:b/>
          <w:bCs/>
          <w:sz w:val="24"/>
          <w:szCs w:val="24"/>
          <w:highlight w:val="none"/>
        </w:rPr>
      </w:pPr>
      <w:r>
        <w:rPr>
          <w:rFonts w:hint="eastAsia" w:asciiTheme="minorEastAsia" w:hAnsiTheme="minorEastAsia" w:eastAsiaTheme="minorEastAsia" w:cstheme="minorEastAsia"/>
          <w:b/>
          <w:bCs/>
          <w:sz w:val="24"/>
          <w:szCs w:val="24"/>
          <w:highlight w:val="none"/>
        </w:rPr>
        <w:t>6）</w:t>
      </w:r>
      <w:r>
        <w:rPr>
          <w:rFonts w:hint="eastAsia" w:asciiTheme="minorEastAsia" w:hAnsiTheme="minorEastAsia" w:eastAsiaTheme="minorEastAsia" w:cstheme="minorEastAsia"/>
          <w:b/>
          <w:bCs/>
          <w:spacing w:val="-6"/>
          <w:sz w:val="24"/>
          <w:szCs w:val="24"/>
          <w:highlight w:val="none"/>
        </w:rPr>
        <w:t>无投标有效期或有效期达不到招标文件要求的</w:t>
      </w:r>
      <w:r>
        <w:rPr>
          <w:rFonts w:hint="eastAsia" w:asciiTheme="minorEastAsia" w:hAnsiTheme="minorEastAsia" w:eastAsiaTheme="minorEastAsia" w:cstheme="minorEastAsia"/>
          <w:b/>
          <w:bCs/>
          <w:sz w:val="24"/>
          <w:szCs w:val="24"/>
          <w:highlight w:val="none"/>
        </w:rPr>
        <w:t>；</w:t>
      </w:r>
    </w:p>
    <w:p w14:paraId="281CDBEB">
      <w:pPr>
        <w:tabs>
          <w:tab w:val="left" w:pos="1260"/>
        </w:tabs>
        <w:spacing w:line="500" w:lineRule="exact"/>
        <w:ind w:firstLine="482" w:firstLineChars="200"/>
        <w:rPr>
          <w:rFonts w:asciiTheme="minorEastAsia" w:hAnsiTheme="minorEastAsia" w:eastAsiaTheme="minorEastAsia" w:cstheme="minorEastAsia"/>
          <w:b/>
          <w:bCs/>
          <w:sz w:val="24"/>
          <w:szCs w:val="24"/>
          <w:highlight w:val="none"/>
        </w:rPr>
      </w:pPr>
      <w:r>
        <w:rPr>
          <w:rFonts w:hint="eastAsia" w:asciiTheme="minorEastAsia" w:hAnsiTheme="minorEastAsia" w:eastAsiaTheme="minorEastAsia" w:cstheme="minorEastAsia"/>
          <w:b/>
          <w:bCs/>
          <w:sz w:val="24"/>
          <w:szCs w:val="24"/>
          <w:highlight w:val="none"/>
        </w:rPr>
        <w:t>7）投标人在同一份投标文件中，对同一招标产品报有两个或多个报价的；</w:t>
      </w:r>
    </w:p>
    <w:p w14:paraId="055B8443">
      <w:pPr>
        <w:tabs>
          <w:tab w:val="left" w:pos="1260"/>
        </w:tabs>
        <w:spacing w:line="500" w:lineRule="exact"/>
        <w:ind w:firstLine="482" w:firstLineChars="200"/>
        <w:rPr>
          <w:rFonts w:asciiTheme="minorEastAsia" w:hAnsiTheme="minorEastAsia" w:eastAsiaTheme="minorEastAsia" w:cstheme="minorEastAsia"/>
          <w:b/>
          <w:bCs/>
          <w:sz w:val="24"/>
          <w:szCs w:val="24"/>
          <w:highlight w:val="none"/>
        </w:rPr>
      </w:pPr>
      <w:r>
        <w:rPr>
          <w:rFonts w:hint="eastAsia" w:asciiTheme="minorEastAsia" w:hAnsiTheme="minorEastAsia" w:eastAsiaTheme="minorEastAsia" w:cstheme="minorEastAsia"/>
          <w:b/>
          <w:bCs/>
          <w:sz w:val="24"/>
          <w:szCs w:val="24"/>
          <w:highlight w:val="none"/>
        </w:rPr>
        <w:t>8）存在有重大缺漏项和重大技术偏离的投标产品；</w:t>
      </w:r>
    </w:p>
    <w:p w14:paraId="3D810360">
      <w:pPr>
        <w:tabs>
          <w:tab w:val="left" w:pos="1260"/>
        </w:tabs>
        <w:spacing w:line="500" w:lineRule="exact"/>
        <w:ind w:firstLine="482" w:firstLineChars="200"/>
        <w:rPr>
          <w:rFonts w:asciiTheme="minorEastAsia" w:hAnsiTheme="minorEastAsia" w:eastAsiaTheme="minorEastAsia" w:cstheme="minorEastAsia"/>
          <w:b/>
          <w:bCs/>
          <w:sz w:val="24"/>
          <w:szCs w:val="24"/>
          <w:highlight w:val="none"/>
        </w:rPr>
      </w:pPr>
      <w:r>
        <w:rPr>
          <w:rFonts w:hint="eastAsia" w:asciiTheme="minorEastAsia" w:hAnsiTheme="minorEastAsia" w:eastAsiaTheme="minorEastAsia" w:cstheme="minorEastAsia"/>
          <w:b/>
          <w:bCs/>
          <w:sz w:val="24"/>
          <w:szCs w:val="24"/>
          <w:highlight w:val="none"/>
        </w:rPr>
        <w:t>9）投标人有串通投标、以他人名义投标、弄虚作假、行贿等违法行为的；</w:t>
      </w:r>
    </w:p>
    <w:p w14:paraId="45C76427">
      <w:pPr>
        <w:tabs>
          <w:tab w:val="left" w:pos="1260"/>
        </w:tabs>
        <w:spacing w:line="500" w:lineRule="exact"/>
        <w:ind w:firstLine="482" w:firstLineChars="200"/>
        <w:rPr>
          <w:rFonts w:asciiTheme="minorEastAsia" w:hAnsiTheme="minorEastAsia" w:eastAsiaTheme="minorEastAsia" w:cstheme="minorEastAsia"/>
          <w:b/>
          <w:bCs/>
          <w:sz w:val="24"/>
          <w:szCs w:val="24"/>
          <w:highlight w:val="none"/>
        </w:rPr>
      </w:pPr>
      <w:r>
        <w:rPr>
          <w:rFonts w:hint="eastAsia" w:asciiTheme="minorEastAsia" w:hAnsiTheme="minorEastAsia" w:eastAsiaTheme="minorEastAsia" w:cstheme="minorEastAsia"/>
          <w:b/>
          <w:bCs/>
          <w:sz w:val="24"/>
          <w:szCs w:val="24"/>
          <w:highlight w:val="none"/>
        </w:rPr>
        <w:t>10）投标总报价低于成本或者高于招标文件公布的采购预算的。</w:t>
      </w:r>
    </w:p>
    <w:p w14:paraId="145C7F06">
      <w:pPr>
        <w:tabs>
          <w:tab w:val="left" w:pos="1260"/>
        </w:tabs>
        <w:spacing w:line="500" w:lineRule="exact"/>
        <w:ind w:firstLine="482" w:firstLineChars="200"/>
        <w:rPr>
          <w:rFonts w:asciiTheme="minorEastAsia" w:hAnsiTheme="minorEastAsia" w:eastAsiaTheme="minorEastAsia" w:cstheme="minorEastAsia"/>
          <w:b/>
          <w:bCs/>
          <w:sz w:val="24"/>
          <w:szCs w:val="24"/>
          <w:highlight w:val="none"/>
        </w:rPr>
      </w:pPr>
      <w:r>
        <w:rPr>
          <w:rFonts w:hint="eastAsia" w:asciiTheme="minorEastAsia" w:hAnsiTheme="minorEastAsia" w:eastAsiaTheme="minorEastAsia" w:cstheme="minorEastAsia"/>
          <w:b/>
          <w:bCs/>
          <w:sz w:val="24"/>
          <w:szCs w:val="24"/>
          <w:highlight w:val="none"/>
        </w:rPr>
        <w:t>11）提供虚假投标文件和资料的。</w:t>
      </w:r>
    </w:p>
    <w:p w14:paraId="5E4AB7BF">
      <w:pPr>
        <w:tabs>
          <w:tab w:val="left" w:pos="1260"/>
        </w:tabs>
        <w:spacing w:line="500" w:lineRule="exact"/>
        <w:ind w:firstLine="482" w:firstLineChars="200"/>
        <w:rPr>
          <w:rFonts w:asciiTheme="minorEastAsia" w:hAnsiTheme="minorEastAsia" w:eastAsiaTheme="minorEastAsia" w:cstheme="minorEastAsia"/>
          <w:b/>
          <w:bCs/>
          <w:sz w:val="24"/>
          <w:szCs w:val="24"/>
          <w:highlight w:val="none"/>
        </w:rPr>
      </w:pPr>
      <w:r>
        <w:rPr>
          <w:rFonts w:hint="eastAsia" w:asciiTheme="minorEastAsia" w:hAnsiTheme="minorEastAsia" w:eastAsiaTheme="minorEastAsia" w:cstheme="minorEastAsia"/>
          <w:b/>
          <w:bCs/>
          <w:sz w:val="24"/>
          <w:szCs w:val="24"/>
          <w:highlight w:val="none"/>
        </w:rPr>
        <w:t>12）法律、法规和招标文件规定的其他无效情形；</w:t>
      </w:r>
    </w:p>
    <w:p w14:paraId="2069AD1C">
      <w:pPr>
        <w:spacing w:beforeLines="50" w:line="360" w:lineRule="auto"/>
        <w:rPr>
          <w:rFonts w:asciiTheme="minorEastAsia" w:hAnsiTheme="minorEastAsia" w:eastAsiaTheme="minorEastAsia" w:cstheme="minorEastAsia"/>
          <w:b/>
          <w:spacing w:val="4"/>
          <w:sz w:val="24"/>
          <w:szCs w:val="24"/>
          <w:highlight w:val="none"/>
        </w:rPr>
      </w:pPr>
      <w:r>
        <w:rPr>
          <w:rFonts w:hint="eastAsia" w:asciiTheme="minorEastAsia" w:hAnsiTheme="minorEastAsia" w:eastAsiaTheme="minorEastAsia" w:cstheme="minorEastAsia"/>
          <w:b/>
          <w:spacing w:val="4"/>
          <w:sz w:val="24"/>
          <w:szCs w:val="24"/>
          <w:highlight w:val="none"/>
        </w:rPr>
        <w:t>四.投标人有下列情形之一的，视为投标人串通投标，其投标无效：</w:t>
      </w:r>
    </w:p>
    <w:p w14:paraId="4390330B">
      <w:pPr>
        <w:spacing w:line="360" w:lineRule="auto"/>
        <w:ind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（一）不同投标人的投标文件由同一单位或者个人编制；</w:t>
      </w:r>
    </w:p>
    <w:p w14:paraId="21C21EF4">
      <w:pPr>
        <w:spacing w:line="360" w:lineRule="auto"/>
        <w:ind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（二）不同投标人委托同一单位或者个人办理投标事宜；</w:t>
      </w:r>
    </w:p>
    <w:p w14:paraId="52A525CE">
      <w:pPr>
        <w:spacing w:line="360" w:lineRule="auto"/>
        <w:ind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（三）不同投标人的投标文件载明的项目管理成员或者联系人员为同一人；</w:t>
      </w:r>
    </w:p>
    <w:p w14:paraId="395695CD">
      <w:pPr>
        <w:spacing w:line="360" w:lineRule="auto"/>
        <w:ind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（四）不同投标人的投标文件异常一致或者投标报价呈规律性差异；</w:t>
      </w:r>
    </w:p>
    <w:p w14:paraId="569CDD6B">
      <w:pPr>
        <w:spacing w:line="360" w:lineRule="auto"/>
        <w:ind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（五）不同投标人的投标文件相互混装；</w:t>
      </w:r>
    </w:p>
    <w:p w14:paraId="19E65E27">
      <w:pPr>
        <w:spacing w:line="360" w:lineRule="auto"/>
        <w:ind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（六）不同投标人的投标保证金从同一单位或者个人的账户转出。</w:t>
      </w:r>
    </w:p>
    <w:p w14:paraId="79E833AB">
      <w:pPr>
        <w:spacing w:beforeLines="50" w:line="360" w:lineRule="auto"/>
        <w:rPr>
          <w:rFonts w:asciiTheme="minorEastAsia" w:hAnsiTheme="minorEastAsia" w:eastAsiaTheme="minorEastAsia" w:cstheme="minorEastAsia"/>
          <w:b/>
          <w:spacing w:val="4"/>
          <w:sz w:val="24"/>
          <w:szCs w:val="24"/>
          <w:highlight w:val="none"/>
        </w:rPr>
      </w:pPr>
      <w:r>
        <w:rPr>
          <w:rFonts w:hint="eastAsia" w:asciiTheme="minorEastAsia" w:hAnsiTheme="minorEastAsia" w:eastAsiaTheme="minorEastAsia" w:cstheme="minorEastAsia"/>
          <w:b/>
          <w:spacing w:val="4"/>
          <w:sz w:val="24"/>
          <w:szCs w:val="24"/>
          <w:highlight w:val="none"/>
        </w:rPr>
        <w:t>五.评标程序</w:t>
      </w:r>
    </w:p>
    <w:p w14:paraId="0426CA41">
      <w:pPr>
        <w:spacing w:line="360" w:lineRule="auto"/>
        <w:ind w:firstLine="482" w:firstLineChars="200"/>
        <w:rPr>
          <w:rFonts w:asciiTheme="minorEastAsia" w:hAnsiTheme="minorEastAsia" w:eastAsiaTheme="minorEastAsia" w:cstheme="minorEastAsia"/>
          <w:b/>
          <w:sz w:val="24"/>
          <w:szCs w:val="24"/>
          <w:highlight w:val="none"/>
        </w:rPr>
      </w:pPr>
      <w:r>
        <w:rPr>
          <w:rFonts w:hint="eastAsia" w:asciiTheme="minorEastAsia" w:hAnsiTheme="minorEastAsia" w:eastAsiaTheme="minorEastAsia" w:cstheme="minorEastAsia"/>
          <w:b/>
          <w:sz w:val="24"/>
          <w:szCs w:val="24"/>
          <w:highlight w:val="none"/>
        </w:rPr>
        <w:t>1、投标文件的资格性审查：</w:t>
      </w:r>
    </w:p>
    <w:p w14:paraId="5FDBCDE9">
      <w:pPr>
        <w:spacing w:line="360" w:lineRule="auto"/>
        <w:ind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采购人及代理机构对投标人的投标文件进行资格性审查，以确定其是否满足招标文件的资格要求。</w:t>
      </w:r>
    </w:p>
    <w:p w14:paraId="70AA056C">
      <w:pPr>
        <w:spacing w:line="360" w:lineRule="auto"/>
        <w:ind w:firstLine="482" w:firstLineChars="200"/>
        <w:rPr>
          <w:rFonts w:asciiTheme="minorEastAsia" w:hAnsiTheme="minorEastAsia" w:eastAsiaTheme="minorEastAsia" w:cstheme="minorEastAsia"/>
          <w:b/>
          <w:sz w:val="24"/>
          <w:szCs w:val="24"/>
          <w:highlight w:val="none"/>
        </w:rPr>
      </w:pPr>
      <w:r>
        <w:rPr>
          <w:rFonts w:hint="eastAsia" w:asciiTheme="minorEastAsia" w:hAnsiTheme="minorEastAsia" w:eastAsiaTheme="minorEastAsia" w:cstheme="minorEastAsia"/>
          <w:b/>
          <w:sz w:val="24"/>
          <w:szCs w:val="24"/>
          <w:highlight w:val="none"/>
        </w:rPr>
        <w:t>2、投标文件的符合性审查：</w:t>
      </w:r>
    </w:p>
    <w:p w14:paraId="4D7F3690">
      <w:pPr>
        <w:spacing w:line="360" w:lineRule="auto"/>
        <w:ind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评标委员会对符合资格的投标人的投标文件进行符合性审查，以确定其是否满足招标文件的商务、技术等实质性要求。</w:t>
      </w:r>
    </w:p>
    <w:p w14:paraId="424B4143">
      <w:pPr>
        <w:spacing w:line="360" w:lineRule="auto"/>
        <w:ind w:firstLine="482" w:firstLineChars="200"/>
        <w:rPr>
          <w:rFonts w:asciiTheme="minorEastAsia" w:hAnsiTheme="minorEastAsia" w:eastAsiaTheme="minorEastAsia" w:cstheme="minorEastAsia"/>
          <w:b/>
          <w:sz w:val="24"/>
          <w:szCs w:val="24"/>
          <w:highlight w:val="none"/>
        </w:rPr>
      </w:pPr>
      <w:r>
        <w:rPr>
          <w:rFonts w:hint="eastAsia" w:asciiTheme="minorEastAsia" w:hAnsiTheme="minorEastAsia" w:eastAsiaTheme="minorEastAsia" w:cstheme="minorEastAsia"/>
          <w:b/>
          <w:sz w:val="24"/>
          <w:szCs w:val="24"/>
          <w:highlight w:val="none"/>
        </w:rPr>
        <w:t>3、评委会对报价明显偏低的审查：</w:t>
      </w:r>
    </w:p>
    <w:p w14:paraId="52A6C041">
      <w:pPr>
        <w:spacing w:line="360" w:lineRule="auto"/>
        <w:ind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评标委员会认为投标人的报价明显低于其他通过符合性审查投标人的报价，有可能影响服务质量或者不能诚信履约的，应当要求其在评标现场合理的时间内提供书面说明，必要时提交相关证明材料；投标人不能证明其报价合理性的，评标委员会应当将其作为无效投标处理。</w:t>
      </w:r>
    </w:p>
    <w:p w14:paraId="5F41675F">
      <w:pPr>
        <w:spacing w:line="360" w:lineRule="auto"/>
        <w:ind w:firstLine="482" w:firstLineChars="200"/>
        <w:rPr>
          <w:rFonts w:asciiTheme="minorEastAsia" w:hAnsiTheme="minorEastAsia" w:eastAsiaTheme="minorEastAsia" w:cstheme="minorEastAsia"/>
          <w:b/>
          <w:sz w:val="24"/>
          <w:szCs w:val="24"/>
          <w:highlight w:val="none"/>
        </w:rPr>
      </w:pPr>
      <w:r>
        <w:rPr>
          <w:rFonts w:hint="eastAsia" w:asciiTheme="minorEastAsia" w:hAnsiTheme="minorEastAsia" w:eastAsiaTheme="minorEastAsia" w:cstheme="minorEastAsia"/>
          <w:b/>
          <w:sz w:val="24"/>
          <w:szCs w:val="24"/>
          <w:highlight w:val="none"/>
        </w:rPr>
        <w:t>4、澄清有关问题：</w:t>
      </w:r>
    </w:p>
    <w:p w14:paraId="1985A03D">
      <w:pPr>
        <w:spacing w:line="360" w:lineRule="auto"/>
        <w:ind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4.1对于投标文件中含义不明确、同类问题表述不一致或者有明显文字和计算错误的内容，评标委员会以书面形式要求投标人做出必要的澄清、说明或者补正。投标人的澄清、说明或者补正应当采用书面形式，由法定代表人或其授权的代表签署全名。投标人的澄清、说明或者补正不得超出投标文件的范围或者改变投标文件的实质性内容。</w:t>
      </w:r>
    </w:p>
    <w:p w14:paraId="2B9AAE1C">
      <w:pPr>
        <w:spacing w:line="360" w:lineRule="auto"/>
        <w:ind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4.2投标文件报价出现前后不一致的，按照下列规定修正：</w:t>
      </w:r>
    </w:p>
    <w:p w14:paraId="00E50A75">
      <w:pPr>
        <w:spacing w:line="360" w:lineRule="auto"/>
        <w:ind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（一）大写金额和小写金额不一致的，以大写金额为准；</w:t>
      </w:r>
    </w:p>
    <w:p w14:paraId="348E8A08">
      <w:pPr>
        <w:spacing w:line="360" w:lineRule="auto"/>
        <w:ind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（二）单价金额小数点或者百分比有明显错位的，以开标一览表的总价为准，并修改单价；</w:t>
      </w:r>
    </w:p>
    <w:p w14:paraId="5F755635">
      <w:pPr>
        <w:spacing w:line="360" w:lineRule="auto"/>
        <w:ind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（三）总价金额与按单价汇总金额不一致的，以单价金额计算结果为准。</w:t>
      </w:r>
    </w:p>
    <w:p w14:paraId="116B9FD4">
      <w:pPr>
        <w:spacing w:line="360" w:lineRule="auto"/>
        <w:ind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同时出现两种以上不一致的，按照前款规定的顺序修正。修正后的报价经投标人书面确认后产生约束力，投标人不确认的，其投标无效。</w:t>
      </w:r>
    </w:p>
    <w:p w14:paraId="66D25823">
      <w:pPr>
        <w:spacing w:beforeLines="50" w:line="360" w:lineRule="auto"/>
        <w:ind w:firstLine="498" w:firstLineChars="200"/>
        <w:rPr>
          <w:rFonts w:asciiTheme="minorEastAsia" w:hAnsiTheme="minorEastAsia" w:eastAsiaTheme="minorEastAsia" w:cstheme="minorEastAsia"/>
          <w:b/>
          <w:spacing w:val="4"/>
          <w:sz w:val="24"/>
          <w:szCs w:val="24"/>
          <w:highlight w:val="none"/>
        </w:rPr>
      </w:pPr>
      <w:r>
        <w:rPr>
          <w:rFonts w:hint="eastAsia" w:asciiTheme="minorEastAsia" w:hAnsiTheme="minorEastAsia" w:eastAsiaTheme="minorEastAsia" w:cstheme="minorEastAsia"/>
          <w:b/>
          <w:spacing w:val="4"/>
          <w:sz w:val="24"/>
          <w:szCs w:val="24"/>
          <w:highlight w:val="none"/>
        </w:rPr>
        <w:t>5、比较与评价：</w:t>
      </w:r>
    </w:p>
    <w:p w14:paraId="2C6A3B87">
      <w:pPr>
        <w:spacing w:line="360" w:lineRule="auto"/>
        <w:ind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 xml:space="preserve">评委会各成员按照《评审因素量化赋分表》规定的内容，独立进行综合比较、评价打分。 </w:t>
      </w:r>
    </w:p>
    <w:p w14:paraId="016DB3BB">
      <w:pPr>
        <w:spacing w:beforeLines="50" w:line="360" w:lineRule="auto"/>
        <w:ind w:firstLine="498" w:firstLineChars="200"/>
        <w:rPr>
          <w:rFonts w:asciiTheme="minorEastAsia" w:hAnsiTheme="minorEastAsia" w:eastAsiaTheme="minorEastAsia" w:cstheme="minorEastAsia"/>
          <w:b/>
          <w:spacing w:val="4"/>
          <w:sz w:val="24"/>
          <w:szCs w:val="24"/>
          <w:highlight w:val="none"/>
        </w:rPr>
      </w:pPr>
      <w:r>
        <w:rPr>
          <w:rFonts w:hint="eastAsia" w:asciiTheme="minorEastAsia" w:hAnsiTheme="minorEastAsia" w:eastAsiaTheme="minorEastAsia" w:cstheme="minorEastAsia"/>
          <w:b/>
          <w:spacing w:val="4"/>
          <w:sz w:val="24"/>
          <w:szCs w:val="24"/>
          <w:highlight w:val="none"/>
        </w:rPr>
        <w:t>6、推荐中标候选人名单：</w:t>
      </w:r>
    </w:p>
    <w:p w14:paraId="3F0C56CC">
      <w:pPr>
        <w:spacing w:line="360" w:lineRule="auto"/>
        <w:ind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6.1汇总全体评委对每个投标人的赋分，计算出每个投标人的综合得分，按标段得分从高到低顺序排列，推荐前1～3名为中标候选人。</w:t>
      </w:r>
    </w:p>
    <w:p w14:paraId="52619102">
      <w:pPr>
        <w:spacing w:line="360" w:lineRule="auto"/>
        <w:ind w:firstLine="480" w:firstLineChars="20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6.2得分相同的，按投标报价由低到高顺序排列。得分且投标报价相同的并列。</w:t>
      </w:r>
    </w:p>
    <w:p w14:paraId="34222E8C">
      <w:pPr>
        <w:keepNext w:val="0"/>
        <w:keepLines w:val="0"/>
        <w:pageBreakBefore w:val="0"/>
        <w:widowControl w:val="0"/>
        <w:kinsoku/>
        <w:wordWrap/>
        <w:overflowPunct/>
        <w:topLinePunct w:val="0"/>
        <w:autoSpaceDE/>
        <w:autoSpaceDN/>
        <w:bidi w:val="0"/>
        <w:spacing w:line="360" w:lineRule="auto"/>
        <w:ind w:firstLine="120" w:firstLineChars="50"/>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四、政策性扣减</w:t>
      </w:r>
    </w:p>
    <w:p w14:paraId="6B465010">
      <w:pPr>
        <w:keepNext w:val="0"/>
        <w:keepLines w:val="0"/>
        <w:pageBreakBefore w:val="0"/>
        <w:widowControl w:val="0"/>
        <w:kinsoku/>
        <w:wordWrap/>
        <w:overflowPunct/>
        <w:topLinePunct w:val="0"/>
        <w:autoSpaceDE/>
        <w:autoSpaceDN/>
        <w:bidi w:val="0"/>
        <w:spacing w:line="360" w:lineRule="auto"/>
        <w:ind w:firstLine="482" w:firstLineChars="200"/>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1、政策性扣减范围</w:t>
      </w:r>
    </w:p>
    <w:p w14:paraId="78B9CA7C">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1.1供应商符合小型、微型企业或监狱企业、残疾人福利性单位条件的，其投标报价价格评审时将按相应比例进行扣减。</w:t>
      </w:r>
    </w:p>
    <w:p w14:paraId="1E758847">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1.2依照&lt;关于印发《政府采购促进中小企业发展暂行办法》的通知&gt;财库〔2020〕46号的规定，小型、微型企业应当同时符合以下条件：</w:t>
      </w:r>
    </w:p>
    <w:p w14:paraId="5A4E9131">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1.2.1符合中小企业划分标准（中小企业划分标准是指国务院有关部门根据企业从业人员、营业收入、资产总额等指标制定的中小企业划型标准（工信部联企业〔2011〕300号））。</w:t>
      </w:r>
    </w:p>
    <w:p w14:paraId="5DAFAE28">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1.2.2提供本企业制造的货物、承担的工程或者服务，或者提供其他中小企业制造的货物，不包括提供或使用大型企业注册商标的货物。</w:t>
      </w:r>
    </w:p>
    <w:p w14:paraId="140A8C5D">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1.2.3小型、微型企业提供中型企业制造的货物的，视同为中型企业；小型、微型、中型企业提供大型企业制造的货物的，视同为大型企业。</w:t>
      </w:r>
    </w:p>
    <w:p w14:paraId="487386DF">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1.3采购人拟采购产品属于优先采购节能环保产品范围的，应当优先采购节能环保产品，节能产品以财政部国家发展改革委关于调整公布最新一期节能产品政府采购清单所列产品为准。环保产品以财政部环境保护部关于调整公布最新一期环境标志产品政府采购清单所列产品为准。所投产品符合政府采购强制采购政策的，实行强制采购。</w:t>
      </w:r>
    </w:p>
    <w:p w14:paraId="3665B911">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1.3.1“节能产品政府采购清单”：符合政府采购优先采购政策的，所投产品属于“节能产品政府采购清单”中品目的产品，需提供最新一期“节能产品政府采购清单”中投标产品所在清单页并加盖供应商公章。该清单可在中国政府采购网（</w:t>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"http://www.ccgp.gov.cn/" </w:instrText>
      </w:r>
      <w:r>
        <w:rPr>
          <w:rFonts w:hint="eastAsia" w:ascii="宋体" w:hAnsi="宋体" w:eastAsia="宋体" w:cs="宋体"/>
          <w:color w:val="auto"/>
          <w:sz w:val="24"/>
          <w:szCs w:val="24"/>
          <w:highlight w:val="none"/>
        </w:rPr>
        <w:fldChar w:fldCharType="separate"/>
      </w:r>
      <w:r>
        <w:rPr>
          <w:rStyle w:val="35"/>
          <w:rFonts w:hint="eastAsia" w:ascii="宋体" w:hAnsi="宋体" w:eastAsia="宋体" w:cs="宋体"/>
          <w:color w:val="auto"/>
          <w:sz w:val="24"/>
          <w:szCs w:val="24"/>
          <w:highlight w:val="none"/>
        </w:rPr>
        <w:t>http://www.ccgp.gov.cn/</w:t>
      </w:r>
      <w:r>
        <w:rPr>
          <w:rStyle w:val="35"/>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t>）上查找。</w:t>
      </w:r>
    </w:p>
    <w:p w14:paraId="71B9C1B2">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1.3.2 “环境标志产品政府采购清单”：所投产品属于“环境标志产品政府采购清单”中品目的产品，需提供最新一期“环境标志产品政府采购清单”中投标产品所在清单页并加盖供应商公章。该清单可在中国政府采购网（</w:t>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"http://www.ccgp.gov.cn/" </w:instrText>
      </w:r>
      <w:r>
        <w:rPr>
          <w:rFonts w:hint="eastAsia" w:ascii="宋体" w:hAnsi="宋体" w:eastAsia="宋体" w:cs="宋体"/>
          <w:color w:val="auto"/>
          <w:sz w:val="24"/>
          <w:szCs w:val="24"/>
          <w:highlight w:val="none"/>
        </w:rPr>
        <w:fldChar w:fldCharType="separate"/>
      </w:r>
      <w:r>
        <w:rPr>
          <w:rStyle w:val="35"/>
          <w:rFonts w:hint="eastAsia" w:ascii="宋体" w:hAnsi="宋体" w:eastAsia="宋体" w:cs="宋体"/>
          <w:color w:val="auto"/>
          <w:sz w:val="24"/>
          <w:szCs w:val="24"/>
          <w:highlight w:val="none"/>
        </w:rPr>
        <w:t>http://www.ccgp.gov.cn/</w:t>
      </w:r>
      <w:r>
        <w:rPr>
          <w:rStyle w:val="35"/>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t>）上查找。</w:t>
      </w:r>
    </w:p>
    <w:p w14:paraId="0AD121A6">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1.4监狱企业参加政府采购活动时，应当提供由省级以上监狱管理局、戒毒管理局(含新疆生产建设兵团)出具的属于监狱企业的证明文件。监狱企业参加政府采购活动时，视同小型、微型企业。</w:t>
      </w:r>
    </w:p>
    <w:p w14:paraId="0C0D0655">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1.5符合条件的残疾人福利性单位在参加政府采购活动时，应当提供本通知规定的《残疾人福利性单位声明函》，并对声明的真实性负责。残疾人福利性单位参加政府采购活动时，视同小型、微型企业；残疾人福利性单位属于小型、微型企业的，不重复享受政策。</w:t>
      </w:r>
    </w:p>
    <w:p w14:paraId="6426ACC6">
      <w:pPr>
        <w:keepNext w:val="0"/>
        <w:keepLines w:val="0"/>
        <w:pageBreakBefore w:val="0"/>
        <w:widowControl w:val="0"/>
        <w:kinsoku/>
        <w:wordWrap/>
        <w:overflowPunct/>
        <w:topLinePunct w:val="0"/>
        <w:autoSpaceDE/>
        <w:autoSpaceDN/>
        <w:bidi w:val="0"/>
        <w:spacing w:line="360" w:lineRule="auto"/>
        <w:ind w:firstLine="482" w:firstLineChars="200"/>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2、政策性扣减方式：</w:t>
      </w:r>
    </w:p>
    <w:p w14:paraId="4D73BB65">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2.1在投标报价的基础上，对小微企业、监狱企业、残疾人福利性单位，按“投标报价×</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%”进行扣减；</w:t>
      </w:r>
    </w:p>
    <w:p w14:paraId="304B9C39">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2.2供应商为联合体参与投标，且联合协议中约定小型或微型企业的协议合同金额占到联合体协议合同总金额30％以上的，按“投标报价×2%”进行扣减；</w:t>
      </w:r>
    </w:p>
    <w:p w14:paraId="054174A5">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2.3供应商享受</w:t>
      </w:r>
      <w:r>
        <w:rPr>
          <w:rFonts w:hint="eastAsia" w:ascii="宋体" w:hAnsi="宋体" w:eastAsia="宋体" w:cs="宋体"/>
          <w:bCs/>
          <w:color w:val="auto"/>
          <w:sz w:val="24"/>
          <w:szCs w:val="24"/>
          <w:highlight w:val="none"/>
        </w:rPr>
        <w:t>支持</w:t>
      </w:r>
      <w:r>
        <w:rPr>
          <w:rFonts w:hint="eastAsia" w:ascii="宋体" w:hAnsi="宋体" w:eastAsia="宋体" w:cs="宋体"/>
          <w:color w:val="auto"/>
          <w:sz w:val="24"/>
          <w:szCs w:val="24"/>
          <w:highlight w:val="none"/>
        </w:rPr>
        <w:t>中小型企业发展政策优惠的，可以同时享受节能、环境标志产品优先采购政策；</w:t>
      </w:r>
    </w:p>
    <w:p w14:paraId="21DE11FC">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宋体" w:hAnsi="宋体" w:eastAsia="宋体" w:cs="宋体"/>
          <w:highlight w:val="none"/>
        </w:rPr>
      </w:pPr>
      <w:r>
        <w:rPr>
          <w:rFonts w:hint="eastAsia" w:ascii="宋体" w:hAnsi="宋体" w:eastAsia="宋体" w:cs="宋体"/>
          <w:color w:val="auto"/>
          <w:sz w:val="24"/>
          <w:szCs w:val="24"/>
          <w:highlight w:val="none"/>
        </w:rPr>
        <w:t>3、中标价格=中标供应商的有效投标报价。</w:t>
      </w:r>
    </w:p>
    <w:p w14:paraId="77484340">
      <w:pPr>
        <w:bidi w:val="0"/>
        <w:rPr>
          <w:highlight w:val="none"/>
        </w:rPr>
      </w:pPr>
    </w:p>
    <w:p w14:paraId="571E3434">
      <w:pPr>
        <w:spacing w:line="360" w:lineRule="auto"/>
        <w:ind w:right="40" w:rightChars="19" w:firstLine="422"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
          <w:szCs w:val="28"/>
          <w:highlight w:val="none"/>
        </w:rPr>
        <w:br w:type="page"/>
      </w:r>
    </w:p>
    <w:p w14:paraId="39EC07D5">
      <w:pPr>
        <w:pStyle w:val="2"/>
        <w:rPr>
          <w:rFonts w:asciiTheme="minorEastAsia" w:hAnsiTheme="minorEastAsia" w:eastAsiaTheme="minorEastAsia" w:cstheme="minorEastAsia"/>
          <w:szCs w:val="24"/>
          <w:highlight w:val="none"/>
        </w:rPr>
      </w:pPr>
      <w:r>
        <w:rPr>
          <w:rFonts w:hint="eastAsia" w:asciiTheme="minorEastAsia" w:hAnsiTheme="minorEastAsia" w:eastAsiaTheme="minorEastAsia" w:cstheme="minorEastAsia"/>
          <w:b/>
          <w:bCs/>
          <w:szCs w:val="28"/>
          <w:highlight w:val="none"/>
        </w:rPr>
        <w:t>附件1：</w:t>
      </w:r>
    </w:p>
    <w:p w14:paraId="4CDEBD60">
      <w:pPr>
        <w:tabs>
          <w:tab w:val="left" w:pos="0"/>
        </w:tabs>
        <w:adjustRightInd w:val="0"/>
        <w:snapToGrid w:val="0"/>
        <w:jc w:val="center"/>
        <w:rPr>
          <w:rFonts w:hint="eastAsia" w:ascii="宋体" w:hAnsi="宋体" w:eastAsia="宋体" w:cs="宋体"/>
          <w:b/>
          <w:sz w:val="24"/>
          <w:szCs w:val="24"/>
          <w:highlight w:val="none"/>
        </w:rPr>
      </w:pPr>
      <w:r>
        <w:rPr>
          <w:rFonts w:hint="eastAsia" w:ascii="宋体" w:hAnsi="宋体" w:eastAsia="宋体" w:cs="宋体"/>
          <w:b/>
          <w:sz w:val="24"/>
          <w:szCs w:val="24"/>
          <w:highlight w:val="none"/>
        </w:rPr>
        <w:t>初步审查要素表</w:t>
      </w:r>
    </w:p>
    <w:tbl>
      <w:tblPr>
        <w:tblStyle w:val="2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9"/>
        <w:gridCol w:w="577"/>
        <w:gridCol w:w="537"/>
        <w:gridCol w:w="2223"/>
        <w:gridCol w:w="5240"/>
      </w:tblGrid>
      <w:tr w14:paraId="4E9C3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trPr>
        <w:tc>
          <w:tcPr>
            <w:tcW w:w="743" w:type="pct"/>
            <w:gridSpan w:val="2"/>
            <w:vAlign w:val="center"/>
          </w:tcPr>
          <w:p w14:paraId="37448C75">
            <w:pPr>
              <w:tabs>
                <w:tab w:val="left" w:pos="0"/>
              </w:tabs>
              <w:adjustRightInd w:val="0"/>
              <w:snapToGrid w:val="0"/>
              <w:jc w:val="center"/>
              <w:rPr>
                <w:rFonts w:ascii="宋体" w:hAnsi="宋体" w:cs="宋体"/>
                <w:b/>
                <w:sz w:val="24"/>
                <w:szCs w:val="24"/>
                <w:highlight w:val="none"/>
              </w:rPr>
            </w:pPr>
            <w:r>
              <w:rPr>
                <w:rFonts w:hint="eastAsia" w:ascii="宋体" w:hAnsi="宋体" w:cs="宋体"/>
                <w:b/>
                <w:sz w:val="24"/>
                <w:szCs w:val="24"/>
                <w:highlight w:val="none"/>
              </w:rPr>
              <w:t>条款号</w:t>
            </w:r>
          </w:p>
        </w:tc>
        <w:tc>
          <w:tcPr>
            <w:tcW w:w="1469" w:type="pct"/>
            <w:gridSpan w:val="2"/>
            <w:vAlign w:val="center"/>
          </w:tcPr>
          <w:p w14:paraId="14B04A0F">
            <w:pPr>
              <w:tabs>
                <w:tab w:val="left" w:pos="0"/>
              </w:tabs>
              <w:adjustRightInd w:val="0"/>
              <w:snapToGrid w:val="0"/>
              <w:jc w:val="center"/>
              <w:rPr>
                <w:rFonts w:ascii="宋体" w:hAnsi="宋体" w:cs="宋体"/>
                <w:b/>
                <w:sz w:val="24"/>
                <w:szCs w:val="24"/>
                <w:highlight w:val="none"/>
              </w:rPr>
            </w:pPr>
            <w:r>
              <w:rPr>
                <w:rFonts w:hint="eastAsia" w:ascii="宋体" w:hAnsi="宋体" w:cs="宋体"/>
                <w:b/>
                <w:sz w:val="24"/>
                <w:szCs w:val="24"/>
                <w:highlight w:val="none"/>
              </w:rPr>
              <w:t>评审因素</w:t>
            </w:r>
          </w:p>
        </w:tc>
        <w:tc>
          <w:tcPr>
            <w:tcW w:w="2786" w:type="pct"/>
            <w:vAlign w:val="center"/>
          </w:tcPr>
          <w:p w14:paraId="59BD54CD">
            <w:pPr>
              <w:tabs>
                <w:tab w:val="left" w:pos="0"/>
              </w:tabs>
              <w:adjustRightInd w:val="0"/>
              <w:snapToGrid w:val="0"/>
              <w:jc w:val="center"/>
              <w:rPr>
                <w:rFonts w:ascii="宋体" w:hAnsi="宋体" w:cs="宋体"/>
                <w:b/>
                <w:sz w:val="24"/>
                <w:szCs w:val="24"/>
                <w:highlight w:val="none"/>
              </w:rPr>
            </w:pPr>
            <w:r>
              <w:rPr>
                <w:rFonts w:hint="eastAsia" w:ascii="宋体" w:hAnsi="宋体" w:cs="宋体"/>
                <w:b/>
                <w:sz w:val="24"/>
                <w:szCs w:val="24"/>
                <w:highlight w:val="none"/>
              </w:rPr>
              <w:t>评审标准</w:t>
            </w:r>
          </w:p>
        </w:tc>
      </w:tr>
      <w:tr w14:paraId="1BE3D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743" w:type="pct"/>
            <w:gridSpan w:val="2"/>
            <w:vMerge w:val="restart"/>
            <w:vAlign w:val="center"/>
          </w:tcPr>
          <w:p w14:paraId="440A8536">
            <w:pPr>
              <w:tabs>
                <w:tab w:val="left" w:pos="0"/>
              </w:tabs>
              <w:adjustRightInd w:val="0"/>
              <w:snapToGrid w:val="0"/>
              <w:jc w:val="center"/>
              <w:rPr>
                <w:rFonts w:ascii="宋体" w:hAnsi="宋体" w:cs="宋体"/>
                <w:b/>
                <w:sz w:val="24"/>
                <w:szCs w:val="24"/>
                <w:highlight w:val="none"/>
              </w:rPr>
            </w:pPr>
            <w:r>
              <w:rPr>
                <w:rFonts w:hint="eastAsia" w:ascii="宋体" w:hAnsi="宋体" w:cs="宋体"/>
                <w:b/>
                <w:sz w:val="24"/>
                <w:szCs w:val="24"/>
                <w:highlight w:val="none"/>
              </w:rPr>
              <w:t>2.1.1</w:t>
            </w:r>
          </w:p>
          <w:p w14:paraId="4604B086">
            <w:pPr>
              <w:tabs>
                <w:tab w:val="left" w:pos="0"/>
              </w:tabs>
              <w:adjustRightInd w:val="0"/>
              <w:snapToGrid w:val="0"/>
              <w:jc w:val="center"/>
              <w:rPr>
                <w:rFonts w:ascii="宋体" w:hAnsi="宋体" w:cs="宋体"/>
                <w:b/>
                <w:sz w:val="24"/>
                <w:szCs w:val="24"/>
                <w:highlight w:val="none"/>
              </w:rPr>
            </w:pPr>
            <w:r>
              <w:rPr>
                <w:rFonts w:hint="eastAsia" w:ascii="宋体" w:hAnsi="宋体" w:cs="宋体"/>
                <w:b/>
                <w:sz w:val="24"/>
                <w:szCs w:val="24"/>
                <w:highlight w:val="none"/>
              </w:rPr>
              <w:t>资格评审</w:t>
            </w:r>
          </w:p>
          <w:p w14:paraId="788371D9">
            <w:pPr>
              <w:tabs>
                <w:tab w:val="left" w:pos="0"/>
              </w:tabs>
              <w:adjustRightInd w:val="0"/>
              <w:snapToGrid w:val="0"/>
              <w:jc w:val="center"/>
              <w:rPr>
                <w:rFonts w:ascii="宋体" w:hAnsi="宋体" w:cs="宋体"/>
                <w:b/>
                <w:sz w:val="24"/>
                <w:szCs w:val="24"/>
                <w:highlight w:val="none"/>
              </w:rPr>
            </w:pPr>
            <w:r>
              <w:rPr>
                <w:rFonts w:hint="eastAsia" w:ascii="宋体" w:hAnsi="宋体" w:cs="宋体"/>
                <w:b/>
                <w:sz w:val="24"/>
                <w:szCs w:val="24"/>
                <w:highlight w:val="none"/>
              </w:rPr>
              <w:t>标准</w:t>
            </w:r>
          </w:p>
        </w:tc>
        <w:tc>
          <w:tcPr>
            <w:tcW w:w="1469" w:type="pct"/>
            <w:gridSpan w:val="2"/>
            <w:vAlign w:val="center"/>
          </w:tcPr>
          <w:p w14:paraId="3EB79631">
            <w:pPr>
              <w:tabs>
                <w:tab w:val="left" w:pos="0"/>
              </w:tabs>
              <w:adjustRightInd w:val="0"/>
              <w:snapToGrid w:val="0"/>
              <w:jc w:val="center"/>
              <w:rPr>
                <w:rFonts w:ascii="宋体" w:hAnsi="宋体" w:cs="宋体"/>
                <w:b/>
                <w:sz w:val="24"/>
                <w:szCs w:val="24"/>
                <w:highlight w:val="none"/>
              </w:rPr>
            </w:pPr>
            <w:r>
              <w:rPr>
                <w:rFonts w:hint="eastAsia" w:ascii="宋体" w:hAnsi="宋体" w:cs="宋体"/>
                <w:b/>
                <w:sz w:val="24"/>
                <w:szCs w:val="24"/>
                <w:highlight w:val="none"/>
              </w:rPr>
              <w:t>营业执照等主体资格证明文件</w:t>
            </w:r>
          </w:p>
        </w:tc>
        <w:tc>
          <w:tcPr>
            <w:tcW w:w="2786" w:type="pct"/>
            <w:vAlign w:val="center"/>
          </w:tcPr>
          <w:p w14:paraId="154C5CAF">
            <w:pPr>
              <w:tabs>
                <w:tab w:val="left" w:pos="0"/>
              </w:tabs>
              <w:adjustRightInd w:val="0"/>
              <w:snapToGrid w:val="0"/>
              <w:jc w:val="center"/>
              <w:rPr>
                <w:rFonts w:hint="eastAsia" w:ascii="宋体" w:hAnsi="宋体" w:cs="宋体" w:eastAsiaTheme="minorEastAsia"/>
                <w:sz w:val="24"/>
                <w:szCs w:val="24"/>
                <w:highlight w:val="none"/>
                <w:lang w:eastAsia="zh-CN"/>
              </w:rPr>
            </w:pPr>
            <w:r>
              <w:rPr>
                <w:rFonts w:hint="eastAsia" w:ascii="宋体" w:hAnsi="宋体" w:cs="宋体"/>
                <w:sz w:val="24"/>
                <w:szCs w:val="24"/>
                <w:highlight w:val="none"/>
              </w:rPr>
              <w:t>提供合格有效的法人或者其他组织的营业执照等证明文件，自然人的身份证明；</w:t>
            </w:r>
          </w:p>
        </w:tc>
      </w:tr>
      <w:tr w14:paraId="58C11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3" w:hRule="atLeast"/>
        </w:trPr>
        <w:tc>
          <w:tcPr>
            <w:tcW w:w="743" w:type="pct"/>
            <w:gridSpan w:val="2"/>
            <w:vMerge w:val="continue"/>
            <w:vAlign w:val="center"/>
          </w:tcPr>
          <w:p w14:paraId="6A9F867E">
            <w:pPr>
              <w:tabs>
                <w:tab w:val="left" w:pos="0"/>
              </w:tabs>
              <w:adjustRightInd w:val="0"/>
              <w:snapToGrid w:val="0"/>
              <w:jc w:val="center"/>
              <w:rPr>
                <w:rFonts w:ascii="宋体" w:hAnsi="宋体" w:cs="宋体"/>
                <w:b/>
                <w:sz w:val="24"/>
                <w:szCs w:val="24"/>
                <w:highlight w:val="none"/>
              </w:rPr>
            </w:pPr>
          </w:p>
        </w:tc>
        <w:tc>
          <w:tcPr>
            <w:tcW w:w="1469" w:type="pct"/>
            <w:gridSpan w:val="2"/>
            <w:vAlign w:val="center"/>
          </w:tcPr>
          <w:p w14:paraId="6920C2BB">
            <w:pPr>
              <w:tabs>
                <w:tab w:val="left" w:pos="0"/>
              </w:tabs>
              <w:adjustRightInd w:val="0"/>
              <w:snapToGrid w:val="0"/>
              <w:jc w:val="center"/>
              <w:rPr>
                <w:rFonts w:ascii="宋体" w:hAnsi="宋体" w:cs="宋体"/>
                <w:b/>
                <w:sz w:val="24"/>
                <w:szCs w:val="24"/>
                <w:highlight w:val="none"/>
              </w:rPr>
            </w:pPr>
            <w:r>
              <w:rPr>
                <w:rFonts w:hint="eastAsia" w:ascii="宋体" w:hAnsi="宋体" w:cs="宋体"/>
                <w:b/>
                <w:sz w:val="24"/>
                <w:szCs w:val="24"/>
                <w:highlight w:val="none"/>
              </w:rPr>
              <w:t>法定代表人授权书/法定</w:t>
            </w:r>
          </w:p>
          <w:p w14:paraId="74A7D01E">
            <w:pPr>
              <w:tabs>
                <w:tab w:val="left" w:pos="0"/>
              </w:tabs>
              <w:adjustRightInd w:val="0"/>
              <w:snapToGrid w:val="0"/>
              <w:jc w:val="center"/>
              <w:rPr>
                <w:rFonts w:ascii="宋体" w:hAnsi="宋体" w:cs="宋体"/>
                <w:b/>
                <w:sz w:val="24"/>
                <w:szCs w:val="24"/>
                <w:highlight w:val="none"/>
              </w:rPr>
            </w:pPr>
            <w:r>
              <w:rPr>
                <w:rFonts w:hint="eastAsia" w:ascii="宋体" w:hAnsi="宋体" w:cs="宋体"/>
                <w:b/>
                <w:sz w:val="24"/>
                <w:szCs w:val="24"/>
                <w:highlight w:val="none"/>
              </w:rPr>
              <w:t>代表人身份证明</w:t>
            </w:r>
          </w:p>
        </w:tc>
        <w:tc>
          <w:tcPr>
            <w:tcW w:w="2786" w:type="pct"/>
            <w:vAlign w:val="center"/>
          </w:tcPr>
          <w:p w14:paraId="4E235674">
            <w:pPr>
              <w:tabs>
                <w:tab w:val="left" w:pos="0"/>
              </w:tabs>
              <w:adjustRightInd w:val="0"/>
              <w:snapToGrid w:val="0"/>
              <w:jc w:val="center"/>
              <w:rPr>
                <w:rFonts w:ascii="宋体" w:hAnsi="宋体" w:cs="宋体"/>
                <w:sz w:val="24"/>
                <w:szCs w:val="24"/>
                <w:highlight w:val="none"/>
              </w:rPr>
            </w:pPr>
            <w:r>
              <w:rPr>
                <w:rFonts w:hint="eastAsia" w:ascii="宋体" w:hAnsi="宋体" w:cs="宋体"/>
                <w:sz w:val="24"/>
                <w:szCs w:val="24"/>
                <w:highlight w:val="none"/>
              </w:rPr>
              <w:t>提供法定代表人授权书（附法定代表人、被授权人身份证复印件，法定代表人直接参加投标，须提供法定代表人身份证明及身份证复印件）；</w:t>
            </w:r>
          </w:p>
        </w:tc>
      </w:tr>
      <w:tr w14:paraId="28039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9" w:hRule="atLeast"/>
        </w:trPr>
        <w:tc>
          <w:tcPr>
            <w:tcW w:w="743" w:type="pct"/>
            <w:gridSpan w:val="2"/>
            <w:vMerge w:val="continue"/>
            <w:vAlign w:val="center"/>
          </w:tcPr>
          <w:p w14:paraId="2C2F1247">
            <w:pPr>
              <w:tabs>
                <w:tab w:val="left" w:pos="0"/>
              </w:tabs>
              <w:adjustRightInd w:val="0"/>
              <w:snapToGrid w:val="0"/>
              <w:jc w:val="center"/>
              <w:rPr>
                <w:rFonts w:ascii="宋体" w:hAnsi="宋体" w:cs="宋体"/>
                <w:b/>
                <w:sz w:val="24"/>
                <w:szCs w:val="24"/>
                <w:highlight w:val="none"/>
              </w:rPr>
            </w:pPr>
          </w:p>
        </w:tc>
        <w:tc>
          <w:tcPr>
            <w:tcW w:w="1469" w:type="pct"/>
            <w:gridSpan w:val="2"/>
            <w:vAlign w:val="center"/>
          </w:tcPr>
          <w:p w14:paraId="7EE891CB">
            <w:pPr>
              <w:tabs>
                <w:tab w:val="left" w:pos="0"/>
              </w:tabs>
              <w:adjustRightInd w:val="0"/>
              <w:snapToGrid w:val="0"/>
              <w:jc w:val="center"/>
              <w:rPr>
                <w:rFonts w:ascii="宋体" w:hAnsi="宋体" w:cs="宋体"/>
                <w:b/>
                <w:sz w:val="24"/>
                <w:szCs w:val="24"/>
                <w:highlight w:val="none"/>
              </w:rPr>
            </w:pPr>
            <w:r>
              <w:rPr>
                <w:rFonts w:hint="eastAsia" w:ascii="宋体" w:hAnsi="宋体" w:cs="宋体"/>
                <w:b/>
                <w:sz w:val="24"/>
                <w:szCs w:val="24"/>
                <w:highlight w:val="none"/>
              </w:rPr>
              <w:t>财务状况</w:t>
            </w:r>
          </w:p>
        </w:tc>
        <w:tc>
          <w:tcPr>
            <w:tcW w:w="2786" w:type="pct"/>
            <w:vAlign w:val="center"/>
          </w:tcPr>
          <w:p w14:paraId="36A96AA2">
            <w:pPr>
              <w:tabs>
                <w:tab w:val="left" w:pos="0"/>
              </w:tabs>
              <w:adjustRightInd w:val="0"/>
              <w:snapToGrid w:val="0"/>
              <w:jc w:val="center"/>
              <w:rPr>
                <w:rFonts w:ascii="宋体" w:hAnsi="宋体" w:cs="宋体"/>
                <w:sz w:val="24"/>
                <w:szCs w:val="24"/>
                <w:highlight w:val="none"/>
              </w:rPr>
            </w:pPr>
            <w:r>
              <w:rPr>
                <w:rFonts w:hint="eastAsia" w:ascii="宋体" w:hAnsi="宋体" w:cs="宋体"/>
                <w:sz w:val="24"/>
                <w:szCs w:val="24"/>
                <w:highlight w:val="none"/>
              </w:rPr>
              <w:t>提供2024年度的财务审计报告（成立时间至提交投标文件截止时间不足一年的可提供成立后任意时段的资产负债表）或开标时间前六个月内银行出具的资信证明；</w:t>
            </w:r>
          </w:p>
        </w:tc>
      </w:tr>
      <w:tr w14:paraId="1E6E6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7" w:hRule="atLeast"/>
        </w:trPr>
        <w:tc>
          <w:tcPr>
            <w:tcW w:w="743" w:type="pct"/>
            <w:gridSpan w:val="2"/>
            <w:vMerge w:val="continue"/>
            <w:vAlign w:val="center"/>
          </w:tcPr>
          <w:p w14:paraId="387BFD80">
            <w:pPr>
              <w:tabs>
                <w:tab w:val="left" w:pos="0"/>
              </w:tabs>
              <w:adjustRightInd w:val="0"/>
              <w:snapToGrid w:val="0"/>
              <w:jc w:val="center"/>
              <w:rPr>
                <w:rFonts w:ascii="宋体" w:hAnsi="宋体" w:cs="宋体"/>
                <w:b/>
                <w:sz w:val="24"/>
                <w:szCs w:val="24"/>
                <w:highlight w:val="none"/>
              </w:rPr>
            </w:pPr>
          </w:p>
        </w:tc>
        <w:tc>
          <w:tcPr>
            <w:tcW w:w="1469" w:type="pct"/>
            <w:gridSpan w:val="2"/>
            <w:vAlign w:val="center"/>
          </w:tcPr>
          <w:p w14:paraId="3260CE9B">
            <w:pPr>
              <w:tabs>
                <w:tab w:val="left" w:pos="0"/>
              </w:tabs>
              <w:adjustRightInd w:val="0"/>
              <w:snapToGrid w:val="0"/>
              <w:jc w:val="center"/>
              <w:rPr>
                <w:rFonts w:ascii="宋体" w:hAnsi="宋体" w:cs="宋体"/>
                <w:b/>
                <w:sz w:val="24"/>
                <w:szCs w:val="24"/>
                <w:highlight w:val="none"/>
              </w:rPr>
            </w:pPr>
            <w:r>
              <w:rPr>
                <w:rFonts w:hint="eastAsia" w:ascii="宋体" w:hAnsi="宋体" w:cs="宋体"/>
                <w:b/>
                <w:sz w:val="24"/>
                <w:szCs w:val="24"/>
                <w:highlight w:val="none"/>
              </w:rPr>
              <w:t>税收缴纳证明</w:t>
            </w:r>
          </w:p>
        </w:tc>
        <w:tc>
          <w:tcPr>
            <w:tcW w:w="2786" w:type="pct"/>
            <w:vAlign w:val="center"/>
          </w:tcPr>
          <w:p w14:paraId="7D8A7EA5">
            <w:pPr>
              <w:tabs>
                <w:tab w:val="left" w:pos="0"/>
              </w:tabs>
              <w:adjustRightInd w:val="0"/>
              <w:snapToGrid w:val="0"/>
              <w:jc w:val="center"/>
              <w:rPr>
                <w:rFonts w:ascii="宋体" w:hAnsi="宋体" w:cs="宋体"/>
                <w:sz w:val="24"/>
                <w:szCs w:val="24"/>
                <w:highlight w:val="none"/>
              </w:rPr>
            </w:pPr>
            <w:r>
              <w:rPr>
                <w:rFonts w:hint="eastAsia" w:ascii="宋体" w:hAnsi="宋体" w:eastAsia="宋体" w:cs="宋体"/>
                <w:sz w:val="24"/>
                <w:szCs w:val="24"/>
              </w:rPr>
              <w:t>提供投标截止日前近一年内任意一个月的纳税证明或完税证明（任意税种），依法免税的单位应提供相关证明材料；</w:t>
            </w:r>
          </w:p>
        </w:tc>
      </w:tr>
      <w:tr w14:paraId="2ACD1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3" w:hRule="atLeast"/>
        </w:trPr>
        <w:tc>
          <w:tcPr>
            <w:tcW w:w="743" w:type="pct"/>
            <w:gridSpan w:val="2"/>
            <w:vMerge w:val="continue"/>
            <w:vAlign w:val="center"/>
          </w:tcPr>
          <w:p w14:paraId="2C63F1BB">
            <w:pPr>
              <w:tabs>
                <w:tab w:val="left" w:pos="0"/>
              </w:tabs>
              <w:adjustRightInd w:val="0"/>
              <w:snapToGrid w:val="0"/>
              <w:jc w:val="center"/>
              <w:rPr>
                <w:rFonts w:ascii="宋体" w:hAnsi="宋体" w:cs="宋体"/>
                <w:b/>
                <w:sz w:val="24"/>
                <w:szCs w:val="24"/>
                <w:highlight w:val="none"/>
              </w:rPr>
            </w:pPr>
          </w:p>
        </w:tc>
        <w:tc>
          <w:tcPr>
            <w:tcW w:w="1469" w:type="pct"/>
            <w:gridSpan w:val="2"/>
            <w:vAlign w:val="center"/>
          </w:tcPr>
          <w:p w14:paraId="081695B1">
            <w:pPr>
              <w:tabs>
                <w:tab w:val="left" w:pos="0"/>
              </w:tabs>
              <w:adjustRightInd w:val="0"/>
              <w:snapToGrid w:val="0"/>
              <w:jc w:val="center"/>
              <w:rPr>
                <w:rFonts w:ascii="宋体" w:hAnsi="宋体" w:cs="宋体"/>
                <w:b/>
                <w:sz w:val="24"/>
                <w:szCs w:val="24"/>
                <w:highlight w:val="none"/>
              </w:rPr>
            </w:pPr>
            <w:r>
              <w:rPr>
                <w:rFonts w:hint="eastAsia" w:ascii="宋体" w:hAnsi="宋体" w:cs="宋体"/>
                <w:b/>
                <w:sz w:val="24"/>
                <w:szCs w:val="24"/>
                <w:highlight w:val="none"/>
              </w:rPr>
              <w:t>社会保障资金缴纳证明</w:t>
            </w:r>
          </w:p>
        </w:tc>
        <w:tc>
          <w:tcPr>
            <w:tcW w:w="2786" w:type="pct"/>
            <w:vAlign w:val="center"/>
          </w:tcPr>
          <w:p w14:paraId="5736FCAF">
            <w:pPr>
              <w:tabs>
                <w:tab w:val="left" w:pos="0"/>
              </w:tabs>
              <w:adjustRightInd w:val="0"/>
              <w:snapToGrid w:val="0"/>
              <w:jc w:val="center"/>
              <w:rPr>
                <w:rFonts w:ascii="宋体" w:hAnsi="宋体" w:cs="宋体"/>
                <w:sz w:val="24"/>
                <w:szCs w:val="24"/>
                <w:highlight w:val="none"/>
              </w:rPr>
            </w:pPr>
            <w:r>
              <w:rPr>
                <w:rFonts w:hint="eastAsia" w:ascii="宋体" w:hAnsi="宋体" w:eastAsia="宋体" w:cs="宋体"/>
                <w:sz w:val="24"/>
                <w:szCs w:val="24"/>
              </w:rPr>
              <w:t>提供投标截止日前近一年内任意一个月的社会保障资金缴存单据或社保机构开具的社会保险参保缴费情况证明，依法不需要缴纳社会保障资金的单位应提供相关证明材料；</w:t>
            </w:r>
          </w:p>
        </w:tc>
      </w:tr>
      <w:tr w14:paraId="512D5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743" w:type="pct"/>
            <w:gridSpan w:val="2"/>
            <w:vMerge w:val="continue"/>
            <w:vAlign w:val="center"/>
          </w:tcPr>
          <w:p w14:paraId="2D94DF1C">
            <w:pPr>
              <w:tabs>
                <w:tab w:val="left" w:pos="0"/>
              </w:tabs>
              <w:adjustRightInd w:val="0"/>
              <w:snapToGrid w:val="0"/>
              <w:jc w:val="center"/>
              <w:rPr>
                <w:rFonts w:ascii="宋体" w:hAnsi="宋体" w:cs="宋体"/>
                <w:b/>
                <w:sz w:val="24"/>
                <w:szCs w:val="24"/>
                <w:highlight w:val="none"/>
              </w:rPr>
            </w:pPr>
          </w:p>
        </w:tc>
        <w:tc>
          <w:tcPr>
            <w:tcW w:w="1469" w:type="pct"/>
            <w:gridSpan w:val="2"/>
            <w:shd w:val="clear" w:color="auto" w:fill="auto"/>
            <w:vAlign w:val="center"/>
          </w:tcPr>
          <w:p w14:paraId="564CCF5E">
            <w:pPr>
              <w:tabs>
                <w:tab w:val="left" w:pos="0"/>
              </w:tabs>
              <w:adjustRightInd w:val="0"/>
              <w:snapToGrid w:val="0"/>
              <w:jc w:val="center"/>
              <w:rPr>
                <w:rFonts w:hint="eastAsia" w:ascii="宋体" w:hAnsi="宋体" w:eastAsia="宋体" w:cs="宋体"/>
                <w:b/>
                <w:kern w:val="2"/>
                <w:sz w:val="24"/>
                <w:szCs w:val="24"/>
                <w:highlight w:val="none"/>
                <w:lang w:val="en-US" w:eastAsia="zh-CN" w:bidi="ar-SA"/>
              </w:rPr>
            </w:pPr>
            <w:r>
              <w:rPr>
                <w:rFonts w:hint="eastAsia" w:ascii="宋体" w:hAnsi="宋体" w:cs="宋体"/>
                <w:b/>
                <w:sz w:val="24"/>
                <w:szCs w:val="24"/>
                <w:highlight w:val="none"/>
              </w:rPr>
              <w:t>书面承诺书</w:t>
            </w:r>
          </w:p>
        </w:tc>
        <w:tc>
          <w:tcPr>
            <w:tcW w:w="2786" w:type="pct"/>
            <w:shd w:val="clear" w:color="auto" w:fill="auto"/>
            <w:vAlign w:val="center"/>
          </w:tcPr>
          <w:p w14:paraId="65DE278D">
            <w:pPr>
              <w:tabs>
                <w:tab w:val="left" w:pos="0"/>
              </w:tabs>
              <w:adjustRightInd w:val="0"/>
              <w:snapToGrid w:val="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rPr>
              <w:t>提供具有履行本合同所必需的设备和专业技术能力的说明及承诺书；</w:t>
            </w:r>
          </w:p>
        </w:tc>
      </w:tr>
      <w:tr w14:paraId="0732F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3" w:hRule="atLeast"/>
        </w:trPr>
        <w:tc>
          <w:tcPr>
            <w:tcW w:w="743" w:type="pct"/>
            <w:gridSpan w:val="2"/>
            <w:vMerge w:val="continue"/>
            <w:vAlign w:val="center"/>
          </w:tcPr>
          <w:p w14:paraId="49B5F90E">
            <w:pPr>
              <w:tabs>
                <w:tab w:val="left" w:pos="0"/>
              </w:tabs>
              <w:adjustRightInd w:val="0"/>
              <w:snapToGrid w:val="0"/>
              <w:jc w:val="center"/>
              <w:rPr>
                <w:rFonts w:ascii="宋体" w:hAnsi="宋体" w:cs="宋体"/>
                <w:b/>
                <w:sz w:val="24"/>
                <w:szCs w:val="24"/>
                <w:highlight w:val="none"/>
              </w:rPr>
            </w:pPr>
          </w:p>
        </w:tc>
        <w:tc>
          <w:tcPr>
            <w:tcW w:w="1469" w:type="pct"/>
            <w:gridSpan w:val="2"/>
            <w:vAlign w:val="center"/>
          </w:tcPr>
          <w:p w14:paraId="729702FB">
            <w:pPr>
              <w:tabs>
                <w:tab w:val="left" w:pos="0"/>
              </w:tabs>
              <w:adjustRightInd w:val="0"/>
              <w:snapToGrid w:val="0"/>
              <w:jc w:val="center"/>
              <w:rPr>
                <w:rFonts w:ascii="宋体" w:hAnsi="宋体" w:cs="宋体"/>
                <w:b/>
                <w:sz w:val="24"/>
                <w:szCs w:val="24"/>
                <w:highlight w:val="none"/>
              </w:rPr>
            </w:pPr>
            <w:r>
              <w:rPr>
                <w:rFonts w:hint="eastAsia" w:ascii="宋体" w:hAnsi="宋体" w:cs="宋体"/>
                <w:b/>
                <w:sz w:val="24"/>
                <w:szCs w:val="24"/>
                <w:highlight w:val="none"/>
              </w:rPr>
              <w:t>信用记录</w:t>
            </w:r>
          </w:p>
        </w:tc>
        <w:tc>
          <w:tcPr>
            <w:tcW w:w="2786" w:type="pct"/>
            <w:vAlign w:val="center"/>
          </w:tcPr>
          <w:p w14:paraId="11B8F5BF">
            <w:pPr>
              <w:tabs>
                <w:tab w:val="left" w:pos="0"/>
              </w:tabs>
              <w:adjustRightInd w:val="0"/>
              <w:snapToGrid w:val="0"/>
              <w:jc w:val="center"/>
              <w:rPr>
                <w:rFonts w:ascii="宋体" w:hAnsi="宋体" w:cs="宋体"/>
                <w:sz w:val="24"/>
                <w:szCs w:val="24"/>
                <w:highlight w:val="none"/>
              </w:rPr>
            </w:pPr>
            <w:r>
              <w:rPr>
                <w:rFonts w:hint="eastAsia" w:ascii="宋体" w:hAnsi="宋体" w:eastAsia="宋体" w:cs="宋体"/>
                <w:sz w:val="24"/>
                <w:szCs w:val="24"/>
              </w:rPr>
              <w:t>供应商通过“信用中国”网站(www.creditchina.gov.cn)、中国政府采购网(www.ccgp.gov.cn)等查询相关主体信用记录；</w:t>
            </w:r>
          </w:p>
        </w:tc>
      </w:tr>
      <w:tr w14:paraId="195DD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743" w:type="pct"/>
            <w:gridSpan w:val="2"/>
            <w:vMerge w:val="continue"/>
            <w:vAlign w:val="center"/>
          </w:tcPr>
          <w:p w14:paraId="0B2C9256">
            <w:pPr>
              <w:tabs>
                <w:tab w:val="left" w:pos="0"/>
              </w:tabs>
              <w:adjustRightInd w:val="0"/>
              <w:snapToGrid w:val="0"/>
              <w:jc w:val="center"/>
              <w:rPr>
                <w:rFonts w:ascii="宋体" w:hAnsi="宋体" w:cs="宋体"/>
                <w:b/>
                <w:sz w:val="24"/>
                <w:szCs w:val="24"/>
                <w:highlight w:val="none"/>
              </w:rPr>
            </w:pPr>
          </w:p>
        </w:tc>
        <w:tc>
          <w:tcPr>
            <w:tcW w:w="1469" w:type="pct"/>
            <w:gridSpan w:val="2"/>
            <w:vAlign w:val="center"/>
          </w:tcPr>
          <w:p w14:paraId="711BB5A4">
            <w:pPr>
              <w:tabs>
                <w:tab w:val="left" w:pos="0"/>
              </w:tabs>
              <w:adjustRightInd w:val="0"/>
              <w:snapToGrid w:val="0"/>
              <w:jc w:val="center"/>
              <w:rPr>
                <w:rFonts w:ascii="宋体" w:hAnsi="宋体" w:cs="宋体"/>
                <w:b/>
                <w:sz w:val="24"/>
                <w:szCs w:val="24"/>
                <w:highlight w:val="none"/>
              </w:rPr>
            </w:pPr>
            <w:r>
              <w:rPr>
                <w:rFonts w:hint="eastAsia" w:ascii="宋体" w:hAnsi="宋体" w:cs="宋体"/>
                <w:b/>
                <w:sz w:val="24"/>
                <w:szCs w:val="24"/>
                <w:highlight w:val="none"/>
              </w:rPr>
              <w:t>书面声明</w:t>
            </w:r>
          </w:p>
        </w:tc>
        <w:tc>
          <w:tcPr>
            <w:tcW w:w="2786" w:type="pct"/>
            <w:vAlign w:val="center"/>
          </w:tcPr>
          <w:p w14:paraId="27DB8B5A">
            <w:pPr>
              <w:tabs>
                <w:tab w:val="left" w:pos="0"/>
              </w:tabs>
              <w:adjustRightInd w:val="0"/>
              <w:snapToGrid w:val="0"/>
              <w:jc w:val="center"/>
              <w:rPr>
                <w:rFonts w:ascii="宋体" w:hAnsi="宋体" w:cs="宋体"/>
                <w:sz w:val="24"/>
                <w:szCs w:val="24"/>
                <w:highlight w:val="none"/>
              </w:rPr>
            </w:pPr>
            <w:r>
              <w:rPr>
                <w:rFonts w:hint="eastAsia" w:ascii="宋体" w:hAnsi="宋体" w:eastAsia="宋体" w:cs="宋体"/>
                <w:sz w:val="24"/>
                <w:szCs w:val="24"/>
              </w:rPr>
              <w:t>参加政府采购活动前3年内，在经营活动中没有重大违法记录的书面声明；</w:t>
            </w:r>
          </w:p>
        </w:tc>
      </w:tr>
      <w:tr w14:paraId="65B89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743" w:type="pct"/>
            <w:gridSpan w:val="2"/>
            <w:vMerge w:val="continue"/>
            <w:vAlign w:val="center"/>
          </w:tcPr>
          <w:p w14:paraId="43E52D3D">
            <w:pPr>
              <w:tabs>
                <w:tab w:val="left" w:pos="0"/>
              </w:tabs>
              <w:adjustRightInd w:val="0"/>
              <w:snapToGrid w:val="0"/>
              <w:jc w:val="center"/>
              <w:rPr>
                <w:rFonts w:ascii="宋体" w:hAnsi="宋体" w:cs="宋体"/>
                <w:b/>
                <w:sz w:val="24"/>
                <w:szCs w:val="24"/>
                <w:highlight w:val="none"/>
              </w:rPr>
            </w:pPr>
          </w:p>
        </w:tc>
        <w:tc>
          <w:tcPr>
            <w:tcW w:w="1469" w:type="pct"/>
            <w:gridSpan w:val="2"/>
            <w:vAlign w:val="center"/>
          </w:tcPr>
          <w:p w14:paraId="3A7DFEAA">
            <w:pPr>
              <w:tabs>
                <w:tab w:val="left" w:pos="0"/>
              </w:tabs>
              <w:adjustRightInd w:val="0"/>
              <w:snapToGrid w:val="0"/>
              <w:jc w:val="center"/>
              <w:rPr>
                <w:rFonts w:ascii="宋体" w:hAnsi="宋体" w:cs="宋体"/>
                <w:b/>
                <w:sz w:val="24"/>
                <w:szCs w:val="24"/>
                <w:highlight w:val="none"/>
              </w:rPr>
            </w:pPr>
            <w:r>
              <w:rPr>
                <w:rFonts w:hint="eastAsia" w:ascii="宋体" w:hAnsi="宋体" w:cs="宋体"/>
                <w:b/>
                <w:sz w:val="24"/>
                <w:szCs w:val="24"/>
                <w:highlight w:val="none"/>
              </w:rPr>
              <w:t>中小企业声明函</w:t>
            </w:r>
          </w:p>
        </w:tc>
        <w:tc>
          <w:tcPr>
            <w:tcW w:w="2786" w:type="pct"/>
            <w:vAlign w:val="center"/>
          </w:tcPr>
          <w:p w14:paraId="76B8E427">
            <w:pPr>
              <w:tabs>
                <w:tab w:val="left" w:pos="0"/>
              </w:tabs>
              <w:adjustRightInd w:val="0"/>
              <w:snapToGrid w:val="0"/>
              <w:jc w:val="center"/>
              <w:rPr>
                <w:rFonts w:ascii="宋体" w:hAnsi="宋体" w:cs="宋体"/>
                <w:sz w:val="24"/>
                <w:szCs w:val="24"/>
                <w:highlight w:val="none"/>
              </w:rPr>
            </w:pPr>
            <w:r>
              <w:rPr>
                <w:rFonts w:hint="eastAsia" w:ascii="宋体" w:hAnsi="宋体" w:cs="宋体"/>
                <w:sz w:val="24"/>
                <w:szCs w:val="24"/>
                <w:highlight w:val="none"/>
              </w:rPr>
              <w:t>投标人须提供中小企业声明函；</w:t>
            </w:r>
          </w:p>
        </w:tc>
      </w:tr>
      <w:tr w14:paraId="35328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43" w:type="pct"/>
            <w:gridSpan w:val="2"/>
            <w:vMerge w:val="continue"/>
            <w:vAlign w:val="center"/>
          </w:tcPr>
          <w:p w14:paraId="75C6545F">
            <w:pPr>
              <w:tabs>
                <w:tab w:val="left" w:pos="0"/>
              </w:tabs>
              <w:adjustRightInd w:val="0"/>
              <w:snapToGrid w:val="0"/>
              <w:jc w:val="center"/>
              <w:rPr>
                <w:rFonts w:ascii="宋体" w:hAnsi="宋体" w:cs="宋体"/>
                <w:b/>
                <w:sz w:val="24"/>
                <w:szCs w:val="24"/>
                <w:highlight w:val="none"/>
              </w:rPr>
            </w:pPr>
          </w:p>
        </w:tc>
        <w:tc>
          <w:tcPr>
            <w:tcW w:w="1469" w:type="pct"/>
            <w:gridSpan w:val="2"/>
            <w:vAlign w:val="center"/>
          </w:tcPr>
          <w:p w14:paraId="1793AEFA">
            <w:pPr>
              <w:tabs>
                <w:tab w:val="left" w:pos="0"/>
              </w:tabs>
              <w:adjustRightInd w:val="0"/>
              <w:snapToGrid w:val="0"/>
              <w:jc w:val="center"/>
              <w:rPr>
                <w:rFonts w:ascii="宋体" w:hAnsi="宋体" w:cs="宋体"/>
                <w:b/>
                <w:sz w:val="24"/>
                <w:szCs w:val="24"/>
                <w:highlight w:val="none"/>
              </w:rPr>
            </w:pPr>
            <w:r>
              <w:rPr>
                <w:rFonts w:hint="eastAsia" w:ascii="宋体" w:hAnsi="宋体" w:cs="宋体"/>
                <w:b/>
                <w:sz w:val="24"/>
                <w:szCs w:val="24"/>
                <w:highlight w:val="none"/>
              </w:rPr>
              <w:t>非联合体</w:t>
            </w:r>
          </w:p>
        </w:tc>
        <w:tc>
          <w:tcPr>
            <w:tcW w:w="2786" w:type="pct"/>
            <w:vAlign w:val="center"/>
          </w:tcPr>
          <w:p w14:paraId="0218369E">
            <w:pPr>
              <w:tabs>
                <w:tab w:val="left" w:pos="0"/>
              </w:tabs>
              <w:adjustRightInd w:val="0"/>
              <w:snapToGrid w:val="0"/>
              <w:jc w:val="center"/>
              <w:rPr>
                <w:rFonts w:ascii="宋体" w:hAnsi="宋体" w:cs="宋体"/>
                <w:bCs/>
                <w:sz w:val="24"/>
                <w:szCs w:val="24"/>
                <w:highlight w:val="none"/>
              </w:rPr>
            </w:pPr>
            <w:r>
              <w:rPr>
                <w:rFonts w:hint="eastAsia" w:ascii="宋体" w:hAnsi="宋体" w:cs="宋体"/>
                <w:sz w:val="24"/>
                <w:szCs w:val="24"/>
                <w:highlight w:val="none"/>
              </w:rPr>
              <w:t>投标人须</w:t>
            </w:r>
            <w:r>
              <w:rPr>
                <w:rFonts w:hint="eastAsia" w:ascii="宋体" w:hAnsi="宋体" w:cs="宋体"/>
                <w:bCs/>
                <w:sz w:val="24"/>
                <w:szCs w:val="24"/>
                <w:highlight w:val="none"/>
              </w:rPr>
              <w:t>提供非联合体投标</w:t>
            </w:r>
            <w:r>
              <w:rPr>
                <w:rFonts w:hint="eastAsia" w:ascii="宋体" w:hAnsi="宋体" w:cs="宋体"/>
                <w:bCs/>
                <w:sz w:val="24"/>
                <w:szCs w:val="24"/>
                <w:highlight w:val="none"/>
                <w:lang w:val="en-US" w:eastAsia="zh-CN"/>
              </w:rPr>
              <w:t>承诺书</w:t>
            </w:r>
            <w:r>
              <w:rPr>
                <w:rFonts w:hint="eastAsia" w:ascii="宋体" w:hAnsi="宋体" w:cs="宋体"/>
                <w:bCs/>
                <w:sz w:val="24"/>
                <w:szCs w:val="24"/>
                <w:highlight w:val="none"/>
              </w:rPr>
              <w:t>；</w:t>
            </w:r>
          </w:p>
        </w:tc>
      </w:tr>
      <w:tr w14:paraId="7FD93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1" w:hRule="atLeast"/>
        </w:trPr>
        <w:tc>
          <w:tcPr>
            <w:tcW w:w="5000" w:type="pct"/>
            <w:gridSpan w:val="5"/>
            <w:vAlign w:val="center"/>
          </w:tcPr>
          <w:p w14:paraId="372987CB">
            <w:pPr>
              <w:tabs>
                <w:tab w:val="left" w:pos="0"/>
              </w:tabs>
              <w:adjustRightInd w:val="0"/>
              <w:snapToGrid w:val="0"/>
              <w:jc w:val="left"/>
              <w:rPr>
                <w:rFonts w:ascii="宋体" w:hAnsi="宋体" w:cs="宋体"/>
                <w:b/>
                <w:sz w:val="24"/>
                <w:szCs w:val="24"/>
                <w:highlight w:val="none"/>
              </w:rPr>
            </w:pPr>
            <w:r>
              <w:rPr>
                <w:rFonts w:hint="eastAsia" w:ascii="宋体" w:hAnsi="宋体" w:cs="宋体"/>
                <w:b/>
                <w:sz w:val="24"/>
                <w:szCs w:val="24"/>
                <w:highlight w:val="none"/>
              </w:rPr>
              <w:t>注：以上为必备资质，缺一项或某项达不到要求，按无效投标处理。资格审查时以投标文件中所附证明材料为准，原件备查。</w:t>
            </w:r>
          </w:p>
        </w:tc>
      </w:tr>
      <w:tr w14:paraId="15790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436" w:type="pct"/>
            <w:vMerge w:val="restart"/>
            <w:vAlign w:val="center"/>
          </w:tcPr>
          <w:p w14:paraId="1E874278">
            <w:pPr>
              <w:tabs>
                <w:tab w:val="left" w:pos="0"/>
              </w:tabs>
              <w:adjustRightInd w:val="0"/>
              <w:snapToGrid w:val="0"/>
              <w:spacing w:line="360" w:lineRule="auto"/>
              <w:jc w:val="center"/>
              <w:rPr>
                <w:rFonts w:ascii="宋体" w:hAnsi="宋体" w:cs="宋体"/>
                <w:sz w:val="24"/>
                <w:szCs w:val="24"/>
                <w:highlight w:val="none"/>
              </w:rPr>
            </w:pPr>
            <w:r>
              <w:rPr>
                <w:rFonts w:hint="eastAsia" w:ascii="宋体" w:hAnsi="宋体" w:cs="宋体"/>
                <w:sz w:val="24"/>
                <w:szCs w:val="24"/>
                <w:highlight w:val="none"/>
              </w:rPr>
              <w:t>2.1.2</w:t>
            </w:r>
          </w:p>
        </w:tc>
        <w:tc>
          <w:tcPr>
            <w:tcW w:w="306" w:type="pct"/>
            <w:vMerge w:val="restart"/>
            <w:vAlign w:val="center"/>
          </w:tcPr>
          <w:p w14:paraId="787FE36F">
            <w:pPr>
              <w:tabs>
                <w:tab w:val="left" w:pos="0"/>
              </w:tabs>
              <w:adjustRightInd w:val="0"/>
              <w:snapToGrid w:val="0"/>
              <w:jc w:val="center"/>
              <w:rPr>
                <w:rFonts w:ascii="宋体" w:hAnsi="宋体" w:cs="宋体"/>
                <w:b/>
                <w:bCs/>
                <w:sz w:val="24"/>
                <w:szCs w:val="24"/>
                <w:highlight w:val="none"/>
              </w:rPr>
            </w:pPr>
            <w:r>
              <w:rPr>
                <w:rFonts w:hint="eastAsia" w:ascii="宋体" w:hAnsi="宋体" w:cs="宋体"/>
                <w:b/>
                <w:bCs/>
                <w:sz w:val="24"/>
                <w:szCs w:val="24"/>
                <w:highlight w:val="none"/>
              </w:rPr>
              <w:t>符合性评审标准</w:t>
            </w:r>
          </w:p>
        </w:tc>
        <w:tc>
          <w:tcPr>
            <w:tcW w:w="286" w:type="pct"/>
            <w:vMerge w:val="restart"/>
            <w:vAlign w:val="center"/>
          </w:tcPr>
          <w:p w14:paraId="39596F56">
            <w:pPr>
              <w:tabs>
                <w:tab w:val="left" w:pos="0"/>
              </w:tabs>
              <w:adjustRightInd w:val="0"/>
              <w:snapToGrid w:val="0"/>
              <w:jc w:val="center"/>
              <w:rPr>
                <w:rFonts w:ascii="宋体" w:hAnsi="宋体" w:cs="宋体"/>
                <w:b/>
                <w:bCs/>
                <w:sz w:val="24"/>
                <w:szCs w:val="24"/>
                <w:highlight w:val="none"/>
              </w:rPr>
            </w:pPr>
            <w:r>
              <w:rPr>
                <w:rFonts w:hint="eastAsia" w:ascii="宋体" w:hAnsi="宋体" w:cs="宋体"/>
                <w:b/>
                <w:bCs/>
                <w:sz w:val="24"/>
                <w:szCs w:val="24"/>
                <w:highlight w:val="none"/>
              </w:rPr>
              <w:t>有效性审查</w:t>
            </w:r>
          </w:p>
        </w:tc>
        <w:tc>
          <w:tcPr>
            <w:tcW w:w="1183" w:type="pct"/>
            <w:vAlign w:val="center"/>
          </w:tcPr>
          <w:p w14:paraId="679D38A3">
            <w:pPr>
              <w:tabs>
                <w:tab w:val="left" w:pos="0"/>
              </w:tabs>
              <w:adjustRightInd w:val="0"/>
              <w:snapToGrid w:val="0"/>
              <w:rPr>
                <w:rFonts w:ascii="宋体" w:hAnsi="宋体" w:cs="宋体"/>
                <w:b/>
                <w:bCs/>
                <w:sz w:val="24"/>
                <w:szCs w:val="24"/>
                <w:highlight w:val="none"/>
              </w:rPr>
            </w:pPr>
            <w:r>
              <w:rPr>
                <w:rFonts w:hint="eastAsia" w:ascii="宋体" w:hAnsi="宋体" w:cs="宋体"/>
                <w:b/>
                <w:bCs/>
                <w:sz w:val="24"/>
                <w:szCs w:val="24"/>
                <w:highlight w:val="none"/>
              </w:rPr>
              <w:t>投标文件的签署盖章</w:t>
            </w:r>
          </w:p>
        </w:tc>
        <w:tc>
          <w:tcPr>
            <w:tcW w:w="2786" w:type="pct"/>
            <w:vAlign w:val="center"/>
          </w:tcPr>
          <w:p w14:paraId="1E400978">
            <w:pPr>
              <w:tabs>
                <w:tab w:val="left" w:pos="0"/>
              </w:tabs>
              <w:adjustRightInd w:val="0"/>
              <w:snapToGrid w:val="0"/>
              <w:rPr>
                <w:rFonts w:ascii="宋体" w:hAnsi="宋体" w:cs="宋体"/>
                <w:sz w:val="24"/>
                <w:szCs w:val="24"/>
                <w:highlight w:val="none"/>
              </w:rPr>
            </w:pPr>
            <w:r>
              <w:rPr>
                <w:rFonts w:hint="eastAsia" w:ascii="宋体" w:hAnsi="宋体" w:cs="宋体"/>
                <w:sz w:val="24"/>
                <w:szCs w:val="24"/>
                <w:highlight w:val="none"/>
              </w:rPr>
              <w:t>投标文件上法定代表人或其授权代表人的签字齐全并加盖公章</w:t>
            </w:r>
          </w:p>
        </w:tc>
      </w:tr>
      <w:tr w14:paraId="50791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36" w:type="pct"/>
            <w:vMerge w:val="continue"/>
          </w:tcPr>
          <w:p w14:paraId="521A73F5">
            <w:pPr>
              <w:tabs>
                <w:tab w:val="left" w:pos="0"/>
              </w:tabs>
              <w:adjustRightInd w:val="0"/>
              <w:snapToGrid w:val="0"/>
              <w:spacing w:line="360" w:lineRule="auto"/>
              <w:rPr>
                <w:rFonts w:ascii="宋体" w:hAnsi="宋体" w:cs="宋体"/>
                <w:sz w:val="24"/>
                <w:szCs w:val="24"/>
                <w:highlight w:val="none"/>
              </w:rPr>
            </w:pPr>
          </w:p>
        </w:tc>
        <w:tc>
          <w:tcPr>
            <w:tcW w:w="306" w:type="pct"/>
            <w:vMerge w:val="continue"/>
          </w:tcPr>
          <w:p w14:paraId="55E7C4E9">
            <w:pPr>
              <w:tabs>
                <w:tab w:val="left" w:pos="0"/>
              </w:tabs>
              <w:adjustRightInd w:val="0"/>
              <w:snapToGrid w:val="0"/>
              <w:spacing w:line="360" w:lineRule="auto"/>
              <w:rPr>
                <w:rFonts w:ascii="宋体" w:hAnsi="宋体" w:cs="宋体"/>
                <w:b/>
                <w:bCs/>
                <w:sz w:val="24"/>
                <w:szCs w:val="24"/>
                <w:highlight w:val="none"/>
              </w:rPr>
            </w:pPr>
          </w:p>
        </w:tc>
        <w:tc>
          <w:tcPr>
            <w:tcW w:w="286" w:type="pct"/>
            <w:vMerge w:val="continue"/>
          </w:tcPr>
          <w:p w14:paraId="41823D98">
            <w:pPr>
              <w:tabs>
                <w:tab w:val="left" w:pos="0"/>
              </w:tabs>
              <w:adjustRightInd w:val="0"/>
              <w:snapToGrid w:val="0"/>
              <w:spacing w:line="360" w:lineRule="auto"/>
              <w:rPr>
                <w:rFonts w:ascii="宋体" w:hAnsi="宋体" w:cs="宋体"/>
                <w:b/>
                <w:bCs/>
                <w:sz w:val="24"/>
                <w:szCs w:val="24"/>
                <w:highlight w:val="none"/>
              </w:rPr>
            </w:pPr>
          </w:p>
        </w:tc>
        <w:tc>
          <w:tcPr>
            <w:tcW w:w="1183" w:type="pct"/>
            <w:vAlign w:val="center"/>
          </w:tcPr>
          <w:p w14:paraId="00ACD4AA">
            <w:pPr>
              <w:tabs>
                <w:tab w:val="left" w:pos="0"/>
              </w:tabs>
              <w:adjustRightInd w:val="0"/>
              <w:snapToGrid w:val="0"/>
              <w:rPr>
                <w:rFonts w:ascii="宋体" w:hAnsi="宋体" w:cs="宋体"/>
                <w:b/>
                <w:bCs/>
                <w:sz w:val="24"/>
                <w:szCs w:val="24"/>
                <w:highlight w:val="none"/>
              </w:rPr>
            </w:pPr>
            <w:r>
              <w:rPr>
                <w:rFonts w:hint="eastAsia" w:ascii="宋体" w:hAnsi="宋体" w:cs="宋体"/>
                <w:b/>
                <w:bCs/>
                <w:sz w:val="24"/>
                <w:szCs w:val="24"/>
                <w:highlight w:val="none"/>
              </w:rPr>
              <w:t>投标文件格式</w:t>
            </w:r>
          </w:p>
        </w:tc>
        <w:tc>
          <w:tcPr>
            <w:tcW w:w="2786" w:type="pct"/>
            <w:vAlign w:val="center"/>
          </w:tcPr>
          <w:p w14:paraId="17074C24">
            <w:pPr>
              <w:tabs>
                <w:tab w:val="left" w:pos="0"/>
              </w:tabs>
              <w:adjustRightInd w:val="0"/>
              <w:snapToGrid w:val="0"/>
              <w:rPr>
                <w:rFonts w:ascii="宋体" w:hAnsi="宋体" w:cs="宋体"/>
                <w:sz w:val="24"/>
                <w:szCs w:val="24"/>
                <w:highlight w:val="none"/>
              </w:rPr>
            </w:pPr>
            <w:r>
              <w:rPr>
                <w:rFonts w:hint="eastAsia" w:ascii="宋体" w:hAnsi="宋体" w:cs="宋体"/>
                <w:sz w:val="24"/>
                <w:szCs w:val="24"/>
                <w:highlight w:val="none"/>
              </w:rPr>
              <w:t>应符合“投标文件格式”要求</w:t>
            </w:r>
          </w:p>
        </w:tc>
      </w:tr>
      <w:tr w14:paraId="6D489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436" w:type="pct"/>
            <w:vMerge w:val="continue"/>
          </w:tcPr>
          <w:p w14:paraId="3EA686A7">
            <w:pPr>
              <w:tabs>
                <w:tab w:val="left" w:pos="0"/>
              </w:tabs>
              <w:adjustRightInd w:val="0"/>
              <w:snapToGrid w:val="0"/>
              <w:spacing w:line="360" w:lineRule="auto"/>
              <w:rPr>
                <w:rFonts w:ascii="宋体" w:hAnsi="宋体" w:cs="宋体"/>
                <w:sz w:val="24"/>
                <w:szCs w:val="24"/>
                <w:highlight w:val="none"/>
              </w:rPr>
            </w:pPr>
          </w:p>
        </w:tc>
        <w:tc>
          <w:tcPr>
            <w:tcW w:w="306" w:type="pct"/>
            <w:vMerge w:val="continue"/>
          </w:tcPr>
          <w:p w14:paraId="6A84AA87">
            <w:pPr>
              <w:tabs>
                <w:tab w:val="left" w:pos="0"/>
              </w:tabs>
              <w:adjustRightInd w:val="0"/>
              <w:snapToGrid w:val="0"/>
              <w:spacing w:line="360" w:lineRule="auto"/>
              <w:rPr>
                <w:rFonts w:ascii="宋体" w:hAnsi="宋体" w:cs="宋体"/>
                <w:b/>
                <w:bCs/>
                <w:sz w:val="24"/>
                <w:szCs w:val="24"/>
                <w:highlight w:val="none"/>
              </w:rPr>
            </w:pPr>
          </w:p>
        </w:tc>
        <w:tc>
          <w:tcPr>
            <w:tcW w:w="286" w:type="pct"/>
            <w:vMerge w:val="continue"/>
          </w:tcPr>
          <w:p w14:paraId="01A8F967">
            <w:pPr>
              <w:tabs>
                <w:tab w:val="left" w:pos="0"/>
              </w:tabs>
              <w:adjustRightInd w:val="0"/>
              <w:snapToGrid w:val="0"/>
              <w:spacing w:line="360" w:lineRule="auto"/>
              <w:rPr>
                <w:rFonts w:ascii="宋体" w:hAnsi="宋体" w:cs="宋体"/>
                <w:b/>
                <w:bCs/>
                <w:sz w:val="24"/>
                <w:szCs w:val="24"/>
                <w:highlight w:val="none"/>
              </w:rPr>
            </w:pPr>
          </w:p>
        </w:tc>
        <w:tc>
          <w:tcPr>
            <w:tcW w:w="1183" w:type="pct"/>
            <w:vAlign w:val="center"/>
          </w:tcPr>
          <w:p w14:paraId="4C636764">
            <w:pPr>
              <w:tabs>
                <w:tab w:val="left" w:pos="0"/>
              </w:tabs>
              <w:adjustRightInd w:val="0"/>
              <w:snapToGrid w:val="0"/>
              <w:rPr>
                <w:rFonts w:ascii="宋体" w:hAnsi="宋体" w:cs="宋体"/>
                <w:b/>
                <w:bCs/>
                <w:sz w:val="24"/>
                <w:szCs w:val="24"/>
                <w:highlight w:val="none"/>
              </w:rPr>
            </w:pPr>
            <w:r>
              <w:rPr>
                <w:rFonts w:hint="eastAsia" w:ascii="宋体" w:hAnsi="宋体" w:cs="宋体"/>
                <w:b/>
                <w:bCs/>
                <w:sz w:val="24"/>
                <w:szCs w:val="24"/>
                <w:highlight w:val="none"/>
              </w:rPr>
              <w:t>报价唯一</w:t>
            </w:r>
          </w:p>
        </w:tc>
        <w:tc>
          <w:tcPr>
            <w:tcW w:w="2786" w:type="pct"/>
            <w:vAlign w:val="center"/>
          </w:tcPr>
          <w:p w14:paraId="6E9D003A">
            <w:pPr>
              <w:tabs>
                <w:tab w:val="left" w:pos="0"/>
              </w:tabs>
              <w:adjustRightInd w:val="0"/>
              <w:snapToGrid w:val="0"/>
              <w:rPr>
                <w:rFonts w:ascii="宋体" w:hAnsi="宋体" w:cs="宋体"/>
                <w:sz w:val="24"/>
                <w:szCs w:val="24"/>
                <w:highlight w:val="none"/>
              </w:rPr>
            </w:pPr>
            <w:r>
              <w:rPr>
                <w:rFonts w:hint="eastAsia" w:ascii="宋体" w:hAnsi="宋体" w:cs="宋体"/>
                <w:sz w:val="24"/>
                <w:szCs w:val="24"/>
                <w:highlight w:val="none"/>
              </w:rPr>
              <w:t>只能有一个有效报价，不得提交选择性报价，且报价不超过采购预算金额或最高限价</w:t>
            </w:r>
          </w:p>
        </w:tc>
      </w:tr>
      <w:tr w14:paraId="03D5F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2" w:hRule="atLeast"/>
        </w:trPr>
        <w:tc>
          <w:tcPr>
            <w:tcW w:w="436" w:type="pct"/>
            <w:vMerge w:val="continue"/>
            <w:vAlign w:val="center"/>
          </w:tcPr>
          <w:p w14:paraId="7A8EB966">
            <w:pPr>
              <w:tabs>
                <w:tab w:val="left" w:pos="0"/>
              </w:tabs>
              <w:adjustRightInd w:val="0"/>
              <w:snapToGrid w:val="0"/>
              <w:spacing w:line="360" w:lineRule="auto"/>
              <w:jc w:val="center"/>
              <w:rPr>
                <w:rFonts w:ascii="宋体" w:hAnsi="宋体" w:cs="宋体"/>
                <w:sz w:val="24"/>
                <w:szCs w:val="24"/>
                <w:highlight w:val="none"/>
              </w:rPr>
            </w:pPr>
          </w:p>
        </w:tc>
        <w:tc>
          <w:tcPr>
            <w:tcW w:w="306" w:type="pct"/>
            <w:vMerge w:val="continue"/>
            <w:vAlign w:val="center"/>
          </w:tcPr>
          <w:p w14:paraId="09671418">
            <w:pPr>
              <w:tabs>
                <w:tab w:val="left" w:pos="0"/>
              </w:tabs>
              <w:adjustRightInd w:val="0"/>
              <w:snapToGrid w:val="0"/>
              <w:jc w:val="center"/>
              <w:rPr>
                <w:rFonts w:ascii="宋体" w:hAnsi="宋体" w:cs="宋体"/>
                <w:b/>
                <w:bCs/>
                <w:sz w:val="24"/>
                <w:szCs w:val="24"/>
                <w:highlight w:val="none"/>
              </w:rPr>
            </w:pPr>
          </w:p>
        </w:tc>
        <w:tc>
          <w:tcPr>
            <w:tcW w:w="286" w:type="pct"/>
            <w:vMerge w:val="restart"/>
            <w:vAlign w:val="center"/>
          </w:tcPr>
          <w:p w14:paraId="35C2E43D">
            <w:pPr>
              <w:tabs>
                <w:tab w:val="left" w:pos="0"/>
              </w:tabs>
              <w:adjustRightInd w:val="0"/>
              <w:snapToGrid w:val="0"/>
              <w:jc w:val="center"/>
              <w:rPr>
                <w:rFonts w:ascii="宋体" w:hAnsi="宋体" w:cs="宋体"/>
                <w:b/>
                <w:bCs/>
                <w:sz w:val="24"/>
                <w:szCs w:val="24"/>
                <w:highlight w:val="none"/>
              </w:rPr>
            </w:pPr>
            <w:r>
              <w:rPr>
                <w:rFonts w:hint="eastAsia" w:ascii="宋体" w:hAnsi="宋体" w:cs="宋体"/>
                <w:b/>
                <w:bCs/>
                <w:sz w:val="24"/>
                <w:szCs w:val="24"/>
                <w:highlight w:val="none"/>
              </w:rPr>
              <w:t>完整性审查</w:t>
            </w:r>
          </w:p>
        </w:tc>
        <w:tc>
          <w:tcPr>
            <w:tcW w:w="1183" w:type="pct"/>
            <w:vAlign w:val="center"/>
          </w:tcPr>
          <w:p w14:paraId="172ED3FB">
            <w:pPr>
              <w:tabs>
                <w:tab w:val="left" w:pos="0"/>
              </w:tabs>
              <w:adjustRightInd w:val="0"/>
              <w:snapToGrid w:val="0"/>
              <w:rPr>
                <w:rFonts w:ascii="宋体" w:hAnsi="宋体" w:cs="宋体"/>
                <w:b/>
                <w:bCs/>
                <w:sz w:val="24"/>
                <w:szCs w:val="24"/>
                <w:highlight w:val="none"/>
              </w:rPr>
            </w:pPr>
            <w:r>
              <w:rPr>
                <w:rFonts w:hint="eastAsia" w:ascii="宋体" w:hAnsi="宋体" w:cs="宋体"/>
                <w:b/>
                <w:bCs/>
                <w:sz w:val="24"/>
                <w:szCs w:val="24"/>
                <w:highlight w:val="none"/>
              </w:rPr>
              <w:t>投标文件份数</w:t>
            </w:r>
          </w:p>
        </w:tc>
        <w:tc>
          <w:tcPr>
            <w:tcW w:w="2786" w:type="pct"/>
            <w:vAlign w:val="center"/>
          </w:tcPr>
          <w:p w14:paraId="7C0EED19">
            <w:pPr>
              <w:tabs>
                <w:tab w:val="left" w:pos="0"/>
              </w:tabs>
              <w:adjustRightInd w:val="0"/>
              <w:snapToGrid w:val="0"/>
              <w:rPr>
                <w:rFonts w:ascii="宋体" w:hAnsi="宋体" w:cs="宋体"/>
                <w:sz w:val="24"/>
                <w:szCs w:val="24"/>
                <w:highlight w:val="none"/>
              </w:rPr>
            </w:pPr>
            <w:r>
              <w:rPr>
                <w:rFonts w:hint="eastAsia" w:ascii="宋体" w:hAnsi="宋体" w:cs="宋体"/>
                <w:sz w:val="24"/>
                <w:szCs w:val="24"/>
                <w:highlight w:val="none"/>
              </w:rPr>
              <w:t>应符合“投标人须知前附表”规定的正本、副本、电子文件数量</w:t>
            </w:r>
          </w:p>
        </w:tc>
      </w:tr>
      <w:tr w14:paraId="6433F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7" w:hRule="atLeast"/>
        </w:trPr>
        <w:tc>
          <w:tcPr>
            <w:tcW w:w="436" w:type="pct"/>
            <w:vMerge w:val="continue"/>
          </w:tcPr>
          <w:p w14:paraId="788B71CC">
            <w:pPr>
              <w:tabs>
                <w:tab w:val="left" w:pos="0"/>
              </w:tabs>
              <w:adjustRightInd w:val="0"/>
              <w:snapToGrid w:val="0"/>
              <w:spacing w:line="360" w:lineRule="auto"/>
              <w:rPr>
                <w:rFonts w:ascii="宋体" w:hAnsi="宋体" w:cs="宋体"/>
                <w:sz w:val="24"/>
                <w:szCs w:val="24"/>
                <w:highlight w:val="none"/>
              </w:rPr>
            </w:pPr>
          </w:p>
        </w:tc>
        <w:tc>
          <w:tcPr>
            <w:tcW w:w="306" w:type="pct"/>
            <w:vMerge w:val="continue"/>
          </w:tcPr>
          <w:p w14:paraId="567E3D66">
            <w:pPr>
              <w:tabs>
                <w:tab w:val="left" w:pos="0"/>
              </w:tabs>
              <w:adjustRightInd w:val="0"/>
              <w:snapToGrid w:val="0"/>
              <w:spacing w:line="360" w:lineRule="auto"/>
              <w:rPr>
                <w:rFonts w:ascii="宋体" w:hAnsi="宋体" w:cs="宋体"/>
                <w:b/>
                <w:bCs/>
                <w:sz w:val="24"/>
                <w:szCs w:val="24"/>
                <w:highlight w:val="none"/>
              </w:rPr>
            </w:pPr>
          </w:p>
        </w:tc>
        <w:tc>
          <w:tcPr>
            <w:tcW w:w="286" w:type="pct"/>
            <w:vMerge w:val="continue"/>
          </w:tcPr>
          <w:p w14:paraId="257429A8">
            <w:pPr>
              <w:tabs>
                <w:tab w:val="left" w:pos="0"/>
              </w:tabs>
              <w:adjustRightInd w:val="0"/>
              <w:snapToGrid w:val="0"/>
              <w:spacing w:line="360" w:lineRule="auto"/>
              <w:rPr>
                <w:rFonts w:ascii="宋体" w:hAnsi="宋体" w:cs="宋体"/>
                <w:b/>
                <w:bCs/>
                <w:sz w:val="24"/>
                <w:szCs w:val="24"/>
                <w:highlight w:val="none"/>
              </w:rPr>
            </w:pPr>
          </w:p>
        </w:tc>
        <w:tc>
          <w:tcPr>
            <w:tcW w:w="1183" w:type="pct"/>
            <w:vAlign w:val="center"/>
          </w:tcPr>
          <w:p w14:paraId="4EDEEA30">
            <w:pPr>
              <w:tabs>
                <w:tab w:val="left" w:pos="0"/>
              </w:tabs>
              <w:adjustRightInd w:val="0"/>
              <w:snapToGrid w:val="0"/>
              <w:rPr>
                <w:rFonts w:ascii="宋体" w:hAnsi="宋体" w:cs="宋体"/>
                <w:b/>
                <w:bCs/>
                <w:sz w:val="24"/>
                <w:szCs w:val="24"/>
                <w:highlight w:val="none"/>
              </w:rPr>
            </w:pPr>
            <w:r>
              <w:rPr>
                <w:rFonts w:hint="eastAsia" w:ascii="宋体" w:hAnsi="宋体" w:cs="宋体"/>
                <w:b/>
                <w:bCs/>
                <w:sz w:val="24"/>
                <w:szCs w:val="24"/>
                <w:highlight w:val="none"/>
              </w:rPr>
              <w:t>投标文件内容</w:t>
            </w:r>
          </w:p>
        </w:tc>
        <w:tc>
          <w:tcPr>
            <w:tcW w:w="2786" w:type="pct"/>
            <w:vAlign w:val="center"/>
          </w:tcPr>
          <w:p w14:paraId="4E0DE3F5">
            <w:pPr>
              <w:tabs>
                <w:tab w:val="left" w:pos="0"/>
              </w:tabs>
              <w:adjustRightInd w:val="0"/>
              <w:snapToGrid w:val="0"/>
              <w:rPr>
                <w:rFonts w:ascii="宋体" w:hAnsi="宋体" w:cs="宋体"/>
                <w:sz w:val="24"/>
                <w:szCs w:val="24"/>
                <w:highlight w:val="none"/>
              </w:rPr>
            </w:pPr>
            <w:r>
              <w:rPr>
                <w:rFonts w:hint="eastAsia" w:ascii="宋体" w:hAnsi="宋体" w:cs="宋体"/>
                <w:sz w:val="24"/>
                <w:szCs w:val="24"/>
                <w:highlight w:val="none"/>
              </w:rPr>
              <w:t>投标文件内容齐全、无遗漏</w:t>
            </w:r>
          </w:p>
        </w:tc>
      </w:tr>
      <w:tr w14:paraId="79314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436" w:type="pct"/>
            <w:vMerge w:val="continue"/>
            <w:vAlign w:val="center"/>
          </w:tcPr>
          <w:p w14:paraId="41AE911D">
            <w:pPr>
              <w:tabs>
                <w:tab w:val="left" w:pos="0"/>
              </w:tabs>
              <w:adjustRightInd w:val="0"/>
              <w:snapToGrid w:val="0"/>
              <w:spacing w:line="360" w:lineRule="auto"/>
              <w:jc w:val="center"/>
              <w:rPr>
                <w:rFonts w:ascii="宋体" w:hAnsi="宋体" w:cs="宋体"/>
                <w:sz w:val="24"/>
                <w:szCs w:val="24"/>
                <w:highlight w:val="none"/>
              </w:rPr>
            </w:pPr>
          </w:p>
        </w:tc>
        <w:tc>
          <w:tcPr>
            <w:tcW w:w="306" w:type="pct"/>
            <w:vMerge w:val="continue"/>
            <w:vAlign w:val="center"/>
          </w:tcPr>
          <w:p w14:paraId="6B269CA0">
            <w:pPr>
              <w:tabs>
                <w:tab w:val="left" w:pos="0"/>
              </w:tabs>
              <w:adjustRightInd w:val="0"/>
              <w:snapToGrid w:val="0"/>
              <w:jc w:val="center"/>
              <w:rPr>
                <w:rFonts w:ascii="宋体" w:hAnsi="宋体" w:cs="宋体"/>
                <w:b/>
                <w:bCs/>
                <w:sz w:val="24"/>
                <w:szCs w:val="24"/>
                <w:highlight w:val="none"/>
              </w:rPr>
            </w:pPr>
          </w:p>
        </w:tc>
        <w:tc>
          <w:tcPr>
            <w:tcW w:w="286" w:type="pct"/>
            <w:vMerge w:val="restart"/>
            <w:vAlign w:val="center"/>
          </w:tcPr>
          <w:p w14:paraId="4D8A6FCD">
            <w:pPr>
              <w:tabs>
                <w:tab w:val="left" w:pos="0"/>
              </w:tabs>
              <w:adjustRightInd w:val="0"/>
              <w:snapToGrid w:val="0"/>
              <w:jc w:val="center"/>
              <w:rPr>
                <w:rFonts w:ascii="宋体" w:hAnsi="宋体" w:cs="宋体"/>
                <w:b/>
                <w:bCs/>
                <w:sz w:val="24"/>
                <w:szCs w:val="24"/>
                <w:highlight w:val="none"/>
              </w:rPr>
            </w:pPr>
            <w:r>
              <w:rPr>
                <w:rFonts w:hint="eastAsia" w:ascii="宋体" w:hAnsi="宋体" w:cs="宋体"/>
                <w:b/>
                <w:bCs/>
                <w:sz w:val="24"/>
                <w:szCs w:val="24"/>
                <w:highlight w:val="none"/>
              </w:rPr>
              <w:t>响应性审查</w:t>
            </w:r>
          </w:p>
        </w:tc>
        <w:tc>
          <w:tcPr>
            <w:tcW w:w="1183" w:type="pct"/>
            <w:vAlign w:val="center"/>
          </w:tcPr>
          <w:p w14:paraId="139B6160">
            <w:pPr>
              <w:tabs>
                <w:tab w:val="left" w:pos="0"/>
              </w:tabs>
              <w:adjustRightInd w:val="0"/>
              <w:snapToGrid w:val="0"/>
              <w:rPr>
                <w:rFonts w:ascii="宋体" w:hAnsi="宋体" w:cs="宋体"/>
                <w:b/>
                <w:bCs/>
                <w:sz w:val="24"/>
                <w:szCs w:val="24"/>
                <w:highlight w:val="none"/>
              </w:rPr>
            </w:pPr>
            <w:r>
              <w:rPr>
                <w:rFonts w:hint="eastAsia" w:ascii="宋体" w:hAnsi="宋体" w:cs="宋体"/>
                <w:b/>
                <w:bCs/>
                <w:sz w:val="24"/>
                <w:szCs w:val="24"/>
                <w:highlight w:val="none"/>
              </w:rPr>
              <w:t>对招标文件响应程度</w:t>
            </w:r>
          </w:p>
        </w:tc>
        <w:tc>
          <w:tcPr>
            <w:tcW w:w="2786" w:type="pct"/>
            <w:vAlign w:val="center"/>
          </w:tcPr>
          <w:p w14:paraId="7C8AAB6F">
            <w:pPr>
              <w:tabs>
                <w:tab w:val="left" w:pos="0"/>
              </w:tabs>
              <w:adjustRightInd w:val="0"/>
              <w:snapToGrid w:val="0"/>
              <w:rPr>
                <w:rFonts w:ascii="宋体" w:hAnsi="宋体" w:cs="宋体"/>
                <w:sz w:val="24"/>
                <w:szCs w:val="24"/>
                <w:highlight w:val="none"/>
              </w:rPr>
            </w:pPr>
            <w:r>
              <w:rPr>
                <w:rFonts w:hint="eastAsia" w:ascii="宋体" w:hAnsi="宋体" w:cs="宋体"/>
                <w:sz w:val="24"/>
                <w:szCs w:val="24"/>
                <w:highlight w:val="none"/>
              </w:rPr>
              <w:t>要求全面响应，不能有任何采购人不能接受的附加条件</w:t>
            </w:r>
          </w:p>
        </w:tc>
      </w:tr>
      <w:tr w14:paraId="4D1CE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36" w:type="pct"/>
            <w:vMerge w:val="continue"/>
          </w:tcPr>
          <w:p w14:paraId="7E440BC2">
            <w:pPr>
              <w:tabs>
                <w:tab w:val="left" w:pos="0"/>
              </w:tabs>
              <w:adjustRightInd w:val="0"/>
              <w:snapToGrid w:val="0"/>
              <w:spacing w:line="360" w:lineRule="auto"/>
              <w:rPr>
                <w:rFonts w:ascii="宋体" w:hAnsi="宋体" w:cs="宋体"/>
                <w:sz w:val="24"/>
                <w:szCs w:val="24"/>
                <w:highlight w:val="none"/>
              </w:rPr>
            </w:pPr>
          </w:p>
        </w:tc>
        <w:tc>
          <w:tcPr>
            <w:tcW w:w="306" w:type="pct"/>
            <w:vMerge w:val="continue"/>
          </w:tcPr>
          <w:p w14:paraId="3681C8A2">
            <w:pPr>
              <w:tabs>
                <w:tab w:val="left" w:pos="0"/>
              </w:tabs>
              <w:adjustRightInd w:val="0"/>
              <w:snapToGrid w:val="0"/>
              <w:spacing w:line="360" w:lineRule="auto"/>
              <w:rPr>
                <w:rFonts w:ascii="宋体" w:hAnsi="宋体" w:cs="宋体"/>
                <w:b/>
                <w:bCs/>
                <w:sz w:val="24"/>
                <w:szCs w:val="24"/>
                <w:highlight w:val="none"/>
              </w:rPr>
            </w:pPr>
          </w:p>
        </w:tc>
        <w:tc>
          <w:tcPr>
            <w:tcW w:w="286" w:type="pct"/>
            <w:vMerge w:val="continue"/>
          </w:tcPr>
          <w:p w14:paraId="2B457400">
            <w:pPr>
              <w:tabs>
                <w:tab w:val="left" w:pos="0"/>
              </w:tabs>
              <w:adjustRightInd w:val="0"/>
              <w:snapToGrid w:val="0"/>
              <w:spacing w:line="360" w:lineRule="auto"/>
              <w:rPr>
                <w:rFonts w:ascii="宋体" w:hAnsi="宋体" w:cs="宋体"/>
                <w:b/>
                <w:bCs/>
                <w:sz w:val="24"/>
                <w:szCs w:val="24"/>
                <w:highlight w:val="none"/>
              </w:rPr>
            </w:pPr>
          </w:p>
        </w:tc>
        <w:tc>
          <w:tcPr>
            <w:tcW w:w="1183" w:type="pct"/>
            <w:vAlign w:val="center"/>
          </w:tcPr>
          <w:p w14:paraId="6A67B0AA">
            <w:pPr>
              <w:tabs>
                <w:tab w:val="left" w:pos="0"/>
              </w:tabs>
              <w:adjustRightInd w:val="0"/>
              <w:snapToGrid w:val="0"/>
              <w:rPr>
                <w:rFonts w:hint="eastAsia" w:ascii="宋体" w:hAnsi="宋体" w:eastAsia="宋体" w:cs="宋体"/>
                <w:b/>
                <w:bCs/>
                <w:sz w:val="24"/>
                <w:szCs w:val="24"/>
                <w:highlight w:val="none"/>
                <w:lang w:eastAsia="zh-CN"/>
              </w:rPr>
            </w:pPr>
            <w:r>
              <w:rPr>
                <w:rFonts w:hint="eastAsia" w:ascii="宋体" w:hAnsi="宋体" w:cs="宋体"/>
                <w:b/>
                <w:bCs/>
                <w:sz w:val="24"/>
                <w:szCs w:val="24"/>
                <w:highlight w:val="none"/>
                <w:lang w:val="en-US" w:eastAsia="zh-CN"/>
              </w:rPr>
              <w:t>服务期</w:t>
            </w:r>
          </w:p>
        </w:tc>
        <w:tc>
          <w:tcPr>
            <w:tcW w:w="2786" w:type="pct"/>
            <w:vAlign w:val="center"/>
          </w:tcPr>
          <w:p w14:paraId="3C786392">
            <w:pPr>
              <w:tabs>
                <w:tab w:val="left" w:pos="0"/>
              </w:tabs>
              <w:adjustRightInd w:val="0"/>
              <w:snapToGrid w:val="0"/>
              <w:rPr>
                <w:rFonts w:hint="eastAsia" w:ascii="宋体" w:hAnsi="宋体" w:eastAsia="宋体" w:cs="宋体"/>
                <w:sz w:val="24"/>
                <w:szCs w:val="24"/>
                <w:highlight w:val="none"/>
                <w:lang w:eastAsia="zh-CN"/>
              </w:rPr>
            </w:pPr>
            <w:r>
              <w:rPr>
                <w:rFonts w:hint="eastAsia" w:ascii="宋体" w:hAnsi="宋体" w:cs="宋体"/>
                <w:sz w:val="24"/>
                <w:szCs w:val="24"/>
                <w:highlight w:val="none"/>
              </w:rPr>
              <w:t>应满足招标文件中要求的</w:t>
            </w:r>
            <w:r>
              <w:rPr>
                <w:rFonts w:hint="eastAsia" w:ascii="宋体" w:hAnsi="宋体" w:cs="宋体"/>
                <w:sz w:val="24"/>
                <w:szCs w:val="24"/>
                <w:highlight w:val="none"/>
                <w:lang w:val="en-US" w:eastAsia="zh-CN"/>
              </w:rPr>
              <w:t>服务期</w:t>
            </w:r>
          </w:p>
        </w:tc>
      </w:tr>
      <w:tr w14:paraId="66146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36" w:type="pct"/>
            <w:vMerge w:val="continue"/>
          </w:tcPr>
          <w:p w14:paraId="5F89B942">
            <w:pPr>
              <w:tabs>
                <w:tab w:val="left" w:pos="0"/>
              </w:tabs>
              <w:adjustRightInd w:val="0"/>
              <w:snapToGrid w:val="0"/>
              <w:spacing w:line="360" w:lineRule="auto"/>
              <w:rPr>
                <w:rFonts w:ascii="宋体" w:hAnsi="宋体" w:cs="宋体"/>
                <w:sz w:val="24"/>
                <w:szCs w:val="24"/>
                <w:highlight w:val="none"/>
              </w:rPr>
            </w:pPr>
          </w:p>
        </w:tc>
        <w:tc>
          <w:tcPr>
            <w:tcW w:w="306" w:type="pct"/>
            <w:vMerge w:val="continue"/>
          </w:tcPr>
          <w:p w14:paraId="3BC896BE">
            <w:pPr>
              <w:tabs>
                <w:tab w:val="left" w:pos="0"/>
              </w:tabs>
              <w:adjustRightInd w:val="0"/>
              <w:snapToGrid w:val="0"/>
              <w:spacing w:line="360" w:lineRule="auto"/>
              <w:rPr>
                <w:rFonts w:ascii="宋体" w:hAnsi="宋体" w:cs="宋体"/>
                <w:b/>
                <w:bCs/>
                <w:sz w:val="24"/>
                <w:szCs w:val="24"/>
                <w:highlight w:val="none"/>
              </w:rPr>
            </w:pPr>
          </w:p>
        </w:tc>
        <w:tc>
          <w:tcPr>
            <w:tcW w:w="286" w:type="pct"/>
            <w:vMerge w:val="continue"/>
          </w:tcPr>
          <w:p w14:paraId="7FC5F284">
            <w:pPr>
              <w:tabs>
                <w:tab w:val="left" w:pos="0"/>
              </w:tabs>
              <w:adjustRightInd w:val="0"/>
              <w:snapToGrid w:val="0"/>
              <w:spacing w:line="360" w:lineRule="auto"/>
              <w:rPr>
                <w:rFonts w:ascii="宋体" w:hAnsi="宋体" w:cs="宋体"/>
                <w:b/>
                <w:bCs/>
                <w:sz w:val="24"/>
                <w:szCs w:val="24"/>
                <w:highlight w:val="none"/>
              </w:rPr>
            </w:pPr>
          </w:p>
        </w:tc>
        <w:tc>
          <w:tcPr>
            <w:tcW w:w="1183" w:type="pct"/>
            <w:vAlign w:val="center"/>
          </w:tcPr>
          <w:p w14:paraId="0134830A">
            <w:pPr>
              <w:tabs>
                <w:tab w:val="left" w:pos="0"/>
              </w:tabs>
              <w:adjustRightInd w:val="0"/>
              <w:snapToGrid w:val="0"/>
              <w:rPr>
                <w:rFonts w:ascii="宋体" w:hAnsi="宋体" w:cs="宋体"/>
                <w:b/>
                <w:bCs/>
                <w:sz w:val="24"/>
                <w:szCs w:val="24"/>
                <w:highlight w:val="none"/>
              </w:rPr>
            </w:pPr>
            <w:r>
              <w:rPr>
                <w:rFonts w:hint="eastAsia" w:ascii="宋体" w:hAnsi="宋体" w:cs="宋体"/>
                <w:b/>
                <w:bCs/>
                <w:sz w:val="24"/>
                <w:szCs w:val="24"/>
                <w:highlight w:val="none"/>
              </w:rPr>
              <w:t>施工地点</w:t>
            </w:r>
          </w:p>
        </w:tc>
        <w:tc>
          <w:tcPr>
            <w:tcW w:w="2786" w:type="pct"/>
            <w:vAlign w:val="center"/>
          </w:tcPr>
          <w:p w14:paraId="58AAE024">
            <w:pPr>
              <w:tabs>
                <w:tab w:val="left" w:pos="0"/>
              </w:tabs>
              <w:adjustRightInd w:val="0"/>
              <w:snapToGrid w:val="0"/>
              <w:rPr>
                <w:rFonts w:ascii="宋体" w:hAnsi="宋体" w:cs="宋体"/>
                <w:sz w:val="24"/>
                <w:szCs w:val="24"/>
                <w:highlight w:val="none"/>
              </w:rPr>
            </w:pPr>
            <w:r>
              <w:rPr>
                <w:rFonts w:hint="eastAsia" w:ascii="宋体" w:hAnsi="宋体" w:cs="宋体"/>
                <w:sz w:val="24"/>
                <w:szCs w:val="24"/>
                <w:highlight w:val="none"/>
              </w:rPr>
              <w:t>应满足招标文件中要求的施工地点</w:t>
            </w:r>
          </w:p>
        </w:tc>
      </w:tr>
      <w:tr w14:paraId="2E82D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trPr>
        <w:tc>
          <w:tcPr>
            <w:tcW w:w="436" w:type="pct"/>
            <w:vMerge w:val="continue"/>
          </w:tcPr>
          <w:p w14:paraId="6394F494">
            <w:pPr>
              <w:tabs>
                <w:tab w:val="left" w:pos="0"/>
              </w:tabs>
              <w:adjustRightInd w:val="0"/>
              <w:snapToGrid w:val="0"/>
              <w:spacing w:line="360" w:lineRule="auto"/>
              <w:rPr>
                <w:rFonts w:ascii="宋体" w:hAnsi="宋体" w:cs="宋体"/>
                <w:sz w:val="24"/>
                <w:szCs w:val="24"/>
                <w:highlight w:val="none"/>
              </w:rPr>
            </w:pPr>
          </w:p>
        </w:tc>
        <w:tc>
          <w:tcPr>
            <w:tcW w:w="306" w:type="pct"/>
            <w:vMerge w:val="continue"/>
          </w:tcPr>
          <w:p w14:paraId="2BC850E8">
            <w:pPr>
              <w:tabs>
                <w:tab w:val="left" w:pos="0"/>
              </w:tabs>
              <w:adjustRightInd w:val="0"/>
              <w:snapToGrid w:val="0"/>
              <w:spacing w:line="360" w:lineRule="auto"/>
              <w:rPr>
                <w:rFonts w:ascii="宋体" w:hAnsi="宋体" w:cs="宋体"/>
                <w:b/>
                <w:bCs/>
                <w:sz w:val="24"/>
                <w:szCs w:val="24"/>
                <w:highlight w:val="none"/>
              </w:rPr>
            </w:pPr>
          </w:p>
        </w:tc>
        <w:tc>
          <w:tcPr>
            <w:tcW w:w="286" w:type="pct"/>
            <w:vMerge w:val="continue"/>
          </w:tcPr>
          <w:p w14:paraId="5052A1A2">
            <w:pPr>
              <w:tabs>
                <w:tab w:val="left" w:pos="0"/>
              </w:tabs>
              <w:adjustRightInd w:val="0"/>
              <w:snapToGrid w:val="0"/>
              <w:spacing w:line="360" w:lineRule="auto"/>
              <w:rPr>
                <w:rFonts w:ascii="宋体" w:hAnsi="宋体" w:cs="宋体"/>
                <w:b/>
                <w:bCs/>
                <w:sz w:val="24"/>
                <w:szCs w:val="24"/>
                <w:highlight w:val="none"/>
              </w:rPr>
            </w:pPr>
          </w:p>
        </w:tc>
        <w:tc>
          <w:tcPr>
            <w:tcW w:w="1183" w:type="pct"/>
            <w:vAlign w:val="center"/>
          </w:tcPr>
          <w:p w14:paraId="5536DA59">
            <w:pPr>
              <w:tabs>
                <w:tab w:val="left" w:pos="0"/>
              </w:tabs>
              <w:adjustRightInd w:val="0"/>
              <w:snapToGrid w:val="0"/>
              <w:rPr>
                <w:rFonts w:ascii="宋体" w:hAnsi="宋体" w:cs="宋体"/>
                <w:b/>
                <w:bCs/>
                <w:sz w:val="24"/>
                <w:szCs w:val="24"/>
                <w:highlight w:val="none"/>
              </w:rPr>
            </w:pPr>
            <w:r>
              <w:rPr>
                <w:rFonts w:hint="eastAsia" w:ascii="宋体" w:hAnsi="宋体" w:cs="宋体"/>
                <w:b/>
                <w:bCs/>
                <w:sz w:val="24"/>
                <w:szCs w:val="24"/>
                <w:highlight w:val="none"/>
              </w:rPr>
              <w:t>投标有效期</w:t>
            </w:r>
          </w:p>
        </w:tc>
        <w:tc>
          <w:tcPr>
            <w:tcW w:w="2786" w:type="pct"/>
            <w:vAlign w:val="center"/>
          </w:tcPr>
          <w:p w14:paraId="6BD2208C">
            <w:pPr>
              <w:tabs>
                <w:tab w:val="left" w:pos="0"/>
              </w:tabs>
              <w:adjustRightInd w:val="0"/>
              <w:snapToGrid w:val="0"/>
              <w:rPr>
                <w:rFonts w:ascii="宋体" w:hAnsi="宋体" w:cs="宋体"/>
                <w:sz w:val="24"/>
                <w:szCs w:val="24"/>
                <w:highlight w:val="none"/>
              </w:rPr>
            </w:pPr>
            <w:r>
              <w:rPr>
                <w:rFonts w:hint="eastAsia" w:ascii="宋体" w:hAnsi="宋体" w:cs="宋体"/>
                <w:sz w:val="24"/>
                <w:szCs w:val="24"/>
                <w:highlight w:val="none"/>
              </w:rPr>
              <w:t>应满足招标文件中的规定</w:t>
            </w:r>
          </w:p>
        </w:tc>
      </w:tr>
    </w:tbl>
    <w:p w14:paraId="06D29E21">
      <w:pPr>
        <w:spacing w:line="600" w:lineRule="exact"/>
        <w:jc w:val="left"/>
        <w:rPr>
          <w:rFonts w:asciiTheme="minorEastAsia" w:hAnsiTheme="minorEastAsia" w:eastAsiaTheme="minorEastAsia" w:cstheme="minorEastAsia"/>
          <w:b/>
          <w:sz w:val="28"/>
          <w:szCs w:val="28"/>
          <w:highlight w:val="none"/>
        </w:rPr>
      </w:pPr>
      <w:r>
        <w:rPr>
          <w:rFonts w:hint="eastAsia" w:asciiTheme="minorEastAsia" w:hAnsiTheme="minorEastAsia" w:eastAsiaTheme="minorEastAsia" w:cstheme="minorEastAsia"/>
          <w:b/>
          <w:sz w:val="28"/>
          <w:szCs w:val="28"/>
          <w:highlight w:val="none"/>
        </w:rPr>
        <w:t>附件2分值构成与评分标准</w:t>
      </w:r>
    </w:p>
    <w:tbl>
      <w:tblPr>
        <w:tblStyle w:val="29"/>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0"/>
        <w:gridCol w:w="1281"/>
        <w:gridCol w:w="1437"/>
        <w:gridCol w:w="5843"/>
      </w:tblGrid>
      <w:tr w14:paraId="03789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442" w:type="pct"/>
            <w:vAlign w:val="center"/>
          </w:tcPr>
          <w:p w14:paraId="5C1BFCE0">
            <w:pPr>
              <w:spacing w:line="480" w:lineRule="exact"/>
              <w:jc w:val="center"/>
              <w:rPr>
                <w:rFonts w:ascii="宋体" w:hAnsi="宋体" w:cs="宋体"/>
                <w:b/>
                <w:sz w:val="24"/>
                <w:szCs w:val="24"/>
                <w:highlight w:val="none"/>
              </w:rPr>
            </w:pPr>
            <w:r>
              <w:rPr>
                <w:rFonts w:hint="eastAsia" w:ascii="宋体" w:hAnsi="宋体" w:cs="宋体"/>
                <w:b/>
                <w:sz w:val="24"/>
                <w:szCs w:val="24"/>
                <w:highlight w:val="none"/>
              </w:rPr>
              <w:t>评分因素</w:t>
            </w:r>
          </w:p>
        </w:tc>
        <w:tc>
          <w:tcPr>
            <w:tcW w:w="681" w:type="pct"/>
            <w:vAlign w:val="center"/>
          </w:tcPr>
          <w:p w14:paraId="18ED73FA">
            <w:pPr>
              <w:spacing w:line="480" w:lineRule="exact"/>
              <w:jc w:val="center"/>
              <w:rPr>
                <w:rFonts w:ascii="宋体" w:hAnsi="宋体" w:cs="宋体"/>
                <w:b/>
                <w:sz w:val="24"/>
                <w:szCs w:val="24"/>
                <w:highlight w:val="none"/>
              </w:rPr>
            </w:pPr>
            <w:r>
              <w:rPr>
                <w:rFonts w:hint="eastAsia" w:ascii="宋体" w:hAnsi="宋体" w:cs="宋体"/>
                <w:b/>
                <w:sz w:val="24"/>
                <w:szCs w:val="24"/>
                <w:highlight w:val="none"/>
              </w:rPr>
              <w:t>总分</w:t>
            </w:r>
          </w:p>
          <w:p w14:paraId="62A3A09C">
            <w:pPr>
              <w:spacing w:line="480" w:lineRule="exact"/>
              <w:jc w:val="center"/>
              <w:rPr>
                <w:rFonts w:ascii="宋体" w:hAnsi="宋体" w:cs="宋体"/>
                <w:b/>
                <w:sz w:val="24"/>
                <w:szCs w:val="24"/>
                <w:highlight w:val="none"/>
              </w:rPr>
            </w:pPr>
            <w:r>
              <w:rPr>
                <w:rFonts w:hint="eastAsia" w:ascii="宋体" w:hAnsi="宋体" w:cs="宋体"/>
                <w:b/>
                <w:sz w:val="24"/>
                <w:szCs w:val="24"/>
                <w:highlight w:val="none"/>
              </w:rPr>
              <w:t>（100分）</w:t>
            </w:r>
          </w:p>
        </w:tc>
        <w:tc>
          <w:tcPr>
            <w:tcW w:w="765" w:type="pct"/>
            <w:vAlign w:val="center"/>
          </w:tcPr>
          <w:p w14:paraId="3202E956">
            <w:pPr>
              <w:spacing w:line="480" w:lineRule="exact"/>
              <w:jc w:val="center"/>
              <w:rPr>
                <w:rFonts w:ascii="宋体" w:hAnsi="宋体" w:cs="宋体"/>
                <w:b/>
                <w:sz w:val="24"/>
                <w:szCs w:val="24"/>
                <w:highlight w:val="none"/>
              </w:rPr>
            </w:pPr>
            <w:r>
              <w:rPr>
                <w:rFonts w:hint="eastAsia" w:ascii="宋体" w:hAnsi="宋体" w:cs="宋体"/>
                <w:b/>
                <w:sz w:val="24"/>
                <w:szCs w:val="24"/>
                <w:highlight w:val="none"/>
              </w:rPr>
              <w:t>评审要素</w:t>
            </w:r>
          </w:p>
        </w:tc>
        <w:tc>
          <w:tcPr>
            <w:tcW w:w="3110" w:type="pct"/>
            <w:vAlign w:val="center"/>
          </w:tcPr>
          <w:p w14:paraId="4AF0BA9F">
            <w:pPr>
              <w:spacing w:line="480" w:lineRule="exact"/>
              <w:jc w:val="center"/>
              <w:rPr>
                <w:rFonts w:ascii="宋体" w:hAnsi="宋体" w:cs="宋体"/>
                <w:b/>
                <w:sz w:val="24"/>
                <w:szCs w:val="24"/>
                <w:highlight w:val="none"/>
              </w:rPr>
            </w:pPr>
            <w:r>
              <w:rPr>
                <w:rFonts w:hint="eastAsia" w:ascii="宋体" w:hAnsi="宋体" w:cs="宋体"/>
                <w:b/>
                <w:sz w:val="24"/>
                <w:szCs w:val="24"/>
                <w:highlight w:val="none"/>
              </w:rPr>
              <w:t>评分标准</w:t>
            </w:r>
          </w:p>
        </w:tc>
      </w:tr>
      <w:tr w14:paraId="27A84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42" w:type="pct"/>
            <w:vMerge w:val="restart"/>
            <w:vAlign w:val="center"/>
          </w:tcPr>
          <w:p w14:paraId="1DDCDCCB">
            <w:pPr>
              <w:spacing w:line="480" w:lineRule="exact"/>
              <w:jc w:val="center"/>
              <w:rPr>
                <w:rFonts w:ascii="宋体" w:hAnsi="宋体" w:cs="宋体"/>
                <w:sz w:val="24"/>
                <w:szCs w:val="24"/>
                <w:highlight w:val="none"/>
              </w:rPr>
            </w:pPr>
            <w:r>
              <w:rPr>
                <w:rFonts w:hint="eastAsia" w:ascii="宋体" w:hAnsi="宋体" w:cs="宋体"/>
                <w:sz w:val="24"/>
                <w:szCs w:val="24"/>
                <w:highlight w:val="none"/>
              </w:rPr>
              <w:t>技术评分部分</w:t>
            </w:r>
          </w:p>
        </w:tc>
        <w:tc>
          <w:tcPr>
            <w:tcW w:w="681" w:type="pct"/>
            <w:vMerge w:val="restart"/>
            <w:vAlign w:val="center"/>
          </w:tcPr>
          <w:p w14:paraId="04D9D355">
            <w:pPr>
              <w:spacing w:line="480" w:lineRule="exact"/>
              <w:jc w:val="center"/>
              <w:rPr>
                <w:rFonts w:ascii="宋体" w:hAnsi="宋体" w:cs="宋体"/>
                <w:sz w:val="24"/>
                <w:szCs w:val="24"/>
                <w:highlight w:val="none"/>
              </w:rPr>
            </w:pPr>
            <w:r>
              <w:rPr>
                <w:rFonts w:hint="eastAsia" w:ascii="宋体" w:hAnsi="宋体" w:cs="宋体"/>
                <w:sz w:val="24"/>
                <w:szCs w:val="24"/>
                <w:highlight w:val="none"/>
              </w:rPr>
              <w:t>（</w:t>
            </w:r>
            <w:r>
              <w:rPr>
                <w:rFonts w:hint="eastAsia" w:ascii="宋体" w:hAnsi="宋体" w:cs="宋体"/>
                <w:sz w:val="24"/>
                <w:szCs w:val="24"/>
                <w:highlight w:val="none"/>
                <w:lang w:val="en-US" w:eastAsia="zh-CN"/>
              </w:rPr>
              <w:t>85</w:t>
            </w:r>
            <w:r>
              <w:rPr>
                <w:rFonts w:hint="eastAsia" w:ascii="宋体" w:hAnsi="宋体" w:cs="宋体"/>
                <w:sz w:val="24"/>
                <w:szCs w:val="24"/>
                <w:highlight w:val="none"/>
              </w:rPr>
              <w:t>分）</w:t>
            </w:r>
          </w:p>
        </w:tc>
        <w:tc>
          <w:tcPr>
            <w:tcW w:w="765" w:type="pct"/>
            <w:vAlign w:val="center"/>
          </w:tcPr>
          <w:p w14:paraId="6D39224B">
            <w:pPr>
              <w:spacing w:line="480" w:lineRule="exact"/>
              <w:jc w:val="center"/>
              <w:rPr>
                <w:rFonts w:hint="eastAsia" w:ascii="宋体" w:hAnsi="宋体" w:cs="宋体"/>
                <w:sz w:val="24"/>
                <w:szCs w:val="24"/>
                <w:highlight w:val="none"/>
              </w:rPr>
            </w:pPr>
            <w:r>
              <w:rPr>
                <w:rFonts w:hint="eastAsia" w:ascii="宋体" w:hAnsi="宋体" w:cs="宋体"/>
                <w:sz w:val="24"/>
                <w:szCs w:val="24"/>
                <w:highlight w:val="none"/>
              </w:rPr>
              <w:t>①项目管理部门及人员配备</w:t>
            </w:r>
          </w:p>
          <w:p w14:paraId="132D4F44">
            <w:pPr>
              <w:spacing w:line="480" w:lineRule="exact"/>
              <w:jc w:val="center"/>
              <w:rPr>
                <w:rFonts w:ascii="宋体" w:hAnsi="宋体" w:cs="宋体"/>
                <w:sz w:val="24"/>
                <w:szCs w:val="24"/>
                <w:highlight w:val="none"/>
              </w:rPr>
            </w:pPr>
            <w:r>
              <w:rPr>
                <w:rFonts w:hint="eastAsia" w:ascii="宋体" w:hAnsi="宋体" w:cs="宋体"/>
                <w:sz w:val="24"/>
                <w:szCs w:val="24"/>
                <w:highlight w:val="none"/>
              </w:rPr>
              <w:t>（</w:t>
            </w:r>
            <w:r>
              <w:rPr>
                <w:rFonts w:hint="eastAsia" w:ascii="宋体" w:hAnsi="宋体" w:cs="宋体"/>
                <w:sz w:val="24"/>
                <w:szCs w:val="24"/>
                <w:highlight w:val="none"/>
                <w:lang w:val="en-US" w:eastAsia="zh-CN"/>
              </w:rPr>
              <w:t>9</w:t>
            </w:r>
            <w:r>
              <w:rPr>
                <w:rFonts w:hint="eastAsia" w:ascii="宋体" w:hAnsi="宋体" w:cs="宋体"/>
                <w:sz w:val="24"/>
                <w:szCs w:val="24"/>
                <w:highlight w:val="none"/>
              </w:rPr>
              <w:t>分）</w:t>
            </w:r>
          </w:p>
        </w:tc>
        <w:tc>
          <w:tcPr>
            <w:tcW w:w="3110" w:type="pct"/>
            <w:vAlign w:val="center"/>
          </w:tcPr>
          <w:p w14:paraId="20802AEA">
            <w:pPr>
              <w:pStyle w:val="64"/>
              <w:keepNext w:val="0"/>
              <w:keepLines w:val="0"/>
              <w:pageBreakBefore w:val="0"/>
              <w:widowControl/>
              <w:numPr>
                <w:ilvl w:val="0"/>
                <w:numId w:val="0"/>
              </w:numPr>
              <w:kinsoku/>
              <w:wordWrap/>
              <w:overflowPunct/>
              <w:topLinePunct w:val="0"/>
              <w:autoSpaceDE/>
              <w:autoSpaceDN/>
              <w:bidi w:val="0"/>
              <w:adjustRightInd/>
              <w:snapToGrid/>
              <w:spacing w:line="300" w:lineRule="auto"/>
              <w:textAlignment w:val="auto"/>
              <w:rPr>
                <w:rFonts w:hint="eastAsia" w:ascii="宋体" w:hAnsi="宋体" w:eastAsia="宋体" w:cs="宋体"/>
                <w:b/>
                <w:bCs/>
                <w:sz w:val="24"/>
                <w:szCs w:val="24"/>
              </w:rPr>
            </w:pPr>
            <w:r>
              <w:rPr>
                <w:rFonts w:hint="eastAsia" w:ascii="宋体" w:hAnsi="宋体" w:eastAsia="宋体" w:cs="宋体"/>
                <w:b/>
                <w:bCs/>
                <w:sz w:val="24"/>
                <w:szCs w:val="24"/>
                <w:lang w:val="en-US" w:eastAsia="zh-CN"/>
              </w:rPr>
              <w:t>一、</w:t>
            </w:r>
            <w:r>
              <w:rPr>
                <w:rFonts w:hint="eastAsia" w:ascii="宋体" w:hAnsi="宋体" w:eastAsia="宋体" w:cs="宋体"/>
                <w:b/>
                <w:bCs/>
                <w:sz w:val="24"/>
                <w:szCs w:val="24"/>
              </w:rPr>
              <w:t xml:space="preserve">评审内容 </w:t>
            </w:r>
          </w:p>
          <w:p w14:paraId="0DC5C9AC">
            <w:pPr>
              <w:pStyle w:val="64"/>
              <w:keepNext w:val="0"/>
              <w:keepLines w:val="0"/>
              <w:pageBreakBefore w:val="0"/>
              <w:widowControl/>
              <w:numPr>
                <w:ilvl w:val="0"/>
                <w:numId w:val="0"/>
              </w:numPr>
              <w:kinsoku/>
              <w:wordWrap/>
              <w:overflowPunct/>
              <w:topLinePunct w:val="0"/>
              <w:autoSpaceDE/>
              <w:autoSpaceDN/>
              <w:bidi w:val="0"/>
              <w:adjustRightInd/>
              <w:snapToGrid/>
              <w:spacing w:line="300" w:lineRule="auto"/>
              <w:ind w:leftChars="0"/>
              <w:textAlignment w:val="auto"/>
              <w:rPr>
                <w:rFonts w:hint="eastAsia" w:ascii="宋体" w:hAnsi="宋体" w:eastAsia="宋体" w:cs="宋体"/>
                <w:sz w:val="24"/>
                <w:szCs w:val="24"/>
                <w:highlight w:val="none"/>
              </w:rPr>
            </w:pPr>
            <w:r>
              <w:rPr>
                <w:rFonts w:hint="eastAsia" w:ascii="宋体" w:hAnsi="宋体" w:eastAsia="宋体" w:cs="宋体"/>
                <w:sz w:val="24"/>
                <w:szCs w:val="24"/>
              </w:rPr>
              <w:t>针对本项目提出适用于本项目的</w:t>
            </w:r>
            <w:r>
              <w:rPr>
                <w:rFonts w:hint="eastAsia" w:ascii="宋体" w:hAnsi="宋体" w:eastAsia="宋体" w:cs="宋体"/>
                <w:sz w:val="24"/>
                <w:szCs w:val="24"/>
                <w:highlight w:val="none"/>
              </w:rPr>
              <w:t>项目</w:t>
            </w:r>
            <w:r>
              <w:rPr>
                <w:rFonts w:hint="eastAsia" w:ascii="宋体" w:hAnsi="宋体" w:eastAsia="宋体" w:cs="宋体"/>
                <w:sz w:val="24"/>
                <w:szCs w:val="24"/>
                <w:highlight w:val="none"/>
                <w:lang w:val="en-US" w:eastAsia="zh-CN"/>
              </w:rPr>
              <w:t>管理部门及人员配备方案</w:t>
            </w:r>
            <w:r>
              <w:rPr>
                <w:rFonts w:hint="eastAsia" w:ascii="宋体" w:hAnsi="宋体" w:eastAsia="宋体" w:cs="宋体"/>
                <w:sz w:val="24"/>
                <w:szCs w:val="24"/>
              </w:rPr>
              <w:t>，包括：①团队组织人员配置明细②团队人员管理制度③配置人员资格、职称</w:t>
            </w:r>
          </w:p>
          <w:p w14:paraId="3A633703">
            <w:pPr>
              <w:pStyle w:val="64"/>
              <w:keepNext w:val="0"/>
              <w:keepLines w:val="0"/>
              <w:pageBreakBefore w:val="0"/>
              <w:widowControl/>
              <w:numPr>
                <w:ilvl w:val="0"/>
                <w:numId w:val="0"/>
              </w:numPr>
              <w:kinsoku/>
              <w:wordWrap/>
              <w:overflowPunct/>
              <w:topLinePunct w:val="0"/>
              <w:autoSpaceDE/>
              <w:autoSpaceDN/>
              <w:bidi w:val="0"/>
              <w:adjustRightInd/>
              <w:snapToGrid/>
              <w:spacing w:line="300" w:lineRule="auto"/>
              <w:ind w:leftChars="0"/>
              <w:textAlignment w:val="auto"/>
              <w:rPr>
                <w:rFonts w:hint="eastAsia" w:ascii="宋体" w:hAnsi="宋体" w:eastAsia="宋体" w:cs="宋体"/>
                <w:b/>
                <w:bCs/>
                <w:sz w:val="24"/>
                <w:szCs w:val="24"/>
              </w:rPr>
            </w:pPr>
            <w:r>
              <w:rPr>
                <w:rFonts w:hint="eastAsia" w:ascii="宋体" w:hAnsi="宋体" w:eastAsia="宋体" w:cs="宋体"/>
                <w:b/>
                <w:bCs/>
                <w:sz w:val="24"/>
                <w:szCs w:val="24"/>
                <w:lang w:val="en-US" w:eastAsia="zh-CN"/>
              </w:rPr>
              <w:t>二、</w:t>
            </w:r>
            <w:r>
              <w:rPr>
                <w:rFonts w:hint="eastAsia" w:ascii="宋体" w:hAnsi="宋体" w:eastAsia="宋体" w:cs="宋体"/>
                <w:b/>
                <w:bCs/>
                <w:sz w:val="24"/>
                <w:szCs w:val="24"/>
              </w:rPr>
              <w:t>评审标准</w:t>
            </w:r>
          </w:p>
          <w:p w14:paraId="51E9F93B">
            <w:pPr>
              <w:pStyle w:val="64"/>
              <w:keepNext w:val="0"/>
              <w:keepLines w:val="0"/>
              <w:pageBreakBefore w:val="0"/>
              <w:widowControl/>
              <w:numPr>
                <w:ilvl w:val="0"/>
                <w:numId w:val="0"/>
              </w:numPr>
              <w:kinsoku/>
              <w:wordWrap/>
              <w:overflowPunct/>
              <w:topLinePunct w:val="0"/>
              <w:autoSpaceDE/>
              <w:autoSpaceDN/>
              <w:bidi w:val="0"/>
              <w:adjustRightInd/>
              <w:snapToGrid/>
              <w:spacing w:line="300" w:lineRule="auto"/>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1、</w:t>
            </w:r>
            <w:r>
              <w:rPr>
                <w:rFonts w:hint="eastAsia" w:ascii="宋体" w:hAnsi="宋体" w:eastAsia="宋体" w:cs="宋体"/>
                <w:sz w:val="24"/>
                <w:szCs w:val="24"/>
              </w:rPr>
              <w:t xml:space="preserve">完整性：方案必须全面，对评审内容中的各项要求有详细描述； </w:t>
            </w:r>
          </w:p>
          <w:p w14:paraId="34546241">
            <w:pPr>
              <w:pStyle w:val="64"/>
              <w:keepNext w:val="0"/>
              <w:keepLines w:val="0"/>
              <w:pageBreakBefore w:val="0"/>
              <w:widowControl/>
              <w:numPr>
                <w:ilvl w:val="0"/>
                <w:numId w:val="0"/>
              </w:numPr>
              <w:kinsoku/>
              <w:wordWrap/>
              <w:overflowPunct/>
              <w:topLinePunct w:val="0"/>
              <w:autoSpaceDE/>
              <w:autoSpaceDN/>
              <w:bidi w:val="0"/>
              <w:adjustRightInd/>
              <w:snapToGrid/>
              <w:spacing w:line="300" w:lineRule="auto"/>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2、</w:t>
            </w:r>
            <w:r>
              <w:rPr>
                <w:rFonts w:hint="eastAsia" w:ascii="宋体" w:hAnsi="宋体" w:eastAsia="宋体" w:cs="宋体"/>
                <w:sz w:val="24"/>
                <w:szCs w:val="24"/>
              </w:rPr>
              <w:t xml:space="preserve">可实施性：切合本项目实际情况，提出步骤清晰、合理的方案； </w:t>
            </w:r>
          </w:p>
          <w:p w14:paraId="76F2972A">
            <w:pPr>
              <w:pStyle w:val="64"/>
              <w:keepNext w:val="0"/>
              <w:keepLines w:val="0"/>
              <w:pageBreakBefore w:val="0"/>
              <w:widowControl/>
              <w:numPr>
                <w:ilvl w:val="0"/>
                <w:numId w:val="0"/>
              </w:numPr>
              <w:kinsoku/>
              <w:wordWrap/>
              <w:overflowPunct/>
              <w:topLinePunct w:val="0"/>
              <w:autoSpaceDE/>
              <w:autoSpaceDN/>
              <w:bidi w:val="0"/>
              <w:adjustRightInd/>
              <w:snapToGrid/>
              <w:spacing w:line="300" w:lineRule="auto"/>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3、</w:t>
            </w:r>
            <w:r>
              <w:rPr>
                <w:rFonts w:hint="eastAsia" w:ascii="宋体" w:hAnsi="宋体" w:eastAsia="宋体" w:cs="宋体"/>
                <w:sz w:val="24"/>
                <w:szCs w:val="24"/>
              </w:rPr>
              <w:t xml:space="preserve">针对性：方案能够紧扣项目实际情况，内容科学合理。 </w:t>
            </w:r>
          </w:p>
          <w:p w14:paraId="20768C94">
            <w:pPr>
              <w:pStyle w:val="64"/>
              <w:keepNext w:val="0"/>
              <w:keepLines w:val="0"/>
              <w:pageBreakBefore w:val="0"/>
              <w:widowControl/>
              <w:numPr>
                <w:ilvl w:val="0"/>
                <w:numId w:val="0"/>
              </w:numPr>
              <w:kinsoku/>
              <w:wordWrap/>
              <w:overflowPunct/>
              <w:topLinePunct w:val="0"/>
              <w:autoSpaceDE/>
              <w:autoSpaceDN/>
              <w:bidi w:val="0"/>
              <w:adjustRightInd/>
              <w:snapToGrid/>
              <w:spacing w:line="300" w:lineRule="auto"/>
              <w:ind w:left="100" w:leftChars="0"/>
              <w:textAlignment w:val="auto"/>
              <w:rPr>
                <w:rFonts w:hint="eastAsia" w:ascii="宋体" w:hAnsi="宋体" w:eastAsia="宋体" w:cs="宋体"/>
                <w:sz w:val="24"/>
                <w:szCs w:val="24"/>
              </w:rPr>
            </w:pPr>
            <w:r>
              <w:rPr>
                <w:rFonts w:hint="eastAsia" w:ascii="宋体" w:hAnsi="宋体" w:eastAsia="宋体" w:cs="宋体"/>
                <w:b/>
                <w:bCs/>
                <w:sz w:val="24"/>
                <w:szCs w:val="24"/>
                <w:lang w:val="en-US" w:eastAsia="zh-CN"/>
              </w:rPr>
              <w:t>三、</w:t>
            </w:r>
            <w:r>
              <w:rPr>
                <w:rFonts w:hint="eastAsia" w:ascii="宋体" w:hAnsi="宋体" w:eastAsia="宋体" w:cs="宋体"/>
                <w:b/>
                <w:bCs/>
                <w:sz w:val="24"/>
                <w:szCs w:val="24"/>
              </w:rPr>
              <w:t>赋分标准（满分</w:t>
            </w:r>
            <w:r>
              <w:rPr>
                <w:rFonts w:hint="eastAsia" w:ascii="宋体" w:hAnsi="宋体" w:eastAsia="宋体" w:cs="宋体"/>
                <w:b/>
                <w:bCs/>
                <w:sz w:val="24"/>
                <w:szCs w:val="24"/>
                <w:lang w:val="en-US" w:eastAsia="zh-CN"/>
              </w:rPr>
              <w:t>9</w:t>
            </w:r>
            <w:r>
              <w:rPr>
                <w:rFonts w:hint="eastAsia" w:ascii="宋体" w:hAnsi="宋体" w:eastAsia="宋体" w:cs="宋体"/>
                <w:b/>
                <w:bCs/>
                <w:sz w:val="24"/>
                <w:szCs w:val="24"/>
              </w:rPr>
              <w:t>分）</w:t>
            </w:r>
            <w:r>
              <w:rPr>
                <w:rFonts w:hint="eastAsia" w:ascii="宋体" w:hAnsi="宋体" w:eastAsia="宋体" w:cs="宋体"/>
                <w:sz w:val="24"/>
                <w:szCs w:val="24"/>
              </w:rPr>
              <w:t xml:space="preserve"> </w:t>
            </w:r>
          </w:p>
          <w:p w14:paraId="39414A87">
            <w:pPr>
              <w:pStyle w:val="64"/>
              <w:keepNext w:val="0"/>
              <w:keepLines w:val="0"/>
              <w:pageBreakBefore w:val="0"/>
              <w:widowControl/>
              <w:numPr>
                <w:ilvl w:val="0"/>
                <w:numId w:val="0"/>
              </w:numPr>
              <w:kinsoku/>
              <w:wordWrap/>
              <w:overflowPunct/>
              <w:topLinePunct w:val="0"/>
              <w:autoSpaceDE/>
              <w:autoSpaceDN/>
              <w:bidi w:val="0"/>
              <w:adjustRightInd/>
              <w:snapToGrid/>
              <w:spacing w:line="300" w:lineRule="auto"/>
              <w:ind w:left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rPr>
              <w:t>①团队组织人员配置明细：</w:t>
            </w:r>
            <w:r>
              <w:rPr>
                <w:rFonts w:hint="eastAsia" w:ascii="宋体" w:hAnsi="宋体" w:eastAsia="宋体" w:cs="宋体"/>
                <w:sz w:val="24"/>
                <w:szCs w:val="24"/>
                <w:lang w:val="en-US" w:eastAsia="zh-CN"/>
              </w:rPr>
              <w:t>每完全满足一个评审标准得1分，不能完全满足一个评审标准要求综合赋分0-0.9分，满分3分；</w:t>
            </w:r>
          </w:p>
          <w:p w14:paraId="51DD9AD7">
            <w:pPr>
              <w:pStyle w:val="64"/>
              <w:keepNext w:val="0"/>
              <w:keepLines w:val="0"/>
              <w:pageBreakBefore w:val="0"/>
              <w:widowControl/>
              <w:numPr>
                <w:ilvl w:val="0"/>
                <w:numId w:val="0"/>
              </w:numPr>
              <w:kinsoku/>
              <w:wordWrap/>
              <w:overflowPunct/>
              <w:topLinePunct w:val="0"/>
              <w:autoSpaceDE/>
              <w:autoSpaceDN/>
              <w:bidi w:val="0"/>
              <w:adjustRightInd/>
              <w:snapToGrid/>
              <w:spacing w:line="30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rPr>
              <w:t>②团队人员管理制度：</w:t>
            </w:r>
            <w:r>
              <w:rPr>
                <w:rFonts w:hint="eastAsia" w:ascii="宋体" w:hAnsi="宋体" w:eastAsia="宋体" w:cs="宋体"/>
                <w:sz w:val="24"/>
                <w:szCs w:val="24"/>
                <w:lang w:val="en-US" w:eastAsia="zh-CN"/>
              </w:rPr>
              <w:t>每完全满足一个评审标准得1分，不能完全满足一个评审标准要求综合赋分0-0.9分，满分3分；</w:t>
            </w:r>
          </w:p>
          <w:p w14:paraId="24908A61">
            <w:pPr>
              <w:spacing w:line="480" w:lineRule="exact"/>
              <w:rPr>
                <w:rFonts w:ascii="宋体" w:hAnsi="宋体" w:cs="宋体"/>
                <w:sz w:val="24"/>
                <w:szCs w:val="24"/>
                <w:highlight w:val="none"/>
              </w:rPr>
            </w:pPr>
            <w:r>
              <w:rPr>
                <w:rFonts w:hint="eastAsia" w:ascii="宋体" w:hAnsi="宋体" w:eastAsia="宋体" w:cs="宋体"/>
                <w:sz w:val="24"/>
                <w:szCs w:val="24"/>
              </w:rPr>
              <w:t>③配置人员资格、职称</w:t>
            </w:r>
            <w:r>
              <w:rPr>
                <w:rFonts w:hint="eastAsia" w:ascii="宋体" w:hAnsi="宋体" w:eastAsia="宋体" w:cs="宋体"/>
                <w:sz w:val="24"/>
                <w:szCs w:val="24"/>
                <w:lang w:val="en-US" w:eastAsia="zh-CN"/>
              </w:rPr>
              <w:t>：</w:t>
            </w:r>
            <w:r>
              <w:rPr>
                <w:rFonts w:hint="eastAsia" w:ascii="宋体" w:hAnsi="宋体" w:eastAsia="宋体" w:cs="宋体"/>
                <w:sz w:val="24"/>
                <w:szCs w:val="24"/>
                <w:highlight w:val="none"/>
              </w:rPr>
              <w:t xml:space="preserve"> </w:t>
            </w:r>
            <w:r>
              <w:rPr>
                <w:rFonts w:hint="eastAsia" w:ascii="宋体" w:hAnsi="宋体" w:eastAsia="宋体" w:cs="宋体"/>
                <w:sz w:val="24"/>
                <w:szCs w:val="24"/>
                <w:lang w:val="en-US" w:eastAsia="zh-CN"/>
              </w:rPr>
              <w:t>每完全满足一个评审标准得1分，不能完全满足一个评审标准要求综合赋分0-0.9分，满分3分。</w:t>
            </w:r>
          </w:p>
        </w:tc>
      </w:tr>
      <w:tr w14:paraId="607CB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442" w:type="pct"/>
            <w:vMerge w:val="continue"/>
            <w:vAlign w:val="center"/>
          </w:tcPr>
          <w:p w14:paraId="2013E8F8">
            <w:pPr>
              <w:spacing w:line="480" w:lineRule="exact"/>
              <w:jc w:val="center"/>
              <w:rPr>
                <w:rFonts w:ascii="宋体" w:hAnsi="宋体" w:cs="宋体"/>
                <w:sz w:val="24"/>
                <w:szCs w:val="24"/>
                <w:highlight w:val="none"/>
              </w:rPr>
            </w:pPr>
          </w:p>
        </w:tc>
        <w:tc>
          <w:tcPr>
            <w:tcW w:w="681" w:type="pct"/>
            <w:vMerge w:val="continue"/>
            <w:vAlign w:val="center"/>
          </w:tcPr>
          <w:p w14:paraId="58C5D5DE">
            <w:pPr>
              <w:spacing w:line="480" w:lineRule="exact"/>
              <w:jc w:val="center"/>
              <w:rPr>
                <w:rFonts w:ascii="宋体" w:hAnsi="宋体" w:cs="宋体"/>
                <w:sz w:val="24"/>
                <w:szCs w:val="24"/>
                <w:highlight w:val="none"/>
              </w:rPr>
            </w:pPr>
          </w:p>
        </w:tc>
        <w:tc>
          <w:tcPr>
            <w:tcW w:w="765" w:type="pct"/>
            <w:vAlign w:val="center"/>
          </w:tcPr>
          <w:p w14:paraId="5645D56E">
            <w:pPr>
              <w:spacing w:line="480" w:lineRule="exact"/>
              <w:jc w:val="center"/>
              <w:rPr>
                <w:rFonts w:ascii="宋体" w:hAnsi="宋体" w:cs="宋体"/>
                <w:sz w:val="24"/>
                <w:szCs w:val="24"/>
                <w:highlight w:val="none"/>
              </w:rPr>
            </w:pPr>
            <w:r>
              <w:rPr>
                <w:rFonts w:hint="eastAsia" w:ascii="宋体" w:hAnsi="宋体" w:cs="宋体"/>
                <w:sz w:val="24"/>
                <w:szCs w:val="24"/>
                <w:highlight w:val="none"/>
              </w:rPr>
              <w:t>②项目实施方案</w:t>
            </w:r>
          </w:p>
          <w:p w14:paraId="372FB067">
            <w:pPr>
              <w:spacing w:line="480" w:lineRule="exact"/>
              <w:jc w:val="center"/>
              <w:rPr>
                <w:rFonts w:ascii="宋体" w:hAnsi="宋体" w:cs="宋体"/>
                <w:sz w:val="24"/>
                <w:szCs w:val="24"/>
                <w:highlight w:val="none"/>
              </w:rPr>
            </w:pPr>
            <w:r>
              <w:rPr>
                <w:rFonts w:hint="eastAsia" w:ascii="宋体" w:hAnsi="宋体" w:cs="宋体"/>
                <w:sz w:val="24"/>
                <w:szCs w:val="24"/>
                <w:highlight w:val="none"/>
              </w:rPr>
              <w:t>（</w:t>
            </w:r>
            <w:r>
              <w:rPr>
                <w:rFonts w:hint="eastAsia" w:ascii="宋体" w:hAnsi="宋体" w:cs="宋体"/>
                <w:sz w:val="24"/>
                <w:szCs w:val="24"/>
                <w:highlight w:val="none"/>
                <w:lang w:val="en-US" w:eastAsia="zh-CN"/>
              </w:rPr>
              <w:t>18</w:t>
            </w:r>
            <w:r>
              <w:rPr>
                <w:rFonts w:hint="eastAsia" w:ascii="宋体" w:hAnsi="宋体" w:cs="宋体"/>
                <w:sz w:val="24"/>
                <w:szCs w:val="24"/>
                <w:highlight w:val="none"/>
              </w:rPr>
              <w:t>分）</w:t>
            </w:r>
          </w:p>
        </w:tc>
        <w:tc>
          <w:tcPr>
            <w:tcW w:w="3110" w:type="pct"/>
            <w:vAlign w:val="center"/>
          </w:tcPr>
          <w:p w14:paraId="7E6417F5">
            <w:pPr>
              <w:pStyle w:val="64"/>
              <w:keepNext w:val="0"/>
              <w:keepLines w:val="0"/>
              <w:pageBreakBefore w:val="0"/>
              <w:widowControl/>
              <w:numPr>
                <w:ilvl w:val="0"/>
                <w:numId w:val="0"/>
              </w:numPr>
              <w:kinsoku/>
              <w:wordWrap/>
              <w:overflowPunct/>
              <w:topLinePunct w:val="0"/>
              <w:autoSpaceDE/>
              <w:autoSpaceDN/>
              <w:bidi w:val="0"/>
              <w:adjustRightInd/>
              <w:snapToGrid/>
              <w:spacing w:line="300" w:lineRule="auto"/>
              <w:textAlignment w:val="auto"/>
              <w:rPr>
                <w:rFonts w:hint="eastAsia" w:ascii="宋体" w:hAnsi="宋体" w:eastAsia="宋体" w:cs="宋体"/>
                <w:b/>
                <w:bCs/>
                <w:sz w:val="24"/>
                <w:szCs w:val="24"/>
              </w:rPr>
            </w:pPr>
            <w:r>
              <w:rPr>
                <w:rFonts w:hint="eastAsia" w:ascii="宋体" w:hAnsi="宋体" w:eastAsia="宋体" w:cs="宋体"/>
                <w:b/>
                <w:bCs/>
                <w:sz w:val="24"/>
                <w:szCs w:val="24"/>
                <w:lang w:val="en-US" w:eastAsia="zh-CN"/>
              </w:rPr>
              <w:t>一、</w:t>
            </w:r>
            <w:r>
              <w:rPr>
                <w:rFonts w:hint="eastAsia" w:ascii="宋体" w:hAnsi="宋体" w:eastAsia="宋体" w:cs="宋体"/>
                <w:b/>
                <w:bCs/>
                <w:sz w:val="24"/>
                <w:szCs w:val="24"/>
              </w:rPr>
              <w:t xml:space="preserve">评审内容 </w:t>
            </w:r>
          </w:p>
          <w:p w14:paraId="2409CDCC">
            <w:pPr>
              <w:pStyle w:val="64"/>
              <w:keepNext w:val="0"/>
              <w:keepLines w:val="0"/>
              <w:pageBreakBefore w:val="0"/>
              <w:widowControl/>
              <w:numPr>
                <w:ilvl w:val="0"/>
                <w:numId w:val="0"/>
              </w:numPr>
              <w:kinsoku/>
              <w:wordWrap/>
              <w:overflowPunct/>
              <w:topLinePunct w:val="0"/>
              <w:autoSpaceDE/>
              <w:autoSpaceDN/>
              <w:bidi w:val="0"/>
              <w:adjustRightInd/>
              <w:snapToGrid/>
              <w:spacing w:line="300" w:lineRule="auto"/>
              <w:ind w:leftChars="0"/>
              <w:textAlignment w:val="auto"/>
              <w:rPr>
                <w:rFonts w:hint="eastAsia" w:ascii="宋体" w:hAnsi="宋体" w:eastAsia="宋体" w:cs="宋体"/>
                <w:sz w:val="24"/>
                <w:szCs w:val="24"/>
                <w:highlight w:val="none"/>
              </w:rPr>
            </w:pPr>
            <w:r>
              <w:rPr>
                <w:rFonts w:hint="eastAsia" w:ascii="宋体" w:hAnsi="宋体" w:eastAsia="宋体" w:cs="宋体"/>
                <w:sz w:val="24"/>
                <w:szCs w:val="24"/>
              </w:rPr>
              <w:t>针对本项目提出适用于本项目的</w:t>
            </w:r>
            <w:r>
              <w:rPr>
                <w:rFonts w:hint="eastAsia" w:ascii="宋体" w:hAnsi="宋体" w:cs="宋体"/>
                <w:sz w:val="24"/>
                <w:szCs w:val="24"/>
                <w:highlight w:val="none"/>
              </w:rPr>
              <w:t>项目实施方案</w:t>
            </w:r>
            <w:r>
              <w:rPr>
                <w:rFonts w:hint="eastAsia" w:ascii="宋体" w:hAnsi="宋体" w:eastAsia="宋体" w:cs="宋体"/>
                <w:sz w:val="24"/>
                <w:szCs w:val="24"/>
              </w:rPr>
              <w:t>，包括：</w:t>
            </w:r>
            <w:r>
              <w:rPr>
                <w:rFonts w:hint="eastAsia" w:ascii="宋体" w:hAnsi="宋体" w:eastAsia="宋体" w:cs="宋体"/>
                <w:sz w:val="24"/>
                <w:szCs w:val="24"/>
                <w:highlight w:val="none"/>
              </w:rPr>
              <w:t>①服务内容②服务措施③服务目标</w:t>
            </w:r>
          </w:p>
          <w:p w14:paraId="560555E7">
            <w:pPr>
              <w:pStyle w:val="64"/>
              <w:keepNext w:val="0"/>
              <w:keepLines w:val="0"/>
              <w:pageBreakBefore w:val="0"/>
              <w:widowControl/>
              <w:numPr>
                <w:ilvl w:val="0"/>
                <w:numId w:val="0"/>
              </w:numPr>
              <w:kinsoku/>
              <w:wordWrap/>
              <w:overflowPunct/>
              <w:topLinePunct w:val="0"/>
              <w:autoSpaceDE/>
              <w:autoSpaceDN/>
              <w:bidi w:val="0"/>
              <w:adjustRightInd/>
              <w:snapToGrid/>
              <w:spacing w:line="300" w:lineRule="auto"/>
              <w:ind w:leftChars="0"/>
              <w:textAlignment w:val="auto"/>
              <w:rPr>
                <w:rFonts w:hint="eastAsia" w:ascii="宋体" w:hAnsi="宋体" w:eastAsia="宋体" w:cs="宋体"/>
                <w:b/>
                <w:bCs/>
                <w:sz w:val="24"/>
                <w:szCs w:val="24"/>
              </w:rPr>
            </w:pPr>
            <w:r>
              <w:rPr>
                <w:rFonts w:hint="eastAsia" w:ascii="宋体" w:hAnsi="宋体" w:eastAsia="宋体" w:cs="宋体"/>
                <w:b/>
                <w:bCs/>
                <w:sz w:val="24"/>
                <w:szCs w:val="24"/>
                <w:lang w:val="en-US" w:eastAsia="zh-CN"/>
              </w:rPr>
              <w:t>二、</w:t>
            </w:r>
            <w:r>
              <w:rPr>
                <w:rFonts w:hint="eastAsia" w:ascii="宋体" w:hAnsi="宋体" w:eastAsia="宋体" w:cs="宋体"/>
                <w:b/>
                <w:bCs/>
                <w:sz w:val="24"/>
                <w:szCs w:val="24"/>
              </w:rPr>
              <w:t>评审标准</w:t>
            </w:r>
          </w:p>
          <w:p w14:paraId="2D2B072A">
            <w:pPr>
              <w:pStyle w:val="64"/>
              <w:keepNext w:val="0"/>
              <w:keepLines w:val="0"/>
              <w:pageBreakBefore w:val="0"/>
              <w:widowControl/>
              <w:numPr>
                <w:ilvl w:val="0"/>
                <w:numId w:val="0"/>
              </w:numPr>
              <w:kinsoku/>
              <w:wordWrap/>
              <w:overflowPunct/>
              <w:topLinePunct w:val="0"/>
              <w:autoSpaceDE/>
              <w:autoSpaceDN/>
              <w:bidi w:val="0"/>
              <w:adjustRightInd/>
              <w:snapToGrid/>
              <w:spacing w:line="300" w:lineRule="auto"/>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1、</w:t>
            </w:r>
            <w:r>
              <w:rPr>
                <w:rFonts w:hint="eastAsia" w:ascii="宋体" w:hAnsi="宋体" w:eastAsia="宋体" w:cs="宋体"/>
                <w:sz w:val="24"/>
                <w:szCs w:val="24"/>
              </w:rPr>
              <w:t xml:space="preserve">完整性：方案必须全面，对评审内容中的各项要求有详细描述； </w:t>
            </w:r>
          </w:p>
          <w:p w14:paraId="1479C7AD">
            <w:pPr>
              <w:pStyle w:val="64"/>
              <w:keepNext w:val="0"/>
              <w:keepLines w:val="0"/>
              <w:pageBreakBefore w:val="0"/>
              <w:widowControl/>
              <w:numPr>
                <w:ilvl w:val="0"/>
                <w:numId w:val="0"/>
              </w:numPr>
              <w:kinsoku/>
              <w:wordWrap/>
              <w:overflowPunct/>
              <w:topLinePunct w:val="0"/>
              <w:autoSpaceDE/>
              <w:autoSpaceDN/>
              <w:bidi w:val="0"/>
              <w:adjustRightInd/>
              <w:snapToGrid/>
              <w:spacing w:line="300" w:lineRule="auto"/>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2、</w:t>
            </w:r>
            <w:r>
              <w:rPr>
                <w:rFonts w:hint="eastAsia" w:ascii="宋体" w:hAnsi="宋体" w:eastAsia="宋体" w:cs="宋体"/>
                <w:sz w:val="24"/>
                <w:szCs w:val="24"/>
              </w:rPr>
              <w:t xml:space="preserve">可实施性：切合本项目实际情况，提出步骤清晰、合理的方案； </w:t>
            </w:r>
          </w:p>
          <w:p w14:paraId="390D098A">
            <w:pPr>
              <w:pStyle w:val="64"/>
              <w:keepNext w:val="0"/>
              <w:keepLines w:val="0"/>
              <w:pageBreakBefore w:val="0"/>
              <w:widowControl/>
              <w:numPr>
                <w:ilvl w:val="0"/>
                <w:numId w:val="0"/>
              </w:numPr>
              <w:kinsoku/>
              <w:wordWrap/>
              <w:overflowPunct/>
              <w:topLinePunct w:val="0"/>
              <w:autoSpaceDE/>
              <w:autoSpaceDN/>
              <w:bidi w:val="0"/>
              <w:adjustRightInd/>
              <w:snapToGrid/>
              <w:spacing w:line="300" w:lineRule="auto"/>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3、</w:t>
            </w:r>
            <w:r>
              <w:rPr>
                <w:rFonts w:hint="eastAsia" w:ascii="宋体" w:hAnsi="宋体" w:eastAsia="宋体" w:cs="宋体"/>
                <w:sz w:val="24"/>
                <w:szCs w:val="24"/>
              </w:rPr>
              <w:t xml:space="preserve">针对性：方案能够紧扣项目实际情况，内容科学合理。 </w:t>
            </w:r>
          </w:p>
          <w:p w14:paraId="2C682C77">
            <w:pPr>
              <w:pStyle w:val="64"/>
              <w:keepNext w:val="0"/>
              <w:keepLines w:val="0"/>
              <w:pageBreakBefore w:val="0"/>
              <w:widowControl/>
              <w:numPr>
                <w:ilvl w:val="0"/>
                <w:numId w:val="0"/>
              </w:numPr>
              <w:kinsoku/>
              <w:wordWrap/>
              <w:overflowPunct/>
              <w:topLinePunct w:val="0"/>
              <w:autoSpaceDE/>
              <w:autoSpaceDN/>
              <w:bidi w:val="0"/>
              <w:adjustRightInd/>
              <w:snapToGrid/>
              <w:spacing w:line="300" w:lineRule="auto"/>
              <w:ind w:left="100" w:leftChars="0"/>
              <w:textAlignment w:val="auto"/>
              <w:rPr>
                <w:rFonts w:hint="eastAsia" w:ascii="宋体" w:hAnsi="宋体" w:eastAsia="宋体" w:cs="宋体"/>
                <w:sz w:val="24"/>
                <w:szCs w:val="24"/>
              </w:rPr>
            </w:pPr>
            <w:r>
              <w:rPr>
                <w:rFonts w:hint="eastAsia" w:ascii="宋体" w:hAnsi="宋体" w:eastAsia="宋体" w:cs="宋体"/>
                <w:b/>
                <w:bCs/>
                <w:sz w:val="24"/>
                <w:szCs w:val="24"/>
                <w:lang w:val="en-US" w:eastAsia="zh-CN"/>
              </w:rPr>
              <w:t>三、</w:t>
            </w:r>
            <w:r>
              <w:rPr>
                <w:rFonts w:hint="eastAsia" w:ascii="宋体" w:hAnsi="宋体" w:eastAsia="宋体" w:cs="宋体"/>
                <w:b/>
                <w:bCs/>
                <w:sz w:val="24"/>
                <w:szCs w:val="24"/>
              </w:rPr>
              <w:t>赋分标准（满分</w:t>
            </w:r>
            <w:r>
              <w:rPr>
                <w:rFonts w:hint="eastAsia" w:ascii="宋体" w:hAnsi="宋体" w:eastAsia="宋体" w:cs="宋体"/>
                <w:b/>
                <w:bCs/>
                <w:sz w:val="24"/>
                <w:szCs w:val="24"/>
                <w:lang w:val="en-US" w:eastAsia="zh-CN"/>
              </w:rPr>
              <w:t>18</w:t>
            </w:r>
            <w:r>
              <w:rPr>
                <w:rFonts w:hint="eastAsia" w:ascii="宋体" w:hAnsi="宋体" w:eastAsia="宋体" w:cs="宋体"/>
                <w:b/>
                <w:bCs/>
                <w:sz w:val="24"/>
                <w:szCs w:val="24"/>
              </w:rPr>
              <w:t>分）</w:t>
            </w:r>
            <w:r>
              <w:rPr>
                <w:rFonts w:hint="eastAsia" w:ascii="宋体" w:hAnsi="宋体" w:eastAsia="宋体" w:cs="宋体"/>
                <w:sz w:val="24"/>
                <w:szCs w:val="24"/>
              </w:rPr>
              <w:t xml:space="preserve"> </w:t>
            </w:r>
          </w:p>
          <w:p w14:paraId="42B0DCB7">
            <w:pPr>
              <w:pStyle w:val="64"/>
              <w:keepNext w:val="0"/>
              <w:keepLines w:val="0"/>
              <w:pageBreakBefore w:val="0"/>
              <w:widowControl/>
              <w:numPr>
                <w:ilvl w:val="0"/>
                <w:numId w:val="0"/>
              </w:numPr>
              <w:kinsoku/>
              <w:wordWrap/>
              <w:overflowPunct/>
              <w:topLinePunct w:val="0"/>
              <w:autoSpaceDE/>
              <w:autoSpaceDN/>
              <w:bidi w:val="0"/>
              <w:adjustRightInd/>
              <w:snapToGrid/>
              <w:spacing w:line="30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rPr>
              <w:t>①服务内容：</w:t>
            </w:r>
            <w:r>
              <w:rPr>
                <w:rFonts w:hint="eastAsia" w:ascii="宋体" w:hAnsi="宋体" w:eastAsia="宋体" w:cs="宋体"/>
                <w:sz w:val="24"/>
                <w:szCs w:val="24"/>
                <w:lang w:val="en-US" w:eastAsia="zh-CN"/>
              </w:rPr>
              <w:t>每完全满足一个评审标准得2分，不能完全满足一个评审标准要求综合赋分0-1.9分，满分6分；</w:t>
            </w:r>
          </w:p>
          <w:p w14:paraId="526606C8">
            <w:pPr>
              <w:pStyle w:val="64"/>
              <w:keepNext w:val="0"/>
              <w:keepLines w:val="0"/>
              <w:pageBreakBefore w:val="0"/>
              <w:widowControl/>
              <w:numPr>
                <w:ilvl w:val="0"/>
                <w:numId w:val="0"/>
              </w:numPr>
              <w:kinsoku/>
              <w:wordWrap/>
              <w:overflowPunct/>
              <w:topLinePunct w:val="0"/>
              <w:autoSpaceDE/>
              <w:autoSpaceDN/>
              <w:bidi w:val="0"/>
              <w:adjustRightInd/>
              <w:snapToGrid/>
              <w:spacing w:line="30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rPr>
              <w:t>②服务措施：</w:t>
            </w:r>
            <w:r>
              <w:rPr>
                <w:rFonts w:hint="eastAsia" w:ascii="宋体" w:hAnsi="宋体" w:eastAsia="宋体" w:cs="宋体"/>
                <w:sz w:val="24"/>
                <w:szCs w:val="24"/>
                <w:lang w:val="en-US" w:eastAsia="zh-CN"/>
              </w:rPr>
              <w:t>每完全满足一个评审标准得2分，不能完全满足一个评审标准要求综合赋分0-1.9分，满分6分；</w:t>
            </w:r>
          </w:p>
          <w:p w14:paraId="6AA585E8">
            <w:pPr>
              <w:spacing w:line="480" w:lineRule="exact"/>
              <w:rPr>
                <w:rFonts w:ascii="宋体" w:hAnsi="宋体" w:cs="宋体"/>
                <w:sz w:val="24"/>
                <w:szCs w:val="24"/>
                <w:highlight w:val="none"/>
              </w:rPr>
            </w:pPr>
            <w:r>
              <w:rPr>
                <w:rFonts w:hint="eastAsia" w:ascii="宋体" w:hAnsi="宋体" w:eastAsia="宋体" w:cs="宋体"/>
                <w:sz w:val="24"/>
                <w:szCs w:val="24"/>
              </w:rPr>
              <w:t>③服务目标：</w:t>
            </w:r>
            <w:r>
              <w:rPr>
                <w:rFonts w:hint="eastAsia" w:ascii="宋体" w:hAnsi="宋体" w:eastAsia="宋体" w:cs="宋体"/>
                <w:sz w:val="24"/>
                <w:szCs w:val="24"/>
                <w:lang w:val="en-US" w:eastAsia="zh-CN"/>
              </w:rPr>
              <w:t>每完全满足一个评审标准得2分，不能完全满足一个评审标准要求综合赋分0-1.9分，满分6分；</w:t>
            </w:r>
          </w:p>
        </w:tc>
      </w:tr>
      <w:tr w14:paraId="392BD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442" w:type="pct"/>
            <w:vMerge w:val="continue"/>
            <w:vAlign w:val="center"/>
          </w:tcPr>
          <w:p w14:paraId="449CE7A1">
            <w:pPr>
              <w:spacing w:line="480" w:lineRule="exact"/>
              <w:jc w:val="center"/>
              <w:rPr>
                <w:rFonts w:ascii="宋体" w:hAnsi="宋体" w:cs="宋体"/>
                <w:sz w:val="24"/>
                <w:szCs w:val="24"/>
                <w:highlight w:val="none"/>
              </w:rPr>
            </w:pPr>
          </w:p>
        </w:tc>
        <w:tc>
          <w:tcPr>
            <w:tcW w:w="681" w:type="pct"/>
            <w:vMerge w:val="continue"/>
            <w:vAlign w:val="center"/>
          </w:tcPr>
          <w:p w14:paraId="361A798A">
            <w:pPr>
              <w:spacing w:line="480" w:lineRule="exact"/>
              <w:jc w:val="center"/>
              <w:rPr>
                <w:rFonts w:ascii="宋体" w:hAnsi="宋体" w:cs="宋体"/>
                <w:sz w:val="24"/>
                <w:szCs w:val="24"/>
                <w:highlight w:val="none"/>
              </w:rPr>
            </w:pPr>
          </w:p>
        </w:tc>
        <w:tc>
          <w:tcPr>
            <w:tcW w:w="765" w:type="pct"/>
            <w:vAlign w:val="center"/>
          </w:tcPr>
          <w:p w14:paraId="0996CDB0">
            <w:pPr>
              <w:spacing w:line="480" w:lineRule="exact"/>
              <w:jc w:val="center"/>
              <w:rPr>
                <w:rFonts w:hint="eastAsia" w:ascii="宋体" w:hAnsi="宋体" w:cs="宋体"/>
                <w:sz w:val="24"/>
                <w:szCs w:val="24"/>
                <w:highlight w:val="none"/>
              </w:rPr>
            </w:pPr>
            <w:r>
              <w:rPr>
                <w:rFonts w:hint="eastAsia" w:ascii="宋体" w:hAnsi="宋体" w:cs="宋体"/>
                <w:sz w:val="24"/>
                <w:szCs w:val="24"/>
                <w:highlight w:val="none"/>
              </w:rPr>
              <w:t>③</w:t>
            </w:r>
            <w:r>
              <w:rPr>
                <w:rFonts w:hint="eastAsia" w:ascii="宋体" w:hAnsi="宋体" w:cs="宋体"/>
                <w:sz w:val="24"/>
                <w:szCs w:val="24"/>
                <w:highlight w:val="none"/>
                <w:lang w:val="en-US" w:eastAsia="zh-CN"/>
              </w:rPr>
              <w:t>项目</w:t>
            </w:r>
            <w:r>
              <w:rPr>
                <w:rFonts w:hint="eastAsia" w:ascii="宋体" w:hAnsi="宋体" w:cs="宋体"/>
                <w:sz w:val="24"/>
                <w:szCs w:val="24"/>
                <w:highlight w:val="none"/>
              </w:rPr>
              <w:t>进度计划与保障措施</w:t>
            </w:r>
          </w:p>
          <w:p w14:paraId="3A5E1B69">
            <w:pPr>
              <w:spacing w:line="480" w:lineRule="exact"/>
              <w:jc w:val="center"/>
              <w:rPr>
                <w:rFonts w:ascii="宋体" w:hAnsi="宋体" w:cs="宋体"/>
                <w:sz w:val="24"/>
                <w:szCs w:val="24"/>
                <w:highlight w:val="none"/>
              </w:rPr>
            </w:pPr>
            <w:r>
              <w:rPr>
                <w:rFonts w:hint="eastAsia" w:ascii="宋体" w:hAnsi="宋体" w:cs="宋体"/>
                <w:sz w:val="24"/>
                <w:szCs w:val="24"/>
                <w:highlight w:val="none"/>
              </w:rPr>
              <w:t>（</w:t>
            </w:r>
            <w:r>
              <w:rPr>
                <w:rFonts w:hint="eastAsia" w:ascii="宋体" w:hAnsi="宋体" w:eastAsia="宋体" w:cs="宋体"/>
                <w:b w:val="0"/>
                <w:bCs w:val="0"/>
                <w:sz w:val="24"/>
                <w:szCs w:val="24"/>
                <w:lang w:val="en-US" w:eastAsia="zh-CN"/>
              </w:rPr>
              <w:t>18</w:t>
            </w:r>
            <w:r>
              <w:rPr>
                <w:rFonts w:hint="eastAsia" w:ascii="宋体" w:hAnsi="宋体" w:cs="宋体"/>
                <w:sz w:val="24"/>
                <w:szCs w:val="24"/>
                <w:highlight w:val="none"/>
              </w:rPr>
              <w:t>分）</w:t>
            </w:r>
          </w:p>
        </w:tc>
        <w:tc>
          <w:tcPr>
            <w:tcW w:w="3110" w:type="pct"/>
            <w:vAlign w:val="center"/>
          </w:tcPr>
          <w:p w14:paraId="19200A8A">
            <w:pPr>
              <w:pStyle w:val="64"/>
              <w:keepNext w:val="0"/>
              <w:keepLines w:val="0"/>
              <w:pageBreakBefore w:val="0"/>
              <w:widowControl/>
              <w:numPr>
                <w:ilvl w:val="0"/>
                <w:numId w:val="0"/>
              </w:numPr>
              <w:kinsoku/>
              <w:wordWrap/>
              <w:overflowPunct/>
              <w:topLinePunct w:val="0"/>
              <w:autoSpaceDE/>
              <w:autoSpaceDN/>
              <w:bidi w:val="0"/>
              <w:adjustRightInd/>
              <w:snapToGrid/>
              <w:spacing w:line="300" w:lineRule="auto"/>
              <w:textAlignment w:val="auto"/>
              <w:rPr>
                <w:rFonts w:hint="eastAsia" w:ascii="宋体" w:hAnsi="宋体" w:eastAsia="宋体" w:cs="宋体"/>
                <w:b/>
                <w:bCs/>
                <w:sz w:val="24"/>
                <w:szCs w:val="24"/>
              </w:rPr>
            </w:pPr>
            <w:r>
              <w:rPr>
                <w:rFonts w:hint="eastAsia" w:ascii="宋体" w:hAnsi="宋体" w:eastAsia="宋体" w:cs="宋体"/>
                <w:b/>
                <w:bCs/>
                <w:sz w:val="24"/>
                <w:szCs w:val="24"/>
                <w:lang w:val="en-US" w:eastAsia="zh-CN"/>
              </w:rPr>
              <w:t>一、</w:t>
            </w:r>
            <w:r>
              <w:rPr>
                <w:rFonts w:hint="eastAsia" w:ascii="宋体" w:hAnsi="宋体" w:eastAsia="宋体" w:cs="宋体"/>
                <w:b/>
                <w:bCs/>
                <w:sz w:val="24"/>
                <w:szCs w:val="24"/>
              </w:rPr>
              <w:t xml:space="preserve">评审内容 </w:t>
            </w:r>
          </w:p>
          <w:p w14:paraId="172DCD67">
            <w:pPr>
              <w:pStyle w:val="64"/>
              <w:keepNext w:val="0"/>
              <w:keepLines w:val="0"/>
              <w:pageBreakBefore w:val="0"/>
              <w:widowControl/>
              <w:numPr>
                <w:ilvl w:val="0"/>
                <w:numId w:val="0"/>
              </w:numPr>
              <w:kinsoku/>
              <w:wordWrap/>
              <w:overflowPunct/>
              <w:topLinePunct w:val="0"/>
              <w:autoSpaceDE/>
              <w:autoSpaceDN/>
              <w:bidi w:val="0"/>
              <w:adjustRightInd/>
              <w:snapToGrid/>
              <w:spacing w:line="300" w:lineRule="auto"/>
              <w:ind w:leftChars="0"/>
              <w:textAlignment w:val="auto"/>
              <w:rPr>
                <w:rFonts w:hint="eastAsia" w:ascii="宋体" w:hAnsi="宋体" w:eastAsia="宋体" w:cs="宋体"/>
                <w:sz w:val="24"/>
                <w:szCs w:val="24"/>
                <w:highlight w:val="none"/>
              </w:rPr>
            </w:pPr>
            <w:r>
              <w:rPr>
                <w:rFonts w:hint="eastAsia" w:ascii="宋体" w:hAnsi="宋体" w:eastAsia="宋体" w:cs="宋体"/>
                <w:sz w:val="24"/>
                <w:szCs w:val="24"/>
              </w:rPr>
              <w:t>针对本项目提出适用于本项目的</w:t>
            </w:r>
            <w:r>
              <w:rPr>
                <w:rFonts w:hint="eastAsia" w:ascii="宋体" w:hAnsi="宋体" w:eastAsia="宋体" w:cs="宋体"/>
                <w:sz w:val="24"/>
                <w:szCs w:val="24"/>
                <w:highlight w:val="none"/>
              </w:rPr>
              <w:t>项目实施进度计划</w:t>
            </w:r>
            <w:r>
              <w:rPr>
                <w:rFonts w:hint="eastAsia" w:ascii="宋体" w:hAnsi="宋体" w:eastAsia="宋体" w:cs="宋体"/>
                <w:sz w:val="24"/>
                <w:szCs w:val="24"/>
              </w:rPr>
              <w:t>，包括：</w:t>
            </w:r>
            <w:r>
              <w:rPr>
                <w:rFonts w:hint="eastAsia" w:ascii="宋体" w:hAnsi="宋体" w:eastAsia="宋体" w:cs="宋体"/>
                <w:sz w:val="24"/>
                <w:szCs w:val="24"/>
                <w:highlight w:val="none"/>
              </w:rPr>
              <w:t>①项目实施进度</w:t>
            </w:r>
            <w:r>
              <w:rPr>
                <w:rFonts w:hint="eastAsia" w:ascii="宋体" w:hAnsi="宋体" w:eastAsia="宋体" w:cs="宋体"/>
                <w:sz w:val="24"/>
                <w:szCs w:val="24"/>
              </w:rPr>
              <w:t>②</w:t>
            </w:r>
            <w:r>
              <w:rPr>
                <w:rFonts w:hint="eastAsia" w:ascii="宋体" w:hAnsi="宋体" w:eastAsia="宋体" w:cs="宋体"/>
                <w:sz w:val="24"/>
                <w:szCs w:val="24"/>
                <w:highlight w:val="none"/>
              </w:rPr>
              <w:t>目标分析③项目进度保障</w:t>
            </w:r>
            <w:r>
              <w:rPr>
                <w:rFonts w:hint="eastAsia" w:ascii="宋体" w:hAnsi="宋体" w:cs="宋体"/>
                <w:sz w:val="24"/>
                <w:szCs w:val="24"/>
                <w:highlight w:val="none"/>
              </w:rPr>
              <w:t>措施</w:t>
            </w:r>
          </w:p>
          <w:p w14:paraId="2FEF0B9A">
            <w:pPr>
              <w:pStyle w:val="64"/>
              <w:keepNext w:val="0"/>
              <w:keepLines w:val="0"/>
              <w:pageBreakBefore w:val="0"/>
              <w:widowControl/>
              <w:numPr>
                <w:ilvl w:val="0"/>
                <w:numId w:val="0"/>
              </w:numPr>
              <w:kinsoku/>
              <w:wordWrap/>
              <w:overflowPunct/>
              <w:topLinePunct w:val="0"/>
              <w:autoSpaceDE/>
              <w:autoSpaceDN/>
              <w:bidi w:val="0"/>
              <w:adjustRightInd/>
              <w:snapToGrid/>
              <w:spacing w:line="300" w:lineRule="auto"/>
              <w:ind w:leftChars="0"/>
              <w:textAlignment w:val="auto"/>
              <w:rPr>
                <w:rFonts w:hint="eastAsia" w:ascii="宋体" w:hAnsi="宋体" w:eastAsia="宋体" w:cs="宋体"/>
                <w:b/>
                <w:bCs/>
                <w:sz w:val="24"/>
                <w:szCs w:val="24"/>
              </w:rPr>
            </w:pPr>
            <w:r>
              <w:rPr>
                <w:rFonts w:hint="eastAsia" w:ascii="宋体" w:hAnsi="宋体" w:eastAsia="宋体" w:cs="宋体"/>
                <w:b/>
                <w:bCs/>
                <w:sz w:val="24"/>
                <w:szCs w:val="24"/>
                <w:lang w:val="en-US" w:eastAsia="zh-CN"/>
              </w:rPr>
              <w:t>二、</w:t>
            </w:r>
            <w:r>
              <w:rPr>
                <w:rFonts w:hint="eastAsia" w:ascii="宋体" w:hAnsi="宋体" w:eastAsia="宋体" w:cs="宋体"/>
                <w:b/>
                <w:bCs/>
                <w:sz w:val="24"/>
                <w:szCs w:val="24"/>
              </w:rPr>
              <w:t>评审标准</w:t>
            </w:r>
          </w:p>
          <w:p w14:paraId="5FBAC7B2">
            <w:pPr>
              <w:pStyle w:val="64"/>
              <w:keepNext w:val="0"/>
              <w:keepLines w:val="0"/>
              <w:pageBreakBefore w:val="0"/>
              <w:widowControl/>
              <w:numPr>
                <w:ilvl w:val="0"/>
                <w:numId w:val="0"/>
              </w:numPr>
              <w:kinsoku/>
              <w:wordWrap/>
              <w:overflowPunct/>
              <w:topLinePunct w:val="0"/>
              <w:autoSpaceDE/>
              <w:autoSpaceDN/>
              <w:bidi w:val="0"/>
              <w:adjustRightInd/>
              <w:snapToGrid/>
              <w:spacing w:line="300" w:lineRule="auto"/>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1、</w:t>
            </w:r>
            <w:r>
              <w:rPr>
                <w:rFonts w:hint="eastAsia" w:ascii="宋体" w:hAnsi="宋体" w:eastAsia="宋体" w:cs="宋体"/>
                <w:sz w:val="24"/>
                <w:szCs w:val="24"/>
              </w:rPr>
              <w:t xml:space="preserve">完整性：方案必须全面，对评审内容中的各项要求有详细描述； </w:t>
            </w:r>
          </w:p>
          <w:p w14:paraId="173AEC57">
            <w:pPr>
              <w:pStyle w:val="64"/>
              <w:keepNext w:val="0"/>
              <w:keepLines w:val="0"/>
              <w:pageBreakBefore w:val="0"/>
              <w:widowControl/>
              <w:numPr>
                <w:ilvl w:val="0"/>
                <w:numId w:val="0"/>
              </w:numPr>
              <w:kinsoku/>
              <w:wordWrap/>
              <w:overflowPunct/>
              <w:topLinePunct w:val="0"/>
              <w:autoSpaceDE/>
              <w:autoSpaceDN/>
              <w:bidi w:val="0"/>
              <w:adjustRightInd/>
              <w:snapToGrid/>
              <w:spacing w:line="300" w:lineRule="auto"/>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2、</w:t>
            </w:r>
            <w:r>
              <w:rPr>
                <w:rFonts w:hint="eastAsia" w:ascii="宋体" w:hAnsi="宋体" w:eastAsia="宋体" w:cs="宋体"/>
                <w:sz w:val="24"/>
                <w:szCs w:val="24"/>
              </w:rPr>
              <w:t xml:space="preserve">可实施性：切合本项目实际情况，提出步骤清晰、合理的方案； </w:t>
            </w:r>
          </w:p>
          <w:p w14:paraId="4A3B8C5F">
            <w:pPr>
              <w:pStyle w:val="64"/>
              <w:keepNext w:val="0"/>
              <w:keepLines w:val="0"/>
              <w:pageBreakBefore w:val="0"/>
              <w:widowControl/>
              <w:numPr>
                <w:ilvl w:val="0"/>
                <w:numId w:val="0"/>
              </w:numPr>
              <w:kinsoku/>
              <w:wordWrap/>
              <w:overflowPunct/>
              <w:topLinePunct w:val="0"/>
              <w:autoSpaceDE/>
              <w:autoSpaceDN/>
              <w:bidi w:val="0"/>
              <w:adjustRightInd/>
              <w:snapToGrid/>
              <w:spacing w:line="300" w:lineRule="auto"/>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3、</w:t>
            </w:r>
            <w:r>
              <w:rPr>
                <w:rFonts w:hint="eastAsia" w:ascii="宋体" w:hAnsi="宋体" w:eastAsia="宋体" w:cs="宋体"/>
                <w:sz w:val="24"/>
                <w:szCs w:val="24"/>
              </w:rPr>
              <w:t xml:space="preserve">针对性：方案能够紧扣项目实际情况，内容科学合理。 </w:t>
            </w:r>
          </w:p>
          <w:p w14:paraId="51EDC8C2">
            <w:pPr>
              <w:pStyle w:val="64"/>
              <w:keepNext w:val="0"/>
              <w:keepLines w:val="0"/>
              <w:pageBreakBefore w:val="0"/>
              <w:widowControl/>
              <w:numPr>
                <w:ilvl w:val="0"/>
                <w:numId w:val="0"/>
              </w:numPr>
              <w:kinsoku/>
              <w:wordWrap/>
              <w:overflowPunct/>
              <w:topLinePunct w:val="0"/>
              <w:autoSpaceDE/>
              <w:autoSpaceDN/>
              <w:bidi w:val="0"/>
              <w:adjustRightInd/>
              <w:snapToGrid/>
              <w:spacing w:line="300" w:lineRule="auto"/>
              <w:ind w:left="100" w:leftChars="0"/>
              <w:textAlignment w:val="auto"/>
              <w:rPr>
                <w:rFonts w:hint="eastAsia" w:ascii="宋体" w:hAnsi="宋体" w:eastAsia="宋体" w:cs="宋体"/>
                <w:sz w:val="24"/>
                <w:szCs w:val="24"/>
              </w:rPr>
            </w:pPr>
            <w:r>
              <w:rPr>
                <w:rFonts w:hint="eastAsia" w:ascii="宋体" w:hAnsi="宋体" w:eastAsia="宋体" w:cs="宋体"/>
                <w:b/>
                <w:bCs/>
                <w:sz w:val="24"/>
                <w:szCs w:val="24"/>
                <w:lang w:val="en-US" w:eastAsia="zh-CN"/>
              </w:rPr>
              <w:t>三、</w:t>
            </w:r>
            <w:r>
              <w:rPr>
                <w:rFonts w:hint="eastAsia" w:ascii="宋体" w:hAnsi="宋体" w:eastAsia="宋体" w:cs="宋体"/>
                <w:b/>
                <w:bCs/>
                <w:sz w:val="24"/>
                <w:szCs w:val="24"/>
              </w:rPr>
              <w:t>赋分标准（满分</w:t>
            </w:r>
            <w:r>
              <w:rPr>
                <w:rFonts w:hint="eastAsia" w:ascii="宋体" w:hAnsi="宋体" w:eastAsia="宋体" w:cs="宋体"/>
                <w:b/>
                <w:bCs/>
                <w:sz w:val="24"/>
                <w:szCs w:val="24"/>
                <w:lang w:val="en-US" w:eastAsia="zh-CN"/>
              </w:rPr>
              <w:t>18</w:t>
            </w:r>
            <w:r>
              <w:rPr>
                <w:rFonts w:hint="eastAsia" w:ascii="宋体" w:hAnsi="宋体" w:eastAsia="宋体" w:cs="宋体"/>
                <w:b/>
                <w:bCs/>
                <w:sz w:val="24"/>
                <w:szCs w:val="24"/>
              </w:rPr>
              <w:t>分）</w:t>
            </w:r>
            <w:r>
              <w:rPr>
                <w:rFonts w:hint="eastAsia" w:ascii="宋体" w:hAnsi="宋体" w:eastAsia="宋体" w:cs="宋体"/>
                <w:sz w:val="24"/>
                <w:szCs w:val="24"/>
              </w:rPr>
              <w:t xml:space="preserve"> </w:t>
            </w:r>
          </w:p>
          <w:p w14:paraId="60FE452E">
            <w:pPr>
              <w:pStyle w:val="64"/>
              <w:keepNext w:val="0"/>
              <w:keepLines w:val="0"/>
              <w:pageBreakBefore w:val="0"/>
              <w:widowControl/>
              <w:numPr>
                <w:ilvl w:val="0"/>
                <w:numId w:val="0"/>
              </w:numPr>
              <w:kinsoku/>
              <w:wordWrap/>
              <w:overflowPunct/>
              <w:topLinePunct w:val="0"/>
              <w:autoSpaceDE/>
              <w:autoSpaceDN/>
              <w:bidi w:val="0"/>
              <w:adjustRightInd/>
              <w:snapToGrid/>
              <w:spacing w:line="30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highlight w:val="none"/>
              </w:rPr>
              <w:t>①项目实施进度</w:t>
            </w:r>
            <w:r>
              <w:rPr>
                <w:rFonts w:hint="eastAsia" w:ascii="宋体" w:hAnsi="宋体" w:eastAsia="宋体" w:cs="宋体"/>
                <w:sz w:val="24"/>
                <w:szCs w:val="24"/>
              </w:rPr>
              <w:t>：</w:t>
            </w:r>
            <w:r>
              <w:rPr>
                <w:rFonts w:hint="eastAsia" w:ascii="宋体" w:hAnsi="宋体" w:eastAsia="宋体" w:cs="宋体"/>
                <w:sz w:val="24"/>
                <w:szCs w:val="24"/>
                <w:lang w:val="en-US" w:eastAsia="zh-CN"/>
              </w:rPr>
              <w:t>每完全满足一个评审标准得2分，不能完全满足一个评审标准要求综合赋分0-1.9分，满分6分；</w:t>
            </w:r>
          </w:p>
          <w:p w14:paraId="183AA3D5">
            <w:pPr>
              <w:pStyle w:val="64"/>
              <w:keepNext w:val="0"/>
              <w:keepLines w:val="0"/>
              <w:pageBreakBefore w:val="0"/>
              <w:widowControl/>
              <w:numPr>
                <w:ilvl w:val="0"/>
                <w:numId w:val="0"/>
              </w:numPr>
              <w:kinsoku/>
              <w:wordWrap/>
              <w:overflowPunct/>
              <w:topLinePunct w:val="0"/>
              <w:autoSpaceDE/>
              <w:autoSpaceDN/>
              <w:bidi w:val="0"/>
              <w:adjustRightInd/>
              <w:snapToGrid/>
              <w:spacing w:line="30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rPr>
              <w:t>②</w:t>
            </w:r>
            <w:r>
              <w:rPr>
                <w:rFonts w:hint="eastAsia" w:ascii="宋体" w:hAnsi="宋体" w:eastAsia="宋体" w:cs="宋体"/>
                <w:sz w:val="24"/>
                <w:szCs w:val="24"/>
                <w:highlight w:val="none"/>
              </w:rPr>
              <w:t>目标分析</w:t>
            </w:r>
            <w:r>
              <w:rPr>
                <w:rFonts w:hint="eastAsia" w:ascii="宋体" w:hAnsi="宋体" w:eastAsia="宋体" w:cs="宋体"/>
                <w:sz w:val="24"/>
                <w:szCs w:val="24"/>
              </w:rPr>
              <w:t>：</w:t>
            </w:r>
            <w:r>
              <w:rPr>
                <w:rFonts w:hint="eastAsia" w:ascii="宋体" w:hAnsi="宋体" w:eastAsia="宋体" w:cs="宋体"/>
                <w:sz w:val="24"/>
                <w:szCs w:val="24"/>
                <w:lang w:val="en-US" w:eastAsia="zh-CN"/>
              </w:rPr>
              <w:t>每完全满足一个评审标准得2分，不能完全满足一个评审标准要求综合赋分0-1.9分，满分6分；</w:t>
            </w:r>
          </w:p>
          <w:p w14:paraId="3D528AA8">
            <w:pPr>
              <w:spacing w:line="480" w:lineRule="exact"/>
              <w:rPr>
                <w:rFonts w:ascii="宋体" w:hAnsi="宋体" w:cs="宋体"/>
                <w:sz w:val="24"/>
                <w:szCs w:val="24"/>
                <w:highlight w:val="none"/>
              </w:rPr>
            </w:pPr>
            <w:r>
              <w:rPr>
                <w:rFonts w:hint="eastAsia" w:ascii="宋体" w:hAnsi="宋体" w:eastAsia="宋体" w:cs="宋体"/>
                <w:sz w:val="24"/>
                <w:szCs w:val="24"/>
              </w:rPr>
              <w:t>③</w:t>
            </w:r>
            <w:r>
              <w:rPr>
                <w:rFonts w:hint="eastAsia" w:ascii="宋体" w:hAnsi="宋体" w:eastAsia="宋体" w:cs="宋体"/>
                <w:sz w:val="24"/>
                <w:szCs w:val="24"/>
                <w:highlight w:val="none"/>
              </w:rPr>
              <w:t>项目进度保障</w:t>
            </w:r>
            <w:r>
              <w:rPr>
                <w:rFonts w:hint="eastAsia" w:ascii="宋体" w:hAnsi="宋体" w:cs="宋体"/>
                <w:sz w:val="24"/>
                <w:szCs w:val="24"/>
                <w:highlight w:val="none"/>
              </w:rPr>
              <w:t>措施</w:t>
            </w:r>
            <w:r>
              <w:rPr>
                <w:rFonts w:hint="eastAsia" w:ascii="宋体" w:hAnsi="宋体" w:eastAsia="宋体" w:cs="宋体"/>
                <w:sz w:val="24"/>
                <w:szCs w:val="24"/>
              </w:rPr>
              <w:t>：</w:t>
            </w:r>
            <w:r>
              <w:rPr>
                <w:rFonts w:hint="eastAsia" w:ascii="宋体" w:hAnsi="宋体" w:eastAsia="宋体" w:cs="宋体"/>
                <w:sz w:val="24"/>
                <w:szCs w:val="24"/>
                <w:lang w:val="en-US" w:eastAsia="zh-CN"/>
              </w:rPr>
              <w:t>每完全满足一个评审标准得2分，不能完全满足一个评审标准要求综合赋分0-1.9分，满分6分；</w:t>
            </w:r>
          </w:p>
        </w:tc>
      </w:tr>
      <w:tr w14:paraId="04EC3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442" w:type="pct"/>
            <w:vMerge w:val="continue"/>
            <w:vAlign w:val="center"/>
          </w:tcPr>
          <w:p w14:paraId="0EBCC39F">
            <w:pPr>
              <w:spacing w:line="480" w:lineRule="exact"/>
              <w:jc w:val="center"/>
              <w:rPr>
                <w:rFonts w:ascii="宋体" w:hAnsi="宋体" w:cs="宋体"/>
                <w:sz w:val="24"/>
                <w:szCs w:val="24"/>
                <w:highlight w:val="none"/>
              </w:rPr>
            </w:pPr>
          </w:p>
        </w:tc>
        <w:tc>
          <w:tcPr>
            <w:tcW w:w="681" w:type="pct"/>
            <w:vMerge w:val="continue"/>
            <w:vAlign w:val="center"/>
          </w:tcPr>
          <w:p w14:paraId="209FB96D">
            <w:pPr>
              <w:spacing w:line="480" w:lineRule="exact"/>
              <w:jc w:val="center"/>
              <w:rPr>
                <w:rFonts w:ascii="宋体" w:hAnsi="宋体" w:cs="宋体"/>
                <w:sz w:val="24"/>
                <w:szCs w:val="24"/>
                <w:highlight w:val="none"/>
              </w:rPr>
            </w:pPr>
          </w:p>
        </w:tc>
        <w:tc>
          <w:tcPr>
            <w:tcW w:w="765" w:type="pct"/>
            <w:vAlign w:val="center"/>
          </w:tcPr>
          <w:p w14:paraId="43B2D8B7">
            <w:pPr>
              <w:spacing w:line="480" w:lineRule="exact"/>
              <w:jc w:val="center"/>
              <w:rPr>
                <w:rFonts w:hint="eastAsia" w:ascii="宋体" w:hAnsi="宋体" w:cs="宋体"/>
                <w:sz w:val="24"/>
                <w:szCs w:val="24"/>
                <w:highlight w:val="none"/>
              </w:rPr>
            </w:pPr>
            <w:r>
              <w:rPr>
                <w:rFonts w:hint="eastAsia" w:ascii="宋体" w:hAnsi="宋体" w:cs="宋体"/>
                <w:sz w:val="24"/>
                <w:szCs w:val="24"/>
                <w:highlight w:val="none"/>
              </w:rPr>
              <w:t>④确保</w:t>
            </w:r>
            <w:r>
              <w:rPr>
                <w:rFonts w:hint="eastAsia" w:ascii="宋体" w:hAnsi="宋体" w:cs="宋体"/>
                <w:sz w:val="24"/>
                <w:szCs w:val="24"/>
                <w:highlight w:val="none"/>
                <w:lang w:val="en-US" w:eastAsia="zh-CN"/>
              </w:rPr>
              <w:t>项目</w:t>
            </w:r>
            <w:r>
              <w:rPr>
                <w:rFonts w:hint="eastAsia" w:ascii="宋体" w:hAnsi="宋体" w:cs="宋体"/>
                <w:sz w:val="24"/>
                <w:szCs w:val="24"/>
                <w:highlight w:val="none"/>
              </w:rPr>
              <w:t>质量的</w:t>
            </w:r>
            <w:r>
              <w:rPr>
                <w:rFonts w:hint="eastAsia" w:ascii="宋体" w:hAnsi="宋体" w:cs="宋体"/>
                <w:sz w:val="24"/>
                <w:szCs w:val="24"/>
                <w:highlight w:val="none"/>
                <w:lang w:val="en-US" w:eastAsia="zh-CN"/>
              </w:rPr>
              <w:t>保证</w:t>
            </w:r>
            <w:r>
              <w:rPr>
                <w:rFonts w:hint="eastAsia" w:ascii="宋体" w:hAnsi="宋体" w:cs="宋体"/>
                <w:sz w:val="24"/>
                <w:szCs w:val="24"/>
                <w:highlight w:val="none"/>
              </w:rPr>
              <w:t>措施</w:t>
            </w:r>
          </w:p>
          <w:p w14:paraId="1F4FB69C">
            <w:pPr>
              <w:spacing w:line="480" w:lineRule="exact"/>
              <w:jc w:val="center"/>
              <w:rPr>
                <w:rFonts w:ascii="宋体" w:hAnsi="宋体" w:cs="宋体"/>
                <w:sz w:val="24"/>
                <w:szCs w:val="24"/>
                <w:highlight w:val="none"/>
              </w:rPr>
            </w:pPr>
            <w:r>
              <w:rPr>
                <w:rFonts w:hint="eastAsia" w:ascii="宋体" w:hAnsi="宋体" w:cs="宋体"/>
                <w:sz w:val="24"/>
                <w:szCs w:val="24"/>
                <w:highlight w:val="none"/>
              </w:rPr>
              <w:t>（</w:t>
            </w:r>
            <w:r>
              <w:rPr>
                <w:rFonts w:hint="eastAsia" w:ascii="宋体" w:hAnsi="宋体" w:cs="宋体"/>
                <w:sz w:val="24"/>
                <w:szCs w:val="24"/>
                <w:highlight w:val="none"/>
                <w:lang w:val="en-US" w:eastAsia="zh-CN"/>
              </w:rPr>
              <w:t>12</w:t>
            </w:r>
            <w:r>
              <w:rPr>
                <w:rFonts w:hint="eastAsia" w:ascii="宋体" w:hAnsi="宋体" w:cs="宋体"/>
                <w:sz w:val="24"/>
                <w:szCs w:val="24"/>
                <w:highlight w:val="none"/>
              </w:rPr>
              <w:t>分）</w:t>
            </w:r>
          </w:p>
        </w:tc>
        <w:tc>
          <w:tcPr>
            <w:tcW w:w="3110" w:type="pct"/>
            <w:vAlign w:val="center"/>
          </w:tcPr>
          <w:p w14:paraId="2D9B840B">
            <w:pPr>
              <w:pStyle w:val="64"/>
              <w:keepNext w:val="0"/>
              <w:keepLines w:val="0"/>
              <w:pageBreakBefore w:val="0"/>
              <w:widowControl/>
              <w:numPr>
                <w:ilvl w:val="0"/>
                <w:numId w:val="0"/>
              </w:numPr>
              <w:kinsoku/>
              <w:wordWrap/>
              <w:overflowPunct/>
              <w:topLinePunct w:val="0"/>
              <w:autoSpaceDE/>
              <w:autoSpaceDN/>
              <w:bidi w:val="0"/>
              <w:adjustRightInd/>
              <w:snapToGrid/>
              <w:spacing w:line="300" w:lineRule="auto"/>
              <w:textAlignment w:val="auto"/>
              <w:rPr>
                <w:rFonts w:hint="eastAsia" w:ascii="宋体" w:hAnsi="宋体" w:eastAsia="宋体" w:cs="宋体"/>
                <w:b/>
                <w:bCs/>
                <w:sz w:val="24"/>
                <w:szCs w:val="24"/>
              </w:rPr>
            </w:pPr>
            <w:r>
              <w:rPr>
                <w:rFonts w:hint="eastAsia" w:ascii="宋体" w:hAnsi="宋体" w:eastAsia="宋体" w:cs="宋体"/>
                <w:b/>
                <w:bCs/>
                <w:sz w:val="24"/>
                <w:szCs w:val="24"/>
                <w:lang w:val="en-US" w:eastAsia="zh-CN"/>
              </w:rPr>
              <w:t>一、</w:t>
            </w:r>
            <w:r>
              <w:rPr>
                <w:rFonts w:hint="eastAsia" w:ascii="宋体" w:hAnsi="宋体" w:eastAsia="宋体" w:cs="宋体"/>
                <w:b/>
                <w:bCs/>
                <w:sz w:val="24"/>
                <w:szCs w:val="24"/>
              </w:rPr>
              <w:t xml:space="preserve">评审内容 </w:t>
            </w:r>
          </w:p>
          <w:p w14:paraId="4F04091A">
            <w:pPr>
              <w:pStyle w:val="64"/>
              <w:keepNext w:val="0"/>
              <w:keepLines w:val="0"/>
              <w:pageBreakBefore w:val="0"/>
              <w:widowControl/>
              <w:numPr>
                <w:ilvl w:val="0"/>
                <w:numId w:val="0"/>
              </w:numPr>
              <w:kinsoku/>
              <w:wordWrap/>
              <w:overflowPunct/>
              <w:topLinePunct w:val="0"/>
              <w:autoSpaceDE/>
              <w:autoSpaceDN/>
              <w:bidi w:val="0"/>
              <w:adjustRightInd/>
              <w:snapToGrid/>
              <w:spacing w:line="300" w:lineRule="auto"/>
              <w:ind w:leftChars="0"/>
              <w:textAlignment w:val="auto"/>
              <w:rPr>
                <w:rFonts w:hint="eastAsia" w:ascii="宋体" w:hAnsi="宋体" w:eastAsia="宋体" w:cs="宋体"/>
                <w:sz w:val="24"/>
                <w:szCs w:val="24"/>
                <w:highlight w:val="none"/>
              </w:rPr>
            </w:pPr>
            <w:r>
              <w:rPr>
                <w:rFonts w:hint="eastAsia" w:ascii="宋体" w:hAnsi="宋体" w:eastAsia="宋体" w:cs="宋体"/>
                <w:sz w:val="24"/>
                <w:szCs w:val="24"/>
              </w:rPr>
              <w:t>针对本项目提出适用于本项目的质量保证措施，包括：①质量保障方案②质量控制措施</w:t>
            </w:r>
          </w:p>
          <w:p w14:paraId="0A698927">
            <w:pPr>
              <w:pStyle w:val="64"/>
              <w:keepNext w:val="0"/>
              <w:keepLines w:val="0"/>
              <w:pageBreakBefore w:val="0"/>
              <w:widowControl/>
              <w:numPr>
                <w:ilvl w:val="0"/>
                <w:numId w:val="0"/>
              </w:numPr>
              <w:kinsoku/>
              <w:wordWrap/>
              <w:overflowPunct/>
              <w:topLinePunct w:val="0"/>
              <w:autoSpaceDE/>
              <w:autoSpaceDN/>
              <w:bidi w:val="0"/>
              <w:adjustRightInd/>
              <w:snapToGrid/>
              <w:spacing w:line="300" w:lineRule="auto"/>
              <w:ind w:leftChars="0"/>
              <w:textAlignment w:val="auto"/>
              <w:rPr>
                <w:rFonts w:hint="eastAsia" w:ascii="宋体" w:hAnsi="宋体" w:eastAsia="宋体" w:cs="宋体"/>
                <w:b/>
                <w:bCs/>
                <w:sz w:val="24"/>
                <w:szCs w:val="24"/>
              </w:rPr>
            </w:pPr>
            <w:r>
              <w:rPr>
                <w:rFonts w:hint="eastAsia" w:ascii="宋体" w:hAnsi="宋体" w:eastAsia="宋体" w:cs="宋体"/>
                <w:b/>
                <w:bCs/>
                <w:sz w:val="24"/>
                <w:szCs w:val="24"/>
                <w:lang w:val="en-US" w:eastAsia="zh-CN"/>
              </w:rPr>
              <w:t>二、</w:t>
            </w:r>
            <w:r>
              <w:rPr>
                <w:rFonts w:hint="eastAsia" w:ascii="宋体" w:hAnsi="宋体" w:eastAsia="宋体" w:cs="宋体"/>
                <w:b/>
                <w:bCs/>
                <w:sz w:val="24"/>
                <w:szCs w:val="24"/>
              </w:rPr>
              <w:t>评审标准</w:t>
            </w:r>
          </w:p>
          <w:p w14:paraId="5857062A">
            <w:pPr>
              <w:pStyle w:val="64"/>
              <w:keepNext w:val="0"/>
              <w:keepLines w:val="0"/>
              <w:pageBreakBefore w:val="0"/>
              <w:widowControl/>
              <w:numPr>
                <w:ilvl w:val="0"/>
                <w:numId w:val="0"/>
              </w:numPr>
              <w:kinsoku/>
              <w:wordWrap/>
              <w:overflowPunct/>
              <w:topLinePunct w:val="0"/>
              <w:autoSpaceDE/>
              <w:autoSpaceDN/>
              <w:bidi w:val="0"/>
              <w:adjustRightInd/>
              <w:snapToGrid/>
              <w:spacing w:line="300" w:lineRule="auto"/>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1、</w:t>
            </w:r>
            <w:r>
              <w:rPr>
                <w:rFonts w:hint="eastAsia" w:ascii="宋体" w:hAnsi="宋体" w:eastAsia="宋体" w:cs="宋体"/>
                <w:sz w:val="24"/>
                <w:szCs w:val="24"/>
              </w:rPr>
              <w:t xml:space="preserve">完整性：方案必须全面，对评审内容中的各项要求有详细描述； </w:t>
            </w:r>
          </w:p>
          <w:p w14:paraId="4520DF8C">
            <w:pPr>
              <w:pStyle w:val="64"/>
              <w:keepNext w:val="0"/>
              <w:keepLines w:val="0"/>
              <w:pageBreakBefore w:val="0"/>
              <w:widowControl/>
              <w:numPr>
                <w:ilvl w:val="0"/>
                <w:numId w:val="0"/>
              </w:numPr>
              <w:kinsoku/>
              <w:wordWrap/>
              <w:overflowPunct/>
              <w:topLinePunct w:val="0"/>
              <w:autoSpaceDE/>
              <w:autoSpaceDN/>
              <w:bidi w:val="0"/>
              <w:adjustRightInd/>
              <w:snapToGrid/>
              <w:spacing w:line="300" w:lineRule="auto"/>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2、</w:t>
            </w:r>
            <w:r>
              <w:rPr>
                <w:rFonts w:hint="eastAsia" w:ascii="宋体" w:hAnsi="宋体" w:eastAsia="宋体" w:cs="宋体"/>
                <w:sz w:val="24"/>
                <w:szCs w:val="24"/>
              </w:rPr>
              <w:t xml:space="preserve">可实施性：切合本项目实际情况，提出步骤清晰、合理的方案； </w:t>
            </w:r>
          </w:p>
          <w:p w14:paraId="5CD42608">
            <w:pPr>
              <w:pStyle w:val="64"/>
              <w:keepNext w:val="0"/>
              <w:keepLines w:val="0"/>
              <w:pageBreakBefore w:val="0"/>
              <w:widowControl/>
              <w:numPr>
                <w:ilvl w:val="0"/>
                <w:numId w:val="0"/>
              </w:numPr>
              <w:kinsoku/>
              <w:wordWrap/>
              <w:overflowPunct/>
              <w:topLinePunct w:val="0"/>
              <w:autoSpaceDE/>
              <w:autoSpaceDN/>
              <w:bidi w:val="0"/>
              <w:adjustRightInd/>
              <w:snapToGrid/>
              <w:spacing w:line="300" w:lineRule="auto"/>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3、</w:t>
            </w:r>
            <w:r>
              <w:rPr>
                <w:rFonts w:hint="eastAsia" w:ascii="宋体" w:hAnsi="宋体" w:eastAsia="宋体" w:cs="宋体"/>
                <w:sz w:val="24"/>
                <w:szCs w:val="24"/>
              </w:rPr>
              <w:t xml:space="preserve">针对性：方案能够紧扣项目实际情况，内容科学合理。 </w:t>
            </w:r>
          </w:p>
          <w:p w14:paraId="1B156A44">
            <w:pPr>
              <w:pStyle w:val="64"/>
              <w:keepNext w:val="0"/>
              <w:keepLines w:val="0"/>
              <w:pageBreakBefore w:val="0"/>
              <w:widowControl/>
              <w:numPr>
                <w:ilvl w:val="0"/>
                <w:numId w:val="0"/>
              </w:numPr>
              <w:kinsoku/>
              <w:wordWrap/>
              <w:overflowPunct/>
              <w:topLinePunct w:val="0"/>
              <w:autoSpaceDE/>
              <w:autoSpaceDN/>
              <w:bidi w:val="0"/>
              <w:adjustRightInd/>
              <w:snapToGrid/>
              <w:spacing w:line="300" w:lineRule="auto"/>
              <w:ind w:left="100" w:leftChars="0"/>
              <w:textAlignment w:val="auto"/>
              <w:rPr>
                <w:rFonts w:hint="eastAsia" w:ascii="宋体" w:hAnsi="宋体" w:eastAsia="宋体" w:cs="宋体"/>
                <w:sz w:val="24"/>
                <w:szCs w:val="24"/>
              </w:rPr>
            </w:pPr>
            <w:r>
              <w:rPr>
                <w:rFonts w:hint="eastAsia" w:ascii="宋体" w:hAnsi="宋体" w:eastAsia="宋体" w:cs="宋体"/>
                <w:b/>
                <w:bCs/>
                <w:sz w:val="24"/>
                <w:szCs w:val="24"/>
                <w:lang w:val="en-US" w:eastAsia="zh-CN"/>
              </w:rPr>
              <w:t>三、</w:t>
            </w:r>
            <w:r>
              <w:rPr>
                <w:rFonts w:hint="eastAsia" w:ascii="宋体" w:hAnsi="宋体" w:eastAsia="宋体" w:cs="宋体"/>
                <w:b/>
                <w:bCs/>
                <w:sz w:val="24"/>
                <w:szCs w:val="24"/>
              </w:rPr>
              <w:t>赋分标准（满分</w:t>
            </w:r>
            <w:r>
              <w:rPr>
                <w:rFonts w:hint="eastAsia" w:ascii="宋体" w:hAnsi="宋体" w:eastAsia="宋体" w:cs="宋体"/>
                <w:b/>
                <w:bCs/>
                <w:sz w:val="24"/>
                <w:szCs w:val="24"/>
                <w:lang w:val="en-US" w:eastAsia="zh-CN"/>
              </w:rPr>
              <w:t>12</w:t>
            </w:r>
            <w:r>
              <w:rPr>
                <w:rFonts w:hint="eastAsia" w:ascii="宋体" w:hAnsi="宋体" w:eastAsia="宋体" w:cs="宋体"/>
                <w:b/>
                <w:bCs/>
                <w:sz w:val="24"/>
                <w:szCs w:val="24"/>
              </w:rPr>
              <w:t>分）</w:t>
            </w:r>
            <w:r>
              <w:rPr>
                <w:rFonts w:hint="eastAsia" w:ascii="宋体" w:hAnsi="宋体" w:eastAsia="宋体" w:cs="宋体"/>
                <w:sz w:val="24"/>
                <w:szCs w:val="24"/>
              </w:rPr>
              <w:t xml:space="preserve"> </w:t>
            </w:r>
          </w:p>
          <w:p w14:paraId="5EC23CD5">
            <w:pPr>
              <w:pStyle w:val="64"/>
              <w:keepNext w:val="0"/>
              <w:keepLines w:val="0"/>
              <w:pageBreakBefore w:val="0"/>
              <w:widowControl/>
              <w:numPr>
                <w:ilvl w:val="0"/>
                <w:numId w:val="0"/>
              </w:numPr>
              <w:kinsoku/>
              <w:wordWrap/>
              <w:overflowPunct/>
              <w:topLinePunct w:val="0"/>
              <w:autoSpaceDE/>
              <w:autoSpaceDN/>
              <w:bidi w:val="0"/>
              <w:adjustRightInd/>
              <w:snapToGrid/>
              <w:spacing w:line="300" w:lineRule="auto"/>
              <w:ind w:left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rPr>
              <w:t>①质量保障方案：</w:t>
            </w:r>
            <w:r>
              <w:rPr>
                <w:rFonts w:hint="eastAsia" w:ascii="宋体" w:hAnsi="宋体" w:eastAsia="宋体" w:cs="宋体"/>
                <w:sz w:val="24"/>
                <w:szCs w:val="24"/>
                <w:lang w:val="en-US" w:eastAsia="zh-CN"/>
              </w:rPr>
              <w:t>每完全满足一个评审标准得2分，不能完全满足一个评审标准要求综合赋分0-1.9分，满分6分；</w:t>
            </w:r>
          </w:p>
          <w:p w14:paraId="01187995">
            <w:pPr>
              <w:pStyle w:val="64"/>
              <w:keepNext w:val="0"/>
              <w:keepLines w:val="0"/>
              <w:pageBreakBefore w:val="0"/>
              <w:widowControl/>
              <w:numPr>
                <w:ilvl w:val="0"/>
                <w:numId w:val="0"/>
              </w:numPr>
              <w:kinsoku/>
              <w:wordWrap/>
              <w:overflowPunct/>
              <w:topLinePunct w:val="0"/>
              <w:autoSpaceDE/>
              <w:autoSpaceDN/>
              <w:bidi w:val="0"/>
              <w:adjustRightInd/>
              <w:snapToGrid/>
              <w:spacing w:line="300" w:lineRule="auto"/>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rPr>
              <w:t>②质量目标：</w:t>
            </w:r>
            <w:r>
              <w:rPr>
                <w:rFonts w:hint="eastAsia" w:ascii="宋体" w:hAnsi="宋体" w:eastAsia="宋体" w:cs="宋体"/>
                <w:sz w:val="24"/>
                <w:szCs w:val="24"/>
                <w:lang w:val="en-US" w:eastAsia="zh-CN"/>
              </w:rPr>
              <w:t>每完全满足一个评审标准得2分，不能完全满足一个评审标准要求综合赋分0-1.9分，满分6分；</w:t>
            </w:r>
          </w:p>
        </w:tc>
      </w:tr>
      <w:tr w14:paraId="4C7FB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42" w:type="pct"/>
            <w:vMerge w:val="continue"/>
            <w:vAlign w:val="center"/>
          </w:tcPr>
          <w:p w14:paraId="3FA5231E">
            <w:pPr>
              <w:spacing w:line="480" w:lineRule="exact"/>
              <w:jc w:val="center"/>
              <w:rPr>
                <w:rFonts w:ascii="宋体" w:hAnsi="宋体" w:cs="宋体"/>
                <w:sz w:val="24"/>
                <w:szCs w:val="24"/>
                <w:highlight w:val="none"/>
              </w:rPr>
            </w:pPr>
          </w:p>
        </w:tc>
        <w:tc>
          <w:tcPr>
            <w:tcW w:w="681" w:type="pct"/>
            <w:vMerge w:val="continue"/>
            <w:vAlign w:val="center"/>
          </w:tcPr>
          <w:p w14:paraId="4C622996">
            <w:pPr>
              <w:spacing w:line="480" w:lineRule="exact"/>
              <w:jc w:val="center"/>
              <w:rPr>
                <w:rFonts w:ascii="宋体" w:hAnsi="宋体" w:cs="宋体"/>
                <w:sz w:val="24"/>
                <w:szCs w:val="24"/>
                <w:highlight w:val="none"/>
              </w:rPr>
            </w:pPr>
          </w:p>
        </w:tc>
        <w:tc>
          <w:tcPr>
            <w:tcW w:w="765" w:type="pct"/>
            <w:vAlign w:val="center"/>
          </w:tcPr>
          <w:p w14:paraId="4443D9F0">
            <w:pPr>
              <w:spacing w:line="480" w:lineRule="exact"/>
              <w:jc w:val="center"/>
              <w:rPr>
                <w:rFonts w:hint="eastAsia" w:ascii="宋体" w:hAnsi="宋体" w:cs="宋体"/>
                <w:sz w:val="24"/>
                <w:szCs w:val="24"/>
                <w:highlight w:val="none"/>
              </w:rPr>
            </w:pPr>
            <w:r>
              <w:rPr>
                <w:rFonts w:hint="eastAsia" w:ascii="宋体" w:hAnsi="宋体" w:eastAsia="宋体" w:cs="宋体"/>
                <w:sz w:val="24"/>
                <w:szCs w:val="24"/>
                <w:highlight w:val="none"/>
              </w:rPr>
              <w:t>⑤</w:t>
            </w:r>
            <w:r>
              <w:rPr>
                <w:rFonts w:hint="eastAsia" w:ascii="宋体" w:hAnsi="宋体" w:cs="宋体"/>
                <w:sz w:val="24"/>
                <w:szCs w:val="24"/>
                <w:highlight w:val="none"/>
              </w:rPr>
              <w:t>主要机具、设备和劳动力配备情况</w:t>
            </w:r>
          </w:p>
          <w:p w14:paraId="75715D4D">
            <w:pPr>
              <w:spacing w:line="480" w:lineRule="exact"/>
              <w:jc w:val="center"/>
              <w:rPr>
                <w:rFonts w:ascii="宋体" w:hAnsi="宋体" w:cs="宋体"/>
                <w:sz w:val="24"/>
                <w:szCs w:val="24"/>
                <w:highlight w:val="none"/>
              </w:rPr>
            </w:pPr>
            <w:r>
              <w:rPr>
                <w:rFonts w:hint="eastAsia" w:ascii="宋体" w:hAnsi="宋体" w:cs="宋体"/>
                <w:sz w:val="24"/>
                <w:szCs w:val="24"/>
                <w:highlight w:val="none"/>
              </w:rPr>
              <w:t>（</w:t>
            </w:r>
            <w:r>
              <w:rPr>
                <w:rFonts w:hint="eastAsia" w:ascii="宋体" w:hAnsi="宋体" w:cs="宋体"/>
                <w:sz w:val="24"/>
                <w:szCs w:val="24"/>
                <w:highlight w:val="none"/>
                <w:lang w:val="en-US" w:eastAsia="zh-CN"/>
              </w:rPr>
              <w:t>9</w:t>
            </w:r>
            <w:r>
              <w:rPr>
                <w:rFonts w:hint="eastAsia" w:ascii="宋体" w:hAnsi="宋体" w:cs="宋体"/>
                <w:sz w:val="24"/>
                <w:szCs w:val="24"/>
                <w:highlight w:val="none"/>
              </w:rPr>
              <w:t>分）</w:t>
            </w:r>
          </w:p>
        </w:tc>
        <w:tc>
          <w:tcPr>
            <w:tcW w:w="3110" w:type="pct"/>
            <w:vAlign w:val="center"/>
          </w:tcPr>
          <w:p w14:paraId="0FBB6193">
            <w:pPr>
              <w:pStyle w:val="64"/>
              <w:keepNext w:val="0"/>
              <w:keepLines w:val="0"/>
              <w:pageBreakBefore w:val="0"/>
              <w:widowControl/>
              <w:numPr>
                <w:ilvl w:val="0"/>
                <w:numId w:val="0"/>
              </w:numPr>
              <w:kinsoku/>
              <w:wordWrap/>
              <w:overflowPunct/>
              <w:topLinePunct w:val="0"/>
              <w:autoSpaceDE/>
              <w:autoSpaceDN/>
              <w:bidi w:val="0"/>
              <w:adjustRightInd/>
              <w:snapToGrid/>
              <w:spacing w:line="300" w:lineRule="auto"/>
              <w:textAlignment w:val="auto"/>
              <w:rPr>
                <w:rFonts w:hint="eastAsia" w:ascii="宋体" w:hAnsi="宋体" w:eastAsia="宋体" w:cs="宋体"/>
                <w:b/>
                <w:bCs/>
                <w:sz w:val="24"/>
                <w:szCs w:val="24"/>
              </w:rPr>
            </w:pPr>
            <w:r>
              <w:rPr>
                <w:rFonts w:hint="eastAsia" w:ascii="宋体" w:hAnsi="宋体" w:eastAsia="宋体" w:cs="宋体"/>
                <w:b/>
                <w:bCs/>
                <w:sz w:val="24"/>
                <w:szCs w:val="24"/>
                <w:lang w:val="en-US" w:eastAsia="zh-CN"/>
              </w:rPr>
              <w:t>一、</w:t>
            </w:r>
            <w:r>
              <w:rPr>
                <w:rFonts w:hint="eastAsia" w:ascii="宋体" w:hAnsi="宋体" w:eastAsia="宋体" w:cs="宋体"/>
                <w:b/>
                <w:bCs/>
                <w:sz w:val="24"/>
                <w:szCs w:val="24"/>
              </w:rPr>
              <w:t xml:space="preserve">评审内容 </w:t>
            </w:r>
          </w:p>
          <w:p w14:paraId="7B44AA91">
            <w:pPr>
              <w:pStyle w:val="64"/>
              <w:keepNext w:val="0"/>
              <w:keepLines w:val="0"/>
              <w:pageBreakBefore w:val="0"/>
              <w:widowControl/>
              <w:numPr>
                <w:ilvl w:val="0"/>
                <w:numId w:val="0"/>
              </w:numPr>
              <w:kinsoku/>
              <w:wordWrap/>
              <w:overflowPunct/>
              <w:topLinePunct w:val="0"/>
              <w:autoSpaceDE/>
              <w:autoSpaceDN/>
              <w:bidi w:val="0"/>
              <w:adjustRightInd/>
              <w:snapToGrid/>
              <w:spacing w:line="300" w:lineRule="auto"/>
              <w:ind w:leftChars="0"/>
              <w:textAlignment w:val="auto"/>
              <w:rPr>
                <w:rFonts w:hint="eastAsia" w:ascii="宋体" w:hAnsi="宋体" w:eastAsia="宋体" w:cs="宋体"/>
                <w:sz w:val="24"/>
                <w:szCs w:val="24"/>
                <w:highlight w:val="none"/>
              </w:rPr>
            </w:pPr>
            <w:r>
              <w:rPr>
                <w:rFonts w:hint="eastAsia" w:ascii="宋体" w:hAnsi="宋体" w:eastAsia="宋体" w:cs="宋体"/>
                <w:sz w:val="24"/>
                <w:szCs w:val="24"/>
              </w:rPr>
              <w:t>针对本项目提出适用于本项目的</w:t>
            </w:r>
            <w:r>
              <w:rPr>
                <w:rFonts w:hint="eastAsia" w:ascii="宋体" w:hAnsi="宋体" w:eastAsia="宋体" w:cs="宋体"/>
                <w:sz w:val="24"/>
                <w:szCs w:val="24"/>
                <w:lang w:val="en-US" w:eastAsia="zh-CN"/>
              </w:rPr>
              <w:t>设备及劳动力</w:t>
            </w:r>
            <w:r>
              <w:rPr>
                <w:rFonts w:hint="eastAsia" w:ascii="宋体" w:hAnsi="宋体" w:eastAsia="宋体" w:cs="宋体"/>
                <w:sz w:val="24"/>
                <w:szCs w:val="24"/>
              </w:rPr>
              <w:t>，包括：①主要机具、设备②</w:t>
            </w:r>
            <w:r>
              <w:rPr>
                <w:rFonts w:hint="eastAsia" w:ascii="宋体" w:hAnsi="宋体" w:cs="宋体"/>
                <w:sz w:val="24"/>
                <w:szCs w:val="24"/>
                <w:highlight w:val="none"/>
              </w:rPr>
              <w:t>劳动力配备</w:t>
            </w:r>
          </w:p>
          <w:p w14:paraId="58D5687D">
            <w:pPr>
              <w:pStyle w:val="64"/>
              <w:keepNext w:val="0"/>
              <w:keepLines w:val="0"/>
              <w:pageBreakBefore w:val="0"/>
              <w:widowControl/>
              <w:numPr>
                <w:ilvl w:val="0"/>
                <w:numId w:val="0"/>
              </w:numPr>
              <w:kinsoku/>
              <w:wordWrap/>
              <w:overflowPunct/>
              <w:topLinePunct w:val="0"/>
              <w:autoSpaceDE/>
              <w:autoSpaceDN/>
              <w:bidi w:val="0"/>
              <w:adjustRightInd/>
              <w:snapToGrid/>
              <w:spacing w:line="300" w:lineRule="auto"/>
              <w:ind w:leftChars="0"/>
              <w:textAlignment w:val="auto"/>
              <w:rPr>
                <w:rFonts w:hint="eastAsia" w:ascii="宋体" w:hAnsi="宋体" w:eastAsia="宋体" w:cs="宋体"/>
                <w:b/>
                <w:bCs/>
                <w:sz w:val="24"/>
                <w:szCs w:val="24"/>
              </w:rPr>
            </w:pPr>
            <w:r>
              <w:rPr>
                <w:rFonts w:hint="eastAsia" w:ascii="宋体" w:hAnsi="宋体" w:eastAsia="宋体" w:cs="宋体"/>
                <w:b/>
                <w:bCs/>
                <w:sz w:val="24"/>
                <w:szCs w:val="24"/>
                <w:lang w:val="en-US" w:eastAsia="zh-CN"/>
              </w:rPr>
              <w:t>二、</w:t>
            </w:r>
            <w:r>
              <w:rPr>
                <w:rFonts w:hint="eastAsia" w:ascii="宋体" w:hAnsi="宋体" w:eastAsia="宋体" w:cs="宋体"/>
                <w:b/>
                <w:bCs/>
                <w:sz w:val="24"/>
                <w:szCs w:val="24"/>
              </w:rPr>
              <w:t>评审标准</w:t>
            </w:r>
          </w:p>
          <w:p w14:paraId="40547587">
            <w:pPr>
              <w:pStyle w:val="64"/>
              <w:keepNext w:val="0"/>
              <w:keepLines w:val="0"/>
              <w:pageBreakBefore w:val="0"/>
              <w:widowControl/>
              <w:numPr>
                <w:ilvl w:val="0"/>
                <w:numId w:val="0"/>
              </w:numPr>
              <w:kinsoku/>
              <w:wordWrap/>
              <w:overflowPunct/>
              <w:topLinePunct w:val="0"/>
              <w:autoSpaceDE/>
              <w:autoSpaceDN/>
              <w:bidi w:val="0"/>
              <w:adjustRightInd/>
              <w:snapToGrid/>
              <w:spacing w:line="300" w:lineRule="auto"/>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1、</w:t>
            </w:r>
            <w:r>
              <w:rPr>
                <w:rFonts w:hint="eastAsia" w:ascii="宋体" w:hAnsi="宋体" w:eastAsia="宋体" w:cs="宋体"/>
                <w:sz w:val="24"/>
                <w:szCs w:val="24"/>
              </w:rPr>
              <w:t xml:space="preserve">完整性：方案必须全面，对评审内容中的各项要求有详细描述； </w:t>
            </w:r>
          </w:p>
          <w:p w14:paraId="319867EB">
            <w:pPr>
              <w:pStyle w:val="64"/>
              <w:keepNext w:val="0"/>
              <w:keepLines w:val="0"/>
              <w:pageBreakBefore w:val="0"/>
              <w:widowControl/>
              <w:numPr>
                <w:ilvl w:val="0"/>
                <w:numId w:val="0"/>
              </w:numPr>
              <w:kinsoku/>
              <w:wordWrap/>
              <w:overflowPunct/>
              <w:topLinePunct w:val="0"/>
              <w:autoSpaceDE/>
              <w:autoSpaceDN/>
              <w:bidi w:val="0"/>
              <w:adjustRightInd/>
              <w:snapToGrid/>
              <w:spacing w:line="300" w:lineRule="auto"/>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2、</w:t>
            </w:r>
            <w:r>
              <w:rPr>
                <w:rFonts w:hint="eastAsia" w:ascii="宋体" w:hAnsi="宋体" w:eastAsia="宋体" w:cs="宋体"/>
                <w:sz w:val="24"/>
                <w:szCs w:val="24"/>
              </w:rPr>
              <w:t xml:space="preserve">可实施性：切合本项目实际情况，提出步骤清晰、合理的方案； </w:t>
            </w:r>
          </w:p>
          <w:p w14:paraId="24D060AC">
            <w:pPr>
              <w:pStyle w:val="64"/>
              <w:keepNext w:val="0"/>
              <w:keepLines w:val="0"/>
              <w:pageBreakBefore w:val="0"/>
              <w:widowControl/>
              <w:numPr>
                <w:ilvl w:val="0"/>
                <w:numId w:val="0"/>
              </w:numPr>
              <w:kinsoku/>
              <w:wordWrap/>
              <w:overflowPunct/>
              <w:topLinePunct w:val="0"/>
              <w:autoSpaceDE/>
              <w:autoSpaceDN/>
              <w:bidi w:val="0"/>
              <w:adjustRightInd/>
              <w:snapToGrid/>
              <w:spacing w:line="300" w:lineRule="auto"/>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3、</w:t>
            </w:r>
            <w:r>
              <w:rPr>
                <w:rFonts w:hint="eastAsia" w:ascii="宋体" w:hAnsi="宋体" w:eastAsia="宋体" w:cs="宋体"/>
                <w:sz w:val="24"/>
                <w:szCs w:val="24"/>
              </w:rPr>
              <w:t xml:space="preserve">针对性：方案能够紧扣项目实际情况，内容科学合理。 </w:t>
            </w:r>
          </w:p>
          <w:p w14:paraId="6858E20A">
            <w:pPr>
              <w:pStyle w:val="64"/>
              <w:keepNext w:val="0"/>
              <w:keepLines w:val="0"/>
              <w:pageBreakBefore w:val="0"/>
              <w:widowControl/>
              <w:numPr>
                <w:ilvl w:val="0"/>
                <w:numId w:val="0"/>
              </w:numPr>
              <w:kinsoku/>
              <w:wordWrap/>
              <w:overflowPunct/>
              <w:topLinePunct w:val="0"/>
              <w:autoSpaceDE/>
              <w:autoSpaceDN/>
              <w:bidi w:val="0"/>
              <w:adjustRightInd/>
              <w:snapToGrid/>
              <w:spacing w:line="300" w:lineRule="auto"/>
              <w:ind w:left="100" w:leftChars="0"/>
              <w:textAlignment w:val="auto"/>
              <w:rPr>
                <w:rFonts w:hint="eastAsia" w:ascii="宋体" w:hAnsi="宋体" w:eastAsia="宋体" w:cs="宋体"/>
                <w:sz w:val="24"/>
                <w:szCs w:val="24"/>
              </w:rPr>
            </w:pPr>
            <w:r>
              <w:rPr>
                <w:rFonts w:hint="eastAsia" w:ascii="宋体" w:hAnsi="宋体" w:eastAsia="宋体" w:cs="宋体"/>
                <w:b/>
                <w:bCs/>
                <w:sz w:val="24"/>
                <w:szCs w:val="24"/>
                <w:lang w:val="en-US" w:eastAsia="zh-CN"/>
              </w:rPr>
              <w:t>三、</w:t>
            </w:r>
            <w:r>
              <w:rPr>
                <w:rFonts w:hint="eastAsia" w:ascii="宋体" w:hAnsi="宋体" w:eastAsia="宋体" w:cs="宋体"/>
                <w:b/>
                <w:bCs/>
                <w:sz w:val="24"/>
                <w:szCs w:val="24"/>
              </w:rPr>
              <w:t>赋分标准（满分</w:t>
            </w:r>
            <w:r>
              <w:rPr>
                <w:rFonts w:hint="eastAsia" w:ascii="宋体" w:hAnsi="宋体" w:eastAsia="宋体" w:cs="宋体"/>
                <w:b/>
                <w:bCs/>
                <w:sz w:val="24"/>
                <w:szCs w:val="24"/>
                <w:lang w:val="en-US" w:eastAsia="zh-CN"/>
              </w:rPr>
              <w:t>9</w:t>
            </w:r>
            <w:r>
              <w:rPr>
                <w:rFonts w:hint="eastAsia" w:ascii="宋体" w:hAnsi="宋体" w:eastAsia="宋体" w:cs="宋体"/>
                <w:b/>
                <w:bCs/>
                <w:sz w:val="24"/>
                <w:szCs w:val="24"/>
              </w:rPr>
              <w:t>分）</w:t>
            </w:r>
            <w:r>
              <w:rPr>
                <w:rFonts w:hint="eastAsia" w:ascii="宋体" w:hAnsi="宋体" w:eastAsia="宋体" w:cs="宋体"/>
                <w:sz w:val="24"/>
                <w:szCs w:val="24"/>
              </w:rPr>
              <w:t xml:space="preserve"> </w:t>
            </w:r>
          </w:p>
          <w:p w14:paraId="6EFDB9EF">
            <w:pPr>
              <w:pStyle w:val="64"/>
              <w:keepNext w:val="0"/>
              <w:keepLines w:val="0"/>
              <w:pageBreakBefore w:val="0"/>
              <w:widowControl/>
              <w:numPr>
                <w:ilvl w:val="0"/>
                <w:numId w:val="0"/>
              </w:numPr>
              <w:kinsoku/>
              <w:wordWrap/>
              <w:overflowPunct/>
              <w:topLinePunct w:val="0"/>
              <w:autoSpaceDE/>
              <w:autoSpaceDN/>
              <w:bidi w:val="0"/>
              <w:adjustRightInd/>
              <w:snapToGrid/>
              <w:spacing w:line="300" w:lineRule="auto"/>
              <w:ind w:left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rPr>
              <w:t>①主要机具、设备：</w:t>
            </w:r>
            <w:r>
              <w:rPr>
                <w:rFonts w:hint="eastAsia" w:ascii="宋体" w:hAnsi="宋体" w:eastAsia="宋体" w:cs="宋体"/>
                <w:sz w:val="24"/>
                <w:szCs w:val="24"/>
                <w:lang w:val="en-US" w:eastAsia="zh-CN"/>
              </w:rPr>
              <w:t>每完全满足一个评审标准得1.5分，不能完全满足一个评审标准要求综合赋分0-1.4分，满分4.5分；</w:t>
            </w:r>
          </w:p>
          <w:p w14:paraId="2C24E21B">
            <w:pPr>
              <w:spacing w:line="480" w:lineRule="exact"/>
              <w:rPr>
                <w:rFonts w:ascii="宋体" w:hAnsi="宋体" w:cs="宋体"/>
                <w:sz w:val="24"/>
                <w:szCs w:val="24"/>
                <w:highlight w:val="none"/>
              </w:rPr>
            </w:pPr>
            <w:r>
              <w:rPr>
                <w:rFonts w:hint="eastAsia" w:ascii="宋体" w:hAnsi="宋体" w:eastAsia="宋体" w:cs="宋体"/>
                <w:sz w:val="24"/>
                <w:szCs w:val="24"/>
              </w:rPr>
              <w:t>②</w:t>
            </w:r>
            <w:r>
              <w:rPr>
                <w:rFonts w:hint="eastAsia" w:ascii="宋体" w:hAnsi="宋体" w:cs="宋体"/>
                <w:sz w:val="24"/>
                <w:szCs w:val="24"/>
                <w:highlight w:val="none"/>
              </w:rPr>
              <w:t>劳动力配备</w:t>
            </w:r>
            <w:r>
              <w:rPr>
                <w:rFonts w:hint="eastAsia" w:ascii="宋体" w:hAnsi="宋体" w:eastAsia="宋体" w:cs="宋体"/>
                <w:sz w:val="24"/>
                <w:szCs w:val="24"/>
              </w:rPr>
              <w:t>：</w:t>
            </w:r>
            <w:r>
              <w:rPr>
                <w:rFonts w:hint="eastAsia" w:ascii="宋体" w:hAnsi="宋体" w:eastAsia="宋体" w:cs="宋体"/>
                <w:sz w:val="24"/>
                <w:szCs w:val="24"/>
                <w:lang w:val="en-US" w:eastAsia="zh-CN"/>
              </w:rPr>
              <w:t>每完全满足一个评审标准得1.5分，不能完全满足一个评审标准要求综合赋分0-1.4分，满分4.5分；</w:t>
            </w:r>
          </w:p>
        </w:tc>
      </w:tr>
      <w:tr w14:paraId="225A2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42" w:type="pct"/>
            <w:vMerge w:val="continue"/>
            <w:vAlign w:val="center"/>
          </w:tcPr>
          <w:p w14:paraId="27C70267">
            <w:pPr>
              <w:spacing w:line="480" w:lineRule="exact"/>
              <w:jc w:val="center"/>
              <w:rPr>
                <w:rFonts w:ascii="宋体" w:hAnsi="宋体" w:cs="宋体"/>
                <w:sz w:val="24"/>
                <w:szCs w:val="24"/>
                <w:highlight w:val="none"/>
              </w:rPr>
            </w:pPr>
          </w:p>
        </w:tc>
        <w:tc>
          <w:tcPr>
            <w:tcW w:w="681" w:type="pct"/>
            <w:vMerge w:val="continue"/>
            <w:vAlign w:val="center"/>
          </w:tcPr>
          <w:p w14:paraId="244A61C9">
            <w:pPr>
              <w:spacing w:line="480" w:lineRule="exact"/>
              <w:jc w:val="center"/>
              <w:rPr>
                <w:rFonts w:ascii="宋体" w:hAnsi="宋体" w:cs="宋体"/>
                <w:sz w:val="24"/>
                <w:szCs w:val="24"/>
                <w:highlight w:val="none"/>
              </w:rPr>
            </w:pPr>
          </w:p>
        </w:tc>
        <w:tc>
          <w:tcPr>
            <w:tcW w:w="765" w:type="pct"/>
            <w:vAlign w:val="center"/>
          </w:tcPr>
          <w:p w14:paraId="03FF4D0F">
            <w:pPr>
              <w:spacing w:line="48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⑥服务承诺及应急管理</w:t>
            </w:r>
          </w:p>
          <w:p w14:paraId="0289416B">
            <w:pPr>
              <w:spacing w:line="480" w:lineRule="exact"/>
              <w:jc w:val="center"/>
              <w:rPr>
                <w:sz w:val="24"/>
                <w:szCs w:val="24"/>
                <w:highlight w:val="none"/>
              </w:rPr>
            </w:pPr>
            <w:r>
              <w:rPr>
                <w:rFonts w:hint="eastAsia" w:ascii="宋体" w:hAnsi="宋体" w:cs="宋体"/>
                <w:sz w:val="24"/>
                <w:szCs w:val="24"/>
                <w:highlight w:val="none"/>
              </w:rPr>
              <w:t>（</w:t>
            </w:r>
            <w:r>
              <w:rPr>
                <w:rFonts w:hint="eastAsia" w:ascii="宋体" w:hAnsi="宋体" w:cs="宋体"/>
                <w:sz w:val="24"/>
                <w:szCs w:val="24"/>
                <w:highlight w:val="none"/>
                <w:lang w:val="en-US" w:eastAsia="zh-CN"/>
              </w:rPr>
              <w:t>9</w:t>
            </w:r>
            <w:r>
              <w:rPr>
                <w:rFonts w:hint="eastAsia" w:ascii="宋体" w:hAnsi="宋体" w:cs="宋体"/>
                <w:sz w:val="24"/>
                <w:szCs w:val="24"/>
                <w:highlight w:val="none"/>
              </w:rPr>
              <w:t>分）</w:t>
            </w:r>
          </w:p>
        </w:tc>
        <w:tc>
          <w:tcPr>
            <w:tcW w:w="3110" w:type="pct"/>
            <w:vAlign w:val="center"/>
          </w:tcPr>
          <w:p w14:paraId="019CD25F">
            <w:pPr>
              <w:pStyle w:val="64"/>
              <w:keepNext w:val="0"/>
              <w:keepLines w:val="0"/>
              <w:pageBreakBefore w:val="0"/>
              <w:widowControl/>
              <w:numPr>
                <w:ilvl w:val="0"/>
                <w:numId w:val="0"/>
              </w:numPr>
              <w:kinsoku/>
              <w:wordWrap/>
              <w:overflowPunct/>
              <w:topLinePunct w:val="0"/>
              <w:autoSpaceDE/>
              <w:autoSpaceDN/>
              <w:bidi w:val="0"/>
              <w:adjustRightInd/>
              <w:snapToGrid/>
              <w:spacing w:line="300" w:lineRule="auto"/>
              <w:textAlignment w:val="auto"/>
              <w:rPr>
                <w:rFonts w:hint="eastAsia" w:ascii="宋体" w:hAnsi="宋体" w:eastAsia="宋体" w:cs="宋体"/>
                <w:b/>
                <w:bCs/>
                <w:sz w:val="24"/>
                <w:szCs w:val="24"/>
              </w:rPr>
            </w:pPr>
            <w:r>
              <w:rPr>
                <w:rFonts w:hint="eastAsia" w:ascii="宋体" w:hAnsi="宋体" w:eastAsia="宋体" w:cs="宋体"/>
                <w:b/>
                <w:bCs/>
                <w:sz w:val="24"/>
                <w:szCs w:val="24"/>
                <w:lang w:val="en-US" w:eastAsia="zh-CN"/>
              </w:rPr>
              <w:t>一、</w:t>
            </w:r>
            <w:r>
              <w:rPr>
                <w:rFonts w:hint="eastAsia" w:ascii="宋体" w:hAnsi="宋体" w:eastAsia="宋体" w:cs="宋体"/>
                <w:b/>
                <w:bCs/>
                <w:sz w:val="24"/>
                <w:szCs w:val="24"/>
              </w:rPr>
              <w:t xml:space="preserve">评审内容 </w:t>
            </w:r>
          </w:p>
          <w:p w14:paraId="6012E88C">
            <w:pPr>
              <w:pStyle w:val="64"/>
              <w:keepNext w:val="0"/>
              <w:keepLines w:val="0"/>
              <w:pageBreakBefore w:val="0"/>
              <w:widowControl/>
              <w:numPr>
                <w:ilvl w:val="0"/>
                <w:numId w:val="0"/>
              </w:numPr>
              <w:kinsoku/>
              <w:wordWrap/>
              <w:overflowPunct/>
              <w:topLinePunct w:val="0"/>
              <w:autoSpaceDE/>
              <w:autoSpaceDN/>
              <w:bidi w:val="0"/>
              <w:adjustRightInd/>
              <w:snapToGrid/>
              <w:spacing w:line="300" w:lineRule="auto"/>
              <w:ind w:leftChars="0"/>
              <w:textAlignment w:val="auto"/>
              <w:rPr>
                <w:rFonts w:hint="eastAsia" w:ascii="宋体" w:hAnsi="宋体" w:eastAsia="宋体" w:cs="宋体"/>
                <w:sz w:val="24"/>
                <w:szCs w:val="24"/>
              </w:rPr>
            </w:pPr>
            <w:r>
              <w:rPr>
                <w:rFonts w:hint="eastAsia" w:ascii="宋体" w:hAnsi="宋体" w:eastAsia="宋体" w:cs="宋体"/>
                <w:sz w:val="24"/>
                <w:szCs w:val="24"/>
              </w:rPr>
              <w:t>针对本项目提出适用于本项目的项目团队配置</w:t>
            </w:r>
            <w:r>
              <w:rPr>
                <w:rFonts w:hint="eastAsia" w:ascii="宋体" w:hAnsi="宋体" w:eastAsia="宋体" w:cs="宋体"/>
                <w:sz w:val="24"/>
                <w:szCs w:val="24"/>
                <w:lang w:val="en-US" w:eastAsia="zh-CN"/>
              </w:rPr>
              <w:t>方案</w:t>
            </w:r>
            <w:r>
              <w:rPr>
                <w:rFonts w:hint="eastAsia" w:ascii="宋体" w:hAnsi="宋体" w:eastAsia="宋体" w:cs="宋体"/>
                <w:sz w:val="24"/>
                <w:szCs w:val="24"/>
              </w:rPr>
              <w:t>，包括：①服务承诺②应急预案③应急保障措施</w:t>
            </w:r>
          </w:p>
          <w:p w14:paraId="119A60E0">
            <w:pPr>
              <w:pStyle w:val="64"/>
              <w:keepNext w:val="0"/>
              <w:keepLines w:val="0"/>
              <w:pageBreakBefore w:val="0"/>
              <w:widowControl/>
              <w:numPr>
                <w:ilvl w:val="0"/>
                <w:numId w:val="0"/>
              </w:numPr>
              <w:kinsoku/>
              <w:wordWrap/>
              <w:overflowPunct/>
              <w:topLinePunct w:val="0"/>
              <w:autoSpaceDE/>
              <w:autoSpaceDN/>
              <w:bidi w:val="0"/>
              <w:adjustRightInd/>
              <w:snapToGrid/>
              <w:spacing w:line="300" w:lineRule="auto"/>
              <w:ind w:leftChars="0"/>
              <w:textAlignment w:val="auto"/>
              <w:rPr>
                <w:rFonts w:hint="eastAsia" w:ascii="宋体" w:hAnsi="宋体" w:eastAsia="宋体" w:cs="宋体"/>
                <w:b/>
                <w:bCs/>
                <w:sz w:val="24"/>
                <w:szCs w:val="24"/>
              </w:rPr>
            </w:pPr>
            <w:r>
              <w:rPr>
                <w:rFonts w:hint="eastAsia" w:ascii="宋体" w:hAnsi="宋体" w:eastAsia="宋体" w:cs="宋体"/>
                <w:b/>
                <w:bCs/>
                <w:sz w:val="24"/>
                <w:szCs w:val="24"/>
                <w:lang w:val="en-US" w:eastAsia="zh-CN"/>
              </w:rPr>
              <w:t>二、</w:t>
            </w:r>
            <w:r>
              <w:rPr>
                <w:rFonts w:hint="eastAsia" w:ascii="宋体" w:hAnsi="宋体" w:eastAsia="宋体" w:cs="宋体"/>
                <w:b/>
                <w:bCs/>
                <w:sz w:val="24"/>
                <w:szCs w:val="24"/>
              </w:rPr>
              <w:t>评审标准</w:t>
            </w:r>
          </w:p>
          <w:p w14:paraId="606D5117">
            <w:pPr>
              <w:pStyle w:val="64"/>
              <w:keepNext w:val="0"/>
              <w:keepLines w:val="0"/>
              <w:pageBreakBefore w:val="0"/>
              <w:widowControl/>
              <w:numPr>
                <w:ilvl w:val="0"/>
                <w:numId w:val="0"/>
              </w:numPr>
              <w:kinsoku/>
              <w:wordWrap/>
              <w:overflowPunct/>
              <w:topLinePunct w:val="0"/>
              <w:autoSpaceDE/>
              <w:autoSpaceDN/>
              <w:bidi w:val="0"/>
              <w:adjustRightInd/>
              <w:snapToGrid/>
              <w:spacing w:line="300" w:lineRule="auto"/>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1、</w:t>
            </w:r>
            <w:r>
              <w:rPr>
                <w:rFonts w:hint="eastAsia" w:ascii="宋体" w:hAnsi="宋体" w:eastAsia="宋体" w:cs="宋体"/>
                <w:sz w:val="24"/>
                <w:szCs w:val="24"/>
              </w:rPr>
              <w:t xml:space="preserve">完整性：方案必须全面，对评审内容中的各项要求有详细描述； </w:t>
            </w:r>
          </w:p>
          <w:p w14:paraId="378B2B66">
            <w:pPr>
              <w:pStyle w:val="64"/>
              <w:keepNext w:val="0"/>
              <w:keepLines w:val="0"/>
              <w:pageBreakBefore w:val="0"/>
              <w:widowControl/>
              <w:numPr>
                <w:ilvl w:val="0"/>
                <w:numId w:val="0"/>
              </w:numPr>
              <w:kinsoku/>
              <w:wordWrap/>
              <w:overflowPunct/>
              <w:topLinePunct w:val="0"/>
              <w:autoSpaceDE/>
              <w:autoSpaceDN/>
              <w:bidi w:val="0"/>
              <w:adjustRightInd/>
              <w:snapToGrid/>
              <w:spacing w:line="300" w:lineRule="auto"/>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2、</w:t>
            </w:r>
            <w:r>
              <w:rPr>
                <w:rFonts w:hint="eastAsia" w:ascii="宋体" w:hAnsi="宋体" w:eastAsia="宋体" w:cs="宋体"/>
                <w:sz w:val="24"/>
                <w:szCs w:val="24"/>
              </w:rPr>
              <w:t xml:space="preserve">可实施性：切合本项目实际情况，提出步骤清晰、合理的方案； </w:t>
            </w:r>
          </w:p>
          <w:p w14:paraId="31F56F9C">
            <w:pPr>
              <w:pStyle w:val="64"/>
              <w:keepNext w:val="0"/>
              <w:keepLines w:val="0"/>
              <w:pageBreakBefore w:val="0"/>
              <w:widowControl/>
              <w:numPr>
                <w:ilvl w:val="0"/>
                <w:numId w:val="0"/>
              </w:numPr>
              <w:kinsoku/>
              <w:wordWrap/>
              <w:overflowPunct/>
              <w:topLinePunct w:val="0"/>
              <w:autoSpaceDE/>
              <w:autoSpaceDN/>
              <w:bidi w:val="0"/>
              <w:adjustRightInd/>
              <w:snapToGrid/>
              <w:spacing w:line="300" w:lineRule="auto"/>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3、</w:t>
            </w:r>
            <w:r>
              <w:rPr>
                <w:rFonts w:hint="eastAsia" w:ascii="宋体" w:hAnsi="宋体" w:eastAsia="宋体" w:cs="宋体"/>
                <w:sz w:val="24"/>
                <w:szCs w:val="24"/>
              </w:rPr>
              <w:t xml:space="preserve">针对性：方案能够紧扣项目实际情况，内容科学合理。 </w:t>
            </w:r>
          </w:p>
          <w:p w14:paraId="14B45AC0">
            <w:pPr>
              <w:pStyle w:val="64"/>
              <w:keepNext w:val="0"/>
              <w:keepLines w:val="0"/>
              <w:pageBreakBefore w:val="0"/>
              <w:widowControl/>
              <w:numPr>
                <w:ilvl w:val="0"/>
                <w:numId w:val="0"/>
              </w:numPr>
              <w:kinsoku/>
              <w:wordWrap/>
              <w:overflowPunct/>
              <w:topLinePunct w:val="0"/>
              <w:autoSpaceDE/>
              <w:autoSpaceDN/>
              <w:bidi w:val="0"/>
              <w:adjustRightInd/>
              <w:snapToGrid/>
              <w:spacing w:line="300" w:lineRule="auto"/>
              <w:ind w:left="100" w:leftChars="0"/>
              <w:textAlignment w:val="auto"/>
              <w:rPr>
                <w:rFonts w:hint="eastAsia" w:ascii="宋体" w:hAnsi="宋体" w:eastAsia="宋体" w:cs="宋体"/>
                <w:sz w:val="24"/>
                <w:szCs w:val="24"/>
              </w:rPr>
            </w:pPr>
            <w:r>
              <w:rPr>
                <w:rFonts w:hint="eastAsia" w:ascii="宋体" w:hAnsi="宋体" w:eastAsia="宋体" w:cs="宋体"/>
                <w:b/>
                <w:bCs/>
                <w:sz w:val="24"/>
                <w:szCs w:val="24"/>
                <w:lang w:val="en-US" w:eastAsia="zh-CN"/>
              </w:rPr>
              <w:t>三、</w:t>
            </w:r>
            <w:r>
              <w:rPr>
                <w:rFonts w:hint="eastAsia" w:ascii="宋体" w:hAnsi="宋体" w:eastAsia="宋体" w:cs="宋体"/>
                <w:b/>
                <w:bCs/>
                <w:sz w:val="24"/>
                <w:szCs w:val="24"/>
              </w:rPr>
              <w:t>赋分标准（满分</w:t>
            </w:r>
            <w:r>
              <w:rPr>
                <w:rFonts w:hint="eastAsia" w:ascii="宋体" w:hAnsi="宋体" w:eastAsia="宋体" w:cs="宋体"/>
                <w:b/>
                <w:bCs/>
                <w:sz w:val="24"/>
                <w:szCs w:val="24"/>
                <w:lang w:val="en-US" w:eastAsia="zh-CN"/>
              </w:rPr>
              <w:t>9</w:t>
            </w:r>
            <w:r>
              <w:rPr>
                <w:rFonts w:hint="eastAsia" w:ascii="宋体" w:hAnsi="宋体" w:eastAsia="宋体" w:cs="宋体"/>
                <w:b/>
                <w:bCs/>
                <w:sz w:val="24"/>
                <w:szCs w:val="24"/>
              </w:rPr>
              <w:t>分）</w:t>
            </w:r>
            <w:r>
              <w:rPr>
                <w:rFonts w:hint="eastAsia" w:ascii="宋体" w:hAnsi="宋体" w:eastAsia="宋体" w:cs="宋体"/>
                <w:sz w:val="24"/>
                <w:szCs w:val="24"/>
              </w:rPr>
              <w:t xml:space="preserve"> </w:t>
            </w:r>
          </w:p>
          <w:p w14:paraId="777DF0E4">
            <w:pPr>
              <w:pStyle w:val="64"/>
              <w:keepNext w:val="0"/>
              <w:keepLines w:val="0"/>
              <w:pageBreakBefore w:val="0"/>
              <w:widowControl/>
              <w:numPr>
                <w:ilvl w:val="0"/>
                <w:numId w:val="0"/>
              </w:numPr>
              <w:kinsoku/>
              <w:wordWrap/>
              <w:overflowPunct/>
              <w:topLinePunct w:val="0"/>
              <w:autoSpaceDE/>
              <w:autoSpaceDN/>
              <w:bidi w:val="0"/>
              <w:adjustRightInd/>
              <w:snapToGrid/>
              <w:spacing w:line="300" w:lineRule="auto"/>
              <w:ind w:left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rPr>
              <w:t>①服务承诺：</w:t>
            </w:r>
            <w:r>
              <w:rPr>
                <w:rFonts w:hint="eastAsia" w:ascii="宋体" w:hAnsi="宋体" w:eastAsia="宋体" w:cs="宋体"/>
                <w:sz w:val="24"/>
                <w:szCs w:val="24"/>
                <w:lang w:val="en-US" w:eastAsia="zh-CN"/>
              </w:rPr>
              <w:t>每完全满足一个评审标准得1分，不能完全满足一个评审标准要求综合赋分0-0.9分，满分3分；</w:t>
            </w:r>
          </w:p>
          <w:p w14:paraId="4E66A456">
            <w:pPr>
              <w:pStyle w:val="64"/>
              <w:keepNext w:val="0"/>
              <w:keepLines w:val="0"/>
              <w:pageBreakBefore w:val="0"/>
              <w:widowControl/>
              <w:numPr>
                <w:ilvl w:val="0"/>
                <w:numId w:val="0"/>
              </w:numPr>
              <w:kinsoku/>
              <w:wordWrap/>
              <w:overflowPunct/>
              <w:topLinePunct w:val="0"/>
              <w:autoSpaceDE/>
              <w:autoSpaceDN/>
              <w:bidi w:val="0"/>
              <w:adjustRightInd/>
              <w:snapToGrid/>
              <w:spacing w:line="300" w:lineRule="auto"/>
              <w:ind w:left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rPr>
              <w:t>②应急预案：</w:t>
            </w:r>
            <w:r>
              <w:rPr>
                <w:rFonts w:hint="eastAsia" w:ascii="宋体" w:hAnsi="宋体" w:eastAsia="宋体" w:cs="宋体"/>
                <w:sz w:val="24"/>
                <w:szCs w:val="24"/>
                <w:lang w:val="en-US" w:eastAsia="zh-CN"/>
              </w:rPr>
              <w:t>每完全满足一个评审标准得1分，不能完全满足一个评审标准要求综合赋分0-0.9分，满分3分；</w:t>
            </w:r>
          </w:p>
          <w:p w14:paraId="1B921C2C">
            <w:pPr>
              <w:spacing w:line="480" w:lineRule="exact"/>
              <w:rPr>
                <w:rFonts w:ascii="宋体" w:hAnsi="宋体" w:cs="宋体"/>
                <w:sz w:val="24"/>
                <w:szCs w:val="24"/>
                <w:highlight w:val="none"/>
              </w:rPr>
            </w:pPr>
            <w:r>
              <w:rPr>
                <w:rFonts w:hint="eastAsia" w:ascii="宋体" w:hAnsi="宋体" w:eastAsia="宋体" w:cs="宋体"/>
                <w:sz w:val="24"/>
                <w:szCs w:val="24"/>
              </w:rPr>
              <w:t>③ 应急保障措施：</w:t>
            </w:r>
            <w:r>
              <w:rPr>
                <w:rFonts w:hint="eastAsia" w:ascii="宋体" w:hAnsi="宋体" w:eastAsia="宋体" w:cs="宋体"/>
                <w:sz w:val="24"/>
                <w:szCs w:val="24"/>
                <w:lang w:val="en-US" w:eastAsia="zh-CN"/>
              </w:rPr>
              <w:t>每完全满足一个评审标准得1分，不能完全满足一个评审标准要求综合赋分0-0.9分，满分3分。</w:t>
            </w:r>
          </w:p>
        </w:tc>
      </w:tr>
      <w:tr w14:paraId="744D5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442" w:type="pct"/>
            <w:vMerge w:val="continue"/>
            <w:vAlign w:val="center"/>
          </w:tcPr>
          <w:p w14:paraId="5C7F68A9">
            <w:pPr>
              <w:spacing w:line="480" w:lineRule="exact"/>
              <w:jc w:val="center"/>
              <w:rPr>
                <w:rFonts w:ascii="宋体" w:hAnsi="宋体" w:cs="宋体"/>
                <w:sz w:val="24"/>
                <w:szCs w:val="24"/>
                <w:highlight w:val="none"/>
              </w:rPr>
            </w:pPr>
          </w:p>
        </w:tc>
        <w:tc>
          <w:tcPr>
            <w:tcW w:w="681" w:type="pct"/>
            <w:vMerge w:val="continue"/>
            <w:vAlign w:val="center"/>
          </w:tcPr>
          <w:p w14:paraId="3BE884B0">
            <w:pPr>
              <w:spacing w:line="480" w:lineRule="exact"/>
              <w:jc w:val="center"/>
              <w:rPr>
                <w:rFonts w:ascii="宋体" w:hAnsi="宋体" w:cs="宋体"/>
                <w:sz w:val="24"/>
                <w:szCs w:val="24"/>
                <w:highlight w:val="none"/>
              </w:rPr>
            </w:pPr>
          </w:p>
        </w:tc>
        <w:tc>
          <w:tcPr>
            <w:tcW w:w="765" w:type="pct"/>
            <w:vAlign w:val="center"/>
          </w:tcPr>
          <w:p w14:paraId="65F682C1">
            <w:pPr>
              <w:spacing w:line="480" w:lineRule="exact"/>
              <w:jc w:val="center"/>
              <w:rPr>
                <w:rFonts w:ascii="宋体" w:hAnsi="宋体" w:cs="宋体"/>
                <w:sz w:val="24"/>
                <w:szCs w:val="24"/>
                <w:highlight w:val="none"/>
              </w:rPr>
            </w:pPr>
            <w:r>
              <w:rPr>
                <w:rFonts w:hint="eastAsia" w:ascii="宋体" w:hAnsi="宋体" w:eastAsia="宋体" w:cs="宋体"/>
                <w:sz w:val="24"/>
                <w:szCs w:val="24"/>
                <w:highlight w:val="none"/>
              </w:rPr>
              <w:t>⑦</w:t>
            </w:r>
            <w:r>
              <w:rPr>
                <w:rFonts w:hint="eastAsia" w:ascii="宋体" w:hAnsi="宋体" w:cs="宋体"/>
                <w:sz w:val="24"/>
                <w:szCs w:val="24"/>
                <w:highlight w:val="none"/>
              </w:rPr>
              <w:t>业绩</w:t>
            </w:r>
          </w:p>
          <w:p w14:paraId="39E832B1">
            <w:pPr>
              <w:spacing w:line="480" w:lineRule="exact"/>
              <w:jc w:val="center"/>
              <w:rPr>
                <w:rFonts w:ascii="宋体" w:hAnsi="宋体" w:cs="宋体"/>
                <w:sz w:val="24"/>
                <w:szCs w:val="24"/>
                <w:highlight w:val="none"/>
              </w:rPr>
            </w:pPr>
            <w:r>
              <w:rPr>
                <w:rFonts w:hint="eastAsia" w:ascii="宋体" w:hAnsi="宋体" w:cs="宋体"/>
                <w:sz w:val="24"/>
                <w:szCs w:val="24"/>
                <w:highlight w:val="none"/>
              </w:rPr>
              <w:t>（10分）</w:t>
            </w:r>
          </w:p>
        </w:tc>
        <w:tc>
          <w:tcPr>
            <w:tcW w:w="3110" w:type="pct"/>
            <w:vAlign w:val="center"/>
          </w:tcPr>
          <w:p w14:paraId="142F6270">
            <w:pPr>
              <w:spacing w:line="480" w:lineRule="exact"/>
              <w:rPr>
                <w:rFonts w:ascii="宋体" w:hAnsi="宋体" w:cs="宋体"/>
                <w:sz w:val="24"/>
                <w:szCs w:val="24"/>
                <w:highlight w:val="none"/>
              </w:rPr>
            </w:pPr>
            <w:r>
              <w:rPr>
                <w:rFonts w:hint="eastAsia" w:ascii="宋体" w:hAnsi="宋体" w:cs="宋体"/>
                <w:sz w:val="24"/>
                <w:szCs w:val="24"/>
                <w:highlight w:val="none"/>
              </w:rPr>
              <w:t>提供202</w:t>
            </w:r>
            <w:r>
              <w:rPr>
                <w:rFonts w:hint="eastAsia" w:ascii="宋体" w:hAnsi="宋体" w:cs="宋体"/>
                <w:sz w:val="24"/>
                <w:szCs w:val="24"/>
                <w:highlight w:val="none"/>
                <w:lang w:val="en-US" w:eastAsia="zh-CN"/>
              </w:rPr>
              <w:t>2</w:t>
            </w:r>
            <w:r>
              <w:rPr>
                <w:rFonts w:hint="eastAsia" w:ascii="宋体" w:hAnsi="宋体" w:cs="宋体"/>
                <w:sz w:val="24"/>
                <w:szCs w:val="24"/>
                <w:highlight w:val="none"/>
              </w:rPr>
              <w:t>年</w:t>
            </w:r>
            <w:r>
              <w:rPr>
                <w:rFonts w:hint="eastAsia" w:ascii="宋体" w:hAnsi="宋体" w:cs="宋体"/>
                <w:sz w:val="24"/>
                <w:szCs w:val="24"/>
                <w:highlight w:val="none"/>
                <w:lang w:val="en-US" w:eastAsia="zh-CN"/>
              </w:rPr>
              <w:t>1月</w:t>
            </w:r>
            <w:r>
              <w:rPr>
                <w:rFonts w:hint="eastAsia" w:ascii="宋体" w:hAnsi="宋体" w:cs="宋体"/>
                <w:sz w:val="24"/>
                <w:szCs w:val="24"/>
                <w:highlight w:val="none"/>
              </w:rPr>
              <w:t>以后</w:t>
            </w:r>
            <w:r>
              <w:rPr>
                <w:rFonts w:hint="eastAsia" w:ascii="宋体" w:hAnsi="宋体" w:cs="宋体"/>
                <w:sz w:val="24"/>
                <w:szCs w:val="24"/>
                <w:highlight w:val="none"/>
                <w:lang w:val="en-US" w:eastAsia="zh-CN"/>
              </w:rPr>
              <w:t>的</w:t>
            </w:r>
            <w:r>
              <w:rPr>
                <w:rFonts w:hint="eastAsia" w:ascii="宋体" w:hAnsi="宋体" w:cs="宋体"/>
                <w:sz w:val="24"/>
                <w:szCs w:val="24"/>
                <w:highlight w:val="none"/>
              </w:rPr>
              <w:t>类似</w:t>
            </w:r>
            <w:r>
              <w:rPr>
                <w:rFonts w:hint="eastAsia" w:ascii="宋体" w:hAnsi="宋体" w:cs="宋体"/>
                <w:sz w:val="24"/>
                <w:szCs w:val="24"/>
                <w:highlight w:val="none"/>
                <w:lang w:val="en-US" w:eastAsia="zh-CN"/>
              </w:rPr>
              <w:t>项目</w:t>
            </w:r>
            <w:r>
              <w:rPr>
                <w:rFonts w:hint="eastAsia" w:ascii="宋体" w:hAnsi="宋体" w:cs="宋体"/>
                <w:sz w:val="24"/>
                <w:szCs w:val="24"/>
                <w:highlight w:val="none"/>
              </w:rPr>
              <w:t>业绩（业绩以合同复印件或中标通知书为依据）。每个业绩计2分，共10分。</w:t>
            </w:r>
          </w:p>
        </w:tc>
      </w:tr>
      <w:tr w14:paraId="15B28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2" w:type="pct"/>
            <w:vAlign w:val="center"/>
          </w:tcPr>
          <w:p w14:paraId="35C0B038">
            <w:pPr>
              <w:spacing w:line="480" w:lineRule="exact"/>
              <w:jc w:val="center"/>
              <w:rPr>
                <w:rFonts w:ascii="宋体" w:hAnsi="宋体" w:cs="宋体"/>
                <w:sz w:val="24"/>
                <w:szCs w:val="24"/>
                <w:highlight w:val="none"/>
              </w:rPr>
            </w:pPr>
            <w:r>
              <w:rPr>
                <w:rFonts w:hint="eastAsia" w:ascii="宋体" w:hAnsi="宋体" w:cs="宋体"/>
                <w:sz w:val="24"/>
                <w:szCs w:val="24"/>
                <w:highlight w:val="none"/>
              </w:rPr>
              <w:t>报价评分标准</w:t>
            </w:r>
          </w:p>
        </w:tc>
        <w:tc>
          <w:tcPr>
            <w:tcW w:w="681" w:type="pct"/>
            <w:vAlign w:val="center"/>
          </w:tcPr>
          <w:p w14:paraId="433BE154">
            <w:pPr>
              <w:spacing w:line="480" w:lineRule="exact"/>
              <w:jc w:val="center"/>
              <w:rPr>
                <w:rFonts w:ascii="宋体" w:hAnsi="宋体" w:cs="宋体"/>
                <w:sz w:val="24"/>
                <w:szCs w:val="24"/>
                <w:highlight w:val="none"/>
              </w:rPr>
            </w:pPr>
            <w:r>
              <w:rPr>
                <w:rFonts w:hint="eastAsia" w:ascii="宋体" w:hAnsi="宋体" w:cs="宋体"/>
                <w:sz w:val="24"/>
                <w:szCs w:val="24"/>
                <w:highlight w:val="none"/>
              </w:rPr>
              <w:t>（</w:t>
            </w:r>
            <w:r>
              <w:rPr>
                <w:rFonts w:hint="eastAsia" w:ascii="宋体" w:hAnsi="宋体" w:cs="宋体"/>
                <w:sz w:val="24"/>
                <w:szCs w:val="24"/>
                <w:highlight w:val="none"/>
                <w:lang w:val="en-US" w:eastAsia="zh-CN"/>
              </w:rPr>
              <w:t>15</w:t>
            </w:r>
            <w:r>
              <w:rPr>
                <w:rFonts w:hint="eastAsia" w:ascii="宋体" w:hAnsi="宋体" w:cs="宋体"/>
                <w:sz w:val="24"/>
                <w:szCs w:val="24"/>
                <w:highlight w:val="none"/>
              </w:rPr>
              <w:t>分）</w:t>
            </w:r>
          </w:p>
        </w:tc>
        <w:tc>
          <w:tcPr>
            <w:tcW w:w="765" w:type="pct"/>
            <w:vAlign w:val="center"/>
          </w:tcPr>
          <w:p w14:paraId="25917EF7">
            <w:pPr>
              <w:spacing w:line="480" w:lineRule="exact"/>
              <w:jc w:val="center"/>
              <w:rPr>
                <w:rFonts w:ascii="宋体" w:hAnsi="宋体" w:cs="宋体"/>
                <w:sz w:val="24"/>
                <w:szCs w:val="24"/>
                <w:highlight w:val="none"/>
              </w:rPr>
            </w:pPr>
            <w:r>
              <w:rPr>
                <w:rFonts w:hint="eastAsia" w:ascii="宋体" w:hAnsi="宋体" w:cs="宋体"/>
                <w:sz w:val="24"/>
                <w:szCs w:val="24"/>
                <w:highlight w:val="none"/>
              </w:rPr>
              <w:t>投标报价评分标准</w:t>
            </w:r>
          </w:p>
          <w:p w14:paraId="4C4BE073">
            <w:pPr>
              <w:spacing w:line="480" w:lineRule="exact"/>
              <w:jc w:val="center"/>
              <w:rPr>
                <w:rFonts w:ascii="宋体" w:hAnsi="宋体" w:cs="宋体"/>
                <w:sz w:val="24"/>
                <w:szCs w:val="24"/>
                <w:highlight w:val="none"/>
              </w:rPr>
            </w:pPr>
            <w:r>
              <w:rPr>
                <w:rFonts w:hint="eastAsia" w:ascii="宋体" w:hAnsi="宋体" w:cs="宋体"/>
                <w:sz w:val="24"/>
                <w:szCs w:val="24"/>
                <w:highlight w:val="none"/>
              </w:rPr>
              <w:t>（</w:t>
            </w:r>
            <w:r>
              <w:rPr>
                <w:rFonts w:hint="eastAsia" w:ascii="宋体" w:hAnsi="宋体" w:cs="宋体"/>
                <w:sz w:val="24"/>
                <w:szCs w:val="24"/>
                <w:highlight w:val="none"/>
                <w:lang w:val="en-US" w:eastAsia="zh-CN"/>
              </w:rPr>
              <w:t>15</w:t>
            </w:r>
            <w:r>
              <w:rPr>
                <w:rFonts w:hint="eastAsia" w:ascii="宋体" w:hAnsi="宋体" w:cs="宋体"/>
                <w:sz w:val="24"/>
                <w:szCs w:val="24"/>
                <w:highlight w:val="none"/>
              </w:rPr>
              <w:t>分）</w:t>
            </w:r>
          </w:p>
        </w:tc>
        <w:tc>
          <w:tcPr>
            <w:tcW w:w="3110" w:type="pct"/>
            <w:vAlign w:val="center"/>
          </w:tcPr>
          <w:p w14:paraId="2FF4B99C">
            <w:pPr>
              <w:spacing w:line="480" w:lineRule="exact"/>
              <w:rPr>
                <w:rFonts w:ascii="宋体" w:hAnsi="宋体" w:cs="宋体"/>
                <w:sz w:val="24"/>
                <w:szCs w:val="24"/>
                <w:highlight w:val="none"/>
              </w:rPr>
            </w:pPr>
            <w:r>
              <w:rPr>
                <w:rFonts w:hint="eastAsia" w:ascii="宋体" w:hAnsi="宋体" w:cs="宋体"/>
                <w:sz w:val="24"/>
                <w:szCs w:val="24"/>
                <w:highlight w:val="none"/>
              </w:rPr>
              <w:t>1.经初审合格的投标文件，其投标报价为有效投标价。</w:t>
            </w:r>
          </w:p>
          <w:p w14:paraId="16A98F7D">
            <w:pPr>
              <w:spacing w:line="480" w:lineRule="exact"/>
              <w:rPr>
                <w:rFonts w:ascii="宋体" w:hAnsi="宋体" w:cs="宋体"/>
                <w:sz w:val="24"/>
                <w:szCs w:val="24"/>
                <w:highlight w:val="none"/>
              </w:rPr>
            </w:pPr>
            <w:r>
              <w:rPr>
                <w:rFonts w:hint="eastAsia" w:ascii="宋体" w:hAnsi="宋体" w:cs="宋体"/>
                <w:sz w:val="24"/>
                <w:szCs w:val="24"/>
                <w:highlight w:val="none"/>
              </w:rPr>
              <w:t>2.有效最低报价为基准价得</w:t>
            </w:r>
            <w:r>
              <w:rPr>
                <w:rFonts w:hint="eastAsia" w:ascii="宋体" w:hAnsi="宋体" w:cs="宋体"/>
                <w:sz w:val="24"/>
                <w:szCs w:val="24"/>
                <w:highlight w:val="none"/>
                <w:lang w:val="en-US" w:eastAsia="zh-CN"/>
              </w:rPr>
              <w:t>15</w:t>
            </w:r>
            <w:r>
              <w:rPr>
                <w:rFonts w:hint="eastAsia" w:ascii="宋体" w:hAnsi="宋体" w:cs="宋体"/>
                <w:sz w:val="24"/>
                <w:szCs w:val="24"/>
                <w:highlight w:val="none"/>
              </w:rPr>
              <w:t>分。</w:t>
            </w:r>
          </w:p>
          <w:p w14:paraId="1B34D851">
            <w:pPr>
              <w:spacing w:line="480" w:lineRule="exact"/>
              <w:rPr>
                <w:rFonts w:ascii="宋体" w:hAnsi="宋体" w:cs="宋体"/>
                <w:sz w:val="24"/>
                <w:szCs w:val="24"/>
                <w:highlight w:val="none"/>
              </w:rPr>
            </w:pPr>
            <w:r>
              <w:rPr>
                <w:rFonts w:hint="eastAsia" w:ascii="宋体" w:hAnsi="宋体" w:cs="宋体"/>
                <w:sz w:val="24"/>
                <w:szCs w:val="24"/>
                <w:highlight w:val="none"/>
              </w:rPr>
              <w:t>3.按（有效最低报价/有效投标报价）×</w:t>
            </w:r>
            <w:r>
              <w:rPr>
                <w:rFonts w:hint="eastAsia" w:ascii="宋体" w:hAnsi="宋体" w:cs="宋体"/>
                <w:sz w:val="24"/>
                <w:szCs w:val="24"/>
                <w:highlight w:val="none"/>
                <w:lang w:val="en-US" w:eastAsia="zh-CN"/>
              </w:rPr>
              <w:t>15</w:t>
            </w:r>
            <w:r>
              <w:rPr>
                <w:rFonts w:hint="eastAsia" w:ascii="宋体" w:hAnsi="宋体" w:cs="宋体"/>
                <w:sz w:val="24"/>
                <w:szCs w:val="24"/>
                <w:highlight w:val="none"/>
              </w:rPr>
              <w:t>的公式计算其得分。</w:t>
            </w:r>
          </w:p>
          <w:p w14:paraId="68B0ED7F">
            <w:pPr>
              <w:spacing w:line="480" w:lineRule="exact"/>
              <w:rPr>
                <w:rFonts w:hint="default" w:eastAsia="仿宋_GB2312"/>
                <w:sz w:val="24"/>
                <w:szCs w:val="24"/>
                <w:highlight w:val="none"/>
                <w:lang w:val="en-US" w:eastAsia="zh-CN"/>
              </w:rPr>
            </w:pPr>
            <w:r>
              <w:rPr>
                <w:rFonts w:hint="eastAsia" w:ascii="宋体" w:hAnsi="宋体" w:cs="宋体"/>
                <w:sz w:val="24"/>
                <w:szCs w:val="24"/>
                <w:highlight w:val="none"/>
              </w:rPr>
              <w:t>4.经评委一致认定，投标人的投标总报价低于公认市场成本，或超过采购预算,其投标将被拒绝。</w:t>
            </w:r>
          </w:p>
        </w:tc>
      </w:tr>
      <w:tr w14:paraId="0B781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5" w:hRule="atLeast"/>
          <w:jc w:val="center"/>
        </w:trPr>
        <w:tc>
          <w:tcPr>
            <w:tcW w:w="1124" w:type="pct"/>
            <w:gridSpan w:val="2"/>
            <w:vAlign w:val="center"/>
          </w:tcPr>
          <w:p w14:paraId="411A8E19">
            <w:pPr>
              <w:spacing w:line="480" w:lineRule="exact"/>
              <w:jc w:val="center"/>
              <w:rPr>
                <w:rFonts w:ascii="宋体" w:hAnsi="宋体" w:cs="宋体"/>
                <w:sz w:val="24"/>
                <w:szCs w:val="24"/>
                <w:highlight w:val="none"/>
              </w:rPr>
            </w:pPr>
            <w:r>
              <w:rPr>
                <w:rFonts w:hint="eastAsia" w:ascii="宋体" w:hAnsi="宋体" w:cs="宋体"/>
                <w:sz w:val="24"/>
                <w:szCs w:val="24"/>
                <w:highlight w:val="none"/>
              </w:rPr>
              <w:t>备注</w:t>
            </w:r>
          </w:p>
        </w:tc>
        <w:tc>
          <w:tcPr>
            <w:tcW w:w="3875" w:type="pct"/>
            <w:gridSpan w:val="2"/>
            <w:vAlign w:val="center"/>
          </w:tcPr>
          <w:p w14:paraId="75FE3FC7">
            <w:pPr>
              <w:spacing w:line="360" w:lineRule="auto"/>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1）各评标委员会独立打分。</w:t>
            </w:r>
          </w:p>
          <w:p w14:paraId="4B25EAD1">
            <w:pPr>
              <w:spacing w:line="360" w:lineRule="auto"/>
              <w:jc w:val="left"/>
              <w:rPr>
                <w:rFonts w:ascii="宋体" w:hAnsi="宋体" w:cs="宋体"/>
                <w:b/>
                <w:bCs/>
                <w:sz w:val="24"/>
                <w:szCs w:val="24"/>
                <w:highlight w:val="none"/>
              </w:rPr>
            </w:pPr>
            <w:r>
              <w:rPr>
                <w:rFonts w:hint="eastAsia" w:ascii="宋体" w:hAnsi="宋体" w:eastAsia="宋体" w:cs="宋体"/>
                <w:sz w:val="24"/>
                <w:szCs w:val="24"/>
                <w:highlight w:val="none"/>
              </w:rPr>
              <w:t>2）评标委员会成员打分超过得分界限或未按本表规定赋分时，该成员的打分作废，不计入汇总分。</w:t>
            </w:r>
          </w:p>
        </w:tc>
      </w:tr>
    </w:tbl>
    <w:p w14:paraId="5DAC6F0C">
      <w:pPr>
        <w:spacing w:line="360" w:lineRule="auto"/>
        <w:rPr>
          <w:rFonts w:asciiTheme="minorEastAsia" w:hAnsiTheme="minorEastAsia" w:eastAsiaTheme="minorEastAsia" w:cstheme="minorEastAsia"/>
          <w:b/>
          <w:spacing w:val="4"/>
          <w:sz w:val="24"/>
          <w:szCs w:val="24"/>
          <w:highlight w:val="none"/>
        </w:rPr>
      </w:pPr>
      <w:r>
        <w:rPr>
          <w:rFonts w:hint="eastAsia" w:asciiTheme="minorEastAsia" w:hAnsiTheme="minorEastAsia" w:eastAsiaTheme="minorEastAsia" w:cstheme="minorEastAsia"/>
          <w:b/>
          <w:spacing w:val="4"/>
          <w:sz w:val="24"/>
          <w:szCs w:val="24"/>
          <w:highlight w:val="none"/>
        </w:rPr>
        <w:t>五、定标：</w:t>
      </w:r>
    </w:p>
    <w:p w14:paraId="34375C95">
      <w:pPr>
        <w:spacing w:line="360" w:lineRule="auto"/>
        <w:ind w:firstLine="496" w:firstLineChars="200"/>
        <w:rPr>
          <w:rFonts w:asciiTheme="minorEastAsia" w:hAnsiTheme="minorEastAsia" w:eastAsiaTheme="minorEastAsia" w:cstheme="minorEastAsia"/>
          <w:spacing w:val="4"/>
          <w:sz w:val="24"/>
          <w:szCs w:val="24"/>
          <w:highlight w:val="none"/>
        </w:rPr>
      </w:pPr>
      <w:r>
        <w:rPr>
          <w:rFonts w:hint="eastAsia" w:asciiTheme="minorEastAsia" w:hAnsiTheme="minorEastAsia" w:eastAsiaTheme="minorEastAsia" w:cstheme="minorEastAsia"/>
          <w:spacing w:val="4"/>
          <w:sz w:val="24"/>
          <w:szCs w:val="24"/>
          <w:highlight w:val="none"/>
        </w:rPr>
        <w:t>1、评标结果由全体</w:t>
      </w:r>
      <w:r>
        <w:rPr>
          <w:rFonts w:hint="eastAsia" w:asciiTheme="minorEastAsia" w:hAnsiTheme="minorEastAsia" w:eastAsiaTheme="minorEastAsia" w:cstheme="minorEastAsia"/>
          <w:sz w:val="24"/>
          <w:szCs w:val="24"/>
          <w:highlight w:val="none"/>
        </w:rPr>
        <w:t>评标委员会成员</w:t>
      </w:r>
      <w:r>
        <w:rPr>
          <w:rFonts w:hint="eastAsia" w:asciiTheme="minorEastAsia" w:hAnsiTheme="minorEastAsia" w:eastAsiaTheme="minorEastAsia" w:cstheme="minorEastAsia"/>
          <w:spacing w:val="4"/>
          <w:sz w:val="24"/>
          <w:szCs w:val="24"/>
          <w:highlight w:val="none"/>
        </w:rPr>
        <w:t>签字确认。</w:t>
      </w:r>
    </w:p>
    <w:p w14:paraId="722641E6">
      <w:pPr>
        <w:spacing w:line="360" w:lineRule="auto"/>
        <w:ind w:firstLine="496" w:firstLineChars="200"/>
        <w:rPr>
          <w:rFonts w:asciiTheme="minorEastAsia" w:hAnsiTheme="minorEastAsia" w:eastAsiaTheme="minorEastAsia" w:cstheme="minorEastAsia"/>
          <w:spacing w:val="4"/>
          <w:sz w:val="24"/>
          <w:szCs w:val="24"/>
          <w:highlight w:val="none"/>
        </w:rPr>
      </w:pPr>
      <w:r>
        <w:rPr>
          <w:rFonts w:hint="eastAsia" w:asciiTheme="minorEastAsia" w:hAnsiTheme="minorEastAsia" w:eastAsiaTheme="minorEastAsia" w:cstheme="minorEastAsia"/>
          <w:spacing w:val="4"/>
          <w:sz w:val="24"/>
          <w:szCs w:val="24"/>
          <w:highlight w:val="none"/>
        </w:rPr>
        <w:t>2、采购人根据评标报告中推荐的中标候选人排列顺序确定供应商，以复函通知招标代理机构。</w:t>
      </w:r>
    </w:p>
    <w:p w14:paraId="3817D531">
      <w:pPr>
        <w:spacing w:line="360" w:lineRule="auto"/>
        <w:rPr>
          <w:rFonts w:asciiTheme="minorEastAsia" w:hAnsiTheme="minorEastAsia" w:eastAsiaTheme="minorEastAsia" w:cstheme="minorEastAsia"/>
          <w:sz w:val="36"/>
          <w:szCs w:val="36"/>
          <w:highlight w:val="none"/>
        </w:rPr>
      </w:pPr>
      <w:r>
        <w:rPr>
          <w:rFonts w:hint="eastAsia" w:asciiTheme="minorEastAsia" w:hAnsiTheme="minorEastAsia" w:eastAsiaTheme="minorEastAsia" w:cstheme="minorEastAsia"/>
          <w:sz w:val="36"/>
          <w:szCs w:val="36"/>
          <w:highlight w:val="none"/>
        </w:rPr>
        <w:br w:type="page"/>
      </w:r>
    </w:p>
    <w:p w14:paraId="1F636EA2">
      <w:pPr>
        <w:pStyle w:val="4"/>
        <w:jc w:val="center"/>
        <w:rPr>
          <w:rFonts w:asciiTheme="minorEastAsia" w:hAnsiTheme="minorEastAsia" w:eastAsiaTheme="minorEastAsia" w:cstheme="minorEastAsia"/>
          <w:bCs/>
          <w:sz w:val="36"/>
          <w:szCs w:val="36"/>
          <w:highlight w:val="none"/>
        </w:rPr>
      </w:pPr>
      <w:bookmarkStart w:id="79" w:name="_Toc10065"/>
      <w:r>
        <w:rPr>
          <w:rFonts w:hint="eastAsia" w:asciiTheme="minorEastAsia" w:hAnsiTheme="minorEastAsia" w:eastAsiaTheme="minorEastAsia" w:cstheme="minorEastAsia"/>
          <w:sz w:val="36"/>
          <w:szCs w:val="36"/>
          <w:highlight w:val="none"/>
        </w:rPr>
        <w:t xml:space="preserve">第四章 </w:t>
      </w:r>
      <w:bookmarkEnd w:id="74"/>
      <w:bookmarkEnd w:id="75"/>
      <w:bookmarkEnd w:id="76"/>
      <w:bookmarkEnd w:id="77"/>
      <w:bookmarkStart w:id="80" w:name="_Toc2068"/>
      <w:r>
        <w:rPr>
          <w:rFonts w:hint="eastAsia" w:asciiTheme="minorEastAsia" w:hAnsiTheme="minorEastAsia" w:eastAsiaTheme="minorEastAsia" w:cstheme="minorEastAsia"/>
          <w:sz w:val="36"/>
          <w:szCs w:val="36"/>
          <w:highlight w:val="none"/>
        </w:rPr>
        <w:t xml:space="preserve"> </w:t>
      </w:r>
      <w:r>
        <w:rPr>
          <w:rFonts w:hint="eastAsia" w:asciiTheme="minorEastAsia" w:hAnsiTheme="minorEastAsia" w:eastAsiaTheme="minorEastAsia" w:cstheme="minorEastAsia"/>
          <w:bCs/>
          <w:sz w:val="36"/>
          <w:szCs w:val="36"/>
          <w:highlight w:val="none"/>
        </w:rPr>
        <w:t>合同条款及格式</w:t>
      </w:r>
      <w:bookmarkEnd w:id="78"/>
      <w:bookmarkEnd w:id="79"/>
      <w:bookmarkEnd w:id="80"/>
    </w:p>
    <w:p w14:paraId="3D2B0895">
      <w:pPr>
        <w:pStyle w:val="5"/>
        <w:jc w:val="center"/>
        <w:rPr>
          <w:rFonts w:asciiTheme="minorEastAsia" w:hAnsiTheme="minorEastAsia" w:eastAsiaTheme="minorEastAsia" w:cstheme="minorEastAsia"/>
          <w:highlight w:val="none"/>
        </w:rPr>
      </w:pPr>
      <w:bookmarkStart w:id="81" w:name="_Toc6935"/>
      <w:bookmarkStart w:id="82" w:name="_Toc30560"/>
      <w:bookmarkStart w:id="83" w:name="_Toc30782"/>
      <w:r>
        <w:rPr>
          <w:rFonts w:hint="eastAsia" w:asciiTheme="minorEastAsia" w:hAnsiTheme="minorEastAsia" w:eastAsiaTheme="minorEastAsia" w:cstheme="minorEastAsia"/>
          <w:highlight w:val="none"/>
        </w:rPr>
        <w:t>合同条款及格式前附表</w:t>
      </w:r>
      <w:bookmarkEnd w:id="81"/>
      <w:bookmarkEnd w:id="82"/>
      <w:bookmarkEnd w:id="83"/>
    </w:p>
    <w:p w14:paraId="3347DD25">
      <w:pPr>
        <w:ind w:firstLine="480" w:firstLineChars="200"/>
        <w:rPr>
          <w:rFonts w:asciiTheme="minorEastAsia" w:hAnsiTheme="minorEastAsia" w:eastAsiaTheme="minorEastAsia" w:cstheme="minorEastAsia"/>
          <w:bCs/>
          <w:sz w:val="36"/>
          <w:szCs w:val="36"/>
          <w:highlight w:val="none"/>
        </w:rPr>
      </w:pPr>
      <w:r>
        <w:rPr>
          <w:rFonts w:hint="eastAsia" w:asciiTheme="minorEastAsia" w:hAnsiTheme="minorEastAsia" w:eastAsiaTheme="minorEastAsia" w:cstheme="minorEastAsia"/>
          <w:sz w:val="24"/>
          <w:szCs w:val="24"/>
          <w:highlight w:val="none"/>
        </w:rPr>
        <w:t>本表是对合同条款的具体补充和修改，如有矛盾，应以本资料表为准。</w:t>
      </w:r>
    </w:p>
    <w:tbl>
      <w:tblPr>
        <w:tblStyle w:val="29"/>
        <w:tblW w:w="9239"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087"/>
        <w:gridCol w:w="8152"/>
      </w:tblGrid>
      <w:tr w14:paraId="1415C88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23" w:hRule="atLeast"/>
        </w:trPr>
        <w:tc>
          <w:tcPr>
            <w:tcW w:w="1087" w:type="dxa"/>
            <w:vAlign w:val="center"/>
          </w:tcPr>
          <w:p w14:paraId="13A46308">
            <w:pPr>
              <w:spacing w:line="360" w:lineRule="auto"/>
              <w:jc w:val="center"/>
              <w:rPr>
                <w:rFonts w:ascii="宋体" w:hAnsi="宋体" w:cs="宋体"/>
                <w:b/>
                <w:sz w:val="24"/>
                <w:szCs w:val="24"/>
                <w:highlight w:val="none"/>
              </w:rPr>
            </w:pPr>
            <w:bookmarkStart w:id="84" w:name="_Toc389582037"/>
            <w:bookmarkStart w:id="85" w:name="_Toc19246"/>
            <w:bookmarkStart w:id="86" w:name="_Toc31520"/>
            <w:bookmarkStart w:id="87" w:name="_Toc26595"/>
            <w:bookmarkStart w:id="88" w:name="_Toc19199"/>
            <w:bookmarkStart w:id="89" w:name="_Toc8333"/>
            <w:bookmarkStart w:id="90" w:name="_Toc4679"/>
            <w:bookmarkStart w:id="91" w:name="_Toc29888"/>
            <w:r>
              <w:rPr>
                <w:rFonts w:hint="eastAsia" w:ascii="宋体" w:hAnsi="宋体" w:cs="宋体"/>
                <w:b/>
                <w:sz w:val="24"/>
                <w:szCs w:val="24"/>
                <w:highlight w:val="none"/>
              </w:rPr>
              <w:t>序号</w:t>
            </w:r>
          </w:p>
        </w:tc>
        <w:tc>
          <w:tcPr>
            <w:tcW w:w="8152" w:type="dxa"/>
            <w:vAlign w:val="center"/>
          </w:tcPr>
          <w:p w14:paraId="10655483">
            <w:pPr>
              <w:spacing w:line="360" w:lineRule="auto"/>
              <w:jc w:val="center"/>
              <w:rPr>
                <w:rFonts w:ascii="宋体" w:hAnsi="宋体" w:cs="宋体"/>
                <w:b/>
                <w:sz w:val="24"/>
                <w:szCs w:val="24"/>
                <w:highlight w:val="none"/>
              </w:rPr>
            </w:pPr>
            <w:r>
              <w:rPr>
                <w:rFonts w:hint="eastAsia" w:ascii="宋体" w:hAnsi="宋体" w:cs="宋体"/>
                <w:b/>
                <w:sz w:val="24"/>
                <w:szCs w:val="24"/>
                <w:highlight w:val="none"/>
              </w:rPr>
              <w:t>内      容</w:t>
            </w:r>
          </w:p>
        </w:tc>
      </w:tr>
      <w:tr w14:paraId="4D8ECE3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087" w:type="dxa"/>
            <w:vAlign w:val="center"/>
          </w:tcPr>
          <w:p w14:paraId="134984E6">
            <w:pPr>
              <w:jc w:val="center"/>
              <w:rPr>
                <w:rFonts w:ascii="宋体" w:hAnsi="宋体" w:cs="宋体"/>
                <w:sz w:val="24"/>
                <w:szCs w:val="24"/>
                <w:highlight w:val="none"/>
              </w:rPr>
            </w:pPr>
            <w:r>
              <w:rPr>
                <w:rFonts w:hint="eastAsia" w:ascii="宋体" w:hAnsi="宋体" w:cs="宋体"/>
                <w:sz w:val="24"/>
                <w:szCs w:val="24"/>
                <w:highlight w:val="none"/>
              </w:rPr>
              <w:t>1</w:t>
            </w:r>
          </w:p>
        </w:tc>
        <w:tc>
          <w:tcPr>
            <w:tcW w:w="8152" w:type="dxa"/>
            <w:vAlign w:val="center"/>
          </w:tcPr>
          <w:p w14:paraId="0A3D8D6C">
            <w:pPr>
              <w:spacing w:line="336" w:lineRule="auto"/>
              <w:jc w:val="left"/>
              <w:rPr>
                <w:rFonts w:hint="eastAsia" w:ascii="宋体" w:hAnsi="宋体" w:eastAsia="宋体" w:cs="宋体"/>
                <w:sz w:val="24"/>
                <w:szCs w:val="24"/>
                <w:highlight w:val="none"/>
                <w:lang w:eastAsia="zh-CN"/>
              </w:rPr>
            </w:pPr>
            <w:r>
              <w:rPr>
                <w:rFonts w:hint="eastAsia" w:ascii="宋体" w:hAnsi="宋体" w:cs="宋体"/>
                <w:sz w:val="24"/>
                <w:szCs w:val="24"/>
                <w:highlight w:val="none"/>
              </w:rPr>
              <w:t>采购人：</w:t>
            </w:r>
            <w:r>
              <w:rPr>
                <w:rFonts w:hint="eastAsia" w:ascii="宋体" w:hAnsi="宋体" w:cs="宋体"/>
                <w:kern w:val="0"/>
                <w:sz w:val="24"/>
                <w:szCs w:val="24"/>
                <w:highlight w:val="none"/>
                <w:lang w:eastAsia="zh-CN"/>
              </w:rPr>
              <w:t>柞水县林业局</w:t>
            </w:r>
          </w:p>
          <w:p w14:paraId="161EE969">
            <w:pPr>
              <w:spacing w:line="336" w:lineRule="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cs="宋体"/>
                <w:sz w:val="24"/>
                <w:szCs w:val="24"/>
                <w:highlight w:val="none"/>
              </w:rPr>
              <w:t>地址：</w:t>
            </w:r>
            <w:r>
              <w:rPr>
                <w:rFonts w:hint="eastAsia" w:ascii="宋体" w:hAnsi="宋体" w:cs="宋体"/>
                <w:kern w:val="0"/>
                <w:sz w:val="24"/>
                <w:szCs w:val="24"/>
                <w:highlight w:val="none"/>
                <w:lang w:eastAsia="zh-CN"/>
              </w:rPr>
              <w:t>柞水县乾佑街道办中街151号</w:t>
            </w:r>
          </w:p>
          <w:p w14:paraId="57CB4EF6">
            <w:pPr>
              <w:spacing w:line="336" w:lineRule="auto"/>
              <w:rPr>
                <w:rFonts w:hint="eastAsia" w:ascii="宋体" w:hAnsi="宋体" w:eastAsia="宋体" w:cs="宋体"/>
                <w:sz w:val="24"/>
                <w:szCs w:val="24"/>
                <w:highlight w:val="none"/>
                <w:lang w:eastAsia="zh-CN"/>
              </w:rPr>
            </w:pPr>
            <w:r>
              <w:rPr>
                <w:rFonts w:hint="eastAsia" w:ascii="宋体" w:hAnsi="宋体" w:cs="宋体"/>
                <w:color w:val="000000" w:themeColor="text1"/>
                <w:sz w:val="24"/>
                <w:szCs w:val="24"/>
                <w:highlight w:val="none"/>
                <w14:textFill>
                  <w14:solidFill>
                    <w14:schemeClr w14:val="tx1"/>
                  </w14:solidFill>
                </w14:textFill>
              </w:rPr>
              <w:t>项目名称：</w:t>
            </w:r>
            <w:r>
              <w:rPr>
                <w:rFonts w:hint="eastAsia" w:ascii="宋体" w:hAnsi="宋体" w:cs="宋体"/>
                <w:color w:val="000000" w:themeColor="text1"/>
                <w:sz w:val="24"/>
                <w:szCs w:val="24"/>
                <w:highlight w:val="none"/>
                <w:lang w:eastAsia="zh-CN"/>
                <w14:textFill>
                  <w14:solidFill>
                    <w14:schemeClr w14:val="tx1"/>
                  </w14:solidFill>
                </w14:textFill>
              </w:rPr>
              <w:t>商洛市柞水县2024年中央财政林业草原改革发展资金其他国土绿化项目（退化林修复）</w:t>
            </w:r>
          </w:p>
          <w:p w14:paraId="1B90FEBD">
            <w:pPr>
              <w:spacing w:line="360" w:lineRule="auto"/>
              <w:rPr>
                <w:rFonts w:hint="eastAsia" w:ascii="宋体" w:hAnsi="宋体" w:eastAsia="宋体" w:cs="宋体"/>
                <w:sz w:val="24"/>
                <w:szCs w:val="24"/>
                <w:highlight w:val="none"/>
                <w:lang w:eastAsia="zh-CN"/>
              </w:rPr>
            </w:pPr>
            <w:r>
              <w:rPr>
                <w:rFonts w:hint="eastAsia" w:ascii="宋体" w:hAnsi="宋体" w:cs="宋体"/>
                <w:sz w:val="24"/>
                <w:szCs w:val="24"/>
                <w:highlight w:val="none"/>
              </w:rPr>
              <w:t>资金来源：</w:t>
            </w:r>
            <w:r>
              <w:rPr>
                <w:rFonts w:hint="eastAsia" w:ascii="宋体" w:hAnsi="宋体" w:cs="宋体"/>
                <w:sz w:val="24"/>
                <w:szCs w:val="24"/>
                <w:highlight w:val="none"/>
                <w:lang w:eastAsia="zh-CN"/>
              </w:rPr>
              <w:t>中央财政林业草原改革发展资金</w:t>
            </w:r>
          </w:p>
        </w:tc>
      </w:tr>
      <w:tr w14:paraId="4E66A46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087" w:type="dxa"/>
            <w:shd w:val="clear" w:color="auto" w:fill="auto"/>
            <w:vAlign w:val="center"/>
          </w:tcPr>
          <w:p w14:paraId="16F9C571">
            <w:pPr>
              <w:spacing w:line="360" w:lineRule="auto"/>
              <w:jc w:val="center"/>
              <w:rPr>
                <w:rFonts w:ascii="宋体" w:hAnsi="宋体" w:cs="宋体"/>
                <w:sz w:val="24"/>
                <w:szCs w:val="24"/>
                <w:highlight w:val="none"/>
              </w:rPr>
            </w:pPr>
            <w:r>
              <w:rPr>
                <w:rFonts w:hint="eastAsia" w:ascii="宋体" w:hAnsi="宋体" w:cs="宋体"/>
                <w:sz w:val="24"/>
                <w:szCs w:val="24"/>
                <w:highlight w:val="none"/>
              </w:rPr>
              <w:t>2</w:t>
            </w:r>
          </w:p>
        </w:tc>
        <w:tc>
          <w:tcPr>
            <w:tcW w:w="8152" w:type="dxa"/>
            <w:shd w:val="clear" w:color="auto" w:fill="auto"/>
            <w:vAlign w:val="center"/>
          </w:tcPr>
          <w:p w14:paraId="23ADAE86">
            <w:pPr>
              <w:spacing w:line="360" w:lineRule="auto"/>
              <w:rPr>
                <w:rFonts w:hint="eastAsia" w:ascii="宋体" w:hAnsi="宋体" w:eastAsia="宋体" w:cs="宋体"/>
                <w:sz w:val="24"/>
                <w:szCs w:val="24"/>
                <w:highlight w:val="none"/>
                <w:lang w:val="en-US" w:eastAsia="zh-CN"/>
              </w:rPr>
            </w:pPr>
            <w:r>
              <w:rPr>
                <w:rFonts w:hint="eastAsia" w:ascii="宋体" w:hAnsi="宋体" w:cs="宋体"/>
                <w:sz w:val="24"/>
                <w:szCs w:val="24"/>
                <w:highlight w:val="none"/>
              </w:rPr>
              <w:t>项目实施地点：</w:t>
            </w:r>
            <w:r>
              <w:rPr>
                <w:rFonts w:hint="eastAsia" w:ascii="宋体" w:hAnsi="宋体" w:cs="宋体"/>
                <w:kern w:val="0"/>
                <w:sz w:val="24"/>
                <w:szCs w:val="24"/>
                <w:highlight w:val="none"/>
                <w:lang w:val="en-US" w:eastAsia="zh-CN"/>
              </w:rPr>
              <w:t>柞水县</w:t>
            </w:r>
          </w:p>
        </w:tc>
      </w:tr>
      <w:tr w14:paraId="07B39CD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087" w:type="dxa"/>
            <w:shd w:val="clear" w:color="auto" w:fill="auto"/>
            <w:vAlign w:val="center"/>
          </w:tcPr>
          <w:p w14:paraId="2FA27DED">
            <w:pPr>
              <w:spacing w:line="360" w:lineRule="auto"/>
              <w:jc w:val="center"/>
              <w:rPr>
                <w:rFonts w:ascii="宋体" w:hAnsi="宋体" w:cs="宋体"/>
                <w:sz w:val="24"/>
                <w:szCs w:val="24"/>
                <w:highlight w:val="none"/>
              </w:rPr>
            </w:pPr>
            <w:r>
              <w:rPr>
                <w:rFonts w:hint="eastAsia" w:ascii="宋体" w:hAnsi="宋体" w:cs="宋体"/>
                <w:sz w:val="24"/>
                <w:szCs w:val="24"/>
                <w:highlight w:val="none"/>
              </w:rPr>
              <w:t>3</w:t>
            </w:r>
          </w:p>
        </w:tc>
        <w:tc>
          <w:tcPr>
            <w:tcW w:w="8152" w:type="dxa"/>
            <w:shd w:val="clear" w:color="auto" w:fill="auto"/>
            <w:vAlign w:val="center"/>
          </w:tcPr>
          <w:p w14:paraId="78C1F6EE">
            <w:pPr>
              <w:spacing w:line="360" w:lineRule="auto"/>
              <w:rPr>
                <w:rFonts w:hint="default" w:ascii="宋体" w:hAnsi="宋体" w:eastAsia="宋体" w:cs="宋体"/>
                <w:b/>
                <w:bCs/>
                <w:color w:val="000000" w:themeColor="text1"/>
                <w:sz w:val="24"/>
                <w:szCs w:val="24"/>
                <w:highlight w:val="none"/>
                <w:lang w:val="en-US" w:eastAsia="zh-CN"/>
                <w14:textFill>
                  <w14:solidFill>
                    <w14:schemeClr w14:val="tx1"/>
                  </w14:solidFill>
                </w14:textFill>
              </w:rPr>
            </w:pPr>
            <w:r>
              <w:rPr>
                <w:rFonts w:hint="eastAsia" w:ascii="宋体" w:hAnsi="宋体" w:cs="宋体"/>
                <w:b/>
                <w:bCs/>
                <w:color w:val="000000" w:themeColor="text1"/>
                <w:sz w:val="24"/>
                <w:szCs w:val="24"/>
                <w:highlight w:val="none"/>
                <w:lang w:val="en-US" w:eastAsia="zh-CN"/>
                <w14:textFill>
                  <w14:solidFill>
                    <w14:schemeClr w14:val="tx1"/>
                  </w14:solidFill>
                </w14:textFill>
              </w:rPr>
              <w:t>服务期</w:t>
            </w:r>
            <w:r>
              <w:rPr>
                <w:rFonts w:hint="eastAsia" w:ascii="宋体" w:hAnsi="宋体" w:cs="宋体"/>
                <w:b/>
                <w:bCs/>
                <w:color w:val="000000" w:themeColor="text1"/>
                <w:sz w:val="24"/>
                <w:szCs w:val="24"/>
                <w:highlight w:val="none"/>
                <w14:textFill>
                  <w14:solidFill>
                    <w14:schemeClr w14:val="tx1"/>
                  </w14:solidFill>
                </w14:textFill>
              </w:rPr>
              <w:t>：</w:t>
            </w:r>
            <w:r>
              <w:rPr>
                <w:rFonts w:hint="eastAsia" w:ascii="宋体" w:hAnsi="宋体" w:cs="宋体"/>
                <w:b/>
                <w:bCs/>
                <w:color w:val="000000" w:themeColor="text1"/>
                <w:sz w:val="24"/>
                <w:szCs w:val="24"/>
                <w:highlight w:val="none"/>
                <w:lang w:val="en-US" w:eastAsia="zh-CN"/>
                <w14:textFill>
                  <w14:solidFill>
                    <w14:schemeClr w14:val="tx1"/>
                  </w14:solidFill>
                </w14:textFill>
              </w:rPr>
              <w:t>自合同签订之日起90日历天（由于天气因素影响，服务期可以顺延）</w:t>
            </w:r>
          </w:p>
        </w:tc>
      </w:tr>
      <w:tr w14:paraId="39D5B65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087" w:type="dxa"/>
            <w:shd w:val="clear" w:color="auto" w:fill="auto"/>
            <w:vAlign w:val="center"/>
          </w:tcPr>
          <w:p w14:paraId="43BA900C">
            <w:pPr>
              <w:spacing w:line="360" w:lineRule="auto"/>
              <w:jc w:val="center"/>
              <w:rPr>
                <w:rFonts w:ascii="宋体" w:hAnsi="宋体" w:cs="宋体"/>
                <w:sz w:val="24"/>
                <w:szCs w:val="24"/>
                <w:highlight w:val="none"/>
              </w:rPr>
            </w:pPr>
            <w:r>
              <w:rPr>
                <w:rFonts w:hint="eastAsia" w:ascii="宋体" w:hAnsi="宋体" w:cs="宋体"/>
                <w:sz w:val="24"/>
                <w:szCs w:val="24"/>
                <w:highlight w:val="none"/>
              </w:rPr>
              <w:t>4</w:t>
            </w:r>
          </w:p>
        </w:tc>
        <w:tc>
          <w:tcPr>
            <w:tcW w:w="8152" w:type="dxa"/>
            <w:shd w:val="clear" w:color="auto" w:fill="auto"/>
            <w:vAlign w:val="center"/>
          </w:tcPr>
          <w:p w14:paraId="67AF40B4">
            <w:pPr>
              <w:spacing w:line="360" w:lineRule="auto"/>
              <w:rPr>
                <w:rFonts w:ascii="宋体" w:hAnsi="宋体" w:cs="宋体"/>
                <w:sz w:val="24"/>
                <w:szCs w:val="24"/>
                <w:highlight w:val="none"/>
              </w:rPr>
            </w:pPr>
            <w:r>
              <w:rPr>
                <w:rFonts w:hint="eastAsia" w:ascii="宋体" w:hAnsi="宋体" w:cs="宋体"/>
                <w:sz w:val="24"/>
                <w:szCs w:val="24"/>
                <w:highlight w:val="none"/>
              </w:rPr>
              <w:t>质量标准：符合国家现行有关质量验收规范“合格”要求。</w:t>
            </w:r>
          </w:p>
        </w:tc>
      </w:tr>
      <w:tr w14:paraId="6F6250E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087" w:type="dxa"/>
            <w:vAlign w:val="center"/>
          </w:tcPr>
          <w:p w14:paraId="5FBD3D00">
            <w:pPr>
              <w:spacing w:line="360" w:lineRule="auto"/>
              <w:jc w:val="center"/>
              <w:rPr>
                <w:rFonts w:ascii="宋体" w:hAnsi="宋体" w:cs="宋体"/>
                <w:sz w:val="24"/>
                <w:szCs w:val="24"/>
                <w:highlight w:val="none"/>
                <w:shd w:val="clear" w:color="FFFFFF" w:fill="D9D9D9"/>
              </w:rPr>
            </w:pPr>
            <w:r>
              <w:rPr>
                <w:rFonts w:hint="eastAsia" w:ascii="宋体" w:hAnsi="宋体" w:cs="宋体"/>
                <w:sz w:val="24"/>
                <w:szCs w:val="24"/>
                <w:highlight w:val="none"/>
              </w:rPr>
              <w:t>5</w:t>
            </w:r>
          </w:p>
        </w:tc>
        <w:tc>
          <w:tcPr>
            <w:tcW w:w="8152" w:type="dxa"/>
            <w:vAlign w:val="center"/>
          </w:tcPr>
          <w:p w14:paraId="5C0056D8">
            <w:pPr>
              <w:spacing w:line="360" w:lineRule="auto"/>
              <w:rPr>
                <w:rFonts w:ascii="宋体" w:hAnsi="宋体" w:cs="宋体"/>
                <w:sz w:val="24"/>
                <w:szCs w:val="24"/>
                <w:highlight w:val="none"/>
              </w:rPr>
            </w:pPr>
            <w:r>
              <w:rPr>
                <w:rFonts w:hint="eastAsia" w:ascii="宋体" w:hAnsi="宋体" w:cs="宋体"/>
                <w:sz w:val="24"/>
                <w:szCs w:val="24"/>
                <w:highlight w:val="none"/>
              </w:rPr>
              <w:t>1.合同总价即中标价，中标报价采用固定总价。中标报价是招标文件所确定的全部</w:t>
            </w:r>
            <w:r>
              <w:rPr>
                <w:rFonts w:hint="eastAsia" w:ascii="宋体" w:hAnsi="宋体" w:cs="宋体"/>
                <w:sz w:val="24"/>
                <w:szCs w:val="24"/>
                <w:highlight w:val="none"/>
                <w:lang w:eastAsia="zh-CN"/>
              </w:rPr>
              <w:t>服务</w:t>
            </w:r>
            <w:r>
              <w:rPr>
                <w:rFonts w:hint="eastAsia" w:ascii="宋体" w:hAnsi="宋体" w:cs="宋体"/>
                <w:sz w:val="24"/>
                <w:szCs w:val="24"/>
                <w:highlight w:val="none"/>
              </w:rPr>
              <w:t>内容的价格体现。任何有选择的报价将不予接受，按无效投标响应。投标人根据自行确定的施工方案进行自主报价。</w:t>
            </w:r>
          </w:p>
          <w:p w14:paraId="3E225AF2">
            <w:pPr>
              <w:spacing w:line="360" w:lineRule="auto"/>
              <w:rPr>
                <w:rFonts w:ascii="宋体" w:hAnsi="宋体" w:cs="宋体"/>
                <w:sz w:val="24"/>
                <w:szCs w:val="24"/>
                <w:highlight w:val="none"/>
              </w:rPr>
            </w:pPr>
            <w:r>
              <w:rPr>
                <w:rFonts w:hint="eastAsia" w:ascii="宋体" w:hAnsi="宋体" w:cs="宋体"/>
                <w:sz w:val="24"/>
                <w:szCs w:val="24"/>
                <w:highlight w:val="none"/>
              </w:rPr>
              <w:t>2.中标后合同总价不做调整，不再因为环境的变化和工程量的增减而变化，任何有选择的报价将不予接受。</w:t>
            </w:r>
          </w:p>
          <w:p w14:paraId="31D87753">
            <w:pPr>
              <w:spacing w:line="360" w:lineRule="auto"/>
              <w:rPr>
                <w:rFonts w:ascii="宋体" w:hAnsi="宋体" w:cs="宋体"/>
                <w:sz w:val="24"/>
                <w:szCs w:val="24"/>
                <w:highlight w:val="none"/>
              </w:rPr>
            </w:pPr>
            <w:r>
              <w:rPr>
                <w:rFonts w:hint="eastAsia" w:ascii="宋体" w:hAnsi="宋体" w:cs="宋体"/>
                <w:sz w:val="24"/>
                <w:szCs w:val="24"/>
                <w:highlight w:val="none"/>
              </w:rPr>
              <w:t>3.付款方式和程序：</w:t>
            </w:r>
          </w:p>
          <w:p w14:paraId="5E2C942E">
            <w:pPr>
              <w:spacing w:line="360" w:lineRule="auto"/>
              <w:rPr>
                <w:rFonts w:ascii="宋体" w:hAnsi="宋体" w:cs="宋体"/>
                <w:sz w:val="24"/>
                <w:szCs w:val="24"/>
                <w:highlight w:val="none"/>
              </w:rPr>
            </w:pPr>
            <w:r>
              <w:rPr>
                <w:rFonts w:hint="eastAsia" w:ascii="宋体" w:hAnsi="宋体" w:cs="宋体"/>
                <w:sz w:val="24"/>
                <w:szCs w:val="24"/>
                <w:highlight w:val="none"/>
              </w:rPr>
              <w:t>（1）银行转账，项目实施完成并通过验收后，由供应商提供票据等财务报账所需材料进行报账。</w:t>
            </w:r>
          </w:p>
          <w:p w14:paraId="5F5A4739">
            <w:pPr>
              <w:spacing w:line="360" w:lineRule="auto"/>
              <w:rPr>
                <w:rFonts w:hint="eastAsia" w:ascii="宋体" w:hAnsi="宋体" w:eastAsia="宋体" w:cs="宋体"/>
                <w:sz w:val="24"/>
                <w:szCs w:val="24"/>
                <w:highlight w:val="none"/>
                <w:lang w:eastAsia="zh-CN"/>
              </w:rPr>
            </w:pPr>
            <w:r>
              <w:rPr>
                <w:rFonts w:hint="eastAsia" w:ascii="宋体" w:hAnsi="宋体" w:cs="宋体"/>
                <w:b/>
                <w:bCs/>
                <w:sz w:val="24"/>
                <w:szCs w:val="24"/>
                <w:highlight w:val="none"/>
              </w:rPr>
              <w:t>（2）</w:t>
            </w:r>
            <w:r>
              <w:rPr>
                <w:rFonts w:hint="eastAsia" w:ascii="宋体" w:hAnsi="宋体" w:eastAsia="宋体" w:cs="宋体"/>
                <w:b/>
                <w:bCs/>
                <w:sz w:val="24"/>
                <w:szCs w:val="24"/>
                <w:highlight w:val="none"/>
              </w:rPr>
              <w:t>付款方式：</w:t>
            </w:r>
            <w:r>
              <w:rPr>
                <w:rFonts w:hint="eastAsia" w:ascii="宋体" w:hAnsi="宋体" w:eastAsia="宋体" w:cs="宋体"/>
                <w:b w:val="0"/>
                <w:bCs w:val="0"/>
                <w:sz w:val="24"/>
                <w:szCs w:val="24"/>
                <w:highlight w:val="none"/>
                <w:lang w:val="en-US" w:eastAsia="zh-CN"/>
              </w:rPr>
              <w:t>合同签订后支付合同总价的30%，</w:t>
            </w:r>
            <w:r>
              <w:rPr>
                <w:rFonts w:hint="eastAsia" w:ascii="宋体" w:hAnsi="宋体" w:cs="宋体"/>
                <w:b w:val="0"/>
                <w:bCs w:val="0"/>
                <w:sz w:val="24"/>
                <w:szCs w:val="24"/>
                <w:highlight w:val="none"/>
                <w:lang w:val="en-US" w:eastAsia="zh-CN"/>
              </w:rPr>
              <w:t>项目完成后经县级部门</w:t>
            </w:r>
            <w:r>
              <w:rPr>
                <w:rFonts w:hint="eastAsia" w:ascii="宋体" w:hAnsi="宋体" w:eastAsia="宋体" w:cs="宋体"/>
                <w:b w:val="0"/>
                <w:bCs w:val="0"/>
                <w:sz w:val="24"/>
                <w:szCs w:val="24"/>
                <w:highlight w:val="none"/>
                <w:lang w:val="en-US" w:eastAsia="zh-CN"/>
              </w:rPr>
              <w:t>验收合格后支付合同总价的</w:t>
            </w:r>
            <w:r>
              <w:rPr>
                <w:rFonts w:hint="eastAsia" w:ascii="宋体" w:hAnsi="宋体" w:cs="宋体"/>
                <w:b w:val="0"/>
                <w:bCs w:val="0"/>
                <w:sz w:val="24"/>
                <w:szCs w:val="24"/>
                <w:highlight w:val="none"/>
                <w:lang w:val="en-US" w:eastAsia="zh-CN"/>
              </w:rPr>
              <w:t>5</w:t>
            </w:r>
            <w:r>
              <w:rPr>
                <w:rFonts w:hint="eastAsia" w:ascii="宋体" w:hAnsi="宋体" w:eastAsia="宋体" w:cs="宋体"/>
                <w:b w:val="0"/>
                <w:bCs w:val="0"/>
                <w:sz w:val="24"/>
                <w:szCs w:val="24"/>
                <w:highlight w:val="none"/>
                <w:lang w:val="en-US" w:eastAsia="zh-CN"/>
              </w:rPr>
              <w:t>0%，</w:t>
            </w:r>
            <w:r>
              <w:rPr>
                <w:rFonts w:hint="eastAsia" w:ascii="宋体" w:hAnsi="宋体" w:cs="宋体"/>
                <w:b w:val="0"/>
                <w:bCs w:val="0"/>
                <w:sz w:val="24"/>
                <w:szCs w:val="24"/>
                <w:highlight w:val="none"/>
                <w:lang w:val="en-US" w:eastAsia="zh-CN"/>
              </w:rPr>
              <w:t>在一个苗木生长周期验收成活率达到85%以上，以及上级部门验收合格后支付合同总价剩余的20%</w:t>
            </w:r>
            <w:r>
              <w:rPr>
                <w:rFonts w:hint="eastAsia" w:ascii="宋体" w:hAnsi="宋体" w:eastAsia="宋体" w:cs="宋体"/>
                <w:b w:val="0"/>
                <w:bCs w:val="0"/>
                <w:sz w:val="24"/>
                <w:szCs w:val="24"/>
                <w:highlight w:val="none"/>
                <w:lang w:val="en-US" w:eastAsia="zh-CN"/>
              </w:rPr>
              <w:t>；（具体以合同签订为准）</w:t>
            </w:r>
          </w:p>
        </w:tc>
      </w:tr>
      <w:tr w14:paraId="3DECF7E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087" w:type="dxa"/>
            <w:vAlign w:val="center"/>
          </w:tcPr>
          <w:p w14:paraId="09EDB383">
            <w:pPr>
              <w:spacing w:line="360" w:lineRule="auto"/>
              <w:jc w:val="center"/>
              <w:rPr>
                <w:rFonts w:ascii="宋体" w:hAnsi="宋体" w:cs="宋体"/>
                <w:sz w:val="24"/>
                <w:szCs w:val="24"/>
                <w:highlight w:val="none"/>
              </w:rPr>
            </w:pPr>
            <w:r>
              <w:rPr>
                <w:rFonts w:hint="eastAsia" w:ascii="宋体" w:hAnsi="宋体" w:cs="宋体"/>
                <w:sz w:val="24"/>
                <w:szCs w:val="24"/>
                <w:highlight w:val="none"/>
              </w:rPr>
              <w:t>6</w:t>
            </w:r>
          </w:p>
        </w:tc>
        <w:tc>
          <w:tcPr>
            <w:tcW w:w="8152" w:type="dxa"/>
            <w:vAlign w:val="center"/>
          </w:tcPr>
          <w:p w14:paraId="31922E73">
            <w:pPr>
              <w:pStyle w:val="16"/>
              <w:spacing w:line="360" w:lineRule="auto"/>
              <w:rPr>
                <w:rFonts w:hAnsi="宋体"/>
                <w:b/>
                <w:bCs/>
                <w:kern w:val="0"/>
                <w:sz w:val="24"/>
                <w:szCs w:val="24"/>
                <w:highlight w:val="none"/>
              </w:rPr>
            </w:pPr>
            <w:r>
              <w:rPr>
                <w:rFonts w:hint="eastAsia" w:hAnsi="宋体"/>
                <w:b/>
                <w:bCs/>
                <w:kern w:val="0"/>
                <w:sz w:val="24"/>
                <w:szCs w:val="24"/>
                <w:highlight w:val="none"/>
              </w:rPr>
              <w:t>质量保证：</w:t>
            </w:r>
          </w:p>
          <w:p w14:paraId="6F4D3F51">
            <w:pPr>
              <w:spacing w:line="520" w:lineRule="exact"/>
              <w:ind w:firstLine="480" w:firstLineChars="200"/>
              <w:rPr>
                <w:rFonts w:ascii="宋体" w:hAnsi="宋体" w:cs="宋体"/>
                <w:kern w:val="0"/>
                <w:sz w:val="24"/>
                <w:szCs w:val="24"/>
                <w:highlight w:val="none"/>
              </w:rPr>
            </w:pPr>
            <w:r>
              <w:rPr>
                <w:rFonts w:hint="eastAsia" w:ascii="宋体" w:hAnsi="宋体" w:cs="宋体"/>
                <w:sz w:val="24"/>
                <w:szCs w:val="24"/>
                <w:highlight w:val="none"/>
              </w:rPr>
              <w:t>供应商必须保证服务质量可靠，并全面满足招标文件的要求，招标文件未明确要求的内容，供应商须按采购人的补充要求为准。技术标准严格按国家最新发布的规范标准执行，如发生质量问题由供应商承担全部责任。</w:t>
            </w:r>
          </w:p>
        </w:tc>
      </w:tr>
      <w:tr w14:paraId="7070BE4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087" w:type="dxa"/>
            <w:vAlign w:val="center"/>
          </w:tcPr>
          <w:p w14:paraId="24BFDCB3">
            <w:pPr>
              <w:spacing w:line="360" w:lineRule="auto"/>
              <w:jc w:val="center"/>
              <w:rPr>
                <w:rFonts w:ascii="宋体" w:hAnsi="宋体" w:cs="宋体"/>
                <w:sz w:val="24"/>
                <w:szCs w:val="24"/>
                <w:highlight w:val="none"/>
              </w:rPr>
            </w:pPr>
            <w:r>
              <w:rPr>
                <w:rFonts w:hint="eastAsia" w:ascii="宋体" w:hAnsi="宋体" w:cs="宋体"/>
                <w:sz w:val="24"/>
                <w:szCs w:val="24"/>
                <w:highlight w:val="none"/>
              </w:rPr>
              <w:t>7</w:t>
            </w:r>
          </w:p>
        </w:tc>
        <w:tc>
          <w:tcPr>
            <w:tcW w:w="8152" w:type="dxa"/>
            <w:vAlign w:val="center"/>
          </w:tcPr>
          <w:p w14:paraId="303BB2BA">
            <w:pPr>
              <w:spacing w:line="360" w:lineRule="auto"/>
              <w:rPr>
                <w:rFonts w:ascii="宋体" w:hAnsi="宋体" w:cs="宋体"/>
                <w:b/>
                <w:sz w:val="24"/>
                <w:szCs w:val="24"/>
                <w:highlight w:val="none"/>
              </w:rPr>
            </w:pPr>
            <w:r>
              <w:rPr>
                <w:rFonts w:hint="eastAsia" w:ascii="宋体" w:hAnsi="宋体" w:cs="宋体"/>
                <w:b/>
                <w:sz w:val="24"/>
                <w:szCs w:val="24"/>
                <w:highlight w:val="none"/>
              </w:rPr>
              <w:t>验收：</w:t>
            </w:r>
          </w:p>
          <w:p w14:paraId="07F32339">
            <w:pPr>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由采购人和供应商共同对项目进行整体验收。其内容包括</w:t>
            </w:r>
            <w:r>
              <w:rPr>
                <w:rFonts w:hint="eastAsia" w:ascii="宋体" w:hAnsi="宋体" w:cs="宋体"/>
                <w:sz w:val="24"/>
                <w:szCs w:val="24"/>
                <w:highlight w:val="none"/>
                <w:lang w:val="en-US" w:eastAsia="zh-CN"/>
              </w:rPr>
              <w:t>服务</w:t>
            </w:r>
            <w:r>
              <w:rPr>
                <w:rFonts w:hint="eastAsia" w:ascii="宋体" w:hAnsi="宋体" w:cs="宋体"/>
                <w:sz w:val="24"/>
                <w:szCs w:val="24"/>
                <w:highlight w:val="none"/>
              </w:rPr>
              <w:t>是否达到现行国家有关验收规范“合格”标准、是否按照采购人要求按时完工。</w:t>
            </w:r>
          </w:p>
          <w:p w14:paraId="182C8946">
            <w:pPr>
              <w:spacing w:line="520" w:lineRule="exact"/>
              <w:ind w:firstLine="480" w:firstLineChars="200"/>
              <w:rPr>
                <w:rFonts w:ascii="宋体" w:hAnsi="宋体" w:cs="宋体"/>
                <w:sz w:val="24"/>
                <w:szCs w:val="24"/>
                <w:highlight w:val="none"/>
              </w:rPr>
            </w:pPr>
            <w:r>
              <w:rPr>
                <w:rFonts w:hint="eastAsia" w:ascii="宋体" w:hAnsi="宋体" w:cs="宋体"/>
                <w:sz w:val="24"/>
                <w:szCs w:val="24"/>
                <w:highlight w:val="none"/>
              </w:rPr>
              <w:t>1.所验各项内容最终验收达不到招标文件要求和投标文件承诺的，或在后续使用中发现采购人不能容忍的缺陷等，将视为验收不合格，供应商应在采购人要求的时间内无条件整改及恢复。</w:t>
            </w:r>
          </w:p>
          <w:p w14:paraId="49AA56B0">
            <w:pPr>
              <w:spacing w:line="520" w:lineRule="exact"/>
              <w:ind w:firstLine="480" w:firstLineChars="200"/>
              <w:rPr>
                <w:rFonts w:ascii="宋体" w:hAnsi="宋体" w:cs="宋体"/>
                <w:sz w:val="24"/>
                <w:szCs w:val="24"/>
                <w:highlight w:val="none"/>
              </w:rPr>
            </w:pPr>
            <w:r>
              <w:rPr>
                <w:rFonts w:hint="eastAsia" w:ascii="宋体" w:hAnsi="宋体" w:cs="宋体"/>
                <w:sz w:val="24"/>
                <w:szCs w:val="24"/>
                <w:highlight w:val="none"/>
              </w:rPr>
              <w:t>2.若发现供应商有弄虚作假的，在投标阶段故意或随意夸大技术能力、服务质量的，采购人有权解除合同，并且要求供应商赔偿相关损失。</w:t>
            </w:r>
          </w:p>
          <w:p w14:paraId="42532423">
            <w:pPr>
              <w:spacing w:line="520" w:lineRule="exact"/>
              <w:ind w:firstLine="480" w:firstLineChars="200"/>
              <w:rPr>
                <w:rFonts w:ascii="宋体" w:hAnsi="宋体" w:cs="宋体"/>
                <w:sz w:val="24"/>
                <w:szCs w:val="24"/>
                <w:highlight w:val="none"/>
              </w:rPr>
            </w:pPr>
            <w:r>
              <w:rPr>
                <w:rFonts w:hint="eastAsia" w:ascii="宋体" w:hAnsi="宋体" w:cs="宋体"/>
                <w:sz w:val="24"/>
                <w:szCs w:val="24"/>
                <w:highlight w:val="none"/>
              </w:rPr>
              <w:t>3.验收标准：按招标文件、投标文件及澄清函等技术指标进行验收。各项指标均应符合验收标准及要求。</w:t>
            </w:r>
          </w:p>
          <w:p w14:paraId="4402DCE8">
            <w:pPr>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4.验收合格后，填写验收单，双方签字生效。</w:t>
            </w:r>
          </w:p>
          <w:p w14:paraId="69270F86">
            <w:pPr>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5.验收依据：</w:t>
            </w:r>
          </w:p>
          <w:p w14:paraId="059CED0B">
            <w:pPr>
              <w:numPr>
                <w:ilvl w:val="0"/>
                <w:numId w:val="1"/>
              </w:numPr>
              <w:tabs>
                <w:tab w:val="left" w:pos="498"/>
                <w:tab w:val="clear" w:pos="840"/>
              </w:tabs>
              <w:spacing w:line="360" w:lineRule="auto"/>
              <w:ind w:hanging="625"/>
              <w:rPr>
                <w:rFonts w:ascii="宋体" w:hAnsi="宋体" w:cs="宋体"/>
                <w:sz w:val="24"/>
                <w:szCs w:val="24"/>
                <w:highlight w:val="none"/>
              </w:rPr>
            </w:pPr>
            <w:r>
              <w:rPr>
                <w:rFonts w:hint="eastAsia" w:ascii="宋体" w:hAnsi="宋体" w:cs="宋体"/>
                <w:sz w:val="24"/>
                <w:szCs w:val="24"/>
                <w:highlight w:val="none"/>
              </w:rPr>
              <w:t>合同文本；</w:t>
            </w:r>
          </w:p>
          <w:p w14:paraId="6E6DB112">
            <w:pPr>
              <w:numPr>
                <w:ilvl w:val="0"/>
                <w:numId w:val="1"/>
              </w:numPr>
              <w:tabs>
                <w:tab w:val="left" w:pos="498"/>
                <w:tab w:val="clear" w:pos="840"/>
              </w:tabs>
              <w:spacing w:line="360" w:lineRule="auto"/>
              <w:ind w:hanging="625"/>
              <w:rPr>
                <w:rFonts w:ascii="宋体" w:hAnsi="宋体" w:cs="宋体"/>
                <w:sz w:val="24"/>
                <w:szCs w:val="24"/>
                <w:highlight w:val="none"/>
              </w:rPr>
            </w:pPr>
            <w:r>
              <w:rPr>
                <w:rFonts w:hint="eastAsia" w:ascii="宋体" w:hAnsi="宋体" w:cs="宋体"/>
                <w:sz w:val="24"/>
                <w:szCs w:val="24"/>
                <w:highlight w:val="none"/>
              </w:rPr>
              <w:t>招标文件及澄清函、投标文件；</w:t>
            </w:r>
          </w:p>
          <w:p w14:paraId="424774D5">
            <w:pPr>
              <w:numPr>
                <w:ilvl w:val="0"/>
                <w:numId w:val="1"/>
              </w:numPr>
              <w:tabs>
                <w:tab w:val="left" w:pos="498"/>
                <w:tab w:val="clear" w:pos="840"/>
              </w:tabs>
              <w:spacing w:line="360" w:lineRule="auto"/>
              <w:ind w:hanging="625"/>
              <w:rPr>
                <w:rFonts w:ascii="宋体" w:hAnsi="宋体" w:cs="宋体"/>
                <w:sz w:val="24"/>
                <w:szCs w:val="24"/>
                <w:highlight w:val="none"/>
              </w:rPr>
            </w:pPr>
            <w:r>
              <w:rPr>
                <w:rFonts w:hint="eastAsia" w:ascii="宋体" w:hAnsi="宋体" w:cs="宋体"/>
                <w:sz w:val="24"/>
                <w:szCs w:val="24"/>
                <w:highlight w:val="none"/>
              </w:rPr>
              <w:t>国家和行业制定的相应的标准和规范；</w:t>
            </w:r>
          </w:p>
          <w:p w14:paraId="3E4B1E1D">
            <w:pPr>
              <w:tabs>
                <w:tab w:val="left" w:pos="498"/>
              </w:tabs>
              <w:spacing w:line="360" w:lineRule="auto"/>
              <w:ind w:firstLine="240" w:firstLineChars="100"/>
              <w:rPr>
                <w:rFonts w:ascii="宋体" w:hAnsi="宋体" w:cs="宋体"/>
                <w:sz w:val="24"/>
                <w:szCs w:val="24"/>
                <w:highlight w:val="none"/>
              </w:rPr>
            </w:pPr>
            <w:r>
              <w:rPr>
                <w:rFonts w:hint="eastAsia" w:ascii="宋体" w:hAnsi="宋体" w:cs="宋体"/>
                <w:sz w:val="24"/>
                <w:szCs w:val="24"/>
                <w:highlight w:val="none"/>
              </w:rPr>
              <w:t>d)验收清单。</w:t>
            </w:r>
          </w:p>
        </w:tc>
      </w:tr>
      <w:tr w14:paraId="43BF347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087" w:type="dxa"/>
            <w:vAlign w:val="center"/>
          </w:tcPr>
          <w:p w14:paraId="1AE03D57">
            <w:pPr>
              <w:pStyle w:val="16"/>
              <w:spacing w:line="360" w:lineRule="auto"/>
              <w:jc w:val="center"/>
              <w:rPr>
                <w:rFonts w:hAnsi="宋体"/>
                <w:sz w:val="24"/>
                <w:szCs w:val="24"/>
                <w:highlight w:val="none"/>
              </w:rPr>
            </w:pPr>
            <w:r>
              <w:rPr>
                <w:rFonts w:hint="eastAsia" w:hAnsi="宋体"/>
                <w:sz w:val="24"/>
                <w:szCs w:val="24"/>
                <w:highlight w:val="none"/>
              </w:rPr>
              <w:t>8</w:t>
            </w:r>
          </w:p>
        </w:tc>
        <w:tc>
          <w:tcPr>
            <w:tcW w:w="8152" w:type="dxa"/>
            <w:vAlign w:val="center"/>
          </w:tcPr>
          <w:p w14:paraId="53398401">
            <w:pPr>
              <w:spacing w:line="360" w:lineRule="auto"/>
              <w:rPr>
                <w:rFonts w:ascii="宋体" w:hAnsi="宋体" w:cs="宋体"/>
                <w:b/>
                <w:bCs/>
                <w:sz w:val="24"/>
                <w:szCs w:val="24"/>
                <w:highlight w:val="none"/>
              </w:rPr>
            </w:pPr>
            <w:r>
              <w:rPr>
                <w:rFonts w:hint="eastAsia" w:ascii="宋体" w:hAnsi="宋体" w:cs="宋体"/>
                <w:b/>
                <w:bCs/>
                <w:sz w:val="24"/>
                <w:szCs w:val="24"/>
                <w:highlight w:val="none"/>
              </w:rPr>
              <w:t>安全责任：</w:t>
            </w:r>
          </w:p>
          <w:p w14:paraId="5957A24E">
            <w:pPr>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本项目施工过程中的安全责任均由中标单位负责。</w:t>
            </w:r>
          </w:p>
        </w:tc>
      </w:tr>
      <w:tr w14:paraId="7EC4330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087" w:type="dxa"/>
            <w:vAlign w:val="center"/>
          </w:tcPr>
          <w:p w14:paraId="45F2A002">
            <w:pPr>
              <w:pStyle w:val="16"/>
              <w:spacing w:line="360" w:lineRule="auto"/>
              <w:jc w:val="center"/>
              <w:rPr>
                <w:rFonts w:hAnsi="宋体"/>
                <w:sz w:val="24"/>
                <w:szCs w:val="24"/>
                <w:highlight w:val="none"/>
              </w:rPr>
            </w:pPr>
            <w:r>
              <w:rPr>
                <w:rFonts w:hint="eastAsia" w:hAnsi="宋体"/>
                <w:sz w:val="24"/>
                <w:szCs w:val="24"/>
                <w:highlight w:val="none"/>
              </w:rPr>
              <w:t>9</w:t>
            </w:r>
          </w:p>
        </w:tc>
        <w:tc>
          <w:tcPr>
            <w:tcW w:w="8152" w:type="dxa"/>
            <w:vAlign w:val="center"/>
          </w:tcPr>
          <w:p w14:paraId="2EFF77C6">
            <w:pPr>
              <w:spacing w:line="360" w:lineRule="auto"/>
              <w:rPr>
                <w:rFonts w:ascii="宋体" w:hAnsi="宋体" w:cs="宋体"/>
                <w:b/>
                <w:sz w:val="24"/>
                <w:szCs w:val="24"/>
                <w:highlight w:val="none"/>
              </w:rPr>
            </w:pPr>
            <w:r>
              <w:rPr>
                <w:rFonts w:hint="eastAsia" w:ascii="宋体" w:hAnsi="宋体" w:cs="宋体"/>
                <w:b/>
                <w:sz w:val="24"/>
                <w:szCs w:val="24"/>
                <w:highlight w:val="none"/>
              </w:rPr>
              <w:t>违约责任：</w:t>
            </w:r>
          </w:p>
          <w:p w14:paraId="4DE2D179">
            <w:pPr>
              <w:tabs>
                <w:tab w:val="left" w:pos="152"/>
              </w:tabs>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1、按《</w:t>
            </w:r>
            <w:r>
              <w:rPr>
                <w:rFonts w:hint="eastAsia" w:ascii="宋体" w:hAnsi="宋体" w:cs="宋体"/>
                <w:sz w:val="24"/>
                <w:szCs w:val="24"/>
                <w:highlight w:val="none"/>
                <w:lang w:val="en-US" w:eastAsia="zh-CN"/>
              </w:rPr>
              <w:t>中华人民共和国</w:t>
            </w:r>
            <w:r>
              <w:rPr>
                <w:rFonts w:hint="eastAsia" w:ascii="宋体" w:hAnsi="宋体" w:cs="宋体"/>
                <w:sz w:val="24"/>
                <w:szCs w:val="24"/>
                <w:highlight w:val="none"/>
              </w:rPr>
              <w:t>民法典》中的相关条款执行。</w:t>
            </w:r>
          </w:p>
          <w:p w14:paraId="544ABFE2">
            <w:pPr>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2、未按合同要求提供服务或服务不能满足合同要求，采购人应当将服务商违约的情况以及拟采取的措施以书面形式报政府采购监管部门，根据政府采购监管部门的处理意见，采购人有权依据《</w:t>
            </w:r>
            <w:r>
              <w:rPr>
                <w:rFonts w:hint="eastAsia" w:ascii="宋体" w:hAnsi="宋体" w:cs="宋体"/>
                <w:sz w:val="24"/>
                <w:szCs w:val="24"/>
                <w:highlight w:val="none"/>
                <w:lang w:val="en-US" w:eastAsia="zh-CN"/>
              </w:rPr>
              <w:t>中华人民共和国</w:t>
            </w:r>
            <w:r>
              <w:rPr>
                <w:rFonts w:hint="eastAsia" w:ascii="宋体" w:hAnsi="宋体" w:cs="宋体"/>
                <w:sz w:val="24"/>
                <w:szCs w:val="24"/>
                <w:highlight w:val="none"/>
              </w:rPr>
              <w:t>民法典》有关条款及合同约定终止合同，并要求服务商承担违约责任。同时，政府采购监管部门有权依据《</w:t>
            </w:r>
            <w:r>
              <w:rPr>
                <w:rFonts w:hint="eastAsia" w:ascii="宋体" w:hAnsi="宋体" w:cs="宋体"/>
                <w:sz w:val="24"/>
                <w:szCs w:val="24"/>
                <w:highlight w:val="none"/>
                <w:lang w:val="en-US" w:eastAsia="zh-CN"/>
              </w:rPr>
              <w:t>中华人民共和国</w:t>
            </w:r>
            <w:r>
              <w:rPr>
                <w:rFonts w:hint="eastAsia" w:ascii="宋体" w:hAnsi="宋体" w:cs="宋体"/>
                <w:sz w:val="24"/>
                <w:szCs w:val="24"/>
                <w:highlight w:val="none"/>
              </w:rPr>
              <w:t>政府采购法》及相关法律法规对服务商的违法行为进行相应的处罚。</w:t>
            </w:r>
          </w:p>
        </w:tc>
      </w:tr>
      <w:tr w14:paraId="7135FFA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087" w:type="dxa"/>
            <w:vAlign w:val="center"/>
          </w:tcPr>
          <w:p w14:paraId="6F1FC836">
            <w:pPr>
              <w:spacing w:line="360" w:lineRule="auto"/>
              <w:jc w:val="center"/>
              <w:rPr>
                <w:rFonts w:ascii="宋体" w:hAnsi="宋体" w:cs="宋体"/>
                <w:sz w:val="24"/>
                <w:szCs w:val="24"/>
                <w:highlight w:val="none"/>
              </w:rPr>
            </w:pPr>
            <w:r>
              <w:rPr>
                <w:rFonts w:hint="eastAsia" w:ascii="宋体" w:hAnsi="宋体" w:cs="宋体"/>
                <w:sz w:val="24"/>
                <w:szCs w:val="24"/>
                <w:highlight w:val="none"/>
              </w:rPr>
              <w:t>10</w:t>
            </w:r>
          </w:p>
        </w:tc>
        <w:tc>
          <w:tcPr>
            <w:tcW w:w="8152" w:type="dxa"/>
            <w:vAlign w:val="center"/>
          </w:tcPr>
          <w:p w14:paraId="480E15AA">
            <w:pPr>
              <w:spacing w:line="360" w:lineRule="auto"/>
              <w:rPr>
                <w:rFonts w:ascii="宋体" w:hAnsi="宋体" w:cs="宋体"/>
                <w:b/>
                <w:sz w:val="24"/>
                <w:szCs w:val="24"/>
                <w:highlight w:val="none"/>
              </w:rPr>
            </w:pPr>
            <w:r>
              <w:rPr>
                <w:rFonts w:hint="eastAsia" w:ascii="宋体" w:hAnsi="宋体" w:cs="宋体"/>
                <w:b/>
                <w:sz w:val="24"/>
                <w:szCs w:val="24"/>
                <w:highlight w:val="none"/>
              </w:rPr>
              <w:t>政府采购合同：</w:t>
            </w:r>
          </w:p>
          <w:p w14:paraId="41D190F2">
            <w:pPr>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政府采购合同适用民法典。采购人和供应商之间的权利和义务，应当按照平等、自愿的原则以合同方式约定。</w:t>
            </w:r>
            <w:r>
              <w:rPr>
                <w:rFonts w:hint="eastAsia" w:ascii="宋体" w:hAnsi="宋体" w:cs="宋体"/>
                <w:sz w:val="24"/>
                <w:szCs w:val="24"/>
                <w:highlight w:val="none"/>
              </w:rPr>
              <w:br w:type="textWrapping"/>
            </w:r>
            <w:r>
              <w:rPr>
                <w:rFonts w:hint="eastAsia" w:ascii="宋体" w:hAnsi="宋体" w:cs="宋体"/>
                <w:sz w:val="24"/>
                <w:szCs w:val="24"/>
                <w:highlight w:val="none"/>
              </w:rPr>
              <w:t xml:space="preserve">    政府采购合同应当采用书面形式。</w:t>
            </w:r>
          </w:p>
          <w:p w14:paraId="6AF08991">
            <w:pPr>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国务院政府采购监督管理部门应当会同国务院有关部门，规定政府采购合同必须具备的条款。</w:t>
            </w:r>
            <w:r>
              <w:rPr>
                <w:rFonts w:hint="eastAsia" w:ascii="宋体" w:hAnsi="宋体" w:cs="宋体"/>
                <w:sz w:val="24"/>
                <w:szCs w:val="24"/>
                <w:highlight w:val="none"/>
              </w:rPr>
              <w:br w:type="textWrapping"/>
            </w:r>
            <w:r>
              <w:rPr>
                <w:rFonts w:hint="eastAsia" w:ascii="宋体" w:hAnsi="宋体" w:cs="宋体"/>
                <w:sz w:val="24"/>
                <w:szCs w:val="24"/>
                <w:highlight w:val="none"/>
              </w:rPr>
              <w:t xml:space="preserve">    采购人与中标、成交供应商应当在中标、成交通知书发出之日起</w:t>
            </w:r>
            <w:r>
              <w:rPr>
                <w:rFonts w:hint="eastAsia" w:ascii="宋体" w:hAnsi="宋体" w:cs="宋体"/>
                <w:sz w:val="24"/>
                <w:szCs w:val="24"/>
                <w:highlight w:val="none"/>
                <w:lang w:val="en-US" w:eastAsia="zh-CN"/>
              </w:rPr>
              <w:t>二十五</w:t>
            </w:r>
            <w:r>
              <w:rPr>
                <w:rFonts w:hint="eastAsia" w:ascii="宋体" w:hAnsi="宋体" w:cs="宋体"/>
                <w:sz w:val="24"/>
                <w:szCs w:val="24"/>
                <w:highlight w:val="none"/>
              </w:rPr>
              <w:t>内，按照采购文件确定的事项签订政府采购合同。</w:t>
            </w:r>
            <w:r>
              <w:rPr>
                <w:rFonts w:hint="eastAsia" w:ascii="宋体" w:hAnsi="宋体" w:cs="宋体"/>
                <w:sz w:val="24"/>
                <w:szCs w:val="24"/>
                <w:highlight w:val="none"/>
              </w:rPr>
              <w:br w:type="textWrapping"/>
            </w:r>
            <w:r>
              <w:rPr>
                <w:rFonts w:hint="eastAsia" w:ascii="宋体" w:hAnsi="宋体" w:cs="宋体"/>
                <w:sz w:val="24"/>
                <w:szCs w:val="24"/>
                <w:highlight w:val="none"/>
              </w:rPr>
              <w:t xml:space="preserve">    中标、成交通知书对采购人和中标、成交供应商均具有法律效力。中标、成交通知书发出后，采购人改变中标、成交结果的，或者中标、成交供应商放弃中标、成交项目的，应当依法承担法律责任。</w:t>
            </w:r>
          </w:p>
          <w:p w14:paraId="7E1402AF">
            <w:pPr>
              <w:pStyle w:val="16"/>
              <w:spacing w:line="360" w:lineRule="auto"/>
              <w:ind w:firstLine="480" w:firstLineChars="200"/>
              <w:rPr>
                <w:rFonts w:hAnsi="宋体"/>
                <w:sz w:val="24"/>
                <w:szCs w:val="24"/>
                <w:highlight w:val="none"/>
              </w:rPr>
            </w:pPr>
            <w:r>
              <w:rPr>
                <w:rFonts w:hint="eastAsia" w:hAnsi="宋体"/>
                <w:sz w:val="24"/>
                <w:szCs w:val="24"/>
                <w:highlight w:val="none"/>
              </w:rPr>
              <w:t>政府采购项目的采购合同自签订之日起七个工作日内，采购人应当将合同副本报同级政府采购监督管理部门和有关部门备案。</w:t>
            </w:r>
            <w:r>
              <w:rPr>
                <w:rFonts w:hint="eastAsia" w:hAnsi="宋体"/>
                <w:sz w:val="24"/>
                <w:szCs w:val="24"/>
                <w:highlight w:val="none"/>
              </w:rPr>
              <w:br w:type="textWrapping"/>
            </w:r>
            <w:r>
              <w:rPr>
                <w:rFonts w:hint="eastAsia" w:hAnsi="宋体"/>
                <w:sz w:val="24"/>
                <w:szCs w:val="24"/>
                <w:highlight w:val="none"/>
              </w:rPr>
              <w:t xml:space="preserve">    经采购人同意，中标、成交供应商可以依法采取分包方式履行合同。政府采购合同分包履行的，中标、成交供应商就采购项目和分包项目向采购人负责，分包供应商就分包项目承担责任。</w:t>
            </w:r>
            <w:r>
              <w:rPr>
                <w:rFonts w:hint="eastAsia" w:hAnsi="宋体"/>
                <w:sz w:val="24"/>
                <w:szCs w:val="24"/>
                <w:highlight w:val="none"/>
              </w:rPr>
              <w:br w:type="textWrapping"/>
            </w:r>
            <w:r>
              <w:rPr>
                <w:rFonts w:hint="eastAsia" w:hAnsi="宋体"/>
                <w:sz w:val="24"/>
                <w:szCs w:val="24"/>
                <w:highlight w:val="none"/>
              </w:rPr>
              <w:t xml:space="preserve">    政府采购合同履行中，采购人需追加与合同标的相同的货物、工程或者服务的，在不改变合同其他条款的前提下，可以与供应商协商签订补充合同，但所有补充合同的采购金额不得超过原合同采购金额的百分之十。</w:t>
            </w:r>
            <w:r>
              <w:rPr>
                <w:rFonts w:hint="eastAsia" w:hAnsi="宋体"/>
                <w:sz w:val="24"/>
                <w:szCs w:val="24"/>
                <w:highlight w:val="none"/>
              </w:rPr>
              <w:br w:type="textWrapping"/>
            </w:r>
            <w:r>
              <w:rPr>
                <w:rFonts w:hint="eastAsia" w:hAnsi="宋体"/>
                <w:sz w:val="24"/>
                <w:szCs w:val="24"/>
                <w:highlight w:val="none"/>
              </w:rPr>
              <w:t xml:space="preserve">    政府采购合同的双方当事人不得擅自变更、中止或者终止合同。</w:t>
            </w:r>
            <w:r>
              <w:rPr>
                <w:rFonts w:hint="eastAsia" w:hAnsi="宋体"/>
                <w:sz w:val="24"/>
                <w:szCs w:val="24"/>
                <w:highlight w:val="none"/>
              </w:rPr>
              <w:br w:type="textWrapping"/>
            </w:r>
            <w:r>
              <w:rPr>
                <w:rFonts w:hint="eastAsia" w:hAnsi="宋体"/>
                <w:sz w:val="24"/>
                <w:szCs w:val="24"/>
                <w:highlight w:val="none"/>
              </w:rPr>
              <w:t>政府采购合同继续履行将损害国家利益和社会公共利益的，双方当事人应当变更、中止或者终止合同。有过错的一方应当承担赔偿责任，双方都有过错的，各自承担相应的责任。</w:t>
            </w:r>
          </w:p>
        </w:tc>
      </w:tr>
    </w:tbl>
    <w:p w14:paraId="5A7417CC">
      <w:pPr>
        <w:spacing w:line="360" w:lineRule="auto"/>
        <w:rPr>
          <w:rFonts w:asciiTheme="minorEastAsia" w:hAnsiTheme="minorEastAsia" w:eastAsiaTheme="minorEastAsia" w:cstheme="minorEastAsia"/>
          <w:b/>
          <w:bCs/>
          <w:sz w:val="48"/>
          <w:szCs w:val="48"/>
          <w:highlight w:val="none"/>
        </w:rPr>
      </w:pPr>
      <w:r>
        <w:rPr>
          <w:rFonts w:hint="eastAsia" w:asciiTheme="minorEastAsia" w:hAnsiTheme="minorEastAsia" w:eastAsiaTheme="minorEastAsia" w:cstheme="minorEastAsia"/>
          <w:b/>
          <w:bCs/>
          <w:sz w:val="48"/>
          <w:szCs w:val="48"/>
          <w:highlight w:val="none"/>
        </w:rPr>
        <w:br w:type="page"/>
      </w:r>
    </w:p>
    <w:p w14:paraId="3B021B3A">
      <w:pPr>
        <w:outlineLvl w:val="1"/>
        <w:rPr>
          <w:rFonts w:hint="eastAsia" w:ascii="宋体" w:hAnsi="宋体" w:eastAsia="宋体" w:cs="宋体"/>
          <w:b/>
          <w:sz w:val="32"/>
          <w:szCs w:val="32"/>
          <w:highlight w:val="none"/>
        </w:rPr>
      </w:pPr>
      <w:r>
        <w:rPr>
          <w:rFonts w:hint="eastAsia" w:ascii="宋体" w:hAnsi="宋体" w:eastAsia="宋体" w:cs="宋体"/>
          <w:b/>
          <w:sz w:val="32"/>
          <w:szCs w:val="32"/>
          <w:highlight w:val="none"/>
        </w:rPr>
        <w:t xml:space="preserve">                 </w:t>
      </w:r>
    </w:p>
    <w:p w14:paraId="495BDC4C">
      <w:pPr>
        <w:rPr>
          <w:rFonts w:hint="eastAsia" w:ascii="宋体" w:hAnsi="宋体" w:eastAsia="宋体" w:cs="宋体"/>
          <w:b/>
          <w:sz w:val="32"/>
          <w:szCs w:val="32"/>
          <w:highlight w:val="none"/>
        </w:rPr>
      </w:pPr>
      <w:r>
        <w:rPr>
          <w:rFonts w:hint="eastAsia" w:ascii="宋体" w:hAnsi="宋体" w:eastAsia="宋体" w:cs="宋体"/>
          <w:b/>
          <w:sz w:val="32"/>
          <w:szCs w:val="32"/>
          <w:highlight w:val="none"/>
        </w:rPr>
        <w:t xml:space="preserve">          </w:t>
      </w:r>
    </w:p>
    <w:p w14:paraId="5EBC6902">
      <w:pPr>
        <w:jc w:val="center"/>
        <w:rPr>
          <w:rFonts w:hint="eastAsia" w:ascii="宋体" w:hAnsi="宋体" w:eastAsia="宋体" w:cs="宋体"/>
          <w:sz w:val="52"/>
          <w:szCs w:val="52"/>
          <w:highlight w:val="none"/>
        </w:rPr>
      </w:pPr>
    </w:p>
    <w:p w14:paraId="0EC5DC84">
      <w:pPr>
        <w:jc w:val="center"/>
        <w:rPr>
          <w:rFonts w:hint="eastAsia" w:ascii="宋体" w:hAnsi="宋体" w:eastAsia="宋体" w:cs="宋体"/>
          <w:sz w:val="52"/>
          <w:szCs w:val="52"/>
          <w:highlight w:val="none"/>
        </w:rPr>
      </w:pPr>
    </w:p>
    <w:p w14:paraId="7FE3FEF6">
      <w:pPr>
        <w:jc w:val="center"/>
        <w:outlineLvl w:val="9"/>
        <w:rPr>
          <w:rFonts w:hint="eastAsia" w:ascii="宋体" w:hAnsi="宋体" w:eastAsia="宋体" w:cs="宋体"/>
          <w:b/>
          <w:snapToGrid w:val="0"/>
          <w:sz w:val="48"/>
          <w:szCs w:val="48"/>
          <w:highlight w:val="none"/>
          <w:u w:val="single"/>
        </w:rPr>
      </w:pPr>
      <w:r>
        <w:rPr>
          <w:rFonts w:hint="eastAsia" w:ascii="宋体" w:hAnsi="宋体" w:eastAsia="宋体" w:cs="宋体"/>
          <w:b/>
          <w:snapToGrid w:val="0"/>
          <w:sz w:val="48"/>
          <w:szCs w:val="48"/>
          <w:highlight w:val="none"/>
          <w:u w:val="single"/>
        </w:rPr>
        <w:t>(项目名称)</w:t>
      </w:r>
    </w:p>
    <w:p w14:paraId="4AA13DCE">
      <w:pPr>
        <w:jc w:val="center"/>
        <w:outlineLvl w:val="9"/>
        <w:rPr>
          <w:rFonts w:hint="eastAsia" w:ascii="宋体" w:hAnsi="宋体" w:eastAsia="宋体" w:cs="宋体"/>
          <w:b/>
          <w:sz w:val="72"/>
          <w:szCs w:val="72"/>
          <w:highlight w:val="none"/>
        </w:rPr>
      </w:pPr>
      <w:r>
        <w:rPr>
          <w:rFonts w:hint="eastAsia" w:ascii="宋体" w:hAnsi="宋体" w:eastAsia="宋体" w:cs="宋体"/>
          <w:b/>
          <w:sz w:val="72"/>
          <w:szCs w:val="72"/>
          <w:highlight w:val="none"/>
        </w:rPr>
        <w:t>服 务 合 同</w:t>
      </w:r>
    </w:p>
    <w:p w14:paraId="3B8D4986">
      <w:pPr>
        <w:jc w:val="center"/>
        <w:outlineLvl w:val="9"/>
        <w:rPr>
          <w:rFonts w:hint="eastAsia" w:ascii="宋体" w:hAnsi="宋体" w:eastAsia="宋体" w:cs="宋体"/>
          <w:sz w:val="30"/>
          <w:szCs w:val="30"/>
          <w:highlight w:val="none"/>
        </w:rPr>
      </w:pPr>
      <w:r>
        <w:rPr>
          <w:rFonts w:hint="eastAsia" w:ascii="宋体" w:hAnsi="宋体" w:eastAsia="宋体" w:cs="宋体"/>
          <w:sz w:val="30"/>
          <w:szCs w:val="30"/>
          <w:highlight w:val="none"/>
        </w:rPr>
        <w:t xml:space="preserve">（项目编号：      </w:t>
      </w:r>
      <w:r>
        <w:rPr>
          <w:rFonts w:hint="eastAsia" w:ascii="宋体" w:hAnsi="宋体" w:eastAsia="宋体" w:cs="宋体"/>
          <w:sz w:val="28"/>
          <w:szCs w:val="28"/>
          <w:highlight w:val="none"/>
        </w:rPr>
        <w:t>）</w:t>
      </w:r>
    </w:p>
    <w:p w14:paraId="306949B3">
      <w:pPr>
        <w:jc w:val="center"/>
        <w:rPr>
          <w:rFonts w:hint="eastAsia" w:ascii="宋体" w:hAnsi="宋体" w:eastAsia="宋体" w:cs="宋体"/>
          <w:sz w:val="30"/>
          <w:szCs w:val="30"/>
          <w:highlight w:val="none"/>
        </w:rPr>
      </w:pPr>
    </w:p>
    <w:p w14:paraId="7A689E02">
      <w:pPr>
        <w:jc w:val="center"/>
        <w:rPr>
          <w:rFonts w:hint="eastAsia" w:ascii="宋体" w:hAnsi="宋体" w:eastAsia="宋体" w:cs="宋体"/>
          <w:sz w:val="30"/>
          <w:szCs w:val="30"/>
          <w:highlight w:val="none"/>
        </w:rPr>
      </w:pPr>
    </w:p>
    <w:p w14:paraId="1DA21311">
      <w:pPr>
        <w:jc w:val="center"/>
        <w:rPr>
          <w:rFonts w:hint="eastAsia" w:ascii="宋体" w:hAnsi="宋体" w:eastAsia="宋体" w:cs="宋体"/>
          <w:sz w:val="30"/>
          <w:szCs w:val="30"/>
          <w:highlight w:val="none"/>
        </w:rPr>
      </w:pPr>
    </w:p>
    <w:p w14:paraId="24DE6C84">
      <w:pPr>
        <w:jc w:val="center"/>
        <w:rPr>
          <w:rFonts w:hint="eastAsia" w:ascii="宋体" w:hAnsi="宋体" w:eastAsia="宋体" w:cs="宋体"/>
          <w:sz w:val="30"/>
          <w:szCs w:val="30"/>
          <w:highlight w:val="none"/>
        </w:rPr>
      </w:pPr>
    </w:p>
    <w:p w14:paraId="230E1BF2">
      <w:pPr>
        <w:jc w:val="center"/>
        <w:rPr>
          <w:rFonts w:hint="eastAsia" w:ascii="宋体" w:hAnsi="宋体" w:eastAsia="宋体" w:cs="宋体"/>
          <w:sz w:val="30"/>
          <w:szCs w:val="30"/>
          <w:highlight w:val="none"/>
        </w:rPr>
      </w:pPr>
    </w:p>
    <w:p w14:paraId="651B6443">
      <w:pPr>
        <w:ind w:firstLine="2080" w:firstLineChars="650"/>
        <w:outlineLvl w:val="9"/>
        <w:rPr>
          <w:rFonts w:hint="eastAsia" w:ascii="宋体" w:hAnsi="宋体" w:eastAsia="宋体" w:cs="宋体"/>
          <w:sz w:val="32"/>
          <w:szCs w:val="32"/>
          <w:highlight w:val="none"/>
        </w:rPr>
      </w:pPr>
      <w:r>
        <w:rPr>
          <w:rFonts w:hint="eastAsia" w:ascii="宋体" w:hAnsi="宋体" w:eastAsia="宋体" w:cs="宋体"/>
          <w:sz w:val="32"/>
          <w:szCs w:val="32"/>
          <w:highlight w:val="none"/>
        </w:rPr>
        <w:t xml:space="preserve">甲  方： </w:t>
      </w:r>
    </w:p>
    <w:p w14:paraId="481F2715">
      <w:pPr>
        <w:tabs>
          <w:tab w:val="left" w:pos="480"/>
        </w:tabs>
        <w:ind w:firstLine="640" w:firstLineChars="200"/>
        <w:outlineLvl w:val="9"/>
        <w:rPr>
          <w:rFonts w:hint="eastAsia" w:ascii="宋体" w:hAnsi="宋体" w:eastAsia="宋体" w:cs="宋体"/>
          <w:sz w:val="32"/>
          <w:szCs w:val="32"/>
          <w:highlight w:val="none"/>
        </w:rPr>
      </w:pPr>
      <w:r>
        <w:rPr>
          <w:rFonts w:hint="eastAsia" w:ascii="宋体" w:hAnsi="宋体" w:eastAsia="宋体" w:cs="宋体"/>
          <w:sz w:val="32"/>
          <w:szCs w:val="32"/>
          <w:highlight w:val="none"/>
        </w:rPr>
        <w:t xml:space="preserve">         乙  方：</w:t>
      </w:r>
    </w:p>
    <w:p w14:paraId="52566CC2">
      <w:pPr>
        <w:jc w:val="center"/>
        <w:rPr>
          <w:rFonts w:hint="eastAsia" w:ascii="宋体" w:hAnsi="宋体" w:eastAsia="宋体" w:cs="宋体"/>
          <w:sz w:val="30"/>
          <w:szCs w:val="30"/>
          <w:highlight w:val="none"/>
        </w:rPr>
      </w:pPr>
    </w:p>
    <w:p w14:paraId="07179C86">
      <w:pPr>
        <w:jc w:val="center"/>
        <w:outlineLvl w:val="9"/>
        <w:rPr>
          <w:rFonts w:hint="eastAsia" w:ascii="宋体" w:hAnsi="宋体" w:eastAsia="宋体" w:cs="宋体"/>
          <w:sz w:val="32"/>
          <w:szCs w:val="32"/>
          <w:highlight w:val="none"/>
        </w:rPr>
      </w:pPr>
      <w:r>
        <w:rPr>
          <w:rFonts w:hint="eastAsia" w:ascii="宋体" w:hAnsi="宋体" w:eastAsia="宋体" w:cs="宋体"/>
          <w:sz w:val="32"/>
          <w:szCs w:val="32"/>
          <w:highlight w:val="none"/>
        </w:rPr>
        <w:t xml:space="preserve">  年  月</w:t>
      </w:r>
    </w:p>
    <w:p w14:paraId="0254E160">
      <w:pPr>
        <w:jc w:val="center"/>
        <w:rPr>
          <w:rFonts w:hint="eastAsia" w:ascii="宋体" w:hAnsi="宋体" w:eastAsia="宋体" w:cs="宋体"/>
          <w:sz w:val="32"/>
          <w:szCs w:val="32"/>
          <w:highlight w:val="none"/>
        </w:rPr>
      </w:pPr>
    </w:p>
    <w:p w14:paraId="794DA7D9">
      <w:pPr>
        <w:spacing w:line="590" w:lineRule="exact"/>
        <w:rPr>
          <w:rFonts w:hint="eastAsia" w:ascii="宋体" w:hAnsi="宋体" w:eastAsia="宋体" w:cs="宋体"/>
          <w:b/>
          <w:sz w:val="36"/>
          <w:szCs w:val="36"/>
          <w:highlight w:val="none"/>
        </w:rPr>
      </w:pPr>
    </w:p>
    <w:p w14:paraId="38EE798A">
      <w:pPr>
        <w:jc w:val="center"/>
        <w:outlineLvl w:val="2"/>
        <w:rPr>
          <w:rFonts w:hint="eastAsia" w:ascii="黑体" w:eastAsia="宋体"/>
          <w:b/>
          <w:color w:val="auto"/>
          <w:sz w:val="36"/>
          <w:szCs w:val="36"/>
          <w:highlight w:val="none"/>
          <w:lang w:eastAsia="zh-CN"/>
        </w:rPr>
      </w:pPr>
      <w:r>
        <w:rPr>
          <w:rFonts w:hint="eastAsia" w:ascii="宋体" w:hAnsi="宋体" w:eastAsia="宋体" w:cs="宋体"/>
          <w:b/>
          <w:szCs w:val="21"/>
          <w:highlight w:val="none"/>
        </w:rPr>
        <w:br w:type="page"/>
      </w:r>
      <w:bookmarkStart w:id="92" w:name="_Toc28398"/>
      <w:bookmarkStart w:id="93" w:name="_Toc7965"/>
      <w:r>
        <w:rPr>
          <w:rFonts w:hint="eastAsia" w:ascii="黑体" w:eastAsia="黑体"/>
          <w:b/>
          <w:color w:val="auto"/>
          <w:sz w:val="36"/>
          <w:szCs w:val="36"/>
          <w:highlight w:val="none"/>
          <w:lang w:eastAsia="zh-CN"/>
        </w:rPr>
        <w:t>协</w:t>
      </w:r>
      <w:r>
        <w:rPr>
          <w:rFonts w:hint="eastAsia" w:ascii="黑体" w:eastAsia="黑体"/>
          <w:b/>
          <w:color w:val="auto"/>
          <w:sz w:val="36"/>
          <w:szCs w:val="36"/>
          <w:highlight w:val="none"/>
          <w:lang w:val="en-US" w:eastAsia="zh-CN"/>
        </w:rPr>
        <w:t xml:space="preserve"> </w:t>
      </w:r>
      <w:r>
        <w:rPr>
          <w:rFonts w:hint="eastAsia" w:ascii="黑体" w:eastAsia="黑体"/>
          <w:b/>
          <w:color w:val="auto"/>
          <w:sz w:val="36"/>
          <w:szCs w:val="36"/>
          <w:highlight w:val="none"/>
          <w:lang w:eastAsia="zh-CN"/>
        </w:rPr>
        <w:t>议</w:t>
      </w:r>
      <w:r>
        <w:rPr>
          <w:rFonts w:hint="eastAsia" w:ascii="黑体" w:eastAsia="黑体"/>
          <w:b/>
          <w:color w:val="auto"/>
          <w:sz w:val="36"/>
          <w:szCs w:val="36"/>
          <w:highlight w:val="none"/>
          <w:lang w:val="en-US" w:eastAsia="zh-CN"/>
        </w:rPr>
        <w:t xml:space="preserve"> </w:t>
      </w:r>
      <w:r>
        <w:rPr>
          <w:rFonts w:hint="eastAsia" w:ascii="黑体" w:eastAsia="黑体"/>
          <w:b/>
          <w:color w:val="auto"/>
          <w:sz w:val="36"/>
          <w:szCs w:val="36"/>
          <w:highlight w:val="none"/>
          <w:lang w:eastAsia="zh-CN"/>
        </w:rPr>
        <w:t>书</w:t>
      </w:r>
      <w:bookmarkEnd w:id="92"/>
      <w:bookmarkEnd w:id="93"/>
    </w:p>
    <w:p w14:paraId="243F5C41">
      <w:pPr>
        <w:spacing w:line="360" w:lineRule="auto"/>
        <w:rPr>
          <w:rFonts w:hAnsi="宋体" w:cs="宋体"/>
          <w:color w:val="auto"/>
          <w:szCs w:val="21"/>
          <w:highlight w:val="none"/>
          <w:u w:val="single"/>
        </w:rPr>
      </w:pPr>
      <w:r>
        <w:rPr>
          <w:rFonts w:hint="eastAsia" w:hAnsi="宋体" w:cs="宋体"/>
          <w:color w:val="auto"/>
          <w:szCs w:val="21"/>
          <w:highlight w:val="none"/>
        </w:rPr>
        <w:t>甲方：</w:t>
      </w:r>
      <w:r>
        <w:rPr>
          <w:rFonts w:hint="eastAsia" w:hAnsi="宋体" w:cs="宋体"/>
          <w:color w:val="auto"/>
          <w:szCs w:val="21"/>
          <w:highlight w:val="none"/>
          <w:u w:val="single"/>
        </w:rPr>
        <w:t xml:space="preserve">             </w:t>
      </w:r>
    </w:p>
    <w:p w14:paraId="008D723C">
      <w:pPr>
        <w:spacing w:line="360" w:lineRule="auto"/>
        <w:rPr>
          <w:rFonts w:hint="eastAsia" w:hAnsi="宋体" w:cs="宋体"/>
          <w:color w:val="auto"/>
          <w:szCs w:val="21"/>
          <w:highlight w:val="none"/>
          <w:u w:val="single"/>
        </w:rPr>
      </w:pPr>
      <w:r>
        <w:rPr>
          <w:rFonts w:hint="eastAsia" w:hAnsi="宋体" w:cs="宋体"/>
          <w:color w:val="auto"/>
          <w:szCs w:val="21"/>
          <w:highlight w:val="none"/>
        </w:rPr>
        <w:t>乙方：</w:t>
      </w:r>
      <w:r>
        <w:rPr>
          <w:rFonts w:hint="eastAsia" w:hAnsi="宋体" w:cs="宋体"/>
          <w:color w:val="auto"/>
          <w:szCs w:val="21"/>
          <w:highlight w:val="none"/>
          <w:u w:val="single"/>
        </w:rPr>
        <w:t xml:space="preserve">           </w:t>
      </w:r>
      <w:r>
        <w:rPr>
          <w:rFonts w:hint="eastAsia" w:hAnsi="宋体" w:cs="宋体"/>
          <w:color w:val="auto"/>
          <w:szCs w:val="21"/>
          <w:highlight w:val="none"/>
          <w:u w:val="single"/>
          <w:lang w:val="en-US" w:eastAsia="zh-CN"/>
        </w:rPr>
        <w:t xml:space="preserve"> </w:t>
      </w:r>
      <w:r>
        <w:rPr>
          <w:rFonts w:hint="eastAsia" w:hAnsi="宋体" w:cs="宋体"/>
          <w:color w:val="auto"/>
          <w:szCs w:val="21"/>
          <w:highlight w:val="none"/>
          <w:u w:val="single"/>
        </w:rPr>
        <w:t xml:space="preserve"> </w:t>
      </w:r>
    </w:p>
    <w:p w14:paraId="4633E0C0">
      <w:pPr>
        <w:spacing w:line="360" w:lineRule="auto"/>
        <w:ind w:firstLine="420" w:firstLineChars="200"/>
        <w:rPr>
          <w:rFonts w:hint="eastAsia" w:hAnsi="宋体" w:cs="宋体"/>
          <w:color w:val="auto"/>
          <w:szCs w:val="21"/>
          <w:highlight w:val="none"/>
        </w:rPr>
      </w:pPr>
      <w:r>
        <w:rPr>
          <w:rFonts w:hint="eastAsia" w:hAnsi="宋体" w:cs="宋体"/>
          <w:color w:val="auto"/>
          <w:szCs w:val="21"/>
          <w:highlight w:val="none"/>
        </w:rPr>
        <w:t>根据《中华人民共和国</w:t>
      </w:r>
      <w:r>
        <w:rPr>
          <w:rFonts w:hint="eastAsia" w:hAnsi="宋体" w:cs="宋体"/>
          <w:color w:val="auto"/>
          <w:szCs w:val="21"/>
          <w:highlight w:val="none"/>
          <w:lang w:eastAsia="zh-CN"/>
        </w:rPr>
        <w:t>民法典</w:t>
      </w:r>
      <w:r>
        <w:rPr>
          <w:rFonts w:hint="eastAsia" w:hAnsi="宋体" w:cs="宋体"/>
          <w:color w:val="auto"/>
          <w:szCs w:val="21"/>
          <w:highlight w:val="none"/>
        </w:rPr>
        <w:t>》、《中华人民共和国政府采购法》与项目行业有关的法律法规，以及本项目（</w:t>
      </w:r>
      <w:r>
        <w:rPr>
          <w:rFonts w:hint="eastAsia" w:hAnsi="宋体" w:cs="宋体"/>
          <w:color w:val="auto"/>
          <w:szCs w:val="21"/>
          <w:highlight w:val="none"/>
          <w:lang w:eastAsia="zh-CN"/>
        </w:rPr>
        <w:t>商洛市柞水县2024年中央财政林业草原改革发展资金其他国土绿化项目（退化林修复）</w:t>
      </w:r>
      <w:r>
        <w:rPr>
          <w:rFonts w:hint="eastAsia" w:hAnsi="宋体" w:cs="宋体"/>
          <w:color w:val="auto"/>
          <w:szCs w:val="21"/>
          <w:highlight w:val="none"/>
        </w:rPr>
        <w:t>）相关采购要求的规定，合同双方就乙方向采购方提供</w:t>
      </w:r>
      <w:r>
        <w:rPr>
          <w:rFonts w:hint="eastAsia" w:hAnsi="宋体" w:cs="宋体"/>
          <w:color w:val="auto"/>
          <w:szCs w:val="21"/>
          <w:highlight w:val="none"/>
          <w:lang w:eastAsia="zh-CN"/>
        </w:rPr>
        <w:t>商洛市柞水县2024年中央财政林业草原改革发展资金其他国土绿化项目（退化林修复）</w:t>
      </w:r>
      <w:r>
        <w:rPr>
          <w:rFonts w:hint="eastAsia" w:hAnsi="宋体" w:cs="宋体"/>
          <w:color w:val="auto"/>
          <w:szCs w:val="21"/>
          <w:highlight w:val="none"/>
        </w:rPr>
        <w:t>协商达成一致，确立本合同。</w:t>
      </w:r>
    </w:p>
    <w:p w14:paraId="0EF942D6">
      <w:pPr>
        <w:tabs>
          <w:tab w:val="left" w:pos="480"/>
        </w:tabs>
        <w:spacing w:line="360" w:lineRule="auto"/>
        <w:outlineLvl w:val="1"/>
        <w:rPr>
          <w:rFonts w:hint="eastAsia" w:hAnsi="宋体" w:cs="宋体"/>
          <w:b/>
          <w:color w:val="auto"/>
          <w:szCs w:val="21"/>
          <w:highlight w:val="none"/>
        </w:rPr>
      </w:pPr>
      <w:bookmarkStart w:id="94" w:name="_Toc8841"/>
      <w:bookmarkStart w:id="95" w:name="_Toc30883"/>
      <w:bookmarkStart w:id="96" w:name="_Toc7407"/>
      <w:r>
        <w:rPr>
          <w:rFonts w:hint="eastAsia" w:hAnsi="宋体" w:cs="宋体"/>
          <w:b/>
          <w:color w:val="auto"/>
          <w:szCs w:val="21"/>
          <w:highlight w:val="none"/>
        </w:rPr>
        <w:t>一、合同标的物内容、数量及单价</w:t>
      </w:r>
      <w:r>
        <w:rPr>
          <w:rFonts w:hint="eastAsia" w:hAnsi="宋体" w:cs="宋体"/>
          <w:color w:val="auto"/>
          <w:szCs w:val="21"/>
          <w:highlight w:val="none"/>
        </w:rPr>
        <w:t>（以</w:t>
      </w:r>
      <w:r>
        <w:rPr>
          <w:rFonts w:hint="eastAsia" w:hAnsi="宋体" w:cs="宋体"/>
          <w:color w:val="auto"/>
          <w:szCs w:val="21"/>
          <w:highlight w:val="none"/>
          <w:lang w:eastAsia="zh-CN"/>
        </w:rPr>
        <w:t>投标文件</w:t>
      </w:r>
      <w:r>
        <w:rPr>
          <w:rFonts w:hint="eastAsia" w:hAnsi="宋体" w:cs="宋体"/>
          <w:color w:val="auto"/>
          <w:szCs w:val="21"/>
          <w:highlight w:val="none"/>
        </w:rPr>
        <w:t>正本和澄清表〈函〉为准）</w:t>
      </w:r>
      <w:bookmarkEnd w:id="94"/>
      <w:bookmarkEnd w:id="95"/>
      <w:bookmarkEnd w:id="96"/>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8"/>
        <w:gridCol w:w="1855"/>
        <w:gridCol w:w="1421"/>
        <w:gridCol w:w="2648"/>
        <w:gridCol w:w="1096"/>
      </w:tblGrid>
      <w:tr w14:paraId="1ACDD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1198" w:type="dxa"/>
            <w:tcBorders>
              <w:top w:val="single" w:color="auto" w:sz="4" w:space="0"/>
              <w:left w:val="single" w:color="auto" w:sz="4" w:space="0"/>
              <w:bottom w:val="single" w:color="auto" w:sz="4" w:space="0"/>
              <w:right w:val="single" w:color="auto" w:sz="4" w:space="0"/>
            </w:tcBorders>
            <w:noWrap w:val="0"/>
            <w:vAlign w:val="center"/>
          </w:tcPr>
          <w:p w14:paraId="3D23A2BB">
            <w:pPr>
              <w:tabs>
                <w:tab w:val="left" w:pos="480"/>
              </w:tabs>
              <w:spacing w:line="396" w:lineRule="exact"/>
              <w:jc w:val="center"/>
              <w:rPr>
                <w:rFonts w:hint="eastAsia" w:hAnsi="宋体" w:cs="宋体"/>
                <w:color w:val="auto"/>
                <w:szCs w:val="21"/>
                <w:highlight w:val="none"/>
              </w:rPr>
            </w:pPr>
            <w:r>
              <w:rPr>
                <w:rFonts w:hint="eastAsia" w:hAnsi="宋体" w:cs="宋体"/>
                <w:color w:val="auto"/>
                <w:szCs w:val="21"/>
                <w:highlight w:val="none"/>
              </w:rPr>
              <w:t>序号</w:t>
            </w:r>
          </w:p>
        </w:tc>
        <w:tc>
          <w:tcPr>
            <w:tcW w:w="1855" w:type="dxa"/>
            <w:tcBorders>
              <w:top w:val="single" w:color="auto" w:sz="4" w:space="0"/>
              <w:left w:val="single" w:color="auto" w:sz="4" w:space="0"/>
              <w:bottom w:val="single" w:color="auto" w:sz="4" w:space="0"/>
              <w:right w:val="single" w:color="auto" w:sz="4" w:space="0"/>
            </w:tcBorders>
            <w:noWrap w:val="0"/>
            <w:vAlign w:val="center"/>
          </w:tcPr>
          <w:p w14:paraId="3DC07822">
            <w:pPr>
              <w:tabs>
                <w:tab w:val="left" w:pos="480"/>
              </w:tabs>
              <w:spacing w:line="396" w:lineRule="exact"/>
              <w:jc w:val="center"/>
              <w:rPr>
                <w:rFonts w:hint="eastAsia" w:hAnsi="宋体" w:eastAsia="宋体" w:cs="宋体"/>
                <w:color w:val="auto"/>
                <w:szCs w:val="21"/>
                <w:highlight w:val="none"/>
                <w:lang w:eastAsia="zh-CN"/>
              </w:rPr>
            </w:pPr>
            <w:r>
              <w:rPr>
                <w:rFonts w:hint="eastAsia" w:hAnsi="宋体" w:cs="宋体"/>
                <w:color w:val="auto"/>
                <w:szCs w:val="21"/>
                <w:highlight w:val="none"/>
                <w:lang w:eastAsia="zh-CN"/>
              </w:rPr>
              <w:t>服务内容</w:t>
            </w:r>
          </w:p>
        </w:tc>
        <w:tc>
          <w:tcPr>
            <w:tcW w:w="1421" w:type="dxa"/>
            <w:tcBorders>
              <w:top w:val="single" w:color="auto" w:sz="4" w:space="0"/>
              <w:left w:val="single" w:color="auto" w:sz="4" w:space="0"/>
              <w:bottom w:val="single" w:color="auto" w:sz="4" w:space="0"/>
              <w:right w:val="single" w:color="auto" w:sz="4" w:space="0"/>
            </w:tcBorders>
            <w:noWrap w:val="0"/>
            <w:vAlign w:val="center"/>
          </w:tcPr>
          <w:p w14:paraId="30A6439E">
            <w:pPr>
              <w:tabs>
                <w:tab w:val="left" w:pos="480"/>
              </w:tabs>
              <w:spacing w:line="396" w:lineRule="exact"/>
              <w:jc w:val="center"/>
              <w:rPr>
                <w:rFonts w:hint="eastAsia" w:hAnsi="宋体" w:eastAsia="宋体" w:cs="宋体"/>
                <w:color w:val="auto"/>
                <w:szCs w:val="21"/>
                <w:highlight w:val="none"/>
                <w:lang w:eastAsia="zh-CN"/>
              </w:rPr>
            </w:pPr>
            <w:r>
              <w:rPr>
                <w:rFonts w:hint="eastAsia" w:hAnsi="宋体" w:cs="宋体"/>
                <w:color w:val="auto"/>
                <w:szCs w:val="21"/>
                <w:highlight w:val="none"/>
                <w:lang w:eastAsia="zh-CN"/>
              </w:rPr>
              <w:t>服务期限</w:t>
            </w:r>
          </w:p>
        </w:tc>
        <w:tc>
          <w:tcPr>
            <w:tcW w:w="2648" w:type="dxa"/>
            <w:tcBorders>
              <w:top w:val="single" w:color="auto" w:sz="4" w:space="0"/>
              <w:left w:val="single" w:color="auto" w:sz="4" w:space="0"/>
              <w:bottom w:val="single" w:color="auto" w:sz="4" w:space="0"/>
              <w:right w:val="single" w:color="auto" w:sz="4" w:space="0"/>
            </w:tcBorders>
            <w:noWrap w:val="0"/>
            <w:vAlign w:val="center"/>
          </w:tcPr>
          <w:p w14:paraId="5C30DDE7">
            <w:pPr>
              <w:tabs>
                <w:tab w:val="left" w:pos="480"/>
              </w:tabs>
              <w:spacing w:line="396" w:lineRule="exact"/>
              <w:jc w:val="center"/>
              <w:rPr>
                <w:rFonts w:hint="eastAsia" w:hAnsi="宋体" w:eastAsia="宋体" w:cs="宋体"/>
                <w:color w:val="auto"/>
                <w:szCs w:val="21"/>
                <w:highlight w:val="none"/>
                <w:lang w:eastAsia="zh-CN"/>
              </w:rPr>
            </w:pPr>
            <w:r>
              <w:rPr>
                <w:rFonts w:hint="eastAsia" w:hAnsi="宋体" w:cs="宋体"/>
                <w:color w:val="auto"/>
                <w:szCs w:val="21"/>
                <w:highlight w:val="none"/>
                <w:lang w:eastAsia="zh-CN"/>
              </w:rPr>
              <w:t>相关要求</w:t>
            </w:r>
          </w:p>
        </w:tc>
        <w:tc>
          <w:tcPr>
            <w:tcW w:w="1096" w:type="dxa"/>
            <w:tcBorders>
              <w:top w:val="single" w:color="auto" w:sz="4" w:space="0"/>
              <w:left w:val="single" w:color="auto" w:sz="4" w:space="0"/>
              <w:bottom w:val="single" w:color="auto" w:sz="4" w:space="0"/>
              <w:right w:val="single" w:color="auto" w:sz="4" w:space="0"/>
            </w:tcBorders>
            <w:noWrap w:val="0"/>
            <w:vAlign w:val="center"/>
          </w:tcPr>
          <w:p w14:paraId="19EC3B26">
            <w:pPr>
              <w:tabs>
                <w:tab w:val="left" w:pos="480"/>
              </w:tabs>
              <w:spacing w:line="396" w:lineRule="exact"/>
              <w:jc w:val="center"/>
              <w:rPr>
                <w:rFonts w:hint="eastAsia" w:hAnsi="宋体" w:cs="宋体"/>
                <w:color w:val="auto"/>
                <w:szCs w:val="21"/>
                <w:highlight w:val="none"/>
              </w:rPr>
            </w:pPr>
            <w:r>
              <w:rPr>
                <w:rFonts w:hint="eastAsia" w:hAnsi="宋体" w:cs="宋体"/>
                <w:color w:val="auto"/>
                <w:szCs w:val="21"/>
                <w:highlight w:val="none"/>
              </w:rPr>
              <w:t>备注</w:t>
            </w:r>
          </w:p>
        </w:tc>
      </w:tr>
      <w:tr w14:paraId="3E65E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1198" w:type="dxa"/>
            <w:tcBorders>
              <w:top w:val="single" w:color="auto" w:sz="4" w:space="0"/>
              <w:left w:val="single" w:color="auto" w:sz="4" w:space="0"/>
              <w:bottom w:val="single" w:color="auto" w:sz="4" w:space="0"/>
              <w:right w:val="single" w:color="auto" w:sz="4" w:space="0"/>
            </w:tcBorders>
            <w:noWrap w:val="0"/>
            <w:vAlign w:val="center"/>
          </w:tcPr>
          <w:p w14:paraId="07A0A919">
            <w:pPr>
              <w:tabs>
                <w:tab w:val="left" w:pos="480"/>
              </w:tabs>
              <w:spacing w:line="396" w:lineRule="exact"/>
              <w:jc w:val="center"/>
              <w:rPr>
                <w:rFonts w:hint="eastAsia" w:hAnsi="宋体" w:cs="宋体"/>
                <w:color w:val="auto"/>
                <w:szCs w:val="21"/>
                <w:highlight w:val="none"/>
              </w:rPr>
            </w:pPr>
            <w:r>
              <w:rPr>
                <w:rFonts w:hint="eastAsia" w:hAnsi="宋体" w:cs="宋体"/>
                <w:color w:val="auto"/>
                <w:szCs w:val="21"/>
                <w:highlight w:val="none"/>
              </w:rPr>
              <w:t>1</w:t>
            </w:r>
          </w:p>
        </w:tc>
        <w:tc>
          <w:tcPr>
            <w:tcW w:w="1855" w:type="dxa"/>
            <w:tcBorders>
              <w:top w:val="single" w:color="auto" w:sz="4" w:space="0"/>
              <w:left w:val="single" w:color="auto" w:sz="4" w:space="0"/>
              <w:bottom w:val="single" w:color="auto" w:sz="4" w:space="0"/>
              <w:right w:val="single" w:color="auto" w:sz="4" w:space="0"/>
            </w:tcBorders>
            <w:noWrap w:val="0"/>
            <w:vAlign w:val="center"/>
          </w:tcPr>
          <w:p w14:paraId="12793D98">
            <w:pPr>
              <w:tabs>
                <w:tab w:val="left" w:pos="480"/>
              </w:tabs>
              <w:spacing w:line="396" w:lineRule="exact"/>
              <w:jc w:val="center"/>
              <w:rPr>
                <w:rFonts w:hint="eastAsia" w:hAnsi="宋体" w:cs="宋体"/>
                <w:color w:val="auto"/>
                <w:szCs w:val="21"/>
                <w:highlight w:val="none"/>
              </w:rPr>
            </w:pPr>
          </w:p>
        </w:tc>
        <w:tc>
          <w:tcPr>
            <w:tcW w:w="1421" w:type="dxa"/>
            <w:tcBorders>
              <w:top w:val="single" w:color="auto" w:sz="4" w:space="0"/>
              <w:left w:val="single" w:color="auto" w:sz="4" w:space="0"/>
              <w:bottom w:val="single" w:color="auto" w:sz="4" w:space="0"/>
              <w:right w:val="single" w:color="auto" w:sz="4" w:space="0"/>
            </w:tcBorders>
            <w:noWrap w:val="0"/>
            <w:vAlign w:val="center"/>
          </w:tcPr>
          <w:p w14:paraId="1BA5A496">
            <w:pPr>
              <w:tabs>
                <w:tab w:val="left" w:pos="480"/>
              </w:tabs>
              <w:spacing w:line="396" w:lineRule="exact"/>
              <w:jc w:val="center"/>
              <w:rPr>
                <w:rFonts w:hint="eastAsia" w:hAnsi="宋体" w:cs="宋体"/>
                <w:color w:val="auto"/>
                <w:szCs w:val="21"/>
                <w:highlight w:val="none"/>
              </w:rPr>
            </w:pPr>
          </w:p>
        </w:tc>
        <w:tc>
          <w:tcPr>
            <w:tcW w:w="2648" w:type="dxa"/>
            <w:tcBorders>
              <w:top w:val="single" w:color="auto" w:sz="4" w:space="0"/>
              <w:left w:val="single" w:color="auto" w:sz="4" w:space="0"/>
              <w:bottom w:val="single" w:color="auto" w:sz="4" w:space="0"/>
              <w:right w:val="single" w:color="auto" w:sz="4" w:space="0"/>
            </w:tcBorders>
            <w:noWrap w:val="0"/>
            <w:vAlign w:val="center"/>
          </w:tcPr>
          <w:p w14:paraId="71131337">
            <w:pPr>
              <w:tabs>
                <w:tab w:val="left" w:pos="480"/>
              </w:tabs>
              <w:spacing w:line="396" w:lineRule="exact"/>
              <w:jc w:val="center"/>
              <w:rPr>
                <w:rFonts w:hint="eastAsia" w:hAnsi="宋体" w:cs="宋体"/>
                <w:color w:val="auto"/>
                <w:szCs w:val="21"/>
                <w:highlight w:val="none"/>
              </w:rPr>
            </w:pPr>
          </w:p>
        </w:tc>
        <w:tc>
          <w:tcPr>
            <w:tcW w:w="1096" w:type="dxa"/>
            <w:tcBorders>
              <w:top w:val="single" w:color="auto" w:sz="4" w:space="0"/>
              <w:left w:val="single" w:color="auto" w:sz="4" w:space="0"/>
              <w:bottom w:val="single" w:color="auto" w:sz="4" w:space="0"/>
              <w:right w:val="single" w:color="auto" w:sz="4" w:space="0"/>
            </w:tcBorders>
            <w:noWrap w:val="0"/>
            <w:vAlign w:val="center"/>
          </w:tcPr>
          <w:p w14:paraId="06251BCA">
            <w:pPr>
              <w:tabs>
                <w:tab w:val="left" w:pos="480"/>
              </w:tabs>
              <w:spacing w:line="396" w:lineRule="exact"/>
              <w:jc w:val="center"/>
              <w:rPr>
                <w:rFonts w:hint="eastAsia" w:hAnsi="宋体" w:cs="宋体"/>
                <w:color w:val="auto"/>
                <w:szCs w:val="21"/>
                <w:highlight w:val="none"/>
              </w:rPr>
            </w:pPr>
          </w:p>
        </w:tc>
      </w:tr>
      <w:tr w14:paraId="0E357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1198" w:type="dxa"/>
            <w:tcBorders>
              <w:top w:val="single" w:color="auto" w:sz="4" w:space="0"/>
              <w:left w:val="single" w:color="auto" w:sz="4" w:space="0"/>
              <w:bottom w:val="single" w:color="auto" w:sz="4" w:space="0"/>
              <w:right w:val="single" w:color="auto" w:sz="4" w:space="0"/>
            </w:tcBorders>
            <w:noWrap w:val="0"/>
            <w:vAlign w:val="center"/>
          </w:tcPr>
          <w:p w14:paraId="63FFAB84">
            <w:pPr>
              <w:tabs>
                <w:tab w:val="left" w:pos="480"/>
              </w:tabs>
              <w:spacing w:line="396" w:lineRule="exact"/>
              <w:jc w:val="center"/>
              <w:rPr>
                <w:rFonts w:hint="eastAsia" w:hAnsi="宋体" w:cs="宋体"/>
                <w:color w:val="auto"/>
                <w:szCs w:val="21"/>
                <w:highlight w:val="none"/>
              </w:rPr>
            </w:pPr>
            <w:r>
              <w:rPr>
                <w:rFonts w:hint="eastAsia" w:hAnsi="宋体" w:cs="宋体"/>
                <w:color w:val="auto"/>
                <w:szCs w:val="21"/>
                <w:highlight w:val="none"/>
              </w:rPr>
              <w:t>……</w:t>
            </w:r>
          </w:p>
        </w:tc>
        <w:tc>
          <w:tcPr>
            <w:tcW w:w="1855" w:type="dxa"/>
            <w:tcBorders>
              <w:top w:val="single" w:color="auto" w:sz="4" w:space="0"/>
              <w:left w:val="single" w:color="auto" w:sz="4" w:space="0"/>
              <w:bottom w:val="single" w:color="auto" w:sz="4" w:space="0"/>
              <w:right w:val="single" w:color="auto" w:sz="4" w:space="0"/>
            </w:tcBorders>
            <w:noWrap w:val="0"/>
            <w:vAlign w:val="center"/>
          </w:tcPr>
          <w:p w14:paraId="0C6B5435">
            <w:pPr>
              <w:tabs>
                <w:tab w:val="left" w:pos="480"/>
              </w:tabs>
              <w:spacing w:line="396" w:lineRule="exact"/>
              <w:jc w:val="center"/>
              <w:rPr>
                <w:rFonts w:hint="eastAsia" w:hAnsi="宋体" w:cs="宋体"/>
                <w:color w:val="auto"/>
                <w:szCs w:val="21"/>
                <w:highlight w:val="none"/>
              </w:rPr>
            </w:pPr>
          </w:p>
        </w:tc>
        <w:tc>
          <w:tcPr>
            <w:tcW w:w="1421" w:type="dxa"/>
            <w:tcBorders>
              <w:top w:val="single" w:color="auto" w:sz="4" w:space="0"/>
              <w:left w:val="single" w:color="auto" w:sz="4" w:space="0"/>
              <w:bottom w:val="single" w:color="auto" w:sz="4" w:space="0"/>
              <w:right w:val="single" w:color="auto" w:sz="4" w:space="0"/>
            </w:tcBorders>
            <w:noWrap w:val="0"/>
            <w:vAlign w:val="center"/>
          </w:tcPr>
          <w:p w14:paraId="4B0C2119">
            <w:pPr>
              <w:tabs>
                <w:tab w:val="left" w:pos="480"/>
              </w:tabs>
              <w:spacing w:line="396" w:lineRule="exact"/>
              <w:jc w:val="center"/>
              <w:rPr>
                <w:rFonts w:hint="eastAsia" w:hAnsi="宋体" w:cs="宋体"/>
                <w:color w:val="auto"/>
                <w:szCs w:val="21"/>
                <w:highlight w:val="none"/>
              </w:rPr>
            </w:pPr>
          </w:p>
        </w:tc>
        <w:tc>
          <w:tcPr>
            <w:tcW w:w="2648" w:type="dxa"/>
            <w:tcBorders>
              <w:top w:val="single" w:color="auto" w:sz="4" w:space="0"/>
              <w:left w:val="single" w:color="auto" w:sz="4" w:space="0"/>
              <w:bottom w:val="single" w:color="auto" w:sz="4" w:space="0"/>
              <w:right w:val="single" w:color="auto" w:sz="4" w:space="0"/>
            </w:tcBorders>
            <w:noWrap w:val="0"/>
            <w:vAlign w:val="center"/>
          </w:tcPr>
          <w:p w14:paraId="575C15E2">
            <w:pPr>
              <w:tabs>
                <w:tab w:val="left" w:pos="480"/>
              </w:tabs>
              <w:spacing w:line="396" w:lineRule="exact"/>
              <w:jc w:val="center"/>
              <w:rPr>
                <w:rFonts w:hint="eastAsia" w:hAnsi="宋体" w:cs="宋体"/>
                <w:color w:val="auto"/>
                <w:szCs w:val="21"/>
                <w:highlight w:val="none"/>
              </w:rPr>
            </w:pPr>
          </w:p>
        </w:tc>
        <w:tc>
          <w:tcPr>
            <w:tcW w:w="1096" w:type="dxa"/>
            <w:tcBorders>
              <w:top w:val="single" w:color="auto" w:sz="4" w:space="0"/>
              <w:left w:val="single" w:color="auto" w:sz="4" w:space="0"/>
              <w:bottom w:val="single" w:color="auto" w:sz="4" w:space="0"/>
              <w:right w:val="single" w:color="auto" w:sz="4" w:space="0"/>
            </w:tcBorders>
            <w:noWrap w:val="0"/>
            <w:vAlign w:val="center"/>
          </w:tcPr>
          <w:p w14:paraId="3A959B5D">
            <w:pPr>
              <w:tabs>
                <w:tab w:val="left" w:pos="480"/>
              </w:tabs>
              <w:spacing w:line="396" w:lineRule="exact"/>
              <w:jc w:val="center"/>
              <w:rPr>
                <w:rFonts w:hint="eastAsia" w:hAnsi="宋体" w:cs="宋体"/>
                <w:color w:val="auto"/>
                <w:szCs w:val="21"/>
                <w:highlight w:val="none"/>
              </w:rPr>
            </w:pPr>
          </w:p>
        </w:tc>
      </w:tr>
    </w:tbl>
    <w:p w14:paraId="251CE2DB">
      <w:pPr>
        <w:tabs>
          <w:tab w:val="left" w:pos="480"/>
        </w:tabs>
        <w:spacing w:line="360" w:lineRule="auto"/>
        <w:outlineLvl w:val="1"/>
        <w:rPr>
          <w:rFonts w:hint="eastAsia" w:hAnsi="宋体" w:cs="宋体"/>
          <w:b/>
          <w:color w:val="auto"/>
          <w:szCs w:val="21"/>
          <w:highlight w:val="none"/>
        </w:rPr>
      </w:pPr>
      <w:bookmarkStart w:id="97" w:name="_Toc4137"/>
      <w:bookmarkStart w:id="98" w:name="_Toc3926"/>
      <w:bookmarkStart w:id="99" w:name="_Toc8887"/>
      <w:r>
        <w:rPr>
          <w:rFonts w:hint="eastAsia" w:hAnsi="宋体" w:cs="宋体"/>
          <w:b/>
          <w:color w:val="auto"/>
          <w:szCs w:val="21"/>
          <w:highlight w:val="none"/>
        </w:rPr>
        <w:t>二、合同价款</w:t>
      </w:r>
      <w:bookmarkEnd w:id="97"/>
      <w:bookmarkEnd w:id="98"/>
      <w:bookmarkEnd w:id="99"/>
    </w:p>
    <w:p w14:paraId="2CBFE595">
      <w:pPr>
        <w:tabs>
          <w:tab w:val="left" w:pos="480"/>
        </w:tabs>
        <w:spacing w:line="360" w:lineRule="auto"/>
        <w:ind w:firstLine="420" w:firstLineChars="200"/>
        <w:rPr>
          <w:rFonts w:hint="default" w:hAnsi="宋体" w:cs="宋体"/>
          <w:color w:val="auto"/>
          <w:szCs w:val="21"/>
          <w:highlight w:val="none"/>
          <w:u w:val="single"/>
          <w:lang w:val="en-US" w:eastAsia="zh-CN"/>
        </w:rPr>
      </w:pPr>
      <w:r>
        <w:rPr>
          <w:rFonts w:hint="eastAsia" w:hAnsi="宋体" w:cs="宋体"/>
          <w:color w:val="auto"/>
          <w:szCs w:val="21"/>
          <w:highlight w:val="none"/>
        </w:rPr>
        <w:t>（一）</w:t>
      </w:r>
      <w:r>
        <w:rPr>
          <w:rFonts w:hint="eastAsia" w:hAnsi="宋体" w:cs="宋体"/>
          <w:color w:val="auto"/>
          <w:szCs w:val="21"/>
          <w:highlight w:val="none"/>
          <w:lang w:val="en-US" w:eastAsia="zh-CN"/>
        </w:rPr>
        <w:t>本合同为总价合同</w:t>
      </w:r>
      <w:r>
        <w:rPr>
          <w:rFonts w:hint="eastAsia" w:hAnsi="宋体" w:cs="宋体"/>
          <w:color w:val="auto"/>
          <w:szCs w:val="21"/>
          <w:highlight w:val="none"/>
        </w:rPr>
        <w:t>。</w:t>
      </w:r>
    </w:p>
    <w:p w14:paraId="50151B78">
      <w:pPr>
        <w:tabs>
          <w:tab w:val="left" w:pos="480"/>
        </w:tabs>
        <w:spacing w:line="360" w:lineRule="auto"/>
        <w:ind w:firstLine="420" w:firstLineChars="200"/>
        <w:rPr>
          <w:rFonts w:hint="eastAsia" w:hAnsi="宋体" w:cs="宋体"/>
          <w:color w:val="auto"/>
          <w:szCs w:val="21"/>
          <w:highlight w:val="none"/>
        </w:rPr>
      </w:pPr>
      <w:r>
        <w:rPr>
          <w:rFonts w:hint="eastAsia" w:hAnsi="宋体" w:cs="宋体"/>
          <w:color w:val="auto"/>
          <w:szCs w:val="21"/>
          <w:highlight w:val="none"/>
        </w:rPr>
        <w:t>（二）合同价包括：</w:t>
      </w:r>
    </w:p>
    <w:p w14:paraId="4B5C2D58">
      <w:pPr>
        <w:tabs>
          <w:tab w:val="left" w:pos="480"/>
        </w:tabs>
        <w:spacing w:line="360" w:lineRule="auto"/>
        <w:outlineLvl w:val="1"/>
        <w:rPr>
          <w:rFonts w:hint="eastAsia" w:hAnsi="宋体" w:cs="宋体"/>
          <w:b/>
          <w:color w:val="auto"/>
          <w:szCs w:val="21"/>
          <w:highlight w:val="none"/>
        </w:rPr>
      </w:pPr>
      <w:bookmarkStart w:id="100" w:name="_Toc28664"/>
      <w:bookmarkStart w:id="101" w:name="_Toc23247"/>
      <w:bookmarkStart w:id="102" w:name="_Toc6296"/>
      <w:r>
        <w:rPr>
          <w:rFonts w:hint="eastAsia" w:hAnsi="宋体" w:cs="宋体"/>
          <w:b/>
          <w:color w:val="auto"/>
          <w:szCs w:val="21"/>
          <w:highlight w:val="none"/>
        </w:rPr>
        <w:t>三、款项结算</w:t>
      </w:r>
      <w:bookmarkEnd w:id="100"/>
      <w:bookmarkEnd w:id="101"/>
      <w:bookmarkEnd w:id="102"/>
    </w:p>
    <w:p w14:paraId="1BBB32BA">
      <w:pPr>
        <w:tabs>
          <w:tab w:val="left" w:pos="480"/>
        </w:tabs>
        <w:spacing w:line="360" w:lineRule="auto"/>
        <w:ind w:firstLine="420" w:firstLineChars="200"/>
        <w:rPr>
          <w:rFonts w:hint="eastAsia" w:hAnsi="宋体" w:cs="宋体"/>
          <w:color w:val="auto"/>
          <w:szCs w:val="21"/>
          <w:highlight w:val="none"/>
        </w:rPr>
      </w:pPr>
      <w:r>
        <w:rPr>
          <w:rFonts w:hint="eastAsia" w:hAnsi="宋体" w:cs="宋体"/>
          <w:color w:val="auto"/>
          <w:szCs w:val="21"/>
          <w:highlight w:val="none"/>
          <w:lang w:eastAsia="zh-CN"/>
        </w:rPr>
        <w:t>详见合同前附表</w:t>
      </w:r>
      <w:r>
        <w:rPr>
          <w:rFonts w:hint="eastAsia" w:hAnsi="宋体" w:cs="宋体"/>
          <w:color w:val="auto"/>
          <w:szCs w:val="21"/>
          <w:highlight w:val="none"/>
        </w:rPr>
        <w:t>。</w:t>
      </w:r>
    </w:p>
    <w:p w14:paraId="2B3E6E59">
      <w:pPr>
        <w:tabs>
          <w:tab w:val="left" w:pos="480"/>
        </w:tabs>
        <w:spacing w:line="360" w:lineRule="auto"/>
        <w:outlineLvl w:val="1"/>
        <w:rPr>
          <w:rFonts w:hint="eastAsia" w:hAnsi="宋体" w:cs="宋体"/>
          <w:color w:val="auto"/>
          <w:szCs w:val="21"/>
          <w:highlight w:val="none"/>
        </w:rPr>
      </w:pPr>
      <w:bookmarkStart w:id="103" w:name="_Toc21714"/>
      <w:bookmarkStart w:id="104" w:name="_Toc21110"/>
      <w:bookmarkStart w:id="105" w:name="_Toc24406"/>
      <w:r>
        <w:rPr>
          <w:rFonts w:hint="eastAsia" w:hAnsi="宋体" w:cs="宋体"/>
          <w:b/>
          <w:color w:val="auto"/>
          <w:szCs w:val="21"/>
          <w:highlight w:val="none"/>
          <w:lang w:eastAsia="zh-CN"/>
        </w:rPr>
        <w:t>四</w:t>
      </w:r>
      <w:r>
        <w:rPr>
          <w:rFonts w:hint="eastAsia" w:hAnsi="宋体" w:cs="宋体"/>
          <w:b/>
          <w:color w:val="auto"/>
          <w:szCs w:val="21"/>
          <w:highlight w:val="none"/>
        </w:rPr>
        <w:t>、</w:t>
      </w:r>
      <w:r>
        <w:rPr>
          <w:rFonts w:hint="eastAsia" w:hAnsi="宋体" w:cs="宋体"/>
          <w:b/>
          <w:color w:val="auto"/>
          <w:szCs w:val="21"/>
          <w:highlight w:val="none"/>
          <w:lang w:eastAsia="zh-CN"/>
        </w:rPr>
        <w:t>服务</w:t>
      </w:r>
      <w:r>
        <w:rPr>
          <w:rFonts w:hint="eastAsia" w:hAnsi="宋体" w:cs="宋体"/>
          <w:b/>
          <w:color w:val="auto"/>
          <w:szCs w:val="21"/>
          <w:highlight w:val="none"/>
        </w:rPr>
        <w:t>条件：</w:t>
      </w:r>
      <w:bookmarkEnd w:id="103"/>
      <w:bookmarkEnd w:id="104"/>
      <w:bookmarkEnd w:id="105"/>
    </w:p>
    <w:p w14:paraId="56A331D8">
      <w:pPr>
        <w:tabs>
          <w:tab w:val="left" w:pos="480"/>
        </w:tabs>
        <w:spacing w:line="360" w:lineRule="auto"/>
        <w:ind w:firstLine="420" w:firstLineChars="200"/>
        <w:rPr>
          <w:rFonts w:hint="eastAsia" w:hAnsi="宋体" w:cs="宋体"/>
          <w:color w:val="auto"/>
          <w:szCs w:val="21"/>
          <w:highlight w:val="none"/>
        </w:rPr>
      </w:pPr>
      <w:r>
        <w:rPr>
          <w:rFonts w:hint="eastAsia" w:hAnsi="宋体" w:cs="宋体"/>
          <w:color w:val="auto"/>
          <w:szCs w:val="21"/>
          <w:highlight w:val="none"/>
        </w:rPr>
        <w:t>（一）</w:t>
      </w:r>
      <w:r>
        <w:rPr>
          <w:rFonts w:hint="eastAsia" w:hAnsi="宋体" w:cs="宋体"/>
          <w:color w:val="auto"/>
          <w:szCs w:val="21"/>
          <w:highlight w:val="none"/>
          <w:lang w:eastAsia="zh-CN"/>
        </w:rPr>
        <w:t>服务</w:t>
      </w:r>
      <w:r>
        <w:rPr>
          <w:rFonts w:hint="eastAsia" w:hAnsi="宋体" w:cs="宋体"/>
          <w:color w:val="auto"/>
          <w:szCs w:val="21"/>
          <w:highlight w:val="none"/>
        </w:rPr>
        <w:t>地点：甲方指定地点。</w:t>
      </w:r>
    </w:p>
    <w:p w14:paraId="6EF217F2">
      <w:pPr>
        <w:tabs>
          <w:tab w:val="left" w:pos="480"/>
        </w:tabs>
        <w:spacing w:line="360" w:lineRule="auto"/>
        <w:ind w:firstLine="420" w:firstLineChars="200"/>
        <w:rPr>
          <w:rFonts w:hint="default" w:hAnsi="宋体" w:cs="宋体"/>
          <w:color w:val="auto"/>
          <w:szCs w:val="21"/>
          <w:highlight w:val="none"/>
          <w:u w:val="single"/>
          <w:lang w:val="en-US"/>
        </w:rPr>
      </w:pPr>
      <w:r>
        <w:rPr>
          <w:rFonts w:hint="eastAsia" w:hAnsi="宋体" w:cs="宋体"/>
          <w:color w:val="auto"/>
          <w:szCs w:val="21"/>
          <w:highlight w:val="none"/>
        </w:rPr>
        <w:t>（二）</w:t>
      </w:r>
      <w:r>
        <w:rPr>
          <w:rFonts w:hint="eastAsia" w:hAnsi="宋体" w:cs="宋体"/>
          <w:color w:val="auto"/>
          <w:szCs w:val="21"/>
          <w:highlight w:val="none"/>
          <w:lang w:eastAsia="zh-CN"/>
        </w:rPr>
        <w:t>服务</w:t>
      </w:r>
      <w:r>
        <w:rPr>
          <w:rFonts w:hint="eastAsia" w:hAnsi="宋体" w:cs="宋体"/>
          <w:color w:val="auto"/>
          <w:szCs w:val="21"/>
          <w:highlight w:val="none"/>
        </w:rPr>
        <w:t>期</w:t>
      </w:r>
      <w:r>
        <w:rPr>
          <w:rFonts w:hint="eastAsia" w:hAnsi="宋体" w:cs="宋体"/>
          <w:color w:val="auto"/>
          <w:szCs w:val="21"/>
          <w:highlight w:val="none"/>
          <w:lang w:eastAsia="zh-CN"/>
        </w:rPr>
        <w:t>：</w:t>
      </w:r>
      <w:r>
        <w:rPr>
          <w:rFonts w:hint="eastAsia" w:hAnsi="宋体" w:cs="宋体"/>
          <w:color w:val="auto"/>
          <w:szCs w:val="21"/>
          <w:highlight w:val="none"/>
          <w:u w:val="single"/>
          <w:lang w:val="en-US" w:eastAsia="zh-CN"/>
        </w:rPr>
        <w:t xml:space="preserve">            </w:t>
      </w:r>
    </w:p>
    <w:p w14:paraId="6A1E8075">
      <w:pPr>
        <w:tabs>
          <w:tab w:val="left" w:pos="480"/>
        </w:tabs>
        <w:spacing w:line="360" w:lineRule="auto"/>
        <w:outlineLvl w:val="1"/>
        <w:rPr>
          <w:rFonts w:hint="eastAsia" w:hAnsi="宋体" w:cs="宋体"/>
          <w:b/>
          <w:color w:val="auto"/>
          <w:szCs w:val="21"/>
          <w:highlight w:val="none"/>
        </w:rPr>
      </w:pPr>
      <w:bookmarkStart w:id="106" w:name="_Toc7966"/>
      <w:bookmarkStart w:id="107" w:name="_Toc32459"/>
      <w:bookmarkStart w:id="108" w:name="_Toc27382"/>
      <w:r>
        <w:rPr>
          <w:rFonts w:hint="eastAsia" w:hAnsi="宋体" w:cs="宋体"/>
          <w:b/>
          <w:color w:val="auto"/>
          <w:szCs w:val="21"/>
          <w:highlight w:val="none"/>
          <w:lang w:eastAsia="zh-CN"/>
        </w:rPr>
        <w:t>五</w:t>
      </w:r>
      <w:r>
        <w:rPr>
          <w:rFonts w:hint="eastAsia" w:hAnsi="宋体" w:cs="宋体"/>
          <w:b/>
          <w:color w:val="auto"/>
          <w:szCs w:val="21"/>
          <w:highlight w:val="none"/>
        </w:rPr>
        <w:t>、质量保证</w:t>
      </w:r>
      <w:bookmarkEnd w:id="106"/>
      <w:bookmarkEnd w:id="107"/>
      <w:bookmarkEnd w:id="108"/>
    </w:p>
    <w:p w14:paraId="640C0067">
      <w:pPr>
        <w:tabs>
          <w:tab w:val="left" w:pos="480"/>
        </w:tabs>
        <w:spacing w:line="360" w:lineRule="auto"/>
        <w:ind w:firstLine="411" w:firstLineChars="196"/>
        <w:rPr>
          <w:rFonts w:hint="eastAsia" w:hAnsi="宋体" w:cs="宋体"/>
          <w:color w:val="auto"/>
          <w:szCs w:val="21"/>
          <w:highlight w:val="none"/>
        </w:rPr>
      </w:pPr>
      <w:r>
        <w:rPr>
          <w:rFonts w:hint="eastAsia" w:hAnsi="宋体" w:cs="宋体"/>
          <w:color w:val="auto"/>
          <w:szCs w:val="21"/>
          <w:highlight w:val="none"/>
          <w:lang w:val="en-US" w:eastAsia="zh-CN"/>
        </w:rPr>
        <w:t>1、</w:t>
      </w:r>
      <w:r>
        <w:rPr>
          <w:rFonts w:hint="eastAsia" w:hAnsi="宋体" w:cs="宋体"/>
          <w:color w:val="auto"/>
          <w:szCs w:val="21"/>
          <w:highlight w:val="none"/>
        </w:rPr>
        <w:t>乙方所</w:t>
      </w:r>
      <w:r>
        <w:rPr>
          <w:rFonts w:hint="eastAsia" w:hAnsi="宋体" w:cs="宋体"/>
          <w:color w:val="auto"/>
          <w:szCs w:val="21"/>
          <w:highlight w:val="none"/>
          <w:lang w:eastAsia="zh-CN"/>
        </w:rPr>
        <w:t>提</w:t>
      </w:r>
      <w:r>
        <w:rPr>
          <w:rFonts w:hint="eastAsia" w:hAnsi="宋体" w:cs="宋体"/>
          <w:color w:val="auto"/>
          <w:szCs w:val="21"/>
          <w:highlight w:val="none"/>
        </w:rPr>
        <w:t>供</w:t>
      </w:r>
      <w:r>
        <w:rPr>
          <w:rFonts w:hint="eastAsia" w:hAnsi="宋体" w:cs="宋体"/>
          <w:color w:val="auto"/>
          <w:szCs w:val="21"/>
          <w:highlight w:val="none"/>
          <w:lang w:eastAsia="zh-CN"/>
        </w:rPr>
        <w:t>的服务</w:t>
      </w:r>
      <w:r>
        <w:rPr>
          <w:rFonts w:hint="eastAsia" w:hAnsi="宋体" w:cs="宋体"/>
          <w:color w:val="auto"/>
          <w:szCs w:val="21"/>
          <w:highlight w:val="none"/>
        </w:rPr>
        <w:t>保证技术指标符合要求、质量性能可靠、必须符合国家相关法律法规的要求。</w:t>
      </w:r>
    </w:p>
    <w:p w14:paraId="6D116912">
      <w:pPr>
        <w:tabs>
          <w:tab w:val="left" w:pos="480"/>
        </w:tabs>
        <w:spacing w:line="360" w:lineRule="auto"/>
        <w:ind w:firstLine="411" w:firstLineChars="196"/>
        <w:rPr>
          <w:rFonts w:hint="eastAsia" w:hAnsi="宋体" w:cs="宋体"/>
          <w:color w:val="auto"/>
          <w:szCs w:val="21"/>
          <w:highlight w:val="none"/>
        </w:rPr>
      </w:pPr>
      <w:r>
        <w:rPr>
          <w:rFonts w:hint="eastAsia" w:hAnsi="宋体" w:cs="宋体"/>
          <w:color w:val="auto"/>
          <w:szCs w:val="21"/>
          <w:highlight w:val="none"/>
        </w:rPr>
        <w:t>2、</w:t>
      </w:r>
      <w:r>
        <w:rPr>
          <w:rFonts w:hint="eastAsia" w:hAnsi="宋体" w:cs="宋体"/>
          <w:color w:val="auto"/>
          <w:szCs w:val="21"/>
          <w:highlight w:val="none"/>
          <w:lang w:eastAsia="zh-CN"/>
        </w:rPr>
        <w:t>成交</w:t>
      </w:r>
      <w:r>
        <w:rPr>
          <w:rFonts w:hint="eastAsia" w:hAnsi="宋体" w:cs="宋体"/>
          <w:color w:val="auto"/>
          <w:szCs w:val="21"/>
          <w:highlight w:val="none"/>
        </w:rPr>
        <w:t>单位应当保证</w:t>
      </w:r>
      <w:r>
        <w:rPr>
          <w:rFonts w:hint="eastAsia" w:hAnsi="宋体" w:cs="宋体"/>
          <w:color w:val="auto"/>
          <w:szCs w:val="21"/>
          <w:highlight w:val="none"/>
          <w:lang w:eastAsia="zh-CN"/>
        </w:rPr>
        <w:t>其具有完成本项目所要求</w:t>
      </w:r>
      <w:r>
        <w:rPr>
          <w:rFonts w:hint="eastAsia" w:hAnsi="宋体" w:cs="宋体"/>
          <w:color w:val="auto"/>
          <w:szCs w:val="21"/>
          <w:highlight w:val="none"/>
        </w:rPr>
        <w:t>的</w:t>
      </w:r>
      <w:r>
        <w:rPr>
          <w:rFonts w:hint="eastAsia" w:hAnsi="宋体" w:cs="宋体"/>
          <w:color w:val="auto"/>
          <w:szCs w:val="21"/>
          <w:highlight w:val="none"/>
          <w:lang w:eastAsia="zh-CN"/>
        </w:rPr>
        <w:t>服务</w:t>
      </w:r>
      <w:r>
        <w:rPr>
          <w:rFonts w:hint="eastAsia" w:hAnsi="宋体" w:cs="宋体"/>
          <w:color w:val="auto"/>
          <w:szCs w:val="21"/>
          <w:highlight w:val="none"/>
        </w:rPr>
        <w:t>所</w:t>
      </w:r>
      <w:r>
        <w:rPr>
          <w:rFonts w:hint="eastAsia" w:hAnsi="宋体" w:cs="宋体"/>
          <w:color w:val="auto"/>
          <w:szCs w:val="21"/>
          <w:highlight w:val="none"/>
          <w:lang w:eastAsia="zh-CN"/>
        </w:rPr>
        <w:t>必须具备的专业设备和服务能力</w:t>
      </w:r>
      <w:r>
        <w:rPr>
          <w:rFonts w:hint="eastAsia" w:hAnsi="宋体" w:cs="宋体"/>
          <w:color w:val="auto"/>
          <w:szCs w:val="21"/>
          <w:highlight w:val="none"/>
        </w:rPr>
        <w:t>。</w:t>
      </w:r>
    </w:p>
    <w:p w14:paraId="27815EC3">
      <w:pPr>
        <w:tabs>
          <w:tab w:val="left" w:pos="480"/>
        </w:tabs>
        <w:spacing w:line="360" w:lineRule="auto"/>
        <w:outlineLvl w:val="1"/>
        <w:rPr>
          <w:rFonts w:hint="eastAsia" w:hAnsi="宋体" w:cs="宋体"/>
          <w:b/>
          <w:color w:val="auto"/>
          <w:szCs w:val="21"/>
          <w:highlight w:val="none"/>
        </w:rPr>
      </w:pPr>
      <w:bookmarkStart w:id="109" w:name="_Toc12558"/>
      <w:bookmarkStart w:id="110" w:name="_Toc9903"/>
      <w:bookmarkStart w:id="111" w:name="_Toc21314"/>
      <w:r>
        <w:rPr>
          <w:rFonts w:hint="eastAsia" w:hAnsi="宋体" w:cs="宋体"/>
          <w:b/>
          <w:color w:val="auto"/>
          <w:szCs w:val="21"/>
          <w:highlight w:val="none"/>
          <w:lang w:eastAsia="zh-CN"/>
        </w:rPr>
        <w:t>六</w:t>
      </w:r>
      <w:r>
        <w:rPr>
          <w:rFonts w:hint="eastAsia" w:hAnsi="宋体" w:cs="宋体"/>
          <w:b/>
          <w:color w:val="auto"/>
          <w:szCs w:val="21"/>
          <w:highlight w:val="none"/>
        </w:rPr>
        <w:t>、技术与服务</w:t>
      </w:r>
      <w:bookmarkEnd w:id="109"/>
      <w:bookmarkEnd w:id="110"/>
      <w:bookmarkEnd w:id="111"/>
    </w:p>
    <w:p w14:paraId="245D6FF9">
      <w:pPr>
        <w:tabs>
          <w:tab w:val="left" w:pos="480"/>
        </w:tabs>
        <w:spacing w:line="360" w:lineRule="auto"/>
        <w:ind w:firstLine="420" w:firstLineChars="200"/>
        <w:rPr>
          <w:rFonts w:hint="eastAsia" w:hAnsi="宋体" w:cs="宋体"/>
          <w:color w:val="auto"/>
          <w:szCs w:val="21"/>
          <w:highlight w:val="none"/>
        </w:rPr>
      </w:pPr>
      <w:r>
        <w:rPr>
          <w:rFonts w:hint="eastAsia" w:hAnsi="宋体" w:cs="宋体"/>
          <w:color w:val="auto"/>
          <w:szCs w:val="21"/>
          <w:highlight w:val="none"/>
        </w:rPr>
        <w:t>（一）技术资料：</w:t>
      </w:r>
    </w:p>
    <w:p w14:paraId="1EAB74D7">
      <w:pPr>
        <w:tabs>
          <w:tab w:val="left" w:pos="480"/>
        </w:tabs>
        <w:spacing w:line="360" w:lineRule="auto"/>
        <w:ind w:firstLine="420" w:firstLineChars="200"/>
        <w:rPr>
          <w:rFonts w:hint="eastAsia" w:hAnsi="宋体" w:cs="宋体"/>
          <w:color w:val="auto"/>
          <w:szCs w:val="21"/>
          <w:highlight w:val="none"/>
        </w:rPr>
      </w:pPr>
      <w:r>
        <w:rPr>
          <w:rFonts w:hint="eastAsia" w:hAnsi="宋体" w:cs="宋体"/>
          <w:color w:val="auto"/>
          <w:szCs w:val="21"/>
          <w:highlight w:val="none"/>
        </w:rPr>
        <w:t>技术资料：</w:t>
      </w:r>
    </w:p>
    <w:p w14:paraId="49F967AF">
      <w:pPr>
        <w:tabs>
          <w:tab w:val="left" w:pos="480"/>
        </w:tabs>
        <w:spacing w:line="360" w:lineRule="auto"/>
        <w:ind w:firstLine="420" w:firstLineChars="200"/>
        <w:rPr>
          <w:rFonts w:hint="eastAsia" w:hAnsi="宋体" w:cs="宋体"/>
          <w:color w:val="auto"/>
          <w:szCs w:val="21"/>
          <w:highlight w:val="none"/>
        </w:rPr>
      </w:pPr>
      <w:r>
        <w:rPr>
          <w:rFonts w:hint="eastAsia" w:hAnsi="宋体" w:cs="宋体"/>
          <w:color w:val="auto"/>
          <w:szCs w:val="21"/>
          <w:highlight w:val="none"/>
          <w:lang w:eastAsia="zh-CN"/>
        </w:rPr>
        <w:t>成交供应商</w:t>
      </w:r>
      <w:r>
        <w:rPr>
          <w:rFonts w:hint="eastAsia" w:hAnsi="宋体" w:cs="宋体"/>
          <w:color w:val="auto"/>
          <w:szCs w:val="21"/>
          <w:highlight w:val="none"/>
        </w:rPr>
        <w:t>应随同</w:t>
      </w:r>
      <w:r>
        <w:rPr>
          <w:rFonts w:hint="eastAsia" w:hAnsi="宋体" w:cs="宋体"/>
          <w:color w:val="auto"/>
          <w:szCs w:val="21"/>
          <w:highlight w:val="none"/>
          <w:lang w:eastAsia="zh-CN"/>
        </w:rPr>
        <w:t>服务</w:t>
      </w:r>
      <w:r>
        <w:rPr>
          <w:rFonts w:hint="eastAsia" w:hAnsi="宋体" w:cs="宋体"/>
          <w:color w:val="auto"/>
          <w:szCs w:val="21"/>
          <w:highlight w:val="none"/>
        </w:rPr>
        <w:t>提供相应的中文</w:t>
      </w:r>
      <w:r>
        <w:rPr>
          <w:rFonts w:hint="eastAsia" w:hAnsi="宋体" w:cs="宋体"/>
          <w:color w:val="auto"/>
          <w:szCs w:val="21"/>
          <w:highlight w:val="none"/>
          <w:lang w:val="en-US" w:eastAsia="zh-CN"/>
        </w:rPr>
        <w:t>成果</w:t>
      </w:r>
      <w:r>
        <w:rPr>
          <w:rFonts w:hint="eastAsia" w:hAnsi="宋体" w:cs="宋体"/>
          <w:color w:val="auto"/>
          <w:szCs w:val="21"/>
          <w:highlight w:val="none"/>
        </w:rPr>
        <w:t>技术文件</w:t>
      </w:r>
      <w:r>
        <w:rPr>
          <w:rFonts w:hint="eastAsia" w:hAnsi="宋体" w:cs="宋体"/>
          <w:color w:val="auto"/>
          <w:szCs w:val="21"/>
          <w:highlight w:val="none"/>
          <w:lang w:eastAsia="zh-CN"/>
        </w:rPr>
        <w:t>，</w:t>
      </w:r>
      <w:r>
        <w:rPr>
          <w:rFonts w:hint="eastAsia" w:hAnsi="宋体" w:cs="宋体"/>
          <w:color w:val="auto"/>
          <w:szCs w:val="21"/>
          <w:highlight w:val="none"/>
          <w:lang w:val="en-US" w:eastAsia="zh-CN"/>
        </w:rPr>
        <w:t>成果文件需要以纸质文件及电子版的形式移交给甲方，纸质成果文件需要移交10份</w:t>
      </w:r>
      <w:r>
        <w:rPr>
          <w:rFonts w:hint="eastAsia" w:hAnsi="宋体" w:cs="宋体"/>
          <w:color w:val="auto"/>
          <w:szCs w:val="21"/>
          <w:highlight w:val="none"/>
        </w:rPr>
        <w:t>。</w:t>
      </w:r>
    </w:p>
    <w:p w14:paraId="5757E57C">
      <w:pPr>
        <w:tabs>
          <w:tab w:val="left" w:pos="480"/>
        </w:tabs>
        <w:spacing w:line="360" w:lineRule="auto"/>
        <w:ind w:firstLine="420" w:firstLineChars="200"/>
        <w:rPr>
          <w:rFonts w:hint="eastAsia"/>
          <w:color w:val="auto"/>
          <w:highlight w:val="none"/>
        </w:rPr>
      </w:pPr>
      <w:r>
        <w:rPr>
          <w:rFonts w:hint="eastAsia" w:hAnsi="宋体" w:cs="宋体"/>
          <w:color w:val="auto"/>
          <w:szCs w:val="21"/>
          <w:highlight w:val="none"/>
        </w:rPr>
        <w:t>（二）服务承诺：以</w:t>
      </w:r>
      <w:r>
        <w:rPr>
          <w:rFonts w:hint="eastAsia" w:hAnsi="宋体" w:cs="宋体"/>
          <w:color w:val="auto"/>
          <w:szCs w:val="21"/>
          <w:highlight w:val="none"/>
          <w:lang w:eastAsia="zh-CN"/>
        </w:rPr>
        <w:t>投标文件</w:t>
      </w:r>
      <w:r>
        <w:rPr>
          <w:rFonts w:hint="eastAsia" w:hAnsi="宋体" w:cs="宋体"/>
          <w:color w:val="auto"/>
          <w:szCs w:val="21"/>
          <w:highlight w:val="none"/>
        </w:rPr>
        <w:t>、澄清表（函）、合同和相关文件为准。</w:t>
      </w:r>
    </w:p>
    <w:p w14:paraId="529390E9">
      <w:pPr>
        <w:tabs>
          <w:tab w:val="left" w:pos="480"/>
        </w:tabs>
        <w:spacing w:line="360" w:lineRule="auto"/>
        <w:outlineLvl w:val="1"/>
        <w:rPr>
          <w:rFonts w:hint="eastAsia" w:hAnsi="宋体" w:cs="宋体"/>
          <w:b/>
          <w:color w:val="auto"/>
          <w:szCs w:val="21"/>
          <w:highlight w:val="none"/>
        </w:rPr>
      </w:pPr>
      <w:bookmarkStart w:id="112" w:name="_Toc22161"/>
      <w:bookmarkStart w:id="113" w:name="_Toc12975"/>
      <w:bookmarkStart w:id="114" w:name="_Toc14409"/>
      <w:r>
        <w:rPr>
          <w:rFonts w:hint="eastAsia" w:hAnsi="宋体" w:cs="宋体"/>
          <w:b/>
          <w:color w:val="auto"/>
          <w:szCs w:val="21"/>
          <w:highlight w:val="none"/>
          <w:lang w:eastAsia="zh-CN"/>
        </w:rPr>
        <w:t>七</w:t>
      </w:r>
      <w:r>
        <w:rPr>
          <w:rFonts w:hint="eastAsia" w:hAnsi="宋体" w:cs="宋体"/>
          <w:b/>
          <w:color w:val="auto"/>
          <w:szCs w:val="21"/>
          <w:highlight w:val="none"/>
        </w:rPr>
        <w:t>、验收</w:t>
      </w:r>
      <w:bookmarkEnd w:id="112"/>
      <w:bookmarkEnd w:id="113"/>
      <w:bookmarkEnd w:id="114"/>
    </w:p>
    <w:p w14:paraId="3E49CCC5">
      <w:pPr>
        <w:spacing w:line="360" w:lineRule="auto"/>
        <w:ind w:firstLine="420" w:firstLineChars="200"/>
        <w:rPr>
          <w:rFonts w:hint="eastAsia" w:eastAsia="宋体"/>
          <w:color w:val="auto"/>
          <w:highlight w:val="none"/>
          <w:lang w:eastAsia="zh-CN"/>
        </w:rPr>
      </w:pPr>
      <w:r>
        <w:rPr>
          <w:rFonts w:hint="eastAsia" w:eastAsia="宋体"/>
          <w:color w:val="auto"/>
          <w:highlight w:val="none"/>
          <w:lang w:eastAsia="zh-CN"/>
        </w:rPr>
        <w:t>1、所验服务最终验收达不到招标文件要求和投标文件承诺及国家或行业标准的，或在使用中发现甲方不能容忍的缺陷等，将视为验收不合格，乙方应在甲方要求的时间内无条件完善或要求赔付甲方损失。</w:t>
      </w:r>
    </w:p>
    <w:p w14:paraId="6FE07063">
      <w:pPr>
        <w:spacing w:line="360" w:lineRule="auto"/>
        <w:ind w:firstLine="420" w:firstLineChars="200"/>
        <w:rPr>
          <w:rFonts w:hint="eastAsia" w:eastAsia="宋体"/>
          <w:color w:val="auto"/>
          <w:highlight w:val="none"/>
          <w:lang w:eastAsia="zh-CN"/>
        </w:rPr>
      </w:pPr>
      <w:r>
        <w:rPr>
          <w:rFonts w:hint="eastAsia" w:eastAsia="宋体"/>
          <w:color w:val="auto"/>
          <w:highlight w:val="none"/>
          <w:lang w:eastAsia="zh-CN"/>
        </w:rPr>
        <w:t>2、若发现乙方有弄虚作假的，及在项目实施阶段故意或随意夸大服务，本合同解除，乙方赔偿甲方相应的损失。</w:t>
      </w:r>
    </w:p>
    <w:p w14:paraId="71362E06">
      <w:pPr>
        <w:spacing w:line="360" w:lineRule="auto"/>
        <w:ind w:firstLine="420" w:firstLineChars="200"/>
        <w:rPr>
          <w:rFonts w:hint="eastAsia" w:eastAsia="宋体"/>
          <w:color w:val="auto"/>
          <w:highlight w:val="none"/>
          <w:lang w:eastAsia="zh-CN"/>
        </w:rPr>
      </w:pPr>
      <w:r>
        <w:rPr>
          <w:rFonts w:hint="eastAsia" w:eastAsia="宋体"/>
          <w:color w:val="auto"/>
          <w:highlight w:val="none"/>
          <w:lang w:eastAsia="zh-CN"/>
        </w:rPr>
        <w:t>3、验收标准：按招标文件、投标文件及磋商记录表等技术指标进行逐项验收。各项指标均应符合验收标准及要求。</w:t>
      </w:r>
    </w:p>
    <w:p w14:paraId="6068ADF4">
      <w:pPr>
        <w:tabs>
          <w:tab w:val="left" w:pos="480"/>
        </w:tabs>
        <w:spacing w:line="360" w:lineRule="auto"/>
        <w:outlineLvl w:val="1"/>
        <w:rPr>
          <w:rFonts w:hint="eastAsia" w:hAnsi="宋体" w:cs="宋体"/>
          <w:b/>
          <w:color w:val="auto"/>
          <w:szCs w:val="21"/>
          <w:highlight w:val="none"/>
        </w:rPr>
      </w:pPr>
      <w:bookmarkStart w:id="115" w:name="_Toc30681"/>
      <w:bookmarkStart w:id="116" w:name="_Toc9858"/>
      <w:bookmarkStart w:id="117" w:name="_Toc20026"/>
      <w:r>
        <w:rPr>
          <w:rFonts w:hint="eastAsia" w:hAnsi="宋体" w:cs="宋体"/>
          <w:b/>
          <w:color w:val="auto"/>
          <w:szCs w:val="21"/>
          <w:highlight w:val="none"/>
          <w:lang w:eastAsia="zh-CN"/>
        </w:rPr>
        <w:t>八</w:t>
      </w:r>
      <w:r>
        <w:rPr>
          <w:rFonts w:hint="eastAsia" w:hAnsi="宋体" w:cs="宋体"/>
          <w:b/>
          <w:color w:val="auto"/>
          <w:szCs w:val="21"/>
          <w:highlight w:val="none"/>
        </w:rPr>
        <w:t>、违约责任</w:t>
      </w:r>
      <w:bookmarkEnd w:id="115"/>
      <w:bookmarkEnd w:id="116"/>
      <w:bookmarkEnd w:id="117"/>
    </w:p>
    <w:p w14:paraId="7477F7A3">
      <w:pPr>
        <w:tabs>
          <w:tab w:val="left" w:pos="480"/>
        </w:tabs>
        <w:spacing w:line="360" w:lineRule="auto"/>
        <w:ind w:firstLine="420" w:firstLineChars="200"/>
        <w:rPr>
          <w:rFonts w:hint="eastAsia" w:hAnsi="宋体" w:cs="宋体"/>
          <w:color w:val="auto"/>
          <w:szCs w:val="21"/>
          <w:highlight w:val="none"/>
        </w:rPr>
      </w:pPr>
      <w:r>
        <w:rPr>
          <w:rFonts w:hint="eastAsia" w:hAnsi="宋体" w:cs="宋体"/>
          <w:color w:val="auto"/>
          <w:szCs w:val="21"/>
          <w:highlight w:val="none"/>
        </w:rPr>
        <w:t>1、按《</w:t>
      </w:r>
      <w:r>
        <w:rPr>
          <w:rFonts w:hint="eastAsia" w:hAnsi="宋体" w:cs="宋体"/>
          <w:color w:val="auto"/>
          <w:szCs w:val="21"/>
          <w:highlight w:val="none"/>
          <w:lang w:eastAsia="zh-CN"/>
        </w:rPr>
        <w:t>中华人民共和国民法典</w:t>
      </w:r>
      <w:r>
        <w:rPr>
          <w:rFonts w:hint="eastAsia" w:hAnsi="宋体" w:cs="宋体"/>
          <w:color w:val="auto"/>
          <w:szCs w:val="21"/>
          <w:highlight w:val="none"/>
        </w:rPr>
        <w:t>》中的相关条款执行。</w:t>
      </w:r>
    </w:p>
    <w:p w14:paraId="0E410074">
      <w:pPr>
        <w:tabs>
          <w:tab w:val="left" w:pos="480"/>
        </w:tabs>
        <w:spacing w:line="360" w:lineRule="auto"/>
        <w:ind w:firstLine="420" w:firstLineChars="200"/>
        <w:rPr>
          <w:rFonts w:hint="eastAsia" w:hAnsi="宋体" w:cs="宋体"/>
          <w:color w:val="auto"/>
          <w:szCs w:val="21"/>
          <w:highlight w:val="none"/>
        </w:rPr>
      </w:pPr>
      <w:r>
        <w:rPr>
          <w:rFonts w:hint="eastAsia" w:hAnsi="宋体" w:cs="宋体"/>
          <w:color w:val="auto"/>
          <w:szCs w:val="21"/>
          <w:highlight w:val="none"/>
        </w:rPr>
        <w:t>2、未按合同要求提供服务或服务不能满足合同要求，采购人应当将服务商违约的情况以及拟采取的措施以书面形式报政府采购监管部门，根据政府采购监管部门的处理意见，采购人有权依据《</w:t>
      </w:r>
      <w:r>
        <w:rPr>
          <w:rFonts w:hint="eastAsia" w:hAnsi="宋体" w:cs="宋体"/>
          <w:color w:val="auto"/>
          <w:szCs w:val="21"/>
          <w:highlight w:val="none"/>
          <w:lang w:eastAsia="zh-CN"/>
        </w:rPr>
        <w:t>中华人民共和国民法典</w:t>
      </w:r>
      <w:r>
        <w:rPr>
          <w:rFonts w:hint="eastAsia" w:hAnsi="宋体" w:cs="宋体"/>
          <w:color w:val="auto"/>
          <w:szCs w:val="21"/>
          <w:highlight w:val="none"/>
        </w:rPr>
        <w:t>》有关条款及合同约定终止合同，并要求服务商承担违约责任。同时，政府采购监管部门有权依据《中华人民共和国政府采购法》及相关法律法规对服务商的违法行为进行相应的处罚。</w:t>
      </w:r>
    </w:p>
    <w:p w14:paraId="274E6946">
      <w:pPr>
        <w:tabs>
          <w:tab w:val="left" w:pos="480"/>
        </w:tabs>
        <w:spacing w:line="360" w:lineRule="auto"/>
        <w:outlineLvl w:val="1"/>
        <w:rPr>
          <w:rFonts w:hint="eastAsia" w:hAnsi="宋体" w:cs="宋体"/>
          <w:b/>
          <w:color w:val="auto"/>
          <w:szCs w:val="21"/>
          <w:highlight w:val="none"/>
        </w:rPr>
      </w:pPr>
      <w:bookmarkStart w:id="118" w:name="_Toc27523"/>
      <w:bookmarkStart w:id="119" w:name="_Toc15856"/>
      <w:bookmarkStart w:id="120" w:name="_Toc13662"/>
      <w:r>
        <w:rPr>
          <w:rFonts w:hint="eastAsia" w:hAnsi="宋体" w:cs="宋体"/>
          <w:b/>
          <w:color w:val="auto"/>
          <w:szCs w:val="21"/>
          <w:highlight w:val="none"/>
          <w:lang w:eastAsia="zh-CN"/>
        </w:rPr>
        <w:t>九</w:t>
      </w:r>
      <w:r>
        <w:rPr>
          <w:rFonts w:hint="eastAsia" w:hAnsi="宋体" w:cs="宋体"/>
          <w:b/>
          <w:color w:val="auto"/>
          <w:szCs w:val="21"/>
          <w:highlight w:val="none"/>
        </w:rPr>
        <w:t>、合同争议解决的方式</w:t>
      </w:r>
      <w:bookmarkEnd w:id="118"/>
      <w:bookmarkEnd w:id="119"/>
      <w:bookmarkEnd w:id="120"/>
    </w:p>
    <w:p w14:paraId="037F25E6">
      <w:pPr>
        <w:tabs>
          <w:tab w:val="left" w:pos="480"/>
        </w:tabs>
        <w:spacing w:line="360" w:lineRule="auto"/>
        <w:ind w:firstLine="420" w:firstLineChars="200"/>
        <w:rPr>
          <w:rFonts w:hint="eastAsia" w:hAnsi="宋体" w:cs="宋体"/>
          <w:color w:val="auto"/>
          <w:szCs w:val="21"/>
          <w:highlight w:val="none"/>
        </w:rPr>
      </w:pPr>
      <w:r>
        <w:rPr>
          <w:rFonts w:hint="eastAsia" w:hAnsi="宋体" w:cs="宋体"/>
          <w:color w:val="auto"/>
          <w:szCs w:val="21"/>
          <w:highlight w:val="none"/>
        </w:rPr>
        <w:t>本合同在履行过程中发生的争议，由甲、乙双方当事人协商解决，协商不成的按下列第</w:t>
      </w:r>
      <w:r>
        <w:rPr>
          <w:rFonts w:hint="eastAsia" w:hAnsi="宋体" w:cs="宋体"/>
          <w:color w:val="auto"/>
          <w:szCs w:val="21"/>
          <w:highlight w:val="none"/>
          <w:u w:val="single"/>
        </w:rPr>
        <w:t xml:space="preserve">    </w:t>
      </w:r>
      <w:r>
        <w:rPr>
          <w:rFonts w:hint="eastAsia" w:hAnsi="宋体" w:cs="宋体"/>
          <w:color w:val="auto"/>
          <w:szCs w:val="21"/>
          <w:highlight w:val="none"/>
        </w:rPr>
        <w:t>种方式解决：</w:t>
      </w:r>
    </w:p>
    <w:p w14:paraId="48CD148D">
      <w:pPr>
        <w:tabs>
          <w:tab w:val="left" w:pos="480"/>
        </w:tabs>
        <w:spacing w:line="360" w:lineRule="auto"/>
        <w:ind w:firstLine="420" w:firstLineChars="200"/>
        <w:rPr>
          <w:rFonts w:hint="eastAsia" w:hAnsi="宋体" w:cs="宋体"/>
          <w:color w:val="auto"/>
          <w:szCs w:val="21"/>
          <w:highlight w:val="none"/>
        </w:rPr>
      </w:pPr>
      <w:r>
        <w:rPr>
          <w:rFonts w:hint="eastAsia" w:hAnsi="宋体" w:cs="宋体"/>
          <w:color w:val="auto"/>
          <w:szCs w:val="21"/>
          <w:highlight w:val="none"/>
        </w:rPr>
        <w:t>（一）提交</w:t>
      </w:r>
      <w:r>
        <w:rPr>
          <w:rFonts w:hint="eastAsia" w:hAnsi="宋体" w:cs="宋体"/>
          <w:color w:val="auto"/>
          <w:szCs w:val="21"/>
          <w:highlight w:val="none"/>
          <w:u w:val="single"/>
        </w:rPr>
        <w:t xml:space="preserve">  </w:t>
      </w:r>
      <w:r>
        <w:rPr>
          <w:rFonts w:hint="eastAsia" w:hAnsi="宋体" w:cs="宋体"/>
          <w:color w:val="auto"/>
          <w:szCs w:val="21"/>
          <w:highlight w:val="none"/>
          <w:u w:val="single"/>
          <w:lang w:val="en-US" w:eastAsia="zh-CN"/>
        </w:rPr>
        <w:t xml:space="preserve">     </w:t>
      </w:r>
      <w:r>
        <w:rPr>
          <w:rFonts w:hint="eastAsia" w:hAnsi="宋体" w:cs="宋体"/>
          <w:color w:val="auto"/>
          <w:szCs w:val="21"/>
          <w:highlight w:val="none"/>
          <w:u w:val="single"/>
        </w:rPr>
        <w:t xml:space="preserve"> </w:t>
      </w:r>
      <w:r>
        <w:rPr>
          <w:rFonts w:hint="eastAsia" w:hAnsi="宋体" w:cs="宋体"/>
          <w:color w:val="auto"/>
          <w:szCs w:val="21"/>
          <w:highlight w:val="none"/>
        </w:rPr>
        <w:t>仲裁委员会仲裁；</w:t>
      </w:r>
    </w:p>
    <w:p w14:paraId="531C8506">
      <w:pPr>
        <w:tabs>
          <w:tab w:val="left" w:pos="480"/>
        </w:tabs>
        <w:spacing w:line="360" w:lineRule="auto"/>
        <w:ind w:firstLine="420" w:firstLineChars="200"/>
        <w:rPr>
          <w:rFonts w:hint="eastAsia" w:hAnsi="宋体" w:cs="宋体"/>
          <w:color w:val="auto"/>
          <w:szCs w:val="21"/>
          <w:highlight w:val="none"/>
        </w:rPr>
      </w:pPr>
      <w:r>
        <w:rPr>
          <w:rFonts w:hint="eastAsia" w:hAnsi="宋体" w:cs="宋体"/>
          <w:color w:val="auto"/>
          <w:szCs w:val="21"/>
          <w:highlight w:val="none"/>
        </w:rPr>
        <w:t xml:space="preserve">（二）依法向 </w:t>
      </w:r>
      <w:r>
        <w:rPr>
          <w:rFonts w:hint="eastAsia" w:hAnsi="宋体" w:cs="宋体"/>
          <w:color w:val="auto"/>
          <w:szCs w:val="21"/>
          <w:highlight w:val="none"/>
          <w:u w:val="single"/>
        </w:rPr>
        <w:t xml:space="preserve"> </w:t>
      </w:r>
      <w:r>
        <w:rPr>
          <w:rFonts w:hint="eastAsia" w:hAnsi="宋体" w:cs="宋体"/>
          <w:color w:val="auto"/>
          <w:szCs w:val="21"/>
          <w:highlight w:val="none"/>
          <w:u w:val="single"/>
          <w:lang w:val="en-US" w:eastAsia="zh-CN"/>
        </w:rPr>
        <w:t xml:space="preserve">    </w:t>
      </w:r>
      <w:r>
        <w:rPr>
          <w:rFonts w:hint="eastAsia" w:hAnsi="宋体" w:cs="宋体"/>
          <w:color w:val="auto"/>
          <w:szCs w:val="21"/>
          <w:highlight w:val="none"/>
          <w:u w:val="single"/>
        </w:rPr>
        <w:t xml:space="preserve">  </w:t>
      </w:r>
      <w:r>
        <w:rPr>
          <w:rFonts w:hint="eastAsia" w:hAnsi="宋体" w:cs="宋体"/>
          <w:color w:val="auto"/>
          <w:szCs w:val="21"/>
          <w:highlight w:val="none"/>
        </w:rPr>
        <w:t>所在地人民法院起诉。</w:t>
      </w:r>
    </w:p>
    <w:p w14:paraId="1194C8AC">
      <w:pPr>
        <w:tabs>
          <w:tab w:val="left" w:pos="480"/>
        </w:tabs>
        <w:spacing w:line="360" w:lineRule="auto"/>
        <w:outlineLvl w:val="1"/>
        <w:rPr>
          <w:rFonts w:hint="eastAsia" w:hAnsi="宋体" w:cs="宋体"/>
          <w:b/>
          <w:color w:val="auto"/>
          <w:szCs w:val="21"/>
          <w:highlight w:val="none"/>
        </w:rPr>
      </w:pPr>
      <w:bookmarkStart w:id="121" w:name="_Toc2858"/>
      <w:bookmarkStart w:id="122" w:name="_Toc7342"/>
      <w:bookmarkStart w:id="123" w:name="_Toc18389"/>
      <w:r>
        <w:rPr>
          <w:rFonts w:hint="eastAsia" w:hAnsi="宋体" w:cs="宋体"/>
          <w:b/>
          <w:color w:val="auto"/>
          <w:szCs w:val="21"/>
          <w:highlight w:val="none"/>
        </w:rPr>
        <w:t>十、合同生效</w:t>
      </w:r>
      <w:bookmarkEnd w:id="121"/>
      <w:bookmarkEnd w:id="122"/>
      <w:bookmarkEnd w:id="123"/>
    </w:p>
    <w:p w14:paraId="4117E762">
      <w:pPr>
        <w:tabs>
          <w:tab w:val="left" w:pos="480"/>
        </w:tabs>
        <w:spacing w:line="360" w:lineRule="auto"/>
        <w:ind w:firstLine="420" w:firstLineChars="200"/>
        <w:rPr>
          <w:rFonts w:hint="eastAsia" w:hAnsi="宋体" w:cs="宋体"/>
          <w:color w:val="auto"/>
          <w:szCs w:val="21"/>
          <w:highlight w:val="none"/>
        </w:rPr>
      </w:pPr>
      <w:r>
        <w:rPr>
          <w:rFonts w:hint="eastAsia" w:hAnsi="宋体" w:cs="宋体"/>
          <w:color w:val="auto"/>
          <w:szCs w:val="21"/>
          <w:highlight w:val="none"/>
        </w:rPr>
        <w:t>本合同一式</w:t>
      </w:r>
      <w:r>
        <w:rPr>
          <w:rFonts w:hint="eastAsia" w:hAnsi="宋体" w:cs="宋体"/>
          <w:color w:val="auto"/>
          <w:szCs w:val="21"/>
          <w:highlight w:val="none"/>
          <w:u w:val="single"/>
        </w:rPr>
        <w:t xml:space="preserve">   </w:t>
      </w:r>
      <w:r>
        <w:rPr>
          <w:rFonts w:hint="eastAsia" w:hAnsi="宋体" w:cs="宋体"/>
          <w:color w:val="auto"/>
          <w:szCs w:val="21"/>
          <w:highlight w:val="none"/>
        </w:rPr>
        <w:t>份，甲方执</w:t>
      </w:r>
      <w:r>
        <w:rPr>
          <w:rFonts w:hint="eastAsia" w:hAnsi="宋体" w:cs="宋体"/>
          <w:color w:val="auto"/>
          <w:szCs w:val="21"/>
          <w:highlight w:val="none"/>
          <w:u w:val="single"/>
        </w:rPr>
        <w:t xml:space="preserve">   </w:t>
      </w:r>
      <w:r>
        <w:rPr>
          <w:rFonts w:hint="eastAsia" w:hAnsi="宋体" w:cs="宋体"/>
          <w:color w:val="auto"/>
          <w:szCs w:val="21"/>
          <w:highlight w:val="none"/>
        </w:rPr>
        <w:t>份，乙方执</w:t>
      </w:r>
      <w:r>
        <w:rPr>
          <w:rFonts w:hint="eastAsia" w:hAnsi="宋体" w:cs="宋体"/>
          <w:color w:val="auto"/>
          <w:szCs w:val="21"/>
          <w:highlight w:val="none"/>
          <w:u w:val="single"/>
        </w:rPr>
        <w:t xml:space="preserve">    </w:t>
      </w:r>
      <w:r>
        <w:rPr>
          <w:rFonts w:hint="eastAsia" w:hAnsi="宋体" w:cs="宋体"/>
          <w:color w:val="auto"/>
          <w:szCs w:val="21"/>
          <w:highlight w:val="none"/>
        </w:rPr>
        <w:t>份，本合同甲、乙、确认各方签字盖章后生效，合同执行完毕后，自动失效（合同的服务承诺则长期有效）。</w:t>
      </w:r>
    </w:p>
    <w:p w14:paraId="77FB3C1C">
      <w:pPr>
        <w:tabs>
          <w:tab w:val="left" w:pos="480"/>
        </w:tabs>
        <w:spacing w:line="360" w:lineRule="auto"/>
        <w:outlineLvl w:val="1"/>
        <w:rPr>
          <w:rFonts w:hint="eastAsia" w:hAnsi="宋体" w:cs="宋体"/>
          <w:b/>
          <w:color w:val="auto"/>
          <w:szCs w:val="21"/>
          <w:highlight w:val="none"/>
        </w:rPr>
      </w:pPr>
      <w:bookmarkStart w:id="124" w:name="_Toc823"/>
      <w:bookmarkStart w:id="125" w:name="_Toc18381"/>
      <w:bookmarkStart w:id="126" w:name="_Toc18225"/>
      <w:r>
        <w:rPr>
          <w:rFonts w:hint="eastAsia" w:hAnsi="宋体" w:cs="宋体"/>
          <w:b/>
          <w:color w:val="auto"/>
          <w:szCs w:val="21"/>
          <w:highlight w:val="none"/>
        </w:rPr>
        <w:t>十</w:t>
      </w:r>
      <w:r>
        <w:rPr>
          <w:rFonts w:hint="eastAsia" w:hAnsi="宋体" w:cs="宋体"/>
          <w:b/>
          <w:color w:val="auto"/>
          <w:szCs w:val="21"/>
          <w:highlight w:val="none"/>
          <w:lang w:eastAsia="zh-CN"/>
        </w:rPr>
        <w:t>一</w:t>
      </w:r>
      <w:r>
        <w:rPr>
          <w:rFonts w:hint="eastAsia" w:hAnsi="宋体" w:cs="宋体"/>
          <w:b/>
          <w:color w:val="auto"/>
          <w:szCs w:val="21"/>
          <w:highlight w:val="none"/>
        </w:rPr>
        <w:t>、其他事项</w:t>
      </w:r>
      <w:bookmarkEnd w:id="124"/>
      <w:bookmarkEnd w:id="125"/>
      <w:bookmarkEnd w:id="126"/>
    </w:p>
    <w:p w14:paraId="13AE72FC">
      <w:pPr>
        <w:tabs>
          <w:tab w:val="left" w:pos="480"/>
        </w:tabs>
        <w:spacing w:line="360" w:lineRule="auto"/>
        <w:ind w:firstLine="420" w:firstLineChars="200"/>
        <w:rPr>
          <w:rFonts w:hint="eastAsia" w:hAnsi="宋体" w:cs="宋体"/>
          <w:color w:val="auto"/>
          <w:szCs w:val="21"/>
          <w:highlight w:val="none"/>
        </w:rPr>
      </w:pPr>
      <w:r>
        <w:rPr>
          <w:rFonts w:hint="eastAsia" w:hAnsi="宋体" w:cs="宋体"/>
          <w:color w:val="auto"/>
          <w:szCs w:val="21"/>
          <w:highlight w:val="none"/>
        </w:rPr>
        <w:t>（一）</w:t>
      </w:r>
      <w:r>
        <w:rPr>
          <w:rFonts w:hint="eastAsia" w:hAnsi="宋体" w:cs="宋体"/>
          <w:color w:val="auto"/>
          <w:szCs w:val="21"/>
          <w:highlight w:val="none"/>
          <w:lang w:eastAsia="zh-CN"/>
        </w:rPr>
        <w:t>招标文件</w:t>
      </w:r>
      <w:r>
        <w:rPr>
          <w:rFonts w:hint="eastAsia" w:hAnsi="宋体" w:cs="宋体"/>
          <w:color w:val="auto"/>
          <w:szCs w:val="21"/>
          <w:highlight w:val="none"/>
        </w:rPr>
        <w:t>、</w:t>
      </w:r>
      <w:r>
        <w:rPr>
          <w:rFonts w:hint="eastAsia" w:hAnsi="宋体" w:cs="宋体"/>
          <w:color w:val="auto"/>
          <w:szCs w:val="21"/>
          <w:highlight w:val="none"/>
          <w:lang w:eastAsia="zh-CN"/>
        </w:rPr>
        <w:t>投标文件</w:t>
      </w:r>
      <w:r>
        <w:rPr>
          <w:rFonts w:hint="eastAsia" w:hAnsi="宋体" w:cs="宋体"/>
          <w:color w:val="auto"/>
          <w:szCs w:val="21"/>
          <w:highlight w:val="none"/>
        </w:rPr>
        <w:t>、澄清表（函）、</w:t>
      </w:r>
      <w:r>
        <w:rPr>
          <w:rFonts w:hint="eastAsia" w:hAnsi="宋体" w:cs="宋体"/>
          <w:color w:val="auto"/>
          <w:szCs w:val="21"/>
          <w:highlight w:val="none"/>
          <w:lang w:val="en-US" w:eastAsia="zh-CN"/>
        </w:rPr>
        <w:t>中标</w:t>
      </w:r>
      <w:r>
        <w:rPr>
          <w:rFonts w:hint="eastAsia" w:hAnsi="宋体" w:cs="宋体"/>
          <w:color w:val="auto"/>
          <w:szCs w:val="21"/>
          <w:highlight w:val="none"/>
        </w:rPr>
        <w:t>通知书、合同附件均成为合同不可分割的部分。</w:t>
      </w:r>
    </w:p>
    <w:p w14:paraId="24E1B156">
      <w:pPr>
        <w:tabs>
          <w:tab w:val="left" w:pos="480"/>
        </w:tabs>
        <w:spacing w:line="360" w:lineRule="auto"/>
        <w:ind w:firstLine="420" w:firstLineChars="200"/>
        <w:rPr>
          <w:rFonts w:hint="eastAsia" w:hAnsi="宋体" w:cs="宋体"/>
          <w:color w:val="auto"/>
          <w:szCs w:val="21"/>
          <w:highlight w:val="none"/>
        </w:rPr>
      </w:pPr>
      <w:r>
        <w:rPr>
          <w:rFonts w:hint="eastAsia" w:hAnsi="宋体" w:cs="宋体"/>
          <w:color w:val="auto"/>
          <w:szCs w:val="21"/>
          <w:highlight w:val="none"/>
        </w:rPr>
        <w:t>（二）合同未尽事宜，由甲、乙双方协商，作为合同补充，与原合同具有同等法律效力。</w:t>
      </w:r>
    </w:p>
    <w:p w14:paraId="67DBD68B">
      <w:pPr>
        <w:tabs>
          <w:tab w:val="left" w:pos="480"/>
        </w:tabs>
        <w:spacing w:line="360" w:lineRule="auto"/>
        <w:ind w:firstLine="420" w:firstLineChars="200"/>
        <w:rPr>
          <w:rFonts w:hint="eastAsia" w:hAnsi="宋体" w:cs="宋体"/>
          <w:color w:val="auto"/>
          <w:szCs w:val="21"/>
          <w:highlight w:val="none"/>
        </w:rPr>
      </w:pPr>
      <w:r>
        <w:rPr>
          <w:rFonts w:hint="eastAsia" w:hAnsi="宋体" w:cs="宋体"/>
          <w:color w:val="auto"/>
          <w:szCs w:val="21"/>
          <w:highlight w:val="none"/>
        </w:rPr>
        <w:t>（三）合同一经签订，不得擅自变更、中止或终止合同。但若与甲方的上级管理机关的政策性行为或其他规定发生冲突，甲方有权与乙方协商调整协议内容或终止协议执行。</w:t>
      </w:r>
    </w:p>
    <w:p w14:paraId="3FE9B050">
      <w:pPr>
        <w:spacing w:line="360" w:lineRule="auto"/>
        <w:ind w:firstLine="420"/>
        <w:rPr>
          <w:color w:val="auto"/>
          <w:szCs w:val="24"/>
          <w:highlight w:val="none"/>
        </w:rPr>
      </w:pPr>
      <w:r>
        <w:rPr>
          <w:rFonts w:hint="eastAsia" w:hAnsi="宋体"/>
          <w:color w:val="auto"/>
          <w:szCs w:val="24"/>
          <w:highlight w:val="none"/>
        </w:rPr>
        <w:t>（四）执行本合同过程中发生争议，由当事人双方协商解决。协商不成，可向采购方所在地人民法院提起诉讼。</w:t>
      </w:r>
    </w:p>
    <w:p w14:paraId="5D14C918">
      <w:pPr>
        <w:spacing w:line="360" w:lineRule="auto"/>
        <w:ind w:firstLine="420"/>
        <w:rPr>
          <w:color w:val="auto"/>
          <w:szCs w:val="24"/>
          <w:highlight w:val="none"/>
        </w:rPr>
      </w:pPr>
      <w:r>
        <w:rPr>
          <w:rFonts w:hint="eastAsia" w:hAnsi="宋体"/>
          <w:color w:val="auto"/>
          <w:szCs w:val="24"/>
          <w:highlight w:val="none"/>
        </w:rPr>
        <w:t>（</w:t>
      </w:r>
      <w:r>
        <w:rPr>
          <w:rFonts w:hint="eastAsia" w:hAnsi="宋体"/>
          <w:color w:val="auto"/>
          <w:szCs w:val="24"/>
          <w:highlight w:val="none"/>
          <w:lang w:val="en-US" w:eastAsia="zh-CN"/>
        </w:rPr>
        <w:t>五</w:t>
      </w:r>
      <w:r>
        <w:rPr>
          <w:rFonts w:hint="eastAsia" w:hAnsi="宋体"/>
          <w:color w:val="auto"/>
          <w:szCs w:val="24"/>
          <w:highlight w:val="none"/>
        </w:rPr>
        <w:t>）如因不可抗力致使双方不能履行本合同中的部分或全部义务时，双方均不负违约责任。但不能履行义务一方应在合理的时间内，向对方报告所发生的不可抗力并提供有关部门的证明文件。本条所称“不可抗力”是指自然灾害、重大疫情、恶劣天气条件、政府行为、社会异常事件（包括罢工、政变、骚乱、游行等）或新颁布的法律、法规等不能预见、不能避免并不能克服的客观情况。</w:t>
      </w:r>
    </w:p>
    <w:p w14:paraId="58570842">
      <w:pPr>
        <w:tabs>
          <w:tab w:val="left" w:pos="480"/>
        </w:tabs>
        <w:spacing w:line="360" w:lineRule="auto"/>
        <w:ind w:firstLine="420" w:firstLineChars="200"/>
        <w:rPr>
          <w:rFonts w:hint="eastAsia" w:hAnsi="宋体" w:cs="宋体"/>
          <w:color w:val="auto"/>
          <w:szCs w:val="21"/>
          <w:highlight w:val="none"/>
        </w:rPr>
      </w:pPr>
      <w:r>
        <w:rPr>
          <w:rFonts w:hint="eastAsia" w:hAnsi="宋体" w:cs="宋体"/>
          <w:color w:val="auto"/>
          <w:szCs w:val="21"/>
          <w:highlight w:val="none"/>
        </w:rPr>
        <w:t>（</w:t>
      </w:r>
      <w:r>
        <w:rPr>
          <w:rFonts w:hint="eastAsia" w:hAnsi="宋体"/>
          <w:color w:val="auto"/>
          <w:szCs w:val="24"/>
          <w:highlight w:val="none"/>
        </w:rPr>
        <w:t>六</w:t>
      </w:r>
      <w:r>
        <w:rPr>
          <w:rFonts w:hint="eastAsia" w:hAnsi="宋体" w:cs="宋体"/>
          <w:color w:val="auto"/>
          <w:szCs w:val="21"/>
          <w:highlight w:val="none"/>
        </w:rPr>
        <w:t>）本合同按照中华人民共和国的现行法律进行解释。</w:t>
      </w:r>
    </w:p>
    <w:p w14:paraId="7AFB6870">
      <w:pPr>
        <w:tabs>
          <w:tab w:val="left" w:pos="480"/>
        </w:tabs>
        <w:spacing w:line="360" w:lineRule="auto"/>
        <w:ind w:firstLine="420" w:firstLineChars="200"/>
        <w:rPr>
          <w:rFonts w:hint="eastAsia" w:hAnsi="宋体" w:cs="宋体"/>
          <w:color w:val="auto"/>
          <w:szCs w:val="21"/>
          <w:highlight w:val="none"/>
        </w:rPr>
      </w:pPr>
      <w:r>
        <w:rPr>
          <w:rFonts w:hint="eastAsia" w:hAnsi="宋体" w:cs="宋体"/>
          <w:color w:val="auto"/>
          <w:szCs w:val="21"/>
          <w:highlight w:val="none"/>
        </w:rPr>
        <w:t>甲  方</w:t>
      </w:r>
      <w:r>
        <w:rPr>
          <w:rFonts w:hint="eastAsia" w:hAnsi="宋体" w:cs="宋体"/>
          <w:color w:val="auto"/>
          <w:szCs w:val="21"/>
          <w:highlight w:val="none"/>
          <w:lang w:eastAsia="zh-CN"/>
        </w:rPr>
        <w:t>：</w:t>
      </w:r>
      <w:r>
        <w:rPr>
          <w:rFonts w:hint="eastAsia" w:hAnsi="宋体" w:cs="宋体"/>
          <w:color w:val="auto"/>
          <w:szCs w:val="21"/>
          <w:highlight w:val="none"/>
        </w:rPr>
        <w:t>（盖章）                          乙  方</w:t>
      </w:r>
      <w:r>
        <w:rPr>
          <w:rFonts w:hint="eastAsia" w:hAnsi="宋体" w:cs="宋体"/>
          <w:color w:val="auto"/>
          <w:szCs w:val="21"/>
          <w:highlight w:val="none"/>
          <w:lang w:eastAsia="zh-CN"/>
        </w:rPr>
        <w:t>：</w:t>
      </w:r>
      <w:r>
        <w:rPr>
          <w:rFonts w:hint="eastAsia" w:hAnsi="宋体" w:cs="宋体"/>
          <w:color w:val="auto"/>
          <w:szCs w:val="21"/>
          <w:highlight w:val="none"/>
        </w:rPr>
        <w:t>（盖章）</w:t>
      </w:r>
    </w:p>
    <w:p w14:paraId="0921604B">
      <w:pPr>
        <w:tabs>
          <w:tab w:val="left" w:pos="480"/>
        </w:tabs>
        <w:spacing w:line="360" w:lineRule="auto"/>
        <w:ind w:firstLine="420" w:firstLineChars="200"/>
        <w:rPr>
          <w:rFonts w:hint="eastAsia" w:hAnsi="宋体" w:cs="宋体"/>
          <w:color w:val="auto"/>
          <w:szCs w:val="21"/>
          <w:highlight w:val="none"/>
        </w:rPr>
      </w:pPr>
      <w:r>
        <w:rPr>
          <w:rFonts w:hint="eastAsia" w:hAnsi="宋体" w:cs="宋体"/>
          <w:color w:val="auto"/>
          <w:szCs w:val="21"/>
          <w:highlight w:val="none"/>
        </w:rPr>
        <w:t>单位名称：                                单位名称：</w:t>
      </w:r>
    </w:p>
    <w:p w14:paraId="37C7A6EF">
      <w:pPr>
        <w:tabs>
          <w:tab w:val="left" w:pos="480"/>
        </w:tabs>
        <w:spacing w:line="360" w:lineRule="auto"/>
        <w:ind w:left="5880" w:leftChars="200" w:hanging="5460" w:hangingChars="2600"/>
        <w:rPr>
          <w:rFonts w:hint="eastAsia" w:hAnsi="宋体" w:cs="宋体"/>
          <w:color w:val="auto"/>
          <w:szCs w:val="21"/>
          <w:highlight w:val="none"/>
        </w:rPr>
      </w:pPr>
      <w:r>
        <w:rPr>
          <w:rFonts w:hint="eastAsia" w:hAnsi="宋体" w:cs="宋体"/>
          <w:color w:val="auto"/>
          <w:szCs w:val="21"/>
          <w:highlight w:val="none"/>
        </w:rPr>
        <w:t>地  址：                                  地  址：</w:t>
      </w:r>
    </w:p>
    <w:p w14:paraId="2D4802F8">
      <w:pPr>
        <w:tabs>
          <w:tab w:val="left" w:pos="480"/>
        </w:tabs>
        <w:spacing w:line="360" w:lineRule="auto"/>
        <w:ind w:firstLine="420" w:firstLineChars="200"/>
        <w:rPr>
          <w:rFonts w:hint="eastAsia" w:hAnsi="宋体" w:cs="宋体"/>
          <w:color w:val="auto"/>
          <w:szCs w:val="21"/>
          <w:highlight w:val="none"/>
        </w:rPr>
      </w:pPr>
      <w:r>
        <w:rPr>
          <w:rFonts w:hint="eastAsia" w:hAnsi="宋体" w:cs="宋体"/>
          <w:color w:val="auto"/>
          <w:szCs w:val="21"/>
          <w:highlight w:val="none"/>
        </w:rPr>
        <w:t>法定代表人                                法定代表人</w:t>
      </w:r>
    </w:p>
    <w:p w14:paraId="0E4F3FFE">
      <w:pPr>
        <w:tabs>
          <w:tab w:val="left" w:pos="480"/>
        </w:tabs>
        <w:spacing w:line="360" w:lineRule="auto"/>
        <w:ind w:firstLine="420" w:firstLineChars="200"/>
        <w:rPr>
          <w:rFonts w:hint="eastAsia" w:hAnsi="宋体" w:cs="宋体"/>
          <w:color w:val="auto"/>
          <w:szCs w:val="21"/>
          <w:highlight w:val="none"/>
        </w:rPr>
      </w:pPr>
      <w:r>
        <w:rPr>
          <w:rFonts w:hint="eastAsia" w:hAnsi="宋体" w:cs="宋体"/>
          <w:color w:val="auto"/>
          <w:szCs w:val="21"/>
          <w:highlight w:val="none"/>
        </w:rPr>
        <w:t>或委托代理人：                            或委托代理人：</w:t>
      </w:r>
    </w:p>
    <w:p w14:paraId="16F22C89">
      <w:pPr>
        <w:tabs>
          <w:tab w:val="left" w:pos="480"/>
        </w:tabs>
        <w:spacing w:line="360" w:lineRule="auto"/>
        <w:ind w:firstLine="420" w:firstLineChars="200"/>
        <w:rPr>
          <w:rFonts w:hint="eastAsia" w:hAnsi="宋体" w:cs="宋体"/>
          <w:color w:val="auto"/>
          <w:szCs w:val="21"/>
          <w:highlight w:val="none"/>
        </w:rPr>
      </w:pPr>
      <w:r>
        <w:rPr>
          <w:rFonts w:hint="eastAsia" w:hAnsi="宋体" w:cs="宋体"/>
          <w:color w:val="auto"/>
          <w:szCs w:val="21"/>
          <w:highlight w:val="none"/>
        </w:rPr>
        <w:t xml:space="preserve">                                          开户银行：</w:t>
      </w:r>
    </w:p>
    <w:p w14:paraId="491AF3BC">
      <w:pPr>
        <w:tabs>
          <w:tab w:val="left" w:pos="480"/>
        </w:tabs>
        <w:spacing w:line="360" w:lineRule="auto"/>
        <w:ind w:firstLine="4830" w:firstLineChars="2300"/>
        <w:rPr>
          <w:rFonts w:hint="eastAsia" w:hAnsi="宋体" w:cs="宋体"/>
          <w:color w:val="auto"/>
          <w:szCs w:val="21"/>
          <w:highlight w:val="none"/>
        </w:rPr>
      </w:pPr>
      <w:r>
        <w:rPr>
          <w:rFonts w:hint="eastAsia" w:hAnsi="宋体" w:cs="宋体"/>
          <w:color w:val="auto"/>
          <w:szCs w:val="21"/>
          <w:highlight w:val="none"/>
        </w:rPr>
        <w:t xml:space="preserve">账  号：       </w:t>
      </w:r>
    </w:p>
    <w:p w14:paraId="730675F4">
      <w:pPr>
        <w:tabs>
          <w:tab w:val="left" w:pos="480"/>
        </w:tabs>
        <w:spacing w:line="360" w:lineRule="auto"/>
        <w:ind w:firstLine="420" w:firstLineChars="200"/>
        <w:rPr>
          <w:rFonts w:hint="eastAsia" w:hAnsi="宋体" w:cs="宋体"/>
          <w:color w:val="auto"/>
          <w:szCs w:val="21"/>
          <w:highlight w:val="none"/>
        </w:rPr>
      </w:pPr>
      <w:r>
        <w:rPr>
          <w:rFonts w:hint="eastAsia" w:hAnsi="宋体" w:cs="宋体"/>
          <w:color w:val="auto"/>
          <w:szCs w:val="21"/>
          <w:highlight w:val="none"/>
        </w:rPr>
        <w:t>联系电话：                                联系电话：</w:t>
      </w:r>
    </w:p>
    <w:p w14:paraId="5178276C">
      <w:pPr>
        <w:widowControl/>
        <w:spacing w:line="360" w:lineRule="auto"/>
        <w:ind w:firstLine="420" w:firstLineChars="200"/>
        <w:rPr>
          <w:rFonts w:hAnsi="宋体"/>
          <w:szCs w:val="24"/>
          <w:highlight w:val="none"/>
        </w:rPr>
      </w:pPr>
      <w:r>
        <w:rPr>
          <w:rFonts w:hint="eastAsia" w:hAnsi="宋体" w:cs="宋体"/>
          <w:color w:val="auto"/>
          <w:szCs w:val="21"/>
          <w:highlight w:val="none"/>
        </w:rPr>
        <w:t>签订日期：     年    月      日           签订日期：     年    月   日</w:t>
      </w:r>
    </w:p>
    <w:p w14:paraId="70F44539">
      <w:pPr>
        <w:rPr>
          <w:rFonts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br w:type="page"/>
      </w:r>
    </w:p>
    <w:bookmarkEnd w:id="84"/>
    <w:bookmarkEnd w:id="85"/>
    <w:bookmarkEnd w:id="86"/>
    <w:bookmarkEnd w:id="87"/>
    <w:bookmarkEnd w:id="88"/>
    <w:bookmarkEnd w:id="89"/>
    <w:bookmarkEnd w:id="90"/>
    <w:bookmarkEnd w:id="91"/>
    <w:p w14:paraId="21BCC3AD">
      <w:pPr>
        <w:pStyle w:val="4"/>
        <w:numPr>
          <w:ilvl w:val="0"/>
          <w:numId w:val="2"/>
        </w:numPr>
        <w:spacing w:line="360" w:lineRule="auto"/>
        <w:jc w:val="center"/>
        <w:rPr>
          <w:rFonts w:hint="eastAsia" w:asciiTheme="minorEastAsia" w:hAnsiTheme="minorEastAsia" w:eastAsiaTheme="minorEastAsia" w:cstheme="minorEastAsia"/>
          <w:sz w:val="36"/>
          <w:szCs w:val="36"/>
          <w:highlight w:val="none"/>
        </w:rPr>
      </w:pPr>
      <w:bookmarkStart w:id="127" w:name="_Toc27836"/>
      <w:bookmarkStart w:id="128" w:name="_Toc421778381"/>
      <w:bookmarkStart w:id="129" w:name="_Toc410"/>
      <w:bookmarkStart w:id="130" w:name="_Toc344572156"/>
      <w:r>
        <w:rPr>
          <w:rFonts w:hint="eastAsia" w:asciiTheme="minorEastAsia" w:hAnsiTheme="minorEastAsia" w:eastAsiaTheme="minorEastAsia" w:cstheme="minorEastAsia"/>
          <w:sz w:val="36"/>
          <w:szCs w:val="36"/>
          <w:highlight w:val="none"/>
        </w:rPr>
        <w:t xml:space="preserve"> 项目概况及技术要求</w:t>
      </w:r>
      <w:bookmarkEnd w:id="127"/>
      <w:bookmarkEnd w:id="128"/>
      <w:bookmarkEnd w:id="129"/>
      <w:bookmarkStart w:id="131" w:name="bookmark2"/>
      <w:bookmarkEnd w:id="131"/>
      <w:bookmarkStart w:id="132" w:name="bookmark20"/>
      <w:bookmarkEnd w:id="132"/>
      <w:bookmarkStart w:id="133" w:name="bookmark5"/>
      <w:bookmarkEnd w:id="133"/>
      <w:bookmarkStart w:id="134" w:name="bookmark21"/>
      <w:bookmarkEnd w:id="134"/>
      <w:bookmarkStart w:id="135" w:name="bookmark7"/>
      <w:bookmarkEnd w:id="135"/>
      <w:bookmarkStart w:id="136" w:name="bookmark1"/>
      <w:bookmarkEnd w:id="136"/>
      <w:bookmarkStart w:id="137" w:name="bookmark3"/>
      <w:bookmarkEnd w:id="137"/>
      <w:bookmarkStart w:id="138" w:name="_Toc16203"/>
      <w:bookmarkStart w:id="139" w:name="_Toc17460"/>
      <w:bookmarkStart w:id="140" w:name="_Toc8126"/>
    </w:p>
    <w:bookmarkEnd w:id="138"/>
    <w:bookmarkEnd w:id="139"/>
    <w:p w14:paraId="65E162AA">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宋体" w:hAnsi="宋体" w:eastAsia="宋体" w:cs="宋体"/>
          <w:b/>
          <w:bCs w:val="0"/>
          <w:sz w:val="24"/>
          <w:szCs w:val="24"/>
          <w:highlight w:val="none"/>
          <w:lang w:val="en-US" w:eastAsia="zh-CN"/>
        </w:rPr>
      </w:pPr>
      <w:r>
        <w:rPr>
          <w:rFonts w:hint="eastAsia" w:ascii="宋体" w:hAnsi="宋体" w:cs="宋体"/>
          <w:b/>
          <w:bCs w:val="0"/>
          <w:sz w:val="24"/>
          <w:szCs w:val="24"/>
          <w:highlight w:val="none"/>
          <w:lang w:val="en-US" w:eastAsia="zh-CN"/>
        </w:rPr>
        <w:t>项目区概况</w:t>
      </w:r>
    </w:p>
    <w:p w14:paraId="4384B003">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b/>
          <w:bCs w:val="0"/>
          <w:sz w:val="24"/>
          <w:szCs w:val="24"/>
          <w:highlight w:val="none"/>
        </w:rPr>
      </w:pPr>
      <w:r>
        <w:rPr>
          <w:rFonts w:hint="eastAsia" w:ascii="宋体" w:hAnsi="宋体" w:eastAsia="宋体" w:cs="宋体"/>
          <w:b/>
          <w:bCs w:val="0"/>
          <w:sz w:val="24"/>
          <w:szCs w:val="24"/>
          <w:highlight w:val="none"/>
        </w:rPr>
        <w:t>1自然概况</w:t>
      </w:r>
    </w:p>
    <w:p w14:paraId="20A11F4F">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b/>
          <w:bCs w:val="0"/>
          <w:sz w:val="24"/>
          <w:szCs w:val="24"/>
          <w:highlight w:val="none"/>
        </w:rPr>
      </w:pPr>
      <w:r>
        <w:rPr>
          <w:rFonts w:hint="eastAsia" w:ascii="宋体" w:hAnsi="宋体" w:eastAsia="宋体" w:cs="宋体"/>
          <w:b/>
          <w:bCs w:val="0"/>
          <w:sz w:val="24"/>
          <w:szCs w:val="24"/>
          <w:highlight w:val="none"/>
        </w:rPr>
        <w:t>1.1地理位置</w:t>
      </w:r>
    </w:p>
    <w:p w14:paraId="1D562D53">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bCs/>
          <w:sz w:val="24"/>
          <w:szCs w:val="24"/>
          <w:highlight w:val="none"/>
        </w:rPr>
      </w:pPr>
      <w:r>
        <w:rPr>
          <w:rFonts w:hint="eastAsia" w:ascii="宋体" w:hAnsi="宋体" w:eastAsia="宋体" w:cs="宋体"/>
          <w:bCs/>
          <w:sz w:val="24"/>
          <w:szCs w:val="24"/>
          <w:highlight w:val="none"/>
        </w:rPr>
        <w:t>柞水县位于陕西省南部，隶属于商洛市。其东部与商州区、山阳县接壤，南部毗邻镇安县，西部与宁陕县接壤，北部则与长安区、蓝田县相连。地理位置介于东经108°50′至109°40′，北纬33°20′至34°00′之间。东西方向最长处为72公里，南北方向最宽处为42公里，全县土地总面积为2368平方公里。</w:t>
      </w:r>
    </w:p>
    <w:p w14:paraId="26C79EFA">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bCs/>
          <w:sz w:val="24"/>
          <w:szCs w:val="24"/>
          <w:highlight w:val="none"/>
        </w:rPr>
      </w:pPr>
      <w:r>
        <w:rPr>
          <w:rFonts w:hint="eastAsia" w:ascii="宋体" w:hAnsi="宋体" w:eastAsia="宋体" w:cs="宋体"/>
          <w:bCs/>
          <w:sz w:val="24"/>
          <w:szCs w:val="24"/>
          <w:highlight w:val="none"/>
        </w:rPr>
        <w:t>乾佑街办位于柞水县西南部，东侧与曹坪镇接壤，南侧与下梁镇相邻，西侧及北侧与营盘镇接壤；该街道辖区东西最大距离为22千米，南北最大距离为28公里，总面积为158.6平方公里。G65国道贯穿其境，交通条件较为便利。</w:t>
      </w:r>
    </w:p>
    <w:p w14:paraId="7751BE8E">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bCs/>
          <w:sz w:val="24"/>
          <w:szCs w:val="24"/>
          <w:highlight w:val="none"/>
        </w:rPr>
      </w:pPr>
      <w:r>
        <w:rPr>
          <w:rFonts w:hint="eastAsia" w:ascii="宋体" w:hAnsi="宋体" w:eastAsia="宋体" w:cs="宋体"/>
          <w:bCs/>
          <w:sz w:val="24"/>
          <w:szCs w:val="24"/>
          <w:highlight w:val="none"/>
        </w:rPr>
        <w:t>营盘镇位于柞水县北部，秦岭南麓，南与乾佑街办连接，西与安康市宁陕县广货街镇相接，北与西安市长安区王曲街道相邻。总面积为588平方千米。</w:t>
      </w:r>
    </w:p>
    <w:p w14:paraId="6D39EBAE">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b/>
          <w:bCs w:val="0"/>
          <w:sz w:val="24"/>
          <w:szCs w:val="24"/>
          <w:highlight w:val="none"/>
        </w:rPr>
      </w:pPr>
      <w:r>
        <w:rPr>
          <w:rFonts w:hint="eastAsia" w:ascii="宋体" w:hAnsi="宋体" w:eastAsia="宋体" w:cs="宋体"/>
          <w:b/>
          <w:bCs w:val="0"/>
          <w:sz w:val="24"/>
          <w:szCs w:val="24"/>
          <w:highlight w:val="none"/>
        </w:rPr>
        <w:t>1.2地形地貌</w:t>
      </w:r>
    </w:p>
    <w:p w14:paraId="0F6F9D5A">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bCs/>
          <w:sz w:val="24"/>
          <w:szCs w:val="24"/>
          <w:highlight w:val="none"/>
        </w:rPr>
      </w:pPr>
      <w:r>
        <w:rPr>
          <w:rFonts w:hint="eastAsia" w:ascii="宋体" w:hAnsi="宋体" w:eastAsia="宋体" w:cs="宋体"/>
          <w:bCs/>
          <w:sz w:val="24"/>
          <w:szCs w:val="24"/>
          <w:highlight w:val="none"/>
        </w:rPr>
        <w:t>柞水县位于秦岭南麓，是一个复杂的以高、中低山为主体的山区，表现了“九山半水半分田”的特点。地势北高南低，主峰牛背梁海拔2802.1米；东南低，社川河谷最低海拔541米，相差2261.1米。从西北向东南，山脉延伸犹如五指。中部是海拔800至1500米的中低山川，以乾佑河、社川河两大水系为主，有川道平地及青秀山峦，有地壳运动，海底抬升的喀斯特地貌及海底海螺化石沉积。</w:t>
      </w:r>
    </w:p>
    <w:p w14:paraId="7D6C1DA9">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bCs/>
          <w:sz w:val="24"/>
          <w:szCs w:val="24"/>
          <w:highlight w:val="none"/>
        </w:rPr>
      </w:pPr>
      <w:r>
        <w:rPr>
          <w:rFonts w:hint="eastAsia" w:ascii="宋体" w:hAnsi="宋体" w:eastAsia="宋体" w:cs="宋体"/>
          <w:bCs/>
          <w:sz w:val="24"/>
          <w:szCs w:val="24"/>
          <w:highlight w:val="none"/>
        </w:rPr>
        <w:t>乾佑街办地处秦岭南麓，是典型的“九山半水半分田”地貌类型。境内最高点位于车家河村，海拔1420米，平均海拔870米。</w:t>
      </w:r>
    </w:p>
    <w:p w14:paraId="3B0F55B2">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bCs/>
          <w:sz w:val="24"/>
          <w:szCs w:val="24"/>
          <w:highlight w:val="none"/>
        </w:rPr>
      </w:pPr>
      <w:r>
        <w:rPr>
          <w:rFonts w:hint="eastAsia" w:ascii="宋体" w:hAnsi="宋体" w:eastAsia="宋体" w:cs="宋体"/>
          <w:bCs/>
          <w:sz w:val="24"/>
          <w:szCs w:val="24"/>
          <w:highlight w:val="none"/>
        </w:rPr>
        <w:t>营盘镇地处秦岭山脉腹地，地形地貌复杂多样，属秦岭山地地貌。境内平均海拔1200米，最高点海拔2802.1米；最低点海拔800米。</w:t>
      </w:r>
    </w:p>
    <w:p w14:paraId="49FE23E3">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b/>
          <w:bCs w:val="0"/>
          <w:sz w:val="24"/>
          <w:szCs w:val="24"/>
          <w:highlight w:val="none"/>
        </w:rPr>
      </w:pPr>
      <w:r>
        <w:rPr>
          <w:rFonts w:hint="eastAsia" w:ascii="宋体" w:hAnsi="宋体" w:eastAsia="宋体" w:cs="宋体"/>
          <w:b/>
          <w:bCs w:val="0"/>
          <w:sz w:val="24"/>
          <w:szCs w:val="24"/>
          <w:highlight w:val="none"/>
        </w:rPr>
        <w:t>1.3气候条件</w:t>
      </w:r>
    </w:p>
    <w:p w14:paraId="3DCD59C7">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bCs/>
          <w:sz w:val="24"/>
          <w:szCs w:val="24"/>
          <w:highlight w:val="none"/>
        </w:rPr>
      </w:pPr>
      <w:r>
        <w:rPr>
          <w:rFonts w:hint="eastAsia" w:ascii="宋体" w:hAnsi="宋体" w:eastAsia="宋体" w:cs="宋体"/>
          <w:bCs/>
          <w:sz w:val="24"/>
          <w:szCs w:val="24"/>
          <w:highlight w:val="none"/>
        </w:rPr>
        <w:t>柞水县地处中纬度地带，属南北过渡性气候。由于秦岭山脉的屏障作用和山地地形的影响，多受季风控制，四季分明，气候温暖，雨量充沛，但垂直差异大。全年日照总时数1860.2小时，日照百分率为44%。太阳平均辐射量为115.1千卡/平方厘米，春季辐射量充足，对农作物生长发育有利，秋季阴雨时间较长，辐射量明显不足。全年平均气温12.2℃，年内变化幅度大，1月最冷，平均气温-0.2℃，7月最热，平均气温23.6℃。极端最高气温37.1℃，极端最低气温-13.9℃，≥0℃的积温4533.4℃。</w:t>
      </w:r>
    </w:p>
    <w:p w14:paraId="1B11426E">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bCs/>
          <w:sz w:val="24"/>
          <w:szCs w:val="24"/>
          <w:highlight w:val="none"/>
        </w:rPr>
      </w:pPr>
      <w:r>
        <w:rPr>
          <w:rFonts w:hint="eastAsia" w:ascii="宋体" w:hAnsi="宋体" w:eastAsia="宋体" w:cs="宋体"/>
          <w:bCs/>
          <w:sz w:val="24"/>
          <w:szCs w:val="24"/>
          <w:highlight w:val="none"/>
        </w:rPr>
        <w:t>乾佑街办多年平均气温12.3℃。1月平均气温0.2℃，7月平均气温23.5℃，极端最高气温39℃。最低月均气温-3.1℃，最高月均气温25.9℃。生长期年平均261天，无霜期年平均222天。平均年降水量800毫米以上，降雨主要集中在每年5—9月，7月最多。</w:t>
      </w:r>
    </w:p>
    <w:p w14:paraId="060F4A6F">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bCs/>
          <w:sz w:val="24"/>
          <w:szCs w:val="24"/>
          <w:highlight w:val="none"/>
        </w:rPr>
      </w:pPr>
      <w:r>
        <w:rPr>
          <w:rFonts w:hint="eastAsia" w:ascii="宋体" w:hAnsi="宋体" w:eastAsia="宋体" w:cs="宋体"/>
          <w:bCs/>
          <w:sz w:val="24"/>
          <w:szCs w:val="24"/>
          <w:highlight w:val="none"/>
        </w:rPr>
        <w:t>营盘镇1月平均气温为0.2℃，极端最低气温-14.5℃；7月平均气温23.6℃，极端最高气温36.8℃，无霜期年205—230天。年平均降水量为742毫米，年平均日照时数1860.1小时。</w:t>
      </w:r>
    </w:p>
    <w:p w14:paraId="584D57F7">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b/>
          <w:bCs w:val="0"/>
          <w:sz w:val="24"/>
          <w:szCs w:val="24"/>
          <w:highlight w:val="none"/>
        </w:rPr>
      </w:pPr>
      <w:r>
        <w:rPr>
          <w:rFonts w:hint="eastAsia" w:ascii="宋体" w:hAnsi="宋体" w:eastAsia="宋体" w:cs="宋体"/>
          <w:b/>
          <w:bCs w:val="0"/>
          <w:sz w:val="24"/>
          <w:szCs w:val="24"/>
          <w:highlight w:val="none"/>
        </w:rPr>
        <w:t>1.4土壤</w:t>
      </w:r>
    </w:p>
    <w:p w14:paraId="74015DD6">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bCs/>
          <w:sz w:val="24"/>
          <w:szCs w:val="24"/>
          <w:highlight w:val="none"/>
        </w:rPr>
      </w:pPr>
      <w:r>
        <w:rPr>
          <w:rFonts w:hint="eastAsia" w:ascii="宋体" w:hAnsi="宋体" w:eastAsia="宋体" w:cs="宋体"/>
          <w:bCs/>
          <w:sz w:val="24"/>
          <w:szCs w:val="24"/>
          <w:highlight w:val="none"/>
        </w:rPr>
        <w:t>柞水县土壤在地理分布上具有明显的水平地带性、垂直地带性和地域性的特点。水平分布大致以小岭、凤镇至柴庄一线为界，以北多为棕壤土，以南多为黄棕壤土；垂直分布海拔1200米以上地区多为棕壤土，海拔541～1200米之间多为黄棕壤土。全县土壤共有7个土类，14个亚类，63个土种。其中，棕壤土主要包括棕壤、灰化棕壤、粗骨棕壤3个亚类14个土种，面积占全县总面积的52.58%；黄棕壤土主要包括黄褐土、黄棕壤、粗骨性黄棕壤、粗骨性黄褐土等4个亚类18个土种，面积占全县总面积的43.07%；淤土共有21个土种，面积占全县总面积的2.85%；潮土面积占全县总面积的0.26%；紫色土面积占全县总面积的1.12%；水稻土面积占全县总面积的0.07%；山地灰泡土面积占全县总面积的0.04%。项目区土壤以棕壤、黄棕壤为主，土层厚度在30—50厘米之间。</w:t>
      </w:r>
    </w:p>
    <w:p w14:paraId="0C8E4A7E">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b/>
          <w:bCs w:val="0"/>
          <w:sz w:val="24"/>
          <w:szCs w:val="24"/>
          <w:highlight w:val="none"/>
        </w:rPr>
      </w:pPr>
      <w:r>
        <w:rPr>
          <w:rFonts w:hint="eastAsia" w:ascii="宋体" w:hAnsi="宋体" w:eastAsia="宋体" w:cs="宋体"/>
          <w:b/>
          <w:bCs w:val="0"/>
          <w:sz w:val="24"/>
          <w:szCs w:val="24"/>
          <w:highlight w:val="none"/>
        </w:rPr>
        <w:t>1.5植被</w:t>
      </w:r>
    </w:p>
    <w:p w14:paraId="56598F06">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bCs/>
          <w:sz w:val="24"/>
          <w:szCs w:val="24"/>
          <w:highlight w:val="none"/>
        </w:rPr>
      </w:pPr>
      <w:r>
        <w:rPr>
          <w:rFonts w:hint="eastAsia" w:ascii="宋体" w:hAnsi="宋体" w:eastAsia="宋体" w:cs="宋体"/>
          <w:bCs/>
          <w:sz w:val="24"/>
          <w:szCs w:val="24"/>
          <w:highlight w:val="none"/>
        </w:rPr>
        <w:t>柞水县北倚秦岭，东西绵延100公里，平均海拔约2000米，构成了黄河与长江两大流域的分水岭。秦岭以北的关中平原覆盖着暖温带落叶阔叶林植被，而秦岭以南则以亚热带常绿阔叶林植被为主。柞水县因此成为暖温带与北亚热带植被带的明显过渡区。</w:t>
      </w:r>
    </w:p>
    <w:p w14:paraId="34DDABC7">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bCs/>
          <w:sz w:val="24"/>
          <w:szCs w:val="24"/>
          <w:highlight w:val="none"/>
        </w:rPr>
      </w:pPr>
      <w:r>
        <w:rPr>
          <w:rFonts w:hint="eastAsia" w:ascii="宋体" w:hAnsi="宋体" w:eastAsia="宋体" w:cs="宋体"/>
          <w:bCs/>
          <w:sz w:val="24"/>
          <w:szCs w:val="24"/>
          <w:highlight w:val="none"/>
        </w:rPr>
        <w:t>在县内酸性土壤的低山丘陵地带，小岭—凤镇—柴庄一线生长着亚热带特有的马尾松和麻栎林，形成了典型的南方型松栎林。金钱河、乾佑河下游河谷及山坡下部，南方型常绿阔叶林繁茂，其中包括由大叶楠、山楠、乌药、黑壳楠等樟科常绿阔叶乔木构成的照叶林。山毛榉科的南方型常绿阔叶乔木，如青檀（大叶铁檀）、小青冈、尖叶栎、青冈栎（大叶青冈）等，其他地方属于金钱河、社川河、乾佑河上游，地形高度变化显著。这些地区的植被状况表现为：高山地带主要为桦木林、华山松、尖齿栎林；中山区则以栓皮栎、油松林为主；低山丘陵和河谷盆地则以核桃、柿、杨、柳、榆、槐、梓、楸、构、杨槐、泡桐、板栗、毛栗、臭椿、栓皮栎等暖温带落叶阔叶林为主。</w:t>
      </w:r>
    </w:p>
    <w:p w14:paraId="39999D3C">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b/>
          <w:bCs w:val="0"/>
          <w:sz w:val="24"/>
          <w:szCs w:val="24"/>
          <w:highlight w:val="none"/>
        </w:rPr>
      </w:pPr>
      <w:r>
        <w:rPr>
          <w:rFonts w:hint="eastAsia" w:ascii="宋体" w:hAnsi="宋体" w:eastAsia="宋体" w:cs="宋体"/>
          <w:b/>
          <w:bCs w:val="0"/>
          <w:sz w:val="24"/>
          <w:szCs w:val="24"/>
          <w:highlight w:val="none"/>
        </w:rPr>
        <w:t>1.6河流水系</w:t>
      </w:r>
    </w:p>
    <w:p w14:paraId="666F402F">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bCs/>
          <w:sz w:val="24"/>
          <w:szCs w:val="24"/>
          <w:highlight w:val="none"/>
        </w:rPr>
      </w:pPr>
      <w:r>
        <w:rPr>
          <w:rFonts w:hint="eastAsia" w:ascii="宋体" w:hAnsi="宋体" w:eastAsia="宋体" w:cs="宋体"/>
          <w:bCs/>
          <w:sz w:val="24"/>
          <w:szCs w:val="24"/>
          <w:highlight w:val="none"/>
        </w:rPr>
        <w:t>柞水县属长江流域汉江水系，水资源十分丰富，境内沟壑交织，河流密布，共有大小河流7320条，总长5693.4公里，大小河流及其支流构成羽状或树枝状，河网密度大，平均2.14公里/平方公里，各大小河流分别汇集乾佑河、社川河、金钱河三条大河流流出县境，总流向为自西北向东南。</w:t>
      </w:r>
    </w:p>
    <w:p w14:paraId="74E6F271">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bCs/>
          <w:sz w:val="24"/>
          <w:szCs w:val="24"/>
          <w:highlight w:val="none"/>
        </w:rPr>
      </w:pPr>
      <w:r>
        <w:rPr>
          <w:rFonts w:hint="eastAsia" w:ascii="宋体" w:hAnsi="宋体" w:eastAsia="宋体" w:cs="宋体"/>
          <w:bCs/>
          <w:sz w:val="24"/>
          <w:szCs w:val="24"/>
          <w:highlight w:val="none"/>
        </w:rPr>
        <w:t>乾佑街办境内主要河流有乾佑河、七坪河。其中乾佑河发源于秦岭山脉，流经境内车家河、什家湾、北关、石镇村，境内流长60.2千米，年均流量1.44立方米/秒，主要支流有芦才沟、七里沟等4条。</w:t>
      </w:r>
    </w:p>
    <w:p w14:paraId="5BA5ADE7">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bCs/>
          <w:sz w:val="24"/>
          <w:szCs w:val="24"/>
          <w:highlight w:val="none"/>
        </w:rPr>
      </w:pPr>
      <w:r>
        <w:rPr>
          <w:rFonts w:hint="eastAsia" w:ascii="宋体" w:hAnsi="宋体" w:eastAsia="宋体" w:cs="宋体"/>
          <w:bCs/>
          <w:sz w:val="24"/>
          <w:szCs w:val="24"/>
          <w:highlight w:val="none"/>
        </w:rPr>
        <w:t>营盘镇主要河流乾佑河，流经乾佑街道、营镇社区、石瓮镇，流人镇安汇入旬河，注入汉江。</w:t>
      </w:r>
    </w:p>
    <w:p w14:paraId="597558F6">
      <w:pPr>
        <w:pStyle w:val="4"/>
        <w:jc w:val="center"/>
        <w:rPr>
          <w:rFonts w:hint="eastAsia" w:ascii="宋体" w:hAnsi="宋体" w:eastAsia="宋体" w:cs="宋体"/>
          <w:sz w:val="24"/>
          <w:szCs w:val="24"/>
          <w:highlight w:val="none"/>
        </w:rPr>
      </w:pPr>
      <w:bookmarkStart w:id="141" w:name="_Toc11907"/>
      <w:r>
        <w:rPr>
          <w:rFonts w:hint="eastAsia" w:ascii="宋体" w:hAnsi="宋体" w:eastAsia="宋体" w:cs="宋体"/>
          <w:sz w:val="24"/>
          <w:szCs w:val="24"/>
          <w:highlight w:val="none"/>
        </w:rPr>
        <w:t>项目区布局</w:t>
      </w:r>
    </w:p>
    <w:p w14:paraId="464FDAAB">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bCs/>
          <w:sz w:val="24"/>
          <w:szCs w:val="24"/>
          <w:highlight w:val="none"/>
          <w:lang w:eastAsia="zh-CN"/>
        </w:rPr>
      </w:pPr>
      <w:r>
        <w:rPr>
          <w:rFonts w:hint="eastAsia" w:ascii="宋体" w:hAnsi="宋体" w:eastAsia="宋体" w:cs="宋体"/>
          <w:bCs/>
          <w:sz w:val="24"/>
          <w:szCs w:val="24"/>
          <w:highlight w:val="none"/>
        </w:rPr>
        <w:t>基于柞水县的自然地理条件和森林资源分布，经过对区域自然、社会、经济、土地、环境等调查研究，结合柞水县退化林修复工程的实际情况，采取因地制宜、分类施策、突出重点、整体提升的策略，</w:t>
      </w:r>
      <w:r>
        <w:rPr>
          <w:rFonts w:hint="eastAsia" w:ascii="宋体" w:hAnsi="宋体" w:eastAsia="宋体" w:cs="宋体"/>
          <w:bCs/>
          <w:sz w:val="24"/>
          <w:szCs w:val="24"/>
          <w:highlight w:val="none"/>
          <w:lang w:val="en-US" w:eastAsia="zh-CN"/>
        </w:rPr>
        <w:t>根据</w:t>
      </w:r>
      <w:r>
        <w:rPr>
          <w:rFonts w:hint="eastAsia" w:ascii="宋体" w:hAnsi="宋体" w:eastAsia="宋体" w:cs="宋体"/>
          <w:bCs/>
          <w:sz w:val="24"/>
          <w:szCs w:val="24"/>
          <w:highlight w:val="none"/>
        </w:rPr>
        <w:t>行政区划进行项目布局和治理单元的划分。</w:t>
      </w:r>
    </w:p>
    <w:p w14:paraId="1AE23229">
      <w:pPr>
        <w:pStyle w:val="5"/>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sz w:val="24"/>
          <w:szCs w:val="24"/>
          <w:highlight w:val="none"/>
        </w:rPr>
      </w:pPr>
      <w:bookmarkStart w:id="142" w:name="_Toc25504"/>
      <w:bookmarkStart w:id="143" w:name="_Toc6319"/>
      <w:bookmarkStart w:id="144" w:name="_Toc21136"/>
      <w:r>
        <w:rPr>
          <w:rFonts w:hint="eastAsia" w:ascii="宋体" w:hAnsi="宋体" w:eastAsia="宋体" w:cs="宋体"/>
          <w:sz w:val="24"/>
          <w:szCs w:val="24"/>
          <w:highlight w:val="none"/>
        </w:rPr>
        <w:t>1项目区布局依据</w:t>
      </w:r>
      <w:bookmarkEnd w:id="142"/>
      <w:bookmarkEnd w:id="143"/>
      <w:bookmarkEnd w:id="144"/>
    </w:p>
    <w:p w14:paraId="448959AB">
      <w:pPr>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退化林修复应当遵循《退化林修复技术规程》（GB/T 44351-2024）中的</w:t>
      </w:r>
      <w:r>
        <w:rPr>
          <w:rFonts w:hint="eastAsia" w:ascii="宋体" w:hAnsi="宋体" w:eastAsia="宋体" w:cs="宋体"/>
          <w:sz w:val="24"/>
          <w:szCs w:val="24"/>
          <w:highlight w:val="none"/>
          <w:lang w:val="en-US" w:eastAsia="zh-CN"/>
        </w:rPr>
        <w:t>退化林判别通用指标</w:t>
      </w:r>
      <w:r>
        <w:rPr>
          <w:rFonts w:hint="eastAsia" w:ascii="宋体" w:hAnsi="宋体" w:eastAsia="宋体" w:cs="宋体"/>
          <w:sz w:val="24"/>
          <w:szCs w:val="24"/>
          <w:highlight w:val="none"/>
        </w:rPr>
        <w:t>。项目区域必须交通便利，便于生产组织，具备良好的立地条件，相对集中。</w:t>
      </w:r>
    </w:p>
    <w:p w14:paraId="371CC2F9">
      <w:pPr>
        <w:pStyle w:val="5"/>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sz w:val="24"/>
          <w:szCs w:val="24"/>
          <w:highlight w:val="none"/>
        </w:rPr>
      </w:pPr>
      <w:bookmarkStart w:id="145" w:name="_Toc5843"/>
      <w:bookmarkStart w:id="146" w:name="_Toc12484"/>
      <w:bookmarkStart w:id="147" w:name="_Toc31103"/>
      <w:r>
        <w:rPr>
          <w:rFonts w:hint="eastAsia" w:ascii="宋体" w:hAnsi="宋体" w:eastAsia="宋体" w:cs="宋体"/>
          <w:sz w:val="24"/>
          <w:szCs w:val="24"/>
          <w:highlight w:val="none"/>
        </w:rPr>
        <w:t>2项目区建设布局</w:t>
      </w:r>
      <w:bookmarkEnd w:id="145"/>
      <w:bookmarkEnd w:id="146"/>
      <w:bookmarkEnd w:id="147"/>
    </w:p>
    <w:p w14:paraId="4E783CDC">
      <w:pPr>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lang w:val="en-US" w:eastAsia="zh-CN"/>
        </w:rPr>
        <w:t>根据</w:t>
      </w:r>
      <w:r>
        <w:rPr>
          <w:rFonts w:hint="eastAsia" w:ascii="宋体" w:hAnsi="宋体" w:eastAsia="宋体" w:cs="宋体"/>
          <w:sz w:val="24"/>
          <w:szCs w:val="24"/>
          <w:highlight w:val="none"/>
        </w:rPr>
        <w:t>柞水县林地资源的分布现状</w:t>
      </w:r>
      <w:r>
        <w:rPr>
          <w:rFonts w:hint="eastAsia" w:ascii="宋体" w:hAnsi="宋体" w:eastAsia="宋体" w:cs="宋体"/>
          <w:sz w:val="24"/>
          <w:szCs w:val="24"/>
          <w:highlight w:val="none"/>
          <w:lang w:val="en-US" w:eastAsia="zh-CN"/>
        </w:rPr>
        <w:t>和外业调查结果</w:t>
      </w:r>
      <w:r>
        <w:rPr>
          <w:rFonts w:hint="eastAsia" w:ascii="宋体" w:hAnsi="宋体" w:eastAsia="宋体" w:cs="宋体"/>
          <w:sz w:val="24"/>
          <w:szCs w:val="24"/>
          <w:highlight w:val="none"/>
        </w:rPr>
        <w:t>，确定退化林修复</w:t>
      </w:r>
      <w:r>
        <w:rPr>
          <w:rFonts w:hint="eastAsia" w:ascii="宋体" w:hAnsi="宋体" w:eastAsia="宋体" w:cs="宋体"/>
          <w:sz w:val="24"/>
          <w:szCs w:val="24"/>
          <w:highlight w:val="none"/>
          <w:lang w:val="en-US" w:eastAsia="zh-CN"/>
        </w:rPr>
        <w:t>可作业面积</w:t>
      </w:r>
      <w:r>
        <w:rPr>
          <w:rFonts w:hint="eastAsia" w:ascii="宋体" w:hAnsi="宋体" w:eastAsia="宋体" w:cs="宋体"/>
          <w:sz w:val="24"/>
          <w:szCs w:val="24"/>
          <w:highlight w:val="none"/>
        </w:rPr>
        <w:t>为20000亩</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共计</w:t>
      </w:r>
      <w:r>
        <w:rPr>
          <w:rFonts w:hint="eastAsia" w:ascii="宋体" w:hAnsi="宋体" w:eastAsia="宋体" w:cs="宋体"/>
          <w:sz w:val="24"/>
          <w:szCs w:val="24"/>
          <w:highlight w:val="none"/>
          <w:lang w:val="en-US" w:eastAsia="zh-CN"/>
        </w:rPr>
        <w:t>184</w:t>
      </w:r>
      <w:r>
        <w:rPr>
          <w:rFonts w:hint="eastAsia" w:ascii="宋体" w:hAnsi="宋体" w:eastAsia="宋体" w:cs="宋体"/>
          <w:sz w:val="24"/>
          <w:szCs w:val="24"/>
          <w:highlight w:val="none"/>
        </w:rPr>
        <w:t>个小班</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分布在</w:t>
      </w:r>
      <w:r>
        <w:rPr>
          <w:rFonts w:hint="eastAsia" w:ascii="宋体" w:hAnsi="宋体" w:eastAsia="宋体" w:cs="宋体"/>
          <w:sz w:val="24"/>
          <w:szCs w:val="24"/>
          <w:highlight w:val="none"/>
          <w:lang w:eastAsia="zh-CN"/>
        </w:rPr>
        <w:t>乾佑街办</w:t>
      </w:r>
      <w:r>
        <w:rPr>
          <w:rFonts w:hint="eastAsia" w:ascii="宋体" w:hAnsi="宋体" w:eastAsia="宋体" w:cs="宋体"/>
          <w:sz w:val="24"/>
          <w:szCs w:val="24"/>
          <w:highlight w:val="none"/>
        </w:rPr>
        <w:t>马房子村和</w:t>
      </w:r>
      <w:r>
        <w:rPr>
          <w:rFonts w:hint="eastAsia" w:ascii="宋体" w:hAnsi="宋体" w:eastAsia="宋体" w:cs="宋体"/>
          <w:sz w:val="24"/>
          <w:szCs w:val="24"/>
          <w:highlight w:val="none"/>
          <w:lang w:val="en-US" w:eastAsia="zh-CN"/>
        </w:rPr>
        <w:t>营盘镇两河村</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修复措施分为采伐修复+补植+修枝1244亩，21个小班；采伐修复+补植8112亩，77个小班；采伐修复+补植+人工促进天然更新10644亩，86个小班。</w:t>
      </w:r>
    </w:p>
    <w:p w14:paraId="18160FBA">
      <w:pPr>
        <w:bidi w:val="0"/>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4-1</w:t>
      </w:r>
      <w:r>
        <w:rPr>
          <w:rFonts w:hint="eastAsia" w:ascii="宋体" w:hAnsi="宋体" w:eastAsia="宋体" w:cs="宋体"/>
          <w:sz w:val="24"/>
          <w:szCs w:val="24"/>
          <w:highlight w:val="none"/>
        </w:rPr>
        <w:t>项目区建设布局</w:t>
      </w:r>
      <w:r>
        <w:rPr>
          <w:rFonts w:hint="eastAsia" w:ascii="宋体" w:hAnsi="宋体" w:eastAsia="宋体" w:cs="宋体"/>
          <w:sz w:val="24"/>
          <w:szCs w:val="24"/>
          <w:highlight w:val="none"/>
          <w:lang w:val="en-US" w:eastAsia="zh-CN"/>
        </w:rPr>
        <w:t>表</w:t>
      </w:r>
    </w:p>
    <w:tbl>
      <w:tblPr>
        <w:tblStyle w:val="29"/>
        <w:tblpPr w:leftFromText="180" w:rightFromText="180" w:vertAnchor="text" w:horzAnchor="page" w:tblpXSpec="center" w:tblpY="232"/>
        <w:tblOverlap w:val="never"/>
        <w:tblW w:w="4998"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40"/>
        <w:gridCol w:w="840"/>
        <w:gridCol w:w="1107"/>
        <w:gridCol w:w="930"/>
        <w:gridCol w:w="1019"/>
        <w:gridCol w:w="842"/>
        <w:gridCol w:w="1019"/>
        <w:gridCol w:w="842"/>
        <w:gridCol w:w="1107"/>
        <w:gridCol w:w="850"/>
      </w:tblGrid>
      <w:tr w14:paraId="126AC5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jc w:val="center"/>
        </w:trPr>
        <w:tc>
          <w:tcPr>
            <w:tcW w:w="447"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1A0DD9AB">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乡镇</w:t>
            </w:r>
          </w:p>
        </w:tc>
        <w:tc>
          <w:tcPr>
            <w:tcW w:w="447" w:type="pct"/>
            <w:vMerge w:val="restart"/>
            <w:tcBorders>
              <w:top w:val="single" w:color="000000" w:sz="8" w:space="0"/>
              <w:left w:val="nil"/>
              <w:bottom w:val="single" w:color="000000" w:sz="8" w:space="0"/>
              <w:right w:val="single" w:color="000000" w:sz="8" w:space="0"/>
            </w:tcBorders>
            <w:shd w:val="clear" w:color="auto" w:fill="auto"/>
            <w:vAlign w:val="center"/>
          </w:tcPr>
          <w:p w14:paraId="7D40ECE3">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村</w:t>
            </w:r>
          </w:p>
        </w:tc>
        <w:tc>
          <w:tcPr>
            <w:tcW w:w="589" w:type="pct"/>
            <w:vMerge w:val="restart"/>
            <w:tcBorders>
              <w:top w:val="single" w:color="000000" w:sz="8" w:space="0"/>
              <w:left w:val="nil"/>
              <w:bottom w:val="single" w:color="000000" w:sz="8" w:space="0"/>
              <w:right w:val="single" w:color="000000" w:sz="8" w:space="0"/>
            </w:tcBorders>
            <w:shd w:val="clear" w:color="auto" w:fill="auto"/>
            <w:vAlign w:val="center"/>
          </w:tcPr>
          <w:p w14:paraId="46537ABF">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面积</w:t>
            </w:r>
          </w:p>
        </w:tc>
        <w:tc>
          <w:tcPr>
            <w:tcW w:w="495" w:type="pct"/>
            <w:vMerge w:val="restart"/>
            <w:tcBorders>
              <w:top w:val="single" w:color="000000" w:sz="8" w:space="0"/>
              <w:left w:val="nil"/>
              <w:bottom w:val="single" w:color="000000" w:sz="8" w:space="0"/>
              <w:right w:val="single" w:color="000000" w:sz="8" w:space="0"/>
            </w:tcBorders>
            <w:shd w:val="clear" w:color="auto" w:fill="auto"/>
            <w:vAlign w:val="center"/>
          </w:tcPr>
          <w:p w14:paraId="1A85E045">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小班个数</w:t>
            </w:r>
          </w:p>
        </w:tc>
        <w:tc>
          <w:tcPr>
            <w:tcW w:w="3020" w:type="pct"/>
            <w:gridSpan w:val="6"/>
            <w:tcBorders>
              <w:top w:val="single" w:color="000000" w:sz="8" w:space="0"/>
              <w:left w:val="nil"/>
              <w:bottom w:val="single" w:color="000000" w:sz="8" w:space="0"/>
              <w:right w:val="single" w:color="000000" w:sz="8" w:space="0"/>
            </w:tcBorders>
            <w:shd w:val="clear" w:color="auto" w:fill="auto"/>
            <w:vAlign w:val="center"/>
          </w:tcPr>
          <w:p w14:paraId="0BCA4C9F">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修复措施</w:t>
            </w:r>
          </w:p>
        </w:tc>
      </w:tr>
      <w:tr w14:paraId="67094B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jc w:val="center"/>
        </w:trPr>
        <w:tc>
          <w:tcPr>
            <w:tcW w:w="447"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2FA9CF2F">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sz w:val="24"/>
                <w:szCs w:val="24"/>
                <w:highlight w:val="none"/>
              </w:rPr>
            </w:pPr>
          </w:p>
        </w:tc>
        <w:tc>
          <w:tcPr>
            <w:tcW w:w="447" w:type="pct"/>
            <w:vMerge w:val="continue"/>
            <w:tcBorders>
              <w:top w:val="single" w:color="000000" w:sz="8" w:space="0"/>
              <w:left w:val="nil"/>
              <w:bottom w:val="single" w:color="000000" w:sz="8" w:space="0"/>
              <w:right w:val="single" w:color="000000" w:sz="8" w:space="0"/>
            </w:tcBorders>
            <w:shd w:val="clear" w:color="auto" w:fill="auto"/>
            <w:vAlign w:val="center"/>
          </w:tcPr>
          <w:p w14:paraId="261D571C">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sz w:val="24"/>
                <w:szCs w:val="24"/>
                <w:highlight w:val="none"/>
              </w:rPr>
            </w:pPr>
          </w:p>
        </w:tc>
        <w:tc>
          <w:tcPr>
            <w:tcW w:w="589" w:type="pct"/>
            <w:vMerge w:val="continue"/>
            <w:tcBorders>
              <w:top w:val="single" w:color="000000" w:sz="8" w:space="0"/>
              <w:left w:val="nil"/>
              <w:bottom w:val="single" w:color="000000" w:sz="8" w:space="0"/>
              <w:right w:val="single" w:color="000000" w:sz="8" w:space="0"/>
            </w:tcBorders>
            <w:shd w:val="clear" w:color="auto" w:fill="auto"/>
            <w:vAlign w:val="center"/>
          </w:tcPr>
          <w:p w14:paraId="6FCBB336">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sz w:val="24"/>
                <w:szCs w:val="24"/>
                <w:highlight w:val="none"/>
              </w:rPr>
            </w:pPr>
          </w:p>
        </w:tc>
        <w:tc>
          <w:tcPr>
            <w:tcW w:w="495" w:type="pct"/>
            <w:vMerge w:val="continue"/>
            <w:tcBorders>
              <w:top w:val="single" w:color="000000" w:sz="8" w:space="0"/>
              <w:left w:val="nil"/>
              <w:bottom w:val="single" w:color="000000" w:sz="8" w:space="0"/>
              <w:right w:val="single" w:color="000000" w:sz="8" w:space="0"/>
            </w:tcBorders>
            <w:shd w:val="clear" w:color="auto" w:fill="auto"/>
            <w:vAlign w:val="center"/>
          </w:tcPr>
          <w:p w14:paraId="7EEC6C60">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sz w:val="24"/>
                <w:szCs w:val="24"/>
                <w:highlight w:val="none"/>
              </w:rPr>
            </w:pPr>
          </w:p>
        </w:tc>
        <w:tc>
          <w:tcPr>
            <w:tcW w:w="990" w:type="pct"/>
            <w:gridSpan w:val="2"/>
            <w:tcBorders>
              <w:top w:val="nil"/>
              <w:left w:val="nil"/>
              <w:bottom w:val="single" w:color="000000" w:sz="8" w:space="0"/>
              <w:right w:val="single" w:color="000000" w:sz="8" w:space="0"/>
            </w:tcBorders>
            <w:shd w:val="clear" w:color="auto" w:fill="auto"/>
            <w:vAlign w:val="center"/>
          </w:tcPr>
          <w:p w14:paraId="324506A7">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采伐修复+补植+修枝</w:t>
            </w:r>
          </w:p>
        </w:tc>
        <w:tc>
          <w:tcPr>
            <w:tcW w:w="990" w:type="pct"/>
            <w:gridSpan w:val="2"/>
            <w:tcBorders>
              <w:top w:val="single" w:color="000000" w:sz="8" w:space="0"/>
              <w:left w:val="nil"/>
              <w:bottom w:val="single" w:color="000000" w:sz="8" w:space="0"/>
              <w:right w:val="single" w:color="000000" w:sz="8" w:space="0"/>
            </w:tcBorders>
            <w:shd w:val="clear" w:color="auto" w:fill="auto"/>
            <w:vAlign w:val="center"/>
          </w:tcPr>
          <w:p w14:paraId="6574DB04">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采伐修复+补植</w:t>
            </w:r>
          </w:p>
        </w:tc>
        <w:tc>
          <w:tcPr>
            <w:tcW w:w="1040" w:type="pct"/>
            <w:gridSpan w:val="2"/>
            <w:tcBorders>
              <w:top w:val="single" w:color="000000" w:sz="8" w:space="0"/>
              <w:left w:val="nil"/>
              <w:bottom w:val="single" w:color="000000" w:sz="8" w:space="0"/>
              <w:right w:val="single" w:color="000000" w:sz="8" w:space="0"/>
            </w:tcBorders>
            <w:shd w:val="clear" w:color="auto" w:fill="auto"/>
            <w:vAlign w:val="center"/>
          </w:tcPr>
          <w:p w14:paraId="09F0B59B">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采伐修复+补植+人工促进天然更新</w:t>
            </w:r>
          </w:p>
        </w:tc>
      </w:tr>
      <w:tr w14:paraId="02A6CF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9" w:hRule="atLeast"/>
          <w:jc w:val="center"/>
        </w:trPr>
        <w:tc>
          <w:tcPr>
            <w:tcW w:w="447"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680AF037">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sz w:val="24"/>
                <w:szCs w:val="24"/>
                <w:highlight w:val="none"/>
              </w:rPr>
            </w:pPr>
          </w:p>
        </w:tc>
        <w:tc>
          <w:tcPr>
            <w:tcW w:w="447" w:type="pct"/>
            <w:vMerge w:val="continue"/>
            <w:tcBorders>
              <w:top w:val="single" w:color="000000" w:sz="8" w:space="0"/>
              <w:left w:val="nil"/>
              <w:bottom w:val="single" w:color="000000" w:sz="8" w:space="0"/>
              <w:right w:val="single" w:color="000000" w:sz="8" w:space="0"/>
            </w:tcBorders>
            <w:shd w:val="clear" w:color="auto" w:fill="auto"/>
            <w:vAlign w:val="center"/>
          </w:tcPr>
          <w:p w14:paraId="7BE2F3AC">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sz w:val="24"/>
                <w:szCs w:val="24"/>
                <w:highlight w:val="none"/>
              </w:rPr>
            </w:pPr>
          </w:p>
        </w:tc>
        <w:tc>
          <w:tcPr>
            <w:tcW w:w="589" w:type="pct"/>
            <w:vMerge w:val="continue"/>
            <w:tcBorders>
              <w:top w:val="single" w:color="000000" w:sz="8" w:space="0"/>
              <w:left w:val="nil"/>
              <w:bottom w:val="single" w:color="000000" w:sz="8" w:space="0"/>
              <w:right w:val="single" w:color="000000" w:sz="8" w:space="0"/>
            </w:tcBorders>
            <w:shd w:val="clear" w:color="auto" w:fill="auto"/>
            <w:vAlign w:val="center"/>
          </w:tcPr>
          <w:p w14:paraId="3DBB70BF">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sz w:val="24"/>
                <w:szCs w:val="24"/>
                <w:highlight w:val="none"/>
              </w:rPr>
            </w:pPr>
          </w:p>
        </w:tc>
        <w:tc>
          <w:tcPr>
            <w:tcW w:w="495" w:type="pct"/>
            <w:vMerge w:val="continue"/>
            <w:tcBorders>
              <w:top w:val="single" w:color="000000" w:sz="8" w:space="0"/>
              <w:left w:val="nil"/>
              <w:bottom w:val="single" w:color="000000" w:sz="8" w:space="0"/>
              <w:right w:val="single" w:color="000000" w:sz="8" w:space="0"/>
            </w:tcBorders>
            <w:shd w:val="clear" w:color="auto" w:fill="auto"/>
            <w:vAlign w:val="center"/>
          </w:tcPr>
          <w:p w14:paraId="4E4A338E">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sz w:val="24"/>
                <w:szCs w:val="24"/>
                <w:highlight w:val="none"/>
              </w:rPr>
            </w:pPr>
          </w:p>
        </w:tc>
        <w:tc>
          <w:tcPr>
            <w:tcW w:w="542" w:type="pct"/>
            <w:tcBorders>
              <w:top w:val="nil"/>
              <w:left w:val="nil"/>
              <w:bottom w:val="single" w:color="000000" w:sz="8" w:space="0"/>
              <w:right w:val="single" w:color="000000" w:sz="8" w:space="0"/>
            </w:tcBorders>
            <w:shd w:val="clear" w:color="auto" w:fill="auto"/>
            <w:vAlign w:val="center"/>
          </w:tcPr>
          <w:p w14:paraId="041B06CE">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面积</w:t>
            </w:r>
          </w:p>
        </w:tc>
        <w:tc>
          <w:tcPr>
            <w:tcW w:w="447" w:type="pct"/>
            <w:tcBorders>
              <w:top w:val="nil"/>
              <w:left w:val="nil"/>
              <w:bottom w:val="single" w:color="000000" w:sz="8" w:space="0"/>
              <w:right w:val="single" w:color="000000" w:sz="8" w:space="0"/>
            </w:tcBorders>
            <w:shd w:val="clear" w:color="auto" w:fill="auto"/>
            <w:vAlign w:val="center"/>
          </w:tcPr>
          <w:p w14:paraId="4B74D97E">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小班个数</w:t>
            </w:r>
          </w:p>
        </w:tc>
        <w:tc>
          <w:tcPr>
            <w:tcW w:w="542" w:type="pct"/>
            <w:tcBorders>
              <w:top w:val="nil"/>
              <w:left w:val="nil"/>
              <w:bottom w:val="single" w:color="000000" w:sz="8" w:space="0"/>
              <w:right w:val="single" w:color="000000" w:sz="8" w:space="0"/>
            </w:tcBorders>
            <w:shd w:val="clear" w:color="auto" w:fill="auto"/>
            <w:vAlign w:val="center"/>
          </w:tcPr>
          <w:p w14:paraId="74C84DF9">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面积</w:t>
            </w:r>
          </w:p>
        </w:tc>
        <w:tc>
          <w:tcPr>
            <w:tcW w:w="447" w:type="pct"/>
            <w:tcBorders>
              <w:top w:val="single" w:color="000000" w:sz="8" w:space="0"/>
              <w:left w:val="nil"/>
              <w:bottom w:val="single" w:color="000000" w:sz="8" w:space="0"/>
              <w:right w:val="single" w:color="000000" w:sz="8" w:space="0"/>
            </w:tcBorders>
            <w:shd w:val="clear" w:color="auto" w:fill="auto"/>
            <w:vAlign w:val="center"/>
          </w:tcPr>
          <w:p w14:paraId="23F5C647">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小班个数</w:t>
            </w:r>
          </w:p>
        </w:tc>
        <w:tc>
          <w:tcPr>
            <w:tcW w:w="589" w:type="pct"/>
            <w:tcBorders>
              <w:top w:val="single" w:color="000000" w:sz="8" w:space="0"/>
              <w:left w:val="nil"/>
              <w:bottom w:val="single" w:color="000000" w:sz="8" w:space="0"/>
              <w:right w:val="single" w:color="000000" w:sz="8" w:space="0"/>
            </w:tcBorders>
            <w:shd w:val="clear" w:color="auto" w:fill="auto"/>
            <w:vAlign w:val="center"/>
          </w:tcPr>
          <w:p w14:paraId="4753587C">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面积</w:t>
            </w:r>
          </w:p>
        </w:tc>
        <w:tc>
          <w:tcPr>
            <w:tcW w:w="450" w:type="pct"/>
            <w:tcBorders>
              <w:top w:val="single" w:color="000000" w:sz="8" w:space="0"/>
              <w:left w:val="nil"/>
              <w:bottom w:val="single" w:color="000000" w:sz="8" w:space="0"/>
              <w:right w:val="single" w:color="000000" w:sz="8" w:space="0"/>
            </w:tcBorders>
            <w:shd w:val="clear" w:color="auto" w:fill="auto"/>
            <w:vAlign w:val="center"/>
          </w:tcPr>
          <w:p w14:paraId="6FD253CF">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小班个数</w:t>
            </w:r>
          </w:p>
        </w:tc>
      </w:tr>
      <w:tr w14:paraId="4C5A7F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3" w:hRule="atLeast"/>
          <w:jc w:val="center"/>
        </w:trPr>
        <w:tc>
          <w:tcPr>
            <w:tcW w:w="894" w:type="pct"/>
            <w:gridSpan w:val="2"/>
            <w:tcBorders>
              <w:top w:val="nil"/>
              <w:left w:val="single" w:color="000000" w:sz="8" w:space="0"/>
              <w:bottom w:val="single" w:color="000000" w:sz="8" w:space="0"/>
              <w:right w:val="single" w:color="000000" w:sz="8" w:space="0"/>
            </w:tcBorders>
            <w:shd w:val="clear" w:color="auto" w:fill="auto"/>
            <w:vAlign w:val="center"/>
          </w:tcPr>
          <w:p w14:paraId="6D6E8208">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合计</w:t>
            </w:r>
          </w:p>
        </w:tc>
        <w:tc>
          <w:tcPr>
            <w:tcW w:w="589" w:type="pct"/>
            <w:tcBorders>
              <w:top w:val="nil"/>
              <w:left w:val="nil"/>
              <w:bottom w:val="single" w:color="000000" w:sz="8" w:space="0"/>
              <w:right w:val="single" w:color="000000" w:sz="8" w:space="0"/>
            </w:tcBorders>
            <w:shd w:val="clear" w:color="auto" w:fill="auto"/>
            <w:vAlign w:val="center"/>
          </w:tcPr>
          <w:p w14:paraId="6C3C019A">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20000</w:t>
            </w:r>
          </w:p>
        </w:tc>
        <w:tc>
          <w:tcPr>
            <w:tcW w:w="495" w:type="pct"/>
            <w:tcBorders>
              <w:top w:val="nil"/>
              <w:left w:val="nil"/>
              <w:bottom w:val="single" w:color="000000" w:sz="8" w:space="0"/>
              <w:right w:val="single" w:color="000000" w:sz="8" w:space="0"/>
            </w:tcBorders>
            <w:shd w:val="clear" w:color="auto" w:fill="auto"/>
            <w:vAlign w:val="center"/>
          </w:tcPr>
          <w:p w14:paraId="7FB1FCA0">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184</w:t>
            </w:r>
          </w:p>
        </w:tc>
        <w:tc>
          <w:tcPr>
            <w:tcW w:w="542" w:type="pct"/>
            <w:tcBorders>
              <w:top w:val="nil"/>
              <w:left w:val="nil"/>
              <w:bottom w:val="single" w:color="000000" w:sz="8" w:space="0"/>
              <w:right w:val="single" w:color="000000" w:sz="8" w:space="0"/>
            </w:tcBorders>
            <w:shd w:val="clear" w:color="auto" w:fill="auto"/>
            <w:vAlign w:val="center"/>
          </w:tcPr>
          <w:p w14:paraId="6DB0BF06">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1244</w:t>
            </w:r>
          </w:p>
        </w:tc>
        <w:tc>
          <w:tcPr>
            <w:tcW w:w="447" w:type="pct"/>
            <w:tcBorders>
              <w:top w:val="nil"/>
              <w:left w:val="nil"/>
              <w:bottom w:val="single" w:color="000000" w:sz="8" w:space="0"/>
              <w:right w:val="single" w:color="000000" w:sz="8" w:space="0"/>
            </w:tcBorders>
            <w:shd w:val="clear" w:color="auto" w:fill="auto"/>
            <w:vAlign w:val="center"/>
          </w:tcPr>
          <w:p w14:paraId="58BA5786">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21</w:t>
            </w:r>
          </w:p>
        </w:tc>
        <w:tc>
          <w:tcPr>
            <w:tcW w:w="542" w:type="pct"/>
            <w:tcBorders>
              <w:top w:val="nil"/>
              <w:left w:val="nil"/>
              <w:bottom w:val="single" w:color="000000" w:sz="8" w:space="0"/>
              <w:right w:val="single" w:color="000000" w:sz="8" w:space="0"/>
            </w:tcBorders>
            <w:shd w:val="clear" w:color="auto" w:fill="auto"/>
            <w:vAlign w:val="center"/>
          </w:tcPr>
          <w:p w14:paraId="1103B2B9">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8112</w:t>
            </w:r>
          </w:p>
        </w:tc>
        <w:tc>
          <w:tcPr>
            <w:tcW w:w="447" w:type="pct"/>
            <w:tcBorders>
              <w:top w:val="nil"/>
              <w:left w:val="nil"/>
              <w:bottom w:val="single" w:color="000000" w:sz="8" w:space="0"/>
              <w:right w:val="single" w:color="000000" w:sz="8" w:space="0"/>
            </w:tcBorders>
            <w:shd w:val="clear" w:color="auto" w:fill="auto"/>
            <w:vAlign w:val="center"/>
          </w:tcPr>
          <w:p w14:paraId="318FC7D3">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77</w:t>
            </w:r>
          </w:p>
        </w:tc>
        <w:tc>
          <w:tcPr>
            <w:tcW w:w="589" w:type="pct"/>
            <w:tcBorders>
              <w:top w:val="nil"/>
              <w:left w:val="nil"/>
              <w:bottom w:val="single" w:color="000000" w:sz="8" w:space="0"/>
              <w:right w:val="single" w:color="000000" w:sz="8" w:space="0"/>
            </w:tcBorders>
            <w:shd w:val="clear" w:color="auto" w:fill="auto"/>
            <w:vAlign w:val="center"/>
          </w:tcPr>
          <w:p w14:paraId="7ECF3711">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10644</w:t>
            </w:r>
          </w:p>
        </w:tc>
        <w:tc>
          <w:tcPr>
            <w:tcW w:w="450" w:type="pct"/>
            <w:tcBorders>
              <w:top w:val="nil"/>
              <w:left w:val="nil"/>
              <w:bottom w:val="single" w:color="000000" w:sz="8" w:space="0"/>
              <w:right w:val="single" w:color="000000" w:sz="8" w:space="0"/>
            </w:tcBorders>
            <w:shd w:val="clear" w:color="auto" w:fill="auto"/>
            <w:vAlign w:val="center"/>
          </w:tcPr>
          <w:p w14:paraId="7879685D">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86</w:t>
            </w:r>
          </w:p>
        </w:tc>
      </w:tr>
      <w:tr w14:paraId="050C9F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3" w:hRule="atLeast"/>
          <w:jc w:val="center"/>
        </w:trPr>
        <w:tc>
          <w:tcPr>
            <w:tcW w:w="447" w:type="pct"/>
            <w:tcBorders>
              <w:top w:val="nil"/>
              <w:left w:val="single" w:color="000000" w:sz="8" w:space="0"/>
              <w:bottom w:val="single" w:color="000000" w:sz="8" w:space="0"/>
              <w:right w:val="single" w:color="000000" w:sz="8" w:space="0"/>
            </w:tcBorders>
            <w:shd w:val="clear" w:color="auto" w:fill="auto"/>
            <w:vAlign w:val="center"/>
          </w:tcPr>
          <w:p w14:paraId="271F928B">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营盘镇</w:t>
            </w:r>
          </w:p>
        </w:tc>
        <w:tc>
          <w:tcPr>
            <w:tcW w:w="447" w:type="pct"/>
            <w:tcBorders>
              <w:top w:val="nil"/>
              <w:left w:val="nil"/>
              <w:bottom w:val="single" w:color="000000" w:sz="8" w:space="0"/>
              <w:right w:val="single" w:color="000000" w:sz="8" w:space="0"/>
            </w:tcBorders>
            <w:shd w:val="clear" w:color="auto" w:fill="auto"/>
            <w:vAlign w:val="center"/>
          </w:tcPr>
          <w:p w14:paraId="54F81382">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两河村</w:t>
            </w:r>
          </w:p>
        </w:tc>
        <w:tc>
          <w:tcPr>
            <w:tcW w:w="589" w:type="pct"/>
            <w:tcBorders>
              <w:top w:val="nil"/>
              <w:left w:val="nil"/>
              <w:bottom w:val="single" w:color="000000" w:sz="8" w:space="0"/>
              <w:right w:val="single" w:color="000000" w:sz="8" w:space="0"/>
            </w:tcBorders>
            <w:shd w:val="clear" w:color="auto" w:fill="auto"/>
            <w:vAlign w:val="center"/>
          </w:tcPr>
          <w:p w14:paraId="522063CA">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2860</w:t>
            </w:r>
          </w:p>
        </w:tc>
        <w:tc>
          <w:tcPr>
            <w:tcW w:w="495" w:type="pct"/>
            <w:tcBorders>
              <w:top w:val="nil"/>
              <w:left w:val="nil"/>
              <w:bottom w:val="single" w:color="000000" w:sz="8" w:space="0"/>
              <w:right w:val="single" w:color="000000" w:sz="8" w:space="0"/>
            </w:tcBorders>
            <w:shd w:val="clear" w:color="auto" w:fill="auto"/>
            <w:vAlign w:val="center"/>
          </w:tcPr>
          <w:p w14:paraId="1730FB3A">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20</w:t>
            </w:r>
          </w:p>
        </w:tc>
        <w:tc>
          <w:tcPr>
            <w:tcW w:w="542" w:type="pct"/>
            <w:tcBorders>
              <w:top w:val="nil"/>
              <w:left w:val="nil"/>
              <w:bottom w:val="single" w:color="000000" w:sz="8" w:space="0"/>
              <w:right w:val="single" w:color="000000" w:sz="8" w:space="0"/>
            </w:tcBorders>
            <w:shd w:val="clear" w:color="auto" w:fill="auto"/>
            <w:vAlign w:val="center"/>
          </w:tcPr>
          <w:p w14:paraId="534EDDFB">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sz w:val="24"/>
                <w:szCs w:val="24"/>
                <w:highlight w:val="none"/>
              </w:rPr>
            </w:pPr>
          </w:p>
        </w:tc>
        <w:tc>
          <w:tcPr>
            <w:tcW w:w="447" w:type="pct"/>
            <w:tcBorders>
              <w:top w:val="nil"/>
              <w:left w:val="nil"/>
              <w:bottom w:val="single" w:color="000000" w:sz="8" w:space="0"/>
              <w:right w:val="single" w:color="000000" w:sz="8" w:space="0"/>
            </w:tcBorders>
            <w:shd w:val="clear" w:color="auto" w:fill="auto"/>
            <w:vAlign w:val="center"/>
          </w:tcPr>
          <w:p w14:paraId="159C0F6D">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sz w:val="24"/>
                <w:szCs w:val="24"/>
                <w:highlight w:val="none"/>
              </w:rPr>
            </w:pPr>
          </w:p>
        </w:tc>
        <w:tc>
          <w:tcPr>
            <w:tcW w:w="542" w:type="pct"/>
            <w:tcBorders>
              <w:top w:val="nil"/>
              <w:left w:val="nil"/>
              <w:bottom w:val="single" w:color="000000" w:sz="8" w:space="0"/>
              <w:right w:val="single" w:color="000000" w:sz="8" w:space="0"/>
            </w:tcBorders>
            <w:shd w:val="clear" w:color="auto" w:fill="auto"/>
            <w:vAlign w:val="center"/>
          </w:tcPr>
          <w:p w14:paraId="0B58F414">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1312</w:t>
            </w:r>
          </w:p>
        </w:tc>
        <w:tc>
          <w:tcPr>
            <w:tcW w:w="447" w:type="pct"/>
            <w:tcBorders>
              <w:top w:val="nil"/>
              <w:left w:val="nil"/>
              <w:bottom w:val="single" w:color="000000" w:sz="8" w:space="0"/>
              <w:right w:val="single" w:color="000000" w:sz="8" w:space="0"/>
            </w:tcBorders>
            <w:shd w:val="clear" w:color="auto" w:fill="auto"/>
            <w:vAlign w:val="center"/>
          </w:tcPr>
          <w:p w14:paraId="2AB10318">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6</w:t>
            </w:r>
          </w:p>
        </w:tc>
        <w:tc>
          <w:tcPr>
            <w:tcW w:w="589" w:type="pct"/>
            <w:tcBorders>
              <w:top w:val="nil"/>
              <w:left w:val="nil"/>
              <w:bottom w:val="single" w:color="000000" w:sz="8" w:space="0"/>
              <w:right w:val="single" w:color="000000" w:sz="8" w:space="0"/>
            </w:tcBorders>
            <w:shd w:val="clear" w:color="auto" w:fill="auto"/>
            <w:vAlign w:val="center"/>
          </w:tcPr>
          <w:p w14:paraId="66B2E9B0">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1548</w:t>
            </w:r>
          </w:p>
        </w:tc>
        <w:tc>
          <w:tcPr>
            <w:tcW w:w="450" w:type="pct"/>
            <w:tcBorders>
              <w:top w:val="nil"/>
              <w:left w:val="nil"/>
              <w:bottom w:val="single" w:color="000000" w:sz="8" w:space="0"/>
              <w:right w:val="single" w:color="000000" w:sz="8" w:space="0"/>
            </w:tcBorders>
            <w:shd w:val="clear" w:color="auto" w:fill="auto"/>
            <w:vAlign w:val="center"/>
          </w:tcPr>
          <w:p w14:paraId="40B5F299">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14</w:t>
            </w:r>
          </w:p>
        </w:tc>
      </w:tr>
      <w:tr w14:paraId="4B8245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0" w:hRule="atLeast"/>
          <w:jc w:val="center"/>
        </w:trPr>
        <w:tc>
          <w:tcPr>
            <w:tcW w:w="447" w:type="pct"/>
            <w:tcBorders>
              <w:top w:val="nil"/>
              <w:left w:val="single" w:color="000000" w:sz="8" w:space="0"/>
              <w:bottom w:val="single" w:color="000000" w:sz="8" w:space="0"/>
              <w:right w:val="single" w:color="000000" w:sz="8" w:space="0"/>
            </w:tcBorders>
            <w:shd w:val="clear" w:color="auto" w:fill="auto"/>
            <w:vAlign w:val="center"/>
          </w:tcPr>
          <w:p w14:paraId="27FD0984">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乾佑街办</w:t>
            </w:r>
          </w:p>
        </w:tc>
        <w:tc>
          <w:tcPr>
            <w:tcW w:w="447" w:type="pct"/>
            <w:tcBorders>
              <w:top w:val="nil"/>
              <w:left w:val="nil"/>
              <w:bottom w:val="single" w:color="000000" w:sz="8" w:space="0"/>
              <w:right w:val="single" w:color="000000" w:sz="8" w:space="0"/>
            </w:tcBorders>
            <w:shd w:val="clear" w:color="auto" w:fill="auto"/>
            <w:vAlign w:val="center"/>
          </w:tcPr>
          <w:p w14:paraId="007940E0">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马房子村</w:t>
            </w:r>
          </w:p>
        </w:tc>
        <w:tc>
          <w:tcPr>
            <w:tcW w:w="589" w:type="pct"/>
            <w:tcBorders>
              <w:top w:val="nil"/>
              <w:left w:val="nil"/>
              <w:bottom w:val="single" w:color="000000" w:sz="8" w:space="0"/>
              <w:right w:val="single" w:color="000000" w:sz="8" w:space="0"/>
            </w:tcBorders>
            <w:shd w:val="clear" w:color="auto" w:fill="auto"/>
            <w:vAlign w:val="center"/>
          </w:tcPr>
          <w:p w14:paraId="30874B77">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17140</w:t>
            </w:r>
          </w:p>
        </w:tc>
        <w:tc>
          <w:tcPr>
            <w:tcW w:w="495" w:type="pct"/>
            <w:tcBorders>
              <w:top w:val="nil"/>
              <w:left w:val="nil"/>
              <w:bottom w:val="single" w:color="000000" w:sz="8" w:space="0"/>
              <w:right w:val="single" w:color="000000" w:sz="8" w:space="0"/>
            </w:tcBorders>
            <w:shd w:val="clear" w:color="auto" w:fill="auto"/>
            <w:vAlign w:val="center"/>
          </w:tcPr>
          <w:p w14:paraId="21FF8D09">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164</w:t>
            </w:r>
          </w:p>
        </w:tc>
        <w:tc>
          <w:tcPr>
            <w:tcW w:w="542" w:type="pct"/>
            <w:tcBorders>
              <w:top w:val="nil"/>
              <w:left w:val="nil"/>
              <w:bottom w:val="single" w:color="000000" w:sz="8" w:space="0"/>
              <w:right w:val="single" w:color="000000" w:sz="8" w:space="0"/>
            </w:tcBorders>
            <w:shd w:val="clear" w:color="auto" w:fill="auto"/>
            <w:vAlign w:val="center"/>
          </w:tcPr>
          <w:p w14:paraId="32EE4997">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1244</w:t>
            </w:r>
          </w:p>
        </w:tc>
        <w:tc>
          <w:tcPr>
            <w:tcW w:w="447" w:type="pct"/>
            <w:tcBorders>
              <w:top w:val="nil"/>
              <w:left w:val="nil"/>
              <w:bottom w:val="single" w:color="000000" w:sz="8" w:space="0"/>
              <w:right w:val="single" w:color="000000" w:sz="8" w:space="0"/>
            </w:tcBorders>
            <w:shd w:val="clear" w:color="auto" w:fill="auto"/>
            <w:vAlign w:val="center"/>
          </w:tcPr>
          <w:p w14:paraId="1ABEBE74">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21</w:t>
            </w:r>
          </w:p>
        </w:tc>
        <w:tc>
          <w:tcPr>
            <w:tcW w:w="542" w:type="pct"/>
            <w:tcBorders>
              <w:top w:val="nil"/>
              <w:left w:val="nil"/>
              <w:bottom w:val="single" w:color="000000" w:sz="8" w:space="0"/>
              <w:right w:val="single" w:color="000000" w:sz="8" w:space="0"/>
            </w:tcBorders>
            <w:shd w:val="clear" w:color="auto" w:fill="auto"/>
            <w:vAlign w:val="center"/>
          </w:tcPr>
          <w:p w14:paraId="69B9037D">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6800</w:t>
            </w:r>
          </w:p>
        </w:tc>
        <w:tc>
          <w:tcPr>
            <w:tcW w:w="447" w:type="pct"/>
            <w:tcBorders>
              <w:top w:val="nil"/>
              <w:left w:val="nil"/>
              <w:bottom w:val="single" w:color="000000" w:sz="8" w:space="0"/>
              <w:right w:val="single" w:color="000000" w:sz="8" w:space="0"/>
            </w:tcBorders>
            <w:shd w:val="clear" w:color="auto" w:fill="auto"/>
            <w:vAlign w:val="center"/>
          </w:tcPr>
          <w:p w14:paraId="76243F78">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71</w:t>
            </w:r>
          </w:p>
        </w:tc>
        <w:tc>
          <w:tcPr>
            <w:tcW w:w="589" w:type="pct"/>
            <w:tcBorders>
              <w:top w:val="nil"/>
              <w:left w:val="nil"/>
              <w:bottom w:val="single" w:color="000000" w:sz="8" w:space="0"/>
              <w:right w:val="single" w:color="000000" w:sz="8" w:space="0"/>
            </w:tcBorders>
            <w:shd w:val="clear" w:color="auto" w:fill="auto"/>
            <w:vAlign w:val="center"/>
          </w:tcPr>
          <w:p w14:paraId="63862179">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9096</w:t>
            </w:r>
          </w:p>
        </w:tc>
        <w:tc>
          <w:tcPr>
            <w:tcW w:w="450" w:type="pct"/>
            <w:tcBorders>
              <w:top w:val="nil"/>
              <w:left w:val="nil"/>
              <w:bottom w:val="single" w:color="000000" w:sz="8" w:space="0"/>
              <w:right w:val="single" w:color="000000" w:sz="8" w:space="0"/>
            </w:tcBorders>
            <w:shd w:val="clear" w:color="auto" w:fill="auto"/>
            <w:vAlign w:val="center"/>
          </w:tcPr>
          <w:p w14:paraId="1C6C7930">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72</w:t>
            </w:r>
          </w:p>
        </w:tc>
      </w:tr>
    </w:tbl>
    <w:p w14:paraId="68FC2393">
      <w:pPr>
        <w:rPr>
          <w:rFonts w:hint="eastAsia" w:ascii="宋体" w:hAnsi="宋体" w:eastAsia="宋体" w:cs="宋体"/>
          <w:bCs/>
          <w:sz w:val="24"/>
          <w:szCs w:val="24"/>
          <w:highlight w:val="none"/>
        </w:rPr>
      </w:pPr>
    </w:p>
    <w:p w14:paraId="0F5519F5">
      <w:pPr>
        <w:pStyle w:val="4"/>
        <w:pageBreakBefore w:val="0"/>
        <w:kinsoku/>
        <w:wordWrap/>
        <w:overflowPunct/>
        <w:topLinePunct w:val="0"/>
        <w:autoSpaceDE/>
        <w:autoSpaceDN/>
        <w:bidi w:val="0"/>
        <w:adjustRightInd/>
        <w:snapToGrid/>
        <w:spacing w:line="56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区划调查</w:t>
      </w:r>
    </w:p>
    <w:p w14:paraId="5997D3CD">
      <w:pPr>
        <w:pStyle w:val="5"/>
        <w:pageBreakBefore w:val="0"/>
        <w:kinsoku/>
        <w:wordWrap/>
        <w:overflowPunct/>
        <w:topLinePunct w:val="0"/>
        <w:autoSpaceDE/>
        <w:autoSpaceDN/>
        <w:bidi w:val="0"/>
        <w:adjustRightInd/>
        <w:snapToGrid/>
        <w:spacing w:line="560" w:lineRule="exact"/>
        <w:rPr>
          <w:rFonts w:hint="eastAsia" w:ascii="宋体" w:hAnsi="宋体" w:eastAsia="宋体" w:cs="宋体"/>
          <w:sz w:val="24"/>
          <w:szCs w:val="24"/>
          <w:highlight w:val="none"/>
        </w:rPr>
      </w:pPr>
      <w:bookmarkStart w:id="148" w:name="_Toc4855"/>
      <w:r>
        <w:rPr>
          <w:rFonts w:hint="eastAsia" w:ascii="宋体" w:hAnsi="宋体" w:eastAsia="宋体" w:cs="宋体"/>
          <w:sz w:val="24"/>
          <w:szCs w:val="24"/>
          <w:highlight w:val="none"/>
        </w:rPr>
        <w:t>1作业区确定</w:t>
      </w:r>
      <w:bookmarkEnd w:id="148"/>
    </w:p>
    <w:p w14:paraId="1F99620F">
      <w:pPr>
        <w:pageBreakBefore w:val="0"/>
        <w:kinsoku/>
        <w:wordWrap/>
        <w:overflowPunct/>
        <w:topLinePunct w:val="0"/>
        <w:autoSpaceDE/>
        <w:autoSpaceDN/>
        <w:bidi w:val="0"/>
        <w:adjustRightInd/>
        <w:snapToGrid/>
        <w:spacing w:line="560" w:lineRule="exact"/>
        <w:ind w:firstLine="480" w:firstLineChars="200"/>
        <w:rPr>
          <w:rFonts w:hint="eastAsia" w:ascii="宋体" w:hAnsi="宋体" w:eastAsia="宋体" w:cs="宋体"/>
          <w:sz w:val="24"/>
          <w:szCs w:val="24"/>
          <w:highlight w:val="none"/>
        </w:rPr>
      </w:pPr>
      <w:bookmarkStart w:id="149" w:name="_Toc30529"/>
      <w:bookmarkStart w:id="150" w:name="_Toc14440"/>
      <w:bookmarkStart w:id="151" w:name="_Toc23135"/>
      <w:r>
        <w:rPr>
          <w:rFonts w:hint="eastAsia" w:ascii="宋体" w:hAnsi="宋体" w:eastAsia="宋体" w:cs="宋体"/>
          <w:sz w:val="24"/>
          <w:szCs w:val="24"/>
          <w:highlight w:val="none"/>
        </w:rPr>
        <w:t>依据</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国土绿化项目作业设计用地会审工作规则(试行)</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办生字</w:t>
      </w:r>
      <w:r>
        <w:rPr>
          <w:rFonts w:hint="eastAsia" w:ascii="宋体" w:hAnsi="宋体" w:eastAsia="宋体" w:cs="宋体"/>
          <w:sz w:val="24"/>
          <w:szCs w:val="24"/>
          <w:highlight w:val="none"/>
        </w:rPr>
        <w:t>〔2025〕</w:t>
      </w:r>
      <w:r>
        <w:rPr>
          <w:rFonts w:hint="eastAsia" w:ascii="宋体" w:hAnsi="宋体" w:eastAsia="宋体" w:cs="宋体"/>
          <w:sz w:val="24"/>
          <w:szCs w:val="24"/>
          <w:highlight w:val="none"/>
          <w:lang w:val="en-US" w:eastAsia="zh-CN"/>
        </w:rPr>
        <w:t>74</w:t>
      </w:r>
      <w:r>
        <w:rPr>
          <w:rFonts w:hint="eastAsia" w:ascii="宋体" w:hAnsi="宋体" w:eastAsia="宋体" w:cs="宋体"/>
          <w:sz w:val="24"/>
          <w:szCs w:val="24"/>
          <w:highlight w:val="none"/>
        </w:rPr>
        <w:t>号）</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《退化林修复技术规程》（GB/T44351—2024）及其他相关技术规程的规定，结合项目要求，以柞水县2023年国土变更调查数据库和202</w:t>
      </w:r>
      <w:r>
        <w:rPr>
          <w:rFonts w:hint="eastAsia" w:ascii="宋体" w:hAnsi="宋体" w:eastAsia="宋体" w:cs="宋体"/>
          <w:sz w:val="24"/>
          <w:szCs w:val="24"/>
          <w:highlight w:val="none"/>
          <w:lang w:val="en-US" w:eastAsia="zh-CN"/>
        </w:rPr>
        <w:t>3</w:t>
      </w:r>
      <w:r>
        <w:rPr>
          <w:rFonts w:hint="eastAsia" w:ascii="宋体" w:hAnsi="宋体" w:eastAsia="宋体" w:cs="宋体"/>
          <w:sz w:val="24"/>
          <w:szCs w:val="24"/>
          <w:highlight w:val="none"/>
        </w:rPr>
        <w:t>年林草生态综合检测成果数据为基础，</w:t>
      </w:r>
      <w:r>
        <w:rPr>
          <w:rFonts w:hint="eastAsia" w:ascii="宋体" w:hAnsi="宋体" w:eastAsia="宋体" w:cs="宋体"/>
          <w:sz w:val="24"/>
          <w:szCs w:val="24"/>
          <w:highlight w:val="none"/>
          <w:lang w:val="en-US" w:eastAsia="zh-CN"/>
        </w:rPr>
        <w:t>进行数据叠加分析，</w:t>
      </w:r>
      <w:r>
        <w:rPr>
          <w:rFonts w:hint="eastAsia" w:ascii="宋体" w:hAnsi="宋体" w:eastAsia="宋体" w:cs="宋体"/>
          <w:sz w:val="24"/>
          <w:szCs w:val="24"/>
          <w:highlight w:val="none"/>
        </w:rPr>
        <w:t>初步筛选出作业区范围</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确定踏查区域</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经林业主管部门、自然资源主管部门共同进行项目作业设计用地会审后</w:t>
      </w:r>
      <w:r>
        <w:rPr>
          <w:rFonts w:hint="eastAsia" w:ascii="宋体" w:hAnsi="宋体" w:eastAsia="宋体" w:cs="宋体"/>
          <w:kern w:val="2"/>
          <w:sz w:val="24"/>
          <w:szCs w:val="24"/>
          <w:highlight w:val="none"/>
          <w:lang w:bidi="ar-SA"/>
        </w:rPr>
        <w:t>，选定符合的地块</w:t>
      </w:r>
      <w:r>
        <w:rPr>
          <w:rFonts w:hint="eastAsia" w:ascii="宋体" w:hAnsi="宋体" w:eastAsia="宋体" w:cs="宋体"/>
          <w:sz w:val="24"/>
          <w:szCs w:val="24"/>
          <w:highlight w:val="none"/>
        </w:rPr>
        <w:t>。</w:t>
      </w:r>
      <w:bookmarkStart w:id="152" w:name="_Toc6725"/>
    </w:p>
    <w:p w14:paraId="34DAB260">
      <w:pPr>
        <w:pageBreakBefore w:val="0"/>
        <w:kinsoku/>
        <w:wordWrap/>
        <w:overflowPunct/>
        <w:topLinePunct w:val="0"/>
        <w:autoSpaceDE/>
        <w:autoSpaceDN/>
        <w:bidi w:val="0"/>
        <w:adjustRightInd/>
        <w:snapToGrid/>
        <w:spacing w:line="560" w:lineRule="exact"/>
        <w:rPr>
          <w:rFonts w:hint="eastAsia" w:ascii="宋体" w:hAnsi="宋体" w:eastAsia="宋体" w:cs="宋体"/>
          <w:sz w:val="24"/>
          <w:szCs w:val="24"/>
          <w:highlight w:val="none"/>
        </w:rPr>
      </w:pPr>
      <w:r>
        <w:rPr>
          <w:rFonts w:hint="eastAsia" w:ascii="宋体" w:hAnsi="宋体" w:eastAsia="宋体" w:cs="宋体"/>
          <w:sz w:val="24"/>
          <w:szCs w:val="24"/>
          <w:highlight w:val="none"/>
        </w:rPr>
        <w:t>2小班区划</w:t>
      </w:r>
      <w:bookmarkEnd w:id="149"/>
      <w:bookmarkEnd w:id="150"/>
      <w:bookmarkEnd w:id="151"/>
      <w:bookmarkEnd w:id="152"/>
    </w:p>
    <w:p w14:paraId="7C599810">
      <w:pPr>
        <w:pStyle w:val="6"/>
        <w:pageBreakBefore w:val="0"/>
        <w:kinsoku/>
        <w:wordWrap/>
        <w:overflowPunct/>
        <w:topLinePunct w:val="0"/>
        <w:autoSpaceDE/>
        <w:autoSpaceDN/>
        <w:bidi w:val="0"/>
        <w:adjustRightInd/>
        <w:snapToGrid/>
        <w:spacing w:line="560" w:lineRule="exact"/>
        <w:jc w:val="both"/>
        <w:rPr>
          <w:rFonts w:hint="eastAsia" w:ascii="宋体" w:hAnsi="宋体" w:eastAsia="宋体" w:cs="宋体"/>
          <w:sz w:val="24"/>
          <w:szCs w:val="24"/>
          <w:highlight w:val="none"/>
        </w:rPr>
      </w:pPr>
      <w:bookmarkStart w:id="153" w:name="_Toc31230"/>
      <w:bookmarkStart w:id="154" w:name="_Toc18942"/>
      <w:bookmarkStart w:id="155" w:name="_Toc12198"/>
      <w:bookmarkStart w:id="156" w:name="_Toc943"/>
      <w:r>
        <w:rPr>
          <w:rFonts w:hint="eastAsia" w:ascii="宋体" w:hAnsi="宋体" w:eastAsia="宋体" w:cs="宋体"/>
          <w:sz w:val="24"/>
          <w:szCs w:val="24"/>
          <w:highlight w:val="none"/>
        </w:rPr>
        <w:t>2.1 区划体系</w:t>
      </w:r>
    </w:p>
    <w:p w14:paraId="68AB5810">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宋体" w:hAnsi="宋体" w:eastAsia="宋体" w:cs="宋体"/>
          <w:sz w:val="24"/>
          <w:szCs w:val="24"/>
          <w:highlight w:val="none"/>
        </w:rPr>
      </w:pPr>
      <w:r>
        <w:rPr>
          <w:rFonts w:hint="default" w:ascii="宋体" w:hAnsi="宋体" w:eastAsia="宋体" w:cs="宋体"/>
          <w:kern w:val="2"/>
          <w:sz w:val="24"/>
          <w:szCs w:val="24"/>
          <w:lang w:val="en-US" w:eastAsia="zh-CN" w:bidi="ar-SA"/>
        </w:rPr>
        <w:t>(1)</w:t>
      </w:r>
      <w:r>
        <w:rPr>
          <w:rFonts w:hint="eastAsia" w:ascii="宋体" w:hAnsi="宋体" w:eastAsia="宋体" w:cs="宋体"/>
          <w:sz w:val="24"/>
          <w:szCs w:val="24"/>
          <w:highlight w:val="none"/>
        </w:rPr>
        <w:t>采用镇（办）、村（作业区）、小班三级区划。</w:t>
      </w:r>
    </w:p>
    <w:p w14:paraId="390B487E">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宋体" w:hAnsi="宋体" w:eastAsia="宋体" w:cs="宋体"/>
          <w:sz w:val="24"/>
          <w:szCs w:val="24"/>
          <w:highlight w:val="none"/>
        </w:rPr>
      </w:pPr>
      <w:r>
        <w:rPr>
          <w:rFonts w:hint="default" w:ascii="宋体" w:hAnsi="宋体" w:eastAsia="宋体" w:cs="宋体"/>
          <w:kern w:val="2"/>
          <w:sz w:val="24"/>
          <w:szCs w:val="24"/>
          <w:lang w:val="en-US" w:eastAsia="zh-CN" w:bidi="ar-SA"/>
        </w:rPr>
        <w:t>(2)</w:t>
      </w:r>
      <w:r>
        <w:rPr>
          <w:rFonts w:hint="eastAsia" w:ascii="宋体" w:hAnsi="宋体" w:eastAsia="宋体" w:cs="宋体"/>
          <w:sz w:val="24"/>
          <w:szCs w:val="24"/>
          <w:highlight w:val="none"/>
        </w:rPr>
        <w:t>作业区为一级统计单位，基于自然地形进行划分，确保不跨越镇（村）的行政界限。</w:t>
      </w:r>
    </w:p>
    <w:p w14:paraId="7A550D4E">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宋体" w:hAnsi="宋体" w:eastAsia="宋体" w:cs="宋体"/>
          <w:sz w:val="24"/>
          <w:szCs w:val="24"/>
          <w:highlight w:val="none"/>
          <w:lang w:eastAsia="zh-CN"/>
        </w:rPr>
      </w:pPr>
      <w:r>
        <w:rPr>
          <w:rFonts w:hint="default" w:ascii="宋体" w:hAnsi="宋体" w:eastAsia="宋体" w:cs="宋体"/>
          <w:kern w:val="2"/>
          <w:sz w:val="24"/>
          <w:szCs w:val="24"/>
          <w:lang w:val="en-US" w:eastAsia="zh-CN" w:bidi="ar-SA"/>
        </w:rPr>
        <w:t>(3)</w:t>
      </w:r>
      <w:r>
        <w:rPr>
          <w:rFonts w:hint="eastAsia" w:ascii="宋体" w:hAnsi="宋体" w:eastAsia="宋体" w:cs="宋体"/>
          <w:sz w:val="24"/>
          <w:szCs w:val="24"/>
          <w:highlight w:val="none"/>
        </w:rPr>
        <w:t>小班主要依据地类、立地条件以及植被现状等关键因素</w:t>
      </w:r>
      <w:r>
        <w:rPr>
          <w:rFonts w:hint="eastAsia" w:ascii="宋体" w:hAnsi="宋体" w:eastAsia="宋体" w:cs="宋体"/>
          <w:sz w:val="24"/>
          <w:szCs w:val="24"/>
          <w:highlight w:val="none"/>
          <w:lang w:val="en-US" w:eastAsia="zh-CN"/>
        </w:rPr>
        <w:t>进行区划</w:t>
      </w:r>
      <w:r>
        <w:rPr>
          <w:rFonts w:hint="eastAsia" w:ascii="宋体" w:hAnsi="宋体" w:eastAsia="宋体" w:cs="宋体"/>
          <w:sz w:val="24"/>
          <w:szCs w:val="24"/>
          <w:highlight w:val="none"/>
        </w:rPr>
        <w:t>。</w:t>
      </w:r>
    </w:p>
    <w:p w14:paraId="51EBFF5B">
      <w:pPr>
        <w:pStyle w:val="6"/>
        <w:pageBreakBefore w:val="0"/>
        <w:kinsoku/>
        <w:wordWrap/>
        <w:overflowPunct/>
        <w:topLinePunct w:val="0"/>
        <w:autoSpaceDE/>
        <w:autoSpaceDN/>
        <w:bidi w:val="0"/>
        <w:adjustRightInd/>
        <w:snapToGrid/>
        <w:spacing w:line="560" w:lineRule="exact"/>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2.2 区划方法</w:t>
      </w:r>
    </w:p>
    <w:p w14:paraId="412CCEAD">
      <w:pPr>
        <w:pageBreakBefore w:val="0"/>
        <w:kinsoku/>
        <w:wordWrap/>
        <w:overflowPunct/>
        <w:topLinePunct w:val="0"/>
        <w:autoSpaceDE/>
        <w:autoSpaceDN/>
        <w:bidi w:val="0"/>
        <w:adjustRightInd/>
        <w:snapToGrid/>
        <w:spacing w:line="560" w:lineRule="exact"/>
        <w:ind w:firstLine="480" w:firstLineChars="20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县界、镇（街道）界、行政村界等行政区划界线沿用自森林资源规划设计调查的行政区划界。小班区划利用1:10000比例尺的卫星影像图根据不同的立地类型进行区划，通过</w:t>
      </w:r>
      <w:r>
        <w:rPr>
          <w:rFonts w:hint="eastAsia" w:ascii="宋体" w:hAnsi="宋体" w:eastAsia="宋体" w:cs="宋体"/>
          <w:sz w:val="24"/>
          <w:szCs w:val="24"/>
          <w:highlight w:val="none"/>
          <w:lang w:val="en-US" w:eastAsia="zh-CN"/>
        </w:rPr>
        <w:t>现地调查后修正</w:t>
      </w:r>
      <w:r>
        <w:rPr>
          <w:rFonts w:hint="eastAsia" w:ascii="宋体" w:hAnsi="宋体" w:eastAsia="宋体" w:cs="宋体"/>
          <w:sz w:val="24"/>
          <w:szCs w:val="24"/>
          <w:highlight w:val="none"/>
        </w:rPr>
        <w:t>小班</w:t>
      </w:r>
      <w:r>
        <w:rPr>
          <w:rFonts w:hint="eastAsia" w:ascii="宋体" w:hAnsi="宋体" w:eastAsia="宋体" w:cs="宋体"/>
          <w:sz w:val="24"/>
          <w:szCs w:val="24"/>
          <w:highlight w:val="none"/>
          <w:lang w:val="en-US" w:eastAsia="zh-CN"/>
        </w:rPr>
        <w:t>边界</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小班的编号以行政村为单位进行统一编号。</w:t>
      </w:r>
    </w:p>
    <w:p w14:paraId="5619422D">
      <w:pPr>
        <w:pStyle w:val="5"/>
        <w:pageBreakBefore w:val="0"/>
        <w:kinsoku/>
        <w:wordWrap/>
        <w:overflowPunct/>
        <w:topLinePunct w:val="0"/>
        <w:autoSpaceDE/>
        <w:autoSpaceDN/>
        <w:bidi w:val="0"/>
        <w:adjustRightInd/>
        <w:snapToGrid/>
        <w:spacing w:line="560" w:lineRule="exact"/>
        <w:rPr>
          <w:rFonts w:hint="eastAsia" w:ascii="宋体" w:hAnsi="宋体" w:eastAsia="宋体" w:cs="宋体"/>
          <w:sz w:val="24"/>
          <w:szCs w:val="24"/>
          <w:highlight w:val="none"/>
        </w:rPr>
      </w:pPr>
      <w:bookmarkStart w:id="157" w:name="_Toc15654"/>
      <w:r>
        <w:rPr>
          <w:rFonts w:hint="eastAsia" w:ascii="宋体" w:hAnsi="宋体" w:eastAsia="宋体" w:cs="宋体"/>
          <w:sz w:val="24"/>
          <w:szCs w:val="24"/>
          <w:highlight w:val="none"/>
        </w:rPr>
        <w:t>3小班调查</w:t>
      </w:r>
      <w:bookmarkEnd w:id="153"/>
      <w:bookmarkEnd w:id="154"/>
      <w:bookmarkEnd w:id="155"/>
      <w:bookmarkEnd w:id="156"/>
      <w:bookmarkEnd w:id="157"/>
      <w:bookmarkStart w:id="158" w:name="_Toc27156"/>
      <w:bookmarkStart w:id="159" w:name="_Toc7139"/>
    </w:p>
    <w:p w14:paraId="2699AE3D">
      <w:pPr>
        <w:pStyle w:val="5"/>
        <w:pageBreakBefore w:val="0"/>
        <w:kinsoku/>
        <w:wordWrap/>
        <w:overflowPunct/>
        <w:topLinePunct w:val="0"/>
        <w:autoSpaceDE/>
        <w:autoSpaceDN/>
        <w:bidi w:val="0"/>
        <w:adjustRightInd/>
        <w:snapToGrid/>
        <w:spacing w:line="560" w:lineRule="exact"/>
        <w:rPr>
          <w:rFonts w:hint="eastAsia" w:ascii="宋体" w:hAnsi="宋体" w:eastAsia="宋体" w:cs="宋体"/>
          <w:sz w:val="24"/>
          <w:szCs w:val="24"/>
          <w:highlight w:val="none"/>
        </w:rPr>
      </w:pPr>
      <w:r>
        <w:rPr>
          <w:rFonts w:hint="eastAsia" w:ascii="宋体" w:hAnsi="宋体" w:eastAsia="宋体" w:cs="宋体"/>
          <w:sz w:val="24"/>
          <w:szCs w:val="24"/>
          <w:highlight w:val="none"/>
        </w:rPr>
        <w:t>3.1 初步判读</w:t>
      </w:r>
    </w:p>
    <w:p w14:paraId="2C87DE20">
      <w:pPr>
        <w:pageBreakBefore w:val="0"/>
        <w:kinsoku/>
        <w:wordWrap/>
        <w:overflowPunct/>
        <w:topLinePunct w:val="0"/>
        <w:autoSpaceDE/>
        <w:autoSpaceDN/>
        <w:bidi w:val="0"/>
        <w:adjustRightInd/>
        <w:snapToGrid/>
        <w:spacing w:line="560" w:lineRule="exact"/>
        <w:ind w:firstLine="480" w:firstLineChars="200"/>
        <w:rPr>
          <w:rFonts w:hint="eastAsia" w:ascii="宋体" w:hAnsi="宋体" w:eastAsia="宋体" w:cs="宋体"/>
          <w:kern w:val="2"/>
          <w:sz w:val="24"/>
          <w:szCs w:val="24"/>
          <w:highlight w:val="none"/>
          <w:lang w:bidi="ar-SA"/>
        </w:rPr>
      </w:pPr>
      <w:r>
        <w:rPr>
          <w:rFonts w:hint="eastAsia" w:ascii="宋体" w:hAnsi="宋体" w:eastAsia="宋体" w:cs="宋体"/>
          <w:kern w:val="2"/>
          <w:sz w:val="24"/>
          <w:szCs w:val="24"/>
          <w:highlight w:val="none"/>
          <w:lang w:bidi="ar-SA"/>
        </w:rPr>
        <w:t>开展外业调查前，核对作业区域的面积，以Arcgis软件的计算结果为准</w:t>
      </w:r>
      <w:r>
        <w:rPr>
          <w:rFonts w:hint="eastAsia" w:ascii="宋体" w:hAnsi="宋体" w:eastAsia="宋体" w:cs="宋体"/>
          <w:kern w:val="2"/>
          <w:sz w:val="24"/>
          <w:szCs w:val="24"/>
          <w:highlight w:val="none"/>
          <w:lang w:eastAsia="zh-CN" w:bidi="ar-SA"/>
        </w:rPr>
        <w:t>，</w:t>
      </w:r>
      <w:r>
        <w:rPr>
          <w:rFonts w:hint="eastAsia" w:ascii="宋体" w:hAnsi="宋体" w:eastAsia="宋体" w:cs="宋体"/>
          <w:sz w:val="24"/>
          <w:szCs w:val="24"/>
          <w:highlight w:val="none"/>
        </w:rPr>
        <w:t>利用1:10000比例尺的卫星影像</w:t>
      </w:r>
      <w:r>
        <w:rPr>
          <w:rFonts w:hint="eastAsia" w:ascii="宋体" w:hAnsi="宋体" w:eastAsia="宋体" w:cs="宋体"/>
          <w:kern w:val="2"/>
          <w:sz w:val="24"/>
          <w:szCs w:val="24"/>
          <w:highlight w:val="none"/>
          <w:lang w:bidi="ar-SA"/>
        </w:rPr>
        <w:t>作为工作底图</w:t>
      </w:r>
      <w:r>
        <w:rPr>
          <w:rFonts w:hint="eastAsia" w:ascii="宋体" w:hAnsi="宋体" w:eastAsia="宋体" w:cs="宋体"/>
          <w:sz w:val="24"/>
          <w:szCs w:val="24"/>
          <w:highlight w:val="none"/>
          <w:lang w:val="en-US" w:eastAsia="zh-CN"/>
        </w:rPr>
        <w:t>进行</w:t>
      </w:r>
      <w:r>
        <w:rPr>
          <w:rFonts w:hint="eastAsia" w:ascii="宋体" w:hAnsi="宋体" w:eastAsia="宋体" w:cs="宋体"/>
          <w:kern w:val="2"/>
          <w:sz w:val="24"/>
          <w:szCs w:val="24"/>
          <w:highlight w:val="none"/>
          <w:lang w:bidi="ar-SA"/>
        </w:rPr>
        <w:t>区划。</w:t>
      </w:r>
    </w:p>
    <w:p w14:paraId="3DDCC0C6">
      <w:pPr>
        <w:pStyle w:val="5"/>
        <w:pageBreakBefore w:val="0"/>
        <w:kinsoku/>
        <w:wordWrap/>
        <w:overflowPunct/>
        <w:topLinePunct w:val="0"/>
        <w:autoSpaceDE/>
        <w:autoSpaceDN/>
        <w:bidi w:val="0"/>
        <w:adjustRightInd/>
        <w:snapToGrid/>
        <w:spacing w:line="560" w:lineRule="exact"/>
        <w:rPr>
          <w:rFonts w:hint="eastAsia" w:ascii="宋体" w:hAnsi="宋体" w:eastAsia="宋体" w:cs="宋体"/>
          <w:sz w:val="24"/>
          <w:szCs w:val="24"/>
          <w:highlight w:val="none"/>
        </w:rPr>
      </w:pPr>
      <w:r>
        <w:rPr>
          <w:rFonts w:hint="eastAsia" w:ascii="宋体" w:hAnsi="宋体" w:eastAsia="宋体" w:cs="宋体"/>
          <w:sz w:val="24"/>
          <w:szCs w:val="24"/>
          <w:highlight w:val="none"/>
        </w:rPr>
        <w:t>3.2外业调查</w:t>
      </w:r>
      <w:bookmarkEnd w:id="158"/>
      <w:bookmarkEnd w:id="159"/>
    </w:p>
    <w:p w14:paraId="5E68336C">
      <w:pPr>
        <w:pageBreakBefore w:val="0"/>
        <w:kinsoku/>
        <w:wordWrap/>
        <w:overflowPunct/>
        <w:topLinePunct w:val="0"/>
        <w:autoSpaceDE/>
        <w:autoSpaceDN/>
        <w:bidi w:val="0"/>
        <w:adjustRightInd/>
        <w:snapToGrid/>
        <w:spacing w:line="56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在进行外业调查时，利用手持平板电脑进行精确定位，进行现</w:t>
      </w:r>
      <w:r>
        <w:rPr>
          <w:rFonts w:hint="eastAsia" w:ascii="宋体" w:hAnsi="宋体" w:eastAsia="宋体" w:cs="宋体"/>
          <w:sz w:val="24"/>
          <w:szCs w:val="24"/>
          <w:highlight w:val="none"/>
          <w:lang w:val="en-US" w:eastAsia="zh-CN"/>
        </w:rPr>
        <w:t>地调查</w:t>
      </w:r>
      <w:r>
        <w:rPr>
          <w:rFonts w:hint="eastAsia" w:ascii="宋体" w:hAnsi="宋体" w:eastAsia="宋体" w:cs="宋体"/>
          <w:sz w:val="24"/>
          <w:szCs w:val="24"/>
          <w:highlight w:val="none"/>
        </w:rPr>
        <w:t>。依据林分的当前状况，</w:t>
      </w:r>
      <w:r>
        <w:rPr>
          <w:rFonts w:hint="eastAsia" w:ascii="宋体" w:hAnsi="宋体" w:eastAsia="宋体" w:cs="宋体"/>
          <w:sz w:val="24"/>
          <w:szCs w:val="24"/>
          <w:highlight w:val="none"/>
          <w:lang w:val="en-US" w:eastAsia="zh-CN"/>
        </w:rPr>
        <w:t>修正</w:t>
      </w:r>
      <w:r>
        <w:rPr>
          <w:rFonts w:hint="eastAsia" w:ascii="宋体" w:hAnsi="宋体" w:eastAsia="宋体" w:cs="宋体"/>
          <w:sz w:val="24"/>
          <w:szCs w:val="24"/>
          <w:highlight w:val="none"/>
        </w:rPr>
        <w:t>小班边界，并精确测量小班的面积。对于退化林的调查，详细记录小班的</w:t>
      </w:r>
      <w:r>
        <w:rPr>
          <w:rFonts w:hint="eastAsia" w:ascii="宋体" w:hAnsi="宋体" w:eastAsia="宋体" w:cs="宋体"/>
          <w:sz w:val="24"/>
          <w:szCs w:val="24"/>
          <w:highlight w:val="none"/>
          <w:lang w:val="en-US" w:eastAsia="zh-CN"/>
        </w:rPr>
        <w:t>退化原因、退化类型、退化等级、</w:t>
      </w:r>
      <w:r>
        <w:rPr>
          <w:rFonts w:hint="eastAsia" w:ascii="宋体" w:hAnsi="宋体" w:eastAsia="宋体" w:cs="宋体"/>
          <w:sz w:val="24"/>
          <w:szCs w:val="24"/>
          <w:highlight w:val="none"/>
        </w:rPr>
        <w:t>立地特征（包括坡向、坡度、坡位、海拔、土壤类型、土壤质地以及土层厚度等）和植被状况（包括地类、林种、龄组、树种组成、郁闭度以及灌草覆盖度等）</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现地填写小班现状调查表。</w:t>
      </w:r>
      <w:bookmarkStart w:id="160" w:name="_Toc18385"/>
      <w:bookmarkStart w:id="161" w:name="_Toc1892"/>
    </w:p>
    <w:bookmarkEnd w:id="160"/>
    <w:bookmarkEnd w:id="161"/>
    <w:p w14:paraId="373B37D2">
      <w:pPr>
        <w:pageBreakBefore w:val="0"/>
        <w:kinsoku/>
        <w:wordWrap/>
        <w:overflowPunct/>
        <w:topLinePunct w:val="0"/>
        <w:autoSpaceDE/>
        <w:autoSpaceDN/>
        <w:bidi w:val="0"/>
        <w:adjustRightInd/>
        <w:snapToGrid/>
        <w:spacing w:line="560" w:lineRule="exact"/>
        <w:rPr>
          <w:rFonts w:hint="eastAsia" w:ascii="宋体" w:hAnsi="宋体" w:eastAsia="宋体" w:cs="宋体"/>
          <w:b/>
          <w:bCs/>
          <w:sz w:val="24"/>
          <w:szCs w:val="24"/>
          <w:highlight w:val="none"/>
        </w:rPr>
      </w:pPr>
      <w:bookmarkStart w:id="162" w:name="_Toc11730"/>
      <w:bookmarkStart w:id="163" w:name="_Toc11885"/>
      <w:bookmarkStart w:id="164" w:name="_Toc17107"/>
      <w:r>
        <w:rPr>
          <w:rFonts w:hint="eastAsia" w:ascii="宋体" w:hAnsi="宋体" w:eastAsia="宋体" w:cs="宋体"/>
          <w:b/>
          <w:bCs/>
          <w:sz w:val="24"/>
          <w:szCs w:val="24"/>
          <w:highlight w:val="none"/>
        </w:rPr>
        <w:t>3.3样地调查</w:t>
      </w:r>
    </w:p>
    <w:p w14:paraId="4F631E96">
      <w:pPr>
        <w:pageBreakBefore w:val="0"/>
        <w:kinsoku/>
        <w:wordWrap/>
        <w:overflowPunct/>
        <w:topLinePunct w:val="0"/>
        <w:autoSpaceDE/>
        <w:autoSpaceDN/>
        <w:bidi w:val="0"/>
        <w:adjustRightInd/>
        <w:snapToGrid/>
        <w:spacing w:line="560" w:lineRule="exact"/>
        <w:ind w:firstLine="480" w:firstLineChars="200"/>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小班因子调查采用标准化调查方法，依据作业小班内森林资源的分布和生长状况，采用典型或机械布设的方式设置标准地，每块标准地的面积为1亩，样地规格为25.82米×25.82米，本次退化林修复共184个小班，共布设184个标准地。</w:t>
      </w:r>
    </w:p>
    <w:p w14:paraId="46F553C1">
      <w:pPr>
        <w:pageBreakBefore w:val="0"/>
        <w:kinsoku/>
        <w:wordWrap/>
        <w:overflowPunct/>
        <w:topLinePunct w:val="0"/>
        <w:autoSpaceDE/>
        <w:autoSpaceDN/>
        <w:bidi w:val="0"/>
        <w:adjustRightInd/>
        <w:snapToGrid/>
        <w:spacing w:line="560" w:lineRule="exact"/>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3.4 调查要求</w:t>
      </w:r>
    </w:p>
    <w:p w14:paraId="3B87DAAC">
      <w:pPr>
        <w:pageBreakBefore w:val="0"/>
        <w:kinsoku/>
        <w:wordWrap/>
        <w:overflowPunct/>
        <w:topLinePunct w:val="0"/>
        <w:autoSpaceDE/>
        <w:autoSpaceDN/>
        <w:bidi w:val="0"/>
        <w:adjustRightInd/>
        <w:snapToGrid/>
        <w:spacing w:line="560" w:lineRule="exact"/>
        <w:ind w:firstLine="480" w:firstLineChars="200"/>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郁闭度调查。本次小班郁闭度调查依托于柞水县2023年国土变更调查数据库以及2023年林草生态综合监测数据成果，通过在实地设置样线进行补充调查。</w:t>
      </w:r>
    </w:p>
    <w:p w14:paraId="3DF9E71D">
      <w:pPr>
        <w:pageBreakBefore w:val="0"/>
        <w:kinsoku/>
        <w:wordWrap/>
        <w:overflowPunct/>
        <w:topLinePunct w:val="0"/>
        <w:autoSpaceDE/>
        <w:autoSpaceDN/>
        <w:bidi w:val="0"/>
        <w:adjustRightInd/>
        <w:snapToGrid/>
        <w:spacing w:line="560" w:lineRule="exact"/>
        <w:ind w:firstLine="480" w:firstLineChars="200"/>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郁闭度的调查采用样线法，即在每个林班内随机布设长度为100米的样线，每隔1米利用抬头垂直仰视的方式，判断该样点是否被树冠所覆盖，并统计覆盖的样点数量。</w:t>
      </w:r>
    </w:p>
    <w:p w14:paraId="64EC4E4C">
      <w:pPr>
        <w:pageBreakBefore w:val="0"/>
        <w:kinsoku/>
        <w:wordWrap/>
        <w:overflowPunct/>
        <w:topLinePunct w:val="0"/>
        <w:autoSpaceDE/>
        <w:autoSpaceDN/>
        <w:bidi w:val="0"/>
        <w:adjustRightInd/>
        <w:snapToGrid/>
        <w:spacing w:line="560" w:lineRule="exact"/>
        <w:rPr>
          <w:rFonts w:hint="eastAsia" w:ascii="宋体" w:hAnsi="宋体" w:eastAsia="宋体" w:cs="宋体"/>
          <w:b/>
          <w:bCs/>
          <w:sz w:val="24"/>
          <w:szCs w:val="24"/>
          <w:highlight w:val="none"/>
        </w:rPr>
      </w:pPr>
      <w:r>
        <w:rPr>
          <w:rFonts w:hint="eastAsia" w:ascii="宋体" w:hAnsi="宋体" w:eastAsia="宋体" w:cs="宋体"/>
          <w:b w:val="0"/>
          <w:bCs w:val="0"/>
          <w:sz w:val="24"/>
          <w:szCs w:val="24"/>
          <w:highlight w:val="none"/>
        </w:rPr>
        <w:t>郁闭度的计算公式为：郁闭度=树冠覆盖样点数/总样点数。</w:t>
      </w:r>
    </w:p>
    <w:p w14:paraId="373FA8B4">
      <w:pPr>
        <w:pageBreakBefore w:val="0"/>
        <w:kinsoku/>
        <w:wordWrap/>
        <w:overflowPunct/>
        <w:topLinePunct w:val="0"/>
        <w:autoSpaceDE/>
        <w:autoSpaceDN/>
        <w:bidi w:val="0"/>
        <w:adjustRightInd/>
        <w:snapToGrid/>
        <w:spacing w:line="560" w:lineRule="exact"/>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3.5林龄确定</w:t>
      </w:r>
    </w:p>
    <w:p w14:paraId="0E38F93C">
      <w:pPr>
        <w:pageBreakBefore w:val="0"/>
        <w:kinsoku/>
        <w:wordWrap/>
        <w:overflowPunct/>
        <w:topLinePunct w:val="0"/>
        <w:autoSpaceDE/>
        <w:autoSpaceDN/>
        <w:bidi w:val="0"/>
        <w:adjustRightInd/>
        <w:snapToGrid/>
        <w:spacing w:line="560" w:lineRule="exact"/>
        <w:ind w:firstLine="480" w:firstLineChars="200"/>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按现地调查及访问周边村民确定。</w:t>
      </w:r>
    </w:p>
    <w:p w14:paraId="775CBD17">
      <w:pPr>
        <w:pageBreakBefore w:val="0"/>
        <w:kinsoku/>
        <w:wordWrap/>
        <w:overflowPunct/>
        <w:topLinePunct w:val="0"/>
        <w:autoSpaceDE/>
        <w:autoSpaceDN/>
        <w:bidi w:val="0"/>
        <w:adjustRightInd/>
        <w:snapToGrid/>
        <w:spacing w:line="560" w:lineRule="exact"/>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3.6林分平均高</w:t>
      </w:r>
    </w:p>
    <w:p w14:paraId="72428BF3">
      <w:pPr>
        <w:pageBreakBefore w:val="0"/>
        <w:kinsoku/>
        <w:wordWrap/>
        <w:overflowPunct/>
        <w:topLinePunct w:val="0"/>
        <w:autoSpaceDE/>
        <w:autoSpaceDN/>
        <w:bidi w:val="0"/>
        <w:adjustRightInd/>
        <w:snapToGrid/>
        <w:spacing w:line="560" w:lineRule="exact"/>
        <w:ind w:firstLine="480" w:firstLineChars="200"/>
        <w:rPr>
          <w:rFonts w:hint="eastAsia" w:ascii="宋体" w:hAnsi="宋体" w:eastAsia="宋体" w:cs="宋体"/>
          <w:b/>
          <w:bCs/>
          <w:sz w:val="24"/>
          <w:szCs w:val="24"/>
          <w:highlight w:val="none"/>
        </w:rPr>
      </w:pPr>
      <w:r>
        <w:rPr>
          <w:rFonts w:hint="eastAsia" w:ascii="宋体" w:hAnsi="宋体" w:eastAsia="宋体" w:cs="宋体"/>
          <w:b w:val="0"/>
          <w:bCs w:val="0"/>
          <w:sz w:val="24"/>
          <w:szCs w:val="24"/>
          <w:highlight w:val="none"/>
        </w:rPr>
        <w:t>根据标准地内各树种树高与株数进行算术平均，计算林分平均高。</w:t>
      </w:r>
    </w:p>
    <w:p w14:paraId="47D5DC71">
      <w:pPr>
        <w:pageBreakBefore w:val="0"/>
        <w:kinsoku/>
        <w:wordWrap/>
        <w:overflowPunct/>
        <w:topLinePunct w:val="0"/>
        <w:autoSpaceDE/>
        <w:autoSpaceDN/>
        <w:bidi w:val="0"/>
        <w:adjustRightInd/>
        <w:snapToGrid/>
        <w:spacing w:line="560" w:lineRule="exact"/>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3.7林分平均胸径</w:t>
      </w:r>
    </w:p>
    <w:p w14:paraId="37D21174">
      <w:pPr>
        <w:pageBreakBefore w:val="0"/>
        <w:kinsoku/>
        <w:wordWrap/>
        <w:overflowPunct/>
        <w:topLinePunct w:val="0"/>
        <w:autoSpaceDE/>
        <w:autoSpaceDN/>
        <w:bidi w:val="0"/>
        <w:adjustRightInd/>
        <w:snapToGrid/>
        <w:spacing w:line="560" w:lineRule="exact"/>
        <w:ind w:firstLine="480" w:firstLineChars="200"/>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根据标准地内各树种各径阶胸径平方值与各径阶树木株数进行加权平均，计算林分平均胸径。</w:t>
      </w:r>
    </w:p>
    <w:p w14:paraId="2090FC6B">
      <w:pPr>
        <w:pageBreakBefore w:val="0"/>
        <w:kinsoku/>
        <w:wordWrap/>
        <w:overflowPunct/>
        <w:topLinePunct w:val="0"/>
        <w:autoSpaceDE/>
        <w:autoSpaceDN/>
        <w:bidi w:val="0"/>
        <w:adjustRightInd/>
        <w:snapToGrid/>
        <w:spacing w:line="560" w:lineRule="exact"/>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4调查结果</w:t>
      </w:r>
    </w:p>
    <w:p w14:paraId="6C573756">
      <w:pPr>
        <w:pageBreakBefore w:val="0"/>
        <w:kinsoku/>
        <w:wordWrap/>
        <w:overflowPunct/>
        <w:topLinePunct w:val="0"/>
        <w:autoSpaceDE/>
        <w:autoSpaceDN/>
        <w:bidi w:val="0"/>
        <w:adjustRightInd/>
        <w:snapToGrid/>
        <w:spacing w:line="560" w:lineRule="exact"/>
        <w:ind w:firstLine="480" w:firstLineChars="200"/>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通过实地调查，项目区共划定了184个退化林修复作业小班，调查总面积达到20530.2亩，其中可作业面积为20000亩，小班最低海拔896米，最高海拔1450米，平均海拔1170米，不涉及自然保护区核心区。</w:t>
      </w:r>
    </w:p>
    <w:p w14:paraId="02BE3426">
      <w:pPr>
        <w:pageBreakBefore w:val="0"/>
        <w:kinsoku/>
        <w:wordWrap/>
        <w:overflowPunct/>
        <w:topLinePunct w:val="0"/>
        <w:autoSpaceDE/>
        <w:autoSpaceDN/>
        <w:bidi w:val="0"/>
        <w:adjustRightInd/>
        <w:snapToGrid/>
        <w:spacing w:line="560" w:lineRule="exact"/>
        <w:ind w:firstLine="56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表5-</w:t>
      </w:r>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rPr>
        <w:t>退化林修复作业区小班区划表</w:t>
      </w:r>
    </w:p>
    <w:tbl>
      <w:tblPr>
        <w:tblStyle w:val="29"/>
        <w:tblW w:w="5000" w:type="pct"/>
        <w:tblInd w:w="0" w:type="dxa"/>
        <w:tblLayout w:type="autofit"/>
        <w:tblCellMar>
          <w:top w:w="0" w:type="dxa"/>
          <w:left w:w="108" w:type="dxa"/>
          <w:bottom w:w="0" w:type="dxa"/>
          <w:right w:w="108" w:type="dxa"/>
        </w:tblCellMar>
      </w:tblPr>
      <w:tblGrid>
        <w:gridCol w:w="1339"/>
        <w:gridCol w:w="1341"/>
        <w:gridCol w:w="1930"/>
        <w:gridCol w:w="2242"/>
        <w:gridCol w:w="2548"/>
      </w:tblGrid>
      <w:tr w14:paraId="18AEEBAF">
        <w:tblPrEx>
          <w:tblCellMar>
            <w:top w:w="0" w:type="dxa"/>
            <w:left w:w="108" w:type="dxa"/>
            <w:bottom w:w="0" w:type="dxa"/>
            <w:right w:w="108" w:type="dxa"/>
          </w:tblCellMar>
        </w:tblPrEx>
        <w:trPr>
          <w:trHeight w:val="288" w:hRule="atLeast"/>
        </w:trPr>
        <w:tc>
          <w:tcPr>
            <w:tcW w:w="71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419397A">
            <w:pPr>
              <w:pageBreakBefore w:val="0"/>
              <w:widowControl/>
              <w:kinsoku/>
              <w:wordWrap/>
              <w:overflowPunct/>
              <w:topLinePunct w:val="0"/>
              <w:autoSpaceDE/>
              <w:autoSpaceDN/>
              <w:bidi w:val="0"/>
              <w:adjustRightInd/>
              <w:snapToGrid/>
              <w:spacing w:line="560" w:lineRule="exact"/>
              <w:ind w:firstLine="0" w:firstLineChars="0"/>
              <w:jc w:val="center"/>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乡镇</w:t>
            </w:r>
          </w:p>
        </w:tc>
        <w:tc>
          <w:tcPr>
            <w:tcW w:w="713" w:type="pct"/>
            <w:tcBorders>
              <w:top w:val="single" w:color="auto" w:sz="4" w:space="0"/>
              <w:left w:val="nil"/>
              <w:bottom w:val="single" w:color="auto" w:sz="4" w:space="0"/>
              <w:right w:val="single" w:color="auto" w:sz="4" w:space="0"/>
            </w:tcBorders>
            <w:shd w:val="clear" w:color="auto" w:fill="auto"/>
            <w:noWrap/>
            <w:vAlign w:val="center"/>
          </w:tcPr>
          <w:p w14:paraId="1D34493C">
            <w:pPr>
              <w:pageBreakBefore w:val="0"/>
              <w:widowControl/>
              <w:kinsoku/>
              <w:wordWrap/>
              <w:overflowPunct/>
              <w:topLinePunct w:val="0"/>
              <w:autoSpaceDE/>
              <w:autoSpaceDN/>
              <w:bidi w:val="0"/>
              <w:adjustRightInd/>
              <w:snapToGrid/>
              <w:spacing w:line="560" w:lineRule="exact"/>
              <w:ind w:firstLine="0" w:firstLineChars="0"/>
              <w:jc w:val="center"/>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村</w:t>
            </w:r>
          </w:p>
        </w:tc>
        <w:tc>
          <w:tcPr>
            <w:tcW w:w="1026" w:type="pct"/>
            <w:tcBorders>
              <w:top w:val="single" w:color="auto" w:sz="4" w:space="0"/>
              <w:left w:val="nil"/>
              <w:bottom w:val="single" w:color="auto" w:sz="4" w:space="0"/>
              <w:right w:val="single" w:color="auto" w:sz="4" w:space="0"/>
            </w:tcBorders>
            <w:shd w:val="clear" w:color="auto" w:fill="auto"/>
            <w:noWrap/>
            <w:vAlign w:val="center"/>
          </w:tcPr>
          <w:p w14:paraId="10728B4D">
            <w:pPr>
              <w:pageBreakBefore w:val="0"/>
              <w:widowControl/>
              <w:kinsoku/>
              <w:wordWrap/>
              <w:overflowPunct/>
              <w:topLinePunct w:val="0"/>
              <w:autoSpaceDE/>
              <w:autoSpaceDN/>
              <w:bidi w:val="0"/>
              <w:adjustRightInd/>
              <w:snapToGrid/>
              <w:spacing w:line="560" w:lineRule="exact"/>
              <w:ind w:firstLine="0" w:firstLineChars="0"/>
              <w:jc w:val="center"/>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小班数（个）</w:t>
            </w:r>
          </w:p>
        </w:tc>
        <w:tc>
          <w:tcPr>
            <w:tcW w:w="1192" w:type="pct"/>
            <w:tcBorders>
              <w:top w:val="single" w:color="auto" w:sz="4" w:space="0"/>
              <w:left w:val="nil"/>
              <w:bottom w:val="single" w:color="auto" w:sz="4" w:space="0"/>
              <w:right w:val="single" w:color="auto" w:sz="4" w:space="0"/>
            </w:tcBorders>
            <w:shd w:val="clear" w:color="auto" w:fill="auto"/>
            <w:noWrap/>
            <w:vAlign w:val="center"/>
          </w:tcPr>
          <w:p w14:paraId="5B818263">
            <w:pPr>
              <w:pageBreakBefore w:val="0"/>
              <w:widowControl/>
              <w:kinsoku/>
              <w:wordWrap/>
              <w:overflowPunct/>
              <w:topLinePunct w:val="0"/>
              <w:autoSpaceDE/>
              <w:autoSpaceDN/>
              <w:bidi w:val="0"/>
              <w:adjustRightInd/>
              <w:snapToGrid/>
              <w:spacing w:line="560" w:lineRule="exact"/>
              <w:ind w:firstLine="0" w:firstLineChars="0"/>
              <w:jc w:val="center"/>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小班面积（亩）</w:t>
            </w:r>
          </w:p>
        </w:tc>
        <w:tc>
          <w:tcPr>
            <w:tcW w:w="1355" w:type="pct"/>
            <w:tcBorders>
              <w:top w:val="single" w:color="auto" w:sz="4" w:space="0"/>
              <w:left w:val="nil"/>
              <w:bottom w:val="single" w:color="auto" w:sz="4" w:space="0"/>
              <w:right w:val="single" w:color="auto" w:sz="4" w:space="0"/>
            </w:tcBorders>
            <w:shd w:val="clear" w:color="auto" w:fill="auto"/>
            <w:noWrap/>
            <w:vAlign w:val="center"/>
          </w:tcPr>
          <w:p w14:paraId="4696623D">
            <w:pPr>
              <w:pageBreakBefore w:val="0"/>
              <w:widowControl/>
              <w:kinsoku/>
              <w:wordWrap/>
              <w:overflowPunct/>
              <w:topLinePunct w:val="0"/>
              <w:autoSpaceDE/>
              <w:autoSpaceDN/>
              <w:bidi w:val="0"/>
              <w:adjustRightInd/>
              <w:snapToGrid/>
              <w:spacing w:line="560" w:lineRule="exact"/>
              <w:ind w:firstLine="0" w:firstLineChars="0"/>
              <w:jc w:val="center"/>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可作业面积（亩）</w:t>
            </w:r>
          </w:p>
        </w:tc>
      </w:tr>
      <w:tr w14:paraId="00A6961B">
        <w:tblPrEx>
          <w:tblCellMar>
            <w:top w:w="0" w:type="dxa"/>
            <w:left w:w="108" w:type="dxa"/>
            <w:bottom w:w="0" w:type="dxa"/>
            <w:right w:w="108" w:type="dxa"/>
          </w:tblCellMar>
        </w:tblPrEx>
        <w:trPr>
          <w:trHeight w:val="288" w:hRule="atLeast"/>
        </w:trPr>
        <w:tc>
          <w:tcPr>
            <w:tcW w:w="1425" w:type="pct"/>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716CD72D">
            <w:pPr>
              <w:pageBreakBefore w:val="0"/>
              <w:widowControl/>
              <w:kinsoku/>
              <w:wordWrap/>
              <w:overflowPunct/>
              <w:topLinePunct w:val="0"/>
              <w:autoSpaceDE/>
              <w:autoSpaceDN/>
              <w:bidi w:val="0"/>
              <w:adjustRightInd/>
              <w:snapToGrid/>
              <w:spacing w:line="560" w:lineRule="exact"/>
              <w:ind w:firstLine="0" w:firstLineChars="0"/>
              <w:jc w:val="center"/>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合计</w:t>
            </w:r>
          </w:p>
        </w:tc>
        <w:tc>
          <w:tcPr>
            <w:tcW w:w="1026"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6ADB450">
            <w:pPr>
              <w:pageBreakBefore w:val="0"/>
              <w:widowControl/>
              <w:kinsoku/>
              <w:wordWrap/>
              <w:overflowPunct/>
              <w:topLinePunct w:val="0"/>
              <w:autoSpaceDE/>
              <w:autoSpaceDN/>
              <w:bidi w:val="0"/>
              <w:adjustRightInd/>
              <w:snapToGrid/>
              <w:spacing w:line="560" w:lineRule="exact"/>
              <w:ind w:firstLine="0" w:firstLineChars="0"/>
              <w:jc w:val="center"/>
              <w:rPr>
                <w:rFonts w:hint="eastAsia" w:ascii="宋体" w:hAnsi="宋体" w:eastAsia="宋体" w:cs="宋体"/>
                <w:color w:val="000000"/>
                <w:kern w:val="0"/>
                <w:sz w:val="24"/>
                <w:szCs w:val="24"/>
                <w:highlight w:val="none"/>
                <w:lang w:val="en-US" w:eastAsia="zh-CN"/>
              </w:rPr>
            </w:pPr>
            <w:r>
              <w:rPr>
                <w:rFonts w:hint="eastAsia" w:ascii="宋体" w:hAnsi="宋体" w:eastAsia="宋体" w:cs="宋体"/>
                <w:color w:val="000000"/>
                <w:kern w:val="0"/>
                <w:sz w:val="24"/>
                <w:szCs w:val="24"/>
                <w:highlight w:val="none"/>
                <w:lang w:val="en-US" w:eastAsia="zh-CN"/>
              </w:rPr>
              <w:t>184</w:t>
            </w:r>
          </w:p>
        </w:tc>
        <w:tc>
          <w:tcPr>
            <w:tcW w:w="119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54EAFA1">
            <w:pPr>
              <w:pageBreakBefore w:val="0"/>
              <w:widowControl/>
              <w:kinsoku/>
              <w:wordWrap/>
              <w:overflowPunct/>
              <w:topLinePunct w:val="0"/>
              <w:autoSpaceDE/>
              <w:autoSpaceDN/>
              <w:bidi w:val="0"/>
              <w:adjustRightInd/>
              <w:snapToGrid/>
              <w:spacing w:line="560" w:lineRule="exact"/>
              <w:ind w:firstLine="0" w:firstLineChars="0"/>
              <w:jc w:val="center"/>
              <w:rPr>
                <w:rFonts w:hint="eastAsia" w:ascii="宋体" w:hAnsi="宋体" w:eastAsia="宋体" w:cs="宋体"/>
                <w:color w:val="000000"/>
                <w:kern w:val="0"/>
                <w:sz w:val="24"/>
                <w:szCs w:val="24"/>
                <w:highlight w:val="none"/>
                <w:lang w:val="en-US" w:eastAsia="zh-CN"/>
              </w:rPr>
            </w:pPr>
            <w:r>
              <w:rPr>
                <w:rFonts w:hint="eastAsia" w:ascii="宋体" w:hAnsi="宋体" w:eastAsia="宋体" w:cs="宋体"/>
                <w:color w:val="000000"/>
                <w:kern w:val="0"/>
                <w:sz w:val="24"/>
                <w:szCs w:val="24"/>
                <w:highlight w:val="none"/>
              </w:rPr>
              <w:t>20</w:t>
            </w:r>
            <w:r>
              <w:rPr>
                <w:rFonts w:hint="eastAsia" w:ascii="宋体" w:hAnsi="宋体" w:eastAsia="宋体" w:cs="宋体"/>
                <w:color w:val="000000"/>
                <w:kern w:val="0"/>
                <w:sz w:val="24"/>
                <w:szCs w:val="24"/>
                <w:highlight w:val="none"/>
                <w:lang w:val="en-US" w:eastAsia="zh-CN"/>
              </w:rPr>
              <w:t>349</w:t>
            </w:r>
          </w:p>
        </w:tc>
        <w:tc>
          <w:tcPr>
            <w:tcW w:w="1355"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DDC16BD">
            <w:pPr>
              <w:pageBreakBefore w:val="0"/>
              <w:widowControl/>
              <w:kinsoku/>
              <w:wordWrap/>
              <w:overflowPunct/>
              <w:topLinePunct w:val="0"/>
              <w:autoSpaceDE/>
              <w:autoSpaceDN/>
              <w:bidi w:val="0"/>
              <w:adjustRightInd/>
              <w:snapToGrid/>
              <w:spacing w:line="560" w:lineRule="exact"/>
              <w:ind w:firstLine="0" w:firstLineChars="0"/>
              <w:jc w:val="center"/>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20000</w:t>
            </w:r>
          </w:p>
        </w:tc>
      </w:tr>
      <w:tr w14:paraId="6CFC6FA8">
        <w:tblPrEx>
          <w:tblCellMar>
            <w:top w:w="0" w:type="dxa"/>
            <w:left w:w="108" w:type="dxa"/>
            <w:bottom w:w="0" w:type="dxa"/>
            <w:right w:w="108" w:type="dxa"/>
          </w:tblCellMar>
        </w:tblPrEx>
        <w:trPr>
          <w:trHeight w:val="288" w:hRule="atLeast"/>
        </w:trPr>
        <w:tc>
          <w:tcPr>
            <w:tcW w:w="71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B6D8F8E">
            <w:pPr>
              <w:pageBreakBefore w:val="0"/>
              <w:widowControl/>
              <w:kinsoku/>
              <w:wordWrap/>
              <w:overflowPunct/>
              <w:topLinePunct w:val="0"/>
              <w:autoSpaceDE/>
              <w:autoSpaceDN/>
              <w:bidi w:val="0"/>
              <w:adjustRightInd/>
              <w:snapToGrid/>
              <w:spacing w:line="560" w:lineRule="exact"/>
              <w:ind w:firstLine="0" w:firstLineChars="0"/>
              <w:jc w:val="center"/>
              <w:rPr>
                <w:rFonts w:hint="eastAsia" w:ascii="宋体" w:hAnsi="宋体" w:eastAsia="宋体" w:cs="宋体"/>
                <w:color w:val="000000"/>
                <w:kern w:val="0"/>
                <w:sz w:val="24"/>
                <w:szCs w:val="24"/>
                <w:highlight w:val="none"/>
                <w:lang w:eastAsia="zh-CN"/>
              </w:rPr>
            </w:pPr>
            <w:r>
              <w:rPr>
                <w:rFonts w:hint="eastAsia" w:ascii="宋体" w:hAnsi="宋体" w:eastAsia="宋体" w:cs="宋体"/>
                <w:color w:val="000000"/>
                <w:kern w:val="0"/>
                <w:sz w:val="24"/>
                <w:szCs w:val="24"/>
                <w:highlight w:val="none"/>
                <w:lang w:val="en-US" w:eastAsia="zh-CN"/>
              </w:rPr>
              <w:t>营盘镇</w:t>
            </w:r>
          </w:p>
        </w:tc>
        <w:tc>
          <w:tcPr>
            <w:tcW w:w="71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3A62FC1">
            <w:pPr>
              <w:pageBreakBefore w:val="0"/>
              <w:widowControl/>
              <w:kinsoku/>
              <w:wordWrap/>
              <w:overflowPunct/>
              <w:topLinePunct w:val="0"/>
              <w:autoSpaceDE/>
              <w:autoSpaceDN/>
              <w:bidi w:val="0"/>
              <w:adjustRightInd/>
              <w:snapToGrid/>
              <w:spacing w:line="560" w:lineRule="exact"/>
              <w:ind w:firstLine="0" w:firstLineChars="0"/>
              <w:jc w:val="center"/>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lang w:val="en-US" w:eastAsia="zh-CN"/>
              </w:rPr>
              <w:t>两河</w:t>
            </w:r>
            <w:r>
              <w:rPr>
                <w:rFonts w:hint="eastAsia" w:ascii="宋体" w:hAnsi="宋体" w:eastAsia="宋体" w:cs="宋体"/>
                <w:color w:val="000000"/>
                <w:kern w:val="0"/>
                <w:sz w:val="24"/>
                <w:szCs w:val="24"/>
                <w:highlight w:val="none"/>
              </w:rPr>
              <w:t>村</w:t>
            </w:r>
          </w:p>
        </w:tc>
        <w:tc>
          <w:tcPr>
            <w:tcW w:w="1026"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9B05A81">
            <w:pPr>
              <w:pageBreakBefore w:val="0"/>
              <w:widowControl/>
              <w:kinsoku/>
              <w:wordWrap/>
              <w:overflowPunct/>
              <w:topLinePunct w:val="0"/>
              <w:autoSpaceDE/>
              <w:autoSpaceDN/>
              <w:bidi w:val="0"/>
              <w:adjustRightInd/>
              <w:snapToGrid/>
              <w:spacing w:line="560" w:lineRule="exact"/>
              <w:ind w:firstLine="0" w:firstLineChars="0"/>
              <w:jc w:val="center"/>
              <w:rPr>
                <w:rFonts w:hint="eastAsia" w:ascii="宋体" w:hAnsi="宋体" w:eastAsia="宋体" w:cs="宋体"/>
                <w:color w:val="000000"/>
                <w:kern w:val="0"/>
                <w:sz w:val="24"/>
                <w:szCs w:val="24"/>
                <w:highlight w:val="none"/>
                <w:lang w:val="en-US" w:eastAsia="zh-CN"/>
              </w:rPr>
            </w:pPr>
            <w:r>
              <w:rPr>
                <w:rFonts w:hint="eastAsia" w:ascii="宋体" w:hAnsi="宋体" w:eastAsia="宋体" w:cs="宋体"/>
                <w:color w:val="000000"/>
                <w:kern w:val="0"/>
                <w:sz w:val="24"/>
                <w:szCs w:val="24"/>
                <w:highlight w:val="none"/>
                <w:lang w:val="en-US" w:eastAsia="zh-CN"/>
              </w:rPr>
              <w:t>20</w:t>
            </w:r>
          </w:p>
        </w:tc>
        <w:tc>
          <w:tcPr>
            <w:tcW w:w="119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183A073">
            <w:pPr>
              <w:pageBreakBefore w:val="0"/>
              <w:widowControl/>
              <w:kinsoku/>
              <w:wordWrap/>
              <w:overflowPunct/>
              <w:topLinePunct w:val="0"/>
              <w:autoSpaceDE/>
              <w:autoSpaceDN/>
              <w:bidi w:val="0"/>
              <w:adjustRightInd/>
              <w:snapToGrid/>
              <w:spacing w:line="560" w:lineRule="exact"/>
              <w:ind w:firstLine="0" w:firstLineChars="0"/>
              <w:jc w:val="center"/>
              <w:rPr>
                <w:rFonts w:hint="eastAsia" w:ascii="宋体" w:hAnsi="宋体" w:eastAsia="宋体" w:cs="宋体"/>
                <w:color w:val="000000"/>
                <w:kern w:val="0"/>
                <w:sz w:val="24"/>
                <w:szCs w:val="24"/>
                <w:highlight w:val="none"/>
                <w:lang w:val="en-US" w:eastAsia="zh-CN"/>
              </w:rPr>
            </w:pPr>
            <w:r>
              <w:rPr>
                <w:rFonts w:hint="eastAsia" w:ascii="宋体" w:hAnsi="宋体" w:eastAsia="宋体" w:cs="宋体"/>
                <w:color w:val="000000"/>
                <w:kern w:val="0"/>
                <w:sz w:val="24"/>
                <w:szCs w:val="24"/>
                <w:highlight w:val="none"/>
                <w:lang w:val="en-US" w:eastAsia="zh-CN"/>
              </w:rPr>
              <w:t>3088.7</w:t>
            </w:r>
          </w:p>
        </w:tc>
        <w:tc>
          <w:tcPr>
            <w:tcW w:w="1355"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DC9AFEE">
            <w:pPr>
              <w:pageBreakBefore w:val="0"/>
              <w:widowControl/>
              <w:kinsoku/>
              <w:wordWrap/>
              <w:overflowPunct/>
              <w:topLinePunct w:val="0"/>
              <w:autoSpaceDE/>
              <w:autoSpaceDN/>
              <w:bidi w:val="0"/>
              <w:adjustRightInd/>
              <w:snapToGrid/>
              <w:spacing w:line="560" w:lineRule="exact"/>
              <w:ind w:firstLine="0" w:firstLineChars="0"/>
              <w:jc w:val="center"/>
              <w:rPr>
                <w:rFonts w:hint="eastAsia" w:ascii="宋体" w:hAnsi="宋体" w:eastAsia="宋体" w:cs="宋体"/>
                <w:color w:val="000000"/>
                <w:kern w:val="0"/>
                <w:sz w:val="24"/>
                <w:szCs w:val="24"/>
                <w:highlight w:val="none"/>
                <w:lang w:val="en-US" w:eastAsia="zh-CN"/>
              </w:rPr>
            </w:pPr>
            <w:r>
              <w:rPr>
                <w:rFonts w:hint="eastAsia" w:ascii="宋体" w:hAnsi="宋体" w:eastAsia="宋体" w:cs="宋体"/>
                <w:color w:val="000000"/>
                <w:kern w:val="0"/>
                <w:sz w:val="24"/>
                <w:szCs w:val="24"/>
                <w:highlight w:val="none"/>
                <w:lang w:val="en-US" w:eastAsia="zh-CN"/>
              </w:rPr>
              <w:t>2860</w:t>
            </w:r>
          </w:p>
        </w:tc>
      </w:tr>
      <w:tr w14:paraId="0EB71E8B">
        <w:tblPrEx>
          <w:tblCellMar>
            <w:top w:w="0" w:type="dxa"/>
            <w:left w:w="108" w:type="dxa"/>
            <w:bottom w:w="0" w:type="dxa"/>
            <w:right w:w="108" w:type="dxa"/>
          </w:tblCellMar>
        </w:tblPrEx>
        <w:trPr>
          <w:trHeight w:val="288" w:hRule="atLeast"/>
        </w:trPr>
        <w:tc>
          <w:tcPr>
            <w:tcW w:w="712" w:type="pct"/>
            <w:tcBorders>
              <w:top w:val="single" w:color="auto" w:sz="4" w:space="0"/>
              <w:left w:val="single" w:color="auto" w:sz="4" w:space="0"/>
              <w:bottom w:val="single" w:color="auto" w:sz="4" w:space="0"/>
              <w:right w:val="single" w:color="auto" w:sz="4" w:space="0"/>
            </w:tcBorders>
            <w:shd w:val="clear" w:color="auto" w:fill="auto"/>
            <w:vAlign w:val="center"/>
          </w:tcPr>
          <w:p w14:paraId="36D178CE">
            <w:pPr>
              <w:pageBreakBefore w:val="0"/>
              <w:widowControl/>
              <w:kinsoku/>
              <w:wordWrap/>
              <w:overflowPunct/>
              <w:topLinePunct w:val="0"/>
              <w:autoSpaceDE/>
              <w:autoSpaceDN/>
              <w:bidi w:val="0"/>
              <w:adjustRightInd/>
              <w:snapToGrid/>
              <w:spacing w:line="560" w:lineRule="exact"/>
              <w:ind w:firstLine="0" w:firstLineChars="0"/>
              <w:jc w:val="center"/>
              <w:rPr>
                <w:rFonts w:hint="eastAsia" w:ascii="宋体" w:hAnsi="宋体" w:eastAsia="宋体" w:cs="宋体"/>
                <w:color w:val="000000"/>
                <w:kern w:val="0"/>
                <w:sz w:val="24"/>
                <w:szCs w:val="24"/>
                <w:highlight w:val="none"/>
                <w:lang w:val="en-US" w:eastAsia="zh-CN" w:bidi="ar-SA"/>
              </w:rPr>
            </w:pPr>
            <w:r>
              <w:rPr>
                <w:rFonts w:hint="eastAsia" w:ascii="宋体" w:hAnsi="宋体" w:eastAsia="宋体" w:cs="宋体"/>
                <w:color w:val="000000"/>
                <w:kern w:val="0"/>
                <w:sz w:val="24"/>
                <w:szCs w:val="24"/>
                <w:highlight w:val="none"/>
                <w:lang w:eastAsia="zh-CN"/>
              </w:rPr>
              <w:t>乾佑街办</w:t>
            </w:r>
          </w:p>
        </w:tc>
        <w:tc>
          <w:tcPr>
            <w:tcW w:w="71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DD624B1">
            <w:pPr>
              <w:pageBreakBefore w:val="0"/>
              <w:widowControl/>
              <w:kinsoku/>
              <w:wordWrap/>
              <w:overflowPunct/>
              <w:topLinePunct w:val="0"/>
              <w:autoSpaceDE/>
              <w:autoSpaceDN/>
              <w:bidi w:val="0"/>
              <w:adjustRightInd/>
              <w:snapToGrid/>
              <w:spacing w:line="560" w:lineRule="exact"/>
              <w:ind w:firstLine="0" w:firstLineChars="0"/>
              <w:jc w:val="center"/>
              <w:rPr>
                <w:rFonts w:hint="eastAsia" w:ascii="宋体" w:hAnsi="宋体" w:eastAsia="宋体" w:cs="宋体"/>
                <w:color w:val="000000"/>
                <w:kern w:val="0"/>
                <w:sz w:val="24"/>
                <w:szCs w:val="24"/>
                <w:highlight w:val="none"/>
                <w:lang w:val="en-US" w:eastAsia="zh-CN" w:bidi="ar-SA"/>
              </w:rPr>
            </w:pPr>
            <w:r>
              <w:rPr>
                <w:rFonts w:hint="eastAsia" w:ascii="宋体" w:hAnsi="宋体" w:eastAsia="宋体" w:cs="宋体"/>
                <w:color w:val="000000"/>
                <w:kern w:val="0"/>
                <w:sz w:val="24"/>
                <w:szCs w:val="24"/>
                <w:highlight w:val="none"/>
              </w:rPr>
              <w:t>马房子村</w:t>
            </w:r>
          </w:p>
        </w:tc>
        <w:tc>
          <w:tcPr>
            <w:tcW w:w="1026"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76999F0">
            <w:pPr>
              <w:pageBreakBefore w:val="0"/>
              <w:widowControl/>
              <w:kinsoku/>
              <w:wordWrap/>
              <w:overflowPunct/>
              <w:topLinePunct w:val="0"/>
              <w:autoSpaceDE/>
              <w:autoSpaceDN/>
              <w:bidi w:val="0"/>
              <w:adjustRightInd/>
              <w:snapToGrid/>
              <w:spacing w:line="560" w:lineRule="exact"/>
              <w:ind w:firstLine="0" w:firstLineChars="0"/>
              <w:jc w:val="center"/>
              <w:rPr>
                <w:rFonts w:hint="eastAsia" w:ascii="宋体" w:hAnsi="宋体" w:eastAsia="宋体" w:cs="宋体"/>
                <w:color w:val="000000"/>
                <w:kern w:val="0"/>
                <w:sz w:val="24"/>
                <w:szCs w:val="24"/>
                <w:highlight w:val="none"/>
                <w:lang w:val="en-US" w:eastAsia="zh-CN" w:bidi="ar-SA"/>
              </w:rPr>
            </w:pPr>
            <w:r>
              <w:rPr>
                <w:rFonts w:hint="eastAsia" w:ascii="宋体" w:hAnsi="宋体" w:eastAsia="宋体" w:cs="宋体"/>
                <w:color w:val="000000"/>
                <w:kern w:val="0"/>
                <w:sz w:val="24"/>
                <w:szCs w:val="24"/>
                <w:highlight w:val="none"/>
              </w:rPr>
              <w:t>1</w:t>
            </w:r>
            <w:r>
              <w:rPr>
                <w:rFonts w:hint="eastAsia" w:ascii="宋体" w:hAnsi="宋体" w:eastAsia="宋体" w:cs="宋体"/>
                <w:color w:val="000000"/>
                <w:kern w:val="0"/>
                <w:sz w:val="24"/>
                <w:szCs w:val="24"/>
                <w:highlight w:val="none"/>
                <w:lang w:val="en-US" w:eastAsia="zh-CN"/>
              </w:rPr>
              <w:t>64</w:t>
            </w:r>
          </w:p>
        </w:tc>
        <w:tc>
          <w:tcPr>
            <w:tcW w:w="119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0DD738F">
            <w:pPr>
              <w:pageBreakBefore w:val="0"/>
              <w:widowControl/>
              <w:kinsoku/>
              <w:wordWrap/>
              <w:overflowPunct/>
              <w:topLinePunct w:val="0"/>
              <w:autoSpaceDE/>
              <w:autoSpaceDN/>
              <w:bidi w:val="0"/>
              <w:adjustRightInd/>
              <w:snapToGrid/>
              <w:spacing w:line="560" w:lineRule="exact"/>
              <w:ind w:firstLine="0" w:firstLineChars="0"/>
              <w:jc w:val="center"/>
              <w:rPr>
                <w:rFonts w:hint="eastAsia" w:ascii="宋体" w:hAnsi="宋体" w:eastAsia="宋体" w:cs="宋体"/>
                <w:color w:val="000000"/>
                <w:kern w:val="0"/>
                <w:sz w:val="24"/>
                <w:szCs w:val="24"/>
                <w:highlight w:val="none"/>
                <w:lang w:val="en-US" w:eastAsia="zh-CN" w:bidi="ar-SA"/>
              </w:rPr>
            </w:pPr>
            <w:r>
              <w:rPr>
                <w:rFonts w:hint="eastAsia" w:ascii="宋体" w:hAnsi="宋体" w:eastAsia="宋体" w:cs="宋体"/>
                <w:color w:val="000000"/>
                <w:kern w:val="0"/>
                <w:sz w:val="24"/>
                <w:szCs w:val="24"/>
                <w:highlight w:val="none"/>
                <w:lang w:val="en-US" w:eastAsia="zh-CN"/>
              </w:rPr>
              <w:t>17411.5</w:t>
            </w:r>
          </w:p>
        </w:tc>
        <w:tc>
          <w:tcPr>
            <w:tcW w:w="1355"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05385CA">
            <w:pPr>
              <w:pageBreakBefore w:val="0"/>
              <w:widowControl/>
              <w:kinsoku/>
              <w:wordWrap/>
              <w:overflowPunct/>
              <w:topLinePunct w:val="0"/>
              <w:autoSpaceDE/>
              <w:autoSpaceDN/>
              <w:bidi w:val="0"/>
              <w:adjustRightInd/>
              <w:snapToGrid/>
              <w:spacing w:line="560" w:lineRule="exact"/>
              <w:ind w:firstLine="0" w:firstLineChars="0"/>
              <w:jc w:val="center"/>
              <w:rPr>
                <w:rFonts w:hint="eastAsia" w:ascii="宋体" w:hAnsi="宋体" w:eastAsia="宋体" w:cs="宋体"/>
                <w:color w:val="000000"/>
                <w:kern w:val="0"/>
                <w:sz w:val="24"/>
                <w:szCs w:val="24"/>
                <w:highlight w:val="none"/>
                <w:lang w:val="en-US" w:eastAsia="zh-CN" w:bidi="ar-SA"/>
              </w:rPr>
            </w:pPr>
            <w:r>
              <w:rPr>
                <w:rFonts w:hint="eastAsia" w:ascii="宋体" w:hAnsi="宋体" w:eastAsia="宋体" w:cs="宋体"/>
                <w:color w:val="000000"/>
                <w:kern w:val="0"/>
                <w:sz w:val="24"/>
                <w:szCs w:val="24"/>
                <w:highlight w:val="none"/>
                <w:lang w:val="en-US" w:eastAsia="zh-CN"/>
              </w:rPr>
              <w:t>17140</w:t>
            </w:r>
          </w:p>
        </w:tc>
      </w:tr>
    </w:tbl>
    <w:p w14:paraId="203CDBFA">
      <w:pPr>
        <w:pageBreakBefore w:val="0"/>
        <w:kinsoku/>
        <w:wordWrap/>
        <w:overflowPunct/>
        <w:topLinePunct w:val="0"/>
        <w:autoSpaceDE/>
        <w:autoSpaceDN/>
        <w:bidi w:val="0"/>
        <w:adjustRightInd/>
        <w:snapToGrid/>
        <w:spacing w:line="560" w:lineRule="exact"/>
        <w:ind w:firstLine="480" w:firstLineChars="200"/>
        <w:rPr>
          <w:rFonts w:hint="eastAsia" w:ascii="宋体" w:hAnsi="宋体" w:eastAsia="宋体" w:cs="宋体"/>
          <w:sz w:val="24"/>
          <w:szCs w:val="24"/>
          <w:highlight w:val="none"/>
          <w:lang w:eastAsia="zh-CN"/>
        </w:rPr>
      </w:pPr>
      <w:bookmarkStart w:id="165" w:name="_Toc3932"/>
      <w:bookmarkStart w:id="166" w:name="_Toc27832"/>
      <w:r>
        <w:rPr>
          <w:rFonts w:hint="eastAsia" w:ascii="宋体" w:hAnsi="宋体" w:eastAsia="宋体" w:cs="宋体"/>
          <w:sz w:val="24"/>
          <w:szCs w:val="24"/>
          <w:highlight w:val="none"/>
        </w:rPr>
        <w:t>小班地类</w:t>
      </w:r>
      <w:r>
        <w:rPr>
          <w:rFonts w:hint="eastAsia" w:ascii="宋体" w:hAnsi="宋体" w:eastAsia="宋体" w:cs="宋体"/>
          <w:sz w:val="24"/>
          <w:szCs w:val="24"/>
          <w:highlight w:val="none"/>
          <w:lang w:val="en-US" w:eastAsia="zh-CN"/>
        </w:rPr>
        <w:t>均</w:t>
      </w:r>
      <w:r>
        <w:rPr>
          <w:rFonts w:hint="eastAsia" w:ascii="宋体" w:hAnsi="宋体" w:eastAsia="宋体" w:cs="宋体"/>
          <w:sz w:val="24"/>
          <w:szCs w:val="24"/>
          <w:highlight w:val="none"/>
        </w:rPr>
        <w:t>为乔木林地</w:t>
      </w:r>
      <w:r>
        <w:rPr>
          <w:rFonts w:hint="eastAsia" w:ascii="宋体" w:hAnsi="宋体" w:eastAsia="宋体" w:cs="宋体"/>
          <w:sz w:val="24"/>
          <w:szCs w:val="24"/>
          <w:highlight w:val="none"/>
          <w:lang w:eastAsia="zh-CN"/>
        </w:rPr>
        <w:t>：</w:t>
      </w:r>
    </w:p>
    <w:p w14:paraId="1DEDEB7B">
      <w:pPr>
        <w:pageBreakBefore w:val="0"/>
        <w:kinsoku/>
        <w:wordWrap/>
        <w:overflowPunct/>
        <w:topLinePunct w:val="0"/>
        <w:autoSpaceDE/>
        <w:autoSpaceDN/>
        <w:bidi w:val="0"/>
        <w:adjustRightInd/>
        <w:snapToGrid/>
        <w:spacing w:line="560" w:lineRule="exact"/>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按</w:t>
      </w:r>
      <w:r>
        <w:rPr>
          <w:rFonts w:hint="eastAsia" w:ascii="宋体" w:hAnsi="宋体" w:eastAsia="宋体" w:cs="宋体"/>
          <w:sz w:val="24"/>
          <w:szCs w:val="24"/>
          <w:highlight w:val="none"/>
        </w:rPr>
        <w:t>林地</w:t>
      </w:r>
      <w:r>
        <w:rPr>
          <w:rFonts w:hint="eastAsia" w:ascii="宋体" w:hAnsi="宋体" w:eastAsia="宋体" w:cs="宋体"/>
          <w:sz w:val="24"/>
          <w:szCs w:val="24"/>
          <w:highlight w:val="none"/>
          <w:lang w:val="en-US" w:eastAsia="zh-CN"/>
        </w:rPr>
        <w:t>权属分：全部为集体林地；</w:t>
      </w:r>
    </w:p>
    <w:p w14:paraId="7A918EF6">
      <w:pPr>
        <w:pageBreakBefore w:val="0"/>
        <w:kinsoku/>
        <w:wordWrap/>
        <w:overflowPunct/>
        <w:topLinePunct w:val="0"/>
        <w:autoSpaceDE/>
        <w:autoSpaceDN/>
        <w:bidi w:val="0"/>
        <w:adjustRightInd/>
        <w:snapToGrid/>
        <w:spacing w:line="560" w:lineRule="exact"/>
        <w:ind w:firstLine="480" w:firstLineChars="20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按</w:t>
      </w:r>
      <w:r>
        <w:rPr>
          <w:rFonts w:hint="eastAsia" w:ascii="宋体" w:hAnsi="宋体" w:eastAsia="宋体" w:cs="宋体"/>
          <w:sz w:val="24"/>
          <w:szCs w:val="24"/>
          <w:highlight w:val="none"/>
        </w:rPr>
        <w:t>起源</w:t>
      </w:r>
      <w:r>
        <w:rPr>
          <w:rFonts w:hint="eastAsia" w:ascii="宋体" w:hAnsi="宋体" w:eastAsia="宋体" w:cs="宋体"/>
          <w:sz w:val="24"/>
          <w:szCs w:val="24"/>
          <w:highlight w:val="none"/>
          <w:lang w:val="en-US" w:eastAsia="zh-CN"/>
        </w:rPr>
        <w:t>分：天然林19265亩，</w:t>
      </w:r>
      <w:r>
        <w:rPr>
          <w:rFonts w:hint="eastAsia" w:ascii="宋体" w:hAnsi="宋体" w:eastAsia="宋体" w:cs="宋体"/>
          <w:sz w:val="24"/>
          <w:szCs w:val="24"/>
          <w:highlight w:val="none"/>
        </w:rPr>
        <w:t>人工林</w:t>
      </w:r>
      <w:r>
        <w:rPr>
          <w:rFonts w:hint="eastAsia" w:ascii="宋体" w:hAnsi="宋体" w:eastAsia="宋体" w:cs="宋体"/>
          <w:sz w:val="24"/>
          <w:szCs w:val="24"/>
          <w:highlight w:val="none"/>
          <w:lang w:val="en-US" w:eastAsia="zh-CN"/>
        </w:rPr>
        <w:t>735亩</w:t>
      </w:r>
      <w:r>
        <w:rPr>
          <w:rFonts w:hint="eastAsia" w:ascii="宋体" w:hAnsi="宋体" w:eastAsia="宋体" w:cs="宋体"/>
          <w:sz w:val="24"/>
          <w:szCs w:val="24"/>
          <w:highlight w:val="none"/>
          <w:lang w:eastAsia="zh-CN"/>
        </w:rPr>
        <w:t>；</w:t>
      </w:r>
    </w:p>
    <w:p w14:paraId="04D41978">
      <w:pPr>
        <w:pageBreakBefore w:val="0"/>
        <w:kinsoku/>
        <w:wordWrap/>
        <w:overflowPunct/>
        <w:topLinePunct w:val="0"/>
        <w:autoSpaceDE/>
        <w:autoSpaceDN/>
        <w:bidi w:val="0"/>
        <w:adjustRightInd/>
        <w:snapToGrid/>
        <w:spacing w:line="56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按森林类别分：国家公益林2860亩，地方公益林1137亩，商品林16003亩；</w:t>
      </w:r>
    </w:p>
    <w:p w14:paraId="68CD34E3">
      <w:pPr>
        <w:pageBreakBefore w:val="0"/>
        <w:kinsoku/>
        <w:wordWrap/>
        <w:overflowPunct/>
        <w:topLinePunct w:val="0"/>
        <w:autoSpaceDE/>
        <w:autoSpaceDN/>
        <w:bidi w:val="0"/>
        <w:adjustRightInd/>
        <w:snapToGrid/>
        <w:spacing w:line="560" w:lineRule="exact"/>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按龄组分：</w:t>
      </w:r>
      <w:r>
        <w:rPr>
          <w:rFonts w:hint="eastAsia" w:ascii="宋体" w:hAnsi="宋体" w:eastAsia="宋体" w:cs="宋体"/>
          <w:sz w:val="24"/>
          <w:szCs w:val="24"/>
          <w:highlight w:val="none"/>
          <w:lang w:val="en-US" w:eastAsia="zh-CN"/>
        </w:rPr>
        <w:t>全部为幼龄林；</w:t>
      </w:r>
    </w:p>
    <w:p w14:paraId="3E8F64BB">
      <w:pPr>
        <w:pageBreakBefore w:val="0"/>
        <w:kinsoku/>
        <w:wordWrap/>
        <w:overflowPunct/>
        <w:topLinePunct w:val="0"/>
        <w:autoSpaceDE/>
        <w:autoSpaceDN/>
        <w:bidi w:val="0"/>
        <w:adjustRightInd/>
        <w:snapToGrid/>
        <w:spacing w:line="560" w:lineRule="exact"/>
        <w:ind w:firstLine="480" w:firstLineChars="20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按优势树种分：其中</w:t>
      </w:r>
      <w:r>
        <w:rPr>
          <w:rFonts w:hint="eastAsia" w:ascii="宋体" w:hAnsi="宋体" w:eastAsia="宋体" w:cs="宋体"/>
          <w:sz w:val="24"/>
          <w:szCs w:val="24"/>
          <w:highlight w:val="none"/>
          <w:lang w:val="en-US" w:eastAsia="zh-CN"/>
        </w:rPr>
        <w:t>优势树种为栎类18756</w:t>
      </w:r>
      <w:r>
        <w:rPr>
          <w:rFonts w:hint="eastAsia" w:ascii="宋体" w:hAnsi="宋体" w:eastAsia="宋体" w:cs="宋体"/>
          <w:sz w:val="24"/>
          <w:szCs w:val="24"/>
          <w:highlight w:val="none"/>
        </w:rPr>
        <w:t>亩</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松</w:t>
      </w:r>
      <w:r>
        <w:rPr>
          <w:rFonts w:hint="eastAsia" w:ascii="宋体" w:hAnsi="宋体" w:eastAsia="宋体" w:cs="宋体"/>
          <w:sz w:val="24"/>
          <w:szCs w:val="24"/>
          <w:highlight w:val="none"/>
          <w:lang w:val="en-US" w:eastAsia="zh-CN"/>
        </w:rPr>
        <w:t>类1244</w:t>
      </w:r>
      <w:r>
        <w:rPr>
          <w:rFonts w:hint="eastAsia" w:ascii="宋体" w:hAnsi="宋体" w:eastAsia="宋体" w:cs="宋体"/>
          <w:sz w:val="24"/>
          <w:szCs w:val="24"/>
          <w:highlight w:val="none"/>
        </w:rPr>
        <w:t>亩</w:t>
      </w:r>
      <w:r>
        <w:rPr>
          <w:rFonts w:hint="eastAsia" w:ascii="宋体" w:hAnsi="宋体" w:eastAsia="宋体" w:cs="宋体"/>
          <w:sz w:val="24"/>
          <w:szCs w:val="24"/>
          <w:highlight w:val="none"/>
          <w:lang w:eastAsia="zh-CN"/>
        </w:rPr>
        <w:t>；</w:t>
      </w:r>
    </w:p>
    <w:p w14:paraId="13FEF441">
      <w:pPr>
        <w:pageBreakBefore w:val="0"/>
        <w:kinsoku/>
        <w:wordWrap/>
        <w:overflowPunct/>
        <w:topLinePunct w:val="0"/>
        <w:autoSpaceDE/>
        <w:autoSpaceDN/>
        <w:bidi w:val="0"/>
        <w:adjustRightInd/>
        <w:snapToGrid/>
        <w:spacing w:line="56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现目区地貌为低山</w:t>
      </w:r>
      <w:r>
        <w:rPr>
          <w:rFonts w:hint="eastAsia" w:ascii="宋体" w:hAnsi="宋体" w:eastAsia="宋体" w:cs="宋体"/>
          <w:sz w:val="24"/>
          <w:szCs w:val="24"/>
          <w:highlight w:val="none"/>
          <w:lang w:val="en-US" w:eastAsia="zh-CN"/>
        </w:rPr>
        <w:t>和中山</w:t>
      </w:r>
      <w:r>
        <w:rPr>
          <w:rFonts w:hint="eastAsia" w:ascii="宋体" w:hAnsi="宋体" w:eastAsia="宋体" w:cs="宋体"/>
          <w:sz w:val="24"/>
          <w:szCs w:val="24"/>
          <w:highlight w:val="none"/>
        </w:rPr>
        <w:t>，坡向为东坡、南坡、西坡、东北坡、东南坡、西北坡、西南坡，坡度在5-40度，土壤类型为黄棕壤、棕壤，土层厚度在35-50厘米。</w:t>
      </w:r>
    </w:p>
    <w:p w14:paraId="74ADDFE6">
      <w:pPr>
        <w:pageBreakBefore w:val="0"/>
        <w:kinsoku/>
        <w:wordWrap/>
        <w:overflowPunct/>
        <w:topLinePunct w:val="0"/>
        <w:autoSpaceDE/>
        <w:autoSpaceDN/>
        <w:bidi w:val="0"/>
        <w:adjustRightInd/>
        <w:snapToGrid/>
        <w:spacing w:line="56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根据样地调查确定，</w:t>
      </w:r>
      <w:r>
        <w:rPr>
          <w:rFonts w:hint="eastAsia" w:ascii="宋体" w:hAnsi="宋体" w:eastAsia="宋体" w:cs="宋体"/>
          <w:sz w:val="24"/>
          <w:szCs w:val="24"/>
          <w:highlight w:val="none"/>
          <w:lang w:val="en-US" w:eastAsia="zh-CN"/>
        </w:rPr>
        <w:t>小班</w:t>
      </w:r>
      <w:r>
        <w:rPr>
          <w:rFonts w:hint="eastAsia" w:ascii="宋体" w:hAnsi="宋体" w:eastAsia="宋体" w:cs="宋体"/>
          <w:sz w:val="24"/>
          <w:szCs w:val="24"/>
          <w:highlight w:val="none"/>
        </w:rPr>
        <w:t>每亩株数为</w:t>
      </w:r>
      <w:r>
        <w:rPr>
          <w:rFonts w:hint="eastAsia" w:ascii="宋体" w:hAnsi="宋体" w:eastAsia="宋体" w:cs="宋体"/>
          <w:sz w:val="24"/>
          <w:szCs w:val="24"/>
          <w:highlight w:val="none"/>
          <w:lang w:val="en-US" w:eastAsia="zh-CN"/>
        </w:rPr>
        <w:t>71</w:t>
      </w: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97</w:t>
      </w:r>
      <w:r>
        <w:rPr>
          <w:rFonts w:hint="eastAsia" w:ascii="宋体" w:hAnsi="宋体" w:eastAsia="宋体" w:cs="宋体"/>
          <w:sz w:val="24"/>
          <w:szCs w:val="24"/>
          <w:highlight w:val="none"/>
        </w:rPr>
        <w:t>株，每亩蓄积量为</w:t>
      </w:r>
      <w:r>
        <w:rPr>
          <w:rFonts w:hint="eastAsia" w:ascii="宋体" w:hAnsi="宋体" w:eastAsia="宋体" w:cs="宋体"/>
          <w:sz w:val="24"/>
          <w:szCs w:val="24"/>
          <w:highlight w:val="none"/>
          <w:lang w:val="en-US" w:eastAsia="zh-CN"/>
        </w:rPr>
        <w:t>1.5</w:t>
      </w: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6.1</w:t>
      </w:r>
      <w:r>
        <w:rPr>
          <w:rFonts w:hint="eastAsia" w:ascii="宋体" w:hAnsi="宋体" w:eastAsia="宋体" w:cs="宋体"/>
          <w:sz w:val="24"/>
          <w:szCs w:val="24"/>
          <w:highlight w:val="none"/>
        </w:rPr>
        <w:t>立方米</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作业区内林木株数为</w:t>
      </w:r>
      <w:r>
        <w:rPr>
          <w:rFonts w:hint="eastAsia" w:ascii="宋体" w:hAnsi="宋体" w:eastAsia="宋体" w:cs="宋体"/>
          <w:sz w:val="24"/>
          <w:szCs w:val="24"/>
          <w:highlight w:val="none"/>
          <w:lang w:val="en-US" w:eastAsia="zh-CN"/>
        </w:rPr>
        <w:t>1765377</w:t>
      </w:r>
      <w:r>
        <w:rPr>
          <w:rFonts w:hint="eastAsia" w:ascii="宋体" w:hAnsi="宋体" w:eastAsia="宋体" w:cs="宋体"/>
          <w:sz w:val="24"/>
          <w:szCs w:val="24"/>
          <w:highlight w:val="none"/>
        </w:rPr>
        <w:t>株，蓄积为</w:t>
      </w:r>
      <w:r>
        <w:rPr>
          <w:rFonts w:hint="eastAsia" w:ascii="宋体" w:hAnsi="宋体" w:eastAsia="宋体" w:cs="宋体"/>
          <w:sz w:val="24"/>
          <w:szCs w:val="24"/>
          <w:highlight w:val="none"/>
          <w:lang w:val="en-US" w:eastAsia="zh-CN"/>
        </w:rPr>
        <w:t>65722.9</w:t>
      </w:r>
      <w:r>
        <w:rPr>
          <w:rFonts w:hint="eastAsia" w:ascii="宋体" w:hAnsi="宋体" w:eastAsia="宋体" w:cs="宋体"/>
          <w:sz w:val="24"/>
          <w:szCs w:val="24"/>
          <w:highlight w:val="none"/>
        </w:rPr>
        <w:t>立方米；各小班株数采伐强度介于8%至20%之间；各小班蓄积采伐强度介于5%至12%</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采伐木株数</w:t>
      </w:r>
      <w:r>
        <w:rPr>
          <w:rFonts w:hint="eastAsia" w:ascii="宋体" w:hAnsi="宋体" w:eastAsia="宋体" w:cs="宋体"/>
          <w:sz w:val="24"/>
          <w:szCs w:val="24"/>
          <w:highlight w:val="none"/>
          <w:lang w:val="en-US" w:eastAsia="zh-CN"/>
        </w:rPr>
        <w:t>216278</w:t>
      </w:r>
      <w:r>
        <w:rPr>
          <w:rFonts w:hint="eastAsia" w:ascii="宋体" w:hAnsi="宋体" w:eastAsia="宋体" w:cs="宋体"/>
          <w:sz w:val="24"/>
          <w:szCs w:val="24"/>
          <w:highlight w:val="none"/>
        </w:rPr>
        <w:t>株，采伐蓄积</w:t>
      </w:r>
      <w:r>
        <w:rPr>
          <w:rFonts w:hint="eastAsia" w:ascii="宋体" w:hAnsi="宋体" w:eastAsia="宋体" w:cs="宋体"/>
          <w:sz w:val="24"/>
          <w:szCs w:val="24"/>
          <w:highlight w:val="none"/>
          <w:lang w:val="en-US" w:eastAsia="zh-CN"/>
        </w:rPr>
        <w:t>6130.3</w:t>
      </w:r>
      <w:r>
        <w:rPr>
          <w:rFonts w:hint="eastAsia" w:ascii="宋体" w:hAnsi="宋体" w:eastAsia="宋体" w:cs="宋体"/>
          <w:sz w:val="24"/>
          <w:szCs w:val="24"/>
          <w:highlight w:val="none"/>
        </w:rPr>
        <w:t>立方米。</w:t>
      </w:r>
    </w:p>
    <w:p w14:paraId="04105652">
      <w:pPr>
        <w:pageBreakBefore w:val="0"/>
        <w:kinsoku/>
        <w:wordWrap/>
        <w:overflowPunct/>
        <w:topLinePunct w:val="0"/>
        <w:autoSpaceDE/>
        <w:autoSpaceDN/>
        <w:bidi w:val="0"/>
        <w:adjustRightInd/>
        <w:snapToGrid/>
        <w:spacing w:line="560" w:lineRule="exact"/>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4.</w:t>
      </w:r>
      <w:bookmarkEnd w:id="162"/>
      <w:bookmarkEnd w:id="163"/>
      <w:bookmarkEnd w:id="164"/>
      <w:bookmarkStart w:id="167" w:name="_Toc2578"/>
      <w:bookmarkStart w:id="168" w:name="_Toc4856"/>
      <w:bookmarkStart w:id="169" w:name="_Toc7522"/>
      <w:bookmarkStart w:id="170" w:name="_Toc19553"/>
      <w:r>
        <w:rPr>
          <w:rFonts w:hint="eastAsia" w:ascii="宋体" w:hAnsi="宋体" w:eastAsia="宋体" w:cs="宋体"/>
          <w:b/>
          <w:bCs/>
          <w:sz w:val="24"/>
          <w:szCs w:val="24"/>
          <w:highlight w:val="none"/>
          <w:lang w:val="en-US" w:eastAsia="zh-CN"/>
        </w:rPr>
        <w:t>1</w:t>
      </w:r>
      <w:r>
        <w:rPr>
          <w:rFonts w:hint="eastAsia" w:ascii="宋体" w:hAnsi="宋体" w:eastAsia="宋体" w:cs="宋体"/>
          <w:b/>
          <w:bCs/>
          <w:sz w:val="24"/>
          <w:szCs w:val="24"/>
          <w:highlight w:val="none"/>
        </w:rPr>
        <w:t>退化情况调查结果</w:t>
      </w:r>
      <w:bookmarkEnd w:id="165"/>
      <w:bookmarkEnd w:id="166"/>
    </w:p>
    <w:bookmarkEnd w:id="167"/>
    <w:bookmarkEnd w:id="168"/>
    <w:bookmarkEnd w:id="169"/>
    <w:bookmarkEnd w:id="170"/>
    <w:p w14:paraId="0474D6B2">
      <w:pPr>
        <w:pageBreakBefore w:val="0"/>
        <w:kinsoku/>
        <w:wordWrap/>
        <w:overflowPunct/>
        <w:topLinePunct w:val="0"/>
        <w:autoSpaceDE/>
        <w:autoSpaceDN/>
        <w:bidi w:val="0"/>
        <w:adjustRightInd/>
        <w:snapToGrid/>
        <w:spacing w:line="560" w:lineRule="exact"/>
        <w:ind w:firstLine="560"/>
        <w:rPr>
          <w:rFonts w:hint="eastAsia" w:ascii="宋体" w:hAnsi="宋体" w:eastAsia="宋体" w:cs="宋体"/>
          <w:sz w:val="24"/>
          <w:szCs w:val="24"/>
          <w:highlight w:val="none"/>
        </w:rPr>
      </w:pPr>
      <w:r>
        <w:rPr>
          <w:rFonts w:hint="eastAsia" w:ascii="宋体" w:hAnsi="宋体" w:eastAsia="宋体" w:cs="宋体"/>
          <w:sz w:val="24"/>
          <w:szCs w:val="24"/>
          <w:highlight w:val="none"/>
        </w:rPr>
        <w:t>通过现地调查</w:t>
      </w:r>
      <w:r>
        <w:rPr>
          <w:rFonts w:hint="eastAsia" w:ascii="宋体" w:hAnsi="宋体" w:eastAsia="宋体" w:cs="宋体"/>
          <w:sz w:val="24"/>
          <w:szCs w:val="24"/>
          <w:highlight w:val="none"/>
          <w:lang w:val="en-US" w:eastAsia="zh-CN"/>
        </w:rPr>
        <w:t>和技术规程确定本次退化林类型为退化天然乔木林和退化人工乔木林，退化等级为一般退化，退化</w:t>
      </w:r>
      <w:r>
        <w:rPr>
          <w:rFonts w:hint="eastAsia" w:ascii="宋体" w:hAnsi="宋体" w:eastAsia="宋体" w:cs="宋体"/>
          <w:sz w:val="24"/>
          <w:szCs w:val="24"/>
          <w:highlight w:val="none"/>
        </w:rPr>
        <w:t>主要</w:t>
      </w:r>
      <w:r>
        <w:rPr>
          <w:rFonts w:hint="eastAsia" w:ascii="宋体" w:hAnsi="宋体" w:eastAsia="宋体" w:cs="宋体"/>
          <w:sz w:val="24"/>
          <w:szCs w:val="24"/>
          <w:highlight w:val="none"/>
          <w:lang w:val="en-US" w:eastAsia="zh-CN"/>
        </w:rPr>
        <w:t>原因</w:t>
      </w:r>
      <w:r>
        <w:rPr>
          <w:rFonts w:hint="eastAsia" w:ascii="宋体" w:hAnsi="宋体" w:eastAsia="宋体" w:cs="宋体"/>
          <w:sz w:val="24"/>
          <w:szCs w:val="24"/>
          <w:highlight w:val="none"/>
        </w:rPr>
        <w:t>为：</w:t>
      </w:r>
    </w:p>
    <w:p w14:paraId="233AF49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480" w:firstLineChars="200"/>
        <w:textAlignment w:val="auto"/>
        <w:rPr>
          <w:rFonts w:hint="eastAsia" w:ascii="宋体" w:hAnsi="宋体" w:eastAsia="宋体" w:cs="宋体"/>
          <w:sz w:val="24"/>
          <w:szCs w:val="24"/>
          <w:highlight w:val="none"/>
        </w:rPr>
      </w:pPr>
      <w:r>
        <w:rPr>
          <w:rFonts w:hint="default" w:ascii="宋体" w:hAnsi="宋体" w:eastAsia="宋体" w:cs="宋体"/>
          <w:kern w:val="2"/>
          <w:sz w:val="24"/>
          <w:szCs w:val="24"/>
          <w:lang w:val="en-US" w:eastAsia="zh-CN" w:bidi="ar-SA"/>
        </w:rPr>
        <w:t>(1)</w:t>
      </w:r>
      <w:r>
        <w:rPr>
          <w:rFonts w:hint="eastAsia" w:ascii="宋体" w:hAnsi="宋体" w:eastAsia="宋体" w:cs="宋体"/>
          <w:sz w:val="24"/>
          <w:szCs w:val="24"/>
          <w:highlight w:val="none"/>
        </w:rPr>
        <w:t>部分小班中林分杂乱，目标树活枝较低，部分其他树枝条影响目标树生长</w:t>
      </w:r>
      <w:r>
        <w:rPr>
          <w:rFonts w:hint="eastAsia" w:ascii="宋体" w:hAnsi="宋体" w:eastAsia="宋体" w:cs="宋体"/>
          <w:sz w:val="24"/>
          <w:szCs w:val="24"/>
          <w:highlight w:val="none"/>
          <w:lang w:eastAsia="zh-CN"/>
        </w:rPr>
        <w:t>。</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30"/>
        <w:gridCol w:w="4155"/>
      </w:tblGrid>
      <w:tr w14:paraId="6D248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0" w:hRule="exact"/>
          <w:jc w:val="center"/>
        </w:trPr>
        <w:tc>
          <w:tcPr>
            <w:tcW w:w="4130" w:type="dxa"/>
            <w:vAlign w:val="top"/>
          </w:tcPr>
          <w:p w14:paraId="610C1C21">
            <w:pPr>
              <w:pageBreakBefore w:val="0"/>
              <w:tabs>
                <w:tab w:val="left" w:pos="2270"/>
              </w:tabs>
              <w:kinsoku/>
              <w:wordWrap/>
              <w:overflowPunct/>
              <w:topLinePunct w:val="0"/>
              <w:autoSpaceDE/>
              <w:autoSpaceDN/>
              <w:bidi w:val="0"/>
              <w:adjustRightInd/>
              <w:snapToGrid/>
              <w:spacing w:line="560" w:lineRule="exact"/>
              <w:jc w:val="left"/>
              <w:rPr>
                <w:rFonts w:hint="eastAsia" w:ascii="宋体" w:hAnsi="宋体" w:eastAsia="宋体" w:cs="宋体"/>
                <w:kern w:val="2"/>
                <w:sz w:val="24"/>
                <w:szCs w:val="24"/>
                <w:highlight w:val="none"/>
                <w:vertAlign w:val="baseline"/>
                <w:lang w:val="en-US" w:eastAsia="zh-CN" w:bidi="ar"/>
              </w:rPr>
            </w:pPr>
            <w:r>
              <w:rPr>
                <w:rFonts w:hint="eastAsia" w:ascii="宋体" w:hAnsi="宋体" w:eastAsia="宋体" w:cs="宋体"/>
                <w:kern w:val="2"/>
                <w:sz w:val="24"/>
                <w:szCs w:val="24"/>
                <w:lang w:val="en-US" w:eastAsia="zh-CN" w:bidi="ar-SA"/>
              </w:rPr>
              <w:tab/>
            </w:r>
            <w:r>
              <w:rPr>
                <w:rFonts w:hint="eastAsia" w:ascii="宋体" w:hAnsi="宋体" w:eastAsia="宋体" w:cs="宋体"/>
                <w:kern w:val="2"/>
                <w:sz w:val="24"/>
                <w:szCs w:val="24"/>
                <w:highlight w:val="none"/>
                <w:lang w:val="en-US" w:eastAsia="zh-CN" w:bidi="ar-SA"/>
              </w:rPr>
              <w:drawing>
                <wp:anchor distT="0" distB="0" distL="114300" distR="114300" simplePos="0" relativeHeight="251664384" behindDoc="0" locked="0" layoutInCell="1" allowOverlap="1">
                  <wp:simplePos x="0" y="0"/>
                  <wp:positionH relativeFrom="column">
                    <wp:posOffset>20320</wp:posOffset>
                  </wp:positionH>
                  <wp:positionV relativeFrom="paragraph">
                    <wp:posOffset>52070</wp:posOffset>
                  </wp:positionV>
                  <wp:extent cx="2471420" cy="2397125"/>
                  <wp:effectExtent l="0" t="0" r="5080" b="3175"/>
                  <wp:wrapTopAndBottom/>
                  <wp:docPr id="14" name="图片 14" descr="林下-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林下-3"/>
                          <pic:cNvPicPr>
                            <a:picLocks noChangeAspect="1"/>
                          </pic:cNvPicPr>
                        </pic:nvPicPr>
                        <pic:blipFill>
                          <a:blip r:embed="rId11"/>
                          <a:stretch>
                            <a:fillRect/>
                          </a:stretch>
                        </pic:blipFill>
                        <pic:spPr>
                          <a:xfrm>
                            <a:off x="0" y="0"/>
                            <a:ext cx="2471420" cy="2397125"/>
                          </a:xfrm>
                          <a:prstGeom prst="rect">
                            <a:avLst/>
                          </a:prstGeom>
                        </pic:spPr>
                      </pic:pic>
                    </a:graphicData>
                  </a:graphic>
                </wp:anchor>
              </w:drawing>
            </w:r>
          </w:p>
        </w:tc>
        <w:tc>
          <w:tcPr>
            <w:tcW w:w="4155" w:type="dxa"/>
            <w:vAlign w:val="top"/>
          </w:tcPr>
          <w:p w14:paraId="0B26A36E">
            <w:pPr>
              <w:pageBreakBefore w:val="0"/>
              <w:widowControl w:val="0"/>
              <w:kinsoku/>
              <w:wordWrap/>
              <w:overflowPunct/>
              <w:topLinePunct w:val="0"/>
              <w:autoSpaceDE/>
              <w:autoSpaceDN/>
              <w:bidi w:val="0"/>
              <w:adjustRightInd/>
              <w:snapToGrid/>
              <w:spacing w:line="560" w:lineRule="exact"/>
              <w:ind w:firstLine="480" w:firstLineChars="200"/>
              <w:jc w:val="both"/>
              <w:rPr>
                <w:rFonts w:hint="eastAsia" w:ascii="宋体" w:hAnsi="宋体" w:eastAsia="宋体" w:cs="宋体"/>
                <w:kern w:val="2"/>
                <w:sz w:val="24"/>
                <w:szCs w:val="24"/>
                <w:highlight w:val="none"/>
                <w:vertAlign w:val="baseline"/>
                <w:lang w:val="en-US" w:eastAsia="zh-CN" w:bidi="ar"/>
              </w:rPr>
            </w:pPr>
            <w:r>
              <w:rPr>
                <w:rFonts w:hint="eastAsia" w:ascii="宋体" w:hAnsi="宋体" w:eastAsia="宋体" w:cs="宋体"/>
                <w:kern w:val="2"/>
                <w:sz w:val="24"/>
                <w:szCs w:val="24"/>
                <w:highlight w:val="none"/>
                <w:lang w:val="en-US" w:eastAsia="zh-CN" w:bidi="ar-SA"/>
              </w:rPr>
              <w:drawing>
                <wp:anchor distT="0" distB="0" distL="114300" distR="114300" simplePos="0" relativeHeight="251665408" behindDoc="0" locked="0" layoutInCell="1" allowOverlap="1">
                  <wp:simplePos x="0" y="0"/>
                  <wp:positionH relativeFrom="column">
                    <wp:posOffset>0</wp:posOffset>
                  </wp:positionH>
                  <wp:positionV relativeFrom="paragraph">
                    <wp:posOffset>30480</wp:posOffset>
                  </wp:positionV>
                  <wp:extent cx="2502535" cy="2427605"/>
                  <wp:effectExtent l="0" t="0" r="12065" b="10795"/>
                  <wp:wrapTopAndBottom/>
                  <wp:docPr id="16" name="图片 16" descr="林相-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林相-1"/>
                          <pic:cNvPicPr>
                            <a:picLocks noChangeAspect="1"/>
                          </pic:cNvPicPr>
                        </pic:nvPicPr>
                        <pic:blipFill>
                          <a:blip r:embed="rId12"/>
                          <a:stretch>
                            <a:fillRect/>
                          </a:stretch>
                        </pic:blipFill>
                        <pic:spPr>
                          <a:xfrm>
                            <a:off x="0" y="0"/>
                            <a:ext cx="2502535" cy="2427605"/>
                          </a:xfrm>
                          <a:prstGeom prst="rect">
                            <a:avLst/>
                          </a:prstGeom>
                        </pic:spPr>
                      </pic:pic>
                    </a:graphicData>
                  </a:graphic>
                </wp:anchor>
              </w:drawing>
            </w:r>
          </w:p>
        </w:tc>
      </w:tr>
      <w:tr w14:paraId="7445D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30" w:type="dxa"/>
            <w:vAlign w:val="top"/>
          </w:tcPr>
          <w:p w14:paraId="4B25C48D">
            <w:pPr>
              <w:pageBreakBefore w:val="0"/>
              <w:widowControl w:val="0"/>
              <w:kinsoku/>
              <w:wordWrap/>
              <w:overflowPunct/>
              <w:topLinePunct w:val="0"/>
              <w:autoSpaceDE/>
              <w:autoSpaceDN/>
              <w:bidi w:val="0"/>
              <w:adjustRightInd/>
              <w:snapToGrid/>
              <w:spacing w:line="560" w:lineRule="exact"/>
              <w:ind w:left="0" w:leftChars="0" w:firstLine="480" w:firstLineChars="200"/>
              <w:jc w:val="both"/>
              <w:rPr>
                <w:rFonts w:hint="eastAsia" w:ascii="宋体" w:hAnsi="宋体" w:eastAsia="宋体" w:cs="宋体"/>
                <w:kern w:val="2"/>
                <w:sz w:val="24"/>
                <w:szCs w:val="24"/>
                <w:highlight w:val="none"/>
                <w:vertAlign w:val="baseline"/>
                <w:lang w:val="en-US" w:eastAsia="zh-CN" w:bidi="ar"/>
              </w:rPr>
            </w:pPr>
            <w:r>
              <w:rPr>
                <w:rFonts w:hint="eastAsia" w:ascii="宋体" w:hAnsi="宋体" w:eastAsia="宋体" w:cs="宋体"/>
                <w:kern w:val="2"/>
                <w:sz w:val="24"/>
                <w:szCs w:val="24"/>
                <w:highlight w:val="none"/>
                <w:lang w:val="en-US" w:eastAsia="zh-CN" w:bidi="ar-SA"/>
              </w:rPr>
              <w:t>图5-1退化林修复作业区现状图</w:t>
            </w:r>
          </w:p>
        </w:tc>
        <w:tc>
          <w:tcPr>
            <w:tcW w:w="4155" w:type="dxa"/>
            <w:vAlign w:val="top"/>
          </w:tcPr>
          <w:p w14:paraId="31768761">
            <w:pPr>
              <w:pageBreakBefore w:val="0"/>
              <w:widowControl w:val="0"/>
              <w:kinsoku/>
              <w:wordWrap/>
              <w:overflowPunct/>
              <w:topLinePunct w:val="0"/>
              <w:autoSpaceDE/>
              <w:autoSpaceDN/>
              <w:bidi w:val="0"/>
              <w:adjustRightInd/>
              <w:snapToGrid/>
              <w:spacing w:line="560" w:lineRule="exact"/>
              <w:ind w:left="0" w:leftChars="0" w:firstLine="240" w:firstLineChars="100"/>
              <w:jc w:val="both"/>
              <w:rPr>
                <w:rFonts w:hint="eastAsia" w:ascii="宋体" w:hAnsi="宋体" w:eastAsia="宋体" w:cs="宋体"/>
                <w:kern w:val="2"/>
                <w:sz w:val="24"/>
                <w:szCs w:val="24"/>
                <w:highlight w:val="none"/>
                <w:vertAlign w:val="baseline"/>
                <w:lang w:val="en-US" w:eastAsia="zh-CN" w:bidi="ar"/>
              </w:rPr>
            </w:pPr>
            <w:r>
              <w:rPr>
                <w:rFonts w:hint="eastAsia" w:ascii="宋体" w:hAnsi="宋体" w:eastAsia="宋体" w:cs="宋体"/>
                <w:kern w:val="2"/>
                <w:sz w:val="24"/>
                <w:szCs w:val="24"/>
                <w:highlight w:val="none"/>
                <w:lang w:val="en-US" w:eastAsia="zh-CN" w:bidi="ar-SA"/>
              </w:rPr>
              <w:t>图5-2退化林修复作业区现状图</w:t>
            </w:r>
          </w:p>
        </w:tc>
      </w:tr>
    </w:tbl>
    <w:p w14:paraId="3E3E1A4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480" w:firstLineChars="200"/>
        <w:textAlignment w:val="auto"/>
        <w:rPr>
          <w:rFonts w:hint="eastAsia" w:ascii="宋体" w:hAnsi="宋体" w:eastAsia="宋体" w:cs="宋体"/>
          <w:sz w:val="24"/>
          <w:szCs w:val="24"/>
          <w:highlight w:val="none"/>
        </w:rPr>
      </w:pPr>
      <w:r>
        <w:rPr>
          <w:rFonts w:hint="default" w:ascii="宋体" w:hAnsi="宋体" w:eastAsia="宋体" w:cs="宋体"/>
          <w:kern w:val="2"/>
          <w:sz w:val="24"/>
          <w:szCs w:val="24"/>
          <w:lang w:val="en-US" w:eastAsia="zh-CN" w:bidi="ar-SA"/>
        </w:rPr>
        <w:t>(2)</w:t>
      </w:r>
      <w:r>
        <w:rPr>
          <w:rFonts w:hint="eastAsia" w:ascii="宋体" w:hAnsi="宋体" w:eastAsia="宋体" w:cs="宋体"/>
          <w:sz w:val="24"/>
          <w:szCs w:val="24"/>
          <w:highlight w:val="none"/>
        </w:rPr>
        <w:t>萌生起源的林木数比例大于80%且缺乏目的树种</w:t>
      </w:r>
      <w:r>
        <w:rPr>
          <w:rFonts w:hint="eastAsia" w:ascii="宋体" w:hAnsi="宋体" w:eastAsia="宋体" w:cs="宋体"/>
          <w:sz w:val="24"/>
          <w:szCs w:val="24"/>
          <w:highlight w:val="none"/>
          <w:lang w:eastAsia="zh-CN"/>
        </w:rPr>
        <w:t>。</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85"/>
        <w:gridCol w:w="4155"/>
      </w:tblGrid>
      <w:tr w14:paraId="4EBBB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8" w:hRule="exact"/>
          <w:jc w:val="center"/>
        </w:trPr>
        <w:tc>
          <w:tcPr>
            <w:tcW w:w="4185" w:type="dxa"/>
            <w:vAlign w:val="top"/>
          </w:tcPr>
          <w:p w14:paraId="009C8B20">
            <w:pPr>
              <w:pageBreakBefore w:val="0"/>
              <w:kinsoku/>
              <w:wordWrap/>
              <w:overflowPunct/>
              <w:topLinePunct w:val="0"/>
              <w:autoSpaceDE/>
              <w:autoSpaceDN/>
              <w:bidi w:val="0"/>
              <w:adjustRightInd/>
              <w:snapToGrid/>
              <w:spacing w:line="560" w:lineRule="exact"/>
              <w:rPr>
                <w:rFonts w:hint="eastAsia" w:ascii="宋体" w:hAnsi="宋体" w:eastAsia="宋体" w:cs="宋体"/>
                <w:sz w:val="24"/>
                <w:szCs w:val="24"/>
                <w:highlight w:val="none"/>
                <w:vertAlign w:val="baseline"/>
                <w:lang w:bidi="ar"/>
              </w:rPr>
            </w:pPr>
            <w:r>
              <w:rPr>
                <w:rFonts w:hint="eastAsia" w:ascii="宋体" w:hAnsi="宋体" w:eastAsia="宋体" w:cs="宋体"/>
                <w:sz w:val="24"/>
                <w:szCs w:val="24"/>
                <w:highlight w:val="none"/>
              </w:rPr>
              <w:drawing>
                <wp:anchor distT="0" distB="0" distL="114300" distR="114300" simplePos="0" relativeHeight="251662336" behindDoc="0" locked="0" layoutInCell="1" allowOverlap="1">
                  <wp:simplePos x="0" y="0"/>
                  <wp:positionH relativeFrom="column">
                    <wp:posOffset>-8890</wp:posOffset>
                  </wp:positionH>
                  <wp:positionV relativeFrom="paragraph">
                    <wp:posOffset>71120</wp:posOffset>
                  </wp:positionV>
                  <wp:extent cx="2555240" cy="1916430"/>
                  <wp:effectExtent l="0" t="0" r="16510" b="7620"/>
                  <wp:wrapSquare wrapText="bothSides"/>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3"/>
                          <a:stretch>
                            <a:fillRect/>
                          </a:stretch>
                        </pic:blipFill>
                        <pic:spPr>
                          <a:xfrm>
                            <a:off x="0" y="0"/>
                            <a:ext cx="2555240" cy="1916430"/>
                          </a:xfrm>
                          <a:prstGeom prst="rect">
                            <a:avLst/>
                          </a:prstGeom>
                          <a:noFill/>
                          <a:ln>
                            <a:noFill/>
                          </a:ln>
                        </pic:spPr>
                      </pic:pic>
                    </a:graphicData>
                  </a:graphic>
                </wp:anchor>
              </w:drawing>
            </w:r>
          </w:p>
        </w:tc>
        <w:tc>
          <w:tcPr>
            <w:tcW w:w="4155" w:type="dxa"/>
          </w:tcPr>
          <w:p w14:paraId="7238AC5D">
            <w:pPr>
              <w:pageBreakBefore w:val="0"/>
              <w:kinsoku/>
              <w:wordWrap/>
              <w:overflowPunct/>
              <w:topLinePunct w:val="0"/>
              <w:autoSpaceDE/>
              <w:autoSpaceDN/>
              <w:bidi w:val="0"/>
              <w:adjustRightInd/>
              <w:snapToGrid/>
              <w:spacing w:line="560" w:lineRule="exact"/>
              <w:rPr>
                <w:rFonts w:hint="eastAsia" w:ascii="宋体" w:hAnsi="宋体" w:eastAsia="宋体" w:cs="宋体"/>
                <w:sz w:val="24"/>
                <w:szCs w:val="24"/>
                <w:highlight w:val="none"/>
                <w:vertAlign w:val="baseline"/>
                <w:lang w:bidi="ar"/>
              </w:rPr>
            </w:pPr>
            <w:r>
              <w:rPr>
                <w:rFonts w:hint="eastAsia" w:ascii="宋体" w:hAnsi="宋体" w:eastAsia="宋体" w:cs="宋体"/>
                <w:sz w:val="24"/>
                <w:szCs w:val="24"/>
                <w:highlight w:val="none"/>
                <w:lang w:val="en-US" w:eastAsia="zh-CN"/>
              </w:rPr>
              <w:drawing>
                <wp:anchor distT="0" distB="0" distL="114300" distR="114300" simplePos="0" relativeHeight="251663360" behindDoc="0" locked="0" layoutInCell="1" allowOverlap="1">
                  <wp:simplePos x="0" y="0"/>
                  <wp:positionH relativeFrom="column">
                    <wp:posOffset>-26670</wp:posOffset>
                  </wp:positionH>
                  <wp:positionV relativeFrom="paragraph">
                    <wp:posOffset>79375</wp:posOffset>
                  </wp:positionV>
                  <wp:extent cx="2567940" cy="1925955"/>
                  <wp:effectExtent l="0" t="0" r="3810" b="17145"/>
                  <wp:wrapSquare wrapText="bothSides"/>
                  <wp:docPr id="15" name="图片 15" descr="修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修复"/>
                          <pic:cNvPicPr>
                            <a:picLocks noChangeAspect="1"/>
                          </pic:cNvPicPr>
                        </pic:nvPicPr>
                        <pic:blipFill>
                          <a:blip r:embed="rId14"/>
                          <a:stretch>
                            <a:fillRect/>
                          </a:stretch>
                        </pic:blipFill>
                        <pic:spPr>
                          <a:xfrm>
                            <a:off x="0" y="0"/>
                            <a:ext cx="2567940" cy="1925955"/>
                          </a:xfrm>
                          <a:prstGeom prst="rect">
                            <a:avLst/>
                          </a:prstGeom>
                        </pic:spPr>
                      </pic:pic>
                    </a:graphicData>
                  </a:graphic>
                </wp:anchor>
              </w:drawing>
            </w:r>
          </w:p>
        </w:tc>
      </w:tr>
      <w:tr w14:paraId="61DD5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85" w:type="dxa"/>
            <w:vAlign w:val="top"/>
          </w:tcPr>
          <w:p w14:paraId="6455092A">
            <w:pPr>
              <w:pageBreakBefore w:val="0"/>
              <w:kinsoku/>
              <w:wordWrap/>
              <w:overflowPunct/>
              <w:topLinePunct w:val="0"/>
              <w:autoSpaceDE/>
              <w:autoSpaceDN/>
              <w:bidi w:val="0"/>
              <w:adjustRightInd/>
              <w:snapToGrid/>
              <w:spacing w:line="560" w:lineRule="exact"/>
              <w:rPr>
                <w:rFonts w:hint="eastAsia" w:ascii="宋体" w:hAnsi="宋体" w:eastAsia="宋体" w:cs="宋体"/>
                <w:sz w:val="24"/>
                <w:szCs w:val="24"/>
                <w:highlight w:val="none"/>
                <w:vertAlign w:val="baseline"/>
                <w:lang w:bidi="ar"/>
              </w:rPr>
            </w:pPr>
            <w:r>
              <w:rPr>
                <w:rFonts w:hint="eastAsia" w:ascii="宋体" w:hAnsi="宋体" w:eastAsia="宋体" w:cs="宋体"/>
                <w:sz w:val="24"/>
                <w:szCs w:val="24"/>
                <w:highlight w:val="none"/>
                <w:lang w:val="en-US" w:eastAsia="zh-CN"/>
              </w:rPr>
              <w:t>图5-3退化林修复作业区现状图</w:t>
            </w:r>
          </w:p>
        </w:tc>
        <w:tc>
          <w:tcPr>
            <w:tcW w:w="4155" w:type="dxa"/>
            <w:vAlign w:val="top"/>
          </w:tcPr>
          <w:p w14:paraId="1F10AC0F">
            <w:pPr>
              <w:pageBreakBefore w:val="0"/>
              <w:kinsoku/>
              <w:wordWrap/>
              <w:overflowPunct/>
              <w:topLinePunct w:val="0"/>
              <w:autoSpaceDE/>
              <w:autoSpaceDN/>
              <w:bidi w:val="0"/>
              <w:adjustRightInd/>
              <w:snapToGrid/>
              <w:spacing w:line="560" w:lineRule="exact"/>
              <w:ind w:left="0" w:leftChars="0" w:firstLine="240" w:firstLineChars="100"/>
              <w:rPr>
                <w:rFonts w:hint="eastAsia" w:ascii="宋体" w:hAnsi="宋体" w:eastAsia="宋体" w:cs="宋体"/>
                <w:sz w:val="24"/>
                <w:szCs w:val="24"/>
                <w:highlight w:val="none"/>
                <w:vertAlign w:val="baseline"/>
                <w:lang w:bidi="ar"/>
              </w:rPr>
            </w:pPr>
            <w:r>
              <w:rPr>
                <w:rFonts w:hint="eastAsia" w:ascii="宋体" w:hAnsi="宋体" w:eastAsia="宋体" w:cs="宋体"/>
                <w:sz w:val="24"/>
                <w:szCs w:val="24"/>
                <w:highlight w:val="none"/>
                <w:lang w:val="en-US" w:eastAsia="zh-CN"/>
              </w:rPr>
              <w:t>图5-4退化林修复作业区现状图</w:t>
            </w:r>
          </w:p>
        </w:tc>
      </w:tr>
    </w:tbl>
    <w:p w14:paraId="4D7ECCA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480" w:firstLineChars="200"/>
        <w:textAlignment w:val="auto"/>
        <w:rPr>
          <w:rFonts w:hint="eastAsia" w:ascii="宋体" w:hAnsi="宋体" w:eastAsia="宋体" w:cs="宋体"/>
          <w:sz w:val="24"/>
          <w:szCs w:val="24"/>
          <w:highlight w:val="none"/>
        </w:rPr>
      </w:pPr>
      <w:r>
        <w:rPr>
          <w:rFonts w:hint="default" w:ascii="宋体" w:hAnsi="宋体" w:eastAsia="宋体" w:cs="宋体"/>
          <w:kern w:val="2"/>
          <w:sz w:val="24"/>
          <w:szCs w:val="24"/>
          <w:lang w:val="en-US" w:eastAsia="zh-CN" w:bidi="ar-SA"/>
        </w:rPr>
        <w:t>(3)</w:t>
      </w:r>
      <w:r>
        <w:rPr>
          <w:rFonts w:hint="eastAsia" w:ascii="宋体" w:hAnsi="宋体" w:eastAsia="宋体" w:cs="宋体"/>
          <w:sz w:val="24"/>
          <w:szCs w:val="24"/>
          <w:highlight w:val="none"/>
          <w:lang w:bidi="ar"/>
        </w:rPr>
        <w:t>个体间的竞争导致林木生长受限导致衰退，天然更新等级不良。</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85"/>
        <w:gridCol w:w="4155"/>
      </w:tblGrid>
      <w:tr w14:paraId="20ABC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8" w:hRule="exact"/>
          <w:jc w:val="center"/>
        </w:trPr>
        <w:tc>
          <w:tcPr>
            <w:tcW w:w="4185" w:type="dxa"/>
            <w:vAlign w:val="top"/>
          </w:tcPr>
          <w:p w14:paraId="0B524EF0">
            <w:pPr>
              <w:pageBreakBefore w:val="0"/>
              <w:kinsoku/>
              <w:wordWrap/>
              <w:overflowPunct/>
              <w:topLinePunct w:val="0"/>
              <w:autoSpaceDE/>
              <w:autoSpaceDN/>
              <w:bidi w:val="0"/>
              <w:adjustRightInd/>
              <w:snapToGrid/>
              <w:spacing w:line="560" w:lineRule="exact"/>
              <w:ind w:firstLine="560"/>
              <w:rPr>
                <w:rFonts w:hint="eastAsia" w:ascii="宋体" w:hAnsi="宋体" w:eastAsia="宋体" w:cs="宋体"/>
                <w:sz w:val="24"/>
                <w:szCs w:val="24"/>
                <w:highlight w:val="none"/>
                <w:vertAlign w:val="baseline"/>
                <w:lang w:bidi="ar"/>
              </w:rPr>
            </w:pPr>
            <w:r>
              <w:rPr>
                <w:rFonts w:hint="eastAsia" w:ascii="宋体" w:hAnsi="宋体" w:eastAsia="宋体" w:cs="宋体"/>
                <w:sz w:val="24"/>
                <w:szCs w:val="24"/>
                <w:highlight w:val="none"/>
                <w:lang w:val="en-US" w:eastAsia="zh-CN"/>
              </w:rPr>
              <w:drawing>
                <wp:anchor distT="0" distB="0" distL="114300" distR="114300" simplePos="0" relativeHeight="251660288" behindDoc="0" locked="0" layoutInCell="1" allowOverlap="1">
                  <wp:simplePos x="0" y="0"/>
                  <wp:positionH relativeFrom="column">
                    <wp:posOffset>-14605</wp:posOffset>
                  </wp:positionH>
                  <wp:positionV relativeFrom="paragraph">
                    <wp:posOffset>54610</wp:posOffset>
                  </wp:positionV>
                  <wp:extent cx="2568575" cy="1925955"/>
                  <wp:effectExtent l="0" t="0" r="3175" b="17145"/>
                  <wp:wrapTopAndBottom/>
                  <wp:docPr id="6" name="图片 6" descr="7栎3杂-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7栎3杂-1"/>
                          <pic:cNvPicPr>
                            <a:picLocks noChangeAspect="1"/>
                          </pic:cNvPicPr>
                        </pic:nvPicPr>
                        <pic:blipFill>
                          <a:blip r:embed="rId15"/>
                          <a:stretch>
                            <a:fillRect/>
                          </a:stretch>
                        </pic:blipFill>
                        <pic:spPr>
                          <a:xfrm>
                            <a:off x="0" y="0"/>
                            <a:ext cx="2568575" cy="1925955"/>
                          </a:xfrm>
                          <a:prstGeom prst="rect">
                            <a:avLst/>
                          </a:prstGeom>
                        </pic:spPr>
                      </pic:pic>
                    </a:graphicData>
                  </a:graphic>
                </wp:anchor>
              </w:drawing>
            </w:r>
          </w:p>
        </w:tc>
        <w:tc>
          <w:tcPr>
            <w:tcW w:w="4155" w:type="dxa"/>
          </w:tcPr>
          <w:p w14:paraId="2E140C39">
            <w:pPr>
              <w:pageBreakBefore w:val="0"/>
              <w:kinsoku/>
              <w:wordWrap/>
              <w:overflowPunct/>
              <w:topLinePunct w:val="0"/>
              <w:autoSpaceDE/>
              <w:autoSpaceDN/>
              <w:bidi w:val="0"/>
              <w:adjustRightInd/>
              <w:snapToGrid/>
              <w:spacing w:line="560" w:lineRule="exact"/>
              <w:ind w:firstLine="560"/>
              <w:rPr>
                <w:rFonts w:hint="eastAsia" w:ascii="宋体" w:hAnsi="宋体" w:eastAsia="宋体" w:cs="宋体"/>
                <w:sz w:val="24"/>
                <w:szCs w:val="24"/>
                <w:highlight w:val="none"/>
                <w:vertAlign w:val="baseline"/>
                <w:lang w:bidi="ar"/>
              </w:rPr>
            </w:pPr>
            <w:r>
              <w:rPr>
                <w:rFonts w:hint="eastAsia" w:ascii="宋体" w:hAnsi="宋体" w:eastAsia="宋体" w:cs="宋体"/>
                <w:sz w:val="24"/>
                <w:szCs w:val="24"/>
                <w:highlight w:val="none"/>
                <w:lang w:val="en-US" w:eastAsia="zh-CN"/>
              </w:rPr>
              <w:drawing>
                <wp:anchor distT="0" distB="0" distL="114300" distR="114300" simplePos="0" relativeHeight="251661312" behindDoc="0" locked="0" layoutInCell="1" allowOverlap="1">
                  <wp:simplePos x="0" y="0"/>
                  <wp:positionH relativeFrom="column">
                    <wp:posOffset>-34925</wp:posOffset>
                  </wp:positionH>
                  <wp:positionV relativeFrom="paragraph">
                    <wp:posOffset>65405</wp:posOffset>
                  </wp:positionV>
                  <wp:extent cx="2567940" cy="1925955"/>
                  <wp:effectExtent l="0" t="0" r="3810" b="17145"/>
                  <wp:wrapSquare wrapText="bothSides"/>
                  <wp:docPr id="9" name="图片 9" descr="小班外对照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小班外对照组"/>
                          <pic:cNvPicPr>
                            <a:picLocks noChangeAspect="1"/>
                          </pic:cNvPicPr>
                        </pic:nvPicPr>
                        <pic:blipFill>
                          <a:blip r:embed="rId16"/>
                          <a:stretch>
                            <a:fillRect/>
                          </a:stretch>
                        </pic:blipFill>
                        <pic:spPr>
                          <a:xfrm>
                            <a:off x="0" y="0"/>
                            <a:ext cx="2567940" cy="1925955"/>
                          </a:xfrm>
                          <a:prstGeom prst="rect">
                            <a:avLst/>
                          </a:prstGeom>
                        </pic:spPr>
                      </pic:pic>
                    </a:graphicData>
                  </a:graphic>
                </wp:anchor>
              </w:drawing>
            </w:r>
          </w:p>
        </w:tc>
      </w:tr>
      <w:tr w14:paraId="24B93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85" w:type="dxa"/>
            <w:vAlign w:val="top"/>
          </w:tcPr>
          <w:p w14:paraId="55B08389">
            <w:pPr>
              <w:pageBreakBefore w:val="0"/>
              <w:kinsoku/>
              <w:wordWrap/>
              <w:overflowPunct/>
              <w:topLinePunct w:val="0"/>
              <w:autoSpaceDE/>
              <w:autoSpaceDN/>
              <w:bidi w:val="0"/>
              <w:adjustRightInd/>
              <w:snapToGrid/>
              <w:spacing w:line="560" w:lineRule="exact"/>
              <w:ind w:firstLine="560"/>
              <w:rPr>
                <w:rFonts w:hint="eastAsia" w:ascii="宋体" w:hAnsi="宋体" w:eastAsia="宋体" w:cs="宋体"/>
                <w:sz w:val="24"/>
                <w:szCs w:val="24"/>
                <w:highlight w:val="none"/>
                <w:vertAlign w:val="baseline"/>
                <w:lang w:bidi="ar"/>
              </w:rPr>
            </w:pPr>
            <w:r>
              <w:rPr>
                <w:rFonts w:hint="eastAsia" w:ascii="宋体" w:hAnsi="宋体" w:eastAsia="宋体" w:cs="宋体"/>
                <w:sz w:val="24"/>
                <w:szCs w:val="24"/>
                <w:highlight w:val="none"/>
                <w:lang w:val="en-US" w:eastAsia="zh-CN"/>
              </w:rPr>
              <w:t>图5-5退化林修复作业区现状图</w:t>
            </w:r>
          </w:p>
        </w:tc>
        <w:tc>
          <w:tcPr>
            <w:tcW w:w="4155" w:type="dxa"/>
            <w:vAlign w:val="top"/>
          </w:tcPr>
          <w:p w14:paraId="0524F07D">
            <w:pPr>
              <w:pageBreakBefore w:val="0"/>
              <w:kinsoku/>
              <w:wordWrap/>
              <w:overflowPunct/>
              <w:topLinePunct w:val="0"/>
              <w:autoSpaceDE/>
              <w:autoSpaceDN/>
              <w:bidi w:val="0"/>
              <w:adjustRightInd/>
              <w:snapToGrid/>
              <w:spacing w:line="560" w:lineRule="exact"/>
              <w:ind w:left="0" w:leftChars="0" w:firstLine="240" w:firstLineChars="100"/>
              <w:rPr>
                <w:rFonts w:hint="eastAsia" w:ascii="宋体" w:hAnsi="宋体" w:eastAsia="宋体" w:cs="宋体"/>
                <w:sz w:val="24"/>
                <w:szCs w:val="24"/>
                <w:highlight w:val="none"/>
                <w:vertAlign w:val="baseline"/>
                <w:lang w:bidi="ar"/>
              </w:rPr>
            </w:pPr>
            <w:r>
              <w:rPr>
                <w:rFonts w:hint="eastAsia" w:ascii="宋体" w:hAnsi="宋体" w:eastAsia="宋体" w:cs="宋体"/>
                <w:sz w:val="24"/>
                <w:szCs w:val="24"/>
                <w:highlight w:val="none"/>
                <w:lang w:val="en-US" w:eastAsia="zh-CN"/>
              </w:rPr>
              <w:t>图5-6退化林修复作业区现状图</w:t>
            </w:r>
          </w:p>
        </w:tc>
      </w:tr>
    </w:tbl>
    <w:p w14:paraId="1B3A3897">
      <w:pPr>
        <w:pageBreakBefore w:val="0"/>
        <w:widowControl w:val="0"/>
        <w:kinsoku/>
        <w:wordWrap/>
        <w:overflowPunct/>
        <w:topLinePunct w:val="0"/>
        <w:autoSpaceDE/>
        <w:autoSpaceDN/>
        <w:bidi w:val="0"/>
        <w:adjustRightInd/>
        <w:snapToGrid/>
        <w:spacing w:line="560" w:lineRule="exact"/>
        <w:ind w:firstLine="480" w:firstLineChars="20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表5-2退化林分主要成因一览表</w:t>
      </w:r>
    </w:p>
    <w:tbl>
      <w:tblPr>
        <w:tblStyle w:val="29"/>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132"/>
        <w:gridCol w:w="1176"/>
        <w:gridCol w:w="1567"/>
        <w:gridCol w:w="2136"/>
        <w:gridCol w:w="2385"/>
      </w:tblGrid>
      <w:tr w14:paraId="4261DF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1" w:hRule="atLeast"/>
        </w:trPr>
        <w:tc>
          <w:tcPr>
            <w:tcW w:w="1183" w:type="pct"/>
            <w:vMerge w:val="restart"/>
            <w:tcBorders>
              <w:top w:val="single" w:color="000000" w:sz="8" w:space="0"/>
              <w:left w:val="single" w:color="000000" w:sz="8" w:space="0"/>
              <w:bottom w:val="single" w:color="000000" w:sz="8" w:space="0"/>
              <w:right w:val="single" w:color="000000" w:sz="8" w:space="0"/>
            </w:tcBorders>
            <w:shd w:val="clear" w:color="auto" w:fill="auto"/>
            <w:noWrap/>
            <w:vAlign w:val="center"/>
          </w:tcPr>
          <w:p w14:paraId="45513520">
            <w:pPr>
              <w:keepNext w:val="0"/>
              <w:keepLines w:val="0"/>
              <w:pageBreakBefore w:val="0"/>
              <w:widowControl/>
              <w:suppressLineNumbers w:val="0"/>
              <w:kinsoku/>
              <w:wordWrap/>
              <w:overflowPunct/>
              <w:topLinePunct w:val="0"/>
              <w:autoSpaceDE/>
              <w:autoSpaceDN/>
              <w:bidi w:val="0"/>
              <w:adjustRightInd/>
              <w:snapToGrid/>
              <w:spacing w:line="560" w:lineRule="exact"/>
              <w:ind w:firstLine="0" w:firstLineChars="0"/>
              <w:jc w:val="center"/>
              <w:textAlignment w:val="center"/>
              <w:rPr>
                <w:rFonts w:hint="eastAsia" w:ascii="宋体" w:hAnsi="宋体" w:eastAsia="宋体" w:cs="宋体"/>
                <w:i w:val="0"/>
                <w:iCs w:val="0"/>
                <w:color w:val="000000"/>
                <w:sz w:val="24"/>
                <w:szCs w:val="24"/>
                <w:highlight w:val="none"/>
                <w:u w:val="none"/>
              </w:rPr>
            </w:pPr>
            <w:bookmarkStart w:id="171" w:name="_Toc7863"/>
            <w:r>
              <w:rPr>
                <w:rFonts w:hint="eastAsia" w:ascii="宋体" w:hAnsi="宋体" w:eastAsia="宋体" w:cs="宋体"/>
                <w:i w:val="0"/>
                <w:iCs w:val="0"/>
                <w:color w:val="000000"/>
                <w:kern w:val="0"/>
                <w:sz w:val="24"/>
                <w:szCs w:val="24"/>
                <w:highlight w:val="none"/>
                <w:u w:val="none"/>
                <w:lang w:val="en-US" w:eastAsia="zh-CN" w:bidi="ar"/>
              </w:rPr>
              <w:t>主要成因</w:t>
            </w:r>
          </w:p>
        </w:tc>
        <w:tc>
          <w:tcPr>
            <w:tcW w:w="530" w:type="pct"/>
            <w:vMerge w:val="restart"/>
            <w:tcBorders>
              <w:top w:val="single" w:color="000000" w:sz="8" w:space="0"/>
              <w:left w:val="nil"/>
              <w:bottom w:val="single" w:color="000000" w:sz="8" w:space="0"/>
              <w:right w:val="single" w:color="000000" w:sz="8" w:space="0"/>
            </w:tcBorders>
            <w:shd w:val="clear" w:color="auto" w:fill="auto"/>
            <w:noWrap/>
            <w:vAlign w:val="center"/>
          </w:tcPr>
          <w:p w14:paraId="6BFCD84A">
            <w:pPr>
              <w:keepNext w:val="0"/>
              <w:keepLines w:val="0"/>
              <w:pageBreakBefore w:val="0"/>
              <w:widowControl/>
              <w:suppressLineNumbers w:val="0"/>
              <w:kinsoku/>
              <w:wordWrap/>
              <w:overflowPunct/>
              <w:topLinePunct w:val="0"/>
              <w:autoSpaceDE/>
              <w:autoSpaceDN/>
              <w:bidi w:val="0"/>
              <w:adjustRightInd/>
              <w:snapToGrid/>
              <w:spacing w:line="560" w:lineRule="exact"/>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成因编码</w:t>
            </w:r>
          </w:p>
        </w:tc>
        <w:tc>
          <w:tcPr>
            <w:tcW w:w="882" w:type="pct"/>
            <w:tcBorders>
              <w:top w:val="single" w:color="000000" w:sz="8" w:space="0"/>
              <w:left w:val="nil"/>
              <w:bottom w:val="single" w:color="000000" w:sz="8" w:space="0"/>
              <w:right w:val="single" w:color="000000" w:sz="8" w:space="0"/>
            </w:tcBorders>
            <w:shd w:val="clear" w:color="auto" w:fill="auto"/>
            <w:noWrap/>
            <w:vAlign w:val="center"/>
          </w:tcPr>
          <w:p w14:paraId="17C1D745">
            <w:pPr>
              <w:keepNext w:val="0"/>
              <w:keepLines w:val="0"/>
              <w:pageBreakBefore w:val="0"/>
              <w:widowControl/>
              <w:suppressLineNumbers w:val="0"/>
              <w:kinsoku/>
              <w:wordWrap/>
              <w:overflowPunct/>
              <w:topLinePunct w:val="0"/>
              <w:autoSpaceDE/>
              <w:autoSpaceDN/>
              <w:bidi w:val="0"/>
              <w:adjustRightInd/>
              <w:snapToGrid/>
              <w:spacing w:line="560" w:lineRule="exact"/>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村</w:t>
            </w:r>
          </w:p>
        </w:tc>
        <w:tc>
          <w:tcPr>
            <w:tcW w:w="1086" w:type="pct"/>
            <w:tcBorders>
              <w:top w:val="single" w:color="000000" w:sz="8" w:space="0"/>
              <w:left w:val="nil"/>
              <w:bottom w:val="single" w:color="000000" w:sz="8" w:space="0"/>
              <w:right w:val="single" w:color="000000" w:sz="8" w:space="0"/>
            </w:tcBorders>
            <w:shd w:val="clear" w:color="auto" w:fill="auto"/>
            <w:noWrap/>
            <w:vAlign w:val="center"/>
          </w:tcPr>
          <w:p w14:paraId="0D554D6A">
            <w:pPr>
              <w:keepNext w:val="0"/>
              <w:keepLines w:val="0"/>
              <w:pageBreakBefore w:val="0"/>
              <w:widowControl/>
              <w:suppressLineNumbers w:val="0"/>
              <w:kinsoku/>
              <w:wordWrap/>
              <w:overflowPunct/>
              <w:topLinePunct w:val="0"/>
              <w:autoSpaceDE/>
              <w:autoSpaceDN/>
              <w:bidi w:val="0"/>
              <w:adjustRightInd/>
              <w:snapToGrid/>
              <w:spacing w:line="560" w:lineRule="exact"/>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可作业面积（亩）</w:t>
            </w:r>
          </w:p>
        </w:tc>
        <w:tc>
          <w:tcPr>
            <w:tcW w:w="1317" w:type="pct"/>
            <w:tcBorders>
              <w:top w:val="single" w:color="000000" w:sz="8" w:space="0"/>
              <w:left w:val="nil"/>
              <w:bottom w:val="single" w:color="000000" w:sz="8" w:space="0"/>
              <w:right w:val="single" w:color="000000" w:sz="8" w:space="0"/>
            </w:tcBorders>
            <w:shd w:val="clear" w:color="auto" w:fill="auto"/>
            <w:noWrap/>
            <w:vAlign w:val="center"/>
          </w:tcPr>
          <w:p w14:paraId="34714383">
            <w:pPr>
              <w:keepNext w:val="0"/>
              <w:keepLines w:val="0"/>
              <w:pageBreakBefore w:val="0"/>
              <w:widowControl/>
              <w:suppressLineNumbers w:val="0"/>
              <w:kinsoku/>
              <w:wordWrap/>
              <w:overflowPunct/>
              <w:topLinePunct w:val="0"/>
              <w:autoSpaceDE/>
              <w:autoSpaceDN/>
              <w:bidi w:val="0"/>
              <w:adjustRightInd/>
              <w:snapToGrid/>
              <w:spacing w:line="560" w:lineRule="exact"/>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小班个数</w:t>
            </w:r>
          </w:p>
        </w:tc>
      </w:tr>
      <w:tr w14:paraId="030F3B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3" w:hRule="atLeast"/>
        </w:trPr>
        <w:tc>
          <w:tcPr>
            <w:tcW w:w="1183"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14:paraId="2D89D1AF">
            <w:pPr>
              <w:keepNext w:val="0"/>
              <w:keepLines w:val="0"/>
              <w:pageBreakBefore w:val="0"/>
              <w:widowControl/>
              <w:kinsoku/>
              <w:wordWrap/>
              <w:overflowPunct/>
              <w:topLinePunct w:val="0"/>
              <w:autoSpaceDE/>
              <w:autoSpaceDN/>
              <w:bidi w:val="0"/>
              <w:adjustRightInd/>
              <w:snapToGrid/>
              <w:spacing w:line="560" w:lineRule="exact"/>
              <w:ind w:firstLine="0" w:firstLineChars="0"/>
              <w:jc w:val="center"/>
              <w:rPr>
                <w:rFonts w:hint="eastAsia" w:ascii="宋体" w:hAnsi="宋体" w:eastAsia="宋体" w:cs="宋体"/>
                <w:i w:val="0"/>
                <w:iCs w:val="0"/>
                <w:color w:val="000000"/>
                <w:sz w:val="24"/>
                <w:szCs w:val="24"/>
                <w:highlight w:val="none"/>
                <w:u w:val="none"/>
              </w:rPr>
            </w:pPr>
          </w:p>
        </w:tc>
        <w:tc>
          <w:tcPr>
            <w:tcW w:w="530" w:type="pct"/>
            <w:vMerge w:val="continue"/>
            <w:tcBorders>
              <w:top w:val="single" w:color="000000" w:sz="8" w:space="0"/>
              <w:left w:val="nil"/>
              <w:bottom w:val="single" w:color="000000" w:sz="8" w:space="0"/>
              <w:right w:val="single" w:color="000000" w:sz="8" w:space="0"/>
            </w:tcBorders>
            <w:shd w:val="clear" w:color="auto" w:fill="auto"/>
            <w:noWrap/>
            <w:vAlign w:val="center"/>
          </w:tcPr>
          <w:p w14:paraId="31FDAE28">
            <w:pPr>
              <w:keepNext w:val="0"/>
              <w:keepLines w:val="0"/>
              <w:pageBreakBefore w:val="0"/>
              <w:widowControl/>
              <w:kinsoku/>
              <w:wordWrap/>
              <w:overflowPunct/>
              <w:topLinePunct w:val="0"/>
              <w:autoSpaceDE/>
              <w:autoSpaceDN/>
              <w:bidi w:val="0"/>
              <w:adjustRightInd/>
              <w:snapToGrid/>
              <w:spacing w:line="560" w:lineRule="exact"/>
              <w:ind w:firstLine="0" w:firstLineChars="0"/>
              <w:jc w:val="center"/>
              <w:rPr>
                <w:rFonts w:hint="eastAsia" w:ascii="宋体" w:hAnsi="宋体" w:eastAsia="宋体" w:cs="宋体"/>
                <w:i w:val="0"/>
                <w:iCs w:val="0"/>
                <w:color w:val="000000"/>
                <w:sz w:val="24"/>
                <w:szCs w:val="24"/>
                <w:highlight w:val="none"/>
                <w:u w:val="none"/>
              </w:rPr>
            </w:pPr>
          </w:p>
        </w:tc>
        <w:tc>
          <w:tcPr>
            <w:tcW w:w="882" w:type="pct"/>
            <w:tcBorders>
              <w:top w:val="nil"/>
              <w:left w:val="nil"/>
              <w:bottom w:val="single" w:color="000000" w:sz="8" w:space="0"/>
              <w:right w:val="single" w:color="000000" w:sz="8" w:space="0"/>
            </w:tcBorders>
            <w:shd w:val="clear" w:color="auto" w:fill="auto"/>
            <w:noWrap/>
            <w:vAlign w:val="center"/>
          </w:tcPr>
          <w:p w14:paraId="20D13743">
            <w:pPr>
              <w:keepNext w:val="0"/>
              <w:keepLines w:val="0"/>
              <w:pageBreakBefore w:val="0"/>
              <w:widowControl/>
              <w:suppressLineNumbers w:val="0"/>
              <w:kinsoku/>
              <w:wordWrap/>
              <w:overflowPunct/>
              <w:topLinePunct w:val="0"/>
              <w:autoSpaceDE/>
              <w:autoSpaceDN/>
              <w:bidi w:val="0"/>
              <w:adjustRightInd/>
              <w:snapToGrid/>
              <w:spacing w:line="560" w:lineRule="exact"/>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总计</w:t>
            </w:r>
          </w:p>
        </w:tc>
        <w:tc>
          <w:tcPr>
            <w:tcW w:w="1086" w:type="pct"/>
            <w:tcBorders>
              <w:top w:val="nil"/>
              <w:left w:val="nil"/>
              <w:bottom w:val="single" w:color="000000" w:sz="8" w:space="0"/>
              <w:right w:val="single" w:color="000000" w:sz="8" w:space="0"/>
            </w:tcBorders>
            <w:shd w:val="clear" w:color="auto" w:fill="auto"/>
            <w:noWrap/>
            <w:vAlign w:val="center"/>
          </w:tcPr>
          <w:p w14:paraId="5446CD22">
            <w:pPr>
              <w:keepNext w:val="0"/>
              <w:keepLines w:val="0"/>
              <w:pageBreakBefore w:val="0"/>
              <w:widowControl/>
              <w:suppressLineNumbers w:val="0"/>
              <w:kinsoku/>
              <w:wordWrap/>
              <w:overflowPunct/>
              <w:topLinePunct w:val="0"/>
              <w:autoSpaceDE/>
              <w:autoSpaceDN/>
              <w:bidi w:val="0"/>
              <w:adjustRightInd/>
              <w:snapToGrid/>
              <w:spacing w:line="560" w:lineRule="exact"/>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20000</w:t>
            </w:r>
          </w:p>
        </w:tc>
        <w:tc>
          <w:tcPr>
            <w:tcW w:w="1317" w:type="pct"/>
            <w:tcBorders>
              <w:top w:val="nil"/>
              <w:left w:val="nil"/>
              <w:bottom w:val="single" w:color="000000" w:sz="8" w:space="0"/>
              <w:right w:val="single" w:color="000000" w:sz="8" w:space="0"/>
            </w:tcBorders>
            <w:shd w:val="clear" w:color="auto" w:fill="auto"/>
            <w:noWrap/>
            <w:vAlign w:val="center"/>
          </w:tcPr>
          <w:p w14:paraId="5A848B49">
            <w:pPr>
              <w:keepNext w:val="0"/>
              <w:keepLines w:val="0"/>
              <w:pageBreakBefore w:val="0"/>
              <w:widowControl/>
              <w:suppressLineNumbers w:val="0"/>
              <w:kinsoku/>
              <w:wordWrap/>
              <w:overflowPunct/>
              <w:topLinePunct w:val="0"/>
              <w:autoSpaceDE/>
              <w:autoSpaceDN/>
              <w:bidi w:val="0"/>
              <w:adjustRightInd/>
              <w:snapToGrid/>
              <w:spacing w:line="560" w:lineRule="exact"/>
              <w:ind w:firstLine="0" w:firstLineChars="0"/>
              <w:jc w:val="center"/>
              <w:textAlignment w:val="center"/>
              <w:rPr>
                <w:rFonts w:hint="eastAsia" w:ascii="宋体" w:hAnsi="宋体" w:eastAsia="宋体" w:cs="宋体"/>
                <w:i w:val="0"/>
                <w:iCs w:val="0"/>
                <w:color w:val="000000"/>
                <w:sz w:val="24"/>
                <w:szCs w:val="24"/>
                <w:highlight w:val="none"/>
                <w:u w:val="none"/>
                <w:lang w:val="en-US"/>
              </w:rPr>
            </w:pPr>
            <w:r>
              <w:rPr>
                <w:rFonts w:hint="eastAsia" w:ascii="宋体" w:hAnsi="宋体" w:eastAsia="宋体" w:cs="宋体"/>
                <w:i w:val="0"/>
                <w:iCs w:val="0"/>
                <w:color w:val="000000"/>
                <w:kern w:val="0"/>
                <w:sz w:val="24"/>
                <w:szCs w:val="24"/>
                <w:highlight w:val="none"/>
                <w:u w:val="none"/>
                <w:lang w:val="en-US" w:eastAsia="zh-CN" w:bidi="ar"/>
              </w:rPr>
              <w:t>184</w:t>
            </w:r>
          </w:p>
        </w:tc>
      </w:tr>
      <w:tr w14:paraId="4E39C0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trPr>
        <w:tc>
          <w:tcPr>
            <w:tcW w:w="1183" w:type="pct"/>
            <w:vMerge w:val="restart"/>
            <w:tcBorders>
              <w:top w:val="nil"/>
              <w:left w:val="single" w:color="000000" w:sz="8" w:space="0"/>
              <w:bottom w:val="single" w:color="000000" w:sz="8" w:space="0"/>
              <w:right w:val="single" w:color="000000" w:sz="8" w:space="0"/>
            </w:tcBorders>
            <w:shd w:val="clear" w:color="auto" w:fill="auto"/>
            <w:vAlign w:val="center"/>
          </w:tcPr>
          <w:p w14:paraId="0B67CBA1">
            <w:pPr>
              <w:keepNext w:val="0"/>
              <w:keepLines w:val="0"/>
              <w:pageBreakBefore w:val="0"/>
              <w:widowControl/>
              <w:suppressLineNumbers w:val="0"/>
              <w:kinsoku/>
              <w:wordWrap/>
              <w:overflowPunct/>
              <w:topLinePunct w:val="0"/>
              <w:autoSpaceDE/>
              <w:autoSpaceDN/>
              <w:bidi w:val="0"/>
              <w:adjustRightInd/>
              <w:snapToGrid/>
              <w:spacing w:line="560" w:lineRule="exact"/>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林分杂乱，目标树活枝较低，部分其他树枝条影响目标树生长</w:t>
            </w:r>
          </w:p>
        </w:tc>
        <w:tc>
          <w:tcPr>
            <w:tcW w:w="530" w:type="pct"/>
            <w:vMerge w:val="restart"/>
            <w:tcBorders>
              <w:top w:val="nil"/>
              <w:left w:val="nil"/>
              <w:bottom w:val="single" w:color="000000" w:sz="8" w:space="0"/>
              <w:right w:val="single" w:color="000000" w:sz="8" w:space="0"/>
            </w:tcBorders>
            <w:shd w:val="clear" w:color="auto" w:fill="auto"/>
            <w:vAlign w:val="center"/>
          </w:tcPr>
          <w:p w14:paraId="527F00A2">
            <w:pPr>
              <w:keepNext w:val="0"/>
              <w:keepLines w:val="0"/>
              <w:pageBreakBefore w:val="0"/>
              <w:widowControl/>
              <w:suppressLineNumbers w:val="0"/>
              <w:kinsoku/>
              <w:wordWrap/>
              <w:overflowPunct/>
              <w:topLinePunct w:val="0"/>
              <w:autoSpaceDE/>
              <w:autoSpaceDN/>
              <w:bidi w:val="0"/>
              <w:adjustRightInd/>
              <w:snapToGrid/>
              <w:spacing w:line="560" w:lineRule="exact"/>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I</w:t>
            </w:r>
          </w:p>
        </w:tc>
        <w:tc>
          <w:tcPr>
            <w:tcW w:w="882" w:type="pct"/>
            <w:tcBorders>
              <w:top w:val="nil"/>
              <w:left w:val="nil"/>
              <w:bottom w:val="single" w:color="000000" w:sz="8" w:space="0"/>
              <w:right w:val="single" w:color="000000" w:sz="8" w:space="0"/>
            </w:tcBorders>
            <w:shd w:val="clear" w:color="auto" w:fill="auto"/>
            <w:noWrap/>
            <w:vAlign w:val="center"/>
          </w:tcPr>
          <w:p w14:paraId="4DD407B3">
            <w:pPr>
              <w:keepNext w:val="0"/>
              <w:keepLines w:val="0"/>
              <w:pageBreakBefore w:val="0"/>
              <w:widowControl/>
              <w:suppressLineNumbers w:val="0"/>
              <w:kinsoku/>
              <w:wordWrap/>
              <w:overflowPunct/>
              <w:topLinePunct w:val="0"/>
              <w:autoSpaceDE/>
              <w:autoSpaceDN/>
              <w:bidi w:val="0"/>
              <w:adjustRightInd/>
              <w:snapToGrid/>
              <w:spacing w:line="560" w:lineRule="exact"/>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小计</w:t>
            </w:r>
          </w:p>
        </w:tc>
        <w:tc>
          <w:tcPr>
            <w:tcW w:w="1086" w:type="pct"/>
            <w:tcBorders>
              <w:top w:val="nil"/>
              <w:left w:val="nil"/>
              <w:bottom w:val="single" w:color="000000" w:sz="8" w:space="0"/>
              <w:right w:val="single" w:color="000000" w:sz="8" w:space="0"/>
            </w:tcBorders>
            <w:shd w:val="clear" w:color="auto" w:fill="auto"/>
            <w:noWrap/>
            <w:vAlign w:val="center"/>
          </w:tcPr>
          <w:p w14:paraId="5E54965D">
            <w:pPr>
              <w:keepNext w:val="0"/>
              <w:keepLines w:val="0"/>
              <w:pageBreakBefore w:val="0"/>
              <w:widowControl/>
              <w:suppressLineNumbers w:val="0"/>
              <w:kinsoku/>
              <w:wordWrap/>
              <w:overflowPunct/>
              <w:topLinePunct w:val="0"/>
              <w:autoSpaceDE/>
              <w:autoSpaceDN/>
              <w:bidi w:val="0"/>
              <w:adjustRightInd/>
              <w:snapToGrid/>
              <w:spacing w:line="560" w:lineRule="exact"/>
              <w:ind w:firstLine="0" w:firstLineChars="0"/>
              <w:jc w:val="center"/>
              <w:textAlignment w:val="center"/>
              <w:rPr>
                <w:rFonts w:hint="eastAsia" w:ascii="宋体" w:hAnsi="宋体" w:eastAsia="宋体" w:cs="宋体"/>
                <w:i w:val="0"/>
                <w:iCs w:val="0"/>
                <w:color w:val="000000"/>
                <w:sz w:val="24"/>
                <w:szCs w:val="24"/>
                <w:highlight w:val="none"/>
                <w:u w:val="none"/>
                <w:lang w:val="en-US"/>
              </w:rPr>
            </w:pPr>
            <w:r>
              <w:rPr>
                <w:rFonts w:hint="eastAsia" w:ascii="宋体" w:hAnsi="宋体" w:eastAsia="宋体" w:cs="宋体"/>
                <w:i w:val="0"/>
                <w:iCs w:val="0"/>
                <w:color w:val="000000"/>
                <w:kern w:val="0"/>
                <w:sz w:val="24"/>
                <w:szCs w:val="24"/>
                <w:highlight w:val="none"/>
                <w:u w:val="none"/>
                <w:lang w:val="en-US" w:eastAsia="zh-CN" w:bidi="ar"/>
              </w:rPr>
              <w:t>1244</w:t>
            </w:r>
          </w:p>
        </w:tc>
        <w:tc>
          <w:tcPr>
            <w:tcW w:w="1317" w:type="pct"/>
            <w:tcBorders>
              <w:top w:val="nil"/>
              <w:left w:val="nil"/>
              <w:bottom w:val="single" w:color="000000" w:sz="8" w:space="0"/>
              <w:right w:val="single" w:color="000000" w:sz="8" w:space="0"/>
            </w:tcBorders>
            <w:shd w:val="clear" w:color="auto" w:fill="auto"/>
            <w:noWrap/>
            <w:vAlign w:val="center"/>
          </w:tcPr>
          <w:p w14:paraId="6B0F8264">
            <w:pPr>
              <w:keepNext w:val="0"/>
              <w:keepLines w:val="0"/>
              <w:pageBreakBefore w:val="0"/>
              <w:widowControl/>
              <w:suppressLineNumbers w:val="0"/>
              <w:kinsoku/>
              <w:wordWrap/>
              <w:overflowPunct/>
              <w:topLinePunct w:val="0"/>
              <w:autoSpaceDE/>
              <w:autoSpaceDN/>
              <w:bidi w:val="0"/>
              <w:adjustRightInd/>
              <w:snapToGrid/>
              <w:spacing w:line="560" w:lineRule="exact"/>
              <w:ind w:firstLine="0" w:firstLineChars="0"/>
              <w:jc w:val="center"/>
              <w:textAlignment w:val="center"/>
              <w:rPr>
                <w:rFonts w:hint="eastAsia" w:ascii="宋体" w:hAnsi="宋体" w:eastAsia="宋体" w:cs="宋体"/>
                <w:i w:val="0"/>
                <w:iCs w:val="0"/>
                <w:color w:val="000000"/>
                <w:sz w:val="24"/>
                <w:szCs w:val="24"/>
                <w:highlight w:val="none"/>
                <w:u w:val="none"/>
                <w:lang w:val="en-US"/>
              </w:rPr>
            </w:pPr>
            <w:r>
              <w:rPr>
                <w:rFonts w:hint="eastAsia" w:ascii="宋体" w:hAnsi="宋体" w:eastAsia="宋体" w:cs="宋体"/>
                <w:i w:val="0"/>
                <w:iCs w:val="0"/>
                <w:color w:val="000000"/>
                <w:kern w:val="0"/>
                <w:sz w:val="24"/>
                <w:szCs w:val="24"/>
                <w:highlight w:val="none"/>
                <w:u w:val="none"/>
                <w:lang w:val="en-US" w:eastAsia="zh-CN" w:bidi="ar"/>
              </w:rPr>
              <w:t>21</w:t>
            </w:r>
          </w:p>
        </w:tc>
      </w:tr>
      <w:tr w14:paraId="1D20CB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1" w:hRule="atLeast"/>
        </w:trPr>
        <w:tc>
          <w:tcPr>
            <w:tcW w:w="1183" w:type="pct"/>
            <w:vMerge w:val="continue"/>
            <w:tcBorders>
              <w:top w:val="nil"/>
              <w:left w:val="single" w:color="000000" w:sz="8" w:space="0"/>
              <w:bottom w:val="single" w:color="000000" w:sz="8" w:space="0"/>
              <w:right w:val="single" w:color="000000" w:sz="8" w:space="0"/>
            </w:tcBorders>
            <w:shd w:val="clear" w:color="auto" w:fill="auto"/>
            <w:vAlign w:val="center"/>
          </w:tcPr>
          <w:p w14:paraId="084551B8">
            <w:pPr>
              <w:keepNext w:val="0"/>
              <w:keepLines w:val="0"/>
              <w:pageBreakBefore w:val="0"/>
              <w:widowControl/>
              <w:kinsoku/>
              <w:wordWrap/>
              <w:overflowPunct/>
              <w:topLinePunct w:val="0"/>
              <w:autoSpaceDE/>
              <w:autoSpaceDN/>
              <w:bidi w:val="0"/>
              <w:adjustRightInd/>
              <w:snapToGrid/>
              <w:spacing w:line="560" w:lineRule="exact"/>
              <w:ind w:firstLine="0" w:firstLineChars="0"/>
              <w:jc w:val="center"/>
              <w:rPr>
                <w:rFonts w:hint="eastAsia" w:ascii="宋体" w:hAnsi="宋体" w:eastAsia="宋体" w:cs="宋体"/>
                <w:i w:val="0"/>
                <w:iCs w:val="0"/>
                <w:color w:val="000000"/>
                <w:sz w:val="24"/>
                <w:szCs w:val="24"/>
                <w:highlight w:val="none"/>
                <w:u w:val="none"/>
              </w:rPr>
            </w:pPr>
          </w:p>
        </w:tc>
        <w:tc>
          <w:tcPr>
            <w:tcW w:w="530" w:type="pct"/>
            <w:vMerge w:val="continue"/>
            <w:tcBorders>
              <w:top w:val="nil"/>
              <w:left w:val="nil"/>
              <w:bottom w:val="single" w:color="000000" w:sz="8" w:space="0"/>
              <w:right w:val="single" w:color="000000" w:sz="8" w:space="0"/>
            </w:tcBorders>
            <w:shd w:val="clear" w:color="auto" w:fill="auto"/>
            <w:vAlign w:val="center"/>
          </w:tcPr>
          <w:p w14:paraId="66395F03">
            <w:pPr>
              <w:keepNext w:val="0"/>
              <w:keepLines w:val="0"/>
              <w:pageBreakBefore w:val="0"/>
              <w:widowControl/>
              <w:kinsoku/>
              <w:wordWrap/>
              <w:overflowPunct/>
              <w:topLinePunct w:val="0"/>
              <w:autoSpaceDE/>
              <w:autoSpaceDN/>
              <w:bidi w:val="0"/>
              <w:adjustRightInd/>
              <w:snapToGrid/>
              <w:spacing w:line="560" w:lineRule="exact"/>
              <w:ind w:firstLine="0" w:firstLineChars="0"/>
              <w:jc w:val="center"/>
              <w:rPr>
                <w:rFonts w:hint="eastAsia" w:ascii="宋体" w:hAnsi="宋体" w:eastAsia="宋体" w:cs="宋体"/>
                <w:i w:val="0"/>
                <w:iCs w:val="0"/>
                <w:color w:val="000000"/>
                <w:sz w:val="24"/>
                <w:szCs w:val="24"/>
                <w:highlight w:val="none"/>
                <w:u w:val="none"/>
              </w:rPr>
            </w:pPr>
          </w:p>
        </w:tc>
        <w:tc>
          <w:tcPr>
            <w:tcW w:w="882" w:type="pct"/>
            <w:tcBorders>
              <w:top w:val="nil"/>
              <w:left w:val="nil"/>
              <w:bottom w:val="single" w:color="000000" w:sz="8" w:space="0"/>
              <w:right w:val="single" w:color="000000" w:sz="8" w:space="0"/>
            </w:tcBorders>
            <w:shd w:val="clear" w:color="auto" w:fill="auto"/>
            <w:noWrap/>
            <w:vAlign w:val="center"/>
          </w:tcPr>
          <w:p w14:paraId="7767C545">
            <w:pPr>
              <w:keepNext w:val="0"/>
              <w:keepLines w:val="0"/>
              <w:pageBreakBefore w:val="0"/>
              <w:widowControl/>
              <w:suppressLineNumbers w:val="0"/>
              <w:kinsoku/>
              <w:wordWrap/>
              <w:overflowPunct/>
              <w:topLinePunct w:val="0"/>
              <w:autoSpaceDE/>
              <w:autoSpaceDN/>
              <w:bidi w:val="0"/>
              <w:adjustRightInd/>
              <w:snapToGrid/>
              <w:spacing w:line="560" w:lineRule="exact"/>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两河村</w:t>
            </w:r>
          </w:p>
        </w:tc>
        <w:tc>
          <w:tcPr>
            <w:tcW w:w="1086" w:type="pct"/>
            <w:tcBorders>
              <w:top w:val="nil"/>
              <w:left w:val="nil"/>
              <w:bottom w:val="single" w:color="000000" w:sz="8" w:space="0"/>
              <w:right w:val="single" w:color="000000" w:sz="8" w:space="0"/>
            </w:tcBorders>
            <w:shd w:val="clear" w:color="auto" w:fill="auto"/>
            <w:noWrap/>
            <w:vAlign w:val="center"/>
          </w:tcPr>
          <w:p w14:paraId="0B46AE96">
            <w:pPr>
              <w:keepNext w:val="0"/>
              <w:keepLines w:val="0"/>
              <w:pageBreakBefore w:val="0"/>
              <w:widowControl/>
              <w:suppressLineNumbers w:val="0"/>
              <w:kinsoku/>
              <w:wordWrap/>
              <w:overflowPunct/>
              <w:topLinePunct w:val="0"/>
              <w:autoSpaceDE/>
              <w:autoSpaceDN/>
              <w:bidi w:val="0"/>
              <w:adjustRightInd/>
              <w:snapToGrid/>
              <w:spacing w:line="560" w:lineRule="exact"/>
              <w:ind w:firstLine="0" w:firstLineChars="0"/>
              <w:jc w:val="center"/>
              <w:textAlignment w:val="center"/>
              <w:rPr>
                <w:rFonts w:hint="eastAsia" w:ascii="宋体" w:hAnsi="宋体" w:eastAsia="宋体" w:cs="宋体"/>
                <w:i w:val="0"/>
                <w:iCs w:val="0"/>
                <w:color w:val="000000"/>
                <w:sz w:val="24"/>
                <w:szCs w:val="24"/>
                <w:highlight w:val="none"/>
                <w:u w:val="none"/>
              </w:rPr>
            </w:pPr>
          </w:p>
        </w:tc>
        <w:tc>
          <w:tcPr>
            <w:tcW w:w="1317" w:type="pct"/>
            <w:tcBorders>
              <w:top w:val="nil"/>
              <w:left w:val="nil"/>
              <w:bottom w:val="single" w:color="000000" w:sz="8" w:space="0"/>
              <w:right w:val="single" w:color="000000" w:sz="8" w:space="0"/>
            </w:tcBorders>
            <w:shd w:val="clear" w:color="auto" w:fill="auto"/>
            <w:noWrap/>
            <w:vAlign w:val="center"/>
          </w:tcPr>
          <w:p w14:paraId="4325D0EE">
            <w:pPr>
              <w:keepNext w:val="0"/>
              <w:keepLines w:val="0"/>
              <w:pageBreakBefore w:val="0"/>
              <w:widowControl/>
              <w:suppressLineNumbers w:val="0"/>
              <w:kinsoku/>
              <w:wordWrap/>
              <w:overflowPunct/>
              <w:topLinePunct w:val="0"/>
              <w:autoSpaceDE/>
              <w:autoSpaceDN/>
              <w:bidi w:val="0"/>
              <w:adjustRightInd/>
              <w:snapToGrid/>
              <w:spacing w:line="560" w:lineRule="exact"/>
              <w:ind w:firstLine="0" w:firstLineChars="0"/>
              <w:jc w:val="center"/>
              <w:textAlignment w:val="center"/>
              <w:rPr>
                <w:rFonts w:hint="eastAsia" w:ascii="宋体" w:hAnsi="宋体" w:eastAsia="宋体" w:cs="宋体"/>
                <w:i w:val="0"/>
                <w:iCs w:val="0"/>
                <w:color w:val="000000"/>
                <w:sz w:val="24"/>
                <w:szCs w:val="24"/>
                <w:highlight w:val="none"/>
                <w:u w:val="none"/>
              </w:rPr>
            </w:pPr>
          </w:p>
        </w:tc>
      </w:tr>
      <w:tr w14:paraId="31E670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trPr>
        <w:tc>
          <w:tcPr>
            <w:tcW w:w="1183" w:type="pct"/>
            <w:vMerge w:val="continue"/>
            <w:tcBorders>
              <w:top w:val="nil"/>
              <w:left w:val="single" w:color="000000" w:sz="8" w:space="0"/>
              <w:bottom w:val="single" w:color="000000" w:sz="8" w:space="0"/>
              <w:right w:val="single" w:color="000000" w:sz="8" w:space="0"/>
            </w:tcBorders>
            <w:shd w:val="clear" w:color="auto" w:fill="auto"/>
            <w:vAlign w:val="center"/>
          </w:tcPr>
          <w:p w14:paraId="79537B78">
            <w:pPr>
              <w:keepNext w:val="0"/>
              <w:keepLines w:val="0"/>
              <w:pageBreakBefore w:val="0"/>
              <w:widowControl/>
              <w:kinsoku/>
              <w:wordWrap/>
              <w:overflowPunct/>
              <w:topLinePunct w:val="0"/>
              <w:autoSpaceDE/>
              <w:autoSpaceDN/>
              <w:bidi w:val="0"/>
              <w:adjustRightInd/>
              <w:snapToGrid/>
              <w:spacing w:line="560" w:lineRule="exact"/>
              <w:ind w:firstLine="0" w:firstLineChars="0"/>
              <w:jc w:val="center"/>
              <w:rPr>
                <w:rFonts w:hint="eastAsia" w:ascii="宋体" w:hAnsi="宋体" w:eastAsia="宋体" w:cs="宋体"/>
                <w:i w:val="0"/>
                <w:iCs w:val="0"/>
                <w:color w:val="000000"/>
                <w:sz w:val="24"/>
                <w:szCs w:val="24"/>
                <w:highlight w:val="none"/>
                <w:u w:val="none"/>
              </w:rPr>
            </w:pPr>
          </w:p>
        </w:tc>
        <w:tc>
          <w:tcPr>
            <w:tcW w:w="530" w:type="pct"/>
            <w:vMerge w:val="continue"/>
            <w:tcBorders>
              <w:top w:val="nil"/>
              <w:left w:val="nil"/>
              <w:bottom w:val="single" w:color="000000" w:sz="8" w:space="0"/>
              <w:right w:val="single" w:color="000000" w:sz="8" w:space="0"/>
            </w:tcBorders>
            <w:shd w:val="clear" w:color="auto" w:fill="auto"/>
            <w:vAlign w:val="center"/>
          </w:tcPr>
          <w:p w14:paraId="07D0C36F">
            <w:pPr>
              <w:keepNext w:val="0"/>
              <w:keepLines w:val="0"/>
              <w:pageBreakBefore w:val="0"/>
              <w:widowControl/>
              <w:kinsoku/>
              <w:wordWrap/>
              <w:overflowPunct/>
              <w:topLinePunct w:val="0"/>
              <w:autoSpaceDE/>
              <w:autoSpaceDN/>
              <w:bidi w:val="0"/>
              <w:adjustRightInd/>
              <w:snapToGrid/>
              <w:spacing w:line="560" w:lineRule="exact"/>
              <w:ind w:firstLine="0" w:firstLineChars="0"/>
              <w:jc w:val="center"/>
              <w:rPr>
                <w:rFonts w:hint="eastAsia" w:ascii="宋体" w:hAnsi="宋体" w:eastAsia="宋体" w:cs="宋体"/>
                <w:i w:val="0"/>
                <w:iCs w:val="0"/>
                <w:color w:val="000000"/>
                <w:sz w:val="24"/>
                <w:szCs w:val="24"/>
                <w:highlight w:val="none"/>
                <w:u w:val="none"/>
              </w:rPr>
            </w:pPr>
          </w:p>
        </w:tc>
        <w:tc>
          <w:tcPr>
            <w:tcW w:w="882" w:type="pct"/>
            <w:tcBorders>
              <w:top w:val="nil"/>
              <w:left w:val="nil"/>
              <w:bottom w:val="single" w:color="000000" w:sz="8" w:space="0"/>
              <w:right w:val="single" w:color="000000" w:sz="8" w:space="0"/>
            </w:tcBorders>
            <w:shd w:val="clear" w:color="auto" w:fill="auto"/>
            <w:noWrap/>
            <w:vAlign w:val="center"/>
          </w:tcPr>
          <w:p w14:paraId="775F623A">
            <w:pPr>
              <w:keepNext w:val="0"/>
              <w:keepLines w:val="0"/>
              <w:pageBreakBefore w:val="0"/>
              <w:widowControl/>
              <w:suppressLineNumbers w:val="0"/>
              <w:kinsoku/>
              <w:wordWrap/>
              <w:overflowPunct/>
              <w:topLinePunct w:val="0"/>
              <w:autoSpaceDE/>
              <w:autoSpaceDN/>
              <w:bidi w:val="0"/>
              <w:adjustRightInd/>
              <w:snapToGrid/>
              <w:spacing w:line="560" w:lineRule="exact"/>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马房子村</w:t>
            </w:r>
          </w:p>
        </w:tc>
        <w:tc>
          <w:tcPr>
            <w:tcW w:w="1086" w:type="pct"/>
            <w:tcBorders>
              <w:top w:val="nil"/>
              <w:left w:val="nil"/>
              <w:bottom w:val="single" w:color="000000" w:sz="8" w:space="0"/>
              <w:right w:val="single" w:color="000000" w:sz="8" w:space="0"/>
            </w:tcBorders>
            <w:shd w:val="clear" w:color="auto" w:fill="auto"/>
            <w:noWrap/>
            <w:vAlign w:val="center"/>
          </w:tcPr>
          <w:p w14:paraId="1B6753AB">
            <w:pPr>
              <w:keepNext w:val="0"/>
              <w:keepLines w:val="0"/>
              <w:pageBreakBefore w:val="0"/>
              <w:widowControl/>
              <w:suppressLineNumbers w:val="0"/>
              <w:kinsoku/>
              <w:wordWrap/>
              <w:overflowPunct/>
              <w:topLinePunct w:val="0"/>
              <w:autoSpaceDE/>
              <w:autoSpaceDN/>
              <w:bidi w:val="0"/>
              <w:adjustRightInd/>
              <w:snapToGrid/>
              <w:spacing w:line="560" w:lineRule="exact"/>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1244</w:t>
            </w:r>
          </w:p>
        </w:tc>
        <w:tc>
          <w:tcPr>
            <w:tcW w:w="1317" w:type="pct"/>
            <w:tcBorders>
              <w:top w:val="nil"/>
              <w:left w:val="nil"/>
              <w:bottom w:val="single" w:color="000000" w:sz="8" w:space="0"/>
              <w:right w:val="single" w:color="000000" w:sz="8" w:space="0"/>
            </w:tcBorders>
            <w:shd w:val="clear" w:color="auto" w:fill="auto"/>
            <w:noWrap/>
            <w:vAlign w:val="center"/>
          </w:tcPr>
          <w:p w14:paraId="37304523">
            <w:pPr>
              <w:keepNext w:val="0"/>
              <w:keepLines w:val="0"/>
              <w:pageBreakBefore w:val="0"/>
              <w:widowControl/>
              <w:suppressLineNumbers w:val="0"/>
              <w:kinsoku/>
              <w:wordWrap/>
              <w:overflowPunct/>
              <w:topLinePunct w:val="0"/>
              <w:autoSpaceDE/>
              <w:autoSpaceDN/>
              <w:bidi w:val="0"/>
              <w:adjustRightInd/>
              <w:snapToGrid/>
              <w:spacing w:line="560" w:lineRule="exact"/>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21</w:t>
            </w:r>
          </w:p>
        </w:tc>
      </w:tr>
      <w:tr w14:paraId="7E1618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trPr>
        <w:tc>
          <w:tcPr>
            <w:tcW w:w="1183" w:type="pct"/>
            <w:vMerge w:val="restart"/>
            <w:tcBorders>
              <w:top w:val="nil"/>
              <w:left w:val="single" w:color="000000" w:sz="8" w:space="0"/>
              <w:bottom w:val="single" w:color="000000" w:sz="8" w:space="0"/>
              <w:right w:val="single" w:color="000000" w:sz="8" w:space="0"/>
            </w:tcBorders>
            <w:shd w:val="clear" w:color="auto" w:fill="auto"/>
            <w:vAlign w:val="center"/>
          </w:tcPr>
          <w:p w14:paraId="7F911456">
            <w:pPr>
              <w:keepNext w:val="0"/>
              <w:keepLines w:val="0"/>
              <w:pageBreakBefore w:val="0"/>
              <w:widowControl/>
              <w:suppressLineNumbers w:val="0"/>
              <w:kinsoku/>
              <w:wordWrap/>
              <w:overflowPunct/>
              <w:topLinePunct w:val="0"/>
              <w:autoSpaceDE/>
              <w:autoSpaceDN/>
              <w:bidi w:val="0"/>
              <w:adjustRightInd/>
              <w:snapToGrid/>
              <w:spacing w:line="560" w:lineRule="exact"/>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萌生起源的林木数比例大于80%且缺乏目的树种</w:t>
            </w:r>
          </w:p>
        </w:tc>
        <w:tc>
          <w:tcPr>
            <w:tcW w:w="530" w:type="pct"/>
            <w:vMerge w:val="restart"/>
            <w:tcBorders>
              <w:top w:val="nil"/>
              <w:left w:val="nil"/>
              <w:bottom w:val="single" w:color="000000" w:sz="8" w:space="0"/>
              <w:right w:val="single" w:color="000000" w:sz="8" w:space="0"/>
            </w:tcBorders>
            <w:shd w:val="clear" w:color="auto" w:fill="auto"/>
            <w:vAlign w:val="center"/>
          </w:tcPr>
          <w:p w14:paraId="40B366D8">
            <w:pPr>
              <w:keepNext w:val="0"/>
              <w:keepLines w:val="0"/>
              <w:pageBreakBefore w:val="0"/>
              <w:widowControl/>
              <w:suppressLineNumbers w:val="0"/>
              <w:kinsoku/>
              <w:wordWrap/>
              <w:overflowPunct/>
              <w:topLinePunct w:val="0"/>
              <w:autoSpaceDE/>
              <w:autoSpaceDN/>
              <w:bidi w:val="0"/>
              <w:adjustRightInd/>
              <w:snapToGrid/>
              <w:spacing w:line="560" w:lineRule="exact"/>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II</w:t>
            </w:r>
          </w:p>
        </w:tc>
        <w:tc>
          <w:tcPr>
            <w:tcW w:w="882" w:type="pct"/>
            <w:tcBorders>
              <w:top w:val="nil"/>
              <w:left w:val="nil"/>
              <w:bottom w:val="single" w:color="000000" w:sz="8" w:space="0"/>
              <w:right w:val="single" w:color="000000" w:sz="8" w:space="0"/>
            </w:tcBorders>
            <w:shd w:val="clear" w:color="auto" w:fill="auto"/>
            <w:noWrap/>
            <w:vAlign w:val="center"/>
          </w:tcPr>
          <w:p w14:paraId="5306294B">
            <w:pPr>
              <w:keepNext w:val="0"/>
              <w:keepLines w:val="0"/>
              <w:pageBreakBefore w:val="0"/>
              <w:widowControl/>
              <w:suppressLineNumbers w:val="0"/>
              <w:kinsoku/>
              <w:wordWrap/>
              <w:overflowPunct/>
              <w:topLinePunct w:val="0"/>
              <w:autoSpaceDE/>
              <w:autoSpaceDN/>
              <w:bidi w:val="0"/>
              <w:adjustRightInd/>
              <w:snapToGrid/>
              <w:spacing w:line="560" w:lineRule="exact"/>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小计</w:t>
            </w:r>
          </w:p>
        </w:tc>
        <w:tc>
          <w:tcPr>
            <w:tcW w:w="1086" w:type="pct"/>
            <w:tcBorders>
              <w:top w:val="nil"/>
              <w:left w:val="nil"/>
              <w:bottom w:val="single" w:color="000000" w:sz="8" w:space="0"/>
              <w:right w:val="single" w:color="000000" w:sz="8" w:space="0"/>
            </w:tcBorders>
            <w:shd w:val="clear" w:color="auto" w:fill="auto"/>
            <w:noWrap/>
            <w:vAlign w:val="center"/>
          </w:tcPr>
          <w:p w14:paraId="7C6AB87F">
            <w:pPr>
              <w:keepNext w:val="0"/>
              <w:keepLines w:val="0"/>
              <w:pageBreakBefore w:val="0"/>
              <w:widowControl/>
              <w:suppressLineNumbers w:val="0"/>
              <w:kinsoku/>
              <w:wordWrap/>
              <w:overflowPunct/>
              <w:topLinePunct w:val="0"/>
              <w:autoSpaceDE/>
              <w:autoSpaceDN/>
              <w:bidi w:val="0"/>
              <w:adjustRightInd/>
              <w:snapToGrid/>
              <w:spacing w:line="560" w:lineRule="exact"/>
              <w:ind w:firstLine="0" w:firstLineChars="0"/>
              <w:jc w:val="center"/>
              <w:textAlignment w:val="center"/>
              <w:rPr>
                <w:rFonts w:hint="eastAsia" w:ascii="宋体" w:hAnsi="宋体" w:eastAsia="宋体" w:cs="宋体"/>
                <w:i w:val="0"/>
                <w:iCs w:val="0"/>
                <w:color w:val="000000"/>
                <w:sz w:val="24"/>
                <w:szCs w:val="24"/>
                <w:highlight w:val="none"/>
                <w:u w:val="none"/>
                <w:lang w:val="en-US"/>
              </w:rPr>
            </w:pPr>
            <w:r>
              <w:rPr>
                <w:rFonts w:hint="eastAsia" w:ascii="宋体" w:hAnsi="宋体" w:eastAsia="宋体" w:cs="宋体"/>
                <w:i w:val="0"/>
                <w:iCs w:val="0"/>
                <w:color w:val="000000"/>
                <w:kern w:val="0"/>
                <w:sz w:val="24"/>
                <w:szCs w:val="24"/>
                <w:highlight w:val="none"/>
                <w:u w:val="none"/>
                <w:lang w:val="en-US" w:eastAsia="zh-CN" w:bidi="ar"/>
              </w:rPr>
              <w:t>8112</w:t>
            </w:r>
          </w:p>
        </w:tc>
        <w:tc>
          <w:tcPr>
            <w:tcW w:w="1317" w:type="pct"/>
            <w:tcBorders>
              <w:top w:val="nil"/>
              <w:left w:val="nil"/>
              <w:bottom w:val="single" w:color="000000" w:sz="8" w:space="0"/>
              <w:right w:val="single" w:color="000000" w:sz="8" w:space="0"/>
            </w:tcBorders>
            <w:shd w:val="clear" w:color="auto" w:fill="auto"/>
            <w:noWrap/>
            <w:vAlign w:val="center"/>
          </w:tcPr>
          <w:p w14:paraId="661A40FB">
            <w:pPr>
              <w:keepNext w:val="0"/>
              <w:keepLines w:val="0"/>
              <w:pageBreakBefore w:val="0"/>
              <w:widowControl/>
              <w:suppressLineNumbers w:val="0"/>
              <w:kinsoku/>
              <w:wordWrap/>
              <w:overflowPunct/>
              <w:topLinePunct w:val="0"/>
              <w:autoSpaceDE/>
              <w:autoSpaceDN/>
              <w:bidi w:val="0"/>
              <w:adjustRightInd/>
              <w:snapToGrid/>
              <w:spacing w:line="560" w:lineRule="exact"/>
              <w:ind w:firstLine="0" w:firstLineChars="0"/>
              <w:jc w:val="center"/>
              <w:textAlignment w:val="center"/>
              <w:rPr>
                <w:rFonts w:hint="eastAsia" w:ascii="宋体" w:hAnsi="宋体" w:eastAsia="宋体" w:cs="宋体"/>
                <w:i w:val="0"/>
                <w:iCs w:val="0"/>
                <w:color w:val="000000"/>
                <w:sz w:val="24"/>
                <w:szCs w:val="24"/>
                <w:highlight w:val="none"/>
                <w:u w:val="none"/>
                <w:lang w:val="en-US"/>
              </w:rPr>
            </w:pPr>
            <w:r>
              <w:rPr>
                <w:rFonts w:hint="eastAsia" w:ascii="宋体" w:hAnsi="宋体" w:eastAsia="宋体" w:cs="宋体"/>
                <w:i w:val="0"/>
                <w:iCs w:val="0"/>
                <w:color w:val="000000"/>
                <w:kern w:val="0"/>
                <w:sz w:val="24"/>
                <w:szCs w:val="24"/>
                <w:highlight w:val="none"/>
                <w:u w:val="none"/>
                <w:lang w:val="en-US" w:eastAsia="zh-CN" w:bidi="ar"/>
              </w:rPr>
              <w:t>77</w:t>
            </w:r>
          </w:p>
        </w:tc>
      </w:tr>
      <w:tr w14:paraId="2BF1F9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trPr>
        <w:tc>
          <w:tcPr>
            <w:tcW w:w="1183" w:type="pct"/>
            <w:vMerge w:val="continue"/>
            <w:tcBorders>
              <w:top w:val="nil"/>
              <w:left w:val="single" w:color="000000" w:sz="8" w:space="0"/>
              <w:bottom w:val="single" w:color="000000" w:sz="8" w:space="0"/>
              <w:right w:val="single" w:color="000000" w:sz="8" w:space="0"/>
            </w:tcBorders>
            <w:shd w:val="clear" w:color="auto" w:fill="auto"/>
            <w:vAlign w:val="center"/>
          </w:tcPr>
          <w:p w14:paraId="156B658F">
            <w:pPr>
              <w:keepNext w:val="0"/>
              <w:keepLines w:val="0"/>
              <w:pageBreakBefore w:val="0"/>
              <w:widowControl/>
              <w:kinsoku/>
              <w:wordWrap/>
              <w:overflowPunct/>
              <w:topLinePunct w:val="0"/>
              <w:autoSpaceDE/>
              <w:autoSpaceDN/>
              <w:bidi w:val="0"/>
              <w:adjustRightInd/>
              <w:snapToGrid/>
              <w:spacing w:line="560" w:lineRule="exact"/>
              <w:ind w:firstLine="0" w:firstLineChars="0"/>
              <w:jc w:val="center"/>
              <w:rPr>
                <w:rFonts w:hint="eastAsia" w:ascii="宋体" w:hAnsi="宋体" w:eastAsia="宋体" w:cs="宋体"/>
                <w:i w:val="0"/>
                <w:iCs w:val="0"/>
                <w:color w:val="000000"/>
                <w:sz w:val="24"/>
                <w:szCs w:val="24"/>
                <w:highlight w:val="none"/>
                <w:u w:val="none"/>
              </w:rPr>
            </w:pPr>
          </w:p>
        </w:tc>
        <w:tc>
          <w:tcPr>
            <w:tcW w:w="530" w:type="pct"/>
            <w:vMerge w:val="continue"/>
            <w:tcBorders>
              <w:top w:val="nil"/>
              <w:left w:val="nil"/>
              <w:bottom w:val="single" w:color="000000" w:sz="8" w:space="0"/>
              <w:right w:val="single" w:color="000000" w:sz="8" w:space="0"/>
            </w:tcBorders>
            <w:shd w:val="clear" w:color="auto" w:fill="auto"/>
            <w:vAlign w:val="center"/>
          </w:tcPr>
          <w:p w14:paraId="3B981F04">
            <w:pPr>
              <w:keepNext w:val="0"/>
              <w:keepLines w:val="0"/>
              <w:pageBreakBefore w:val="0"/>
              <w:widowControl/>
              <w:kinsoku/>
              <w:wordWrap/>
              <w:overflowPunct/>
              <w:topLinePunct w:val="0"/>
              <w:autoSpaceDE/>
              <w:autoSpaceDN/>
              <w:bidi w:val="0"/>
              <w:adjustRightInd/>
              <w:snapToGrid/>
              <w:spacing w:line="560" w:lineRule="exact"/>
              <w:ind w:firstLine="0" w:firstLineChars="0"/>
              <w:jc w:val="center"/>
              <w:rPr>
                <w:rFonts w:hint="eastAsia" w:ascii="宋体" w:hAnsi="宋体" w:eastAsia="宋体" w:cs="宋体"/>
                <w:i w:val="0"/>
                <w:iCs w:val="0"/>
                <w:color w:val="000000"/>
                <w:sz w:val="24"/>
                <w:szCs w:val="24"/>
                <w:highlight w:val="none"/>
                <w:u w:val="none"/>
              </w:rPr>
            </w:pPr>
          </w:p>
        </w:tc>
        <w:tc>
          <w:tcPr>
            <w:tcW w:w="882" w:type="pct"/>
            <w:tcBorders>
              <w:top w:val="nil"/>
              <w:left w:val="nil"/>
              <w:bottom w:val="single" w:color="000000" w:sz="8" w:space="0"/>
              <w:right w:val="single" w:color="000000" w:sz="8" w:space="0"/>
            </w:tcBorders>
            <w:shd w:val="clear" w:color="auto" w:fill="auto"/>
            <w:noWrap/>
            <w:vAlign w:val="center"/>
          </w:tcPr>
          <w:p w14:paraId="26999F0F">
            <w:pPr>
              <w:keepNext w:val="0"/>
              <w:keepLines w:val="0"/>
              <w:pageBreakBefore w:val="0"/>
              <w:widowControl/>
              <w:suppressLineNumbers w:val="0"/>
              <w:kinsoku/>
              <w:wordWrap/>
              <w:overflowPunct/>
              <w:topLinePunct w:val="0"/>
              <w:autoSpaceDE/>
              <w:autoSpaceDN/>
              <w:bidi w:val="0"/>
              <w:adjustRightInd/>
              <w:snapToGrid/>
              <w:spacing w:line="560" w:lineRule="exact"/>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两河村</w:t>
            </w:r>
          </w:p>
        </w:tc>
        <w:tc>
          <w:tcPr>
            <w:tcW w:w="1086" w:type="pct"/>
            <w:tcBorders>
              <w:top w:val="nil"/>
              <w:left w:val="nil"/>
              <w:bottom w:val="single" w:color="000000" w:sz="8" w:space="0"/>
              <w:right w:val="single" w:color="000000" w:sz="8" w:space="0"/>
            </w:tcBorders>
            <w:shd w:val="clear" w:color="auto" w:fill="auto"/>
            <w:noWrap/>
            <w:vAlign w:val="center"/>
          </w:tcPr>
          <w:p w14:paraId="7480A879">
            <w:pPr>
              <w:keepNext w:val="0"/>
              <w:keepLines w:val="0"/>
              <w:pageBreakBefore w:val="0"/>
              <w:widowControl/>
              <w:suppressLineNumbers w:val="0"/>
              <w:kinsoku/>
              <w:wordWrap/>
              <w:overflowPunct/>
              <w:topLinePunct w:val="0"/>
              <w:autoSpaceDE/>
              <w:autoSpaceDN/>
              <w:bidi w:val="0"/>
              <w:adjustRightInd/>
              <w:snapToGrid/>
              <w:spacing w:line="560" w:lineRule="exact"/>
              <w:ind w:firstLine="0" w:firstLineChars="0"/>
              <w:jc w:val="center"/>
              <w:textAlignment w:val="center"/>
              <w:rPr>
                <w:rFonts w:hint="eastAsia" w:ascii="宋体" w:hAnsi="宋体" w:eastAsia="宋体" w:cs="宋体"/>
                <w:i w:val="0"/>
                <w:iCs w:val="0"/>
                <w:color w:val="000000"/>
                <w:sz w:val="24"/>
                <w:szCs w:val="24"/>
                <w:highlight w:val="none"/>
                <w:u w:val="none"/>
                <w:lang w:val="en-US"/>
              </w:rPr>
            </w:pPr>
            <w:r>
              <w:rPr>
                <w:rFonts w:hint="eastAsia" w:ascii="宋体" w:hAnsi="宋体" w:eastAsia="宋体" w:cs="宋体"/>
                <w:i w:val="0"/>
                <w:iCs w:val="0"/>
                <w:color w:val="000000"/>
                <w:kern w:val="0"/>
                <w:sz w:val="24"/>
                <w:szCs w:val="24"/>
                <w:highlight w:val="none"/>
                <w:u w:val="none"/>
                <w:lang w:val="en-US" w:eastAsia="zh-CN" w:bidi="ar"/>
              </w:rPr>
              <w:t>1312</w:t>
            </w:r>
          </w:p>
        </w:tc>
        <w:tc>
          <w:tcPr>
            <w:tcW w:w="1317" w:type="pct"/>
            <w:tcBorders>
              <w:top w:val="nil"/>
              <w:left w:val="nil"/>
              <w:bottom w:val="single" w:color="000000" w:sz="8" w:space="0"/>
              <w:right w:val="single" w:color="000000" w:sz="8" w:space="0"/>
            </w:tcBorders>
            <w:shd w:val="clear" w:color="auto" w:fill="auto"/>
            <w:noWrap/>
            <w:vAlign w:val="center"/>
          </w:tcPr>
          <w:p w14:paraId="1A62C817">
            <w:pPr>
              <w:keepNext w:val="0"/>
              <w:keepLines w:val="0"/>
              <w:pageBreakBefore w:val="0"/>
              <w:widowControl/>
              <w:suppressLineNumbers w:val="0"/>
              <w:kinsoku/>
              <w:wordWrap/>
              <w:overflowPunct/>
              <w:topLinePunct w:val="0"/>
              <w:autoSpaceDE/>
              <w:autoSpaceDN/>
              <w:bidi w:val="0"/>
              <w:adjustRightInd/>
              <w:snapToGrid/>
              <w:spacing w:line="560" w:lineRule="exact"/>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6</w:t>
            </w:r>
          </w:p>
        </w:tc>
      </w:tr>
      <w:tr w14:paraId="2A241E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1183" w:type="pct"/>
            <w:vMerge w:val="continue"/>
            <w:tcBorders>
              <w:top w:val="nil"/>
              <w:left w:val="single" w:color="000000" w:sz="8" w:space="0"/>
              <w:bottom w:val="single" w:color="000000" w:sz="8" w:space="0"/>
              <w:right w:val="single" w:color="000000" w:sz="8" w:space="0"/>
            </w:tcBorders>
            <w:shd w:val="clear" w:color="auto" w:fill="auto"/>
            <w:vAlign w:val="center"/>
          </w:tcPr>
          <w:p w14:paraId="6E1495B1">
            <w:pPr>
              <w:keepNext w:val="0"/>
              <w:keepLines w:val="0"/>
              <w:pageBreakBefore w:val="0"/>
              <w:widowControl/>
              <w:kinsoku/>
              <w:wordWrap/>
              <w:overflowPunct/>
              <w:topLinePunct w:val="0"/>
              <w:autoSpaceDE/>
              <w:autoSpaceDN/>
              <w:bidi w:val="0"/>
              <w:adjustRightInd/>
              <w:snapToGrid/>
              <w:spacing w:line="560" w:lineRule="exact"/>
              <w:ind w:firstLine="0" w:firstLineChars="0"/>
              <w:jc w:val="center"/>
              <w:rPr>
                <w:rFonts w:hint="eastAsia" w:ascii="宋体" w:hAnsi="宋体" w:eastAsia="宋体" w:cs="宋体"/>
                <w:i w:val="0"/>
                <w:iCs w:val="0"/>
                <w:color w:val="000000"/>
                <w:sz w:val="24"/>
                <w:szCs w:val="24"/>
                <w:highlight w:val="none"/>
                <w:u w:val="none"/>
              </w:rPr>
            </w:pPr>
          </w:p>
        </w:tc>
        <w:tc>
          <w:tcPr>
            <w:tcW w:w="530" w:type="pct"/>
            <w:vMerge w:val="continue"/>
            <w:tcBorders>
              <w:top w:val="nil"/>
              <w:left w:val="nil"/>
              <w:bottom w:val="single" w:color="000000" w:sz="8" w:space="0"/>
              <w:right w:val="single" w:color="000000" w:sz="8" w:space="0"/>
            </w:tcBorders>
            <w:shd w:val="clear" w:color="auto" w:fill="auto"/>
            <w:vAlign w:val="center"/>
          </w:tcPr>
          <w:p w14:paraId="0BA7264E">
            <w:pPr>
              <w:keepNext w:val="0"/>
              <w:keepLines w:val="0"/>
              <w:pageBreakBefore w:val="0"/>
              <w:widowControl/>
              <w:kinsoku/>
              <w:wordWrap/>
              <w:overflowPunct/>
              <w:topLinePunct w:val="0"/>
              <w:autoSpaceDE/>
              <w:autoSpaceDN/>
              <w:bidi w:val="0"/>
              <w:adjustRightInd/>
              <w:snapToGrid/>
              <w:spacing w:line="560" w:lineRule="exact"/>
              <w:ind w:firstLine="0" w:firstLineChars="0"/>
              <w:jc w:val="center"/>
              <w:rPr>
                <w:rFonts w:hint="eastAsia" w:ascii="宋体" w:hAnsi="宋体" w:eastAsia="宋体" w:cs="宋体"/>
                <w:i w:val="0"/>
                <w:iCs w:val="0"/>
                <w:color w:val="000000"/>
                <w:sz w:val="24"/>
                <w:szCs w:val="24"/>
                <w:highlight w:val="none"/>
                <w:u w:val="none"/>
              </w:rPr>
            </w:pPr>
          </w:p>
        </w:tc>
        <w:tc>
          <w:tcPr>
            <w:tcW w:w="882" w:type="pct"/>
            <w:tcBorders>
              <w:top w:val="nil"/>
              <w:left w:val="nil"/>
              <w:bottom w:val="single" w:color="000000" w:sz="8" w:space="0"/>
              <w:right w:val="single" w:color="000000" w:sz="8" w:space="0"/>
            </w:tcBorders>
            <w:shd w:val="clear" w:color="auto" w:fill="auto"/>
            <w:noWrap/>
            <w:vAlign w:val="center"/>
          </w:tcPr>
          <w:p w14:paraId="6E842DF2">
            <w:pPr>
              <w:keepNext w:val="0"/>
              <w:keepLines w:val="0"/>
              <w:pageBreakBefore w:val="0"/>
              <w:widowControl/>
              <w:suppressLineNumbers w:val="0"/>
              <w:kinsoku/>
              <w:wordWrap/>
              <w:overflowPunct/>
              <w:topLinePunct w:val="0"/>
              <w:autoSpaceDE/>
              <w:autoSpaceDN/>
              <w:bidi w:val="0"/>
              <w:adjustRightInd/>
              <w:snapToGrid/>
              <w:spacing w:line="560" w:lineRule="exact"/>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马房子村</w:t>
            </w:r>
          </w:p>
        </w:tc>
        <w:tc>
          <w:tcPr>
            <w:tcW w:w="1086" w:type="pct"/>
            <w:tcBorders>
              <w:top w:val="nil"/>
              <w:left w:val="nil"/>
              <w:bottom w:val="single" w:color="000000" w:sz="8" w:space="0"/>
              <w:right w:val="single" w:color="000000" w:sz="8" w:space="0"/>
            </w:tcBorders>
            <w:shd w:val="clear" w:color="auto" w:fill="auto"/>
            <w:noWrap/>
            <w:vAlign w:val="center"/>
          </w:tcPr>
          <w:p w14:paraId="1116C2AC">
            <w:pPr>
              <w:keepNext w:val="0"/>
              <w:keepLines w:val="0"/>
              <w:pageBreakBefore w:val="0"/>
              <w:widowControl/>
              <w:suppressLineNumbers w:val="0"/>
              <w:kinsoku/>
              <w:wordWrap/>
              <w:overflowPunct/>
              <w:topLinePunct w:val="0"/>
              <w:autoSpaceDE/>
              <w:autoSpaceDN/>
              <w:bidi w:val="0"/>
              <w:adjustRightInd/>
              <w:snapToGrid/>
              <w:spacing w:line="560" w:lineRule="exact"/>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6800</w:t>
            </w:r>
          </w:p>
        </w:tc>
        <w:tc>
          <w:tcPr>
            <w:tcW w:w="1317" w:type="pct"/>
            <w:tcBorders>
              <w:top w:val="nil"/>
              <w:left w:val="nil"/>
              <w:bottom w:val="single" w:color="000000" w:sz="8" w:space="0"/>
              <w:right w:val="single" w:color="000000" w:sz="8" w:space="0"/>
            </w:tcBorders>
            <w:shd w:val="clear" w:color="auto" w:fill="auto"/>
            <w:noWrap/>
            <w:vAlign w:val="center"/>
          </w:tcPr>
          <w:p w14:paraId="1FD2226E">
            <w:pPr>
              <w:keepNext w:val="0"/>
              <w:keepLines w:val="0"/>
              <w:pageBreakBefore w:val="0"/>
              <w:widowControl/>
              <w:suppressLineNumbers w:val="0"/>
              <w:kinsoku/>
              <w:wordWrap/>
              <w:overflowPunct/>
              <w:topLinePunct w:val="0"/>
              <w:autoSpaceDE/>
              <w:autoSpaceDN/>
              <w:bidi w:val="0"/>
              <w:adjustRightInd/>
              <w:snapToGrid/>
              <w:spacing w:line="560" w:lineRule="exact"/>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71</w:t>
            </w:r>
          </w:p>
        </w:tc>
      </w:tr>
      <w:tr w14:paraId="31DDA7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1" w:hRule="atLeast"/>
        </w:trPr>
        <w:tc>
          <w:tcPr>
            <w:tcW w:w="1183" w:type="pct"/>
            <w:vMerge w:val="restart"/>
            <w:tcBorders>
              <w:top w:val="nil"/>
              <w:left w:val="single" w:color="000000" w:sz="8" w:space="0"/>
              <w:bottom w:val="single" w:color="000000" w:sz="8" w:space="0"/>
              <w:right w:val="single" w:color="000000" w:sz="8" w:space="0"/>
            </w:tcBorders>
            <w:shd w:val="clear" w:color="auto" w:fill="auto"/>
            <w:vAlign w:val="center"/>
          </w:tcPr>
          <w:p w14:paraId="4FF31EEF">
            <w:pPr>
              <w:keepNext w:val="0"/>
              <w:keepLines w:val="0"/>
              <w:pageBreakBefore w:val="0"/>
              <w:widowControl/>
              <w:suppressLineNumbers w:val="0"/>
              <w:kinsoku/>
              <w:wordWrap/>
              <w:overflowPunct/>
              <w:topLinePunct w:val="0"/>
              <w:autoSpaceDE/>
              <w:autoSpaceDN/>
              <w:bidi w:val="0"/>
              <w:adjustRightInd/>
              <w:snapToGrid/>
              <w:spacing w:line="560" w:lineRule="exact"/>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由于个体间的竞争导致林木生长受限导致衰退，天然更新等级不良</w:t>
            </w:r>
          </w:p>
        </w:tc>
        <w:tc>
          <w:tcPr>
            <w:tcW w:w="530" w:type="pct"/>
            <w:vMerge w:val="restart"/>
            <w:tcBorders>
              <w:top w:val="nil"/>
              <w:left w:val="nil"/>
              <w:bottom w:val="single" w:color="000000" w:sz="8" w:space="0"/>
              <w:right w:val="single" w:color="000000" w:sz="8" w:space="0"/>
            </w:tcBorders>
            <w:shd w:val="clear" w:color="auto" w:fill="auto"/>
            <w:vAlign w:val="center"/>
          </w:tcPr>
          <w:p w14:paraId="1E77F6B1">
            <w:pPr>
              <w:keepNext w:val="0"/>
              <w:keepLines w:val="0"/>
              <w:pageBreakBefore w:val="0"/>
              <w:widowControl/>
              <w:suppressLineNumbers w:val="0"/>
              <w:kinsoku/>
              <w:wordWrap/>
              <w:overflowPunct/>
              <w:topLinePunct w:val="0"/>
              <w:autoSpaceDE/>
              <w:autoSpaceDN/>
              <w:bidi w:val="0"/>
              <w:adjustRightInd/>
              <w:snapToGrid/>
              <w:spacing w:line="560" w:lineRule="exact"/>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III</w:t>
            </w:r>
          </w:p>
        </w:tc>
        <w:tc>
          <w:tcPr>
            <w:tcW w:w="882" w:type="pct"/>
            <w:tcBorders>
              <w:top w:val="nil"/>
              <w:left w:val="nil"/>
              <w:bottom w:val="single" w:color="000000" w:sz="8" w:space="0"/>
              <w:right w:val="single" w:color="000000" w:sz="8" w:space="0"/>
            </w:tcBorders>
            <w:shd w:val="clear" w:color="auto" w:fill="auto"/>
            <w:noWrap/>
            <w:vAlign w:val="center"/>
          </w:tcPr>
          <w:p w14:paraId="18EBFE86">
            <w:pPr>
              <w:keepNext w:val="0"/>
              <w:keepLines w:val="0"/>
              <w:pageBreakBefore w:val="0"/>
              <w:widowControl/>
              <w:suppressLineNumbers w:val="0"/>
              <w:kinsoku/>
              <w:wordWrap/>
              <w:overflowPunct/>
              <w:topLinePunct w:val="0"/>
              <w:autoSpaceDE/>
              <w:autoSpaceDN/>
              <w:bidi w:val="0"/>
              <w:adjustRightInd/>
              <w:snapToGrid/>
              <w:spacing w:line="560" w:lineRule="exact"/>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小计</w:t>
            </w:r>
          </w:p>
        </w:tc>
        <w:tc>
          <w:tcPr>
            <w:tcW w:w="1086" w:type="pct"/>
            <w:tcBorders>
              <w:top w:val="nil"/>
              <w:left w:val="nil"/>
              <w:bottom w:val="single" w:color="000000" w:sz="8" w:space="0"/>
              <w:right w:val="single" w:color="000000" w:sz="8" w:space="0"/>
            </w:tcBorders>
            <w:shd w:val="clear" w:color="auto" w:fill="auto"/>
            <w:noWrap/>
            <w:vAlign w:val="center"/>
          </w:tcPr>
          <w:p w14:paraId="6440BDF9">
            <w:pPr>
              <w:keepNext w:val="0"/>
              <w:keepLines w:val="0"/>
              <w:pageBreakBefore w:val="0"/>
              <w:widowControl/>
              <w:suppressLineNumbers w:val="0"/>
              <w:kinsoku/>
              <w:wordWrap/>
              <w:overflowPunct/>
              <w:topLinePunct w:val="0"/>
              <w:autoSpaceDE/>
              <w:autoSpaceDN/>
              <w:bidi w:val="0"/>
              <w:adjustRightInd/>
              <w:snapToGrid/>
              <w:spacing w:line="560" w:lineRule="exact"/>
              <w:ind w:firstLine="0" w:firstLineChars="0"/>
              <w:jc w:val="center"/>
              <w:textAlignment w:val="center"/>
              <w:rPr>
                <w:rFonts w:hint="eastAsia" w:ascii="宋体" w:hAnsi="宋体" w:eastAsia="宋体" w:cs="宋体"/>
                <w:i w:val="0"/>
                <w:iCs w:val="0"/>
                <w:color w:val="000000"/>
                <w:sz w:val="24"/>
                <w:szCs w:val="24"/>
                <w:highlight w:val="none"/>
                <w:u w:val="none"/>
                <w:lang w:val="en-US"/>
              </w:rPr>
            </w:pPr>
            <w:r>
              <w:rPr>
                <w:rFonts w:hint="eastAsia" w:ascii="宋体" w:hAnsi="宋体" w:eastAsia="宋体" w:cs="宋体"/>
                <w:i w:val="0"/>
                <w:iCs w:val="0"/>
                <w:color w:val="000000"/>
                <w:kern w:val="0"/>
                <w:sz w:val="24"/>
                <w:szCs w:val="24"/>
                <w:highlight w:val="none"/>
                <w:u w:val="none"/>
                <w:lang w:val="en-US" w:eastAsia="zh-CN" w:bidi="ar"/>
              </w:rPr>
              <w:t>10644</w:t>
            </w:r>
          </w:p>
        </w:tc>
        <w:tc>
          <w:tcPr>
            <w:tcW w:w="1317" w:type="pct"/>
            <w:tcBorders>
              <w:top w:val="nil"/>
              <w:left w:val="nil"/>
              <w:bottom w:val="single" w:color="000000" w:sz="8" w:space="0"/>
              <w:right w:val="single" w:color="000000" w:sz="8" w:space="0"/>
            </w:tcBorders>
            <w:shd w:val="clear" w:color="auto" w:fill="auto"/>
            <w:noWrap/>
            <w:vAlign w:val="center"/>
          </w:tcPr>
          <w:p w14:paraId="52EA6F5B">
            <w:pPr>
              <w:keepNext w:val="0"/>
              <w:keepLines w:val="0"/>
              <w:pageBreakBefore w:val="0"/>
              <w:widowControl/>
              <w:suppressLineNumbers w:val="0"/>
              <w:kinsoku/>
              <w:wordWrap/>
              <w:overflowPunct/>
              <w:topLinePunct w:val="0"/>
              <w:autoSpaceDE/>
              <w:autoSpaceDN/>
              <w:bidi w:val="0"/>
              <w:adjustRightInd/>
              <w:snapToGrid/>
              <w:spacing w:line="560" w:lineRule="exact"/>
              <w:ind w:firstLine="0" w:firstLineChars="0"/>
              <w:jc w:val="center"/>
              <w:textAlignment w:val="center"/>
              <w:rPr>
                <w:rFonts w:hint="eastAsia" w:ascii="宋体" w:hAnsi="宋体" w:eastAsia="宋体" w:cs="宋体"/>
                <w:i w:val="0"/>
                <w:iCs w:val="0"/>
                <w:color w:val="000000"/>
                <w:sz w:val="24"/>
                <w:szCs w:val="24"/>
                <w:highlight w:val="none"/>
                <w:u w:val="none"/>
                <w:lang w:val="en-US"/>
              </w:rPr>
            </w:pPr>
            <w:r>
              <w:rPr>
                <w:rFonts w:hint="eastAsia" w:ascii="宋体" w:hAnsi="宋体" w:eastAsia="宋体" w:cs="宋体"/>
                <w:i w:val="0"/>
                <w:iCs w:val="0"/>
                <w:color w:val="000000"/>
                <w:kern w:val="0"/>
                <w:sz w:val="24"/>
                <w:szCs w:val="24"/>
                <w:highlight w:val="none"/>
                <w:u w:val="none"/>
                <w:lang w:val="en-US" w:eastAsia="zh-CN" w:bidi="ar"/>
              </w:rPr>
              <w:t>86</w:t>
            </w:r>
          </w:p>
        </w:tc>
      </w:tr>
      <w:tr w14:paraId="46BB6E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trPr>
        <w:tc>
          <w:tcPr>
            <w:tcW w:w="1183" w:type="pct"/>
            <w:vMerge w:val="continue"/>
            <w:tcBorders>
              <w:top w:val="nil"/>
              <w:left w:val="single" w:color="000000" w:sz="8" w:space="0"/>
              <w:bottom w:val="single" w:color="000000" w:sz="8" w:space="0"/>
              <w:right w:val="single" w:color="000000" w:sz="8" w:space="0"/>
            </w:tcBorders>
            <w:shd w:val="clear" w:color="auto" w:fill="auto"/>
            <w:vAlign w:val="center"/>
          </w:tcPr>
          <w:p w14:paraId="298CA2C3">
            <w:pPr>
              <w:keepNext w:val="0"/>
              <w:keepLines w:val="0"/>
              <w:pageBreakBefore w:val="0"/>
              <w:widowControl/>
              <w:kinsoku/>
              <w:wordWrap/>
              <w:overflowPunct/>
              <w:topLinePunct w:val="0"/>
              <w:autoSpaceDE/>
              <w:autoSpaceDN/>
              <w:bidi w:val="0"/>
              <w:adjustRightInd/>
              <w:snapToGrid/>
              <w:spacing w:line="560" w:lineRule="exact"/>
              <w:ind w:firstLine="0" w:firstLineChars="0"/>
              <w:jc w:val="center"/>
              <w:rPr>
                <w:rFonts w:hint="eastAsia" w:ascii="宋体" w:hAnsi="宋体" w:eastAsia="宋体" w:cs="宋体"/>
                <w:i w:val="0"/>
                <w:iCs w:val="0"/>
                <w:color w:val="000000"/>
                <w:sz w:val="24"/>
                <w:szCs w:val="24"/>
                <w:highlight w:val="none"/>
                <w:u w:val="none"/>
              </w:rPr>
            </w:pPr>
          </w:p>
        </w:tc>
        <w:tc>
          <w:tcPr>
            <w:tcW w:w="530" w:type="pct"/>
            <w:vMerge w:val="continue"/>
            <w:tcBorders>
              <w:top w:val="nil"/>
              <w:left w:val="nil"/>
              <w:bottom w:val="single" w:color="000000" w:sz="8" w:space="0"/>
              <w:right w:val="single" w:color="000000" w:sz="8" w:space="0"/>
            </w:tcBorders>
            <w:shd w:val="clear" w:color="auto" w:fill="auto"/>
            <w:vAlign w:val="center"/>
          </w:tcPr>
          <w:p w14:paraId="1C96EAC9">
            <w:pPr>
              <w:keepNext w:val="0"/>
              <w:keepLines w:val="0"/>
              <w:pageBreakBefore w:val="0"/>
              <w:widowControl/>
              <w:kinsoku/>
              <w:wordWrap/>
              <w:overflowPunct/>
              <w:topLinePunct w:val="0"/>
              <w:autoSpaceDE/>
              <w:autoSpaceDN/>
              <w:bidi w:val="0"/>
              <w:adjustRightInd/>
              <w:snapToGrid/>
              <w:spacing w:line="560" w:lineRule="exact"/>
              <w:ind w:firstLine="0" w:firstLineChars="0"/>
              <w:jc w:val="center"/>
              <w:rPr>
                <w:rFonts w:hint="eastAsia" w:ascii="宋体" w:hAnsi="宋体" w:eastAsia="宋体" w:cs="宋体"/>
                <w:i w:val="0"/>
                <w:iCs w:val="0"/>
                <w:color w:val="000000"/>
                <w:sz w:val="24"/>
                <w:szCs w:val="24"/>
                <w:highlight w:val="none"/>
                <w:u w:val="none"/>
              </w:rPr>
            </w:pPr>
          </w:p>
        </w:tc>
        <w:tc>
          <w:tcPr>
            <w:tcW w:w="882" w:type="pct"/>
            <w:tcBorders>
              <w:top w:val="nil"/>
              <w:left w:val="nil"/>
              <w:bottom w:val="single" w:color="000000" w:sz="8" w:space="0"/>
              <w:right w:val="single" w:color="000000" w:sz="8" w:space="0"/>
            </w:tcBorders>
            <w:shd w:val="clear" w:color="auto" w:fill="auto"/>
            <w:noWrap/>
            <w:vAlign w:val="center"/>
          </w:tcPr>
          <w:p w14:paraId="3264C9EE">
            <w:pPr>
              <w:keepNext w:val="0"/>
              <w:keepLines w:val="0"/>
              <w:pageBreakBefore w:val="0"/>
              <w:widowControl/>
              <w:suppressLineNumbers w:val="0"/>
              <w:kinsoku/>
              <w:wordWrap/>
              <w:overflowPunct/>
              <w:topLinePunct w:val="0"/>
              <w:autoSpaceDE/>
              <w:autoSpaceDN/>
              <w:bidi w:val="0"/>
              <w:adjustRightInd/>
              <w:snapToGrid/>
              <w:spacing w:line="560" w:lineRule="exact"/>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两河村</w:t>
            </w:r>
          </w:p>
        </w:tc>
        <w:tc>
          <w:tcPr>
            <w:tcW w:w="1086" w:type="pct"/>
            <w:tcBorders>
              <w:top w:val="nil"/>
              <w:left w:val="nil"/>
              <w:bottom w:val="single" w:color="000000" w:sz="8" w:space="0"/>
              <w:right w:val="single" w:color="000000" w:sz="8" w:space="0"/>
            </w:tcBorders>
            <w:shd w:val="clear" w:color="auto" w:fill="auto"/>
            <w:noWrap/>
            <w:vAlign w:val="center"/>
          </w:tcPr>
          <w:p w14:paraId="6ACEF55A">
            <w:pPr>
              <w:keepNext w:val="0"/>
              <w:keepLines w:val="0"/>
              <w:pageBreakBefore w:val="0"/>
              <w:widowControl/>
              <w:suppressLineNumbers w:val="0"/>
              <w:kinsoku/>
              <w:wordWrap/>
              <w:overflowPunct/>
              <w:topLinePunct w:val="0"/>
              <w:autoSpaceDE/>
              <w:autoSpaceDN/>
              <w:bidi w:val="0"/>
              <w:adjustRightInd/>
              <w:snapToGrid/>
              <w:spacing w:line="560" w:lineRule="exact"/>
              <w:ind w:firstLine="0" w:firstLineChars="0"/>
              <w:jc w:val="center"/>
              <w:textAlignment w:val="center"/>
              <w:rPr>
                <w:rFonts w:hint="eastAsia" w:ascii="宋体" w:hAnsi="宋体" w:eastAsia="宋体" w:cs="宋体"/>
                <w:i w:val="0"/>
                <w:iCs w:val="0"/>
                <w:color w:val="000000"/>
                <w:sz w:val="24"/>
                <w:szCs w:val="24"/>
                <w:highlight w:val="none"/>
                <w:u w:val="none"/>
                <w:lang w:val="en-US"/>
              </w:rPr>
            </w:pPr>
            <w:r>
              <w:rPr>
                <w:rFonts w:hint="eastAsia" w:ascii="宋体" w:hAnsi="宋体" w:eastAsia="宋体" w:cs="宋体"/>
                <w:i w:val="0"/>
                <w:iCs w:val="0"/>
                <w:color w:val="000000"/>
                <w:kern w:val="0"/>
                <w:sz w:val="24"/>
                <w:szCs w:val="24"/>
                <w:highlight w:val="none"/>
                <w:u w:val="none"/>
                <w:lang w:val="en-US" w:eastAsia="zh-CN" w:bidi="ar"/>
              </w:rPr>
              <w:t>1548</w:t>
            </w:r>
          </w:p>
        </w:tc>
        <w:tc>
          <w:tcPr>
            <w:tcW w:w="1317" w:type="pct"/>
            <w:tcBorders>
              <w:top w:val="nil"/>
              <w:left w:val="nil"/>
              <w:bottom w:val="single" w:color="000000" w:sz="8" w:space="0"/>
              <w:right w:val="single" w:color="000000" w:sz="8" w:space="0"/>
            </w:tcBorders>
            <w:shd w:val="clear" w:color="auto" w:fill="auto"/>
            <w:noWrap/>
            <w:vAlign w:val="center"/>
          </w:tcPr>
          <w:p w14:paraId="6B75F304">
            <w:pPr>
              <w:keepNext w:val="0"/>
              <w:keepLines w:val="0"/>
              <w:pageBreakBefore w:val="0"/>
              <w:widowControl/>
              <w:suppressLineNumbers w:val="0"/>
              <w:kinsoku/>
              <w:wordWrap/>
              <w:overflowPunct/>
              <w:topLinePunct w:val="0"/>
              <w:autoSpaceDE/>
              <w:autoSpaceDN/>
              <w:bidi w:val="0"/>
              <w:adjustRightInd/>
              <w:snapToGrid/>
              <w:spacing w:line="560" w:lineRule="exact"/>
              <w:ind w:firstLine="0" w:firstLineChars="0"/>
              <w:jc w:val="center"/>
              <w:textAlignment w:val="center"/>
              <w:rPr>
                <w:rFonts w:hint="eastAsia" w:ascii="宋体" w:hAnsi="宋体" w:eastAsia="宋体" w:cs="宋体"/>
                <w:i w:val="0"/>
                <w:iCs w:val="0"/>
                <w:color w:val="000000"/>
                <w:sz w:val="24"/>
                <w:szCs w:val="24"/>
                <w:highlight w:val="none"/>
                <w:u w:val="none"/>
                <w:lang w:val="en-US"/>
              </w:rPr>
            </w:pPr>
            <w:r>
              <w:rPr>
                <w:rFonts w:hint="eastAsia" w:ascii="宋体" w:hAnsi="宋体" w:eastAsia="宋体" w:cs="宋体"/>
                <w:i w:val="0"/>
                <w:iCs w:val="0"/>
                <w:color w:val="000000"/>
                <w:kern w:val="0"/>
                <w:sz w:val="24"/>
                <w:szCs w:val="24"/>
                <w:highlight w:val="none"/>
                <w:u w:val="none"/>
                <w:lang w:val="en-US" w:eastAsia="zh-CN" w:bidi="ar"/>
              </w:rPr>
              <w:t>14</w:t>
            </w:r>
          </w:p>
        </w:tc>
      </w:tr>
      <w:tr w14:paraId="693933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trPr>
        <w:tc>
          <w:tcPr>
            <w:tcW w:w="1183" w:type="pct"/>
            <w:vMerge w:val="continue"/>
            <w:tcBorders>
              <w:top w:val="nil"/>
              <w:left w:val="single" w:color="000000" w:sz="8" w:space="0"/>
              <w:bottom w:val="single" w:color="000000" w:sz="8" w:space="0"/>
              <w:right w:val="single" w:color="000000" w:sz="8" w:space="0"/>
            </w:tcBorders>
            <w:shd w:val="clear" w:color="auto" w:fill="auto"/>
            <w:vAlign w:val="center"/>
          </w:tcPr>
          <w:p w14:paraId="1368F6FB">
            <w:pPr>
              <w:keepNext w:val="0"/>
              <w:keepLines w:val="0"/>
              <w:pageBreakBefore w:val="0"/>
              <w:widowControl/>
              <w:kinsoku/>
              <w:wordWrap/>
              <w:overflowPunct/>
              <w:topLinePunct w:val="0"/>
              <w:autoSpaceDE/>
              <w:autoSpaceDN/>
              <w:bidi w:val="0"/>
              <w:adjustRightInd/>
              <w:snapToGrid/>
              <w:spacing w:line="560" w:lineRule="exact"/>
              <w:ind w:firstLine="0" w:firstLineChars="0"/>
              <w:jc w:val="center"/>
              <w:rPr>
                <w:rFonts w:hint="eastAsia" w:ascii="宋体" w:hAnsi="宋体" w:eastAsia="宋体" w:cs="宋体"/>
                <w:i w:val="0"/>
                <w:iCs w:val="0"/>
                <w:color w:val="000000"/>
                <w:sz w:val="24"/>
                <w:szCs w:val="24"/>
                <w:highlight w:val="none"/>
                <w:u w:val="none"/>
              </w:rPr>
            </w:pPr>
          </w:p>
        </w:tc>
        <w:tc>
          <w:tcPr>
            <w:tcW w:w="530" w:type="pct"/>
            <w:vMerge w:val="continue"/>
            <w:tcBorders>
              <w:top w:val="nil"/>
              <w:left w:val="nil"/>
              <w:bottom w:val="single" w:color="000000" w:sz="8" w:space="0"/>
              <w:right w:val="single" w:color="000000" w:sz="8" w:space="0"/>
            </w:tcBorders>
            <w:shd w:val="clear" w:color="auto" w:fill="auto"/>
            <w:vAlign w:val="center"/>
          </w:tcPr>
          <w:p w14:paraId="0171E7F0">
            <w:pPr>
              <w:keepNext w:val="0"/>
              <w:keepLines w:val="0"/>
              <w:pageBreakBefore w:val="0"/>
              <w:widowControl/>
              <w:kinsoku/>
              <w:wordWrap/>
              <w:overflowPunct/>
              <w:topLinePunct w:val="0"/>
              <w:autoSpaceDE/>
              <w:autoSpaceDN/>
              <w:bidi w:val="0"/>
              <w:adjustRightInd/>
              <w:snapToGrid/>
              <w:spacing w:line="560" w:lineRule="exact"/>
              <w:ind w:firstLine="0" w:firstLineChars="0"/>
              <w:jc w:val="center"/>
              <w:rPr>
                <w:rFonts w:hint="eastAsia" w:ascii="宋体" w:hAnsi="宋体" w:eastAsia="宋体" w:cs="宋体"/>
                <w:i w:val="0"/>
                <w:iCs w:val="0"/>
                <w:color w:val="000000"/>
                <w:sz w:val="24"/>
                <w:szCs w:val="24"/>
                <w:highlight w:val="none"/>
                <w:u w:val="none"/>
              </w:rPr>
            </w:pPr>
          </w:p>
        </w:tc>
        <w:tc>
          <w:tcPr>
            <w:tcW w:w="882" w:type="pct"/>
            <w:tcBorders>
              <w:top w:val="nil"/>
              <w:left w:val="nil"/>
              <w:bottom w:val="single" w:color="000000" w:sz="8" w:space="0"/>
              <w:right w:val="single" w:color="000000" w:sz="8" w:space="0"/>
            </w:tcBorders>
            <w:shd w:val="clear" w:color="auto" w:fill="auto"/>
            <w:noWrap/>
            <w:vAlign w:val="center"/>
          </w:tcPr>
          <w:p w14:paraId="7C90CE00">
            <w:pPr>
              <w:keepNext w:val="0"/>
              <w:keepLines w:val="0"/>
              <w:pageBreakBefore w:val="0"/>
              <w:widowControl/>
              <w:suppressLineNumbers w:val="0"/>
              <w:kinsoku/>
              <w:wordWrap/>
              <w:overflowPunct/>
              <w:topLinePunct w:val="0"/>
              <w:autoSpaceDE/>
              <w:autoSpaceDN/>
              <w:bidi w:val="0"/>
              <w:adjustRightInd/>
              <w:snapToGrid/>
              <w:spacing w:line="560" w:lineRule="exact"/>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马房子村</w:t>
            </w:r>
          </w:p>
        </w:tc>
        <w:tc>
          <w:tcPr>
            <w:tcW w:w="1086" w:type="pct"/>
            <w:tcBorders>
              <w:top w:val="nil"/>
              <w:left w:val="nil"/>
              <w:bottom w:val="single" w:color="000000" w:sz="8" w:space="0"/>
              <w:right w:val="single" w:color="000000" w:sz="8" w:space="0"/>
            </w:tcBorders>
            <w:shd w:val="clear" w:color="auto" w:fill="auto"/>
            <w:noWrap/>
            <w:vAlign w:val="center"/>
          </w:tcPr>
          <w:p w14:paraId="041BED77">
            <w:pPr>
              <w:keepNext w:val="0"/>
              <w:keepLines w:val="0"/>
              <w:pageBreakBefore w:val="0"/>
              <w:widowControl/>
              <w:suppressLineNumbers w:val="0"/>
              <w:kinsoku/>
              <w:wordWrap/>
              <w:overflowPunct/>
              <w:topLinePunct w:val="0"/>
              <w:autoSpaceDE/>
              <w:autoSpaceDN/>
              <w:bidi w:val="0"/>
              <w:adjustRightInd/>
              <w:snapToGrid/>
              <w:spacing w:line="560" w:lineRule="exact"/>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9096</w:t>
            </w:r>
          </w:p>
        </w:tc>
        <w:tc>
          <w:tcPr>
            <w:tcW w:w="1317" w:type="pct"/>
            <w:tcBorders>
              <w:top w:val="nil"/>
              <w:left w:val="nil"/>
              <w:bottom w:val="single" w:color="000000" w:sz="8" w:space="0"/>
              <w:right w:val="single" w:color="000000" w:sz="8" w:space="0"/>
            </w:tcBorders>
            <w:shd w:val="clear" w:color="auto" w:fill="auto"/>
            <w:noWrap/>
            <w:vAlign w:val="center"/>
          </w:tcPr>
          <w:p w14:paraId="48C30D2C">
            <w:pPr>
              <w:keepNext w:val="0"/>
              <w:keepLines w:val="0"/>
              <w:pageBreakBefore w:val="0"/>
              <w:widowControl/>
              <w:suppressLineNumbers w:val="0"/>
              <w:kinsoku/>
              <w:wordWrap/>
              <w:overflowPunct/>
              <w:topLinePunct w:val="0"/>
              <w:autoSpaceDE/>
              <w:autoSpaceDN/>
              <w:bidi w:val="0"/>
              <w:adjustRightInd/>
              <w:snapToGrid/>
              <w:spacing w:line="560" w:lineRule="exact"/>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72</w:t>
            </w:r>
          </w:p>
        </w:tc>
      </w:tr>
    </w:tbl>
    <w:p w14:paraId="12C41BDF">
      <w:pPr>
        <w:pStyle w:val="5"/>
        <w:pageBreakBefore w:val="0"/>
        <w:kinsoku/>
        <w:wordWrap/>
        <w:overflowPunct/>
        <w:topLinePunct w:val="0"/>
        <w:autoSpaceDE/>
        <w:autoSpaceDN/>
        <w:bidi w:val="0"/>
        <w:adjustRightInd/>
        <w:snapToGrid/>
        <w:spacing w:line="560" w:lineRule="exac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5森林立地类型划分</w:t>
      </w:r>
      <w:bookmarkEnd w:id="171"/>
    </w:p>
    <w:p w14:paraId="4231893E">
      <w:pPr>
        <w:pageBreakBefore w:val="0"/>
        <w:kinsoku/>
        <w:wordWrap/>
        <w:overflowPunct/>
        <w:topLinePunct w:val="0"/>
        <w:autoSpaceDE/>
        <w:autoSpaceDN/>
        <w:bidi w:val="0"/>
        <w:adjustRightInd/>
        <w:snapToGrid/>
        <w:spacing w:line="56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依据陕西省森林立地分类系统以及立地类型、造林类型、森林经营类型表，通过实地调查，并结合项目区域的立地条件、资源特性以及影响林木生长的关键因素，确定坡位、坡度、土层厚度和肥力状况等为立地类型划分的关键指标。据此，将项目区的立地类型小区划分为中山带阳坡立地类型组和低山带阴坡立地类型组。具体立地类型则确定为中山带阳向斜陡坡中厚层土立地类型（I）和低山带阴向斜陡坡中厚层土立地类型（II），共计2个立地类型（详细内容见立地类型表5-</w:t>
      </w:r>
      <w:r>
        <w:rPr>
          <w:rFonts w:hint="eastAsia" w:ascii="宋体" w:hAnsi="宋体" w:eastAsia="宋体" w:cs="宋体"/>
          <w:sz w:val="24"/>
          <w:szCs w:val="24"/>
          <w:highlight w:val="none"/>
          <w:lang w:val="en-US" w:eastAsia="zh-CN"/>
        </w:rPr>
        <w:t>3</w:t>
      </w:r>
      <w:r>
        <w:rPr>
          <w:rFonts w:hint="eastAsia" w:ascii="宋体" w:hAnsi="宋体" w:eastAsia="宋体" w:cs="宋体"/>
          <w:sz w:val="24"/>
          <w:szCs w:val="24"/>
          <w:highlight w:val="none"/>
        </w:rPr>
        <w:t>）。</w:t>
      </w:r>
    </w:p>
    <w:p w14:paraId="003D13D0">
      <w:pPr>
        <w:pageBreakBefore w:val="0"/>
        <w:kinsoku/>
        <w:wordWrap/>
        <w:overflowPunct/>
        <w:topLinePunct w:val="0"/>
        <w:autoSpaceDE/>
        <w:autoSpaceDN/>
        <w:bidi w:val="0"/>
        <w:adjustRightInd/>
        <w:snapToGrid/>
        <w:spacing w:line="560" w:lineRule="exact"/>
        <w:ind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表5-</w:t>
      </w:r>
      <w:r>
        <w:rPr>
          <w:rFonts w:hint="eastAsia" w:ascii="宋体" w:hAnsi="宋体" w:eastAsia="宋体" w:cs="宋体"/>
          <w:sz w:val="24"/>
          <w:szCs w:val="24"/>
          <w:highlight w:val="none"/>
          <w:lang w:val="en-US" w:eastAsia="zh-CN"/>
        </w:rPr>
        <w:t>3</w:t>
      </w:r>
      <w:r>
        <w:rPr>
          <w:rFonts w:hint="eastAsia" w:ascii="宋体" w:hAnsi="宋体" w:eastAsia="宋体" w:cs="宋体"/>
          <w:sz w:val="24"/>
          <w:szCs w:val="24"/>
          <w:highlight w:val="none"/>
        </w:rPr>
        <w:t xml:space="preserve"> 森林立地类型表</w:t>
      </w:r>
    </w:p>
    <w:tbl>
      <w:tblPr>
        <w:tblStyle w:val="29"/>
        <w:tblpPr w:leftFromText="180" w:rightFromText="180" w:vertAnchor="text" w:tblpY="1"/>
        <w:tblOverlap w:val="never"/>
        <w:tblW w:w="0" w:type="auto"/>
        <w:tblInd w:w="0" w:type="dxa"/>
        <w:tblLayout w:type="autofit"/>
        <w:tblCellMar>
          <w:top w:w="0" w:type="dxa"/>
          <w:left w:w="108" w:type="dxa"/>
          <w:bottom w:w="0" w:type="dxa"/>
          <w:right w:w="108" w:type="dxa"/>
        </w:tblCellMar>
      </w:tblPr>
      <w:tblGrid>
        <w:gridCol w:w="595"/>
        <w:gridCol w:w="657"/>
        <w:gridCol w:w="518"/>
        <w:gridCol w:w="595"/>
        <w:gridCol w:w="471"/>
        <w:gridCol w:w="2108"/>
        <w:gridCol w:w="1655"/>
        <w:gridCol w:w="2027"/>
        <w:gridCol w:w="774"/>
      </w:tblGrid>
      <w:tr w14:paraId="294F018E">
        <w:tblPrEx>
          <w:tblCellMar>
            <w:top w:w="0" w:type="dxa"/>
            <w:left w:w="108" w:type="dxa"/>
            <w:bottom w:w="0" w:type="dxa"/>
            <w:right w:w="108" w:type="dxa"/>
          </w:tblCellMar>
        </w:tblPrEx>
        <w:trPr>
          <w:trHeight w:val="324" w:hRule="atLeast"/>
        </w:trPr>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12164CA5">
            <w:pPr>
              <w:pageBreakBefore w:val="0"/>
              <w:widowControl/>
              <w:kinsoku/>
              <w:wordWrap/>
              <w:overflowPunct/>
              <w:topLinePunct w:val="0"/>
              <w:autoSpaceDE/>
              <w:autoSpaceDN/>
              <w:bidi w:val="0"/>
              <w:adjustRightInd/>
              <w:snapToGrid/>
              <w:spacing w:line="560" w:lineRule="exact"/>
              <w:ind w:firstLine="0" w:firstLineChars="0"/>
              <w:jc w:val="center"/>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立地类型亚区</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67F5E5E8">
            <w:pPr>
              <w:pageBreakBefore w:val="0"/>
              <w:widowControl/>
              <w:kinsoku/>
              <w:wordWrap/>
              <w:overflowPunct/>
              <w:topLinePunct w:val="0"/>
              <w:autoSpaceDE/>
              <w:autoSpaceDN/>
              <w:bidi w:val="0"/>
              <w:adjustRightInd/>
              <w:snapToGrid/>
              <w:spacing w:line="560" w:lineRule="exact"/>
              <w:ind w:firstLine="0" w:firstLineChars="0"/>
              <w:jc w:val="center"/>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立地类型小区</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08641321">
            <w:pPr>
              <w:pageBreakBefore w:val="0"/>
              <w:widowControl/>
              <w:kinsoku/>
              <w:wordWrap/>
              <w:overflowPunct/>
              <w:topLinePunct w:val="0"/>
              <w:autoSpaceDE/>
              <w:autoSpaceDN/>
              <w:bidi w:val="0"/>
              <w:adjustRightInd/>
              <w:snapToGrid/>
              <w:spacing w:line="560" w:lineRule="exact"/>
              <w:ind w:firstLine="0" w:firstLineChars="0"/>
              <w:jc w:val="center"/>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立地类型组</w:t>
            </w:r>
          </w:p>
        </w:tc>
        <w:tc>
          <w:tcPr>
            <w:tcW w:w="0" w:type="auto"/>
            <w:gridSpan w:val="2"/>
            <w:tcBorders>
              <w:top w:val="single" w:color="000000" w:sz="8" w:space="0"/>
              <w:left w:val="nil"/>
              <w:bottom w:val="single" w:color="000000" w:sz="8" w:space="0"/>
              <w:right w:val="single" w:color="000000" w:sz="8" w:space="0"/>
            </w:tcBorders>
            <w:shd w:val="clear" w:color="auto" w:fill="auto"/>
            <w:vAlign w:val="center"/>
          </w:tcPr>
          <w:p w14:paraId="34218A1F">
            <w:pPr>
              <w:pageBreakBefore w:val="0"/>
              <w:widowControl/>
              <w:kinsoku/>
              <w:wordWrap/>
              <w:overflowPunct/>
              <w:topLinePunct w:val="0"/>
              <w:autoSpaceDE/>
              <w:autoSpaceDN/>
              <w:bidi w:val="0"/>
              <w:adjustRightInd/>
              <w:snapToGrid/>
              <w:spacing w:line="560" w:lineRule="exact"/>
              <w:ind w:firstLine="0" w:firstLineChars="0"/>
              <w:jc w:val="center"/>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立地类型</w:t>
            </w:r>
          </w:p>
        </w:tc>
        <w:tc>
          <w:tcPr>
            <w:tcW w:w="0" w:type="auto"/>
            <w:gridSpan w:val="3"/>
            <w:tcBorders>
              <w:top w:val="single" w:color="000000" w:sz="8" w:space="0"/>
              <w:left w:val="nil"/>
              <w:bottom w:val="single" w:color="000000" w:sz="8" w:space="0"/>
              <w:right w:val="single" w:color="000000" w:sz="8" w:space="0"/>
            </w:tcBorders>
            <w:shd w:val="clear" w:color="auto" w:fill="auto"/>
            <w:vAlign w:val="center"/>
          </w:tcPr>
          <w:p w14:paraId="5725DB25">
            <w:pPr>
              <w:pageBreakBefore w:val="0"/>
              <w:widowControl/>
              <w:kinsoku/>
              <w:wordWrap/>
              <w:overflowPunct/>
              <w:topLinePunct w:val="0"/>
              <w:autoSpaceDE/>
              <w:autoSpaceDN/>
              <w:bidi w:val="0"/>
              <w:adjustRightInd/>
              <w:snapToGrid/>
              <w:spacing w:line="560" w:lineRule="exact"/>
              <w:ind w:firstLine="0" w:firstLineChars="0"/>
              <w:jc w:val="center"/>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主要因子</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7B164572">
            <w:pPr>
              <w:pageBreakBefore w:val="0"/>
              <w:widowControl/>
              <w:kinsoku/>
              <w:wordWrap/>
              <w:overflowPunct/>
              <w:topLinePunct w:val="0"/>
              <w:autoSpaceDE/>
              <w:autoSpaceDN/>
              <w:bidi w:val="0"/>
              <w:adjustRightInd/>
              <w:snapToGrid/>
              <w:spacing w:line="560" w:lineRule="exact"/>
              <w:ind w:firstLine="0" w:firstLineChars="0"/>
              <w:jc w:val="center"/>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适宜补植类型</w:t>
            </w:r>
          </w:p>
        </w:tc>
      </w:tr>
      <w:tr w14:paraId="6B25777F">
        <w:tblPrEx>
          <w:tblCellMar>
            <w:top w:w="0" w:type="dxa"/>
            <w:left w:w="108" w:type="dxa"/>
            <w:bottom w:w="0" w:type="dxa"/>
            <w:right w:w="108" w:type="dxa"/>
          </w:tblCellMar>
        </w:tblPrEx>
        <w:trPr>
          <w:trHeight w:val="968" w:hRule="atLeast"/>
        </w:trPr>
        <w:tc>
          <w:tcPr>
            <w:tcW w:w="0" w:type="auto"/>
            <w:vMerge w:val="continue"/>
            <w:tcBorders>
              <w:top w:val="single" w:color="000000" w:sz="8" w:space="0"/>
              <w:left w:val="single" w:color="000000" w:sz="8" w:space="0"/>
              <w:bottom w:val="single" w:color="000000" w:sz="8" w:space="0"/>
              <w:right w:val="single" w:color="000000" w:sz="8" w:space="0"/>
            </w:tcBorders>
            <w:vAlign w:val="center"/>
          </w:tcPr>
          <w:p w14:paraId="32E429DC">
            <w:pPr>
              <w:pageBreakBefore w:val="0"/>
              <w:widowControl/>
              <w:kinsoku/>
              <w:wordWrap/>
              <w:overflowPunct/>
              <w:topLinePunct w:val="0"/>
              <w:autoSpaceDE/>
              <w:autoSpaceDN/>
              <w:bidi w:val="0"/>
              <w:adjustRightInd/>
              <w:snapToGrid/>
              <w:spacing w:line="560" w:lineRule="exact"/>
              <w:ind w:firstLine="0" w:firstLineChars="0"/>
              <w:jc w:val="left"/>
              <w:rPr>
                <w:rFonts w:hint="eastAsia" w:ascii="宋体" w:hAnsi="宋体" w:eastAsia="宋体" w:cs="宋体"/>
                <w:color w:val="000000"/>
                <w:kern w:val="0"/>
                <w:sz w:val="24"/>
                <w:szCs w:val="24"/>
                <w:highlight w:val="none"/>
              </w:rPr>
            </w:pPr>
          </w:p>
        </w:tc>
        <w:tc>
          <w:tcPr>
            <w:tcW w:w="0" w:type="auto"/>
            <w:vMerge w:val="continue"/>
            <w:tcBorders>
              <w:top w:val="single" w:color="000000" w:sz="8" w:space="0"/>
              <w:left w:val="single" w:color="000000" w:sz="8" w:space="0"/>
              <w:bottom w:val="single" w:color="000000" w:sz="8" w:space="0"/>
              <w:right w:val="single" w:color="000000" w:sz="8" w:space="0"/>
            </w:tcBorders>
            <w:vAlign w:val="center"/>
          </w:tcPr>
          <w:p w14:paraId="59E8470E">
            <w:pPr>
              <w:pageBreakBefore w:val="0"/>
              <w:widowControl/>
              <w:kinsoku/>
              <w:wordWrap/>
              <w:overflowPunct/>
              <w:topLinePunct w:val="0"/>
              <w:autoSpaceDE/>
              <w:autoSpaceDN/>
              <w:bidi w:val="0"/>
              <w:adjustRightInd/>
              <w:snapToGrid/>
              <w:spacing w:line="560" w:lineRule="exact"/>
              <w:ind w:firstLine="0" w:firstLineChars="0"/>
              <w:jc w:val="left"/>
              <w:rPr>
                <w:rFonts w:hint="eastAsia" w:ascii="宋体" w:hAnsi="宋体" w:eastAsia="宋体" w:cs="宋体"/>
                <w:color w:val="000000"/>
                <w:kern w:val="0"/>
                <w:sz w:val="24"/>
                <w:szCs w:val="24"/>
                <w:highlight w:val="none"/>
              </w:rPr>
            </w:pPr>
          </w:p>
        </w:tc>
        <w:tc>
          <w:tcPr>
            <w:tcW w:w="0" w:type="auto"/>
            <w:vMerge w:val="continue"/>
            <w:tcBorders>
              <w:top w:val="single" w:color="000000" w:sz="8" w:space="0"/>
              <w:left w:val="single" w:color="000000" w:sz="8" w:space="0"/>
              <w:bottom w:val="single" w:color="000000" w:sz="8" w:space="0"/>
              <w:right w:val="single" w:color="000000" w:sz="8" w:space="0"/>
            </w:tcBorders>
            <w:vAlign w:val="center"/>
          </w:tcPr>
          <w:p w14:paraId="321F582C">
            <w:pPr>
              <w:pageBreakBefore w:val="0"/>
              <w:widowControl/>
              <w:kinsoku/>
              <w:wordWrap/>
              <w:overflowPunct/>
              <w:topLinePunct w:val="0"/>
              <w:autoSpaceDE/>
              <w:autoSpaceDN/>
              <w:bidi w:val="0"/>
              <w:adjustRightInd/>
              <w:snapToGrid/>
              <w:spacing w:line="560" w:lineRule="exact"/>
              <w:ind w:firstLine="0" w:firstLineChars="0"/>
              <w:jc w:val="left"/>
              <w:rPr>
                <w:rFonts w:hint="eastAsia" w:ascii="宋体" w:hAnsi="宋体" w:eastAsia="宋体" w:cs="宋体"/>
                <w:color w:val="000000"/>
                <w:kern w:val="0"/>
                <w:sz w:val="24"/>
                <w:szCs w:val="24"/>
                <w:highlight w:val="none"/>
              </w:rPr>
            </w:pPr>
          </w:p>
        </w:tc>
        <w:tc>
          <w:tcPr>
            <w:tcW w:w="0" w:type="auto"/>
            <w:tcBorders>
              <w:top w:val="nil"/>
              <w:left w:val="nil"/>
              <w:bottom w:val="single" w:color="000000" w:sz="8" w:space="0"/>
              <w:right w:val="single" w:color="000000" w:sz="8" w:space="0"/>
            </w:tcBorders>
            <w:shd w:val="clear" w:color="auto" w:fill="auto"/>
            <w:vAlign w:val="center"/>
          </w:tcPr>
          <w:p w14:paraId="4130726E">
            <w:pPr>
              <w:pageBreakBefore w:val="0"/>
              <w:widowControl/>
              <w:kinsoku/>
              <w:wordWrap/>
              <w:overflowPunct/>
              <w:topLinePunct w:val="0"/>
              <w:autoSpaceDE/>
              <w:autoSpaceDN/>
              <w:bidi w:val="0"/>
              <w:adjustRightInd/>
              <w:snapToGrid/>
              <w:spacing w:line="560" w:lineRule="exact"/>
              <w:ind w:firstLine="0" w:firstLineChars="0"/>
              <w:jc w:val="center"/>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名称</w:t>
            </w:r>
          </w:p>
        </w:tc>
        <w:tc>
          <w:tcPr>
            <w:tcW w:w="0" w:type="auto"/>
            <w:tcBorders>
              <w:top w:val="nil"/>
              <w:left w:val="nil"/>
              <w:bottom w:val="single" w:color="000000" w:sz="8" w:space="0"/>
              <w:right w:val="single" w:color="000000" w:sz="8" w:space="0"/>
            </w:tcBorders>
            <w:shd w:val="clear" w:color="auto" w:fill="auto"/>
            <w:vAlign w:val="center"/>
          </w:tcPr>
          <w:p w14:paraId="2963B11D">
            <w:pPr>
              <w:pageBreakBefore w:val="0"/>
              <w:widowControl/>
              <w:kinsoku/>
              <w:wordWrap/>
              <w:overflowPunct/>
              <w:topLinePunct w:val="0"/>
              <w:autoSpaceDE/>
              <w:autoSpaceDN/>
              <w:bidi w:val="0"/>
              <w:adjustRightInd/>
              <w:snapToGrid/>
              <w:spacing w:line="560" w:lineRule="exact"/>
              <w:ind w:firstLine="0" w:firstLineChars="0"/>
              <w:jc w:val="center"/>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编号</w:t>
            </w:r>
          </w:p>
        </w:tc>
        <w:tc>
          <w:tcPr>
            <w:tcW w:w="0" w:type="auto"/>
            <w:tcBorders>
              <w:top w:val="nil"/>
              <w:left w:val="nil"/>
              <w:bottom w:val="single" w:color="000000" w:sz="8" w:space="0"/>
              <w:right w:val="single" w:color="000000" w:sz="8" w:space="0"/>
            </w:tcBorders>
            <w:shd w:val="clear" w:color="auto" w:fill="auto"/>
            <w:vAlign w:val="center"/>
          </w:tcPr>
          <w:p w14:paraId="4AF9C208">
            <w:pPr>
              <w:pageBreakBefore w:val="0"/>
              <w:widowControl/>
              <w:kinsoku/>
              <w:wordWrap/>
              <w:overflowPunct/>
              <w:topLinePunct w:val="0"/>
              <w:autoSpaceDE/>
              <w:autoSpaceDN/>
              <w:bidi w:val="0"/>
              <w:adjustRightInd/>
              <w:snapToGrid/>
              <w:spacing w:line="560" w:lineRule="exact"/>
              <w:ind w:firstLine="0" w:firstLineChars="0"/>
              <w:jc w:val="center"/>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地形</w:t>
            </w:r>
          </w:p>
        </w:tc>
        <w:tc>
          <w:tcPr>
            <w:tcW w:w="0" w:type="auto"/>
            <w:tcBorders>
              <w:top w:val="nil"/>
              <w:left w:val="nil"/>
              <w:bottom w:val="single" w:color="000000" w:sz="8" w:space="0"/>
              <w:right w:val="single" w:color="000000" w:sz="8" w:space="0"/>
            </w:tcBorders>
            <w:shd w:val="clear" w:color="auto" w:fill="auto"/>
            <w:vAlign w:val="center"/>
          </w:tcPr>
          <w:p w14:paraId="7CDF222A">
            <w:pPr>
              <w:pageBreakBefore w:val="0"/>
              <w:widowControl/>
              <w:kinsoku/>
              <w:wordWrap/>
              <w:overflowPunct/>
              <w:topLinePunct w:val="0"/>
              <w:autoSpaceDE/>
              <w:autoSpaceDN/>
              <w:bidi w:val="0"/>
              <w:adjustRightInd/>
              <w:snapToGrid/>
              <w:spacing w:line="560" w:lineRule="exact"/>
              <w:ind w:firstLine="0" w:firstLineChars="0"/>
              <w:jc w:val="center"/>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土壤</w:t>
            </w:r>
          </w:p>
        </w:tc>
        <w:tc>
          <w:tcPr>
            <w:tcW w:w="0" w:type="auto"/>
            <w:tcBorders>
              <w:top w:val="nil"/>
              <w:left w:val="nil"/>
              <w:bottom w:val="single" w:color="000000" w:sz="8" w:space="0"/>
              <w:right w:val="single" w:color="000000" w:sz="8" w:space="0"/>
            </w:tcBorders>
            <w:shd w:val="clear" w:color="auto" w:fill="auto"/>
            <w:vAlign w:val="center"/>
          </w:tcPr>
          <w:p w14:paraId="1C6C8805">
            <w:pPr>
              <w:pageBreakBefore w:val="0"/>
              <w:widowControl/>
              <w:kinsoku/>
              <w:wordWrap/>
              <w:overflowPunct/>
              <w:topLinePunct w:val="0"/>
              <w:autoSpaceDE/>
              <w:autoSpaceDN/>
              <w:bidi w:val="0"/>
              <w:adjustRightInd/>
              <w:snapToGrid/>
              <w:spacing w:line="560" w:lineRule="exact"/>
              <w:ind w:firstLine="0" w:firstLineChars="0"/>
              <w:jc w:val="center"/>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植被</w:t>
            </w:r>
          </w:p>
        </w:tc>
        <w:tc>
          <w:tcPr>
            <w:tcW w:w="0" w:type="auto"/>
            <w:vMerge w:val="continue"/>
            <w:tcBorders>
              <w:top w:val="single" w:color="000000" w:sz="8" w:space="0"/>
              <w:left w:val="single" w:color="000000" w:sz="8" w:space="0"/>
              <w:bottom w:val="single" w:color="000000" w:sz="8" w:space="0"/>
              <w:right w:val="single" w:color="000000" w:sz="8" w:space="0"/>
            </w:tcBorders>
            <w:vAlign w:val="center"/>
          </w:tcPr>
          <w:p w14:paraId="590747EB">
            <w:pPr>
              <w:pageBreakBefore w:val="0"/>
              <w:widowControl/>
              <w:kinsoku/>
              <w:wordWrap/>
              <w:overflowPunct/>
              <w:topLinePunct w:val="0"/>
              <w:autoSpaceDE/>
              <w:autoSpaceDN/>
              <w:bidi w:val="0"/>
              <w:adjustRightInd/>
              <w:snapToGrid/>
              <w:spacing w:line="560" w:lineRule="exact"/>
              <w:ind w:firstLine="0" w:firstLineChars="0"/>
              <w:jc w:val="left"/>
              <w:rPr>
                <w:rFonts w:hint="eastAsia" w:ascii="宋体" w:hAnsi="宋体" w:eastAsia="宋体" w:cs="宋体"/>
                <w:color w:val="000000"/>
                <w:kern w:val="0"/>
                <w:sz w:val="24"/>
                <w:szCs w:val="24"/>
                <w:highlight w:val="none"/>
              </w:rPr>
            </w:pPr>
          </w:p>
        </w:tc>
      </w:tr>
      <w:tr w14:paraId="6476ED47">
        <w:tblPrEx>
          <w:tblCellMar>
            <w:top w:w="0" w:type="dxa"/>
            <w:left w:w="108" w:type="dxa"/>
            <w:bottom w:w="0" w:type="dxa"/>
            <w:right w:w="108" w:type="dxa"/>
          </w:tblCellMar>
        </w:tblPrEx>
        <w:trPr>
          <w:trHeight w:val="1284" w:hRule="atLeast"/>
        </w:trPr>
        <w:tc>
          <w:tcPr>
            <w:tcW w:w="0" w:type="auto"/>
            <w:vMerge w:val="restart"/>
            <w:tcBorders>
              <w:top w:val="nil"/>
              <w:left w:val="single" w:color="000000" w:sz="8" w:space="0"/>
              <w:bottom w:val="single" w:color="000000" w:sz="8" w:space="0"/>
              <w:right w:val="single" w:color="000000" w:sz="8" w:space="0"/>
            </w:tcBorders>
            <w:shd w:val="clear" w:color="auto" w:fill="auto"/>
            <w:vAlign w:val="center"/>
          </w:tcPr>
          <w:p w14:paraId="38870999">
            <w:pPr>
              <w:pageBreakBefore w:val="0"/>
              <w:widowControl/>
              <w:kinsoku/>
              <w:wordWrap/>
              <w:overflowPunct/>
              <w:topLinePunct w:val="0"/>
              <w:autoSpaceDE/>
              <w:autoSpaceDN/>
              <w:bidi w:val="0"/>
              <w:adjustRightInd/>
              <w:snapToGrid/>
              <w:spacing w:line="560" w:lineRule="exact"/>
              <w:ind w:firstLine="0" w:firstLineChars="0"/>
              <w:jc w:val="center"/>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秦岭南坡山地立地亚区</w:t>
            </w:r>
          </w:p>
        </w:tc>
        <w:tc>
          <w:tcPr>
            <w:tcW w:w="0" w:type="auto"/>
            <w:vMerge w:val="restart"/>
            <w:tcBorders>
              <w:top w:val="nil"/>
              <w:left w:val="single" w:color="000000" w:sz="8" w:space="0"/>
              <w:bottom w:val="single" w:color="000000" w:sz="8" w:space="0"/>
              <w:right w:val="single" w:color="000000" w:sz="8" w:space="0"/>
            </w:tcBorders>
            <w:shd w:val="clear" w:color="auto" w:fill="auto"/>
            <w:vAlign w:val="center"/>
          </w:tcPr>
          <w:p w14:paraId="638617ED">
            <w:pPr>
              <w:pageBreakBefore w:val="0"/>
              <w:widowControl/>
              <w:kinsoku/>
              <w:wordWrap/>
              <w:overflowPunct/>
              <w:topLinePunct w:val="0"/>
              <w:autoSpaceDE/>
              <w:autoSpaceDN/>
              <w:bidi w:val="0"/>
              <w:adjustRightInd/>
              <w:snapToGrid/>
              <w:spacing w:line="560" w:lineRule="exact"/>
              <w:ind w:firstLine="0" w:firstLineChars="0"/>
              <w:jc w:val="center"/>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秦岭南坡土石山地立地类型小区</w:t>
            </w:r>
          </w:p>
        </w:tc>
        <w:tc>
          <w:tcPr>
            <w:tcW w:w="0" w:type="auto"/>
            <w:vMerge w:val="restart"/>
            <w:tcBorders>
              <w:top w:val="nil"/>
              <w:left w:val="single" w:color="000000" w:sz="8" w:space="0"/>
              <w:bottom w:val="single" w:color="000000" w:sz="8" w:space="0"/>
              <w:right w:val="single" w:color="000000" w:sz="8" w:space="0"/>
            </w:tcBorders>
            <w:shd w:val="clear" w:color="auto" w:fill="auto"/>
            <w:vAlign w:val="center"/>
          </w:tcPr>
          <w:p w14:paraId="0D30FD6F">
            <w:pPr>
              <w:pageBreakBefore w:val="0"/>
              <w:widowControl/>
              <w:kinsoku/>
              <w:wordWrap/>
              <w:overflowPunct/>
              <w:topLinePunct w:val="0"/>
              <w:autoSpaceDE/>
              <w:autoSpaceDN/>
              <w:bidi w:val="0"/>
              <w:adjustRightInd/>
              <w:snapToGrid/>
              <w:spacing w:line="560" w:lineRule="exact"/>
              <w:ind w:firstLine="0" w:firstLineChars="0"/>
              <w:jc w:val="center"/>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中山组</w:t>
            </w:r>
          </w:p>
        </w:tc>
        <w:tc>
          <w:tcPr>
            <w:tcW w:w="0" w:type="auto"/>
            <w:vMerge w:val="restart"/>
            <w:tcBorders>
              <w:top w:val="nil"/>
              <w:left w:val="single" w:color="000000" w:sz="8" w:space="0"/>
              <w:bottom w:val="single" w:color="000000" w:sz="8" w:space="0"/>
              <w:right w:val="single" w:color="000000" w:sz="8" w:space="0"/>
            </w:tcBorders>
            <w:shd w:val="clear" w:color="auto" w:fill="auto"/>
            <w:vAlign w:val="center"/>
          </w:tcPr>
          <w:p w14:paraId="5A6F786A">
            <w:pPr>
              <w:pageBreakBefore w:val="0"/>
              <w:widowControl/>
              <w:kinsoku/>
              <w:wordWrap/>
              <w:overflowPunct/>
              <w:topLinePunct w:val="0"/>
              <w:autoSpaceDE/>
              <w:autoSpaceDN/>
              <w:bidi w:val="0"/>
              <w:adjustRightInd/>
              <w:snapToGrid/>
              <w:spacing w:line="560" w:lineRule="exact"/>
              <w:ind w:firstLine="0" w:firstLineChars="0"/>
              <w:jc w:val="center"/>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阳</w:t>
            </w:r>
            <w:r>
              <w:rPr>
                <w:rFonts w:hint="eastAsia" w:ascii="宋体" w:hAnsi="宋体" w:eastAsia="宋体" w:cs="宋体"/>
                <w:color w:val="000000"/>
                <w:kern w:val="0"/>
                <w:sz w:val="24"/>
                <w:szCs w:val="24"/>
                <w:highlight w:val="none"/>
                <w:lang w:val="en-US" w:eastAsia="zh-CN"/>
              </w:rPr>
              <w:t>坡</w:t>
            </w:r>
            <w:r>
              <w:rPr>
                <w:rFonts w:hint="eastAsia" w:ascii="宋体" w:hAnsi="宋体" w:eastAsia="宋体" w:cs="宋体"/>
                <w:color w:val="000000"/>
                <w:kern w:val="0"/>
                <w:sz w:val="24"/>
                <w:szCs w:val="24"/>
                <w:highlight w:val="none"/>
              </w:rPr>
              <w:t>中厚层土立地类型</w:t>
            </w:r>
          </w:p>
        </w:tc>
        <w:tc>
          <w:tcPr>
            <w:tcW w:w="0" w:type="auto"/>
            <w:vMerge w:val="restart"/>
            <w:tcBorders>
              <w:top w:val="nil"/>
              <w:left w:val="single" w:color="000000" w:sz="8" w:space="0"/>
              <w:bottom w:val="single" w:color="000000" w:sz="8" w:space="0"/>
              <w:right w:val="single" w:color="000000" w:sz="8" w:space="0"/>
            </w:tcBorders>
            <w:shd w:val="clear" w:color="auto" w:fill="auto"/>
            <w:vAlign w:val="center"/>
          </w:tcPr>
          <w:p w14:paraId="5438F835">
            <w:pPr>
              <w:pageBreakBefore w:val="0"/>
              <w:widowControl/>
              <w:kinsoku/>
              <w:wordWrap/>
              <w:overflowPunct/>
              <w:topLinePunct w:val="0"/>
              <w:autoSpaceDE/>
              <w:autoSpaceDN/>
              <w:bidi w:val="0"/>
              <w:adjustRightInd/>
              <w:snapToGrid/>
              <w:spacing w:line="560" w:lineRule="exact"/>
              <w:ind w:firstLine="0" w:firstLineChars="0"/>
              <w:jc w:val="center"/>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I</w:t>
            </w:r>
          </w:p>
        </w:tc>
        <w:tc>
          <w:tcPr>
            <w:tcW w:w="0" w:type="auto"/>
            <w:vMerge w:val="restart"/>
            <w:tcBorders>
              <w:top w:val="nil"/>
              <w:left w:val="single" w:color="000000" w:sz="8" w:space="0"/>
              <w:bottom w:val="single" w:color="000000" w:sz="8" w:space="0"/>
              <w:right w:val="single" w:color="000000" w:sz="8" w:space="0"/>
            </w:tcBorders>
            <w:shd w:val="clear" w:color="auto" w:fill="auto"/>
            <w:vAlign w:val="center"/>
          </w:tcPr>
          <w:p w14:paraId="4972E8E6">
            <w:pPr>
              <w:pageBreakBefore w:val="0"/>
              <w:widowControl/>
              <w:kinsoku/>
              <w:wordWrap/>
              <w:overflowPunct/>
              <w:topLinePunct w:val="0"/>
              <w:autoSpaceDE/>
              <w:autoSpaceDN/>
              <w:bidi w:val="0"/>
              <w:adjustRightInd/>
              <w:snapToGrid/>
              <w:spacing w:line="560" w:lineRule="exact"/>
              <w:ind w:firstLine="0" w:firstLineChars="0"/>
              <w:jc w:val="center"/>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海拔1000～1450米大中地形的中下部，在小地形的上、中、下部都有分布。局部有岩石裸露地和小片坡耕地分布其间。坡向南、西、西南、东南，多凹直斜形坡，坡度20°～45°</w:t>
            </w:r>
          </w:p>
        </w:tc>
        <w:tc>
          <w:tcPr>
            <w:tcW w:w="0" w:type="auto"/>
            <w:vMerge w:val="restart"/>
            <w:tcBorders>
              <w:top w:val="nil"/>
              <w:left w:val="single" w:color="000000" w:sz="8" w:space="0"/>
              <w:bottom w:val="single" w:color="000000" w:sz="8" w:space="0"/>
              <w:right w:val="single" w:color="000000" w:sz="8" w:space="0"/>
            </w:tcBorders>
            <w:shd w:val="clear" w:color="auto" w:fill="auto"/>
            <w:vAlign w:val="center"/>
          </w:tcPr>
          <w:p w14:paraId="55E0151D">
            <w:pPr>
              <w:pageBreakBefore w:val="0"/>
              <w:widowControl/>
              <w:kinsoku/>
              <w:wordWrap/>
              <w:overflowPunct/>
              <w:topLinePunct w:val="0"/>
              <w:autoSpaceDE/>
              <w:autoSpaceDN/>
              <w:bidi w:val="0"/>
              <w:adjustRightInd/>
              <w:snapToGrid/>
              <w:spacing w:line="560" w:lineRule="exact"/>
              <w:ind w:firstLine="0" w:firstLineChars="0"/>
              <w:jc w:val="center"/>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以沙壤～中壤质棕壤为主。林下有机质层中等，轻砾质，中至微酸性，土层厚度多在30—50厘米左右。</w:t>
            </w:r>
          </w:p>
        </w:tc>
        <w:tc>
          <w:tcPr>
            <w:tcW w:w="0" w:type="auto"/>
            <w:vMerge w:val="restart"/>
            <w:tcBorders>
              <w:top w:val="nil"/>
              <w:left w:val="single" w:color="000000" w:sz="8" w:space="0"/>
              <w:bottom w:val="single" w:color="000000" w:sz="8" w:space="0"/>
              <w:right w:val="single" w:color="000000" w:sz="8" w:space="0"/>
            </w:tcBorders>
            <w:shd w:val="clear" w:color="auto" w:fill="auto"/>
            <w:vAlign w:val="center"/>
          </w:tcPr>
          <w:p w14:paraId="6E18EE12">
            <w:pPr>
              <w:pageBreakBefore w:val="0"/>
              <w:widowControl/>
              <w:kinsoku/>
              <w:wordWrap/>
              <w:overflowPunct/>
              <w:topLinePunct w:val="0"/>
              <w:autoSpaceDE/>
              <w:autoSpaceDN/>
              <w:bidi w:val="0"/>
              <w:adjustRightInd/>
              <w:snapToGrid/>
              <w:spacing w:line="560" w:lineRule="exact"/>
              <w:ind w:firstLine="0" w:firstLineChars="0"/>
              <w:jc w:val="center"/>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乔木以栎类及其他软、硬阔叶树为主，次有油松、华山松、桦树、栓皮栎等混生；灌木以黄栌、荚蒾、盐肤木、忍冬等为主，少量构树、胡枝子等；草本植物以禾草为主。乔灌草混生或单独成群分布。</w:t>
            </w:r>
          </w:p>
        </w:tc>
        <w:tc>
          <w:tcPr>
            <w:tcW w:w="0" w:type="auto"/>
            <w:vMerge w:val="restart"/>
            <w:tcBorders>
              <w:top w:val="nil"/>
              <w:left w:val="single" w:color="000000" w:sz="8" w:space="0"/>
              <w:bottom w:val="single" w:color="000000" w:sz="8" w:space="0"/>
              <w:right w:val="single" w:color="000000" w:sz="8" w:space="0"/>
            </w:tcBorders>
            <w:shd w:val="clear" w:color="auto" w:fill="auto"/>
            <w:vAlign w:val="center"/>
          </w:tcPr>
          <w:p w14:paraId="1B2682C0">
            <w:pPr>
              <w:pageBreakBefore w:val="0"/>
              <w:widowControl/>
              <w:kinsoku/>
              <w:wordWrap/>
              <w:overflowPunct/>
              <w:topLinePunct w:val="0"/>
              <w:autoSpaceDE/>
              <w:autoSpaceDN/>
              <w:bidi w:val="0"/>
              <w:adjustRightInd/>
              <w:snapToGrid/>
              <w:spacing w:line="560" w:lineRule="exact"/>
              <w:ind w:firstLine="0" w:firstLineChars="0"/>
              <w:jc w:val="center"/>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栓皮栎、红豆杉</w:t>
            </w:r>
          </w:p>
        </w:tc>
      </w:tr>
      <w:tr w14:paraId="73DC31BE">
        <w:tblPrEx>
          <w:tblCellMar>
            <w:top w:w="0" w:type="dxa"/>
            <w:left w:w="108" w:type="dxa"/>
            <w:bottom w:w="0" w:type="dxa"/>
            <w:right w:w="108" w:type="dxa"/>
          </w:tblCellMar>
        </w:tblPrEx>
        <w:trPr>
          <w:trHeight w:val="1776" w:hRule="atLeast"/>
        </w:trPr>
        <w:tc>
          <w:tcPr>
            <w:tcW w:w="0" w:type="auto"/>
            <w:vMerge w:val="continue"/>
            <w:tcBorders>
              <w:top w:val="nil"/>
              <w:left w:val="single" w:color="000000" w:sz="8" w:space="0"/>
              <w:bottom w:val="single" w:color="000000" w:sz="8" w:space="0"/>
              <w:right w:val="single" w:color="000000" w:sz="8" w:space="0"/>
            </w:tcBorders>
            <w:vAlign w:val="center"/>
          </w:tcPr>
          <w:p w14:paraId="0A78F40D">
            <w:pPr>
              <w:pageBreakBefore w:val="0"/>
              <w:widowControl/>
              <w:kinsoku/>
              <w:wordWrap/>
              <w:overflowPunct/>
              <w:topLinePunct w:val="0"/>
              <w:autoSpaceDE/>
              <w:autoSpaceDN/>
              <w:bidi w:val="0"/>
              <w:adjustRightInd/>
              <w:snapToGrid/>
              <w:spacing w:line="560" w:lineRule="exact"/>
              <w:ind w:firstLine="0" w:firstLineChars="0"/>
              <w:jc w:val="left"/>
              <w:rPr>
                <w:rFonts w:hint="eastAsia" w:ascii="宋体" w:hAnsi="宋体" w:eastAsia="宋体" w:cs="宋体"/>
                <w:color w:val="000000"/>
                <w:kern w:val="0"/>
                <w:sz w:val="24"/>
                <w:szCs w:val="24"/>
                <w:highlight w:val="none"/>
              </w:rPr>
            </w:pPr>
          </w:p>
        </w:tc>
        <w:tc>
          <w:tcPr>
            <w:tcW w:w="0" w:type="auto"/>
            <w:vMerge w:val="continue"/>
            <w:tcBorders>
              <w:top w:val="nil"/>
              <w:left w:val="single" w:color="000000" w:sz="8" w:space="0"/>
              <w:bottom w:val="single" w:color="000000" w:sz="8" w:space="0"/>
              <w:right w:val="single" w:color="000000" w:sz="8" w:space="0"/>
            </w:tcBorders>
            <w:vAlign w:val="center"/>
          </w:tcPr>
          <w:p w14:paraId="6DCE7649">
            <w:pPr>
              <w:pageBreakBefore w:val="0"/>
              <w:widowControl/>
              <w:kinsoku/>
              <w:wordWrap/>
              <w:overflowPunct/>
              <w:topLinePunct w:val="0"/>
              <w:autoSpaceDE/>
              <w:autoSpaceDN/>
              <w:bidi w:val="0"/>
              <w:adjustRightInd/>
              <w:snapToGrid/>
              <w:spacing w:line="560" w:lineRule="exact"/>
              <w:ind w:firstLine="0" w:firstLineChars="0"/>
              <w:jc w:val="left"/>
              <w:rPr>
                <w:rFonts w:hint="eastAsia" w:ascii="宋体" w:hAnsi="宋体" w:eastAsia="宋体" w:cs="宋体"/>
                <w:color w:val="000000"/>
                <w:kern w:val="0"/>
                <w:sz w:val="24"/>
                <w:szCs w:val="24"/>
                <w:highlight w:val="none"/>
              </w:rPr>
            </w:pPr>
          </w:p>
        </w:tc>
        <w:tc>
          <w:tcPr>
            <w:tcW w:w="0" w:type="auto"/>
            <w:vMerge w:val="continue"/>
            <w:tcBorders>
              <w:top w:val="nil"/>
              <w:left w:val="single" w:color="000000" w:sz="8" w:space="0"/>
              <w:bottom w:val="single" w:color="000000" w:sz="8" w:space="0"/>
              <w:right w:val="single" w:color="000000" w:sz="8" w:space="0"/>
            </w:tcBorders>
            <w:vAlign w:val="center"/>
          </w:tcPr>
          <w:p w14:paraId="195698CC">
            <w:pPr>
              <w:pageBreakBefore w:val="0"/>
              <w:widowControl/>
              <w:kinsoku/>
              <w:wordWrap/>
              <w:overflowPunct/>
              <w:topLinePunct w:val="0"/>
              <w:autoSpaceDE/>
              <w:autoSpaceDN/>
              <w:bidi w:val="0"/>
              <w:adjustRightInd/>
              <w:snapToGrid/>
              <w:spacing w:line="560" w:lineRule="exact"/>
              <w:ind w:firstLine="0" w:firstLineChars="0"/>
              <w:jc w:val="left"/>
              <w:rPr>
                <w:rFonts w:hint="eastAsia" w:ascii="宋体" w:hAnsi="宋体" w:eastAsia="宋体" w:cs="宋体"/>
                <w:color w:val="000000"/>
                <w:kern w:val="0"/>
                <w:sz w:val="24"/>
                <w:szCs w:val="24"/>
                <w:highlight w:val="none"/>
              </w:rPr>
            </w:pPr>
          </w:p>
        </w:tc>
        <w:tc>
          <w:tcPr>
            <w:tcW w:w="0" w:type="auto"/>
            <w:vMerge w:val="continue"/>
            <w:tcBorders>
              <w:top w:val="nil"/>
              <w:left w:val="single" w:color="000000" w:sz="8" w:space="0"/>
              <w:bottom w:val="single" w:color="000000" w:sz="8" w:space="0"/>
              <w:right w:val="single" w:color="000000" w:sz="8" w:space="0"/>
            </w:tcBorders>
            <w:vAlign w:val="center"/>
          </w:tcPr>
          <w:p w14:paraId="098E3516">
            <w:pPr>
              <w:pageBreakBefore w:val="0"/>
              <w:widowControl/>
              <w:kinsoku/>
              <w:wordWrap/>
              <w:overflowPunct/>
              <w:topLinePunct w:val="0"/>
              <w:autoSpaceDE/>
              <w:autoSpaceDN/>
              <w:bidi w:val="0"/>
              <w:adjustRightInd/>
              <w:snapToGrid/>
              <w:spacing w:line="560" w:lineRule="exact"/>
              <w:ind w:firstLine="0" w:firstLineChars="0"/>
              <w:jc w:val="left"/>
              <w:rPr>
                <w:rFonts w:hint="eastAsia" w:ascii="宋体" w:hAnsi="宋体" w:eastAsia="宋体" w:cs="宋体"/>
                <w:color w:val="000000"/>
                <w:kern w:val="0"/>
                <w:sz w:val="24"/>
                <w:szCs w:val="24"/>
                <w:highlight w:val="none"/>
              </w:rPr>
            </w:pPr>
          </w:p>
        </w:tc>
        <w:tc>
          <w:tcPr>
            <w:tcW w:w="0" w:type="auto"/>
            <w:vMerge w:val="continue"/>
            <w:tcBorders>
              <w:top w:val="nil"/>
              <w:left w:val="single" w:color="000000" w:sz="8" w:space="0"/>
              <w:bottom w:val="single" w:color="000000" w:sz="8" w:space="0"/>
              <w:right w:val="single" w:color="000000" w:sz="8" w:space="0"/>
            </w:tcBorders>
            <w:vAlign w:val="center"/>
          </w:tcPr>
          <w:p w14:paraId="37ADCA7C">
            <w:pPr>
              <w:pageBreakBefore w:val="0"/>
              <w:widowControl/>
              <w:kinsoku/>
              <w:wordWrap/>
              <w:overflowPunct/>
              <w:topLinePunct w:val="0"/>
              <w:autoSpaceDE/>
              <w:autoSpaceDN/>
              <w:bidi w:val="0"/>
              <w:adjustRightInd/>
              <w:snapToGrid/>
              <w:spacing w:line="560" w:lineRule="exact"/>
              <w:ind w:firstLine="0" w:firstLineChars="0"/>
              <w:jc w:val="left"/>
              <w:rPr>
                <w:rFonts w:hint="eastAsia" w:ascii="宋体" w:hAnsi="宋体" w:eastAsia="宋体" w:cs="宋体"/>
                <w:color w:val="000000"/>
                <w:kern w:val="0"/>
                <w:sz w:val="24"/>
                <w:szCs w:val="24"/>
                <w:highlight w:val="none"/>
              </w:rPr>
            </w:pPr>
          </w:p>
        </w:tc>
        <w:tc>
          <w:tcPr>
            <w:tcW w:w="0" w:type="auto"/>
            <w:vMerge w:val="continue"/>
            <w:tcBorders>
              <w:top w:val="nil"/>
              <w:left w:val="single" w:color="000000" w:sz="8" w:space="0"/>
              <w:bottom w:val="single" w:color="000000" w:sz="8" w:space="0"/>
              <w:right w:val="single" w:color="000000" w:sz="8" w:space="0"/>
            </w:tcBorders>
            <w:vAlign w:val="center"/>
          </w:tcPr>
          <w:p w14:paraId="1E461C88">
            <w:pPr>
              <w:pageBreakBefore w:val="0"/>
              <w:widowControl/>
              <w:kinsoku/>
              <w:wordWrap/>
              <w:overflowPunct/>
              <w:topLinePunct w:val="0"/>
              <w:autoSpaceDE/>
              <w:autoSpaceDN/>
              <w:bidi w:val="0"/>
              <w:adjustRightInd/>
              <w:snapToGrid/>
              <w:spacing w:line="560" w:lineRule="exact"/>
              <w:ind w:firstLine="0" w:firstLineChars="0"/>
              <w:jc w:val="left"/>
              <w:rPr>
                <w:rFonts w:hint="eastAsia" w:ascii="宋体" w:hAnsi="宋体" w:eastAsia="宋体" w:cs="宋体"/>
                <w:color w:val="000000"/>
                <w:kern w:val="0"/>
                <w:sz w:val="24"/>
                <w:szCs w:val="24"/>
                <w:highlight w:val="none"/>
              </w:rPr>
            </w:pPr>
          </w:p>
        </w:tc>
        <w:tc>
          <w:tcPr>
            <w:tcW w:w="0" w:type="auto"/>
            <w:vMerge w:val="continue"/>
            <w:tcBorders>
              <w:top w:val="nil"/>
              <w:left w:val="single" w:color="000000" w:sz="8" w:space="0"/>
              <w:bottom w:val="single" w:color="000000" w:sz="8" w:space="0"/>
              <w:right w:val="single" w:color="000000" w:sz="8" w:space="0"/>
            </w:tcBorders>
            <w:vAlign w:val="center"/>
          </w:tcPr>
          <w:p w14:paraId="464216EF">
            <w:pPr>
              <w:pageBreakBefore w:val="0"/>
              <w:widowControl/>
              <w:kinsoku/>
              <w:wordWrap/>
              <w:overflowPunct/>
              <w:topLinePunct w:val="0"/>
              <w:autoSpaceDE/>
              <w:autoSpaceDN/>
              <w:bidi w:val="0"/>
              <w:adjustRightInd/>
              <w:snapToGrid/>
              <w:spacing w:line="560" w:lineRule="exact"/>
              <w:ind w:firstLine="0" w:firstLineChars="0"/>
              <w:jc w:val="left"/>
              <w:rPr>
                <w:rFonts w:hint="eastAsia" w:ascii="宋体" w:hAnsi="宋体" w:eastAsia="宋体" w:cs="宋体"/>
                <w:color w:val="000000"/>
                <w:kern w:val="0"/>
                <w:sz w:val="24"/>
                <w:szCs w:val="24"/>
                <w:highlight w:val="none"/>
              </w:rPr>
            </w:pPr>
          </w:p>
        </w:tc>
        <w:tc>
          <w:tcPr>
            <w:tcW w:w="0" w:type="auto"/>
            <w:vMerge w:val="continue"/>
            <w:tcBorders>
              <w:top w:val="nil"/>
              <w:left w:val="single" w:color="000000" w:sz="8" w:space="0"/>
              <w:bottom w:val="single" w:color="000000" w:sz="8" w:space="0"/>
              <w:right w:val="single" w:color="000000" w:sz="8" w:space="0"/>
            </w:tcBorders>
            <w:vAlign w:val="center"/>
          </w:tcPr>
          <w:p w14:paraId="3704BDE2">
            <w:pPr>
              <w:pageBreakBefore w:val="0"/>
              <w:widowControl/>
              <w:kinsoku/>
              <w:wordWrap/>
              <w:overflowPunct/>
              <w:topLinePunct w:val="0"/>
              <w:autoSpaceDE/>
              <w:autoSpaceDN/>
              <w:bidi w:val="0"/>
              <w:adjustRightInd/>
              <w:snapToGrid/>
              <w:spacing w:line="560" w:lineRule="exact"/>
              <w:ind w:firstLine="0" w:firstLineChars="0"/>
              <w:jc w:val="left"/>
              <w:rPr>
                <w:rFonts w:hint="eastAsia" w:ascii="宋体" w:hAnsi="宋体" w:eastAsia="宋体" w:cs="宋体"/>
                <w:color w:val="000000"/>
                <w:kern w:val="0"/>
                <w:sz w:val="24"/>
                <w:szCs w:val="24"/>
                <w:highlight w:val="none"/>
              </w:rPr>
            </w:pPr>
          </w:p>
        </w:tc>
        <w:tc>
          <w:tcPr>
            <w:tcW w:w="0" w:type="auto"/>
            <w:vMerge w:val="continue"/>
            <w:tcBorders>
              <w:top w:val="nil"/>
              <w:left w:val="single" w:color="000000" w:sz="8" w:space="0"/>
              <w:bottom w:val="single" w:color="000000" w:sz="8" w:space="0"/>
              <w:right w:val="single" w:color="000000" w:sz="8" w:space="0"/>
            </w:tcBorders>
            <w:vAlign w:val="center"/>
          </w:tcPr>
          <w:p w14:paraId="09D519B6">
            <w:pPr>
              <w:pageBreakBefore w:val="0"/>
              <w:widowControl/>
              <w:kinsoku/>
              <w:wordWrap/>
              <w:overflowPunct/>
              <w:topLinePunct w:val="0"/>
              <w:autoSpaceDE/>
              <w:autoSpaceDN/>
              <w:bidi w:val="0"/>
              <w:adjustRightInd/>
              <w:snapToGrid/>
              <w:spacing w:line="560" w:lineRule="exact"/>
              <w:ind w:firstLine="0" w:firstLineChars="0"/>
              <w:jc w:val="left"/>
              <w:rPr>
                <w:rFonts w:hint="eastAsia" w:ascii="宋体" w:hAnsi="宋体" w:eastAsia="宋体" w:cs="宋体"/>
                <w:color w:val="000000"/>
                <w:kern w:val="0"/>
                <w:sz w:val="24"/>
                <w:szCs w:val="24"/>
                <w:highlight w:val="none"/>
              </w:rPr>
            </w:pPr>
          </w:p>
        </w:tc>
      </w:tr>
      <w:tr w14:paraId="46BAC8E1">
        <w:tblPrEx>
          <w:tblCellMar>
            <w:top w:w="0" w:type="dxa"/>
            <w:left w:w="108" w:type="dxa"/>
            <w:bottom w:w="0" w:type="dxa"/>
            <w:right w:w="108" w:type="dxa"/>
          </w:tblCellMar>
        </w:tblPrEx>
        <w:trPr>
          <w:trHeight w:val="624" w:hRule="atLeast"/>
        </w:trPr>
        <w:tc>
          <w:tcPr>
            <w:tcW w:w="0" w:type="auto"/>
            <w:vMerge w:val="continue"/>
            <w:tcBorders>
              <w:top w:val="nil"/>
              <w:left w:val="single" w:color="000000" w:sz="8" w:space="0"/>
              <w:bottom w:val="single" w:color="000000" w:sz="8" w:space="0"/>
              <w:right w:val="single" w:color="000000" w:sz="8" w:space="0"/>
            </w:tcBorders>
            <w:vAlign w:val="center"/>
          </w:tcPr>
          <w:p w14:paraId="7E2366B2">
            <w:pPr>
              <w:pageBreakBefore w:val="0"/>
              <w:widowControl/>
              <w:kinsoku/>
              <w:wordWrap/>
              <w:overflowPunct/>
              <w:topLinePunct w:val="0"/>
              <w:autoSpaceDE/>
              <w:autoSpaceDN/>
              <w:bidi w:val="0"/>
              <w:adjustRightInd/>
              <w:snapToGrid/>
              <w:spacing w:line="560" w:lineRule="exact"/>
              <w:ind w:firstLine="0" w:firstLineChars="0"/>
              <w:jc w:val="left"/>
              <w:rPr>
                <w:rFonts w:hint="eastAsia" w:ascii="宋体" w:hAnsi="宋体" w:eastAsia="宋体" w:cs="宋体"/>
                <w:color w:val="000000"/>
                <w:kern w:val="0"/>
                <w:sz w:val="24"/>
                <w:szCs w:val="24"/>
                <w:highlight w:val="none"/>
              </w:rPr>
            </w:pPr>
          </w:p>
        </w:tc>
        <w:tc>
          <w:tcPr>
            <w:tcW w:w="0" w:type="auto"/>
            <w:vMerge w:val="continue"/>
            <w:tcBorders>
              <w:top w:val="nil"/>
              <w:left w:val="single" w:color="000000" w:sz="8" w:space="0"/>
              <w:bottom w:val="single" w:color="000000" w:sz="8" w:space="0"/>
              <w:right w:val="single" w:color="000000" w:sz="8" w:space="0"/>
            </w:tcBorders>
            <w:vAlign w:val="center"/>
          </w:tcPr>
          <w:p w14:paraId="5AE0C01B">
            <w:pPr>
              <w:pageBreakBefore w:val="0"/>
              <w:widowControl/>
              <w:kinsoku/>
              <w:wordWrap/>
              <w:overflowPunct/>
              <w:topLinePunct w:val="0"/>
              <w:autoSpaceDE/>
              <w:autoSpaceDN/>
              <w:bidi w:val="0"/>
              <w:adjustRightInd/>
              <w:snapToGrid/>
              <w:spacing w:line="560" w:lineRule="exact"/>
              <w:ind w:firstLine="0" w:firstLineChars="0"/>
              <w:jc w:val="left"/>
              <w:rPr>
                <w:rFonts w:hint="eastAsia" w:ascii="宋体" w:hAnsi="宋体" w:eastAsia="宋体" w:cs="宋体"/>
                <w:color w:val="000000"/>
                <w:kern w:val="0"/>
                <w:sz w:val="24"/>
                <w:szCs w:val="24"/>
                <w:highlight w:val="none"/>
              </w:rPr>
            </w:pPr>
          </w:p>
        </w:tc>
        <w:tc>
          <w:tcPr>
            <w:tcW w:w="0" w:type="auto"/>
            <w:tcBorders>
              <w:top w:val="nil"/>
              <w:left w:val="single" w:color="000000" w:sz="8" w:space="0"/>
              <w:bottom w:val="single" w:color="000000" w:sz="8" w:space="0"/>
              <w:right w:val="single" w:color="000000" w:sz="8" w:space="0"/>
            </w:tcBorders>
            <w:shd w:val="clear" w:color="auto" w:fill="auto"/>
            <w:vAlign w:val="center"/>
          </w:tcPr>
          <w:p w14:paraId="0B784BEF">
            <w:pPr>
              <w:pageBreakBefore w:val="0"/>
              <w:widowControl/>
              <w:kinsoku/>
              <w:wordWrap/>
              <w:overflowPunct/>
              <w:topLinePunct w:val="0"/>
              <w:autoSpaceDE/>
              <w:autoSpaceDN/>
              <w:bidi w:val="0"/>
              <w:adjustRightInd/>
              <w:snapToGrid/>
              <w:spacing w:line="560" w:lineRule="exact"/>
              <w:ind w:firstLine="0" w:firstLineChars="0"/>
              <w:jc w:val="center"/>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低山组</w:t>
            </w:r>
          </w:p>
        </w:tc>
        <w:tc>
          <w:tcPr>
            <w:tcW w:w="0" w:type="auto"/>
            <w:tcBorders>
              <w:top w:val="nil"/>
              <w:left w:val="single" w:color="000000" w:sz="8" w:space="0"/>
              <w:bottom w:val="single" w:color="000000" w:sz="8" w:space="0"/>
              <w:right w:val="single" w:color="000000" w:sz="8" w:space="0"/>
            </w:tcBorders>
            <w:shd w:val="clear" w:color="auto" w:fill="auto"/>
            <w:vAlign w:val="center"/>
          </w:tcPr>
          <w:p w14:paraId="62B4387E">
            <w:pPr>
              <w:pageBreakBefore w:val="0"/>
              <w:widowControl/>
              <w:kinsoku/>
              <w:wordWrap/>
              <w:overflowPunct/>
              <w:topLinePunct w:val="0"/>
              <w:autoSpaceDE/>
              <w:autoSpaceDN/>
              <w:bidi w:val="0"/>
              <w:adjustRightInd/>
              <w:snapToGrid/>
              <w:spacing w:line="560" w:lineRule="exact"/>
              <w:ind w:firstLine="0" w:firstLineChars="0"/>
              <w:jc w:val="center"/>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阴</w:t>
            </w:r>
            <w:r>
              <w:rPr>
                <w:rFonts w:hint="eastAsia" w:ascii="宋体" w:hAnsi="宋体" w:eastAsia="宋体" w:cs="宋体"/>
                <w:color w:val="000000"/>
                <w:kern w:val="0"/>
                <w:sz w:val="24"/>
                <w:szCs w:val="24"/>
                <w:highlight w:val="none"/>
                <w:lang w:val="en-US" w:eastAsia="zh-CN"/>
              </w:rPr>
              <w:t>坡</w:t>
            </w:r>
            <w:r>
              <w:rPr>
                <w:rFonts w:hint="eastAsia" w:ascii="宋体" w:hAnsi="宋体" w:eastAsia="宋体" w:cs="宋体"/>
                <w:color w:val="000000"/>
                <w:kern w:val="0"/>
                <w:sz w:val="24"/>
                <w:szCs w:val="24"/>
                <w:highlight w:val="none"/>
              </w:rPr>
              <w:t>中厚层土立地类型</w:t>
            </w:r>
          </w:p>
        </w:tc>
        <w:tc>
          <w:tcPr>
            <w:tcW w:w="0" w:type="auto"/>
            <w:tcBorders>
              <w:top w:val="nil"/>
              <w:left w:val="single" w:color="000000" w:sz="8" w:space="0"/>
              <w:bottom w:val="single" w:color="000000" w:sz="8" w:space="0"/>
              <w:right w:val="single" w:color="000000" w:sz="8" w:space="0"/>
            </w:tcBorders>
            <w:shd w:val="clear" w:color="auto" w:fill="auto"/>
            <w:vAlign w:val="center"/>
          </w:tcPr>
          <w:p w14:paraId="2B19D203">
            <w:pPr>
              <w:pageBreakBefore w:val="0"/>
              <w:widowControl/>
              <w:kinsoku/>
              <w:wordWrap/>
              <w:overflowPunct/>
              <w:topLinePunct w:val="0"/>
              <w:autoSpaceDE/>
              <w:autoSpaceDN/>
              <w:bidi w:val="0"/>
              <w:adjustRightInd/>
              <w:snapToGrid/>
              <w:spacing w:line="560" w:lineRule="exact"/>
              <w:ind w:firstLine="0" w:firstLineChars="0"/>
              <w:jc w:val="center"/>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II</w:t>
            </w:r>
          </w:p>
        </w:tc>
        <w:tc>
          <w:tcPr>
            <w:tcW w:w="0" w:type="auto"/>
            <w:tcBorders>
              <w:top w:val="nil"/>
              <w:left w:val="single" w:color="000000" w:sz="8" w:space="0"/>
              <w:bottom w:val="single" w:color="000000" w:sz="8" w:space="0"/>
              <w:right w:val="single" w:color="000000" w:sz="8" w:space="0"/>
            </w:tcBorders>
            <w:shd w:val="clear" w:color="auto" w:fill="auto"/>
            <w:vAlign w:val="center"/>
          </w:tcPr>
          <w:p w14:paraId="359DA387">
            <w:pPr>
              <w:pageBreakBefore w:val="0"/>
              <w:widowControl/>
              <w:kinsoku/>
              <w:wordWrap/>
              <w:overflowPunct/>
              <w:topLinePunct w:val="0"/>
              <w:autoSpaceDE/>
              <w:autoSpaceDN/>
              <w:bidi w:val="0"/>
              <w:adjustRightInd/>
              <w:snapToGrid/>
              <w:spacing w:line="560" w:lineRule="exact"/>
              <w:ind w:firstLine="0" w:firstLineChars="0"/>
              <w:jc w:val="center"/>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海拔850～1000米大中地形中下部，在小地形的上部和下部出现较多，凹斜直形坡为主，局部有岩石裸露。坡向北、东、西北、东北，坡度20°～45°之间，而以陡坡较多。</w:t>
            </w:r>
          </w:p>
        </w:tc>
        <w:tc>
          <w:tcPr>
            <w:tcW w:w="0" w:type="auto"/>
            <w:tcBorders>
              <w:top w:val="nil"/>
              <w:left w:val="single" w:color="000000" w:sz="8" w:space="0"/>
              <w:bottom w:val="single" w:color="000000" w:sz="8" w:space="0"/>
              <w:right w:val="single" w:color="000000" w:sz="8" w:space="0"/>
            </w:tcBorders>
            <w:shd w:val="clear" w:color="auto" w:fill="auto"/>
            <w:vAlign w:val="center"/>
          </w:tcPr>
          <w:p w14:paraId="487A8989">
            <w:pPr>
              <w:pageBreakBefore w:val="0"/>
              <w:widowControl/>
              <w:kinsoku/>
              <w:wordWrap/>
              <w:overflowPunct/>
              <w:topLinePunct w:val="0"/>
              <w:autoSpaceDE/>
              <w:autoSpaceDN/>
              <w:bidi w:val="0"/>
              <w:adjustRightInd/>
              <w:snapToGrid/>
              <w:spacing w:line="560" w:lineRule="exact"/>
              <w:ind w:firstLine="0" w:firstLineChars="0"/>
              <w:jc w:val="center"/>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以黄棕壤为主，上部有山地棕壤分布。有机质层林下较厚，通体湿润，中至微酸性，土层厚度多在30—50厘米。</w:t>
            </w:r>
          </w:p>
        </w:tc>
        <w:tc>
          <w:tcPr>
            <w:tcW w:w="0" w:type="auto"/>
            <w:tcBorders>
              <w:top w:val="nil"/>
              <w:left w:val="single" w:color="000000" w:sz="8" w:space="0"/>
              <w:bottom w:val="single" w:color="000000" w:sz="8" w:space="0"/>
              <w:right w:val="single" w:color="000000" w:sz="8" w:space="0"/>
            </w:tcBorders>
            <w:shd w:val="clear" w:color="auto" w:fill="auto"/>
            <w:vAlign w:val="center"/>
          </w:tcPr>
          <w:p w14:paraId="7A64A863">
            <w:pPr>
              <w:pageBreakBefore w:val="0"/>
              <w:widowControl/>
              <w:kinsoku/>
              <w:wordWrap/>
              <w:overflowPunct/>
              <w:topLinePunct w:val="0"/>
              <w:autoSpaceDE/>
              <w:autoSpaceDN/>
              <w:bidi w:val="0"/>
              <w:adjustRightInd/>
              <w:snapToGrid/>
              <w:spacing w:line="560" w:lineRule="exact"/>
              <w:ind w:firstLine="0" w:firstLineChars="0"/>
              <w:jc w:val="center"/>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乔木以栎及其他硬、软阔叶树为主，次有油松、漆树、山杨、栓皮栎、桦树等；灌木以黄栌、荚蒾、盐肤木、忍冬等为主，少量构树、胡枝子等；草本以蕨类、禾草为主，次有蒿、藓类植物等。</w:t>
            </w:r>
          </w:p>
        </w:tc>
        <w:tc>
          <w:tcPr>
            <w:tcW w:w="0" w:type="auto"/>
            <w:tcBorders>
              <w:top w:val="nil"/>
              <w:left w:val="single" w:color="000000" w:sz="8" w:space="0"/>
              <w:bottom w:val="single" w:color="000000" w:sz="8" w:space="0"/>
              <w:right w:val="single" w:color="000000" w:sz="8" w:space="0"/>
            </w:tcBorders>
            <w:shd w:val="clear" w:color="auto" w:fill="auto"/>
            <w:vAlign w:val="center"/>
          </w:tcPr>
          <w:p w14:paraId="142B2ACA">
            <w:pPr>
              <w:pageBreakBefore w:val="0"/>
              <w:widowControl/>
              <w:kinsoku/>
              <w:wordWrap/>
              <w:overflowPunct/>
              <w:topLinePunct w:val="0"/>
              <w:autoSpaceDE/>
              <w:autoSpaceDN/>
              <w:bidi w:val="0"/>
              <w:adjustRightInd/>
              <w:snapToGrid/>
              <w:spacing w:line="560" w:lineRule="exact"/>
              <w:ind w:firstLine="0" w:firstLineChars="0"/>
              <w:jc w:val="center"/>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栓皮栎、红豆杉</w:t>
            </w:r>
          </w:p>
        </w:tc>
      </w:tr>
    </w:tbl>
    <w:p w14:paraId="1AD8F47E">
      <w:pPr>
        <w:pStyle w:val="4"/>
        <w:pageBreakBefore w:val="0"/>
        <w:numPr>
          <w:ilvl w:val="0"/>
          <w:numId w:val="0"/>
        </w:numPr>
        <w:kinsoku/>
        <w:wordWrap/>
        <w:overflowPunct/>
        <w:topLinePunct w:val="0"/>
        <w:autoSpaceDE/>
        <w:autoSpaceDN/>
        <w:bidi w:val="0"/>
        <w:adjustRightInd/>
        <w:snapToGrid/>
        <w:spacing w:line="560" w:lineRule="exact"/>
        <w:jc w:val="center"/>
        <w:rPr>
          <w:rFonts w:hint="eastAsia" w:ascii="宋体" w:hAnsi="宋体" w:eastAsia="宋体" w:cs="宋体"/>
          <w:sz w:val="24"/>
          <w:szCs w:val="24"/>
          <w:highlight w:val="none"/>
          <w:lang w:val="en-US" w:eastAsia="zh-CN"/>
        </w:rPr>
      </w:pPr>
      <w:r>
        <w:rPr>
          <w:rFonts w:hint="eastAsia" w:ascii="宋体" w:hAnsi="宋体" w:eastAsia="宋体" w:cs="宋体"/>
          <w:bCs/>
          <w:sz w:val="24"/>
          <w:szCs w:val="24"/>
          <w:highlight w:val="none"/>
        </w:rPr>
        <w:br w:type="page"/>
      </w:r>
      <w:bookmarkStart w:id="172" w:name="_Toc28909"/>
      <w:r>
        <w:rPr>
          <w:rFonts w:hint="eastAsia" w:ascii="宋体" w:hAnsi="宋体" w:eastAsia="宋体" w:cs="宋体"/>
          <w:sz w:val="24"/>
          <w:szCs w:val="24"/>
          <w:highlight w:val="none"/>
        </w:rPr>
        <w:t>作业设计</w:t>
      </w:r>
      <w:bookmarkEnd w:id="172"/>
    </w:p>
    <w:p w14:paraId="44FB409C">
      <w:pPr>
        <w:pStyle w:val="5"/>
        <w:pageBreakBefore w:val="0"/>
        <w:kinsoku/>
        <w:wordWrap/>
        <w:overflowPunct/>
        <w:topLinePunct w:val="0"/>
        <w:autoSpaceDE/>
        <w:autoSpaceDN/>
        <w:bidi w:val="0"/>
        <w:adjustRightInd/>
        <w:snapToGrid/>
        <w:spacing w:line="560" w:lineRule="exact"/>
        <w:rPr>
          <w:rFonts w:hint="eastAsia" w:ascii="宋体" w:hAnsi="宋体" w:eastAsia="宋体" w:cs="宋体"/>
          <w:sz w:val="24"/>
          <w:szCs w:val="24"/>
          <w:highlight w:val="none"/>
          <w:lang w:val="en-US" w:eastAsia="zh-CN"/>
        </w:rPr>
      </w:pPr>
      <w:bookmarkStart w:id="173" w:name="_Toc705"/>
      <w:bookmarkStart w:id="174" w:name="_Toc27561"/>
      <w:bookmarkStart w:id="175" w:name="_Toc26227"/>
      <w:r>
        <w:rPr>
          <w:rFonts w:hint="eastAsia" w:ascii="宋体" w:hAnsi="宋体" w:eastAsia="宋体" w:cs="宋体"/>
          <w:sz w:val="24"/>
          <w:szCs w:val="24"/>
          <w:highlight w:val="none"/>
          <w:lang w:val="en-US" w:eastAsia="zh-CN"/>
        </w:rPr>
        <w:t>1修复目标</w:t>
      </w:r>
      <w:bookmarkEnd w:id="173"/>
    </w:p>
    <w:p w14:paraId="0BF09E35">
      <w:pPr>
        <w:pageBreakBefore w:val="0"/>
        <w:kinsoku/>
        <w:wordWrap/>
        <w:overflowPunct/>
        <w:topLinePunct w:val="0"/>
        <w:autoSpaceDE/>
        <w:autoSpaceDN/>
        <w:bidi w:val="0"/>
        <w:adjustRightInd/>
        <w:snapToGrid/>
        <w:spacing w:line="56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根据退化类型、退化等级不同，采取</w:t>
      </w:r>
      <w:r>
        <w:rPr>
          <w:rFonts w:hint="eastAsia" w:ascii="宋体" w:hAnsi="宋体" w:eastAsia="宋体" w:cs="宋体"/>
          <w:sz w:val="24"/>
          <w:szCs w:val="24"/>
          <w:highlight w:val="none"/>
        </w:rPr>
        <w:t>采伐</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补植补</w:t>
      </w:r>
      <w:r>
        <w:rPr>
          <w:rFonts w:hint="eastAsia" w:ascii="宋体" w:hAnsi="宋体" w:eastAsia="宋体" w:cs="宋体"/>
          <w:sz w:val="24"/>
          <w:szCs w:val="24"/>
          <w:highlight w:val="none"/>
          <w:lang w:val="en-US" w:eastAsia="zh-CN"/>
        </w:rPr>
        <w:t>造</w:t>
      </w:r>
      <w:r>
        <w:rPr>
          <w:rFonts w:hint="eastAsia" w:ascii="宋体" w:hAnsi="宋体" w:eastAsia="宋体" w:cs="宋体"/>
          <w:sz w:val="24"/>
          <w:szCs w:val="24"/>
          <w:highlight w:val="none"/>
        </w:rPr>
        <w:t>等</w:t>
      </w:r>
      <w:r>
        <w:rPr>
          <w:rFonts w:hint="eastAsia" w:ascii="宋体" w:hAnsi="宋体" w:eastAsia="宋体" w:cs="宋体"/>
          <w:sz w:val="24"/>
          <w:szCs w:val="24"/>
          <w:highlight w:val="none"/>
          <w:lang w:val="en-US" w:eastAsia="zh-CN"/>
        </w:rPr>
        <w:t>修复</w:t>
      </w:r>
      <w:r>
        <w:rPr>
          <w:rFonts w:hint="eastAsia" w:ascii="宋体" w:hAnsi="宋体" w:eastAsia="宋体" w:cs="宋体"/>
          <w:sz w:val="24"/>
          <w:szCs w:val="24"/>
          <w:highlight w:val="none"/>
        </w:rPr>
        <w:t>措施和修枝</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人工促进天然更新等辅助措施进行</w:t>
      </w:r>
      <w:r>
        <w:rPr>
          <w:rFonts w:hint="eastAsia" w:ascii="宋体" w:hAnsi="宋体" w:eastAsia="宋体" w:cs="宋体"/>
          <w:sz w:val="24"/>
          <w:szCs w:val="24"/>
          <w:highlight w:val="none"/>
        </w:rPr>
        <w:t>修复，</w:t>
      </w:r>
      <w:r>
        <w:rPr>
          <w:rFonts w:hint="eastAsia" w:ascii="宋体" w:hAnsi="宋体" w:eastAsia="宋体" w:cs="宋体"/>
          <w:sz w:val="24"/>
          <w:szCs w:val="24"/>
          <w:highlight w:val="none"/>
          <w:lang w:val="en-US" w:eastAsia="zh-CN"/>
        </w:rPr>
        <w:t>伐</w:t>
      </w:r>
      <w:r>
        <w:rPr>
          <w:rFonts w:hint="eastAsia" w:ascii="宋体" w:hAnsi="宋体" w:eastAsia="宋体" w:cs="宋体"/>
          <w:sz w:val="24"/>
          <w:szCs w:val="24"/>
          <w:highlight w:val="none"/>
        </w:rPr>
        <w:t>除林分中过密区域的干扰性树木，适度采伐其他树木，为优势树种创造更佳的生长空间</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同时，选择栓皮栎和红豆杉作为补植树种，与现有林分相结合，形成混交林，从而优化林分结构，提升森林质量。</w:t>
      </w:r>
    </w:p>
    <w:p w14:paraId="4BAEC86D">
      <w:pPr>
        <w:pStyle w:val="5"/>
        <w:pageBreakBefore w:val="0"/>
        <w:kinsoku/>
        <w:wordWrap/>
        <w:overflowPunct/>
        <w:topLinePunct w:val="0"/>
        <w:autoSpaceDE/>
        <w:autoSpaceDN/>
        <w:bidi w:val="0"/>
        <w:adjustRightInd/>
        <w:snapToGrid/>
        <w:spacing w:line="560" w:lineRule="exact"/>
        <w:rPr>
          <w:rFonts w:hint="eastAsia" w:ascii="宋体" w:hAnsi="宋体" w:eastAsia="宋体" w:cs="宋体"/>
          <w:sz w:val="24"/>
          <w:szCs w:val="24"/>
          <w:highlight w:val="none"/>
        </w:rPr>
      </w:pPr>
      <w:bookmarkStart w:id="176" w:name="_Toc26450"/>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rPr>
        <w:t>修复方式</w:t>
      </w:r>
      <w:bookmarkEnd w:id="174"/>
      <w:bookmarkEnd w:id="175"/>
      <w:bookmarkEnd w:id="176"/>
    </w:p>
    <w:p w14:paraId="499E3FAF">
      <w:pPr>
        <w:pageBreakBefore w:val="0"/>
        <w:kinsoku/>
        <w:wordWrap/>
        <w:overflowPunct/>
        <w:topLinePunct w:val="0"/>
        <w:autoSpaceDE/>
        <w:autoSpaceDN/>
        <w:bidi w:val="0"/>
        <w:adjustRightInd/>
        <w:snapToGrid/>
        <w:spacing w:line="560" w:lineRule="exact"/>
        <w:ind w:firstLine="480" w:firstLineChars="200"/>
        <w:rPr>
          <w:rFonts w:hint="eastAsia" w:ascii="宋体" w:hAnsi="宋体" w:eastAsia="宋体" w:cs="宋体"/>
          <w:sz w:val="24"/>
          <w:szCs w:val="24"/>
          <w:highlight w:val="none"/>
          <w:lang w:val="en-US" w:eastAsia="zh-CN"/>
        </w:rPr>
      </w:pPr>
      <w:bookmarkStart w:id="177" w:name="_Toc15646"/>
      <w:bookmarkStart w:id="178" w:name="_Toc16039"/>
      <w:bookmarkStart w:id="179" w:name="_Toc23292"/>
      <w:bookmarkStart w:id="180" w:name="_Toc1718"/>
      <w:bookmarkStart w:id="181" w:name="_Toc14020"/>
      <w:r>
        <w:rPr>
          <w:rFonts w:hint="eastAsia" w:ascii="宋体" w:hAnsi="宋体" w:eastAsia="宋体" w:cs="宋体"/>
          <w:sz w:val="24"/>
          <w:szCs w:val="24"/>
          <w:highlight w:val="none"/>
          <w:lang w:val="en-US" w:eastAsia="zh-CN"/>
        </w:rPr>
        <w:t>根据退化类型、退化等级、退化原因、优势树种等林分因子不同采取相应的</w:t>
      </w:r>
      <w:r>
        <w:rPr>
          <w:rFonts w:hint="eastAsia" w:ascii="宋体" w:hAnsi="宋体" w:eastAsia="宋体" w:cs="宋体"/>
          <w:sz w:val="24"/>
          <w:szCs w:val="24"/>
          <w:highlight w:val="none"/>
        </w:rPr>
        <w:t>修复措施</w:t>
      </w:r>
      <w:r>
        <w:rPr>
          <w:rFonts w:hint="eastAsia" w:ascii="宋体" w:hAnsi="宋体" w:eastAsia="宋体" w:cs="宋体"/>
          <w:sz w:val="24"/>
          <w:szCs w:val="24"/>
          <w:highlight w:val="none"/>
          <w:lang w:val="en-US" w:eastAsia="zh-CN"/>
        </w:rPr>
        <w:t>：</w:t>
      </w:r>
    </w:p>
    <w:p w14:paraId="75FB48D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kern w:val="2"/>
          <w:sz w:val="24"/>
          <w:szCs w:val="24"/>
          <w:lang w:val="en-US" w:eastAsia="zh-CN" w:bidi="ar-SA"/>
        </w:rPr>
        <w:t>(1)</w:t>
      </w:r>
      <w:r>
        <w:rPr>
          <w:rFonts w:hint="eastAsia" w:ascii="宋体" w:hAnsi="宋体" w:eastAsia="宋体" w:cs="宋体"/>
          <w:sz w:val="24"/>
          <w:szCs w:val="24"/>
          <w:highlight w:val="none"/>
          <w:lang w:val="en-US" w:eastAsia="zh-CN"/>
        </w:rPr>
        <w:t>由于林分杂乱，目标树活枝较低，以及部分非目标树枝条干扰目标树生长等的小班采取</w:t>
      </w:r>
      <w:r>
        <w:rPr>
          <w:rFonts w:hint="eastAsia" w:ascii="宋体" w:hAnsi="宋体" w:eastAsia="宋体" w:cs="宋体"/>
          <w:sz w:val="24"/>
          <w:szCs w:val="24"/>
          <w:highlight w:val="none"/>
        </w:rPr>
        <w:t>采伐+补植+修枝</w:t>
      </w:r>
      <w:r>
        <w:rPr>
          <w:rFonts w:hint="eastAsia" w:ascii="宋体" w:hAnsi="宋体" w:eastAsia="宋体" w:cs="宋体"/>
          <w:sz w:val="24"/>
          <w:szCs w:val="24"/>
          <w:highlight w:val="none"/>
          <w:lang w:val="en-US" w:eastAsia="zh-CN"/>
        </w:rPr>
        <w:t>措施。</w:t>
      </w:r>
    </w:p>
    <w:p w14:paraId="7201B42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kern w:val="2"/>
          <w:sz w:val="24"/>
          <w:szCs w:val="24"/>
          <w:lang w:val="en-US" w:eastAsia="zh-CN" w:bidi="ar-SA"/>
        </w:rPr>
        <w:t>(2)</w:t>
      </w:r>
      <w:r>
        <w:rPr>
          <w:rFonts w:hint="eastAsia" w:ascii="宋体" w:hAnsi="宋体" w:eastAsia="宋体" w:cs="宋体"/>
          <w:sz w:val="24"/>
          <w:szCs w:val="24"/>
          <w:highlight w:val="none"/>
          <w:lang w:val="en-US" w:eastAsia="zh-CN"/>
        </w:rPr>
        <w:t>对于萌生起源的林木株数比例大于80%且缺乏目的树种的小班采取</w:t>
      </w:r>
      <w:r>
        <w:rPr>
          <w:rFonts w:hint="eastAsia" w:ascii="宋体" w:hAnsi="宋体" w:eastAsia="宋体" w:cs="宋体"/>
          <w:sz w:val="24"/>
          <w:szCs w:val="24"/>
          <w:highlight w:val="none"/>
        </w:rPr>
        <w:t>采伐+补植</w:t>
      </w:r>
      <w:r>
        <w:rPr>
          <w:rFonts w:hint="eastAsia" w:ascii="宋体" w:hAnsi="宋体" w:eastAsia="宋体" w:cs="宋体"/>
          <w:sz w:val="24"/>
          <w:szCs w:val="24"/>
          <w:highlight w:val="none"/>
          <w:lang w:val="en-US" w:eastAsia="zh-CN"/>
        </w:rPr>
        <w:t>措施。</w:t>
      </w:r>
    </w:p>
    <w:p w14:paraId="16090D1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kern w:val="2"/>
          <w:sz w:val="24"/>
          <w:szCs w:val="24"/>
          <w:lang w:val="en-US" w:eastAsia="zh-CN" w:bidi="ar-SA"/>
        </w:rPr>
        <w:t>(3)</w:t>
      </w:r>
      <w:r>
        <w:rPr>
          <w:rFonts w:hint="eastAsia" w:ascii="宋体" w:hAnsi="宋体" w:eastAsia="宋体" w:cs="宋体"/>
          <w:sz w:val="24"/>
          <w:szCs w:val="24"/>
          <w:highlight w:val="none"/>
        </w:rPr>
        <w:t>由于个体间的竞争导致林木生长受限导致衰退，天然更新等级不良的小班</w:t>
      </w:r>
      <w:r>
        <w:rPr>
          <w:rFonts w:hint="eastAsia" w:ascii="宋体" w:hAnsi="宋体" w:eastAsia="宋体" w:cs="宋体"/>
          <w:sz w:val="24"/>
          <w:szCs w:val="24"/>
          <w:highlight w:val="none"/>
          <w:lang w:val="en-US" w:eastAsia="zh-CN"/>
        </w:rPr>
        <w:t>采取</w:t>
      </w:r>
      <w:r>
        <w:rPr>
          <w:rFonts w:hint="eastAsia" w:ascii="宋体" w:hAnsi="宋体" w:eastAsia="宋体" w:cs="宋体"/>
          <w:sz w:val="24"/>
          <w:szCs w:val="24"/>
          <w:highlight w:val="none"/>
        </w:rPr>
        <w:t>采伐+</w:t>
      </w:r>
      <w:r>
        <w:rPr>
          <w:rFonts w:hint="eastAsia" w:ascii="宋体" w:hAnsi="宋体" w:eastAsia="宋体" w:cs="宋体"/>
          <w:sz w:val="24"/>
          <w:szCs w:val="24"/>
          <w:highlight w:val="none"/>
          <w:lang w:val="en-US" w:eastAsia="zh-CN"/>
        </w:rPr>
        <w:t>人工促进天然更新。</w:t>
      </w:r>
      <w:bookmarkStart w:id="182" w:name="_Toc23841"/>
      <w:bookmarkStart w:id="183" w:name="_Toc23012"/>
    </w:p>
    <w:bookmarkEnd w:id="177"/>
    <w:bookmarkEnd w:id="178"/>
    <w:bookmarkEnd w:id="179"/>
    <w:bookmarkEnd w:id="180"/>
    <w:bookmarkEnd w:id="181"/>
    <w:p w14:paraId="205606A9">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val="en-US" w:eastAsia="zh-CN"/>
        </w:rPr>
        <w:t>2</w:t>
      </w:r>
      <w:r>
        <w:rPr>
          <w:rFonts w:hint="eastAsia" w:ascii="宋体" w:hAnsi="宋体" w:eastAsia="宋体" w:cs="宋体"/>
          <w:b/>
          <w:bCs/>
          <w:sz w:val="24"/>
          <w:szCs w:val="24"/>
          <w:highlight w:val="none"/>
        </w:rPr>
        <w:t>.1采伐+补植+修枝</w:t>
      </w:r>
      <w:bookmarkEnd w:id="182"/>
      <w:bookmarkEnd w:id="183"/>
    </w:p>
    <w:p w14:paraId="50D2A080">
      <w:pPr>
        <w:pageBreakBefore w:val="0"/>
        <w:kinsoku/>
        <w:wordWrap/>
        <w:overflowPunct/>
        <w:topLinePunct w:val="0"/>
        <w:autoSpaceDE/>
        <w:autoSpaceDN/>
        <w:bidi w:val="0"/>
        <w:adjustRightInd/>
        <w:snapToGrid/>
        <w:spacing w:line="56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由于</w:t>
      </w:r>
      <w:r>
        <w:rPr>
          <w:rFonts w:hint="eastAsia" w:ascii="宋体" w:hAnsi="宋体" w:eastAsia="宋体" w:cs="宋体"/>
          <w:sz w:val="24"/>
          <w:szCs w:val="24"/>
          <w:highlight w:val="none"/>
        </w:rPr>
        <w:t>林分杂乱，目标树活枝较低，以及部分非目标树枝条干扰目标树生长</w:t>
      </w:r>
      <w:r>
        <w:rPr>
          <w:rFonts w:hint="eastAsia" w:ascii="宋体" w:hAnsi="宋体" w:eastAsia="宋体" w:cs="宋体"/>
          <w:sz w:val="24"/>
          <w:szCs w:val="24"/>
          <w:highlight w:val="none"/>
          <w:lang w:val="en-US" w:eastAsia="zh-CN"/>
        </w:rPr>
        <w:t>等</w:t>
      </w:r>
      <w:r>
        <w:rPr>
          <w:rFonts w:hint="eastAsia" w:ascii="宋体" w:hAnsi="宋体" w:eastAsia="宋体" w:cs="宋体"/>
          <w:sz w:val="24"/>
          <w:szCs w:val="24"/>
          <w:highlight w:val="none"/>
        </w:rPr>
        <w:t>问题</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采取采伐+补植+修枝措施修复。</w:t>
      </w:r>
      <w:r>
        <w:rPr>
          <w:rFonts w:hint="eastAsia" w:ascii="宋体" w:hAnsi="宋体" w:eastAsia="宋体" w:cs="宋体"/>
          <w:color w:val="auto"/>
          <w:sz w:val="24"/>
          <w:szCs w:val="24"/>
          <w:highlight w:val="none"/>
        </w:rPr>
        <w:t>采伐方式为疏伐，株数采伐强度为8%～20%，蓄积采伐强度5%～12%。</w:t>
      </w:r>
      <w:r>
        <w:rPr>
          <w:rFonts w:hint="eastAsia" w:ascii="宋体" w:hAnsi="宋体" w:eastAsia="宋体" w:cs="宋体"/>
          <w:kern w:val="2"/>
          <w:sz w:val="24"/>
          <w:szCs w:val="24"/>
          <w:highlight w:val="none"/>
          <w:lang w:bidi="ar-SA"/>
        </w:rPr>
        <w:t>采伐后</w:t>
      </w:r>
      <w:r>
        <w:rPr>
          <w:rFonts w:hint="eastAsia" w:ascii="宋体" w:hAnsi="宋体" w:eastAsia="宋体" w:cs="宋体"/>
          <w:kern w:val="2"/>
          <w:sz w:val="24"/>
          <w:szCs w:val="24"/>
          <w:highlight w:val="none"/>
          <w:lang w:val="en-US" w:eastAsia="zh-CN" w:bidi="ar-SA"/>
        </w:rPr>
        <w:t>每亩株数为64~76株</w:t>
      </w:r>
      <w:r>
        <w:rPr>
          <w:rFonts w:hint="eastAsia" w:ascii="宋体" w:hAnsi="宋体" w:eastAsia="宋体" w:cs="宋体"/>
          <w:kern w:val="2"/>
          <w:sz w:val="24"/>
          <w:szCs w:val="24"/>
          <w:highlight w:val="none"/>
          <w:lang w:bidi="ar-SA"/>
        </w:rPr>
        <w:t>，对保留的目标树及其他干扰目标树生长的林木进行修枝，去除下部的干扰枝和枯死枝，以改善林分的通风和透光条件，为保留木的生长发育创造更佳环境。此</w:t>
      </w:r>
      <w:r>
        <w:rPr>
          <w:rFonts w:hint="eastAsia" w:ascii="宋体" w:hAnsi="宋体" w:eastAsia="宋体" w:cs="宋体"/>
          <w:sz w:val="24"/>
          <w:szCs w:val="24"/>
          <w:highlight w:val="none"/>
          <w:lang w:val="en-US" w:eastAsia="zh-CN"/>
        </w:rPr>
        <w:t>措施</w:t>
      </w:r>
      <w:r>
        <w:rPr>
          <w:rFonts w:hint="eastAsia" w:ascii="宋体" w:hAnsi="宋体" w:eastAsia="宋体" w:cs="宋体"/>
          <w:kern w:val="2"/>
          <w:sz w:val="24"/>
          <w:szCs w:val="24"/>
          <w:highlight w:val="none"/>
          <w:lang w:bidi="ar-SA"/>
        </w:rPr>
        <w:t>修复共涉及</w:t>
      </w:r>
      <w:r>
        <w:rPr>
          <w:rFonts w:hint="eastAsia" w:ascii="宋体" w:hAnsi="宋体" w:eastAsia="宋体" w:cs="宋体"/>
          <w:kern w:val="2"/>
          <w:sz w:val="24"/>
          <w:szCs w:val="24"/>
          <w:highlight w:val="none"/>
          <w:lang w:val="en-US" w:eastAsia="zh-CN" w:bidi="ar-SA"/>
        </w:rPr>
        <w:t>21</w:t>
      </w:r>
      <w:r>
        <w:rPr>
          <w:rFonts w:hint="eastAsia" w:ascii="宋体" w:hAnsi="宋体" w:eastAsia="宋体" w:cs="宋体"/>
          <w:kern w:val="2"/>
          <w:sz w:val="24"/>
          <w:szCs w:val="24"/>
          <w:highlight w:val="none"/>
          <w:lang w:bidi="ar-SA"/>
        </w:rPr>
        <w:t>个小班，作业面积</w:t>
      </w:r>
      <w:r>
        <w:rPr>
          <w:rFonts w:hint="eastAsia" w:ascii="宋体" w:hAnsi="宋体" w:eastAsia="宋体" w:cs="宋体"/>
          <w:kern w:val="2"/>
          <w:sz w:val="24"/>
          <w:szCs w:val="24"/>
          <w:highlight w:val="none"/>
          <w:lang w:val="en-US" w:eastAsia="zh-CN" w:bidi="ar-SA"/>
        </w:rPr>
        <w:t>1244</w:t>
      </w:r>
      <w:r>
        <w:rPr>
          <w:rFonts w:hint="eastAsia" w:ascii="宋体" w:hAnsi="宋体" w:eastAsia="宋体" w:cs="宋体"/>
          <w:kern w:val="2"/>
          <w:sz w:val="24"/>
          <w:szCs w:val="24"/>
          <w:highlight w:val="none"/>
          <w:lang w:bidi="ar-SA"/>
        </w:rPr>
        <w:t>亩</w:t>
      </w:r>
      <w:r>
        <w:rPr>
          <w:rFonts w:hint="eastAsia" w:ascii="宋体" w:hAnsi="宋体" w:eastAsia="宋体" w:cs="宋体"/>
          <w:sz w:val="24"/>
          <w:szCs w:val="24"/>
          <w:highlight w:val="none"/>
        </w:rPr>
        <w:t>。</w:t>
      </w:r>
      <w:bookmarkStart w:id="184" w:name="_Toc18892"/>
      <w:bookmarkStart w:id="185" w:name="_Toc11582"/>
    </w:p>
    <w:p w14:paraId="1303C75A">
      <w:pPr>
        <w:pageBreakBefore w:val="0"/>
        <w:kinsoku/>
        <w:wordWrap/>
        <w:overflowPunct/>
        <w:topLinePunct w:val="0"/>
        <w:autoSpaceDE/>
        <w:autoSpaceDN/>
        <w:bidi w:val="0"/>
        <w:adjustRightInd/>
        <w:snapToGrid/>
        <w:spacing w:line="560" w:lineRule="exact"/>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2</w:t>
      </w:r>
      <w:r>
        <w:rPr>
          <w:rFonts w:hint="eastAsia" w:ascii="宋体" w:hAnsi="宋体" w:eastAsia="宋体" w:cs="宋体"/>
          <w:b/>
          <w:bCs/>
          <w:sz w:val="24"/>
          <w:szCs w:val="24"/>
          <w:highlight w:val="none"/>
        </w:rPr>
        <w:t>.</w:t>
      </w:r>
      <w:r>
        <w:rPr>
          <w:rFonts w:hint="eastAsia" w:ascii="宋体" w:hAnsi="宋体" w:eastAsia="宋体" w:cs="宋体"/>
          <w:b/>
          <w:bCs/>
          <w:sz w:val="24"/>
          <w:szCs w:val="24"/>
          <w:highlight w:val="none"/>
          <w:lang w:eastAsia="zh-CN"/>
        </w:rPr>
        <w:t>2</w:t>
      </w:r>
      <w:r>
        <w:rPr>
          <w:rFonts w:hint="eastAsia" w:ascii="宋体" w:hAnsi="宋体" w:eastAsia="宋体" w:cs="宋体"/>
          <w:b/>
          <w:bCs/>
          <w:sz w:val="24"/>
          <w:szCs w:val="24"/>
          <w:highlight w:val="none"/>
        </w:rPr>
        <w:t>采伐+补植</w:t>
      </w:r>
      <w:bookmarkEnd w:id="184"/>
      <w:bookmarkEnd w:id="185"/>
    </w:p>
    <w:p w14:paraId="1775E743">
      <w:pPr>
        <w:pageBreakBefore w:val="0"/>
        <w:kinsoku/>
        <w:wordWrap/>
        <w:overflowPunct/>
        <w:topLinePunct w:val="0"/>
        <w:autoSpaceDE/>
        <w:autoSpaceDN/>
        <w:bidi w:val="0"/>
        <w:adjustRightInd/>
        <w:snapToGrid/>
        <w:spacing w:line="560" w:lineRule="exact"/>
        <w:ind w:firstLine="56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由于</w:t>
      </w:r>
      <w:r>
        <w:rPr>
          <w:rFonts w:hint="eastAsia" w:ascii="宋体" w:hAnsi="宋体" w:eastAsia="宋体" w:cs="宋体"/>
          <w:sz w:val="24"/>
          <w:szCs w:val="24"/>
          <w:highlight w:val="none"/>
        </w:rPr>
        <w:t>萌生起源的林木株数比例大于80%且缺乏目的树种</w:t>
      </w:r>
      <w:r>
        <w:rPr>
          <w:rFonts w:hint="eastAsia" w:ascii="宋体" w:hAnsi="宋体" w:eastAsia="宋体" w:cs="宋体"/>
          <w:sz w:val="24"/>
          <w:szCs w:val="24"/>
          <w:highlight w:val="none"/>
          <w:lang w:val="en-US" w:eastAsia="zh-CN"/>
        </w:rPr>
        <w:t>的天然林</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生长量减少、森林主导功能退化</w:t>
      </w:r>
      <w:r>
        <w:rPr>
          <w:rFonts w:hint="eastAsia" w:ascii="宋体" w:hAnsi="宋体" w:eastAsia="宋体" w:cs="宋体"/>
          <w:sz w:val="24"/>
          <w:szCs w:val="24"/>
          <w:highlight w:val="none"/>
          <w:lang w:val="en-US" w:eastAsia="zh-CN"/>
        </w:rPr>
        <w:t>等问题，</w:t>
      </w:r>
      <w:r>
        <w:rPr>
          <w:rFonts w:hint="eastAsia" w:ascii="宋体" w:hAnsi="宋体" w:eastAsia="宋体" w:cs="宋体"/>
          <w:sz w:val="24"/>
          <w:szCs w:val="24"/>
          <w:highlight w:val="none"/>
        </w:rPr>
        <w:t>采取采伐+补植措施</w:t>
      </w:r>
      <w:r>
        <w:rPr>
          <w:rFonts w:hint="eastAsia" w:ascii="宋体" w:hAnsi="宋体" w:eastAsia="宋体" w:cs="宋体"/>
          <w:sz w:val="24"/>
          <w:szCs w:val="24"/>
          <w:highlight w:val="none"/>
          <w:lang w:val="en-US" w:eastAsia="zh-CN"/>
        </w:rPr>
        <w:t>进行</w:t>
      </w:r>
      <w:r>
        <w:rPr>
          <w:rFonts w:hint="eastAsia" w:ascii="宋体" w:hAnsi="宋体" w:eastAsia="宋体" w:cs="宋体"/>
          <w:sz w:val="24"/>
          <w:szCs w:val="24"/>
          <w:highlight w:val="none"/>
        </w:rPr>
        <w:t>修复。采伐方式为疏伐，株数采伐强度为8%～20%，蓄积采伐强度5%～12%</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伐后每亩株数63~78株</w:t>
      </w:r>
      <w:r>
        <w:rPr>
          <w:rFonts w:hint="eastAsia" w:ascii="宋体" w:hAnsi="宋体" w:eastAsia="宋体" w:cs="宋体"/>
          <w:sz w:val="24"/>
          <w:szCs w:val="24"/>
          <w:highlight w:val="none"/>
        </w:rPr>
        <w:t>。此</w:t>
      </w:r>
      <w:r>
        <w:rPr>
          <w:rFonts w:hint="eastAsia" w:ascii="宋体" w:hAnsi="宋体" w:eastAsia="宋体" w:cs="宋体"/>
          <w:sz w:val="24"/>
          <w:szCs w:val="24"/>
          <w:highlight w:val="none"/>
          <w:lang w:val="en-US" w:eastAsia="zh-CN"/>
        </w:rPr>
        <w:t>措施</w:t>
      </w:r>
      <w:r>
        <w:rPr>
          <w:rFonts w:hint="eastAsia" w:ascii="宋体" w:hAnsi="宋体" w:eastAsia="宋体" w:cs="宋体"/>
          <w:sz w:val="24"/>
          <w:szCs w:val="24"/>
          <w:highlight w:val="none"/>
        </w:rPr>
        <w:t>共涉及</w:t>
      </w:r>
      <w:r>
        <w:rPr>
          <w:rFonts w:hint="eastAsia" w:ascii="宋体" w:hAnsi="宋体" w:eastAsia="宋体" w:cs="宋体"/>
          <w:sz w:val="24"/>
          <w:szCs w:val="24"/>
          <w:highlight w:val="none"/>
          <w:lang w:val="en-US" w:eastAsia="zh-CN"/>
        </w:rPr>
        <w:t>77</w:t>
      </w:r>
      <w:r>
        <w:rPr>
          <w:rFonts w:hint="eastAsia" w:ascii="宋体" w:hAnsi="宋体" w:eastAsia="宋体" w:cs="宋体"/>
          <w:sz w:val="24"/>
          <w:szCs w:val="24"/>
          <w:highlight w:val="none"/>
        </w:rPr>
        <w:t>个小班，作业面积</w:t>
      </w:r>
      <w:r>
        <w:rPr>
          <w:rFonts w:hint="eastAsia" w:ascii="宋体" w:hAnsi="宋体" w:eastAsia="宋体" w:cs="宋体"/>
          <w:sz w:val="24"/>
          <w:szCs w:val="24"/>
          <w:highlight w:val="none"/>
          <w:lang w:val="en-US" w:eastAsia="zh-CN"/>
        </w:rPr>
        <w:t>8122</w:t>
      </w:r>
      <w:r>
        <w:rPr>
          <w:rFonts w:hint="eastAsia" w:ascii="宋体" w:hAnsi="宋体" w:eastAsia="宋体" w:cs="宋体"/>
          <w:sz w:val="24"/>
          <w:szCs w:val="24"/>
          <w:highlight w:val="none"/>
        </w:rPr>
        <w:t>亩。</w:t>
      </w:r>
    </w:p>
    <w:p w14:paraId="37B1AE16">
      <w:pPr>
        <w:pageBreakBefore w:val="0"/>
        <w:kinsoku/>
        <w:wordWrap/>
        <w:overflowPunct/>
        <w:topLinePunct w:val="0"/>
        <w:autoSpaceDE/>
        <w:autoSpaceDN/>
        <w:bidi w:val="0"/>
        <w:adjustRightInd/>
        <w:snapToGrid/>
        <w:spacing w:line="560" w:lineRule="exact"/>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2</w:t>
      </w:r>
      <w:r>
        <w:rPr>
          <w:rFonts w:hint="eastAsia" w:ascii="宋体" w:hAnsi="宋体" w:eastAsia="宋体" w:cs="宋体"/>
          <w:b/>
          <w:bCs/>
          <w:sz w:val="24"/>
          <w:szCs w:val="24"/>
          <w:highlight w:val="none"/>
        </w:rPr>
        <w:t>.</w:t>
      </w:r>
      <w:r>
        <w:rPr>
          <w:rFonts w:hint="eastAsia" w:ascii="宋体" w:hAnsi="宋体" w:eastAsia="宋体" w:cs="宋体"/>
          <w:b/>
          <w:bCs/>
          <w:sz w:val="24"/>
          <w:szCs w:val="24"/>
          <w:highlight w:val="none"/>
          <w:lang w:val="en-US" w:eastAsia="zh-CN"/>
        </w:rPr>
        <w:t>3</w:t>
      </w:r>
      <w:r>
        <w:rPr>
          <w:rFonts w:hint="eastAsia" w:ascii="宋体" w:hAnsi="宋体" w:eastAsia="宋体" w:cs="宋体"/>
          <w:b/>
          <w:bCs/>
          <w:sz w:val="24"/>
          <w:szCs w:val="24"/>
          <w:highlight w:val="none"/>
        </w:rPr>
        <w:t>采伐+</w:t>
      </w:r>
      <w:r>
        <w:rPr>
          <w:rFonts w:hint="eastAsia" w:ascii="宋体" w:hAnsi="宋体" w:eastAsia="宋体" w:cs="宋体"/>
          <w:b/>
          <w:bCs/>
          <w:sz w:val="24"/>
          <w:szCs w:val="24"/>
          <w:highlight w:val="none"/>
          <w:lang w:val="en-US" w:eastAsia="zh-CN"/>
        </w:rPr>
        <w:t>人工促进天然更新</w:t>
      </w:r>
    </w:p>
    <w:p w14:paraId="1D2D86FA">
      <w:pPr>
        <w:pageBreakBefore w:val="0"/>
        <w:widowControl w:val="0"/>
        <w:kinsoku/>
        <w:wordWrap/>
        <w:overflowPunct/>
        <w:topLinePunct w:val="0"/>
        <w:autoSpaceDE/>
        <w:autoSpaceDN/>
        <w:bidi w:val="0"/>
        <w:adjustRightInd/>
        <w:snapToGrid/>
        <w:spacing w:line="560" w:lineRule="exact"/>
        <w:ind w:firstLine="480" w:firstLineChars="200"/>
        <w:jc w:val="both"/>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由于个体间的竞争导致林木生长受限导致衰退，天然更新等级不良的小班，采取采伐+人工促进天然更新措施修复，株数采伐强度为8%~12%，蓄积采伐强度5%～12%采伐后，伐后每亩株树为79~89株左右，无需进行补植，</w:t>
      </w:r>
      <w:r>
        <w:rPr>
          <w:rFonts w:hint="eastAsia" w:ascii="宋体" w:hAnsi="宋体" w:eastAsia="宋体" w:cs="宋体"/>
          <w:sz w:val="24"/>
          <w:szCs w:val="24"/>
          <w:highlight w:val="none"/>
        </w:rPr>
        <w:t>主要采取人工割灌除草的方式，清除妨碍</w:t>
      </w:r>
      <w:r>
        <w:rPr>
          <w:rFonts w:hint="eastAsia" w:ascii="宋体" w:hAnsi="宋体" w:eastAsia="宋体" w:cs="宋体"/>
          <w:sz w:val="24"/>
          <w:szCs w:val="24"/>
          <w:highlight w:val="none"/>
          <w:lang w:val="en-US" w:eastAsia="zh-CN"/>
        </w:rPr>
        <w:t>幼</w:t>
      </w:r>
      <w:r>
        <w:rPr>
          <w:rFonts w:hint="eastAsia" w:ascii="宋体" w:hAnsi="宋体" w:eastAsia="宋体" w:cs="宋体"/>
          <w:sz w:val="24"/>
          <w:szCs w:val="24"/>
          <w:highlight w:val="none"/>
        </w:rPr>
        <w:t>树</w:t>
      </w:r>
      <w:r>
        <w:rPr>
          <w:rFonts w:hint="eastAsia" w:ascii="宋体" w:hAnsi="宋体" w:eastAsia="宋体" w:cs="宋体"/>
          <w:sz w:val="24"/>
          <w:szCs w:val="24"/>
          <w:highlight w:val="none"/>
          <w:lang w:val="en-US" w:eastAsia="zh-CN"/>
        </w:rPr>
        <w:t>幼苗</w:t>
      </w:r>
      <w:r>
        <w:rPr>
          <w:rFonts w:hint="eastAsia" w:ascii="宋体" w:hAnsi="宋体" w:eastAsia="宋体" w:cs="宋体"/>
          <w:sz w:val="24"/>
          <w:szCs w:val="24"/>
          <w:highlight w:val="none"/>
        </w:rPr>
        <w:t>生长的灌木和杂草</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此</w:t>
      </w:r>
      <w:r>
        <w:rPr>
          <w:rFonts w:hint="eastAsia" w:ascii="宋体" w:hAnsi="宋体" w:eastAsia="宋体" w:cs="宋体"/>
          <w:sz w:val="24"/>
          <w:szCs w:val="24"/>
          <w:highlight w:val="none"/>
          <w:lang w:val="en-US" w:eastAsia="zh-CN"/>
        </w:rPr>
        <w:t>措施</w:t>
      </w:r>
      <w:r>
        <w:rPr>
          <w:rFonts w:hint="eastAsia" w:ascii="宋体" w:hAnsi="宋体" w:eastAsia="宋体" w:cs="宋体"/>
          <w:sz w:val="24"/>
          <w:szCs w:val="24"/>
          <w:highlight w:val="none"/>
        </w:rPr>
        <w:t>共涉及</w:t>
      </w:r>
      <w:r>
        <w:rPr>
          <w:rFonts w:hint="eastAsia" w:ascii="宋体" w:hAnsi="宋体" w:eastAsia="宋体" w:cs="宋体"/>
          <w:sz w:val="24"/>
          <w:szCs w:val="24"/>
          <w:highlight w:val="none"/>
          <w:lang w:val="en-US" w:eastAsia="zh-CN"/>
        </w:rPr>
        <w:t>86</w:t>
      </w:r>
      <w:r>
        <w:rPr>
          <w:rFonts w:hint="eastAsia" w:ascii="宋体" w:hAnsi="宋体" w:eastAsia="宋体" w:cs="宋体"/>
          <w:sz w:val="24"/>
          <w:szCs w:val="24"/>
          <w:highlight w:val="none"/>
        </w:rPr>
        <w:t>个小班，作业面积</w:t>
      </w:r>
      <w:r>
        <w:rPr>
          <w:rFonts w:hint="eastAsia" w:ascii="宋体" w:hAnsi="宋体" w:eastAsia="宋体" w:cs="宋体"/>
          <w:sz w:val="24"/>
          <w:szCs w:val="24"/>
          <w:highlight w:val="none"/>
          <w:lang w:val="en-US" w:eastAsia="zh-CN"/>
        </w:rPr>
        <w:t>10644</w:t>
      </w:r>
      <w:r>
        <w:rPr>
          <w:rFonts w:hint="eastAsia" w:ascii="宋体" w:hAnsi="宋体" w:eastAsia="宋体" w:cs="宋体"/>
          <w:sz w:val="24"/>
          <w:szCs w:val="24"/>
          <w:highlight w:val="none"/>
        </w:rPr>
        <w:t>亩。</w:t>
      </w:r>
    </w:p>
    <w:p w14:paraId="2A3F45AA">
      <w:pPr>
        <w:pageBreakBefore w:val="0"/>
        <w:kinsoku/>
        <w:wordWrap/>
        <w:overflowPunct/>
        <w:topLinePunct w:val="0"/>
        <w:autoSpaceDE/>
        <w:autoSpaceDN/>
        <w:bidi w:val="0"/>
        <w:adjustRightInd/>
        <w:snapToGrid/>
        <w:spacing w:line="56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表6-1 修复措施小班面积统计表</w:t>
      </w:r>
    </w:p>
    <w:tbl>
      <w:tblPr>
        <w:tblStyle w:val="29"/>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131"/>
        <w:gridCol w:w="1176"/>
        <w:gridCol w:w="1573"/>
        <w:gridCol w:w="2136"/>
        <w:gridCol w:w="2380"/>
      </w:tblGrid>
      <w:tr w14:paraId="2795C3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1169" w:type="pct"/>
            <w:vMerge w:val="restart"/>
            <w:tcBorders>
              <w:top w:val="single" w:color="000000" w:sz="8" w:space="0"/>
              <w:left w:val="single" w:color="000000" w:sz="8" w:space="0"/>
              <w:bottom w:val="single" w:color="000000" w:sz="8" w:space="0"/>
              <w:right w:val="single" w:color="000000" w:sz="8" w:space="0"/>
            </w:tcBorders>
            <w:shd w:val="clear" w:color="auto" w:fill="auto"/>
            <w:noWrap/>
            <w:vAlign w:val="center"/>
          </w:tcPr>
          <w:p w14:paraId="4A7E6D41">
            <w:pPr>
              <w:keepNext w:val="0"/>
              <w:keepLines w:val="0"/>
              <w:pageBreakBefore w:val="0"/>
              <w:widowControl/>
              <w:suppressLineNumbers w:val="0"/>
              <w:kinsoku/>
              <w:wordWrap/>
              <w:overflowPunct/>
              <w:topLinePunct w:val="0"/>
              <w:autoSpaceDE/>
              <w:autoSpaceDN/>
              <w:bidi w:val="0"/>
              <w:adjustRightInd/>
              <w:snapToGrid/>
              <w:spacing w:line="560" w:lineRule="exact"/>
              <w:ind w:firstLine="0" w:firstLineChars="0"/>
              <w:jc w:val="center"/>
              <w:textAlignment w:val="center"/>
              <w:rPr>
                <w:rFonts w:hint="eastAsia" w:ascii="宋体" w:hAnsi="宋体" w:eastAsia="宋体" w:cs="宋体"/>
                <w:i w:val="0"/>
                <w:iCs w:val="0"/>
                <w:color w:val="000000"/>
                <w:sz w:val="24"/>
                <w:szCs w:val="24"/>
                <w:highlight w:val="none"/>
                <w:u w:val="none"/>
              </w:rPr>
            </w:pPr>
            <w:bookmarkStart w:id="186" w:name="_Toc31039"/>
            <w:bookmarkStart w:id="187" w:name="_Toc4388"/>
            <w:bookmarkStart w:id="188" w:name="_Toc27958"/>
            <w:r>
              <w:rPr>
                <w:rFonts w:hint="eastAsia" w:ascii="宋体" w:hAnsi="宋体" w:eastAsia="宋体" w:cs="宋体"/>
                <w:i w:val="0"/>
                <w:iCs w:val="0"/>
                <w:color w:val="000000"/>
                <w:kern w:val="0"/>
                <w:sz w:val="24"/>
                <w:szCs w:val="24"/>
                <w:highlight w:val="none"/>
                <w:u w:val="none"/>
                <w:lang w:val="en-US" w:eastAsia="zh-CN" w:bidi="ar"/>
              </w:rPr>
              <w:t>修复措施</w:t>
            </w:r>
          </w:p>
        </w:tc>
        <w:tc>
          <w:tcPr>
            <w:tcW w:w="582" w:type="pct"/>
            <w:vMerge w:val="restart"/>
            <w:tcBorders>
              <w:top w:val="single" w:color="000000" w:sz="8" w:space="0"/>
              <w:left w:val="nil"/>
              <w:bottom w:val="single" w:color="000000" w:sz="8" w:space="0"/>
              <w:right w:val="single" w:color="000000" w:sz="8" w:space="0"/>
            </w:tcBorders>
            <w:shd w:val="clear" w:color="auto" w:fill="auto"/>
            <w:noWrap/>
            <w:vAlign w:val="center"/>
          </w:tcPr>
          <w:p w14:paraId="7903F959">
            <w:pPr>
              <w:keepNext w:val="0"/>
              <w:keepLines w:val="0"/>
              <w:pageBreakBefore w:val="0"/>
              <w:widowControl/>
              <w:suppressLineNumbers w:val="0"/>
              <w:kinsoku/>
              <w:wordWrap/>
              <w:overflowPunct/>
              <w:topLinePunct w:val="0"/>
              <w:autoSpaceDE/>
              <w:autoSpaceDN/>
              <w:bidi w:val="0"/>
              <w:adjustRightInd/>
              <w:snapToGrid/>
              <w:spacing w:line="560" w:lineRule="exact"/>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措施编号</w:t>
            </w:r>
          </w:p>
        </w:tc>
        <w:tc>
          <w:tcPr>
            <w:tcW w:w="872" w:type="pct"/>
            <w:tcBorders>
              <w:top w:val="single" w:color="000000" w:sz="8" w:space="0"/>
              <w:left w:val="nil"/>
              <w:bottom w:val="single" w:color="000000" w:sz="8" w:space="0"/>
              <w:right w:val="single" w:color="000000" w:sz="8" w:space="0"/>
            </w:tcBorders>
            <w:shd w:val="clear" w:color="auto" w:fill="auto"/>
            <w:noWrap/>
            <w:vAlign w:val="center"/>
          </w:tcPr>
          <w:p w14:paraId="11333D72">
            <w:pPr>
              <w:keepNext w:val="0"/>
              <w:keepLines w:val="0"/>
              <w:pageBreakBefore w:val="0"/>
              <w:widowControl/>
              <w:suppressLineNumbers w:val="0"/>
              <w:kinsoku/>
              <w:wordWrap/>
              <w:overflowPunct/>
              <w:topLinePunct w:val="0"/>
              <w:autoSpaceDE/>
              <w:autoSpaceDN/>
              <w:bidi w:val="0"/>
              <w:adjustRightInd/>
              <w:snapToGrid/>
              <w:spacing w:line="560" w:lineRule="exact"/>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村</w:t>
            </w:r>
          </w:p>
        </w:tc>
        <w:tc>
          <w:tcPr>
            <w:tcW w:w="1074" w:type="pct"/>
            <w:tcBorders>
              <w:top w:val="single" w:color="000000" w:sz="8" w:space="0"/>
              <w:left w:val="nil"/>
              <w:bottom w:val="single" w:color="000000" w:sz="8" w:space="0"/>
              <w:right w:val="single" w:color="000000" w:sz="8" w:space="0"/>
            </w:tcBorders>
            <w:shd w:val="clear" w:color="auto" w:fill="auto"/>
            <w:noWrap/>
            <w:vAlign w:val="center"/>
          </w:tcPr>
          <w:p w14:paraId="4EAD818A">
            <w:pPr>
              <w:keepNext w:val="0"/>
              <w:keepLines w:val="0"/>
              <w:pageBreakBefore w:val="0"/>
              <w:widowControl/>
              <w:suppressLineNumbers w:val="0"/>
              <w:kinsoku/>
              <w:wordWrap/>
              <w:overflowPunct/>
              <w:topLinePunct w:val="0"/>
              <w:autoSpaceDE/>
              <w:autoSpaceDN/>
              <w:bidi w:val="0"/>
              <w:adjustRightInd/>
              <w:snapToGrid/>
              <w:spacing w:line="560" w:lineRule="exact"/>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可作业面积（亩）</w:t>
            </w:r>
          </w:p>
        </w:tc>
        <w:tc>
          <w:tcPr>
            <w:tcW w:w="1301" w:type="pct"/>
            <w:tcBorders>
              <w:top w:val="single" w:color="000000" w:sz="8" w:space="0"/>
              <w:left w:val="nil"/>
              <w:bottom w:val="single" w:color="000000" w:sz="8" w:space="0"/>
              <w:right w:val="single" w:color="000000" w:sz="8" w:space="0"/>
            </w:tcBorders>
            <w:shd w:val="clear" w:color="auto" w:fill="auto"/>
            <w:noWrap/>
            <w:vAlign w:val="center"/>
          </w:tcPr>
          <w:p w14:paraId="62636C7D">
            <w:pPr>
              <w:keepNext w:val="0"/>
              <w:keepLines w:val="0"/>
              <w:pageBreakBefore w:val="0"/>
              <w:widowControl/>
              <w:suppressLineNumbers w:val="0"/>
              <w:kinsoku/>
              <w:wordWrap/>
              <w:overflowPunct/>
              <w:topLinePunct w:val="0"/>
              <w:autoSpaceDE/>
              <w:autoSpaceDN/>
              <w:bidi w:val="0"/>
              <w:adjustRightInd/>
              <w:snapToGrid/>
              <w:spacing w:line="560" w:lineRule="exact"/>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小班个数</w:t>
            </w:r>
          </w:p>
        </w:tc>
      </w:tr>
      <w:tr w14:paraId="04F4A35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1169"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14:paraId="573FB276">
            <w:pPr>
              <w:keepNext w:val="0"/>
              <w:keepLines w:val="0"/>
              <w:pageBreakBefore w:val="0"/>
              <w:widowControl/>
              <w:kinsoku/>
              <w:wordWrap/>
              <w:overflowPunct/>
              <w:topLinePunct w:val="0"/>
              <w:autoSpaceDE/>
              <w:autoSpaceDN/>
              <w:bidi w:val="0"/>
              <w:adjustRightInd/>
              <w:snapToGrid/>
              <w:spacing w:line="560" w:lineRule="exact"/>
              <w:ind w:firstLine="0" w:firstLineChars="0"/>
              <w:jc w:val="center"/>
              <w:rPr>
                <w:rFonts w:hint="eastAsia" w:ascii="宋体" w:hAnsi="宋体" w:eastAsia="宋体" w:cs="宋体"/>
                <w:i w:val="0"/>
                <w:iCs w:val="0"/>
                <w:color w:val="000000"/>
                <w:sz w:val="24"/>
                <w:szCs w:val="24"/>
                <w:highlight w:val="none"/>
                <w:u w:val="none"/>
              </w:rPr>
            </w:pPr>
          </w:p>
        </w:tc>
        <w:tc>
          <w:tcPr>
            <w:tcW w:w="582" w:type="pct"/>
            <w:vMerge w:val="continue"/>
            <w:tcBorders>
              <w:top w:val="single" w:color="000000" w:sz="8" w:space="0"/>
              <w:left w:val="nil"/>
              <w:bottom w:val="single" w:color="000000" w:sz="8" w:space="0"/>
              <w:right w:val="single" w:color="000000" w:sz="8" w:space="0"/>
            </w:tcBorders>
            <w:shd w:val="clear" w:color="auto" w:fill="auto"/>
            <w:noWrap/>
            <w:vAlign w:val="center"/>
          </w:tcPr>
          <w:p w14:paraId="6E1B94DE">
            <w:pPr>
              <w:keepNext w:val="0"/>
              <w:keepLines w:val="0"/>
              <w:pageBreakBefore w:val="0"/>
              <w:widowControl/>
              <w:kinsoku/>
              <w:wordWrap/>
              <w:overflowPunct/>
              <w:topLinePunct w:val="0"/>
              <w:autoSpaceDE/>
              <w:autoSpaceDN/>
              <w:bidi w:val="0"/>
              <w:adjustRightInd/>
              <w:snapToGrid/>
              <w:spacing w:line="560" w:lineRule="exact"/>
              <w:ind w:firstLine="0" w:firstLineChars="0"/>
              <w:jc w:val="center"/>
              <w:rPr>
                <w:rFonts w:hint="eastAsia" w:ascii="宋体" w:hAnsi="宋体" w:eastAsia="宋体" w:cs="宋体"/>
                <w:i w:val="0"/>
                <w:iCs w:val="0"/>
                <w:color w:val="000000"/>
                <w:sz w:val="24"/>
                <w:szCs w:val="24"/>
                <w:highlight w:val="none"/>
                <w:u w:val="none"/>
              </w:rPr>
            </w:pPr>
          </w:p>
        </w:tc>
        <w:tc>
          <w:tcPr>
            <w:tcW w:w="872" w:type="pct"/>
            <w:tcBorders>
              <w:top w:val="nil"/>
              <w:left w:val="nil"/>
              <w:bottom w:val="single" w:color="000000" w:sz="8" w:space="0"/>
              <w:right w:val="single" w:color="000000" w:sz="8" w:space="0"/>
            </w:tcBorders>
            <w:shd w:val="clear" w:color="auto" w:fill="auto"/>
            <w:noWrap/>
            <w:vAlign w:val="center"/>
          </w:tcPr>
          <w:p w14:paraId="6FD88DF8">
            <w:pPr>
              <w:keepNext w:val="0"/>
              <w:keepLines w:val="0"/>
              <w:pageBreakBefore w:val="0"/>
              <w:widowControl/>
              <w:suppressLineNumbers w:val="0"/>
              <w:kinsoku/>
              <w:wordWrap/>
              <w:overflowPunct/>
              <w:topLinePunct w:val="0"/>
              <w:autoSpaceDE/>
              <w:autoSpaceDN/>
              <w:bidi w:val="0"/>
              <w:adjustRightInd/>
              <w:snapToGrid/>
              <w:spacing w:line="560" w:lineRule="exact"/>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总计</w:t>
            </w:r>
          </w:p>
        </w:tc>
        <w:tc>
          <w:tcPr>
            <w:tcW w:w="1074" w:type="pct"/>
            <w:tcBorders>
              <w:top w:val="nil"/>
              <w:left w:val="nil"/>
              <w:bottom w:val="single" w:color="000000" w:sz="8" w:space="0"/>
              <w:right w:val="single" w:color="000000" w:sz="8" w:space="0"/>
            </w:tcBorders>
            <w:shd w:val="clear" w:color="auto" w:fill="auto"/>
            <w:noWrap/>
            <w:vAlign w:val="center"/>
          </w:tcPr>
          <w:p w14:paraId="7B51BD23">
            <w:pPr>
              <w:keepNext w:val="0"/>
              <w:keepLines w:val="0"/>
              <w:pageBreakBefore w:val="0"/>
              <w:widowControl/>
              <w:suppressLineNumbers w:val="0"/>
              <w:kinsoku/>
              <w:wordWrap/>
              <w:overflowPunct/>
              <w:topLinePunct w:val="0"/>
              <w:autoSpaceDE/>
              <w:autoSpaceDN/>
              <w:bidi w:val="0"/>
              <w:adjustRightInd/>
              <w:snapToGrid/>
              <w:spacing w:line="560" w:lineRule="exact"/>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20000</w:t>
            </w:r>
          </w:p>
        </w:tc>
        <w:tc>
          <w:tcPr>
            <w:tcW w:w="1301" w:type="pct"/>
            <w:tcBorders>
              <w:top w:val="nil"/>
              <w:left w:val="nil"/>
              <w:bottom w:val="single" w:color="000000" w:sz="8" w:space="0"/>
              <w:right w:val="single" w:color="000000" w:sz="8" w:space="0"/>
            </w:tcBorders>
            <w:shd w:val="clear" w:color="auto" w:fill="auto"/>
            <w:noWrap/>
            <w:vAlign w:val="center"/>
          </w:tcPr>
          <w:p w14:paraId="4958ADFD">
            <w:pPr>
              <w:keepNext w:val="0"/>
              <w:keepLines w:val="0"/>
              <w:pageBreakBefore w:val="0"/>
              <w:widowControl/>
              <w:suppressLineNumbers w:val="0"/>
              <w:kinsoku/>
              <w:wordWrap/>
              <w:overflowPunct/>
              <w:topLinePunct w:val="0"/>
              <w:autoSpaceDE/>
              <w:autoSpaceDN/>
              <w:bidi w:val="0"/>
              <w:adjustRightInd/>
              <w:snapToGrid/>
              <w:spacing w:line="560" w:lineRule="exact"/>
              <w:ind w:firstLine="0" w:firstLineChars="0"/>
              <w:jc w:val="center"/>
              <w:textAlignment w:val="center"/>
              <w:rPr>
                <w:rFonts w:hint="eastAsia" w:ascii="宋体" w:hAnsi="宋体" w:eastAsia="宋体" w:cs="宋体"/>
                <w:i w:val="0"/>
                <w:iCs w:val="0"/>
                <w:color w:val="000000"/>
                <w:sz w:val="24"/>
                <w:szCs w:val="24"/>
                <w:highlight w:val="none"/>
                <w:u w:val="none"/>
                <w:lang w:val="en-US"/>
              </w:rPr>
            </w:pPr>
            <w:r>
              <w:rPr>
                <w:rFonts w:hint="eastAsia" w:ascii="宋体" w:hAnsi="宋体" w:eastAsia="宋体" w:cs="宋体"/>
                <w:i w:val="0"/>
                <w:iCs w:val="0"/>
                <w:color w:val="000000"/>
                <w:kern w:val="0"/>
                <w:sz w:val="24"/>
                <w:szCs w:val="24"/>
                <w:highlight w:val="none"/>
                <w:u w:val="none"/>
                <w:lang w:val="en-US" w:eastAsia="zh-CN" w:bidi="ar"/>
              </w:rPr>
              <w:t>184</w:t>
            </w:r>
          </w:p>
        </w:tc>
      </w:tr>
      <w:tr w14:paraId="0CAB9D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1169" w:type="pct"/>
            <w:vMerge w:val="restart"/>
            <w:tcBorders>
              <w:top w:val="nil"/>
              <w:left w:val="single" w:color="000000" w:sz="8" w:space="0"/>
              <w:bottom w:val="single" w:color="000000" w:sz="8" w:space="0"/>
              <w:right w:val="single" w:color="000000" w:sz="8" w:space="0"/>
            </w:tcBorders>
            <w:shd w:val="clear" w:color="auto" w:fill="auto"/>
            <w:vAlign w:val="center"/>
          </w:tcPr>
          <w:p w14:paraId="7C9ED9A8">
            <w:pPr>
              <w:keepNext w:val="0"/>
              <w:keepLines w:val="0"/>
              <w:pageBreakBefore w:val="0"/>
              <w:widowControl/>
              <w:suppressLineNumbers w:val="0"/>
              <w:kinsoku/>
              <w:wordWrap/>
              <w:overflowPunct/>
              <w:topLinePunct w:val="0"/>
              <w:autoSpaceDE/>
              <w:autoSpaceDN/>
              <w:bidi w:val="0"/>
              <w:adjustRightInd/>
              <w:snapToGrid/>
              <w:spacing w:line="560" w:lineRule="exact"/>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采伐+补植+修枝</w:t>
            </w:r>
          </w:p>
        </w:tc>
        <w:tc>
          <w:tcPr>
            <w:tcW w:w="582" w:type="pct"/>
            <w:vMerge w:val="restart"/>
            <w:tcBorders>
              <w:top w:val="nil"/>
              <w:left w:val="nil"/>
              <w:bottom w:val="single" w:color="000000" w:sz="8" w:space="0"/>
              <w:right w:val="single" w:color="000000" w:sz="8" w:space="0"/>
            </w:tcBorders>
            <w:shd w:val="clear" w:color="auto" w:fill="auto"/>
            <w:noWrap/>
            <w:vAlign w:val="center"/>
          </w:tcPr>
          <w:p w14:paraId="3BABD968">
            <w:pPr>
              <w:keepNext w:val="0"/>
              <w:keepLines w:val="0"/>
              <w:pageBreakBefore w:val="0"/>
              <w:widowControl/>
              <w:suppressLineNumbers w:val="0"/>
              <w:kinsoku/>
              <w:wordWrap/>
              <w:overflowPunct/>
              <w:topLinePunct w:val="0"/>
              <w:autoSpaceDE/>
              <w:autoSpaceDN/>
              <w:bidi w:val="0"/>
              <w:adjustRightInd/>
              <w:snapToGrid/>
              <w:spacing w:line="560" w:lineRule="exact"/>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I</w:t>
            </w:r>
          </w:p>
        </w:tc>
        <w:tc>
          <w:tcPr>
            <w:tcW w:w="872" w:type="pct"/>
            <w:tcBorders>
              <w:top w:val="nil"/>
              <w:left w:val="nil"/>
              <w:bottom w:val="single" w:color="000000" w:sz="8" w:space="0"/>
              <w:right w:val="single" w:color="000000" w:sz="8" w:space="0"/>
            </w:tcBorders>
            <w:shd w:val="clear" w:color="auto" w:fill="auto"/>
            <w:noWrap/>
            <w:vAlign w:val="center"/>
          </w:tcPr>
          <w:p w14:paraId="177B3731">
            <w:pPr>
              <w:keepNext w:val="0"/>
              <w:keepLines w:val="0"/>
              <w:pageBreakBefore w:val="0"/>
              <w:widowControl/>
              <w:suppressLineNumbers w:val="0"/>
              <w:kinsoku/>
              <w:wordWrap/>
              <w:overflowPunct/>
              <w:topLinePunct w:val="0"/>
              <w:autoSpaceDE/>
              <w:autoSpaceDN/>
              <w:bidi w:val="0"/>
              <w:adjustRightInd/>
              <w:snapToGrid/>
              <w:spacing w:line="560" w:lineRule="exact"/>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小计</w:t>
            </w:r>
          </w:p>
        </w:tc>
        <w:tc>
          <w:tcPr>
            <w:tcW w:w="1074" w:type="pct"/>
            <w:tcBorders>
              <w:top w:val="nil"/>
              <w:left w:val="nil"/>
              <w:bottom w:val="single" w:color="000000" w:sz="8" w:space="0"/>
              <w:right w:val="single" w:color="000000" w:sz="8" w:space="0"/>
            </w:tcBorders>
            <w:shd w:val="clear" w:color="auto" w:fill="auto"/>
            <w:noWrap/>
            <w:vAlign w:val="center"/>
          </w:tcPr>
          <w:p w14:paraId="34E72E5D">
            <w:pPr>
              <w:keepNext w:val="0"/>
              <w:keepLines w:val="0"/>
              <w:pageBreakBefore w:val="0"/>
              <w:widowControl/>
              <w:suppressLineNumbers w:val="0"/>
              <w:kinsoku/>
              <w:wordWrap/>
              <w:overflowPunct/>
              <w:topLinePunct w:val="0"/>
              <w:autoSpaceDE/>
              <w:autoSpaceDN/>
              <w:bidi w:val="0"/>
              <w:adjustRightInd/>
              <w:snapToGrid/>
              <w:spacing w:line="560" w:lineRule="exact"/>
              <w:ind w:firstLine="0" w:firstLineChars="0"/>
              <w:jc w:val="center"/>
              <w:textAlignment w:val="center"/>
              <w:rPr>
                <w:rFonts w:hint="eastAsia" w:ascii="宋体" w:hAnsi="宋体" w:eastAsia="宋体" w:cs="宋体"/>
                <w:i w:val="0"/>
                <w:iCs w:val="0"/>
                <w:color w:val="000000"/>
                <w:sz w:val="24"/>
                <w:szCs w:val="24"/>
                <w:highlight w:val="none"/>
                <w:u w:val="none"/>
                <w:lang w:val="en-US"/>
              </w:rPr>
            </w:pPr>
            <w:r>
              <w:rPr>
                <w:rFonts w:hint="eastAsia" w:ascii="宋体" w:hAnsi="宋体" w:eastAsia="宋体" w:cs="宋体"/>
                <w:i w:val="0"/>
                <w:iCs w:val="0"/>
                <w:color w:val="000000"/>
                <w:kern w:val="0"/>
                <w:sz w:val="24"/>
                <w:szCs w:val="24"/>
                <w:highlight w:val="none"/>
                <w:u w:val="none"/>
                <w:lang w:val="en-US" w:eastAsia="zh-CN" w:bidi="ar"/>
              </w:rPr>
              <w:t>1244</w:t>
            </w:r>
          </w:p>
        </w:tc>
        <w:tc>
          <w:tcPr>
            <w:tcW w:w="1301" w:type="pct"/>
            <w:tcBorders>
              <w:top w:val="nil"/>
              <w:left w:val="nil"/>
              <w:bottom w:val="single" w:color="000000" w:sz="8" w:space="0"/>
              <w:right w:val="single" w:color="000000" w:sz="8" w:space="0"/>
            </w:tcBorders>
            <w:shd w:val="clear" w:color="auto" w:fill="auto"/>
            <w:noWrap/>
            <w:vAlign w:val="center"/>
          </w:tcPr>
          <w:p w14:paraId="0B1BB354">
            <w:pPr>
              <w:keepNext w:val="0"/>
              <w:keepLines w:val="0"/>
              <w:pageBreakBefore w:val="0"/>
              <w:widowControl/>
              <w:suppressLineNumbers w:val="0"/>
              <w:kinsoku/>
              <w:wordWrap/>
              <w:overflowPunct/>
              <w:topLinePunct w:val="0"/>
              <w:autoSpaceDE/>
              <w:autoSpaceDN/>
              <w:bidi w:val="0"/>
              <w:adjustRightInd/>
              <w:snapToGrid/>
              <w:spacing w:line="560" w:lineRule="exact"/>
              <w:ind w:firstLine="0" w:firstLineChars="0"/>
              <w:jc w:val="center"/>
              <w:textAlignment w:val="center"/>
              <w:rPr>
                <w:rFonts w:hint="eastAsia" w:ascii="宋体" w:hAnsi="宋体" w:eastAsia="宋体" w:cs="宋体"/>
                <w:i w:val="0"/>
                <w:iCs w:val="0"/>
                <w:color w:val="000000"/>
                <w:sz w:val="24"/>
                <w:szCs w:val="24"/>
                <w:highlight w:val="none"/>
                <w:u w:val="none"/>
                <w:lang w:val="en-US"/>
              </w:rPr>
            </w:pPr>
            <w:r>
              <w:rPr>
                <w:rFonts w:hint="eastAsia" w:ascii="宋体" w:hAnsi="宋体" w:eastAsia="宋体" w:cs="宋体"/>
                <w:i w:val="0"/>
                <w:iCs w:val="0"/>
                <w:color w:val="000000"/>
                <w:kern w:val="0"/>
                <w:sz w:val="24"/>
                <w:szCs w:val="24"/>
                <w:highlight w:val="none"/>
                <w:u w:val="none"/>
                <w:lang w:val="en-US" w:eastAsia="zh-CN" w:bidi="ar"/>
              </w:rPr>
              <w:t>21</w:t>
            </w:r>
          </w:p>
        </w:tc>
      </w:tr>
      <w:tr w14:paraId="64EEFD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1169" w:type="pct"/>
            <w:vMerge w:val="continue"/>
            <w:tcBorders>
              <w:top w:val="nil"/>
              <w:left w:val="single" w:color="000000" w:sz="8" w:space="0"/>
              <w:bottom w:val="single" w:color="000000" w:sz="8" w:space="0"/>
              <w:right w:val="single" w:color="000000" w:sz="8" w:space="0"/>
            </w:tcBorders>
            <w:shd w:val="clear" w:color="auto" w:fill="auto"/>
            <w:vAlign w:val="center"/>
          </w:tcPr>
          <w:p w14:paraId="4563443D">
            <w:pPr>
              <w:keepNext w:val="0"/>
              <w:keepLines w:val="0"/>
              <w:pageBreakBefore w:val="0"/>
              <w:widowControl/>
              <w:kinsoku/>
              <w:wordWrap/>
              <w:overflowPunct/>
              <w:topLinePunct w:val="0"/>
              <w:autoSpaceDE/>
              <w:autoSpaceDN/>
              <w:bidi w:val="0"/>
              <w:adjustRightInd/>
              <w:snapToGrid/>
              <w:spacing w:line="560" w:lineRule="exact"/>
              <w:ind w:firstLine="0" w:firstLineChars="0"/>
              <w:jc w:val="center"/>
              <w:rPr>
                <w:rFonts w:hint="eastAsia" w:ascii="宋体" w:hAnsi="宋体" w:eastAsia="宋体" w:cs="宋体"/>
                <w:i w:val="0"/>
                <w:iCs w:val="0"/>
                <w:color w:val="000000"/>
                <w:sz w:val="24"/>
                <w:szCs w:val="24"/>
                <w:highlight w:val="none"/>
                <w:u w:val="none"/>
              </w:rPr>
            </w:pPr>
          </w:p>
        </w:tc>
        <w:tc>
          <w:tcPr>
            <w:tcW w:w="582" w:type="pct"/>
            <w:vMerge w:val="continue"/>
            <w:tcBorders>
              <w:top w:val="nil"/>
              <w:left w:val="nil"/>
              <w:bottom w:val="single" w:color="000000" w:sz="8" w:space="0"/>
              <w:right w:val="single" w:color="000000" w:sz="8" w:space="0"/>
            </w:tcBorders>
            <w:shd w:val="clear" w:color="auto" w:fill="auto"/>
            <w:noWrap/>
            <w:vAlign w:val="center"/>
          </w:tcPr>
          <w:p w14:paraId="70015958">
            <w:pPr>
              <w:keepNext w:val="0"/>
              <w:keepLines w:val="0"/>
              <w:pageBreakBefore w:val="0"/>
              <w:widowControl/>
              <w:kinsoku/>
              <w:wordWrap/>
              <w:overflowPunct/>
              <w:topLinePunct w:val="0"/>
              <w:autoSpaceDE/>
              <w:autoSpaceDN/>
              <w:bidi w:val="0"/>
              <w:adjustRightInd/>
              <w:snapToGrid/>
              <w:spacing w:line="560" w:lineRule="exact"/>
              <w:ind w:firstLine="0" w:firstLineChars="0"/>
              <w:jc w:val="center"/>
              <w:rPr>
                <w:rFonts w:hint="eastAsia" w:ascii="宋体" w:hAnsi="宋体" w:eastAsia="宋体" w:cs="宋体"/>
                <w:i w:val="0"/>
                <w:iCs w:val="0"/>
                <w:color w:val="000000"/>
                <w:sz w:val="24"/>
                <w:szCs w:val="24"/>
                <w:highlight w:val="none"/>
                <w:u w:val="none"/>
              </w:rPr>
            </w:pPr>
          </w:p>
        </w:tc>
        <w:tc>
          <w:tcPr>
            <w:tcW w:w="872" w:type="pct"/>
            <w:tcBorders>
              <w:top w:val="nil"/>
              <w:left w:val="nil"/>
              <w:bottom w:val="single" w:color="000000" w:sz="8" w:space="0"/>
              <w:right w:val="single" w:color="000000" w:sz="8" w:space="0"/>
            </w:tcBorders>
            <w:shd w:val="clear" w:color="auto" w:fill="auto"/>
            <w:noWrap/>
            <w:vAlign w:val="center"/>
          </w:tcPr>
          <w:p w14:paraId="60AD3231">
            <w:pPr>
              <w:keepNext w:val="0"/>
              <w:keepLines w:val="0"/>
              <w:pageBreakBefore w:val="0"/>
              <w:widowControl/>
              <w:suppressLineNumbers w:val="0"/>
              <w:kinsoku/>
              <w:wordWrap/>
              <w:overflowPunct/>
              <w:topLinePunct w:val="0"/>
              <w:autoSpaceDE/>
              <w:autoSpaceDN/>
              <w:bidi w:val="0"/>
              <w:adjustRightInd/>
              <w:snapToGrid/>
              <w:spacing w:line="560" w:lineRule="exact"/>
              <w:ind w:firstLine="0" w:firstLineChars="0"/>
              <w:jc w:val="center"/>
              <w:textAlignment w:val="center"/>
              <w:rPr>
                <w:rFonts w:hint="eastAsia" w:ascii="宋体" w:hAnsi="宋体" w:eastAsia="宋体" w:cs="宋体"/>
                <w:i w:val="0"/>
                <w:iCs w:val="0"/>
                <w:color w:val="000000"/>
                <w:sz w:val="24"/>
                <w:szCs w:val="24"/>
                <w:highlight w:val="none"/>
                <w:u w:val="none"/>
                <w:lang w:val="en-US" w:eastAsia="zh-CN"/>
              </w:rPr>
            </w:pPr>
            <w:r>
              <w:rPr>
                <w:rFonts w:hint="eastAsia" w:ascii="宋体" w:hAnsi="宋体" w:eastAsia="宋体" w:cs="宋体"/>
                <w:i w:val="0"/>
                <w:iCs w:val="0"/>
                <w:color w:val="000000"/>
                <w:sz w:val="24"/>
                <w:szCs w:val="24"/>
                <w:highlight w:val="none"/>
                <w:u w:val="none"/>
                <w:lang w:val="en-US" w:eastAsia="zh-CN"/>
              </w:rPr>
              <w:t>两河村</w:t>
            </w:r>
          </w:p>
        </w:tc>
        <w:tc>
          <w:tcPr>
            <w:tcW w:w="1074" w:type="pct"/>
            <w:tcBorders>
              <w:top w:val="nil"/>
              <w:left w:val="nil"/>
              <w:bottom w:val="single" w:color="000000" w:sz="8" w:space="0"/>
              <w:right w:val="single" w:color="000000" w:sz="8" w:space="0"/>
            </w:tcBorders>
            <w:shd w:val="clear" w:color="auto" w:fill="auto"/>
            <w:noWrap/>
            <w:vAlign w:val="center"/>
          </w:tcPr>
          <w:p w14:paraId="4495323E">
            <w:pPr>
              <w:keepNext w:val="0"/>
              <w:keepLines w:val="0"/>
              <w:pageBreakBefore w:val="0"/>
              <w:widowControl/>
              <w:suppressLineNumbers w:val="0"/>
              <w:kinsoku/>
              <w:wordWrap/>
              <w:overflowPunct/>
              <w:topLinePunct w:val="0"/>
              <w:autoSpaceDE/>
              <w:autoSpaceDN/>
              <w:bidi w:val="0"/>
              <w:adjustRightInd/>
              <w:snapToGrid/>
              <w:spacing w:line="560" w:lineRule="exact"/>
              <w:ind w:firstLine="0" w:firstLineChars="0"/>
              <w:jc w:val="center"/>
              <w:textAlignment w:val="center"/>
              <w:rPr>
                <w:rFonts w:hint="eastAsia" w:ascii="宋体" w:hAnsi="宋体" w:eastAsia="宋体" w:cs="宋体"/>
                <w:i w:val="0"/>
                <w:iCs w:val="0"/>
                <w:color w:val="000000"/>
                <w:sz w:val="24"/>
                <w:szCs w:val="24"/>
                <w:highlight w:val="none"/>
                <w:u w:val="none"/>
              </w:rPr>
            </w:pPr>
          </w:p>
        </w:tc>
        <w:tc>
          <w:tcPr>
            <w:tcW w:w="1301" w:type="pct"/>
            <w:tcBorders>
              <w:top w:val="nil"/>
              <w:left w:val="nil"/>
              <w:bottom w:val="single" w:color="000000" w:sz="8" w:space="0"/>
              <w:right w:val="single" w:color="000000" w:sz="8" w:space="0"/>
            </w:tcBorders>
            <w:shd w:val="clear" w:color="auto" w:fill="auto"/>
            <w:noWrap/>
            <w:vAlign w:val="center"/>
          </w:tcPr>
          <w:p w14:paraId="1D1FFD8A">
            <w:pPr>
              <w:keepNext w:val="0"/>
              <w:keepLines w:val="0"/>
              <w:pageBreakBefore w:val="0"/>
              <w:widowControl/>
              <w:suppressLineNumbers w:val="0"/>
              <w:kinsoku/>
              <w:wordWrap/>
              <w:overflowPunct/>
              <w:topLinePunct w:val="0"/>
              <w:autoSpaceDE/>
              <w:autoSpaceDN/>
              <w:bidi w:val="0"/>
              <w:adjustRightInd/>
              <w:snapToGrid/>
              <w:spacing w:line="560" w:lineRule="exact"/>
              <w:ind w:firstLine="0" w:firstLineChars="0"/>
              <w:jc w:val="center"/>
              <w:textAlignment w:val="center"/>
              <w:rPr>
                <w:rFonts w:hint="eastAsia" w:ascii="宋体" w:hAnsi="宋体" w:eastAsia="宋体" w:cs="宋体"/>
                <w:i w:val="0"/>
                <w:iCs w:val="0"/>
                <w:color w:val="000000"/>
                <w:sz w:val="24"/>
                <w:szCs w:val="24"/>
                <w:highlight w:val="none"/>
                <w:u w:val="none"/>
              </w:rPr>
            </w:pPr>
          </w:p>
        </w:tc>
      </w:tr>
      <w:tr w14:paraId="18902D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1169" w:type="pct"/>
            <w:vMerge w:val="continue"/>
            <w:tcBorders>
              <w:top w:val="nil"/>
              <w:left w:val="single" w:color="000000" w:sz="8" w:space="0"/>
              <w:bottom w:val="single" w:color="000000" w:sz="8" w:space="0"/>
              <w:right w:val="single" w:color="000000" w:sz="8" w:space="0"/>
            </w:tcBorders>
            <w:shd w:val="clear" w:color="auto" w:fill="auto"/>
            <w:vAlign w:val="center"/>
          </w:tcPr>
          <w:p w14:paraId="0C8E69FA">
            <w:pPr>
              <w:keepNext w:val="0"/>
              <w:keepLines w:val="0"/>
              <w:pageBreakBefore w:val="0"/>
              <w:widowControl/>
              <w:kinsoku/>
              <w:wordWrap/>
              <w:overflowPunct/>
              <w:topLinePunct w:val="0"/>
              <w:autoSpaceDE/>
              <w:autoSpaceDN/>
              <w:bidi w:val="0"/>
              <w:adjustRightInd/>
              <w:snapToGrid/>
              <w:spacing w:line="560" w:lineRule="exact"/>
              <w:ind w:firstLine="0" w:firstLineChars="0"/>
              <w:jc w:val="center"/>
              <w:rPr>
                <w:rFonts w:hint="eastAsia" w:ascii="宋体" w:hAnsi="宋体" w:eastAsia="宋体" w:cs="宋体"/>
                <w:i w:val="0"/>
                <w:iCs w:val="0"/>
                <w:color w:val="000000"/>
                <w:sz w:val="24"/>
                <w:szCs w:val="24"/>
                <w:highlight w:val="none"/>
                <w:u w:val="none"/>
              </w:rPr>
            </w:pPr>
          </w:p>
        </w:tc>
        <w:tc>
          <w:tcPr>
            <w:tcW w:w="582" w:type="pct"/>
            <w:vMerge w:val="continue"/>
            <w:tcBorders>
              <w:top w:val="nil"/>
              <w:left w:val="nil"/>
              <w:bottom w:val="single" w:color="000000" w:sz="8" w:space="0"/>
              <w:right w:val="single" w:color="000000" w:sz="8" w:space="0"/>
            </w:tcBorders>
            <w:shd w:val="clear" w:color="auto" w:fill="auto"/>
            <w:noWrap/>
            <w:vAlign w:val="center"/>
          </w:tcPr>
          <w:p w14:paraId="7484201D">
            <w:pPr>
              <w:keepNext w:val="0"/>
              <w:keepLines w:val="0"/>
              <w:pageBreakBefore w:val="0"/>
              <w:widowControl/>
              <w:kinsoku/>
              <w:wordWrap/>
              <w:overflowPunct/>
              <w:topLinePunct w:val="0"/>
              <w:autoSpaceDE/>
              <w:autoSpaceDN/>
              <w:bidi w:val="0"/>
              <w:adjustRightInd/>
              <w:snapToGrid/>
              <w:spacing w:line="560" w:lineRule="exact"/>
              <w:ind w:firstLine="0" w:firstLineChars="0"/>
              <w:jc w:val="center"/>
              <w:rPr>
                <w:rFonts w:hint="eastAsia" w:ascii="宋体" w:hAnsi="宋体" w:eastAsia="宋体" w:cs="宋体"/>
                <w:i w:val="0"/>
                <w:iCs w:val="0"/>
                <w:color w:val="000000"/>
                <w:sz w:val="24"/>
                <w:szCs w:val="24"/>
                <w:highlight w:val="none"/>
                <w:u w:val="none"/>
              </w:rPr>
            </w:pPr>
          </w:p>
        </w:tc>
        <w:tc>
          <w:tcPr>
            <w:tcW w:w="872" w:type="pct"/>
            <w:tcBorders>
              <w:top w:val="nil"/>
              <w:left w:val="nil"/>
              <w:bottom w:val="single" w:color="000000" w:sz="8" w:space="0"/>
              <w:right w:val="single" w:color="000000" w:sz="8" w:space="0"/>
            </w:tcBorders>
            <w:shd w:val="clear" w:color="auto" w:fill="auto"/>
            <w:noWrap/>
            <w:vAlign w:val="center"/>
          </w:tcPr>
          <w:p w14:paraId="5A3E3A01">
            <w:pPr>
              <w:keepNext w:val="0"/>
              <w:keepLines w:val="0"/>
              <w:pageBreakBefore w:val="0"/>
              <w:widowControl/>
              <w:suppressLineNumbers w:val="0"/>
              <w:kinsoku/>
              <w:wordWrap/>
              <w:overflowPunct/>
              <w:topLinePunct w:val="0"/>
              <w:autoSpaceDE/>
              <w:autoSpaceDN/>
              <w:bidi w:val="0"/>
              <w:adjustRightInd/>
              <w:snapToGrid/>
              <w:spacing w:line="560" w:lineRule="exact"/>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马房子村</w:t>
            </w:r>
          </w:p>
        </w:tc>
        <w:tc>
          <w:tcPr>
            <w:tcW w:w="1074" w:type="pct"/>
            <w:tcBorders>
              <w:top w:val="nil"/>
              <w:left w:val="nil"/>
              <w:bottom w:val="single" w:color="000000" w:sz="8" w:space="0"/>
              <w:right w:val="single" w:color="000000" w:sz="8" w:space="0"/>
            </w:tcBorders>
            <w:shd w:val="clear" w:color="auto" w:fill="auto"/>
            <w:noWrap/>
            <w:vAlign w:val="center"/>
          </w:tcPr>
          <w:p w14:paraId="337E1020">
            <w:pPr>
              <w:keepNext w:val="0"/>
              <w:keepLines w:val="0"/>
              <w:pageBreakBefore w:val="0"/>
              <w:widowControl/>
              <w:suppressLineNumbers w:val="0"/>
              <w:kinsoku/>
              <w:wordWrap/>
              <w:overflowPunct/>
              <w:topLinePunct w:val="0"/>
              <w:autoSpaceDE/>
              <w:autoSpaceDN/>
              <w:bidi w:val="0"/>
              <w:adjustRightInd/>
              <w:snapToGrid/>
              <w:spacing w:line="560" w:lineRule="exact"/>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1244</w:t>
            </w:r>
          </w:p>
        </w:tc>
        <w:tc>
          <w:tcPr>
            <w:tcW w:w="1301" w:type="pct"/>
            <w:tcBorders>
              <w:top w:val="nil"/>
              <w:left w:val="nil"/>
              <w:bottom w:val="single" w:color="000000" w:sz="8" w:space="0"/>
              <w:right w:val="single" w:color="000000" w:sz="8" w:space="0"/>
            </w:tcBorders>
            <w:shd w:val="clear" w:color="auto" w:fill="auto"/>
            <w:noWrap/>
            <w:vAlign w:val="center"/>
          </w:tcPr>
          <w:p w14:paraId="17C3D54E">
            <w:pPr>
              <w:keepNext w:val="0"/>
              <w:keepLines w:val="0"/>
              <w:pageBreakBefore w:val="0"/>
              <w:widowControl/>
              <w:suppressLineNumbers w:val="0"/>
              <w:kinsoku/>
              <w:wordWrap/>
              <w:overflowPunct/>
              <w:topLinePunct w:val="0"/>
              <w:autoSpaceDE/>
              <w:autoSpaceDN/>
              <w:bidi w:val="0"/>
              <w:adjustRightInd/>
              <w:snapToGrid/>
              <w:spacing w:line="560" w:lineRule="exact"/>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21</w:t>
            </w:r>
          </w:p>
        </w:tc>
      </w:tr>
      <w:tr w14:paraId="0B3391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1169" w:type="pct"/>
            <w:vMerge w:val="restart"/>
            <w:tcBorders>
              <w:top w:val="nil"/>
              <w:left w:val="single" w:color="000000" w:sz="8" w:space="0"/>
              <w:bottom w:val="single" w:color="000000" w:sz="8" w:space="0"/>
              <w:right w:val="single" w:color="000000" w:sz="8" w:space="0"/>
            </w:tcBorders>
            <w:shd w:val="clear" w:color="auto" w:fill="auto"/>
            <w:vAlign w:val="center"/>
          </w:tcPr>
          <w:p w14:paraId="7BFFC26F">
            <w:pPr>
              <w:keepNext w:val="0"/>
              <w:keepLines w:val="0"/>
              <w:pageBreakBefore w:val="0"/>
              <w:widowControl/>
              <w:suppressLineNumbers w:val="0"/>
              <w:kinsoku/>
              <w:wordWrap/>
              <w:overflowPunct/>
              <w:topLinePunct w:val="0"/>
              <w:autoSpaceDE/>
              <w:autoSpaceDN/>
              <w:bidi w:val="0"/>
              <w:adjustRightInd/>
              <w:snapToGrid/>
              <w:spacing w:line="560" w:lineRule="exact"/>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采伐+补植</w:t>
            </w:r>
          </w:p>
        </w:tc>
        <w:tc>
          <w:tcPr>
            <w:tcW w:w="582" w:type="pct"/>
            <w:vMerge w:val="restart"/>
            <w:tcBorders>
              <w:top w:val="nil"/>
              <w:left w:val="nil"/>
              <w:bottom w:val="single" w:color="000000" w:sz="8" w:space="0"/>
              <w:right w:val="single" w:color="000000" w:sz="8" w:space="0"/>
            </w:tcBorders>
            <w:shd w:val="clear" w:color="auto" w:fill="auto"/>
            <w:noWrap/>
            <w:vAlign w:val="center"/>
          </w:tcPr>
          <w:p w14:paraId="14A25870">
            <w:pPr>
              <w:keepNext w:val="0"/>
              <w:keepLines w:val="0"/>
              <w:pageBreakBefore w:val="0"/>
              <w:widowControl/>
              <w:suppressLineNumbers w:val="0"/>
              <w:kinsoku/>
              <w:wordWrap/>
              <w:overflowPunct/>
              <w:topLinePunct w:val="0"/>
              <w:autoSpaceDE/>
              <w:autoSpaceDN/>
              <w:bidi w:val="0"/>
              <w:adjustRightInd/>
              <w:snapToGrid/>
              <w:spacing w:line="560" w:lineRule="exact"/>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II</w:t>
            </w:r>
          </w:p>
        </w:tc>
        <w:tc>
          <w:tcPr>
            <w:tcW w:w="872" w:type="pct"/>
            <w:tcBorders>
              <w:top w:val="nil"/>
              <w:left w:val="nil"/>
              <w:bottom w:val="single" w:color="000000" w:sz="8" w:space="0"/>
              <w:right w:val="single" w:color="000000" w:sz="8" w:space="0"/>
            </w:tcBorders>
            <w:shd w:val="clear" w:color="auto" w:fill="auto"/>
            <w:noWrap/>
            <w:vAlign w:val="center"/>
          </w:tcPr>
          <w:p w14:paraId="76C4DC0D">
            <w:pPr>
              <w:keepNext w:val="0"/>
              <w:keepLines w:val="0"/>
              <w:pageBreakBefore w:val="0"/>
              <w:widowControl/>
              <w:suppressLineNumbers w:val="0"/>
              <w:kinsoku/>
              <w:wordWrap/>
              <w:overflowPunct/>
              <w:topLinePunct w:val="0"/>
              <w:autoSpaceDE/>
              <w:autoSpaceDN/>
              <w:bidi w:val="0"/>
              <w:adjustRightInd/>
              <w:snapToGrid/>
              <w:spacing w:line="560" w:lineRule="exact"/>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小计</w:t>
            </w:r>
          </w:p>
        </w:tc>
        <w:tc>
          <w:tcPr>
            <w:tcW w:w="1074" w:type="pct"/>
            <w:tcBorders>
              <w:top w:val="nil"/>
              <w:left w:val="nil"/>
              <w:bottom w:val="single" w:color="000000" w:sz="8" w:space="0"/>
              <w:right w:val="single" w:color="000000" w:sz="8" w:space="0"/>
            </w:tcBorders>
            <w:shd w:val="clear" w:color="auto" w:fill="auto"/>
            <w:noWrap/>
            <w:vAlign w:val="center"/>
          </w:tcPr>
          <w:p w14:paraId="0AB4E8DA">
            <w:pPr>
              <w:keepNext w:val="0"/>
              <w:keepLines w:val="0"/>
              <w:pageBreakBefore w:val="0"/>
              <w:widowControl/>
              <w:suppressLineNumbers w:val="0"/>
              <w:kinsoku/>
              <w:wordWrap/>
              <w:overflowPunct/>
              <w:topLinePunct w:val="0"/>
              <w:autoSpaceDE/>
              <w:autoSpaceDN/>
              <w:bidi w:val="0"/>
              <w:adjustRightInd/>
              <w:snapToGrid/>
              <w:spacing w:line="560" w:lineRule="exact"/>
              <w:ind w:firstLine="0" w:firstLineChars="0"/>
              <w:jc w:val="center"/>
              <w:textAlignment w:val="center"/>
              <w:rPr>
                <w:rFonts w:hint="eastAsia" w:ascii="宋体" w:hAnsi="宋体" w:eastAsia="宋体" w:cs="宋体"/>
                <w:i w:val="0"/>
                <w:iCs w:val="0"/>
                <w:color w:val="000000"/>
                <w:sz w:val="24"/>
                <w:szCs w:val="24"/>
                <w:highlight w:val="none"/>
                <w:u w:val="none"/>
                <w:lang w:val="en-US"/>
              </w:rPr>
            </w:pPr>
            <w:r>
              <w:rPr>
                <w:rFonts w:hint="eastAsia" w:ascii="宋体" w:hAnsi="宋体" w:eastAsia="宋体" w:cs="宋体"/>
                <w:i w:val="0"/>
                <w:iCs w:val="0"/>
                <w:color w:val="000000"/>
                <w:kern w:val="0"/>
                <w:sz w:val="24"/>
                <w:szCs w:val="24"/>
                <w:highlight w:val="none"/>
                <w:u w:val="none"/>
                <w:lang w:val="en-US" w:eastAsia="zh-CN" w:bidi="ar"/>
              </w:rPr>
              <w:t>8112</w:t>
            </w:r>
          </w:p>
        </w:tc>
        <w:tc>
          <w:tcPr>
            <w:tcW w:w="1301" w:type="pct"/>
            <w:tcBorders>
              <w:top w:val="nil"/>
              <w:left w:val="nil"/>
              <w:bottom w:val="single" w:color="000000" w:sz="8" w:space="0"/>
              <w:right w:val="single" w:color="000000" w:sz="8" w:space="0"/>
            </w:tcBorders>
            <w:shd w:val="clear" w:color="auto" w:fill="auto"/>
            <w:noWrap/>
            <w:vAlign w:val="center"/>
          </w:tcPr>
          <w:p w14:paraId="50245268">
            <w:pPr>
              <w:keepNext w:val="0"/>
              <w:keepLines w:val="0"/>
              <w:pageBreakBefore w:val="0"/>
              <w:widowControl/>
              <w:suppressLineNumbers w:val="0"/>
              <w:kinsoku/>
              <w:wordWrap/>
              <w:overflowPunct/>
              <w:topLinePunct w:val="0"/>
              <w:autoSpaceDE/>
              <w:autoSpaceDN/>
              <w:bidi w:val="0"/>
              <w:adjustRightInd/>
              <w:snapToGrid/>
              <w:spacing w:line="560" w:lineRule="exact"/>
              <w:ind w:firstLine="0" w:firstLineChars="0"/>
              <w:jc w:val="center"/>
              <w:textAlignment w:val="center"/>
              <w:rPr>
                <w:rFonts w:hint="eastAsia" w:ascii="宋体" w:hAnsi="宋体" w:eastAsia="宋体" w:cs="宋体"/>
                <w:i w:val="0"/>
                <w:iCs w:val="0"/>
                <w:color w:val="000000"/>
                <w:sz w:val="24"/>
                <w:szCs w:val="24"/>
                <w:highlight w:val="none"/>
                <w:u w:val="none"/>
                <w:lang w:val="en-US"/>
              </w:rPr>
            </w:pPr>
            <w:r>
              <w:rPr>
                <w:rFonts w:hint="eastAsia" w:ascii="宋体" w:hAnsi="宋体" w:eastAsia="宋体" w:cs="宋体"/>
                <w:i w:val="0"/>
                <w:iCs w:val="0"/>
                <w:color w:val="000000"/>
                <w:kern w:val="0"/>
                <w:sz w:val="24"/>
                <w:szCs w:val="24"/>
                <w:highlight w:val="none"/>
                <w:u w:val="none"/>
                <w:lang w:val="en-US" w:eastAsia="zh-CN" w:bidi="ar"/>
              </w:rPr>
              <w:t>77</w:t>
            </w:r>
          </w:p>
        </w:tc>
      </w:tr>
      <w:tr w14:paraId="584900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1169" w:type="pct"/>
            <w:vMerge w:val="continue"/>
            <w:tcBorders>
              <w:top w:val="nil"/>
              <w:left w:val="single" w:color="000000" w:sz="8" w:space="0"/>
              <w:bottom w:val="single" w:color="000000" w:sz="8" w:space="0"/>
              <w:right w:val="single" w:color="000000" w:sz="8" w:space="0"/>
            </w:tcBorders>
            <w:shd w:val="clear" w:color="auto" w:fill="auto"/>
            <w:vAlign w:val="center"/>
          </w:tcPr>
          <w:p w14:paraId="74FF882D">
            <w:pPr>
              <w:keepNext w:val="0"/>
              <w:keepLines w:val="0"/>
              <w:pageBreakBefore w:val="0"/>
              <w:widowControl/>
              <w:kinsoku/>
              <w:wordWrap/>
              <w:overflowPunct/>
              <w:topLinePunct w:val="0"/>
              <w:autoSpaceDE/>
              <w:autoSpaceDN/>
              <w:bidi w:val="0"/>
              <w:adjustRightInd/>
              <w:snapToGrid/>
              <w:spacing w:line="560" w:lineRule="exact"/>
              <w:ind w:firstLine="0" w:firstLineChars="0"/>
              <w:jc w:val="center"/>
              <w:rPr>
                <w:rFonts w:hint="eastAsia" w:ascii="宋体" w:hAnsi="宋体" w:eastAsia="宋体" w:cs="宋体"/>
                <w:i w:val="0"/>
                <w:iCs w:val="0"/>
                <w:color w:val="000000"/>
                <w:sz w:val="24"/>
                <w:szCs w:val="24"/>
                <w:highlight w:val="none"/>
                <w:u w:val="none"/>
              </w:rPr>
            </w:pPr>
          </w:p>
        </w:tc>
        <w:tc>
          <w:tcPr>
            <w:tcW w:w="582" w:type="pct"/>
            <w:vMerge w:val="continue"/>
            <w:tcBorders>
              <w:top w:val="nil"/>
              <w:left w:val="nil"/>
              <w:bottom w:val="single" w:color="000000" w:sz="8" w:space="0"/>
              <w:right w:val="single" w:color="000000" w:sz="8" w:space="0"/>
            </w:tcBorders>
            <w:shd w:val="clear" w:color="auto" w:fill="auto"/>
            <w:noWrap/>
            <w:vAlign w:val="center"/>
          </w:tcPr>
          <w:p w14:paraId="12076EED">
            <w:pPr>
              <w:keepNext w:val="0"/>
              <w:keepLines w:val="0"/>
              <w:pageBreakBefore w:val="0"/>
              <w:widowControl/>
              <w:kinsoku/>
              <w:wordWrap/>
              <w:overflowPunct/>
              <w:topLinePunct w:val="0"/>
              <w:autoSpaceDE/>
              <w:autoSpaceDN/>
              <w:bidi w:val="0"/>
              <w:adjustRightInd/>
              <w:snapToGrid/>
              <w:spacing w:line="560" w:lineRule="exact"/>
              <w:ind w:firstLine="0" w:firstLineChars="0"/>
              <w:jc w:val="center"/>
              <w:rPr>
                <w:rFonts w:hint="eastAsia" w:ascii="宋体" w:hAnsi="宋体" w:eastAsia="宋体" w:cs="宋体"/>
                <w:i w:val="0"/>
                <w:iCs w:val="0"/>
                <w:color w:val="000000"/>
                <w:sz w:val="24"/>
                <w:szCs w:val="24"/>
                <w:highlight w:val="none"/>
                <w:u w:val="none"/>
              </w:rPr>
            </w:pPr>
          </w:p>
        </w:tc>
        <w:tc>
          <w:tcPr>
            <w:tcW w:w="872" w:type="pct"/>
            <w:tcBorders>
              <w:top w:val="nil"/>
              <w:left w:val="nil"/>
              <w:bottom w:val="single" w:color="000000" w:sz="8" w:space="0"/>
              <w:right w:val="single" w:color="000000" w:sz="8" w:space="0"/>
            </w:tcBorders>
            <w:shd w:val="clear" w:color="auto" w:fill="auto"/>
            <w:noWrap/>
            <w:vAlign w:val="center"/>
          </w:tcPr>
          <w:p w14:paraId="17229684">
            <w:pPr>
              <w:keepNext w:val="0"/>
              <w:keepLines w:val="0"/>
              <w:pageBreakBefore w:val="0"/>
              <w:widowControl/>
              <w:suppressLineNumbers w:val="0"/>
              <w:kinsoku/>
              <w:wordWrap/>
              <w:overflowPunct/>
              <w:topLinePunct w:val="0"/>
              <w:autoSpaceDE/>
              <w:autoSpaceDN/>
              <w:bidi w:val="0"/>
              <w:adjustRightInd/>
              <w:snapToGrid/>
              <w:spacing w:line="560" w:lineRule="exact"/>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rPr>
              <w:t>两河村</w:t>
            </w:r>
          </w:p>
        </w:tc>
        <w:tc>
          <w:tcPr>
            <w:tcW w:w="1074" w:type="pct"/>
            <w:tcBorders>
              <w:top w:val="nil"/>
              <w:left w:val="nil"/>
              <w:bottom w:val="single" w:color="000000" w:sz="8" w:space="0"/>
              <w:right w:val="single" w:color="000000" w:sz="8" w:space="0"/>
            </w:tcBorders>
            <w:shd w:val="clear" w:color="auto" w:fill="auto"/>
            <w:noWrap/>
            <w:vAlign w:val="center"/>
          </w:tcPr>
          <w:p w14:paraId="547455AD">
            <w:pPr>
              <w:keepNext w:val="0"/>
              <w:keepLines w:val="0"/>
              <w:pageBreakBefore w:val="0"/>
              <w:widowControl/>
              <w:suppressLineNumbers w:val="0"/>
              <w:kinsoku/>
              <w:wordWrap/>
              <w:overflowPunct/>
              <w:topLinePunct w:val="0"/>
              <w:autoSpaceDE/>
              <w:autoSpaceDN/>
              <w:bidi w:val="0"/>
              <w:adjustRightInd/>
              <w:snapToGrid/>
              <w:spacing w:line="560" w:lineRule="exact"/>
              <w:ind w:firstLine="0" w:firstLineChars="0"/>
              <w:jc w:val="center"/>
              <w:textAlignment w:val="center"/>
              <w:rPr>
                <w:rFonts w:hint="eastAsia" w:ascii="宋体" w:hAnsi="宋体" w:eastAsia="宋体" w:cs="宋体"/>
                <w:i w:val="0"/>
                <w:iCs w:val="0"/>
                <w:color w:val="000000"/>
                <w:sz w:val="24"/>
                <w:szCs w:val="24"/>
                <w:highlight w:val="none"/>
                <w:u w:val="none"/>
                <w:lang w:val="en-US"/>
              </w:rPr>
            </w:pPr>
            <w:r>
              <w:rPr>
                <w:rFonts w:hint="eastAsia" w:ascii="宋体" w:hAnsi="宋体" w:eastAsia="宋体" w:cs="宋体"/>
                <w:i w:val="0"/>
                <w:iCs w:val="0"/>
                <w:color w:val="000000"/>
                <w:kern w:val="0"/>
                <w:sz w:val="24"/>
                <w:szCs w:val="24"/>
                <w:highlight w:val="none"/>
                <w:u w:val="none"/>
                <w:lang w:val="en-US" w:eastAsia="zh-CN" w:bidi="ar"/>
              </w:rPr>
              <w:t>1312</w:t>
            </w:r>
          </w:p>
        </w:tc>
        <w:tc>
          <w:tcPr>
            <w:tcW w:w="1301" w:type="pct"/>
            <w:tcBorders>
              <w:top w:val="nil"/>
              <w:left w:val="nil"/>
              <w:bottom w:val="single" w:color="000000" w:sz="8" w:space="0"/>
              <w:right w:val="single" w:color="000000" w:sz="8" w:space="0"/>
            </w:tcBorders>
            <w:shd w:val="clear" w:color="auto" w:fill="auto"/>
            <w:noWrap/>
            <w:vAlign w:val="center"/>
          </w:tcPr>
          <w:p w14:paraId="6BA60765">
            <w:pPr>
              <w:keepNext w:val="0"/>
              <w:keepLines w:val="0"/>
              <w:pageBreakBefore w:val="0"/>
              <w:widowControl/>
              <w:suppressLineNumbers w:val="0"/>
              <w:kinsoku/>
              <w:wordWrap/>
              <w:overflowPunct/>
              <w:topLinePunct w:val="0"/>
              <w:autoSpaceDE/>
              <w:autoSpaceDN/>
              <w:bidi w:val="0"/>
              <w:adjustRightInd/>
              <w:snapToGrid/>
              <w:spacing w:line="560" w:lineRule="exact"/>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6</w:t>
            </w:r>
          </w:p>
        </w:tc>
      </w:tr>
      <w:tr w14:paraId="1C516E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1169" w:type="pct"/>
            <w:vMerge w:val="continue"/>
            <w:tcBorders>
              <w:top w:val="nil"/>
              <w:left w:val="single" w:color="000000" w:sz="8" w:space="0"/>
              <w:bottom w:val="single" w:color="000000" w:sz="8" w:space="0"/>
              <w:right w:val="single" w:color="000000" w:sz="8" w:space="0"/>
            </w:tcBorders>
            <w:shd w:val="clear" w:color="auto" w:fill="auto"/>
            <w:vAlign w:val="center"/>
          </w:tcPr>
          <w:p w14:paraId="1FECB2AC">
            <w:pPr>
              <w:keepNext w:val="0"/>
              <w:keepLines w:val="0"/>
              <w:pageBreakBefore w:val="0"/>
              <w:widowControl/>
              <w:kinsoku/>
              <w:wordWrap/>
              <w:overflowPunct/>
              <w:topLinePunct w:val="0"/>
              <w:autoSpaceDE/>
              <w:autoSpaceDN/>
              <w:bidi w:val="0"/>
              <w:adjustRightInd/>
              <w:snapToGrid/>
              <w:spacing w:line="560" w:lineRule="exact"/>
              <w:ind w:firstLine="0" w:firstLineChars="0"/>
              <w:jc w:val="center"/>
              <w:rPr>
                <w:rFonts w:hint="eastAsia" w:ascii="宋体" w:hAnsi="宋体" w:eastAsia="宋体" w:cs="宋体"/>
                <w:i w:val="0"/>
                <w:iCs w:val="0"/>
                <w:color w:val="000000"/>
                <w:sz w:val="24"/>
                <w:szCs w:val="24"/>
                <w:highlight w:val="none"/>
                <w:u w:val="none"/>
              </w:rPr>
            </w:pPr>
          </w:p>
        </w:tc>
        <w:tc>
          <w:tcPr>
            <w:tcW w:w="582" w:type="pct"/>
            <w:vMerge w:val="continue"/>
            <w:tcBorders>
              <w:top w:val="nil"/>
              <w:left w:val="nil"/>
              <w:bottom w:val="single" w:color="000000" w:sz="8" w:space="0"/>
              <w:right w:val="single" w:color="000000" w:sz="8" w:space="0"/>
            </w:tcBorders>
            <w:shd w:val="clear" w:color="auto" w:fill="auto"/>
            <w:noWrap/>
            <w:vAlign w:val="center"/>
          </w:tcPr>
          <w:p w14:paraId="4B5AC9C3">
            <w:pPr>
              <w:keepNext w:val="0"/>
              <w:keepLines w:val="0"/>
              <w:pageBreakBefore w:val="0"/>
              <w:widowControl/>
              <w:kinsoku/>
              <w:wordWrap/>
              <w:overflowPunct/>
              <w:topLinePunct w:val="0"/>
              <w:autoSpaceDE/>
              <w:autoSpaceDN/>
              <w:bidi w:val="0"/>
              <w:adjustRightInd/>
              <w:snapToGrid/>
              <w:spacing w:line="560" w:lineRule="exact"/>
              <w:ind w:firstLine="0" w:firstLineChars="0"/>
              <w:jc w:val="center"/>
              <w:rPr>
                <w:rFonts w:hint="eastAsia" w:ascii="宋体" w:hAnsi="宋体" w:eastAsia="宋体" w:cs="宋体"/>
                <w:i w:val="0"/>
                <w:iCs w:val="0"/>
                <w:color w:val="000000"/>
                <w:sz w:val="24"/>
                <w:szCs w:val="24"/>
                <w:highlight w:val="none"/>
                <w:u w:val="none"/>
              </w:rPr>
            </w:pPr>
          </w:p>
        </w:tc>
        <w:tc>
          <w:tcPr>
            <w:tcW w:w="872" w:type="pct"/>
            <w:tcBorders>
              <w:top w:val="nil"/>
              <w:left w:val="nil"/>
              <w:bottom w:val="single" w:color="000000" w:sz="8" w:space="0"/>
              <w:right w:val="single" w:color="000000" w:sz="8" w:space="0"/>
            </w:tcBorders>
            <w:shd w:val="clear" w:color="auto" w:fill="auto"/>
            <w:noWrap/>
            <w:vAlign w:val="center"/>
          </w:tcPr>
          <w:p w14:paraId="52F23720">
            <w:pPr>
              <w:keepNext w:val="0"/>
              <w:keepLines w:val="0"/>
              <w:pageBreakBefore w:val="0"/>
              <w:widowControl/>
              <w:suppressLineNumbers w:val="0"/>
              <w:kinsoku/>
              <w:wordWrap/>
              <w:overflowPunct/>
              <w:topLinePunct w:val="0"/>
              <w:autoSpaceDE/>
              <w:autoSpaceDN/>
              <w:bidi w:val="0"/>
              <w:adjustRightInd/>
              <w:snapToGrid/>
              <w:spacing w:line="560" w:lineRule="exact"/>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马房子村</w:t>
            </w:r>
          </w:p>
        </w:tc>
        <w:tc>
          <w:tcPr>
            <w:tcW w:w="1074" w:type="pct"/>
            <w:tcBorders>
              <w:top w:val="nil"/>
              <w:left w:val="nil"/>
              <w:bottom w:val="single" w:color="000000" w:sz="8" w:space="0"/>
              <w:right w:val="single" w:color="000000" w:sz="8" w:space="0"/>
            </w:tcBorders>
            <w:shd w:val="clear" w:color="auto" w:fill="auto"/>
            <w:noWrap/>
            <w:vAlign w:val="center"/>
          </w:tcPr>
          <w:p w14:paraId="639BA6EF">
            <w:pPr>
              <w:keepNext w:val="0"/>
              <w:keepLines w:val="0"/>
              <w:pageBreakBefore w:val="0"/>
              <w:widowControl/>
              <w:suppressLineNumbers w:val="0"/>
              <w:kinsoku/>
              <w:wordWrap/>
              <w:overflowPunct/>
              <w:topLinePunct w:val="0"/>
              <w:autoSpaceDE/>
              <w:autoSpaceDN/>
              <w:bidi w:val="0"/>
              <w:adjustRightInd/>
              <w:snapToGrid/>
              <w:spacing w:line="560" w:lineRule="exact"/>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6800</w:t>
            </w:r>
          </w:p>
        </w:tc>
        <w:tc>
          <w:tcPr>
            <w:tcW w:w="1301" w:type="pct"/>
            <w:tcBorders>
              <w:top w:val="nil"/>
              <w:left w:val="nil"/>
              <w:bottom w:val="single" w:color="000000" w:sz="8" w:space="0"/>
              <w:right w:val="single" w:color="000000" w:sz="8" w:space="0"/>
            </w:tcBorders>
            <w:shd w:val="clear" w:color="auto" w:fill="auto"/>
            <w:noWrap/>
            <w:vAlign w:val="center"/>
          </w:tcPr>
          <w:p w14:paraId="4247606C">
            <w:pPr>
              <w:keepNext w:val="0"/>
              <w:keepLines w:val="0"/>
              <w:pageBreakBefore w:val="0"/>
              <w:widowControl/>
              <w:suppressLineNumbers w:val="0"/>
              <w:kinsoku/>
              <w:wordWrap/>
              <w:overflowPunct/>
              <w:topLinePunct w:val="0"/>
              <w:autoSpaceDE/>
              <w:autoSpaceDN/>
              <w:bidi w:val="0"/>
              <w:adjustRightInd/>
              <w:snapToGrid/>
              <w:spacing w:line="560" w:lineRule="exact"/>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71</w:t>
            </w:r>
          </w:p>
        </w:tc>
      </w:tr>
      <w:tr w14:paraId="5B58B6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1169" w:type="pct"/>
            <w:vMerge w:val="restart"/>
            <w:tcBorders>
              <w:top w:val="nil"/>
              <w:left w:val="single" w:color="000000" w:sz="8" w:space="0"/>
              <w:bottom w:val="single" w:color="000000" w:sz="8" w:space="0"/>
              <w:right w:val="single" w:color="000000" w:sz="8" w:space="0"/>
            </w:tcBorders>
            <w:shd w:val="clear" w:color="auto" w:fill="auto"/>
            <w:vAlign w:val="center"/>
          </w:tcPr>
          <w:p w14:paraId="648866F1">
            <w:pPr>
              <w:keepNext w:val="0"/>
              <w:keepLines w:val="0"/>
              <w:pageBreakBefore w:val="0"/>
              <w:widowControl/>
              <w:suppressLineNumbers w:val="0"/>
              <w:kinsoku/>
              <w:wordWrap/>
              <w:overflowPunct/>
              <w:topLinePunct w:val="0"/>
              <w:autoSpaceDE/>
              <w:autoSpaceDN/>
              <w:bidi w:val="0"/>
              <w:adjustRightInd/>
              <w:snapToGrid/>
              <w:spacing w:line="560" w:lineRule="exact"/>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采伐+人工促进天然更新</w:t>
            </w:r>
          </w:p>
        </w:tc>
        <w:tc>
          <w:tcPr>
            <w:tcW w:w="582" w:type="pct"/>
            <w:vMerge w:val="restart"/>
            <w:tcBorders>
              <w:top w:val="nil"/>
              <w:left w:val="nil"/>
              <w:bottom w:val="single" w:color="000000" w:sz="8" w:space="0"/>
              <w:right w:val="single" w:color="000000" w:sz="8" w:space="0"/>
            </w:tcBorders>
            <w:shd w:val="clear" w:color="auto" w:fill="auto"/>
            <w:noWrap/>
            <w:vAlign w:val="center"/>
          </w:tcPr>
          <w:p w14:paraId="102E1DF0">
            <w:pPr>
              <w:keepNext w:val="0"/>
              <w:keepLines w:val="0"/>
              <w:pageBreakBefore w:val="0"/>
              <w:widowControl/>
              <w:suppressLineNumbers w:val="0"/>
              <w:kinsoku/>
              <w:wordWrap/>
              <w:overflowPunct/>
              <w:topLinePunct w:val="0"/>
              <w:autoSpaceDE/>
              <w:autoSpaceDN/>
              <w:bidi w:val="0"/>
              <w:adjustRightInd/>
              <w:snapToGrid/>
              <w:spacing w:line="560" w:lineRule="exact"/>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III</w:t>
            </w:r>
          </w:p>
        </w:tc>
        <w:tc>
          <w:tcPr>
            <w:tcW w:w="872" w:type="pct"/>
            <w:tcBorders>
              <w:top w:val="nil"/>
              <w:left w:val="nil"/>
              <w:bottom w:val="single" w:color="000000" w:sz="8" w:space="0"/>
              <w:right w:val="single" w:color="000000" w:sz="8" w:space="0"/>
            </w:tcBorders>
            <w:shd w:val="clear" w:color="auto" w:fill="auto"/>
            <w:noWrap/>
            <w:vAlign w:val="center"/>
          </w:tcPr>
          <w:p w14:paraId="4FC411AE">
            <w:pPr>
              <w:keepNext w:val="0"/>
              <w:keepLines w:val="0"/>
              <w:pageBreakBefore w:val="0"/>
              <w:widowControl/>
              <w:suppressLineNumbers w:val="0"/>
              <w:kinsoku/>
              <w:wordWrap/>
              <w:overflowPunct/>
              <w:topLinePunct w:val="0"/>
              <w:autoSpaceDE/>
              <w:autoSpaceDN/>
              <w:bidi w:val="0"/>
              <w:adjustRightInd/>
              <w:snapToGrid/>
              <w:spacing w:line="560" w:lineRule="exact"/>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小计</w:t>
            </w:r>
          </w:p>
        </w:tc>
        <w:tc>
          <w:tcPr>
            <w:tcW w:w="1074" w:type="pct"/>
            <w:tcBorders>
              <w:top w:val="nil"/>
              <w:left w:val="nil"/>
              <w:bottom w:val="single" w:color="000000" w:sz="8" w:space="0"/>
              <w:right w:val="single" w:color="000000" w:sz="8" w:space="0"/>
            </w:tcBorders>
            <w:shd w:val="clear" w:color="auto" w:fill="auto"/>
            <w:noWrap/>
            <w:vAlign w:val="center"/>
          </w:tcPr>
          <w:p w14:paraId="5B58430B">
            <w:pPr>
              <w:keepNext w:val="0"/>
              <w:keepLines w:val="0"/>
              <w:pageBreakBefore w:val="0"/>
              <w:widowControl/>
              <w:suppressLineNumbers w:val="0"/>
              <w:kinsoku/>
              <w:wordWrap/>
              <w:overflowPunct/>
              <w:topLinePunct w:val="0"/>
              <w:autoSpaceDE/>
              <w:autoSpaceDN/>
              <w:bidi w:val="0"/>
              <w:adjustRightInd/>
              <w:snapToGrid/>
              <w:spacing w:line="560" w:lineRule="exact"/>
              <w:ind w:firstLine="0" w:firstLineChars="0"/>
              <w:jc w:val="center"/>
              <w:textAlignment w:val="center"/>
              <w:rPr>
                <w:rFonts w:hint="eastAsia" w:ascii="宋体" w:hAnsi="宋体" w:eastAsia="宋体" w:cs="宋体"/>
                <w:i w:val="0"/>
                <w:iCs w:val="0"/>
                <w:color w:val="000000"/>
                <w:sz w:val="24"/>
                <w:szCs w:val="24"/>
                <w:highlight w:val="none"/>
                <w:u w:val="none"/>
                <w:lang w:val="en-US"/>
              </w:rPr>
            </w:pPr>
            <w:r>
              <w:rPr>
                <w:rFonts w:hint="eastAsia" w:ascii="宋体" w:hAnsi="宋体" w:eastAsia="宋体" w:cs="宋体"/>
                <w:i w:val="0"/>
                <w:iCs w:val="0"/>
                <w:color w:val="000000"/>
                <w:kern w:val="0"/>
                <w:sz w:val="24"/>
                <w:szCs w:val="24"/>
                <w:highlight w:val="none"/>
                <w:u w:val="none"/>
                <w:lang w:val="en-US" w:eastAsia="zh-CN" w:bidi="ar"/>
              </w:rPr>
              <w:t>10644</w:t>
            </w:r>
          </w:p>
        </w:tc>
        <w:tc>
          <w:tcPr>
            <w:tcW w:w="1301" w:type="pct"/>
            <w:tcBorders>
              <w:top w:val="nil"/>
              <w:left w:val="nil"/>
              <w:bottom w:val="single" w:color="000000" w:sz="8" w:space="0"/>
              <w:right w:val="single" w:color="000000" w:sz="8" w:space="0"/>
            </w:tcBorders>
            <w:shd w:val="clear" w:color="auto" w:fill="auto"/>
            <w:noWrap/>
            <w:vAlign w:val="center"/>
          </w:tcPr>
          <w:p w14:paraId="34654A31">
            <w:pPr>
              <w:keepNext w:val="0"/>
              <w:keepLines w:val="0"/>
              <w:pageBreakBefore w:val="0"/>
              <w:widowControl/>
              <w:suppressLineNumbers w:val="0"/>
              <w:kinsoku/>
              <w:wordWrap/>
              <w:overflowPunct/>
              <w:topLinePunct w:val="0"/>
              <w:autoSpaceDE/>
              <w:autoSpaceDN/>
              <w:bidi w:val="0"/>
              <w:adjustRightInd/>
              <w:snapToGrid/>
              <w:spacing w:line="560" w:lineRule="exact"/>
              <w:ind w:firstLine="0" w:firstLineChars="0"/>
              <w:jc w:val="center"/>
              <w:textAlignment w:val="center"/>
              <w:rPr>
                <w:rFonts w:hint="eastAsia" w:ascii="宋体" w:hAnsi="宋体" w:eastAsia="宋体" w:cs="宋体"/>
                <w:i w:val="0"/>
                <w:iCs w:val="0"/>
                <w:color w:val="000000"/>
                <w:sz w:val="24"/>
                <w:szCs w:val="24"/>
                <w:highlight w:val="none"/>
                <w:u w:val="none"/>
                <w:lang w:val="en-US"/>
              </w:rPr>
            </w:pPr>
            <w:r>
              <w:rPr>
                <w:rFonts w:hint="eastAsia" w:ascii="宋体" w:hAnsi="宋体" w:eastAsia="宋体" w:cs="宋体"/>
                <w:i w:val="0"/>
                <w:iCs w:val="0"/>
                <w:color w:val="000000"/>
                <w:kern w:val="0"/>
                <w:sz w:val="24"/>
                <w:szCs w:val="24"/>
                <w:highlight w:val="none"/>
                <w:u w:val="none"/>
                <w:lang w:val="en-US" w:eastAsia="zh-CN" w:bidi="ar"/>
              </w:rPr>
              <w:t>86</w:t>
            </w:r>
          </w:p>
        </w:tc>
      </w:tr>
      <w:tr w14:paraId="622804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1169" w:type="pct"/>
            <w:vMerge w:val="continue"/>
            <w:tcBorders>
              <w:top w:val="nil"/>
              <w:left w:val="single" w:color="000000" w:sz="8" w:space="0"/>
              <w:bottom w:val="single" w:color="000000" w:sz="8" w:space="0"/>
              <w:right w:val="single" w:color="000000" w:sz="8" w:space="0"/>
            </w:tcBorders>
            <w:shd w:val="clear" w:color="auto" w:fill="auto"/>
            <w:vAlign w:val="center"/>
          </w:tcPr>
          <w:p w14:paraId="7C4F72DA">
            <w:pPr>
              <w:keepNext w:val="0"/>
              <w:keepLines w:val="0"/>
              <w:pageBreakBefore w:val="0"/>
              <w:widowControl/>
              <w:kinsoku/>
              <w:wordWrap/>
              <w:overflowPunct/>
              <w:topLinePunct w:val="0"/>
              <w:autoSpaceDE/>
              <w:autoSpaceDN/>
              <w:bidi w:val="0"/>
              <w:adjustRightInd/>
              <w:snapToGrid/>
              <w:spacing w:line="560" w:lineRule="exact"/>
              <w:ind w:firstLine="0" w:firstLineChars="0"/>
              <w:jc w:val="center"/>
              <w:rPr>
                <w:rFonts w:hint="eastAsia" w:ascii="宋体" w:hAnsi="宋体" w:eastAsia="宋体" w:cs="宋体"/>
                <w:i w:val="0"/>
                <w:iCs w:val="0"/>
                <w:color w:val="000000"/>
                <w:sz w:val="24"/>
                <w:szCs w:val="24"/>
                <w:highlight w:val="none"/>
                <w:u w:val="none"/>
              </w:rPr>
            </w:pPr>
          </w:p>
        </w:tc>
        <w:tc>
          <w:tcPr>
            <w:tcW w:w="582" w:type="pct"/>
            <w:vMerge w:val="continue"/>
            <w:tcBorders>
              <w:top w:val="nil"/>
              <w:left w:val="nil"/>
              <w:bottom w:val="single" w:color="000000" w:sz="8" w:space="0"/>
              <w:right w:val="single" w:color="000000" w:sz="8" w:space="0"/>
            </w:tcBorders>
            <w:shd w:val="clear" w:color="auto" w:fill="auto"/>
            <w:noWrap/>
            <w:vAlign w:val="center"/>
          </w:tcPr>
          <w:p w14:paraId="6BC0551C">
            <w:pPr>
              <w:keepNext w:val="0"/>
              <w:keepLines w:val="0"/>
              <w:pageBreakBefore w:val="0"/>
              <w:widowControl/>
              <w:kinsoku/>
              <w:wordWrap/>
              <w:overflowPunct/>
              <w:topLinePunct w:val="0"/>
              <w:autoSpaceDE/>
              <w:autoSpaceDN/>
              <w:bidi w:val="0"/>
              <w:adjustRightInd/>
              <w:snapToGrid/>
              <w:spacing w:line="560" w:lineRule="exact"/>
              <w:ind w:firstLine="0" w:firstLineChars="0"/>
              <w:jc w:val="center"/>
              <w:rPr>
                <w:rFonts w:hint="eastAsia" w:ascii="宋体" w:hAnsi="宋体" w:eastAsia="宋体" w:cs="宋体"/>
                <w:i w:val="0"/>
                <w:iCs w:val="0"/>
                <w:color w:val="000000"/>
                <w:sz w:val="24"/>
                <w:szCs w:val="24"/>
                <w:highlight w:val="none"/>
                <w:u w:val="none"/>
              </w:rPr>
            </w:pPr>
          </w:p>
        </w:tc>
        <w:tc>
          <w:tcPr>
            <w:tcW w:w="872" w:type="pct"/>
            <w:tcBorders>
              <w:top w:val="nil"/>
              <w:left w:val="nil"/>
              <w:bottom w:val="single" w:color="000000" w:sz="8" w:space="0"/>
              <w:right w:val="single" w:color="000000" w:sz="8" w:space="0"/>
            </w:tcBorders>
            <w:shd w:val="clear" w:color="auto" w:fill="auto"/>
            <w:noWrap/>
            <w:vAlign w:val="center"/>
          </w:tcPr>
          <w:p w14:paraId="3B280AFF">
            <w:pPr>
              <w:keepNext w:val="0"/>
              <w:keepLines w:val="0"/>
              <w:pageBreakBefore w:val="0"/>
              <w:widowControl/>
              <w:suppressLineNumbers w:val="0"/>
              <w:kinsoku/>
              <w:wordWrap/>
              <w:overflowPunct/>
              <w:topLinePunct w:val="0"/>
              <w:autoSpaceDE/>
              <w:autoSpaceDN/>
              <w:bidi w:val="0"/>
              <w:adjustRightInd/>
              <w:snapToGrid/>
              <w:spacing w:line="560" w:lineRule="exact"/>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rPr>
              <w:t>两河村</w:t>
            </w:r>
          </w:p>
        </w:tc>
        <w:tc>
          <w:tcPr>
            <w:tcW w:w="1074" w:type="pct"/>
            <w:tcBorders>
              <w:top w:val="nil"/>
              <w:left w:val="nil"/>
              <w:bottom w:val="single" w:color="000000" w:sz="8" w:space="0"/>
              <w:right w:val="single" w:color="000000" w:sz="8" w:space="0"/>
            </w:tcBorders>
            <w:shd w:val="clear" w:color="auto" w:fill="auto"/>
            <w:noWrap/>
            <w:vAlign w:val="center"/>
          </w:tcPr>
          <w:p w14:paraId="53D12C60">
            <w:pPr>
              <w:keepNext w:val="0"/>
              <w:keepLines w:val="0"/>
              <w:pageBreakBefore w:val="0"/>
              <w:widowControl/>
              <w:suppressLineNumbers w:val="0"/>
              <w:kinsoku/>
              <w:wordWrap/>
              <w:overflowPunct/>
              <w:topLinePunct w:val="0"/>
              <w:autoSpaceDE/>
              <w:autoSpaceDN/>
              <w:bidi w:val="0"/>
              <w:adjustRightInd/>
              <w:snapToGrid/>
              <w:spacing w:line="560" w:lineRule="exact"/>
              <w:ind w:firstLine="0" w:firstLineChars="0"/>
              <w:jc w:val="center"/>
              <w:textAlignment w:val="center"/>
              <w:rPr>
                <w:rFonts w:hint="eastAsia" w:ascii="宋体" w:hAnsi="宋体" w:eastAsia="宋体" w:cs="宋体"/>
                <w:i w:val="0"/>
                <w:iCs w:val="0"/>
                <w:color w:val="000000"/>
                <w:sz w:val="24"/>
                <w:szCs w:val="24"/>
                <w:highlight w:val="none"/>
                <w:u w:val="none"/>
                <w:lang w:val="en-US"/>
              </w:rPr>
            </w:pPr>
            <w:r>
              <w:rPr>
                <w:rFonts w:hint="eastAsia" w:ascii="宋体" w:hAnsi="宋体" w:eastAsia="宋体" w:cs="宋体"/>
                <w:i w:val="0"/>
                <w:iCs w:val="0"/>
                <w:color w:val="000000"/>
                <w:kern w:val="0"/>
                <w:sz w:val="24"/>
                <w:szCs w:val="24"/>
                <w:highlight w:val="none"/>
                <w:u w:val="none"/>
                <w:lang w:val="en-US" w:eastAsia="zh-CN" w:bidi="ar"/>
              </w:rPr>
              <w:t>1548</w:t>
            </w:r>
          </w:p>
        </w:tc>
        <w:tc>
          <w:tcPr>
            <w:tcW w:w="1301" w:type="pct"/>
            <w:tcBorders>
              <w:top w:val="nil"/>
              <w:left w:val="nil"/>
              <w:bottom w:val="single" w:color="000000" w:sz="8" w:space="0"/>
              <w:right w:val="single" w:color="000000" w:sz="8" w:space="0"/>
            </w:tcBorders>
            <w:shd w:val="clear" w:color="auto" w:fill="auto"/>
            <w:noWrap/>
            <w:vAlign w:val="center"/>
          </w:tcPr>
          <w:p w14:paraId="67E36712">
            <w:pPr>
              <w:keepNext w:val="0"/>
              <w:keepLines w:val="0"/>
              <w:pageBreakBefore w:val="0"/>
              <w:widowControl/>
              <w:suppressLineNumbers w:val="0"/>
              <w:kinsoku/>
              <w:wordWrap/>
              <w:overflowPunct/>
              <w:topLinePunct w:val="0"/>
              <w:autoSpaceDE/>
              <w:autoSpaceDN/>
              <w:bidi w:val="0"/>
              <w:adjustRightInd/>
              <w:snapToGrid/>
              <w:spacing w:line="560" w:lineRule="exact"/>
              <w:ind w:firstLine="0" w:firstLineChars="0"/>
              <w:jc w:val="center"/>
              <w:textAlignment w:val="center"/>
              <w:rPr>
                <w:rFonts w:hint="eastAsia" w:ascii="宋体" w:hAnsi="宋体" w:eastAsia="宋体" w:cs="宋体"/>
                <w:i w:val="0"/>
                <w:iCs w:val="0"/>
                <w:color w:val="000000"/>
                <w:sz w:val="24"/>
                <w:szCs w:val="24"/>
                <w:highlight w:val="none"/>
                <w:u w:val="none"/>
                <w:lang w:val="en-US"/>
              </w:rPr>
            </w:pPr>
            <w:r>
              <w:rPr>
                <w:rFonts w:hint="eastAsia" w:ascii="宋体" w:hAnsi="宋体" w:eastAsia="宋体" w:cs="宋体"/>
                <w:i w:val="0"/>
                <w:iCs w:val="0"/>
                <w:color w:val="000000"/>
                <w:kern w:val="0"/>
                <w:sz w:val="24"/>
                <w:szCs w:val="24"/>
                <w:highlight w:val="none"/>
                <w:u w:val="none"/>
                <w:lang w:val="en-US" w:eastAsia="zh-CN" w:bidi="ar"/>
              </w:rPr>
              <w:t>14</w:t>
            </w:r>
          </w:p>
        </w:tc>
      </w:tr>
      <w:tr w14:paraId="4EC6ED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1169" w:type="pct"/>
            <w:vMerge w:val="continue"/>
            <w:tcBorders>
              <w:top w:val="nil"/>
              <w:left w:val="single" w:color="000000" w:sz="8" w:space="0"/>
              <w:bottom w:val="single" w:color="000000" w:sz="8" w:space="0"/>
              <w:right w:val="single" w:color="000000" w:sz="8" w:space="0"/>
            </w:tcBorders>
            <w:shd w:val="clear" w:color="auto" w:fill="auto"/>
            <w:vAlign w:val="center"/>
          </w:tcPr>
          <w:p w14:paraId="74D550D2">
            <w:pPr>
              <w:keepNext w:val="0"/>
              <w:keepLines w:val="0"/>
              <w:pageBreakBefore w:val="0"/>
              <w:widowControl/>
              <w:kinsoku/>
              <w:wordWrap/>
              <w:overflowPunct/>
              <w:topLinePunct w:val="0"/>
              <w:autoSpaceDE/>
              <w:autoSpaceDN/>
              <w:bidi w:val="0"/>
              <w:adjustRightInd/>
              <w:snapToGrid/>
              <w:spacing w:line="560" w:lineRule="exact"/>
              <w:ind w:firstLine="0" w:firstLineChars="0"/>
              <w:jc w:val="center"/>
              <w:rPr>
                <w:rFonts w:hint="eastAsia" w:ascii="宋体" w:hAnsi="宋体" w:eastAsia="宋体" w:cs="宋体"/>
                <w:i w:val="0"/>
                <w:iCs w:val="0"/>
                <w:color w:val="000000"/>
                <w:sz w:val="24"/>
                <w:szCs w:val="24"/>
                <w:highlight w:val="none"/>
                <w:u w:val="none"/>
              </w:rPr>
            </w:pPr>
          </w:p>
        </w:tc>
        <w:tc>
          <w:tcPr>
            <w:tcW w:w="582" w:type="pct"/>
            <w:vMerge w:val="continue"/>
            <w:tcBorders>
              <w:top w:val="nil"/>
              <w:left w:val="nil"/>
              <w:bottom w:val="single" w:color="000000" w:sz="8" w:space="0"/>
              <w:right w:val="single" w:color="000000" w:sz="8" w:space="0"/>
            </w:tcBorders>
            <w:shd w:val="clear" w:color="auto" w:fill="auto"/>
            <w:noWrap/>
            <w:vAlign w:val="center"/>
          </w:tcPr>
          <w:p w14:paraId="29C876BC">
            <w:pPr>
              <w:keepNext w:val="0"/>
              <w:keepLines w:val="0"/>
              <w:pageBreakBefore w:val="0"/>
              <w:widowControl/>
              <w:kinsoku/>
              <w:wordWrap/>
              <w:overflowPunct/>
              <w:topLinePunct w:val="0"/>
              <w:autoSpaceDE/>
              <w:autoSpaceDN/>
              <w:bidi w:val="0"/>
              <w:adjustRightInd/>
              <w:snapToGrid/>
              <w:spacing w:line="560" w:lineRule="exact"/>
              <w:ind w:firstLine="0" w:firstLineChars="0"/>
              <w:jc w:val="center"/>
              <w:rPr>
                <w:rFonts w:hint="eastAsia" w:ascii="宋体" w:hAnsi="宋体" w:eastAsia="宋体" w:cs="宋体"/>
                <w:i w:val="0"/>
                <w:iCs w:val="0"/>
                <w:color w:val="000000"/>
                <w:sz w:val="24"/>
                <w:szCs w:val="24"/>
                <w:highlight w:val="none"/>
                <w:u w:val="none"/>
              </w:rPr>
            </w:pPr>
          </w:p>
        </w:tc>
        <w:tc>
          <w:tcPr>
            <w:tcW w:w="872" w:type="pct"/>
            <w:tcBorders>
              <w:top w:val="nil"/>
              <w:left w:val="nil"/>
              <w:bottom w:val="single" w:color="000000" w:sz="8" w:space="0"/>
              <w:right w:val="single" w:color="000000" w:sz="8" w:space="0"/>
            </w:tcBorders>
            <w:shd w:val="clear" w:color="auto" w:fill="auto"/>
            <w:noWrap/>
            <w:vAlign w:val="center"/>
          </w:tcPr>
          <w:p w14:paraId="65F5E9FE">
            <w:pPr>
              <w:keepNext w:val="0"/>
              <w:keepLines w:val="0"/>
              <w:pageBreakBefore w:val="0"/>
              <w:widowControl/>
              <w:suppressLineNumbers w:val="0"/>
              <w:kinsoku/>
              <w:wordWrap/>
              <w:overflowPunct/>
              <w:topLinePunct w:val="0"/>
              <w:autoSpaceDE/>
              <w:autoSpaceDN/>
              <w:bidi w:val="0"/>
              <w:adjustRightInd/>
              <w:snapToGrid/>
              <w:spacing w:line="560" w:lineRule="exact"/>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马房子村</w:t>
            </w:r>
          </w:p>
        </w:tc>
        <w:tc>
          <w:tcPr>
            <w:tcW w:w="1074" w:type="pct"/>
            <w:tcBorders>
              <w:top w:val="nil"/>
              <w:left w:val="nil"/>
              <w:bottom w:val="single" w:color="000000" w:sz="8" w:space="0"/>
              <w:right w:val="single" w:color="000000" w:sz="8" w:space="0"/>
            </w:tcBorders>
            <w:shd w:val="clear" w:color="auto" w:fill="auto"/>
            <w:noWrap/>
            <w:vAlign w:val="center"/>
          </w:tcPr>
          <w:p w14:paraId="3F75A20A">
            <w:pPr>
              <w:keepNext w:val="0"/>
              <w:keepLines w:val="0"/>
              <w:pageBreakBefore w:val="0"/>
              <w:widowControl/>
              <w:suppressLineNumbers w:val="0"/>
              <w:kinsoku/>
              <w:wordWrap/>
              <w:overflowPunct/>
              <w:topLinePunct w:val="0"/>
              <w:autoSpaceDE/>
              <w:autoSpaceDN/>
              <w:bidi w:val="0"/>
              <w:adjustRightInd/>
              <w:snapToGrid/>
              <w:spacing w:line="560" w:lineRule="exact"/>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9096</w:t>
            </w:r>
          </w:p>
        </w:tc>
        <w:tc>
          <w:tcPr>
            <w:tcW w:w="1301" w:type="pct"/>
            <w:tcBorders>
              <w:top w:val="nil"/>
              <w:left w:val="nil"/>
              <w:bottom w:val="single" w:color="000000" w:sz="8" w:space="0"/>
              <w:right w:val="single" w:color="000000" w:sz="8" w:space="0"/>
            </w:tcBorders>
            <w:shd w:val="clear" w:color="auto" w:fill="auto"/>
            <w:noWrap/>
            <w:vAlign w:val="center"/>
          </w:tcPr>
          <w:p w14:paraId="711648FF">
            <w:pPr>
              <w:keepNext w:val="0"/>
              <w:keepLines w:val="0"/>
              <w:pageBreakBefore w:val="0"/>
              <w:widowControl/>
              <w:suppressLineNumbers w:val="0"/>
              <w:kinsoku/>
              <w:wordWrap/>
              <w:overflowPunct/>
              <w:topLinePunct w:val="0"/>
              <w:autoSpaceDE/>
              <w:autoSpaceDN/>
              <w:bidi w:val="0"/>
              <w:adjustRightInd/>
              <w:snapToGrid/>
              <w:spacing w:line="560" w:lineRule="exact"/>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72</w:t>
            </w:r>
          </w:p>
        </w:tc>
      </w:tr>
    </w:tbl>
    <w:p w14:paraId="48A7BF54">
      <w:pPr>
        <w:pStyle w:val="5"/>
        <w:pageBreakBefore w:val="0"/>
        <w:kinsoku/>
        <w:wordWrap/>
        <w:overflowPunct/>
        <w:topLinePunct w:val="0"/>
        <w:autoSpaceDE/>
        <w:autoSpaceDN/>
        <w:bidi w:val="0"/>
        <w:adjustRightInd/>
        <w:snapToGrid/>
        <w:spacing w:line="560" w:lineRule="exact"/>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3</w:t>
      </w:r>
      <w:r>
        <w:rPr>
          <w:rFonts w:hint="eastAsia" w:ascii="宋体" w:hAnsi="宋体" w:eastAsia="宋体" w:cs="宋体"/>
          <w:sz w:val="24"/>
          <w:szCs w:val="24"/>
          <w:highlight w:val="none"/>
        </w:rPr>
        <w:t>主要技术措施</w:t>
      </w:r>
      <w:bookmarkEnd w:id="186"/>
      <w:bookmarkEnd w:id="187"/>
      <w:bookmarkEnd w:id="188"/>
      <w:bookmarkStart w:id="189" w:name="_Toc8825"/>
      <w:bookmarkStart w:id="190" w:name="_Toc5153"/>
    </w:p>
    <w:p w14:paraId="37BE2EED">
      <w:pPr>
        <w:pStyle w:val="5"/>
        <w:pageBreakBefore w:val="0"/>
        <w:kinsoku/>
        <w:wordWrap/>
        <w:overflowPunct/>
        <w:topLinePunct w:val="0"/>
        <w:autoSpaceDE/>
        <w:autoSpaceDN/>
        <w:bidi w:val="0"/>
        <w:adjustRightInd/>
        <w:snapToGrid/>
        <w:spacing w:line="560" w:lineRule="exact"/>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3</w:t>
      </w:r>
      <w:r>
        <w:rPr>
          <w:rFonts w:hint="eastAsia" w:ascii="宋体" w:hAnsi="宋体" w:eastAsia="宋体" w:cs="宋体"/>
          <w:sz w:val="24"/>
          <w:szCs w:val="24"/>
          <w:highlight w:val="none"/>
        </w:rPr>
        <w:t>.1 采伐</w:t>
      </w:r>
      <w:bookmarkEnd w:id="189"/>
      <w:bookmarkEnd w:id="190"/>
    </w:p>
    <w:p w14:paraId="1AC0D1FB">
      <w:pPr>
        <w:pageBreakBefore w:val="0"/>
        <w:kinsoku/>
        <w:wordWrap/>
        <w:overflowPunct/>
        <w:topLinePunct w:val="0"/>
        <w:autoSpaceDE/>
        <w:autoSpaceDN/>
        <w:bidi w:val="0"/>
        <w:adjustRightInd/>
        <w:snapToGrid/>
        <w:spacing w:line="560" w:lineRule="exact"/>
        <w:ind w:firstLine="56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通过</w:t>
      </w:r>
      <w:r>
        <w:rPr>
          <w:rFonts w:hint="eastAsia" w:ascii="宋体" w:hAnsi="宋体" w:eastAsia="宋体" w:cs="宋体"/>
          <w:sz w:val="24"/>
          <w:szCs w:val="24"/>
          <w:highlight w:val="none"/>
        </w:rPr>
        <w:t>采伐，调整林分密度、树种组成和林分结构。采伐后要依据林分状况和经营目标及时补植补</w:t>
      </w:r>
      <w:r>
        <w:rPr>
          <w:rFonts w:hint="eastAsia" w:ascii="宋体" w:hAnsi="宋体" w:eastAsia="宋体" w:cs="宋体"/>
          <w:sz w:val="24"/>
          <w:szCs w:val="24"/>
          <w:highlight w:val="none"/>
          <w:lang w:val="en-US" w:eastAsia="zh-CN"/>
        </w:rPr>
        <w:t>造</w:t>
      </w:r>
      <w:r>
        <w:rPr>
          <w:rFonts w:hint="eastAsia" w:ascii="宋体" w:hAnsi="宋体" w:eastAsia="宋体" w:cs="宋体"/>
          <w:sz w:val="24"/>
          <w:szCs w:val="24"/>
          <w:highlight w:val="none"/>
        </w:rPr>
        <w:t>，培育混交林。</w:t>
      </w:r>
    </w:p>
    <w:p w14:paraId="2E673EA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kern w:val="2"/>
          <w:sz w:val="24"/>
          <w:szCs w:val="24"/>
          <w:lang w:val="en-US" w:eastAsia="zh-CN" w:bidi="ar-SA"/>
        </w:rPr>
        <w:t>(1)</w:t>
      </w:r>
      <w:r>
        <w:rPr>
          <w:rFonts w:hint="eastAsia" w:ascii="宋体" w:hAnsi="宋体" w:eastAsia="宋体" w:cs="宋体"/>
          <w:sz w:val="24"/>
          <w:szCs w:val="24"/>
          <w:highlight w:val="none"/>
        </w:rPr>
        <w:t>采伐方式：疏伐</w:t>
      </w:r>
    </w:p>
    <w:p w14:paraId="31C93CE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kern w:val="2"/>
          <w:sz w:val="24"/>
          <w:szCs w:val="24"/>
          <w:lang w:val="en-US" w:eastAsia="zh-CN" w:bidi="ar-SA"/>
        </w:rPr>
        <w:t>(2)</w:t>
      </w:r>
      <w:r>
        <w:rPr>
          <w:rFonts w:hint="eastAsia" w:ascii="宋体" w:hAnsi="宋体" w:eastAsia="宋体" w:cs="宋体"/>
          <w:sz w:val="24"/>
          <w:szCs w:val="24"/>
          <w:highlight w:val="none"/>
        </w:rPr>
        <w:t>平均株数采伐强度为</w:t>
      </w:r>
      <w:r>
        <w:rPr>
          <w:rFonts w:hint="eastAsia" w:ascii="宋体" w:hAnsi="宋体" w:eastAsia="宋体" w:cs="宋体"/>
          <w:sz w:val="24"/>
          <w:szCs w:val="24"/>
          <w:highlight w:val="none"/>
          <w:lang w:val="en-US" w:eastAsia="zh-CN"/>
        </w:rPr>
        <w:t>12</w:t>
      </w:r>
      <w:r>
        <w:rPr>
          <w:rFonts w:hint="eastAsia" w:ascii="宋体" w:hAnsi="宋体" w:eastAsia="宋体" w:cs="宋体"/>
          <w:sz w:val="24"/>
          <w:szCs w:val="24"/>
          <w:highlight w:val="none"/>
        </w:rPr>
        <w:t>%；平均蓄积采伐强度为9%；各小班株数采伐强度介于8%</w:t>
      </w:r>
    </w:p>
    <w:p w14:paraId="07773720">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至20%之间；各小班蓄积采伐强度介于5%至12%。</w:t>
      </w:r>
    </w:p>
    <w:p w14:paraId="05DD0E2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kern w:val="2"/>
          <w:sz w:val="24"/>
          <w:szCs w:val="24"/>
          <w:lang w:val="en-US" w:eastAsia="zh-CN" w:bidi="ar-SA"/>
        </w:rPr>
        <w:t>(3)</w:t>
      </w:r>
      <w:r>
        <w:rPr>
          <w:rFonts w:hint="eastAsia" w:ascii="宋体" w:hAnsi="宋体" w:eastAsia="宋体" w:cs="宋体"/>
          <w:sz w:val="24"/>
          <w:szCs w:val="24"/>
          <w:highlight w:val="none"/>
        </w:rPr>
        <w:t>技术要领：</w:t>
      </w:r>
    </w:p>
    <w:p w14:paraId="084F1A48">
      <w:pPr>
        <w:pageBreakBefore w:val="0"/>
        <w:kinsoku/>
        <w:wordWrap/>
        <w:overflowPunct/>
        <w:topLinePunct w:val="0"/>
        <w:autoSpaceDE/>
        <w:autoSpaceDN/>
        <w:bidi w:val="0"/>
        <w:adjustRightInd/>
        <w:snapToGrid/>
        <w:spacing w:line="56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①采伐作业前：</w:t>
      </w:r>
    </w:p>
    <w:p w14:paraId="7126331A">
      <w:pPr>
        <w:pageBreakBefore w:val="0"/>
        <w:kinsoku/>
        <w:wordWrap/>
        <w:overflowPunct/>
        <w:topLinePunct w:val="0"/>
        <w:autoSpaceDE/>
        <w:autoSpaceDN/>
        <w:bidi w:val="0"/>
        <w:adjustRightInd/>
        <w:snapToGrid/>
        <w:spacing w:line="56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依据当地林木采伐限额管理制度，完成林木采伐手续的办理。</w:t>
      </w:r>
    </w:p>
    <w:p w14:paraId="0438D823">
      <w:pPr>
        <w:pageBreakBefore w:val="0"/>
        <w:kinsoku/>
        <w:wordWrap/>
        <w:overflowPunct/>
        <w:topLinePunct w:val="0"/>
        <w:autoSpaceDE/>
        <w:autoSpaceDN/>
        <w:bidi w:val="0"/>
        <w:adjustRightInd/>
        <w:snapToGrid/>
        <w:spacing w:line="560" w:lineRule="exact"/>
        <w:ind w:firstLine="480" w:firstLineChars="20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施工技术人员依据设计图纸，通过打桩、使用红漆标记、现场指导或绘制草图等方式，精确标定施工作业小班的边界，确保采伐作业的准确率高达100%。</w:t>
      </w:r>
    </w:p>
    <w:p w14:paraId="38E49C0C">
      <w:pPr>
        <w:pageBreakBefore w:val="0"/>
        <w:kinsoku/>
        <w:wordWrap/>
        <w:overflowPunct/>
        <w:topLinePunct w:val="0"/>
        <w:autoSpaceDE/>
        <w:autoSpaceDN/>
        <w:bidi w:val="0"/>
        <w:adjustRightInd/>
        <w:snapToGrid/>
        <w:spacing w:line="56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根据《森林抚育规程》（GB/T 15781-2015）的规定，对林木进行细致的分类。林木分类应明确划分为目标树、辅助树、干扰树以及其他树四种类型。遵循“砍劣留优、砍小留大、砍密留匀、分布均匀、疏密适度”的原则，优先</w:t>
      </w:r>
      <w:r>
        <w:rPr>
          <w:rFonts w:hint="eastAsia" w:ascii="宋体" w:hAnsi="宋体" w:eastAsia="宋体" w:cs="宋体"/>
          <w:sz w:val="24"/>
          <w:szCs w:val="24"/>
          <w:highlight w:val="none"/>
          <w:lang w:eastAsia="zh-CN"/>
        </w:rPr>
        <w:t>伐</w:t>
      </w:r>
      <w:r>
        <w:rPr>
          <w:rFonts w:hint="eastAsia" w:ascii="宋体" w:hAnsi="宋体" w:eastAsia="宋体" w:cs="宋体"/>
          <w:sz w:val="24"/>
          <w:szCs w:val="24"/>
          <w:highlight w:val="none"/>
        </w:rPr>
        <w:t>干扰树（即影响目标树生长和林分环境的林木），在需要调整树种结构或促进天然更新的情况下，可以适当采伐其他类型的树木。</w:t>
      </w:r>
    </w:p>
    <w:p w14:paraId="2A484D7D">
      <w:pPr>
        <w:pageBreakBefore w:val="0"/>
        <w:kinsoku/>
        <w:wordWrap/>
        <w:overflowPunct/>
        <w:topLinePunct w:val="0"/>
        <w:autoSpaceDE/>
        <w:autoSpaceDN/>
        <w:bidi w:val="0"/>
        <w:adjustRightInd/>
        <w:snapToGrid/>
        <w:spacing w:line="560" w:lineRule="exact"/>
        <w:ind w:firstLine="480" w:firstLineChars="20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打号员需依照作业设计指导，对选定为采伐对象的干扰树及其他林木进行预先标记，明确采伐的先后顺序，并精确确定采伐的具体树木，以避免不当采伐或超出预定限额。</w:t>
      </w:r>
    </w:p>
    <w:p w14:paraId="2939F636">
      <w:pPr>
        <w:pageBreakBefore w:val="0"/>
        <w:kinsoku/>
        <w:wordWrap/>
        <w:overflowPunct/>
        <w:topLinePunct w:val="0"/>
        <w:autoSpaceDE/>
        <w:autoSpaceDN/>
        <w:bidi w:val="0"/>
        <w:adjustRightInd/>
        <w:snapToGrid/>
        <w:spacing w:line="56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②采伐作业：</w:t>
      </w:r>
    </w:p>
    <w:p w14:paraId="1305238D">
      <w:pPr>
        <w:pageBreakBefore w:val="0"/>
        <w:kinsoku/>
        <w:wordWrap/>
        <w:overflowPunct/>
        <w:topLinePunct w:val="0"/>
        <w:autoSpaceDE/>
        <w:autoSpaceDN/>
        <w:bidi w:val="0"/>
        <w:adjustRightInd/>
        <w:snapToGrid/>
        <w:spacing w:line="56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根据标记确定的采伐木进行采伐。在采伐林木的过程中，专业人员应使用油锯或其他采伐工具，细致观察树木的树冠形态、树干是否腐朽、倾斜或弯曲，并考虑风向和风力，以控制采伐林木的倒向，确保施工人员和保留林木的安全。务必避免错误砍伐或遗漏，确保采伐木的伐桩高度不超过5厘米，并保持伐桩平整。</w:t>
      </w:r>
    </w:p>
    <w:p w14:paraId="00D12C17">
      <w:pPr>
        <w:pageBreakBefore w:val="0"/>
        <w:kinsoku/>
        <w:wordWrap/>
        <w:overflowPunct/>
        <w:topLinePunct w:val="0"/>
        <w:autoSpaceDE/>
        <w:autoSpaceDN/>
        <w:bidi w:val="0"/>
        <w:adjustRightInd/>
        <w:snapToGrid/>
        <w:spacing w:line="560" w:lineRule="exact"/>
        <w:ind w:firstLine="480" w:firstLineChars="20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需清除被伐木周围1米—2米以内的藤条、灌木和攀缘植物，冬季作业时应清除或踏实积雪。提升伐木技术，应尽可能降低伐根高度，下口深度应为树木根部直径的1/4至1/3，开口高度为其深度的1/2，抽片或砍口应延伸至下口尽头。上口与下口的上锯口应处于同一水平面，留弦厚度不应小于直径的10%。禁止使用斧头伐树，以防止劈裂、</w:t>
      </w:r>
      <w:r>
        <w:rPr>
          <w:rFonts w:hint="eastAsia" w:ascii="宋体" w:hAnsi="宋体" w:eastAsia="宋体" w:cs="宋体"/>
          <w:sz w:val="24"/>
          <w:szCs w:val="24"/>
          <w:highlight w:val="none"/>
          <w:lang w:eastAsia="zh-CN"/>
        </w:rPr>
        <w:t>倒挂</w:t>
      </w:r>
      <w:r>
        <w:rPr>
          <w:rFonts w:hint="eastAsia" w:ascii="宋体" w:hAnsi="宋体" w:eastAsia="宋体" w:cs="宋体"/>
          <w:sz w:val="24"/>
          <w:szCs w:val="24"/>
          <w:highlight w:val="none"/>
        </w:rPr>
        <w:t>，减少木材损失。采伐后，林分郁闭度不得低于0.6，林木分布应均匀，避免造成林中空地和林窗，否则应进行补植。</w:t>
      </w:r>
    </w:p>
    <w:p w14:paraId="56222EBF">
      <w:pPr>
        <w:pageBreakBefore w:val="0"/>
        <w:kinsoku/>
        <w:wordWrap/>
        <w:overflowPunct/>
        <w:topLinePunct w:val="0"/>
        <w:autoSpaceDE/>
        <w:autoSpaceDN/>
        <w:bidi w:val="0"/>
        <w:adjustRightInd/>
        <w:snapToGrid/>
        <w:spacing w:line="56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③采伐作业后：</w:t>
      </w:r>
    </w:p>
    <w:p w14:paraId="03E9659A">
      <w:pPr>
        <w:pageBreakBefore w:val="0"/>
        <w:kinsoku/>
        <w:wordWrap/>
        <w:overflowPunct/>
        <w:topLinePunct w:val="0"/>
        <w:autoSpaceDE/>
        <w:autoSpaceDN/>
        <w:bidi w:val="0"/>
        <w:adjustRightInd/>
        <w:snapToGrid/>
        <w:spacing w:line="56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剩余物处理：在疏伐作业完成后，应将剩余物截短并有序地散铺或带状堆码，以便进行堆腐处理。处理过程中，需综合考虑有效利用、森林病虫害防治、森林防火和环境保护等多方面要求，进行合理分类，并采取运出或按一定间距均匀堆放等适当方式。堆放时应远离人类活动频繁的区域以及道路两旁，以防止因人为或其他因素引发的森林火灾。</w:t>
      </w:r>
      <w:bookmarkStart w:id="191" w:name="_Toc8390"/>
      <w:bookmarkStart w:id="192" w:name="_Toc732"/>
    </w:p>
    <w:p w14:paraId="5BC382E2">
      <w:pPr>
        <w:pageBreakBefore w:val="0"/>
        <w:kinsoku/>
        <w:wordWrap/>
        <w:overflowPunct/>
        <w:topLinePunct w:val="0"/>
        <w:autoSpaceDE/>
        <w:autoSpaceDN/>
        <w:bidi w:val="0"/>
        <w:adjustRightInd/>
        <w:snapToGrid/>
        <w:spacing w:line="560" w:lineRule="exact"/>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val="en-US" w:eastAsia="zh-CN"/>
        </w:rPr>
        <w:t>3</w:t>
      </w:r>
      <w:r>
        <w:rPr>
          <w:rFonts w:hint="eastAsia" w:ascii="宋体" w:hAnsi="宋体" w:eastAsia="宋体" w:cs="宋体"/>
          <w:b/>
          <w:bCs/>
          <w:sz w:val="24"/>
          <w:szCs w:val="24"/>
          <w:highlight w:val="none"/>
        </w:rPr>
        <w:t>.2 补植</w:t>
      </w:r>
      <w:bookmarkEnd w:id="191"/>
      <w:bookmarkEnd w:id="192"/>
    </w:p>
    <w:p w14:paraId="11C13BFB">
      <w:pPr>
        <w:pageBreakBefore w:val="0"/>
        <w:kinsoku/>
        <w:wordWrap/>
        <w:overflowPunct/>
        <w:topLinePunct w:val="0"/>
        <w:autoSpaceDE/>
        <w:autoSpaceDN/>
        <w:bidi w:val="0"/>
        <w:adjustRightInd/>
        <w:snapToGrid/>
        <w:spacing w:line="560" w:lineRule="exact"/>
        <w:ind w:firstLine="480" w:firstLineChars="20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对于</w:t>
      </w:r>
      <w:r>
        <w:rPr>
          <w:rFonts w:hint="eastAsia" w:ascii="宋体" w:hAnsi="宋体" w:eastAsia="宋体" w:cs="宋体"/>
          <w:sz w:val="24"/>
          <w:szCs w:val="24"/>
          <w:highlight w:val="none"/>
          <w:lang w:val="en-US" w:eastAsia="zh-CN"/>
        </w:rPr>
        <w:t>林中空地和</w:t>
      </w:r>
      <w:r>
        <w:rPr>
          <w:rFonts w:hint="eastAsia" w:ascii="宋体" w:hAnsi="宋体" w:eastAsia="宋体" w:cs="宋体"/>
          <w:sz w:val="24"/>
          <w:szCs w:val="24"/>
          <w:highlight w:val="none"/>
        </w:rPr>
        <w:t>采伐作业后</w:t>
      </w:r>
      <w:r>
        <w:rPr>
          <w:rFonts w:hint="eastAsia" w:ascii="宋体" w:hAnsi="宋体" w:eastAsia="宋体" w:cs="宋体"/>
          <w:sz w:val="24"/>
          <w:szCs w:val="24"/>
          <w:highlight w:val="none"/>
          <w:lang w:val="en-US" w:eastAsia="zh-CN"/>
        </w:rPr>
        <w:t>形成</w:t>
      </w:r>
      <w:r>
        <w:rPr>
          <w:rFonts w:hint="eastAsia" w:ascii="宋体" w:hAnsi="宋体" w:eastAsia="宋体" w:cs="宋体"/>
          <w:sz w:val="24"/>
          <w:szCs w:val="24"/>
          <w:highlight w:val="none"/>
        </w:rPr>
        <w:t>的</w:t>
      </w:r>
      <w:r>
        <w:rPr>
          <w:rFonts w:hint="eastAsia" w:ascii="宋体" w:hAnsi="宋体" w:eastAsia="宋体" w:cs="宋体"/>
          <w:sz w:val="24"/>
          <w:szCs w:val="24"/>
          <w:highlight w:val="none"/>
          <w:lang w:val="en-US" w:eastAsia="zh-CN"/>
        </w:rPr>
        <w:t>天窗</w:t>
      </w:r>
      <w:r>
        <w:rPr>
          <w:rFonts w:hint="eastAsia" w:ascii="宋体" w:hAnsi="宋体" w:eastAsia="宋体" w:cs="宋体"/>
          <w:sz w:val="24"/>
          <w:szCs w:val="24"/>
          <w:highlight w:val="none"/>
        </w:rPr>
        <w:t>，并且仅依赖天然更新难以</w:t>
      </w:r>
      <w:r>
        <w:rPr>
          <w:rFonts w:hint="eastAsia" w:ascii="宋体" w:hAnsi="宋体" w:eastAsia="宋体" w:cs="宋体"/>
          <w:sz w:val="24"/>
          <w:szCs w:val="24"/>
          <w:highlight w:val="none"/>
          <w:lang w:val="en-US" w:eastAsia="zh-CN"/>
        </w:rPr>
        <w:t>恢复的</w:t>
      </w:r>
      <w:r>
        <w:rPr>
          <w:rFonts w:hint="eastAsia" w:ascii="宋体" w:hAnsi="宋体" w:eastAsia="宋体" w:cs="宋体"/>
          <w:sz w:val="24"/>
          <w:szCs w:val="24"/>
          <w:highlight w:val="none"/>
        </w:rPr>
        <w:t>，应进行补植</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补植后平均每亩株树为80株左右为宜</w:t>
      </w:r>
      <w:r>
        <w:rPr>
          <w:rFonts w:hint="eastAsia" w:ascii="宋体" w:hAnsi="宋体" w:eastAsia="宋体" w:cs="宋体"/>
          <w:sz w:val="24"/>
          <w:szCs w:val="24"/>
          <w:highlight w:val="none"/>
        </w:rPr>
        <w:t>。补植旨在补充目的树种、调整树种结构，以培育异龄复层混交林</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施工作业中根据每个小班的具体情况，可根据具体实际适度调整，在郁闭度较大、林窗较小的情况下，适当减少栽植株数；在林窗较大的情况下，可选取合适的区域适当密植苗木，便于后续补植就地取苗</w:t>
      </w:r>
      <w:r>
        <w:rPr>
          <w:rFonts w:hint="eastAsia" w:ascii="宋体" w:hAnsi="宋体" w:eastAsia="宋体" w:cs="宋体"/>
          <w:sz w:val="24"/>
          <w:szCs w:val="24"/>
          <w:highlight w:val="none"/>
          <w:lang w:eastAsia="zh-CN"/>
        </w:rPr>
        <w:t>。</w:t>
      </w:r>
    </w:p>
    <w:p w14:paraId="66EA157D">
      <w:pPr>
        <w:pageBreakBefore w:val="0"/>
        <w:kinsoku/>
        <w:wordWrap/>
        <w:overflowPunct/>
        <w:topLinePunct w:val="0"/>
        <w:autoSpaceDE/>
        <w:autoSpaceDN/>
        <w:bidi w:val="0"/>
        <w:adjustRightInd/>
        <w:snapToGrid/>
        <w:spacing w:line="56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补植模式：</w:t>
      </w:r>
    </w:p>
    <w:p w14:paraId="3ABB352C">
      <w:pPr>
        <w:pageBreakBefore w:val="0"/>
        <w:kinsoku/>
        <w:wordWrap/>
        <w:overflowPunct/>
        <w:topLinePunct w:val="0"/>
        <w:autoSpaceDE/>
        <w:autoSpaceDN/>
        <w:bidi w:val="0"/>
        <w:adjustRightInd/>
        <w:snapToGrid/>
        <w:spacing w:line="56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树种：红豆杉、栓皮栎</w:t>
      </w:r>
    </w:p>
    <w:p w14:paraId="570F1FB9">
      <w:pPr>
        <w:pageBreakBefore w:val="0"/>
        <w:kinsoku/>
        <w:wordWrap/>
        <w:overflowPunct/>
        <w:topLinePunct w:val="0"/>
        <w:autoSpaceDE/>
        <w:autoSpaceDN/>
        <w:bidi w:val="0"/>
        <w:adjustRightInd/>
        <w:snapToGrid/>
        <w:spacing w:line="560" w:lineRule="exact"/>
        <w:ind w:firstLine="480" w:firstLineChars="20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补植密度：</w:t>
      </w:r>
      <w:r>
        <w:rPr>
          <w:rFonts w:hint="eastAsia" w:ascii="宋体" w:hAnsi="宋体" w:eastAsia="宋体" w:cs="宋体"/>
          <w:sz w:val="24"/>
          <w:szCs w:val="24"/>
          <w:highlight w:val="none"/>
          <w:lang w:val="en-US" w:eastAsia="zh-CN"/>
        </w:rPr>
        <w:t>各小班按补植比例计算出补植面积，补植面积按照</w:t>
      </w:r>
      <w:r>
        <w:rPr>
          <w:rFonts w:hint="eastAsia" w:ascii="宋体" w:hAnsi="宋体" w:eastAsia="宋体" w:cs="宋体"/>
          <w:sz w:val="24"/>
          <w:szCs w:val="24"/>
          <w:highlight w:val="none"/>
        </w:rPr>
        <w:t>56株/亩</w:t>
      </w:r>
      <w:r>
        <w:rPr>
          <w:rFonts w:hint="eastAsia" w:ascii="宋体" w:hAnsi="宋体" w:eastAsia="宋体" w:cs="宋体"/>
          <w:sz w:val="24"/>
          <w:szCs w:val="24"/>
          <w:highlight w:val="none"/>
          <w:lang w:val="en-US" w:eastAsia="zh-CN"/>
        </w:rPr>
        <w:t>栽植</w:t>
      </w:r>
      <w:r>
        <w:rPr>
          <w:rFonts w:hint="eastAsia" w:ascii="宋体" w:hAnsi="宋体" w:eastAsia="宋体" w:cs="宋体"/>
          <w:sz w:val="24"/>
          <w:szCs w:val="24"/>
          <w:highlight w:val="none"/>
        </w:rPr>
        <w:t>，未成活苗木补植</w:t>
      </w:r>
      <w:r>
        <w:rPr>
          <w:rFonts w:hint="eastAsia" w:ascii="宋体" w:hAnsi="宋体" w:eastAsia="宋体" w:cs="宋体"/>
          <w:sz w:val="24"/>
          <w:szCs w:val="24"/>
          <w:highlight w:val="none"/>
          <w:lang w:val="en-US" w:eastAsia="zh-CN"/>
        </w:rPr>
        <w:t>需苗</w:t>
      </w:r>
      <w:r>
        <w:rPr>
          <w:rFonts w:hint="eastAsia" w:ascii="宋体" w:hAnsi="宋体" w:eastAsia="宋体" w:cs="宋体"/>
          <w:sz w:val="24"/>
          <w:szCs w:val="24"/>
          <w:highlight w:val="none"/>
        </w:rPr>
        <w:t>量按补植密度1</w:t>
      </w:r>
      <w:r>
        <w:rPr>
          <w:rFonts w:hint="eastAsia" w:ascii="宋体" w:hAnsi="宋体" w:eastAsia="宋体" w:cs="宋体"/>
          <w:sz w:val="24"/>
          <w:szCs w:val="24"/>
          <w:highlight w:val="none"/>
          <w:lang w:val="en-US" w:eastAsia="zh-CN"/>
        </w:rPr>
        <w:t>0</w:t>
      </w:r>
      <w:r>
        <w:rPr>
          <w:rFonts w:hint="eastAsia" w:ascii="宋体" w:hAnsi="宋体" w:eastAsia="宋体" w:cs="宋体"/>
          <w:sz w:val="24"/>
          <w:szCs w:val="24"/>
          <w:highlight w:val="none"/>
        </w:rPr>
        <w:t>%计算</w:t>
      </w:r>
      <w:r>
        <w:rPr>
          <w:rFonts w:hint="eastAsia" w:ascii="宋体" w:hAnsi="宋体" w:eastAsia="宋体" w:cs="宋体"/>
          <w:sz w:val="24"/>
          <w:szCs w:val="24"/>
          <w:highlight w:val="none"/>
          <w:lang w:eastAsia="zh-CN"/>
        </w:rPr>
        <w:t>。</w:t>
      </w:r>
    </w:p>
    <w:p w14:paraId="35C70B8C">
      <w:pPr>
        <w:pageBreakBefore w:val="0"/>
        <w:kinsoku/>
        <w:wordWrap/>
        <w:overflowPunct/>
        <w:topLinePunct w:val="0"/>
        <w:autoSpaceDE/>
        <w:autoSpaceDN/>
        <w:bidi w:val="0"/>
        <w:adjustRightInd/>
        <w:snapToGrid/>
        <w:spacing w:line="560" w:lineRule="exact"/>
        <w:ind w:firstLine="480" w:firstLineChars="200"/>
        <w:rPr>
          <w:rFonts w:hint="eastAsia" w:ascii="宋体" w:hAnsi="宋体" w:eastAsia="宋体" w:cs="宋体"/>
          <w:sz w:val="24"/>
          <w:szCs w:val="24"/>
          <w:highlight w:val="none"/>
          <w:lang w:val="en-US"/>
        </w:rPr>
      </w:pPr>
      <w:r>
        <w:rPr>
          <w:rFonts w:hint="eastAsia" w:ascii="宋体" w:hAnsi="宋体" w:eastAsia="宋体" w:cs="宋体"/>
          <w:sz w:val="24"/>
          <w:szCs w:val="24"/>
          <w:highlight w:val="none"/>
        </w:rPr>
        <w:t>株行距：</w:t>
      </w:r>
      <w:r>
        <w:rPr>
          <w:rFonts w:hint="eastAsia" w:ascii="宋体" w:hAnsi="宋体" w:eastAsia="宋体" w:cs="宋体"/>
          <w:sz w:val="24"/>
          <w:szCs w:val="24"/>
          <w:highlight w:val="none"/>
          <w:lang w:val="en-US" w:eastAsia="zh-CN"/>
        </w:rPr>
        <w:t>采用见缝插针补植，无固定株行距，栽植时注意与保留木间隔2~3米远。</w:t>
      </w:r>
    </w:p>
    <w:p w14:paraId="7A55F57C">
      <w:pPr>
        <w:pageBreakBefore w:val="0"/>
        <w:kinsoku/>
        <w:wordWrap/>
        <w:overflowPunct/>
        <w:topLinePunct w:val="0"/>
        <w:autoSpaceDE/>
        <w:autoSpaceDN/>
        <w:bidi w:val="0"/>
        <w:adjustRightInd/>
        <w:snapToGrid/>
        <w:spacing w:line="560" w:lineRule="exact"/>
        <w:ind w:firstLine="480" w:firstLineChars="20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苗木标准</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用于补植的苗木，在调拨和出圃前必须经过严格的检验程序，确保苗木质量符合《主要造林树种苗木质量分级》（GB6000－1999）所规定的标准。苗木应具备由林木种苗管理部门颁发的“三证一签”（即林草种子生产经营许可证、苗木出圃质量合格证、植物检疫证书和苗木标签），并确保良种使用率达到75%以上。禁止使用劣质苗木和携带疫情的不合格苗木。从苗木出圃、运输到最终栽植的整个过程中，必须采取措施保持苗木的湿润。在苗木产地的选择上，优先考虑柞水县本地的苗木，若当地苗木供应不足，可考虑在商洛市或西安市就近采购。</w:t>
      </w:r>
    </w:p>
    <w:p w14:paraId="7FDB6297">
      <w:pPr>
        <w:pageBreakBefore w:val="0"/>
        <w:kinsoku/>
        <w:wordWrap/>
        <w:overflowPunct/>
        <w:topLinePunct w:val="0"/>
        <w:autoSpaceDE/>
        <w:autoSpaceDN/>
        <w:bidi w:val="0"/>
        <w:adjustRightInd/>
        <w:snapToGrid/>
        <w:spacing w:line="56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表6-3补植苗木规格表</w:t>
      </w:r>
    </w:p>
    <w:tbl>
      <w:tblPr>
        <w:tblStyle w:val="3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4"/>
        <w:gridCol w:w="1974"/>
        <w:gridCol w:w="2786"/>
        <w:gridCol w:w="3562"/>
      </w:tblGrid>
      <w:tr w14:paraId="1403F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atLeast"/>
        </w:trPr>
        <w:tc>
          <w:tcPr>
            <w:tcW w:w="572" w:type="pct"/>
            <w:vAlign w:val="center"/>
          </w:tcPr>
          <w:p w14:paraId="2506AAA2">
            <w:pPr>
              <w:pageBreakBefore w:val="0"/>
              <w:kinsoku/>
              <w:wordWrap/>
              <w:overflowPunct/>
              <w:topLinePunct w:val="0"/>
              <w:autoSpaceDE/>
              <w:autoSpaceDN/>
              <w:bidi w:val="0"/>
              <w:adjustRightInd/>
              <w:snapToGrid/>
              <w:spacing w:line="560" w:lineRule="exact"/>
              <w:ind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树种</w:t>
            </w:r>
          </w:p>
        </w:tc>
        <w:tc>
          <w:tcPr>
            <w:tcW w:w="1050" w:type="pct"/>
            <w:vAlign w:val="center"/>
          </w:tcPr>
          <w:p w14:paraId="14524BA0">
            <w:pPr>
              <w:pageBreakBefore w:val="0"/>
              <w:kinsoku/>
              <w:wordWrap/>
              <w:overflowPunct/>
              <w:topLinePunct w:val="0"/>
              <w:autoSpaceDE/>
              <w:autoSpaceDN/>
              <w:bidi w:val="0"/>
              <w:adjustRightInd/>
              <w:snapToGrid/>
              <w:spacing w:line="560" w:lineRule="exact"/>
              <w:ind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苗木种类及苗龄</w:t>
            </w:r>
          </w:p>
        </w:tc>
        <w:tc>
          <w:tcPr>
            <w:tcW w:w="1482" w:type="pct"/>
            <w:vAlign w:val="center"/>
          </w:tcPr>
          <w:p w14:paraId="3C3AF9FD">
            <w:pPr>
              <w:pageBreakBefore w:val="0"/>
              <w:kinsoku/>
              <w:wordWrap/>
              <w:overflowPunct/>
              <w:topLinePunct w:val="0"/>
              <w:autoSpaceDE/>
              <w:autoSpaceDN/>
              <w:bidi w:val="0"/>
              <w:adjustRightInd/>
              <w:snapToGrid/>
              <w:spacing w:line="560" w:lineRule="exact"/>
              <w:ind w:firstLine="48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苗木规格</w:t>
            </w:r>
          </w:p>
        </w:tc>
        <w:tc>
          <w:tcPr>
            <w:tcW w:w="1895" w:type="pct"/>
            <w:vAlign w:val="center"/>
          </w:tcPr>
          <w:p w14:paraId="7138D945">
            <w:pPr>
              <w:pageBreakBefore w:val="0"/>
              <w:kinsoku/>
              <w:wordWrap/>
              <w:overflowPunct/>
              <w:topLinePunct w:val="0"/>
              <w:autoSpaceDE/>
              <w:autoSpaceDN/>
              <w:bidi w:val="0"/>
              <w:adjustRightInd/>
              <w:snapToGrid/>
              <w:spacing w:line="560" w:lineRule="exact"/>
              <w:ind w:firstLine="48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综合指标</w:t>
            </w:r>
          </w:p>
        </w:tc>
      </w:tr>
      <w:tr w14:paraId="29C00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3" w:hRule="exact"/>
        </w:trPr>
        <w:tc>
          <w:tcPr>
            <w:tcW w:w="572" w:type="pct"/>
            <w:vAlign w:val="center"/>
          </w:tcPr>
          <w:p w14:paraId="184402BD">
            <w:pPr>
              <w:pageBreakBefore w:val="0"/>
              <w:kinsoku/>
              <w:wordWrap/>
              <w:overflowPunct/>
              <w:topLinePunct w:val="0"/>
              <w:autoSpaceDE/>
              <w:autoSpaceDN/>
              <w:bidi w:val="0"/>
              <w:adjustRightInd/>
              <w:snapToGrid/>
              <w:spacing w:line="560" w:lineRule="exact"/>
              <w:ind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栓皮栎</w:t>
            </w:r>
          </w:p>
        </w:tc>
        <w:tc>
          <w:tcPr>
            <w:tcW w:w="1050" w:type="pct"/>
            <w:vAlign w:val="center"/>
          </w:tcPr>
          <w:p w14:paraId="735A3E89">
            <w:pPr>
              <w:pageBreakBefore w:val="0"/>
              <w:kinsoku/>
              <w:wordWrap/>
              <w:overflowPunct/>
              <w:topLinePunct w:val="0"/>
              <w:autoSpaceDE/>
              <w:autoSpaceDN/>
              <w:bidi w:val="0"/>
              <w:adjustRightInd/>
              <w:snapToGrid/>
              <w:spacing w:line="560" w:lineRule="exact"/>
              <w:ind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两年生容器苗</w:t>
            </w:r>
          </w:p>
        </w:tc>
        <w:tc>
          <w:tcPr>
            <w:tcW w:w="1482" w:type="pct"/>
            <w:vAlign w:val="center"/>
          </w:tcPr>
          <w:p w14:paraId="166237B1">
            <w:pPr>
              <w:pageBreakBefore w:val="0"/>
              <w:kinsoku/>
              <w:wordWrap/>
              <w:overflowPunct/>
              <w:topLinePunct w:val="0"/>
              <w:autoSpaceDE/>
              <w:autoSpaceDN/>
              <w:bidi w:val="0"/>
              <w:adjustRightInd/>
              <w:snapToGrid/>
              <w:spacing w:line="560" w:lineRule="exact"/>
              <w:ind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地径≥0.</w:t>
            </w: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厘米，苗高≥</w:t>
            </w:r>
            <w:r>
              <w:rPr>
                <w:rFonts w:hint="eastAsia" w:ascii="宋体" w:hAnsi="宋体" w:eastAsia="宋体" w:cs="宋体"/>
                <w:sz w:val="24"/>
                <w:szCs w:val="24"/>
                <w:highlight w:val="none"/>
                <w:lang w:val="en-US" w:eastAsia="zh-CN"/>
              </w:rPr>
              <w:t>6</w:t>
            </w:r>
            <w:r>
              <w:rPr>
                <w:rFonts w:hint="eastAsia" w:ascii="宋体" w:hAnsi="宋体" w:eastAsia="宋体" w:cs="宋体"/>
                <w:sz w:val="24"/>
                <w:szCs w:val="24"/>
                <w:highlight w:val="none"/>
              </w:rPr>
              <w:t>0厘米</w:t>
            </w:r>
          </w:p>
        </w:tc>
        <w:tc>
          <w:tcPr>
            <w:tcW w:w="1895" w:type="pct"/>
            <w:vAlign w:val="center"/>
          </w:tcPr>
          <w:p w14:paraId="79CB9265">
            <w:pPr>
              <w:pageBreakBefore w:val="0"/>
              <w:kinsoku/>
              <w:wordWrap/>
              <w:overflowPunct/>
              <w:topLinePunct w:val="0"/>
              <w:autoSpaceDE/>
              <w:autoSpaceDN/>
              <w:bidi w:val="0"/>
              <w:adjustRightInd/>
              <w:snapToGrid/>
              <w:spacing w:line="560" w:lineRule="exact"/>
              <w:ind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10厘米营养钵，营养袋完整，无病虫害、顶芽饱满、针叶完整</w:t>
            </w:r>
          </w:p>
        </w:tc>
      </w:tr>
      <w:tr w14:paraId="7CAF5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exact"/>
        </w:trPr>
        <w:tc>
          <w:tcPr>
            <w:tcW w:w="572" w:type="pct"/>
            <w:vAlign w:val="center"/>
          </w:tcPr>
          <w:p w14:paraId="0E2B34A5">
            <w:pPr>
              <w:pageBreakBefore w:val="0"/>
              <w:kinsoku/>
              <w:wordWrap/>
              <w:overflowPunct/>
              <w:topLinePunct w:val="0"/>
              <w:autoSpaceDE/>
              <w:autoSpaceDN/>
              <w:bidi w:val="0"/>
              <w:adjustRightInd/>
              <w:snapToGrid/>
              <w:spacing w:line="560" w:lineRule="exact"/>
              <w:ind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红豆杉</w:t>
            </w:r>
          </w:p>
        </w:tc>
        <w:tc>
          <w:tcPr>
            <w:tcW w:w="1050" w:type="pct"/>
            <w:vAlign w:val="center"/>
          </w:tcPr>
          <w:p w14:paraId="1304A2E9">
            <w:pPr>
              <w:pageBreakBefore w:val="0"/>
              <w:kinsoku/>
              <w:wordWrap/>
              <w:overflowPunct/>
              <w:topLinePunct w:val="0"/>
              <w:autoSpaceDE/>
              <w:autoSpaceDN/>
              <w:bidi w:val="0"/>
              <w:adjustRightInd/>
              <w:snapToGrid/>
              <w:spacing w:line="560" w:lineRule="exact"/>
              <w:ind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三年</w:t>
            </w:r>
            <w:r>
              <w:rPr>
                <w:rFonts w:hint="eastAsia" w:ascii="宋体" w:hAnsi="宋体" w:eastAsia="宋体" w:cs="宋体"/>
                <w:sz w:val="24"/>
                <w:szCs w:val="24"/>
                <w:highlight w:val="none"/>
              </w:rPr>
              <w:t>生容器苗</w:t>
            </w:r>
          </w:p>
        </w:tc>
        <w:tc>
          <w:tcPr>
            <w:tcW w:w="1482" w:type="pct"/>
            <w:vAlign w:val="center"/>
          </w:tcPr>
          <w:p w14:paraId="7FE2A6C9">
            <w:pPr>
              <w:pageBreakBefore w:val="0"/>
              <w:kinsoku/>
              <w:wordWrap/>
              <w:overflowPunct/>
              <w:topLinePunct w:val="0"/>
              <w:autoSpaceDE/>
              <w:autoSpaceDN/>
              <w:bidi w:val="0"/>
              <w:adjustRightInd/>
              <w:snapToGrid/>
              <w:spacing w:line="560" w:lineRule="exact"/>
              <w:ind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地径≥0.6厘米，苗高≥</w:t>
            </w:r>
            <w:r>
              <w:rPr>
                <w:rFonts w:hint="eastAsia" w:ascii="宋体" w:hAnsi="宋体" w:eastAsia="宋体" w:cs="宋体"/>
                <w:sz w:val="24"/>
                <w:szCs w:val="24"/>
                <w:highlight w:val="none"/>
                <w:lang w:val="en-US" w:eastAsia="zh-CN"/>
              </w:rPr>
              <w:t>60</w:t>
            </w:r>
            <w:r>
              <w:rPr>
                <w:rFonts w:hint="eastAsia" w:ascii="宋体" w:hAnsi="宋体" w:eastAsia="宋体" w:cs="宋体"/>
                <w:sz w:val="24"/>
                <w:szCs w:val="24"/>
                <w:highlight w:val="none"/>
              </w:rPr>
              <w:t>厘米</w:t>
            </w:r>
          </w:p>
        </w:tc>
        <w:tc>
          <w:tcPr>
            <w:tcW w:w="1895" w:type="pct"/>
            <w:vAlign w:val="center"/>
          </w:tcPr>
          <w:p w14:paraId="691EBC3C">
            <w:pPr>
              <w:pageBreakBefore w:val="0"/>
              <w:kinsoku/>
              <w:wordWrap/>
              <w:overflowPunct/>
              <w:topLinePunct w:val="0"/>
              <w:autoSpaceDE/>
              <w:autoSpaceDN/>
              <w:bidi w:val="0"/>
              <w:adjustRightInd/>
              <w:snapToGrid/>
              <w:spacing w:line="560" w:lineRule="exact"/>
              <w:ind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16厘米营养钵，营养袋完整，无病虫害</w:t>
            </w:r>
          </w:p>
        </w:tc>
      </w:tr>
    </w:tbl>
    <w:p w14:paraId="3F9A555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kern w:val="2"/>
          <w:sz w:val="24"/>
          <w:szCs w:val="24"/>
          <w:lang w:val="en-US" w:eastAsia="zh-CN" w:bidi="ar-SA"/>
        </w:rPr>
        <w:t>(1)</w:t>
      </w:r>
      <w:r>
        <w:rPr>
          <w:rFonts w:hint="eastAsia" w:ascii="宋体" w:hAnsi="宋体" w:eastAsia="宋体" w:cs="宋体"/>
          <w:sz w:val="24"/>
          <w:szCs w:val="24"/>
          <w:highlight w:val="none"/>
        </w:rPr>
        <w:t>造林地清理：进行块状清理时，以种植穴为中心，清除周围半径0.5米内的植被。清理工作应在整地工作开始前完成。清理妨碍造林施工的石块、杂草、无保留价值的灌木以及其他杂物。在清理过程中，应尽量保护原生植被和现有的幼苗，以控制水土流失，防止大面积植被被破坏，并保留地块内原有的珍贵树种和母树。</w:t>
      </w:r>
    </w:p>
    <w:p w14:paraId="6DB2205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kern w:val="2"/>
          <w:sz w:val="24"/>
          <w:szCs w:val="24"/>
          <w:lang w:val="en-US" w:eastAsia="zh-CN" w:bidi="ar-SA"/>
        </w:rPr>
        <w:t>(2)</w:t>
      </w:r>
      <w:r>
        <w:rPr>
          <w:rFonts w:hint="eastAsia" w:ascii="宋体" w:hAnsi="宋体" w:eastAsia="宋体" w:cs="宋体"/>
          <w:sz w:val="24"/>
          <w:szCs w:val="24"/>
          <w:highlight w:val="none"/>
        </w:rPr>
        <w:t>整地：穴状整地，规格：40</w:t>
      </w:r>
      <w:r>
        <w:rPr>
          <w:rFonts w:hint="eastAsia" w:ascii="宋体" w:hAnsi="宋体" w:eastAsia="宋体" w:cs="宋体"/>
          <w:sz w:val="24"/>
          <w:szCs w:val="24"/>
          <w:highlight w:val="none"/>
          <w:lang w:val="en-US" w:eastAsia="zh-CN"/>
        </w:rPr>
        <w:t>cm</w:t>
      </w:r>
      <w:r>
        <w:rPr>
          <w:rFonts w:hint="eastAsia" w:ascii="宋体" w:hAnsi="宋体" w:eastAsia="宋体" w:cs="宋体"/>
          <w:sz w:val="24"/>
          <w:szCs w:val="24"/>
          <w:highlight w:val="none"/>
        </w:rPr>
        <w:t>×40</w:t>
      </w:r>
      <w:r>
        <w:rPr>
          <w:rFonts w:hint="eastAsia" w:ascii="宋体" w:hAnsi="宋体" w:eastAsia="宋体" w:cs="宋体"/>
          <w:sz w:val="24"/>
          <w:szCs w:val="24"/>
          <w:highlight w:val="none"/>
          <w:lang w:val="en-US" w:eastAsia="zh-CN"/>
        </w:rPr>
        <w:t>cm</w:t>
      </w:r>
      <w:r>
        <w:rPr>
          <w:rFonts w:hint="eastAsia" w:ascii="宋体" w:hAnsi="宋体" w:eastAsia="宋体" w:cs="宋体"/>
          <w:sz w:val="24"/>
          <w:szCs w:val="24"/>
          <w:highlight w:val="none"/>
        </w:rPr>
        <w:t>×30</w:t>
      </w:r>
      <w:r>
        <w:rPr>
          <w:rFonts w:hint="eastAsia" w:ascii="宋体" w:hAnsi="宋体" w:eastAsia="宋体" w:cs="宋体"/>
          <w:sz w:val="24"/>
          <w:szCs w:val="24"/>
          <w:highlight w:val="none"/>
          <w:lang w:val="en-US" w:eastAsia="zh-CN"/>
        </w:rPr>
        <w:t>cm</w:t>
      </w:r>
      <w:r>
        <w:rPr>
          <w:rFonts w:hint="eastAsia" w:ascii="宋体" w:hAnsi="宋体" w:eastAsia="宋体" w:cs="宋体"/>
          <w:sz w:val="24"/>
          <w:szCs w:val="24"/>
          <w:highlight w:val="none"/>
        </w:rPr>
        <w:t>，整地时间为秋季。</w:t>
      </w:r>
    </w:p>
    <w:p w14:paraId="689D90C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kern w:val="2"/>
          <w:sz w:val="24"/>
          <w:szCs w:val="24"/>
          <w:lang w:val="en-US" w:eastAsia="zh-CN" w:bidi="ar-SA"/>
        </w:rPr>
        <w:t>(3)</w:t>
      </w:r>
      <w:r>
        <w:rPr>
          <w:rFonts w:hint="eastAsia" w:ascii="宋体" w:hAnsi="宋体" w:eastAsia="宋体" w:cs="宋体"/>
          <w:sz w:val="24"/>
          <w:szCs w:val="24"/>
          <w:highlight w:val="none"/>
        </w:rPr>
        <w:t>在进行土地整理和挖坑作业时，应先将表层土壤放置于坑穴的上方或斜上方，而挖出的底层土壤则应置于坑穴的下方。坑穴挖好后，将表层土壤回填至坑内。按照既定规格进行人工开挖基坑整地，确保底部平整，经过验收合格后，再将表层土壤回填至距离坑口5—10厘米处，形成馒头状。在整地过程中，务必清除植树坑内的石砾和植物根系，使土壤松散。必须严格遵守造林模式中规定的整地规格，并尽可能保护造林地的原生植被，以避免引发新的水土流失。</w:t>
      </w:r>
    </w:p>
    <w:p w14:paraId="26949B6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kern w:val="2"/>
          <w:sz w:val="24"/>
          <w:szCs w:val="24"/>
          <w:lang w:val="en-US" w:eastAsia="zh-CN" w:bidi="ar-SA"/>
        </w:rPr>
        <w:t>(4)</w:t>
      </w:r>
      <w:r>
        <w:rPr>
          <w:rFonts w:hint="eastAsia" w:ascii="宋体" w:hAnsi="宋体" w:eastAsia="宋体" w:cs="宋体"/>
          <w:sz w:val="24"/>
          <w:szCs w:val="24"/>
          <w:highlight w:val="none"/>
        </w:rPr>
        <w:t>栽植：在栽植容器苗之前，使用刀具划开容器袋，确保苗木的土坨被放置在坑穴的中心位置。务必确保苗木栽植得紧密且结实，苗木的主干要保持垂直，根系需充分展开，深度要适宜，比原容器土面根茎处深1—2厘米。栽植完成后，让穴面呈现浅凹形状，对于坡地，保持穴外沿土埂的完整性，</w:t>
      </w:r>
      <w:r>
        <w:rPr>
          <w:rFonts w:hint="eastAsia" w:ascii="宋体" w:hAnsi="宋体" w:eastAsia="宋体" w:cs="宋体"/>
          <w:sz w:val="24"/>
          <w:szCs w:val="24"/>
          <w:highlight w:val="none"/>
          <w:lang w:val="en-US" w:eastAsia="zh-CN"/>
        </w:rPr>
        <w:t>利于</w:t>
      </w:r>
      <w:r>
        <w:rPr>
          <w:rFonts w:hint="eastAsia" w:ascii="宋体" w:hAnsi="宋体" w:eastAsia="宋体" w:cs="宋体"/>
          <w:sz w:val="24"/>
          <w:szCs w:val="24"/>
          <w:highlight w:val="none"/>
        </w:rPr>
        <w:t>积水和抗旱。</w:t>
      </w:r>
    </w:p>
    <w:p w14:paraId="2A1F55F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kern w:val="2"/>
          <w:sz w:val="24"/>
          <w:szCs w:val="24"/>
          <w:lang w:val="en-US" w:eastAsia="zh-CN" w:bidi="ar-SA"/>
        </w:rPr>
        <w:t>(5)</w:t>
      </w:r>
      <w:r>
        <w:rPr>
          <w:rFonts w:hint="eastAsia" w:ascii="宋体" w:hAnsi="宋体" w:eastAsia="宋体" w:cs="宋体"/>
          <w:sz w:val="24"/>
          <w:szCs w:val="24"/>
          <w:highlight w:val="none"/>
        </w:rPr>
        <w:t>成活率和保存率的调查及补植：成活率的调查应当在苗木经过一个生长季之后进行，而秋季植苗的成活率调查则安排在次年秋季。调查时，应在当年所有的造林小班中选取具有代表性的标准地，分别统计存活与死亡的苗木数量。若成活率低于85%，则需立即进行补植工作。</w:t>
      </w:r>
    </w:p>
    <w:p w14:paraId="2787201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kern w:val="2"/>
          <w:sz w:val="24"/>
          <w:szCs w:val="24"/>
          <w:lang w:val="en-US" w:eastAsia="zh-CN" w:bidi="ar-SA"/>
        </w:rPr>
        <w:t>(6)</w:t>
      </w:r>
      <w:r>
        <w:rPr>
          <w:rFonts w:hint="eastAsia" w:ascii="宋体" w:hAnsi="宋体" w:eastAsia="宋体" w:cs="宋体"/>
          <w:sz w:val="24"/>
          <w:szCs w:val="24"/>
          <w:highlight w:val="none"/>
        </w:rPr>
        <w:t>通过检查各植苗小班的缺株、死亡植株和病虫害植株，清除这些不良植株，并使用相同年龄和规格的苗木进行补植，以确保补植效果。对于死亡的苗木，应立即进行补植，即缺一补一。在原有死亡苗木的种植穴中补植时，必须对挖好的种植穴进行消毒处理。</w:t>
      </w:r>
    </w:p>
    <w:p w14:paraId="41DE35F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kern w:val="2"/>
          <w:sz w:val="24"/>
          <w:szCs w:val="24"/>
          <w:lang w:val="en-US" w:eastAsia="zh-CN" w:bidi="ar-SA"/>
        </w:rPr>
        <w:t>(7)</w:t>
      </w:r>
      <w:r>
        <w:rPr>
          <w:rFonts w:hint="eastAsia" w:ascii="宋体" w:hAnsi="宋体" w:eastAsia="宋体" w:cs="宋体"/>
          <w:sz w:val="24"/>
          <w:szCs w:val="24"/>
          <w:highlight w:val="none"/>
        </w:rPr>
        <w:t>未成林抚育管护：一旦造林达到合格标准，从2026年起，幼树的管理将由造林施工单位负责进行必要的抚育管护，持续三年，共进行五次（按照1-2-2的顺序）。抚育工作主要包括松土、除草、补植等。若土壤板结严重影响苗木的生长发育甚至存活，应立即进行松土处理。松土作业应在苗木周围50厘米的范围内进行，确保内浅外深，避免伤害苗木根系，第一年松土较浅，随后每年逐渐加深。除草工作则需清除苗木周围1米内的所有杂灌杂草和藤蔓。</w:t>
      </w:r>
    </w:p>
    <w:p w14:paraId="3DAA3D4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kern w:val="2"/>
          <w:sz w:val="24"/>
          <w:szCs w:val="24"/>
          <w:lang w:val="en-US" w:eastAsia="zh-CN" w:bidi="ar-SA"/>
        </w:rPr>
        <w:t>(8)</w:t>
      </w:r>
      <w:r>
        <w:rPr>
          <w:rFonts w:hint="eastAsia" w:ascii="宋体" w:hAnsi="宋体" w:eastAsia="宋体" w:cs="宋体"/>
          <w:sz w:val="24"/>
          <w:szCs w:val="24"/>
          <w:highlight w:val="none"/>
        </w:rPr>
        <w:t>管护工作主要包括综合管护、有害生物防控、兽害防控以及自然灾害防控。必须加强对造林地的管护，坚持全年无休的管护工作，并制定切实可行的管护制度，明确责任、</w:t>
      </w:r>
      <w:r>
        <w:rPr>
          <w:rFonts w:hint="eastAsia" w:ascii="宋体" w:hAnsi="宋体" w:eastAsia="宋体" w:cs="宋体"/>
          <w:sz w:val="24"/>
          <w:szCs w:val="24"/>
          <w:highlight w:val="none"/>
          <w:lang w:eastAsia="zh-CN"/>
        </w:rPr>
        <w:t>权力和利益</w:t>
      </w:r>
      <w:r>
        <w:rPr>
          <w:rFonts w:hint="eastAsia" w:ascii="宋体" w:hAnsi="宋体" w:eastAsia="宋体" w:cs="宋体"/>
          <w:sz w:val="24"/>
          <w:szCs w:val="24"/>
          <w:highlight w:val="none"/>
        </w:rPr>
        <w:t>关系。一旦发现违规行为，应严格按照相关条款进行处罚。同时，强化林木病虫害和鼠兔危害的预测预报及防治工作，确保能够准确预报，有效控制，并积极消灭，以保障幼树的健康生长。</w:t>
      </w:r>
    </w:p>
    <w:p w14:paraId="554454E7">
      <w:pPr>
        <w:pageBreakBefore w:val="0"/>
        <w:kinsoku/>
        <w:wordWrap/>
        <w:overflowPunct/>
        <w:topLinePunct w:val="0"/>
        <w:autoSpaceDE/>
        <w:autoSpaceDN/>
        <w:bidi w:val="0"/>
        <w:adjustRightInd/>
        <w:snapToGrid/>
        <w:spacing w:line="560" w:lineRule="exact"/>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3.3 修枝</w:t>
      </w:r>
    </w:p>
    <w:p w14:paraId="0F10C608">
      <w:pPr>
        <w:pageBreakBefore w:val="0"/>
        <w:kinsoku/>
        <w:wordWrap/>
        <w:overflowPunct/>
        <w:topLinePunct w:val="0"/>
        <w:autoSpaceDE/>
        <w:autoSpaceDN/>
        <w:bidi w:val="0"/>
        <w:adjustRightInd/>
        <w:snapToGrid/>
        <w:spacing w:line="56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对目标树木、高大林木及其枝条妨碍目标树木生长的其他树木进行修剪，主要修剪对象为以培育珍贵木材或大径材为目标的退化用材林，以及自然整枝不良，导致林内卫生状况不佳的防护林。</w:t>
      </w:r>
    </w:p>
    <w:p w14:paraId="24737E7E">
      <w:pPr>
        <w:pageBreakBefore w:val="0"/>
        <w:kinsoku/>
        <w:wordWrap/>
        <w:overflowPunct/>
        <w:topLinePunct w:val="0"/>
        <w:autoSpaceDE/>
        <w:autoSpaceDN/>
        <w:bidi w:val="0"/>
        <w:adjustRightInd/>
        <w:snapToGrid/>
        <w:spacing w:line="56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技术要领：修去枯死枝和树冠下部衰老的1轮-2轮活枝；幼龄林阶段修枝后保留冠长不低于树高的2/3、枝桩修平，剪口不能伤害树干的韧皮部和木质部；中龄林阶段修枝后保留冠长不低于树高的1/2、枝桩修平，剪口不能伤害树干的韧皮部和木质部。</w:t>
      </w:r>
    </w:p>
    <w:p w14:paraId="4847F811">
      <w:pPr>
        <w:pageBreakBefore w:val="0"/>
        <w:kinsoku/>
        <w:wordWrap/>
        <w:overflowPunct/>
        <w:topLinePunct w:val="0"/>
        <w:autoSpaceDE/>
        <w:autoSpaceDN/>
        <w:bidi w:val="0"/>
        <w:adjustRightInd/>
        <w:snapToGrid/>
        <w:spacing w:line="56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(2)剩余物处理：处理剪下的枝条时，可以将其平铺在林地内，或者按照一定的间距均匀堆放在林地内，采取这些方式来处理剩余物。</w:t>
      </w:r>
    </w:p>
    <w:p w14:paraId="6264104D">
      <w:pPr>
        <w:pageBreakBefore w:val="0"/>
        <w:kinsoku/>
        <w:wordWrap/>
        <w:overflowPunct/>
        <w:topLinePunct w:val="0"/>
        <w:autoSpaceDE/>
        <w:autoSpaceDN/>
        <w:bidi w:val="0"/>
        <w:adjustRightInd/>
        <w:snapToGrid/>
        <w:spacing w:line="560" w:lineRule="exact"/>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3.4 人工促进天然更新</w:t>
      </w:r>
    </w:p>
    <w:p w14:paraId="3BE4D8A7">
      <w:pPr>
        <w:pageBreakBefore w:val="0"/>
        <w:kinsoku/>
        <w:wordWrap/>
        <w:overflowPunct/>
        <w:topLinePunct w:val="0"/>
        <w:autoSpaceDE/>
        <w:autoSpaceDN/>
        <w:bidi w:val="0"/>
        <w:adjustRightInd/>
        <w:snapToGrid/>
        <w:spacing w:line="56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人工促进天然更新措施，对目的树种幼苗幼树进行局部割灌除草,促进生长根据林地、林分实际情况，主要采取人工割灌除草的方式，清除妨碍幼苗幼树生长的灌木和杂草。作业时，注重有生长潜力的幼树、幼苗，以有利于调整林分结构同时注意保护好稀少的珍贵的乔木、小乔木、灌木，特别是对下层浆果类灌木更要注意保护。</w:t>
      </w:r>
    </w:p>
    <w:p w14:paraId="4942E91E">
      <w:pPr>
        <w:pageBreakBefore w:val="0"/>
        <w:kinsoku/>
        <w:wordWrap/>
        <w:overflowPunct/>
        <w:topLinePunct w:val="0"/>
        <w:autoSpaceDE/>
        <w:autoSpaceDN/>
        <w:bidi w:val="0"/>
        <w:adjustRightInd/>
        <w:snapToGrid/>
        <w:spacing w:line="560" w:lineRule="exact"/>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3.5 有害生物防治</w:t>
      </w:r>
    </w:p>
    <w:p w14:paraId="48B97C08">
      <w:pPr>
        <w:pageBreakBefore w:val="0"/>
        <w:kinsoku/>
        <w:wordWrap/>
        <w:overflowPunct/>
        <w:topLinePunct w:val="0"/>
        <w:autoSpaceDE/>
        <w:autoSpaceDN/>
        <w:bidi w:val="0"/>
        <w:adjustRightInd/>
        <w:snapToGrid/>
        <w:spacing w:line="56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遵循“预防为主、科学防控、依法治理、促进健康”的林业有害生物防治工作原则，需强化信息质量管理，并严格执行信息报告制度。对于突发性及新出现的病虫害种类，必须及时上报，确保疫情得到及时通报。组织专业技术人员对其周边的有害生物（包括病原体、昆虫、鼠类、兔类等）进行调查，记录种类、数量、活动状况及危害程度，并在必要时采取化学或生物防治措施。在作业区的林分，主要为栎松混交林，有害生物调查或巡护时，应特别关注松树的异常状况，加强松材线虫病的预防工作。在必要情况下，可使用化学药剂进行预防。重点防治对象为松针蚧和天牛，在它们产卵前（大约每年5月中下旬），使用氯氰菊酯或阿维菌素进行防治，以有效控制害虫。</w:t>
      </w:r>
    </w:p>
    <w:p w14:paraId="01D1CA5C">
      <w:pPr>
        <w:pageBreakBefore w:val="0"/>
        <w:kinsoku/>
        <w:wordWrap/>
        <w:overflowPunct/>
        <w:topLinePunct w:val="0"/>
        <w:autoSpaceDE/>
        <w:autoSpaceDN/>
        <w:bidi w:val="0"/>
        <w:adjustRightInd/>
        <w:snapToGrid/>
        <w:spacing w:line="560" w:lineRule="exact"/>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4采伐量统计</w:t>
      </w:r>
    </w:p>
    <w:p w14:paraId="554A8025">
      <w:pPr>
        <w:pageBreakBefore w:val="0"/>
        <w:kinsoku/>
        <w:wordWrap/>
        <w:overflowPunct/>
        <w:topLinePunct w:val="0"/>
        <w:autoSpaceDE/>
        <w:autoSpaceDN/>
        <w:bidi w:val="0"/>
        <w:adjustRightInd/>
        <w:snapToGrid/>
        <w:spacing w:line="56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经计算，本次退化林修复共采伐林木216278株，采伐蓄积总量为6130.3立方米。</w:t>
      </w:r>
    </w:p>
    <w:p w14:paraId="291BBDE2">
      <w:pPr>
        <w:pageBreakBefore w:val="0"/>
        <w:kinsoku/>
        <w:wordWrap/>
        <w:overflowPunct/>
        <w:topLinePunct w:val="0"/>
        <w:autoSpaceDE/>
        <w:autoSpaceDN/>
        <w:bidi w:val="0"/>
        <w:adjustRightInd/>
        <w:snapToGrid/>
        <w:spacing w:line="560" w:lineRule="exact"/>
        <w:jc w:val="center"/>
        <w:rPr>
          <w:rFonts w:hint="eastAsia" w:ascii="宋体" w:hAnsi="宋体" w:eastAsia="宋体" w:cs="宋体"/>
          <w:b/>
          <w:bCs w:val="0"/>
          <w:sz w:val="24"/>
          <w:szCs w:val="24"/>
          <w:highlight w:val="none"/>
        </w:rPr>
      </w:pPr>
      <w:r>
        <w:rPr>
          <w:rFonts w:hint="eastAsia" w:ascii="宋体" w:hAnsi="宋体" w:eastAsia="宋体" w:cs="宋体"/>
          <w:b/>
          <w:bCs w:val="0"/>
          <w:sz w:val="24"/>
          <w:szCs w:val="24"/>
          <w:highlight w:val="none"/>
        </w:rPr>
        <w:t>生物多样性和环境保护</w:t>
      </w:r>
    </w:p>
    <w:p w14:paraId="6E25A547">
      <w:pPr>
        <w:pageBreakBefore w:val="0"/>
        <w:kinsoku/>
        <w:wordWrap/>
        <w:overflowPunct/>
        <w:topLinePunct w:val="0"/>
        <w:autoSpaceDE/>
        <w:autoSpaceDN/>
        <w:bidi w:val="0"/>
        <w:adjustRightInd/>
        <w:snapToGrid/>
        <w:spacing w:line="560" w:lineRule="exact"/>
        <w:rPr>
          <w:rFonts w:hint="eastAsia" w:ascii="宋体" w:hAnsi="宋体" w:eastAsia="宋体" w:cs="宋体"/>
          <w:b/>
          <w:bCs w:val="0"/>
          <w:sz w:val="24"/>
          <w:szCs w:val="24"/>
          <w:highlight w:val="none"/>
        </w:rPr>
      </w:pPr>
      <w:r>
        <w:rPr>
          <w:rFonts w:hint="eastAsia" w:ascii="宋体" w:hAnsi="宋体" w:eastAsia="宋体" w:cs="宋体"/>
          <w:b/>
          <w:bCs w:val="0"/>
          <w:sz w:val="24"/>
          <w:szCs w:val="24"/>
          <w:highlight w:val="none"/>
        </w:rPr>
        <w:t xml:space="preserve">1生物多样性保护 </w:t>
      </w:r>
    </w:p>
    <w:p w14:paraId="4FD57CD2">
      <w:pPr>
        <w:pageBreakBefore w:val="0"/>
        <w:kinsoku/>
        <w:wordWrap/>
        <w:overflowPunct/>
        <w:topLinePunct w:val="0"/>
        <w:autoSpaceDE/>
        <w:autoSpaceDN/>
        <w:bidi w:val="0"/>
        <w:adjustRightInd/>
        <w:snapToGrid/>
        <w:spacing w:line="560" w:lineRule="exact"/>
        <w:rPr>
          <w:rFonts w:hint="eastAsia" w:ascii="宋体" w:hAnsi="宋体" w:eastAsia="宋体" w:cs="宋体"/>
          <w:b/>
          <w:bCs w:val="0"/>
          <w:sz w:val="24"/>
          <w:szCs w:val="24"/>
          <w:highlight w:val="none"/>
        </w:rPr>
      </w:pPr>
      <w:r>
        <w:rPr>
          <w:rFonts w:hint="eastAsia" w:ascii="宋体" w:hAnsi="宋体" w:eastAsia="宋体" w:cs="宋体"/>
          <w:b/>
          <w:bCs w:val="0"/>
          <w:sz w:val="24"/>
          <w:szCs w:val="24"/>
          <w:highlight w:val="none"/>
        </w:rPr>
        <w:t xml:space="preserve">1.1 野生植物保护 </w:t>
      </w:r>
    </w:p>
    <w:p w14:paraId="6B4C036D">
      <w:pPr>
        <w:pageBreakBefore w:val="0"/>
        <w:kinsoku/>
        <w:wordWrap/>
        <w:overflowPunct/>
        <w:topLinePunct w:val="0"/>
        <w:autoSpaceDE/>
        <w:autoSpaceDN/>
        <w:bidi w:val="0"/>
        <w:adjustRightInd/>
        <w:snapToGrid/>
        <w:spacing w:line="560" w:lineRule="exact"/>
        <w:ind w:firstLine="480" w:firstLineChars="200"/>
        <w:rPr>
          <w:rFonts w:hint="eastAsia" w:ascii="宋体" w:hAnsi="宋体" w:eastAsia="宋体" w:cs="宋体"/>
          <w:bCs/>
          <w:sz w:val="24"/>
          <w:szCs w:val="24"/>
          <w:highlight w:val="none"/>
        </w:rPr>
      </w:pPr>
      <w:r>
        <w:rPr>
          <w:rFonts w:hint="eastAsia" w:ascii="宋体" w:hAnsi="宋体" w:eastAsia="宋体" w:cs="宋体"/>
          <w:bCs/>
          <w:sz w:val="24"/>
          <w:szCs w:val="24"/>
          <w:highlight w:val="none"/>
        </w:rPr>
        <w:t>(1)退化林修复时要保留国家、地方重点保护以及列入珍稀濒危植物名录的树种和植物种类，并注重保护生长植物的栖息环境。</w:t>
      </w:r>
    </w:p>
    <w:p w14:paraId="2F11723A">
      <w:pPr>
        <w:pageBreakBefore w:val="0"/>
        <w:kinsoku/>
        <w:wordWrap/>
        <w:overflowPunct/>
        <w:topLinePunct w:val="0"/>
        <w:autoSpaceDE/>
        <w:autoSpaceDN/>
        <w:bidi w:val="0"/>
        <w:adjustRightInd/>
        <w:snapToGrid/>
        <w:spacing w:line="560" w:lineRule="exact"/>
        <w:ind w:firstLine="480" w:firstLineChars="200"/>
        <w:rPr>
          <w:rFonts w:hint="eastAsia" w:ascii="宋体" w:hAnsi="宋体" w:eastAsia="宋体" w:cs="宋体"/>
          <w:bCs/>
          <w:sz w:val="24"/>
          <w:szCs w:val="24"/>
          <w:highlight w:val="none"/>
        </w:rPr>
      </w:pPr>
      <w:r>
        <w:rPr>
          <w:rFonts w:hint="eastAsia" w:ascii="宋体" w:hAnsi="宋体" w:eastAsia="宋体" w:cs="宋体"/>
          <w:bCs/>
          <w:sz w:val="24"/>
          <w:szCs w:val="24"/>
          <w:highlight w:val="none"/>
        </w:rPr>
        <w:t>(2)为了避免造成新的水土流失，陡坡地段限制割灌除草，应充分保留原生植被，不得全部砍灌。或者整地清完及时用伐后剩余物进行覆盖，避免雨水冲刷。</w:t>
      </w:r>
    </w:p>
    <w:p w14:paraId="0F8ACD5D">
      <w:pPr>
        <w:pageBreakBefore w:val="0"/>
        <w:kinsoku/>
        <w:wordWrap/>
        <w:overflowPunct/>
        <w:topLinePunct w:val="0"/>
        <w:autoSpaceDE/>
        <w:autoSpaceDN/>
        <w:bidi w:val="0"/>
        <w:adjustRightInd/>
        <w:snapToGrid/>
        <w:spacing w:line="560" w:lineRule="exact"/>
        <w:ind w:firstLine="480" w:firstLineChars="200"/>
        <w:rPr>
          <w:rFonts w:hint="eastAsia" w:ascii="宋体" w:hAnsi="宋体" w:eastAsia="宋体" w:cs="宋体"/>
          <w:bCs/>
          <w:sz w:val="24"/>
          <w:szCs w:val="24"/>
          <w:highlight w:val="none"/>
        </w:rPr>
      </w:pPr>
      <w:r>
        <w:rPr>
          <w:rFonts w:hint="eastAsia" w:ascii="宋体" w:hAnsi="宋体" w:eastAsia="宋体" w:cs="宋体"/>
          <w:bCs/>
          <w:sz w:val="24"/>
          <w:szCs w:val="24"/>
          <w:highlight w:val="none"/>
        </w:rPr>
        <w:t>(3)补植整地宜采用对地表植被破坏少的穴状整地方式，严格限制使用大型机械整地，减少施工机械对原生植被和土壤反复碾压产生的破坏。</w:t>
      </w:r>
    </w:p>
    <w:p w14:paraId="653C3EE9">
      <w:pPr>
        <w:pageBreakBefore w:val="0"/>
        <w:kinsoku/>
        <w:wordWrap/>
        <w:overflowPunct/>
        <w:topLinePunct w:val="0"/>
        <w:autoSpaceDE/>
        <w:autoSpaceDN/>
        <w:bidi w:val="0"/>
        <w:adjustRightInd/>
        <w:snapToGrid/>
        <w:spacing w:line="560" w:lineRule="exact"/>
        <w:rPr>
          <w:rFonts w:hint="eastAsia" w:ascii="宋体" w:hAnsi="宋体" w:eastAsia="宋体" w:cs="宋体"/>
          <w:b/>
          <w:bCs w:val="0"/>
          <w:sz w:val="24"/>
          <w:szCs w:val="24"/>
          <w:highlight w:val="none"/>
        </w:rPr>
      </w:pPr>
      <w:r>
        <w:rPr>
          <w:rFonts w:hint="eastAsia" w:ascii="宋体" w:hAnsi="宋体" w:eastAsia="宋体" w:cs="宋体"/>
          <w:b/>
          <w:bCs w:val="0"/>
          <w:sz w:val="24"/>
          <w:szCs w:val="24"/>
          <w:highlight w:val="none"/>
        </w:rPr>
        <w:t>1.2 野生动物保护</w:t>
      </w:r>
    </w:p>
    <w:p w14:paraId="60238915">
      <w:pPr>
        <w:pageBreakBefore w:val="0"/>
        <w:kinsoku/>
        <w:wordWrap/>
        <w:overflowPunct/>
        <w:topLinePunct w:val="0"/>
        <w:autoSpaceDE/>
        <w:autoSpaceDN/>
        <w:bidi w:val="0"/>
        <w:adjustRightInd/>
        <w:snapToGrid/>
        <w:spacing w:line="560" w:lineRule="exact"/>
        <w:ind w:firstLine="480" w:firstLineChars="200"/>
        <w:rPr>
          <w:rFonts w:hint="eastAsia" w:ascii="宋体" w:hAnsi="宋体" w:eastAsia="宋体" w:cs="宋体"/>
          <w:bCs/>
          <w:sz w:val="24"/>
          <w:szCs w:val="24"/>
          <w:highlight w:val="none"/>
        </w:rPr>
      </w:pPr>
      <w:r>
        <w:rPr>
          <w:rFonts w:hint="eastAsia" w:ascii="宋体" w:hAnsi="宋体" w:eastAsia="宋体" w:cs="宋体"/>
          <w:bCs/>
          <w:sz w:val="24"/>
          <w:szCs w:val="24"/>
          <w:highlight w:val="none"/>
        </w:rPr>
        <w:t>(1)退化林修复采伐作业时保留树冠上有鸟巢、树干上有动物巢穴和隐蔽地的林木。</w:t>
      </w:r>
    </w:p>
    <w:p w14:paraId="3C11AD1E">
      <w:pPr>
        <w:pageBreakBefore w:val="0"/>
        <w:kinsoku/>
        <w:wordWrap/>
        <w:overflowPunct/>
        <w:topLinePunct w:val="0"/>
        <w:autoSpaceDE/>
        <w:autoSpaceDN/>
        <w:bidi w:val="0"/>
        <w:adjustRightInd/>
        <w:snapToGrid/>
        <w:spacing w:line="560" w:lineRule="exact"/>
        <w:ind w:firstLine="480" w:firstLineChars="200"/>
        <w:rPr>
          <w:rFonts w:hint="eastAsia" w:ascii="宋体" w:hAnsi="宋体" w:eastAsia="宋体" w:cs="宋体"/>
          <w:bCs/>
          <w:sz w:val="24"/>
          <w:szCs w:val="24"/>
          <w:highlight w:val="none"/>
        </w:rPr>
      </w:pPr>
      <w:r>
        <w:rPr>
          <w:rFonts w:hint="eastAsia" w:ascii="宋体" w:hAnsi="宋体" w:eastAsia="宋体" w:cs="宋体"/>
          <w:bCs/>
          <w:sz w:val="24"/>
          <w:szCs w:val="24"/>
          <w:highlight w:val="none"/>
        </w:rPr>
        <w:t>(2)保护重点保护野生动物的栖息地和动物廊道，考虑作业次序和作业区连接，以便作业时野生动物有躲避场所。</w:t>
      </w:r>
    </w:p>
    <w:p w14:paraId="44254895">
      <w:pPr>
        <w:pageBreakBefore w:val="0"/>
        <w:kinsoku/>
        <w:wordWrap/>
        <w:overflowPunct/>
        <w:topLinePunct w:val="0"/>
        <w:autoSpaceDE/>
        <w:autoSpaceDN/>
        <w:bidi w:val="0"/>
        <w:adjustRightInd/>
        <w:snapToGrid/>
        <w:spacing w:line="560" w:lineRule="exact"/>
        <w:ind w:firstLine="480" w:firstLineChars="200"/>
        <w:rPr>
          <w:rFonts w:hint="eastAsia" w:ascii="宋体" w:hAnsi="宋体" w:eastAsia="宋体" w:cs="宋体"/>
          <w:bCs/>
          <w:sz w:val="24"/>
          <w:szCs w:val="24"/>
          <w:highlight w:val="none"/>
        </w:rPr>
      </w:pPr>
      <w:r>
        <w:rPr>
          <w:rFonts w:hint="eastAsia" w:ascii="宋体" w:hAnsi="宋体" w:eastAsia="宋体" w:cs="宋体"/>
          <w:bCs/>
          <w:sz w:val="24"/>
          <w:szCs w:val="24"/>
          <w:highlight w:val="none"/>
        </w:rPr>
        <w:t>(3)根据重点保护野生动物生活习性，合理安排修复活动和时间。发现修复区内有重点保护野生动物时，应对其活动范围内的修复小班采用惊扰程度小的修复方式开展修复，避免其生境破碎化。</w:t>
      </w:r>
    </w:p>
    <w:p w14:paraId="2F969D01">
      <w:pPr>
        <w:pageBreakBefore w:val="0"/>
        <w:kinsoku/>
        <w:wordWrap/>
        <w:overflowPunct/>
        <w:topLinePunct w:val="0"/>
        <w:autoSpaceDE/>
        <w:autoSpaceDN/>
        <w:bidi w:val="0"/>
        <w:adjustRightInd/>
        <w:snapToGrid/>
        <w:spacing w:line="560" w:lineRule="exact"/>
        <w:ind w:firstLine="480" w:firstLineChars="200"/>
        <w:rPr>
          <w:rFonts w:hint="eastAsia" w:ascii="宋体" w:hAnsi="宋体" w:eastAsia="宋体" w:cs="宋体"/>
          <w:bCs/>
          <w:sz w:val="24"/>
          <w:szCs w:val="24"/>
          <w:highlight w:val="none"/>
        </w:rPr>
      </w:pPr>
      <w:r>
        <w:rPr>
          <w:rFonts w:hint="eastAsia" w:ascii="宋体" w:hAnsi="宋体" w:eastAsia="宋体" w:cs="宋体"/>
          <w:bCs/>
          <w:sz w:val="24"/>
          <w:szCs w:val="24"/>
          <w:highlight w:val="none"/>
        </w:rPr>
        <w:t>(4)在道路两侧修复区内建设人工鸟巢、“灌丛驿站”等设施，保护和引入野生动物，维护和提高生物多样性。</w:t>
      </w:r>
    </w:p>
    <w:p w14:paraId="51CFF9D6">
      <w:pPr>
        <w:pageBreakBefore w:val="0"/>
        <w:kinsoku/>
        <w:wordWrap/>
        <w:overflowPunct/>
        <w:topLinePunct w:val="0"/>
        <w:autoSpaceDE/>
        <w:autoSpaceDN/>
        <w:bidi w:val="0"/>
        <w:adjustRightInd/>
        <w:snapToGrid/>
        <w:spacing w:line="560" w:lineRule="exact"/>
        <w:rPr>
          <w:rFonts w:hint="eastAsia" w:ascii="宋体" w:hAnsi="宋体" w:eastAsia="宋体" w:cs="宋体"/>
          <w:b/>
          <w:bCs w:val="0"/>
          <w:sz w:val="24"/>
          <w:szCs w:val="24"/>
          <w:highlight w:val="none"/>
        </w:rPr>
      </w:pPr>
      <w:r>
        <w:rPr>
          <w:rFonts w:hint="eastAsia" w:ascii="宋体" w:hAnsi="宋体" w:eastAsia="宋体" w:cs="宋体"/>
          <w:b/>
          <w:bCs w:val="0"/>
          <w:sz w:val="24"/>
          <w:szCs w:val="24"/>
          <w:highlight w:val="none"/>
        </w:rPr>
        <w:t xml:space="preserve">2环境保护 </w:t>
      </w:r>
    </w:p>
    <w:p w14:paraId="21FB61CA">
      <w:pPr>
        <w:pageBreakBefore w:val="0"/>
        <w:kinsoku/>
        <w:wordWrap/>
        <w:overflowPunct/>
        <w:topLinePunct w:val="0"/>
        <w:autoSpaceDE/>
        <w:autoSpaceDN/>
        <w:bidi w:val="0"/>
        <w:adjustRightInd/>
        <w:snapToGrid/>
        <w:spacing w:line="560" w:lineRule="exact"/>
        <w:ind w:firstLine="480" w:firstLineChars="200"/>
        <w:rPr>
          <w:rFonts w:hint="eastAsia" w:ascii="宋体" w:hAnsi="宋体" w:eastAsia="宋体" w:cs="宋体"/>
          <w:bCs/>
          <w:sz w:val="24"/>
          <w:szCs w:val="24"/>
          <w:highlight w:val="none"/>
        </w:rPr>
      </w:pPr>
      <w:r>
        <w:rPr>
          <w:rFonts w:hint="eastAsia" w:ascii="宋体" w:hAnsi="宋体" w:eastAsia="宋体" w:cs="宋体"/>
          <w:bCs/>
          <w:sz w:val="24"/>
          <w:szCs w:val="24"/>
          <w:highlight w:val="none"/>
        </w:rPr>
        <w:t>(1)退化林修复是一项营林生产项目，本次施工作业可能会在短时间会对森林的生态功能有所降低，但不会造成生态功能太大的变化。在施工过程中，可能短时间内使林地植被减少，郁闭度降低，对地表植被有轻度破坏，可能会在小区域范围内破坏涵养水源和水土保持的生态效果，因此必须采取相应的环境保护措施。</w:t>
      </w:r>
    </w:p>
    <w:p w14:paraId="5E7D5D43">
      <w:pPr>
        <w:pageBreakBefore w:val="0"/>
        <w:kinsoku/>
        <w:wordWrap/>
        <w:overflowPunct/>
        <w:topLinePunct w:val="0"/>
        <w:autoSpaceDE/>
        <w:autoSpaceDN/>
        <w:bidi w:val="0"/>
        <w:adjustRightInd/>
        <w:snapToGrid/>
        <w:spacing w:line="560" w:lineRule="exact"/>
        <w:ind w:firstLine="480" w:firstLineChars="200"/>
        <w:rPr>
          <w:rFonts w:hint="eastAsia" w:ascii="宋体" w:hAnsi="宋体" w:eastAsia="宋体" w:cs="宋体"/>
          <w:bCs/>
          <w:sz w:val="24"/>
          <w:szCs w:val="24"/>
          <w:highlight w:val="none"/>
        </w:rPr>
      </w:pPr>
      <w:r>
        <w:rPr>
          <w:rFonts w:hint="eastAsia" w:ascii="宋体" w:hAnsi="宋体" w:eastAsia="宋体" w:cs="宋体"/>
          <w:bCs/>
          <w:sz w:val="24"/>
          <w:szCs w:val="24"/>
          <w:highlight w:val="none"/>
        </w:rPr>
        <w:t>(2)项目实施单位在作业过程中要切实加强管理。按照技术规程进行施工，合理安排施工季节，尽量避免在过于寒冷的大雪天气或暴雨天气进行大规模施工，杜绝过度割灌除草。</w:t>
      </w:r>
    </w:p>
    <w:p w14:paraId="31136405">
      <w:pPr>
        <w:pageBreakBefore w:val="0"/>
        <w:kinsoku/>
        <w:wordWrap/>
        <w:overflowPunct/>
        <w:topLinePunct w:val="0"/>
        <w:autoSpaceDE/>
        <w:autoSpaceDN/>
        <w:bidi w:val="0"/>
        <w:adjustRightInd/>
        <w:snapToGrid/>
        <w:spacing w:line="560" w:lineRule="exact"/>
        <w:ind w:firstLine="480" w:firstLineChars="200"/>
        <w:rPr>
          <w:rFonts w:hint="eastAsia" w:ascii="宋体" w:hAnsi="宋体" w:eastAsia="宋体" w:cs="宋体"/>
          <w:bCs/>
          <w:sz w:val="24"/>
          <w:szCs w:val="24"/>
          <w:highlight w:val="none"/>
        </w:rPr>
      </w:pPr>
      <w:r>
        <w:rPr>
          <w:rFonts w:hint="eastAsia" w:ascii="宋体" w:hAnsi="宋体" w:eastAsia="宋体" w:cs="宋体"/>
          <w:bCs/>
          <w:sz w:val="24"/>
          <w:szCs w:val="24"/>
          <w:highlight w:val="none"/>
        </w:rPr>
        <w:t>(3)每一作业区作业结束后，集中收集生活垃圾。处理临时性生活区的建筑和机械设备，集中收集，运往垃圾处理站处理或将可降解、易分解的垃圾，寻找适合掩埋的地区进行掩埋处理，并移走容易引起火灾的油料、燃料等各种废弃物。</w:t>
      </w:r>
    </w:p>
    <w:p w14:paraId="0D5EC320">
      <w:pPr>
        <w:pageBreakBefore w:val="0"/>
        <w:kinsoku/>
        <w:wordWrap/>
        <w:overflowPunct/>
        <w:topLinePunct w:val="0"/>
        <w:autoSpaceDE/>
        <w:autoSpaceDN/>
        <w:bidi w:val="0"/>
        <w:adjustRightInd/>
        <w:snapToGrid/>
        <w:spacing w:line="560" w:lineRule="exact"/>
        <w:ind w:firstLine="480" w:firstLineChars="200"/>
        <w:rPr>
          <w:rFonts w:hint="eastAsia" w:ascii="宋体" w:hAnsi="宋体" w:eastAsia="宋体" w:cs="宋体"/>
          <w:bCs/>
          <w:sz w:val="24"/>
          <w:szCs w:val="24"/>
          <w:highlight w:val="none"/>
        </w:rPr>
      </w:pPr>
      <w:r>
        <w:rPr>
          <w:rFonts w:hint="eastAsia" w:ascii="宋体" w:hAnsi="宋体" w:eastAsia="宋体" w:cs="宋体"/>
          <w:bCs/>
          <w:sz w:val="24"/>
          <w:szCs w:val="24"/>
          <w:highlight w:val="none"/>
        </w:rPr>
        <w:t>(4)剩余物处理。退化林修复的伐剩余物将有病虫害部分运出林区，集中进行处理。将其分别截断、均匀地散铺在林中，以减少林地水土流失和防治生境破坏。</w:t>
      </w:r>
    </w:p>
    <w:p w14:paraId="26BB64F1">
      <w:pPr>
        <w:pageBreakBefore w:val="0"/>
        <w:kinsoku/>
        <w:wordWrap/>
        <w:overflowPunct/>
        <w:topLinePunct w:val="0"/>
        <w:autoSpaceDE/>
        <w:autoSpaceDN/>
        <w:bidi w:val="0"/>
        <w:adjustRightInd/>
        <w:snapToGrid/>
        <w:spacing w:line="560" w:lineRule="exact"/>
        <w:rPr>
          <w:rFonts w:hint="eastAsia" w:ascii="宋体" w:hAnsi="宋体" w:eastAsia="宋体" w:cs="宋体"/>
          <w:b/>
          <w:bCs w:val="0"/>
          <w:sz w:val="24"/>
          <w:szCs w:val="24"/>
          <w:highlight w:val="none"/>
        </w:rPr>
      </w:pPr>
      <w:r>
        <w:rPr>
          <w:rFonts w:hint="eastAsia" w:ascii="宋体" w:hAnsi="宋体" w:eastAsia="宋体" w:cs="宋体"/>
          <w:b/>
          <w:bCs w:val="0"/>
          <w:sz w:val="24"/>
          <w:szCs w:val="24"/>
          <w:highlight w:val="none"/>
        </w:rPr>
        <w:t>3林地肥力保持措施</w:t>
      </w:r>
    </w:p>
    <w:p w14:paraId="6FF38028">
      <w:pPr>
        <w:pageBreakBefore w:val="0"/>
        <w:kinsoku/>
        <w:wordWrap/>
        <w:overflowPunct/>
        <w:topLinePunct w:val="0"/>
        <w:autoSpaceDE/>
        <w:autoSpaceDN/>
        <w:bidi w:val="0"/>
        <w:adjustRightInd/>
        <w:snapToGrid/>
        <w:spacing w:line="560" w:lineRule="exact"/>
        <w:ind w:firstLine="480" w:firstLineChars="200"/>
        <w:rPr>
          <w:rFonts w:hint="eastAsia" w:ascii="宋体" w:hAnsi="宋体" w:eastAsia="宋体" w:cs="宋体"/>
          <w:bCs/>
          <w:sz w:val="24"/>
          <w:szCs w:val="24"/>
          <w:highlight w:val="none"/>
        </w:rPr>
      </w:pPr>
      <w:r>
        <w:rPr>
          <w:rFonts w:hint="eastAsia" w:ascii="宋体" w:hAnsi="宋体" w:eastAsia="宋体" w:cs="宋体"/>
          <w:bCs/>
          <w:sz w:val="24"/>
          <w:szCs w:val="24"/>
          <w:highlight w:val="none"/>
        </w:rPr>
        <w:t>施工作业尽力不扰动地被物层，伐区剩余物粉碎后保留在林地，形成腐熟有机物，增加土壤肥力。</w:t>
      </w:r>
    </w:p>
    <w:p w14:paraId="4312E396">
      <w:pPr>
        <w:pageBreakBefore w:val="0"/>
        <w:kinsoku/>
        <w:wordWrap/>
        <w:overflowPunct/>
        <w:topLinePunct w:val="0"/>
        <w:autoSpaceDE/>
        <w:autoSpaceDN/>
        <w:bidi w:val="0"/>
        <w:adjustRightInd/>
        <w:snapToGrid/>
        <w:spacing w:line="560" w:lineRule="exact"/>
        <w:rPr>
          <w:rFonts w:hint="eastAsia" w:ascii="宋体" w:hAnsi="宋体" w:eastAsia="宋体" w:cs="宋体"/>
          <w:b/>
          <w:bCs w:val="0"/>
          <w:sz w:val="24"/>
          <w:szCs w:val="24"/>
          <w:highlight w:val="none"/>
        </w:rPr>
      </w:pPr>
      <w:r>
        <w:rPr>
          <w:rFonts w:hint="eastAsia" w:ascii="宋体" w:hAnsi="宋体" w:eastAsia="宋体" w:cs="宋体"/>
          <w:b/>
          <w:bCs w:val="0"/>
          <w:sz w:val="24"/>
          <w:szCs w:val="24"/>
          <w:highlight w:val="none"/>
        </w:rPr>
        <w:t>4有害生物防治</w:t>
      </w:r>
    </w:p>
    <w:p w14:paraId="7A7F785D">
      <w:pPr>
        <w:pageBreakBefore w:val="0"/>
        <w:kinsoku/>
        <w:wordWrap/>
        <w:overflowPunct/>
        <w:topLinePunct w:val="0"/>
        <w:autoSpaceDE/>
        <w:autoSpaceDN/>
        <w:bidi w:val="0"/>
        <w:adjustRightInd/>
        <w:snapToGrid/>
        <w:spacing w:line="560" w:lineRule="exact"/>
        <w:ind w:firstLine="480" w:firstLineChars="200"/>
        <w:rPr>
          <w:rFonts w:hint="eastAsia" w:ascii="宋体" w:hAnsi="宋体" w:eastAsia="宋体" w:cs="宋体"/>
          <w:bCs/>
          <w:sz w:val="24"/>
          <w:szCs w:val="24"/>
          <w:highlight w:val="none"/>
        </w:rPr>
      </w:pPr>
      <w:r>
        <w:rPr>
          <w:rFonts w:hint="eastAsia" w:ascii="宋体" w:hAnsi="宋体" w:eastAsia="宋体" w:cs="宋体"/>
          <w:bCs/>
          <w:sz w:val="24"/>
          <w:szCs w:val="24"/>
          <w:highlight w:val="none"/>
        </w:rPr>
        <w:t>严格执行《陕西省林业有害生物防治检疫条例》各项规定，严格控制病虫害源传播途径，进入修复区的苗木要做好检疫，修复区病虫害木及残余物及时隔离与处理。</w:t>
      </w:r>
    </w:p>
    <w:p w14:paraId="616AFF0A">
      <w:pPr>
        <w:pageBreakBefore w:val="0"/>
        <w:kinsoku/>
        <w:wordWrap/>
        <w:overflowPunct/>
        <w:topLinePunct w:val="0"/>
        <w:autoSpaceDE/>
        <w:autoSpaceDN/>
        <w:bidi w:val="0"/>
        <w:adjustRightInd/>
        <w:snapToGrid/>
        <w:spacing w:line="560" w:lineRule="exact"/>
        <w:rPr>
          <w:rFonts w:hint="eastAsia" w:ascii="宋体" w:hAnsi="宋体" w:eastAsia="宋体" w:cs="宋体"/>
          <w:b/>
          <w:bCs w:val="0"/>
          <w:sz w:val="24"/>
          <w:szCs w:val="24"/>
          <w:highlight w:val="none"/>
        </w:rPr>
      </w:pPr>
      <w:r>
        <w:rPr>
          <w:rFonts w:hint="eastAsia" w:ascii="宋体" w:hAnsi="宋体" w:eastAsia="宋体" w:cs="宋体"/>
          <w:b/>
          <w:bCs w:val="0"/>
          <w:sz w:val="24"/>
          <w:szCs w:val="24"/>
          <w:highlight w:val="none"/>
        </w:rPr>
        <w:t>5森林防火</w:t>
      </w:r>
    </w:p>
    <w:p w14:paraId="2CDC1B8F">
      <w:pPr>
        <w:pageBreakBefore w:val="0"/>
        <w:kinsoku/>
        <w:wordWrap/>
        <w:overflowPunct/>
        <w:topLinePunct w:val="0"/>
        <w:autoSpaceDE/>
        <w:autoSpaceDN/>
        <w:bidi w:val="0"/>
        <w:adjustRightInd/>
        <w:snapToGrid/>
        <w:spacing w:line="560" w:lineRule="exact"/>
        <w:ind w:firstLine="480" w:firstLineChars="200"/>
        <w:rPr>
          <w:rFonts w:hint="eastAsia" w:ascii="宋体" w:hAnsi="宋体" w:eastAsia="宋体" w:cs="宋体"/>
          <w:bCs/>
          <w:sz w:val="24"/>
          <w:szCs w:val="24"/>
          <w:highlight w:val="none"/>
        </w:rPr>
      </w:pPr>
      <w:r>
        <w:rPr>
          <w:rFonts w:hint="eastAsia" w:ascii="宋体" w:hAnsi="宋体" w:eastAsia="宋体" w:cs="宋体"/>
          <w:bCs/>
          <w:sz w:val="24"/>
          <w:szCs w:val="24"/>
          <w:highlight w:val="none"/>
        </w:rPr>
        <w:t>(1)对于所有参与施工的工作人员，加强防火、灭火教育，增强公众的防火意识。</w:t>
      </w:r>
    </w:p>
    <w:p w14:paraId="6809FE7F">
      <w:pPr>
        <w:pageBreakBefore w:val="0"/>
        <w:kinsoku/>
        <w:wordWrap/>
        <w:overflowPunct/>
        <w:topLinePunct w:val="0"/>
        <w:autoSpaceDE/>
        <w:autoSpaceDN/>
        <w:bidi w:val="0"/>
        <w:adjustRightInd/>
        <w:snapToGrid/>
        <w:spacing w:line="560" w:lineRule="exact"/>
        <w:ind w:firstLine="480" w:firstLineChars="200"/>
        <w:rPr>
          <w:rFonts w:hint="eastAsia" w:ascii="宋体" w:hAnsi="宋体" w:eastAsia="宋体" w:cs="宋体"/>
          <w:bCs/>
          <w:sz w:val="24"/>
          <w:szCs w:val="24"/>
          <w:highlight w:val="none"/>
        </w:rPr>
      </w:pPr>
      <w:r>
        <w:rPr>
          <w:rFonts w:hint="eastAsia" w:ascii="宋体" w:hAnsi="宋体" w:eastAsia="宋体" w:cs="宋体"/>
          <w:bCs/>
          <w:sz w:val="24"/>
          <w:szCs w:val="24"/>
          <w:highlight w:val="none"/>
        </w:rPr>
        <w:t>(2)施工临时居住场所应设置防火隔离带，并配备消防器材，及时清除容易引起火灾的油料、燃料和各种废弃物。</w:t>
      </w:r>
    </w:p>
    <w:p w14:paraId="77FA75AA">
      <w:pPr>
        <w:pageBreakBefore w:val="0"/>
        <w:kinsoku/>
        <w:wordWrap/>
        <w:overflowPunct/>
        <w:topLinePunct w:val="0"/>
        <w:autoSpaceDE/>
        <w:autoSpaceDN/>
        <w:bidi w:val="0"/>
        <w:adjustRightInd/>
        <w:snapToGrid/>
        <w:spacing w:line="560" w:lineRule="exact"/>
        <w:ind w:firstLine="480" w:firstLineChars="200"/>
        <w:rPr>
          <w:rFonts w:hint="eastAsia" w:ascii="宋体" w:hAnsi="宋体" w:eastAsia="宋体" w:cs="宋体"/>
          <w:bCs/>
          <w:sz w:val="24"/>
          <w:szCs w:val="24"/>
          <w:highlight w:val="none"/>
        </w:rPr>
      </w:pPr>
      <w:r>
        <w:rPr>
          <w:rFonts w:hint="eastAsia" w:ascii="宋体" w:hAnsi="宋体" w:eastAsia="宋体" w:cs="宋体"/>
          <w:bCs/>
          <w:sz w:val="24"/>
          <w:szCs w:val="24"/>
          <w:highlight w:val="none"/>
        </w:rPr>
        <w:t>(3)作业区不应用火。如遇特殊情况需用火时，应清理出场地，火源半径3米内不应有任何可燃物质，作业人员离开时，应彻底熄灭火源。</w:t>
      </w:r>
    </w:p>
    <w:p w14:paraId="070CDC0A">
      <w:pPr>
        <w:pageBreakBefore w:val="0"/>
        <w:kinsoku/>
        <w:wordWrap/>
        <w:overflowPunct/>
        <w:topLinePunct w:val="0"/>
        <w:autoSpaceDE/>
        <w:autoSpaceDN/>
        <w:bidi w:val="0"/>
        <w:adjustRightInd/>
        <w:snapToGrid/>
        <w:spacing w:line="560" w:lineRule="exact"/>
        <w:ind w:firstLine="480" w:firstLineChars="200"/>
        <w:rPr>
          <w:rFonts w:hint="eastAsia" w:ascii="宋体" w:hAnsi="宋体" w:eastAsia="宋体" w:cs="宋体"/>
          <w:bCs/>
          <w:sz w:val="24"/>
          <w:szCs w:val="24"/>
          <w:highlight w:val="none"/>
        </w:rPr>
      </w:pPr>
      <w:r>
        <w:rPr>
          <w:rFonts w:hint="eastAsia" w:ascii="宋体" w:hAnsi="宋体" w:eastAsia="宋体" w:cs="宋体"/>
          <w:bCs/>
          <w:sz w:val="24"/>
          <w:szCs w:val="24"/>
          <w:highlight w:val="none"/>
        </w:rPr>
        <w:t>(4)注意机械设备防火。机械加油时，应保证半径3米内没有任何可燃物质。机械的排气、点火或产生高温的系统，应安装防火设施或采取防火措施。</w:t>
      </w:r>
    </w:p>
    <w:p w14:paraId="4D4B3AA8">
      <w:pPr>
        <w:pageBreakBefore w:val="0"/>
        <w:kinsoku/>
        <w:wordWrap/>
        <w:overflowPunct/>
        <w:topLinePunct w:val="0"/>
        <w:autoSpaceDE/>
        <w:autoSpaceDN/>
        <w:bidi w:val="0"/>
        <w:adjustRightInd/>
        <w:snapToGrid/>
        <w:spacing w:line="560" w:lineRule="exact"/>
        <w:ind w:firstLine="480" w:firstLineChars="200"/>
        <w:rPr>
          <w:rFonts w:hint="eastAsia" w:ascii="宋体" w:hAnsi="宋体" w:eastAsia="宋体" w:cs="宋体"/>
          <w:bCs/>
          <w:sz w:val="24"/>
          <w:szCs w:val="24"/>
          <w:highlight w:val="none"/>
        </w:rPr>
      </w:pPr>
      <w:r>
        <w:rPr>
          <w:rFonts w:hint="eastAsia" w:ascii="宋体" w:hAnsi="宋体" w:eastAsia="宋体" w:cs="宋体"/>
          <w:kern w:val="2"/>
          <w:sz w:val="24"/>
          <w:szCs w:val="24"/>
          <w:lang w:val="en-US" w:eastAsia="zh-CN" w:bidi="ar-SA"/>
        </w:rPr>
        <w:t>(5)</w:t>
      </w:r>
      <w:r>
        <w:rPr>
          <w:rFonts w:hint="eastAsia" w:ascii="宋体" w:hAnsi="宋体" w:eastAsia="宋体" w:cs="宋体"/>
          <w:bCs/>
          <w:sz w:val="24"/>
          <w:szCs w:val="24"/>
          <w:highlight w:val="none"/>
        </w:rPr>
        <w:t>一旦发生火情，应立即停止作业，采取必要的灭火措施，并向有关部门报告。</w:t>
      </w:r>
      <w:r>
        <w:rPr>
          <w:rFonts w:hint="eastAsia" w:ascii="宋体" w:hAnsi="宋体" w:eastAsia="宋体" w:cs="宋体"/>
          <w:bCs/>
          <w:sz w:val="24"/>
          <w:szCs w:val="24"/>
          <w:highlight w:val="none"/>
        </w:rPr>
        <w:br w:type="page"/>
      </w:r>
    </w:p>
    <w:p w14:paraId="4D021D88">
      <w:pPr>
        <w:pStyle w:val="2"/>
        <w:rPr>
          <w:rFonts w:hint="eastAsia"/>
        </w:rPr>
      </w:pPr>
    </w:p>
    <w:p w14:paraId="7F335ED8">
      <w:pPr>
        <w:pStyle w:val="4"/>
        <w:spacing w:line="360" w:lineRule="auto"/>
        <w:jc w:val="center"/>
        <w:rPr>
          <w:rFonts w:asciiTheme="minorEastAsia" w:hAnsiTheme="minorEastAsia" w:eastAsiaTheme="minorEastAsia" w:cstheme="minorEastAsia"/>
          <w:bCs/>
          <w:sz w:val="36"/>
          <w:szCs w:val="36"/>
          <w:highlight w:val="none"/>
        </w:rPr>
      </w:pPr>
      <w:r>
        <w:rPr>
          <w:rFonts w:hint="eastAsia" w:asciiTheme="minorEastAsia" w:hAnsiTheme="minorEastAsia" w:eastAsiaTheme="minorEastAsia" w:cstheme="minorEastAsia"/>
          <w:bCs/>
          <w:sz w:val="36"/>
          <w:szCs w:val="36"/>
          <w:highlight w:val="none"/>
        </w:rPr>
        <w:t>第六章  投标文件构成及格式</w:t>
      </w:r>
      <w:bookmarkEnd w:id="140"/>
      <w:bookmarkEnd w:id="141"/>
    </w:p>
    <w:p w14:paraId="7445FF89">
      <w:pPr>
        <w:rPr>
          <w:rFonts w:asciiTheme="minorEastAsia" w:hAnsiTheme="minorEastAsia" w:eastAsiaTheme="minorEastAsia" w:cstheme="minorEastAsia"/>
          <w:highlight w:val="none"/>
        </w:rPr>
      </w:pPr>
    </w:p>
    <w:p w14:paraId="6C21A659">
      <w:pPr>
        <w:rPr>
          <w:rFonts w:hint="eastAsia" w:asciiTheme="minorEastAsia" w:hAnsiTheme="minorEastAsia" w:eastAsiaTheme="minorEastAsia" w:cstheme="minorEastAsia"/>
          <w:b/>
          <w:sz w:val="32"/>
          <w:szCs w:val="32"/>
          <w:highlight w:val="none"/>
          <w:lang w:eastAsia="zh-CN"/>
        </w:rPr>
      </w:pPr>
      <w:r>
        <w:rPr>
          <w:rFonts w:hint="eastAsia" w:asciiTheme="minorEastAsia" w:hAnsiTheme="minorEastAsia" w:eastAsiaTheme="minorEastAsia" w:cstheme="minorEastAsia"/>
          <w:b/>
          <w:sz w:val="32"/>
          <w:szCs w:val="32"/>
          <w:highlight w:val="none"/>
        </w:rPr>
        <w:t>项目编号：</w:t>
      </w:r>
      <w:r>
        <w:rPr>
          <w:rFonts w:hint="eastAsia" w:asciiTheme="minorEastAsia" w:hAnsiTheme="minorEastAsia" w:eastAsiaTheme="minorEastAsia" w:cstheme="minorEastAsia"/>
          <w:b/>
          <w:sz w:val="32"/>
          <w:szCs w:val="32"/>
          <w:highlight w:val="none"/>
          <w:lang w:eastAsia="zh-CN"/>
        </w:rPr>
        <w:t>YZZB-20250144</w:t>
      </w:r>
    </w:p>
    <w:p w14:paraId="0D29E724">
      <w:pPr>
        <w:jc w:val="right"/>
        <w:rPr>
          <w:rFonts w:asciiTheme="minorEastAsia" w:hAnsiTheme="minorEastAsia" w:eastAsiaTheme="minorEastAsia" w:cstheme="minorEastAsia"/>
          <w:b/>
          <w:sz w:val="32"/>
          <w:szCs w:val="32"/>
          <w:highlight w:val="none"/>
        </w:rPr>
      </w:pPr>
      <w:r>
        <w:rPr>
          <w:rFonts w:hint="eastAsia" w:asciiTheme="minorEastAsia" w:hAnsiTheme="minorEastAsia" w:eastAsiaTheme="minorEastAsia" w:cstheme="minorEastAsia"/>
          <w:b/>
          <w:sz w:val="32"/>
          <w:szCs w:val="32"/>
          <w:highlight w:val="none"/>
        </w:rPr>
        <w:t>（正本或副本）</w:t>
      </w:r>
    </w:p>
    <w:p w14:paraId="7B28B8F1">
      <w:pPr>
        <w:jc w:val="center"/>
        <w:rPr>
          <w:rFonts w:asciiTheme="minorEastAsia" w:hAnsiTheme="minorEastAsia" w:eastAsiaTheme="minorEastAsia" w:cstheme="minorEastAsia"/>
          <w:b/>
          <w:sz w:val="36"/>
          <w:szCs w:val="36"/>
          <w:highlight w:val="none"/>
        </w:rPr>
      </w:pPr>
    </w:p>
    <w:p w14:paraId="0213693A">
      <w:pPr>
        <w:rPr>
          <w:rFonts w:asciiTheme="minorEastAsia" w:hAnsiTheme="minorEastAsia" w:eastAsiaTheme="minorEastAsia" w:cstheme="minorEastAsia"/>
          <w:b/>
          <w:sz w:val="52"/>
          <w:szCs w:val="52"/>
          <w:highlight w:val="none"/>
        </w:rPr>
      </w:pPr>
    </w:p>
    <w:p w14:paraId="5CE1865E">
      <w:pPr>
        <w:jc w:val="center"/>
        <w:rPr>
          <w:rFonts w:hint="eastAsia" w:asciiTheme="minorEastAsia" w:hAnsiTheme="minorEastAsia" w:eastAsiaTheme="minorEastAsia" w:cstheme="minorEastAsia"/>
          <w:b/>
          <w:sz w:val="32"/>
          <w:szCs w:val="32"/>
          <w:highlight w:val="none"/>
          <w:lang w:eastAsia="zh-CN"/>
        </w:rPr>
      </w:pPr>
      <w:r>
        <w:rPr>
          <w:rFonts w:hint="eastAsia" w:asciiTheme="minorEastAsia" w:hAnsiTheme="minorEastAsia" w:eastAsiaTheme="minorEastAsia" w:cstheme="minorEastAsia"/>
          <w:b/>
          <w:sz w:val="48"/>
          <w:szCs w:val="48"/>
          <w:highlight w:val="none"/>
          <w:lang w:eastAsia="zh-CN"/>
        </w:rPr>
        <w:t>商洛市柞水县2024年中央财政林业草原改革发展资金其他国土绿化项目（退化林修复）</w:t>
      </w:r>
    </w:p>
    <w:p w14:paraId="06736E7B">
      <w:pPr>
        <w:pStyle w:val="2"/>
        <w:jc w:val="center"/>
        <w:rPr>
          <w:rFonts w:hint="eastAsia" w:asciiTheme="minorEastAsia" w:hAnsiTheme="minorEastAsia" w:eastAsiaTheme="minorEastAsia" w:cstheme="minorEastAsia"/>
          <w:b/>
          <w:spacing w:val="0"/>
          <w:kern w:val="2"/>
          <w:sz w:val="48"/>
          <w:szCs w:val="48"/>
          <w:highlight w:val="none"/>
          <w:lang w:val="en-US" w:eastAsia="zh-CN" w:bidi="ar-SA"/>
        </w:rPr>
      </w:pPr>
      <w:r>
        <w:rPr>
          <w:rFonts w:hint="eastAsia" w:asciiTheme="minorEastAsia" w:hAnsiTheme="minorEastAsia" w:eastAsiaTheme="minorEastAsia" w:cstheme="minorEastAsia"/>
          <w:b/>
          <w:spacing w:val="0"/>
          <w:kern w:val="2"/>
          <w:sz w:val="48"/>
          <w:szCs w:val="48"/>
          <w:highlight w:val="none"/>
          <w:lang w:val="en-US" w:eastAsia="zh-CN" w:bidi="ar-SA"/>
        </w:rPr>
        <w:t>（合同包</w:t>
      </w:r>
      <w:r>
        <w:rPr>
          <w:rFonts w:hint="eastAsia" w:asciiTheme="minorEastAsia" w:hAnsiTheme="minorEastAsia" w:eastAsiaTheme="minorEastAsia" w:cstheme="minorEastAsia"/>
          <w:b/>
          <w:spacing w:val="0"/>
          <w:kern w:val="2"/>
          <w:sz w:val="48"/>
          <w:szCs w:val="48"/>
          <w:highlight w:val="none"/>
          <w:u w:val="single"/>
          <w:lang w:val="en-US" w:eastAsia="zh-CN" w:bidi="ar-SA"/>
        </w:rPr>
        <w:t xml:space="preserve">    </w:t>
      </w:r>
      <w:r>
        <w:rPr>
          <w:rFonts w:hint="eastAsia" w:asciiTheme="minorEastAsia" w:hAnsiTheme="minorEastAsia" w:eastAsiaTheme="minorEastAsia" w:cstheme="minorEastAsia"/>
          <w:b/>
          <w:spacing w:val="0"/>
          <w:kern w:val="2"/>
          <w:sz w:val="48"/>
          <w:szCs w:val="48"/>
          <w:highlight w:val="none"/>
          <w:lang w:val="en-US" w:eastAsia="zh-CN" w:bidi="ar-SA"/>
        </w:rPr>
        <w:t>）</w:t>
      </w:r>
    </w:p>
    <w:p w14:paraId="28269D88">
      <w:pPr>
        <w:rPr>
          <w:rFonts w:asciiTheme="minorEastAsia" w:hAnsiTheme="minorEastAsia" w:eastAsiaTheme="minorEastAsia" w:cstheme="minorEastAsia"/>
          <w:highlight w:val="none"/>
        </w:rPr>
      </w:pPr>
    </w:p>
    <w:p w14:paraId="0A627E3B">
      <w:pPr>
        <w:jc w:val="center"/>
        <w:rPr>
          <w:rFonts w:hint="eastAsia" w:asciiTheme="minorEastAsia" w:hAnsiTheme="minorEastAsia" w:eastAsiaTheme="minorEastAsia" w:cstheme="minorEastAsia"/>
          <w:b/>
          <w:sz w:val="72"/>
          <w:szCs w:val="72"/>
          <w:highlight w:val="none"/>
        </w:rPr>
      </w:pPr>
    </w:p>
    <w:p w14:paraId="2B44A58A">
      <w:pPr>
        <w:jc w:val="center"/>
        <w:rPr>
          <w:rFonts w:asciiTheme="minorEastAsia" w:hAnsiTheme="minorEastAsia" w:eastAsiaTheme="minorEastAsia" w:cstheme="minorEastAsia"/>
          <w:b/>
          <w:sz w:val="72"/>
          <w:szCs w:val="72"/>
          <w:highlight w:val="none"/>
        </w:rPr>
      </w:pPr>
      <w:r>
        <w:rPr>
          <w:rFonts w:hint="eastAsia" w:asciiTheme="minorEastAsia" w:hAnsiTheme="minorEastAsia" w:eastAsiaTheme="minorEastAsia" w:cstheme="minorEastAsia"/>
          <w:b/>
          <w:sz w:val="72"/>
          <w:szCs w:val="72"/>
          <w:highlight w:val="none"/>
        </w:rPr>
        <w:t>投 标 文 件</w:t>
      </w:r>
    </w:p>
    <w:p w14:paraId="7F801EE3">
      <w:pPr>
        <w:jc w:val="center"/>
        <w:rPr>
          <w:rFonts w:asciiTheme="minorEastAsia" w:hAnsiTheme="minorEastAsia" w:eastAsiaTheme="minorEastAsia" w:cstheme="minorEastAsia"/>
          <w:b/>
          <w:sz w:val="72"/>
          <w:szCs w:val="72"/>
          <w:highlight w:val="none"/>
        </w:rPr>
      </w:pPr>
    </w:p>
    <w:p w14:paraId="52863992">
      <w:pPr>
        <w:rPr>
          <w:rFonts w:asciiTheme="minorEastAsia" w:hAnsiTheme="minorEastAsia" w:eastAsiaTheme="minorEastAsia" w:cstheme="minorEastAsia"/>
          <w:b/>
          <w:sz w:val="36"/>
          <w:szCs w:val="36"/>
          <w:highlight w:val="none"/>
        </w:rPr>
      </w:pPr>
    </w:p>
    <w:p w14:paraId="37E85B0B">
      <w:pPr>
        <w:spacing w:line="360" w:lineRule="auto"/>
        <w:rPr>
          <w:rFonts w:asciiTheme="minorEastAsia" w:hAnsiTheme="minorEastAsia" w:eastAsiaTheme="minorEastAsia" w:cstheme="minorEastAsia"/>
          <w:b/>
          <w:bCs/>
          <w:sz w:val="28"/>
          <w:szCs w:val="28"/>
          <w:highlight w:val="none"/>
        </w:rPr>
      </w:pPr>
      <w:bookmarkStart w:id="249" w:name="_GoBack"/>
      <w:bookmarkEnd w:id="249"/>
    </w:p>
    <w:p w14:paraId="4BC7E4AF">
      <w:pPr>
        <w:spacing w:line="360" w:lineRule="auto"/>
        <w:rPr>
          <w:rFonts w:asciiTheme="minorEastAsia" w:hAnsiTheme="minorEastAsia" w:eastAsiaTheme="minorEastAsia" w:cstheme="minorEastAsia"/>
          <w:b/>
          <w:bCs/>
          <w:sz w:val="28"/>
          <w:szCs w:val="28"/>
          <w:highlight w:val="none"/>
        </w:rPr>
      </w:pPr>
    </w:p>
    <w:p w14:paraId="4E398752">
      <w:pPr>
        <w:spacing w:line="360" w:lineRule="auto"/>
        <w:ind w:firstLine="1124" w:firstLineChars="400"/>
        <w:rPr>
          <w:rFonts w:asciiTheme="minorEastAsia" w:hAnsiTheme="minorEastAsia" w:eastAsiaTheme="minorEastAsia" w:cstheme="minorEastAsia"/>
          <w:b/>
          <w:bCs/>
          <w:sz w:val="28"/>
          <w:szCs w:val="28"/>
          <w:highlight w:val="none"/>
          <w:u w:val="single"/>
        </w:rPr>
      </w:pPr>
      <w:r>
        <w:rPr>
          <w:rFonts w:hint="eastAsia" w:asciiTheme="minorEastAsia" w:hAnsiTheme="minorEastAsia" w:eastAsiaTheme="minorEastAsia" w:cstheme="minorEastAsia"/>
          <w:b/>
          <w:bCs/>
          <w:sz w:val="28"/>
          <w:szCs w:val="28"/>
          <w:highlight w:val="none"/>
        </w:rPr>
        <w:t>投标人名称：（盖章）</w:t>
      </w:r>
      <w:r>
        <w:rPr>
          <w:rFonts w:hint="eastAsia" w:asciiTheme="minorEastAsia" w:hAnsiTheme="minorEastAsia" w:eastAsiaTheme="minorEastAsia" w:cstheme="minorEastAsia"/>
          <w:b/>
          <w:bCs/>
          <w:sz w:val="28"/>
          <w:szCs w:val="28"/>
          <w:highlight w:val="none"/>
          <w:u w:val="single"/>
        </w:rPr>
        <w:t xml:space="preserve">                     </w:t>
      </w:r>
    </w:p>
    <w:p w14:paraId="0B5314F5">
      <w:pPr>
        <w:spacing w:line="360" w:lineRule="auto"/>
        <w:ind w:firstLine="1124" w:firstLineChars="400"/>
        <w:rPr>
          <w:rFonts w:asciiTheme="minorEastAsia" w:hAnsiTheme="minorEastAsia" w:eastAsiaTheme="minorEastAsia" w:cstheme="minorEastAsia"/>
          <w:b/>
          <w:bCs/>
          <w:sz w:val="28"/>
          <w:szCs w:val="28"/>
          <w:highlight w:val="none"/>
        </w:rPr>
      </w:pPr>
      <w:r>
        <w:rPr>
          <w:rFonts w:hint="eastAsia" w:asciiTheme="minorEastAsia" w:hAnsiTheme="minorEastAsia" w:eastAsiaTheme="minorEastAsia" w:cstheme="minorEastAsia"/>
          <w:b/>
          <w:bCs/>
          <w:sz w:val="28"/>
          <w:szCs w:val="28"/>
          <w:highlight w:val="none"/>
        </w:rPr>
        <w:t>法定代表人或其委托代理人：</w:t>
      </w:r>
      <w:r>
        <w:rPr>
          <w:rFonts w:hint="eastAsia" w:asciiTheme="minorEastAsia" w:hAnsiTheme="minorEastAsia" w:eastAsiaTheme="minorEastAsia" w:cstheme="minorEastAsia"/>
          <w:b/>
          <w:bCs/>
          <w:sz w:val="28"/>
          <w:szCs w:val="28"/>
          <w:highlight w:val="none"/>
          <w:lang w:val="en-US" w:eastAsia="zh-CN"/>
        </w:rPr>
        <w:t xml:space="preserve">        </w:t>
      </w:r>
      <w:r>
        <w:rPr>
          <w:rFonts w:hint="eastAsia" w:asciiTheme="minorEastAsia" w:hAnsiTheme="minorEastAsia" w:eastAsiaTheme="minorEastAsia" w:cstheme="minorEastAsia"/>
          <w:b/>
          <w:bCs/>
          <w:sz w:val="28"/>
          <w:szCs w:val="28"/>
          <w:highlight w:val="none"/>
        </w:rPr>
        <w:t>（签字或盖章）</w:t>
      </w:r>
    </w:p>
    <w:p w14:paraId="3A9B29B6">
      <w:pPr>
        <w:spacing w:line="360" w:lineRule="auto"/>
        <w:jc w:val="center"/>
        <w:rPr>
          <w:rFonts w:asciiTheme="minorEastAsia" w:hAnsiTheme="minorEastAsia" w:eastAsiaTheme="minorEastAsia" w:cstheme="minorEastAsia"/>
          <w:b/>
          <w:bCs/>
          <w:sz w:val="28"/>
          <w:szCs w:val="28"/>
          <w:highlight w:val="none"/>
        </w:rPr>
      </w:pPr>
      <w:r>
        <w:rPr>
          <w:rFonts w:hint="eastAsia" w:asciiTheme="minorEastAsia" w:hAnsiTheme="minorEastAsia" w:eastAsiaTheme="minorEastAsia" w:cstheme="minorEastAsia"/>
          <w:b/>
          <w:bCs/>
          <w:sz w:val="28"/>
          <w:szCs w:val="28"/>
          <w:highlight w:val="none"/>
        </w:rPr>
        <w:t>年      月      日</w:t>
      </w:r>
    </w:p>
    <w:p w14:paraId="09C230FF">
      <w:pPr>
        <w:spacing w:line="360" w:lineRule="auto"/>
        <w:rPr>
          <w:rFonts w:asciiTheme="minorEastAsia" w:hAnsiTheme="minorEastAsia" w:eastAsiaTheme="minorEastAsia" w:cstheme="minorEastAsia"/>
          <w:highlight w:val="none"/>
        </w:rPr>
      </w:pPr>
    </w:p>
    <w:p w14:paraId="66F75822">
      <w:pPr>
        <w:spacing w:line="360" w:lineRule="auto"/>
        <w:rPr>
          <w:rFonts w:asciiTheme="minorEastAsia" w:hAnsiTheme="minorEastAsia" w:eastAsiaTheme="minorEastAsia" w:cstheme="minorEastAsia"/>
          <w:highlight w:val="none"/>
        </w:rPr>
        <w:sectPr>
          <w:footerReference r:id="rId9" w:type="default"/>
          <w:pgSz w:w="11906" w:h="16838"/>
          <w:pgMar w:top="1304" w:right="1361" w:bottom="1304" w:left="1361" w:header="851" w:footer="992" w:gutter="0"/>
          <w:cols w:space="0" w:num="1"/>
          <w:docGrid w:type="lines" w:linePitch="312" w:charSpace="0"/>
        </w:sectPr>
      </w:pPr>
    </w:p>
    <w:p w14:paraId="202A010E">
      <w:pPr>
        <w:spacing w:beforeLines="50" w:afterLines="50" w:line="360" w:lineRule="auto"/>
        <w:jc w:val="center"/>
        <w:rPr>
          <w:rFonts w:asciiTheme="minorEastAsia" w:hAnsiTheme="minorEastAsia" w:eastAsiaTheme="minorEastAsia" w:cstheme="minorEastAsia"/>
          <w:b/>
          <w:bCs/>
          <w:spacing w:val="4"/>
          <w:sz w:val="36"/>
          <w:szCs w:val="36"/>
          <w:highlight w:val="none"/>
        </w:rPr>
      </w:pPr>
      <w:r>
        <w:rPr>
          <w:rFonts w:hint="eastAsia" w:asciiTheme="minorEastAsia" w:hAnsiTheme="minorEastAsia" w:eastAsiaTheme="minorEastAsia" w:cstheme="minorEastAsia"/>
          <w:b/>
          <w:bCs/>
          <w:spacing w:val="4"/>
          <w:sz w:val="36"/>
          <w:szCs w:val="36"/>
          <w:highlight w:val="none"/>
        </w:rPr>
        <w:t>目 录</w:t>
      </w:r>
    </w:p>
    <w:p w14:paraId="45801741">
      <w:pPr>
        <w:tabs>
          <w:tab w:val="left" w:pos="7656"/>
        </w:tabs>
        <w:spacing w:line="480" w:lineRule="auto"/>
        <w:rPr>
          <w:rFonts w:asciiTheme="minorEastAsia" w:hAnsiTheme="minorEastAsia" w:eastAsiaTheme="minorEastAsia" w:cstheme="minorEastAsia"/>
          <w:spacing w:val="4"/>
          <w:sz w:val="24"/>
          <w:szCs w:val="24"/>
          <w:highlight w:val="none"/>
        </w:rPr>
      </w:pPr>
      <w:r>
        <w:rPr>
          <w:rFonts w:hint="eastAsia" w:asciiTheme="minorEastAsia" w:hAnsiTheme="minorEastAsia" w:eastAsiaTheme="minorEastAsia" w:cstheme="minorEastAsia"/>
          <w:spacing w:val="4"/>
          <w:sz w:val="24"/>
          <w:szCs w:val="24"/>
          <w:highlight w:val="none"/>
        </w:rPr>
        <w:t>（一）投标函</w:t>
      </w:r>
    </w:p>
    <w:p w14:paraId="57B6742F">
      <w:pPr>
        <w:spacing w:line="480" w:lineRule="auto"/>
        <w:rPr>
          <w:rFonts w:asciiTheme="minorEastAsia" w:hAnsiTheme="minorEastAsia" w:eastAsiaTheme="minorEastAsia" w:cstheme="minorEastAsia"/>
          <w:spacing w:val="4"/>
          <w:sz w:val="24"/>
          <w:szCs w:val="24"/>
          <w:highlight w:val="none"/>
        </w:rPr>
      </w:pPr>
      <w:r>
        <w:rPr>
          <w:rFonts w:hint="eastAsia" w:asciiTheme="minorEastAsia" w:hAnsiTheme="minorEastAsia" w:eastAsiaTheme="minorEastAsia" w:cstheme="minorEastAsia"/>
          <w:spacing w:val="4"/>
          <w:sz w:val="24"/>
          <w:szCs w:val="24"/>
          <w:highlight w:val="none"/>
        </w:rPr>
        <w:t>（二）开标一览表</w:t>
      </w:r>
    </w:p>
    <w:p w14:paraId="335424BB">
      <w:pPr>
        <w:spacing w:line="480" w:lineRule="auto"/>
        <w:rPr>
          <w:rFonts w:asciiTheme="minorEastAsia" w:hAnsiTheme="minorEastAsia" w:eastAsiaTheme="minorEastAsia" w:cstheme="minorEastAsia"/>
          <w:spacing w:val="4"/>
          <w:sz w:val="24"/>
          <w:szCs w:val="24"/>
          <w:highlight w:val="none"/>
        </w:rPr>
      </w:pPr>
      <w:r>
        <w:rPr>
          <w:rFonts w:hint="eastAsia" w:asciiTheme="minorEastAsia" w:hAnsiTheme="minorEastAsia" w:eastAsiaTheme="minorEastAsia" w:cstheme="minorEastAsia"/>
          <w:spacing w:val="4"/>
          <w:sz w:val="24"/>
          <w:szCs w:val="24"/>
          <w:highlight w:val="none"/>
        </w:rPr>
        <w:t>（三）商务响应偏离表</w:t>
      </w:r>
    </w:p>
    <w:p w14:paraId="7BC1CFB5">
      <w:pPr>
        <w:spacing w:line="480" w:lineRule="auto"/>
        <w:rPr>
          <w:rFonts w:asciiTheme="minorEastAsia" w:hAnsiTheme="minorEastAsia" w:eastAsiaTheme="minorEastAsia" w:cstheme="minorEastAsia"/>
          <w:spacing w:val="4"/>
          <w:sz w:val="24"/>
          <w:szCs w:val="24"/>
          <w:highlight w:val="none"/>
        </w:rPr>
      </w:pPr>
      <w:r>
        <w:rPr>
          <w:rFonts w:hint="eastAsia" w:asciiTheme="minorEastAsia" w:hAnsiTheme="minorEastAsia" w:eastAsiaTheme="minorEastAsia" w:cstheme="minorEastAsia"/>
          <w:spacing w:val="4"/>
          <w:sz w:val="24"/>
          <w:szCs w:val="24"/>
          <w:highlight w:val="none"/>
        </w:rPr>
        <w:t>（四）投标方案说明书</w:t>
      </w:r>
    </w:p>
    <w:p w14:paraId="1B4A39AC">
      <w:pPr>
        <w:spacing w:line="480" w:lineRule="auto"/>
        <w:rPr>
          <w:rFonts w:asciiTheme="minorEastAsia" w:hAnsiTheme="minorEastAsia" w:eastAsiaTheme="minorEastAsia" w:cstheme="minorEastAsia"/>
          <w:spacing w:val="4"/>
          <w:sz w:val="24"/>
          <w:szCs w:val="24"/>
          <w:highlight w:val="none"/>
        </w:rPr>
      </w:pPr>
      <w:r>
        <w:rPr>
          <w:rFonts w:hint="eastAsia" w:asciiTheme="minorEastAsia" w:hAnsiTheme="minorEastAsia" w:eastAsiaTheme="minorEastAsia" w:cstheme="minorEastAsia"/>
          <w:spacing w:val="4"/>
          <w:sz w:val="24"/>
          <w:szCs w:val="24"/>
          <w:highlight w:val="none"/>
        </w:rPr>
        <w:t>（五）企业类似业绩</w:t>
      </w:r>
    </w:p>
    <w:p w14:paraId="40A7E053">
      <w:pPr>
        <w:spacing w:line="480" w:lineRule="auto"/>
        <w:rPr>
          <w:rFonts w:asciiTheme="minorEastAsia" w:hAnsiTheme="minorEastAsia" w:eastAsiaTheme="minorEastAsia" w:cstheme="minorEastAsia"/>
          <w:spacing w:val="4"/>
          <w:sz w:val="24"/>
          <w:szCs w:val="24"/>
          <w:highlight w:val="none"/>
        </w:rPr>
      </w:pPr>
      <w:r>
        <w:rPr>
          <w:rFonts w:hint="eastAsia" w:asciiTheme="minorEastAsia" w:hAnsiTheme="minorEastAsia" w:eastAsiaTheme="minorEastAsia" w:cstheme="minorEastAsia"/>
          <w:spacing w:val="4"/>
          <w:sz w:val="24"/>
          <w:szCs w:val="24"/>
          <w:highlight w:val="none"/>
        </w:rPr>
        <w:t>（六）陕西省政府采购投标人拒绝政府采购领域商业贿赂承诺书</w:t>
      </w:r>
    </w:p>
    <w:p w14:paraId="0B6401B6">
      <w:pPr>
        <w:spacing w:line="480" w:lineRule="auto"/>
        <w:rPr>
          <w:rFonts w:asciiTheme="minorEastAsia" w:hAnsiTheme="minorEastAsia" w:eastAsiaTheme="minorEastAsia" w:cstheme="minorEastAsia"/>
          <w:spacing w:val="4"/>
          <w:sz w:val="24"/>
          <w:szCs w:val="24"/>
          <w:highlight w:val="none"/>
        </w:rPr>
      </w:pPr>
      <w:r>
        <w:rPr>
          <w:rFonts w:hint="eastAsia" w:asciiTheme="minorEastAsia" w:hAnsiTheme="minorEastAsia" w:eastAsiaTheme="minorEastAsia" w:cstheme="minorEastAsia"/>
          <w:spacing w:val="4"/>
          <w:sz w:val="24"/>
          <w:szCs w:val="24"/>
          <w:highlight w:val="none"/>
        </w:rPr>
        <w:t>（七）资格证明文件</w:t>
      </w:r>
    </w:p>
    <w:p w14:paraId="101C72DC">
      <w:pPr>
        <w:rPr>
          <w:rFonts w:asciiTheme="minorEastAsia" w:hAnsiTheme="minorEastAsia" w:eastAsiaTheme="minorEastAsia" w:cstheme="minorEastAsia"/>
          <w:sz w:val="28"/>
          <w:highlight w:val="none"/>
        </w:rPr>
      </w:pPr>
      <w:bookmarkStart w:id="193" w:name="_Toc22992"/>
      <w:r>
        <w:rPr>
          <w:rFonts w:hint="eastAsia" w:asciiTheme="minorEastAsia" w:hAnsiTheme="minorEastAsia" w:eastAsiaTheme="minorEastAsia" w:cstheme="minorEastAsia"/>
          <w:sz w:val="28"/>
          <w:highlight w:val="none"/>
        </w:rPr>
        <w:br w:type="page"/>
      </w:r>
    </w:p>
    <w:bookmarkEnd w:id="193"/>
    <w:p w14:paraId="294935E2">
      <w:pPr>
        <w:pStyle w:val="6"/>
        <w:spacing w:beforeLines="100" w:line="360" w:lineRule="auto"/>
        <w:rPr>
          <w:rFonts w:asciiTheme="minorEastAsia" w:hAnsiTheme="minorEastAsia" w:eastAsiaTheme="minorEastAsia" w:cstheme="minorEastAsia"/>
          <w:sz w:val="32"/>
          <w:szCs w:val="32"/>
          <w:highlight w:val="none"/>
        </w:rPr>
      </w:pPr>
      <w:bookmarkStart w:id="194" w:name="_Toc22435"/>
      <w:bookmarkStart w:id="195" w:name="_Toc30488"/>
      <w:bookmarkStart w:id="196" w:name="_Toc11460"/>
      <w:bookmarkStart w:id="197" w:name="_Toc6822"/>
      <w:bookmarkStart w:id="198" w:name="_Toc29539"/>
      <w:bookmarkStart w:id="199" w:name="_Toc4974"/>
      <w:bookmarkStart w:id="200" w:name="_Toc19529"/>
      <w:r>
        <w:rPr>
          <w:rFonts w:hint="eastAsia" w:asciiTheme="minorEastAsia" w:hAnsiTheme="minorEastAsia" w:eastAsiaTheme="minorEastAsia" w:cstheme="minorEastAsia"/>
          <w:sz w:val="32"/>
          <w:szCs w:val="32"/>
          <w:highlight w:val="none"/>
        </w:rPr>
        <w:t>一、投标函</w:t>
      </w:r>
      <w:bookmarkEnd w:id="194"/>
      <w:bookmarkEnd w:id="195"/>
      <w:bookmarkEnd w:id="196"/>
      <w:bookmarkEnd w:id="197"/>
      <w:bookmarkEnd w:id="198"/>
      <w:bookmarkEnd w:id="199"/>
      <w:bookmarkEnd w:id="200"/>
    </w:p>
    <w:p w14:paraId="7A15CAE7">
      <w:pPr>
        <w:spacing w:line="360" w:lineRule="auto"/>
        <w:jc w:val="left"/>
        <w:rPr>
          <w:rFonts w:asciiTheme="minorEastAsia" w:hAnsiTheme="minorEastAsia" w:eastAsiaTheme="minorEastAsia" w:cstheme="minorEastAsia"/>
          <w:spacing w:val="4"/>
          <w:sz w:val="24"/>
          <w:szCs w:val="24"/>
          <w:highlight w:val="none"/>
          <w:u w:val="single"/>
        </w:rPr>
      </w:pPr>
      <w:r>
        <w:rPr>
          <w:rFonts w:hint="eastAsia" w:asciiTheme="minorEastAsia" w:hAnsiTheme="minorEastAsia" w:eastAsiaTheme="minorEastAsia" w:cstheme="minorEastAsia"/>
          <w:spacing w:val="4"/>
          <w:sz w:val="24"/>
          <w:szCs w:val="24"/>
          <w:highlight w:val="none"/>
        </w:rPr>
        <w:t>致：</w:t>
      </w:r>
      <w:r>
        <w:rPr>
          <w:rFonts w:hint="eastAsia" w:asciiTheme="minorEastAsia" w:hAnsiTheme="minorEastAsia" w:eastAsiaTheme="minorEastAsia" w:cstheme="minorEastAsia"/>
          <w:spacing w:val="4"/>
          <w:sz w:val="24"/>
          <w:szCs w:val="24"/>
          <w:highlight w:val="none"/>
          <w:lang w:eastAsia="zh-CN"/>
        </w:rPr>
        <w:t>陕西银正项目管理有限公司</w:t>
      </w:r>
      <w:r>
        <w:rPr>
          <w:rFonts w:hint="eastAsia" w:asciiTheme="minorEastAsia" w:hAnsiTheme="minorEastAsia" w:eastAsiaTheme="minorEastAsia" w:cstheme="minorEastAsia"/>
          <w:spacing w:val="4"/>
          <w:sz w:val="24"/>
          <w:szCs w:val="24"/>
          <w:highlight w:val="none"/>
        </w:rPr>
        <w:t xml:space="preserve"> </w:t>
      </w:r>
    </w:p>
    <w:p w14:paraId="0946DB7D">
      <w:pPr>
        <w:keepNext w:val="0"/>
        <w:keepLines w:val="0"/>
        <w:pageBreakBefore w:val="0"/>
        <w:widowControl w:val="0"/>
        <w:kinsoku/>
        <w:wordWrap/>
        <w:overflowPunct/>
        <w:topLinePunct w:val="0"/>
        <w:autoSpaceDE/>
        <w:autoSpaceDN/>
        <w:bidi w:val="0"/>
        <w:adjustRightInd/>
        <w:snapToGrid/>
        <w:spacing w:line="360" w:lineRule="auto"/>
        <w:ind w:firstLine="496" w:firstLineChars="200"/>
        <w:textAlignment w:val="auto"/>
        <w:rPr>
          <w:rFonts w:asciiTheme="minorEastAsia" w:hAnsiTheme="minorEastAsia" w:eastAsiaTheme="minorEastAsia" w:cstheme="minorEastAsia"/>
          <w:spacing w:val="4"/>
          <w:sz w:val="24"/>
          <w:szCs w:val="24"/>
          <w:highlight w:val="none"/>
        </w:rPr>
      </w:pPr>
      <w:r>
        <w:rPr>
          <w:rFonts w:hint="eastAsia" w:asciiTheme="minorEastAsia" w:hAnsiTheme="minorEastAsia" w:eastAsiaTheme="minorEastAsia" w:cstheme="minorEastAsia"/>
          <w:spacing w:val="4"/>
          <w:sz w:val="24"/>
          <w:szCs w:val="24"/>
          <w:highlight w:val="none"/>
        </w:rPr>
        <w:t>根据贵方“</w:t>
      </w:r>
      <w:r>
        <w:rPr>
          <w:rFonts w:hint="eastAsia" w:asciiTheme="minorEastAsia" w:hAnsiTheme="minorEastAsia" w:eastAsiaTheme="minorEastAsia" w:cstheme="minorEastAsia"/>
          <w:spacing w:val="4"/>
          <w:sz w:val="24"/>
          <w:szCs w:val="24"/>
          <w:highlight w:val="none"/>
          <w:u w:val="single"/>
        </w:rPr>
        <w:t xml:space="preserve">                      </w:t>
      </w:r>
      <w:r>
        <w:rPr>
          <w:rFonts w:hint="eastAsia" w:asciiTheme="minorEastAsia" w:hAnsiTheme="minorEastAsia" w:eastAsiaTheme="minorEastAsia" w:cstheme="minorEastAsia"/>
          <w:spacing w:val="4"/>
          <w:sz w:val="24"/>
          <w:szCs w:val="24"/>
          <w:highlight w:val="none"/>
        </w:rPr>
        <w:t>”项目的投标邀请</w:t>
      </w:r>
      <w:r>
        <w:rPr>
          <w:rFonts w:hint="eastAsia" w:asciiTheme="minorEastAsia" w:hAnsiTheme="minorEastAsia" w:eastAsiaTheme="minorEastAsia" w:cstheme="minorEastAsia"/>
          <w:spacing w:val="4"/>
          <w:sz w:val="24"/>
          <w:szCs w:val="24"/>
          <w:highlight w:val="none"/>
          <w:u w:val="single"/>
        </w:rPr>
        <w:t xml:space="preserve">(编号：   </w:t>
      </w:r>
      <w:r>
        <w:rPr>
          <w:rFonts w:hint="eastAsia" w:asciiTheme="minorEastAsia" w:hAnsiTheme="minorEastAsia" w:eastAsiaTheme="minorEastAsia" w:cstheme="minorEastAsia"/>
          <w:spacing w:val="4"/>
          <w:sz w:val="24"/>
          <w:szCs w:val="24"/>
          <w:highlight w:val="none"/>
          <w:u w:val="single"/>
          <w:lang w:val="en-US" w:eastAsia="zh-CN"/>
        </w:rPr>
        <w:t>包号：</w:t>
      </w:r>
      <w:r>
        <w:rPr>
          <w:rFonts w:hint="eastAsia" w:asciiTheme="minorEastAsia" w:hAnsiTheme="minorEastAsia" w:eastAsiaTheme="minorEastAsia" w:cstheme="minorEastAsia"/>
          <w:spacing w:val="4"/>
          <w:sz w:val="24"/>
          <w:szCs w:val="24"/>
          <w:highlight w:val="none"/>
          <w:u w:val="single"/>
        </w:rPr>
        <w:t xml:space="preserve">  )</w:t>
      </w:r>
      <w:r>
        <w:rPr>
          <w:rFonts w:hint="eastAsia" w:asciiTheme="minorEastAsia" w:hAnsiTheme="minorEastAsia" w:eastAsiaTheme="minorEastAsia" w:cstheme="minorEastAsia"/>
          <w:spacing w:val="4"/>
          <w:sz w:val="24"/>
          <w:szCs w:val="24"/>
          <w:highlight w:val="none"/>
        </w:rPr>
        <w:t>，签字代表</w:t>
      </w:r>
      <w:r>
        <w:rPr>
          <w:rFonts w:hint="eastAsia" w:asciiTheme="minorEastAsia" w:hAnsiTheme="minorEastAsia" w:eastAsiaTheme="minorEastAsia" w:cstheme="minorEastAsia"/>
          <w:spacing w:val="4"/>
          <w:sz w:val="24"/>
          <w:szCs w:val="24"/>
          <w:highlight w:val="none"/>
          <w:u w:val="single"/>
        </w:rPr>
        <w:t>（全名、职务）</w:t>
      </w:r>
      <w:r>
        <w:rPr>
          <w:rFonts w:hint="eastAsia" w:asciiTheme="minorEastAsia" w:hAnsiTheme="minorEastAsia" w:eastAsiaTheme="minorEastAsia" w:cstheme="minorEastAsia"/>
          <w:spacing w:val="4"/>
          <w:sz w:val="24"/>
          <w:szCs w:val="24"/>
          <w:highlight w:val="none"/>
        </w:rPr>
        <w:t>经正式授权并代表投标人</w:t>
      </w:r>
      <w:r>
        <w:rPr>
          <w:rFonts w:hint="eastAsia" w:asciiTheme="minorEastAsia" w:hAnsiTheme="minorEastAsia" w:eastAsiaTheme="minorEastAsia" w:cstheme="minorEastAsia"/>
          <w:spacing w:val="4"/>
          <w:sz w:val="24"/>
          <w:szCs w:val="24"/>
          <w:highlight w:val="none"/>
          <w:u w:val="single"/>
        </w:rPr>
        <w:t>(投标人名称、地址)</w:t>
      </w:r>
      <w:r>
        <w:rPr>
          <w:rFonts w:hint="eastAsia" w:asciiTheme="minorEastAsia" w:hAnsiTheme="minorEastAsia" w:eastAsiaTheme="minorEastAsia" w:cstheme="minorEastAsia"/>
          <w:spacing w:val="4"/>
          <w:sz w:val="24"/>
          <w:szCs w:val="24"/>
          <w:highlight w:val="none"/>
        </w:rPr>
        <w:t xml:space="preserve"> 提交投标文件正本壹份、副本一式</w:t>
      </w:r>
      <w:r>
        <w:rPr>
          <w:rFonts w:hint="eastAsia" w:asciiTheme="minorEastAsia" w:hAnsiTheme="minorEastAsia" w:eastAsiaTheme="minorEastAsia" w:cstheme="minorEastAsia"/>
          <w:spacing w:val="4"/>
          <w:sz w:val="24"/>
          <w:szCs w:val="24"/>
          <w:highlight w:val="none"/>
          <w:u w:val="single"/>
        </w:rPr>
        <w:t xml:space="preserve">  </w:t>
      </w:r>
      <w:r>
        <w:rPr>
          <w:rFonts w:hint="eastAsia" w:asciiTheme="minorEastAsia" w:hAnsiTheme="minorEastAsia" w:eastAsiaTheme="minorEastAsia" w:cstheme="minorEastAsia"/>
          <w:spacing w:val="4"/>
          <w:sz w:val="24"/>
          <w:szCs w:val="24"/>
          <w:highlight w:val="none"/>
        </w:rPr>
        <w:t>份,电子版</w:t>
      </w:r>
      <w:r>
        <w:rPr>
          <w:rFonts w:hint="eastAsia" w:asciiTheme="minorEastAsia" w:hAnsiTheme="minorEastAsia" w:eastAsiaTheme="minorEastAsia" w:cstheme="minorEastAsia"/>
          <w:spacing w:val="4"/>
          <w:sz w:val="24"/>
          <w:szCs w:val="24"/>
          <w:highlight w:val="none"/>
          <w:u w:val="single"/>
        </w:rPr>
        <w:t xml:space="preserve">    </w:t>
      </w:r>
      <w:r>
        <w:rPr>
          <w:rFonts w:hint="eastAsia" w:asciiTheme="minorEastAsia" w:hAnsiTheme="minorEastAsia" w:eastAsiaTheme="minorEastAsia" w:cstheme="minorEastAsia"/>
          <w:spacing w:val="4"/>
          <w:sz w:val="24"/>
          <w:szCs w:val="24"/>
          <w:highlight w:val="none"/>
        </w:rPr>
        <w:t>份。</w:t>
      </w:r>
    </w:p>
    <w:p w14:paraId="4B0288BC">
      <w:pPr>
        <w:keepNext w:val="0"/>
        <w:keepLines w:val="0"/>
        <w:pageBreakBefore w:val="0"/>
        <w:widowControl w:val="0"/>
        <w:kinsoku/>
        <w:wordWrap/>
        <w:overflowPunct/>
        <w:topLinePunct w:val="0"/>
        <w:autoSpaceDE/>
        <w:autoSpaceDN/>
        <w:bidi w:val="0"/>
        <w:adjustRightInd/>
        <w:snapToGrid/>
        <w:spacing w:line="360" w:lineRule="auto"/>
        <w:ind w:left="549" w:leftChars="251" w:hanging="22" w:hangingChars="9"/>
        <w:jc w:val="left"/>
        <w:textAlignment w:val="auto"/>
        <w:rPr>
          <w:rFonts w:asciiTheme="minorEastAsia" w:hAnsiTheme="minorEastAsia" w:eastAsiaTheme="minorEastAsia" w:cstheme="minorEastAsia"/>
          <w:spacing w:val="4"/>
          <w:sz w:val="24"/>
          <w:szCs w:val="24"/>
          <w:highlight w:val="none"/>
        </w:rPr>
      </w:pPr>
      <w:r>
        <w:rPr>
          <w:rFonts w:hint="eastAsia" w:asciiTheme="minorEastAsia" w:hAnsiTheme="minorEastAsia" w:eastAsiaTheme="minorEastAsia" w:cstheme="minorEastAsia"/>
          <w:spacing w:val="4"/>
          <w:sz w:val="24"/>
          <w:szCs w:val="24"/>
          <w:highlight w:val="none"/>
        </w:rPr>
        <w:t>我方承诺如下：</w:t>
      </w:r>
    </w:p>
    <w:p w14:paraId="44C71761">
      <w:pPr>
        <w:keepNext w:val="0"/>
        <w:keepLines w:val="0"/>
        <w:pageBreakBefore w:val="0"/>
        <w:widowControl w:val="0"/>
        <w:tabs>
          <w:tab w:val="left" w:pos="2160"/>
        </w:tabs>
        <w:kinsoku/>
        <w:wordWrap/>
        <w:overflowPunct/>
        <w:topLinePunct w:val="0"/>
        <w:autoSpaceDE/>
        <w:autoSpaceDN/>
        <w:bidi w:val="0"/>
        <w:adjustRightInd/>
        <w:snapToGrid/>
        <w:spacing w:line="360" w:lineRule="auto"/>
        <w:ind w:firstLine="496" w:firstLineChars="200"/>
        <w:jc w:val="left"/>
        <w:textAlignment w:val="auto"/>
        <w:rPr>
          <w:rFonts w:asciiTheme="minorEastAsia" w:hAnsiTheme="minorEastAsia" w:eastAsiaTheme="minorEastAsia" w:cstheme="minorEastAsia"/>
          <w:spacing w:val="4"/>
          <w:sz w:val="24"/>
          <w:szCs w:val="24"/>
          <w:highlight w:val="none"/>
        </w:rPr>
      </w:pPr>
      <w:r>
        <w:rPr>
          <w:rFonts w:hint="eastAsia" w:asciiTheme="minorEastAsia" w:hAnsiTheme="minorEastAsia" w:eastAsiaTheme="minorEastAsia" w:cstheme="minorEastAsia"/>
          <w:spacing w:val="4"/>
          <w:sz w:val="24"/>
          <w:szCs w:val="24"/>
          <w:highlight w:val="none"/>
        </w:rPr>
        <w:t>1）投标总价为</w:t>
      </w:r>
      <w:r>
        <w:rPr>
          <w:rFonts w:hint="eastAsia" w:asciiTheme="minorEastAsia" w:hAnsiTheme="minorEastAsia" w:eastAsiaTheme="minorEastAsia" w:cstheme="minorEastAsia"/>
          <w:spacing w:val="4"/>
          <w:sz w:val="24"/>
          <w:szCs w:val="24"/>
          <w:highlight w:val="none"/>
          <w:u w:val="single"/>
        </w:rPr>
        <w:t xml:space="preserve">         </w:t>
      </w:r>
      <w:r>
        <w:rPr>
          <w:rFonts w:hint="eastAsia" w:asciiTheme="minorEastAsia" w:hAnsiTheme="minorEastAsia" w:eastAsiaTheme="minorEastAsia" w:cstheme="minorEastAsia"/>
          <w:spacing w:val="4"/>
          <w:sz w:val="24"/>
          <w:szCs w:val="24"/>
          <w:highlight w:val="none"/>
        </w:rPr>
        <w:t>（人民币）（用文字和数字表示的投标总价）。</w:t>
      </w:r>
    </w:p>
    <w:p w14:paraId="463B3C8A">
      <w:pPr>
        <w:keepNext w:val="0"/>
        <w:keepLines w:val="0"/>
        <w:pageBreakBefore w:val="0"/>
        <w:widowControl w:val="0"/>
        <w:tabs>
          <w:tab w:val="left" w:pos="2160"/>
        </w:tabs>
        <w:kinsoku/>
        <w:wordWrap/>
        <w:overflowPunct/>
        <w:topLinePunct w:val="0"/>
        <w:autoSpaceDE/>
        <w:autoSpaceDN/>
        <w:bidi w:val="0"/>
        <w:adjustRightInd/>
        <w:snapToGrid/>
        <w:spacing w:line="360" w:lineRule="auto"/>
        <w:ind w:firstLine="496" w:firstLineChars="200"/>
        <w:jc w:val="left"/>
        <w:textAlignment w:val="auto"/>
        <w:rPr>
          <w:rFonts w:hint="eastAsia" w:asciiTheme="minorEastAsia" w:hAnsiTheme="minorEastAsia" w:eastAsiaTheme="minorEastAsia" w:cstheme="minorEastAsia"/>
          <w:spacing w:val="4"/>
          <w:sz w:val="24"/>
          <w:szCs w:val="24"/>
          <w:highlight w:val="none"/>
        </w:rPr>
      </w:pPr>
      <w:r>
        <w:rPr>
          <w:rFonts w:hint="eastAsia" w:asciiTheme="minorEastAsia" w:hAnsiTheme="minorEastAsia" w:eastAsiaTheme="minorEastAsia" w:cstheme="minorEastAsia"/>
          <w:spacing w:val="4"/>
          <w:sz w:val="24"/>
          <w:szCs w:val="24"/>
          <w:highlight w:val="none"/>
        </w:rPr>
        <w:t>2）如果成交，我</w:t>
      </w:r>
      <w:r>
        <w:rPr>
          <w:rFonts w:hint="eastAsia" w:asciiTheme="minorEastAsia" w:hAnsiTheme="minorEastAsia" w:eastAsiaTheme="minorEastAsia" w:cstheme="minorEastAsia"/>
          <w:spacing w:val="4"/>
          <w:sz w:val="24"/>
          <w:szCs w:val="24"/>
          <w:highlight w:val="none"/>
          <w:lang w:val="en-US" w:eastAsia="zh-CN"/>
        </w:rPr>
        <w:t>司</w:t>
      </w:r>
      <w:r>
        <w:rPr>
          <w:rFonts w:hint="eastAsia" w:asciiTheme="minorEastAsia" w:hAnsiTheme="minorEastAsia" w:eastAsiaTheme="minorEastAsia" w:cstheme="minorEastAsia"/>
          <w:spacing w:val="4"/>
          <w:sz w:val="24"/>
          <w:szCs w:val="24"/>
          <w:highlight w:val="none"/>
        </w:rPr>
        <w:t>根据招标文件的规定，履行合同的责任和义务。</w:t>
      </w:r>
    </w:p>
    <w:p w14:paraId="2518D5FB">
      <w:pPr>
        <w:pStyle w:val="2"/>
        <w:keepNext w:val="0"/>
        <w:keepLines w:val="0"/>
        <w:pageBreakBefore w:val="0"/>
        <w:widowControl w:val="0"/>
        <w:kinsoku/>
        <w:wordWrap/>
        <w:overflowPunct/>
        <w:topLinePunct w:val="0"/>
        <w:autoSpaceDE/>
        <w:autoSpaceDN/>
        <w:bidi w:val="0"/>
        <w:adjustRightInd/>
        <w:snapToGrid/>
        <w:spacing w:line="360" w:lineRule="auto"/>
        <w:ind w:firstLine="496" w:firstLineChars="200"/>
        <w:textAlignment w:val="auto"/>
        <w:rPr>
          <w:rFonts w:hint="default" w:eastAsiaTheme="minorEastAsia"/>
          <w:highlight w:val="none"/>
          <w:lang w:val="en-US" w:eastAsia="zh-CN"/>
        </w:rPr>
      </w:pPr>
      <w:r>
        <w:rPr>
          <w:rFonts w:hint="eastAsia" w:asciiTheme="minorEastAsia" w:hAnsiTheme="minorEastAsia" w:eastAsiaTheme="minorEastAsia" w:cstheme="minorEastAsia"/>
          <w:spacing w:val="4"/>
          <w:sz w:val="24"/>
          <w:szCs w:val="24"/>
          <w:highlight w:val="none"/>
          <w:lang w:val="en-US" w:eastAsia="zh-CN"/>
        </w:rPr>
        <w:t>3）我公司拟派项目经理姓名：</w:t>
      </w:r>
      <w:r>
        <w:rPr>
          <w:rFonts w:hint="eastAsia" w:asciiTheme="minorEastAsia" w:hAnsiTheme="minorEastAsia" w:eastAsiaTheme="minorEastAsia" w:cstheme="minorEastAsia"/>
          <w:spacing w:val="4"/>
          <w:sz w:val="24"/>
          <w:szCs w:val="24"/>
          <w:highlight w:val="none"/>
          <w:u w:val="single"/>
          <w:lang w:val="en-US" w:eastAsia="zh-CN"/>
        </w:rPr>
        <w:t xml:space="preserve">          </w:t>
      </w:r>
      <w:r>
        <w:rPr>
          <w:rFonts w:hint="eastAsia" w:asciiTheme="minorEastAsia" w:hAnsiTheme="minorEastAsia" w:eastAsiaTheme="minorEastAsia" w:cstheme="minorEastAsia"/>
          <w:spacing w:val="4"/>
          <w:sz w:val="24"/>
          <w:szCs w:val="24"/>
          <w:highlight w:val="none"/>
          <w:u w:val="none"/>
          <w:lang w:val="en-US" w:eastAsia="zh-CN"/>
        </w:rPr>
        <w:t>；执业证书名称：</w:t>
      </w:r>
      <w:r>
        <w:rPr>
          <w:rFonts w:hint="eastAsia" w:asciiTheme="minorEastAsia" w:hAnsiTheme="minorEastAsia" w:eastAsiaTheme="minorEastAsia" w:cstheme="minorEastAsia"/>
          <w:spacing w:val="4"/>
          <w:sz w:val="24"/>
          <w:szCs w:val="24"/>
          <w:highlight w:val="none"/>
          <w:u w:val="single"/>
          <w:lang w:val="en-US" w:eastAsia="zh-CN"/>
        </w:rPr>
        <w:t xml:space="preserve">          </w:t>
      </w:r>
      <w:r>
        <w:rPr>
          <w:rFonts w:hint="eastAsia" w:asciiTheme="minorEastAsia" w:hAnsiTheme="minorEastAsia" w:eastAsiaTheme="minorEastAsia" w:cstheme="minorEastAsia"/>
          <w:spacing w:val="4"/>
          <w:sz w:val="24"/>
          <w:szCs w:val="24"/>
          <w:highlight w:val="none"/>
          <w:u w:val="none"/>
          <w:lang w:val="en-US" w:eastAsia="zh-CN"/>
        </w:rPr>
        <w:t>；执业证书信息（证书编号）：</w:t>
      </w:r>
      <w:r>
        <w:rPr>
          <w:rFonts w:hint="eastAsia" w:asciiTheme="minorEastAsia" w:hAnsiTheme="minorEastAsia" w:eastAsiaTheme="minorEastAsia" w:cstheme="minorEastAsia"/>
          <w:spacing w:val="4"/>
          <w:sz w:val="24"/>
          <w:szCs w:val="24"/>
          <w:highlight w:val="none"/>
          <w:u w:val="single"/>
          <w:lang w:val="en-US" w:eastAsia="zh-CN"/>
        </w:rPr>
        <w:t xml:space="preserve">           </w:t>
      </w:r>
      <w:r>
        <w:rPr>
          <w:rFonts w:hint="eastAsia" w:asciiTheme="minorEastAsia" w:hAnsiTheme="minorEastAsia" w:eastAsiaTheme="minorEastAsia" w:cstheme="minorEastAsia"/>
          <w:spacing w:val="4"/>
          <w:sz w:val="24"/>
          <w:szCs w:val="24"/>
          <w:highlight w:val="none"/>
          <w:u w:val="none"/>
          <w:lang w:val="en-US" w:eastAsia="zh-CN"/>
        </w:rPr>
        <w:t>。</w:t>
      </w:r>
    </w:p>
    <w:p w14:paraId="1B162F0D">
      <w:pPr>
        <w:keepNext w:val="0"/>
        <w:keepLines w:val="0"/>
        <w:pageBreakBefore w:val="0"/>
        <w:widowControl w:val="0"/>
        <w:tabs>
          <w:tab w:val="left" w:pos="2160"/>
        </w:tabs>
        <w:kinsoku/>
        <w:wordWrap/>
        <w:overflowPunct/>
        <w:topLinePunct w:val="0"/>
        <w:autoSpaceDE/>
        <w:autoSpaceDN/>
        <w:bidi w:val="0"/>
        <w:adjustRightInd/>
        <w:snapToGrid/>
        <w:spacing w:line="360" w:lineRule="auto"/>
        <w:ind w:firstLine="496" w:firstLineChars="200"/>
        <w:jc w:val="left"/>
        <w:textAlignment w:val="auto"/>
        <w:rPr>
          <w:rFonts w:asciiTheme="minorEastAsia" w:hAnsiTheme="minorEastAsia" w:eastAsiaTheme="minorEastAsia" w:cstheme="minorEastAsia"/>
          <w:spacing w:val="4"/>
          <w:sz w:val="24"/>
          <w:szCs w:val="24"/>
          <w:highlight w:val="none"/>
        </w:rPr>
      </w:pPr>
      <w:r>
        <w:rPr>
          <w:rFonts w:hint="eastAsia" w:asciiTheme="minorEastAsia" w:hAnsiTheme="minorEastAsia" w:eastAsiaTheme="minorEastAsia" w:cstheme="minorEastAsia"/>
          <w:spacing w:val="4"/>
          <w:sz w:val="24"/>
          <w:szCs w:val="24"/>
          <w:highlight w:val="none"/>
          <w:lang w:val="en-US" w:eastAsia="zh-CN"/>
        </w:rPr>
        <w:t>4</w:t>
      </w:r>
      <w:r>
        <w:rPr>
          <w:rFonts w:hint="eastAsia" w:asciiTheme="minorEastAsia" w:hAnsiTheme="minorEastAsia" w:eastAsiaTheme="minorEastAsia" w:cstheme="minorEastAsia"/>
          <w:spacing w:val="4"/>
          <w:sz w:val="24"/>
          <w:szCs w:val="24"/>
          <w:highlight w:val="none"/>
        </w:rPr>
        <w:t>）我们已详细阅读和审核全部公开招标文件（含修改部分，如有的话），及有关附件，我们知道必须放弃提出含糊不清或误解的问题的权利。</w:t>
      </w:r>
    </w:p>
    <w:p w14:paraId="4D0944FD">
      <w:pPr>
        <w:keepNext w:val="0"/>
        <w:keepLines w:val="0"/>
        <w:pageBreakBefore w:val="0"/>
        <w:widowControl w:val="0"/>
        <w:tabs>
          <w:tab w:val="left" w:pos="2160"/>
        </w:tabs>
        <w:kinsoku/>
        <w:wordWrap/>
        <w:overflowPunct/>
        <w:topLinePunct w:val="0"/>
        <w:autoSpaceDE/>
        <w:autoSpaceDN/>
        <w:bidi w:val="0"/>
        <w:adjustRightInd/>
        <w:snapToGrid/>
        <w:spacing w:line="360" w:lineRule="auto"/>
        <w:ind w:firstLine="496" w:firstLineChars="200"/>
        <w:jc w:val="left"/>
        <w:textAlignment w:val="auto"/>
        <w:rPr>
          <w:rFonts w:asciiTheme="minorEastAsia" w:hAnsiTheme="minorEastAsia" w:eastAsiaTheme="minorEastAsia" w:cstheme="minorEastAsia"/>
          <w:spacing w:val="4"/>
          <w:sz w:val="24"/>
          <w:szCs w:val="24"/>
          <w:highlight w:val="none"/>
        </w:rPr>
      </w:pPr>
      <w:r>
        <w:rPr>
          <w:rFonts w:hint="eastAsia" w:asciiTheme="minorEastAsia" w:hAnsiTheme="minorEastAsia" w:eastAsiaTheme="minorEastAsia" w:cstheme="minorEastAsia"/>
          <w:spacing w:val="4"/>
          <w:sz w:val="24"/>
          <w:szCs w:val="24"/>
          <w:highlight w:val="none"/>
          <w:lang w:val="en-US" w:eastAsia="zh-CN"/>
        </w:rPr>
        <w:t>5</w:t>
      </w:r>
      <w:r>
        <w:rPr>
          <w:rFonts w:hint="eastAsia" w:asciiTheme="minorEastAsia" w:hAnsiTheme="minorEastAsia" w:eastAsiaTheme="minorEastAsia" w:cstheme="minorEastAsia"/>
          <w:spacing w:val="4"/>
          <w:sz w:val="24"/>
          <w:szCs w:val="24"/>
          <w:highlight w:val="none"/>
        </w:rPr>
        <w:t>）我们同意在投标有效期内（</w:t>
      </w:r>
      <w:r>
        <w:rPr>
          <w:rFonts w:hint="eastAsia" w:asciiTheme="minorEastAsia" w:hAnsiTheme="minorEastAsia" w:eastAsiaTheme="minorEastAsia" w:cstheme="minorEastAsia"/>
          <w:spacing w:val="4"/>
          <w:sz w:val="24"/>
          <w:szCs w:val="24"/>
          <w:highlight w:val="none"/>
          <w:u w:val="single"/>
        </w:rPr>
        <w:t>自投标之日起  天内</w:t>
      </w:r>
      <w:r>
        <w:rPr>
          <w:rFonts w:hint="eastAsia" w:asciiTheme="minorEastAsia" w:hAnsiTheme="minorEastAsia" w:eastAsiaTheme="minorEastAsia" w:cstheme="minorEastAsia"/>
          <w:spacing w:val="4"/>
          <w:sz w:val="24"/>
          <w:szCs w:val="24"/>
          <w:highlight w:val="none"/>
        </w:rPr>
        <w:t>），本投标函对我方具有约束力。</w:t>
      </w:r>
    </w:p>
    <w:p w14:paraId="61EB3757">
      <w:pPr>
        <w:keepNext w:val="0"/>
        <w:keepLines w:val="0"/>
        <w:pageBreakBefore w:val="0"/>
        <w:widowControl w:val="0"/>
        <w:tabs>
          <w:tab w:val="left" w:pos="2160"/>
        </w:tabs>
        <w:kinsoku/>
        <w:wordWrap/>
        <w:overflowPunct/>
        <w:topLinePunct w:val="0"/>
        <w:autoSpaceDE/>
        <w:autoSpaceDN/>
        <w:bidi w:val="0"/>
        <w:adjustRightInd/>
        <w:snapToGrid/>
        <w:spacing w:line="360" w:lineRule="auto"/>
        <w:ind w:firstLine="496" w:firstLineChars="200"/>
        <w:jc w:val="left"/>
        <w:textAlignment w:val="auto"/>
        <w:rPr>
          <w:rFonts w:asciiTheme="minorEastAsia" w:hAnsiTheme="minorEastAsia" w:eastAsiaTheme="minorEastAsia" w:cstheme="minorEastAsia"/>
          <w:spacing w:val="4"/>
          <w:sz w:val="24"/>
          <w:szCs w:val="24"/>
          <w:highlight w:val="none"/>
        </w:rPr>
      </w:pPr>
      <w:r>
        <w:rPr>
          <w:rFonts w:hint="eastAsia" w:asciiTheme="minorEastAsia" w:hAnsiTheme="minorEastAsia" w:eastAsiaTheme="minorEastAsia" w:cstheme="minorEastAsia"/>
          <w:spacing w:val="4"/>
          <w:sz w:val="24"/>
          <w:szCs w:val="24"/>
          <w:highlight w:val="none"/>
          <w:lang w:val="en-US" w:eastAsia="zh-CN"/>
        </w:rPr>
        <w:t>6</w:t>
      </w:r>
      <w:r>
        <w:rPr>
          <w:rFonts w:hint="eastAsia" w:asciiTheme="minorEastAsia" w:hAnsiTheme="minorEastAsia" w:eastAsiaTheme="minorEastAsia" w:cstheme="minorEastAsia"/>
          <w:spacing w:val="4"/>
          <w:sz w:val="24"/>
          <w:szCs w:val="24"/>
          <w:highlight w:val="none"/>
        </w:rPr>
        <w:t xml:space="preserve">）同意提供贵方可能另外要求的与本投标有关的任何证据和资料。 </w:t>
      </w:r>
    </w:p>
    <w:p w14:paraId="7ECD5FEB">
      <w:pPr>
        <w:keepNext w:val="0"/>
        <w:keepLines w:val="0"/>
        <w:pageBreakBefore w:val="0"/>
        <w:widowControl w:val="0"/>
        <w:tabs>
          <w:tab w:val="left" w:pos="2160"/>
        </w:tabs>
        <w:kinsoku/>
        <w:wordWrap/>
        <w:overflowPunct/>
        <w:topLinePunct w:val="0"/>
        <w:autoSpaceDE/>
        <w:autoSpaceDN/>
        <w:bidi w:val="0"/>
        <w:adjustRightInd/>
        <w:snapToGrid/>
        <w:spacing w:line="360" w:lineRule="auto"/>
        <w:ind w:firstLine="496" w:firstLineChars="200"/>
        <w:jc w:val="left"/>
        <w:textAlignment w:val="auto"/>
        <w:rPr>
          <w:rFonts w:asciiTheme="minorEastAsia" w:hAnsiTheme="minorEastAsia" w:eastAsiaTheme="minorEastAsia" w:cstheme="minorEastAsia"/>
          <w:spacing w:val="4"/>
          <w:sz w:val="24"/>
          <w:szCs w:val="24"/>
          <w:highlight w:val="none"/>
        </w:rPr>
      </w:pPr>
      <w:r>
        <w:rPr>
          <w:rFonts w:hint="eastAsia" w:asciiTheme="minorEastAsia" w:hAnsiTheme="minorEastAsia" w:eastAsiaTheme="minorEastAsia" w:cstheme="minorEastAsia"/>
          <w:spacing w:val="4"/>
          <w:sz w:val="24"/>
          <w:szCs w:val="24"/>
          <w:highlight w:val="none"/>
          <w:lang w:val="en-US" w:eastAsia="zh-CN"/>
        </w:rPr>
        <w:t>7</w:t>
      </w:r>
      <w:r>
        <w:rPr>
          <w:rFonts w:hint="eastAsia" w:asciiTheme="minorEastAsia" w:hAnsiTheme="minorEastAsia" w:eastAsiaTheme="minorEastAsia" w:cstheme="minorEastAsia"/>
          <w:spacing w:val="4"/>
          <w:sz w:val="24"/>
          <w:szCs w:val="24"/>
          <w:highlight w:val="none"/>
        </w:rPr>
        <w:t>）我们同意，如果成交，向</w:t>
      </w:r>
      <w:r>
        <w:rPr>
          <w:rFonts w:hint="eastAsia" w:asciiTheme="minorEastAsia" w:hAnsiTheme="minorEastAsia" w:eastAsiaTheme="minorEastAsia" w:cstheme="minorEastAsia"/>
          <w:spacing w:val="4"/>
          <w:sz w:val="24"/>
          <w:szCs w:val="24"/>
          <w:highlight w:val="none"/>
          <w:lang w:eastAsia="zh-CN"/>
        </w:rPr>
        <w:t>陕西银正项目管理有限公司</w:t>
      </w:r>
      <w:r>
        <w:rPr>
          <w:rFonts w:hint="eastAsia" w:asciiTheme="minorEastAsia" w:hAnsiTheme="minorEastAsia" w:eastAsiaTheme="minorEastAsia" w:cstheme="minorEastAsia"/>
          <w:spacing w:val="4"/>
          <w:sz w:val="24"/>
          <w:szCs w:val="24"/>
          <w:highlight w:val="none"/>
        </w:rPr>
        <w:t>交纳招标代理服务费。</w:t>
      </w:r>
    </w:p>
    <w:p w14:paraId="197AFECB">
      <w:pPr>
        <w:keepNext w:val="0"/>
        <w:keepLines w:val="0"/>
        <w:pageBreakBefore w:val="0"/>
        <w:widowControl w:val="0"/>
        <w:tabs>
          <w:tab w:val="left" w:pos="2160"/>
        </w:tabs>
        <w:kinsoku/>
        <w:wordWrap/>
        <w:overflowPunct/>
        <w:topLinePunct w:val="0"/>
        <w:autoSpaceDE/>
        <w:autoSpaceDN/>
        <w:bidi w:val="0"/>
        <w:adjustRightInd/>
        <w:snapToGrid/>
        <w:spacing w:line="360" w:lineRule="auto"/>
        <w:ind w:firstLine="496" w:firstLineChars="200"/>
        <w:jc w:val="left"/>
        <w:textAlignment w:val="auto"/>
        <w:rPr>
          <w:rFonts w:asciiTheme="minorEastAsia" w:hAnsiTheme="minorEastAsia" w:eastAsiaTheme="minorEastAsia" w:cstheme="minorEastAsia"/>
          <w:spacing w:val="4"/>
          <w:sz w:val="24"/>
          <w:szCs w:val="24"/>
          <w:highlight w:val="none"/>
        </w:rPr>
      </w:pPr>
      <w:r>
        <w:rPr>
          <w:rFonts w:hint="eastAsia" w:asciiTheme="minorEastAsia" w:hAnsiTheme="minorEastAsia" w:eastAsiaTheme="minorEastAsia" w:cstheme="minorEastAsia"/>
          <w:spacing w:val="4"/>
          <w:sz w:val="24"/>
          <w:szCs w:val="24"/>
          <w:highlight w:val="none"/>
          <w:lang w:val="en-US" w:eastAsia="zh-CN"/>
        </w:rPr>
        <w:t>8</w:t>
      </w:r>
      <w:r>
        <w:rPr>
          <w:rFonts w:hint="eastAsia" w:asciiTheme="minorEastAsia" w:hAnsiTheme="minorEastAsia" w:eastAsiaTheme="minorEastAsia" w:cstheme="minorEastAsia"/>
          <w:spacing w:val="4"/>
          <w:sz w:val="24"/>
          <w:szCs w:val="24"/>
          <w:highlight w:val="none"/>
        </w:rPr>
        <w:t>）与本投标有关的一切正式往来通讯为：</w:t>
      </w:r>
    </w:p>
    <w:p w14:paraId="71C49E05">
      <w:pPr>
        <w:spacing w:line="360" w:lineRule="auto"/>
        <w:ind w:firstLine="1240" w:firstLineChars="500"/>
        <w:jc w:val="left"/>
        <w:rPr>
          <w:rFonts w:asciiTheme="minorEastAsia" w:hAnsiTheme="minorEastAsia" w:eastAsiaTheme="minorEastAsia" w:cstheme="minorEastAsia"/>
          <w:spacing w:val="4"/>
          <w:sz w:val="24"/>
          <w:szCs w:val="24"/>
          <w:highlight w:val="none"/>
        </w:rPr>
      </w:pPr>
      <w:r>
        <w:rPr>
          <w:rFonts w:hint="eastAsia" w:asciiTheme="minorEastAsia" w:hAnsiTheme="minorEastAsia" w:eastAsiaTheme="minorEastAsia" w:cstheme="minorEastAsia"/>
          <w:spacing w:val="4"/>
          <w:sz w:val="24"/>
          <w:szCs w:val="24"/>
          <w:highlight w:val="none"/>
        </w:rPr>
        <w:t>联系地址：</w:t>
      </w:r>
    </w:p>
    <w:p w14:paraId="7F118EC3">
      <w:pPr>
        <w:spacing w:line="360" w:lineRule="auto"/>
        <w:ind w:firstLine="1240" w:firstLineChars="500"/>
        <w:jc w:val="left"/>
        <w:rPr>
          <w:rFonts w:asciiTheme="minorEastAsia" w:hAnsiTheme="minorEastAsia" w:eastAsiaTheme="minorEastAsia" w:cstheme="minorEastAsia"/>
          <w:spacing w:val="4"/>
          <w:sz w:val="24"/>
          <w:szCs w:val="24"/>
          <w:highlight w:val="none"/>
        </w:rPr>
      </w:pPr>
      <w:r>
        <w:rPr>
          <w:rFonts w:hint="eastAsia" w:asciiTheme="minorEastAsia" w:hAnsiTheme="minorEastAsia" w:eastAsiaTheme="minorEastAsia" w:cstheme="minorEastAsia"/>
          <w:spacing w:val="4"/>
          <w:sz w:val="24"/>
          <w:szCs w:val="24"/>
          <w:highlight w:val="none"/>
        </w:rPr>
        <w:t>邮政编码：</w:t>
      </w:r>
    </w:p>
    <w:p w14:paraId="1615B1C7">
      <w:pPr>
        <w:spacing w:line="360" w:lineRule="auto"/>
        <w:ind w:firstLine="1240" w:firstLineChars="500"/>
        <w:jc w:val="left"/>
        <w:rPr>
          <w:rFonts w:asciiTheme="minorEastAsia" w:hAnsiTheme="minorEastAsia" w:eastAsiaTheme="minorEastAsia" w:cstheme="minorEastAsia"/>
          <w:spacing w:val="4"/>
          <w:sz w:val="24"/>
          <w:szCs w:val="24"/>
          <w:highlight w:val="none"/>
        </w:rPr>
      </w:pPr>
      <w:r>
        <w:rPr>
          <w:rFonts w:hint="eastAsia" w:asciiTheme="minorEastAsia" w:hAnsiTheme="minorEastAsia" w:eastAsiaTheme="minorEastAsia" w:cstheme="minorEastAsia"/>
          <w:spacing w:val="4"/>
          <w:sz w:val="24"/>
          <w:szCs w:val="24"/>
          <w:highlight w:val="none"/>
        </w:rPr>
        <w:t>电    话：</w:t>
      </w:r>
    </w:p>
    <w:p w14:paraId="4808AAF1">
      <w:pPr>
        <w:spacing w:line="360" w:lineRule="auto"/>
        <w:ind w:firstLine="1240" w:firstLineChars="500"/>
        <w:jc w:val="left"/>
        <w:rPr>
          <w:rFonts w:asciiTheme="minorEastAsia" w:hAnsiTheme="minorEastAsia" w:eastAsiaTheme="minorEastAsia" w:cstheme="minorEastAsia"/>
          <w:spacing w:val="4"/>
          <w:sz w:val="24"/>
          <w:szCs w:val="24"/>
          <w:highlight w:val="none"/>
        </w:rPr>
      </w:pPr>
      <w:r>
        <w:rPr>
          <w:rFonts w:hint="eastAsia" w:asciiTheme="minorEastAsia" w:hAnsiTheme="minorEastAsia" w:eastAsiaTheme="minorEastAsia" w:cstheme="minorEastAsia"/>
          <w:spacing w:val="4"/>
          <w:sz w:val="24"/>
          <w:szCs w:val="24"/>
          <w:highlight w:val="none"/>
        </w:rPr>
        <w:t>传    真：</w:t>
      </w:r>
    </w:p>
    <w:p w14:paraId="7A66FF9E">
      <w:pPr>
        <w:spacing w:line="360" w:lineRule="auto"/>
        <w:ind w:firstLine="1240" w:firstLineChars="500"/>
        <w:jc w:val="left"/>
        <w:rPr>
          <w:rFonts w:asciiTheme="minorEastAsia" w:hAnsiTheme="minorEastAsia" w:eastAsiaTheme="minorEastAsia" w:cstheme="minorEastAsia"/>
          <w:spacing w:val="4"/>
          <w:sz w:val="24"/>
          <w:szCs w:val="24"/>
          <w:highlight w:val="none"/>
        </w:rPr>
      </w:pPr>
      <w:r>
        <w:rPr>
          <w:rFonts w:hint="eastAsia" w:asciiTheme="minorEastAsia" w:hAnsiTheme="minorEastAsia" w:eastAsiaTheme="minorEastAsia" w:cstheme="minorEastAsia"/>
          <w:spacing w:val="4"/>
          <w:sz w:val="24"/>
          <w:szCs w:val="24"/>
          <w:highlight w:val="none"/>
        </w:rPr>
        <w:t>投标人名称（盖章）：</w:t>
      </w:r>
    </w:p>
    <w:p w14:paraId="746EB3A8">
      <w:pPr>
        <w:spacing w:line="360" w:lineRule="auto"/>
        <w:ind w:firstLine="1240" w:firstLineChars="500"/>
        <w:jc w:val="left"/>
        <w:rPr>
          <w:rFonts w:asciiTheme="minorEastAsia" w:hAnsiTheme="minorEastAsia" w:eastAsiaTheme="minorEastAsia" w:cstheme="minorEastAsia"/>
          <w:spacing w:val="4"/>
          <w:sz w:val="24"/>
          <w:szCs w:val="24"/>
          <w:highlight w:val="none"/>
        </w:rPr>
      </w:pPr>
      <w:r>
        <w:rPr>
          <w:rFonts w:hint="eastAsia" w:asciiTheme="minorEastAsia" w:hAnsiTheme="minorEastAsia" w:eastAsiaTheme="minorEastAsia" w:cstheme="minorEastAsia"/>
          <w:spacing w:val="4"/>
          <w:sz w:val="24"/>
          <w:szCs w:val="24"/>
          <w:highlight w:val="none"/>
        </w:rPr>
        <w:t>投标人法定代表人签字或盖章：</w:t>
      </w:r>
    </w:p>
    <w:p w14:paraId="6285649A">
      <w:pPr>
        <w:spacing w:line="360" w:lineRule="auto"/>
        <w:ind w:firstLine="1240" w:firstLineChars="500"/>
        <w:jc w:val="left"/>
        <w:rPr>
          <w:rFonts w:asciiTheme="minorEastAsia" w:hAnsiTheme="minorEastAsia" w:eastAsiaTheme="minorEastAsia" w:cstheme="minorEastAsia"/>
          <w:spacing w:val="4"/>
          <w:sz w:val="24"/>
          <w:szCs w:val="24"/>
          <w:highlight w:val="none"/>
        </w:rPr>
      </w:pPr>
      <w:r>
        <w:rPr>
          <w:rFonts w:hint="eastAsia" w:asciiTheme="minorEastAsia" w:hAnsiTheme="minorEastAsia" w:eastAsiaTheme="minorEastAsia" w:cstheme="minorEastAsia"/>
          <w:spacing w:val="4"/>
          <w:sz w:val="24"/>
          <w:szCs w:val="24"/>
          <w:highlight w:val="none"/>
        </w:rPr>
        <w:t>日    期：</w:t>
      </w:r>
    </w:p>
    <w:p w14:paraId="66573800">
      <w:pPr>
        <w:pStyle w:val="6"/>
        <w:spacing w:beforeLines="100"/>
        <w:rPr>
          <w:rFonts w:asciiTheme="minorEastAsia" w:hAnsiTheme="minorEastAsia" w:eastAsiaTheme="minorEastAsia" w:cstheme="minorEastAsia"/>
          <w:sz w:val="32"/>
          <w:szCs w:val="32"/>
          <w:highlight w:val="none"/>
        </w:rPr>
      </w:pPr>
      <w:r>
        <w:rPr>
          <w:rFonts w:hint="eastAsia" w:asciiTheme="minorEastAsia" w:hAnsiTheme="minorEastAsia" w:eastAsiaTheme="minorEastAsia" w:cstheme="minorEastAsia"/>
          <w:highlight w:val="none"/>
        </w:rPr>
        <w:br w:type="page"/>
      </w:r>
      <w:bookmarkStart w:id="201" w:name="_Toc25464"/>
      <w:bookmarkStart w:id="202" w:name="_Toc4562"/>
      <w:bookmarkStart w:id="203" w:name="_Toc14574"/>
      <w:bookmarkStart w:id="204" w:name="_Toc16455"/>
      <w:bookmarkStart w:id="205" w:name="_Toc13504"/>
      <w:bookmarkStart w:id="206" w:name="_Toc31119"/>
      <w:bookmarkStart w:id="207" w:name="_Toc3285"/>
      <w:r>
        <w:rPr>
          <w:rFonts w:hint="eastAsia" w:asciiTheme="minorEastAsia" w:hAnsiTheme="minorEastAsia" w:eastAsiaTheme="minorEastAsia" w:cstheme="minorEastAsia"/>
          <w:sz w:val="32"/>
          <w:szCs w:val="32"/>
          <w:highlight w:val="none"/>
        </w:rPr>
        <w:t>二、开标一览表</w:t>
      </w:r>
      <w:bookmarkEnd w:id="201"/>
      <w:bookmarkEnd w:id="202"/>
      <w:bookmarkEnd w:id="203"/>
      <w:bookmarkEnd w:id="204"/>
      <w:bookmarkEnd w:id="205"/>
      <w:bookmarkEnd w:id="206"/>
      <w:bookmarkEnd w:id="207"/>
    </w:p>
    <w:p w14:paraId="7A7AC619">
      <w:pPr>
        <w:jc w:val="center"/>
        <w:rPr>
          <w:rFonts w:asciiTheme="minorEastAsia" w:hAnsiTheme="minorEastAsia" w:eastAsiaTheme="minorEastAsia" w:cstheme="minorEastAsia"/>
          <w:b/>
          <w:sz w:val="30"/>
          <w:szCs w:val="30"/>
          <w:highlight w:val="none"/>
        </w:rPr>
      </w:pPr>
      <w:r>
        <w:rPr>
          <w:rFonts w:hint="eastAsia" w:asciiTheme="minorEastAsia" w:hAnsiTheme="minorEastAsia" w:eastAsiaTheme="minorEastAsia" w:cstheme="minorEastAsia"/>
          <w:b/>
          <w:sz w:val="30"/>
          <w:szCs w:val="30"/>
          <w:highlight w:val="none"/>
        </w:rPr>
        <w:t>2.1报价一览表</w:t>
      </w:r>
    </w:p>
    <w:p w14:paraId="32712AD4">
      <w:pPr>
        <w:tabs>
          <w:tab w:val="left" w:pos="7080"/>
          <w:tab w:val="left" w:pos="8504"/>
        </w:tabs>
        <w:spacing w:line="360" w:lineRule="auto"/>
        <w:ind w:right="-1"/>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项目名称：</w:t>
      </w:r>
    </w:p>
    <w:p w14:paraId="61BEB304">
      <w:pPr>
        <w:tabs>
          <w:tab w:val="left" w:pos="7080"/>
          <w:tab w:val="left" w:pos="8504"/>
        </w:tabs>
        <w:spacing w:line="360" w:lineRule="auto"/>
        <w:ind w:right="-1"/>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项目编号</w:t>
      </w:r>
      <w:r>
        <w:rPr>
          <w:rFonts w:hint="eastAsia" w:asciiTheme="minorEastAsia" w:hAnsiTheme="minorEastAsia" w:eastAsiaTheme="minorEastAsia" w:cstheme="minorEastAsia"/>
          <w:sz w:val="24"/>
          <w:szCs w:val="24"/>
          <w:highlight w:val="none"/>
          <w:lang w:eastAsia="zh-CN"/>
        </w:rPr>
        <w:t>、</w:t>
      </w:r>
      <w:r>
        <w:rPr>
          <w:rFonts w:hint="eastAsia" w:asciiTheme="minorEastAsia" w:hAnsiTheme="minorEastAsia" w:eastAsiaTheme="minorEastAsia" w:cstheme="minorEastAsia"/>
          <w:sz w:val="24"/>
          <w:szCs w:val="24"/>
          <w:highlight w:val="none"/>
          <w:lang w:val="en-US" w:eastAsia="zh-CN"/>
        </w:rPr>
        <w:t>包号</w:t>
      </w:r>
      <w:r>
        <w:rPr>
          <w:rFonts w:hint="eastAsia" w:asciiTheme="minorEastAsia" w:hAnsiTheme="minorEastAsia" w:eastAsiaTheme="minorEastAsia" w:cstheme="minorEastAsia"/>
          <w:sz w:val="24"/>
          <w:szCs w:val="24"/>
          <w:highlight w:val="none"/>
        </w:rPr>
        <w:t>：</w:t>
      </w:r>
    </w:p>
    <w:tbl>
      <w:tblPr>
        <w:tblStyle w:val="29"/>
        <w:tblW w:w="86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47"/>
        <w:gridCol w:w="6593"/>
      </w:tblGrid>
      <w:tr w14:paraId="40B1C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7" w:hRule="atLeast"/>
          <w:jc w:val="center"/>
        </w:trPr>
        <w:tc>
          <w:tcPr>
            <w:tcW w:w="2047" w:type="dxa"/>
            <w:vMerge w:val="restart"/>
            <w:vAlign w:val="center"/>
          </w:tcPr>
          <w:p w14:paraId="27F526E1">
            <w:pPr>
              <w:jc w:val="center"/>
              <w:rPr>
                <w:rFonts w:ascii="宋体"/>
                <w:sz w:val="24"/>
                <w:szCs w:val="24"/>
                <w:highlight w:val="none"/>
              </w:rPr>
            </w:pPr>
            <w:r>
              <w:rPr>
                <w:rFonts w:hint="eastAsia" w:ascii="宋体" w:hAnsi="宋体" w:cs="宋体"/>
                <w:sz w:val="24"/>
                <w:szCs w:val="24"/>
                <w:highlight w:val="none"/>
              </w:rPr>
              <w:t>投标总报价（元）</w:t>
            </w:r>
          </w:p>
        </w:tc>
        <w:tc>
          <w:tcPr>
            <w:tcW w:w="6593" w:type="dxa"/>
            <w:vAlign w:val="center"/>
          </w:tcPr>
          <w:p w14:paraId="18878E30">
            <w:pPr>
              <w:rPr>
                <w:rFonts w:ascii="宋体"/>
                <w:sz w:val="24"/>
                <w:szCs w:val="24"/>
                <w:highlight w:val="none"/>
              </w:rPr>
            </w:pPr>
            <w:r>
              <w:rPr>
                <w:rFonts w:hint="eastAsia" w:ascii="宋体" w:hAnsi="宋体" w:cs="宋体"/>
                <w:sz w:val="24"/>
                <w:szCs w:val="24"/>
                <w:highlight w:val="none"/>
              </w:rPr>
              <w:t>小写：</w:t>
            </w:r>
          </w:p>
        </w:tc>
      </w:tr>
      <w:tr w14:paraId="091F8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7" w:hRule="atLeast"/>
          <w:jc w:val="center"/>
        </w:trPr>
        <w:tc>
          <w:tcPr>
            <w:tcW w:w="2047" w:type="dxa"/>
            <w:vMerge w:val="continue"/>
            <w:vAlign w:val="center"/>
          </w:tcPr>
          <w:p w14:paraId="3869AC6A">
            <w:pPr>
              <w:rPr>
                <w:highlight w:val="none"/>
              </w:rPr>
            </w:pPr>
          </w:p>
        </w:tc>
        <w:tc>
          <w:tcPr>
            <w:tcW w:w="6593" w:type="dxa"/>
            <w:vAlign w:val="center"/>
          </w:tcPr>
          <w:p w14:paraId="2D87EC8E">
            <w:pPr>
              <w:rPr>
                <w:rFonts w:ascii="宋体"/>
                <w:sz w:val="24"/>
                <w:szCs w:val="24"/>
                <w:highlight w:val="none"/>
              </w:rPr>
            </w:pPr>
            <w:r>
              <w:rPr>
                <w:rFonts w:hint="eastAsia" w:ascii="宋体" w:hAnsi="宋体" w:cs="宋体"/>
                <w:sz w:val="24"/>
                <w:szCs w:val="24"/>
                <w:highlight w:val="none"/>
              </w:rPr>
              <w:t>大写：</w:t>
            </w:r>
          </w:p>
        </w:tc>
      </w:tr>
      <w:tr w14:paraId="79E97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7" w:hRule="atLeast"/>
          <w:jc w:val="center"/>
        </w:trPr>
        <w:tc>
          <w:tcPr>
            <w:tcW w:w="2047" w:type="dxa"/>
            <w:vAlign w:val="center"/>
          </w:tcPr>
          <w:p w14:paraId="2DCEEAFF">
            <w:pPr>
              <w:jc w:val="center"/>
              <w:rPr>
                <w:rFonts w:hint="default"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服务期</w:t>
            </w:r>
          </w:p>
        </w:tc>
        <w:tc>
          <w:tcPr>
            <w:tcW w:w="6593" w:type="dxa"/>
            <w:vAlign w:val="center"/>
          </w:tcPr>
          <w:p w14:paraId="35F92C78">
            <w:pPr>
              <w:rPr>
                <w:rFonts w:ascii="宋体"/>
                <w:sz w:val="24"/>
                <w:szCs w:val="24"/>
                <w:highlight w:val="none"/>
              </w:rPr>
            </w:pPr>
          </w:p>
        </w:tc>
      </w:tr>
      <w:tr w14:paraId="03D84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7" w:hRule="atLeast"/>
          <w:jc w:val="center"/>
        </w:trPr>
        <w:tc>
          <w:tcPr>
            <w:tcW w:w="2047" w:type="dxa"/>
            <w:vAlign w:val="center"/>
          </w:tcPr>
          <w:p w14:paraId="5F157131">
            <w:pPr>
              <w:jc w:val="center"/>
              <w:rPr>
                <w:rFonts w:ascii="宋体"/>
                <w:sz w:val="24"/>
                <w:szCs w:val="24"/>
                <w:highlight w:val="none"/>
              </w:rPr>
            </w:pPr>
            <w:r>
              <w:rPr>
                <w:rFonts w:hint="eastAsia" w:ascii="宋体" w:hAnsi="宋体" w:cs="宋体"/>
                <w:sz w:val="24"/>
                <w:szCs w:val="24"/>
                <w:highlight w:val="none"/>
              </w:rPr>
              <w:t>质量标准</w:t>
            </w:r>
          </w:p>
        </w:tc>
        <w:tc>
          <w:tcPr>
            <w:tcW w:w="6593" w:type="dxa"/>
            <w:vAlign w:val="center"/>
          </w:tcPr>
          <w:p w14:paraId="16126AFE">
            <w:pPr>
              <w:rPr>
                <w:rFonts w:ascii="宋体"/>
                <w:sz w:val="24"/>
                <w:szCs w:val="24"/>
                <w:highlight w:val="none"/>
              </w:rPr>
            </w:pPr>
          </w:p>
        </w:tc>
      </w:tr>
      <w:tr w14:paraId="1E68F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7" w:hRule="atLeast"/>
          <w:jc w:val="center"/>
        </w:trPr>
        <w:tc>
          <w:tcPr>
            <w:tcW w:w="2047" w:type="dxa"/>
            <w:vAlign w:val="center"/>
          </w:tcPr>
          <w:p w14:paraId="515EA6AC">
            <w:pPr>
              <w:jc w:val="center"/>
              <w:rPr>
                <w:rFonts w:ascii="宋体"/>
                <w:sz w:val="24"/>
                <w:szCs w:val="24"/>
                <w:highlight w:val="none"/>
              </w:rPr>
            </w:pPr>
            <w:r>
              <w:rPr>
                <w:rFonts w:hint="eastAsia" w:ascii="宋体" w:hAnsi="宋体" w:cs="宋体"/>
                <w:sz w:val="24"/>
                <w:szCs w:val="24"/>
                <w:highlight w:val="none"/>
              </w:rPr>
              <w:t>备注</w:t>
            </w:r>
          </w:p>
        </w:tc>
        <w:tc>
          <w:tcPr>
            <w:tcW w:w="6593" w:type="dxa"/>
            <w:vAlign w:val="center"/>
          </w:tcPr>
          <w:p w14:paraId="10E8B591">
            <w:pPr>
              <w:rPr>
                <w:rFonts w:ascii="宋体"/>
                <w:sz w:val="24"/>
                <w:szCs w:val="24"/>
                <w:highlight w:val="none"/>
              </w:rPr>
            </w:pPr>
          </w:p>
        </w:tc>
      </w:tr>
    </w:tbl>
    <w:p w14:paraId="5476FA9B">
      <w:pPr>
        <w:spacing w:line="120" w:lineRule="exact"/>
        <w:rPr>
          <w:rFonts w:asciiTheme="minorEastAsia" w:hAnsiTheme="minorEastAsia" w:eastAsiaTheme="minorEastAsia" w:cstheme="minorEastAsia"/>
          <w:sz w:val="24"/>
          <w:szCs w:val="24"/>
          <w:highlight w:val="none"/>
        </w:rPr>
      </w:pPr>
    </w:p>
    <w:p w14:paraId="2FD32F8C">
      <w:pPr>
        <w:spacing w:line="360" w:lineRule="auto"/>
        <w:rPr>
          <w:rFonts w:asciiTheme="minorEastAsia" w:hAnsiTheme="minorEastAsia" w:eastAsiaTheme="minorEastAsia" w:cstheme="minorEastAsia"/>
          <w:sz w:val="24"/>
          <w:szCs w:val="24"/>
          <w:highlight w:val="none"/>
        </w:rPr>
      </w:pPr>
    </w:p>
    <w:p w14:paraId="17E1BB52">
      <w:pPr>
        <w:spacing w:line="480" w:lineRule="auto"/>
        <w:ind w:right="540" w:rightChars="257"/>
        <w:jc w:val="left"/>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投标人名称：</w:t>
      </w:r>
      <w:r>
        <w:rPr>
          <w:rFonts w:hint="eastAsia" w:asciiTheme="minorEastAsia" w:hAnsiTheme="minorEastAsia" w:eastAsiaTheme="minorEastAsia" w:cstheme="minorEastAsia"/>
          <w:sz w:val="24"/>
          <w:szCs w:val="24"/>
          <w:highlight w:val="none"/>
          <w:u w:val="single"/>
        </w:rPr>
        <w:t xml:space="preserve">      （加盖投标人公章）      </w:t>
      </w:r>
    </w:p>
    <w:p w14:paraId="5A5B2494">
      <w:pPr>
        <w:spacing w:line="480" w:lineRule="auto"/>
        <w:ind w:right="540" w:rightChars="257"/>
        <w:jc w:val="left"/>
        <w:rPr>
          <w:rFonts w:asciiTheme="minorEastAsia" w:hAnsiTheme="minorEastAsia" w:eastAsiaTheme="minorEastAsia" w:cstheme="minorEastAsia"/>
          <w:sz w:val="24"/>
          <w:szCs w:val="24"/>
          <w:highlight w:val="none"/>
        </w:rPr>
      </w:pPr>
    </w:p>
    <w:p w14:paraId="3F0AB549">
      <w:pPr>
        <w:spacing w:line="480" w:lineRule="auto"/>
        <w:ind w:right="540" w:rightChars="257"/>
        <w:jc w:val="left"/>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法定代表人/或被授权人签字或盖章：</w:t>
      </w:r>
    </w:p>
    <w:p w14:paraId="771FF6C0">
      <w:pPr>
        <w:spacing w:line="480" w:lineRule="auto"/>
        <w:ind w:right="540" w:rightChars="257"/>
        <w:jc w:val="left"/>
        <w:rPr>
          <w:rFonts w:asciiTheme="minorEastAsia" w:hAnsiTheme="minorEastAsia" w:eastAsiaTheme="minorEastAsia" w:cstheme="minorEastAsia"/>
          <w:sz w:val="24"/>
          <w:szCs w:val="24"/>
          <w:highlight w:val="none"/>
        </w:rPr>
      </w:pPr>
    </w:p>
    <w:p w14:paraId="13A8560E">
      <w:pPr>
        <w:spacing w:line="480" w:lineRule="auto"/>
        <w:ind w:right="540" w:rightChars="257"/>
        <w:rPr>
          <w:rFonts w:hint="eastAsia" w:asciiTheme="minorEastAsia" w:hAnsiTheme="minorEastAsia" w:eastAsiaTheme="minorEastAsia" w:cstheme="minorEastAsia"/>
          <w:sz w:val="24"/>
          <w:szCs w:val="24"/>
          <w:highlight w:val="none"/>
        </w:rPr>
        <w:sectPr>
          <w:pgSz w:w="11906" w:h="16838"/>
          <w:pgMar w:top="1304" w:right="1361" w:bottom="1304" w:left="1361" w:header="851" w:footer="992" w:gutter="0"/>
          <w:cols w:space="720" w:num="1"/>
          <w:docGrid w:type="lines" w:linePitch="312" w:charSpace="0"/>
        </w:sectPr>
      </w:pPr>
      <w:r>
        <w:rPr>
          <w:rFonts w:hint="eastAsia" w:asciiTheme="minorEastAsia" w:hAnsiTheme="minorEastAsia" w:eastAsiaTheme="minorEastAsia" w:cstheme="minorEastAsia"/>
          <w:sz w:val="24"/>
          <w:szCs w:val="24"/>
          <w:highlight w:val="none"/>
        </w:rPr>
        <w:t>日    期：</w:t>
      </w:r>
    </w:p>
    <w:p w14:paraId="67DF3724">
      <w:pPr>
        <w:rPr>
          <w:rFonts w:hint="eastAsia" w:asciiTheme="minorEastAsia" w:hAnsiTheme="minorEastAsia" w:eastAsiaTheme="minorEastAsia" w:cstheme="minorEastAsia"/>
          <w:b/>
          <w:sz w:val="30"/>
          <w:szCs w:val="30"/>
          <w:highlight w:val="none"/>
          <w:lang w:val="en-US" w:eastAsia="zh-CN"/>
        </w:rPr>
      </w:pPr>
      <w:r>
        <w:rPr>
          <w:rFonts w:hint="eastAsia" w:asciiTheme="minorEastAsia" w:hAnsiTheme="minorEastAsia" w:eastAsiaTheme="minorEastAsia" w:cstheme="minorEastAsia"/>
          <w:b/>
          <w:sz w:val="30"/>
          <w:szCs w:val="30"/>
          <w:highlight w:val="none"/>
          <w:lang w:val="en-US" w:eastAsia="zh-CN"/>
        </w:rPr>
        <w:br w:type="page"/>
      </w:r>
    </w:p>
    <w:p w14:paraId="64098909">
      <w:pPr>
        <w:jc w:val="center"/>
        <w:rPr>
          <w:rFonts w:hint="eastAsia" w:asciiTheme="minorEastAsia" w:hAnsiTheme="minorEastAsia" w:eastAsiaTheme="minorEastAsia" w:cstheme="minorEastAsia"/>
          <w:b/>
          <w:sz w:val="30"/>
          <w:szCs w:val="30"/>
          <w:highlight w:val="none"/>
          <w:lang w:val="en-US" w:eastAsia="zh-CN"/>
        </w:rPr>
      </w:pPr>
      <w:r>
        <w:rPr>
          <w:rFonts w:hint="eastAsia" w:asciiTheme="minorEastAsia" w:hAnsiTheme="minorEastAsia" w:eastAsiaTheme="minorEastAsia" w:cstheme="minorEastAsia"/>
          <w:b/>
          <w:sz w:val="30"/>
          <w:szCs w:val="30"/>
          <w:highlight w:val="none"/>
          <w:lang w:val="en-US" w:eastAsia="zh-CN"/>
        </w:rPr>
        <w:t>2.2分项报价表</w:t>
      </w:r>
    </w:p>
    <w:p w14:paraId="26AA2390">
      <w:pPr>
        <w:spacing w:line="312" w:lineRule="auto"/>
        <w:ind w:right="540" w:rightChars="257"/>
        <w:jc w:val="left"/>
        <w:rPr>
          <w:rFonts w:hint="eastAsia" w:asciiTheme="minorEastAsia" w:hAnsiTheme="minorEastAsia" w:eastAsiaTheme="minorEastAsia" w:cstheme="minorEastAsia"/>
          <w:sz w:val="24"/>
          <w:highlight w:val="none"/>
        </w:rPr>
      </w:pPr>
    </w:p>
    <w:p w14:paraId="25C2FD15">
      <w:pPr>
        <w:jc w:val="center"/>
        <w:rPr>
          <w:rFonts w:hint="default" w:eastAsia="宋体"/>
          <w:b/>
          <w:bCs/>
          <w:sz w:val="28"/>
          <w:szCs w:val="32"/>
          <w:highlight w:val="none"/>
          <w:lang w:val="en-US" w:eastAsia="zh-CN"/>
        </w:rPr>
      </w:pPr>
      <w:r>
        <w:rPr>
          <w:rFonts w:hint="eastAsia"/>
          <w:b/>
          <w:bCs/>
          <w:sz w:val="28"/>
          <w:szCs w:val="32"/>
          <w:highlight w:val="none"/>
          <w:lang w:val="en-US" w:eastAsia="zh-CN"/>
        </w:rPr>
        <w:t>报价格式详见附件</w:t>
      </w:r>
    </w:p>
    <w:p w14:paraId="14D37E13">
      <w:pPr>
        <w:pStyle w:val="12"/>
        <w:rPr>
          <w:rFonts w:hint="eastAsia"/>
        </w:rPr>
      </w:pPr>
    </w:p>
    <w:p w14:paraId="2710A828">
      <w:pPr>
        <w:spacing w:line="312" w:lineRule="auto"/>
        <w:ind w:right="540" w:rightChars="257"/>
        <w:jc w:val="left"/>
        <w:rPr>
          <w:rFonts w:hint="eastAsia"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投标人名称：</w:t>
      </w:r>
      <w:r>
        <w:rPr>
          <w:rFonts w:hint="eastAsia" w:asciiTheme="minorEastAsia" w:hAnsiTheme="minorEastAsia" w:eastAsiaTheme="minorEastAsia" w:cstheme="minorEastAsia"/>
          <w:sz w:val="24"/>
          <w:highlight w:val="none"/>
          <w:u w:val="single"/>
        </w:rPr>
        <w:t xml:space="preserve">      （加盖投标人公章）      </w:t>
      </w:r>
    </w:p>
    <w:p w14:paraId="732D3F05">
      <w:pPr>
        <w:spacing w:line="312" w:lineRule="auto"/>
        <w:ind w:right="540" w:rightChars="257"/>
        <w:jc w:val="left"/>
        <w:rPr>
          <w:rFonts w:hint="eastAsia"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日    期：</w:t>
      </w:r>
    </w:p>
    <w:p w14:paraId="11F93AA5">
      <w:pPr>
        <w:pStyle w:val="6"/>
        <w:tabs>
          <w:tab w:val="left" w:pos="4860"/>
        </w:tabs>
        <w:spacing w:beforeLines="0" w:afterLines="50"/>
        <w:rPr>
          <w:rFonts w:asciiTheme="minorEastAsia" w:hAnsiTheme="minorEastAsia" w:eastAsiaTheme="minorEastAsia" w:cstheme="minorEastAsia"/>
          <w:sz w:val="32"/>
          <w:szCs w:val="32"/>
          <w:highlight w:val="none"/>
        </w:rPr>
      </w:pPr>
      <w:r>
        <w:rPr>
          <w:rFonts w:hint="eastAsia"/>
          <w:highlight w:val="none"/>
          <w:lang w:val="en-US" w:eastAsia="zh-CN"/>
        </w:rPr>
        <w:br w:type="page"/>
      </w:r>
      <w:bookmarkStart w:id="208" w:name="_Toc10537"/>
      <w:bookmarkStart w:id="209" w:name="_Toc15813"/>
      <w:bookmarkStart w:id="210" w:name="_Toc6360"/>
      <w:bookmarkStart w:id="211" w:name="_Toc31089"/>
      <w:bookmarkStart w:id="212" w:name="_Toc26747"/>
      <w:bookmarkStart w:id="213" w:name="_Toc2477"/>
      <w:bookmarkStart w:id="214" w:name="_Toc344572163"/>
      <w:r>
        <w:rPr>
          <w:rFonts w:hint="eastAsia" w:asciiTheme="minorEastAsia" w:hAnsiTheme="minorEastAsia" w:eastAsiaTheme="minorEastAsia" w:cstheme="minorEastAsia"/>
          <w:sz w:val="30"/>
          <w:szCs w:val="30"/>
          <w:highlight w:val="none"/>
        </w:rPr>
        <w:t>三、</w:t>
      </w:r>
      <w:r>
        <w:rPr>
          <w:rFonts w:hint="eastAsia" w:asciiTheme="minorEastAsia" w:hAnsiTheme="minorEastAsia" w:eastAsiaTheme="minorEastAsia" w:cstheme="minorEastAsia"/>
          <w:sz w:val="32"/>
          <w:szCs w:val="32"/>
          <w:highlight w:val="none"/>
        </w:rPr>
        <w:t>商务响应偏离表</w:t>
      </w:r>
      <w:bookmarkEnd w:id="208"/>
      <w:bookmarkEnd w:id="209"/>
      <w:bookmarkEnd w:id="210"/>
      <w:bookmarkEnd w:id="211"/>
      <w:bookmarkEnd w:id="212"/>
      <w:bookmarkEnd w:id="213"/>
    </w:p>
    <w:p w14:paraId="6E88DD95">
      <w:pPr>
        <w:spacing w:after="120" w:line="276" w:lineRule="auto"/>
        <w:rPr>
          <w:rFonts w:hint="eastAsia" w:asciiTheme="minorEastAsia" w:hAnsiTheme="minorEastAsia" w:eastAsiaTheme="minorEastAsia" w:cstheme="minorEastAsia"/>
          <w:sz w:val="24"/>
          <w:szCs w:val="32"/>
          <w:highlight w:val="none"/>
          <w:lang w:eastAsia="zh-CN"/>
        </w:rPr>
      </w:pPr>
      <w:r>
        <w:rPr>
          <w:rFonts w:hint="eastAsia" w:asciiTheme="minorEastAsia" w:hAnsiTheme="minorEastAsia" w:eastAsiaTheme="minorEastAsia" w:cstheme="minorEastAsia"/>
          <w:sz w:val="24"/>
          <w:szCs w:val="32"/>
          <w:highlight w:val="none"/>
        </w:rPr>
        <w:t>项目名称</w:t>
      </w:r>
      <w:r>
        <w:rPr>
          <w:rFonts w:hint="eastAsia" w:asciiTheme="minorEastAsia" w:hAnsiTheme="minorEastAsia" w:eastAsiaTheme="minorEastAsia" w:cstheme="minorEastAsia"/>
          <w:sz w:val="24"/>
          <w:szCs w:val="32"/>
          <w:highlight w:val="none"/>
          <w:lang w:eastAsia="zh-CN"/>
        </w:rPr>
        <w:t>：</w:t>
      </w:r>
    </w:p>
    <w:p w14:paraId="7D0DFBF2">
      <w:pPr>
        <w:spacing w:after="120" w:line="276" w:lineRule="auto"/>
        <w:rPr>
          <w:rFonts w:asciiTheme="minorEastAsia" w:hAnsiTheme="minorEastAsia" w:eastAsiaTheme="minorEastAsia" w:cstheme="minorEastAsia"/>
          <w:sz w:val="24"/>
          <w:szCs w:val="32"/>
          <w:highlight w:val="none"/>
        </w:rPr>
      </w:pPr>
      <w:r>
        <w:rPr>
          <w:rFonts w:hint="eastAsia" w:asciiTheme="minorEastAsia" w:hAnsiTheme="minorEastAsia" w:eastAsiaTheme="minorEastAsia" w:cstheme="minorEastAsia"/>
          <w:sz w:val="24"/>
          <w:szCs w:val="32"/>
          <w:highlight w:val="none"/>
        </w:rPr>
        <w:t>项目编号</w:t>
      </w:r>
      <w:r>
        <w:rPr>
          <w:rFonts w:hint="eastAsia" w:asciiTheme="minorEastAsia" w:hAnsiTheme="minorEastAsia" w:eastAsiaTheme="minorEastAsia" w:cstheme="minorEastAsia"/>
          <w:sz w:val="24"/>
          <w:szCs w:val="32"/>
          <w:highlight w:val="none"/>
          <w:lang w:eastAsia="zh-CN"/>
        </w:rPr>
        <w:t>、</w:t>
      </w:r>
      <w:r>
        <w:rPr>
          <w:rFonts w:hint="eastAsia" w:asciiTheme="minorEastAsia" w:hAnsiTheme="minorEastAsia" w:eastAsiaTheme="minorEastAsia" w:cstheme="minorEastAsia"/>
          <w:sz w:val="24"/>
          <w:szCs w:val="32"/>
          <w:highlight w:val="none"/>
          <w:lang w:val="en-US" w:eastAsia="zh-CN"/>
        </w:rPr>
        <w:t>包号</w:t>
      </w:r>
      <w:r>
        <w:rPr>
          <w:rFonts w:hint="eastAsia" w:asciiTheme="minorEastAsia" w:hAnsiTheme="minorEastAsia" w:eastAsiaTheme="minorEastAsia" w:cstheme="minorEastAsia"/>
          <w:sz w:val="24"/>
          <w:szCs w:val="32"/>
          <w:highlight w:val="none"/>
        </w:rPr>
        <w:t>：</w:t>
      </w:r>
    </w:p>
    <w:tbl>
      <w:tblPr>
        <w:tblStyle w:val="29"/>
        <w:tblW w:w="8792"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
      <w:tblGrid>
        <w:gridCol w:w="1890"/>
        <w:gridCol w:w="1995"/>
        <w:gridCol w:w="2688"/>
        <w:gridCol w:w="1212"/>
        <w:gridCol w:w="1007"/>
      </w:tblGrid>
      <w:tr w14:paraId="4CD602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20" w:hRule="atLeast"/>
          <w:jc w:val="center"/>
        </w:trPr>
        <w:tc>
          <w:tcPr>
            <w:tcW w:w="1890" w:type="dxa"/>
            <w:vAlign w:val="center"/>
          </w:tcPr>
          <w:p w14:paraId="2E3C642C">
            <w:pPr>
              <w:spacing w:line="360" w:lineRule="auto"/>
              <w:jc w:val="center"/>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名称</w:t>
            </w:r>
          </w:p>
        </w:tc>
        <w:tc>
          <w:tcPr>
            <w:tcW w:w="1995" w:type="dxa"/>
            <w:vAlign w:val="center"/>
          </w:tcPr>
          <w:p w14:paraId="28BB0EF3">
            <w:pPr>
              <w:spacing w:line="360" w:lineRule="auto"/>
              <w:jc w:val="center"/>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招标文件商务要求</w:t>
            </w:r>
          </w:p>
        </w:tc>
        <w:tc>
          <w:tcPr>
            <w:tcW w:w="2688" w:type="dxa"/>
            <w:vAlign w:val="center"/>
          </w:tcPr>
          <w:p w14:paraId="0CF7263E">
            <w:pPr>
              <w:spacing w:line="360" w:lineRule="auto"/>
              <w:jc w:val="center"/>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投标文件商务响应</w:t>
            </w:r>
          </w:p>
        </w:tc>
        <w:tc>
          <w:tcPr>
            <w:tcW w:w="1212" w:type="dxa"/>
            <w:vAlign w:val="center"/>
          </w:tcPr>
          <w:p w14:paraId="6DB9DA80">
            <w:pPr>
              <w:spacing w:line="360" w:lineRule="auto"/>
              <w:jc w:val="center"/>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偏离</w:t>
            </w:r>
          </w:p>
        </w:tc>
        <w:tc>
          <w:tcPr>
            <w:tcW w:w="1007" w:type="dxa"/>
            <w:vAlign w:val="center"/>
          </w:tcPr>
          <w:p w14:paraId="4F30A377">
            <w:pPr>
              <w:spacing w:line="360" w:lineRule="auto"/>
              <w:jc w:val="center"/>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说明</w:t>
            </w:r>
          </w:p>
        </w:tc>
      </w:tr>
      <w:tr w14:paraId="1D4C86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1890" w:type="dxa"/>
          </w:tcPr>
          <w:p w14:paraId="4523CFDC">
            <w:pPr>
              <w:spacing w:line="360" w:lineRule="auto"/>
              <w:jc w:val="center"/>
              <w:rPr>
                <w:rFonts w:asciiTheme="minorEastAsia" w:hAnsiTheme="minorEastAsia" w:eastAsiaTheme="minorEastAsia" w:cstheme="minorEastAsia"/>
                <w:sz w:val="24"/>
                <w:szCs w:val="24"/>
                <w:highlight w:val="none"/>
              </w:rPr>
            </w:pPr>
          </w:p>
        </w:tc>
        <w:tc>
          <w:tcPr>
            <w:tcW w:w="1995" w:type="dxa"/>
          </w:tcPr>
          <w:p w14:paraId="4318391D">
            <w:pPr>
              <w:spacing w:line="360" w:lineRule="auto"/>
              <w:jc w:val="center"/>
              <w:rPr>
                <w:rFonts w:asciiTheme="minorEastAsia" w:hAnsiTheme="minorEastAsia" w:eastAsiaTheme="minorEastAsia" w:cstheme="minorEastAsia"/>
                <w:sz w:val="24"/>
                <w:szCs w:val="24"/>
                <w:highlight w:val="none"/>
              </w:rPr>
            </w:pPr>
          </w:p>
        </w:tc>
        <w:tc>
          <w:tcPr>
            <w:tcW w:w="2688" w:type="dxa"/>
          </w:tcPr>
          <w:p w14:paraId="3EFFF2C7">
            <w:pPr>
              <w:spacing w:line="360" w:lineRule="auto"/>
              <w:jc w:val="center"/>
              <w:rPr>
                <w:rFonts w:asciiTheme="minorEastAsia" w:hAnsiTheme="minorEastAsia" w:eastAsiaTheme="minorEastAsia" w:cstheme="minorEastAsia"/>
                <w:sz w:val="24"/>
                <w:szCs w:val="24"/>
                <w:highlight w:val="none"/>
              </w:rPr>
            </w:pPr>
          </w:p>
        </w:tc>
        <w:tc>
          <w:tcPr>
            <w:tcW w:w="1212" w:type="dxa"/>
          </w:tcPr>
          <w:p w14:paraId="1C2A86C3">
            <w:pPr>
              <w:spacing w:line="360" w:lineRule="auto"/>
              <w:jc w:val="center"/>
              <w:rPr>
                <w:rFonts w:asciiTheme="minorEastAsia" w:hAnsiTheme="minorEastAsia" w:eastAsiaTheme="minorEastAsia" w:cstheme="minorEastAsia"/>
                <w:sz w:val="24"/>
                <w:szCs w:val="24"/>
                <w:highlight w:val="none"/>
              </w:rPr>
            </w:pPr>
          </w:p>
        </w:tc>
        <w:tc>
          <w:tcPr>
            <w:tcW w:w="1007" w:type="dxa"/>
          </w:tcPr>
          <w:p w14:paraId="1A4A7648">
            <w:pPr>
              <w:spacing w:line="360" w:lineRule="auto"/>
              <w:jc w:val="center"/>
              <w:rPr>
                <w:rFonts w:asciiTheme="minorEastAsia" w:hAnsiTheme="minorEastAsia" w:eastAsiaTheme="minorEastAsia" w:cstheme="minorEastAsia"/>
                <w:sz w:val="24"/>
                <w:szCs w:val="24"/>
                <w:highlight w:val="none"/>
              </w:rPr>
            </w:pPr>
          </w:p>
        </w:tc>
      </w:tr>
      <w:tr w14:paraId="524ACB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1890" w:type="dxa"/>
          </w:tcPr>
          <w:p w14:paraId="1D1B6B07">
            <w:pPr>
              <w:spacing w:line="360" w:lineRule="auto"/>
              <w:jc w:val="center"/>
              <w:rPr>
                <w:rFonts w:asciiTheme="minorEastAsia" w:hAnsiTheme="minorEastAsia" w:eastAsiaTheme="minorEastAsia" w:cstheme="minorEastAsia"/>
                <w:sz w:val="24"/>
                <w:szCs w:val="24"/>
                <w:highlight w:val="none"/>
              </w:rPr>
            </w:pPr>
          </w:p>
        </w:tc>
        <w:tc>
          <w:tcPr>
            <w:tcW w:w="1995" w:type="dxa"/>
          </w:tcPr>
          <w:p w14:paraId="3C39C386">
            <w:pPr>
              <w:spacing w:line="360" w:lineRule="auto"/>
              <w:jc w:val="center"/>
              <w:rPr>
                <w:rFonts w:asciiTheme="minorEastAsia" w:hAnsiTheme="minorEastAsia" w:eastAsiaTheme="minorEastAsia" w:cstheme="minorEastAsia"/>
                <w:sz w:val="24"/>
                <w:szCs w:val="24"/>
                <w:highlight w:val="none"/>
              </w:rPr>
            </w:pPr>
          </w:p>
        </w:tc>
        <w:tc>
          <w:tcPr>
            <w:tcW w:w="2688" w:type="dxa"/>
          </w:tcPr>
          <w:p w14:paraId="6F0E9E91">
            <w:pPr>
              <w:spacing w:line="360" w:lineRule="auto"/>
              <w:jc w:val="center"/>
              <w:rPr>
                <w:rFonts w:asciiTheme="minorEastAsia" w:hAnsiTheme="minorEastAsia" w:eastAsiaTheme="minorEastAsia" w:cstheme="minorEastAsia"/>
                <w:sz w:val="24"/>
                <w:szCs w:val="24"/>
                <w:highlight w:val="none"/>
              </w:rPr>
            </w:pPr>
          </w:p>
        </w:tc>
        <w:tc>
          <w:tcPr>
            <w:tcW w:w="1212" w:type="dxa"/>
          </w:tcPr>
          <w:p w14:paraId="3643E325">
            <w:pPr>
              <w:spacing w:line="360" w:lineRule="auto"/>
              <w:jc w:val="center"/>
              <w:rPr>
                <w:rFonts w:asciiTheme="minorEastAsia" w:hAnsiTheme="minorEastAsia" w:eastAsiaTheme="minorEastAsia" w:cstheme="minorEastAsia"/>
                <w:sz w:val="24"/>
                <w:szCs w:val="24"/>
                <w:highlight w:val="none"/>
              </w:rPr>
            </w:pPr>
          </w:p>
        </w:tc>
        <w:tc>
          <w:tcPr>
            <w:tcW w:w="1007" w:type="dxa"/>
          </w:tcPr>
          <w:p w14:paraId="0594691A">
            <w:pPr>
              <w:spacing w:line="360" w:lineRule="auto"/>
              <w:jc w:val="center"/>
              <w:rPr>
                <w:rFonts w:asciiTheme="minorEastAsia" w:hAnsiTheme="minorEastAsia" w:eastAsiaTheme="minorEastAsia" w:cstheme="minorEastAsia"/>
                <w:sz w:val="24"/>
                <w:szCs w:val="24"/>
                <w:highlight w:val="none"/>
              </w:rPr>
            </w:pPr>
          </w:p>
        </w:tc>
      </w:tr>
      <w:tr w14:paraId="3BEAFE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1890" w:type="dxa"/>
          </w:tcPr>
          <w:p w14:paraId="2A7D87E7">
            <w:pPr>
              <w:spacing w:line="360" w:lineRule="auto"/>
              <w:jc w:val="center"/>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w:t>
            </w:r>
          </w:p>
        </w:tc>
        <w:tc>
          <w:tcPr>
            <w:tcW w:w="1995" w:type="dxa"/>
          </w:tcPr>
          <w:p w14:paraId="546D2889">
            <w:pPr>
              <w:spacing w:line="360" w:lineRule="auto"/>
              <w:jc w:val="center"/>
              <w:rPr>
                <w:rFonts w:asciiTheme="minorEastAsia" w:hAnsiTheme="minorEastAsia" w:eastAsiaTheme="minorEastAsia" w:cstheme="minorEastAsia"/>
                <w:sz w:val="24"/>
                <w:szCs w:val="24"/>
                <w:highlight w:val="none"/>
              </w:rPr>
            </w:pPr>
          </w:p>
        </w:tc>
        <w:tc>
          <w:tcPr>
            <w:tcW w:w="2688" w:type="dxa"/>
          </w:tcPr>
          <w:p w14:paraId="365632CD">
            <w:pPr>
              <w:spacing w:line="360" w:lineRule="auto"/>
              <w:jc w:val="center"/>
              <w:rPr>
                <w:rFonts w:asciiTheme="minorEastAsia" w:hAnsiTheme="minorEastAsia" w:eastAsiaTheme="minorEastAsia" w:cstheme="minorEastAsia"/>
                <w:sz w:val="24"/>
                <w:szCs w:val="24"/>
                <w:highlight w:val="none"/>
              </w:rPr>
            </w:pPr>
          </w:p>
        </w:tc>
        <w:tc>
          <w:tcPr>
            <w:tcW w:w="1212" w:type="dxa"/>
          </w:tcPr>
          <w:p w14:paraId="6AF75D37">
            <w:pPr>
              <w:spacing w:line="360" w:lineRule="auto"/>
              <w:jc w:val="center"/>
              <w:rPr>
                <w:rFonts w:asciiTheme="minorEastAsia" w:hAnsiTheme="minorEastAsia" w:eastAsiaTheme="minorEastAsia" w:cstheme="minorEastAsia"/>
                <w:sz w:val="24"/>
                <w:szCs w:val="24"/>
                <w:highlight w:val="none"/>
              </w:rPr>
            </w:pPr>
          </w:p>
        </w:tc>
        <w:tc>
          <w:tcPr>
            <w:tcW w:w="1007" w:type="dxa"/>
          </w:tcPr>
          <w:p w14:paraId="1364DC7F">
            <w:pPr>
              <w:spacing w:line="360" w:lineRule="auto"/>
              <w:jc w:val="center"/>
              <w:rPr>
                <w:rFonts w:asciiTheme="minorEastAsia" w:hAnsiTheme="minorEastAsia" w:eastAsiaTheme="minorEastAsia" w:cstheme="minorEastAsia"/>
                <w:sz w:val="24"/>
                <w:szCs w:val="24"/>
                <w:highlight w:val="none"/>
              </w:rPr>
            </w:pPr>
          </w:p>
        </w:tc>
      </w:tr>
      <w:tr w14:paraId="3DB2D2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1890" w:type="dxa"/>
          </w:tcPr>
          <w:p w14:paraId="5A40A98A">
            <w:pPr>
              <w:spacing w:line="360" w:lineRule="auto"/>
              <w:jc w:val="center"/>
              <w:rPr>
                <w:rFonts w:asciiTheme="minorEastAsia" w:hAnsiTheme="minorEastAsia" w:eastAsiaTheme="minorEastAsia" w:cstheme="minorEastAsia"/>
                <w:sz w:val="24"/>
                <w:szCs w:val="24"/>
                <w:highlight w:val="none"/>
              </w:rPr>
            </w:pPr>
          </w:p>
        </w:tc>
        <w:tc>
          <w:tcPr>
            <w:tcW w:w="1995" w:type="dxa"/>
          </w:tcPr>
          <w:p w14:paraId="4FFA24DB">
            <w:pPr>
              <w:spacing w:line="360" w:lineRule="auto"/>
              <w:jc w:val="center"/>
              <w:rPr>
                <w:rFonts w:asciiTheme="minorEastAsia" w:hAnsiTheme="minorEastAsia" w:eastAsiaTheme="minorEastAsia" w:cstheme="minorEastAsia"/>
                <w:sz w:val="24"/>
                <w:szCs w:val="24"/>
                <w:highlight w:val="none"/>
              </w:rPr>
            </w:pPr>
          </w:p>
        </w:tc>
        <w:tc>
          <w:tcPr>
            <w:tcW w:w="2688" w:type="dxa"/>
          </w:tcPr>
          <w:p w14:paraId="226C1B78">
            <w:pPr>
              <w:spacing w:line="360" w:lineRule="auto"/>
              <w:jc w:val="center"/>
              <w:rPr>
                <w:rFonts w:asciiTheme="minorEastAsia" w:hAnsiTheme="minorEastAsia" w:eastAsiaTheme="minorEastAsia" w:cstheme="minorEastAsia"/>
                <w:sz w:val="24"/>
                <w:szCs w:val="24"/>
                <w:highlight w:val="none"/>
              </w:rPr>
            </w:pPr>
          </w:p>
        </w:tc>
        <w:tc>
          <w:tcPr>
            <w:tcW w:w="1212" w:type="dxa"/>
          </w:tcPr>
          <w:p w14:paraId="0F0B0983">
            <w:pPr>
              <w:spacing w:line="360" w:lineRule="auto"/>
              <w:jc w:val="center"/>
              <w:rPr>
                <w:rFonts w:asciiTheme="minorEastAsia" w:hAnsiTheme="minorEastAsia" w:eastAsiaTheme="minorEastAsia" w:cstheme="minorEastAsia"/>
                <w:sz w:val="24"/>
                <w:szCs w:val="24"/>
                <w:highlight w:val="none"/>
              </w:rPr>
            </w:pPr>
          </w:p>
        </w:tc>
        <w:tc>
          <w:tcPr>
            <w:tcW w:w="1007" w:type="dxa"/>
          </w:tcPr>
          <w:p w14:paraId="41F9A70A">
            <w:pPr>
              <w:spacing w:line="360" w:lineRule="auto"/>
              <w:jc w:val="center"/>
              <w:rPr>
                <w:rFonts w:asciiTheme="minorEastAsia" w:hAnsiTheme="minorEastAsia" w:eastAsiaTheme="minorEastAsia" w:cstheme="minorEastAsia"/>
                <w:sz w:val="24"/>
                <w:szCs w:val="24"/>
                <w:highlight w:val="none"/>
              </w:rPr>
            </w:pPr>
          </w:p>
        </w:tc>
      </w:tr>
      <w:tr w14:paraId="2F2B9E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1890" w:type="dxa"/>
          </w:tcPr>
          <w:p w14:paraId="11049AF3">
            <w:pPr>
              <w:spacing w:line="360" w:lineRule="auto"/>
              <w:jc w:val="center"/>
              <w:rPr>
                <w:rFonts w:asciiTheme="minorEastAsia" w:hAnsiTheme="minorEastAsia" w:eastAsiaTheme="minorEastAsia" w:cstheme="minorEastAsia"/>
                <w:sz w:val="24"/>
                <w:szCs w:val="24"/>
                <w:highlight w:val="none"/>
              </w:rPr>
            </w:pPr>
          </w:p>
        </w:tc>
        <w:tc>
          <w:tcPr>
            <w:tcW w:w="1995" w:type="dxa"/>
          </w:tcPr>
          <w:p w14:paraId="1766A5A3">
            <w:pPr>
              <w:spacing w:line="360" w:lineRule="auto"/>
              <w:jc w:val="center"/>
              <w:rPr>
                <w:rFonts w:asciiTheme="minorEastAsia" w:hAnsiTheme="minorEastAsia" w:eastAsiaTheme="minorEastAsia" w:cstheme="minorEastAsia"/>
                <w:sz w:val="24"/>
                <w:szCs w:val="24"/>
                <w:highlight w:val="none"/>
              </w:rPr>
            </w:pPr>
          </w:p>
        </w:tc>
        <w:tc>
          <w:tcPr>
            <w:tcW w:w="2688" w:type="dxa"/>
          </w:tcPr>
          <w:p w14:paraId="3A462474">
            <w:pPr>
              <w:spacing w:line="360" w:lineRule="auto"/>
              <w:jc w:val="center"/>
              <w:rPr>
                <w:rFonts w:asciiTheme="minorEastAsia" w:hAnsiTheme="minorEastAsia" w:eastAsiaTheme="minorEastAsia" w:cstheme="minorEastAsia"/>
                <w:sz w:val="24"/>
                <w:szCs w:val="24"/>
                <w:highlight w:val="none"/>
              </w:rPr>
            </w:pPr>
          </w:p>
        </w:tc>
        <w:tc>
          <w:tcPr>
            <w:tcW w:w="1212" w:type="dxa"/>
          </w:tcPr>
          <w:p w14:paraId="48CD91F4">
            <w:pPr>
              <w:spacing w:line="360" w:lineRule="auto"/>
              <w:jc w:val="center"/>
              <w:rPr>
                <w:rFonts w:asciiTheme="minorEastAsia" w:hAnsiTheme="minorEastAsia" w:eastAsiaTheme="minorEastAsia" w:cstheme="minorEastAsia"/>
                <w:sz w:val="24"/>
                <w:szCs w:val="24"/>
                <w:highlight w:val="none"/>
              </w:rPr>
            </w:pPr>
          </w:p>
        </w:tc>
        <w:tc>
          <w:tcPr>
            <w:tcW w:w="1007" w:type="dxa"/>
          </w:tcPr>
          <w:p w14:paraId="28D3619F">
            <w:pPr>
              <w:spacing w:line="360" w:lineRule="auto"/>
              <w:jc w:val="center"/>
              <w:rPr>
                <w:rFonts w:asciiTheme="minorEastAsia" w:hAnsiTheme="minorEastAsia" w:eastAsiaTheme="minorEastAsia" w:cstheme="minorEastAsia"/>
                <w:sz w:val="24"/>
                <w:szCs w:val="24"/>
                <w:highlight w:val="none"/>
              </w:rPr>
            </w:pPr>
          </w:p>
        </w:tc>
      </w:tr>
    </w:tbl>
    <w:p w14:paraId="5D00CFF9">
      <w:pPr>
        <w:spacing w:line="360" w:lineRule="auto"/>
        <w:ind w:firstLine="48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声明：除本商务偏离表中所列的偏离项目外，其它所有商务均完全响应“招标文件”中的要求。</w:t>
      </w:r>
    </w:p>
    <w:bookmarkEnd w:id="214"/>
    <w:p w14:paraId="24E7B749">
      <w:pPr>
        <w:spacing w:line="312" w:lineRule="auto"/>
        <w:ind w:right="540" w:rightChars="257"/>
        <w:jc w:val="left"/>
        <w:rPr>
          <w:rFonts w:asciiTheme="minorEastAsia" w:hAnsiTheme="minorEastAsia" w:eastAsiaTheme="minorEastAsia" w:cstheme="minorEastAsia"/>
          <w:sz w:val="24"/>
          <w:highlight w:val="none"/>
        </w:rPr>
      </w:pPr>
    </w:p>
    <w:p w14:paraId="38FC534D">
      <w:pPr>
        <w:spacing w:line="312" w:lineRule="auto"/>
        <w:ind w:right="540" w:rightChars="257"/>
        <w:jc w:val="left"/>
        <w:rPr>
          <w:rFonts w:asciiTheme="minorEastAsia" w:hAnsiTheme="minorEastAsia" w:eastAsiaTheme="minorEastAsia" w:cstheme="minorEastAsia"/>
          <w:sz w:val="24"/>
          <w:highlight w:val="none"/>
          <w:u w:val="single"/>
        </w:rPr>
      </w:pPr>
      <w:r>
        <w:rPr>
          <w:rFonts w:hint="eastAsia" w:asciiTheme="minorEastAsia" w:hAnsiTheme="minorEastAsia" w:eastAsiaTheme="minorEastAsia" w:cstheme="minorEastAsia"/>
          <w:sz w:val="24"/>
          <w:highlight w:val="none"/>
        </w:rPr>
        <w:t>投标人名称：</w:t>
      </w:r>
      <w:r>
        <w:rPr>
          <w:rFonts w:hint="eastAsia" w:asciiTheme="minorEastAsia" w:hAnsiTheme="minorEastAsia" w:eastAsiaTheme="minorEastAsia" w:cstheme="minorEastAsia"/>
          <w:sz w:val="24"/>
          <w:highlight w:val="none"/>
          <w:u w:val="single"/>
        </w:rPr>
        <w:t xml:space="preserve">      （加盖投标人公章）      </w:t>
      </w:r>
    </w:p>
    <w:p w14:paraId="770A7C0C">
      <w:pPr>
        <w:spacing w:line="312" w:lineRule="auto"/>
        <w:ind w:right="540" w:rightChars="257"/>
        <w:jc w:val="left"/>
        <w:rPr>
          <w:rFonts w:asciiTheme="minorEastAsia" w:hAnsiTheme="minorEastAsia" w:eastAsiaTheme="minorEastAsia" w:cstheme="minorEastAsia"/>
          <w:sz w:val="24"/>
          <w:highlight w:val="none"/>
          <w:u w:val="single"/>
        </w:rPr>
      </w:pPr>
    </w:p>
    <w:p w14:paraId="3DD4415E">
      <w:pPr>
        <w:spacing w:line="312" w:lineRule="auto"/>
        <w:ind w:right="540" w:rightChars="257"/>
        <w:jc w:val="left"/>
        <w:rPr>
          <w:rFonts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法定代表人或被授权人签字或盖章：</w:t>
      </w:r>
    </w:p>
    <w:p w14:paraId="3AF47065">
      <w:pPr>
        <w:spacing w:line="312" w:lineRule="auto"/>
        <w:ind w:right="540" w:rightChars="257"/>
        <w:jc w:val="left"/>
        <w:rPr>
          <w:rFonts w:asciiTheme="minorEastAsia" w:hAnsiTheme="minorEastAsia" w:eastAsiaTheme="minorEastAsia" w:cstheme="minorEastAsia"/>
          <w:sz w:val="24"/>
          <w:highlight w:val="none"/>
        </w:rPr>
      </w:pPr>
    </w:p>
    <w:p w14:paraId="33C3E93B">
      <w:pPr>
        <w:spacing w:line="312" w:lineRule="auto"/>
        <w:ind w:right="540" w:rightChars="257"/>
        <w:rPr>
          <w:rFonts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日    期：</w:t>
      </w:r>
    </w:p>
    <w:p w14:paraId="0FC44FE9">
      <w:pPr>
        <w:pStyle w:val="26"/>
        <w:rPr>
          <w:rFonts w:asciiTheme="minorEastAsia" w:hAnsiTheme="minorEastAsia" w:eastAsiaTheme="minorEastAsia" w:cstheme="minorEastAsia"/>
          <w:color w:val="auto"/>
          <w:highlight w:val="none"/>
        </w:rPr>
      </w:pPr>
    </w:p>
    <w:p w14:paraId="6CB23B86">
      <w:pPr>
        <w:pStyle w:val="26"/>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说明：</w:t>
      </w:r>
    </w:p>
    <w:p w14:paraId="54E0B24D">
      <w:pPr>
        <w:pStyle w:val="26"/>
        <w:ind w:firstLine="480" w:firstLineChars="200"/>
        <w:jc w:val="both"/>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1.本表只填写投标文件中与招标文件有偏离（包括正偏离和负偏离）的内容，投标文件中商务响应与招标文件要求完全一致的，不用在此表中列出，但必须提交空白表。</w:t>
      </w:r>
    </w:p>
    <w:p w14:paraId="389A4B97">
      <w:pPr>
        <w:pStyle w:val="26"/>
        <w:ind w:firstLine="480" w:firstLineChars="200"/>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2.投标人必须据实填写，不得虚假响应，否则将取消其投标或中标资格，并按有关规定进处罚。</w:t>
      </w:r>
    </w:p>
    <w:p w14:paraId="39B2D5D0">
      <w:pPr>
        <w:pStyle w:val="26"/>
        <w:rPr>
          <w:rFonts w:asciiTheme="minorEastAsia" w:hAnsiTheme="minorEastAsia" w:eastAsiaTheme="minorEastAsia" w:cstheme="minorEastAsia"/>
          <w:color w:val="auto"/>
          <w:highlight w:val="none"/>
        </w:rPr>
      </w:pPr>
    </w:p>
    <w:p w14:paraId="51EB1476">
      <w:pPr>
        <w:rPr>
          <w:rFonts w:asciiTheme="minorEastAsia" w:hAnsiTheme="minorEastAsia" w:eastAsiaTheme="minorEastAsia" w:cstheme="minorEastAsia"/>
          <w:sz w:val="24"/>
          <w:highlight w:val="none"/>
        </w:rPr>
      </w:pPr>
    </w:p>
    <w:p w14:paraId="6FD57E9D">
      <w:pPr>
        <w:pStyle w:val="6"/>
        <w:spacing w:beforeLines="100"/>
        <w:rPr>
          <w:rFonts w:asciiTheme="minorEastAsia" w:hAnsiTheme="minorEastAsia" w:eastAsiaTheme="minorEastAsia" w:cstheme="minorEastAsia"/>
          <w:b w:val="0"/>
          <w:highlight w:val="none"/>
        </w:rPr>
      </w:pPr>
      <w:r>
        <w:rPr>
          <w:rFonts w:hint="eastAsia" w:asciiTheme="minorEastAsia" w:hAnsiTheme="minorEastAsia" w:eastAsiaTheme="minorEastAsia" w:cstheme="minorEastAsia"/>
          <w:sz w:val="32"/>
          <w:szCs w:val="32"/>
          <w:highlight w:val="none"/>
        </w:rPr>
        <w:br w:type="page"/>
      </w:r>
      <w:bookmarkStart w:id="215" w:name="_Toc13500"/>
      <w:bookmarkStart w:id="216" w:name="_Toc11699"/>
      <w:bookmarkStart w:id="217" w:name="_Toc28513"/>
      <w:bookmarkStart w:id="218" w:name="_Toc27879"/>
      <w:bookmarkStart w:id="219" w:name="_Toc28845"/>
      <w:bookmarkStart w:id="220" w:name="_Toc400"/>
      <w:bookmarkStart w:id="221" w:name="_Toc9782"/>
      <w:r>
        <w:rPr>
          <w:rFonts w:hint="eastAsia" w:asciiTheme="minorEastAsia" w:hAnsiTheme="minorEastAsia" w:eastAsiaTheme="minorEastAsia" w:cstheme="minorEastAsia"/>
          <w:sz w:val="32"/>
          <w:szCs w:val="32"/>
          <w:highlight w:val="none"/>
        </w:rPr>
        <w:t>四、投标方案说明书</w:t>
      </w:r>
      <w:bookmarkEnd w:id="215"/>
      <w:bookmarkEnd w:id="216"/>
      <w:bookmarkEnd w:id="217"/>
      <w:bookmarkEnd w:id="218"/>
      <w:bookmarkEnd w:id="219"/>
      <w:bookmarkEnd w:id="220"/>
      <w:bookmarkEnd w:id="221"/>
    </w:p>
    <w:p w14:paraId="3E7C6982">
      <w:pPr>
        <w:rPr>
          <w:rFonts w:asciiTheme="minorEastAsia" w:hAnsiTheme="minorEastAsia" w:eastAsiaTheme="minorEastAsia" w:cstheme="minorEastAsia"/>
          <w:highlight w:val="none"/>
        </w:rPr>
      </w:pPr>
    </w:p>
    <w:p w14:paraId="7D079A1C">
      <w:pPr>
        <w:adjustRightInd w:val="0"/>
        <w:spacing w:after="120" w:line="440" w:lineRule="exact"/>
        <w:ind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按照招标文件的要求编制，根据评审办法进行编制，主要内容包含但不限于以下内容：</w:t>
      </w:r>
    </w:p>
    <w:p w14:paraId="3442F830">
      <w:pPr>
        <w:spacing w:line="480" w:lineRule="auto"/>
        <w:ind w:firstLine="480" w:firstLineChars="200"/>
        <w:rPr>
          <w:rFonts w:hint="default" w:ascii="宋体" w:hAnsi="宋体" w:eastAsia="宋体" w:cs="宋体"/>
          <w:sz w:val="24"/>
          <w:szCs w:val="24"/>
          <w:highlight w:val="none"/>
          <w:lang w:val="en-US" w:eastAsia="zh-CN"/>
        </w:rPr>
      </w:pPr>
      <w:r>
        <w:rPr>
          <w:rFonts w:hint="eastAsia" w:ascii="宋体" w:hAnsi="宋体" w:cs="宋体"/>
          <w:sz w:val="24"/>
          <w:szCs w:val="24"/>
          <w:highlight w:val="none"/>
        </w:rPr>
        <w:t>①项目管理部门及人员配备</w:t>
      </w:r>
    </w:p>
    <w:p w14:paraId="6CCBF670">
      <w:pPr>
        <w:spacing w:line="480" w:lineRule="auto"/>
        <w:ind w:firstLine="480" w:firstLineChars="200"/>
        <w:rPr>
          <w:rFonts w:ascii="宋体" w:hAnsi="宋体" w:cs="宋体"/>
          <w:sz w:val="24"/>
          <w:szCs w:val="24"/>
          <w:highlight w:val="none"/>
        </w:rPr>
      </w:pPr>
      <w:r>
        <w:rPr>
          <w:rFonts w:hint="eastAsia" w:ascii="宋体" w:hAnsi="宋体" w:cs="宋体"/>
          <w:sz w:val="24"/>
          <w:szCs w:val="24"/>
          <w:highlight w:val="none"/>
        </w:rPr>
        <w:t>②项目实施方案</w:t>
      </w:r>
    </w:p>
    <w:p w14:paraId="484414FF">
      <w:pPr>
        <w:spacing w:line="480" w:lineRule="auto"/>
        <w:ind w:firstLine="480" w:firstLineChars="200"/>
        <w:rPr>
          <w:rFonts w:ascii="宋体" w:hAnsi="宋体" w:cs="宋体"/>
          <w:sz w:val="24"/>
          <w:szCs w:val="24"/>
          <w:highlight w:val="none"/>
        </w:rPr>
      </w:pPr>
      <w:r>
        <w:rPr>
          <w:rFonts w:hint="eastAsia" w:ascii="宋体" w:hAnsi="宋体" w:cs="宋体"/>
          <w:sz w:val="24"/>
          <w:szCs w:val="24"/>
          <w:highlight w:val="none"/>
        </w:rPr>
        <w:t>③</w:t>
      </w:r>
      <w:r>
        <w:rPr>
          <w:rFonts w:hint="eastAsia" w:ascii="宋体" w:hAnsi="宋体" w:cs="宋体"/>
          <w:sz w:val="24"/>
          <w:szCs w:val="24"/>
          <w:highlight w:val="none"/>
          <w:lang w:val="en-US" w:eastAsia="zh-CN"/>
        </w:rPr>
        <w:t>项目</w:t>
      </w:r>
      <w:r>
        <w:rPr>
          <w:rFonts w:hint="eastAsia" w:ascii="宋体" w:hAnsi="宋体" w:cs="宋体"/>
          <w:sz w:val="24"/>
          <w:szCs w:val="24"/>
          <w:highlight w:val="none"/>
        </w:rPr>
        <w:t>进度计划与保障措施</w:t>
      </w:r>
    </w:p>
    <w:p w14:paraId="55C1A436">
      <w:pPr>
        <w:pStyle w:val="28"/>
        <w:spacing w:line="480" w:lineRule="auto"/>
        <w:ind w:firstLine="480" w:firstLineChars="200"/>
        <w:rPr>
          <w:rFonts w:ascii="宋体" w:hAnsi="宋体" w:cs="宋体"/>
          <w:sz w:val="24"/>
          <w:szCs w:val="24"/>
          <w:highlight w:val="none"/>
        </w:rPr>
      </w:pPr>
      <w:r>
        <w:rPr>
          <w:rFonts w:hint="eastAsia" w:ascii="宋体" w:hAnsi="宋体" w:cs="宋体"/>
          <w:sz w:val="24"/>
          <w:szCs w:val="24"/>
          <w:highlight w:val="none"/>
        </w:rPr>
        <w:t>④确保</w:t>
      </w:r>
      <w:r>
        <w:rPr>
          <w:rFonts w:hint="eastAsia" w:ascii="宋体" w:hAnsi="宋体" w:cs="宋体"/>
          <w:sz w:val="24"/>
          <w:szCs w:val="24"/>
          <w:highlight w:val="none"/>
          <w:lang w:val="en-US" w:eastAsia="zh-CN"/>
        </w:rPr>
        <w:t>项目</w:t>
      </w:r>
      <w:r>
        <w:rPr>
          <w:rFonts w:hint="eastAsia" w:ascii="宋体" w:hAnsi="宋体" w:cs="宋体"/>
          <w:sz w:val="24"/>
          <w:szCs w:val="24"/>
          <w:highlight w:val="none"/>
        </w:rPr>
        <w:t>质量的</w:t>
      </w:r>
      <w:r>
        <w:rPr>
          <w:rFonts w:hint="eastAsia" w:ascii="宋体" w:hAnsi="宋体" w:cs="宋体"/>
          <w:sz w:val="24"/>
          <w:szCs w:val="24"/>
          <w:highlight w:val="none"/>
          <w:lang w:val="en-US" w:eastAsia="zh-CN"/>
        </w:rPr>
        <w:t>保证</w:t>
      </w:r>
      <w:r>
        <w:rPr>
          <w:rFonts w:hint="eastAsia" w:ascii="宋体" w:hAnsi="宋体" w:cs="宋体"/>
          <w:sz w:val="24"/>
          <w:szCs w:val="24"/>
          <w:highlight w:val="none"/>
        </w:rPr>
        <w:t>措施</w:t>
      </w:r>
    </w:p>
    <w:p w14:paraId="45B8D937">
      <w:pPr>
        <w:pStyle w:val="28"/>
        <w:spacing w:line="480" w:lineRule="auto"/>
        <w:ind w:firstLine="480" w:firstLineChars="200"/>
        <w:rPr>
          <w:rFonts w:ascii="宋体" w:hAnsi="宋体" w:cs="宋体"/>
          <w:sz w:val="24"/>
          <w:szCs w:val="24"/>
          <w:highlight w:val="none"/>
        </w:rPr>
      </w:pPr>
      <w:r>
        <w:rPr>
          <w:rFonts w:hint="eastAsia" w:ascii="宋体" w:hAnsi="宋体" w:cs="宋体"/>
          <w:sz w:val="24"/>
          <w:szCs w:val="24"/>
          <w:highlight w:val="none"/>
        </w:rPr>
        <w:t>⑤主要机具、设备和劳动力配备情况</w:t>
      </w:r>
    </w:p>
    <w:p w14:paraId="63870CF6">
      <w:pPr>
        <w:spacing w:line="480" w:lineRule="auto"/>
        <w:ind w:firstLine="480" w:firstLineChars="200"/>
        <w:rPr>
          <w:rFonts w:ascii="宋体" w:hAnsi="宋体" w:cs="宋体"/>
          <w:sz w:val="24"/>
          <w:szCs w:val="24"/>
          <w:highlight w:val="none"/>
        </w:rPr>
      </w:pPr>
      <w:r>
        <w:rPr>
          <w:rFonts w:hint="eastAsia" w:ascii="宋体" w:hAnsi="宋体" w:eastAsia="宋体" w:cs="宋体"/>
          <w:sz w:val="24"/>
          <w:szCs w:val="24"/>
          <w:highlight w:val="none"/>
        </w:rPr>
        <w:t>⑥服务承诺及应急管理</w:t>
      </w:r>
    </w:p>
    <w:p w14:paraId="3B2410E8">
      <w:pPr>
        <w:spacing w:line="580" w:lineRule="exact"/>
        <w:ind w:firstLine="480" w:firstLineChars="200"/>
        <w:rPr>
          <w:rFonts w:asciiTheme="minorEastAsia" w:hAnsiTheme="minorEastAsia" w:eastAsiaTheme="minorEastAsia" w:cstheme="minorEastAsia"/>
          <w:sz w:val="24"/>
          <w:szCs w:val="24"/>
          <w:highlight w:val="none"/>
        </w:rPr>
      </w:pPr>
    </w:p>
    <w:p w14:paraId="373FDA0F">
      <w:pPr>
        <w:spacing w:line="580" w:lineRule="exact"/>
        <w:ind w:firstLine="480" w:firstLineChars="200"/>
        <w:rPr>
          <w:rFonts w:hint="default" w:asciiTheme="minorEastAsia" w:hAnsiTheme="minorEastAsia" w:eastAsiaTheme="minorEastAsia" w:cstheme="minorEastAsia"/>
          <w:sz w:val="24"/>
          <w:szCs w:val="24"/>
          <w:highlight w:val="none"/>
          <w:lang w:val="en-US" w:eastAsia="zh-CN"/>
        </w:rPr>
      </w:pPr>
    </w:p>
    <w:p w14:paraId="5CCCA2A2">
      <w:pPr>
        <w:kinsoku w:val="0"/>
        <w:spacing w:line="580" w:lineRule="exact"/>
        <w:rPr>
          <w:rFonts w:asciiTheme="minorEastAsia" w:hAnsiTheme="minorEastAsia" w:eastAsiaTheme="minorEastAsia" w:cstheme="minorEastAsia"/>
          <w:sz w:val="24"/>
          <w:szCs w:val="24"/>
          <w:highlight w:val="none"/>
        </w:rPr>
      </w:pPr>
    </w:p>
    <w:p w14:paraId="29221AA0">
      <w:pPr>
        <w:spacing w:line="440" w:lineRule="exact"/>
        <w:ind w:left="3259" w:leftChars="1552"/>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法定代表人/或被授权人签字或盖章：</w:t>
      </w:r>
    </w:p>
    <w:p w14:paraId="26A0110F">
      <w:pPr>
        <w:spacing w:line="440" w:lineRule="exact"/>
        <w:ind w:left="3259" w:leftChars="1552"/>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公      章：</w:t>
      </w:r>
    </w:p>
    <w:p w14:paraId="4A04CD02">
      <w:pPr>
        <w:spacing w:line="440" w:lineRule="exact"/>
        <w:ind w:firstLine="3259" w:firstLineChars="1358"/>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日      期：</w:t>
      </w:r>
    </w:p>
    <w:p w14:paraId="6FCA0547">
      <w:pPr>
        <w:spacing w:line="440" w:lineRule="exact"/>
        <w:rPr>
          <w:rFonts w:asciiTheme="minorEastAsia" w:hAnsiTheme="minorEastAsia" w:eastAsiaTheme="minorEastAsia" w:cstheme="minorEastAsia"/>
          <w:sz w:val="24"/>
          <w:szCs w:val="24"/>
          <w:highlight w:val="none"/>
        </w:rPr>
      </w:pPr>
    </w:p>
    <w:p w14:paraId="5B44C358">
      <w:pPr>
        <w:rPr>
          <w:rFonts w:asciiTheme="minorEastAsia" w:hAnsiTheme="minorEastAsia" w:eastAsiaTheme="minorEastAsia" w:cstheme="minorEastAsia"/>
          <w:highlight w:val="none"/>
        </w:rPr>
      </w:pPr>
    </w:p>
    <w:p w14:paraId="32B2FC81">
      <w:pPr>
        <w:spacing w:line="580" w:lineRule="exact"/>
        <w:rPr>
          <w:rFonts w:asciiTheme="minorEastAsia" w:hAnsiTheme="minorEastAsia" w:eastAsiaTheme="minorEastAsia" w:cstheme="minorEastAsia"/>
          <w:sz w:val="24"/>
          <w:szCs w:val="24"/>
          <w:highlight w:val="none"/>
        </w:rPr>
      </w:pPr>
    </w:p>
    <w:p w14:paraId="6A94C2E7">
      <w:pPr>
        <w:rPr>
          <w:rFonts w:asciiTheme="minorEastAsia" w:hAnsiTheme="minorEastAsia" w:eastAsiaTheme="minorEastAsia" w:cstheme="minorEastAsia"/>
          <w:highlight w:val="none"/>
        </w:rPr>
      </w:pPr>
    </w:p>
    <w:p w14:paraId="31B5B7B6">
      <w:pPr>
        <w:rPr>
          <w:rFonts w:asciiTheme="minorEastAsia" w:hAnsiTheme="minorEastAsia" w:eastAsiaTheme="minorEastAsia" w:cstheme="minorEastAsia"/>
          <w:highlight w:val="none"/>
        </w:rPr>
      </w:pPr>
      <w:r>
        <w:rPr>
          <w:rFonts w:hint="eastAsia" w:asciiTheme="minorEastAsia" w:hAnsiTheme="minorEastAsia" w:eastAsiaTheme="minorEastAsia" w:cstheme="minorEastAsia"/>
          <w:b/>
          <w:sz w:val="36"/>
          <w:highlight w:val="none"/>
        </w:rPr>
        <w:br w:type="page"/>
      </w:r>
    </w:p>
    <w:p w14:paraId="520AB718">
      <w:pPr>
        <w:pStyle w:val="6"/>
        <w:spacing w:beforeLines="100"/>
        <w:rPr>
          <w:rFonts w:asciiTheme="minorEastAsia" w:hAnsiTheme="minorEastAsia" w:eastAsiaTheme="minorEastAsia" w:cstheme="minorEastAsia"/>
          <w:spacing w:val="4"/>
          <w:sz w:val="28"/>
          <w:szCs w:val="28"/>
          <w:highlight w:val="none"/>
        </w:rPr>
      </w:pPr>
      <w:bookmarkStart w:id="222" w:name="_Toc21059"/>
      <w:bookmarkStart w:id="223" w:name="_Toc28048"/>
      <w:bookmarkStart w:id="224" w:name="_Toc29611"/>
      <w:bookmarkStart w:id="225" w:name="_Toc14604"/>
      <w:bookmarkStart w:id="226" w:name="_Toc112"/>
      <w:bookmarkStart w:id="227" w:name="_Toc13827"/>
      <w:r>
        <w:rPr>
          <w:rFonts w:hint="eastAsia" w:asciiTheme="minorEastAsia" w:hAnsiTheme="minorEastAsia" w:eastAsiaTheme="minorEastAsia" w:cstheme="minorEastAsia"/>
          <w:sz w:val="32"/>
          <w:szCs w:val="32"/>
          <w:highlight w:val="none"/>
        </w:rPr>
        <w:t>五、企业类似业绩</w:t>
      </w:r>
      <w:bookmarkEnd w:id="222"/>
      <w:bookmarkEnd w:id="223"/>
      <w:bookmarkEnd w:id="224"/>
      <w:bookmarkEnd w:id="225"/>
      <w:bookmarkEnd w:id="226"/>
      <w:bookmarkEnd w:id="227"/>
    </w:p>
    <w:p w14:paraId="2A3988B2">
      <w:pPr>
        <w:rPr>
          <w:rFonts w:asciiTheme="minorEastAsia" w:hAnsiTheme="minorEastAsia" w:eastAsiaTheme="minorEastAsia" w:cstheme="minorEastAsia"/>
          <w:b/>
          <w:sz w:val="28"/>
          <w:highlight w:val="none"/>
        </w:rPr>
      </w:pPr>
      <w:bookmarkStart w:id="228" w:name="_Toc26309"/>
      <w:bookmarkStart w:id="229" w:name="_Toc15893"/>
      <w:bookmarkStart w:id="230" w:name="_Toc24879"/>
      <w:bookmarkStart w:id="231" w:name="_Toc27577"/>
      <w:r>
        <w:rPr>
          <w:rFonts w:hint="eastAsia" w:asciiTheme="minorEastAsia" w:hAnsiTheme="minorEastAsia" w:eastAsiaTheme="minorEastAsia" w:cstheme="minorEastAsia"/>
          <w:b/>
          <w:sz w:val="28"/>
          <w:highlight w:val="none"/>
        </w:rPr>
        <w:br w:type="page"/>
      </w:r>
    </w:p>
    <w:p w14:paraId="09441FB9">
      <w:pPr>
        <w:pStyle w:val="6"/>
        <w:spacing w:beforeLines="100"/>
        <w:rPr>
          <w:rFonts w:asciiTheme="minorEastAsia" w:hAnsiTheme="minorEastAsia" w:eastAsiaTheme="minorEastAsia" w:cstheme="minorEastAsia"/>
          <w:sz w:val="28"/>
          <w:highlight w:val="none"/>
        </w:rPr>
      </w:pPr>
      <w:bookmarkStart w:id="232" w:name="_Toc20158"/>
      <w:bookmarkStart w:id="233" w:name="_Toc25837"/>
      <w:r>
        <w:rPr>
          <w:rFonts w:hint="eastAsia" w:asciiTheme="minorEastAsia" w:hAnsiTheme="minorEastAsia" w:eastAsiaTheme="minorEastAsia" w:cstheme="minorEastAsia"/>
          <w:sz w:val="32"/>
          <w:szCs w:val="32"/>
          <w:highlight w:val="none"/>
        </w:rPr>
        <w:t>六、陕西省政府采购投标人拒绝政府采购领域商业贿赂承诺书</w:t>
      </w:r>
      <w:bookmarkEnd w:id="228"/>
      <w:bookmarkEnd w:id="229"/>
      <w:bookmarkEnd w:id="230"/>
      <w:bookmarkEnd w:id="231"/>
      <w:bookmarkEnd w:id="232"/>
      <w:bookmarkEnd w:id="233"/>
    </w:p>
    <w:p w14:paraId="486C3899">
      <w:pPr>
        <w:spacing w:line="600" w:lineRule="exact"/>
        <w:ind w:firstLine="480" w:firstLineChars="200"/>
        <w:jc w:val="left"/>
        <w:rPr>
          <w:rFonts w:asciiTheme="minorEastAsia" w:hAnsiTheme="minorEastAsia" w:eastAsiaTheme="minorEastAsia" w:cstheme="minorEastAsia"/>
          <w:kern w:val="0"/>
          <w:sz w:val="24"/>
          <w:szCs w:val="24"/>
          <w:highlight w:val="none"/>
        </w:rPr>
      </w:pPr>
      <w:r>
        <w:rPr>
          <w:rFonts w:hint="eastAsia" w:asciiTheme="minorEastAsia" w:hAnsiTheme="minorEastAsia" w:eastAsiaTheme="minorEastAsia" w:cstheme="minorEastAsia"/>
          <w:kern w:val="0"/>
          <w:sz w:val="24"/>
          <w:szCs w:val="24"/>
          <w:highlight w:val="none"/>
        </w:rPr>
        <w:t>为响应党中央、国务院关于治理政府采购领域商业贿赂行为的号召，我公司在此庄严承诺：</w:t>
      </w:r>
    </w:p>
    <w:p w14:paraId="50124EE1">
      <w:pPr>
        <w:spacing w:line="600" w:lineRule="exact"/>
        <w:ind w:firstLine="480" w:firstLineChars="200"/>
        <w:jc w:val="left"/>
        <w:rPr>
          <w:rFonts w:asciiTheme="minorEastAsia" w:hAnsiTheme="minorEastAsia" w:eastAsiaTheme="minorEastAsia" w:cstheme="minorEastAsia"/>
          <w:kern w:val="0"/>
          <w:sz w:val="24"/>
          <w:szCs w:val="24"/>
          <w:highlight w:val="none"/>
        </w:rPr>
      </w:pPr>
      <w:r>
        <w:rPr>
          <w:rFonts w:hint="eastAsia" w:asciiTheme="minorEastAsia" w:hAnsiTheme="minorEastAsia" w:eastAsiaTheme="minorEastAsia" w:cstheme="minorEastAsia"/>
          <w:kern w:val="0"/>
          <w:sz w:val="24"/>
          <w:szCs w:val="24"/>
          <w:highlight w:val="none"/>
        </w:rPr>
        <w:t>1、在参与政府采购活动中遵纪守法、诚信经营、公平竞标。</w:t>
      </w:r>
    </w:p>
    <w:p w14:paraId="56F767E1">
      <w:pPr>
        <w:spacing w:line="600" w:lineRule="exact"/>
        <w:ind w:firstLine="480" w:firstLineChars="200"/>
        <w:jc w:val="left"/>
        <w:rPr>
          <w:rFonts w:asciiTheme="minorEastAsia" w:hAnsiTheme="minorEastAsia" w:eastAsiaTheme="minorEastAsia" w:cstheme="minorEastAsia"/>
          <w:kern w:val="0"/>
          <w:sz w:val="24"/>
          <w:szCs w:val="24"/>
          <w:highlight w:val="none"/>
        </w:rPr>
      </w:pPr>
      <w:r>
        <w:rPr>
          <w:rFonts w:hint="eastAsia" w:asciiTheme="minorEastAsia" w:hAnsiTheme="minorEastAsia" w:eastAsiaTheme="minorEastAsia" w:cstheme="minorEastAsia"/>
          <w:kern w:val="0"/>
          <w:sz w:val="24"/>
          <w:szCs w:val="24"/>
          <w:highlight w:val="none"/>
        </w:rPr>
        <w:t>2、不向政府采购人、采购代理机构和政府采购评审专家进行任何形式的商业贿赂以谋取交易机会。</w:t>
      </w:r>
    </w:p>
    <w:p w14:paraId="77D18CC5">
      <w:pPr>
        <w:spacing w:line="600" w:lineRule="exact"/>
        <w:ind w:firstLine="480" w:firstLineChars="200"/>
        <w:jc w:val="left"/>
        <w:rPr>
          <w:rFonts w:asciiTheme="minorEastAsia" w:hAnsiTheme="minorEastAsia" w:eastAsiaTheme="minorEastAsia" w:cstheme="minorEastAsia"/>
          <w:kern w:val="0"/>
          <w:sz w:val="24"/>
          <w:szCs w:val="24"/>
          <w:highlight w:val="none"/>
        </w:rPr>
      </w:pPr>
      <w:r>
        <w:rPr>
          <w:rFonts w:hint="eastAsia" w:asciiTheme="minorEastAsia" w:hAnsiTheme="minorEastAsia" w:eastAsiaTheme="minorEastAsia" w:cstheme="minorEastAsia"/>
          <w:kern w:val="0"/>
          <w:sz w:val="24"/>
          <w:szCs w:val="24"/>
          <w:highlight w:val="none"/>
        </w:rPr>
        <w:t>3、不向政府采购代理机构和采购人提供虚假资质文件或采用虚假应标方式参与政府采购市场竞争并谋取成交、成交。</w:t>
      </w:r>
    </w:p>
    <w:p w14:paraId="7E8D0C7B">
      <w:pPr>
        <w:spacing w:line="600" w:lineRule="exact"/>
        <w:ind w:firstLine="480" w:firstLineChars="200"/>
        <w:jc w:val="left"/>
        <w:rPr>
          <w:rFonts w:asciiTheme="minorEastAsia" w:hAnsiTheme="minorEastAsia" w:eastAsiaTheme="minorEastAsia" w:cstheme="minorEastAsia"/>
          <w:kern w:val="0"/>
          <w:sz w:val="24"/>
          <w:szCs w:val="24"/>
          <w:highlight w:val="none"/>
        </w:rPr>
      </w:pPr>
      <w:r>
        <w:rPr>
          <w:rFonts w:hint="eastAsia" w:asciiTheme="minorEastAsia" w:hAnsiTheme="minorEastAsia" w:eastAsiaTheme="minorEastAsia" w:cstheme="minorEastAsia"/>
          <w:kern w:val="0"/>
          <w:sz w:val="24"/>
          <w:szCs w:val="24"/>
          <w:highlight w:val="none"/>
        </w:rPr>
        <w:t>4、不采取“围标、陪标”等商业欺诈手段获得政府采购定单。</w:t>
      </w:r>
    </w:p>
    <w:p w14:paraId="0956A629">
      <w:pPr>
        <w:spacing w:line="600" w:lineRule="exact"/>
        <w:ind w:firstLine="480" w:firstLineChars="200"/>
        <w:jc w:val="left"/>
        <w:rPr>
          <w:rFonts w:asciiTheme="minorEastAsia" w:hAnsiTheme="minorEastAsia" w:eastAsiaTheme="minorEastAsia" w:cstheme="minorEastAsia"/>
          <w:kern w:val="0"/>
          <w:sz w:val="24"/>
          <w:szCs w:val="24"/>
          <w:highlight w:val="none"/>
        </w:rPr>
      </w:pPr>
      <w:r>
        <w:rPr>
          <w:rFonts w:hint="eastAsia" w:asciiTheme="minorEastAsia" w:hAnsiTheme="minorEastAsia" w:eastAsiaTheme="minorEastAsia" w:cstheme="minorEastAsia"/>
          <w:kern w:val="0"/>
          <w:sz w:val="24"/>
          <w:szCs w:val="24"/>
          <w:highlight w:val="none"/>
        </w:rPr>
        <w:t>5、不采取不正当手段诋毁、排挤其他投标人。</w:t>
      </w:r>
    </w:p>
    <w:p w14:paraId="786D7D59">
      <w:pPr>
        <w:spacing w:line="600" w:lineRule="exact"/>
        <w:ind w:firstLine="480" w:firstLineChars="200"/>
        <w:jc w:val="left"/>
        <w:rPr>
          <w:rFonts w:asciiTheme="minorEastAsia" w:hAnsiTheme="minorEastAsia" w:eastAsiaTheme="minorEastAsia" w:cstheme="minorEastAsia"/>
          <w:kern w:val="0"/>
          <w:sz w:val="24"/>
          <w:szCs w:val="24"/>
          <w:highlight w:val="none"/>
        </w:rPr>
      </w:pPr>
      <w:r>
        <w:rPr>
          <w:rFonts w:hint="eastAsia" w:asciiTheme="minorEastAsia" w:hAnsiTheme="minorEastAsia" w:eastAsiaTheme="minorEastAsia" w:cstheme="minorEastAsia"/>
          <w:kern w:val="0"/>
          <w:sz w:val="24"/>
          <w:szCs w:val="24"/>
          <w:highlight w:val="none"/>
        </w:rPr>
        <w:t>6、不在提供商品和服务时“偷梁换柱、以次充好”损害采购人的合法权益。</w:t>
      </w:r>
    </w:p>
    <w:p w14:paraId="7120671D">
      <w:pPr>
        <w:spacing w:line="600" w:lineRule="exact"/>
        <w:ind w:firstLine="480" w:firstLineChars="200"/>
        <w:jc w:val="left"/>
        <w:rPr>
          <w:rFonts w:asciiTheme="minorEastAsia" w:hAnsiTheme="minorEastAsia" w:eastAsiaTheme="minorEastAsia" w:cstheme="minorEastAsia"/>
          <w:kern w:val="0"/>
          <w:sz w:val="24"/>
          <w:szCs w:val="24"/>
          <w:highlight w:val="none"/>
        </w:rPr>
      </w:pPr>
      <w:r>
        <w:rPr>
          <w:rFonts w:hint="eastAsia" w:asciiTheme="minorEastAsia" w:hAnsiTheme="minorEastAsia" w:eastAsiaTheme="minorEastAsia" w:cstheme="minorEastAsia"/>
          <w:kern w:val="0"/>
          <w:sz w:val="24"/>
          <w:szCs w:val="24"/>
          <w:highlight w:val="none"/>
        </w:rPr>
        <w:t>7、不与采购人、采购代理机构政府采购评审专家或其它投标人恶意串通，进行质疑和投诉，维护政府采购市场秩序。</w:t>
      </w:r>
    </w:p>
    <w:p w14:paraId="42FD97F5">
      <w:pPr>
        <w:spacing w:line="600" w:lineRule="exact"/>
        <w:ind w:firstLine="480" w:firstLineChars="200"/>
        <w:jc w:val="left"/>
        <w:rPr>
          <w:rFonts w:asciiTheme="minorEastAsia" w:hAnsiTheme="minorEastAsia" w:eastAsiaTheme="minorEastAsia" w:cstheme="minorEastAsia"/>
          <w:kern w:val="0"/>
          <w:sz w:val="24"/>
          <w:szCs w:val="24"/>
          <w:highlight w:val="none"/>
        </w:rPr>
      </w:pPr>
      <w:r>
        <w:rPr>
          <w:rFonts w:hint="eastAsia" w:asciiTheme="minorEastAsia" w:hAnsiTheme="minorEastAsia" w:eastAsiaTheme="minorEastAsia" w:cstheme="minorEastAsia"/>
          <w:kern w:val="0"/>
          <w:sz w:val="24"/>
          <w:szCs w:val="24"/>
          <w:highlight w:val="none"/>
        </w:rPr>
        <w:t>8、尊重和接受政府采购监督管理部门的监督和政府采购代理机构招标采购要求，承担因违约行为给采购人造成的损失。</w:t>
      </w:r>
    </w:p>
    <w:p w14:paraId="35BFB52A">
      <w:pPr>
        <w:spacing w:line="600" w:lineRule="exact"/>
        <w:ind w:left="681" w:leftChars="267" w:hanging="120" w:hangingChars="50"/>
        <w:jc w:val="left"/>
        <w:rPr>
          <w:rFonts w:asciiTheme="minorEastAsia" w:hAnsiTheme="minorEastAsia" w:eastAsiaTheme="minorEastAsia" w:cstheme="minorEastAsia"/>
          <w:kern w:val="0"/>
          <w:sz w:val="24"/>
          <w:szCs w:val="24"/>
          <w:highlight w:val="none"/>
        </w:rPr>
      </w:pPr>
      <w:r>
        <w:rPr>
          <w:rFonts w:hint="eastAsia" w:asciiTheme="minorEastAsia" w:hAnsiTheme="minorEastAsia" w:eastAsiaTheme="minorEastAsia" w:cstheme="minorEastAsia"/>
          <w:kern w:val="0"/>
          <w:sz w:val="24"/>
          <w:szCs w:val="24"/>
          <w:highlight w:val="none"/>
        </w:rPr>
        <w:t>9、不发生其他有悖于政府采购公开、公平、公正和诚信原则的行为。</w:t>
      </w:r>
      <w:r>
        <w:rPr>
          <w:rFonts w:hint="eastAsia" w:asciiTheme="minorEastAsia" w:hAnsiTheme="minorEastAsia" w:eastAsiaTheme="minorEastAsia" w:cstheme="minorEastAsia"/>
          <w:kern w:val="0"/>
          <w:sz w:val="24"/>
          <w:szCs w:val="24"/>
          <w:highlight w:val="none"/>
        </w:rPr>
        <w:br w:type="textWrapping"/>
      </w:r>
      <w:r>
        <w:rPr>
          <w:rFonts w:hint="eastAsia" w:asciiTheme="minorEastAsia" w:hAnsiTheme="minorEastAsia" w:eastAsiaTheme="minorEastAsia" w:cstheme="minorEastAsia"/>
          <w:kern w:val="0"/>
          <w:sz w:val="24"/>
          <w:szCs w:val="24"/>
          <w:highlight w:val="none"/>
        </w:rPr>
        <w:t>承诺单位（盖章）：</w:t>
      </w:r>
    </w:p>
    <w:p w14:paraId="695AC0FD">
      <w:pPr>
        <w:spacing w:line="600" w:lineRule="exact"/>
        <w:ind w:left="701" w:leftChars="334"/>
        <w:jc w:val="left"/>
        <w:rPr>
          <w:rFonts w:asciiTheme="minorEastAsia" w:hAnsiTheme="minorEastAsia" w:eastAsiaTheme="minorEastAsia" w:cstheme="minorEastAsia"/>
          <w:kern w:val="0"/>
          <w:sz w:val="24"/>
          <w:szCs w:val="24"/>
          <w:highlight w:val="none"/>
        </w:rPr>
      </w:pPr>
      <w:r>
        <w:rPr>
          <w:rFonts w:hint="eastAsia" w:asciiTheme="minorEastAsia" w:hAnsiTheme="minorEastAsia" w:eastAsiaTheme="minorEastAsia" w:cstheme="minorEastAsia"/>
          <w:kern w:val="0"/>
          <w:sz w:val="24"/>
          <w:szCs w:val="24"/>
          <w:highlight w:val="none"/>
        </w:rPr>
        <w:t>被授权代表（签字或盖章）：</w:t>
      </w:r>
    </w:p>
    <w:p w14:paraId="72BD486B">
      <w:pPr>
        <w:spacing w:line="600" w:lineRule="exact"/>
        <w:ind w:left="701" w:leftChars="334"/>
        <w:jc w:val="left"/>
        <w:rPr>
          <w:rFonts w:asciiTheme="minorEastAsia" w:hAnsiTheme="minorEastAsia" w:eastAsiaTheme="minorEastAsia" w:cstheme="minorEastAsia"/>
          <w:kern w:val="0"/>
          <w:sz w:val="24"/>
          <w:szCs w:val="24"/>
          <w:highlight w:val="none"/>
        </w:rPr>
      </w:pPr>
      <w:r>
        <w:rPr>
          <w:rFonts w:hint="eastAsia" w:asciiTheme="minorEastAsia" w:hAnsiTheme="minorEastAsia" w:eastAsiaTheme="minorEastAsia" w:cstheme="minorEastAsia"/>
          <w:kern w:val="0"/>
          <w:sz w:val="24"/>
          <w:szCs w:val="24"/>
          <w:highlight w:val="none"/>
        </w:rPr>
        <w:t>地    址：</w:t>
      </w:r>
    </w:p>
    <w:p w14:paraId="442CE1A4">
      <w:pPr>
        <w:spacing w:line="600" w:lineRule="exact"/>
        <w:ind w:left="659" w:leftChars="314"/>
        <w:jc w:val="left"/>
        <w:rPr>
          <w:rFonts w:asciiTheme="minorEastAsia" w:hAnsiTheme="minorEastAsia" w:eastAsiaTheme="minorEastAsia" w:cstheme="minorEastAsia"/>
          <w:kern w:val="0"/>
          <w:sz w:val="24"/>
          <w:szCs w:val="24"/>
          <w:highlight w:val="none"/>
        </w:rPr>
      </w:pPr>
      <w:r>
        <w:rPr>
          <w:rFonts w:hint="eastAsia" w:asciiTheme="minorEastAsia" w:hAnsiTheme="minorEastAsia" w:eastAsiaTheme="minorEastAsia" w:cstheme="minorEastAsia"/>
          <w:kern w:val="0"/>
          <w:sz w:val="24"/>
          <w:szCs w:val="24"/>
          <w:highlight w:val="none"/>
        </w:rPr>
        <w:t>邮    编：</w:t>
      </w:r>
    </w:p>
    <w:p w14:paraId="5FF8E4B4">
      <w:pPr>
        <w:spacing w:line="600" w:lineRule="exact"/>
        <w:ind w:left="659" w:leftChars="314"/>
        <w:jc w:val="left"/>
        <w:rPr>
          <w:rFonts w:asciiTheme="minorEastAsia" w:hAnsiTheme="minorEastAsia" w:eastAsiaTheme="minorEastAsia" w:cstheme="minorEastAsia"/>
          <w:kern w:val="0"/>
          <w:sz w:val="24"/>
          <w:szCs w:val="24"/>
          <w:highlight w:val="none"/>
        </w:rPr>
      </w:pPr>
      <w:r>
        <w:rPr>
          <w:rFonts w:hint="eastAsia" w:asciiTheme="minorEastAsia" w:hAnsiTheme="minorEastAsia" w:eastAsiaTheme="minorEastAsia" w:cstheme="minorEastAsia"/>
          <w:kern w:val="0"/>
          <w:sz w:val="24"/>
          <w:szCs w:val="24"/>
          <w:highlight w:val="none"/>
        </w:rPr>
        <w:t>电    话：</w:t>
      </w:r>
    </w:p>
    <w:p w14:paraId="5E704128">
      <w:pPr>
        <w:spacing w:line="600" w:lineRule="exact"/>
        <w:ind w:left="659" w:leftChars="314"/>
        <w:jc w:val="right"/>
        <w:rPr>
          <w:rFonts w:asciiTheme="minorEastAsia" w:hAnsiTheme="minorEastAsia" w:eastAsiaTheme="minorEastAsia" w:cstheme="minorEastAsia"/>
          <w:kern w:val="0"/>
          <w:sz w:val="24"/>
          <w:szCs w:val="24"/>
          <w:highlight w:val="none"/>
        </w:rPr>
      </w:pPr>
      <w:r>
        <w:rPr>
          <w:rFonts w:hint="eastAsia" w:asciiTheme="minorEastAsia" w:hAnsiTheme="minorEastAsia" w:eastAsiaTheme="minorEastAsia" w:cstheme="minorEastAsia"/>
          <w:kern w:val="0"/>
          <w:sz w:val="24"/>
          <w:szCs w:val="24"/>
          <w:highlight w:val="none"/>
        </w:rPr>
        <w:t>年     月     日</w:t>
      </w:r>
    </w:p>
    <w:p w14:paraId="752DC5F2">
      <w:pPr>
        <w:spacing w:line="360" w:lineRule="auto"/>
        <w:rPr>
          <w:rFonts w:asciiTheme="minorEastAsia" w:hAnsiTheme="minorEastAsia" w:eastAsiaTheme="minorEastAsia" w:cstheme="minorEastAsia"/>
          <w:b/>
          <w:kern w:val="0"/>
          <w:sz w:val="24"/>
          <w:szCs w:val="24"/>
          <w:highlight w:val="none"/>
        </w:rPr>
      </w:pPr>
    </w:p>
    <w:p w14:paraId="51E4392D">
      <w:pPr>
        <w:rPr>
          <w:rFonts w:asciiTheme="minorEastAsia" w:hAnsiTheme="minorEastAsia" w:eastAsiaTheme="minorEastAsia" w:cstheme="minorEastAsia"/>
          <w:spacing w:val="4"/>
          <w:sz w:val="24"/>
          <w:szCs w:val="24"/>
          <w:highlight w:val="none"/>
        </w:rPr>
      </w:pPr>
      <w:r>
        <w:rPr>
          <w:rFonts w:hint="eastAsia" w:asciiTheme="minorEastAsia" w:hAnsiTheme="minorEastAsia" w:eastAsiaTheme="minorEastAsia" w:cstheme="minorEastAsia"/>
          <w:spacing w:val="4"/>
          <w:sz w:val="24"/>
          <w:szCs w:val="24"/>
          <w:highlight w:val="none"/>
        </w:rPr>
        <w:br w:type="page"/>
      </w:r>
    </w:p>
    <w:p w14:paraId="321AEF58">
      <w:pPr>
        <w:pStyle w:val="6"/>
        <w:spacing w:beforeLines="100" w:afterLines="100"/>
        <w:rPr>
          <w:rFonts w:asciiTheme="minorEastAsia" w:hAnsiTheme="minorEastAsia" w:eastAsiaTheme="minorEastAsia" w:cstheme="minorEastAsia"/>
          <w:sz w:val="32"/>
          <w:szCs w:val="32"/>
          <w:highlight w:val="none"/>
        </w:rPr>
      </w:pPr>
      <w:bookmarkStart w:id="234" w:name="_Toc11841"/>
      <w:bookmarkStart w:id="235" w:name="_Toc16808"/>
      <w:bookmarkStart w:id="236" w:name="_Toc27000"/>
      <w:bookmarkStart w:id="237" w:name="_Toc17923"/>
      <w:bookmarkStart w:id="238" w:name="_Toc24556"/>
      <w:bookmarkStart w:id="239" w:name="_Toc12945"/>
      <w:r>
        <w:rPr>
          <w:rFonts w:hint="eastAsia" w:asciiTheme="minorEastAsia" w:hAnsiTheme="minorEastAsia" w:eastAsiaTheme="minorEastAsia" w:cstheme="minorEastAsia"/>
          <w:sz w:val="32"/>
          <w:szCs w:val="32"/>
          <w:highlight w:val="none"/>
        </w:rPr>
        <w:t>七、资格证明文件</w:t>
      </w:r>
      <w:bookmarkEnd w:id="234"/>
      <w:bookmarkEnd w:id="235"/>
      <w:bookmarkEnd w:id="236"/>
      <w:bookmarkEnd w:id="237"/>
      <w:bookmarkEnd w:id="238"/>
      <w:bookmarkEnd w:id="239"/>
    </w:p>
    <w:p w14:paraId="60C1FC66">
      <w:pPr>
        <w:pStyle w:val="26"/>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olor w:val="auto"/>
          <w:szCs w:val="24"/>
          <w:highlight w:val="none"/>
          <w:shd w:val="clear" w:color="auto" w:fill="FFFFFF"/>
        </w:rPr>
      </w:pPr>
      <w:r>
        <w:rPr>
          <w:rFonts w:hint="eastAsia" w:ascii="宋体" w:hAnsi="宋体" w:cs="宋体"/>
          <w:color w:val="auto"/>
          <w:szCs w:val="24"/>
          <w:highlight w:val="none"/>
          <w:shd w:val="clear" w:color="auto" w:fill="FFFFFF"/>
        </w:rPr>
        <w:t>（1）提供合格有效的法人或者其他组织的营业执照等证明文件，自然人的身份证明；</w:t>
      </w:r>
    </w:p>
    <w:p w14:paraId="008B2DD8">
      <w:pPr>
        <w:pStyle w:val="26"/>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olor w:val="auto"/>
          <w:szCs w:val="24"/>
          <w:highlight w:val="none"/>
          <w:shd w:val="clear" w:color="auto" w:fill="FFFFFF"/>
        </w:rPr>
      </w:pPr>
      <w:r>
        <w:rPr>
          <w:rFonts w:hint="eastAsia" w:ascii="宋体" w:hAnsi="宋体" w:cs="宋体"/>
          <w:color w:val="auto"/>
          <w:szCs w:val="24"/>
          <w:highlight w:val="none"/>
          <w:shd w:val="clear" w:color="auto" w:fill="FFFFFF"/>
        </w:rPr>
        <w:t>（2）提供法定代表人授权书（附法定代表人、被授权人身份证复印件，法定代表人直接参加投标，须提供法定代表人身份证明及身份证复印件）；</w:t>
      </w:r>
    </w:p>
    <w:p w14:paraId="302EB661">
      <w:pPr>
        <w:pStyle w:val="26"/>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olor w:val="auto"/>
          <w:szCs w:val="24"/>
          <w:highlight w:val="none"/>
          <w:shd w:val="clear" w:color="auto" w:fill="FFFFFF"/>
        </w:rPr>
      </w:pPr>
      <w:r>
        <w:rPr>
          <w:rFonts w:hint="eastAsia" w:ascii="宋体" w:hAnsi="宋体" w:cs="宋体"/>
          <w:color w:val="auto"/>
          <w:szCs w:val="24"/>
          <w:highlight w:val="none"/>
          <w:shd w:val="clear" w:color="auto" w:fill="FFFFFF"/>
        </w:rPr>
        <w:t>（3）提供2024年度的财务审计报告（成立时间至提交投标文件截止时间不足一年的可提供成立后任意时段的资产负债表）或开标时间前六个月内银行出具的资信证明；</w:t>
      </w:r>
    </w:p>
    <w:p w14:paraId="38F2D270">
      <w:pPr>
        <w:pStyle w:val="26"/>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olor w:val="auto"/>
          <w:szCs w:val="24"/>
          <w:highlight w:val="none"/>
          <w:shd w:val="clear" w:color="auto" w:fill="FFFFFF"/>
        </w:rPr>
      </w:pPr>
      <w:r>
        <w:rPr>
          <w:rFonts w:hint="eastAsia" w:ascii="宋体" w:hAnsi="宋体" w:cs="宋体"/>
          <w:color w:val="auto"/>
          <w:szCs w:val="24"/>
          <w:highlight w:val="none"/>
          <w:shd w:val="clear" w:color="auto" w:fill="FFFFFF"/>
        </w:rPr>
        <w:t>（4）税收缴纳证明：提供投标截止日前近一年内任意一个月的纳税证明或完税证明（任意税种），依法免税的单位应提供相关证明材料；</w:t>
      </w:r>
    </w:p>
    <w:p w14:paraId="4B101DDB">
      <w:pPr>
        <w:pStyle w:val="26"/>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olor w:val="auto"/>
          <w:szCs w:val="24"/>
          <w:highlight w:val="none"/>
          <w:shd w:val="clear" w:color="auto" w:fill="FFFFFF"/>
        </w:rPr>
      </w:pPr>
      <w:r>
        <w:rPr>
          <w:rFonts w:hint="eastAsia" w:ascii="宋体" w:hAnsi="宋体" w:cs="宋体"/>
          <w:color w:val="auto"/>
          <w:szCs w:val="24"/>
          <w:highlight w:val="none"/>
          <w:shd w:val="clear" w:color="auto" w:fill="FFFFFF"/>
        </w:rPr>
        <w:t>（5）社会保障资金缴纳证明：提供投标截止日前近一年内任意一个月的社会保障资金缴存单据或社保机构开具的社会保险参保缴费情况证明，依法不需要缴纳社会保障资金的单位应提供相关证明材料；</w:t>
      </w:r>
    </w:p>
    <w:p w14:paraId="5DC442D6">
      <w:pPr>
        <w:pStyle w:val="26"/>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olor w:val="auto"/>
          <w:szCs w:val="24"/>
          <w:highlight w:val="none"/>
          <w:shd w:val="clear" w:color="auto" w:fill="FFFFFF"/>
        </w:rPr>
      </w:pPr>
      <w:r>
        <w:rPr>
          <w:rFonts w:hint="eastAsia" w:ascii="宋体" w:hAnsi="宋体" w:cs="宋体"/>
          <w:color w:val="auto"/>
          <w:szCs w:val="24"/>
          <w:highlight w:val="none"/>
          <w:shd w:val="clear" w:color="auto" w:fill="FFFFFF"/>
        </w:rPr>
        <w:t>（6）提供具有履行本合同所必需的设备和专业技术能力的说明及承诺书；</w:t>
      </w:r>
    </w:p>
    <w:p w14:paraId="2737F592">
      <w:pPr>
        <w:pStyle w:val="26"/>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olor w:val="auto"/>
          <w:szCs w:val="24"/>
          <w:highlight w:val="none"/>
          <w:shd w:val="clear" w:color="auto" w:fill="FFFFFF"/>
        </w:rPr>
      </w:pPr>
      <w:r>
        <w:rPr>
          <w:rFonts w:hint="eastAsia" w:ascii="宋体" w:hAnsi="宋体" w:cs="宋体"/>
          <w:color w:val="auto"/>
          <w:szCs w:val="24"/>
          <w:highlight w:val="none"/>
          <w:shd w:val="clear" w:color="auto" w:fill="FFFFFF"/>
        </w:rPr>
        <w:t>（7）供应商通过“信用中国”网站(www.creditchina.gov.cn)、中国政府采购网(www.ccgp.gov.cn)等查询相关主体信用记录；</w:t>
      </w:r>
    </w:p>
    <w:p w14:paraId="1B32C9EC">
      <w:pPr>
        <w:pStyle w:val="26"/>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olor w:val="auto"/>
          <w:szCs w:val="24"/>
          <w:highlight w:val="none"/>
          <w:shd w:val="clear" w:color="auto" w:fill="FFFFFF"/>
        </w:rPr>
      </w:pPr>
      <w:r>
        <w:rPr>
          <w:rFonts w:hint="eastAsia" w:ascii="宋体" w:hAnsi="宋体" w:cs="宋体"/>
          <w:color w:val="auto"/>
          <w:szCs w:val="24"/>
          <w:highlight w:val="none"/>
          <w:shd w:val="clear" w:color="auto" w:fill="FFFFFF"/>
        </w:rPr>
        <w:t>（8）参加政府采购活动前3年内，在经营活动中没有重大违法记录的书面声明；</w:t>
      </w:r>
    </w:p>
    <w:p w14:paraId="67C94C56">
      <w:pPr>
        <w:pStyle w:val="26"/>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olor w:val="auto"/>
          <w:szCs w:val="24"/>
          <w:highlight w:val="none"/>
          <w:shd w:val="clear" w:color="auto" w:fill="FFFFFF"/>
        </w:rPr>
      </w:pPr>
      <w:r>
        <w:rPr>
          <w:rFonts w:hint="eastAsia" w:ascii="宋体" w:hAnsi="宋体" w:cs="宋体"/>
          <w:color w:val="auto"/>
          <w:szCs w:val="24"/>
          <w:highlight w:val="none"/>
          <w:shd w:val="clear" w:color="auto" w:fill="FFFFFF"/>
        </w:rPr>
        <w:t>（9）提供中小企业声明函；</w:t>
      </w:r>
    </w:p>
    <w:p w14:paraId="4BE366BB">
      <w:pPr>
        <w:pStyle w:val="26"/>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宋体" w:hAnsi="宋体" w:cs="宋体"/>
          <w:color w:val="auto"/>
          <w:szCs w:val="24"/>
          <w:highlight w:val="none"/>
          <w:shd w:val="clear" w:color="auto" w:fill="FFFFFF"/>
        </w:rPr>
      </w:pPr>
      <w:r>
        <w:rPr>
          <w:rFonts w:hint="eastAsia" w:ascii="宋体" w:hAnsi="宋体" w:cs="宋体"/>
          <w:color w:val="auto"/>
          <w:szCs w:val="24"/>
          <w:highlight w:val="none"/>
          <w:shd w:val="clear" w:color="auto" w:fill="FFFFFF"/>
        </w:rPr>
        <w:t>（10）本项目不接受联合体投标（提供承诺书）。</w:t>
      </w:r>
    </w:p>
    <w:p w14:paraId="5BEF34D4">
      <w:pPr>
        <w:rPr>
          <w:rFonts w:asciiTheme="minorEastAsia" w:hAnsiTheme="minorEastAsia" w:eastAsiaTheme="minorEastAsia" w:cstheme="minorEastAsia"/>
          <w:b/>
          <w:bCs/>
          <w:sz w:val="30"/>
          <w:szCs w:val="30"/>
          <w:highlight w:val="none"/>
        </w:rPr>
      </w:pPr>
      <w:bookmarkStart w:id="240" w:name="_Toc30210"/>
      <w:bookmarkStart w:id="241" w:name="_Toc4867"/>
      <w:bookmarkStart w:id="242" w:name="_Toc426457701"/>
      <w:bookmarkStart w:id="243" w:name="_Toc19075"/>
      <w:bookmarkStart w:id="244" w:name="_Toc16097"/>
      <w:bookmarkStart w:id="245" w:name="_Toc25348"/>
      <w:bookmarkStart w:id="246" w:name="_Toc403077649"/>
      <w:bookmarkStart w:id="247" w:name="_Toc363474028"/>
      <w:r>
        <w:rPr>
          <w:rFonts w:hint="eastAsia" w:asciiTheme="minorEastAsia" w:hAnsiTheme="minorEastAsia" w:eastAsiaTheme="minorEastAsia" w:cstheme="minorEastAsia"/>
          <w:b/>
          <w:bCs/>
          <w:sz w:val="30"/>
          <w:szCs w:val="30"/>
          <w:highlight w:val="none"/>
        </w:rPr>
        <w:br w:type="page"/>
      </w:r>
    </w:p>
    <w:p w14:paraId="07EBFFFC">
      <w:pPr>
        <w:pStyle w:val="2"/>
        <w:rPr>
          <w:rFonts w:asciiTheme="minorEastAsia" w:hAnsiTheme="minorEastAsia" w:eastAsiaTheme="minorEastAsia" w:cstheme="minorEastAsia"/>
          <w:b/>
          <w:bCs/>
          <w:szCs w:val="28"/>
          <w:highlight w:val="none"/>
        </w:rPr>
      </w:pPr>
      <w:r>
        <w:rPr>
          <w:rFonts w:hint="eastAsia" w:asciiTheme="minorEastAsia" w:hAnsiTheme="minorEastAsia" w:eastAsiaTheme="minorEastAsia" w:cstheme="minorEastAsia"/>
          <w:b/>
          <w:bCs/>
          <w:szCs w:val="28"/>
          <w:highlight w:val="none"/>
        </w:rPr>
        <w:t>附件1：</w:t>
      </w:r>
    </w:p>
    <w:p w14:paraId="742ABB61">
      <w:pPr>
        <w:spacing w:beforeLines="100"/>
        <w:jc w:val="center"/>
        <w:rPr>
          <w:rFonts w:asciiTheme="minorEastAsia" w:hAnsiTheme="minorEastAsia" w:eastAsiaTheme="minorEastAsia" w:cstheme="minorEastAsia"/>
          <w:b/>
          <w:bCs/>
          <w:sz w:val="30"/>
          <w:szCs w:val="30"/>
          <w:highlight w:val="none"/>
        </w:rPr>
      </w:pPr>
      <w:r>
        <w:rPr>
          <w:rFonts w:hint="eastAsia" w:asciiTheme="minorEastAsia" w:hAnsiTheme="minorEastAsia" w:eastAsiaTheme="minorEastAsia" w:cstheme="minorEastAsia"/>
          <w:b/>
          <w:bCs/>
          <w:sz w:val="30"/>
          <w:szCs w:val="30"/>
          <w:highlight w:val="none"/>
        </w:rPr>
        <w:t>法定代表人身份证明/法定代表人授权书</w:t>
      </w:r>
    </w:p>
    <w:p w14:paraId="59227AD3">
      <w:pPr>
        <w:pStyle w:val="2"/>
        <w:spacing w:beforeLines="50"/>
        <w:jc w:val="center"/>
        <w:rPr>
          <w:rFonts w:asciiTheme="minorEastAsia" w:hAnsiTheme="minorEastAsia" w:eastAsiaTheme="minorEastAsia" w:cstheme="minorEastAsia"/>
          <w:b/>
          <w:bCs/>
          <w:sz w:val="30"/>
          <w:szCs w:val="30"/>
          <w:highlight w:val="none"/>
        </w:rPr>
      </w:pPr>
      <w:r>
        <w:rPr>
          <w:rFonts w:hint="eastAsia" w:asciiTheme="minorEastAsia" w:hAnsiTheme="minorEastAsia" w:eastAsiaTheme="minorEastAsia" w:cstheme="minorEastAsia"/>
          <w:b/>
          <w:bCs/>
          <w:sz w:val="30"/>
          <w:szCs w:val="30"/>
          <w:highlight w:val="none"/>
        </w:rPr>
        <w:t>法定代表人身份证明</w:t>
      </w:r>
    </w:p>
    <w:p w14:paraId="640B0A6F">
      <w:pPr>
        <w:autoSpaceDE w:val="0"/>
        <w:autoSpaceDN w:val="0"/>
        <w:adjustRightInd w:val="0"/>
        <w:snapToGrid w:val="0"/>
        <w:spacing w:beforeLines="50" w:line="360" w:lineRule="auto"/>
        <w:jc w:val="left"/>
        <w:rPr>
          <w:rFonts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投标人名称：</w:t>
      </w:r>
      <w:r>
        <w:rPr>
          <w:rFonts w:hint="eastAsia" w:asciiTheme="minorEastAsia" w:hAnsiTheme="minorEastAsia" w:eastAsiaTheme="minorEastAsia" w:cstheme="minorEastAsia"/>
          <w:highlight w:val="none"/>
          <w:u w:val="single"/>
        </w:rPr>
        <w:t xml:space="preserve">                  </w:t>
      </w:r>
      <w:r>
        <w:rPr>
          <w:rFonts w:hint="eastAsia" w:asciiTheme="minorEastAsia" w:hAnsiTheme="minorEastAsia" w:eastAsiaTheme="minorEastAsia" w:cstheme="minorEastAsia"/>
          <w:highlight w:val="none"/>
        </w:rPr>
        <w:t xml:space="preserve"> </w:t>
      </w:r>
    </w:p>
    <w:p w14:paraId="7818A712">
      <w:pPr>
        <w:autoSpaceDE w:val="0"/>
        <w:autoSpaceDN w:val="0"/>
        <w:adjustRightInd w:val="0"/>
        <w:snapToGrid w:val="0"/>
        <w:spacing w:beforeLines="50" w:line="360" w:lineRule="auto"/>
        <w:jc w:val="left"/>
        <w:rPr>
          <w:rFonts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统一社会信用代码：</w:t>
      </w:r>
      <w:r>
        <w:rPr>
          <w:rFonts w:hint="eastAsia" w:asciiTheme="minorEastAsia" w:hAnsiTheme="minorEastAsia" w:eastAsiaTheme="minorEastAsia" w:cstheme="minorEastAsia"/>
          <w:highlight w:val="none"/>
          <w:u w:val="single"/>
        </w:rPr>
        <w:t xml:space="preserve">                </w:t>
      </w:r>
    </w:p>
    <w:p w14:paraId="79ADB9F8">
      <w:pPr>
        <w:autoSpaceDE w:val="0"/>
        <w:autoSpaceDN w:val="0"/>
        <w:adjustRightInd w:val="0"/>
        <w:snapToGrid w:val="0"/>
        <w:spacing w:beforeLines="50" w:line="360" w:lineRule="auto"/>
        <w:jc w:val="left"/>
        <w:rPr>
          <w:rFonts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注册地址：</w:t>
      </w:r>
      <w:r>
        <w:rPr>
          <w:rFonts w:hint="eastAsia" w:asciiTheme="minorEastAsia" w:hAnsiTheme="minorEastAsia" w:eastAsiaTheme="minorEastAsia" w:cstheme="minorEastAsia"/>
          <w:highlight w:val="none"/>
          <w:u w:val="single"/>
        </w:rPr>
        <w:t xml:space="preserve">                        </w:t>
      </w:r>
    </w:p>
    <w:p w14:paraId="5C8F07E9">
      <w:pPr>
        <w:autoSpaceDE w:val="0"/>
        <w:autoSpaceDN w:val="0"/>
        <w:adjustRightInd w:val="0"/>
        <w:snapToGrid w:val="0"/>
        <w:spacing w:beforeLines="50" w:line="360" w:lineRule="auto"/>
        <w:jc w:val="left"/>
        <w:rPr>
          <w:rFonts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成立时间：</w:t>
      </w:r>
      <w:r>
        <w:rPr>
          <w:rFonts w:hint="eastAsia" w:asciiTheme="minorEastAsia" w:hAnsiTheme="minorEastAsia" w:eastAsiaTheme="minorEastAsia" w:cstheme="minorEastAsia"/>
          <w:highlight w:val="none"/>
          <w:u w:val="single"/>
        </w:rPr>
        <w:t xml:space="preserve">    </w:t>
      </w:r>
      <w:r>
        <w:rPr>
          <w:rFonts w:hint="eastAsia" w:asciiTheme="minorEastAsia" w:hAnsiTheme="minorEastAsia" w:eastAsiaTheme="minorEastAsia" w:cstheme="minorEastAsia"/>
          <w:highlight w:val="none"/>
        </w:rPr>
        <w:t>年</w:t>
      </w:r>
      <w:r>
        <w:rPr>
          <w:rFonts w:hint="eastAsia" w:asciiTheme="minorEastAsia" w:hAnsiTheme="minorEastAsia" w:eastAsiaTheme="minorEastAsia" w:cstheme="minorEastAsia"/>
          <w:highlight w:val="none"/>
          <w:u w:val="single"/>
        </w:rPr>
        <w:t xml:space="preserve">   </w:t>
      </w:r>
      <w:r>
        <w:rPr>
          <w:rFonts w:hint="eastAsia" w:asciiTheme="minorEastAsia" w:hAnsiTheme="minorEastAsia" w:eastAsiaTheme="minorEastAsia" w:cstheme="minorEastAsia"/>
          <w:highlight w:val="none"/>
        </w:rPr>
        <w:t>月</w:t>
      </w:r>
      <w:r>
        <w:rPr>
          <w:rFonts w:hint="eastAsia" w:asciiTheme="minorEastAsia" w:hAnsiTheme="minorEastAsia" w:eastAsiaTheme="minorEastAsia" w:cstheme="minorEastAsia"/>
          <w:highlight w:val="none"/>
          <w:u w:val="single"/>
        </w:rPr>
        <w:t xml:space="preserve">  </w:t>
      </w:r>
      <w:r>
        <w:rPr>
          <w:rFonts w:hint="eastAsia" w:asciiTheme="minorEastAsia" w:hAnsiTheme="minorEastAsia" w:eastAsiaTheme="minorEastAsia" w:cstheme="minorEastAsia"/>
          <w:highlight w:val="none"/>
        </w:rPr>
        <w:t>日</w:t>
      </w:r>
    </w:p>
    <w:p w14:paraId="25C51178">
      <w:pPr>
        <w:autoSpaceDE w:val="0"/>
        <w:autoSpaceDN w:val="0"/>
        <w:adjustRightInd w:val="0"/>
        <w:snapToGrid w:val="0"/>
        <w:spacing w:beforeLines="50" w:line="360" w:lineRule="auto"/>
        <w:jc w:val="left"/>
        <w:rPr>
          <w:rFonts w:asciiTheme="minorEastAsia" w:hAnsiTheme="minorEastAsia" w:eastAsiaTheme="minorEastAsia" w:cstheme="minorEastAsia"/>
          <w:highlight w:val="none"/>
          <w:u w:val="single"/>
        </w:rPr>
      </w:pPr>
      <w:r>
        <w:rPr>
          <w:rFonts w:hint="eastAsia" w:asciiTheme="minorEastAsia" w:hAnsiTheme="minorEastAsia" w:eastAsiaTheme="minorEastAsia" w:cstheme="minorEastAsia"/>
          <w:highlight w:val="none"/>
        </w:rPr>
        <w:t>经营期限：</w:t>
      </w:r>
      <w:r>
        <w:rPr>
          <w:rFonts w:hint="eastAsia" w:asciiTheme="minorEastAsia" w:hAnsiTheme="minorEastAsia" w:eastAsiaTheme="minorEastAsia" w:cstheme="minorEastAsia"/>
          <w:highlight w:val="none"/>
          <w:u w:val="single"/>
        </w:rPr>
        <w:t xml:space="preserve">                  </w:t>
      </w:r>
    </w:p>
    <w:p w14:paraId="68E45357">
      <w:pPr>
        <w:autoSpaceDE w:val="0"/>
        <w:autoSpaceDN w:val="0"/>
        <w:adjustRightInd w:val="0"/>
        <w:snapToGrid w:val="0"/>
        <w:spacing w:beforeLines="50" w:line="360" w:lineRule="auto"/>
        <w:jc w:val="left"/>
        <w:rPr>
          <w:rFonts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姓名：</w:t>
      </w:r>
      <w:r>
        <w:rPr>
          <w:rFonts w:hint="eastAsia" w:asciiTheme="minorEastAsia" w:hAnsiTheme="minorEastAsia" w:eastAsiaTheme="minorEastAsia" w:cstheme="minorEastAsia"/>
          <w:highlight w:val="none"/>
          <w:u w:val="single"/>
        </w:rPr>
        <w:t xml:space="preserve">       </w:t>
      </w:r>
      <w:r>
        <w:rPr>
          <w:rFonts w:hint="eastAsia" w:asciiTheme="minorEastAsia" w:hAnsiTheme="minorEastAsia" w:eastAsiaTheme="minorEastAsia" w:cstheme="minorEastAsia"/>
          <w:highlight w:val="none"/>
        </w:rPr>
        <w:t>性别：</w:t>
      </w:r>
      <w:r>
        <w:rPr>
          <w:rFonts w:hint="eastAsia" w:asciiTheme="minorEastAsia" w:hAnsiTheme="minorEastAsia" w:eastAsiaTheme="minorEastAsia" w:cstheme="minorEastAsia"/>
          <w:highlight w:val="none"/>
          <w:u w:val="single"/>
        </w:rPr>
        <w:t xml:space="preserve">    </w:t>
      </w:r>
      <w:r>
        <w:rPr>
          <w:rFonts w:hint="eastAsia" w:asciiTheme="minorEastAsia" w:hAnsiTheme="minorEastAsia" w:eastAsiaTheme="minorEastAsia" w:cstheme="minorEastAsia"/>
          <w:highlight w:val="none"/>
        </w:rPr>
        <w:t>年龄：</w:t>
      </w:r>
      <w:r>
        <w:rPr>
          <w:rFonts w:hint="eastAsia" w:asciiTheme="minorEastAsia" w:hAnsiTheme="minorEastAsia" w:eastAsiaTheme="minorEastAsia" w:cstheme="minorEastAsia"/>
          <w:highlight w:val="none"/>
          <w:u w:val="single"/>
        </w:rPr>
        <w:t xml:space="preserve">    </w:t>
      </w:r>
      <w:r>
        <w:rPr>
          <w:rFonts w:hint="eastAsia" w:asciiTheme="minorEastAsia" w:hAnsiTheme="minorEastAsia" w:eastAsiaTheme="minorEastAsia" w:cstheme="minorEastAsia"/>
          <w:highlight w:val="none"/>
        </w:rPr>
        <w:t>系</w:t>
      </w:r>
      <w:r>
        <w:rPr>
          <w:rFonts w:hint="eastAsia" w:asciiTheme="minorEastAsia" w:hAnsiTheme="minorEastAsia" w:eastAsiaTheme="minorEastAsia" w:cstheme="minorEastAsia"/>
          <w:highlight w:val="none"/>
          <w:u w:val="single"/>
        </w:rPr>
        <w:t xml:space="preserve">            </w:t>
      </w:r>
      <w:r>
        <w:rPr>
          <w:rFonts w:hint="eastAsia" w:asciiTheme="minorEastAsia" w:hAnsiTheme="minorEastAsia" w:eastAsiaTheme="minorEastAsia" w:cstheme="minorEastAsia"/>
          <w:highlight w:val="none"/>
        </w:rPr>
        <w:t>（投标人名称）的法定代表人。</w:t>
      </w:r>
    </w:p>
    <w:p w14:paraId="71169D01">
      <w:pPr>
        <w:autoSpaceDE w:val="0"/>
        <w:autoSpaceDN w:val="0"/>
        <w:adjustRightInd w:val="0"/>
        <w:snapToGrid w:val="0"/>
        <w:spacing w:beforeLines="50" w:line="360" w:lineRule="auto"/>
        <w:jc w:val="left"/>
        <w:rPr>
          <w:rFonts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特此证明。</w:t>
      </w:r>
    </w:p>
    <w:p w14:paraId="19E4BC76">
      <w:pPr>
        <w:autoSpaceDE w:val="0"/>
        <w:autoSpaceDN w:val="0"/>
        <w:adjustRightInd w:val="0"/>
        <w:snapToGrid w:val="0"/>
        <w:spacing w:beforeLines="50" w:line="360" w:lineRule="auto"/>
        <w:jc w:val="left"/>
        <w:rPr>
          <w:rFonts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附：法定代表人身份证复印件</w:t>
      </w:r>
    </w:p>
    <w:tbl>
      <w:tblPr>
        <w:tblStyle w:val="30"/>
        <w:tblpPr w:leftFromText="180" w:rightFromText="180" w:vertAnchor="text" w:horzAnchor="margin" w:tblpXSpec="center" w:tblpY="104"/>
        <w:tblW w:w="58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68"/>
      </w:tblGrid>
      <w:tr w14:paraId="010E4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5" w:hRule="atLeast"/>
        </w:trPr>
        <w:tc>
          <w:tcPr>
            <w:tcW w:w="5868" w:type="dxa"/>
            <w:vAlign w:val="center"/>
          </w:tcPr>
          <w:p w14:paraId="697F00E3">
            <w:pPr>
              <w:snapToGrid w:val="0"/>
              <w:spacing w:line="480" w:lineRule="auto"/>
              <w:jc w:val="center"/>
              <w:rPr>
                <w:rFonts w:asciiTheme="minorEastAsia" w:hAnsiTheme="minorEastAsia" w:eastAsiaTheme="minorEastAsia" w:cstheme="minorEastAsia"/>
                <w:szCs w:val="21"/>
                <w:highlight w:val="none"/>
              </w:rPr>
            </w:pPr>
          </w:p>
          <w:p w14:paraId="55A63F4E">
            <w:pPr>
              <w:snapToGrid w:val="0"/>
              <w:spacing w:line="480" w:lineRule="auto"/>
              <w:jc w:val="center"/>
              <w:rPr>
                <w:rFonts w:asciiTheme="minorEastAsia" w:hAnsiTheme="minorEastAsia" w:eastAsiaTheme="minorEastAsia" w:cstheme="minorEastAsia"/>
                <w:szCs w:val="21"/>
                <w:highlight w:val="none"/>
              </w:rPr>
            </w:pPr>
          </w:p>
          <w:p w14:paraId="2E31C46B">
            <w:pPr>
              <w:autoSpaceDE w:val="0"/>
              <w:autoSpaceDN w:val="0"/>
              <w:adjustRightInd w:val="0"/>
              <w:snapToGrid w:val="0"/>
              <w:spacing w:beforeLines="50" w:line="360" w:lineRule="auto"/>
              <w:jc w:val="center"/>
              <w:rPr>
                <w:rFonts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法定代表人身份证复印件粘贴处</w:t>
            </w:r>
          </w:p>
          <w:p w14:paraId="25D1BAC9">
            <w:pPr>
              <w:pStyle w:val="2"/>
              <w:jc w:val="center"/>
              <w:rPr>
                <w:rFonts w:asciiTheme="minorEastAsia" w:hAnsiTheme="minorEastAsia" w:eastAsiaTheme="minorEastAsia" w:cstheme="minorEastAsia"/>
                <w:sz w:val="24"/>
                <w:szCs w:val="18"/>
                <w:highlight w:val="none"/>
              </w:rPr>
            </w:pPr>
            <w:r>
              <w:rPr>
                <w:rFonts w:hint="eastAsia" w:asciiTheme="minorEastAsia" w:hAnsiTheme="minorEastAsia" w:eastAsiaTheme="minorEastAsia" w:cstheme="minorEastAsia"/>
                <w:sz w:val="24"/>
                <w:szCs w:val="20"/>
                <w:highlight w:val="none"/>
              </w:rPr>
              <w:t>（正反面）</w:t>
            </w:r>
          </w:p>
          <w:p w14:paraId="7145FEEA">
            <w:pPr>
              <w:snapToGrid w:val="0"/>
              <w:spacing w:line="480" w:lineRule="auto"/>
              <w:jc w:val="center"/>
              <w:rPr>
                <w:rFonts w:asciiTheme="minorEastAsia" w:hAnsiTheme="minorEastAsia" w:eastAsiaTheme="minorEastAsia" w:cstheme="minorEastAsia"/>
                <w:szCs w:val="21"/>
                <w:highlight w:val="none"/>
              </w:rPr>
            </w:pPr>
          </w:p>
          <w:p w14:paraId="6E519B9B">
            <w:pPr>
              <w:snapToGrid w:val="0"/>
              <w:spacing w:line="480" w:lineRule="auto"/>
              <w:jc w:val="center"/>
              <w:rPr>
                <w:rFonts w:asciiTheme="minorEastAsia" w:hAnsiTheme="minorEastAsia" w:eastAsiaTheme="minorEastAsia" w:cstheme="minorEastAsia"/>
                <w:szCs w:val="21"/>
                <w:highlight w:val="none"/>
              </w:rPr>
            </w:pPr>
          </w:p>
        </w:tc>
      </w:tr>
    </w:tbl>
    <w:p w14:paraId="0F63A757">
      <w:pPr>
        <w:snapToGrid w:val="0"/>
        <w:spacing w:line="480" w:lineRule="auto"/>
        <w:rPr>
          <w:rFonts w:asciiTheme="minorEastAsia" w:hAnsiTheme="minorEastAsia" w:eastAsiaTheme="minorEastAsia" w:cstheme="minorEastAsia"/>
          <w:szCs w:val="21"/>
          <w:highlight w:val="none"/>
        </w:rPr>
      </w:pPr>
    </w:p>
    <w:p w14:paraId="778D06A1">
      <w:pPr>
        <w:snapToGrid w:val="0"/>
        <w:rPr>
          <w:rFonts w:asciiTheme="minorEastAsia" w:hAnsiTheme="minorEastAsia" w:eastAsiaTheme="minorEastAsia" w:cstheme="minorEastAsia"/>
          <w:szCs w:val="21"/>
          <w:highlight w:val="none"/>
        </w:rPr>
      </w:pPr>
    </w:p>
    <w:p w14:paraId="17358EFC">
      <w:pPr>
        <w:snapToGrid w:val="0"/>
        <w:rPr>
          <w:rFonts w:asciiTheme="minorEastAsia" w:hAnsiTheme="minorEastAsia" w:eastAsiaTheme="minorEastAsia" w:cstheme="minorEastAsia"/>
          <w:szCs w:val="21"/>
          <w:highlight w:val="none"/>
        </w:rPr>
      </w:pPr>
    </w:p>
    <w:p w14:paraId="7B295BB9">
      <w:pPr>
        <w:snapToGrid w:val="0"/>
        <w:rPr>
          <w:rFonts w:asciiTheme="minorEastAsia" w:hAnsiTheme="minorEastAsia" w:eastAsiaTheme="minorEastAsia" w:cstheme="minorEastAsia"/>
          <w:szCs w:val="21"/>
          <w:highlight w:val="none"/>
        </w:rPr>
      </w:pPr>
    </w:p>
    <w:p w14:paraId="77215DC2">
      <w:pPr>
        <w:snapToGrid w:val="0"/>
        <w:rPr>
          <w:rFonts w:asciiTheme="minorEastAsia" w:hAnsiTheme="minorEastAsia" w:eastAsiaTheme="minorEastAsia" w:cstheme="minorEastAsia"/>
          <w:szCs w:val="21"/>
          <w:highlight w:val="none"/>
        </w:rPr>
      </w:pPr>
    </w:p>
    <w:p w14:paraId="59A8B06E">
      <w:pPr>
        <w:adjustRightInd w:val="0"/>
        <w:snapToGrid w:val="0"/>
        <w:spacing w:line="360" w:lineRule="auto"/>
        <w:rPr>
          <w:rFonts w:asciiTheme="minorEastAsia" w:hAnsiTheme="minorEastAsia" w:eastAsiaTheme="minorEastAsia" w:cstheme="minorEastAsia"/>
          <w:highlight w:val="none"/>
        </w:rPr>
      </w:pPr>
    </w:p>
    <w:p w14:paraId="7C1F8F09">
      <w:pPr>
        <w:adjustRightInd w:val="0"/>
        <w:snapToGrid w:val="0"/>
        <w:spacing w:line="360" w:lineRule="auto"/>
        <w:ind w:right="420"/>
        <w:rPr>
          <w:rFonts w:asciiTheme="minorEastAsia" w:hAnsiTheme="minorEastAsia" w:eastAsiaTheme="minorEastAsia" w:cstheme="minorEastAsia"/>
          <w:highlight w:val="none"/>
        </w:rPr>
      </w:pPr>
    </w:p>
    <w:p w14:paraId="41683DB7">
      <w:pPr>
        <w:adjustRightInd w:val="0"/>
        <w:snapToGrid w:val="0"/>
        <w:spacing w:line="360" w:lineRule="auto"/>
        <w:ind w:right="420"/>
        <w:rPr>
          <w:rFonts w:asciiTheme="minorEastAsia" w:hAnsiTheme="minorEastAsia" w:eastAsiaTheme="minorEastAsia" w:cstheme="minorEastAsia"/>
          <w:highlight w:val="none"/>
        </w:rPr>
      </w:pPr>
    </w:p>
    <w:p w14:paraId="59C5295E">
      <w:pPr>
        <w:adjustRightInd w:val="0"/>
        <w:snapToGrid w:val="0"/>
        <w:spacing w:line="360" w:lineRule="auto"/>
        <w:ind w:right="420"/>
        <w:rPr>
          <w:rFonts w:asciiTheme="minorEastAsia" w:hAnsiTheme="minorEastAsia" w:eastAsiaTheme="minorEastAsia" w:cstheme="minorEastAsia"/>
          <w:highlight w:val="none"/>
        </w:rPr>
      </w:pPr>
    </w:p>
    <w:p w14:paraId="24BF3910">
      <w:pPr>
        <w:adjustRightInd w:val="0"/>
        <w:snapToGrid w:val="0"/>
        <w:spacing w:line="360" w:lineRule="auto"/>
        <w:ind w:right="420"/>
        <w:rPr>
          <w:rFonts w:asciiTheme="minorEastAsia" w:hAnsiTheme="minorEastAsia" w:eastAsiaTheme="minorEastAsia" w:cstheme="minorEastAsia"/>
          <w:highlight w:val="none"/>
        </w:rPr>
      </w:pPr>
    </w:p>
    <w:p w14:paraId="7FB80D8A">
      <w:pPr>
        <w:adjustRightInd w:val="0"/>
        <w:snapToGrid w:val="0"/>
        <w:spacing w:line="360" w:lineRule="auto"/>
        <w:ind w:right="420"/>
        <w:rPr>
          <w:rFonts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投标人名称（公章）：</w:t>
      </w:r>
    </w:p>
    <w:p w14:paraId="760B67BE">
      <w:pPr>
        <w:adjustRightInd w:val="0"/>
        <w:snapToGrid w:val="0"/>
        <w:spacing w:line="360" w:lineRule="auto"/>
        <w:ind w:right="420"/>
        <w:rPr>
          <w:rFonts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日期：    年  月  日</w:t>
      </w:r>
    </w:p>
    <w:p w14:paraId="44701B2B">
      <w:pPr>
        <w:adjustRightInd w:val="0"/>
        <w:snapToGrid w:val="0"/>
        <w:spacing w:line="360" w:lineRule="auto"/>
        <w:ind w:right="420"/>
        <w:rPr>
          <w:rFonts w:asciiTheme="minorEastAsia" w:hAnsiTheme="minorEastAsia" w:eastAsiaTheme="minorEastAsia" w:cstheme="minorEastAsia"/>
          <w:highlight w:val="none"/>
        </w:rPr>
      </w:pPr>
    </w:p>
    <w:p w14:paraId="02697175">
      <w:pPr>
        <w:rPr>
          <w:rFonts w:asciiTheme="minorEastAsia" w:hAnsiTheme="minorEastAsia" w:eastAsiaTheme="minorEastAsia" w:cstheme="minorEastAsia"/>
          <w:sz w:val="32"/>
          <w:szCs w:val="32"/>
          <w:highlight w:val="none"/>
        </w:rPr>
      </w:pPr>
      <w:r>
        <w:rPr>
          <w:rFonts w:hint="eastAsia" w:asciiTheme="minorEastAsia" w:hAnsiTheme="minorEastAsia" w:eastAsiaTheme="minorEastAsia" w:cstheme="minorEastAsia"/>
          <w:sz w:val="32"/>
          <w:szCs w:val="32"/>
          <w:highlight w:val="none"/>
        </w:rPr>
        <w:br w:type="page"/>
      </w:r>
    </w:p>
    <w:p w14:paraId="2A941643">
      <w:pPr>
        <w:keepNext/>
        <w:spacing w:beforeLines="100"/>
        <w:jc w:val="center"/>
        <w:rPr>
          <w:rFonts w:asciiTheme="minorEastAsia" w:hAnsiTheme="minorEastAsia" w:eastAsiaTheme="minorEastAsia" w:cstheme="minorEastAsia"/>
          <w:b/>
          <w:bCs/>
          <w:sz w:val="32"/>
          <w:szCs w:val="32"/>
          <w:highlight w:val="none"/>
        </w:rPr>
      </w:pPr>
      <w:r>
        <w:rPr>
          <w:rFonts w:hint="eastAsia" w:asciiTheme="minorEastAsia" w:hAnsiTheme="minorEastAsia" w:eastAsiaTheme="minorEastAsia" w:cstheme="minorEastAsia"/>
          <w:b/>
          <w:bCs/>
          <w:sz w:val="32"/>
          <w:szCs w:val="32"/>
          <w:highlight w:val="none"/>
        </w:rPr>
        <w:t>法定代表人授权书</w:t>
      </w:r>
      <w:bookmarkEnd w:id="240"/>
      <w:bookmarkEnd w:id="241"/>
      <w:bookmarkEnd w:id="242"/>
      <w:bookmarkEnd w:id="243"/>
      <w:bookmarkEnd w:id="244"/>
      <w:bookmarkEnd w:id="245"/>
      <w:bookmarkEnd w:id="246"/>
      <w:bookmarkEnd w:id="247"/>
    </w:p>
    <w:p w14:paraId="49DACE69">
      <w:pPr>
        <w:spacing w:line="560" w:lineRule="exact"/>
        <w:jc w:val="left"/>
        <w:rPr>
          <w:rFonts w:hint="eastAsia" w:asciiTheme="minorEastAsia" w:hAnsiTheme="minorEastAsia" w:eastAsiaTheme="minorEastAsia" w:cstheme="minorEastAsia"/>
          <w:spacing w:val="4"/>
          <w:szCs w:val="24"/>
          <w:highlight w:val="none"/>
          <w:lang w:eastAsia="zh-CN"/>
        </w:rPr>
      </w:pPr>
      <w:r>
        <w:rPr>
          <w:rFonts w:hint="eastAsia" w:asciiTheme="minorEastAsia" w:hAnsiTheme="minorEastAsia" w:eastAsiaTheme="minorEastAsia" w:cstheme="minorEastAsia"/>
          <w:b/>
          <w:spacing w:val="4"/>
          <w:szCs w:val="24"/>
          <w:highlight w:val="none"/>
        </w:rPr>
        <w:t>致：</w:t>
      </w:r>
      <w:r>
        <w:rPr>
          <w:rFonts w:hint="eastAsia" w:asciiTheme="minorEastAsia" w:hAnsiTheme="minorEastAsia" w:eastAsiaTheme="minorEastAsia" w:cstheme="minorEastAsia"/>
          <w:b/>
          <w:spacing w:val="4"/>
          <w:szCs w:val="24"/>
          <w:highlight w:val="none"/>
          <w:u w:val="single"/>
          <w:lang w:eastAsia="zh-CN"/>
        </w:rPr>
        <w:t>陕西银正项目管理有限公司</w:t>
      </w:r>
    </w:p>
    <w:p w14:paraId="72675B42">
      <w:pPr>
        <w:spacing w:line="560" w:lineRule="exact"/>
        <w:ind w:firstLine="436" w:firstLineChars="200"/>
        <w:jc w:val="left"/>
        <w:rPr>
          <w:rFonts w:asciiTheme="minorEastAsia" w:hAnsiTheme="minorEastAsia" w:eastAsiaTheme="minorEastAsia" w:cstheme="minorEastAsia"/>
          <w:spacing w:val="4"/>
          <w:szCs w:val="24"/>
          <w:highlight w:val="none"/>
        </w:rPr>
      </w:pPr>
      <w:r>
        <w:rPr>
          <w:rFonts w:hint="eastAsia" w:asciiTheme="minorEastAsia" w:hAnsiTheme="minorEastAsia" w:eastAsiaTheme="minorEastAsia" w:cstheme="minorEastAsia"/>
          <w:spacing w:val="4"/>
          <w:szCs w:val="24"/>
          <w:highlight w:val="none"/>
          <w:u w:val="single"/>
        </w:rPr>
        <w:t xml:space="preserve">(投标人名称)   </w:t>
      </w:r>
      <w:r>
        <w:rPr>
          <w:rFonts w:hint="eastAsia" w:asciiTheme="minorEastAsia" w:hAnsiTheme="minorEastAsia" w:eastAsiaTheme="minorEastAsia" w:cstheme="minorEastAsia"/>
          <w:spacing w:val="4"/>
          <w:szCs w:val="24"/>
          <w:highlight w:val="none"/>
        </w:rPr>
        <w:t>按中华人民共和国法律于</w:t>
      </w:r>
      <w:r>
        <w:rPr>
          <w:rFonts w:hint="eastAsia" w:asciiTheme="minorEastAsia" w:hAnsiTheme="minorEastAsia" w:eastAsiaTheme="minorEastAsia" w:cstheme="minorEastAsia"/>
          <w:spacing w:val="4"/>
          <w:szCs w:val="24"/>
          <w:highlight w:val="none"/>
          <w:u w:val="single"/>
        </w:rPr>
        <w:t xml:space="preserve">（  年  月  日 ）  </w:t>
      </w:r>
      <w:r>
        <w:rPr>
          <w:rFonts w:hint="eastAsia" w:asciiTheme="minorEastAsia" w:hAnsiTheme="minorEastAsia" w:eastAsiaTheme="minorEastAsia" w:cstheme="minorEastAsia"/>
          <w:spacing w:val="4"/>
          <w:szCs w:val="24"/>
          <w:highlight w:val="none"/>
        </w:rPr>
        <w:t>成立。</w:t>
      </w:r>
      <w:r>
        <w:rPr>
          <w:rFonts w:hint="eastAsia" w:asciiTheme="minorEastAsia" w:hAnsiTheme="minorEastAsia" w:eastAsiaTheme="minorEastAsia" w:cstheme="minorEastAsia"/>
          <w:spacing w:val="4"/>
          <w:szCs w:val="24"/>
          <w:highlight w:val="none"/>
          <w:u w:val="single"/>
        </w:rPr>
        <w:t>(</w:t>
      </w:r>
      <w:r>
        <w:rPr>
          <w:rFonts w:hint="eastAsia" w:asciiTheme="minorEastAsia" w:hAnsiTheme="minorEastAsia" w:eastAsiaTheme="minorEastAsia" w:cstheme="minorEastAsia"/>
          <w:szCs w:val="24"/>
          <w:highlight w:val="none"/>
          <w:u w:val="single"/>
        </w:rPr>
        <w:t>法定代表人</w:t>
      </w:r>
      <w:r>
        <w:rPr>
          <w:rFonts w:hint="eastAsia" w:asciiTheme="minorEastAsia" w:hAnsiTheme="minorEastAsia" w:eastAsiaTheme="minorEastAsia" w:cstheme="minorEastAsia"/>
          <w:spacing w:val="4"/>
          <w:szCs w:val="24"/>
          <w:highlight w:val="none"/>
          <w:u w:val="single"/>
        </w:rPr>
        <w:t>姓名)</w:t>
      </w:r>
      <w:r>
        <w:rPr>
          <w:rFonts w:hint="eastAsia" w:asciiTheme="minorEastAsia" w:hAnsiTheme="minorEastAsia" w:eastAsiaTheme="minorEastAsia" w:cstheme="minorEastAsia"/>
          <w:spacing w:val="4"/>
          <w:szCs w:val="24"/>
          <w:highlight w:val="none"/>
        </w:rPr>
        <w:t>特授权</w:t>
      </w:r>
      <w:r>
        <w:rPr>
          <w:rFonts w:hint="eastAsia" w:asciiTheme="minorEastAsia" w:hAnsiTheme="minorEastAsia" w:eastAsiaTheme="minorEastAsia" w:cstheme="minorEastAsia"/>
          <w:spacing w:val="4"/>
          <w:szCs w:val="24"/>
          <w:highlight w:val="none"/>
          <w:u w:val="single"/>
        </w:rPr>
        <w:t xml:space="preserve">（ </w:t>
      </w:r>
      <w:r>
        <w:rPr>
          <w:rFonts w:hint="eastAsia" w:asciiTheme="minorEastAsia" w:hAnsiTheme="minorEastAsia" w:eastAsiaTheme="minorEastAsia" w:cstheme="minorEastAsia"/>
          <w:szCs w:val="24"/>
          <w:highlight w:val="none"/>
          <w:u w:val="single"/>
        </w:rPr>
        <w:t>授权代表</w:t>
      </w:r>
      <w:r>
        <w:rPr>
          <w:rFonts w:hint="eastAsia" w:asciiTheme="minorEastAsia" w:hAnsiTheme="minorEastAsia" w:eastAsiaTheme="minorEastAsia" w:cstheme="minorEastAsia"/>
          <w:spacing w:val="4"/>
          <w:szCs w:val="24"/>
          <w:highlight w:val="none"/>
          <w:u w:val="single"/>
        </w:rPr>
        <w:t>姓名 ）</w:t>
      </w:r>
      <w:r>
        <w:rPr>
          <w:rFonts w:hint="eastAsia" w:asciiTheme="minorEastAsia" w:hAnsiTheme="minorEastAsia" w:eastAsiaTheme="minorEastAsia" w:cstheme="minorEastAsia"/>
          <w:spacing w:val="4"/>
          <w:szCs w:val="24"/>
          <w:highlight w:val="none"/>
        </w:rPr>
        <w:t xml:space="preserve">代表我公司全权办理针对本次 </w:t>
      </w:r>
      <w:r>
        <w:rPr>
          <w:rFonts w:hint="eastAsia" w:asciiTheme="minorEastAsia" w:hAnsiTheme="minorEastAsia" w:eastAsiaTheme="minorEastAsia" w:cstheme="minorEastAsia"/>
          <w:spacing w:val="4"/>
          <w:szCs w:val="24"/>
          <w:highlight w:val="none"/>
          <w:u w:val="single"/>
        </w:rPr>
        <w:t>（项目名称、项目编号</w:t>
      </w:r>
      <w:r>
        <w:rPr>
          <w:rFonts w:hint="eastAsia" w:asciiTheme="minorEastAsia" w:hAnsiTheme="minorEastAsia" w:eastAsiaTheme="minorEastAsia" w:cstheme="minorEastAsia"/>
          <w:spacing w:val="4"/>
          <w:szCs w:val="24"/>
          <w:highlight w:val="none"/>
          <w:u w:val="single"/>
          <w:lang w:eastAsia="zh-CN"/>
        </w:rPr>
        <w:t>、</w:t>
      </w:r>
      <w:r>
        <w:rPr>
          <w:rFonts w:hint="eastAsia" w:asciiTheme="minorEastAsia" w:hAnsiTheme="minorEastAsia" w:eastAsiaTheme="minorEastAsia" w:cstheme="minorEastAsia"/>
          <w:spacing w:val="4"/>
          <w:szCs w:val="24"/>
          <w:highlight w:val="none"/>
          <w:u w:val="single"/>
          <w:lang w:val="en-US" w:eastAsia="zh-CN"/>
        </w:rPr>
        <w:t>包号</w:t>
      </w:r>
      <w:r>
        <w:rPr>
          <w:rFonts w:hint="eastAsia" w:asciiTheme="minorEastAsia" w:hAnsiTheme="minorEastAsia" w:eastAsiaTheme="minorEastAsia" w:cstheme="minorEastAsia"/>
          <w:spacing w:val="4"/>
          <w:szCs w:val="24"/>
          <w:highlight w:val="none"/>
          <w:u w:val="single"/>
        </w:rPr>
        <w:t xml:space="preserve">）    </w:t>
      </w:r>
      <w:r>
        <w:rPr>
          <w:rFonts w:hint="eastAsia" w:asciiTheme="minorEastAsia" w:hAnsiTheme="minorEastAsia" w:eastAsiaTheme="minorEastAsia" w:cstheme="minorEastAsia"/>
          <w:spacing w:val="4"/>
          <w:szCs w:val="24"/>
          <w:highlight w:val="none"/>
        </w:rPr>
        <w:t>投标、谈判、签约等具体工作，并签署全部有关的文件、协议及合同。</w:t>
      </w:r>
    </w:p>
    <w:p w14:paraId="7A98B6A0">
      <w:pPr>
        <w:spacing w:line="560" w:lineRule="exact"/>
        <w:ind w:firstLine="436" w:firstLineChars="200"/>
        <w:jc w:val="left"/>
        <w:rPr>
          <w:rFonts w:asciiTheme="minorEastAsia" w:hAnsiTheme="minorEastAsia" w:eastAsiaTheme="minorEastAsia" w:cstheme="minorEastAsia"/>
          <w:spacing w:val="4"/>
          <w:szCs w:val="24"/>
          <w:highlight w:val="none"/>
        </w:rPr>
      </w:pPr>
      <w:r>
        <w:rPr>
          <w:rFonts w:hint="eastAsia" w:asciiTheme="minorEastAsia" w:hAnsiTheme="minorEastAsia" w:eastAsiaTheme="minorEastAsia" w:cstheme="minorEastAsia"/>
          <w:spacing w:val="4"/>
          <w:szCs w:val="24"/>
          <w:highlight w:val="none"/>
        </w:rPr>
        <w:t>我公司对</w:t>
      </w:r>
      <w:r>
        <w:rPr>
          <w:rFonts w:hint="eastAsia" w:asciiTheme="minorEastAsia" w:hAnsiTheme="minorEastAsia" w:eastAsiaTheme="minorEastAsia" w:cstheme="minorEastAsia"/>
          <w:szCs w:val="24"/>
          <w:highlight w:val="none"/>
        </w:rPr>
        <w:t>授权代表</w:t>
      </w:r>
      <w:r>
        <w:rPr>
          <w:rFonts w:hint="eastAsia" w:asciiTheme="minorEastAsia" w:hAnsiTheme="minorEastAsia" w:eastAsiaTheme="minorEastAsia" w:cstheme="minorEastAsia"/>
          <w:spacing w:val="4"/>
          <w:szCs w:val="24"/>
          <w:highlight w:val="none"/>
        </w:rPr>
        <w:t>的签名负全部责任。</w:t>
      </w:r>
    </w:p>
    <w:p w14:paraId="5B4DF62C">
      <w:pPr>
        <w:spacing w:line="560" w:lineRule="exact"/>
        <w:ind w:right="540" w:rightChars="257" w:firstLine="420" w:firstLineChars="200"/>
        <w:jc w:val="left"/>
        <w:rPr>
          <w:rFonts w:asciiTheme="minorEastAsia" w:hAnsiTheme="minorEastAsia" w:eastAsiaTheme="minorEastAsia" w:cstheme="minorEastAsia"/>
          <w:szCs w:val="24"/>
          <w:highlight w:val="none"/>
        </w:rPr>
      </w:pPr>
      <w:r>
        <w:rPr>
          <w:rFonts w:hint="eastAsia" w:asciiTheme="minorEastAsia" w:hAnsiTheme="minorEastAsia" w:eastAsiaTheme="minorEastAsia" w:cstheme="minorEastAsia"/>
          <w:szCs w:val="24"/>
          <w:highlight w:val="none"/>
        </w:rPr>
        <w:t>委托期限：</w:t>
      </w:r>
      <w:r>
        <w:rPr>
          <w:rFonts w:hint="eastAsia" w:asciiTheme="minorEastAsia" w:hAnsiTheme="minorEastAsia" w:eastAsiaTheme="minorEastAsia" w:cstheme="minorEastAsia"/>
          <w:highlight w:val="none"/>
          <w:lang w:val="zh-CN"/>
        </w:rPr>
        <w:t>自开标之日起</w:t>
      </w:r>
      <w:r>
        <w:rPr>
          <w:rFonts w:hint="eastAsia" w:asciiTheme="minorEastAsia" w:hAnsiTheme="minorEastAsia" w:eastAsiaTheme="minorEastAsia" w:cstheme="minorEastAsia"/>
          <w:highlight w:val="none"/>
        </w:rPr>
        <w:t>90</w:t>
      </w:r>
      <w:r>
        <w:rPr>
          <w:rFonts w:hint="eastAsia" w:asciiTheme="minorEastAsia" w:hAnsiTheme="minorEastAsia" w:eastAsiaTheme="minorEastAsia" w:cstheme="minorEastAsia"/>
          <w:highlight w:val="none"/>
          <w:lang w:val="zh-CN"/>
        </w:rPr>
        <w:t>天。</w:t>
      </w:r>
    </w:p>
    <w:p w14:paraId="06CE8534">
      <w:pPr>
        <w:spacing w:line="560" w:lineRule="exact"/>
        <w:ind w:firstLine="436" w:firstLineChars="200"/>
        <w:jc w:val="left"/>
        <w:rPr>
          <w:rFonts w:asciiTheme="minorEastAsia" w:hAnsiTheme="minorEastAsia" w:eastAsiaTheme="minorEastAsia" w:cstheme="minorEastAsia"/>
          <w:spacing w:val="4"/>
          <w:szCs w:val="24"/>
          <w:highlight w:val="none"/>
        </w:rPr>
      </w:pPr>
      <w:r>
        <w:rPr>
          <w:rFonts w:hint="eastAsia" w:asciiTheme="minorEastAsia" w:hAnsiTheme="minorEastAsia" w:eastAsiaTheme="minorEastAsia" w:cstheme="minorEastAsia"/>
          <w:spacing w:val="4"/>
          <w:szCs w:val="24"/>
          <w:highlight w:val="none"/>
        </w:rPr>
        <w:t>本授权书于</w:t>
      </w:r>
      <w:r>
        <w:rPr>
          <w:rFonts w:hint="eastAsia" w:asciiTheme="minorEastAsia" w:hAnsiTheme="minorEastAsia" w:eastAsiaTheme="minorEastAsia" w:cstheme="minorEastAsia"/>
          <w:spacing w:val="4"/>
          <w:szCs w:val="24"/>
          <w:highlight w:val="none"/>
          <w:u w:val="single"/>
        </w:rPr>
        <w:t xml:space="preserve">      年   月   日</w:t>
      </w:r>
      <w:r>
        <w:rPr>
          <w:rFonts w:hint="eastAsia" w:asciiTheme="minorEastAsia" w:hAnsiTheme="minorEastAsia" w:eastAsiaTheme="minorEastAsia" w:cstheme="minorEastAsia"/>
          <w:spacing w:val="4"/>
          <w:szCs w:val="24"/>
          <w:highlight w:val="none"/>
        </w:rPr>
        <w:t>签章生效，特此证明。</w:t>
      </w:r>
    </w:p>
    <w:tbl>
      <w:tblPr>
        <w:tblStyle w:val="29"/>
        <w:tblW w:w="8190" w:type="dxa"/>
        <w:tblInd w:w="633" w:type="dxa"/>
        <w:tblLayout w:type="fixed"/>
        <w:tblCellMar>
          <w:top w:w="0" w:type="dxa"/>
          <w:left w:w="108" w:type="dxa"/>
          <w:bottom w:w="0" w:type="dxa"/>
          <w:right w:w="108" w:type="dxa"/>
        </w:tblCellMar>
      </w:tblPr>
      <w:tblGrid>
        <w:gridCol w:w="4200"/>
        <w:gridCol w:w="3990"/>
      </w:tblGrid>
      <w:tr w14:paraId="15B5A367">
        <w:tblPrEx>
          <w:tblCellMar>
            <w:top w:w="0" w:type="dxa"/>
            <w:left w:w="108" w:type="dxa"/>
            <w:bottom w:w="0" w:type="dxa"/>
            <w:right w:w="108" w:type="dxa"/>
          </w:tblCellMar>
        </w:tblPrEx>
        <w:trPr>
          <w:trHeight w:val="600" w:hRule="atLeast"/>
        </w:trPr>
        <w:tc>
          <w:tcPr>
            <w:tcW w:w="4200" w:type="dxa"/>
          </w:tcPr>
          <w:p w14:paraId="353BC833">
            <w:pPr>
              <w:spacing w:line="520" w:lineRule="exact"/>
              <w:jc w:val="left"/>
              <w:rPr>
                <w:rFonts w:asciiTheme="minorEastAsia" w:hAnsiTheme="minorEastAsia" w:eastAsiaTheme="minorEastAsia" w:cstheme="minorEastAsia"/>
                <w:spacing w:val="4"/>
                <w:szCs w:val="24"/>
                <w:highlight w:val="none"/>
              </w:rPr>
            </w:pPr>
            <w:r>
              <w:rPr>
                <w:rFonts w:hint="eastAsia" w:asciiTheme="minorEastAsia" w:hAnsiTheme="minorEastAsia" w:eastAsiaTheme="minorEastAsia" w:cstheme="minorEastAsia"/>
                <w:spacing w:val="4"/>
                <w:szCs w:val="24"/>
                <w:highlight w:val="none"/>
              </w:rPr>
              <w:t>被授权人签字或盖章：</w:t>
            </w:r>
          </w:p>
        </w:tc>
        <w:tc>
          <w:tcPr>
            <w:tcW w:w="3990" w:type="dxa"/>
          </w:tcPr>
          <w:p w14:paraId="50AB6273">
            <w:pPr>
              <w:spacing w:line="520" w:lineRule="exact"/>
              <w:jc w:val="left"/>
              <w:rPr>
                <w:rFonts w:asciiTheme="minorEastAsia" w:hAnsiTheme="minorEastAsia" w:eastAsiaTheme="minorEastAsia" w:cstheme="minorEastAsia"/>
                <w:spacing w:val="4"/>
                <w:szCs w:val="24"/>
                <w:highlight w:val="none"/>
              </w:rPr>
            </w:pPr>
            <w:r>
              <w:rPr>
                <w:rFonts w:hint="eastAsia" w:asciiTheme="minorEastAsia" w:hAnsiTheme="minorEastAsia" w:eastAsiaTheme="minorEastAsia" w:cstheme="minorEastAsia"/>
                <w:szCs w:val="24"/>
                <w:highlight w:val="none"/>
              </w:rPr>
              <w:t>法定代表人</w:t>
            </w:r>
            <w:r>
              <w:rPr>
                <w:rFonts w:hint="eastAsia" w:asciiTheme="minorEastAsia" w:hAnsiTheme="minorEastAsia" w:eastAsiaTheme="minorEastAsia" w:cstheme="minorEastAsia"/>
                <w:spacing w:val="4"/>
                <w:szCs w:val="24"/>
                <w:highlight w:val="none"/>
              </w:rPr>
              <w:t>签字或盖章：</w:t>
            </w:r>
          </w:p>
        </w:tc>
      </w:tr>
      <w:tr w14:paraId="7D0A770C">
        <w:tblPrEx>
          <w:tblCellMar>
            <w:top w:w="0" w:type="dxa"/>
            <w:left w:w="108" w:type="dxa"/>
            <w:bottom w:w="0" w:type="dxa"/>
            <w:right w:w="108" w:type="dxa"/>
          </w:tblCellMar>
        </w:tblPrEx>
        <w:trPr>
          <w:trHeight w:val="600" w:hRule="atLeast"/>
        </w:trPr>
        <w:tc>
          <w:tcPr>
            <w:tcW w:w="4200" w:type="dxa"/>
          </w:tcPr>
          <w:p w14:paraId="678B2F39">
            <w:pPr>
              <w:spacing w:line="520" w:lineRule="exact"/>
              <w:jc w:val="left"/>
              <w:rPr>
                <w:rFonts w:asciiTheme="minorEastAsia" w:hAnsiTheme="minorEastAsia" w:eastAsiaTheme="minorEastAsia" w:cstheme="minorEastAsia"/>
                <w:spacing w:val="4"/>
                <w:szCs w:val="24"/>
                <w:highlight w:val="none"/>
              </w:rPr>
            </w:pPr>
            <w:r>
              <w:rPr>
                <w:rFonts w:hint="eastAsia" w:asciiTheme="minorEastAsia" w:hAnsiTheme="minorEastAsia" w:eastAsiaTheme="minorEastAsia" w:cstheme="minorEastAsia"/>
                <w:spacing w:val="4"/>
                <w:szCs w:val="24"/>
                <w:highlight w:val="none"/>
              </w:rPr>
              <w:t>职务：</w:t>
            </w:r>
          </w:p>
        </w:tc>
        <w:tc>
          <w:tcPr>
            <w:tcW w:w="3990" w:type="dxa"/>
          </w:tcPr>
          <w:p w14:paraId="5CC8B1A4">
            <w:pPr>
              <w:spacing w:line="520" w:lineRule="exact"/>
              <w:jc w:val="left"/>
              <w:rPr>
                <w:rFonts w:asciiTheme="minorEastAsia" w:hAnsiTheme="minorEastAsia" w:eastAsiaTheme="minorEastAsia" w:cstheme="minorEastAsia"/>
                <w:spacing w:val="4"/>
                <w:szCs w:val="24"/>
                <w:highlight w:val="none"/>
              </w:rPr>
            </w:pPr>
            <w:r>
              <w:rPr>
                <w:rFonts w:hint="eastAsia" w:asciiTheme="minorEastAsia" w:hAnsiTheme="minorEastAsia" w:eastAsiaTheme="minorEastAsia" w:cstheme="minorEastAsia"/>
                <w:spacing w:val="4"/>
                <w:szCs w:val="24"/>
                <w:highlight w:val="none"/>
              </w:rPr>
              <w:t>职务：</w:t>
            </w:r>
          </w:p>
        </w:tc>
      </w:tr>
      <w:tr w14:paraId="1DC9364D">
        <w:tblPrEx>
          <w:tblCellMar>
            <w:top w:w="0" w:type="dxa"/>
            <w:left w:w="108" w:type="dxa"/>
            <w:bottom w:w="0" w:type="dxa"/>
            <w:right w:w="108" w:type="dxa"/>
          </w:tblCellMar>
        </w:tblPrEx>
        <w:trPr>
          <w:trHeight w:val="600" w:hRule="atLeast"/>
        </w:trPr>
        <w:tc>
          <w:tcPr>
            <w:tcW w:w="4200" w:type="dxa"/>
          </w:tcPr>
          <w:p w14:paraId="4AD619FF">
            <w:pPr>
              <w:spacing w:line="520" w:lineRule="exact"/>
              <w:jc w:val="left"/>
              <w:rPr>
                <w:rFonts w:asciiTheme="minorEastAsia" w:hAnsiTheme="minorEastAsia" w:eastAsiaTheme="minorEastAsia" w:cstheme="minorEastAsia"/>
                <w:spacing w:val="4"/>
                <w:szCs w:val="24"/>
                <w:highlight w:val="none"/>
              </w:rPr>
            </w:pPr>
            <w:r>
              <w:rPr>
                <w:rFonts w:hint="eastAsia" w:asciiTheme="minorEastAsia" w:hAnsiTheme="minorEastAsia" w:eastAsiaTheme="minorEastAsia" w:cstheme="minorEastAsia"/>
                <w:spacing w:val="4"/>
                <w:szCs w:val="24"/>
                <w:highlight w:val="none"/>
              </w:rPr>
              <w:t>所在部门：</w:t>
            </w:r>
          </w:p>
        </w:tc>
        <w:tc>
          <w:tcPr>
            <w:tcW w:w="3990" w:type="dxa"/>
          </w:tcPr>
          <w:p w14:paraId="45D83950">
            <w:pPr>
              <w:spacing w:line="520" w:lineRule="exact"/>
              <w:jc w:val="left"/>
              <w:rPr>
                <w:rFonts w:asciiTheme="minorEastAsia" w:hAnsiTheme="minorEastAsia" w:eastAsiaTheme="minorEastAsia" w:cstheme="minorEastAsia"/>
                <w:spacing w:val="4"/>
                <w:szCs w:val="24"/>
                <w:highlight w:val="none"/>
              </w:rPr>
            </w:pPr>
          </w:p>
        </w:tc>
      </w:tr>
    </w:tbl>
    <w:p w14:paraId="22B1EC1D">
      <w:pPr>
        <w:spacing w:before="240" w:line="360" w:lineRule="auto"/>
        <w:ind w:firstLine="840" w:firstLineChars="400"/>
        <w:rPr>
          <w:rFonts w:asciiTheme="minorEastAsia" w:hAnsiTheme="minorEastAsia" w:eastAsiaTheme="minorEastAsia" w:cstheme="minorEastAsia"/>
          <w:highlight w:val="none"/>
          <w:u w:val="single"/>
        </w:rPr>
      </w:pPr>
      <w:r>
        <w:rPr>
          <w:rFonts w:hint="eastAsia" w:asciiTheme="minorEastAsia" w:hAnsiTheme="minorEastAsia" w:eastAsiaTheme="minorEastAsia" w:cstheme="minorEastAsia"/>
          <w:highlight w:val="none"/>
          <w:lang w:val="zh-CN"/>
        </w:rPr>
        <w:t>附法定代表人</w:t>
      </w:r>
      <w:r>
        <w:rPr>
          <w:rFonts w:hint="eastAsia" w:asciiTheme="minorEastAsia" w:hAnsiTheme="minorEastAsia" w:eastAsiaTheme="minorEastAsia" w:cstheme="minorEastAsia"/>
          <w:highlight w:val="none"/>
        </w:rPr>
        <w:t>、</w:t>
      </w:r>
      <w:r>
        <w:rPr>
          <w:rFonts w:hint="eastAsia" w:asciiTheme="minorEastAsia" w:hAnsiTheme="minorEastAsia" w:eastAsiaTheme="minorEastAsia" w:cstheme="minorEastAsia"/>
          <w:highlight w:val="none"/>
          <w:lang w:val="zh-CN"/>
        </w:rPr>
        <w:t>授权代表身份证复印件</w:t>
      </w:r>
    </w:p>
    <w:tbl>
      <w:tblPr>
        <w:tblStyle w:val="29"/>
        <w:tblW w:w="8357" w:type="dxa"/>
        <w:tblInd w:w="540" w:type="dxa"/>
        <w:tblLayout w:type="fixed"/>
        <w:tblCellMar>
          <w:top w:w="0" w:type="dxa"/>
          <w:left w:w="108" w:type="dxa"/>
          <w:bottom w:w="0" w:type="dxa"/>
          <w:right w:w="108" w:type="dxa"/>
        </w:tblCellMar>
      </w:tblPr>
      <w:tblGrid>
        <w:gridCol w:w="4246"/>
        <w:gridCol w:w="4111"/>
      </w:tblGrid>
      <w:tr w14:paraId="1BC7DD45">
        <w:tblPrEx>
          <w:tblCellMar>
            <w:top w:w="0" w:type="dxa"/>
            <w:left w:w="108" w:type="dxa"/>
            <w:bottom w:w="0" w:type="dxa"/>
            <w:right w:w="108" w:type="dxa"/>
          </w:tblCellMar>
        </w:tblPrEx>
        <w:trPr>
          <w:trHeight w:val="2818" w:hRule="atLeast"/>
        </w:trPr>
        <w:tc>
          <w:tcPr>
            <w:tcW w:w="4246" w:type="dxa"/>
            <w:tcBorders>
              <w:top w:val="single" w:color="auto" w:sz="6" w:space="0"/>
              <w:left w:val="single" w:color="auto" w:sz="6" w:space="0"/>
              <w:bottom w:val="single" w:color="auto" w:sz="6" w:space="0"/>
              <w:right w:val="single" w:color="auto" w:sz="6" w:space="0"/>
            </w:tcBorders>
            <w:vAlign w:val="center"/>
          </w:tcPr>
          <w:p w14:paraId="43AD3325">
            <w:pPr>
              <w:spacing w:line="360" w:lineRule="auto"/>
              <w:jc w:val="center"/>
              <w:rPr>
                <w:rFonts w:asciiTheme="minorEastAsia" w:hAnsiTheme="minorEastAsia" w:eastAsiaTheme="minorEastAsia" w:cstheme="minorEastAsia"/>
                <w:szCs w:val="21"/>
                <w:highlight w:val="none"/>
                <w:lang w:val="zh-CN"/>
              </w:rPr>
            </w:pPr>
            <w:r>
              <w:rPr>
                <w:rFonts w:hint="eastAsia" w:asciiTheme="minorEastAsia" w:hAnsiTheme="minorEastAsia" w:eastAsiaTheme="minorEastAsia" w:cstheme="minorEastAsia"/>
                <w:szCs w:val="21"/>
                <w:highlight w:val="none"/>
                <w:lang w:val="zh-CN"/>
              </w:rPr>
              <w:t>法定代表人身份证复印件粘贴处</w:t>
            </w:r>
          </w:p>
          <w:p w14:paraId="63EAAB22">
            <w:pPr>
              <w:spacing w:line="360" w:lineRule="auto"/>
              <w:jc w:val="center"/>
              <w:rPr>
                <w:rFonts w:asciiTheme="minorEastAsia" w:hAnsiTheme="minorEastAsia" w:eastAsiaTheme="minorEastAsia" w:cstheme="minorEastAsia"/>
                <w:szCs w:val="21"/>
                <w:highlight w:val="none"/>
                <w:u w:val="single"/>
              </w:rPr>
            </w:pPr>
            <w:r>
              <w:rPr>
                <w:rFonts w:hint="eastAsia" w:asciiTheme="minorEastAsia" w:hAnsiTheme="minorEastAsia" w:eastAsiaTheme="minorEastAsia" w:cstheme="minorEastAsia"/>
                <w:szCs w:val="21"/>
                <w:highlight w:val="none"/>
                <w:lang w:val="zh-CN"/>
              </w:rPr>
              <w:t>（正反面）</w:t>
            </w:r>
          </w:p>
        </w:tc>
        <w:tc>
          <w:tcPr>
            <w:tcW w:w="4111" w:type="dxa"/>
            <w:tcBorders>
              <w:top w:val="single" w:color="auto" w:sz="6" w:space="0"/>
              <w:left w:val="single" w:color="auto" w:sz="6" w:space="0"/>
              <w:bottom w:val="single" w:color="auto" w:sz="6" w:space="0"/>
              <w:right w:val="single" w:color="auto" w:sz="6" w:space="0"/>
            </w:tcBorders>
            <w:vAlign w:val="center"/>
          </w:tcPr>
          <w:p w14:paraId="5760FC9A">
            <w:pPr>
              <w:autoSpaceDE w:val="0"/>
              <w:autoSpaceDN w:val="0"/>
              <w:adjustRightInd w:val="0"/>
              <w:snapToGrid w:val="0"/>
              <w:spacing w:beforeLines="50" w:line="360" w:lineRule="auto"/>
              <w:jc w:val="center"/>
              <w:rPr>
                <w:rFonts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4"/>
                <w:highlight w:val="none"/>
              </w:rPr>
              <w:t>授权代表</w:t>
            </w:r>
            <w:r>
              <w:rPr>
                <w:rFonts w:hint="eastAsia" w:asciiTheme="minorEastAsia" w:hAnsiTheme="minorEastAsia" w:eastAsiaTheme="minorEastAsia" w:cstheme="minorEastAsia"/>
                <w:szCs w:val="21"/>
                <w:highlight w:val="none"/>
              </w:rPr>
              <w:t>身份证复印件粘贴处</w:t>
            </w:r>
          </w:p>
          <w:p w14:paraId="661B3604">
            <w:pPr>
              <w:autoSpaceDE w:val="0"/>
              <w:autoSpaceDN w:val="0"/>
              <w:adjustRightInd w:val="0"/>
              <w:snapToGrid w:val="0"/>
              <w:spacing w:beforeLines="50" w:line="360" w:lineRule="auto"/>
              <w:jc w:val="center"/>
              <w:rPr>
                <w:rFonts w:asciiTheme="minorEastAsia" w:hAnsiTheme="minorEastAsia" w:eastAsiaTheme="minorEastAsia" w:cstheme="minorEastAsia"/>
                <w:highlight w:val="none"/>
                <w:u w:val="single"/>
              </w:rPr>
            </w:pPr>
            <w:r>
              <w:rPr>
                <w:rFonts w:hint="eastAsia" w:asciiTheme="minorEastAsia" w:hAnsiTheme="minorEastAsia" w:eastAsiaTheme="minorEastAsia" w:cstheme="minorEastAsia"/>
                <w:szCs w:val="21"/>
                <w:highlight w:val="none"/>
              </w:rPr>
              <w:t>（正反面）</w:t>
            </w:r>
          </w:p>
        </w:tc>
      </w:tr>
    </w:tbl>
    <w:p w14:paraId="0F28EB90">
      <w:pPr>
        <w:spacing w:line="480" w:lineRule="auto"/>
        <w:ind w:left="424" w:leftChars="202" w:right="540" w:rightChars="257"/>
        <w:jc w:val="left"/>
        <w:rPr>
          <w:rFonts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投标人名称：</w:t>
      </w:r>
      <w:r>
        <w:rPr>
          <w:rFonts w:hint="eastAsia" w:asciiTheme="minorEastAsia" w:hAnsiTheme="minorEastAsia" w:eastAsiaTheme="minorEastAsia" w:cstheme="minorEastAsia"/>
          <w:highlight w:val="none"/>
          <w:u w:val="single"/>
        </w:rPr>
        <w:t xml:space="preserve">      （加盖单位公章）      </w:t>
      </w:r>
    </w:p>
    <w:p w14:paraId="6BB82F4B">
      <w:pPr>
        <w:spacing w:line="440" w:lineRule="exact"/>
        <w:ind w:left="424" w:leftChars="202"/>
        <w:rPr>
          <w:rFonts w:asciiTheme="minorEastAsia" w:hAnsiTheme="minorEastAsia" w:eastAsiaTheme="minorEastAsia" w:cstheme="minorEastAsia"/>
          <w:spacing w:val="4"/>
          <w:szCs w:val="30"/>
          <w:highlight w:val="none"/>
        </w:rPr>
      </w:pPr>
      <w:r>
        <w:rPr>
          <w:rFonts w:hint="eastAsia" w:asciiTheme="minorEastAsia" w:hAnsiTheme="minorEastAsia" w:eastAsiaTheme="minorEastAsia" w:cstheme="minorEastAsia"/>
          <w:spacing w:val="4"/>
          <w:szCs w:val="30"/>
          <w:highlight w:val="none"/>
        </w:rPr>
        <w:t>日   期：</w:t>
      </w:r>
    </w:p>
    <w:p w14:paraId="09DD028A">
      <w:pPr>
        <w:ind w:firstLine="422" w:firstLineChars="200"/>
        <w:rPr>
          <w:rFonts w:asciiTheme="minorEastAsia" w:hAnsiTheme="minorEastAsia" w:eastAsiaTheme="minorEastAsia" w:cstheme="minorEastAsia"/>
          <w:b/>
          <w:bCs/>
          <w:highlight w:val="none"/>
          <w:lang w:val="zh-CN"/>
        </w:rPr>
      </w:pPr>
    </w:p>
    <w:p w14:paraId="5EA473B6">
      <w:pPr>
        <w:ind w:firstLine="436" w:firstLineChars="200"/>
        <w:rPr>
          <w:rFonts w:hint="eastAsia" w:ascii="宋体" w:hAnsi="宋体" w:cs="宋体"/>
          <w:b/>
          <w:kern w:val="0"/>
          <w:sz w:val="24"/>
          <w:szCs w:val="24"/>
          <w:highlight w:val="none"/>
        </w:rPr>
      </w:pPr>
      <w:bookmarkStart w:id="248" w:name="_Toc25905"/>
      <w:r>
        <w:rPr>
          <w:rFonts w:hint="eastAsia" w:asciiTheme="minorEastAsia" w:hAnsiTheme="minorEastAsia" w:eastAsiaTheme="minorEastAsia" w:cstheme="minorEastAsia"/>
          <w:spacing w:val="4"/>
          <w:szCs w:val="30"/>
          <w:highlight w:val="none"/>
        </w:rPr>
        <w:br w:type="page"/>
      </w:r>
      <w:bookmarkEnd w:id="248"/>
    </w:p>
    <w:p w14:paraId="3E7A5A64">
      <w:pPr>
        <w:widowControl/>
        <w:spacing w:line="360" w:lineRule="auto"/>
        <w:ind w:left="1" w:firstLine="241" w:firstLineChars="100"/>
        <w:jc w:val="center"/>
        <w:rPr>
          <w:rFonts w:ascii="宋体" w:hAnsi="宋体" w:cs="宋体"/>
          <w:b/>
          <w:kern w:val="0"/>
          <w:sz w:val="24"/>
          <w:szCs w:val="24"/>
          <w:highlight w:val="none"/>
        </w:rPr>
      </w:pPr>
      <w:r>
        <w:rPr>
          <w:rFonts w:hint="eastAsia" w:ascii="宋体" w:hAnsi="宋体" w:cs="宋体"/>
          <w:b/>
          <w:kern w:val="0"/>
          <w:sz w:val="24"/>
          <w:szCs w:val="24"/>
          <w:highlight w:val="none"/>
        </w:rPr>
        <w:t>参加政府采购活动前3年内在经营活动中没有重大违法纪录的书面声明</w:t>
      </w:r>
    </w:p>
    <w:p w14:paraId="61603FC9">
      <w:pPr>
        <w:widowControl/>
        <w:spacing w:line="360" w:lineRule="auto"/>
        <w:ind w:left="1"/>
        <w:jc w:val="center"/>
        <w:rPr>
          <w:rFonts w:ascii="宋体" w:hAnsi="宋体" w:cs="宋体"/>
          <w:b/>
          <w:kern w:val="0"/>
          <w:sz w:val="24"/>
          <w:szCs w:val="24"/>
          <w:highlight w:val="none"/>
        </w:rPr>
      </w:pPr>
      <w:r>
        <w:rPr>
          <w:rFonts w:hint="eastAsia" w:ascii="宋体" w:hAnsi="宋体" w:cs="宋体"/>
          <w:b/>
          <w:kern w:val="0"/>
          <w:sz w:val="24"/>
          <w:szCs w:val="24"/>
          <w:highlight w:val="none"/>
        </w:rPr>
        <w:t>（格式）</w:t>
      </w:r>
    </w:p>
    <w:p w14:paraId="314FDC2E">
      <w:pPr>
        <w:pStyle w:val="26"/>
        <w:wordWrap w:val="0"/>
        <w:spacing w:line="560" w:lineRule="exact"/>
        <w:rPr>
          <w:rFonts w:hint="eastAsia" w:ascii="宋体" w:hAnsi="宋体" w:cs="宋体"/>
          <w:color w:val="auto"/>
          <w:highlight w:val="none"/>
          <w:u w:val="single"/>
          <w:shd w:val="clear" w:color="auto" w:fill="FFFFFF"/>
        </w:rPr>
      </w:pPr>
    </w:p>
    <w:p w14:paraId="672B229C">
      <w:pPr>
        <w:pStyle w:val="26"/>
        <w:wordWrap w:val="0"/>
        <w:spacing w:line="560" w:lineRule="exact"/>
        <w:rPr>
          <w:rFonts w:ascii="宋体" w:hAnsi="宋体" w:cs="宋体"/>
          <w:color w:val="auto"/>
          <w:highlight w:val="none"/>
          <w:u w:val="single"/>
          <w:shd w:val="clear" w:color="auto" w:fill="FFFFFF"/>
        </w:rPr>
      </w:pPr>
      <w:r>
        <w:rPr>
          <w:rFonts w:hint="eastAsia" w:ascii="宋体" w:hAnsi="宋体" w:cs="宋体"/>
          <w:color w:val="auto"/>
          <w:highlight w:val="none"/>
          <w:u w:val="single"/>
          <w:shd w:val="clear" w:color="auto" w:fill="FFFFFF"/>
        </w:rPr>
        <w:t xml:space="preserve">      （采购人）           ：</w:t>
      </w:r>
    </w:p>
    <w:p w14:paraId="0867A1B5">
      <w:pPr>
        <w:pStyle w:val="26"/>
        <w:wordWrap w:val="0"/>
        <w:spacing w:line="560" w:lineRule="exact"/>
        <w:ind w:firstLine="640"/>
        <w:rPr>
          <w:rFonts w:ascii="宋体" w:hAnsi="宋体" w:cs="宋体"/>
          <w:color w:val="auto"/>
          <w:highlight w:val="none"/>
        </w:rPr>
      </w:pPr>
      <w:r>
        <w:rPr>
          <w:rFonts w:hint="eastAsia" w:ascii="宋体" w:hAnsi="宋体" w:cs="宋体"/>
          <w:color w:val="auto"/>
          <w:highlight w:val="none"/>
          <w:shd w:val="clear" w:color="auto" w:fill="FFFFFF"/>
        </w:rPr>
        <w:t>我方作为项目名称</w:t>
      </w:r>
      <w:r>
        <w:rPr>
          <w:rFonts w:hint="eastAsia" w:ascii="宋体" w:hAnsi="宋体" w:cs="宋体"/>
          <w:color w:val="auto"/>
          <w:highlight w:val="none"/>
          <w:u w:val="single"/>
          <w:shd w:val="clear" w:color="auto" w:fill="FFFFFF"/>
        </w:rPr>
        <w:t xml:space="preserve">             </w:t>
      </w:r>
      <w:r>
        <w:rPr>
          <w:rFonts w:hint="eastAsia" w:ascii="宋体" w:hAnsi="宋体" w:cs="宋体"/>
          <w:color w:val="auto"/>
          <w:highlight w:val="none"/>
          <w:shd w:val="clear" w:color="auto" w:fill="FFFFFF"/>
        </w:rPr>
        <w:t>（项目编号</w:t>
      </w:r>
      <w:r>
        <w:rPr>
          <w:rFonts w:hint="eastAsia" w:ascii="宋体" w:hAnsi="宋体" w:cs="宋体"/>
          <w:color w:val="auto"/>
          <w:highlight w:val="none"/>
          <w:shd w:val="clear" w:color="auto" w:fill="FFFFFF"/>
          <w:lang w:eastAsia="zh-CN"/>
        </w:rPr>
        <w:t>、</w:t>
      </w:r>
      <w:r>
        <w:rPr>
          <w:rFonts w:hint="eastAsia" w:ascii="宋体" w:hAnsi="宋体" w:cs="宋体"/>
          <w:color w:val="auto"/>
          <w:highlight w:val="none"/>
          <w:shd w:val="clear" w:color="auto" w:fill="FFFFFF"/>
          <w:lang w:val="en-US" w:eastAsia="zh-CN"/>
        </w:rPr>
        <w:t>包号：</w:t>
      </w:r>
      <w:r>
        <w:rPr>
          <w:rFonts w:hint="eastAsia" w:ascii="宋体" w:hAnsi="宋体" w:cs="宋体"/>
          <w:color w:val="auto"/>
          <w:highlight w:val="none"/>
          <w:u w:val="single"/>
          <w:shd w:val="clear" w:color="auto" w:fill="FFFFFF"/>
          <w:lang w:val="en-US" w:eastAsia="zh-CN"/>
        </w:rPr>
        <w:t xml:space="preserve">     </w:t>
      </w:r>
      <w:r>
        <w:rPr>
          <w:rFonts w:hint="eastAsia" w:ascii="宋体" w:hAnsi="宋体" w:cs="宋体"/>
          <w:color w:val="auto"/>
          <w:highlight w:val="none"/>
          <w:shd w:val="clear" w:color="auto" w:fill="FFFFFF"/>
        </w:rPr>
        <w:t xml:space="preserve">）的供应商，在此郑重声明： </w:t>
      </w:r>
    </w:p>
    <w:p w14:paraId="2F2923E7">
      <w:pPr>
        <w:pStyle w:val="26"/>
        <w:wordWrap w:val="0"/>
        <w:spacing w:line="560" w:lineRule="exact"/>
        <w:ind w:firstLine="420"/>
        <w:rPr>
          <w:rFonts w:hint="eastAsia" w:ascii="宋体" w:hAnsi="宋体" w:cs="宋体"/>
          <w:color w:val="auto"/>
          <w:highlight w:val="none"/>
          <w:shd w:val="clear" w:color="auto" w:fill="FFFFFF"/>
        </w:rPr>
      </w:pPr>
      <w:r>
        <w:rPr>
          <w:rFonts w:hint="eastAsia" w:ascii="宋体" w:hAnsi="宋体" w:cs="宋体"/>
          <w:color w:val="auto"/>
          <w:highlight w:val="none"/>
          <w:shd w:val="clear" w:color="auto" w:fill="FFFFFF"/>
        </w:rPr>
        <w:t>在参加本次政府采购活动前3年内的经营活动中</w:t>
      </w:r>
      <w:r>
        <w:rPr>
          <w:rFonts w:hint="eastAsia" w:ascii="宋体" w:hAnsi="宋体" w:cs="宋体"/>
          <w:color w:val="auto"/>
          <w:highlight w:val="none"/>
          <w:u w:val="single"/>
          <w:shd w:val="clear" w:color="auto" w:fill="FFFFFF"/>
        </w:rPr>
        <w:t xml:space="preserve">          </w:t>
      </w:r>
      <w:r>
        <w:rPr>
          <w:rFonts w:hint="eastAsia" w:ascii="宋体" w:hAnsi="宋体" w:cs="宋体"/>
          <w:color w:val="auto"/>
          <w:highlight w:val="none"/>
          <w:shd w:val="clear" w:color="auto" w:fill="FFFFFF"/>
        </w:rPr>
        <w:t>（填“没有”或“有”）重大违法记录。供应商在参加政府采购活动前3年内因违法经营被禁止在一定期限内参加政府采购活动，期限届满的，可以参加政府采购活动，但应提供期限届满的证明材料。</w:t>
      </w:r>
    </w:p>
    <w:p w14:paraId="17B3EDD6">
      <w:pPr>
        <w:pStyle w:val="26"/>
        <w:wordWrap w:val="0"/>
        <w:spacing w:line="560" w:lineRule="exact"/>
        <w:ind w:firstLine="420"/>
        <w:rPr>
          <w:rFonts w:ascii="宋体" w:hAnsi="宋体" w:cs="宋体"/>
          <w:color w:val="auto"/>
          <w:highlight w:val="none"/>
        </w:rPr>
      </w:pPr>
      <w:r>
        <w:rPr>
          <w:rFonts w:hint="eastAsia" w:ascii="宋体" w:hAnsi="宋体" w:cs="宋体"/>
          <w:color w:val="auto"/>
          <w:highlight w:val="none"/>
          <w:shd w:val="clear" w:color="auto" w:fill="FFFFFF"/>
        </w:rPr>
        <w:t xml:space="preserve">如有不实，我方将无条件地退出本项目的采购活动，并遵照《政府采购法》有关“提供虚假材料的规定”接受处罚。 </w:t>
      </w:r>
    </w:p>
    <w:p w14:paraId="686B6596">
      <w:pPr>
        <w:pStyle w:val="26"/>
        <w:wordWrap w:val="0"/>
        <w:spacing w:line="560" w:lineRule="exact"/>
        <w:ind w:firstLine="420"/>
        <w:rPr>
          <w:rFonts w:ascii="宋体" w:hAnsi="宋体" w:cs="宋体"/>
          <w:color w:val="auto"/>
          <w:highlight w:val="none"/>
          <w:shd w:val="clear" w:color="auto" w:fill="FFFFFF"/>
        </w:rPr>
      </w:pPr>
      <w:r>
        <w:rPr>
          <w:rFonts w:hint="eastAsia" w:ascii="宋体" w:hAnsi="宋体" w:cs="宋体"/>
          <w:color w:val="auto"/>
          <w:highlight w:val="none"/>
          <w:shd w:val="clear" w:color="auto" w:fill="FFFFFF"/>
        </w:rPr>
        <w:t>特此声明！</w:t>
      </w:r>
    </w:p>
    <w:p w14:paraId="6A4203FA">
      <w:pPr>
        <w:pStyle w:val="26"/>
        <w:wordWrap w:val="0"/>
        <w:spacing w:line="560" w:lineRule="exact"/>
        <w:ind w:firstLine="420"/>
        <w:rPr>
          <w:rFonts w:ascii="宋体" w:hAnsi="宋体" w:cs="宋体"/>
          <w:color w:val="auto"/>
          <w:highlight w:val="none"/>
          <w:shd w:val="clear" w:color="auto" w:fill="FFFFFF"/>
        </w:rPr>
      </w:pPr>
    </w:p>
    <w:p w14:paraId="11894A78">
      <w:pPr>
        <w:spacing w:line="480" w:lineRule="auto"/>
        <w:ind w:firstLine="3360" w:firstLineChars="1400"/>
        <w:rPr>
          <w:rFonts w:ascii="宋体" w:hAnsi="宋体" w:cs="宋体"/>
          <w:sz w:val="24"/>
          <w:highlight w:val="none"/>
        </w:rPr>
      </w:pPr>
      <w:r>
        <w:rPr>
          <w:rFonts w:hint="eastAsia" w:ascii="宋体" w:hAnsi="宋体" w:cs="宋体"/>
          <w:sz w:val="24"/>
          <w:highlight w:val="none"/>
        </w:rPr>
        <w:t>投标人名称：</w:t>
      </w:r>
      <w:r>
        <w:rPr>
          <w:rFonts w:hint="eastAsia" w:ascii="宋体" w:hAnsi="宋体" w:cs="宋体"/>
          <w:sz w:val="24"/>
          <w:highlight w:val="none"/>
          <w:u w:val="single"/>
        </w:rPr>
        <w:t xml:space="preserve">               </w:t>
      </w:r>
      <w:r>
        <w:rPr>
          <w:rFonts w:hint="eastAsia" w:ascii="宋体" w:hAnsi="宋体" w:cs="宋体"/>
          <w:sz w:val="24"/>
          <w:highlight w:val="none"/>
        </w:rPr>
        <w:t>（盖章）</w:t>
      </w:r>
    </w:p>
    <w:p w14:paraId="793D77D9">
      <w:pPr>
        <w:pStyle w:val="53"/>
        <w:spacing w:beforeLines="50"/>
        <w:ind w:firstLine="3360" w:firstLineChars="1400"/>
        <w:rPr>
          <w:rFonts w:ascii="宋体" w:hAnsi="宋体" w:cs="宋体"/>
          <w:sz w:val="24"/>
          <w:szCs w:val="24"/>
          <w:highlight w:val="none"/>
        </w:rPr>
      </w:pPr>
      <w:r>
        <w:rPr>
          <w:rFonts w:hint="eastAsia" w:ascii="宋体" w:hAnsi="宋体" w:cs="宋体"/>
          <w:sz w:val="24"/>
          <w:szCs w:val="24"/>
          <w:highlight w:val="none"/>
        </w:rPr>
        <w:t>日        期：</w:t>
      </w:r>
      <w:r>
        <w:rPr>
          <w:rFonts w:hint="eastAsia" w:ascii="宋体" w:hAnsi="宋体" w:cs="宋体"/>
          <w:sz w:val="24"/>
          <w:szCs w:val="24"/>
          <w:highlight w:val="none"/>
          <w:u w:val="single"/>
        </w:rPr>
        <w:t xml:space="preserve">      </w:t>
      </w:r>
      <w:r>
        <w:rPr>
          <w:rFonts w:hint="eastAsia" w:ascii="宋体" w:hAnsi="宋体" w:cs="宋体"/>
          <w:sz w:val="24"/>
          <w:szCs w:val="24"/>
          <w:highlight w:val="none"/>
        </w:rPr>
        <w:t>年</w:t>
      </w:r>
      <w:r>
        <w:rPr>
          <w:rFonts w:hint="eastAsia" w:ascii="宋体" w:hAnsi="宋体" w:cs="宋体"/>
          <w:sz w:val="24"/>
          <w:szCs w:val="24"/>
          <w:highlight w:val="none"/>
          <w:u w:val="single"/>
        </w:rPr>
        <w:t xml:space="preserve">     </w:t>
      </w:r>
      <w:r>
        <w:rPr>
          <w:rFonts w:hint="eastAsia" w:ascii="宋体" w:hAnsi="宋体" w:cs="宋体"/>
          <w:sz w:val="24"/>
          <w:szCs w:val="24"/>
          <w:highlight w:val="none"/>
        </w:rPr>
        <w:t>月</w:t>
      </w:r>
      <w:r>
        <w:rPr>
          <w:rFonts w:hint="eastAsia" w:ascii="宋体" w:hAnsi="宋体" w:cs="宋体"/>
          <w:sz w:val="24"/>
          <w:szCs w:val="24"/>
          <w:highlight w:val="none"/>
          <w:u w:val="single"/>
        </w:rPr>
        <w:t xml:space="preserve">     </w:t>
      </w:r>
      <w:r>
        <w:rPr>
          <w:rFonts w:hint="eastAsia" w:ascii="宋体" w:hAnsi="宋体" w:cs="宋体"/>
          <w:sz w:val="24"/>
          <w:szCs w:val="24"/>
          <w:highlight w:val="none"/>
        </w:rPr>
        <w:t>日</w:t>
      </w:r>
    </w:p>
    <w:p w14:paraId="3284D777">
      <w:pPr>
        <w:adjustRightInd w:val="0"/>
        <w:snapToGrid w:val="0"/>
        <w:spacing w:line="360" w:lineRule="auto"/>
        <w:jc w:val="center"/>
        <w:rPr>
          <w:rFonts w:asciiTheme="minorEastAsia" w:hAnsiTheme="minorEastAsia" w:eastAsiaTheme="minorEastAsia" w:cstheme="minorEastAsia"/>
          <w:b/>
          <w:sz w:val="28"/>
          <w:szCs w:val="28"/>
          <w:highlight w:val="none"/>
        </w:rPr>
      </w:pPr>
      <w:r>
        <w:rPr>
          <w:rFonts w:hint="eastAsia" w:asciiTheme="minorEastAsia" w:hAnsiTheme="minorEastAsia" w:eastAsiaTheme="minorEastAsia" w:cstheme="minorEastAsia"/>
          <w:b/>
          <w:sz w:val="28"/>
          <w:szCs w:val="28"/>
          <w:highlight w:val="none"/>
        </w:rPr>
        <w:br w:type="page"/>
      </w:r>
    </w:p>
    <w:p w14:paraId="75B1A8C2">
      <w:pPr>
        <w:adjustRightInd w:val="0"/>
        <w:snapToGrid w:val="0"/>
        <w:spacing w:line="360" w:lineRule="auto"/>
        <w:jc w:val="center"/>
        <w:rPr>
          <w:rFonts w:asciiTheme="minorEastAsia" w:hAnsiTheme="minorEastAsia" w:eastAsiaTheme="minorEastAsia" w:cstheme="minorEastAsia"/>
          <w:b/>
          <w:sz w:val="28"/>
          <w:szCs w:val="28"/>
          <w:highlight w:val="none"/>
        </w:rPr>
      </w:pPr>
    </w:p>
    <w:p w14:paraId="04B63481">
      <w:pPr>
        <w:adjustRightInd w:val="0"/>
        <w:snapToGrid w:val="0"/>
        <w:spacing w:line="360" w:lineRule="auto"/>
        <w:jc w:val="center"/>
        <w:rPr>
          <w:rFonts w:ascii="宋体" w:hAnsi="宋体" w:cs="宋体"/>
          <w:b/>
          <w:sz w:val="28"/>
          <w:szCs w:val="28"/>
          <w:highlight w:val="none"/>
        </w:rPr>
      </w:pPr>
      <w:r>
        <w:rPr>
          <w:rFonts w:hint="eastAsia" w:ascii="宋体" w:hAnsi="宋体" w:cs="宋体"/>
          <w:b/>
          <w:sz w:val="28"/>
          <w:szCs w:val="28"/>
          <w:highlight w:val="none"/>
        </w:rPr>
        <w:t>具有履行本合同所必需的设备和专业技术能力的书面声明</w:t>
      </w:r>
    </w:p>
    <w:p w14:paraId="661FB0D3">
      <w:pPr>
        <w:widowControl/>
        <w:spacing w:line="360" w:lineRule="auto"/>
        <w:ind w:left="1"/>
        <w:jc w:val="center"/>
        <w:rPr>
          <w:rFonts w:ascii="宋体" w:hAnsi="宋体" w:cs="宋体"/>
          <w:b/>
          <w:kern w:val="0"/>
          <w:sz w:val="28"/>
          <w:szCs w:val="28"/>
          <w:highlight w:val="none"/>
        </w:rPr>
      </w:pPr>
      <w:r>
        <w:rPr>
          <w:rFonts w:hint="eastAsia" w:ascii="宋体" w:hAnsi="宋体" w:cs="宋体"/>
          <w:b/>
          <w:kern w:val="0"/>
          <w:sz w:val="28"/>
          <w:szCs w:val="28"/>
          <w:highlight w:val="none"/>
        </w:rPr>
        <w:t>（格式）</w:t>
      </w:r>
    </w:p>
    <w:p w14:paraId="1C1587AB">
      <w:pPr>
        <w:rPr>
          <w:highlight w:val="none"/>
        </w:rPr>
      </w:pPr>
    </w:p>
    <w:p w14:paraId="7D8C93C2">
      <w:pPr>
        <w:pStyle w:val="16"/>
        <w:adjustRightInd w:val="0"/>
        <w:snapToGrid w:val="0"/>
        <w:spacing w:line="720" w:lineRule="exact"/>
        <w:jc w:val="center"/>
        <w:rPr>
          <w:rFonts w:hAnsi="宋体"/>
          <w:b/>
          <w:sz w:val="28"/>
          <w:szCs w:val="28"/>
          <w:highlight w:val="none"/>
        </w:rPr>
      </w:pPr>
    </w:p>
    <w:p w14:paraId="6964F429">
      <w:pPr>
        <w:spacing w:line="720" w:lineRule="exact"/>
        <w:rPr>
          <w:rFonts w:ascii="宋体" w:hAnsi="宋体" w:cs="宋体"/>
          <w:spacing w:val="4"/>
          <w:sz w:val="24"/>
          <w:highlight w:val="none"/>
          <w:u w:val="single"/>
        </w:rPr>
      </w:pPr>
      <w:r>
        <w:rPr>
          <w:rFonts w:hint="eastAsia" w:ascii="宋体" w:hAnsi="宋体" w:cs="宋体"/>
          <w:spacing w:val="4"/>
          <w:sz w:val="24"/>
          <w:highlight w:val="none"/>
          <w:u w:val="single"/>
        </w:rPr>
        <w:t xml:space="preserve">     （采购人）    ：</w:t>
      </w:r>
    </w:p>
    <w:p w14:paraId="1E2237C6">
      <w:pPr>
        <w:pStyle w:val="16"/>
        <w:adjustRightInd w:val="0"/>
        <w:snapToGrid w:val="0"/>
        <w:spacing w:line="720" w:lineRule="exact"/>
        <w:rPr>
          <w:rFonts w:hAnsi="宋体"/>
          <w:spacing w:val="4"/>
          <w:sz w:val="24"/>
          <w:szCs w:val="24"/>
          <w:highlight w:val="none"/>
        </w:rPr>
      </w:pPr>
      <w:r>
        <w:rPr>
          <w:rFonts w:hint="eastAsia" w:hAnsi="宋体"/>
          <w:spacing w:val="4"/>
          <w:sz w:val="24"/>
          <w:szCs w:val="24"/>
          <w:highlight w:val="none"/>
        </w:rPr>
        <w:t xml:space="preserve">   </w:t>
      </w:r>
      <w:r>
        <w:rPr>
          <w:rFonts w:hint="eastAsia" w:hAnsi="宋体"/>
          <w:spacing w:val="4"/>
          <w:sz w:val="24"/>
          <w:szCs w:val="24"/>
          <w:highlight w:val="none"/>
          <w:u w:val="single"/>
        </w:rPr>
        <w:t xml:space="preserve">      （供应商名称）    </w:t>
      </w:r>
      <w:r>
        <w:rPr>
          <w:rFonts w:hint="eastAsia" w:hAnsi="宋体"/>
          <w:spacing w:val="4"/>
          <w:sz w:val="24"/>
          <w:szCs w:val="24"/>
          <w:highlight w:val="none"/>
        </w:rPr>
        <w:t xml:space="preserve"> 于</w:t>
      </w:r>
      <w:r>
        <w:rPr>
          <w:rFonts w:hint="eastAsia" w:hAnsi="宋体"/>
          <w:spacing w:val="4"/>
          <w:sz w:val="24"/>
          <w:szCs w:val="24"/>
          <w:highlight w:val="none"/>
          <w:u w:val="single"/>
        </w:rPr>
        <w:t xml:space="preserve">     </w:t>
      </w:r>
      <w:r>
        <w:rPr>
          <w:rFonts w:hint="eastAsia" w:hAnsi="宋体"/>
          <w:spacing w:val="4"/>
          <w:sz w:val="24"/>
          <w:szCs w:val="24"/>
          <w:highlight w:val="none"/>
        </w:rPr>
        <w:t>年</w:t>
      </w:r>
      <w:r>
        <w:rPr>
          <w:rFonts w:hint="eastAsia" w:hAnsi="宋体"/>
          <w:spacing w:val="4"/>
          <w:sz w:val="24"/>
          <w:szCs w:val="24"/>
          <w:highlight w:val="none"/>
          <w:u w:val="single"/>
        </w:rPr>
        <w:t xml:space="preserve">    </w:t>
      </w:r>
      <w:r>
        <w:rPr>
          <w:rFonts w:hint="eastAsia" w:hAnsi="宋体"/>
          <w:spacing w:val="4"/>
          <w:sz w:val="24"/>
          <w:szCs w:val="24"/>
          <w:highlight w:val="none"/>
        </w:rPr>
        <w:t>月</w:t>
      </w:r>
      <w:r>
        <w:rPr>
          <w:rFonts w:hint="eastAsia" w:hAnsi="宋体"/>
          <w:spacing w:val="4"/>
          <w:sz w:val="24"/>
          <w:szCs w:val="24"/>
          <w:highlight w:val="none"/>
          <w:u w:val="single"/>
        </w:rPr>
        <w:t xml:space="preserve">   </w:t>
      </w:r>
      <w:r>
        <w:rPr>
          <w:rFonts w:hint="eastAsia" w:hAnsi="宋体"/>
          <w:spacing w:val="4"/>
          <w:sz w:val="24"/>
          <w:szCs w:val="24"/>
          <w:highlight w:val="none"/>
        </w:rPr>
        <w:t>日在中华人民共和国境内</w:t>
      </w:r>
      <w:r>
        <w:rPr>
          <w:rFonts w:hint="eastAsia" w:hAnsi="宋体"/>
          <w:spacing w:val="4"/>
          <w:sz w:val="24"/>
          <w:szCs w:val="24"/>
          <w:highlight w:val="none"/>
          <w:u w:val="single"/>
        </w:rPr>
        <w:t xml:space="preserve">               （详细注册地址）     </w:t>
      </w:r>
      <w:r>
        <w:rPr>
          <w:rFonts w:hint="eastAsia" w:hAnsi="宋体"/>
          <w:spacing w:val="4"/>
          <w:sz w:val="24"/>
          <w:szCs w:val="24"/>
          <w:highlight w:val="none"/>
        </w:rPr>
        <w:t>合法注册并经营，公司主营业务为</w:t>
      </w:r>
      <w:r>
        <w:rPr>
          <w:rFonts w:hint="eastAsia" w:hAnsi="宋体"/>
          <w:spacing w:val="4"/>
          <w:sz w:val="24"/>
          <w:szCs w:val="24"/>
          <w:highlight w:val="none"/>
          <w:u w:val="single"/>
        </w:rPr>
        <w:t xml:space="preserve">                        </w:t>
      </w:r>
      <w:r>
        <w:rPr>
          <w:rFonts w:hint="eastAsia" w:hAnsi="宋体"/>
          <w:spacing w:val="4"/>
          <w:sz w:val="24"/>
          <w:szCs w:val="24"/>
          <w:highlight w:val="none"/>
        </w:rPr>
        <w:t>。</w:t>
      </w:r>
    </w:p>
    <w:p w14:paraId="14A16649">
      <w:pPr>
        <w:pStyle w:val="16"/>
        <w:adjustRightInd w:val="0"/>
        <w:snapToGrid w:val="0"/>
        <w:spacing w:line="720" w:lineRule="exact"/>
        <w:ind w:firstLine="550" w:firstLineChars="222"/>
        <w:rPr>
          <w:rFonts w:hAnsi="宋体"/>
          <w:spacing w:val="4"/>
          <w:sz w:val="24"/>
          <w:szCs w:val="24"/>
          <w:highlight w:val="none"/>
        </w:rPr>
      </w:pPr>
      <w:r>
        <w:rPr>
          <w:rFonts w:hint="eastAsia" w:hAnsi="宋体"/>
          <w:spacing w:val="4"/>
          <w:sz w:val="24"/>
          <w:szCs w:val="24"/>
          <w:highlight w:val="none"/>
        </w:rPr>
        <w:t>我公司郑重承诺，我公司具有履行本合同所必需的设备和专业技术能力，合同履约中将无条件增加相关设备、人员，直至满足项目需求。</w:t>
      </w:r>
    </w:p>
    <w:p w14:paraId="4F90ADBC">
      <w:pPr>
        <w:pStyle w:val="16"/>
        <w:adjustRightInd w:val="0"/>
        <w:snapToGrid w:val="0"/>
        <w:spacing w:line="720" w:lineRule="exact"/>
        <w:rPr>
          <w:rFonts w:hAnsi="宋体"/>
          <w:spacing w:val="4"/>
          <w:sz w:val="24"/>
          <w:szCs w:val="24"/>
          <w:highlight w:val="none"/>
        </w:rPr>
      </w:pPr>
    </w:p>
    <w:p w14:paraId="05DA5705">
      <w:pPr>
        <w:pStyle w:val="16"/>
        <w:adjustRightInd w:val="0"/>
        <w:snapToGrid w:val="0"/>
        <w:spacing w:line="720" w:lineRule="exact"/>
        <w:rPr>
          <w:rFonts w:hAnsi="宋体"/>
          <w:spacing w:val="4"/>
          <w:sz w:val="24"/>
          <w:szCs w:val="24"/>
          <w:highlight w:val="none"/>
        </w:rPr>
      </w:pPr>
    </w:p>
    <w:p w14:paraId="6A4BCE50">
      <w:pPr>
        <w:pStyle w:val="16"/>
        <w:adjustRightInd w:val="0"/>
        <w:snapToGrid w:val="0"/>
        <w:spacing w:line="720" w:lineRule="exact"/>
        <w:rPr>
          <w:rFonts w:hAnsi="宋体"/>
          <w:spacing w:val="4"/>
          <w:sz w:val="24"/>
          <w:szCs w:val="24"/>
          <w:highlight w:val="none"/>
        </w:rPr>
      </w:pPr>
    </w:p>
    <w:p w14:paraId="1675D45C">
      <w:pPr>
        <w:spacing w:line="480" w:lineRule="auto"/>
        <w:ind w:firstLine="3360" w:firstLineChars="1400"/>
        <w:rPr>
          <w:rFonts w:ascii="宋体" w:hAnsi="宋体" w:cs="宋体"/>
          <w:sz w:val="24"/>
          <w:highlight w:val="none"/>
        </w:rPr>
      </w:pPr>
      <w:r>
        <w:rPr>
          <w:rFonts w:hint="eastAsia" w:ascii="宋体" w:hAnsi="宋体" w:cs="宋体"/>
          <w:sz w:val="24"/>
          <w:highlight w:val="none"/>
          <w:lang w:val="en-US" w:eastAsia="zh-CN"/>
        </w:rPr>
        <w:t>投标人</w:t>
      </w:r>
      <w:r>
        <w:rPr>
          <w:rFonts w:hint="eastAsia" w:ascii="宋体" w:hAnsi="宋体" w:cs="宋体"/>
          <w:sz w:val="24"/>
          <w:highlight w:val="none"/>
        </w:rPr>
        <w:t>名称：</w:t>
      </w:r>
      <w:r>
        <w:rPr>
          <w:rFonts w:hint="eastAsia" w:ascii="宋体" w:hAnsi="宋体" w:cs="宋体"/>
          <w:sz w:val="24"/>
          <w:highlight w:val="none"/>
          <w:u w:val="single"/>
        </w:rPr>
        <w:t xml:space="preserve">               </w:t>
      </w:r>
      <w:r>
        <w:rPr>
          <w:rFonts w:hint="eastAsia" w:ascii="宋体" w:hAnsi="宋体" w:cs="宋体"/>
          <w:sz w:val="24"/>
          <w:highlight w:val="none"/>
        </w:rPr>
        <w:t>（盖章）</w:t>
      </w:r>
    </w:p>
    <w:p w14:paraId="1D7511FA">
      <w:pPr>
        <w:pStyle w:val="53"/>
        <w:spacing w:beforeLines="50"/>
        <w:ind w:firstLine="3360" w:firstLineChars="1400"/>
        <w:rPr>
          <w:rFonts w:ascii="宋体" w:hAnsi="宋体" w:cs="宋体"/>
          <w:sz w:val="24"/>
          <w:szCs w:val="24"/>
          <w:highlight w:val="none"/>
        </w:rPr>
      </w:pPr>
      <w:r>
        <w:rPr>
          <w:rFonts w:hint="eastAsia" w:ascii="宋体" w:hAnsi="宋体" w:cs="宋体"/>
          <w:sz w:val="24"/>
          <w:szCs w:val="24"/>
          <w:highlight w:val="none"/>
        </w:rPr>
        <w:t>日        期：</w:t>
      </w:r>
      <w:r>
        <w:rPr>
          <w:rFonts w:hint="eastAsia" w:ascii="宋体" w:hAnsi="宋体" w:cs="宋体"/>
          <w:sz w:val="24"/>
          <w:szCs w:val="24"/>
          <w:highlight w:val="none"/>
          <w:u w:val="single"/>
        </w:rPr>
        <w:t xml:space="preserve">      </w:t>
      </w:r>
      <w:r>
        <w:rPr>
          <w:rFonts w:hint="eastAsia" w:ascii="宋体" w:hAnsi="宋体" w:cs="宋体"/>
          <w:sz w:val="24"/>
          <w:szCs w:val="24"/>
          <w:highlight w:val="none"/>
        </w:rPr>
        <w:t>年</w:t>
      </w:r>
      <w:r>
        <w:rPr>
          <w:rFonts w:hint="eastAsia" w:ascii="宋体" w:hAnsi="宋体" w:cs="宋体"/>
          <w:sz w:val="24"/>
          <w:szCs w:val="24"/>
          <w:highlight w:val="none"/>
          <w:u w:val="single"/>
        </w:rPr>
        <w:t xml:space="preserve">     </w:t>
      </w:r>
      <w:r>
        <w:rPr>
          <w:rFonts w:hint="eastAsia" w:ascii="宋体" w:hAnsi="宋体" w:cs="宋体"/>
          <w:sz w:val="24"/>
          <w:szCs w:val="24"/>
          <w:highlight w:val="none"/>
        </w:rPr>
        <w:t>月</w:t>
      </w:r>
      <w:r>
        <w:rPr>
          <w:rFonts w:hint="eastAsia" w:ascii="宋体" w:hAnsi="宋体" w:cs="宋体"/>
          <w:sz w:val="24"/>
          <w:szCs w:val="24"/>
          <w:highlight w:val="none"/>
          <w:u w:val="single"/>
        </w:rPr>
        <w:t xml:space="preserve">     </w:t>
      </w:r>
      <w:r>
        <w:rPr>
          <w:rFonts w:hint="eastAsia" w:ascii="宋体" w:hAnsi="宋体" w:cs="宋体"/>
          <w:sz w:val="24"/>
          <w:szCs w:val="24"/>
          <w:highlight w:val="none"/>
        </w:rPr>
        <w:t>日</w:t>
      </w:r>
    </w:p>
    <w:p w14:paraId="56DF11D0">
      <w:pPr>
        <w:rPr>
          <w:rFonts w:asciiTheme="minorEastAsia" w:hAnsiTheme="minorEastAsia" w:eastAsiaTheme="minorEastAsia" w:cstheme="minorEastAsia"/>
          <w:b/>
          <w:sz w:val="28"/>
          <w:szCs w:val="28"/>
          <w:highlight w:val="none"/>
        </w:rPr>
      </w:pPr>
    </w:p>
    <w:p w14:paraId="728CF4EE">
      <w:pPr>
        <w:rPr>
          <w:rFonts w:hint="eastAsia" w:asciiTheme="minorEastAsia" w:hAnsiTheme="minorEastAsia" w:eastAsiaTheme="minorEastAsia" w:cstheme="minorEastAsia"/>
          <w:b/>
          <w:sz w:val="28"/>
          <w:szCs w:val="28"/>
          <w:highlight w:val="none"/>
        </w:rPr>
      </w:pPr>
    </w:p>
    <w:p w14:paraId="78CAC7B4">
      <w:pPr>
        <w:rPr>
          <w:rFonts w:hint="eastAsia" w:asciiTheme="minorEastAsia" w:hAnsiTheme="minorEastAsia" w:eastAsiaTheme="minorEastAsia" w:cstheme="minorEastAsia"/>
          <w:b/>
          <w:sz w:val="28"/>
          <w:szCs w:val="28"/>
          <w:highlight w:val="none"/>
        </w:rPr>
      </w:pPr>
      <w:r>
        <w:rPr>
          <w:rFonts w:hint="eastAsia" w:asciiTheme="minorEastAsia" w:hAnsiTheme="minorEastAsia" w:eastAsiaTheme="minorEastAsia" w:cstheme="minorEastAsia"/>
          <w:b/>
          <w:sz w:val="28"/>
          <w:szCs w:val="28"/>
          <w:highlight w:val="none"/>
        </w:rPr>
        <w:br w:type="page"/>
      </w:r>
    </w:p>
    <w:p w14:paraId="4CE5DF58">
      <w:pPr>
        <w:adjustRightInd w:val="0"/>
        <w:snapToGrid w:val="0"/>
        <w:spacing w:line="360" w:lineRule="auto"/>
        <w:jc w:val="center"/>
        <w:rPr>
          <w:rFonts w:asciiTheme="minorEastAsia" w:hAnsiTheme="minorEastAsia" w:eastAsiaTheme="minorEastAsia" w:cstheme="minorEastAsia"/>
          <w:b/>
          <w:sz w:val="28"/>
          <w:szCs w:val="28"/>
          <w:highlight w:val="none"/>
        </w:rPr>
      </w:pPr>
    </w:p>
    <w:p w14:paraId="5E15FD46">
      <w:pPr>
        <w:adjustRightInd w:val="0"/>
        <w:snapToGrid w:val="0"/>
        <w:spacing w:line="360" w:lineRule="auto"/>
        <w:jc w:val="center"/>
        <w:rPr>
          <w:rFonts w:hint="default" w:ascii="宋体" w:hAnsi="宋体" w:eastAsia="宋体" w:cs="宋体"/>
          <w:b/>
          <w:sz w:val="28"/>
          <w:szCs w:val="28"/>
          <w:highlight w:val="none"/>
          <w:lang w:val="en-US" w:eastAsia="zh-CN"/>
        </w:rPr>
      </w:pPr>
      <w:r>
        <w:rPr>
          <w:rFonts w:hint="eastAsia" w:ascii="宋体" w:hAnsi="宋体" w:cs="宋体"/>
          <w:b/>
          <w:sz w:val="28"/>
          <w:szCs w:val="28"/>
          <w:highlight w:val="none"/>
          <w:lang w:val="en-US" w:eastAsia="zh-CN"/>
        </w:rPr>
        <w:t>非联合体投标承诺书</w:t>
      </w:r>
    </w:p>
    <w:p w14:paraId="1330F5EF">
      <w:pPr>
        <w:widowControl/>
        <w:spacing w:line="360" w:lineRule="auto"/>
        <w:ind w:left="1"/>
        <w:jc w:val="center"/>
        <w:rPr>
          <w:rFonts w:ascii="宋体" w:hAnsi="宋体" w:cs="宋体"/>
          <w:b/>
          <w:kern w:val="0"/>
          <w:sz w:val="28"/>
          <w:szCs w:val="28"/>
          <w:highlight w:val="none"/>
        </w:rPr>
      </w:pPr>
      <w:r>
        <w:rPr>
          <w:rFonts w:hint="eastAsia" w:ascii="宋体" w:hAnsi="宋体" w:cs="宋体"/>
          <w:b/>
          <w:kern w:val="0"/>
          <w:sz w:val="28"/>
          <w:szCs w:val="28"/>
          <w:highlight w:val="none"/>
        </w:rPr>
        <w:t>（格式）</w:t>
      </w:r>
    </w:p>
    <w:p w14:paraId="14899B70">
      <w:pPr>
        <w:rPr>
          <w:rFonts w:hint="eastAsia" w:asciiTheme="minorEastAsia" w:hAnsiTheme="minorEastAsia" w:eastAsiaTheme="minorEastAsia" w:cstheme="minorEastAsia"/>
          <w:b/>
          <w:sz w:val="28"/>
          <w:szCs w:val="28"/>
          <w:highlight w:val="none"/>
        </w:rPr>
      </w:pPr>
    </w:p>
    <w:p w14:paraId="24BE8FA7">
      <w:pPr>
        <w:bidi w:val="0"/>
        <w:rPr>
          <w:rFonts w:hint="eastAsia"/>
          <w:highlight w:val="none"/>
        </w:rPr>
      </w:pPr>
    </w:p>
    <w:p w14:paraId="5B523653">
      <w:pPr>
        <w:keepNext w:val="0"/>
        <w:keepLines w:val="0"/>
        <w:pageBreakBefore w:val="0"/>
        <w:widowControl w:val="0"/>
        <w:kinsoku/>
        <w:wordWrap/>
        <w:overflowPunct/>
        <w:topLinePunct w:val="0"/>
        <w:autoSpaceDE/>
        <w:autoSpaceDN/>
        <w:bidi w:val="0"/>
        <w:spacing w:line="720" w:lineRule="exact"/>
        <w:textAlignment w:val="auto"/>
        <w:rPr>
          <w:rFonts w:ascii="宋体" w:hAnsi="宋体" w:cs="宋体"/>
          <w:spacing w:val="4"/>
          <w:sz w:val="24"/>
          <w:highlight w:val="none"/>
          <w:u w:val="single"/>
        </w:rPr>
      </w:pPr>
      <w:r>
        <w:rPr>
          <w:rFonts w:hint="eastAsia" w:ascii="宋体" w:hAnsi="宋体" w:cs="宋体"/>
          <w:spacing w:val="4"/>
          <w:sz w:val="24"/>
          <w:highlight w:val="none"/>
          <w:u w:val="single"/>
        </w:rPr>
        <w:t xml:space="preserve">     （采购人）    ：</w:t>
      </w:r>
    </w:p>
    <w:p w14:paraId="722491E5">
      <w:pPr>
        <w:pStyle w:val="16"/>
        <w:keepNext w:val="0"/>
        <w:keepLines w:val="0"/>
        <w:pageBreakBefore w:val="0"/>
        <w:widowControl w:val="0"/>
        <w:kinsoku/>
        <w:wordWrap/>
        <w:overflowPunct/>
        <w:topLinePunct w:val="0"/>
        <w:autoSpaceDE/>
        <w:autoSpaceDN/>
        <w:bidi w:val="0"/>
        <w:adjustRightInd w:val="0"/>
        <w:snapToGrid w:val="0"/>
        <w:spacing w:line="720" w:lineRule="exact"/>
        <w:ind w:firstLine="496" w:firstLineChars="200"/>
        <w:textAlignment w:val="auto"/>
        <w:rPr>
          <w:rFonts w:hint="eastAsia" w:hAnsi="宋体"/>
          <w:spacing w:val="4"/>
          <w:sz w:val="24"/>
          <w:szCs w:val="24"/>
          <w:highlight w:val="none"/>
        </w:rPr>
      </w:pPr>
      <w:r>
        <w:rPr>
          <w:rFonts w:hint="eastAsia" w:hAnsi="宋体"/>
          <w:spacing w:val="4"/>
          <w:sz w:val="24"/>
          <w:szCs w:val="24"/>
          <w:highlight w:val="none"/>
        </w:rPr>
        <w:t>我公司郑重承诺，我公司</w:t>
      </w:r>
      <w:r>
        <w:rPr>
          <w:rFonts w:hint="eastAsia" w:hAnsi="宋体"/>
          <w:spacing w:val="4"/>
          <w:sz w:val="24"/>
          <w:szCs w:val="24"/>
          <w:highlight w:val="none"/>
          <w:lang w:val="en-US" w:eastAsia="zh-CN"/>
        </w:rPr>
        <w:t>在本项目投标中非联合投标</w:t>
      </w:r>
      <w:r>
        <w:rPr>
          <w:rFonts w:hint="eastAsia" w:hAnsi="宋体"/>
          <w:spacing w:val="4"/>
          <w:sz w:val="24"/>
          <w:szCs w:val="24"/>
          <w:highlight w:val="none"/>
        </w:rPr>
        <w:t>。</w:t>
      </w:r>
    </w:p>
    <w:p w14:paraId="32E14265">
      <w:pPr>
        <w:pStyle w:val="16"/>
        <w:keepNext w:val="0"/>
        <w:keepLines w:val="0"/>
        <w:pageBreakBefore w:val="0"/>
        <w:widowControl w:val="0"/>
        <w:kinsoku/>
        <w:wordWrap/>
        <w:overflowPunct/>
        <w:topLinePunct w:val="0"/>
        <w:autoSpaceDE/>
        <w:autoSpaceDN/>
        <w:bidi w:val="0"/>
        <w:adjustRightInd w:val="0"/>
        <w:snapToGrid w:val="0"/>
        <w:spacing w:line="720" w:lineRule="exact"/>
        <w:ind w:firstLine="480" w:firstLineChars="200"/>
        <w:textAlignment w:val="auto"/>
        <w:rPr>
          <w:rFonts w:hint="eastAsia" w:hAnsi="宋体"/>
          <w:spacing w:val="4"/>
          <w:sz w:val="24"/>
          <w:szCs w:val="24"/>
          <w:highlight w:val="none"/>
        </w:rPr>
      </w:pPr>
      <w:r>
        <w:rPr>
          <w:rFonts w:hint="eastAsia" w:ascii="宋体" w:hAnsi="宋体" w:cs="宋体"/>
          <w:color w:val="auto"/>
          <w:sz w:val="24"/>
          <w:szCs w:val="24"/>
          <w:highlight w:val="none"/>
          <w:shd w:val="clear" w:color="auto" w:fill="FFFFFF"/>
        </w:rPr>
        <w:t>如有不实，我方将无条件地退出本项目的采购活动，并遵照《政府采购法》有关“提供虚假材料的规定”接受处罚。</w:t>
      </w:r>
    </w:p>
    <w:p w14:paraId="187407F6">
      <w:pPr>
        <w:pStyle w:val="16"/>
        <w:adjustRightInd w:val="0"/>
        <w:snapToGrid w:val="0"/>
        <w:spacing w:line="720" w:lineRule="exact"/>
        <w:rPr>
          <w:rFonts w:hAnsi="宋体"/>
          <w:spacing w:val="4"/>
          <w:sz w:val="24"/>
          <w:szCs w:val="24"/>
          <w:highlight w:val="none"/>
        </w:rPr>
      </w:pPr>
    </w:p>
    <w:p w14:paraId="6D8ACD61">
      <w:pPr>
        <w:pStyle w:val="16"/>
        <w:adjustRightInd w:val="0"/>
        <w:snapToGrid w:val="0"/>
        <w:spacing w:line="720" w:lineRule="exact"/>
        <w:rPr>
          <w:rFonts w:hAnsi="宋体"/>
          <w:spacing w:val="4"/>
          <w:sz w:val="24"/>
          <w:szCs w:val="24"/>
          <w:highlight w:val="none"/>
        </w:rPr>
      </w:pPr>
    </w:p>
    <w:p w14:paraId="7AF2AEE0">
      <w:pPr>
        <w:spacing w:line="480" w:lineRule="auto"/>
        <w:ind w:firstLine="3360" w:firstLineChars="1400"/>
        <w:rPr>
          <w:rFonts w:ascii="宋体" w:hAnsi="宋体" w:cs="宋体"/>
          <w:sz w:val="24"/>
          <w:highlight w:val="none"/>
        </w:rPr>
      </w:pPr>
      <w:r>
        <w:rPr>
          <w:rFonts w:hint="eastAsia" w:ascii="宋体" w:hAnsi="宋体" w:cs="宋体"/>
          <w:sz w:val="24"/>
          <w:highlight w:val="none"/>
        </w:rPr>
        <w:t>供应商名称：</w:t>
      </w:r>
      <w:r>
        <w:rPr>
          <w:rFonts w:hint="eastAsia" w:ascii="宋体" w:hAnsi="宋体" w:cs="宋体"/>
          <w:sz w:val="24"/>
          <w:highlight w:val="none"/>
          <w:u w:val="single"/>
        </w:rPr>
        <w:t xml:space="preserve">               </w:t>
      </w:r>
      <w:r>
        <w:rPr>
          <w:rFonts w:hint="eastAsia" w:ascii="宋体" w:hAnsi="宋体" w:cs="宋体"/>
          <w:sz w:val="24"/>
          <w:highlight w:val="none"/>
        </w:rPr>
        <w:t>（盖章）</w:t>
      </w:r>
    </w:p>
    <w:p w14:paraId="486EBADF">
      <w:pPr>
        <w:pStyle w:val="53"/>
        <w:spacing w:beforeLines="50"/>
        <w:ind w:firstLine="3360" w:firstLineChars="1400"/>
        <w:rPr>
          <w:rFonts w:ascii="宋体" w:hAnsi="宋体" w:cs="宋体"/>
          <w:sz w:val="24"/>
          <w:szCs w:val="24"/>
          <w:highlight w:val="none"/>
        </w:rPr>
      </w:pPr>
      <w:r>
        <w:rPr>
          <w:rFonts w:hint="eastAsia" w:ascii="宋体" w:hAnsi="宋体" w:cs="宋体"/>
          <w:sz w:val="24"/>
          <w:szCs w:val="24"/>
          <w:highlight w:val="none"/>
        </w:rPr>
        <w:t>日        期：</w:t>
      </w:r>
      <w:r>
        <w:rPr>
          <w:rFonts w:hint="eastAsia" w:ascii="宋体" w:hAnsi="宋体" w:cs="宋体"/>
          <w:sz w:val="24"/>
          <w:szCs w:val="24"/>
          <w:highlight w:val="none"/>
          <w:u w:val="single"/>
        </w:rPr>
        <w:t xml:space="preserve">      </w:t>
      </w:r>
      <w:r>
        <w:rPr>
          <w:rFonts w:hint="eastAsia" w:ascii="宋体" w:hAnsi="宋体" w:cs="宋体"/>
          <w:sz w:val="24"/>
          <w:szCs w:val="24"/>
          <w:highlight w:val="none"/>
        </w:rPr>
        <w:t>年</w:t>
      </w:r>
      <w:r>
        <w:rPr>
          <w:rFonts w:hint="eastAsia" w:ascii="宋体" w:hAnsi="宋体" w:cs="宋体"/>
          <w:sz w:val="24"/>
          <w:szCs w:val="24"/>
          <w:highlight w:val="none"/>
          <w:u w:val="single"/>
        </w:rPr>
        <w:t xml:space="preserve">     </w:t>
      </w:r>
      <w:r>
        <w:rPr>
          <w:rFonts w:hint="eastAsia" w:ascii="宋体" w:hAnsi="宋体" w:cs="宋体"/>
          <w:sz w:val="24"/>
          <w:szCs w:val="24"/>
          <w:highlight w:val="none"/>
        </w:rPr>
        <w:t>月</w:t>
      </w:r>
      <w:r>
        <w:rPr>
          <w:rFonts w:hint="eastAsia" w:ascii="宋体" w:hAnsi="宋体" w:cs="宋体"/>
          <w:sz w:val="24"/>
          <w:szCs w:val="24"/>
          <w:highlight w:val="none"/>
          <w:u w:val="single"/>
        </w:rPr>
        <w:t xml:space="preserve">     </w:t>
      </w:r>
      <w:r>
        <w:rPr>
          <w:rFonts w:hint="eastAsia" w:ascii="宋体" w:hAnsi="宋体" w:cs="宋体"/>
          <w:sz w:val="24"/>
          <w:szCs w:val="24"/>
          <w:highlight w:val="none"/>
        </w:rPr>
        <w:t>日</w:t>
      </w:r>
    </w:p>
    <w:p w14:paraId="1F8D5C7E">
      <w:pPr>
        <w:rPr>
          <w:rFonts w:hint="eastAsia"/>
          <w:highlight w:val="none"/>
        </w:rPr>
      </w:pPr>
    </w:p>
    <w:p w14:paraId="5EEE7317">
      <w:pPr>
        <w:rPr>
          <w:rFonts w:hint="eastAsia" w:asciiTheme="minorEastAsia" w:hAnsiTheme="minorEastAsia" w:eastAsiaTheme="minorEastAsia" w:cstheme="minorEastAsia"/>
          <w:b/>
          <w:sz w:val="28"/>
          <w:szCs w:val="28"/>
          <w:highlight w:val="none"/>
        </w:rPr>
      </w:pPr>
      <w:r>
        <w:rPr>
          <w:rFonts w:hint="eastAsia" w:asciiTheme="minorEastAsia" w:hAnsiTheme="minorEastAsia" w:eastAsiaTheme="minorEastAsia" w:cstheme="minorEastAsia"/>
          <w:b/>
          <w:sz w:val="28"/>
          <w:szCs w:val="28"/>
          <w:highlight w:val="none"/>
        </w:rPr>
        <w:br w:type="page"/>
      </w:r>
    </w:p>
    <w:p w14:paraId="2BE4367A">
      <w:pPr>
        <w:rPr>
          <w:rFonts w:asciiTheme="minorEastAsia" w:hAnsiTheme="minorEastAsia" w:eastAsiaTheme="minorEastAsia" w:cstheme="minorEastAsia"/>
          <w:b/>
          <w:sz w:val="28"/>
          <w:szCs w:val="28"/>
          <w:highlight w:val="none"/>
        </w:rPr>
      </w:pPr>
      <w:r>
        <w:rPr>
          <w:rFonts w:hint="eastAsia" w:asciiTheme="minorEastAsia" w:hAnsiTheme="minorEastAsia" w:eastAsiaTheme="minorEastAsia" w:cstheme="minorEastAsia"/>
          <w:b/>
          <w:sz w:val="28"/>
          <w:szCs w:val="28"/>
          <w:highlight w:val="none"/>
        </w:rPr>
        <w:t>附件2：</w:t>
      </w:r>
    </w:p>
    <w:p w14:paraId="0EE8415B">
      <w:pPr>
        <w:spacing w:beforeLines="50" w:afterLines="50" w:line="360" w:lineRule="auto"/>
        <w:jc w:val="center"/>
        <w:rPr>
          <w:rFonts w:hAnsi="宋体" w:cs="宋体"/>
          <w:szCs w:val="24"/>
          <w:highlight w:val="none"/>
        </w:rPr>
      </w:pPr>
      <w:r>
        <w:rPr>
          <w:rFonts w:hint="eastAsia" w:hAnsi="宋体" w:cs="宋体"/>
          <w:b/>
          <w:sz w:val="28"/>
          <w:szCs w:val="28"/>
          <w:highlight w:val="none"/>
        </w:rPr>
        <w:t>中小企业声明函</w:t>
      </w:r>
    </w:p>
    <w:p w14:paraId="495EDCEC">
      <w:pPr>
        <w:tabs>
          <w:tab w:val="left" w:pos="1620"/>
          <w:tab w:val="left" w:pos="1800"/>
        </w:tabs>
        <w:spacing w:line="500" w:lineRule="exact"/>
        <w:ind w:firstLine="480" w:firstLineChars="200"/>
        <w:rPr>
          <w:rFonts w:ascii="宋体" w:hAnsi="宋体" w:cs="宋体"/>
          <w:sz w:val="24"/>
          <w:szCs w:val="24"/>
          <w:highlight w:val="none"/>
        </w:rPr>
      </w:pPr>
      <w:r>
        <w:rPr>
          <w:rFonts w:hint="eastAsia" w:ascii="宋体" w:hAnsi="宋体" w:cs="宋体"/>
          <w:sz w:val="24"/>
          <w:szCs w:val="24"/>
          <w:highlight w:val="none"/>
        </w:rPr>
        <w:t>本公司郑重声明，根据《政府采购促进中小企业发展管理办法》（财库﹝2020﹞46 号）的规定，本公司参加</w:t>
      </w:r>
      <w:r>
        <w:rPr>
          <w:rFonts w:hint="eastAsia" w:ascii="宋体" w:hAnsi="宋体" w:cs="宋体"/>
          <w:sz w:val="24"/>
          <w:szCs w:val="24"/>
          <w:highlight w:val="none"/>
          <w:u w:val="single"/>
        </w:rPr>
        <w:t>（单位名称）</w:t>
      </w:r>
      <w:r>
        <w:rPr>
          <w:rFonts w:hint="eastAsia" w:ascii="宋体" w:hAnsi="宋体" w:cs="宋体"/>
          <w:sz w:val="24"/>
          <w:szCs w:val="24"/>
          <w:highlight w:val="none"/>
        </w:rPr>
        <w:t>的</w:t>
      </w:r>
      <w:r>
        <w:rPr>
          <w:rFonts w:hint="eastAsia" w:ascii="宋体" w:hAnsi="宋体" w:cs="宋体"/>
          <w:sz w:val="24"/>
          <w:szCs w:val="24"/>
          <w:highlight w:val="none"/>
          <w:u w:val="single"/>
        </w:rPr>
        <w:t>（项目名称）</w:t>
      </w:r>
      <w:r>
        <w:rPr>
          <w:rFonts w:hint="eastAsia" w:ascii="宋体" w:hAnsi="宋体" w:cs="宋体"/>
          <w:sz w:val="24"/>
          <w:szCs w:val="24"/>
          <w:highlight w:val="none"/>
        </w:rPr>
        <w:t>采购活动，工程的施工单位全部为符合政策要求的中小企业（或者：服务全部由符合政策要求的中小企业承接）。相关企业的具体情况如下：</w:t>
      </w:r>
    </w:p>
    <w:p w14:paraId="33D7FAC8">
      <w:pPr>
        <w:tabs>
          <w:tab w:val="left" w:pos="1620"/>
          <w:tab w:val="left" w:pos="1800"/>
        </w:tabs>
        <w:spacing w:line="500" w:lineRule="exact"/>
        <w:ind w:firstLine="480" w:firstLineChars="200"/>
        <w:rPr>
          <w:rFonts w:ascii="宋体" w:hAnsi="宋体" w:cs="宋体"/>
          <w:sz w:val="24"/>
          <w:szCs w:val="24"/>
          <w:highlight w:val="none"/>
        </w:rPr>
      </w:pPr>
      <w:r>
        <w:rPr>
          <w:rFonts w:hint="eastAsia" w:ascii="宋体" w:hAnsi="宋体" w:cs="宋体"/>
          <w:sz w:val="24"/>
          <w:szCs w:val="24"/>
          <w:highlight w:val="none"/>
        </w:rPr>
        <w:t>1.</w:t>
      </w:r>
      <w:r>
        <w:rPr>
          <w:rFonts w:hint="eastAsia" w:ascii="宋体" w:hAnsi="宋体" w:cs="宋体"/>
          <w:sz w:val="24"/>
          <w:szCs w:val="24"/>
          <w:highlight w:val="none"/>
          <w:u w:val="single"/>
        </w:rPr>
        <w:t>（标的名称）</w:t>
      </w:r>
      <w:r>
        <w:rPr>
          <w:rFonts w:hint="eastAsia" w:ascii="宋体" w:hAnsi="宋体" w:cs="宋体"/>
          <w:sz w:val="24"/>
          <w:szCs w:val="24"/>
          <w:highlight w:val="none"/>
        </w:rPr>
        <w:t>，属于</w:t>
      </w:r>
      <w:r>
        <w:rPr>
          <w:rFonts w:hint="eastAsia" w:ascii="宋体" w:hAnsi="宋体" w:cs="宋体"/>
          <w:sz w:val="24"/>
          <w:szCs w:val="24"/>
          <w:highlight w:val="none"/>
          <w:u w:val="single"/>
        </w:rPr>
        <w:t>（采购文件中明确的所属行业）</w:t>
      </w:r>
      <w:r>
        <w:rPr>
          <w:rFonts w:hint="eastAsia" w:ascii="宋体" w:hAnsi="宋体" w:cs="宋体"/>
          <w:sz w:val="24"/>
          <w:szCs w:val="24"/>
          <w:highlight w:val="none"/>
        </w:rPr>
        <w:t>；承建（承接）企业为</w:t>
      </w:r>
      <w:r>
        <w:rPr>
          <w:rFonts w:hint="eastAsia" w:ascii="宋体" w:hAnsi="宋体" w:cs="宋体"/>
          <w:sz w:val="24"/>
          <w:szCs w:val="24"/>
          <w:highlight w:val="none"/>
          <w:u w:val="single"/>
        </w:rPr>
        <w:t>（企业名称）</w:t>
      </w:r>
      <w:r>
        <w:rPr>
          <w:rFonts w:hint="eastAsia" w:ascii="宋体" w:hAnsi="宋体" w:cs="宋体"/>
          <w:sz w:val="24"/>
          <w:szCs w:val="24"/>
          <w:highlight w:val="none"/>
        </w:rPr>
        <w:t>，从业人员</w:t>
      </w:r>
      <w:r>
        <w:rPr>
          <w:rFonts w:hint="eastAsia" w:ascii="宋体" w:hAnsi="宋体" w:cs="宋体"/>
          <w:sz w:val="24"/>
          <w:szCs w:val="24"/>
          <w:highlight w:val="none"/>
          <w:u w:val="single"/>
        </w:rPr>
        <w:t xml:space="preserve"> </w:t>
      </w:r>
      <w:r>
        <w:rPr>
          <w:rFonts w:hint="eastAsia" w:ascii="宋体" w:hAnsi="宋体" w:cs="宋体"/>
          <w:sz w:val="24"/>
          <w:szCs w:val="24"/>
          <w:highlight w:val="none"/>
          <w:u w:val="single"/>
        </w:rPr>
        <w:tab/>
      </w:r>
      <w:r>
        <w:rPr>
          <w:rFonts w:hint="eastAsia" w:ascii="宋体" w:hAnsi="宋体" w:cs="宋体"/>
          <w:sz w:val="24"/>
          <w:szCs w:val="24"/>
          <w:highlight w:val="none"/>
        </w:rPr>
        <w:t>人，营业收入</w:t>
      </w:r>
      <w:r>
        <w:rPr>
          <w:rFonts w:hint="eastAsia" w:ascii="宋体" w:hAnsi="宋体" w:cs="宋体"/>
          <w:sz w:val="24"/>
          <w:szCs w:val="24"/>
          <w:highlight w:val="none"/>
          <w:u w:val="single"/>
        </w:rPr>
        <w:t xml:space="preserve">为 </w:t>
      </w:r>
      <w:r>
        <w:rPr>
          <w:rFonts w:hint="eastAsia" w:ascii="宋体" w:hAnsi="宋体" w:cs="宋体"/>
          <w:sz w:val="24"/>
          <w:szCs w:val="24"/>
          <w:highlight w:val="none"/>
          <w:u w:val="single"/>
        </w:rPr>
        <w:tab/>
      </w:r>
      <w:r>
        <w:rPr>
          <w:rFonts w:hint="eastAsia" w:ascii="宋体" w:hAnsi="宋体" w:cs="宋体"/>
          <w:sz w:val="24"/>
          <w:szCs w:val="24"/>
          <w:highlight w:val="none"/>
        </w:rPr>
        <w:t>万元，资产总额为</w:t>
      </w:r>
      <w:r>
        <w:rPr>
          <w:rFonts w:hint="eastAsia" w:ascii="宋体" w:hAnsi="宋体" w:cs="宋体"/>
          <w:sz w:val="24"/>
          <w:szCs w:val="24"/>
          <w:highlight w:val="none"/>
          <w:u w:val="single"/>
        </w:rPr>
        <w:t xml:space="preserve">      </w:t>
      </w:r>
      <w:r>
        <w:rPr>
          <w:rFonts w:hint="eastAsia" w:ascii="宋体" w:hAnsi="宋体" w:cs="宋体"/>
          <w:sz w:val="24"/>
          <w:szCs w:val="24"/>
          <w:highlight w:val="none"/>
        </w:rPr>
        <w:t>万元，属于</w:t>
      </w:r>
      <w:r>
        <w:rPr>
          <w:rFonts w:hint="eastAsia" w:ascii="宋体" w:hAnsi="宋体" w:cs="宋体"/>
          <w:sz w:val="24"/>
          <w:szCs w:val="24"/>
          <w:highlight w:val="none"/>
          <w:u w:val="single"/>
        </w:rPr>
        <w:t>（中型企业、小型企业、微型企业）</w:t>
      </w:r>
      <w:r>
        <w:rPr>
          <w:rFonts w:hint="eastAsia" w:ascii="宋体" w:hAnsi="宋体" w:cs="宋体"/>
          <w:sz w:val="24"/>
          <w:szCs w:val="24"/>
          <w:highlight w:val="none"/>
        </w:rPr>
        <w:t>；</w:t>
      </w:r>
    </w:p>
    <w:p w14:paraId="3C1C0B7E">
      <w:pPr>
        <w:tabs>
          <w:tab w:val="left" w:pos="1620"/>
          <w:tab w:val="left" w:pos="1800"/>
        </w:tabs>
        <w:spacing w:line="500" w:lineRule="exact"/>
        <w:ind w:firstLine="480" w:firstLineChars="200"/>
        <w:rPr>
          <w:rFonts w:ascii="宋体" w:hAnsi="宋体" w:cs="宋体"/>
          <w:sz w:val="24"/>
          <w:szCs w:val="24"/>
          <w:highlight w:val="none"/>
        </w:rPr>
      </w:pPr>
      <w:r>
        <w:rPr>
          <w:rFonts w:hint="eastAsia" w:ascii="宋体" w:hAnsi="宋体" w:cs="宋体"/>
          <w:sz w:val="24"/>
          <w:szCs w:val="24"/>
          <w:highlight w:val="none"/>
        </w:rPr>
        <w:t>2.</w:t>
      </w:r>
      <w:r>
        <w:rPr>
          <w:rFonts w:hint="eastAsia" w:ascii="宋体" w:hAnsi="宋体" w:cs="宋体"/>
          <w:sz w:val="24"/>
          <w:szCs w:val="24"/>
          <w:highlight w:val="none"/>
          <w:u w:val="single"/>
        </w:rPr>
        <w:t>（标的名称）</w:t>
      </w:r>
      <w:r>
        <w:rPr>
          <w:rFonts w:hint="eastAsia" w:ascii="宋体" w:hAnsi="宋体" w:cs="宋体"/>
          <w:sz w:val="24"/>
          <w:szCs w:val="24"/>
          <w:highlight w:val="none"/>
        </w:rPr>
        <w:t>，属于</w:t>
      </w:r>
      <w:r>
        <w:rPr>
          <w:rFonts w:hint="eastAsia" w:ascii="宋体" w:hAnsi="宋体" w:cs="宋体"/>
          <w:sz w:val="24"/>
          <w:szCs w:val="24"/>
          <w:highlight w:val="none"/>
          <w:u w:val="single"/>
        </w:rPr>
        <w:t>（采购文件中明确的所属行业</w:t>
      </w:r>
      <w:r>
        <w:rPr>
          <w:rFonts w:hint="eastAsia" w:ascii="宋体" w:hAnsi="宋体" w:cs="宋体"/>
          <w:sz w:val="24"/>
          <w:szCs w:val="24"/>
          <w:highlight w:val="none"/>
        </w:rPr>
        <w:t>）；承建（承接）企业为</w:t>
      </w:r>
      <w:r>
        <w:rPr>
          <w:rFonts w:hint="eastAsia" w:ascii="宋体" w:hAnsi="宋体" w:cs="宋体"/>
          <w:sz w:val="24"/>
          <w:szCs w:val="24"/>
          <w:highlight w:val="none"/>
          <w:u w:val="single"/>
        </w:rPr>
        <w:t>（企业名称）</w:t>
      </w:r>
      <w:r>
        <w:rPr>
          <w:rFonts w:hint="eastAsia" w:ascii="宋体" w:hAnsi="宋体" w:cs="宋体"/>
          <w:sz w:val="24"/>
          <w:szCs w:val="24"/>
          <w:highlight w:val="none"/>
        </w:rPr>
        <w:t>，从业人员</w:t>
      </w:r>
      <w:r>
        <w:rPr>
          <w:rFonts w:hint="eastAsia" w:ascii="宋体" w:hAnsi="宋体" w:cs="宋体"/>
          <w:sz w:val="24"/>
          <w:szCs w:val="24"/>
          <w:highlight w:val="none"/>
          <w:u w:val="single"/>
        </w:rPr>
        <w:t xml:space="preserve"> </w:t>
      </w:r>
      <w:r>
        <w:rPr>
          <w:rFonts w:hint="eastAsia" w:ascii="宋体" w:hAnsi="宋体" w:cs="宋体"/>
          <w:sz w:val="24"/>
          <w:szCs w:val="24"/>
          <w:highlight w:val="none"/>
          <w:u w:val="single"/>
        </w:rPr>
        <w:tab/>
      </w:r>
      <w:r>
        <w:rPr>
          <w:rFonts w:hint="eastAsia" w:ascii="宋体" w:hAnsi="宋体" w:cs="宋体"/>
          <w:sz w:val="24"/>
          <w:szCs w:val="24"/>
          <w:highlight w:val="none"/>
        </w:rPr>
        <w:t>人，营业收入为</w:t>
      </w:r>
      <w:r>
        <w:rPr>
          <w:rFonts w:hint="eastAsia" w:ascii="宋体" w:hAnsi="宋体" w:cs="宋体"/>
          <w:sz w:val="24"/>
          <w:szCs w:val="24"/>
          <w:highlight w:val="none"/>
          <w:u w:val="single"/>
        </w:rPr>
        <w:t xml:space="preserve"> </w:t>
      </w:r>
      <w:r>
        <w:rPr>
          <w:rFonts w:hint="eastAsia" w:ascii="宋体" w:hAnsi="宋体" w:cs="宋体"/>
          <w:sz w:val="24"/>
          <w:szCs w:val="24"/>
          <w:highlight w:val="none"/>
          <w:u w:val="single"/>
        </w:rPr>
        <w:tab/>
      </w:r>
      <w:r>
        <w:rPr>
          <w:rFonts w:hint="eastAsia" w:ascii="宋体" w:hAnsi="宋体" w:cs="宋体"/>
          <w:sz w:val="24"/>
          <w:szCs w:val="24"/>
          <w:highlight w:val="none"/>
        </w:rPr>
        <w:t>万元，资产总额为</w:t>
      </w:r>
      <w:r>
        <w:rPr>
          <w:rFonts w:hint="eastAsia" w:ascii="宋体" w:hAnsi="宋体" w:cs="宋体"/>
          <w:sz w:val="24"/>
          <w:szCs w:val="24"/>
          <w:highlight w:val="none"/>
          <w:u w:val="single"/>
        </w:rPr>
        <w:t xml:space="preserve"> </w:t>
      </w:r>
      <w:r>
        <w:rPr>
          <w:rFonts w:hint="eastAsia" w:ascii="宋体" w:hAnsi="宋体" w:cs="宋体"/>
          <w:sz w:val="24"/>
          <w:szCs w:val="24"/>
          <w:highlight w:val="none"/>
          <w:u w:val="single"/>
        </w:rPr>
        <w:tab/>
      </w:r>
      <w:r>
        <w:rPr>
          <w:rFonts w:hint="eastAsia" w:ascii="宋体" w:hAnsi="宋体" w:cs="宋体"/>
          <w:sz w:val="24"/>
          <w:szCs w:val="24"/>
          <w:highlight w:val="none"/>
          <w:u w:val="single"/>
        </w:rPr>
        <w:t xml:space="preserve">   </w:t>
      </w:r>
      <w:r>
        <w:rPr>
          <w:rFonts w:hint="eastAsia" w:ascii="宋体" w:hAnsi="宋体" w:cs="宋体"/>
          <w:sz w:val="24"/>
          <w:szCs w:val="24"/>
          <w:highlight w:val="none"/>
        </w:rPr>
        <w:t>万元，属于</w:t>
      </w:r>
      <w:r>
        <w:rPr>
          <w:rFonts w:hint="eastAsia" w:ascii="宋体" w:hAnsi="宋体" w:cs="宋体"/>
          <w:sz w:val="24"/>
          <w:szCs w:val="24"/>
          <w:highlight w:val="none"/>
          <w:u w:val="single"/>
        </w:rPr>
        <w:t>（中型企业、小型企业、微型企业）</w:t>
      </w:r>
      <w:r>
        <w:rPr>
          <w:rFonts w:hint="eastAsia" w:ascii="宋体" w:hAnsi="宋体" w:cs="宋体"/>
          <w:sz w:val="24"/>
          <w:szCs w:val="24"/>
          <w:highlight w:val="none"/>
        </w:rPr>
        <w:t>；</w:t>
      </w:r>
    </w:p>
    <w:p w14:paraId="431EC09F">
      <w:pPr>
        <w:tabs>
          <w:tab w:val="left" w:pos="1620"/>
          <w:tab w:val="left" w:pos="1800"/>
        </w:tabs>
        <w:spacing w:line="500" w:lineRule="exact"/>
        <w:rPr>
          <w:rFonts w:ascii="宋体" w:hAnsi="宋体" w:cs="宋体"/>
          <w:sz w:val="24"/>
          <w:szCs w:val="24"/>
          <w:highlight w:val="none"/>
        </w:rPr>
      </w:pPr>
      <w:r>
        <w:rPr>
          <w:rFonts w:hint="eastAsia" w:ascii="宋体" w:hAnsi="宋体" w:cs="宋体"/>
          <w:sz w:val="24"/>
          <w:szCs w:val="24"/>
          <w:highlight w:val="none"/>
        </w:rPr>
        <w:t>……</w:t>
      </w:r>
    </w:p>
    <w:p w14:paraId="4441E791">
      <w:pPr>
        <w:tabs>
          <w:tab w:val="left" w:pos="1620"/>
          <w:tab w:val="left" w:pos="1800"/>
        </w:tabs>
        <w:spacing w:line="500" w:lineRule="exact"/>
        <w:ind w:firstLine="480" w:firstLineChars="200"/>
        <w:rPr>
          <w:rFonts w:ascii="宋体" w:hAnsi="宋体" w:cs="宋体"/>
          <w:sz w:val="24"/>
          <w:szCs w:val="24"/>
          <w:highlight w:val="none"/>
        </w:rPr>
      </w:pPr>
      <w:r>
        <w:rPr>
          <w:rFonts w:hint="eastAsia" w:ascii="宋体" w:hAnsi="宋体" w:cs="宋体"/>
          <w:sz w:val="24"/>
          <w:szCs w:val="24"/>
          <w:highlight w:val="none"/>
        </w:rPr>
        <w:t>以上企业，不属于大企业的分支机构，不存在控股股东为大企业的情形，也不存在与大企业的负责人为同一人的情形。</w:t>
      </w:r>
    </w:p>
    <w:p w14:paraId="57343BF2">
      <w:pPr>
        <w:tabs>
          <w:tab w:val="left" w:pos="1620"/>
          <w:tab w:val="left" w:pos="1800"/>
        </w:tabs>
        <w:spacing w:line="500" w:lineRule="exact"/>
        <w:ind w:firstLine="480" w:firstLineChars="200"/>
        <w:rPr>
          <w:rFonts w:ascii="宋体" w:hAnsi="宋体" w:cs="宋体"/>
          <w:sz w:val="24"/>
          <w:szCs w:val="24"/>
          <w:highlight w:val="none"/>
        </w:rPr>
      </w:pPr>
      <w:r>
        <w:rPr>
          <w:rFonts w:hint="eastAsia" w:ascii="宋体" w:hAnsi="宋体" w:cs="宋体"/>
          <w:sz w:val="24"/>
          <w:szCs w:val="24"/>
          <w:highlight w:val="none"/>
        </w:rPr>
        <w:t>本企业对上述声明内容的真实性负责。如有虚假，将依法承担相应责任。</w:t>
      </w:r>
    </w:p>
    <w:p w14:paraId="1A22B2BB">
      <w:pPr>
        <w:tabs>
          <w:tab w:val="left" w:pos="1620"/>
          <w:tab w:val="left" w:pos="1800"/>
        </w:tabs>
        <w:spacing w:line="500" w:lineRule="exact"/>
        <w:rPr>
          <w:rFonts w:ascii="宋体" w:hAnsi="宋体" w:cs="宋体"/>
          <w:sz w:val="24"/>
          <w:szCs w:val="24"/>
          <w:highlight w:val="none"/>
        </w:rPr>
      </w:pPr>
    </w:p>
    <w:p w14:paraId="204F3D16">
      <w:pPr>
        <w:tabs>
          <w:tab w:val="left" w:pos="1620"/>
          <w:tab w:val="left" w:pos="1800"/>
        </w:tabs>
        <w:spacing w:line="500" w:lineRule="exact"/>
        <w:rPr>
          <w:rFonts w:ascii="宋体" w:hAnsi="宋体" w:cs="宋体"/>
          <w:sz w:val="24"/>
          <w:szCs w:val="24"/>
          <w:highlight w:val="none"/>
        </w:rPr>
      </w:pPr>
    </w:p>
    <w:p w14:paraId="2F1DE82B">
      <w:pPr>
        <w:tabs>
          <w:tab w:val="left" w:pos="1620"/>
          <w:tab w:val="left" w:pos="1800"/>
        </w:tabs>
        <w:spacing w:line="500" w:lineRule="exact"/>
        <w:ind w:firstLine="4800" w:firstLineChars="2000"/>
        <w:rPr>
          <w:rFonts w:ascii="宋体" w:hAnsi="宋体" w:cs="宋体"/>
          <w:sz w:val="24"/>
          <w:szCs w:val="24"/>
          <w:highlight w:val="none"/>
        </w:rPr>
      </w:pPr>
      <w:r>
        <w:rPr>
          <w:rFonts w:hint="eastAsia" w:ascii="宋体" w:hAnsi="宋体" w:cs="宋体"/>
          <w:sz w:val="24"/>
          <w:szCs w:val="24"/>
          <w:highlight w:val="none"/>
        </w:rPr>
        <w:t>企业名称（盖章）：</w:t>
      </w:r>
    </w:p>
    <w:p w14:paraId="08F99B10">
      <w:pPr>
        <w:tabs>
          <w:tab w:val="left" w:pos="1620"/>
          <w:tab w:val="left" w:pos="1800"/>
        </w:tabs>
        <w:spacing w:line="500" w:lineRule="exact"/>
        <w:ind w:firstLine="4800" w:firstLineChars="2000"/>
        <w:rPr>
          <w:rFonts w:ascii="宋体" w:hAnsi="宋体" w:cs="宋体"/>
          <w:sz w:val="24"/>
          <w:szCs w:val="24"/>
          <w:highlight w:val="none"/>
        </w:rPr>
      </w:pPr>
      <w:r>
        <w:rPr>
          <w:rFonts w:hint="eastAsia" w:ascii="宋体" w:hAnsi="宋体" w:cs="宋体"/>
          <w:sz w:val="24"/>
          <w:szCs w:val="24"/>
          <w:highlight w:val="none"/>
        </w:rPr>
        <w:t>日期：</w:t>
      </w:r>
    </w:p>
    <w:p w14:paraId="6963AB31">
      <w:pPr>
        <w:rPr>
          <w:rFonts w:asciiTheme="minorEastAsia" w:hAnsiTheme="minorEastAsia" w:eastAsiaTheme="minorEastAsia" w:cstheme="minorEastAsia"/>
          <w:highlight w:val="none"/>
        </w:rPr>
      </w:pPr>
      <w:r>
        <w:rPr>
          <w:rFonts w:hint="eastAsia" w:asciiTheme="minorEastAsia" w:hAnsiTheme="minorEastAsia" w:eastAsiaTheme="minorEastAsia" w:cstheme="minorEastAsia"/>
          <w:b/>
          <w:sz w:val="28"/>
          <w:szCs w:val="28"/>
          <w:highlight w:val="none"/>
        </w:rPr>
        <w:br w:type="page"/>
      </w:r>
    </w:p>
    <w:bookmarkEnd w:id="130"/>
    <w:p w14:paraId="5FBE9E49">
      <w:pPr>
        <w:spacing w:line="360" w:lineRule="auto"/>
        <w:rPr>
          <w:rFonts w:hint="eastAsia" w:ascii="宋体" w:hAnsi="宋体" w:eastAsia="宋体" w:cs="宋体"/>
          <w:b/>
          <w:sz w:val="28"/>
          <w:szCs w:val="28"/>
          <w:highlight w:val="none"/>
        </w:rPr>
      </w:pPr>
      <w:r>
        <w:rPr>
          <w:rFonts w:hint="eastAsia" w:ascii="宋体" w:hAnsi="宋体" w:eastAsia="宋体" w:cs="宋体"/>
          <w:b/>
          <w:sz w:val="28"/>
          <w:szCs w:val="28"/>
          <w:highlight w:val="none"/>
        </w:rPr>
        <w:t>附件3：</w:t>
      </w:r>
    </w:p>
    <w:p w14:paraId="107967D8">
      <w:pPr>
        <w:jc w:val="center"/>
        <w:rPr>
          <w:rFonts w:hAnsi="宋体" w:cs="宋体"/>
          <w:b/>
          <w:bCs/>
          <w:sz w:val="44"/>
          <w:szCs w:val="44"/>
          <w:highlight w:val="none"/>
        </w:rPr>
      </w:pPr>
      <w:r>
        <w:rPr>
          <w:rFonts w:hint="eastAsia" w:hAnsi="宋体" w:cs="宋体"/>
          <w:b/>
          <w:bCs/>
          <w:sz w:val="44"/>
          <w:szCs w:val="44"/>
          <w:highlight w:val="none"/>
        </w:rPr>
        <w:t>质疑函范本</w:t>
      </w:r>
    </w:p>
    <w:p w14:paraId="6353B8F3">
      <w:pPr>
        <w:adjustRightInd w:val="0"/>
        <w:snapToGrid w:val="0"/>
        <w:spacing w:beforeLines="100" w:line="360" w:lineRule="auto"/>
        <w:rPr>
          <w:rFonts w:hint="eastAsia" w:ascii="宋体" w:hAnsi="宋体" w:eastAsia="宋体" w:cs="宋体"/>
          <w:bCs/>
          <w:szCs w:val="24"/>
          <w:highlight w:val="none"/>
        </w:rPr>
      </w:pPr>
      <w:r>
        <w:rPr>
          <w:rFonts w:hint="eastAsia" w:ascii="宋体" w:hAnsi="宋体" w:eastAsia="宋体" w:cs="宋体"/>
          <w:bCs/>
          <w:szCs w:val="24"/>
          <w:highlight w:val="none"/>
        </w:rPr>
        <w:t>一、质疑供应商基本信息</w:t>
      </w:r>
    </w:p>
    <w:p w14:paraId="35A77808">
      <w:pPr>
        <w:adjustRightInd w:val="0"/>
        <w:snapToGrid w:val="0"/>
        <w:spacing w:line="360" w:lineRule="auto"/>
        <w:rPr>
          <w:rFonts w:hint="eastAsia" w:ascii="宋体" w:hAnsi="宋体" w:eastAsia="宋体" w:cs="宋体"/>
          <w:szCs w:val="24"/>
          <w:highlight w:val="none"/>
          <w:u w:val="dotted"/>
        </w:rPr>
      </w:pPr>
      <w:r>
        <w:rPr>
          <w:rFonts w:hint="eastAsia" w:ascii="宋体" w:hAnsi="宋体" w:eastAsia="宋体" w:cs="宋体"/>
          <w:szCs w:val="24"/>
          <w:highlight w:val="none"/>
        </w:rPr>
        <w:t>质疑供应商：</w:t>
      </w:r>
      <w:r>
        <w:rPr>
          <w:rFonts w:hint="eastAsia" w:ascii="宋体" w:hAnsi="宋体" w:eastAsia="宋体" w:cs="宋体"/>
          <w:szCs w:val="24"/>
          <w:highlight w:val="none"/>
          <w:u w:val="dotted"/>
        </w:rPr>
        <w:t xml:space="preserve">                                        </w:t>
      </w:r>
    </w:p>
    <w:p w14:paraId="6BC8EB73">
      <w:pPr>
        <w:adjustRightInd w:val="0"/>
        <w:snapToGrid w:val="0"/>
        <w:spacing w:line="360" w:lineRule="auto"/>
        <w:rPr>
          <w:rFonts w:hint="eastAsia" w:ascii="宋体" w:hAnsi="宋体" w:eastAsia="宋体" w:cs="宋体"/>
          <w:szCs w:val="24"/>
          <w:highlight w:val="none"/>
        </w:rPr>
      </w:pPr>
      <w:r>
        <w:rPr>
          <w:rFonts w:hint="eastAsia" w:ascii="宋体" w:hAnsi="宋体" w:eastAsia="宋体" w:cs="宋体"/>
          <w:szCs w:val="24"/>
          <w:highlight w:val="none"/>
        </w:rPr>
        <w:t>地址：</w:t>
      </w:r>
      <w:r>
        <w:rPr>
          <w:rFonts w:hint="eastAsia" w:ascii="宋体" w:hAnsi="宋体" w:eastAsia="宋体" w:cs="宋体"/>
          <w:szCs w:val="24"/>
          <w:highlight w:val="none"/>
          <w:u w:val="dotted"/>
        </w:rPr>
        <w:t xml:space="preserve">                          </w:t>
      </w:r>
      <w:r>
        <w:rPr>
          <w:rFonts w:hint="eastAsia" w:ascii="宋体" w:hAnsi="宋体" w:eastAsia="宋体" w:cs="宋体"/>
          <w:szCs w:val="24"/>
          <w:highlight w:val="none"/>
        </w:rPr>
        <w:t>邮编：</w:t>
      </w:r>
      <w:r>
        <w:rPr>
          <w:rFonts w:hint="eastAsia" w:ascii="宋体" w:hAnsi="宋体" w:eastAsia="宋体" w:cs="宋体"/>
          <w:szCs w:val="24"/>
          <w:highlight w:val="none"/>
          <w:u w:val="dotted"/>
        </w:rPr>
        <w:t xml:space="preserve">                                                   </w:t>
      </w:r>
    </w:p>
    <w:p w14:paraId="532D1B63">
      <w:pPr>
        <w:adjustRightInd w:val="0"/>
        <w:snapToGrid w:val="0"/>
        <w:spacing w:line="360" w:lineRule="auto"/>
        <w:rPr>
          <w:rFonts w:hint="eastAsia" w:ascii="宋体" w:hAnsi="宋体" w:eastAsia="宋体" w:cs="宋体"/>
          <w:szCs w:val="24"/>
          <w:highlight w:val="none"/>
        </w:rPr>
      </w:pPr>
      <w:r>
        <w:rPr>
          <w:rFonts w:hint="eastAsia" w:ascii="宋体" w:hAnsi="宋体" w:eastAsia="宋体" w:cs="宋体"/>
          <w:szCs w:val="24"/>
          <w:highlight w:val="none"/>
        </w:rPr>
        <w:t>联系人：</w:t>
      </w:r>
      <w:r>
        <w:rPr>
          <w:rFonts w:hint="eastAsia" w:ascii="宋体" w:hAnsi="宋体" w:eastAsia="宋体" w:cs="宋体"/>
          <w:szCs w:val="24"/>
          <w:highlight w:val="none"/>
          <w:u w:val="dotted"/>
        </w:rPr>
        <w:t xml:space="preserve">                      </w:t>
      </w:r>
      <w:r>
        <w:rPr>
          <w:rFonts w:hint="eastAsia" w:ascii="宋体" w:hAnsi="宋体" w:eastAsia="宋体" w:cs="宋体"/>
          <w:szCs w:val="24"/>
          <w:highlight w:val="none"/>
        </w:rPr>
        <w:t>联系电话：</w:t>
      </w:r>
      <w:r>
        <w:rPr>
          <w:rFonts w:hint="eastAsia" w:ascii="宋体" w:hAnsi="宋体" w:eastAsia="宋体" w:cs="宋体"/>
          <w:szCs w:val="24"/>
          <w:highlight w:val="none"/>
          <w:u w:val="dotted"/>
        </w:rPr>
        <w:t xml:space="preserve">                              </w:t>
      </w:r>
    </w:p>
    <w:p w14:paraId="514884CA">
      <w:pPr>
        <w:adjustRightInd w:val="0"/>
        <w:snapToGrid w:val="0"/>
        <w:spacing w:line="360" w:lineRule="auto"/>
        <w:rPr>
          <w:rFonts w:hint="eastAsia" w:ascii="宋体" w:hAnsi="宋体" w:eastAsia="宋体" w:cs="宋体"/>
          <w:szCs w:val="24"/>
          <w:highlight w:val="none"/>
          <w:u w:val="dotted"/>
        </w:rPr>
      </w:pPr>
      <w:r>
        <w:rPr>
          <w:rFonts w:hint="eastAsia" w:ascii="宋体" w:hAnsi="宋体" w:eastAsia="宋体" w:cs="宋体"/>
          <w:szCs w:val="24"/>
          <w:highlight w:val="none"/>
        </w:rPr>
        <w:t>授权代表：</w:t>
      </w:r>
      <w:r>
        <w:rPr>
          <w:rFonts w:hint="eastAsia" w:ascii="宋体" w:hAnsi="宋体" w:eastAsia="宋体" w:cs="宋体"/>
          <w:szCs w:val="24"/>
          <w:highlight w:val="none"/>
          <w:u w:val="dotted"/>
        </w:rPr>
        <w:t xml:space="preserve">                                          </w:t>
      </w:r>
    </w:p>
    <w:p w14:paraId="51831E4D">
      <w:pPr>
        <w:adjustRightInd w:val="0"/>
        <w:snapToGrid w:val="0"/>
        <w:spacing w:line="360" w:lineRule="auto"/>
        <w:rPr>
          <w:rFonts w:hint="eastAsia" w:ascii="宋体" w:hAnsi="宋体" w:eastAsia="宋体" w:cs="宋体"/>
          <w:szCs w:val="24"/>
          <w:highlight w:val="none"/>
        </w:rPr>
      </w:pPr>
      <w:r>
        <w:rPr>
          <w:rFonts w:hint="eastAsia" w:ascii="宋体" w:hAnsi="宋体" w:eastAsia="宋体" w:cs="宋体"/>
          <w:szCs w:val="24"/>
          <w:highlight w:val="none"/>
        </w:rPr>
        <w:t>联系电话：</w:t>
      </w:r>
      <w:r>
        <w:rPr>
          <w:rFonts w:hint="eastAsia" w:ascii="宋体" w:hAnsi="宋体" w:eastAsia="宋体" w:cs="宋体"/>
          <w:szCs w:val="24"/>
          <w:highlight w:val="none"/>
          <w:u w:val="dotted"/>
        </w:rPr>
        <w:t xml:space="preserve">                                           </w:t>
      </w:r>
      <w:r>
        <w:rPr>
          <w:rFonts w:hint="eastAsia" w:ascii="宋体" w:hAnsi="宋体" w:eastAsia="宋体" w:cs="宋体"/>
          <w:szCs w:val="24"/>
          <w:highlight w:val="none"/>
        </w:rPr>
        <w:t xml:space="preserve"> </w:t>
      </w:r>
    </w:p>
    <w:p w14:paraId="3AB90A05">
      <w:pPr>
        <w:adjustRightInd w:val="0"/>
        <w:snapToGrid w:val="0"/>
        <w:spacing w:line="360" w:lineRule="auto"/>
        <w:rPr>
          <w:rFonts w:hint="eastAsia" w:ascii="宋体" w:hAnsi="宋体" w:eastAsia="宋体" w:cs="宋体"/>
          <w:szCs w:val="24"/>
          <w:highlight w:val="none"/>
        </w:rPr>
      </w:pPr>
      <w:r>
        <w:rPr>
          <w:rFonts w:hint="eastAsia" w:ascii="宋体" w:hAnsi="宋体" w:eastAsia="宋体" w:cs="宋体"/>
          <w:szCs w:val="24"/>
          <w:highlight w:val="none"/>
        </w:rPr>
        <w:t xml:space="preserve">地址： </w:t>
      </w:r>
      <w:r>
        <w:rPr>
          <w:rFonts w:hint="eastAsia" w:ascii="宋体" w:hAnsi="宋体" w:eastAsia="宋体" w:cs="宋体"/>
          <w:szCs w:val="24"/>
          <w:highlight w:val="none"/>
          <w:u w:val="dotted"/>
        </w:rPr>
        <w:t xml:space="preserve">                        </w:t>
      </w:r>
      <w:r>
        <w:rPr>
          <w:rFonts w:hint="eastAsia" w:ascii="宋体" w:hAnsi="宋体" w:eastAsia="宋体" w:cs="宋体"/>
          <w:szCs w:val="24"/>
          <w:highlight w:val="none"/>
        </w:rPr>
        <w:t>邮编：</w:t>
      </w:r>
      <w:r>
        <w:rPr>
          <w:rFonts w:hint="eastAsia" w:ascii="宋体" w:hAnsi="宋体" w:eastAsia="宋体" w:cs="宋体"/>
          <w:szCs w:val="24"/>
          <w:highlight w:val="none"/>
          <w:u w:val="dotted"/>
        </w:rPr>
        <w:t xml:space="preserve">                                                </w:t>
      </w:r>
    </w:p>
    <w:p w14:paraId="5FB57127">
      <w:pPr>
        <w:adjustRightInd w:val="0"/>
        <w:snapToGrid w:val="0"/>
        <w:spacing w:line="360" w:lineRule="auto"/>
        <w:rPr>
          <w:rFonts w:hint="eastAsia" w:ascii="宋体" w:hAnsi="宋体" w:eastAsia="宋体" w:cs="宋体"/>
          <w:bCs/>
          <w:szCs w:val="24"/>
          <w:highlight w:val="none"/>
        </w:rPr>
      </w:pPr>
      <w:r>
        <w:rPr>
          <w:rFonts w:hint="eastAsia" w:ascii="宋体" w:hAnsi="宋体" w:eastAsia="宋体" w:cs="宋体"/>
          <w:bCs/>
          <w:szCs w:val="24"/>
          <w:highlight w:val="none"/>
        </w:rPr>
        <w:t>二、质疑项目基本情况</w:t>
      </w:r>
    </w:p>
    <w:p w14:paraId="771BA7C9">
      <w:pPr>
        <w:adjustRightInd w:val="0"/>
        <w:snapToGrid w:val="0"/>
        <w:spacing w:line="360" w:lineRule="auto"/>
        <w:rPr>
          <w:rFonts w:hint="eastAsia" w:ascii="宋体" w:hAnsi="宋体" w:eastAsia="宋体" w:cs="宋体"/>
          <w:szCs w:val="24"/>
          <w:highlight w:val="none"/>
        </w:rPr>
      </w:pPr>
      <w:r>
        <w:rPr>
          <w:rFonts w:hint="eastAsia" w:ascii="宋体" w:hAnsi="宋体" w:eastAsia="宋体" w:cs="宋体"/>
          <w:szCs w:val="24"/>
          <w:highlight w:val="none"/>
        </w:rPr>
        <w:t>质疑项目的名称：</w:t>
      </w:r>
      <w:r>
        <w:rPr>
          <w:rFonts w:hint="eastAsia" w:ascii="宋体" w:hAnsi="宋体" w:eastAsia="宋体" w:cs="宋体"/>
          <w:szCs w:val="24"/>
          <w:highlight w:val="none"/>
          <w:u w:val="dotted"/>
        </w:rPr>
        <w:t xml:space="preserve">                                      </w:t>
      </w:r>
    </w:p>
    <w:p w14:paraId="7531CC4B">
      <w:pPr>
        <w:adjustRightInd w:val="0"/>
        <w:snapToGrid w:val="0"/>
        <w:spacing w:line="360" w:lineRule="auto"/>
        <w:rPr>
          <w:rFonts w:hint="eastAsia" w:ascii="宋体" w:hAnsi="宋体" w:eastAsia="宋体" w:cs="宋体"/>
          <w:szCs w:val="24"/>
          <w:highlight w:val="none"/>
        </w:rPr>
      </w:pPr>
      <w:r>
        <w:rPr>
          <w:rFonts w:hint="eastAsia" w:ascii="宋体" w:hAnsi="宋体" w:eastAsia="宋体" w:cs="宋体"/>
          <w:szCs w:val="24"/>
          <w:highlight w:val="none"/>
        </w:rPr>
        <w:t>质疑项目的编号：</w:t>
      </w:r>
      <w:r>
        <w:rPr>
          <w:rFonts w:hint="eastAsia" w:ascii="宋体" w:hAnsi="宋体" w:eastAsia="宋体" w:cs="宋体"/>
          <w:szCs w:val="24"/>
          <w:highlight w:val="none"/>
          <w:u w:val="dotted"/>
        </w:rPr>
        <w:t xml:space="preserve">               </w:t>
      </w:r>
      <w:r>
        <w:rPr>
          <w:rFonts w:hint="eastAsia" w:ascii="宋体" w:hAnsi="宋体" w:eastAsia="宋体" w:cs="宋体"/>
          <w:szCs w:val="24"/>
          <w:highlight w:val="none"/>
        </w:rPr>
        <w:t>包号：</w:t>
      </w:r>
      <w:r>
        <w:rPr>
          <w:rFonts w:hint="eastAsia" w:ascii="宋体" w:hAnsi="宋体" w:eastAsia="宋体" w:cs="宋体"/>
          <w:szCs w:val="24"/>
          <w:highlight w:val="none"/>
          <w:u w:val="dotted"/>
        </w:rPr>
        <w:t xml:space="preserve">                 </w:t>
      </w:r>
    </w:p>
    <w:p w14:paraId="7B9D5585">
      <w:pPr>
        <w:adjustRightInd w:val="0"/>
        <w:snapToGrid w:val="0"/>
        <w:spacing w:line="360" w:lineRule="auto"/>
        <w:rPr>
          <w:rFonts w:hint="eastAsia" w:ascii="宋体" w:hAnsi="宋体" w:eastAsia="宋体" w:cs="宋体"/>
          <w:szCs w:val="24"/>
          <w:highlight w:val="none"/>
          <w:u w:val="dotted"/>
        </w:rPr>
      </w:pPr>
      <w:r>
        <w:rPr>
          <w:rFonts w:hint="eastAsia" w:ascii="宋体" w:hAnsi="宋体" w:eastAsia="宋体" w:cs="宋体"/>
          <w:szCs w:val="24"/>
          <w:highlight w:val="none"/>
        </w:rPr>
        <w:t>采购人名称：</w:t>
      </w:r>
      <w:r>
        <w:rPr>
          <w:rFonts w:hint="eastAsia" w:ascii="宋体" w:hAnsi="宋体" w:eastAsia="宋体" w:cs="宋体"/>
          <w:szCs w:val="24"/>
          <w:highlight w:val="none"/>
          <w:u w:val="dotted"/>
        </w:rPr>
        <w:t xml:space="preserve">                                         </w:t>
      </w:r>
    </w:p>
    <w:p w14:paraId="3C2FE8EA">
      <w:pPr>
        <w:adjustRightInd w:val="0"/>
        <w:snapToGrid w:val="0"/>
        <w:spacing w:line="360" w:lineRule="auto"/>
        <w:rPr>
          <w:rFonts w:hint="eastAsia" w:ascii="宋体" w:hAnsi="宋体" w:eastAsia="宋体" w:cs="宋体"/>
          <w:szCs w:val="24"/>
          <w:highlight w:val="none"/>
        </w:rPr>
      </w:pPr>
      <w:r>
        <w:rPr>
          <w:rFonts w:hint="eastAsia" w:ascii="宋体" w:hAnsi="宋体" w:eastAsia="宋体" w:cs="宋体"/>
          <w:szCs w:val="24"/>
          <w:highlight w:val="none"/>
        </w:rPr>
        <w:t>采购文件获取日期：</w:t>
      </w:r>
      <w:r>
        <w:rPr>
          <w:rFonts w:hint="eastAsia" w:ascii="宋体" w:hAnsi="宋体" w:eastAsia="宋体" w:cs="宋体"/>
          <w:szCs w:val="24"/>
          <w:highlight w:val="none"/>
          <w:u w:val="dotted"/>
        </w:rPr>
        <w:t xml:space="preserve">                                           </w:t>
      </w:r>
    </w:p>
    <w:p w14:paraId="586B27EF">
      <w:pPr>
        <w:adjustRightInd w:val="0"/>
        <w:snapToGrid w:val="0"/>
        <w:spacing w:line="360" w:lineRule="auto"/>
        <w:rPr>
          <w:rFonts w:hint="eastAsia" w:ascii="宋体" w:hAnsi="宋体" w:eastAsia="宋体" w:cs="宋体"/>
          <w:bCs/>
          <w:szCs w:val="24"/>
          <w:highlight w:val="none"/>
        </w:rPr>
      </w:pPr>
      <w:r>
        <w:rPr>
          <w:rFonts w:hint="eastAsia" w:ascii="宋体" w:hAnsi="宋体" w:eastAsia="宋体" w:cs="宋体"/>
          <w:bCs/>
          <w:szCs w:val="24"/>
          <w:highlight w:val="none"/>
        </w:rPr>
        <w:t>三、质疑事项具体内容</w:t>
      </w:r>
    </w:p>
    <w:p w14:paraId="0F09C006">
      <w:pPr>
        <w:adjustRightInd w:val="0"/>
        <w:snapToGrid w:val="0"/>
        <w:spacing w:line="360" w:lineRule="auto"/>
        <w:rPr>
          <w:rFonts w:hint="eastAsia" w:ascii="宋体" w:hAnsi="宋体" w:eastAsia="宋体" w:cs="宋体"/>
          <w:szCs w:val="24"/>
          <w:highlight w:val="none"/>
          <w:u w:val="dotted"/>
        </w:rPr>
      </w:pPr>
      <w:r>
        <w:rPr>
          <w:rFonts w:hint="eastAsia" w:ascii="宋体" w:hAnsi="宋体" w:eastAsia="宋体" w:cs="宋体"/>
          <w:szCs w:val="24"/>
          <w:highlight w:val="none"/>
        </w:rPr>
        <w:t>质疑事项1：</w:t>
      </w:r>
      <w:r>
        <w:rPr>
          <w:rFonts w:hint="eastAsia" w:ascii="宋体" w:hAnsi="宋体" w:eastAsia="宋体" w:cs="宋体"/>
          <w:szCs w:val="24"/>
          <w:highlight w:val="none"/>
          <w:u w:val="dotted"/>
        </w:rPr>
        <w:t xml:space="preserve">                                         </w:t>
      </w:r>
    </w:p>
    <w:p w14:paraId="645647CA">
      <w:pPr>
        <w:adjustRightInd w:val="0"/>
        <w:snapToGrid w:val="0"/>
        <w:spacing w:line="360" w:lineRule="auto"/>
        <w:rPr>
          <w:rFonts w:hint="eastAsia" w:ascii="宋体" w:hAnsi="宋体" w:eastAsia="宋体" w:cs="宋体"/>
          <w:szCs w:val="24"/>
          <w:highlight w:val="none"/>
          <w:u w:val="dotted"/>
        </w:rPr>
      </w:pPr>
      <w:r>
        <w:rPr>
          <w:rFonts w:hint="eastAsia" w:ascii="宋体" w:hAnsi="宋体" w:eastAsia="宋体" w:cs="宋体"/>
          <w:szCs w:val="24"/>
          <w:highlight w:val="none"/>
        </w:rPr>
        <w:t>事实依据：</w:t>
      </w:r>
      <w:r>
        <w:rPr>
          <w:rFonts w:hint="eastAsia" w:ascii="宋体" w:hAnsi="宋体" w:eastAsia="宋体" w:cs="宋体"/>
          <w:szCs w:val="24"/>
          <w:highlight w:val="none"/>
          <w:u w:val="dotted"/>
        </w:rPr>
        <w:t xml:space="preserve">                                          </w:t>
      </w:r>
    </w:p>
    <w:p w14:paraId="77BD7E3D">
      <w:pPr>
        <w:adjustRightInd w:val="0"/>
        <w:snapToGrid w:val="0"/>
        <w:spacing w:line="360" w:lineRule="auto"/>
        <w:rPr>
          <w:rFonts w:hint="eastAsia" w:ascii="宋体" w:hAnsi="宋体" w:eastAsia="宋体" w:cs="宋体"/>
          <w:szCs w:val="24"/>
          <w:highlight w:val="none"/>
        </w:rPr>
      </w:pPr>
      <w:r>
        <w:rPr>
          <w:rFonts w:hint="eastAsia" w:ascii="宋体" w:hAnsi="宋体" w:eastAsia="宋体" w:cs="宋体"/>
          <w:szCs w:val="24"/>
          <w:highlight w:val="none"/>
          <w:u w:val="dotted"/>
        </w:rPr>
        <w:t xml:space="preserve">                                                       </w:t>
      </w:r>
    </w:p>
    <w:p w14:paraId="6BE4839E">
      <w:pPr>
        <w:adjustRightInd w:val="0"/>
        <w:snapToGrid w:val="0"/>
        <w:spacing w:line="360" w:lineRule="auto"/>
        <w:rPr>
          <w:rFonts w:hint="eastAsia" w:ascii="宋体" w:hAnsi="宋体" w:eastAsia="宋体" w:cs="宋体"/>
          <w:szCs w:val="24"/>
          <w:highlight w:val="none"/>
          <w:u w:val="dotted"/>
        </w:rPr>
      </w:pPr>
      <w:r>
        <w:rPr>
          <w:rFonts w:hint="eastAsia" w:ascii="宋体" w:hAnsi="宋体" w:eastAsia="宋体" w:cs="宋体"/>
          <w:szCs w:val="24"/>
          <w:highlight w:val="none"/>
        </w:rPr>
        <w:t>法律依据：</w:t>
      </w:r>
      <w:r>
        <w:rPr>
          <w:rFonts w:hint="eastAsia" w:ascii="宋体" w:hAnsi="宋体" w:eastAsia="宋体" w:cs="宋体"/>
          <w:szCs w:val="24"/>
          <w:highlight w:val="none"/>
          <w:u w:val="dotted"/>
        </w:rPr>
        <w:t xml:space="preserve">                                          </w:t>
      </w:r>
    </w:p>
    <w:p w14:paraId="6C0A3F28">
      <w:pPr>
        <w:adjustRightInd w:val="0"/>
        <w:snapToGrid w:val="0"/>
        <w:spacing w:line="360" w:lineRule="auto"/>
        <w:rPr>
          <w:rFonts w:hint="eastAsia" w:ascii="宋体" w:hAnsi="宋体" w:eastAsia="宋体" w:cs="宋体"/>
          <w:szCs w:val="24"/>
          <w:highlight w:val="none"/>
          <w:u w:val="dotted"/>
        </w:rPr>
      </w:pPr>
      <w:r>
        <w:rPr>
          <w:rFonts w:hint="eastAsia" w:ascii="宋体" w:hAnsi="宋体" w:eastAsia="宋体" w:cs="宋体"/>
          <w:szCs w:val="24"/>
          <w:highlight w:val="none"/>
          <w:u w:val="dotted"/>
        </w:rPr>
        <w:t xml:space="preserve">                                                     </w:t>
      </w:r>
    </w:p>
    <w:p w14:paraId="18744840">
      <w:pPr>
        <w:adjustRightInd w:val="0"/>
        <w:snapToGrid w:val="0"/>
        <w:spacing w:line="360" w:lineRule="auto"/>
        <w:rPr>
          <w:rFonts w:hint="eastAsia" w:ascii="宋体" w:hAnsi="宋体" w:eastAsia="宋体" w:cs="宋体"/>
          <w:szCs w:val="24"/>
          <w:highlight w:val="none"/>
          <w:u w:val="dotted"/>
        </w:rPr>
      </w:pPr>
      <w:r>
        <w:rPr>
          <w:rFonts w:hint="eastAsia" w:ascii="宋体" w:hAnsi="宋体" w:eastAsia="宋体" w:cs="宋体"/>
          <w:szCs w:val="24"/>
          <w:highlight w:val="none"/>
        </w:rPr>
        <w:t>质疑事项2</w:t>
      </w:r>
    </w:p>
    <w:p w14:paraId="18B36B4A">
      <w:pPr>
        <w:adjustRightInd w:val="0"/>
        <w:snapToGrid w:val="0"/>
        <w:spacing w:line="360" w:lineRule="auto"/>
        <w:rPr>
          <w:rFonts w:hint="eastAsia" w:ascii="宋体" w:hAnsi="宋体" w:eastAsia="宋体" w:cs="宋体"/>
          <w:szCs w:val="24"/>
          <w:highlight w:val="none"/>
        </w:rPr>
      </w:pPr>
      <w:r>
        <w:rPr>
          <w:rFonts w:hint="eastAsia" w:ascii="宋体" w:hAnsi="宋体" w:eastAsia="宋体" w:cs="宋体"/>
          <w:szCs w:val="24"/>
          <w:highlight w:val="none"/>
        </w:rPr>
        <w:t>……</w:t>
      </w:r>
    </w:p>
    <w:p w14:paraId="1682827B">
      <w:pPr>
        <w:adjustRightInd w:val="0"/>
        <w:snapToGrid w:val="0"/>
        <w:spacing w:line="360" w:lineRule="auto"/>
        <w:rPr>
          <w:rFonts w:hint="eastAsia" w:ascii="宋体" w:hAnsi="宋体" w:eastAsia="宋体" w:cs="宋体"/>
          <w:bCs/>
          <w:szCs w:val="24"/>
          <w:highlight w:val="none"/>
        </w:rPr>
      </w:pPr>
      <w:r>
        <w:rPr>
          <w:rFonts w:hint="eastAsia" w:ascii="宋体" w:hAnsi="宋体" w:eastAsia="宋体" w:cs="宋体"/>
          <w:bCs/>
          <w:szCs w:val="24"/>
          <w:highlight w:val="none"/>
        </w:rPr>
        <w:t>四、与质疑事项相关的质疑请求</w:t>
      </w:r>
    </w:p>
    <w:p w14:paraId="127333BA">
      <w:pPr>
        <w:adjustRightInd w:val="0"/>
        <w:snapToGrid w:val="0"/>
        <w:spacing w:line="360" w:lineRule="auto"/>
        <w:rPr>
          <w:rFonts w:hint="eastAsia" w:ascii="宋体" w:hAnsi="宋体" w:eastAsia="宋体" w:cs="宋体"/>
          <w:szCs w:val="24"/>
          <w:highlight w:val="none"/>
          <w:u w:val="dotted"/>
        </w:rPr>
      </w:pPr>
      <w:r>
        <w:rPr>
          <w:rFonts w:hint="eastAsia" w:ascii="宋体" w:hAnsi="宋体" w:eastAsia="宋体" w:cs="宋体"/>
          <w:szCs w:val="24"/>
          <w:highlight w:val="none"/>
        </w:rPr>
        <w:t>请求：</w:t>
      </w:r>
      <w:r>
        <w:rPr>
          <w:rFonts w:hint="eastAsia" w:ascii="宋体" w:hAnsi="宋体" w:eastAsia="宋体" w:cs="宋体"/>
          <w:szCs w:val="24"/>
          <w:highlight w:val="none"/>
          <w:u w:val="dotted"/>
        </w:rPr>
        <w:t xml:space="preserve">                                               </w:t>
      </w:r>
    </w:p>
    <w:p w14:paraId="046409A1">
      <w:pPr>
        <w:rPr>
          <w:rFonts w:hint="eastAsia" w:ascii="宋体" w:hAnsi="宋体" w:eastAsia="宋体" w:cs="宋体"/>
          <w:szCs w:val="24"/>
          <w:highlight w:val="none"/>
        </w:rPr>
      </w:pPr>
      <w:r>
        <w:rPr>
          <w:rFonts w:hint="eastAsia" w:ascii="宋体" w:hAnsi="宋体" w:eastAsia="宋体" w:cs="宋体"/>
          <w:szCs w:val="24"/>
          <w:highlight w:val="none"/>
        </w:rPr>
        <w:t xml:space="preserve">签字(签章)：                   公章：                      </w:t>
      </w:r>
    </w:p>
    <w:p w14:paraId="312428CC">
      <w:pPr>
        <w:rPr>
          <w:rFonts w:hint="eastAsia" w:ascii="宋体" w:hAnsi="宋体" w:eastAsia="宋体" w:cs="宋体"/>
          <w:szCs w:val="24"/>
          <w:highlight w:val="none"/>
        </w:rPr>
      </w:pPr>
      <w:r>
        <w:rPr>
          <w:rFonts w:hint="eastAsia" w:ascii="宋体" w:hAnsi="宋体" w:eastAsia="宋体" w:cs="宋体"/>
          <w:szCs w:val="24"/>
          <w:highlight w:val="none"/>
        </w:rPr>
        <w:t xml:space="preserve">日期：    </w:t>
      </w:r>
    </w:p>
    <w:p w14:paraId="00B71893">
      <w:pPr>
        <w:jc w:val="center"/>
        <w:rPr>
          <w:rFonts w:hint="eastAsia" w:ascii="宋体" w:hAnsi="宋体" w:eastAsia="宋体" w:cs="宋体"/>
          <w:b/>
          <w:sz w:val="44"/>
          <w:szCs w:val="44"/>
          <w:highlight w:val="none"/>
        </w:rPr>
      </w:pPr>
    </w:p>
    <w:p w14:paraId="632F2936">
      <w:pPr>
        <w:rPr>
          <w:rFonts w:hint="eastAsia" w:ascii="宋体" w:hAnsi="宋体" w:eastAsia="宋体" w:cs="宋体"/>
          <w:b/>
          <w:sz w:val="44"/>
          <w:szCs w:val="44"/>
          <w:highlight w:val="none"/>
        </w:rPr>
      </w:pPr>
      <w:r>
        <w:rPr>
          <w:rFonts w:hint="eastAsia" w:ascii="宋体" w:hAnsi="宋体" w:eastAsia="宋体" w:cs="宋体"/>
          <w:b/>
          <w:sz w:val="44"/>
          <w:szCs w:val="44"/>
          <w:highlight w:val="none"/>
        </w:rPr>
        <w:br w:type="page"/>
      </w:r>
    </w:p>
    <w:p w14:paraId="64ECF063">
      <w:pPr>
        <w:jc w:val="center"/>
        <w:rPr>
          <w:rFonts w:hint="eastAsia" w:ascii="宋体" w:hAnsi="宋体" w:eastAsia="宋体" w:cs="宋体"/>
          <w:b/>
          <w:sz w:val="44"/>
          <w:szCs w:val="44"/>
          <w:highlight w:val="none"/>
        </w:rPr>
      </w:pPr>
      <w:r>
        <w:rPr>
          <w:rFonts w:hint="eastAsia" w:ascii="宋体" w:hAnsi="宋体" w:eastAsia="宋体" w:cs="宋体"/>
          <w:b/>
          <w:sz w:val="44"/>
          <w:szCs w:val="44"/>
          <w:highlight w:val="none"/>
        </w:rPr>
        <w:t>投诉书范本</w:t>
      </w:r>
    </w:p>
    <w:p w14:paraId="0FCDDF9E">
      <w:pPr>
        <w:rPr>
          <w:rFonts w:hint="eastAsia" w:ascii="宋体" w:hAnsi="宋体" w:eastAsia="宋体" w:cs="宋体"/>
          <w:szCs w:val="24"/>
          <w:highlight w:val="none"/>
        </w:rPr>
      </w:pPr>
      <w:r>
        <w:rPr>
          <w:rFonts w:hint="eastAsia" w:ascii="宋体" w:hAnsi="宋体" w:eastAsia="宋体" w:cs="宋体"/>
          <w:szCs w:val="24"/>
          <w:highlight w:val="none"/>
        </w:rPr>
        <w:t>一、投诉相关主体基本情况</w:t>
      </w:r>
    </w:p>
    <w:p w14:paraId="447C885D">
      <w:pPr>
        <w:rPr>
          <w:rFonts w:hint="eastAsia" w:ascii="宋体" w:hAnsi="宋体" w:eastAsia="宋体" w:cs="宋体"/>
          <w:szCs w:val="24"/>
          <w:highlight w:val="none"/>
          <w:u w:val="dotted"/>
        </w:rPr>
      </w:pPr>
      <w:r>
        <w:rPr>
          <w:rFonts w:hint="eastAsia" w:ascii="宋体" w:hAnsi="宋体" w:eastAsia="宋体" w:cs="宋体"/>
          <w:szCs w:val="24"/>
          <w:highlight w:val="none"/>
        </w:rPr>
        <w:t>投诉人：</w:t>
      </w:r>
      <w:r>
        <w:rPr>
          <w:rFonts w:hint="eastAsia" w:ascii="宋体" w:hAnsi="宋体" w:eastAsia="宋体" w:cs="宋体"/>
          <w:szCs w:val="24"/>
          <w:highlight w:val="none"/>
          <w:u w:val="dotted"/>
        </w:rPr>
        <w:t xml:space="preserve">                                               </w:t>
      </w:r>
    </w:p>
    <w:p w14:paraId="4A799F22">
      <w:pPr>
        <w:rPr>
          <w:rFonts w:hint="eastAsia" w:ascii="宋体" w:hAnsi="宋体" w:eastAsia="宋体" w:cs="宋体"/>
          <w:szCs w:val="24"/>
          <w:highlight w:val="none"/>
          <w:u w:val="single"/>
        </w:rPr>
      </w:pPr>
      <w:r>
        <w:rPr>
          <w:rFonts w:hint="eastAsia" w:ascii="宋体" w:hAnsi="宋体" w:eastAsia="宋体" w:cs="宋体"/>
          <w:szCs w:val="24"/>
          <w:highlight w:val="none"/>
        </w:rPr>
        <w:t>地     址：</w:t>
      </w:r>
      <w:r>
        <w:rPr>
          <w:rFonts w:hint="eastAsia" w:ascii="宋体" w:hAnsi="宋体" w:eastAsia="宋体" w:cs="宋体"/>
          <w:szCs w:val="24"/>
          <w:highlight w:val="none"/>
          <w:u w:val="dotted"/>
        </w:rPr>
        <w:t xml:space="preserve">                             </w:t>
      </w:r>
      <w:r>
        <w:rPr>
          <w:rFonts w:hint="eastAsia" w:ascii="宋体" w:hAnsi="宋体" w:eastAsia="宋体" w:cs="宋体"/>
          <w:szCs w:val="24"/>
          <w:highlight w:val="none"/>
        </w:rPr>
        <w:t>邮编：</w:t>
      </w:r>
      <w:r>
        <w:rPr>
          <w:rFonts w:hint="eastAsia" w:ascii="宋体" w:hAnsi="宋体" w:eastAsia="宋体" w:cs="宋体"/>
          <w:szCs w:val="24"/>
          <w:highlight w:val="none"/>
          <w:u w:val="dotted"/>
        </w:rPr>
        <w:t xml:space="preserve">         </w:t>
      </w:r>
      <w:r>
        <w:rPr>
          <w:rFonts w:hint="eastAsia" w:ascii="宋体" w:hAnsi="宋体" w:eastAsia="宋体" w:cs="宋体"/>
          <w:szCs w:val="24"/>
          <w:highlight w:val="none"/>
          <w:u w:val="single"/>
        </w:rPr>
        <w:t xml:space="preserve">   </w:t>
      </w:r>
    </w:p>
    <w:p w14:paraId="08A84BD6">
      <w:pPr>
        <w:tabs>
          <w:tab w:val="left" w:pos="6510"/>
        </w:tabs>
        <w:jc w:val="left"/>
        <w:rPr>
          <w:rFonts w:hint="eastAsia" w:ascii="宋体" w:hAnsi="宋体" w:eastAsia="宋体" w:cs="宋体"/>
          <w:szCs w:val="24"/>
          <w:highlight w:val="none"/>
        </w:rPr>
      </w:pPr>
      <w:r>
        <w:rPr>
          <w:rFonts w:hint="eastAsia" w:ascii="宋体" w:hAnsi="宋体" w:eastAsia="宋体" w:cs="宋体"/>
          <w:szCs w:val="24"/>
          <w:highlight w:val="none"/>
        </w:rPr>
        <w:t>法定代表人/主要负责人：</w:t>
      </w:r>
      <w:r>
        <w:rPr>
          <w:rFonts w:hint="eastAsia" w:ascii="宋体" w:hAnsi="宋体" w:eastAsia="宋体" w:cs="宋体"/>
          <w:szCs w:val="24"/>
          <w:highlight w:val="none"/>
          <w:u w:val="dotted"/>
        </w:rPr>
        <w:t xml:space="preserve">                                   </w:t>
      </w:r>
      <w:r>
        <w:rPr>
          <w:rFonts w:hint="eastAsia" w:ascii="宋体" w:hAnsi="宋体" w:eastAsia="宋体" w:cs="宋体"/>
          <w:szCs w:val="24"/>
          <w:highlight w:val="none"/>
        </w:rPr>
        <w:t xml:space="preserve">  </w:t>
      </w:r>
    </w:p>
    <w:p w14:paraId="706AD17E">
      <w:pPr>
        <w:tabs>
          <w:tab w:val="left" w:pos="6510"/>
        </w:tabs>
        <w:rPr>
          <w:rFonts w:hint="eastAsia" w:ascii="宋体" w:hAnsi="宋体" w:eastAsia="宋体" w:cs="宋体"/>
          <w:szCs w:val="24"/>
          <w:highlight w:val="none"/>
          <w:u w:val="dotted"/>
        </w:rPr>
      </w:pPr>
      <w:r>
        <w:rPr>
          <w:rFonts w:hint="eastAsia" w:ascii="宋体" w:hAnsi="宋体" w:eastAsia="宋体" w:cs="宋体"/>
          <w:szCs w:val="24"/>
          <w:highlight w:val="none"/>
        </w:rPr>
        <w:t>联系电话：</w:t>
      </w:r>
      <w:r>
        <w:rPr>
          <w:rFonts w:hint="eastAsia" w:ascii="宋体" w:hAnsi="宋体" w:eastAsia="宋体" w:cs="宋体"/>
          <w:szCs w:val="24"/>
          <w:highlight w:val="none"/>
          <w:u w:val="dotted"/>
        </w:rPr>
        <w:t xml:space="preserve">                                             </w:t>
      </w:r>
    </w:p>
    <w:p w14:paraId="2D7A4252">
      <w:pPr>
        <w:rPr>
          <w:rFonts w:hint="eastAsia" w:ascii="宋体" w:hAnsi="宋体" w:eastAsia="宋体" w:cs="宋体"/>
          <w:szCs w:val="24"/>
          <w:highlight w:val="none"/>
          <w:u w:val="dotted"/>
        </w:rPr>
      </w:pPr>
      <w:r>
        <w:rPr>
          <w:rFonts w:hint="eastAsia" w:ascii="宋体" w:hAnsi="宋体" w:eastAsia="宋体" w:cs="宋体"/>
          <w:szCs w:val="24"/>
          <w:highlight w:val="none"/>
        </w:rPr>
        <w:t>授权代表：</w:t>
      </w:r>
      <w:r>
        <w:rPr>
          <w:rFonts w:hint="eastAsia" w:ascii="宋体" w:hAnsi="宋体" w:eastAsia="宋体" w:cs="宋体"/>
          <w:szCs w:val="24"/>
          <w:highlight w:val="none"/>
          <w:u w:val="dotted"/>
        </w:rPr>
        <w:t xml:space="preserve">             </w:t>
      </w:r>
      <w:r>
        <w:rPr>
          <w:rFonts w:hint="eastAsia" w:ascii="宋体" w:hAnsi="宋体" w:eastAsia="宋体" w:cs="宋体"/>
          <w:szCs w:val="24"/>
          <w:highlight w:val="none"/>
        </w:rPr>
        <w:t>联系电话</w:t>
      </w:r>
      <w:r>
        <w:rPr>
          <w:rFonts w:hint="eastAsia" w:ascii="宋体" w:hAnsi="宋体" w:eastAsia="宋体" w:cs="宋体"/>
          <w:szCs w:val="24"/>
          <w:highlight w:val="none"/>
          <w:u w:val="dotted"/>
        </w:rPr>
        <w:t xml:space="preserve">：                  </w:t>
      </w:r>
    </w:p>
    <w:p w14:paraId="41154E15">
      <w:pPr>
        <w:rPr>
          <w:rFonts w:hint="eastAsia" w:ascii="宋体" w:hAnsi="宋体" w:eastAsia="宋体" w:cs="宋体"/>
          <w:szCs w:val="24"/>
          <w:highlight w:val="none"/>
          <w:u w:val="dotted"/>
        </w:rPr>
      </w:pPr>
      <w:r>
        <w:rPr>
          <w:rFonts w:hint="eastAsia" w:ascii="宋体" w:hAnsi="宋体" w:eastAsia="宋体" w:cs="宋体"/>
          <w:szCs w:val="24"/>
          <w:highlight w:val="none"/>
        </w:rPr>
        <w:t>地     址：</w:t>
      </w:r>
      <w:r>
        <w:rPr>
          <w:rFonts w:hint="eastAsia" w:ascii="宋体" w:hAnsi="宋体" w:eastAsia="宋体" w:cs="宋体"/>
          <w:szCs w:val="24"/>
          <w:highlight w:val="none"/>
          <w:u w:val="dotted"/>
        </w:rPr>
        <w:t xml:space="preserve">                             </w:t>
      </w:r>
      <w:r>
        <w:rPr>
          <w:rFonts w:hint="eastAsia" w:ascii="宋体" w:hAnsi="宋体" w:eastAsia="宋体" w:cs="宋体"/>
          <w:szCs w:val="24"/>
          <w:highlight w:val="none"/>
        </w:rPr>
        <w:t>邮编：</w:t>
      </w:r>
      <w:r>
        <w:rPr>
          <w:rFonts w:hint="eastAsia" w:ascii="宋体" w:hAnsi="宋体" w:eastAsia="宋体" w:cs="宋体"/>
          <w:szCs w:val="24"/>
          <w:highlight w:val="none"/>
          <w:u w:val="dotted"/>
        </w:rPr>
        <w:t xml:space="preserve">         </w:t>
      </w:r>
      <w:r>
        <w:rPr>
          <w:rFonts w:hint="eastAsia" w:ascii="宋体" w:hAnsi="宋体" w:eastAsia="宋体" w:cs="宋体"/>
          <w:szCs w:val="24"/>
          <w:highlight w:val="none"/>
          <w:u w:val="single"/>
        </w:rPr>
        <w:t xml:space="preserve"> </w:t>
      </w:r>
      <w:r>
        <w:rPr>
          <w:rFonts w:hint="eastAsia" w:ascii="宋体" w:hAnsi="宋体" w:eastAsia="宋体" w:cs="宋体"/>
          <w:szCs w:val="24"/>
          <w:highlight w:val="none"/>
          <w:u w:val="dotted"/>
        </w:rPr>
        <w:t xml:space="preserve">                   </w:t>
      </w:r>
    </w:p>
    <w:p w14:paraId="4F718CC3">
      <w:pPr>
        <w:rPr>
          <w:rFonts w:hint="eastAsia" w:ascii="宋体" w:hAnsi="宋体" w:eastAsia="宋体" w:cs="宋体"/>
          <w:szCs w:val="24"/>
          <w:highlight w:val="none"/>
          <w:u w:val="single"/>
        </w:rPr>
      </w:pPr>
      <w:r>
        <w:rPr>
          <w:rFonts w:hint="eastAsia" w:ascii="宋体" w:hAnsi="宋体" w:eastAsia="宋体" w:cs="宋体"/>
          <w:szCs w:val="24"/>
          <w:highlight w:val="none"/>
        </w:rPr>
        <w:t>被投诉人1：</w:t>
      </w:r>
      <w:r>
        <w:rPr>
          <w:rFonts w:hint="eastAsia" w:ascii="宋体" w:hAnsi="宋体" w:eastAsia="宋体" w:cs="宋体"/>
          <w:szCs w:val="24"/>
          <w:highlight w:val="none"/>
          <w:u w:val="dotted"/>
        </w:rPr>
        <w:t xml:space="preserve">                                           </w:t>
      </w:r>
      <w:r>
        <w:rPr>
          <w:rFonts w:hint="eastAsia" w:ascii="宋体" w:hAnsi="宋体" w:eastAsia="宋体" w:cs="宋体"/>
          <w:szCs w:val="24"/>
          <w:highlight w:val="none"/>
          <w:u w:val="single"/>
        </w:rPr>
        <w:t xml:space="preserve">  </w:t>
      </w:r>
    </w:p>
    <w:p w14:paraId="0CA83457">
      <w:pPr>
        <w:rPr>
          <w:rFonts w:hint="eastAsia" w:ascii="宋体" w:hAnsi="宋体" w:eastAsia="宋体" w:cs="宋体"/>
          <w:szCs w:val="24"/>
          <w:highlight w:val="none"/>
          <w:u w:val="single"/>
        </w:rPr>
      </w:pPr>
      <w:r>
        <w:rPr>
          <w:rFonts w:hint="eastAsia" w:ascii="宋体" w:hAnsi="宋体" w:eastAsia="宋体" w:cs="宋体"/>
          <w:szCs w:val="24"/>
          <w:highlight w:val="none"/>
        </w:rPr>
        <w:t>地     址：</w:t>
      </w:r>
      <w:r>
        <w:rPr>
          <w:rFonts w:hint="eastAsia" w:ascii="宋体" w:hAnsi="宋体" w:eastAsia="宋体" w:cs="宋体"/>
          <w:szCs w:val="24"/>
          <w:highlight w:val="none"/>
          <w:u w:val="dotted"/>
        </w:rPr>
        <w:t xml:space="preserve">                             </w:t>
      </w:r>
      <w:r>
        <w:rPr>
          <w:rFonts w:hint="eastAsia" w:ascii="宋体" w:hAnsi="宋体" w:eastAsia="宋体" w:cs="宋体"/>
          <w:szCs w:val="24"/>
          <w:highlight w:val="none"/>
        </w:rPr>
        <w:t>邮编：</w:t>
      </w:r>
      <w:r>
        <w:rPr>
          <w:rFonts w:hint="eastAsia" w:ascii="宋体" w:hAnsi="宋体" w:eastAsia="宋体" w:cs="宋体"/>
          <w:szCs w:val="24"/>
          <w:highlight w:val="none"/>
          <w:u w:val="dotted"/>
        </w:rPr>
        <w:t xml:space="preserve">          </w:t>
      </w:r>
      <w:r>
        <w:rPr>
          <w:rFonts w:hint="eastAsia" w:ascii="宋体" w:hAnsi="宋体" w:eastAsia="宋体" w:cs="宋体"/>
          <w:szCs w:val="24"/>
          <w:highlight w:val="none"/>
          <w:u w:val="single"/>
        </w:rPr>
        <w:t xml:space="preserve"> </w:t>
      </w:r>
    </w:p>
    <w:p w14:paraId="4820EDBF">
      <w:pPr>
        <w:rPr>
          <w:rFonts w:hint="eastAsia" w:ascii="宋体" w:hAnsi="宋体" w:eastAsia="宋体" w:cs="宋体"/>
          <w:szCs w:val="24"/>
          <w:highlight w:val="none"/>
          <w:u w:val="single"/>
        </w:rPr>
      </w:pPr>
      <w:r>
        <w:rPr>
          <w:rFonts w:hint="eastAsia" w:ascii="宋体" w:hAnsi="宋体" w:eastAsia="宋体" w:cs="宋体"/>
          <w:szCs w:val="24"/>
          <w:highlight w:val="none"/>
        </w:rPr>
        <w:t>联系人：</w:t>
      </w:r>
      <w:r>
        <w:rPr>
          <w:rFonts w:hint="eastAsia" w:ascii="宋体" w:hAnsi="宋体" w:eastAsia="宋体" w:cs="宋体"/>
          <w:szCs w:val="24"/>
          <w:highlight w:val="none"/>
          <w:u w:val="dotted"/>
        </w:rPr>
        <w:t xml:space="preserve">               </w:t>
      </w:r>
      <w:r>
        <w:rPr>
          <w:rFonts w:hint="eastAsia" w:ascii="宋体" w:hAnsi="宋体" w:eastAsia="宋体" w:cs="宋体"/>
          <w:szCs w:val="24"/>
          <w:highlight w:val="none"/>
        </w:rPr>
        <w:t>联系电话：</w:t>
      </w:r>
      <w:r>
        <w:rPr>
          <w:rFonts w:hint="eastAsia" w:ascii="宋体" w:hAnsi="宋体" w:eastAsia="宋体" w:cs="宋体"/>
          <w:szCs w:val="24"/>
          <w:highlight w:val="none"/>
          <w:u w:val="dotted"/>
        </w:rPr>
        <w:t xml:space="preserve">                      </w:t>
      </w:r>
      <w:r>
        <w:rPr>
          <w:rFonts w:hint="eastAsia" w:ascii="宋体" w:hAnsi="宋体" w:eastAsia="宋体" w:cs="宋体"/>
          <w:szCs w:val="24"/>
          <w:highlight w:val="none"/>
          <w:u w:val="single"/>
        </w:rPr>
        <w:t xml:space="preserve"> </w:t>
      </w:r>
    </w:p>
    <w:p w14:paraId="0A241F0C">
      <w:pPr>
        <w:rPr>
          <w:rFonts w:hint="eastAsia" w:ascii="宋体" w:hAnsi="宋体" w:eastAsia="宋体" w:cs="宋体"/>
          <w:szCs w:val="24"/>
          <w:highlight w:val="none"/>
        </w:rPr>
      </w:pPr>
      <w:r>
        <w:rPr>
          <w:rFonts w:hint="eastAsia" w:ascii="宋体" w:hAnsi="宋体" w:eastAsia="宋体" w:cs="宋体"/>
          <w:szCs w:val="24"/>
          <w:highlight w:val="none"/>
        </w:rPr>
        <w:t>被投诉人2</w:t>
      </w:r>
    </w:p>
    <w:p w14:paraId="31E05E82">
      <w:pPr>
        <w:rPr>
          <w:rFonts w:hint="eastAsia" w:ascii="宋体" w:hAnsi="宋体" w:eastAsia="宋体" w:cs="宋体"/>
          <w:szCs w:val="24"/>
          <w:highlight w:val="none"/>
          <w:u w:val="dotted"/>
        </w:rPr>
      </w:pPr>
      <w:r>
        <w:rPr>
          <w:rFonts w:hint="eastAsia" w:ascii="宋体" w:hAnsi="宋体" w:eastAsia="宋体" w:cs="宋体"/>
          <w:szCs w:val="24"/>
          <w:highlight w:val="none"/>
        </w:rPr>
        <w:t>……</w:t>
      </w:r>
    </w:p>
    <w:p w14:paraId="09410796">
      <w:pPr>
        <w:rPr>
          <w:rFonts w:hint="eastAsia" w:ascii="宋体" w:hAnsi="宋体" w:eastAsia="宋体" w:cs="宋体"/>
          <w:szCs w:val="24"/>
          <w:highlight w:val="none"/>
          <w:u w:val="single"/>
        </w:rPr>
      </w:pPr>
      <w:r>
        <w:rPr>
          <w:rFonts w:hint="eastAsia" w:ascii="宋体" w:hAnsi="宋体" w:eastAsia="宋体" w:cs="宋体"/>
          <w:szCs w:val="24"/>
          <w:highlight w:val="none"/>
        </w:rPr>
        <w:t>相关供应商：</w:t>
      </w:r>
      <w:r>
        <w:rPr>
          <w:rFonts w:hint="eastAsia" w:ascii="宋体" w:hAnsi="宋体" w:eastAsia="宋体" w:cs="宋体"/>
          <w:szCs w:val="24"/>
          <w:highlight w:val="none"/>
          <w:u w:val="dotted"/>
        </w:rPr>
        <w:t xml:space="preserve">                                           </w:t>
      </w:r>
      <w:r>
        <w:rPr>
          <w:rFonts w:hint="eastAsia" w:ascii="宋体" w:hAnsi="宋体" w:eastAsia="宋体" w:cs="宋体"/>
          <w:szCs w:val="24"/>
          <w:highlight w:val="none"/>
          <w:u w:val="single"/>
        </w:rPr>
        <w:t xml:space="preserve">    </w:t>
      </w:r>
    </w:p>
    <w:p w14:paraId="1C4EDC17">
      <w:pPr>
        <w:rPr>
          <w:rFonts w:hint="eastAsia" w:ascii="宋体" w:hAnsi="宋体" w:eastAsia="宋体" w:cs="宋体"/>
          <w:szCs w:val="24"/>
          <w:highlight w:val="none"/>
          <w:u w:val="single"/>
        </w:rPr>
      </w:pPr>
      <w:r>
        <w:rPr>
          <w:rFonts w:hint="eastAsia" w:ascii="宋体" w:hAnsi="宋体" w:eastAsia="宋体" w:cs="宋体"/>
          <w:szCs w:val="24"/>
          <w:highlight w:val="none"/>
        </w:rPr>
        <w:t>地     址：</w:t>
      </w:r>
      <w:r>
        <w:rPr>
          <w:rFonts w:hint="eastAsia" w:ascii="宋体" w:hAnsi="宋体" w:eastAsia="宋体" w:cs="宋体"/>
          <w:szCs w:val="24"/>
          <w:highlight w:val="none"/>
          <w:u w:val="dotted"/>
        </w:rPr>
        <w:t xml:space="preserve">                             </w:t>
      </w:r>
      <w:r>
        <w:rPr>
          <w:rFonts w:hint="eastAsia" w:ascii="宋体" w:hAnsi="宋体" w:eastAsia="宋体" w:cs="宋体"/>
          <w:szCs w:val="24"/>
          <w:highlight w:val="none"/>
        </w:rPr>
        <w:t>邮编：</w:t>
      </w:r>
      <w:r>
        <w:rPr>
          <w:rFonts w:hint="eastAsia" w:ascii="宋体" w:hAnsi="宋体" w:eastAsia="宋体" w:cs="宋体"/>
          <w:szCs w:val="24"/>
          <w:highlight w:val="none"/>
          <w:u w:val="dotted"/>
        </w:rPr>
        <w:t xml:space="preserve">          </w:t>
      </w:r>
      <w:r>
        <w:rPr>
          <w:rFonts w:hint="eastAsia" w:ascii="宋体" w:hAnsi="宋体" w:eastAsia="宋体" w:cs="宋体"/>
          <w:szCs w:val="24"/>
          <w:highlight w:val="none"/>
          <w:u w:val="single"/>
        </w:rPr>
        <w:t xml:space="preserve"> </w:t>
      </w:r>
    </w:p>
    <w:p w14:paraId="0A7515DE">
      <w:pPr>
        <w:rPr>
          <w:rFonts w:hint="eastAsia" w:ascii="宋体" w:hAnsi="宋体" w:eastAsia="宋体" w:cs="宋体"/>
          <w:szCs w:val="24"/>
          <w:highlight w:val="none"/>
          <w:u w:val="single"/>
        </w:rPr>
      </w:pPr>
      <w:r>
        <w:rPr>
          <w:rFonts w:hint="eastAsia" w:ascii="宋体" w:hAnsi="宋体" w:eastAsia="宋体" w:cs="宋体"/>
          <w:szCs w:val="24"/>
          <w:highlight w:val="none"/>
        </w:rPr>
        <w:t>联系人：</w:t>
      </w:r>
      <w:r>
        <w:rPr>
          <w:rFonts w:hint="eastAsia" w:ascii="宋体" w:hAnsi="宋体" w:eastAsia="宋体" w:cs="宋体"/>
          <w:szCs w:val="24"/>
          <w:highlight w:val="none"/>
          <w:u w:val="dotted"/>
        </w:rPr>
        <w:t xml:space="preserve">               </w:t>
      </w:r>
      <w:r>
        <w:rPr>
          <w:rFonts w:hint="eastAsia" w:ascii="宋体" w:hAnsi="宋体" w:eastAsia="宋体" w:cs="宋体"/>
          <w:szCs w:val="24"/>
          <w:highlight w:val="none"/>
        </w:rPr>
        <w:t>联系电话：</w:t>
      </w:r>
      <w:r>
        <w:rPr>
          <w:rFonts w:hint="eastAsia" w:ascii="宋体" w:hAnsi="宋体" w:eastAsia="宋体" w:cs="宋体"/>
          <w:szCs w:val="24"/>
          <w:highlight w:val="none"/>
          <w:u w:val="dotted"/>
        </w:rPr>
        <w:t xml:space="preserve">                      </w:t>
      </w:r>
      <w:r>
        <w:rPr>
          <w:rFonts w:hint="eastAsia" w:ascii="宋体" w:hAnsi="宋体" w:eastAsia="宋体" w:cs="宋体"/>
          <w:szCs w:val="24"/>
          <w:highlight w:val="none"/>
          <w:u w:val="single"/>
        </w:rPr>
        <w:t xml:space="preserve">      </w:t>
      </w:r>
    </w:p>
    <w:p w14:paraId="160C2C2D">
      <w:pPr>
        <w:rPr>
          <w:rFonts w:hint="eastAsia" w:ascii="宋体" w:hAnsi="宋体" w:eastAsia="宋体" w:cs="宋体"/>
          <w:szCs w:val="24"/>
          <w:highlight w:val="none"/>
        </w:rPr>
      </w:pPr>
      <w:r>
        <w:rPr>
          <w:rFonts w:hint="eastAsia" w:ascii="宋体" w:hAnsi="宋体" w:eastAsia="宋体" w:cs="宋体"/>
          <w:szCs w:val="24"/>
          <w:highlight w:val="none"/>
        </w:rPr>
        <w:t>二、投诉项目基本情况</w:t>
      </w:r>
    </w:p>
    <w:p w14:paraId="191E9681">
      <w:pPr>
        <w:rPr>
          <w:rFonts w:hint="eastAsia" w:ascii="宋体" w:hAnsi="宋体" w:eastAsia="宋体" w:cs="宋体"/>
          <w:szCs w:val="24"/>
          <w:highlight w:val="none"/>
          <w:u w:val="dotted"/>
        </w:rPr>
      </w:pPr>
      <w:r>
        <w:rPr>
          <w:rFonts w:hint="eastAsia" w:ascii="宋体" w:hAnsi="宋体" w:eastAsia="宋体" w:cs="宋体"/>
          <w:szCs w:val="24"/>
          <w:highlight w:val="none"/>
        </w:rPr>
        <w:t>采购项目名称：</w:t>
      </w:r>
      <w:r>
        <w:rPr>
          <w:rFonts w:hint="eastAsia" w:ascii="宋体" w:hAnsi="宋体" w:eastAsia="宋体" w:cs="宋体"/>
          <w:szCs w:val="24"/>
          <w:highlight w:val="none"/>
          <w:u w:val="dotted"/>
        </w:rPr>
        <w:t xml:space="preserve">                                        </w:t>
      </w:r>
    </w:p>
    <w:p w14:paraId="43B2EBC6">
      <w:pPr>
        <w:rPr>
          <w:rFonts w:hint="eastAsia" w:ascii="宋体" w:hAnsi="宋体" w:eastAsia="宋体" w:cs="宋体"/>
          <w:szCs w:val="24"/>
          <w:highlight w:val="none"/>
          <w:u w:val="single"/>
        </w:rPr>
      </w:pPr>
      <w:r>
        <w:rPr>
          <w:rFonts w:hint="eastAsia" w:ascii="宋体" w:hAnsi="宋体" w:eastAsia="宋体" w:cs="宋体"/>
          <w:szCs w:val="24"/>
          <w:highlight w:val="none"/>
        </w:rPr>
        <w:t>采购项目编号：</w:t>
      </w:r>
      <w:r>
        <w:rPr>
          <w:rFonts w:hint="eastAsia" w:ascii="宋体" w:hAnsi="宋体" w:eastAsia="宋体" w:cs="宋体"/>
          <w:szCs w:val="24"/>
          <w:highlight w:val="none"/>
          <w:u w:val="dotted"/>
        </w:rPr>
        <w:t xml:space="preserve">                 </w:t>
      </w:r>
      <w:r>
        <w:rPr>
          <w:rFonts w:hint="eastAsia" w:ascii="宋体" w:hAnsi="宋体" w:eastAsia="宋体" w:cs="宋体"/>
          <w:szCs w:val="24"/>
          <w:highlight w:val="none"/>
        </w:rPr>
        <w:t>包号：</w:t>
      </w:r>
      <w:r>
        <w:rPr>
          <w:rFonts w:hint="eastAsia" w:ascii="宋体" w:hAnsi="宋体" w:eastAsia="宋体" w:cs="宋体"/>
          <w:szCs w:val="24"/>
          <w:highlight w:val="none"/>
          <w:u w:val="dotted"/>
        </w:rPr>
        <w:t xml:space="preserve">              </w:t>
      </w:r>
    </w:p>
    <w:p w14:paraId="233994E7">
      <w:pPr>
        <w:rPr>
          <w:rFonts w:hint="eastAsia" w:ascii="宋体" w:hAnsi="宋体" w:eastAsia="宋体" w:cs="宋体"/>
          <w:szCs w:val="24"/>
          <w:highlight w:val="none"/>
        </w:rPr>
      </w:pPr>
      <w:r>
        <w:rPr>
          <w:rFonts w:hint="eastAsia" w:ascii="宋体" w:hAnsi="宋体" w:eastAsia="宋体" w:cs="宋体"/>
          <w:szCs w:val="24"/>
          <w:highlight w:val="none"/>
        </w:rPr>
        <w:t>采购人名称：</w:t>
      </w:r>
      <w:r>
        <w:rPr>
          <w:rFonts w:hint="eastAsia" w:ascii="宋体" w:hAnsi="宋体" w:eastAsia="宋体" w:cs="宋体"/>
          <w:szCs w:val="24"/>
          <w:highlight w:val="none"/>
          <w:u w:val="dotted"/>
        </w:rPr>
        <w:t xml:space="preserve">                                           </w:t>
      </w:r>
      <w:r>
        <w:rPr>
          <w:rFonts w:hint="eastAsia" w:ascii="宋体" w:hAnsi="宋体" w:eastAsia="宋体" w:cs="宋体"/>
          <w:szCs w:val="24"/>
          <w:highlight w:val="none"/>
          <w:u w:val="single"/>
        </w:rPr>
        <w:t xml:space="preserve">  </w:t>
      </w:r>
    </w:p>
    <w:p w14:paraId="4DC70EEE">
      <w:pPr>
        <w:rPr>
          <w:rFonts w:hint="eastAsia" w:ascii="宋体" w:hAnsi="宋体" w:eastAsia="宋体" w:cs="宋体"/>
          <w:szCs w:val="24"/>
          <w:highlight w:val="none"/>
          <w:u w:val="single"/>
        </w:rPr>
      </w:pPr>
      <w:r>
        <w:rPr>
          <w:rFonts w:hint="eastAsia" w:ascii="宋体" w:hAnsi="宋体" w:eastAsia="宋体" w:cs="宋体"/>
          <w:szCs w:val="24"/>
          <w:highlight w:val="none"/>
        </w:rPr>
        <w:t>代理机构名称：</w:t>
      </w:r>
      <w:r>
        <w:rPr>
          <w:rFonts w:hint="eastAsia" w:ascii="宋体" w:hAnsi="宋体" w:eastAsia="宋体" w:cs="宋体"/>
          <w:szCs w:val="24"/>
          <w:highlight w:val="none"/>
          <w:u w:val="dotted"/>
        </w:rPr>
        <w:t xml:space="preserve">                                         </w:t>
      </w:r>
    </w:p>
    <w:p w14:paraId="1581072D">
      <w:pPr>
        <w:rPr>
          <w:rFonts w:hint="eastAsia" w:ascii="宋体" w:hAnsi="宋体" w:eastAsia="宋体" w:cs="宋体"/>
          <w:szCs w:val="24"/>
          <w:highlight w:val="none"/>
          <w:u w:val="dotted"/>
        </w:rPr>
      </w:pPr>
      <w:r>
        <w:rPr>
          <w:rFonts w:hint="eastAsia" w:ascii="宋体" w:hAnsi="宋体" w:eastAsia="宋体" w:cs="宋体"/>
          <w:szCs w:val="24"/>
          <w:highlight w:val="none"/>
        </w:rPr>
        <w:t>采购文件公告:</w:t>
      </w:r>
      <w:r>
        <w:rPr>
          <w:rFonts w:hint="eastAsia" w:ascii="宋体" w:hAnsi="宋体" w:eastAsia="宋体" w:cs="宋体"/>
          <w:szCs w:val="24"/>
          <w:highlight w:val="none"/>
          <w:u w:val="dotted"/>
        </w:rPr>
        <w:t xml:space="preserve">是/否 </w:t>
      </w:r>
      <w:r>
        <w:rPr>
          <w:rFonts w:hint="eastAsia" w:ascii="宋体" w:hAnsi="宋体" w:eastAsia="宋体" w:cs="宋体"/>
          <w:szCs w:val="24"/>
          <w:highlight w:val="none"/>
        </w:rPr>
        <w:t>公告期限：</w:t>
      </w:r>
      <w:r>
        <w:rPr>
          <w:rFonts w:hint="eastAsia" w:ascii="宋体" w:hAnsi="宋体" w:eastAsia="宋体" w:cs="宋体"/>
          <w:szCs w:val="24"/>
          <w:highlight w:val="none"/>
          <w:u w:val="dotted"/>
        </w:rPr>
        <w:t xml:space="preserve">                                 </w:t>
      </w:r>
    </w:p>
    <w:p w14:paraId="30D97BE7">
      <w:pPr>
        <w:rPr>
          <w:rFonts w:hint="eastAsia" w:ascii="宋体" w:hAnsi="宋体" w:eastAsia="宋体" w:cs="宋体"/>
          <w:szCs w:val="24"/>
          <w:highlight w:val="none"/>
          <w:u w:val="single"/>
        </w:rPr>
      </w:pPr>
      <w:r>
        <w:rPr>
          <w:rFonts w:hint="eastAsia" w:ascii="宋体" w:hAnsi="宋体" w:eastAsia="宋体" w:cs="宋体"/>
          <w:szCs w:val="24"/>
          <w:highlight w:val="none"/>
        </w:rPr>
        <w:t>采购结果公告:</w:t>
      </w:r>
      <w:r>
        <w:rPr>
          <w:rFonts w:hint="eastAsia" w:ascii="宋体" w:hAnsi="宋体" w:eastAsia="宋体" w:cs="宋体"/>
          <w:szCs w:val="24"/>
          <w:highlight w:val="none"/>
          <w:u w:val="dotted"/>
        </w:rPr>
        <w:t xml:space="preserve">是/否 </w:t>
      </w:r>
      <w:r>
        <w:rPr>
          <w:rFonts w:hint="eastAsia" w:ascii="宋体" w:hAnsi="宋体" w:eastAsia="宋体" w:cs="宋体"/>
          <w:szCs w:val="24"/>
          <w:highlight w:val="none"/>
        </w:rPr>
        <w:t>公告期限：</w:t>
      </w:r>
      <w:r>
        <w:rPr>
          <w:rFonts w:hint="eastAsia" w:ascii="宋体" w:hAnsi="宋体" w:eastAsia="宋体" w:cs="宋体"/>
          <w:szCs w:val="24"/>
          <w:highlight w:val="none"/>
          <w:u w:val="dotted"/>
        </w:rPr>
        <w:t xml:space="preserve">                        </w:t>
      </w:r>
    </w:p>
    <w:p w14:paraId="32CB34AF">
      <w:pPr>
        <w:rPr>
          <w:rFonts w:hint="eastAsia" w:ascii="宋体" w:hAnsi="宋体" w:eastAsia="宋体" w:cs="宋体"/>
          <w:szCs w:val="24"/>
          <w:highlight w:val="none"/>
        </w:rPr>
      </w:pPr>
      <w:r>
        <w:rPr>
          <w:rFonts w:hint="eastAsia" w:ascii="宋体" w:hAnsi="宋体" w:eastAsia="宋体" w:cs="宋体"/>
          <w:szCs w:val="24"/>
          <w:highlight w:val="none"/>
        </w:rPr>
        <w:t>三、质疑基本情况</w:t>
      </w:r>
    </w:p>
    <w:p w14:paraId="1725AEC3">
      <w:pPr>
        <w:ind w:firstLine="420" w:firstLineChars="200"/>
        <w:rPr>
          <w:rFonts w:hint="eastAsia" w:ascii="宋体" w:hAnsi="宋体" w:eastAsia="宋体" w:cs="宋体"/>
          <w:szCs w:val="24"/>
          <w:highlight w:val="none"/>
          <w:u w:val="dotted"/>
        </w:rPr>
      </w:pPr>
      <w:r>
        <w:rPr>
          <w:rFonts w:hint="eastAsia" w:ascii="宋体" w:hAnsi="宋体" w:eastAsia="宋体" w:cs="宋体"/>
          <w:szCs w:val="24"/>
          <w:highlight w:val="none"/>
        </w:rPr>
        <w:t>投诉人于</w:t>
      </w:r>
      <w:r>
        <w:rPr>
          <w:rFonts w:hint="eastAsia" w:ascii="宋体" w:hAnsi="宋体" w:eastAsia="宋体" w:cs="宋体"/>
          <w:szCs w:val="24"/>
          <w:highlight w:val="none"/>
          <w:u w:val="dotted"/>
        </w:rPr>
        <w:t xml:space="preserve">   </w:t>
      </w:r>
      <w:r>
        <w:rPr>
          <w:rFonts w:hint="eastAsia" w:ascii="宋体" w:hAnsi="宋体" w:eastAsia="宋体" w:cs="宋体"/>
          <w:szCs w:val="24"/>
          <w:highlight w:val="none"/>
        </w:rPr>
        <w:t>年</w:t>
      </w:r>
      <w:r>
        <w:rPr>
          <w:rFonts w:hint="eastAsia" w:ascii="宋体" w:hAnsi="宋体" w:eastAsia="宋体" w:cs="宋体"/>
          <w:szCs w:val="24"/>
          <w:highlight w:val="none"/>
          <w:u w:val="dotted"/>
        </w:rPr>
        <w:t xml:space="preserve">   </w:t>
      </w:r>
      <w:r>
        <w:rPr>
          <w:rFonts w:hint="eastAsia" w:ascii="宋体" w:hAnsi="宋体" w:eastAsia="宋体" w:cs="宋体"/>
          <w:szCs w:val="24"/>
          <w:highlight w:val="none"/>
        </w:rPr>
        <w:t>月</w:t>
      </w:r>
      <w:r>
        <w:rPr>
          <w:rFonts w:hint="eastAsia" w:ascii="宋体" w:hAnsi="宋体" w:eastAsia="宋体" w:cs="宋体"/>
          <w:szCs w:val="24"/>
          <w:highlight w:val="none"/>
          <w:u w:val="dotted"/>
        </w:rPr>
        <w:t xml:space="preserve">  </w:t>
      </w:r>
      <w:r>
        <w:rPr>
          <w:rFonts w:hint="eastAsia" w:ascii="宋体" w:hAnsi="宋体" w:eastAsia="宋体" w:cs="宋体"/>
          <w:szCs w:val="24"/>
          <w:highlight w:val="none"/>
        </w:rPr>
        <w:t>日,向</w:t>
      </w:r>
      <w:r>
        <w:rPr>
          <w:rFonts w:hint="eastAsia" w:ascii="宋体" w:hAnsi="宋体" w:eastAsia="宋体" w:cs="宋体"/>
          <w:szCs w:val="24"/>
          <w:highlight w:val="none"/>
          <w:u w:val="dotted"/>
        </w:rPr>
        <w:t xml:space="preserve">                   </w:t>
      </w:r>
      <w:r>
        <w:rPr>
          <w:rFonts w:hint="eastAsia" w:ascii="宋体" w:hAnsi="宋体" w:eastAsia="宋体" w:cs="宋体"/>
          <w:szCs w:val="24"/>
          <w:highlight w:val="none"/>
        </w:rPr>
        <w:t>提出质疑，质疑事项为：</w:t>
      </w:r>
      <w:r>
        <w:rPr>
          <w:rFonts w:hint="eastAsia" w:ascii="宋体" w:hAnsi="宋体" w:eastAsia="宋体" w:cs="宋体"/>
          <w:szCs w:val="24"/>
          <w:highlight w:val="none"/>
          <w:u w:val="dotted"/>
        </w:rPr>
        <w:t xml:space="preserve">                                </w:t>
      </w:r>
    </w:p>
    <w:p w14:paraId="04BA0A7A">
      <w:pPr>
        <w:rPr>
          <w:rFonts w:hint="eastAsia" w:ascii="宋体" w:hAnsi="宋体" w:eastAsia="宋体" w:cs="宋体"/>
          <w:szCs w:val="24"/>
          <w:highlight w:val="none"/>
          <w:u w:val="dotted"/>
        </w:rPr>
      </w:pPr>
      <w:r>
        <w:rPr>
          <w:rFonts w:hint="eastAsia" w:ascii="宋体" w:hAnsi="宋体" w:eastAsia="宋体" w:cs="宋体"/>
          <w:szCs w:val="24"/>
          <w:highlight w:val="none"/>
          <w:u w:val="dotted"/>
        </w:rPr>
        <w:t xml:space="preserve">                                                     </w:t>
      </w:r>
      <w:r>
        <w:rPr>
          <w:rFonts w:hint="eastAsia" w:ascii="宋体" w:hAnsi="宋体" w:eastAsia="宋体" w:cs="宋体"/>
          <w:szCs w:val="24"/>
          <w:highlight w:val="none"/>
        </w:rPr>
        <w:t xml:space="preserve">  </w:t>
      </w:r>
    </w:p>
    <w:p w14:paraId="57E7C2BD">
      <w:pPr>
        <w:ind w:firstLine="315" w:firstLineChars="150"/>
        <w:rPr>
          <w:rFonts w:hint="eastAsia" w:ascii="宋体" w:hAnsi="宋体" w:eastAsia="宋体" w:cs="宋体"/>
          <w:szCs w:val="24"/>
          <w:highlight w:val="none"/>
        </w:rPr>
      </w:pPr>
      <w:r>
        <w:rPr>
          <w:rFonts w:hint="eastAsia" w:ascii="宋体" w:hAnsi="宋体" w:eastAsia="宋体" w:cs="宋体"/>
          <w:szCs w:val="24"/>
          <w:highlight w:val="none"/>
          <w:u w:val="dotted"/>
        </w:rPr>
        <w:t>采购人/代理机构</w:t>
      </w:r>
      <w:r>
        <w:rPr>
          <w:rFonts w:hint="eastAsia" w:ascii="宋体" w:hAnsi="宋体" w:eastAsia="宋体" w:cs="宋体"/>
          <w:szCs w:val="24"/>
          <w:highlight w:val="none"/>
        </w:rPr>
        <w:t>于</w:t>
      </w:r>
      <w:r>
        <w:rPr>
          <w:rFonts w:hint="eastAsia" w:ascii="宋体" w:hAnsi="宋体" w:eastAsia="宋体" w:cs="宋体"/>
          <w:szCs w:val="24"/>
          <w:highlight w:val="none"/>
          <w:u w:val="dotted"/>
        </w:rPr>
        <w:t xml:space="preserve">   </w:t>
      </w:r>
      <w:r>
        <w:rPr>
          <w:rFonts w:hint="eastAsia" w:ascii="宋体" w:hAnsi="宋体" w:eastAsia="宋体" w:cs="宋体"/>
          <w:szCs w:val="24"/>
          <w:highlight w:val="none"/>
        </w:rPr>
        <w:t>年</w:t>
      </w:r>
      <w:r>
        <w:rPr>
          <w:rFonts w:hint="eastAsia" w:ascii="宋体" w:hAnsi="宋体" w:eastAsia="宋体" w:cs="宋体"/>
          <w:szCs w:val="24"/>
          <w:highlight w:val="none"/>
          <w:u w:val="dotted"/>
        </w:rPr>
        <w:t xml:space="preserve">   </w:t>
      </w:r>
      <w:r>
        <w:rPr>
          <w:rFonts w:hint="eastAsia" w:ascii="宋体" w:hAnsi="宋体" w:eastAsia="宋体" w:cs="宋体"/>
          <w:szCs w:val="24"/>
          <w:highlight w:val="none"/>
        </w:rPr>
        <w:t>月</w:t>
      </w:r>
      <w:r>
        <w:rPr>
          <w:rFonts w:hint="eastAsia" w:ascii="宋体" w:hAnsi="宋体" w:eastAsia="宋体" w:cs="宋体"/>
          <w:szCs w:val="24"/>
          <w:highlight w:val="none"/>
          <w:u w:val="dotted"/>
        </w:rPr>
        <w:t xml:space="preserve">   </w:t>
      </w:r>
      <w:r>
        <w:rPr>
          <w:rFonts w:hint="eastAsia" w:ascii="宋体" w:hAnsi="宋体" w:eastAsia="宋体" w:cs="宋体"/>
          <w:szCs w:val="24"/>
          <w:highlight w:val="none"/>
        </w:rPr>
        <w:t>日,就质疑事项作出了答复/没有在法定期限内作出答复。</w:t>
      </w:r>
    </w:p>
    <w:p w14:paraId="63241B3E">
      <w:pPr>
        <w:rPr>
          <w:rFonts w:hint="eastAsia" w:ascii="宋体" w:hAnsi="宋体" w:eastAsia="宋体" w:cs="宋体"/>
          <w:szCs w:val="24"/>
          <w:highlight w:val="none"/>
        </w:rPr>
      </w:pPr>
      <w:r>
        <w:rPr>
          <w:rFonts w:hint="eastAsia" w:ascii="宋体" w:hAnsi="宋体" w:eastAsia="宋体" w:cs="宋体"/>
          <w:szCs w:val="24"/>
          <w:highlight w:val="none"/>
        </w:rPr>
        <w:t>四、投诉事项具体内容</w:t>
      </w:r>
    </w:p>
    <w:p w14:paraId="2D802ED0">
      <w:pPr>
        <w:rPr>
          <w:rFonts w:hint="eastAsia" w:ascii="宋体" w:hAnsi="宋体" w:eastAsia="宋体" w:cs="宋体"/>
          <w:szCs w:val="24"/>
          <w:highlight w:val="none"/>
          <w:u w:val="single"/>
        </w:rPr>
      </w:pPr>
      <w:r>
        <w:rPr>
          <w:rFonts w:hint="eastAsia" w:ascii="宋体" w:hAnsi="宋体" w:eastAsia="宋体" w:cs="宋体"/>
          <w:szCs w:val="24"/>
          <w:highlight w:val="none"/>
        </w:rPr>
        <w:t>投诉事项 1：</w:t>
      </w:r>
      <w:r>
        <w:rPr>
          <w:rFonts w:hint="eastAsia" w:ascii="宋体" w:hAnsi="宋体" w:eastAsia="宋体" w:cs="宋体"/>
          <w:szCs w:val="24"/>
          <w:highlight w:val="none"/>
          <w:u w:val="dotted"/>
        </w:rPr>
        <w:t xml:space="preserve">                                       </w:t>
      </w:r>
    </w:p>
    <w:p w14:paraId="49E6897C">
      <w:pPr>
        <w:rPr>
          <w:rFonts w:hint="eastAsia" w:ascii="宋体" w:hAnsi="宋体" w:eastAsia="宋体" w:cs="宋体"/>
          <w:szCs w:val="24"/>
          <w:highlight w:val="none"/>
        </w:rPr>
      </w:pPr>
      <w:r>
        <w:rPr>
          <w:rFonts w:hint="eastAsia" w:ascii="宋体" w:hAnsi="宋体" w:eastAsia="宋体" w:cs="宋体"/>
          <w:szCs w:val="24"/>
          <w:highlight w:val="none"/>
        </w:rPr>
        <w:t>事实依据：</w:t>
      </w:r>
      <w:r>
        <w:rPr>
          <w:rFonts w:hint="eastAsia" w:ascii="宋体" w:hAnsi="宋体" w:eastAsia="宋体" w:cs="宋体"/>
          <w:szCs w:val="24"/>
          <w:highlight w:val="none"/>
          <w:u w:val="dotted"/>
        </w:rPr>
        <w:t xml:space="preserve">                                         </w:t>
      </w:r>
    </w:p>
    <w:p w14:paraId="5C3571E1">
      <w:pPr>
        <w:rPr>
          <w:rFonts w:hint="eastAsia" w:ascii="宋体" w:hAnsi="宋体" w:eastAsia="宋体" w:cs="宋体"/>
          <w:szCs w:val="24"/>
          <w:highlight w:val="none"/>
          <w:u w:val="dotted"/>
        </w:rPr>
      </w:pPr>
      <w:r>
        <w:rPr>
          <w:rFonts w:hint="eastAsia" w:ascii="宋体" w:hAnsi="宋体" w:eastAsia="宋体" w:cs="宋体"/>
          <w:szCs w:val="24"/>
          <w:highlight w:val="none"/>
          <w:u w:val="dotted"/>
        </w:rPr>
        <w:t xml:space="preserve">                                                      </w:t>
      </w:r>
    </w:p>
    <w:p w14:paraId="1B62B94D">
      <w:pPr>
        <w:rPr>
          <w:rFonts w:hint="eastAsia" w:ascii="宋体" w:hAnsi="宋体" w:eastAsia="宋体" w:cs="宋体"/>
          <w:szCs w:val="24"/>
          <w:highlight w:val="none"/>
          <w:u w:val="single"/>
        </w:rPr>
      </w:pPr>
      <w:r>
        <w:rPr>
          <w:rFonts w:hint="eastAsia" w:ascii="宋体" w:hAnsi="宋体" w:eastAsia="宋体" w:cs="宋体"/>
          <w:szCs w:val="24"/>
          <w:highlight w:val="none"/>
        </w:rPr>
        <w:t>法律依据：</w:t>
      </w:r>
      <w:r>
        <w:rPr>
          <w:rFonts w:hint="eastAsia" w:ascii="宋体" w:hAnsi="宋体" w:eastAsia="宋体" w:cs="宋体"/>
          <w:szCs w:val="24"/>
          <w:highlight w:val="none"/>
          <w:u w:val="dotted"/>
        </w:rPr>
        <w:t xml:space="preserve">                                          </w:t>
      </w:r>
    </w:p>
    <w:p w14:paraId="7DFF5EAE">
      <w:pPr>
        <w:rPr>
          <w:rFonts w:hint="eastAsia" w:ascii="宋体" w:hAnsi="宋体" w:eastAsia="宋体" w:cs="宋体"/>
          <w:szCs w:val="24"/>
          <w:highlight w:val="none"/>
          <w:u w:val="dotted"/>
        </w:rPr>
      </w:pPr>
      <w:r>
        <w:rPr>
          <w:rFonts w:hint="eastAsia" w:ascii="宋体" w:hAnsi="宋体" w:eastAsia="宋体" w:cs="宋体"/>
          <w:szCs w:val="24"/>
          <w:highlight w:val="none"/>
          <w:u w:val="dotted"/>
        </w:rPr>
        <w:t xml:space="preserve">                                                      </w:t>
      </w:r>
    </w:p>
    <w:p w14:paraId="7FA605E8">
      <w:pPr>
        <w:rPr>
          <w:rFonts w:hint="eastAsia" w:ascii="宋体" w:hAnsi="宋体" w:eastAsia="宋体" w:cs="宋体"/>
          <w:szCs w:val="24"/>
          <w:highlight w:val="none"/>
        </w:rPr>
      </w:pPr>
      <w:r>
        <w:rPr>
          <w:rFonts w:hint="eastAsia" w:ascii="宋体" w:hAnsi="宋体" w:eastAsia="宋体" w:cs="宋体"/>
          <w:szCs w:val="24"/>
          <w:highlight w:val="none"/>
        </w:rPr>
        <w:t>投诉事项2</w:t>
      </w:r>
    </w:p>
    <w:p w14:paraId="3DFC8C4B">
      <w:pPr>
        <w:rPr>
          <w:rFonts w:hint="eastAsia" w:ascii="宋体" w:hAnsi="宋体" w:eastAsia="宋体" w:cs="宋体"/>
          <w:szCs w:val="24"/>
          <w:highlight w:val="none"/>
          <w:u w:val="dotted"/>
        </w:rPr>
      </w:pPr>
      <w:r>
        <w:rPr>
          <w:rFonts w:hint="eastAsia" w:ascii="宋体" w:hAnsi="宋体" w:eastAsia="宋体" w:cs="宋体"/>
          <w:szCs w:val="24"/>
          <w:highlight w:val="none"/>
        </w:rPr>
        <w:t>……</w:t>
      </w:r>
    </w:p>
    <w:p w14:paraId="1E07C345">
      <w:pPr>
        <w:rPr>
          <w:rFonts w:hint="eastAsia" w:ascii="宋体" w:hAnsi="宋体" w:eastAsia="宋体" w:cs="宋体"/>
          <w:szCs w:val="24"/>
          <w:highlight w:val="none"/>
        </w:rPr>
      </w:pPr>
      <w:r>
        <w:rPr>
          <w:rFonts w:hint="eastAsia" w:ascii="宋体" w:hAnsi="宋体" w:eastAsia="宋体" w:cs="宋体"/>
          <w:szCs w:val="24"/>
          <w:highlight w:val="none"/>
        </w:rPr>
        <w:t>五、与投诉事项相关的投诉请求</w:t>
      </w:r>
    </w:p>
    <w:p w14:paraId="5B1C01AB">
      <w:pPr>
        <w:rPr>
          <w:rFonts w:hint="eastAsia" w:ascii="宋体" w:hAnsi="宋体" w:eastAsia="宋体" w:cs="宋体"/>
          <w:szCs w:val="24"/>
          <w:highlight w:val="none"/>
        </w:rPr>
      </w:pPr>
      <w:r>
        <w:rPr>
          <w:rFonts w:hint="eastAsia" w:ascii="宋体" w:hAnsi="宋体" w:eastAsia="宋体" w:cs="宋体"/>
          <w:szCs w:val="24"/>
          <w:highlight w:val="none"/>
        </w:rPr>
        <w:t>请求：</w:t>
      </w:r>
      <w:r>
        <w:rPr>
          <w:rFonts w:hint="eastAsia" w:ascii="宋体" w:hAnsi="宋体" w:eastAsia="宋体" w:cs="宋体"/>
          <w:szCs w:val="24"/>
          <w:highlight w:val="none"/>
          <w:u w:val="dotted"/>
        </w:rPr>
        <w:t xml:space="preserve">                                              </w:t>
      </w:r>
      <w:r>
        <w:rPr>
          <w:rFonts w:hint="eastAsia" w:ascii="宋体" w:hAnsi="宋体" w:eastAsia="宋体" w:cs="宋体"/>
          <w:szCs w:val="24"/>
          <w:highlight w:val="none"/>
        </w:rPr>
        <w:t xml:space="preserve"> </w:t>
      </w:r>
    </w:p>
    <w:p w14:paraId="7D5FD6FF">
      <w:pPr>
        <w:rPr>
          <w:rFonts w:hint="eastAsia" w:ascii="宋体" w:hAnsi="宋体" w:eastAsia="宋体" w:cs="宋体"/>
          <w:szCs w:val="24"/>
          <w:highlight w:val="none"/>
          <w:u w:val="single"/>
        </w:rPr>
      </w:pPr>
      <w:r>
        <w:rPr>
          <w:rFonts w:hint="eastAsia" w:ascii="宋体" w:hAnsi="宋体" w:eastAsia="宋体" w:cs="宋体"/>
          <w:szCs w:val="24"/>
          <w:highlight w:val="none"/>
        </w:rPr>
        <w:t xml:space="preserve">                                                                                                    </w:t>
      </w:r>
    </w:p>
    <w:p w14:paraId="614642CE">
      <w:pPr>
        <w:rPr>
          <w:rFonts w:hint="eastAsia" w:ascii="宋体" w:hAnsi="宋体" w:eastAsia="宋体" w:cs="宋体"/>
          <w:szCs w:val="24"/>
          <w:highlight w:val="none"/>
        </w:rPr>
      </w:pPr>
      <w:r>
        <w:rPr>
          <w:rFonts w:hint="eastAsia" w:ascii="宋体" w:hAnsi="宋体" w:eastAsia="宋体" w:cs="宋体"/>
          <w:szCs w:val="24"/>
          <w:highlight w:val="none"/>
        </w:rPr>
        <w:t xml:space="preserve">签字(签章)：                   公章：                      </w:t>
      </w:r>
    </w:p>
    <w:p w14:paraId="4ED6B02C">
      <w:pPr>
        <w:rPr>
          <w:rFonts w:hint="eastAsia" w:ascii="宋体" w:hAnsi="宋体" w:eastAsia="宋体" w:cs="宋体"/>
          <w:sz w:val="32"/>
          <w:szCs w:val="32"/>
          <w:highlight w:val="none"/>
        </w:rPr>
      </w:pPr>
      <w:r>
        <w:rPr>
          <w:rFonts w:hint="eastAsia" w:ascii="宋体" w:hAnsi="宋体" w:eastAsia="宋体" w:cs="宋体"/>
          <w:szCs w:val="24"/>
          <w:highlight w:val="none"/>
        </w:rPr>
        <w:t xml:space="preserve">日期：                      </w:t>
      </w:r>
    </w:p>
    <w:sectPr>
      <w:type w:val="continuous"/>
      <w:pgSz w:w="11906" w:h="16838"/>
      <w:pgMar w:top="1304" w:right="1361" w:bottom="1304" w:left="1361"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楷体_GB2312">
    <w:altName w:val="宋体"/>
    <w:panose1 w:val="02000000000000000000"/>
    <w:charset w:val="86"/>
    <w:family w:val="auto"/>
    <w:pitch w:val="default"/>
    <w:sig w:usb0="00000000" w:usb1="00000000" w:usb2="00000012"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376E0A">
    <w:pPr>
      <w:pStyle w:val="19"/>
      <w:jc w:val="both"/>
    </w:pPr>
    <w:r>
      <w:rPr>
        <w:rFonts w:hint="eastAsia"/>
        <w:lang w:eastAsia="zh-CN"/>
      </w:rPr>
      <w:t>陕西银正项目管理有限公司</w:t>
    </w:r>
    <w:r>
      <w:rPr>
        <w:rFonts w:hint="eastAsia"/>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F60BAC">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F39531">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10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5D115031">
                          <w:pPr>
                            <w:pStyle w:val="19"/>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PAGE  \* MERGEFORMAT </w:instrText>
                          </w:r>
                          <w:r>
                            <w:rPr>
                              <w:rFonts w:hint="eastAsia" w:ascii="宋体" w:hAnsi="宋体" w:eastAsia="宋体" w:cs="宋体"/>
                            </w:rPr>
                            <w:fldChar w:fldCharType="separate"/>
                          </w:r>
                          <w:r>
                            <w:rPr>
                              <w:rFonts w:hint="eastAsia" w:ascii="宋体" w:hAnsi="宋体" w:eastAsia="宋体" w:cs="宋体"/>
                            </w:rPr>
                            <w:t>35</w:t>
                          </w:r>
                          <w:r>
                            <w:rPr>
                              <w:rFonts w:hint="eastAsia" w:ascii="宋体" w:hAnsi="宋体" w:eastAsia="宋体" w:cs="宋体"/>
                            </w:rPr>
                            <w:fldChar w:fldCharType="end"/>
                          </w:r>
                        </w:p>
                      </w:txbxContent>
                    </wps:txbx>
                    <wps:bodyPr wrap="none" lIns="0" tIns="0" rIns="0" bIns="0" upright="0">
                      <a:spAutoFit/>
                    </wps:bodyPr>
                  </wps:wsp>
                </a:graphicData>
              </a:graphic>
            </wp:anchor>
          </w:drawing>
        </mc:Choice>
        <mc:Fallback>
          <w:pict>
            <v:shape id="文本框 1028"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ql5uc8AAAAFAQAADwAAAAAAAAABACAAAAAiAAAAZHJzL2Rv&#10;d25yZXYueG1sUEsBAhQAFAAAAAgAh07iQLGI8mXRAQAAqwMAAA4AAAAAAAAAAQAgAAAAHgEAAGRy&#10;cy9lMm9Eb2MueG1sUEsFBgAAAAAGAAYAWQEAAGEFAAAAAA==&#10;">
              <v:fill on="f" focussize="0,0"/>
              <v:stroke on="f"/>
              <v:imagedata o:title=""/>
              <o:lock v:ext="edit" aspectratio="f"/>
              <v:textbox inset="0mm,0mm,0mm,0mm" style="mso-fit-shape-to-text:t;">
                <w:txbxContent>
                  <w:p w14:paraId="5D115031">
                    <w:pPr>
                      <w:pStyle w:val="19"/>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PAGE  \* MERGEFORMAT </w:instrText>
                    </w:r>
                    <w:r>
                      <w:rPr>
                        <w:rFonts w:hint="eastAsia" w:ascii="宋体" w:hAnsi="宋体" w:eastAsia="宋体" w:cs="宋体"/>
                      </w:rPr>
                      <w:fldChar w:fldCharType="separate"/>
                    </w:r>
                    <w:r>
                      <w:rPr>
                        <w:rFonts w:hint="eastAsia" w:ascii="宋体" w:hAnsi="宋体" w:eastAsia="宋体" w:cs="宋体"/>
                      </w:rPr>
                      <w:t>35</w:t>
                    </w:r>
                    <w:r>
                      <w:rPr>
                        <w:rFonts w:hint="eastAsia" w:ascii="宋体" w:hAnsi="宋体" w:eastAsia="宋体" w:cs="宋体"/>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E5F1D3">
    <w:pPr>
      <w:pStyle w:val="19"/>
      <w:jc w:val="both"/>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10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6A40DC33">
                          <w:pPr>
                            <w:pStyle w:val="19"/>
                          </w:pPr>
                          <w:r>
                            <w:fldChar w:fldCharType="begin"/>
                          </w:r>
                          <w:r>
                            <w:instrText xml:space="preserve"> PAGE  \* MERGEFORMAT </w:instrText>
                          </w:r>
                          <w:r>
                            <w:fldChar w:fldCharType="separate"/>
                          </w:r>
                          <w:r>
                            <w:t>81</w:t>
                          </w:r>
                          <w:r>
                            <w:fldChar w:fldCharType="end"/>
                          </w:r>
                        </w:p>
                      </w:txbxContent>
                    </wps:txbx>
                    <wps:bodyPr wrap="none" lIns="0" tIns="0" rIns="0" bIns="0" upright="0">
                      <a:spAutoFit/>
                    </wps:bodyPr>
                  </wps:wsp>
                </a:graphicData>
              </a:graphic>
            </wp:anchor>
          </w:drawing>
        </mc:Choice>
        <mc:Fallback>
          <w:pict>
            <v:shape id="文本框 1030"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OqXm5zwAAAAUBAAAPAAAAAAAAAAEAIAAAACIAAABkcnMvZG93&#10;bnJldi54bWxQSwECFAAUAAAACACHTuJAFF2/V9ABAACrAwAADgAAAAAAAAABACAAAAAeAQAAZHJz&#10;L2Uyb0RvYy54bWxQSwUGAAAAAAYABgBZAQAAYAUAAAAA&#10;">
              <v:fill on="f" focussize="0,0"/>
              <v:stroke on="f"/>
              <v:imagedata o:title=""/>
              <o:lock v:ext="edit" aspectratio="f"/>
              <v:textbox inset="0mm,0mm,0mm,0mm" style="mso-fit-shape-to-text:t;">
                <w:txbxContent>
                  <w:p w14:paraId="6A40DC33">
                    <w:pPr>
                      <w:pStyle w:val="19"/>
                    </w:pPr>
                    <w:r>
                      <w:fldChar w:fldCharType="begin"/>
                    </w:r>
                    <w:r>
                      <w:instrText xml:space="preserve"> PAGE  \* MERGEFORMAT </w:instrText>
                    </w:r>
                    <w:r>
                      <w:fldChar w:fldCharType="separate"/>
                    </w:r>
                    <w:r>
                      <w:t>81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1CDB29">
    <w:pPr>
      <w:pStyle w:val="20"/>
      <w:ind w:left="7040" w:hanging="7040" w:hangingChars="4400"/>
      <w:jc w:val="both"/>
      <w:rPr>
        <w:rFonts w:ascii="宋体" w:hAnsi="宋体"/>
        <w:sz w:val="18"/>
        <w:szCs w:val="20"/>
      </w:rPr>
    </w:pPr>
    <w:r>
      <w:rPr>
        <w:rFonts w:hint="eastAsia" w:ascii="宋体" w:hAnsi="宋体"/>
        <w:sz w:val="16"/>
        <w:szCs w:val="18"/>
        <w:lang w:eastAsia="zh-CN"/>
      </w:rPr>
      <w:t>商洛市柞水县2024年中央财政林业草原改革发展资金其他国土绿化项目（退化林修复）</w:t>
    </w:r>
    <w:r>
      <w:rPr>
        <w:rFonts w:hint="eastAsia" w:ascii="宋体" w:hAnsi="宋体"/>
        <w:sz w:val="16"/>
        <w:szCs w:val="18"/>
        <w:lang w:val="en-US" w:eastAsia="zh-CN"/>
      </w:rPr>
      <w:t xml:space="preserve">                             </w:t>
    </w:r>
    <w:r>
      <w:rPr>
        <w:rFonts w:hint="eastAsia" w:ascii="宋体" w:hAnsi="宋体"/>
        <w:sz w:val="16"/>
        <w:szCs w:val="18"/>
      </w:rPr>
      <w:t>招标文件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181CCC">
    <w:pPr>
      <w:pStyle w:val="2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7701CA">
    <w:pPr>
      <w:pStyle w:val="20"/>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1"/>
    <w:multiLevelType w:val="multilevel"/>
    <w:tmpl w:val="00000001"/>
    <w:lvl w:ilvl="0" w:tentative="0">
      <w:start w:val="1"/>
      <w:numFmt w:val="lowerLetter"/>
      <w:lvlText w:val="%1)"/>
      <w:lvlJc w:val="left"/>
      <w:pPr>
        <w:tabs>
          <w:tab w:val="left" w:pos="840"/>
        </w:tabs>
        <w:ind w:left="840" w:hanging="420"/>
      </w:p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1">
    <w:nsid w:val="31A36D81"/>
    <w:multiLevelType w:val="singleLevel"/>
    <w:tmpl w:val="31A36D81"/>
    <w:lvl w:ilvl="0" w:tentative="0">
      <w:start w:val="5"/>
      <w:numFmt w:val="chineseCounting"/>
      <w:suff w:val="space"/>
      <w:lvlText w:val="第%1章"/>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5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1,3"/>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E5MDExZDdkMjM5Y2Y0Mzg4ODYzNWFiMTM4NzI2ZDYifQ=="/>
  </w:docVars>
  <w:rsids>
    <w:rsidRoot w:val="00172A27"/>
    <w:rsid w:val="00067DD7"/>
    <w:rsid w:val="00075362"/>
    <w:rsid w:val="00092A0E"/>
    <w:rsid w:val="000E02AD"/>
    <w:rsid w:val="00127453"/>
    <w:rsid w:val="00143875"/>
    <w:rsid w:val="00156141"/>
    <w:rsid w:val="00164F97"/>
    <w:rsid w:val="00172A27"/>
    <w:rsid w:val="0019127F"/>
    <w:rsid w:val="001D165F"/>
    <w:rsid w:val="001E2A55"/>
    <w:rsid w:val="0024067A"/>
    <w:rsid w:val="00243199"/>
    <w:rsid w:val="00295E6A"/>
    <w:rsid w:val="002F588F"/>
    <w:rsid w:val="002F78A0"/>
    <w:rsid w:val="00373AA4"/>
    <w:rsid w:val="003C1454"/>
    <w:rsid w:val="00413044"/>
    <w:rsid w:val="00455193"/>
    <w:rsid w:val="00473028"/>
    <w:rsid w:val="00490FFC"/>
    <w:rsid w:val="004D7F07"/>
    <w:rsid w:val="005010CF"/>
    <w:rsid w:val="00540F52"/>
    <w:rsid w:val="0054336A"/>
    <w:rsid w:val="005869CD"/>
    <w:rsid w:val="00605D5C"/>
    <w:rsid w:val="006109C6"/>
    <w:rsid w:val="0062509C"/>
    <w:rsid w:val="00632D09"/>
    <w:rsid w:val="00634DB8"/>
    <w:rsid w:val="00637068"/>
    <w:rsid w:val="00665BD9"/>
    <w:rsid w:val="00681549"/>
    <w:rsid w:val="006D4D82"/>
    <w:rsid w:val="006F10CE"/>
    <w:rsid w:val="00747E33"/>
    <w:rsid w:val="007517B5"/>
    <w:rsid w:val="007A5351"/>
    <w:rsid w:val="007B0A1F"/>
    <w:rsid w:val="00806027"/>
    <w:rsid w:val="0081730D"/>
    <w:rsid w:val="00821E5A"/>
    <w:rsid w:val="00824545"/>
    <w:rsid w:val="00827E45"/>
    <w:rsid w:val="00834FBA"/>
    <w:rsid w:val="008A653E"/>
    <w:rsid w:val="008B71B0"/>
    <w:rsid w:val="00901771"/>
    <w:rsid w:val="00936646"/>
    <w:rsid w:val="009946C8"/>
    <w:rsid w:val="009D62FB"/>
    <w:rsid w:val="00A13DE2"/>
    <w:rsid w:val="00A15FAA"/>
    <w:rsid w:val="00A539B1"/>
    <w:rsid w:val="00A603A5"/>
    <w:rsid w:val="00A91C13"/>
    <w:rsid w:val="00A96DA3"/>
    <w:rsid w:val="00AF3108"/>
    <w:rsid w:val="00B02C39"/>
    <w:rsid w:val="00B37D6B"/>
    <w:rsid w:val="00B5776E"/>
    <w:rsid w:val="00B96CCE"/>
    <w:rsid w:val="00BC05F2"/>
    <w:rsid w:val="00BF4B25"/>
    <w:rsid w:val="00C1512E"/>
    <w:rsid w:val="00C26C9B"/>
    <w:rsid w:val="00C36AB8"/>
    <w:rsid w:val="00C61893"/>
    <w:rsid w:val="00CB0C3B"/>
    <w:rsid w:val="00CB767A"/>
    <w:rsid w:val="00CC5894"/>
    <w:rsid w:val="00D10014"/>
    <w:rsid w:val="00D642EA"/>
    <w:rsid w:val="00D704DD"/>
    <w:rsid w:val="00D8028D"/>
    <w:rsid w:val="00DB1A1E"/>
    <w:rsid w:val="00DC7CC3"/>
    <w:rsid w:val="00DE5928"/>
    <w:rsid w:val="00E30694"/>
    <w:rsid w:val="00E72F85"/>
    <w:rsid w:val="00EB4B2A"/>
    <w:rsid w:val="00F50CDF"/>
    <w:rsid w:val="01891B53"/>
    <w:rsid w:val="01AC75F0"/>
    <w:rsid w:val="01BC6535"/>
    <w:rsid w:val="02050FB8"/>
    <w:rsid w:val="020E00B4"/>
    <w:rsid w:val="021F1A11"/>
    <w:rsid w:val="0236335D"/>
    <w:rsid w:val="02613983"/>
    <w:rsid w:val="02B773A4"/>
    <w:rsid w:val="02D97BAA"/>
    <w:rsid w:val="030D4DF3"/>
    <w:rsid w:val="03CF3A69"/>
    <w:rsid w:val="044E2916"/>
    <w:rsid w:val="04535D37"/>
    <w:rsid w:val="04E23328"/>
    <w:rsid w:val="04E2543C"/>
    <w:rsid w:val="04E958D9"/>
    <w:rsid w:val="04F306CA"/>
    <w:rsid w:val="054F1888"/>
    <w:rsid w:val="05BE1FE7"/>
    <w:rsid w:val="05F477B7"/>
    <w:rsid w:val="060A6FDB"/>
    <w:rsid w:val="061571D6"/>
    <w:rsid w:val="06466524"/>
    <w:rsid w:val="067D52DB"/>
    <w:rsid w:val="068A7924"/>
    <w:rsid w:val="06EA5F41"/>
    <w:rsid w:val="073949DD"/>
    <w:rsid w:val="0744651C"/>
    <w:rsid w:val="078D4DA5"/>
    <w:rsid w:val="07964574"/>
    <w:rsid w:val="07DF7F74"/>
    <w:rsid w:val="07FC0BA5"/>
    <w:rsid w:val="085462B9"/>
    <w:rsid w:val="08561B2D"/>
    <w:rsid w:val="08B76089"/>
    <w:rsid w:val="093733E1"/>
    <w:rsid w:val="098B0B6C"/>
    <w:rsid w:val="09D37127"/>
    <w:rsid w:val="0A715AED"/>
    <w:rsid w:val="0A893E25"/>
    <w:rsid w:val="0A9477F6"/>
    <w:rsid w:val="0AA63A70"/>
    <w:rsid w:val="0AEF3BF8"/>
    <w:rsid w:val="0AF96D8D"/>
    <w:rsid w:val="0AFB2A61"/>
    <w:rsid w:val="0B056F8B"/>
    <w:rsid w:val="0B1B1342"/>
    <w:rsid w:val="0B584344"/>
    <w:rsid w:val="0B6E13BF"/>
    <w:rsid w:val="0BE7390B"/>
    <w:rsid w:val="0BE77AE1"/>
    <w:rsid w:val="0C025E77"/>
    <w:rsid w:val="0C750A2F"/>
    <w:rsid w:val="0C801DA5"/>
    <w:rsid w:val="0C932991"/>
    <w:rsid w:val="0CC52FAD"/>
    <w:rsid w:val="0CC770D4"/>
    <w:rsid w:val="0D841421"/>
    <w:rsid w:val="0D8C5C5C"/>
    <w:rsid w:val="0DD762A4"/>
    <w:rsid w:val="0DEC2BF3"/>
    <w:rsid w:val="0E2274C2"/>
    <w:rsid w:val="0E25606B"/>
    <w:rsid w:val="0E547045"/>
    <w:rsid w:val="0E5A6BAA"/>
    <w:rsid w:val="0E7610EC"/>
    <w:rsid w:val="0E87566C"/>
    <w:rsid w:val="0E8C5D73"/>
    <w:rsid w:val="0EBB3568"/>
    <w:rsid w:val="0EBB7BFD"/>
    <w:rsid w:val="0F414ECF"/>
    <w:rsid w:val="0F58722E"/>
    <w:rsid w:val="0F5E7BD4"/>
    <w:rsid w:val="107B6893"/>
    <w:rsid w:val="10B97633"/>
    <w:rsid w:val="10D20E9D"/>
    <w:rsid w:val="11253867"/>
    <w:rsid w:val="1147751F"/>
    <w:rsid w:val="11DE3370"/>
    <w:rsid w:val="11DE3DA6"/>
    <w:rsid w:val="12104472"/>
    <w:rsid w:val="121C6938"/>
    <w:rsid w:val="1242041E"/>
    <w:rsid w:val="12902616"/>
    <w:rsid w:val="12B55AA0"/>
    <w:rsid w:val="12C15F07"/>
    <w:rsid w:val="12D81782"/>
    <w:rsid w:val="12FC3E4F"/>
    <w:rsid w:val="12FD22D6"/>
    <w:rsid w:val="13102E15"/>
    <w:rsid w:val="131B0F17"/>
    <w:rsid w:val="133F6E84"/>
    <w:rsid w:val="1343740D"/>
    <w:rsid w:val="137529DA"/>
    <w:rsid w:val="13900552"/>
    <w:rsid w:val="13AA0B25"/>
    <w:rsid w:val="13B042CB"/>
    <w:rsid w:val="14051D6D"/>
    <w:rsid w:val="140D6614"/>
    <w:rsid w:val="14161181"/>
    <w:rsid w:val="145C535D"/>
    <w:rsid w:val="148B7473"/>
    <w:rsid w:val="14AD3953"/>
    <w:rsid w:val="151450A9"/>
    <w:rsid w:val="151B2394"/>
    <w:rsid w:val="15416DE1"/>
    <w:rsid w:val="15752BB9"/>
    <w:rsid w:val="15817CF1"/>
    <w:rsid w:val="15A308B2"/>
    <w:rsid w:val="16BB1A79"/>
    <w:rsid w:val="16F05D79"/>
    <w:rsid w:val="17004346"/>
    <w:rsid w:val="17473BF1"/>
    <w:rsid w:val="17676853"/>
    <w:rsid w:val="17B2155B"/>
    <w:rsid w:val="17DC33B7"/>
    <w:rsid w:val="18096E98"/>
    <w:rsid w:val="18105490"/>
    <w:rsid w:val="18355116"/>
    <w:rsid w:val="184925AF"/>
    <w:rsid w:val="18954A05"/>
    <w:rsid w:val="189967BF"/>
    <w:rsid w:val="18DD474A"/>
    <w:rsid w:val="18FE652B"/>
    <w:rsid w:val="191424EE"/>
    <w:rsid w:val="19476C77"/>
    <w:rsid w:val="19720386"/>
    <w:rsid w:val="19DB7B23"/>
    <w:rsid w:val="1A491727"/>
    <w:rsid w:val="1A500DE1"/>
    <w:rsid w:val="1A5E600C"/>
    <w:rsid w:val="1A7D057D"/>
    <w:rsid w:val="1AC2559A"/>
    <w:rsid w:val="1ACA778D"/>
    <w:rsid w:val="1AD877F4"/>
    <w:rsid w:val="1AED14DC"/>
    <w:rsid w:val="1B38680B"/>
    <w:rsid w:val="1B447BB6"/>
    <w:rsid w:val="1B4641B9"/>
    <w:rsid w:val="1B514392"/>
    <w:rsid w:val="1B75684C"/>
    <w:rsid w:val="1BC751BA"/>
    <w:rsid w:val="1BDC78E2"/>
    <w:rsid w:val="1C27223D"/>
    <w:rsid w:val="1C345292"/>
    <w:rsid w:val="1C602EC4"/>
    <w:rsid w:val="1C6B4699"/>
    <w:rsid w:val="1C93305A"/>
    <w:rsid w:val="1CFE47D4"/>
    <w:rsid w:val="1D520676"/>
    <w:rsid w:val="1D711461"/>
    <w:rsid w:val="1DD30EA0"/>
    <w:rsid w:val="1DDE2DFC"/>
    <w:rsid w:val="1E302B54"/>
    <w:rsid w:val="1E6E3BEA"/>
    <w:rsid w:val="1E7F7CE4"/>
    <w:rsid w:val="1EBE7F7F"/>
    <w:rsid w:val="1EC3782A"/>
    <w:rsid w:val="1EDE38A6"/>
    <w:rsid w:val="1F0E5D1E"/>
    <w:rsid w:val="1F1A7531"/>
    <w:rsid w:val="1F3A20FF"/>
    <w:rsid w:val="1F6126BC"/>
    <w:rsid w:val="1F903BF6"/>
    <w:rsid w:val="20126D60"/>
    <w:rsid w:val="202D6F14"/>
    <w:rsid w:val="202E7C7A"/>
    <w:rsid w:val="205B7610"/>
    <w:rsid w:val="205E01F7"/>
    <w:rsid w:val="207615D5"/>
    <w:rsid w:val="207B7CB2"/>
    <w:rsid w:val="207D067D"/>
    <w:rsid w:val="20922C90"/>
    <w:rsid w:val="20AD2256"/>
    <w:rsid w:val="20FD6FC3"/>
    <w:rsid w:val="21004DD9"/>
    <w:rsid w:val="2145437E"/>
    <w:rsid w:val="21A26E14"/>
    <w:rsid w:val="21B5378E"/>
    <w:rsid w:val="21EC41F6"/>
    <w:rsid w:val="21EF67C9"/>
    <w:rsid w:val="22196A1F"/>
    <w:rsid w:val="2221450D"/>
    <w:rsid w:val="224909C3"/>
    <w:rsid w:val="22CA3922"/>
    <w:rsid w:val="233B1878"/>
    <w:rsid w:val="2346744C"/>
    <w:rsid w:val="23624540"/>
    <w:rsid w:val="23686ACB"/>
    <w:rsid w:val="2369138D"/>
    <w:rsid w:val="23E84E31"/>
    <w:rsid w:val="24042151"/>
    <w:rsid w:val="24294678"/>
    <w:rsid w:val="242C2671"/>
    <w:rsid w:val="24303C58"/>
    <w:rsid w:val="24481D43"/>
    <w:rsid w:val="24CB595D"/>
    <w:rsid w:val="25973F8F"/>
    <w:rsid w:val="25A1715D"/>
    <w:rsid w:val="25D268A7"/>
    <w:rsid w:val="25F00E6A"/>
    <w:rsid w:val="26047265"/>
    <w:rsid w:val="261A0E1D"/>
    <w:rsid w:val="265C0A8A"/>
    <w:rsid w:val="2673111B"/>
    <w:rsid w:val="26E9382C"/>
    <w:rsid w:val="26F03951"/>
    <w:rsid w:val="274664DC"/>
    <w:rsid w:val="274A6BAA"/>
    <w:rsid w:val="274C0949"/>
    <w:rsid w:val="27C070A1"/>
    <w:rsid w:val="2837470D"/>
    <w:rsid w:val="285E1D92"/>
    <w:rsid w:val="28885E11"/>
    <w:rsid w:val="28A42EBB"/>
    <w:rsid w:val="28B52457"/>
    <w:rsid w:val="29296871"/>
    <w:rsid w:val="29326CF6"/>
    <w:rsid w:val="29566CD7"/>
    <w:rsid w:val="29A26CD6"/>
    <w:rsid w:val="29B91BA6"/>
    <w:rsid w:val="29D5599D"/>
    <w:rsid w:val="2AAD745B"/>
    <w:rsid w:val="2ADB5882"/>
    <w:rsid w:val="2AE2077F"/>
    <w:rsid w:val="2AE83537"/>
    <w:rsid w:val="2B3471E7"/>
    <w:rsid w:val="2B585F5C"/>
    <w:rsid w:val="2BAD70FD"/>
    <w:rsid w:val="2BB94533"/>
    <w:rsid w:val="2BEE61D7"/>
    <w:rsid w:val="2C1E5B12"/>
    <w:rsid w:val="2C4715CE"/>
    <w:rsid w:val="2C506768"/>
    <w:rsid w:val="2D1A7C83"/>
    <w:rsid w:val="2D2D2C04"/>
    <w:rsid w:val="2DD91AAB"/>
    <w:rsid w:val="2DEA6FFB"/>
    <w:rsid w:val="2E1B71B6"/>
    <w:rsid w:val="2E1D04B8"/>
    <w:rsid w:val="2E453B2A"/>
    <w:rsid w:val="2F4875FA"/>
    <w:rsid w:val="2F984B4F"/>
    <w:rsid w:val="306D7693"/>
    <w:rsid w:val="30EE7385"/>
    <w:rsid w:val="31017A4B"/>
    <w:rsid w:val="318614E1"/>
    <w:rsid w:val="32434D44"/>
    <w:rsid w:val="326714C1"/>
    <w:rsid w:val="32D560F7"/>
    <w:rsid w:val="333C56DD"/>
    <w:rsid w:val="336D6E92"/>
    <w:rsid w:val="338A49CA"/>
    <w:rsid w:val="33B64277"/>
    <w:rsid w:val="33B82D95"/>
    <w:rsid w:val="3408225D"/>
    <w:rsid w:val="34364998"/>
    <w:rsid w:val="34365D32"/>
    <w:rsid w:val="34394463"/>
    <w:rsid w:val="3454129D"/>
    <w:rsid w:val="348F397D"/>
    <w:rsid w:val="34CB7A86"/>
    <w:rsid w:val="355C7E64"/>
    <w:rsid w:val="35710369"/>
    <w:rsid w:val="35847E31"/>
    <w:rsid w:val="35B62C01"/>
    <w:rsid w:val="36212568"/>
    <w:rsid w:val="365E4655"/>
    <w:rsid w:val="36652F3F"/>
    <w:rsid w:val="369633E0"/>
    <w:rsid w:val="371E406C"/>
    <w:rsid w:val="37661A13"/>
    <w:rsid w:val="37727C90"/>
    <w:rsid w:val="37BB447E"/>
    <w:rsid w:val="37C52E2A"/>
    <w:rsid w:val="37D30AEB"/>
    <w:rsid w:val="38583268"/>
    <w:rsid w:val="387C6615"/>
    <w:rsid w:val="38EA4E68"/>
    <w:rsid w:val="39027DE5"/>
    <w:rsid w:val="39187C1C"/>
    <w:rsid w:val="398C3550"/>
    <w:rsid w:val="39EA027C"/>
    <w:rsid w:val="3A2617A6"/>
    <w:rsid w:val="3ABA4320"/>
    <w:rsid w:val="3B822415"/>
    <w:rsid w:val="3B9D543B"/>
    <w:rsid w:val="3BBC17D1"/>
    <w:rsid w:val="3BCB5591"/>
    <w:rsid w:val="3C1F5EE1"/>
    <w:rsid w:val="3C330DEA"/>
    <w:rsid w:val="3C470E64"/>
    <w:rsid w:val="3C5E715D"/>
    <w:rsid w:val="3CA96812"/>
    <w:rsid w:val="3CD734DF"/>
    <w:rsid w:val="3CF5326E"/>
    <w:rsid w:val="3D2F28A7"/>
    <w:rsid w:val="3D735CB7"/>
    <w:rsid w:val="3DCE0312"/>
    <w:rsid w:val="3DF71617"/>
    <w:rsid w:val="3E6E73FF"/>
    <w:rsid w:val="3E832EAB"/>
    <w:rsid w:val="3EDD3ACE"/>
    <w:rsid w:val="3EE93D37"/>
    <w:rsid w:val="3F461B07"/>
    <w:rsid w:val="3F4866A7"/>
    <w:rsid w:val="3F594E23"/>
    <w:rsid w:val="3F7C478F"/>
    <w:rsid w:val="3FBA6DA0"/>
    <w:rsid w:val="3FF26BC0"/>
    <w:rsid w:val="401C5365"/>
    <w:rsid w:val="405C4B2A"/>
    <w:rsid w:val="409A44DC"/>
    <w:rsid w:val="40F128AC"/>
    <w:rsid w:val="410138D0"/>
    <w:rsid w:val="41365A22"/>
    <w:rsid w:val="41AD4734"/>
    <w:rsid w:val="42756FAE"/>
    <w:rsid w:val="432E2091"/>
    <w:rsid w:val="435117C9"/>
    <w:rsid w:val="43831A2F"/>
    <w:rsid w:val="43953D6A"/>
    <w:rsid w:val="43CF4837"/>
    <w:rsid w:val="43E876F6"/>
    <w:rsid w:val="43FF5F3D"/>
    <w:rsid w:val="44366C11"/>
    <w:rsid w:val="44526E5A"/>
    <w:rsid w:val="44857F97"/>
    <w:rsid w:val="448C236A"/>
    <w:rsid w:val="44AB08E1"/>
    <w:rsid w:val="44BF4B76"/>
    <w:rsid w:val="44D957F5"/>
    <w:rsid w:val="44EA4663"/>
    <w:rsid w:val="4565155C"/>
    <w:rsid w:val="45675258"/>
    <w:rsid w:val="45687840"/>
    <w:rsid w:val="458034AA"/>
    <w:rsid w:val="45BE4637"/>
    <w:rsid w:val="460803A8"/>
    <w:rsid w:val="46137700"/>
    <w:rsid w:val="461810FC"/>
    <w:rsid w:val="461B60BF"/>
    <w:rsid w:val="46665B57"/>
    <w:rsid w:val="46680A55"/>
    <w:rsid w:val="466B3B11"/>
    <w:rsid w:val="4695686C"/>
    <w:rsid w:val="469A6156"/>
    <w:rsid w:val="469D0831"/>
    <w:rsid w:val="471E63F5"/>
    <w:rsid w:val="47353BED"/>
    <w:rsid w:val="473571BC"/>
    <w:rsid w:val="48F2082A"/>
    <w:rsid w:val="48FC34FC"/>
    <w:rsid w:val="4911473F"/>
    <w:rsid w:val="491D3A13"/>
    <w:rsid w:val="49282FCC"/>
    <w:rsid w:val="4937360E"/>
    <w:rsid w:val="494E57BD"/>
    <w:rsid w:val="495A5060"/>
    <w:rsid w:val="49AA6EE4"/>
    <w:rsid w:val="49B00420"/>
    <w:rsid w:val="49E135D9"/>
    <w:rsid w:val="49FA3FC0"/>
    <w:rsid w:val="4A9768D8"/>
    <w:rsid w:val="4AEB7055"/>
    <w:rsid w:val="4B0F34BE"/>
    <w:rsid w:val="4B274486"/>
    <w:rsid w:val="4B405527"/>
    <w:rsid w:val="4B4F7A37"/>
    <w:rsid w:val="4BA479F4"/>
    <w:rsid w:val="4C151729"/>
    <w:rsid w:val="4C282364"/>
    <w:rsid w:val="4C286194"/>
    <w:rsid w:val="4C5379A4"/>
    <w:rsid w:val="4CA50292"/>
    <w:rsid w:val="4CE74F4D"/>
    <w:rsid w:val="4D0E4287"/>
    <w:rsid w:val="4D3320F2"/>
    <w:rsid w:val="4D9E0950"/>
    <w:rsid w:val="4DB971B3"/>
    <w:rsid w:val="4DC32904"/>
    <w:rsid w:val="4DD13DB7"/>
    <w:rsid w:val="4E3E294A"/>
    <w:rsid w:val="4E541B72"/>
    <w:rsid w:val="4EA6517F"/>
    <w:rsid w:val="4EC445FF"/>
    <w:rsid w:val="4F5F72FE"/>
    <w:rsid w:val="4FDC1B46"/>
    <w:rsid w:val="4FDC34DE"/>
    <w:rsid w:val="5122082A"/>
    <w:rsid w:val="5132266D"/>
    <w:rsid w:val="51636CB1"/>
    <w:rsid w:val="518237D8"/>
    <w:rsid w:val="51AB50F9"/>
    <w:rsid w:val="52105F6D"/>
    <w:rsid w:val="529201E3"/>
    <w:rsid w:val="53603363"/>
    <w:rsid w:val="536B7208"/>
    <w:rsid w:val="53B61356"/>
    <w:rsid w:val="53BE2640"/>
    <w:rsid w:val="54167AFF"/>
    <w:rsid w:val="54383293"/>
    <w:rsid w:val="544955B5"/>
    <w:rsid w:val="546654FD"/>
    <w:rsid w:val="54932A0B"/>
    <w:rsid w:val="54B77366"/>
    <w:rsid w:val="54CC42A1"/>
    <w:rsid w:val="54FD2C72"/>
    <w:rsid w:val="553F2E28"/>
    <w:rsid w:val="55C76018"/>
    <w:rsid w:val="55C847A2"/>
    <w:rsid w:val="561936B0"/>
    <w:rsid w:val="562C5F96"/>
    <w:rsid w:val="562F377B"/>
    <w:rsid w:val="56464F0A"/>
    <w:rsid w:val="56B57E6A"/>
    <w:rsid w:val="57443C4F"/>
    <w:rsid w:val="57B35D3A"/>
    <w:rsid w:val="57B50DB0"/>
    <w:rsid w:val="57D85BBE"/>
    <w:rsid w:val="57DB71F6"/>
    <w:rsid w:val="58594907"/>
    <w:rsid w:val="586D1BBF"/>
    <w:rsid w:val="58FD4D1C"/>
    <w:rsid w:val="59097FF9"/>
    <w:rsid w:val="599747E8"/>
    <w:rsid w:val="59B70705"/>
    <w:rsid w:val="5A03237D"/>
    <w:rsid w:val="5A062A70"/>
    <w:rsid w:val="5A4641B5"/>
    <w:rsid w:val="5A7344E7"/>
    <w:rsid w:val="5B070568"/>
    <w:rsid w:val="5B553294"/>
    <w:rsid w:val="5BBC56DC"/>
    <w:rsid w:val="5BF979BC"/>
    <w:rsid w:val="5C076030"/>
    <w:rsid w:val="5C39779C"/>
    <w:rsid w:val="5C7913C1"/>
    <w:rsid w:val="5CA359AC"/>
    <w:rsid w:val="5D086F45"/>
    <w:rsid w:val="5D302F64"/>
    <w:rsid w:val="5D603594"/>
    <w:rsid w:val="5D71414D"/>
    <w:rsid w:val="5DE51E64"/>
    <w:rsid w:val="5DFF721C"/>
    <w:rsid w:val="5E080023"/>
    <w:rsid w:val="5EB66EE4"/>
    <w:rsid w:val="5EB83AD6"/>
    <w:rsid w:val="5ED76084"/>
    <w:rsid w:val="5F117C07"/>
    <w:rsid w:val="5F790AC3"/>
    <w:rsid w:val="5F9D525C"/>
    <w:rsid w:val="5FCE2CE8"/>
    <w:rsid w:val="5FDB2BF1"/>
    <w:rsid w:val="5FEA1C45"/>
    <w:rsid w:val="60091E9A"/>
    <w:rsid w:val="60160FF8"/>
    <w:rsid w:val="60400EFA"/>
    <w:rsid w:val="60937D28"/>
    <w:rsid w:val="60967A11"/>
    <w:rsid w:val="60C92B1C"/>
    <w:rsid w:val="61531164"/>
    <w:rsid w:val="61886EF5"/>
    <w:rsid w:val="61907D1A"/>
    <w:rsid w:val="61CD4A79"/>
    <w:rsid w:val="61E531A5"/>
    <w:rsid w:val="6223294C"/>
    <w:rsid w:val="62303C57"/>
    <w:rsid w:val="627E3805"/>
    <w:rsid w:val="62BB48C4"/>
    <w:rsid w:val="633A3BD0"/>
    <w:rsid w:val="63476EDC"/>
    <w:rsid w:val="63627A9D"/>
    <w:rsid w:val="636B6B6E"/>
    <w:rsid w:val="63747632"/>
    <w:rsid w:val="63861052"/>
    <w:rsid w:val="63943A5A"/>
    <w:rsid w:val="63E63E74"/>
    <w:rsid w:val="6427480A"/>
    <w:rsid w:val="643A6F83"/>
    <w:rsid w:val="64475E7D"/>
    <w:rsid w:val="648B546D"/>
    <w:rsid w:val="649F2933"/>
    <w:rsid w:val="64CE16D2"/>
    <w:rsid w:val="64F1663F"/>
    <w:rsid w:val="64F73135"/>
    <w:rsid w:val="652461FE"/>
    <w:rsid w:val="654900FB"/>
    <w:rsid w:val="655565F0"/>
    <w:rsid w:val="657C2DD4"/>
    <w:rsid w:val="65A64376"/>
    <w:rsid w:val="65C47053"/>
    <w:rsid w:val="66081D64"/>
    <w:rsid w:val="666B5E35"/>
    <w:rsid w:val="668922D2"/>
    <w:rsid w:val="67F743F1"/>
    <w:rsid w:val="68325815"/>
    <w:rsid w:val="68876088"/>
    <w:rsid w:val="68A5137B"/>
    <w:rsid w:val="68F2373D"/>
    <w:rsid w:val="691D5F89"/>
    <w:rsid w:val="694126E9"/>
    <w:rsid w:val="696739C1"/>
    <w:rsid w:val="6A5A4B58"/>
    <w:rsid w:val="6A8037E4"/>
    <w:rsid w:val="6A8D7A7E"/>
    <w:rsid w:val="6AE83140"/>
    <w:rsid w:val="6AEC63A9"/>
    <w:rsid w:val="6AEF4F2E"/>
    <w:rsid w:val="6AF91C7B"/>
    <w:rsid w:val="6AFE5050"/>
    <w:rsid w:val="6B0A38F5"/>
    <w:rsid w:val="6B1A56DA"/>
    <w:rsid w:val="6B5940FA"/>
    <w:rsid w:val="6C080DDD"/>
    <w:rsid w:val="6C387076"/>
    <w:rsid w:val="6C387C5C"/>
    <w:rsid w:val="6C432E6D"/>
    <w:rsid w:val="6C4E6153"/>
    <w:rsid w:val="6C525378"/>
    <w:rsid w:val="6C65594D"/>
    <w:rsid w:val="6C7233B6"/>
    <w:rsid w:val="6CA1310D"/>
    <w:rsid w:val="6CA44400"/>
    <w:rsid w:val="6CA65F4E"/>
    <w:rsid w:val="6CE5519E"/>
    <w:rsid w:val="6CEC29E0"/>
    <w:rsid w:val="6CEE47AC"/>
    <w:rsid w:val="6D2C731E"/>
    <w:rsid w:val="6D365028"/>
    <w:rsid w:val="6D715243"/>
    <w:rsid w:val="6D8039C3"/>
    <w:rsid w:val="6D9B2D1F"/>
    <w:rsid w:val="6DC70686"/>
    <w:rsid w:val="6DDD1A9E"/>
    <w:rsid w:val="6E1903DA"/>
    <w:rsid w:val="6E272FA3"/>
    <w:rsid w:val="6E661BB9"/>
    <w:rsid w:val="6E665F1E"/>
    <w:rsid w:val="6E781A51"/>
    <w:rsid w:val="6E7E746F"/>
    <w:rsid w:val="6F0B7E5B"/>
    <w:rsid w:val="6F5412F4"/>
    <w:rsid w:val="6FBB0530"/>
    <w:rsid w:val="6FC0544C"/>
    <w:rsid w:val="6FDE756B"/>
    <w:rsid w:val="700D7E81"/>
    <w:rsid w:val="70573900"/>
    <w:rsid w:val="70930445"/>
    <w:rsid w:val="709A42CE"/>
    <w:rsid w:val="70D42421"/>
    <w:rsid w:val="70F822E3"/>
    <w:rsid w:val="713E3AFB"/>
    <w:rsid w:val="71675C25"/>
    <w:rsid w:val="71783771"/>
    <w:rsid w:val="717F3F2C"/>
    <w:rsid w:val="71C368C8"/>
    <w:rsid w:val="726036A6"/>
    <w:rsid w:val="73437A25"/>
    <w:rsid w:val="734952E7"/>
    <w:rsid w:val="73B9644B"/>
    <w:rsid w:val="73E14111"/>
    <w:rsid w:val="73F5728B"/>
    <w:rsid w:val="7415067E"/>
    <w:rsid w:val="74460DDF"/>
    <w:rsid w:val="74AB2079"/>
    <w:rsid w:val="74B17A6A"/>
    <w:rsid w:val="74C52498"/>
    <w:rsid w:val="74C74C01"/>
    <w:rsid w:val="74CD1369"/>
    <w:rsid w:val="74EB792C"/>
    <w:rsid w:val="75147188"/>
    <w:rsid w:val="754E350B"/>
    <w:rsid w:val="757F4219"/>
    <w:rsid w:val="75B17B55"/>
    <w:rsid w:val="75D80178"/>
    <w:rsid w:val="76024771"/>
    <w:rsid w:val="760B6D06"/>
    <w:rsid w:val="76290C74"/>
    <w:rsid w:val="76335D64"/>
    <w:rsid w:val="764030D7"/>
    <w:rsid w:val="76607512"/>
    <w:rsid w:val="76B0418D"/>
    <w:rsid w:val="76C21ABB"/>
    <w:rsid w:val="77742A87"/>
    <w:rsid w:val="778B45A3"/>
    <w:rsid w:val="778D031B"/>
    <w:rsid w:val="778E7BEF"/>
    <w:rsid w:val="77CF26E1"/>
    <w:rsid w:val="77D804B5"/>
    <w:rsid w:val="77E23352"/>
    <w:rsid w:val="77F04406"/>
    <w:rsid w:val="782E42F7"/>
    <w:rsid w:val="78482187"/>
    <w:rsid w:val="784C4775"/>
    <w:rsid w:val="7852762D"/>
    <w:rsid w:val="7858377C"/>
    <w:rsid w:val="78EE4629"/>
    <w:rsid w:val="79694470"/>
    <w:rsid w:val="79821002"/>
    <w:rsid w:val="79960744"/>
    <w:rsid w:val="7A1E1F2C"/>
    <w:rsid w:val="7A250C81"/>
    <w:rsid w:val="7A41363F"/>
    <w:rsid w:val="7A82024F"/>
    <w:rsid w:val="7ACC4149"/>
    <w:rsid w:val="7AEE2E6C"/>
    <w:rsid w:val="7BCA420F"/>
    <w:rsid w:val="7C24670B"/>
    <w:rsid w:val="7C5840AD"/>
    <w:rsid w:val="7C96585A"/>
    <w:rsid w:val="7CED360A"/>
    <w:rsid w:val="7CFA0562"/>
    <w:rsid w:val="7D0629E6"/>
    <w:rsid w:val="7D14649C"/>
    <w:rsid w:val="7D1E661D"/>
    <w:rsid w:val="7D4755BE"/>
    <w:rsid w:val="7D4E1F2C"/>
    <w:rsid w:val="7D4F1987"/>
    <w:rsid w:val="7D764FDD"/>
    <w:rsid w:val="7E015E6B"/>
    <w:rsid w:val="7E0643FD"/>
    <w:rsid w:val="7EB553C3"/>
    <w:rsid w:val="7ED14F91"/>
    <w:rsid w:val="7ED25666"/>
    <w:rsid w:val="7F014E71"/>
    <w:rsid w:val="7F1E36D7"/>
    <w:rsid w:val="7F5020C4"/>
    <w:rsid w:val="7F904683"/>
    <w:rsid w:val="7FE753C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9" w:semiHidden="0" w:name="heading 2"/>
    <w:lsdException w:qFormat="1" w:unhideWhenUsed="0" w:uiPriority="0" w:semiHidden="0" w:name="heading 3"/>
    <w:lsdException w:qFormat="1" w:unhideWhenUsed="0" w:uiPriority="0" w:semiHidden="0" w:name="heading 4"/>
    <w:lsdException w:qFormat="1" w:uiPriority="0" w:name="heading 5"/>
    <w:lsdException w:qFormat="1" w:unhideWhenUsed="0"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qFormat="1" w:unhideWhenUsed="0" w:uiPriority="0" w:semiHidden="0" w:name="toc 3"/>
    <w:lsdException w:qFormat="1"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qFormat="1" w:unhideWhenUsed="0" w:uiPriority="0" w:name="macro"/>
    <w:lsdException w:qFormat="1" w:uiPriority="99"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99"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unhideWhenUsed="0" w:uiPriority="0" w:semiHidden="0" w:name="Body Text Indent 2"/>
    <w:lsdException w:qFormat="1" w:unhideWhenUsed="0" w:uiPriority="99"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4">
    <w:name w:val="heading 1"/>
    <w:basedOn w:val="1"/>
    <w:qFormat/>
    <w:uiPriority w:val="0"/>
    <w:pPr>
      <w:keepNext/>
      <w:keepLines/>
      <w:spacing w:line="576" w:lineRule="auto"/>
      <w:outlineLvl w:val="0"/>
    </w:pPr>
    <w:rPr>
      <w:b/>
      <w:kern w:val="44"/>
      <w:sz w:val="44"/>
    </w:rPr>
  </w:style>
  <w:style w:type="paragraph" w:styleId="5">
    <w:name w:val="heading 2"/>
    <w:basedOn w:val="1"/>
    <w:qFormat/>
    <w:uiPriority w:val="99"/>
    <w:pPr>
      <w:keepNext/>
      <w:keepLines/>
      <w:spacing w:before="260" w:after="260" w:line="416" w:lineRule="auto"/>
      <w:jc w:val="left"/>
      <w:outlineLvl w:val="1"/>
    </w:pPr>
    <w:rPr>
      <w:rFonts w:ascii="Cambria" w:hAnsi="Cambria" w:cs="Cambria"/>
      <w:b/>
      <w:bCs/>
      <w:sz w:val="32"/>
      <w:szCs w:val="32"/>
    </w:rPr>
  </w:style>
  <w:style w:type="paragraph" w:styleId="6">
    <w:name w:val="heading 3"/>
    <w:basedOn w:val="1"/>
    <w:qFormat/>
    <w:uiPriority w:val="0"/>
    <w:pPr>
      <w:keepNext/>
      <w:spacing w:beforeLines="200" w:line="400" w:lineRule="exact"/>
      <w:jc w:val="center"/>
      <w:outlineLvl w:val="2"/>
    </w:pPr>
    <w:rPr>
      <w:b/>
      <w:bCs/>
      <w:sz w:val="24"/>
      <w:szCs w:val="24"/>
    </w:rPr>
  </w:style>
  <w:style w:type="paragraph" w:styleId="7">
    <w:name w:val="heading 4"/>
    <w:basedOn w:val="1"/>
    <w:next w:val="1"/>
    <w:qFormat/>
    <w:uiPriority w:val="0"/>
    <w:pPr>
      <w:keepNext/>
      <w:keepLines/>
      <w:widowControl/>
      <w:spacing w:before="280" w:after="290" w:line="376" w:lineRule="auto"/>
      <w:jc w:val="left"/>
      <w:outlineLvl w:val="3"/>
    </w:pPr>
    <w:rPr>
      <w:rFonts w:ascii="Arial" w:hAnsi="Arial" w:eastAsia="黑体"/>
      <w:b/>
      <w:bCs/>
      <w:kern w:val="0"/>
      <w:sz w:val="28"/>
      <w:szCs w:val="28"/>
    </w:rPr>
  </w:style>
  <w:style w:type="paragraph" w:styleId="8">
    <w:name w:val="heading 6"/>
    <w:basedOn w:val="1"/>
    <w:next w:val="1"/>
    <w:qFormat/>
    <w:uiPriority w:val="0"/>
    <w:pPr>
      <w:spacing w:beforeAutospacing="1" w:afterAutospacing="1"/>
      <w:jc w:val="left"/>
      <w:outlineLvl w:val="5"/>
    </w:pPr>
    <w:rPr>
      <w:rFonts w:hint="eastAsia" w:ascii="宋体" w:hAnsi="宋体"/>
      <w:b/>
      <w:bCs/>
      <w:kern w:val="0"/>
      <w:sz w:val="15"/>
      <w:szCs w:val="15"/>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2">
    <w:name w:val="Body Text"/>
    <w:basedOn w:val="1"/>
    <w:qFormat/>
    <w:uiPriority w:val="0"/>
    <w:rPr>
      <w:rFonts w:ascii="仿宋_GB2312" w:eastAsia="仿宋_GB2312"/>
      <w:spacing w:val="-20"/>
      <w:sz w:val="28"/>
      <w:szCs w:val="20"/>
    </w:rPr>
  </w:style>
  <w:style w:type="paragraph" w:styleId="3">
    <w:name w:val="macro"/>
    <w:semiHidden/>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eastAsia="宋体" w:cs="Courier New"/>
      <w:kern w:val="2"/>
      <w:sz w:val="24"/>
      <w:szCs w:val="24"/>
      <w:lang w:val="en-US" w:eastAsia="zh-CN" w:bidi="ar-SA"/>
    </w:rPr>
  </w:style>
  <w:style w:type="paragraph" w:styleId="9">
    <w:name w:val="Normal Indent"/>
    <w:basedOn w:val="1"/>
    <w:qFormat/>
    <w:uiPriority w:val="0"/>
    <w:pPr>
      <w:spacing w:line="300" w:lineRule="auto"/>
      <w:ind w:firstLine="420" w:firstLineChars="200"/>
    </w:pPr>
    <w:rPr>
      <w:szCs w:val="24"/>
    </w:rPr>
  </w:style>
  <w:style w:type="paragraph" w:styleId="10">
    <w:name w:val="toa heading"/>
    <w:basedOn w:val="1"/>
    <w:next w:val="1"/>
    <w:unhideWhenUsed/>
    <w:qFormat/>
    <w:uiPriority w:val="99"/>
    <w:pPr>
      <w:spacing w:before="120"/>
    </w:pPr>
    <w:rPr>
      <w:rFonts w:ascii="Cambria" w:hAnsi="Cambria" w:cs="Times New Roman"/>
      <w:sz w:val="24"/>
      <w:szCs w:val="24"/>
    </w:rPr>
  </w:style>
  <w:style w:type="paragraph" w:styleId="11">
    <w:name w:val="annotation text"/>
    <w:basedOn w:val="1"/>
    <w:qFormat/>
    <w:uiPriority w:val="0"/>
    <w:pPr>
      <w:jc w:val="left"/>
    </w:pPr>
  </w:style>
  <w:style w:type="paragraph" w:styleId="12">
    <w:name w:val="Body Text 3"/>
    <w:basedOn w:val="1"/>
    <w:qFormat/>
    <w:uiPriority w:val="0"/>
    <w:pPr>
      <w:spacing w:after="120"/>
    </w:pPr>
    <w:rPr>
      <w:sz w:val="16"/>
      <w:szCs w:val="16"/>
    </w:rPr>
  </w:style>
  <w:style w:type="paragraph" w:styleId="13">
    <w:name w:val="Body Text Indent"/>
    <w:basedOn w:val="1"/>
    <w:next w:val="14"/>
    <w:qFormat/>
    <w:uiPriority w:val="0"/>
    <w:pPr>
      <w:widowControl/>
      <w:ind w:firstLine="652" w:firstLineChars="233"/>
    </w:pPr>
    <w:rPr>
      <w:kern w:val="0"/>
      <w:sz w:val="28"/>
    </w:rPr>
  </w:style>
  <w:style w:type="paragraph" w:customStyle="1" w:styleId="14">
    <w:name w:val="font5"/>
    <w:basedOn w:val="1"/>
    <w:qFormat/>
    <w:uiPriority w:val="0"/>
    <w:pPr>
      <w:widowControl/>
      <w:spacing w:before="100" w:beforeLines="0" w:beforeAutospacing="1" w:after="100" w:afterLines="0" w:afterAutospacing="1"/>
      <w:jc w:val="left"/>
    </w:pPr>
    <w:rPr>
      <w:rFonts w:hint="eastAsia" w:ascii="宋体" w:hAnsi="宋体"/>
      <w:kern w:val="0"/>
      <w:sz w:val="24"/>
    </w:rPr>
  </w:style>
  <w:style w:type="paragraph" w:styleId="15">
    <w:name w:val="toc 3"/>
    <w:basedOn w:val="1"/>
    <w:next w:val="1"/>
    <w:qFormat/>
    <w:uiPriority w:val="0"/>
    <w:pPr>
      <w:ind w:left="840" w:leftChars="400"/>
    </w:pPr>
  </w:style>
  <w:style w:type="paragraph" w:styleId="16">
    <w:name w:val="Plain Text"/>
    <w:basedOn w:val="1"/>
    <w:qFormat/>
    <w:uiPriority w:val="99"/>
    <w:rPr>
      <w:rFonts w:ascii="宋体" w:hAnsi="Courier New" w:cs="宋体"/>
    </w:rPr>
  </w:style>
  <w:style w:type="paragraph" w:styleId="17">
    <w:name w:val="Date"/>
    <w:basedOn w:val="1"/>
    <w:next w:val="1"/>
    <w:qFormat/>
    <w:uiPriority w:val="0"/>
    <w:rPr>
      <w:sz w:val="28"/>
    </w:rPr>
  </w:style>
  <w:style w:type="paragraph" w:styleId="18">
    <w:name w:val="Balloon Text"/>
    <w:basedOn w:val="1"/>
    <w:link w:val="56"/>
    <w:qFormat/>
    <w:uiPriority w:val="0"/>
    <w:rPr>
      <w:sz w:val="18"/>
      <w:szCs w:val="18"/>
    </w:rPr>
  </w:style>
  <w:style w:type="paragraph" w:styleId="19">
    <w:name w:val="footer"/>
    <w:basedOn w:val="1"/>
    <w:qFormat/>
    <w:uiPriority w:val="99"/>
    <w:pPr>
      <w:tabs>
        <w:tab w:val="center" w:pos="4153"/>
        <w:tab w:val="right" w:pos="8306"/>
      </w:tabs>
      <w:snapToGrid w:val="0"/>
      <w:jc w:val="left"/>
    </w:pPr>
    <w:rPr>
      <w:sz w:val="18"/>
      <w:szCs w:val="18"/>
    </w:rPr>
  </w:style>
  <w:style w:type="paragraph" w:styleId="20">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21">
    <w:name w:val="toc 1"/>
    <w:basedOn w:val="1"/>
    <w:next w:val="1"/>
    <w:unhideWhenUsed/>
    <w:qFormat/>
    <w:uiPriority w:val="39"/>
  </w:style>
  <w:style w:type="paragraph" w:styleId="22">
    <w:name w:val="toc 4"/>
    <w:basedOn w:val="1"/>
    <w:next w:val="1"/>
    <w:qFormat/>
    <w:uiPriority w:val="0"/>
    <w:pPr>
      <w:ind w:left="1260" w:leftChars="600"/>
    </w:pPr>
  </w:style>
  <w:style w:type="paragraph" w:styleId="23">
    <w:name w:val="Body Text Indent 3"/>
    <w:basedOn w:val="1"/>
    <w:qFormat/>
    <w:uiPriority w:val="99"/>
    <w:pPr>
      <w:spacing w:line="360" w:lineRule="auto"/>
      <w:ind w:left="420" w:firstLine="480"/>
    </w:pPr>
    <w:rPr>
      <w:rFonts w:ascii="宋体" w:hAnsi="宋体" w:cs="宋体"/>
      <w:sz w:val="24"/>
      <w:szCs w:val="24"/>
    </w:rPr>
  </w:style>
  <w:style w:type="paragraph" w:styleId="24">
    <w:name w:val="toc 2"/>
    <w:basedOn w:val="1"/>
    <w:next w:val="1"/>
    <w:unhideWhenUsed/>
    <w:qFormat/>
    <w:uiPriority w:val="39"/>
    <w:pPr>
      <w:ind w:left="420" w:leftChars="200"/>
    </w:pPr>
  </w:style>
  <w:style w:type="paragraph" w:styleId="25">
    <w:name w:val="Body Text 2"/>
    <w:basedOn w:val="1"/>
    <w:qFormat/>
    <w:uiPriority w:val="0"/>
    <w:pPr>
      <w:adjustRightInd w:val="0"/>
      <w:snapToGrid w:val="0"/>
      <w:spacing w:line="480" w:lineRule="atLeast"/>
    </w:pPr>
    <w:rPr>
      <w:rFonts w:ascii="宋体" w:hAnsi="宋体"/>
      <w:sz w:val="28"/>
    </w:rPr>
  </w:style>
  <w:style w:type="paragraph" w:styleId="26">
    <w:name w:val="Normal (Web)"/>
    <w:basedOn w:val="1"/>
    <w:qFormat/>
    <w:uiPriority w:val="0"/>
    <w:pPr>
      <w:jc w:val="left"/>
    </w:pPr>
    <w:rPr>
      <w:color w:val="3D3D3D"/>
      <w:kern w:val="0"/>
      <w:sz w:val="24"/>
    </w:rPr>
  </w:style>
  <w:style w:type="paragraph" w:styleId="27">
    <w:name w:val="Body Text First Indent"/>
    <w:basedOn w:val="1"/>
    <w:next w:val="1"/>
    <w:qFormat/>
    <w:uiPriority w:val="0"/>
    <w:pPr>
      <w:ind w:firstLine="420" w:firstLineChars="100"/>
    </w:pPr>
    <w:rPr>
      <w:rFonts w:ascii="Times New Roman" w:eastAsia="宋体"/>
    </w:rPr>
  </w:style>
  <w:style w:type="paragraph" w:styleId="28">
    <w:name w:val="Body Text First Indent 2"/>
    <w:basedOn w:val="13"/>
    <w:next w:val="27"/>
    <w:qFormat/>
    <w:uiPriority w:val="99"/>
  </w:style>
  <w:style w:type="table" w:styleId="30">
    <w:name w:val="Table Grid"/>
    <w:basedOn w:val="2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2">
    <w:name w:val="Strong"/>
    <w:basedOn w:val="31"/>
    <w:qFormat/>
    <w:uiPriority w:val="0"/>
    <w:rPr>
      <w:bCs/>
    </w:rPr>
  </w:style>
  <w:style w:type="character" w:styleId="33">
    <w:name w:val="FollowedHyperlink"/>
    <w:basedOn w:val="31"/>
    <w:qFormat/>
    <w:uiPriority w:val="0"/>
    <w:rPr>
      <w:color w:val="800080"/>
      <w:u w:val="none"/>
    </w:rPr>
  </w:style>
  <w:style w:type="character" w:styleId="34">
    <w:name w:val="Emphasis"/>
    <w:basedOn w:val="31"/>
    <w:qFormat/>
    <w:uiPriority w:val="0"/>
  </w:style>
  <w:style w:type="character" w:styleId="35">
    <w:name w:val="Hyperlink"/>
    <w:basedOn w:val="31"/>
    <w:qFormat/>
    <w:uiPriority w:val="0"/>
    <w:rPr>
      <w:color w:val="0000FF"/>
      <w:u w:val="none"/>
    </w:rPr>
  </w:style>
  <w:style w:type="paragraph" w:customStyle="1" w:styleId="36">
    <w:name w:val="正文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7">
    <w:name w:val="列出段落1"/>
    <w:basedOn w:val="1"/>
    <w:qFormat/>
    <w:uiPriority w:val="34"/>
    <w:pPr>
      <w:ind w:firstLine="420" w:firstLineChars="200"/>
    </w:pPr>
  </w:style>
  <w:style w:type="paragraph" w:customStyle="1" w:styleId="38">
    <w:name w:val="List Paragraph1"/>
    <w:qFormat/>
    <w:uiPriority w:val="0"/>
    <w:pPr>
      <w:ind w:firstLine="420" w:firstLineChars="200"/>
    </w:pPr>
    <w:rPr>
      <w:rFonts w:ascii="Calibri" w:hAnsi="Calibri" w:eastAsia="宋体" w:cs="Times New Roman"/>
      <w:sz w:val="21"/>
      <w:szCs w:val="22"/>
      <w:lang w:val="en-US" w:eastAsia="zh-CN" w:bidi="ar-SA"/>
    </w:rPr>
  </w:style>
  <w:style w:type="paragraph" w:customStyle="1" w:styleId="39">
    <w:name w:val="样式 标题 2 Char + (西文) 黑体 段前: 6 磅 段后: 0.5 行 行距: 1.5 倍行距"/>
    <w:basedOn w:val="5"/>
    <w:qFormat/>
    <w:uiPriority w:val="0"/>
    <w:pPr>
      <w:spacing w:before="120" w:line="360" w:lineRule="auto"/>
    </w:pPr>
    <w:rPr>
      <w:rFonts w:ascii="黑体" w:hAnsi="黑体" w:cs="宋体"/>
      <w:sz w:val="28"/>
      <w:szCs w:val="20"/>
    </w:rPr>
  </w:style>
  <w:style w:type="paragraph" w:customStyle="1" w:styleId="40">
    <w:name w:val="样式1"/>
    <w:next w:val="3"/>
    <w:qFormat/>
    <w:uiPriority w:val="0"/>
    <w:pPr>
      <w:widowControl w:val="0"/>
      <w:ind w:firstLine="200" w:firstLineChars="200"/>
      <w:jc w:val="both"/>
    </w:pPr>
    <w:rPr>
      <w:rFonts w:ascii="仿宋_GB2312" w:hAnsi="Times New Roman" w:eastAsia="仿宋_GB2312" w:cs="Times New Roman"/>
      <w:kern w:val="2"/>
      <w:sz w:val="28"/>
      <w:szCs w:val="28"/>
      <w:lang w:val="en-US" w:eastAsia="zh-CN" w:bidi="ar-SA"/>
    </w:rPr>
  </w:style>
  <w:style w:type="paragraph" w:customStyle="1" w:styleId="41">
    <w:name w:val="p0"/>
    <w:basedOn w:val="1"/>
    <w:qFormat/>
    <w:uiPriority w:val="0"/>
    <w:pPr>
      <w:widowControl/>
    </w:pPr>
    <w:rPr>
      <w:kern w:val="0"/>
      <w:sz w:val="32"/>
      <w:szCs w:val="21"/>
    </w:rPr>
  </w:style>
  <w:style w:type="paragraph" w:customStyle="1" w:styleId="42">
    <w:name w:val="List Paragraph_2b5ace25-7929-4310-8a1a-2bf2c1be16a7"/>
    <w:basedOn w:val="1"/>
    <w:qFormat/>
    <w:uiPriority w:val="34"/>
    <w:pPr>
      <w:ind w:firstLine="420" w:firstLineChars="200"/>
    </w:pPr>
  </w:style>
  <w:style w:type="paragraph" w:customStyle="1" w:styleId="43">
    <w:name w:val="Char1"/>
    <w:basedOn w:val="1"/>
    <w:qFormat/>
    <w:uiPriority w:val="0"/>
    <w:pPr>
      <w:tabs>
        <w:tab w:val="left" w:pos="360"/>
      </w:tabs>
      <w:ind w:left="360" w:hanging="360" w:hangingChars="200"/>
    </w:pPr>
    <w:rPr>
      <w:szCs w:val="24"/>
    </w:rPr>
  </w:style>
  <w:style w:type="character" w:customStyle="1" w:styleId="44">
    <w:name w:val="font01"/>
    <w:basedOn w:val="31"/>
    <w:qFormat/>
    <w:uiPriority w:val="0"/>
    <w:rPr>
      <w:rFonts w:hint="eastAsia" w:ascii="宋体" w:hAnsi="宋体" w:eastAsia="宋体" w:cs="宋体"/>
      <w:color w:val="000000"/>
      <w:sz w:val="20"/>
      <w:szCs w:val="20"/>
      <w:u w:val="none"/>
    </w:rPr>
  </w:style>
  <w:style w:type="character" w:customStyle="1" w:styleId="45">
    <w:name w:val="proollist"/>
    <w:basedOn w:val="31"/>
    <w:qFormat/>
    <w:uiPriority w:val="0"/>
  </w:style>
  <w:style w:type="character" w:customStyle="1" w:styleId="46">
    <w:name w:val="beforeinfotext"/>
    <w:basedOn w:val="31"/>
    <w:qFormat/>
    <w:uiPriority w:val="0"/>
    <w:rPr>
      <w:color w:val="666666"/>
    </w:rPr>
  </w:style>
  <w:style w:type="character" w:customStyle="1" w:styleId="47">
    <w:name w:val="phone"/>
    <w:basedOn w:val="31"/>
    <w:qFormat/>
    <w:uiPriority w:val="0"/>
    <w:rPr>
      <w:color w:val="FF8833"/>
      <w:sz w:val="18"/>
      <w:szCs w:val="18"/>
    </w:rPr>
  </w:style>
  <w:style w:type="character" w:customStyle="1" w:styleId="48">
    <w:name w:val="number"/>
    <w:basedOn w:val="31"/>
    <w:qFormat/>
    <w:uiPriority w:val="0"/>
    <w:rPr>
      <w:color w:val="FF8833"/>
      <w:sz w:val="18"/>
      <w:szCs w:val="18"/>
    </w:rPr>
  </w:style>
  <w:style w:type="paragraph" w:customStyle="1" w:styleId="49">
    <w:name w:val="title11"/>
    <w:basedOn w:val="1"/>
    <w:qFormat/>
    <w:uiPriority w:val="0"/>
    <w:pPr>
      <w:spacing w:before="150"/>
      <w:jc w:val="left"/>
    </w:pPr>
    <w:rPr>
      <w:b/>
      <w:kern w:val="0"/>
      <w:sz w:val="22"/>
    </w:rPr>
  </w:style>
  <w:style w:type="paragraph" w:customStyle="1" w:styleId="50">
    <w:name w:val="title13"/>
    <w:basedOn w:val="1"/>
    <w:qFormat/>
    <w:uiPriority w:val="0"/>
    <w:pPr>
      <w:spacing w:before="150"/>
      <w:jc w:val="left"/>
    </w:pPr>
    <w:rPr>
      <w:b/>
      <w:kern w:val="0"/>
      <w:sz w:val="22"/>
    </w:rPr>
  </w:style>
  <w:style w:type="character" w:customStyle="1" w:styleId="51">
    <w:name w:val="stclosebtn"/>
    <w:basedOn w:val="31"/>
    <w:qFormat/>
    <w:uiPriority w:val="0"/>
  </w:style>
  <w:style w:type="paragraph" w:customStyle="1" w:styleId="52">
    <w:name w:val="样式 样式 样式 (中文) 仿宋_GB2312 四号 黑色 行距: 固定值 28.5 磅 首行缩进:  1.92 字符 + 首行..."/>
    <w:basedOn w:val="1"/>
    <w:qFormat/>
    <w:uiPriority w:val="0"/>
    <w:pPr>
      <w:widowControl/>
      <w:ind w:firstLine="200" w:firstLineChars="200"/>
      <w:jc w:val="left"/>
    </w:pPr>
    <w:rPr>
      <w:rFonts w:eastAsia="仿宋_GB2312" w:cs="宋体"/>
      <w:color w:val="000000"/>
      <w:kern w:val="0"/>
      <w:sz w:val="28"/>
      <w:szCs w:val="20"/>
    </w:rPr>
  </w:style>
  <w:style w:type="paragraph" w:customStyle="1" w:styleId="53">
    <w:name w:val="列出段落11"/>
    <w:basedOn w:val="1"/>
    <w:qFormat/>
    <w:uiPriority w:val="34"/>
    <w:pPr>
      <w:ind w:firstLine="420" w:firstLineChars="200"/>
    </w:pPr>
    <w:rPr>
      <w:rFonts w:ascii="Calibri" w:hAnsi="Calibri"/>
    </w:rPr>
  </w:style>
  <w:style w:type="paragraph" w:customStyle="1" w:styleId="54">
    <w:name w:val="Body text|1"/>
    <w:basedOn w:val="1"/>
    <w:qFormat/>
    <w:uiPriority w:val="0"/>
    <w:pPr>
      <w:spacing w:line="454" w:lineRule="auto"/>
      <w:ind w:firstLine="400"/>
    </w:pPr>
    <w:rPr>
      <w:rFonts w:ascii="宋体" w:hAnsi="宋体" w:cs="宋体"/>
      <w:sz w:val="26"/>
      <w:szCs w:val="26"/>
      <w:lang w:val="zh-TW" w:eastAsia="zh-TW" w:bidi="zh-TW"/>
    </w:rPr>
  </w:style>
  <w:style w:type="paragraph" w:customStyle="1" w:styleId="55">
    <w:name w:val="标题 21"/>
    <w:basedOn w:val="36"/>
    <w:next w:val="36"/>
    <w:qFormat/>
    <w:uiPriority w:val="0"/>
    <w:pPr>
      <w:ind w:left="270" w:hanging="270"/>
      <w:jc w:val="left"/>
      <w:outlineLvl w:val="1"/>
    </w:pPr>
    <w:rPr>
      <w:rFonts w:ascii="Arial" w:hAnsi="Arial" w:cs="宋体"/>
      <w:kern w:val="0"/>
      <w:sz w:val="32"/>
      <w:szCs w:val="32"/>
      <w:lang w:val="zh-CN"/>
    </w:rPr>
  </w:style>
  <w:style w:type="character" w:customStyle="1" w:styleId="56">
    <w:name w:val="批注框文本 Char"/>
    <w:basedOn w:val="31"/>
    <w:link w:val="18"/>
    <w:qFormat/>
    <w:uiPriority w:val="0"/>
    <w:rPr>
      <w:kern w:val="2"/>
      <w:sz w:val="18"/>
      <w:szCs w:val="18"/>
    </w:rPr>
  </w:style>
  <w:style w:type="paragraph" w:customStyle="1" w:styleId="57">
    <w:name w:val="Table Text"/>
    <w:basedOn w:val="1"/>
    <w:semiHidden/>
    <w:qFormat/>
    <w:uiPriority w:val="0"/>
    <w:rPr>
      <w:rFonts w:ascii="仿宋" w:hAnsi="仿宋" w:eastAsia="仿宋" w:cs="仿宋"/>
      <w:sz w:val="24"/>
      <w:szCs w:val="24"/>
      <w:lang w:val="en-US" w:eastAsia="en-US" w:bidi="ar-SA"/>
    </w:rPr>
  </w:style>
  <w:style w:type="table" w:customStyle="1" w:styleId="58">
    <w:name w:val="Table Normal"/>
    <w:semiHidden/>
    <w:unhideWhenUsed/>
    <w:qFormat/>
    <w:uiPriority w:val="0"/>
    <w:tblPr>
      <w:tblCellMar>
        <w:top w:w="0" w:type="dxa"/>
        <w:left w:w="0" w:type="dxa"/>
        <w:bottom w:w="0" w:type="dxa"/>
        <w:right w:w="0" w:type="dxa"/>
      </w:tblCellMar>
    </w:tblPr>
  </w:style>
  <w:style w:type="character" w:customStyle="1" w:styleId="59">
    <w:name w:val="font11"/>
    <w:basedOn w:val="31"/>
    <w:qFormat/>
    <w:uiPriority w:val="0"/>
    <w:rPr>
      <w:rFonts w:ascii="宋体" w:hAnsi="宋体" w:eastAsia="宋体" w:cs="宋体"/>
      <w:b/>
      <w:bCs/>
      <w:color w:val="000000"/>
      <w:sz w:val="24"/>
      <w:szCs w:val="24"/>
      <w:u w:val="none"/>
    </w:rPr>
  </w:style>
  <w:style w:type="character" w:customStyle="1" w:styleId="60">
    <w:name w:val="font81"/>
    <w:basedOn w:val="31"/>
    <w:qFormat/>
    <w:uiPriority w:val="0"/>
    <w:rPr>
      <w:rFonts w:ascii="宋体" w:hAnsi="宋体" w:eastAsia="宋体" w:cs="宋体"/>
      <w:b/>
      <w:bCs/>
      <w:color w:val="000000"/>
      <w:sz w:val="24"/>
      <w:szCs w:val="24"/>
      <w:u w:val="single"/>
    </w:rPr>
  </w:style>
  <w:style w:type="character" w:customStyle="1" w:styleId="61">
    <w:name w:val="font31"/>
    <w:basedOn w:val="31"/>
    <w:qFormat/>
    <w:uiPriority w:val="0"/>
    <w:rPr>
      <w:rFonts w:ascii="宋体" w:hAnsi="宋体" w:eastAsia="宋体" w:cs="宋体"/>
      <w:color w:val="000000"/>
      <w:sz w:val="16"/>
      <w:szCs w:val="16"/>
      <w:u w:val="none"/>
    </w:rPr>
  </w:style>
  <w:style w:type="character" w:customStyle="1" w:styleId="62">
    <w:name w:val="font41"/>
    <w:basedOn w:val="31"/>
    <w:qFormat/>
    <w:uiPriority w:val="0"/>
    <w:rPr>
      <w:rFonts w:hint="eastAsia" w:ascii="宋体" w:hAnsi="宋体" w:eastAsia="宋体" w:cs="宋体"/>
      <w:color w:val="000000"/>
      <w:sz w:val="22"/>
      <w:szCs w:val="22"/>
      <w:u w:val="none"/>
    </w:rPr>
  </w:style>
  <w:style w:type="character" w:customStyle="1" w:styleId="63">
    <w:name w:val="font91"/>
    <w:basedOn w:val="31"/>
    <w:qFormat/>
    <w:uiPriority w:val="0"/>
    <w:rPr>
      <w:rFonts w:hint="default" w:ascii="Arial" w:hAnsi="Arial" w:cs="Arial"/>
      <w:color w:val="000000"/>
      <w:sz w:val="22"/>
      <w:szCs w:val="22"/>
      <w:u w:val="single"/>
    </w:rPr>
  </w:style>
  <w:style w:type="paragraph" w:customStyle="1" w:styleId="64">
    <w:name w:val="null3"/>
    <w:hidden/>
    <w:qFormat/>
    <w:uiPriority w:val="0"/>
    <w:rPr>
      <w:rFonts w:hint="eastAsia" w:asciiTheme="minorHAnsi" w:hAnsiTheme="minorHAnsi" w:eastAsiaTheme="minorEastAsia" w:cstheme="minorBidi"/>
      <w:lang w:val="en-US" w:eastAsia="zh-Hans"/>
    </w:rPr>
  </w:style>
  <w:style w:type="character" w:customStyle="1" w:styleId="65">
    <w:name w:val="font21"/>
    <w:basedOn w:val="31"/>
    <w:qFormat/>
    <w:uiPriority w:val="0"/>
    <w:rPr>
      <w:rFonts w:hint="eastAsia" w:ascii="宋体" w:hAnsi="宋体" w:eastAsia="宋体" w:cs="宋体"/>
      <w:color w:val="000000"/>
      <w:sz w:val="24"/>
      <w:szCs w:val="24"/>
      <w:u w:val="none"/>
    </w:rPr>
  </w:style>
  <w:style w:type="paragraph" w:customStyle="1" w:styleId="66">
    <w:name w:val="标题3"/>
    <w:basedOn w:val="7"/>
    <w:qFormat/>
    <w:uiPriority w:val="0"/>
    <w:pPr>
      <w:spacing w:line="560" w:lineRule="exact"/>
      <w:ind w:left="0" w:firstLine="200" w:firstLineChars="200"/>
      <w:jc w:val="left"/>
      <w:outlineLvl w:val="2"/>
      <w:pPrChange w:id="0" w:author="chenguorui" w:date="2025-03-19T11:08:00Z">
        <w:pPr>
          <w:keepNext/>
          <w:keepLines/>
          <w:widowControl w:val="0"/>
          <w:spacing w:line="360" w:lineRule="auto"/>
          <w:ind w:left="907"/>
          <w:jc w:val="both"/>
          <w:outlineLvl w:val="3"/>
        </w:pPr>
      </w:pPrChange>
    </w:pPr>
    <w:rPr>
      <w:rFonts w:ascii="Times New Roman" w:hAnsi="Times New Roman" w:eastAsia="方正楷体_GB2312"/>
      <w:rPrChange w:id="1" w:author="chenguorui" w:date="2025-03-19T11:08:00Z">
        <w:rPr>
          <w:rFonts w:ascii="Arial" w:hAnsi="Arial" w:eastAsia="黑体"/>
          <w:kern w:val="2"/>
          <w:sz w:val="28"/>
          <w:szCs w:val="28"/>
          <w:lang w:val="en-US" w:eastAsia="zh-CN" w:bidi="ar-SA"/>
        </w:rPr>
      </w:rPrChange>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6.jpeg"/><Relationship Id="rId15" Type="http://schemas.openxmlformats.org/officeDocument/2006/relationships/image" Target="media/image5.jpeg"/><Relationship Id="rId14" Type="http://schemas.openxmlformats.org/officeDocument/2006/relationships/image" Target="media/image4.jpeg"/><Relationship Id="rId13" Type="http://schemas.openxmlformats.org/officeDocument/2006/relationships/image" Target="media/image3.png"/><Relationship Id="rId12" Type="http://schemas.openxmlformats.org/officeDocument/2006/relationships/image" Target="media/image2.jpeg"/><Relationship Id="rId11" Type="http://schemas.openxmlformats.org/officeDocument/2006/relationships/image" Target="media/image1.jpe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Kingsoft</Company>
  <Pages>98</Pages>
  <Words>3047</Words>
  <Characters>3845</Characters>
  <Lines>411</Lines>
  <Paragraphs>115</Paragraphs>
  <TotalTime>25</TotalTime>
  <ScaleCrop>false</ScaleCrop>
  <LinksUpToDate>false</LinksUpToDate>
  <CharactersWithSpaces>3935</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2023-11-13T06:24:00Z</dcterms:created>
  <dc:creator>天海1415003450</dc:creator>
  <cp:lastModifiedBy>Mr.sy</cp:lastModifiedBy>
  <cp:lastPrinted>2018-10-16T02:20:00Z</cp:lastPrinted>
  <dcterms:modified xsi:type="dcterms:W3CDTF">2025-11-27T13:03:08Z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411FDC2A352044BE9657658114C5D1A8_13</vt:lpwstr>
  </property>
  <property fmtid="{D5CDD505-2E9C-101B-9397-08002B2CF9AE}" pid="4" name="KSOTemplateDocerSaveRecord">
    <vt:lpwstr>eyJoZGlkIjoiNjE3MzAxNTgxYjAxOTI0ZjUxMzZjMDU1NTMzNDBmOTIiLCJ1c2VySWQiOiIyMzA4NTAzMTYifQ==</vt:lpwstr>
  </property>
</Properties>
</file>