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CD121">
      <w:pPr>
        <w:pStyle w:val="15"/>
        <w:spacing w:line="360" w:lineRule="auto"/>
        <w:jc w:val="center"/>
        <w:rPr>
          <w:rFonts w:hint="default" w:ascii="宋体" w:hAnsi="宋体" w:eastAsia="宋体" w:cs="宋体"/>
          <w:b/>
          <w:sz w:val="28"/>
          <w:szCs w:val="24"/>
          <w:lang w:val="en-US" w:eastAsia="zh-CN"/>
        </w:rPr>
      </w:pPr>
      <w:r>
        <w:rPr>
          <w:rFonts w:hint="eastAsia" w:ascii="宋体" w:hAnsi="宋体" w:eastAsia="宋体" w:cs="宋体"/>
          <w:b/>
          <w:sz w:val="28"/>
          <w:szCs w:val="24"/>
          <w:lang w:val="en-US" w:eastAsia="zh-CN"/>
        </w:rPr>
        <w:t>采购需求</w:t>
      </w:r>
    </w:p>
    <w:p w14:paraId="25DF2851">
      <w:pPr>
        <w:pStyle w:val="15"/>
        <w:spacing w:line="360" w:lineRule="auto"/>
        <w:jc w:val="both"/>
        <w:rPr>
          <w:rFonts w:hint="eastAsia" w:ascii="宋体" w:hAnsi="宋体" w:eastAsia="宋体" w:cs="宋体"/>
        </w:rPr>
      </w:pPr>
      <w:r>
        <w:rPr>
          <w:rFonts w:hint="eastAsia" w:ascii="宋体" w:hAnsi="宋体" w:eastAsia="宋体" w:cs="宋体"/>
          <w:b/>
          <w:sz w:val="21"/>
        </w:rPr>
        <w:t>一、项目概况</w:t>
      </w:r>
    </w:p>
    <w:p w14:paraId="53591F9B">
      <w:pPr>
        <w:pStyle w:val="15"/>
        <w:spacing w:line="360" w:lineRule="auto"/>
        <w:ind w:firstLine="480"/>
        <w:jc w:val="both"/>
        <w:rPr>
          <w:rFonts w:hint="eastAsia" w:ascii="宋体" w:hAnsi="宋体" w:eastAsia="宋体" w:cs="宋体"/>
          <w:sz w:val="21"/>
          <w:lang w:val="en-US" w:eastAsia="zh-CN"/>
        </w:rPr>
      </w:pPr>
      <w:r>
        <w:rPr>
          <w:rFonts w:hint="eastAsia" w:ascii="宋体" w:hAnsi="宋体" w:eastAsia="宋体" w:cs="宋体"/>
          <w:sz w:val="21"/>
          <w:lang w:val="en-US" w:eastAsia="zh-CN"/>
        </w:rPr>
        <w:t>未央区2025年省级财政农业耕地土壤污染防治项目。</w:t>
      </w:r>
    </w:p>
    <w:p w14:paraId="780E1D4F">
      <w:pPr>
        <w:pStyle w:val="15"/>
        <w:spacing w:line="360" w:lineRule="auto"/>
        <w:jc w:val="both"/>
        <w:rPr>
          <w:rFonts w:hint="eastAsia" w:ascii="宋体" w:hAnsi="宋体" w:eastAsia="宋体" w:cs="宋体"/>
          <w:b/>
          <w:sz w:val="21"/>
          <w:highlight w:val="none"/>
        </w:rPr>
      </w:pPr>
      <w:r>
        <w:rPr>
          <w:rFonts w:hint="eastAsia" w:ascii="宋体" w:hAnsi="宋体" w:eastAsia="宋体" w:cs="宋体"/>
          <w:b/>
          <w:sz w:val="21"/>
          <w:highlight w:val="none"/>
        </w:rPr>
        <w:t>二、</w:t>
      </w:r>
      <w:r>
        <w:rPr>
          <w:rFonts w:hint="eastAsia" w:ascii="宋体" w:hAnsi="宋体" w:eastAsia="宋体" w:cs="宋体"/>
          <w:b/>
          <w:sz w:val="21"/>
          <w:highlight w:val="none"/>
          <w:lang w:val="en-US" w:eastAsia="zh-CN"/>
        </w:rPr>
        <w:t>实施范围及目标</w:t>
      </w:r>
    </w:p>
    <w:p w14:paraId="3256A28D">
      <w:pPr>
        <w:pStyle w:val="15"/>
        <w:spacing w:line="360" w:lineRule="auto"/>
        <w:ind w:firstLine="420" w:firstLineChars="200"/>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以受污染耕地安全利用为目的,坚持分类施策、治用结合的原则,在未央区查寨子村、张家巷村、东市村等地块开展试验田种植,进一步提升受污染耕地安全利用成效,同时推进中轻度受污染耕地安全利用和重度污染耕地严格管控，使受污染耕地安全利用率到达93%以上。</w:t>
      </w:r>
    </w:p>
    <w:p w14:paraId="68E24FD6">
      <w:pPr>
        <w:pStyle w:val="15"/>
        <w:spacing w:line="360" w:lineRule="auto"/>
        <w:jc w:val="both"/>
        <w:rPr>
          <w:rFonts w:hint="eastAsia" w:ascii="宋体" w:hAnsi="宋体" w:eastAsia="宋体" w:cs="宋体"/>
          <w:b/>
          <w:bCs/>
          <w:sz w:val="21"/>
          <w:highlight w:val="none"/>
          <w:lang w:val="en-US" w:eastAsia="zh-CN"/>
        </w:rPr>
      </w:pPr>
      <w:bookmarkStart w:id="0" w:name="_GoBack"/>
      <w:bookmarkEnd w:id="0"/>
      <w:r>
        <w:rPr>
          <w:rFonts w:hint="eastAsia" w:ascii="宋体" w:hAnsi="宋体" w:eastAsia="宋体" w:cs="宋体"/>
          <w:b/>
          <w:bCs/>
          <w:sz w:val="21"/>
          <w:highlight w:val="none"/>
          <w:lang w:val="en-US" w:eastAsia="zh-CN"/>
        </w:rPr>
        <w:t>三、重点工作</w:t>
      </w:r>
    </w:p>
    <w:p w14:paraId="5E656595">
      <w:pPr>
        <w:pStyle w:val="15"/>
        <w:spacing w:line="360" w:lineRule="auto"/>
        <w:ind w:firstLine="420" w:firstLineChars="200"/>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（一）稳妥推进中轻度受污染耕地安全利用</w:t>
      </w:r>
    </w:p>
    <w:p w14:paraId="6FFF6A15">
      <w:pPr>
        <w:pStyle w:val="15"/>
        <w:spacing w:line="360" w:lineRule="auto"/>
        <w:ind w:firstLine="420" w:firstLineChars="200"/>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立足本地耕地土壤污染状况,筛选出对重金属低积累、且适应当地种植的主要经济作物(如油麦菜、空心菜、萝卜等)品种类型,提出适合未央区污染耕地种植的主要经济作物品种名录,为未央区经济作物的品种筛选提供科学依据。同时,对比分析生物有机肥+叶面阻隔技术修复前后土壤及经济作物中重金属分布状况，得到适用于未央区实际情况的污染耕地修复技术，初步得到一套适用于未央区的“监测一筛选一治理”一体化耕地土壤污染治理修复技术体系，提升区域耕地土壤污染防治能力。</w:t>
      </w:r>
    </w:p>
    <w:p w14:paraId="14F99E52">
      <w:pPr>
        <w:pStyle w:val="15"/>
        <w:spacing w:line="360" w:lineRule="auto"/>
        <w:ind w:firstLine="420" w:firstLineChars="200"/>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（二）开展耕地土壤与农产品协同监测进行效果评估</w:t>
      </w:r>
    </w:p>
    <w:p w14:paraId="10A5BB1B">
      <w:pPr>
        <w:pStyle w:val="15"/>
        <w:spacing w:line="360" w:lineRule="auto"/>
        <w:ind w:firstLine="420" w:firstLineChars="200"/>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根据未央区污染耕地分布、结合未央区典型经济作物类型,采用专业布点方法,布设15-20个代表性点位(不与市级监测点重复),采集土壤与对应点位的主要经济作物(如玉米、蔬菜等)样品,利用标准分析方法分析土壤、经济作物重金属的含量分布,探索重金属污染物在作物根茎叶及果实中含量，为经济作物品种筛选提供科学依据。</w:t>
      </w:r>
    </w:p>
    <w:p w14:paraId="7743659F">
      <w:pPr>
        <w:pStyle w:val="15"/>
        <w:spacing w:line="360" w:lineRule="auto"/>
        <w:ind w:firstLine="420" w:firstLineChars="200"/>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（三）实施好受污染耕地治理恢复</w:t>
      </w:r>
    </w:p>
    <w:p w14:paraId="1BC4A350">
      <w:pPr>
        <w:pStyle w:val="15"/>
        <w:spacing w:line="360" w:lineRule="auto"/>
        <w:ind w:firstLine="420" w:firstLineChars="200"/>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根据《轻中度污染耕地安全利用与治理修复推荐技术名录》,结合未央区安全利用类主要技术的修复效果,在查寨子村、张家巷村、东市村等地块开展试验田种植,每块试验田中设置优化措施、施用生物有机肥技术措施、复合肥+叶面阻隔技术、生物有机肥+叶面阻隔技术四种情景模式。对比修复前后土壤中重金属的含量分布,结合经济作物中重金属积累状况,得到最佳的污染耕地治理恢复技术措施,并评价技术措施的可行性与适用性。</w:t>
      </w:r>
    </w:p>
    <w:p w14:paraId="110E2427">
      <w:pPr>
        <w:pStyle w:val="15"/>
        <w:spacing w:line="360" w:lineRule="auto"/>
        <w:ind w:firstLine="420" w:firstLineChars="200"/>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（四）规范耕地污染防治工作台账</w:t>
      </w:r>
    </w:p>
    <w:p w14:paraId="11098440">
      <w:pPr>
        <w:pStyle w:val="15"/>
        <w:spacing w:line="360" w:lineRule="auto"/>
        <w:ind w:firstLine="420" w:firstLineChars="200"/>
        <w:jc w:val="both"/>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严格按照实施内容,建立受污染耕地专项工作档案,其中,实施方案、会议图片、检查记录、工作总结等资料要做到科学真实、数据准确、逻辑清晰。技术总结受污染耕地工作推进、任务落实情况，形成工作总结。</w:t>
      </w:r>
    </w:p>
    <w:p w14:paraId="4A0BF29F">
      <w:pPr>
        <w:pStyle w:val="15"/>
        <w:spacing w:line="360" w:lineRule="auto"/>
        <w:ind w:firstLine="420" w:firstLineChars="200"/>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（五）其它：服务内容</w:t>
      </w:r>
    </w:p>
    <w:p w14:paraId="7E469361">
      <w:pPr>
        <w:pStyle w:val="15"/>
        <w:spacing w:line="360" w:lineRule="auto"/>
        <w:ind w:firstLine="420" w:firstLineChars="200"/>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未央区受污染耕地治理恢复、安全利用所需的试剂购置、样品检测分析评价、技术选用、品种筛选(调整)、农产品跟踪监测等。</w:t>
      </w:r>
    </w:p>
    <w:p w14:paraId="4C26F4FB">
      <w:pPr>
        <w:pStyle w:val="15"/>
        <w:spacing w:line="360" w:lineRule="auto"/>
        <w:jc w:val="both"/>
        <w:rPr>
          <w:rFonts w:hint="eastAsia" w:ascii="宋体" w:hAnsi="宋体" w:eastAsia="宋体" w:cs="宋体"/>
          <w:b/>
          <w:sz w:val="21"/>
          <w:highlight w:val="none"/>
        </w:rPr>
      </w:pPr>
      <w:r>
        <w:rPr>
          <w:rFonts w:hint="eastAsia" w:ascii="宋体" w:hAnsi="宋体" w:eastAsia="宋体" w:cs="宋体"/>
          <w:b/>
          <w:sz w:val="21"/>
          <w:highlight w:val="none"/>
          <w:lang w:val="en-US" w:eastAsia="zh-CN"/>
        </w:rPr>
        <w:t>四</w:t>
      </w:r>
      <w:r>
        <w:rPr>
          <w:rFonts w:hint="eastAsia" w:ascii="宋体" w:hAnsi="宋体" w:eastAsia="宋体" w:cs="宋体"/>
          <w:b/>
          <w:sz w:val="21"/>
          <w:highlight w:val="none"/>
        </w:rPr>
        <w:t>、商务要求</w:t>
      </w:r>
    </w:p>
    <w:p w14:paraId="50CA0A92">
      <w:pPr>
        <w:pStyle w:val="15"/>
        <w:spacing w:line="360" w:lineRule="auto"/>
        <w:ind w:firstLine="480"/>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（一）服务期限</w:t>
      </w:r>
    </w:p>
    <w:p w14:paraId="60F50F29">
      <w:pPr>
        <w:pStyle w:val="15"/>
        <w:spacing w:line="360" w:lineRule="auto"/>
        <w:ind w:firstLine="480"/>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自合同签订之日起六个月。</w:t>
      </w:r>
    </w:p>
    <w:p w14:paraId="1DCA150A">
      <w:pPr>
        <w:pStyle w:val="15"/>
        <w:spacing w:line="360" w:lineRule="auto"/>
        <w:ind w:firstLine="480"/>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（二）款项结算</w:t>
      </w:r>
    </w:p>
    <w:p w14:paraId="4E15BD54">
      <w:pPr>
        <w:pStyle w:val="15"/>
        <w:spacing w:line="360" w:lineRule="auto"/>
        <w:ind w:firstLine="420" w:firstLineChars="200"/>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1.自合同签订之日起，达到付款条件起7日内，支付合同总金额的40%；</w:t>
      </w:r>
    </w:p>
    <w:p w14:paraId="5BC0D55A">
      <w:pPr>
        <w:pStyle w:val="15"/>
        <w:spacing w:line="360" w:lineRule="auto"/>
        <w:ind w:firstLine="420" w:firstLineChars="200"/>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2.项目实施完成，申请验收，成果交付验收合格后，达到付款条件起30日内，支付合同总金额的60%。</w:t>
      </w:r>
    </w:p>
    <w:p w14:paraId="43817622">
      <w:pPr>
        <w:pStyle w:val="15"/>
        <w:spacing w:line="360" w:lineRule="auto"/>
        <w:jc w:val="both"/>
        <w:rPr>
          <w:rFonts w:hint="eastAsia" w:ascii="宋体" w:hAnsi="宋体" w:eastAsia="宋体" w:cs="宋体"/>
          <w:b/>
          <w:sz w:val="21"/>
        </w:rPr>
      </w:pPr>
      <w:r>
        <w:rPr>
          <w:rFonts w:hint="eastAsia" w:ascii="宋体" w:hAnsi="宋体" w:eastAsia="宋体" w:cs="宋体"/>
          <w:b/>
          <w:sz w:val="21"/>
          <w:lang w:val="en-US" w:eastAsia="zh-CN"/>
        </w:rPr>
        <w:t>五</w:t>
      </w:r>
      <w:r>
        <w:rPr>
          <w:rFonts w:hint="eastAsia" w:ascii="宋体" w:hAnsi="宋体" w:eastAsia="宋体" w:cs="宋体"/>
          <w:b/>
          <w:sz w:val="21"/>
        </w:rPr>
        <w:t>、其他</w:t>
      </w:r>
    </w:p>
    <w:p w14:paraId="17F7A06A">
      <w:pPr>
        <w:pStyle w:val="15"/>
        <w:spacing w:line="360" w:lineRule="auto"/>
        <w:ind w:firstLine="480"/>
        <w:jc w:val="both"/>
        <w:rPr>
          <w:rFonts w:hint="eastAsia" w:ascii="宋体" w:hAnsi="宋体" w:eastAsia="宋体" w:cs="宋体"/>
          <w:sz w:val="21"/>
          <w:lang w:val="en-US" w:eastAsia="zh-CN"/>
        </w:rPr>
      </w:pPr>
      <w:r>
        <w:rPr>
          <w:rFonts w:hint="eastAsia" w:ascii="宋体" w:hAnsi="宋体" w:eastAsia="宋体" w:cs="宋体"/>
          <w:sz w:val="21"/>
          <w:lang w:val="en-US" w:eastAsia="zh-CN"/>
        </w:rPr>
        <w:t>（一）成果交付要求</w:t>
      </w:r>
    </w:p>
    <w:p w14:paraId="3E617010">
      <w:pPr>
        <w:pStyle w:val="15"/>
        <w:spacing w:line="360" w:lineRule="auto"/>
        <w:ind w:firstLine="480"/>
        <w:jc w:val="both"/>
        <w:rPr>
          <w:rFonts w:hint="eastAsia" w:ascii="宋体" w:hAnsi="宋体" w:eastAsia="宋体" w:cs="宋体"/>
          <w:sz w:val="21"/>
          <w:lang w:val="en-US" w:eastAsia="zh-CN"/>
        </w:rPr>
      </w:pPr>
      <w:r>
        <w:rPr>
          <w:rFonts w:hint="eastAsia" w:ascii="宋体" w:hAnsi="宋体" w:eastAsia="宋体" w:cs="宋体"/>
          <w:sz w:val="21"/>
          <w:lang w:val="en-US" w:eastAsia="zh-CN"/>
        </w:rPr>
        <w:t>需达到采购人对项目的具体要求。</w:t>
      </w:r>
    </w:p>
    <w:p w14:paraId="4DE0FD95">
      <w:pPr>
        <w:pStyle w:val="15"/>
        <w:spacing w:line="360" w:lineRule="auto"/>
        <w:ind w:firstLine="480"/>
        <w:jc w:val="both"/>
        <w:rPr>
          <w:rFonts w:hint="eastAsia" w:ascii="宋体" w:hAnsi="宋体" w:eastAsia="宋体" w:cs="宋体"/>
          <w:sz w:val="21"/>
          <w:lang w:val="en-US" w:eastAsia="zh-CN"/>
        </w:rPr>
      </w:pPr>
      <w:r>
        <w:rPr>
          <w:rFonts w:hint="eastAsia" w:ascii="宋体" w:hAnsi="宋体" w:eastAsia="宋体" w:cs="宋体"/>
          <w:sz w:val="21"/>
          <w:lang w:val="en-US" w:eastAsia="zh-CN"/>
        </w:rPr>
        <w:t>（二）质量验收标准或规范</w:t>
      </w:r>
    </w:p>
    <w:p w14:paraId="7B9D3686">
      <w:pPr>
        <w:pStyle w:val="15"/>
        <w:spacing w:line="360" w:lineRule="auto"/>
        <w:ind w:firstLine="480"/>
        <w:jc w:val="both"/>
        <w:rPr>
          <w:rFonts w:hint="eastAsia" w:ascii="宋体" w:hAnsi="宋体" w:eastAsia="宋体" w:cs="宋体"/>
          <w:sz w:val="21"/>
          <w:lang w:val="en-US" w:eastAsia="zh-CN"/>
        </w:rPr>
      </w:pPr>
      <w:r>
        <w:rPr>
          <w:rFonts w:hint="eastAsia" w:ascii="宋体" w:hAnsi="宋体" w:eastAsia="宋体" w:cs="宋体"/>
          <w:sz w:val="21"/>
          <w:lang w:val="en-US" w:eastAsia="zh-CN"/>
        </w:rPr>
        <w:t>1.服务期满后按照成交供应商所提供的资料及数据进行验收；</w:t>
      </w:r>
    </w:p>
    <w:p w14:paraId="6B124318">
      <w:pPr>
        <w:pStyle w:val="15"/>
        <w:spacing w:line="360" w:lineRule="auto"/>
        <w:ind w:firstLine="480"/>
        <w:jc w:val="both"/>
        <w:rPr>
          <w:rFonts w:hint="eastAsia" w:ascii="宋体" w:hAnsi="宋体" w:eastAsia="宋体" w:cs="宋体"/>
          <w:sz w:val="21"/>
          <w:lang w:val="en-US" w:eastAsia="zh-CN"/>
        </w:rPr>
      </w:pPr>
      <w:r>
        <w:rPr>
          <w:rFonts w:hint="eastAsia" w:ascii="宋体" w:hAnsi="宋体" w:eastAsia="宋体" w:cs="宋体"/>
          <w:sz w:val="21"/>
          <w:lang w:val="en-US" w:eastAsia="zh-CN"/>
        </w:rPr>
        <w:t>2.最终验收：自合同签订之日起至完成全部项目内容，需按照采购人确定的时间完成并验收合格，验收合格后，填写验收单。</w:t>
      </w:r>
    </w:p>
    <w:p w14:paraId="4099BA97">
      <w:pPr>
        <w:pStyle w:val="15"/>
        <w:spacing w:line="360" w:lineRule="auto"/>
        <w:ind w:firstLine="480"/>
        <w:jc w:val="both"/>
        <w:rPr>
          <w:rFonts w:hint="eastAsia" w:ascii="宋体" w:hAnsi="宋体" w:eastAsia="宋体" w:cs="宋体"/>
          <w:sz w:val="21"/>
          <w:lang w:val="en-US" w:eastAsia="zh-CN"/>
        </w:rPr>
      </w:pPr>
      <w:r>
        <w:rPr>
          <w:rFonts w:hint="eastAsia" w:ascii="宋体" w:hAnsi="宋体" w:eastAsia="宋体" w:cs="宋体"/>
          <w:sz w:val="21"/>
          <w:lang w:val="en-US" w:eastAsia="zh-CN"/>
        </w:rPr>
        <w:t>3.验收和评价方式</w:t>
      </w:r>
    </w:p>
    <w:p w14:paraId="199D7AD3">
      <w:pPr>
        <w:pStyle w:val="15"/>
        <w:spacing w:line="360" w:lineRule="auto"/>
        <w:ind w:firstLine="480"/>
        <w:jc w:val="both"/>
        <w:rPr>
          <w:rFonts w:hint="eastAsia" w:ascii="宋体" w:hAnsi="宋体" w:eastAsia="宋体" w:cs="宋体"/>
          <w:sz w:val="21"/>
          <w:lang w:val="en-US" w:eastAsia="zh-CN"/>
        </w:rPr>
      </w:pPr>
      <w:r>
        <w:rPr>
          <w:rFonts w:hint="eastAsia" w:ascii="宋体" w:hAnsi="宋体" w:eastAsia="宋体" w:cs="宋体"/>
          <w:sz w:val="21"/>
          <w:lang w:val="en-US" w:eastAsia="zh-CN"/>
        </w:rPr>
        <w:t>3.1乙方提供的服务最终验收达不到磋商文件要求和磋商响应文件承诺及国家或行业标准，或在使用中发现甲方不能容忍的缺陷等，将视为验收不合格，乙方应在甲方要求的时间内无条件完善或要求赔付采购人损失；</w:t>
      </w:r>
    </w:p>
    <w:p w14:paraId="4C4C738D">
      <w:pPr>
        <w:pStyle w:val="15"/>
        <w:spacing w:line="360" w:lineRule="auto"/>
        <w:ind w:firstLine="480"/>
        <w:jc w:val="both"/>
        <w:rPr>
          <w:rFonts w:hint="eastAsia" w:ascii="宋体" w:hAnsi="宋体" w:eastAsia="宋体" w:cs="宋体"/>
          <w:sz w:val="21"/>
          <w:lang w:val="en-US" w:eastAsia="zh-CN"/>
        </w:rPr>
      </w:pPr>
      <w:r>
        <w:rPr>
          <w:rFonts w:hint="eastAsia" w:ascii="宋体" w:hAnsi="宋体" w:eastAsia="宋体" w:cs="宋体"/>
          <w:sz w:val="21"/>
          <w:lang w:val="en-US" w:eastAsia="zh-CN"/>
        </w:rPr>
        <w:t>3.2若发现乙方有弄虚作假的，及在项目实施阶段故意或随意夸大服务，本项目合同解除，乙方赔偿甲方相应的损失；</w:t>
      </w:r>
    </w:p>
    <w:p w14:paraId="404D251A">
      <w:pPr>
        <w:pStyle w:val="15"/>
        <w:spacing w:line="360" w:lineRule="auto"/>
        <w:ind w:firstLine="480"/>
        <w:jc w:val="both"/>
        <w:rPr>
          <w:rFonts w:hint="eastAsia" w:ascii="宋体" w:hAnsi="宋体" w:eastAsia="宋体" w:cs="宋体"/>
          <w:sz w:val="21"/>
          <w:lang w:val="en-US" w:eastAsia="zh-CN"/>
        </w:rPr>
      </w:pPr>
      <w:r>
        <w:rPr>
          <w:rFonts w:hint="eastAsia" w:ascii="宋体" w:hAnsi="宋体" w:eastAsia="宋体" w:cs="宋体"/>
          <w:sz w:val="21"/>
          <w:lang w:val="en-US" w:eastAsia="zh-CN"/>
        </w:rPr>
        <w:t>3.3验收标准：按磋商文件、磋商响应文件等服务指标进行逐项验收，各项指标均应符合验收标准及要求；</w:t>
      </w:r>
    </w:p>
    <w:p w14:paraId="1A0E1D1B">
      <w:pPr>
        <w:pStyle w:val="15"/>
        <w:spacing w:line="360" w:lineRule="auto"/>
        <w:ind w:firstLine="480"/>
        <w:jc w:val="both"/>
        <w:rPr>
          <w:rFonts w:hint="eastAsia" w:ascii="宋体" w:hAnsi="宋体" w:eastAsia="宋体" w:cs="宋体"/>
          <w:sz w:val="21"/>
          <w:lang w:val="en-US" w:eastAsia="zh-CN"/>
        </w:rPr>
      </w:pPr>
      <w:r>
        <w:rPr>
          <w:rFonts w:hint="eastAsia" w:ascii="宋体" w:hAnsi="宋体" w:eastAsia="宋体" w:cs="宋体"/>
          <w:sz w:val="21"/>
          <w:lang w:val="en-US" w:eastAsia="zh-CN"/>
        </w:rPr>
        <w:t>3.4验收合格后，填写验收单，双方盖章、签字生效。</w:t>
      </w:r>
    </w:p>
    <w:p w14:paraId="64963D9D">
      <w:pPr>
        <w:pStyle w:val="15"/>
        <w:spacing w:line="360" w:lineRule="auto"/>
        <w:ind w:firstLine="480"/>
        <w:jc w:val="both"/>
        <w:rPr>
          <w:rFonts w:hint="eastAsia" w:ascii="宋体" w:hAnsi="宋体" w:eastAsia="宋体" w:cs="宋体"/>
          <w:sz w:val="21"/>
          <w:lang w:val="en-US" w:eastAsia="zh-CN"/>
        </w:rPr>
      </w:pPr>
      <w:r>
        <w:rPr>
          <w:rFonts w:hint="eastAsia" w:ascii="宋体" w:hAnsi="宋体" w:eastAsia="宋体" w:cs="宋体"/>
          <w:sz w:val="21"/>
          <w:lang w:val="en-US" w:eastAsia="zh-CN"/>
        </w:rPr>
        <w:t>3.5验收依据：</w:t>
      </w:r>
    </w:p>
    <w:p w14:paraId="139E7D88">
      <w:pPr>
        <w:pStyle w:val="15"/>
        <w:spacing w:line="360" w:lineRule="auto"/>
        <w:ind w:firstLine="480"/>
        <w:jc w:val="both"/>
        <w:rPr>
          <w:rFonts w:hint="eastAsia" w:ascii="宋体" w:hAnsi="宋体" w:eastAsia="宋体" w:cs="宋体"/>
          <w:sz w:val="21"/>
          <w:lang w:val="en-US" w:eastAsia="zh-CN"/>
        </w:rPr>
      </w:pPr>
      <w:r>
        <w:rPr>
          <w:rFonts w:hint="eastAsia" w:ascii="宋体" w:hAnsi="宋体" w:eastAsia="宋体" w:cs="宋体"/>
          <w:sz w:val="21"/>
          <w:lang w:val="en-US" w:eastAsia="zh-CN"/>
        </w:rPr>
        <w:t>（1）合同文本。</w:t>
      </w:r>
    </w:p>
    <w:p w14:paraId="58DD74B4">
      <w:pPr>
        <w:pStyle w:val="15"/>
        <w:spacing w:line="360" w:lineRule="auto"/>
        <w:ind w:firstLine="480"/>
        <w:jc w:val="both"/>
        <w:rPr>
          <w:rFonts w:hint="eastAsia" w:ascii="宋体" w:hAnsi="宋体" w:eastAsia="宋体" w:cs="宋体"/>
          <w:sz w:val="21"/>
          <w:lang w:val="en-US" w:eastAsia="zh-CN"/>
        </w:rPr>
      </w:pPr>
      <w:r>
        <w:rPr>
          <w:rFonts w:hint="eastAsia" w:ascii="宋体" w:hAnsi="宋体" w:eastAsia="宋体" w:cs="宋体"/>
          <w:sz w:val="21"/>
          <w:lang w:val="en-US" w:eastAsia="zh-CN"/>
        </w:rPr>
        <w:t>（2）磋商响应文件、磋商文件、澄清函。</w:t>
      </w:r>
    </w:p>
    <w:p w14:paraId="1E7C2AB4">
      <w:pPr>
        <w:pStyle w:val="15"/>
        <w:spacing w:line="360" w:lineRule="auto"/>
        <w:ind w:firstLine="480"/>
        <w:jc w:val="both"/>
        <w:rPr>
          <w:rFonts w:hint="eastAsia" w:ascii="宋体" w:hAnsi="宋体" w:eastAsia="宋体" w:cs="宋体"/>
          <w:sz w:val="21"/>
          <w:lang w:val="en-US" w:eastAsia="zh-CN"/>
        </w:rPr>
      </w:pPr>
      <w:r>
        <w:rPr>
          <w:rFonts w:hint="eastAsia" w:ascii="宋体" w:hAnsi="宋体" w:eastAsia="宋体" w:cs="宋体"/>
          <w:sz w:val="21"/>
          <w:lang w:val="en-US" w:eastAsia="zh-CN"/>
        </w:rPr>
        <w:t>（3）国家和行业制定的相应的标准和规范。</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1386"/>
    <w:rsid w:val="00D074CA"/>
    <w:rsid w:val="03F71AED"/>
    <w:rsid w:val="04F63055"/>
    <w:rsid w:val="064E4DC4"/>
    <w:rsid w:val="07CD206E"/>
    <w:rsid w:val="09570789"/>
    <w:rsid w:val="09AE3FC6"/>
    <w:rsid w:val="0B663A3D"/>
    <w:rsid w:val="0C6F1945"/>
    <w:rsid w:val="0DB32086"/>
    <w:rsid w:val="12444714"/>
    <w:rsid w:val="12800AA8"/>
    <w:rsid w:val="12F86B39"/>
    <w:rsid w:val="155618F4"/>
    <w:rsid w:val="17BE4BAA"/>
    <w:rsid w:val="192D2EE4"/>
    <w:rsid w:val="1F8709FA"/>
    <w:rsid w:val="271D7FA2"/>
    <w:rsid w:val="2B6A3117"/>
    <w:rsid w:val="2C1868A7"/>
    <w:rsid w:val="2C770676"/>
    <w:rsid w:val="2FAE1484"/>
    <w:rsid w:val="329655CE"/>
    <w:rsid w:val="34290F39"/>
    <w:rsid w:val="369B1405"/>
    <w:rsid w:val="39173F23"/>
    <w:rsid w:val="3A0564C1"/>
    <w:rsid w:val="3B7B608D"/>
    <w:rsid w:val="3E595E2E"/>
    <w:rsid w:val="41511340"/>
    <w:rsid w:val="41D41224"/>
    <w:rsid w:val="44C8323B"/>
    <w:rsid w:val="455C26A8"/>
    <w:rsid w:val="47835CCA"/>
    <w:rsid w:val="47E56984"/>
    <w:rsid w:val="47E91B10"/>
    <w:rsid w:val="491F6E4F"/>
    <w:rsid w:val="4A111CB3"/>
    <w:rsid w:val="518931E5"/>
    <w:rsid w:val="528865A1"/>
    <w:rsid w:val="54667951"/>
    <w:rsid w:val="54BD185D"/>
    <w:rsid w:val="54F64E7F"/>
    <w:rsid w:val="57681D54"/>
    <w:rsid w:val="5D6677C8"/>
    <w:rsid w:val="5E2F1773"/>
    <w:rsid w:val="622814F0"/>
    <w:rsid w:val="6295498D"/>
    <w:rsid w:val="62B9496B"/>
    <w:rsid w:val="646A35E7"/>
    <w:rsid w:val="66337D8F"/>
    <w:rsid w:val="670005AB"/>
    <w:rsid w:val="68472F67"/>
    <w:rsid w:val="69C362DB"/>
    <w:rsid w:val="6C367F3C"/>
    <w:rsid w:val="6D5071B3"/>
    <w:rsid w:val="71A94AA3"/>
    <w:rsid w:val="781A1E79"/>
    <w:rsid w:val="78965640"/>
    <w:rsid w:val="79654980"/>
    <w:rsid w:val="79EA1A55"/>
    <w:rsid w:val="7BE81A4F"/>
    <w:rsid w:val="7C3254B9"/>
    <w:rsid w:val="7D425704"/>
    <w:rsid w:val="7DAF7625"/>
    <w:rsid w:val="7F0F1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Calibri" w:hAnsi="Calibri" w:eastAsia="宋体" w:cs="Times New Roman"/>
      <w:kern w:val="2"/>
      <w:sz w:val="24"/>
      <w:szCs w:val="24"/>
      <w:lang w:val="en-US" w:eastAsia="zh-CN" w:bidi="ar-SA"/>
    </w:rPr>
  </w:style>
  <w:style w:type="paragraph" w:styleId="3">
    <w:name w:val="heading 1"/>
    <w:basedOn w:val="1"/>
    <w:next w:val="1"/>
    <w:link w:val="12"/>
    <w:qFormat/>
    <w:uiPriority w:val="0"/>
    <w:pPr>
      <w:spacing w:line="360" w:lineRule="auto"/>
      <w:jc w:val="center"/>
      <w:outlineLvl w:val="0"/>
    </w:pPr>
    <w:rPr>
      <w:rFonts w:ascii="方正小标宋_GBK" w:hAnsi="方正小标宋_GBK" w:eastAsia="宋体"/>
      <w:b/>
      <w:sz w:val="32"/>
      <w:szCs w:val="44"/>
    </w:rPr>
  </w:style>
  <w:style w:type="paragraph" w:styleId="4">
    <w:name w:val="heading 2"/>
    <w:basedOn w:val="1"/>
    <w:next w:val="1"/>
    <w:link w:val="13"/>
    <w:semiHidden/>
    <w:unhideWhenUsed/>
    <w:qFormat/>
    <w:uiPriority w:val="0"/>
    <w:pPr>
      <w:snapToGrid w:val="0"/>
      <w:spacing w:line="360" w:lineRule="auto"/>
      <w:ind w:right="142"/>
      <w:jc w:val="center"/>
      <w:outlineLvl w:val="1"/>
    </w:pPr>
    <w:rPr>
      <w:rFonts w:ascii="黑体" w:hAnsi="黑体" w:eastAsia="宋体" w:cs="黑体"/>
      <w:b/>
      <w:bCs/>
      <w:sz w:val="28"/>
      <w:szCs w:val="32"/>
      <w:lang w:val="zh-CN" w:bidi="zh-CN"/>
    </w:rPr>
  </w:style>
  <w:style w:type="paragraph" w:styleId="5">
    <w:name w:val="heading 3"/>
    <w:basedOn w:val="1"/>
    <w:next w:val="1"/>
    <w:link w:val="14"/>
    <w:semiHidden/>
    <w:unhideWhenUsed/>
    <w:qFormat/>
    <w:uiPriority w:val="0"/>
    <w:pPr>
      <w:keepNext/>
      <w:keepLines/>
      <w:spacing w:before="260" w:after="260" w:line="240" w:lineRule="auto"/>
      <w:outlineLvl w:val="2"/>
    </w:pPr>
    <w:rPr>
      <w:rFonts w:ascii="Calibri" w:hAnsi="Calibri" w:eastAsia="宋体" w:cs="Times New Roman"/>
      <w:b/>
      <w:bCs/>
      <w:kern w:val="2"/>
      <w:sz w:val="24"/>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qFormat/>
    <w:uiPriority w:val="0"/>
    <w:pPr>
      <w:spacing w:after="120" w:afterLines="0" w:afterAutospacing="0"/>
    </w:pPr>
  </w:style>
  <w:style w:type="paragraph" w:styleId="7">
    <w:name w:val="Body Text Indent"/>
    <w:basedOn w:val="1"/>
    <w:qFormat/>
    <w:uiPriority w:val="0"/>
    <w:pPr>
      <w:spacing w:after="120" w:afterLines="0" w:afterAutospacing="0"/>
      <w:ind w:left="420" w:leftChars="200"/>
    </w:pPr>
  </w:style>
  <w:style w:type="paragraph" w:styleId="8">
    <w:name w:val="Body Text First Indent"/>
    <w:basedOn w:val="6"/>
    <w:qFormat/>
    <w:uiPriority w:val="0"/>
    <w:pPr>
      <w:ind w:firstLine="420" w:firstLineChars="100"/>
    </w:pPr>
  </w:style>
  <w:style w:type="paragraph" w:styleId="9">
    <w:name w:val="Body Text First Indent 2"/>
    <w:basedOn w:val="7"/>
    <w:qFormat/>
    <w:uiPriority w:val="0"/>
    <w:pPr>
      <w:ind w:firstLine="420" w:firstLineChars="200"/>
    </w:pPr>
  </w:style>
  <w:style w:type="character" w:customStyle="1" w:styleId="12">
    <w:name w:val="标题 1 Char"/>
    <w:link w:val="3"/>
    <w:qFormat/>
    <w:uiPriority w:val="0"/>
    <w:rPr>
      <w:rFonts w:ascii="方正小标宋_GBK" w:hAnsi="方正小标宋_GBK" w:eastAsia="宋体"/>
      <w:b/>
      <w:kern w:val="2"/>
      <w:sz w:val="32"/>
    </w:rPr>
  </w:style>
  <w:style w:type="character" w:customStyle="1" w:styleId="13">
    <w:name w:val="标题 2 Char"/>
    <w:link w:val="4"/>
    <w:qFormat/>
    <w:uiPriority w:val="9"/>
    <w:rPr>
      <w:rFonts w:ascii="楷体" w:hAnsi="楷体" w:eastAsia="宋体" w:cs="Times New Roman"/>
      <w:b/>
      <w:bCs/>
      <w:kern w:val="2"/>
      <w:sz w:val="24"/>
      <w:szCs w:val="32"/>
      <w:lang w:val="zh-CN" w:eastAsia="zh-CN" w:bidi="zh-CN"/>
    </w:rPr>
  </w:style>
  <w:style w:type="character" w:customStyle="1" w:styleId="14">
    <w:name w:val="标题 3 Char"/>
    <w:link w:val="5"/>
    <w:qFormat/>
    <w:uiPriority w:val="0"/>
    <w:rPr>
      <w:rFonts w:ascii="Calibri" w:hAnsi="Calibri" w:eastAsia="宋体" w:cs="Times New Roman"/>
      <w:b/>
      <w:bCs/>
      <w:color w:val="000000"/>
      <w:kern w:val="2"/>
      <w:sz w:val="28"/>
      <w:szCs w:val="24"/>
      <w:shd w:val="clear" w:color="auto" w:fill="auto"/>
      <w:lang w:eastAsia="en-US" w:bidi="en-US"/>
    </w:rPr>
  </w:style>
  <w:style w:type="paragraph" w:customStyle="1" w:styleId="15">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901</Words>
  <Characters>911</Characters>
  <Lines>0</Lines>
  <Paragraphs>0</Paragraphs>
  <TotalTime>0</TotalTime>
  <ScaleCrop>false</ScaleCrop>
  <LinksUpToDate>false</LinksUpToDate>
  <CharactersWithSpaces>911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2022-05-20T01:08:00Z</dcterms:created>
  <dc:creator>Administrator</dc:creator>
  <cp:lastModifiedBy>马倩</cp:lastModifiedBy>
  <dcterms:modified xsi:type="dcterms:W3CDTF">2025-12-15T08:51:11Z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145AA331C0E3454381DAE12B74F13A48</vt:lpwstr>
  </property>
  <property fmtid="{D5CDD505-2E9C-101B-9397-08002B2CF9AE}" pid="4" name="KSOTemplateDocerSaveRecord">
    <vt:lpwstr>eyJoZGlkIjoiNGJkNDU3MWU2YWFlZTdkZWNhNTQ2ZTRmNmI3N2MxMGEiLCJ1c2VySWQiOiIzOTI2Mzc2MDAifQ==</vt:lpwstr>
  </property>
</Properties>
</file>