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51E68">
      <w:pPr>
        <w:pStyle w:val="2"/>
        <w:numPr>
          <w:numId w:val="0"/>
        </w:numPr>
        <w:spacing w:line="360" w:lineRule="auto"/>
        <w:ind w:leftChars="0"/>
        <w:jc w:val="center"/>
        <w:rPr>
          <w:rFonts w:ascii="宋体" w:hAnsi="宋体"/>
          <w:sz w:val="32"/>
        </w:rPr>
      </w:pPr>
      <w:bookmarkStart w:id="0" w:name="_Toc11592"/>
      <w:bookmarkStart w:id="1" w:name="_Toc3829"/>
      <w:bookmarkStart w:id="20" w:name="_GoBack"/>
      <w:bookmarkEnd w:id="20"/>
      <w:r>
        <w:rPr>
          <w:rFonts w:hint="eastAsia" w:ascii="宋体" w:hAnsi="宋体"/>
          <w:sz w:val="32"/>
        </w:rPr>
        <w:t>采购内容及要求</w:t>
      </w:r>
      <w:bookmarkEnd w:id="0"/>
      <w:bookmarkEnd w:id="1"/>
    </w:p>
    <w:p w14:paraId="7C62C7C6">
      <w:pPr>
        <w:numPr>
          <w:ilvl w:val="0"/>
          <w:numId w:val="2"/>
        </w:numPr>
        <w:outlineLvl w:val="1"/>
        <w:rPr>
          <w:b/>
          <w:bCs/>
        </w:rPr>
      </w:pPr>
      <w:bookmarkStart w:id="2" w:name="_Toc7883"/>
      <w:bookmarkStart w:id="3" w:name="_Toc18099"/>
      <w:r>
        <w:rPr>
          <w:rFonts w:hint="eastAsia"/>
          <w:b/>
          <w:bCs/>
        </w:rPr>
        <w:t>项目概况</w:t>
      </w:r>
      <w:bookmarkEnd w:id="2"/>
      <w:bookmarkEnd w:id="3"/>
    </w:p>
    <w:p w14:paraId="3D7BF56F">
      <w:pPr>
        <w:pStyle w:val="4"/>
        <w:numPr>
          <w:ilvl w:val="0"/>
          <w:numId w:val="0"/>
        </w:numPr>
      </w:pPr>
      <w:bookmarkStart w:id="4" w:name="_Toc29840"/>
      <w:bookmarkStart w:id="5" w:name="_Toc3866"/>
      <w:bookmarkStart w:id="6" w:name="_Toc29857"/>
      <w:r>
        <w:rPr>
          <w:rFonts w:hint="eastAsia"/>
        </w:rPr>
        <w:t>（一）建设</w:t>
      </w:r>
      <w:bookmarkEnd w:id="4"/>
      <w:r>
        <w:rPr>
          <w:rFonts w:hint="eastAsia"/>
        </w:rPr>
        <w:t>背景</w:t>
      </w:r>
      <w:bookmarkEnd w:id="5"/>
      <w:bookmarkEnd w:id="6"/>
    </w:p>
    <w:p w14:paraId="2AAB00DD">
      <w:pPr>
        <w:ind w:firstLine="480" w:firstLineChars="200"/>
        <w:rPr>
          <w:rFonts w:ascii="宋体" w:hAnsi="宋体" w:cs="宋体"/>
        </w:rPr>
      </w:pPr>
      <w:r>
        <w:rPr>
          <w:rFonts w:hint="eastAsia" w:ascii="宋体" w:hAnsi="宋体" w:cs="宋体"/>
        </w:rPr>
        <w:t>随着我校网络规模的快速扩张及数字化校园建设需求，现需采购一台专业DHCP服务器及一台DNS服务器，以解决当前网络架构中存在的核心隐患并提升整体服务水平。</w:t>
      </w:r>
    </w:p>
    <w:p w14:paraId="7BB6ED17">
      <w:pPr>
        <w:ind w:firstLine="480" w:firstLineChars="200"/>
        <w:rPr>
          <w:rFonts w:ascii="宋体" w:hAnsi="宋体" w:cs="宋体"/>
        </w:rPr>
      </w:pPr>
      <w:r>
        <w:rPr>
          <w:rFonts w:hint="eastAsia" w:ascii="宋体" w:hAnsi="宋体" w:cs="宋体"/>
        </w:rPr>
        <w:t>目前，我校基础网络网络服务DNS依赖于单机的DNS设备；DHCP服务使用核心交换设备附带的简易DHCP功能。随着师生移动终端与物联网设备数量激增，DNS与DHCP原始架构负荷较大。其弊端集中表现为：DNS服务存在严重的单点故障风险，一旦该设备故障，将导致全校域名解析服务中断，严重影响教学、科研及日常办公；基础交换设备的DHCP功能在IP地址管理的精细化、可视化、安全性和稳定性上存在明显不足，会导致IP地址分配混乱、偶发冲突等问题，影响了用户的网络体验，并为校园网安全埋下隐患。</w:t>
      </w:r>
    </w:p>
    <w:p w14:paraId="37FF65B0">
      <w:pPr>
        <w:pStyle w:val="4"/>
        <w:numPr>
          <w:ilvl w:val="2"/>
          <w:numId w:val="0"/>
        </w:numPr>
        <w:rPr>
          <w:rFonts w:ascii="宋体" w:hAnsi="宋体" w:cs="宋体"/>
          <w:szCs w:val="24"/>
        </w:rPr>
      </w:pPr>
      <w:bookmarkStart w:id="7" w:name="_Toc9068"/>
      <w:bookmarkStart w:id="8" w:name="_Toc19243"/>
      <w:bookmarkStart w:id="9" w:name="_Toc20789"/>
      <w:bookmarkStart w:id="10" w:name="_Toc27794"/>
      <w:r>
        <w:rPr>
          <w:rFonts w:hint="eastAsia" w:ascii="宋体" w:hAnsi="宋体" w:cs="宋体"/>
          <w:szCs w:val="24"/>
        </w:rPr>
        <w:t>（二）建设目标</w:t>
      </w:r>
      <w:bookmarkEnd w:id="7"/>
      <w:bookmarkEnd w:id="8"/>
      <w:bookmarkEnd w:id="9"/>
      <w:bookmarkEnd w:id="10"/>
    </w:p>
    <w:p w14:paraId="5600DE2D">
      <w:pPr>
        <w:ind w:firstLine="480" w:firstLineChars="200"/>
        <w:rPr>
          <w:rFonts w:ascii="宋体" w:hAnsi="宋体" w:cs="宋体"/>
        </w:rPr>
      </w:pPr>
      <w:r>
        <w:rPr>
          <w:rFonts w:hint="eastAsia" w:ascii="宋体" w:hAnsi="宋体" w:cs="宋体"/>
        </w:rPr>
        <w:t>此次采购旨在构建面向校园全场景应用的、健壮、高效、可管可控的专业化网络基础服务平台。通过部署专业的DNS与DHCP核心网络服务设备，实现“地址自动化管理+智能解析调度+可视化运维+IPv6深度支持”的整体目标，为学校科研教学、校园管理、智慧校园应用提供长期可靠的基础技术支撑。</w:t>
      </w:r>
    </w:p>
    <w:p w14:paraId="5332052C">
      <w:pPr>
        <w:ind w:firstLine="480" w:firstLineChars="200"/>
        <w:rPr>
          <w:rFonts w:ascii="宋体" w:hAnsi="宋体" w:cs="宋体"/>
        </w:rPr>
      </w:pPr>
      <w:r>
        <w:rPr>
          <w:rFonts w:hint="eastAsia" w:ascii="宋体" w:hAnsi="宋体" w:cs="宋体"/>
        </w:rPr>
        <w:t>在DNS体系建设方面，新设备将与现有DNS设备进行融合部署，构建统一管理、高可靠解析架构。依托智能DNS的多链路调度能力，与互联网出口设备联动，实现IPv4/IPv6双栈环境下跨运营商链路的智能选路与流量优化，从而在多运营商带宽资源不均衡或出现某链路断路的情况下显著改善访问体验并保持解析不中断，保障校园网关键业务的持续、稳定运行。同时，借助域名解析系统的拨测能力，对境外学术资源访问质量进行监测与智能优化，提升国际教育与科研资源的访问效率和稳定性。通过DNS数据分析构建域名系统的可观测能力，实现对DNS解析异常的快速识别和精准定位，有效区分普通网络故障，缩短故障处理时间，增强网络核心服务的韧性与可用性。</w:t>
      </w:r>
      <w:bookmarkStart w:id="11" w:name="OLE_LINK2"/>
      <w:r>
        <w:rPr>
          <w:rFonts w:hint="eastAsia" w:ascii="宋体" w:hAnsi="宋体" w:cs="宋体"/>
        </w:rPr>
        <w:t>同时联动威胁域名情报库，实现对校园网内挖矿、勒索病毒、赌博等非法域名访问的精准拦截，确保威胁域名访问不出校园网，也可做到精准溯源，保障校园网络安全。</w:t>
      </w:r>
    </w:p>
    <w:bookmarkEnd w:id="11"/>
    <w:p w14:paraId="18C57A9E">
      <w:pPr>
        <w:ind w:firstLine="480" w:firstLineChars="200"/>
        <w:rPr>
          <w:rFonts w:ascii="宋体" w:hAnsi="宋体" w:cs="宋体"/>
        </w:rPr>
      </w:pPr>
      <w:r>
        <w:rPr>
          <w:rFonts w:hint="eastAsia" w:ascii="宋体" w:hAnsi="宋体" w:cs="宋体"/>
        </w:rPr>
        <w:t>在IP地址管理方面，引入专业化的DHCP设备，实现对IPv4与IPv6地址的统一规划与集中管理。通过系统层次化、语义化的IPv6编码规则，并提供直观的可视化管理界面、权限分级控制、使用记录追踪及IP地址全生命周期管理功能，显著减少人工干预和维护工作量，提高管理效率。通过定制开发，实现与现有认证计费系统协同对接，有效解决IPv6使用中可能出现的网速下降、访问不稳定等问题，并实现对终端分配多个运营IPv6地址，确保满足国家“去NAT”要求下的多出口链路调度。同时，通过实时状态监控与结构化可视化展示，管理人员可以清晰掌握各网段、各类型终端的地址使用情况，减少配置错误和冲突风险，提升校园网运行的稳定性和管理效率。</w:t>
      </w:r>
    </w:p>
    <w:p w14:paraId="4E76D9FB">
      <w:pPr>
        <w:ind w:firstLine="480" w:firstLineChars="200"/>
        <w:rPr>
          <w:rFonts w:ascii="宋体" w:hAnsi="宋体" w:cs="宋体"/>
        </w:rPr>
      </w:pPr>
      <w:r>
        <w:rPr>
          <w:rFonts w:hint="eastAsia" w:ascii="宋体" w:hAnsi="宋体" w:cs="宋体"/>
        </w:rPr>
        <w:t>在综合管理与运维能力上，与学校 “一网通办” 系统深度对接并开展定制化功能开发，实现域名与 IP 地址全生命周期、全流程在线管理，为智慧校园业务的自动化运转、规范化推进及审计可追溯提供坚实支撑。同时，搭建统一可视化大屏，面向网络中心、运维管理、应急保障等核心场景，集中展示网络运行状态、故障告警、地址使用率、IT 资产及安全风险等关键指标，全面达成网络运行的可视、可管、可控。</w:t>
      </w:r>
    </w:p>
    <w:p w14:paraId="70222F44">
      <w:pPr>
        <w:ind w:firstLine="480" w:firstLineChars="200"/>
        <w:rPr>
          <w:rFonts w:ascii="宋体" w:hAnsi="宋体" w:cs="宋体"/>
        </w:rPr>
      </w:pPr>
      <w:r>
        <w:rPr>
          <w:rFonts w:hint="eastAsia" w:ascii="宋体" w:hAnsi="宋体" w:cs="宋体"/>
        </w:rPr>
        <w:t>本次建设将使学校网络服务能力从“可用”迈向“稳定、安全、智能、可运营”。通过统一平台、集中管理、可视化展示和高可用架构，全面提升网络服务质量、科研教学体验、管理效率与运维水平，为未来IPv6深度应用、智慧校园建设和网络安全体系升级奠定坚实基础。</w:t>
      </w:r>
    </w:p>
    <w:p w14:paraId="63E80975">
      <w:pPr>
        <w:numPr>
          <w:ilvl w:val="0"/>
          <w:numId w:val="2"/>
        </w:numPr>
        <w:outlineLvl w:val="1"/>
        <w:rPr>
          <w:b/>
          <w:bCs/>
        </w:rPr>
      </w:pPr>
      <w:bookmarkStart w:id="12" w:name="_Toc27308"/>
      <w:bookmarkStart w:id="13" w:name="_Toc18829"/>
      <w:r>
        <w:rPr>
          <w:rFonts w:hint="eastAsia"/>
          <w:b/>
          <w:bCs/>
        </w:rPr>
        <w:t>技术要求</w:t>
      </w:r>
      <w:bookmarkEnd w:id="12"/>
      <w:bookmarkEnd w:id="13"/>
    </w:p>
    <w:p w14:paraId="24F89AD1">
      <w:pPr>
        <w:pStyle w:val="4"/>
        <w:numPr>
          <w:ilvl w:val="0"/>
          <w:numId w:val="0"/>
        </w:numPr>
      </w:pPr>
      <w:bookmarkStart w:id="14" w:name="_Toc24829"/>
      <w:bookmarkStart w:id="15" w:name="_Toc12986"/>
      <w:r>
        <w:rPr>
          <w:rFonts w:hint="eastAsia"/>
        </w:rPr>
        <w:t>（一）DNS智能解析</w:t>
      </w:r>
      <w:bookmarkEnd w:id="14"/>
      <w:bookmarkEnd w:id="15"/>
    </w:p>
    <w:p w14:paraId="0B09C0A2">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1.CPU：国产化处理器；内存≥16GB；磁盘空间≥2TB*2；网口≥10个10/100/1000M电口，≥2个万兆光口；电源：提供交流冗余电源，支持热插拔；系统具备系统级、软件功能级冗余备份能力，QPS：不少于100000，支持HA部署。</w:t>
      </w:r>
    </w:p>
    <w:p w14:paraId="4CF373C9">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2.支持标准DNS协议，记录类型支持A、AAAA、PTR、CNAME、MX、NS、TXT、SOA等类型。</w:t>
      </w:r>
    </w:p>
    <w:p w14:paraId="7FCAF548">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3.支持校内核心业务系统域名的安全防护，管理员在执行相关业务操作时，可通过增强提示或禁止变更来规避误操作，以达到保护域名的效果。</w:t>
      </w:r>
    </w:p>
    <w:p w14:paraId="2583B4D3">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4.递归查询支持First/WRR、Only/WRR等多种转发方式；支持对运营商DNS服务器进行健康检查，支持以NS域名方式作为转发目的。</w:t>
      </w:r>
    </w:p>
    <w:p w14:paraId="03E10869">
      <w:pPr>
        <w:pStyle w:val="22"/>
        <w:tabs>
          <w:tab w:val="left" w:pos="0"/>
          <w:tab w:val="left" w:pos="993"/>
          <w:tab w:val="left" w:pos="1134"/>
        </w:tabs>
        <w:spacing w:after="0" w:line="360" w:lineRule="auto"/>
        <w:ind w:left="0" w:leftChars="0" w:firstLine="480"/>
        <w:rPr>
          <w:rFonts w:ascii="宋体" w:hAnsi="宋体" w:cs="宋体"/>
          <w:color w:val="0000FF"/>
          <w:sz w:val="24"/>
        </w:rPr>
      </w:pPr>
      <w:r>
        <w:rPr>
          <w:rFonts w:hint="eastAsia" w:ascii="宋体" w:hAnsi="宋体" w:cs="宋体"/>
          <w:sz w:val="24"/>
        </w:rPr>
        <w:t>5.▲具备智能DNS能力，业务系统健康监测方式不低于15种，支持DNS负载均衡算法不低于9种，包括但不限于动态就近性、多维度可用性算法、静态保持算法等实现最优解析，支持会话保持功能。提供生产厂家确认的、相应的功能证明材料（包括但不限于测试报告、官网和功能截图）。</w:t>
      </w:r>
    </w:p>
    <w:p w14:paraId="3F8298C5">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6.具备隧道攻击防护，可根据防护模式、阻断策略、双因子匹配、动态阻断有效期（秒）、监测统计周期（秒）、最大监测会话数、最大监测区数量等进行设置防护策略。</w:t>
      </w:r>
    </w:p>
    <w:p w14:paraId="1EB6798A">
      <w:pPr>
        <w:pStyle w:val="22"/>
        <w:tabs>
          <w:tab w:val="left" w:pos="0"/>
          <w:tab w:val="left" w:pos="993"/>
          <w:tab w:val="left" w:pos="1134"/>
        </w:tabs>
        <w:spacing w:after="0" w:line="360" w:lineRule="auto"/>
        <w:ind w:left="0" w:leftChars="0" w:firstLine="480"/>
        <w:rPr>
          <w:rFonts w:ascii="宋体" w:hAnsi="宋体" w:cs="宋体"/>
          <w:color w:val="0000FF"/>
          <w:sz w:val="24"/>
        </w:rPr>
      </w:pPr>
      <w:r>
        <w:rPr>
          <w:rFonts w:hint="eastAsia" w:ascii="宋体" w:hAnsi="宋体" w:cs="宋体"/>
          <w:sz w:val="24"/>
        </w:rPr>
        <w:t>7.▲在智能DNS负载均衡调度场景下，支持配置业务解析失败应答策略包括但不限于动态兜底解析、静态兜底解析、无记录、无域名、丢弃等策略，提升异常场景下的容错率。提供生产厂家确认的、相应的功能证明材料（包括但不限于测试报告、官网和功能截图）。</w:t>
      </w:r>
    </w:p>
    <w:p w14:paraId="0BDD310A">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8.配置不少于1万条静态域名解析记录，压力测试单台设备的解析性能情况，在QPS解析性能参数达到10万时，要求：连续发起10次域名解析请求，每次解析延时不超过1ms；日志查询检索时间是小于10s；</w:t>
      </w:r>
    </w:p>
    <w:p w14:paraId="6102405F">
      <w:pPr>
        <w:pStyle w:val="22"/>
        <w:tabs>
          <w:tab w:val="left" w:pos="0"/>
          <w:tab w:val="left" w:pos="993"/>
          <w:tab w:val="left" w:pos="1134"/>
        </w:tabs>
        <w:spacing w:after="0" w:line="360" w:lineRule="auto"/>
        <w:ind w:left="0" w:leftChars="0" w:firstLine="480"/>
        <w:rPr>
          <w:rFonts w:ascii="宋体" w:hAnsi="宋体" w:cs="宋体"/>
          <w:color w:val="0000FF"/>
          <w:sz w:val="24"/>
        </w:rPr>
      </w:pPr>
      <w:r>
        <w:rPr>
          <w:rFonts w:hint="eastAsia" w:ascii="宋体" w:hAnsi="宋体" w:cs="宋体"/>
          <w:sz w:val="24"/>
        </w:rPr>
        <w:t>9.▲可以监测防御 DDoS 反射攻击、源IPDDoS 攻击、DNS 畸形包 DDoS 攻击、UDP Flood攻击、TCP Flood 攻击、SYN Flood 攻击、ICMP Flood 攻击的 DNS DDoS 攻击，支持根据业务需求自定义限速阈值，并能提供相应的告警和攻击流量统计。提供生产厂家确认的、相应的功能证明材料（包括但不限于测试报告、官网和功能截图）</w:t>
      </w:r>
    </w:p>
    <w:p w14:paraId="5B5110EA">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10.对校内热点域名进行响应延迟探测，根据探测结果自动定期更新选路策略，优化整体访问质量和速度。</w:t>
      </w:r>
    </w:p>
    <w:p w14:paraId="69368009">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11.▲具备SM3国密算法进行DNS 数据更新与存储。</w:t>
      </w:r>
      <w:r>
        <w:rPr>
          <w:rFonts w:hint="eastAsia"/>
        </w:rPr>
        <w:t>提供生产厂家确认的、相应的功能证明材料（包括但不限于测试报告、官网和功能截图）</w:t>
      </w:r>
    </w:p>
    <w:p w14:paraId="5B48AB2A">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12.▲完成与我校现有DNS系统数据对接，集中下发DNS配置数据（现有DNS系统支持全API接口，可开发，但不能改变现有应用架构,现有ZDNS T5100-SD，1U硬件平台标准DNS设备，Intel处理器，8G内存，8万QPS，提供标准API接口。）。</w:t>
      </w:r>
    </w:p>
    <w:p w14:paraId="1ACB9BC5">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13.▲DNS节点支持实时同步云端威胁情报平台的威胁情报数据，数据同步支持加密，并能保证各DNS节点数据一致性。</w:t>
      </w:r>
    </w:p>
    <w:p w14:paraId="6DE4D02B">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14.以上功能要求投标完成后三天内可由甲方组织测试验证，产品经过测试验证的视为满足，未经过测试验证的视为不满足，甲方可单方面终止合同。</w:t>
      </w:r>
    </w:p>
    <w:p w14:paraId="22E29FD2">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15.数量1台；原厂软硬件质保3年</w:t>
      </w:r>
    </w:p>
    <w:p w14:paraId="4F270EBE">
      <w:pPr>
        <w:pStyle w:val="4"/>
        <w:numPr>
          <w:ilvl w:val="2"/>
          <w:numId w:val="0"/>
        </w:numPr>
        <w:spacing w:before="0" w:after="0"/>
      </w:pPr>
      <w:bookmarkStart w:id="16" w:name="_Toc19273"/>
      <w:bookmarkStart w:id="17" w:name="_Toc20408"/>
      <w:r>
        <w:rPr>
          <w:rFonts w:hint="eastAsia"/>
        </w:rPr>
        <w:t>（二）DHCP地址分配管理</w:t>
      </w:r>
      <w:bookmarkEnd w:id="16"/>
      <w:bookmarkEnd w:id="17"/>
    </w:p>
    <w:p w14:paraId="22ADB262">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1.CPU：国产化处理器；内存≥16GB；磁盘空间≥2TB*2；网口≥10个10/100/1000M电口，≥2个万兆光口；电源：提供交流冗余电源，支持热插拔；系统具备系统级、软件功能级冗余备份能力，LPS：不少于1500，DHCP容量:不低于8万，支持HA部署。</w:t>
      </w:r>
    </w:p>
    <w:p w14:paraId="2F1B55B8">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2.具备IPV4/IPv6 DHCP Failover技术，提供DHCP服务异地灾备的功能，当一台异常时另外一台支持一键接管全部租赁服务，支持调整MCLT和负载比例</w:t>
      </w:r>
    </w:p>
    <w:p w14:paraId="1B10E02A">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3.具备对地址池进行分组，方便根据使用目的不同进行地址池归类管理支持对地址池进行分组，方便根据使用目的不同进行地址池归类管理，支持手动创建分组和基于自定义属性自动分组两种方式，并以可视化图形方式展示分组信息。</w:t>
      </w:r>
    </w:p>
    <w:p w14:paraId="61D08FC7">
      <w:pPr>
        <w:pStyle w:val="22"/>
        <w:tabs>
          <w:tab w:val="left" w:pos="0"/>
          <w:tab w:val="left" w:pos="993"/>
          <w:tab w:val="left" w:pos="1134"/>
        </w:tabs>
        <w:spacing w:after="0" w:line="360" w:lineRule="auto"/>
        <w:ind w:left="0" w:leftChars="0" w:firstLine="480"/>
        <w:rPr>
          <w:rFonts w:ascii="宋体" w:hAnsi="宋体" w:cs="宋体"/>
          <w:color w:val="FF0000"/>
          <w:sz w:val="24"/>
        </w:rPr>
      </w:pPr>
      <w:r>
        <w:rPr>
          <w:rFonts w:hint="eastAsia" w:ascii="宋体" w:hAnsi="宋体" w:cs="宋体"/>
          <w:sz w:val="24"/>
        </w:rPr>
        <w:t>4.▲具备IPv4-IPv6双栈地址分配，可将IPv4地址嵌入IPv6地址中实现双栈地址对应，支持通过IPv4地址快速查找对应的IPv6地址。提供生产厂家确认的、相应的功能证明材料（包括但不限于测试报告、官网和功能截图）</w:t>
      </w:r>
    </w:p>
    <w:p w14:paraId="3B5E4D66">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5.具备全局网络使用率、冲突地址条件、僵尸地址条件的自定义配置，可实时判断是否达到触发条件并告警。</w:t>
      </w:r>
    </w:p>
    <w:p w14:paraId="7A90FCA1">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6.▲具备创建IPv6地址规划方案，并绑定固定前缀，同时支持为不同的组织创建子方案并继承父方案空间规划；支持针对每个方案按位宽长度通过图形化拖拽方式规划连续的IPv6地址空间，每个空间用于标记业务类型；支持对每段地址空间配置对应的空间标识并为空间标识赋值，每个地址空间可配置多个空间标识，空间标识象征具体业务。提供生产厂家确认的、相应的功能证明材料（包括但不限于测试报告、官网和功能截图）。</w:t>
      </w:r>
    </w:p>
    <w:p w14:paraId="040AEF2D">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7.具备创建IPv4地址规划方案，每个方案绑定唯一的地址前缀，可结合组织架构、业务等维度进行IPv4地址规划；支持创建多级子网规划，通过选择子网的目标子网掩码拆分规划子网，可按照业务需求选择需要规划的子网，并配置关联备注信息；支持通过在地址台账中引用通过规划方案形成的IPv4网络，快捷完成网络创建，并关联规划的备注信息。</w:t>
      </w:r>
    </w:p>
    <w:p w14:paraId="05889C40">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8.具备通过SNMP凭证以网络扫描的方式发现网络中的所有的网络设备；支持SSH凭证用于联动网络设备下发绑定/阻断策略；支持查看网络设备的终端接口信息包括MAC地址、终端类型、IP地址、接口、VLAN等信息同时可进行即时刷新。</w:t>
      </w:r>
    </w:p>
    <w:p w14:paraId="57197565">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9.具备与AD、深澜、城市热点等第三方系统进行对接，允许信息同步至所有地址当中；支持与主流网络设备联动，对终端实现交换机阻断和端口绑定，且支持黑名单管理。</w:t>
      </w:r>
    </w:p>
    <w:p w14:paraId="0D805A6C">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10.▲具备DDI（DNS/DHCP/IPAM)拓展能力，能够在DNS设备异常后通过升级License服务接管DNS服务。提供生产厂家确认的、相应的功能证明材料（包括但不限于测试报告、官网和功能截图）</w:t>
      </w:r>
    </w:p>
    <w:p w14:paraId="507E6789">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11.具备通过配置下发能够实现DHCP地址的创建、分配、续租功能、支持 DHCP 固定、地址池、保留、僵尸地址等管理、支持IPv4及IPv6的DHCP Failover 部署方式、支持通过 Excel批量导入网络、IP、地址池等信息、支持语义模板方式按位宽规划网络。</w:t>
      </w:r>
    </w:p>
    <w:p w14:paraId="1F766325">
      <w:pPr>
        <w:pStyle w:val="22"/>
        <w:tabs>
          <w:tab w:val="left" w:pos="0"/>
          <w:tab w:val="left" w:pos="993"/>
          <w:tab w:val="left" w:pos="1134"/>
        </w:tabs>
        <w:spacing w:after="0" w:line="360" w:lineRule="auto"/>
        <w:ind w:left="0" w:leftChars="0" w:firstLine="480"/>
        <w:rPr>
          <w:rFonts w:ascii="宋体" w:hAnsi="宋体" w:cs="宋体"/>
          <w:color w:val="000000"/>
          <w:sz w:val="24"/>
          <w:highlight w:val="yellow"/>
        </w:rPr>
      </w:pPr>
      <w:r>
        <w:rPr>
          <w:rFonts w:hint="eastAsia" w:ascii="宋体" w:hAnsi="宋体" w:cs="宋体"/>
          <w:color w:val="000000"/>
          <w:sz w:val="24"/>
        </w:rPr>
        <w:t>12.</w:t>
      </w:r>
      <w:r>
        <w:rPr>
          <w:rFonts w:hint="eastAsia" w:ascii="宋体" w:hAnsi="宋体" w:cs="宋体"/>
          <w:sz w:val="24"/>
        </w:rPr>
        <w:t>▲具备</w:t>
      </w:r>
      <w:r>
        <w:rPr>
          <w:rFonts w:hint="eastAsia" w:ascii="宋体" w:hAnsi="宋体" w:cs="宋体"/>
          <w:color w:val="000000"/>
          <w:sz w:val="24"/>
        </w:rPr>
        <w:t>为终端同时分配来自多家运营商的IPv6地址，并实现多出口链路的智能调度与优化，保障网络访问的连续性与最优性能。提供生产厂家确认的、相应的功能证明材料（包括但不限于测试报告、官网和功能截图）</w:t>
      </w:r>
    </w:p>
    <w:p w14:paraId="0975DE93">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13.以上功能要求投标完成后三天内可由甲方组织测试验证，产品经过测试验证的视为满足，未经过测试验证的视为不满足，甲方可单方面终止合同。</w:t>
      </w:r>
    </w:p>
    <w:p w14:paraId="2A54B478">
      <w:pPr>
        <w:pStyle w:val="22"/>
        <w:tabs>
          <w:tab w:val="left" w:pos="0"/>
          <w:tab w:val="left" w:pos="993"/>
          <w:tab w:val="left" w:pos="1134"/>
        </w:tabs>
        <w:spacing w:after="0" w:line="360" w:lineRule="auto"/>
        <w:ind w:left="0" w:leftChars="0" w:firstLine="480"/>
        <w:rPr>
          <w:rFonts w:ascii="宋体" w:hAnsi="宋体" w:cs="宋体"/>
          <w:sz w:val="24"/>
        </w:rPr>
      </w:pPr>
      <w:r>
        <w:rPr>
          <w:rFonts w:hint="eastAsia" w:ascii="宋体" w:hAnsi="宋体" w:cs="宋体"/>
          <w:sz w:val="24"/>
        </w:rPr>
        <w:t>14.数量1台；原厂软硬件质保3年</w:t>
      </w:r>
    </w:p>
    <w:p w14:paraId="28E39843">
      <w:pPr>
        <w:pStyle w:val="4"/>
        <w:numPr>
          <w:ilvl w:val="2"/>
          <w:numId w:val="0"/>
        </w:numPr>
        <w:spacing w:before="0" w:after="0"/>
      </w:pPr>
      <w:bookmarkStart w:id="18" w:name="_Toc25925"/>
      <w:bookmarkStart w:id="19" w:name="_Toc24049"/>
      <w:r>
        <w:rPr>
          <w:rFonts w:hint="eastAsia"/>
        </w:rPr>
        <w:t>（三）</w:t>
      </w:r>
      <w:bookmarkEnd w:id="18"/>
      <w:r>
        <w:rPr>
          <w:rFonts w:hint="eastAsia"/>
        </w:rPr>
        <w:t>零信任服务要求</w:t>
      </w:r>
      <w:bookmarkEnd w:id="19"/>
    </w:p>
    <w:p w14:paraId="5EF72B83">
      <w:pPr>
        <w:pStyle w:val="22"/>
        <w:tabs>
          <w:tab w:val="left" w:pos="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1.支持IPV4/IPV6双栈网络IP配置，支持默认限制所有IP通过WAN口访问系统。</w:t>
      </w:r>
    </w:p>
    <w:p w14:paraId="555F0510">
      <w:pPr>
        <w:pStyle w:val="22"/>
        <w:tabs>
          <w:tab w:val="left" w:pos="0"/>
          <w:tab w:val="left" w:pos="27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2.支持通过隧道模式和WEB模式发布资源，其中WEB模式支持透明代理、智能改写等模式。</w:t>
      </w:r>
    </w:p>
    <w:p w14:paraId="204ECFD2">
      <w:pPr>
        <w:pStyle w:val="22"/>
        <w:tabs>
          <w:tab w:val="left" w:pos="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3.▲支持针对发布的WEB应用开启WEB水印，水印内容至少包括：用户名+当前年月日。提供生产厂家确认的、相应的功能证明材料（包括但不限于测试报告、官网和功能截图）。</w:t>
      </w:r>
    </w:p>
    <w:p w14:paraId="3CA3A33E">
      <w:pPr>
        <w:pStyle w:val="22"/>
        <w:tabs>
          <w:tab w:val="left" w:pos="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4.零信任客户端支持多种终端操作系统兼容，包括但不限于：Windows7/10/11、MacOS10/11/12、Ubuntu、Android、iOS、麒麟V10系统、统信V20系统，提供国产化系统厂商相互兼容性证明。</w:t>
      </w:r>
    </w:p>
    <w:p w14:paraId="2B72F5FC">
      <w:pPr>
        <w:pStyle w:val="22"/>
        <w:tabs>
          <w:tab w:val="left" w:pos="0"/>
          <w:tab w:val="left" w:pos="27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5.支持配置一个帐号在PC端和移动端分别绑定N个终端数量，可设置的数量范围为1~100；支持配置一个终端仅允许一个用户绑定；支持多因素认证，其中异常环境下需完成增强认证才可登录；支持自动锁定闲置账号（时长可自定义配置）。</w:t>
      </w:r>
    </w:p>
    <w:p w14:paraId="0A28DC63">
      <w:pPr>
        <w:pStyle w:val="22"/>
        <w:tabs>
          <w:tab w:val="left" w:pos="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6.支持通过组织架构、角色等方式进行本地用户管理；支持与外部用户管理服务器进行对接；支持批量导入/导出用户；配置不少于10万条弱密码规则。</w:t>
      </w:r>
    </w:p>
    <w:p w14:paraId="5CFD92D0">
      <w:pPr>
        <w:pStyle w:val="22"/>
        <w:tabs>
          <w:tab w:val="left" w:pos="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7.支持限定操作系统、接入IP、指定杀毒软件、用户登录时间等变量动控制态业务访问。</w:t>
      </w:r>
    </w:p>
    <w:p w14:paraId="308A206B">
      <w:pPr>
        <w:pStyle w:val="22"/>
        <w:tabs>
          <w:tab w:val="left" w:pos="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8.支持Web应用商店功能，可配置需认证/不经过认证访问Web应用商店。</w:t>
      </w:r>
    </w:p>
    <w:p w14:paraId="5D3D2475">
      <w:pPr>
        <w:pStyle w:val="22"/>
        <w:tabs>
          <w:tab w:val="left" w:pos="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9.支持UDP+TCP单包授权机制，UDP+TCP方式默认不开放端口；支持共享码和一人一码两种模式。</w:t>
      </w:r>
    </w:p>
    <w:p w14:paraId="71D70BDD">
      <w:pPr>
        <w:pStyle w:val="22"/>
        <w:tabs>
          <w:tab w:val="left" w:pos="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10.▲支持以私有DNS发布对外访问资源，支持管理员自主配置是否允许从具体网络区域（校园网网/互联网）接入时使用此私有DNS解析地址。需提供相应的佐证材料并加盖原厂公章。</w:t>
      </w:r>
    </w:p>
    <w:p w14:paraId="14F6BFEB">
      <w:pPr>
        <w:pStyle w:val="22"/>
        <w:tabs>
          <w:tab w:val="left" w:pos="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11.支持PC终端登录零信任客户端后，在特定的网络域下只能主动访问网络域对应的IP、IP范围、IP段、域名，且只能被限定的IP、IP范围、IP段访问。</w:t>
      </w:r>
    </w:p>
    <w:p w14:paraId="0C1D366B">
      <w:pPr>
        <w:pStyle w:val="22"/>
        <w:tabs>
          <w:tab w:val="left" w:pos="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12.支持终端环境诊断排查，提供终端诊断工具，支持对当前终端的基本环境进行扫描和一键修复。</w:t>
      </w:r>
    </w:p>
    <w:p w14:paraId="7EB98A34">
      <w:pPr>
        <w:pStyle w:val="22"/>
        <w:tabs>
          <w:tab w:val="left" w:pos="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13.支持对设备自身的安全状态和策略配置进行巡检，并输出巡检报告，支持下载。</w:t>
      </w:r>
    </w:p>
    <w:p w14:paraId="1BFCD52E">
      <w:pPr>
        <w:pStyle w:val="22"/>
        <w:tabs>
          <w:tab w:val="left" w:pos="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14.支持通过OPEN API的方式将零信任系统的能力开放给第三方业务系统进行调用配置。</w:t>
      </w:r>
    </w:p>
    <w:p w14:paraId="63F7BFC9">
      <w:pPr>
        <w:pStyle w:val="22"/>
        <w:tabs>
          <w:tab w:val="left" w:pos="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15.▲支持iOS、安卓、鸿蒙Next手机APP集成零信任SDK，支持通过管理平台上传原包应用进行自动封装。支持为已经集成零信任SDK并发布到安卓或iOS应用市场的公有化生态应用配置策略，使其具有零信任接入能力及数据防泄漏能力。需提供相应的佐证材料并加盖原厂公章。</w:t>
      </w:r>
    </w:p>
    <w:p w14:paraId="4ED8F9CA">
      <w:pPr>
        <w:pStyle w:val="22"/>
        <w:tabs>
          <w:tab w:val="left" w:pos="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16.配置≥100个零信任并发用户授权。</w:t>
      </w:r>
    </w:p>
    <w:p w14:paraId="34AF0934">
      <w:pPr>
        <w:pStyle w:val="22"/>
        <w:tabs>
          <w:tab w:val="left" w:pos="0"/>
          <w:tab w:val="left" w:pos="1134"/>
        </w:tabs>
        <w:spacing w:line="360" w:lineRule="auto"/>
        <w:ind w:left="480" w:leftChars="0" w:firstLine="480"/>
        <w:rPr>
          <w:rFonts w:ascii="宋体" w:hAnsi="宋体" w:cs="宋体"/>
          <w:color w:val="000000"/>
          <w:sz w:val="24"/>
        </w:rPr>
      </w:pPr>
      <w:r>
        <w:rPr>
          <w:rFonts w:hint="eastAsia" w:ascii="宋体" w:hAnsi="宋体" w:cs="宋体"/>
          <w:color w:val="000000"/>
          <w:sz w:val="24"/>
        </w:rPr>
        <w:t>17.在满足加密流量≥300Mbps，最大并发用户数≥400的情况下，提供具备的硬件环境：≥8个10/100/1000电口，≥2万兆光口SFP，内存大小≥16G，硬盘容量≥128G SSD。</w:t>
      </w:r>
    </w:p>
    <w:p w14:paraId="1434E46A">
      <w:pPr>
        <w:pStyle w:val="22"/>
        <w:tabs>
          <w:tab w:val="left" w:pos="0"/>
          <w:tab w:val="left" w:pos="993"/>
          <w:tab w:val="left" w:pos="1134"/>
        </w:tabs>
        <w:ind w:left="0" w:leftChars="0" w:firstLine="960" w:firstLineChars="400"/>
        <w:rPr>
          <w:rFonts w:ascii="宋体" w:hAnsi="宋体" w:cs="宋体"/>
          <w:color w:val="000000"/>
          <w:sz w:val="24"/>
        </w:rPr>
      </w:pPr>
      <w:r>
        <w:rPr>
          <w:rFonts w:hint="eastAsia" w:ascii="宋体" w:hAnsi="宋体" w:cs="宋体"/>
          <w:color w:val="000000"/>
          <w:sz w:val="24"/>
        </w:rPr>
        <w:t>18.原厂质保3年。</w:t>
      </w:r>
    </w:p>
    <w:p w14:paraId="1437BDD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9CFD3"/>
    <w:multiLevelType w:val="singleLevel"/>
    <w:tmpl w:val="C279CFD3"/>
    <w:lvl w:ilvl="0" w:tentative="0">
      <w:start w:val="1"/>
      <w:numFmt w:val="chineseCounting"/>
      <w:suff w:val="nothing"/>
      <w:lvlText w:val="%1、"/>
      <w:lvlJc w:val="left"/>
      <w:rPr>
        <w:rFonts w:hint="eastAsia"/>
      </w:rPr>
    </w:lvl>
  </w:abstractNum>
  <w:abstractNum w:abstractNumId="1">
    <w:nsid w:val="2E4C4A9A"/>
    <w:multiLevelType w:val="multilevel"/>
    <w:tmpl w:val="2E4C4A9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pStyle w:val="7"/>
      <w:suff w:val="nothing"/>
      <w:lvlText w:val=""/>
      <w:lvlJc w:val="left"/>
      <w:pPr>
        <w:tabs>
          <w:tab w:val="left" w:pos="0"/>
        </w:tabs>
        <w:ind w:left="0" w:firstLine="0"/>
      </w:pPr>
    </w:lvl>
    <w:lvl w:ilvl="6" w:tentative="0">
      <w:start w:val="1"/>
      <w:numFmt w:val="none"/>
      <w:pStyle w:val="8"/>
      <w:suff w:val="nothing"/>
      <w:lvlText w:val=""/>
      <w:lvlJc w:val="left"/>
      <w:pPr>
        <w:tabs>
          <w:tab w:val="left" w:pos="0"/>
        </w:tabs>
        <w:ind w:left="0" w:firstLine="0"/>
      </w:pPr>
    </w:lvl>
    <w:lvl w:ilvl="7" w:tentative="0">
      <w:start w:val="1"/>
      <w:numFmt w:val="none"/>
      <w:pStyle w:val="9"/>
      <w:suff w:val="nothing"/>
      <w:lvlText w:val=""/>
      <w:lvlJc w:val="left"/>
      <w:pPr>
        <w:tabs>
          <w:tab w:val="left" w:pos="0"/>
        </w:tabs>
        <w:ind w:left="0" w:firstLine="0"/>
      </w:pPr>
    </w:lvl>
    <w:lvl w:ilvl="8" w:tentative="0">
      <w:start w:val="1"/>
      <w:numFmt w:val="none"/>
      <w:pStyle w:val="10"/>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1689D"/>
    <w:rsid w:val="0030091A"/>
    <w:rsid w:val="008B2575"/>
    <w:rsid w:val="00DB32E3"/>
    <w:rsid w:val="0122477A"/>
    <w:rsid w:val="01642471"/>
    <w:rsid w:val="01895924"/>
    <w:rsid w:val="01901310"/>
    <w:rsid w:val="02935D81"/>
    <w:rsid w:val="04983E33"/>
    <w:rsid w:val="05E4328A"/>
    <w:rsid w:val="06A64813"/>
    <w:rsid w:val="06B06A0F"/>
    <w:rsid w:val="06C61DD8"/>
    <w:rsid w:val="07356D81"/>
    <w:rsid w:val="084E2544"/>
    <w:rsid w:val="08A27D3E"/>
    <w:rsid w:val="08CA027A"/>
    <w:rsid w:val="08E60174"/>
    <w:rsid w:val="099E7555"/>
    <w:rsid w:val="0AAB74A3"/>
    <w:rsid w:val="0B544018"/>
    <w:rsid w:val="0C497634"/>
    <w:rsid w:val="0C526E46"/>
    <w:rsid w:val="0CD932CC"/>
    <w:rsid w:val="0CFC3EA7"/>
    <w:rsid w:val="0D2F4AA3"/>
    <w:rsid w:val="0D8D4779"/>
    <w:rsid w:val="0E0E18EA"/>
    <w:rsid w:val="0ED778A8"/>
    <w:rsid w:val="0FB9496E"/>
    <w:rsid w:val="10042EA3"/>
    <w:rsid w:val="10727FC8"/>
    <w:rsid w:val="10772722"/>
    <w:rsid w:val="10BA5E5F"/>
    <w:rsid w:val="11C120F7"/>
    <w:rsid w:val="1256048E"/>
    <w:rsid w:val="1257460D"/>
    <w:rsid w:val="1266351F"/>
    <w:rsid w:val="12D772CA"/>
    <w:rsid w:val="12FC2C80"/>
    <w:rsid w:val="14125CD7"/>
    <w:rsid w:val="145041F2"/>
    <w:rsid w:val="147B5520"/>
    <w:rsid w:val="14A517BF"/>
    <w:rsid w:val="154752AC"/>
    <w:rsid w:val="15AA2B03"/>
    <w:rsid w:val="15E63261"/>
    <w:rsid w:val="16F54EDB"/>
    <w:rsid w:val="174370C9"/>
    <w:rsid w:val="17D252BA"/>
    <w:rsid w:val="17F17BA2"/>
    <w:rsid w:val="185F6706"/>
    <w:rsid w:val="188E3A9B"/>
    <w:rsid w:val="18A223F2"/>
    <w:rsid w:val="18C86714"/>
    <w:rsid w:val="18CD4B53"/>
    <w:rsid w:val="18DE63DD"/>
    <w:rsid w:val="18FE30F6"/>
    <w:rsid w:val="19042933"/>
    <w:rsid w:val="193B2D26"/>
    <w:rsid w:val="19DD0836"/>
    <w:rsid w:val="19E8711D"/>
    <w:rsid w:val="1A614BC8"/>
    <w:rsid w:val="1A880F5D"/>
    <w:rsid w:val="1AB62BAE"/>
    <w:rsid w:val="1B44340C"/>
    <w:rsid w:val="1BB204B7"/>
    <w:rsid w:val="1BDC4741"/>
    <w:rsid w:val="1C1414EC"/>
    <w:rsid w:val="1C225F9F"/>
    <w:rsid w:val="1D181F30"/>
    <w:rsid w:val="1D3344B9"/>
    <w:rsid w:val="1E663172"/>
    <w:rsid w:val="1F0E2B86"/>
    <w:rsid w:val="1F3642C6"/>
    <w:rsid w:val="1F601FBE"/>
    <w:rsid w:val="206A183A"/>
    <w:rsid w:val="20720677"/>
    <w:rsid w:val="23622162"/>
    <w:rsid w:val="238245F2"/>
    <w:rsid w:val="23A45F21"/>
    <w:rsid w:val="24B03759"/>
    <w:rsid w:val="25774EEE"/>
    <w:rsid w:val="25BC70EA"/>
    <w:rsid w:val="25CA10DB"/>
    <w:rsid w:val="269E3F9C"/>
    <w:rsid w:val="26A81D32"/>
    <w:rsid w:val="26B3022A"/>
    <w:rsid w:val="26E74871"/>
    <w:rsid w:val="270C4509"/>
    <w:rsid w:val="27756A38"/>
    <w:rsid w:val="27B05B28"/>
    <w:rsid w:val="281D66F4"/>
    <w:rsid w:val="28611463"/>
    <w:rsid w:val="28914C16"/>
    <w:rsid w:val="2910443B"/>
    <w:rsid w:val="299023C6"/>
    <w:rsid w:val="29CE3CF8"/>
    <w:rsid w:val="2A526E4B"/>
    <w:rsid w:val="2B5621F6"/>
    <w:rsid w:val="2B696B30"/>
    <w:rsid w:val="2C267465"/>
    <w:rsid w:val="2C71689D"/>
    <w:rsid w:val="2D002460"/>
    <w:rsid w:val="2D393894"/>
    <w:rsid w:val="2D4927C2"/>
    <w:rsid w:val="2E5363CC"/>
    <w:rsid w:val="2E5D3029"/>
    <w:rsid w:val="2EC92CDF"/>
    <w:rsid w:val="2F9D0391"/>
    <w:rsid w:val="30624432"/>
    <w:rsid w:val="30FD598A"/>
    <w:rsid w:val="312F01A6"/>
    <w:rsid w:val="31AA6943"/>
    <w:rsid w:val="31E079BB"/>
    <w:rsid w:val="31F5271A"/>
    <w:rsid w:val="32034FD9"/>
    <w:rsid w:val="32056A2F"/>
    <w:rsid w:val="321253A2"/>
    <w:rsid w:val="324029C4"/>
    <w:rsid w:val="3255145A"/>
    <w:rsid w:val="325D7875"/>
    <w:rsid w:val="32B8068C"/>
    <w:rsid w:val="332532F7"/>
    <w:rsid w:val="33922D90"/>
    <w:rsid w:val="33A35879"/>
    <w:rsid w:val="34060359"/>
    <w:rsid w:val="34435D28"/>
    <w:rsid w:val="34763666"/>
    <w:rsid w:val="354F77D2"/>
    <w:rsid w:val="375955DE"/>
    <w:rsid w:val="38137AD8"/>
    <w:rsid w:val="39073866"/>
    <w:rsid w:val="39340367"/>
    <w:rsid w:val="39C04C69"/>
    <w:rsid w:val="39F7221A"/>
    <w:rsid w:val="3A282FB0"/>
    <w:rsid w:val="3A3E57B0"/>
    <w:rsid w:val="3A4F0BDB"/>
    <w:rsid w:val="3A5405D4"/>
    <w:rsid w:val="3AF9432F"/>
    <w:rsid w:val="3B543581"/>
    <w:rsid w:val="3B576B35"/>
    <w:rsid w:val="3BC64B80"/>
    <w:rsid w:val="3BDD58AD"/>
    <w:rsid w:val="3C17210D"/>
    <w:rsid w:val="3C327268"/>
    <w:rsid w:val="3C460C02"/>
    <w:rsid w:val="3E047890"/>
    <w:rsid w:val="3E864749"/>
    <w:rsid w:val="3E8A65A4"/>
    <w:rsid w:val="3EB7436F"/>
    <w:rsid w:val="3F242515"/>
    <w:rsid w:val="3F685FD2"/>
    <w:rsid w:val="40005FC9"/>
    <w:rsid w:val="4000691C"/>
    <w:rsid w:val="40092EF8"/>
    <w:rsid w:val="40156C88"/>
    <w:rsid w:val="404550CF"/>
    <w:rsid w:val="405C5BEA"/>
    <w:rsid w:val="40AE755B"/>
    <w:rsid w:val="415A4DDA"/>
    <w:rsid w:val="415D5C35"/>
    <w:rsid w:val="423A3A2D"/>
    <w:rsid w:val="43035753"/>
    <w:rsid w:val="430C542B"/>
    <w:rsid w:val="43F00E3D"/>
    <w:rsid w:val="44D747CE"/>
    <w:rsid w:val="44F53A6B"/>
    <w:rsid w:val="4503393E"/>
    <w:rsid w:val="45083D9F"/>
    <w:rsid w:val="46166F98"/>
    <w:rsid w:val="46505A6B"/>
    <w:rsid w:val="469C3BBF"/>
    <w:rsid w:val="46A739FD"/>
    <w:rsid w:val="46EB5340"/>
    <w:rsid w:val="471D1659"/>
    <w:rsid w:val="474C6A6A"/>
    <w:rsid w:val="47A766FD"/>
    <w:rsid w:val="48205870"/>
    <w:rsid w:val="4882187E"/>
    <w:rsid w:val="48D4782C"/>
    <w:rsid w:val="49A63177"/>
    <w:rsid w:val="4A210D1B"/>
    <w:rsid w:val="4AA20AFD"/>
    <w:rsid w:val="4ABB78AB"/>
    <w:rsid w:val="4BC70C56"/>
    <w:rsid w:val="4C5D3125"/>
    <w:rsid w:val="4C9B6E85"/>
    <w:rsid w:val="4CC02446"/>
    <w:rsid w:val="4CCC4F2F"/>
    <w:rsid w:val="4CE2515B"/>
    <w:rsid w:val="4D16789A"/>
    <w:rsid w:val="4D8A271A"/>
    <w:rsid w:val="4DFF437E"/>
    <w:rsid w:val="4E78161D"/>
    <w:rsid w:val="4EA2774B"/>
    <w:rsid w:val="4ECD17BC"/>
    <w:rsid w:val="4ECD77C8"/>
    <w:rsid w:val="4FAA79A4"/>
    <w:rsid w:val="4FED5402"/>
    <w:rsid w:val="50084D18"/>
    <w:rsid w:val="5032295C"/>
    <w:rsid w:val="50517375"/>
    <w:rsid w:val="506444A8"/>
    <w:rsid w:val="50A51E7D"/>
    <w:rsid w:val="50F0666F"/>
    <w:rsid w:val="51006C1D"/>
    <w:rsid w:val="51266EDF"/>
    <w:rsid w:val="51627BA7"/>
    <w:rsid w:val="51800044"/>
    <w:rsid w:val="51990283"/>
    <w:rsid w:val="53475632"/>
    <w:rsid w:val="53D654FE"/>
    <w:rsid w:val="53DC2107"/>
    <w:rsid w:val="53FA4D3E"/>
    <w:rsid w:val="558B1687"/>
    <w:rsid w:val="55F1274B"/>
    <w:rsid w:val="560A265D"/>
    <w:rsid w:val="5756053D"/>
    <w:rsid w:val="57777269"/>
    <w:rsid w:val="578B5227"/>
    <w:rsid w:val="57A51F6A"/>
    <w:rsid w:val="57B13673"/>
    <w:rsid w:val="585B5A56"/>
    <w:rsid w:val="59501B08"/>
    <w:rsid w:val="59937E8D"/>
    <w:rsid w:val="59A368EF"/>
    <w:rsid w:val="5A1F7CD2"/>
    <w:rsid w:val="5A7557DC"/>
    <w:rsid w:val="5A9000B3"/>
    <w:rsid w:val="5A913ADF"/>
    <w:rsid w:val="5ABA67C2"/>
    <w:rsid w:val="5AC5124E"/>
    <w:rsid w:val="5B2607D7"/>
    <w:rsid w:val="5BB04BC5"/>
    <w:rsid w:val="5BB53B97"/>
    <w:rsid w:val="5D8549BB"/>
    <w:rsid w:val="5D9739FA"/>
    <w:rsid w:val="5D9F23D4"/>
    <w:rsid w:val="5DEA4125"/>
    <w:rsid w:val="5E771155"/>
    <w:rsid w:val="5E7C361A"/>
    <w:rsid w:val="5E8D2615"/>
    <w:rsid w:val="5FAA6618"/>
    <w:rsid w:val="5FC86CD6"/>
    <w:rsid w:val="5FDA4E80"/>
    <w:rsid w:val="600E24AE"/>
    <w:rsid w:val="60182901"/>
    <w:rsid w:val="60854409"/>
    <w:rsid w:val="609B3995"/>
    <w:rsid w:val="60B90E7D"/>
    <w:rsid w:val="614B7F89"/>
    <w:rsid w:val="61DF6FF8"/>
    <w:rsid w:val="62290EAB"/>
    <w:rsid w:val="627672C0"/>
    <w:rsid w:val="62B123F2"/>
    <w:rsid w:val="62B27782"/>
    <w:rsid w:val="62F4491D"/>
    <w:rsid w:val="63815B89"/>
    <w:rsid w:val="6396195F"/>
    <w:rsid w:val="64002BAD"/>
    <w:rsid w:val="651A62B7"/>
    <w:rsid w:val="65817FA6"/>
    <w:rsid w:val="658A49F1"/>
    <w:rsid w:val="65DD37E3"/>
    <w:rsid w:val="661A68E8"/>
    <w:rsid w:val="667B6071"/>
    <w:rsid w:val="66DA2353"/>
    <w:rsid w:val="67092226"/>
    <w:rsid w:val="67965E53"/>
    <w:rsid w:val="68D71481"/>
    <w:rsid w:val="68DF0229"/>
    <w:rsid w:val="69D201BA"/>
    <w:rsid w:val="6B2D064E"/>
    <w:rsid w:val="6B62607F"/>
    <w:rsid w:val="6BCF4328"/>
    <w:rsid w:val="6C381592"/>
    <w:rsid w:val="6CD56CA7"/>
    <w:rsid w:val="6D880B82"/>
    <w:rsid w:val="6DA9506F"/>
    <w:rsid w:val="6DB6013B"/>
    <w:rsid w:val="6E366146"/>
    <w:rsid w:val="6E9B008B"/>
    <w:rsid w:val="6F460498"/>
    <w:rsid w:val="6F4A6F49"/>
    <w:rsid w:val="6F5C460C"/>
    <w:rsid w:val="70071703"/>
    <w:rsid w:val="70171875"/>
    <w:rsid w:val="709F4370"/>
    <w:rsid w:val="7127647D"/>
    <w:rsid w:val="714E2BAB"/>
    <w:rsid w:val="722A508C"/>
    <w:rsid w:val="728D286D"/>
    <w:rsid w:val="72944BF7"/>
    <w:rsid w:val="72EF3A9D"/>
    <w:rsid w:val="74EB2F57"/>
    <w:rsid w:val="752E254E"/>
    <w:rsid w:val="753A65E0"/>
    <w:rsid w:val="75EE47DA"/>
    <w:rsid w:val="761D2CBF"/>
    <w:rsid w:val="763B4AE8"/>
    <w:rsid w:val="77925931"/>
    <w:rsid w:val="78B23F20"/>
    <w:rsid w:val="790120C4"/>
    <w:rsid w:val="791F5DD1"/>
    <w:rsid w:val="797D25F3"/>
    <w:rsid w:val="7A1A1907"/>
    <w:rsid w:val="7A5D5752"/>
    <w:rsid w:val="7BBA2A07"/>
    <w:rsid w:val="7BDA54A6"/>
    <w:rsid w:val="7D2B742D"/>
    <w:rsid w:val="7DAC6B74"/>
    <w:rsid w:val="7E3C0DBE"/>
    <w:rsid w:val="7E4F394A"/>
    <w:rsid w:val="7E8402B2"/>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8"/>
    <w:autoRedefine/>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8"/>
    <w:autoRedefine/>
    <w:qFormat/>
    <w:uiPriority w:val="0"/>
    <w:pPr>
      <w:numPr>
        <w:ilvl w:val="0"/>
        <w:numId w:val="1"/>
      </w:numPr>
      <w:jc w:val="center"/>
      <w:outlineLvl w:val="0"/>
    </w:pPr>
    <w:rPr>
      <w:rFonts w:eastAsia="宋体" w:cstheme="minorBidi"/>
      <w:b/>
      <w:sz w:val="30"/>
    </w:rPr>
  </w:style>
  <w:style w:type="paragraph" w:styleId="3">
    <w:name w:val="heading 2"/>
    <w:basedOn w:val="1"/>
    <w:next w:val="1"/>
    <w:link w:val="25"/>
    <w:semiHidden/>
    <w:unhideWhenUsed/>
    <w:qFormat/>
    <w:uiPriority w:val="0"/>
    <w:pPr>
      <w:keepNext/>
      <w:keepLines/>
      <w:spacing w:before="100" w:after="100" w:line="360" w:lineRule="auto"/>
      <w:jc w:val="center"/>
      <w:outlineLvl w:val="1"/>
    </w:pPr>
    <w:rPr>
      <w:rFonts w:ascii="宋体" w:hAnsi="宋体" w:eastAsia="宋体"/>
      <w:b/>
      <w:bCs/>
      <w:sz w:val="28"/>
    </w:rPr>
  </w:style>
  <w:style w:type="paragraph" w:styleId="4">
    <w:name w:val="heading 3"/>
    <w:basedOn w:val="1"/>
    <w:next w:val="1"/>
    <w:link w:val="27"/>
    <w:autoRedefine/>
    <w:semiHidden/>
    <w:unhideWhenUsed/>
    <w:qFormat/>
    <w:uiPriority w:val="0"/>
    <w:pPr>
      <w:keepNext/>
      <w:keepLines/>
      <w:autoSpaceDE w:val="0"/>
      <w:autoSpaceDN w:val="0"/>
      <w:adjustRightInd w:val="0"/>
      <w:spacing w:before="360" w:after="120" w:line="360" w:lineRule="auto"/>
      <w:ind w:left="709" w:hanging="709"/>
      <w:jc w:val="left"/>
      <w:outlineLvl w:val="2"/>
    </w:pPr>
    <w:rPr>
      <w:rFonts w:ascii="宋体" w:hAnsi="宋体" w:eastAsia="宋体"/>
      <w:b/>
      <w:bCs/>
      <w:kern w:val="0"/>
      <w:sz w:val="24"/>
      <w:szCs w:val="28"/>
    </w:rPr>
  </w:style>
  <w:style w:type="paragraph" w:styleId="5">
    <w:name w:val="heading 4"/>
    <w:basedOn w:val="1"/>
    <w:next w:val="1"/>
    <w:link w:val="26"/>
    <w:autoRedefine/>
    <w:semiHidden/>
    <w:unhideWhenUsed/>
    <w:qFormat/>
    <w:uiPriority w:val="0"/>
    <w:pPr>
      <w:keepNext/>
      <w:keepLines/>
      <w:spacing w:line="360" w:lineRule="auto"/>
      <w:jc w:val="left"/>
      <w:outlineLvl w:val="3"/>
    </w:pPr>
    <w:rPr>
      <w:rFonts w:ascii="Arial" w:hAnsi="Arial" w:eastAsia="宋体" w:cs="Times New Roman"/>
      <w:b/>
      <w:sz w:val="24"/>
      <w:szCs w:val="20"/>
    </w:rPr>
  </w:style>
  <w:style w:type="paragraph" w:styleId="6">
    <w:name w:val="heading 5"/>
    <w:basedOn w:val="1"/>
    <w:next w:val="1"/>
    <w:link w:val="29"/>
    <w:semiHidden/>
    <w:unhideWhenUsed/>
    <w:qFormat/>
    <w:uiPriority w:val="0"/>
    <w:pPr>
      <w:keepNext/>
      <w:keepLines/>
      <w:spacing w:beforeLines="0" w:beforeAutospacing="0" w:afterLines="0" w:afterAutospacing="0" w:line="360" w:lineRule="auto"/>
      <w:outlineLvl w:val="4"/>
    </w:pPr>
    <w:rPr>
      <w:rFonts w:ascii="Times New Roman" w:hAnsi="Times New Roman" w:eastAsia="宋体" w:cs="Times New Roman"/>
      <w:b/>
      <w:sz w:val="28"/>
    </w:rPr>
  </w:style>
  <w:style w:type="paragraph" w:styleId="7">
    <w:name w:val="heading 6"/>
    <w:basedOn w:val="1"/>
    <w:next w:val="1"/>
    <w:link w:val="31"/>
    <w:semiHidden/>
    <w:unhideWhenUsed/>
    <w:qFormat/>
    <w:uiPriority w:val="0"/>
    <w:pPr>
      <w:keepNext/>
      <w:keepLines/>
      <w:widowControl/>
      <w:numPr>
        <w:ilvl w:val="5"/>
        <w:numId w:val="1"/>
      </w:numPr>
      <w:tabs>
        <w:tab w:val="left" w:pos="1440"/>
      </w:tabs>
      <w:spacing w:before="100" w:after="100" w:line="360" w:lineRule="auto"/>
      <w:ind w:left="0" w:right="0" w:firstLine="0"/>
      <w:jc w:val="left"/>
      <w:outlineLvl w:val="5"/>
    </w:pPr>
    <w:rPr>
      <w:rFonts w:ascii="Arial" w:hAnsi="Arial" w:eastAsia="宋体" w:cs="Arial"/>
      <w:b/>
      <w:kern w:val="0"/>
      <w:szCs w:val="20"/>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0"/>
      <w:outlineLvl w:val="6"/>
    </w:pPr>
    <w:rPr>
      <w:rFonts w:ascii="Times New Roman" w:hAnsi="Times New Roman" w:eastAsia="宋体" w:cs="Times New Roman"/>
      <w:b/>
    </w:rPr>
  </w:style>
  <w:style w:type="paragraph" w:styleId="9">
    <w:name w:val="heading 8"/>
    <w:basedOn w:val="1"/>
    <w:next w:val="1"/>
    <w:autoRedefine/>
    <w:semiHidden/>
    <w:unhideWhenUsed/>
    <w:qFormat/>
    <w:uiPriority w:val="0"/>
    <w:pPr>
      <w:keepNext/>
      <w:keepLines/>
      <w:numPr>
        <w:ilvl w:val="7"/>
        <w:numId w:val="1"/>
      </w:numPr>
      <w:tabs>
        <w:tab w:val="left" w:pos="1418"/>
        <w:tab w:val="clear" w:pos="0"/>
      </w:tabs>
      <w:spacing w:before="240" w:beforeLines="0" w:beforeAutospacing="0" w:after="64" w:afterLines="0" w:afterAutospacing="0" w:line="317" w:lineRule="auto"/>
      <w:ind w:left="0" w:firstLine="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tabs>
        <w:tab w:val="left" w:pos="1559"/>
        <w:tab w:val="clear" w:pos="0"/>
      </w:tabs>
      <w:spacing w:before="240" w:beforeLines="0" w:beforeAutospacing="0" w:after="64" w:afterLines="0" w:afterAutospacing="0" w:line="317" w:lineRule="auto"/>
      <w:ind w:left="0" w:firstLine="0"/>
      <w:outlineLvl w:val="8"/>
    </w:pPr>
    <w:rPr>
      <w:rFonts w:ascii="Arial" w:hAnsi="Arial" w:eastAsia="黑体"/>
      <w:sz w:val="21"/>
    </w:rPr>
  </w:style>
  <w:style w:type="character" w:default="1" w:styleId="24">
    <w:name w:val="Default Paragraph Font"/>
    <w:unhideWhenUsed/>
    <w:qFormat/>
    <w:uiPriority w:val="1"/>
  </w:style>
  <w:style w:type="table" w:default="1" w:styleId="23">
    <w:name w:val="Normal Table"/>
    <w:semiHidden/>
    <w:qFormat/>
    <w:uiPriority w:val="0"/>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Normal Indent"/>
    <w:basedOn w:val="1"/>
    <w:link w:val="30"/>
    <w:autoRedefine/>
    <w:qFormat/>
    <w:uiPriority w:val="0"/>
    <w:pPr>
      <w:autoSpaceDE w:val="0"/>
      <w:autoSpaceDN w:val="0"/>
      <w:adjustRightInd w:val="0"/>
      <w:spacing w:line="360" w:lineRule="auto"/>
      <w:ind w:firstLine="585"/>
    </w:pPr>
    <w:rPr>
      <w:rFonts w:ascii="楷体_GB2312" w:hAnsi="楷体_GB2312" w:eastAsia="宋体"/>
      <w:sz w:val="24"/>
      <w:szCs w:val="32"/>
    </w:rPr>
  </w:style>
  <w:style w:type="paragraph" w:styleId="13">
    <w:name w:val="Body Text"/>
    <w:basedOn w:val="1"/>
    <w:next w:val="1"/>
    <w:link w:val="36"/>
    <w:unhideWhenUsed/>
    <w:qFormat/>
    <w:uiPriority w:val="99"/>
    <w:pPr>
      <w:suppressAutoHyphens w:val="0"/>
      <w:adjustRightInd w:val="0"/>
      <w:spacing w:line="360" w:lineRule="auto"/>
      <w:ind w:firstLine="0" w:firstLineChars="0"/>
      <w:textAlignment w:val="baseline"/>
    </w:pPr>
    <w:rPr>
      <w:rFonts w:eastAsia="宋体" w:asciiTheme="minorAscii" w:hAnsiTheme="minorAscii"/>
      <w:szCs w:val="20"/>
    </w:rPr>
  </w:style>
  <w:style w:type="paragraph" w:styleId="14">
    <w:name w:val="Body Text Indent"/>
    <w:basedOn w:val="1"/>
    <w:qFormat/>
    <w:uiPriority w:val="0"/>
    <w:pPr>
      <w:spacing w:after="120" w:afterLines="0" w:afterAutospacing="0"/>
      <w:ind w:left="420" w:leftChars="200"/>
    </w:pPr>
  </w:style>
  <w:style w:type="paragraph" w:styleId="15">
    <w:name w:val="Block Text"/>
    <w:basedOn w:val="1"/>
    <w:qFormat/>
    <w:uiPriority w:val="0"/>
    <w:pPr>
      <w:spacing w:after="120" w:afterLines="0" w:afterAutospacing="0"/>
      <w:ind w:left="1440" w:leftChars="700" w:rightChars="700"/>
    </w:pPr>
  </w:style>
  <w:style w:type="paragraph" w:styleId="16">
    <w:name w:val="Plain Text"/>
    <w:basedOn w:val="1"/>
    <w:link w:val="37"/>
    <w:qFormat/>
    <w:uiPriority w:val="0"/>
    <w:pPr>
      <w:spacing w:line="360" w:lineRule="auto"/>
      <w:ind w:firstLine="0" w:firstLineChars="0"/>
    </w:pPr>
    <w:rPr>
      <w:rFonts w:ascii="宋体" w:hAnsi="宋体" w:eastAsia="宋体" w:cs="宋体"/>
      <w:b/>
      <w:bCs/>
      <w:sz w:val="24"/>
      <w:highlight w:val="none"/>
    </w:rPr>
  </w:style>
  <w:style w:type="paragraph" w:styleId="17">
    <w:name w:val="Body Text Indent 2"/>
    <w:basedOn w:val="1"/>
    <w:qFormat/>
    <w:uiPriority w:val="0"/>
    <w:pPr>
      <w:ind w:firstLine="480" w:firstLineChars="200"/>
    </w:pPr>
    <w:rPr>
      <w:rFonts w:ascii="仿宋_GB2312" w:hAnsi="仿宋_GB2312" w:eastAsia="宋体"/>
    </w:rPr>
  </w:style>
  <w:style w:type="paragraph" w:styleId="18">
    <w:name w:val="footer"/>
    <w:basedOn w:val="1"/>
    <w:link w:val="32"/>
    <w:qFormat/>
    <w:uiPriority w:val="0"/>
    <w:pPr>
      <w:tabs>
        <w:tab w:val="center" w:pos="4153"/>
        <w:tab w:val="right" w:pos="8306"/>
      </w:tabs>
      <w:snapToGrid w:val="0"/>
      <w:jc w:val="left"/>
    </w:pPr>
    <w:rPr>
      <w:rFonts w:eastAsia="宋体"/>
      <w:sz w:val="24"/>
      <w:szCs w:val="18"/>
    </w:rPr>
  </w:style>
  <w:style w:type="paragraph" w:styleId="19">
    <w:name w:val="Normal (Web)"/>
    <w:basedOn w:val="1"/>
    <w:qFormat/>
    <w:uiPriority w:val="0"/>
    <w:pPr>
      <w:widowControl/>
      <w:spacing w:beforeLines="0" w:beforeAutospacing="0" w:afterLines="0" w:afterAutospacing="0"/>
      <w:jc w:val="left"/>
    </w:pPr>
    <w:rPr>
      <w:rFonts w:ascii="宋体" w:hAnsi="宋体" w:eastAsia="宋体" w:cs="宋体"/>
      <w:color w:val="000000"/>
      <w:kern w:val="0"/>
      <w:szCs w:val="24"/>
    </w:rPr>
  </w:style>
  <w:style w:type="paragraph" w:styleId="20">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1">
    <w:name w:val="Body Text First Indent"/>
    <w:basedOn w:val="13"/>
    <w:next w:val="1"/>
    <w:link w:val="34"/>
    <w:autoRedefine/>
    <w:qFormat/>
    <w:uiPriority w:val="0"/>
    <w:pPr>
      <w:tabs>
        <w:tab w:val="left" w:pos="567"/>
      </w:tabs>
      <w:spacing w:after="0"/>
      <w:ind w:firstLine="0" w:firstLineChars="0"/>
      <w:jc w:val="left"/>
    </w:pPr>
    <w:rPr>
      <w:rFonts w:ascii="宋体" w:hAnsi="宋体" w:eastAsia="宋体" w:cs="宋体"/>
      <w:color w:val="000000" w:themeColor="text1"/>
      <w:kern w:val="0"/>
      <w:szCs w:val="32"/>
      <w14:shadow w14:blurRad="38100" w14:dist="19050" w14:dir="2700000" w14:sx="100000" w14:sy="100000" w14:kx="0" w14:ky="0" w14:algn="tl">
        <w14:schemeClr w14:val="dk1">
          <w14:alpha w14:val="60000"/>
        </w14:schemeClr>
      </w14:shadow>
      <w14:textFill>
        <w14:solidFill>
          <w14:schemeClr w14:val="tx1"/>
        </w14:solidFill>
      </w14:textFill>
    </w:rPr>
  </w:style>
  <w:style w:type="paragraph" w:styleId="22">
    <w:name w:val="Body Text First Indent 2"/>
    <w:basedOn w:val="14"/>
    <w:qFormat/>
    <w:uiPriority w:val="0"/>
    <w:pPr>
      <w:spacing w:line="360" w:lineRule="auto"/>
      <w:ind w:left="0" w:leftChars="0" w:firstLine="0" w:firstLineChars="0"/>
    </w:pPr>
    <w:rPr>
      <w:rFonts w:ascii="Times New Roman" w:hAnsi="Times New Roman" w:eastAsia="宋体"/>
      <w:sz w:val="24"/>
      <w:szCs w:val="20"/>
    </w:rPr>
  </w:style>
  <w:style w:type="character" w:customStyle="1" w:styleId="25">
    <w:name w:val="标题 2 Char"/>
    <w:link w:val="3"/>
    <w:autoRedefine/>
    <w:qFormat/>
    <w:uiPriority w:val="0"/>
    <w:rPr>
      <w:rFonts w:ascii="宋体" w:hAnsi="宋体" w:eastAsia="宋体" w:cs="Times New Roman"/>
      <w:b/>
      <w:bCs/>
      <w:kern w:val="2"/>
      <w:sz w:val="28"/>
      <w:szCs w:val="24"/>
      <w:lang w:val="en-US" w:eastAsia="zh-CN" w:bidi="ar-SA"/>
    </w:rPr>
  </w:style>
  <w:style w:type="character" w:customStyle="1" w:styleId="26">
    <w:name w:val="标题 4 Char1"/>
    <w:link w:val="5"/>
    <w:qFormat/>
    <w:uiPriority w:val="0"/>
    <w:rPr>
      <w:rFonts w:ascii="Arial" w:hAnsi="Arial" w:eastAsia="宋体" w:cs="Times New Roman"/>
      <w:b/>
      <w:kern w:val="2"/>
      <w:sz w:val="24"/>
    </w:rPr>
  </w:style>
  <w:style w:type="character" w:customStyle="1" w:styleId="27">
    <w:name w:val="标题 3 Char"/>
    <w:link w:val="4"/>
    <w:qFormat/>
    <w:uiPriority w:val="0"/>
    <w:rPr>
      <w:rFonts w:ascii="宋体" w:hAnsi="宋体" w:eastAsia="宋体"/>
      <w:b/>
      <w:bCs/>
      <w:sz w:val="24"/>
      <w:szCs w:val="28"/>
    </w:rPr>
  </w:style>
  <w:style w:type="character" w:customStyle="1" w:styleId="28">
    <w:name w:val="标题 1 Char"/>
    <w:basedOn w:val="24"/>
    <w:link w:val="2"/>
    <w:autoRedefine/>
    <w:qFormat/>
    <w:uiPriority w:val="0"/>
    <w:rPr>
      <w:rFonts w:ascii="宋体" w:hAnsi="宋体" w:eastAsia="宋体" w:cstheme="minorBidi"/>
      <w:b/>
      <w:color w:val="000000" w:themeColor="text1"/>
      <w:sz w:val="30"/>
      <w:szCs w:val="40"/>
      <w14:textFill>
        <w14:solidFill>
          <w14:schemeClr w14:val="tx1"/>
        </w14:solidFill>
      </w14:textFill>
    </w:rPr>
  </w:style>
  <w:style w:type="character" w:customStyle="1" w:styleId="29">
    <w:name w:val="标题 5 Char"/>
    <w:link w:val="6"/>
    <w:qFormat/>
    <w:uiPriority w:val="9"/>
    <w:rPr>
      <w:rFonts w:ascii="Times New Roman" w:hAnsi="Times New Roman" w:eastAsia="宋体" w:cs="Times New Roman"/>
      <w:b/>
      <w:sz w:val="28"/>
    </w:rPr>
  </w:style>
  <w:style w:type="character" w:customStyle="1" w:styleId="30">
    <w:name w:val="正文缩进 Char"/>
    <w:link w:val="12"/>
    <w:qFormat/>
    <w:uiPriority w:val="0"/>
    <w:rPr>
      <w:rFonts w:ascii="楷体_GB2312" w:hAnsi="楷体_GB2312" w:eastAsia="宋体"/>
      <w:sz w:val="24"/>
    </w:rPr>
  </w:style>
  <w:style w:type="character" w:customStyle="1" w:styleId="31">
    <w:name w:val="标题 6 Char"/>
    <w:link w:val="7"/>
    <w:autoRedefine/>
    <w:qFormat/>
    <w:uiPriority w:val="0"/>
    <w:rPr>
      <w:rFonts w:ascii="Arial" w:hAnsi="Arial" w:eastAsia="宋体" w:cs="Arial"/>
      <w:b/>
      <w:color w:val="000000"/>
      <w:kern w:val="0"/>
      <w:sz w:val="24"/>
      <w:szCs w:val="24"/>
      <w:lang w:val="zh-CN" w:eastAsia="zh-CN" w:bidi="ar-SA"/>
    </w:rPr>
  </w:style>
  <w:style w:type="character" w:customStyle="1" w:styleId="32">
    <w:name w:val="页脚 Char"/>
    <w:basedOn w:val="24"/>
    <w:link w:val="18"/>
    <w:semiHidden/>
    <w:qFormat/>
    <w:uiPriority w:val="99"/>
    <w:rPr>
      <w:rFonts w:eastAsia="宋体"/>
      <w:sz w:val="24"/>
      <w:szCs w:val="18"/>
    </w:rPr>
  </w:style>
  <w:style w:type="character" w:customStyle="1" w:styleId="33">
    <w:name w:val="正文文本 Char"/>
    <w:basedOn w:val="24"/>
    <w:link w:val="13"/>
    <w:qFormat/>
    <w:uiPriority w:val="0"/>
    <w:rPr>
      <w:rFonts w:ascii="宋体" w:hAnsi="宋体" w:eastAsia="宋体" w:cs="Times New Roman"/>
      <w:sz w:val="24"/>
      <w:szCs w:val="24"/>
    </w:rPr>
  </w:style>
  <w:style w:type="character" w:customStyle="1" w:styleId="34">
    <w:name w:val="正文首行缩进 字符"/>
    <w:basedOn w:val="35"/>
    <w:link w:val="21"/>
    <w:qFormat/>
    <w:uiPriority w:val="0"/>
    <w:rPr>
      <w:rFonts w:ascii="宋体" w:hAnsi="宋体" w:eastAsia="宋体" w:cs="宋体"/>
      <w:color w:val="000000" w:themeColor="text1"/>
      <w:kern w:val="0"/>
      <w:sz w:val="24"/>
      <w:szCs w:val="32"/>
      <w14:shadow w14:blurRad="38100" w14:dist="19050" w14:dir="2700000" w14:sx="100000" w14:sy="100000" w14:kx="0" w14:ky="0" w14:algn="tl">
        <w14:schemeClr w14:val="dk1">
          <w14:alpha w14:val="60000"/>
        </w14:schemeClr>
      </w14:shadow>
      <w14:textFill>
        <w14:solidFill>
          <w14:schemeClr w14:val="tx1"/>
        </w14:solidFill>
      </w14:textFill>
    </w:rPr>
  </w:style>
  <w:style w:type="character" w:customStyle="1" w:styleId="35">
    <w:name w:val="正文文本 字符"/>
    <w:basedOn w:val="24"/>
    <w:link w:val="13"/>
    <w:semiHidden/>
    <w:qFormat/>
    <w:uiPriority w:val="99"/>
    <w:rPr>
      <w:rFonts w:ascii="宋体" w:hAnsi="宋体" w:eastAsia="宋体" w:cs="宋体"/>
      <w:sz w:val="24"/>
      <w:szCs w:val="24"/>
    </w:rPr>
  </w:style>
  <w:style w:type="character" w:customStyle="1" w:styleId="36">
    <w:name w:val="正文文本 字符1"/>
    <w:basedOn w:val="24"/>
    <w:link w:val="13"/>
    <w:semiHidden/>
    <w:qFormat/>
    <w:uiPriority w:val="99"/>
    <w:rPr>
      <w:rFonts w:ascii="宋体" w:hAnsi="宋体" w:eastAsia="宋体" w:cstheme="minorBidi"/>
      <w:sz w:val="24"/>
      <w:szCs w:val="24"/>
    </w:rPr>
  </w:style>
  <w:style w:type="character" w:customStyle="1" w:styleId="37">
    <w:name w:val="纯文本 Char"/>
    <w:link w:val="16"/>
    <w:qFormat/>
    <w:uiPriority w:val="0"/>
    <w:rPr>
      <w:rFonts w:ascii="宋体" w:hAnsi="宋体" w:eastAsia="宋体" w:cs="宋体"/>
      <w:b/>
      <w:bCs/>
      <w:kern w:val="2"/>
      <w:sz w:val="24"/>
      <w:szCs w:val="24"/>
      <w:highlight w:val="none"/>
      <w:lang w:val="en-US" w:eastAsia="zh-CN" w:bidi="ar-SA"/>
    </w:rPr>
  </w:style>
  <w:style w:type="character" w:customStyle="1" w:styleId="38">
    <w:name w:val="NormalCharacter"/>
    <w:link w:val="1"/>
    <w:semiHidden/>
    <w:qFormat/>
    <w:uiPriority w:val="0"/>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2025-12-22T07:14:00Z</dcterms:created>
  <dc:creator>中经招标</dc:creator>
  <cp:lastModifiedBy>中经招标</cp:lastModifiedBy>
  <dcterms:modified xsi:type="dcterms:W3CDTF">2025-12-22T07:14:31Z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F4B045E4C186413B862B70EB62104C9B_11</vt:lpwstr>
  </property>
  <property fmtid="{D5CDD505-2E9C-101B-9397-08002B2CF9AE}" pid="4" name="KSOTemplateDocerSaveRecord">
    <vt:lpwstr>eyJoZGlkIjoiOWJlNDY3NTNiN2U3N2MxMDhiMGU5MzkyYmQzNThmMzYifQ==</vt:lpwstr>
  </property>
</Properties>
</file>