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6AED">
      <w:pPr>
        <w:pStyle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政府采购项目</w:t>
      </w:r>
    </w:p>
    <w:p w14:paraId="7A839D88">
      <w:pPr>
        <w:pStyle w:val="2"/>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kern w:val="0"/>
          <w:sz w:val="28"/>
          <w:szCs w:val="28"/>
          <w:highlight w:val="none"/>
        </w:rPr>
        <w:t>项目编号：</w:t>
      </w:r>
      <w:r>
        <w:rPr>
          <w:rFonts w:hint="eastAsia" w:ascii="仿宋" w:hAnsi="仿宋" w:eastAsia="仿宋" w:cs="仿宋"/>
          <w:b/>
          <w:color w:val="auto"/>
          <w:kern w:val="0"/>
          <w:sz w:val="28"/>
          <w:szCs w:val="28"/>
          <w:highlight w:val="none"/>
          <w:lang w:eastAsia="zh-CN"/>
        </w:rPr>
        <w:t>HC-YCG-2025-105.1B1</w:t>
      </w:r>
    </w:p>
    <w:p w14:paraId="75938C6D">
      <w:pPr>
        <w:rPr>
          <w:rFonts w:hint="eastAsia" w:ascii="仿宋" w:hAnsi="仿宋" w:eastAsia="仿宋" w:cs="仿宋"/>
          <w:color w:val="auto"/>
          <w:highlight w:val="none"/>
        </w:rPr>
      </w:pPr>
    </w:p>
    <w:p w14:paraId="104DD5BA">
      <w:pPr>
        <w:ind w:firstLine="420"/>
        <w:rPr>
          <w:rFonts w:hint="eastAsia" w:ascii="仿宋" w:hAnsi="仿宋" w:eastAsia="仿宋" w:cs="仿宋"/>
          <w:color w:val="auto"/>
          <w:highlight w:val="none"/>
        </w:rPr>
      </w:pPr>
    </w:p>
    <w:p w14:paraId="3E140186">
      <w:pPr>
        <w:spacing w:line="360" w:lineRule="atLeast"/>
        <w:jc w:val="center"/>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陕西省财政厅2026年厅网络机房基础设施维保服务项目（二次）</w:t>
      </w:r>
    </w:p>
    <w:p w14:paraId="5CCC8C77">
      <w:pPr>
        <w:spacing w:line="360" w:lineRule="atLeast"/>
        <w:jc w:val="center"/>
        <w:rPr>
          <w:rFonts w:hint="eastAsia" w:ascii="仿宋" w:hAnsi="仿宋" w:eastAsia="仿宋" w:cs="仿宋"/>
          <w:b/>
          <w:color w:val="auto"/>
          <w:sz w:val="52"/>
          <w:szCs w:val="52"/>
          <w:highlight w:val="none"/>
          <w:lang w:val="en-US" w:eastAsia="zh-CN"/>
        </w:rPr>
      </w:pPr>
    </w:p>
    <w:p w14:paraId="5C2DCB89">
      <w:pPr>
        <w:spacing w:line="360" w:lineRule="atLeast"/>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80"/>
          <w:szCs w:val="80"/>
          <w:highlight w:val="none"/>
          <w:lang w:val="en-US" w:eastAsia="zh-CN"/>
        </w:rPr>
        <w:t>竞争性磋商</w:t>
      </w:r>
      <w:r>
        <w:rPr>
          <w:rFonts w:hint="eastAsia" w:ascii="仿宋" w:hAnsi="仿宋" w:eastAsia="仿宋" w:cs="仿宋"/>
          <w:b/>
          <w:color w:val="auto"/>
          <w:sz w:val="80"/>
          <w:szCs w:val="80"/>
          <w:highlight w:val="none"/>
        </w:rPr>
        <w:t>文件</w:t>
      </w:r>
    </w:p>
    <w:p w14:paraId="2DC9D45C">
      <w:pPr>
        <w:spacing w:line="60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highlight w:val="none"/>
          <w:shd w:val="clear" w:color="auto" w:fill="FFFFFF"/>
        </w:rPr>
        <w:drawing>
          <wp:inline distT="0" distB="0" distL="114300" distR="114300">
            <wp:extent cx="1531620" cy="2724150"/>
            <wp:effectExtent l="0" t="0" r="7620" b="3810"/>
            <wp:docPr id="6" name="图片 6"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1"/>
                    <pic:cNvPicPr>
                      <a:picLocks noChangeAspect="1"/>
                    </pic:cNvPicPr>
                  </pic:nvPicPr>
                  <pic:blipFill>
                    <a:blip r:embed="rId23"/>
                    <a:stretch>
                      <a:fillRect/>
                    </a:stretch>
                  </pic:blipFill>
                  <pic:spPr>
                    <a:xfrm>
                      <a:off x="0" y="0"/>
                      <a:ext cx="1531620" cy="2724150"/>
                    </a:xfrm>
                    <a:prstGeom prst="rect">
                      <a:avLst/>
                    </a:prstGeom>
                    <a:noFill/>
                    <a:ln>
                      <a:noFill/>
                    </a:ln>
                  </pic:spPr>
                </pic:pic>
              </a:graphicData>
            </a:graphic>
          </wp:inline>
        </w:drawing>
      </w:r>
    </w:p>
    <w:p w14:paraId="2763AEBA">
      <w:pPr>
        <w:pStyle w:val="20"/>
        <w:rPr>
          <w:rFonts w:hint="eastAsia" w:ascii="仿宋" w:hAnsi="仿宋" w:eastAsia="仿宋" w:cs="仿宋"/>
          <w:b/>
          <w:bCs/>
          <w:color w:val="auto"/>
          <w:sz w:val="30"/>
          <w:szCs w:val="30"/>
          <w:highlight w:val="none"/>
        </w:rPr>
      </w:pPr>
    </w:p>
    <w:p w14:paraId="5453E470">
      <w:pPr>
        <w:pStyle w:val="20"/>
        <w:rPr>
          <w:rFonts w:hint="eastAsia" w:ascii="仿宋" w:hAnsi="仿宋" w:eastAsia="仿宋" w:cs="仿宋"/>
          <w:b/>
          <w:bCs/>
          <w:color w:val="auto"/>
          <w:sz w:val="30"/>
          <w:szCs w:val="30"/>
          <w:highlight w:val="none"/>
        </w:rPr>
      </w:pPr>
    </w:p>
    <w:p w14:paraId="6727B2B5">
      <w:pPr>
        <w:keepNext w:val="0"/>
        <w:keepLines w:val="0"/>
        <w:pageBreakBefore w:val="0"/>
        <w:widowControl w:val="0"/>
        <w:kinsoku/>
        <w:wordWrap/>
        <w:overflowPunct/>
        <w:topLinePunct w:val="0"/>
        <w:autoSpaceDE/>
        <w:autoSpaceDN/>
        <w:bidi w:val="0"/>
        <w:adjustRightInd/>
        <w:snapToGrid w:val="0"/>
        <w:spacing w:line="480" w:lineRule="auto"/>
        <w:ind w:right="525" w:rightChars="250" w:firstLine="891" w:firstLineChars="296"/>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采购人：</w:t>
      </w:r>
      <w:r>
        <w:rPr>
          <w:rFonts w:hint="eastAsia" w:ascii="仿宋" w:hAnsi="仿宋" w:eastAsia="仿宋" w:cs="仿宋"/>
          <w:b/>
          <w:bCs/>
          <w:color w:val="auto"/>
          <w:sz w:val="30"/>
          <w:szCs w:val="30"/>
          <w:highlight w:val="none"/>
          <w:lang w:val="en-US" w:eastAsia="zh-CN"/>
        </w:rPr>
        <w:t>陕西省财政厅</w:t>
      </w:r>
    </w:p>
    <w:p w14:paraId="1EF2AC7B">
      <w:pPr>
        <w:keepNext w:val="0"/>
        <w:keepLines w:val="0"/>
        <w:pageBreakBefore w:val="0"/>
        <w:widowControl w:val="0"/>
        <w:kinsoku/>
        <w:wordWrap/>
        <w:overflowPunct/>
        <w:topLinePunct w:val="0"/>
        <w:autoSpaceDE/>
        <w:autoSpaceDN/>
        <w:bidi w:val="0"/>
        <w:adjustRightInd/>
        <w:snapToGrid w:val="0"/>
        <w:spacing w:line="480" w:lineRule="auto"/>
        <w:ind w:firstLine="904" w:firstLineChars="300"/>
        <w:jc w:val="both"/>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采购代理机构：华春建设工程项目管理有限责任公司</w:t>
      </w:r>
    </w:p>
    <w:p w14:paraId="00C71BB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hAnsi="仿宋" w:eastAsia="仿宋" w:cs="仿宋"/>
          <w:b/>
          <w:bCs/>
          <w:color w:val="auto"/>
          <w:sz w:val="44"/>
          <w:szCs w:val="52"/>
          <w:highlight w:val="none"/>
        </w:rPr>
        <w:sectPr>
          <w:footerReference r:id="rId8" w:type="first"/>
          <w:headerReference r:id="rId5" w:type="default"/>
          <w:headerReference r:id="rId6" w:type="even"/>
          <w:footerReference r:id="rId7" w:type="even"/>
          <w:pgSz w:w="11906" w:h="16838"/>
          <w:pgMar w:top="1440" w:right="1080" w:bottom="1440" w:left="1080" w:header="851" w:footer="992" w:gutter="0"/>
          <w:cols w:space="0" w:num="1"/>
          <w:rtlGutter w:val="0"/>
          <w:docGrid w:type="lines" w:linePitch="312" w:charSpace="0"/>
        </w:sectPr>
      </w:pPr>
      <w:r>
        <w:rPr>
          <w:rFonts w:hint="eastAsia" w:ascii="仿宋" w:hAnsi="仿宋" w:eastAsia="仿宋" w:cs="仿宋"/>
          <w:b/>
          <w:bCs/>
          <w:color w:val="auto"/>
          <w:sz w:val="30"/>
          <w:szCs w:val="30"/>
          <w:highlight w:val="none"/>
        </w:rPr>
        <w:t>二〇二</w:t>
      </w:r>
      <w:r>
        <w:rPr>
          <w:rFonts w:hint="eastAsia" w:ascii="仿宋" w:hAnsi="仿宋" w:eastAsia="仿宋" w:cs="仿宋"/>
          <w:b/>
          <w:bCs/>
          <w:color w:val="auto"/>
          <w:sz w:val="30"/>
          <w:szCs w:val="30"/>
          <w:highlight w:val="none"/>
          <w:lang w:val="en-US" w:eastAsia="zh-CN"/>
        </w:rPr>
        <w:t>五</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十二</w:t>
      </w:r>
      <w:r>
        <w:rPr>
          <w:rFonts w:hint="eastAsia" w:ascii="仿宋" w:hAnsi="仿宋" w:eastAsia="仿宋" w:cs="仿宋"/>
          <w:b/>
          <w:bCs/>
          <w:color w:val="auto"/>
          <w:sz w:val="30"/>
          <w:szCs w:val="30"/>
          <w:highlight w:val="none"/>
        </w:rPr>
        <w:t>月</w:t>
      </w:r>
    </w:p>
    <w:p w14:paraId="1BD953D3">
      <w:pPr>
        <w:spacing w:line="560" w:lineRule="exact"/>
        <w:jc w:val="center"/>
        <w:rPr>
          <w:rFonts w:hint="eastAsia" w:ascii="仿宋" w:hAnsi="仿宋" w:eastAsia="仿宋" w:cs="仿宋"/>
          <w:b/>
          <w:color w:val="auto"/>
          <w:sz w:val="52"/>
          <w:szCs w:val="52"/>
          <w:highlight w:val="none"/>
          <w:u w:val="double"/>
        </w:rPr>
      </w:pPr>
      <w:r>
        <w:rPr>
          <w:rFonts w:hint="eastAsia" w:ascii="仿宋" w:hAnsi="仿宋" w:eastAsia="仿宋" w:cs="仿宋"/>
          <w:b/>
          <w:color w:val="auto"/>
          <w:sz w:val="48"/>
          <w:szCs w:val="48"/>
          <w:highlight w:val="none"/>
          <w:u w:val="double"/>
        </w:rPr>
        <w:t>特别提示</w:t>
      </w:r>
    </w:p>
    <w:p w14:paraId="78803129">
      <w:pPr>
        <w:spacing w:line="440" w:lineRule="exact"/>
        <w:rPr>
          <w:rFonts w:hint="eastAsia" w:ascii="仿宋" w:hAnsi="仿宋" w:eastAsia="仿宋" w:cs="仿宋"/>
          <w:color w:val="auto"/>
          <w:sz w:val="24"/>
          <w:highlight w:val="none"/>
        </w:rPr>
      </w:pPr>
    </w:p>
    <w:p w14:paraId="72BD65E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各</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color w:val="auto"/>
          <w:sz w:val="28"/>
          <w:szCs w:val="28"/>
          <w:highlight w:val="none"/>
        </w:rPr>
        <w:t>：在此我们特别善意地提醒您注意！</w:t>
      </w:r>
    </w:p>
    <w:p w14:paraId="5413C29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一、有关</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eastAsia="zh-CN"/>
        </w:rPr>
        <w:t>文件</w:t>
      </w:r>
      <w:r>
        <w:rPr>
          <w:rFonts w:hint="eastAsia" w:ascii="仿宋" w:hAnsi="仿宋" w:eastAsia="仿宋" w:cs="仿宋"/>
          <w:b/>
          <w:bCs/>
          <w:color w:val="auto"/>
          <w:sz w:val="28"/>
          <w:szCs w:val="28"/>
          <w:highlight w:val="none"/>
        </w:rPr>
        <w:t>：</w:t>
      </w:r>
    </w:p>
    <w:p w14:paraId="6EF49F1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1、请仔细阅读</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并正确理解</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中各项具体要求。如对</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有疑问，请在</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规定的时间内以书面形式提出，逾期将被拒绝受理。</w:t>
      </w:r>
    </w:p>
    <w:p w14:paraId="703A6C6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2、请严格按照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载明的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的格式要求编制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须胶装成册。</w:t>
      </w:r>
    </w:p>
    <w:p w14:paraId="2F4CDD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3、请仔细核对</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是否已按照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的要求签字、加盖单位公章，实质性条款是否满足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中所附资格证明等资料是否齐全、有效且是否满足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p>
    <w:p w14:paraId="494E51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提示：</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若不满足以上条件将有被否决的风险。</w:t>
      </w:r>
    </w:p>
    <w:p w14:paraId="45CB1C1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二、有关</w:t>
      </w:r>
      <w:r>
        <w:rPr>
          <w:rFonts w:hint="eastAsia" w:ascii="仿宋" w:hAnsi="仿宋" w:eastAsia="仿宋" w:cs="仿宋"/>
          <w:b/>
          <w:bCs/>
          <w:color w:val="auto"/>
          <w:sz w:val="28"/>
          <w:szCs w:val="28"/>
          <w:highlight w:val="none"/>
          <w:lang w:val="en-US" w:eastAsia="zh-CN"/>
        </w:rPr>
        <w:t>磋商</w:t>
      </w:r>
      <w:r>
        <w:rPr>
          <w:rFonts w:hint="eastAsia" w:ascii="仿宋" w:hAnsi="仿宋" w:eastAsia="仿宋" w:cs="仿宋"/>
          <w:b/>
          <w:bCs/>
          <w:color w:val="auto"/>
          <w:sz w:val="28"/>
          <w:szCs w:val="28"/>
          <w:highlight w:val="none"/>
        </w:rPr>
        <w:t>：</w:t>
      </w:r>
    </w:p>
    <w:p w14:paraId="1DBB95C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1、请务必考虑天气情况、交通情况以及您对</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地址的路线熟悉等情况于</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公告规定的时间及地点递交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逾期到达，将被拒绝接收。</w:t>
      </w:r>
    </w:p>
    <w:p w14:paraId="6F8D7E6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2、各供应商代表（法定代表人或授权代表）参加</w:t>
      </w:r>
      <w:r>
        <w:rPr>
          <w:rFonts w:hint="eastAsia" w:ascii="仿宋" w:hAnsi="仿宋" w:eastAsia="仿宋" w:cs="仿宋"/>
          <w:b w:val="0"/>
          <w:bCs w:val="0"/>
          <w:color w:val="auto"/>
          <w:sz w:val="28"/>
          <w:szCs w:val="28"/>
          <w:highlight w:val="none"/>
          <w:lang w:val="en-US" w:eastAsia="zh-CN"/>
        </w:rPr>
        <w:t>开标</w:t>
      </w:r>
      <w:r>
        <w:rPr>
          <w:rFonts w:hint="eastAsia" w:ascii="仿宋" w:hAnsi="仿宋" w:eastAsia="仿宋" w:cs="仿宋"/>
          <w:b w:val="0"/>
          <w:bCs w:val="0"/>
          <w:color w:val="auto"/>
          <w:sz w:val="28"/>
          <w:szCs w:val="28"/>
          <w:highlight w:val="none"/>
        </w:rPr>
        <w:t>活动。</w:t>
      </w:r>
    </w:p>
    <w:p w14:paraId="4481E0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、请到达文件递交地点后及时到</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接收处签字登记。</w:t>
      </w:r>
    </w:p>
    <w:p w14:paraId="65315AE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三、关于弃标的说明：</w:t>
      </w:r>
    </w:p>
    <w:p w14:paraId="1AAAF79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根据《关于促进政府采购公平竞争优化营商环境的通知》要求。供应商若不参与项目投标，应在递交投标文件截止前以书面形式（详见附件6，签字盖章后发送邮箱971821615@qq.com）告知采购代理机构。否则，采购代理机构可以向财政部门反映情况并提供相应的佐证。供应商一年内出现累计三次该情形，将被监管部门记录为失信行为。"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若因为一些特殊原因不能参加本次</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活动</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，请务必在递交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文件截止前以书面形式</w:t>
      </w:r>
      <w:r>
        <w:rPr>
          <w:rFonts w:hint="eastAsia" w:ascii="仿宋" w:hAnsi="仿宋" w:eastAsia="仿宋" w:cs="仿宋"/>
          <w:color w:val="auto"/>
          <w:sz w:val="28"/>
          <w:szCs w:val="28"/>
          <w:highlight w:val="none"/>
          <w:lang w:val="en-US" w:eastAsia="zh-CN"/>
        </w:rPr>
        <w:t>发送不参与磋商告知函</w:t>
      </w:r>
      <w:r>
        <w:rPr>
          <w:rFonts w:hint="eastAsia" w:ascii="仿宋" w:hAnsi="仿宋" w:eastAsia="仿宋" w:cs="仿宋"/>
          <w:color w:val="auto"/>
          <w:sz w:val="28"/>
          <w:szCs w:val="28"/>
          <w:highlight w:val="none"/>
        </w:rPr>
        <w:t>，盖章后发送邮箱</w:t>
      </w:r>
      <w:r>
        <w:rPr>
          <w:rFonts w:hint="eastAsia" w:ascii="仿宋" w:hAnsi="仿宋" w:eastAsia="仿宋" w:cs="仿宋"/>
          <w:color w:val="auto"/>
          <w:sz w:val="28"/>
          <w:szCs w:val="28"/>
          <w:highlight w:val="none"/>
          <w:lang w:val="en-US" w:eastAsia="zh-CN"/>
        </w:rPr>
        <w:t>1506257048</w:t>
      </w:r>
      <w:r>
        <w:rPr>
          <w:rFonts w:hint="eastAsia" w:ascii="仿宋" w:hAnsi="仿宋" w:eastAsia="仿宋" w:cs="仿宋"/>
          <w:color w:val="auto"/>
          <w:sz w:val="28"/>
          <w:szCs w:val="28"/>
          <w:highlight w:val="none"/>
        </w:rPr>
        <w:t>@qq.com</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告知采购代理机构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以便我们正常开展后期工作，感谢您的配合。</w:t>
      </w:r>
      <w:r>
        <w:rPr>
          <w:rFonts w:hint="eastAsia" w:ascii="仿宋" w:hAnsi="仿宋" w:eastAsia="仿宋" w:cs="仿宋"/>
          <w:color w:val="auto"/>
          <w:sz w:val="28"/>
          <w:szCs w:val="28"/>
          <w:highlight w:val="none"/>
        </w:rPr>
        <w:fldChar w:fldCharType="end"/>
      </w:r>
    </w:p>
    <w:p w14:paraId="4DD61B9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谨记上述提示，将有助您顺利地参加磋商。若有什么需要帮助，请您与我们的工作人员联系，我们将竭诚为您服务。</w:t>
      </w:r>
    </w:p>
    <w:p w14:paraId="58770A35">
      <w:pPr>
        <w:spacing w:line="450" w:lineRule="atLeast"/>
        <w:ind w:firstLine="420" w:firstLineChars="200"/>
        <w:rPr>
          <w:rFonts w:hint="eastAsia" w:ascii="仿宋" w:hAnsi="仿宋" w:eastAsia="仿宋" w:cs="仿宋"/>
          <w:color w:val="auto"/>
          <w:szCs w:val="24"/>
          <w:highlight w:val="none"/>
        </w:rPr>
        <w:sectPr>
          <w:footerReference r:id="rId10" w:type="first"/>
          <w:footerReference r:id="rId9" w:type="default"/>
          <w:pgSz w:w="11906" w:h="16838"/>
          <w:pgMar w:top="1417" w:right="1701" w:bottom="1417" w:left="1701" w:header="851" w:footer="992" w:gutter="0"/>
          <w:pgNumType w:fmt="decimal" w:start="1"/>
          <w:cols w:space="0" w:num="1"/>
          <w:titlePg/>
          <w:rtlGutter w:val="0"/>
          <w:docGrid w:type="lines" w:linePitch="312" w:charSpace="0"/>
        </w:sectPr>
      </w:pPr>
    </w:p>
    <w:p w14:paraId="5E826D27">
      <w:pPr>
        <w:spacing w:line="240" w:lineRule="auto"/>
        <w:rPr>
          <w:rFonts w:hint="eastAsia" w:ascii="仿宋" w:hAnsi="仿宋" w:eastAsia="仿宋" w:cs="仿宋"/>
          <w:color w:val="auto"/>
          <w:sz w:val="11"/>
          <w:szCs w:val="15"/>
          <w:highlight w:val="none"/>
          <w:lang w:val="en-US" w:eastAsia="zh-CN"/>
        </w:rPr>
      </w:pPr>
    </w:p>
    <w:p w14:paraId="0922728F">
      <w:pPr>
        <w:pStyle w:val="20"/>
        <w:rPr>
          <w:rFonts w:hint="eastAsia" w:ascii="仿宋" w:hAnsi="仿宋" w:eastAsia="仿宋" w:cs="仿宋"/>
          <w:color w:val="auto"/>
          <w:highlight w:val="none"/>
          <w:lang w:val="en-US" w:eastAsia="zh-CN"/>
        </w:rPr>
      </w:pPr>
    </w:p>
    <w:p w14:paraId="0FE613A9">
      <w:pPr>
        <w:pStyle w:val="12"/>
        <w:tabs>
          <w:tab w:val="right" w:leader="dot" w:pos="9072"/>
        </w:tabs>
        <w:spacing w:line="360" w:lineRule="auto"/>
        <w:jc w:val="center"/>
        <w:rPr>
          <w:rFonts w:hint="eastAsia" w:ascii="仿宋" w:hAnsi="仿宋" w:eastAsia="仿宋" w:cs="仿宋"/>
          <w:b/>
          <w:color w:val="auto"/>
          <w:sz w:val="48"/>
          <w:szCs w:val="48"/>
          <w:highlight w:val="none"/>
          <w:lang w:val="en-US" w:eastAsia="zh-CN"/>
        </w:rPr>
      </w:pPr>
      <w:r>
        <w:rPr>
          <w:rFonts w:hint="eastAsia" w:ascii="仿宋" w:hAnsi="仿宋" w:eastAsia="仿宋" w:cs="仿宋"/>
          <w:b/>
          <w:color w:val="auto"/>
          <w:sz w:val="48"/>
          <w:szCs w:val="48"/>
          <w:highlight w:val="none"/>
          <w:lang w:val="en-US" w:eastAsia="zh-CN"/>
        </w:rPr>
        <w:t>目录</w:t>
      </w:r>
    </w:p>
    <w:p w14:paraId="50E64221">
      <w:pPr>
        <w:pStyle w:val="12"/>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TOC \o "1-2" \h \u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_Toc7150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第一章竞争性磋商公告</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_Toc7150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1</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0BB4D96D">
      <w:pPr>
        <w:pStyle w:val="12"/>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_Toc8814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第二章供应商须知</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_Toc8814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6</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0ADB4B8E">
      <w:pPr>
        <w:pStyle w:val="12"/>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_Toc12014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w:t>
      </w:r>
      <w:r>
        <w:rPr>
          <w:rFonts w:hint="eastAsia" w:ascii="仿宋" w:hAnsi="仿宋" w:eastAsia="仿宋" w:cs="仿宋"/>
          <w:bCs/>
          <w:color w:val="auto"/>
          <w:kern w:val="2"/>
          <w:sz w:val="30"/>
          <w:szCs w:val="30"/>
          <w:highlight w:val="none"/>
          <w:lang w:val="en-US" w:eastAsia="zh-CN" w:bidi="ar-SA"/>
        </w:rPr>
        <w:t>三章磋商内容及要求</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_Toc12014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36</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bCs/>
          <w:color w:val="auto"/>
          <w:kern w:val="2"/>
          <w:sz w:val="30"/>
          <w:szCs w:val="30"/>
          <w:highlight w:val="none"/>
          <w:lang w:val="en-US" w:eastAsia="zh-CN" w:bidi="ar-SA"/>
        </w:rPr>
        <w:fldChar w:fldCharType="end"/>
      </w:r>
    </w:p>
    <w:p w14:paraId="1662969B">
      <w:pPr>
        <w:pStyle w:val="12"/>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_Toc20163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第四章合同条款及格式</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_Toc20163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41</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04E8A805">
      <w:pPr>
        <w:pStyle w:val="12"/>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_Toc3399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第五章磋商响应文件格式</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_Toc3399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8</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2F04E5C7">
      <w:pPr>
        <w:pStyle w:val="13"/>
        <w:tabs>
          <w:tab w:val="right" w:leader="dot" w:pos="8504"/>
        </w:tabs>
        <w:spacing w:line="360" w:lineRule="auto"/>
        <w:rPr>
          <w:rFonts w:hint="eastAsia" w:ascii="仿宋" w:hAnsi="仿宋" w:eastAsia="仿宋" w:cs="仿宋"/>
          <w:color w:val="auto"/>
          <w:kern w:val="2"/>
          <w:sz w:val="28"/>
          <w:szCs w:val="28"/>
          <w:highlight w:val="none"/>
          <w:lang w:val="en-US" w:eastAsia="zh-CN" w:bidi="ar-SA"/>
        </w:rPr>
      </w:pPr>
    </w:p>
    <w:p w14:paraId="22C5652B">
      <w:pPr>
        <w:numPr>
          <w:ilvl w:val="0"/>
          <w:numId w:val="1"/>
        </w:numPr>
        <w:snapToGrid w:val="0"/>
        <w:spacing w:line="360" w:lineRule="auto"/>
        <w:jc w:val="center"/>
        <w:outlineLvl w:val="0"/>
        <w:rPr>
          <w:rFonts w:hint="eastAsia" w:ascii="仿宋" w:hAnsi="仿宋" w:eastAsia="仿宋" w:cs="仿宋"/>
          <w:b/>
          <w:color w:val="auto"/>
          <w:sz w:val="36"/>
          <w:szCs w:val="36"/>
          <w:highlight w:val="none"/>
          <w:lang w:val="en-US" w:eastAsia="zh-CN"/>
        </w:rPr>
        <w:sectPr>
          <w:footerReference r:id="rId11" w:type="default"/>
          <w:pgSz w:w="11907" w:h="16840"/>
          <w:pgMar w:top="1440" w:right="1803" w:bottom="1440" w:left="1803" w:header="0" w:footer="898" w:gutter="0"/>
          <w:pgNumType w:start="1"/>
          <w:cols w:space="720" w:num="1"/>
          <w:formProt w:val="0"/>
          <w:docGrid w:linePitch="312" w:charSpace="0"/>
        </w:sectPr>
      </w:pPr>
      <w:r>
        <w:rPr>
          <w:rFonts w:hint="eastAsia" w:ascii="仿宋" w:hAnsi="仿宋" w:eastAsia="仿宋" w:cs="仿宋"/>
          <w:color w:val="auto"/>
          <w:kern w:val="2"/>
          <w:sz w:val="28"/>
          <w:szCs w:val="28"/>
          <w:highlight w:val="none"/>
          <w:lang w:val="en-US" w:eastAsia="zh-CN" w:bidi="ar-SA"/>
        </w:rPr>
        <w:fldChar w:fldCharType="end"/>
      </w:r>
    </w:p>
    <w:p w14:paraId="6AA5B577">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bookmarkStart w:id="0" w:name="_Toc7150"/>
      <w:r>
        <w:rPr>
          <w:rFonts w:hint="eastAsia" w:ascii="仿宋" w:hAnsi="仿宋" w:eastAsia="仿宋" w:cs="仿宋"/>
          <w:b/>
          <w:color w:val="auto"/>
          <w:sz w:val="36"/>
          <w:szCs w:val="36"/>
          <w:highlight w:val="none"/>
          <w:lang w:val="en-US" w:eastAsia="zh-CN"/>
        </w:rPr>
        <w:t>第一章竞争性磋商公告</w:t>
      </w:r>
      <w:bookmarkEnd w:id="0"/>
    </w:p>
    <w:p w14:paraId="10033BD1">
      <w:pPr>
        <w:pStyle w:val="16"/>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项目概况</w:t>
      </w:r>
    </w:p>
    <w:p w14:paraId="30C4C8B9">
      <w:pPr>
        <w:pStyle w:val="16"/>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single"/>
          <w:lang w:val="en-US" w:eastAsia="zh-CN"/>
        </w:rPr>
        <w:t>陕西省财政厅2026年厅网络机房基础设施维保服务项目（二次）</w:t>
      </w:r>
      <w:r>
        <w:rPr>
          <w:rFonts w:hint="eastAsia" w:ascii="仿宋" w:hAnsi="仿宋" w:eastAsia="仿宋" w:cs="仿宋"/>
          <w:color w:val="auto"/>
          <w:sz w:val="28"/>
          <w:szCs w:val="28"/>
          <w:highlight w:val="none"/>
          <w:lang w:val="en-US" w:eastAsia="zh-CN"/>
        </w:rPr>
        <w:t>的潜在供应商应在西安市南二环西段58号成长大厦8楼获取采购文件，并于2025年12月19日09时30分（北京时间）前提交响应文件。</w:t>
      </w:r>
    </w:p>
    <w:p w14:paraId="1C2944CF">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一、项目基本情况</w:t>
      </w:r>
    </w:p>
    <w:p w14:paraId="5F0996A7">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1、项目编号：HC-YCG-2025-105.1B1</w:t>
      </w:r>
    </w:p>
    <w:p w14:paraId="64809C8E">
      <w:pPr>
        <w:pStyle w:val="16"/>
        <w:keepNext w:val="0"/>
        <w:keepLines w:val="0"/>
        <w:pageBreakBefore w:val="0"/>
        <w:widowControl w:val="0"/>
        <w:kinsoku/>
        <w:wordWrap/>
        <w:overflowPunct/>
        <w:topLinePunct w:val="0"/>
        <w:autoSpaceDE/>
        <w:autoSpaceDN/>
        <w:bidi w:val="0"/>
        <w:adjustRightInd/>
        <w:snapToGrid/>
        <w:spacing w:line="480" w:lineRule="exact"/>
        <w:ind w:left="279" w:leftChars="133"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2、项目名称：陕西省财政厅2026年厅网络机房基础设施维保服务项目（二次）</w:t>
      </w:r>
    </w:p>
    <w:p w14:paraId="3908F4AF">
      <w:pPr>
        <w:pStyle w:val="16"/>
        <w:keepNext w:val="0"/>
        <w:keepLines w:val="0"/>
        <w:pageBreakBefore w:val="0"/>
        <w:widowControl w:val="0"/>
        <w:kinsoku/>
        <w:wordWrap/>
        <w:overflowPunct/>
        <w:topLinePunct w:val="0"/>
        <w:autoSpaceDE/>
        <w:autoSpaceDN/>
        <w:bidi w:val="0"/>
        <w:adjustRightInd/>
        <w:snapToGrid/>
        <w:spacing w:line="480" w:lineRule="exact"/>
        <w:ind w:left="279" w:leftChars="133"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3、采购方式：竞争性磋商</w:t>
      </w:r>
    </w:p>
    <w:p w14:paraId="24017E08">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4、预算金额：469000.00元。</w:t>
      </w:r>
    </w:p>
    <w:p w14:paraId="6EFCF8BF">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5、采购需求：</w:t>
      </w:r>
    </w:p>
    <w:tbl>
      <w:tblPr>
        <w:tblStyle w:val="18"/>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358"/>
        <w:gridCol w:w="2496"/>
        <w:gridCol w:w="966"/>
        <w:gridCol w:w="1620"/>
        <w:gridCol w:w="1501"/>
      </w:tblGrid>
      <w:tr w14:paraId="2C49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5" w:type="dxa"/>
            <w:vAlign w:val="center"/>
          </w:tcPr>
          <w:p w14:paraId="2D21438B">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品目号</w:t>
            </w:r>
          </w:p>
        </w:tc>
        <w:tc>
          <w:tcPr>
            <w:tcW w:w="1358" w:type="dxa"/>
            <w:vAlign w:val="center"/>
          </w:tcPr>
          <w:p w14:paraId="10BA11D4">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w:t>
            </w:r>
          </w:p>
          <w:p w14:paraId="15C54A0C">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w:t>
            </w:r>
          </w:p>
        </w:tc>
        <w:tc>
          <w:tcPr>
            <w:tcW w:w="2496" w:type="dxa"/>
            <w:vAlign w:val="center"/>
          </w:tcPr>
          <w:p w14:paraId="785F0ED0">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采购标的</w:t>
            </w:r>
          </w:p>
        </w:tc>
        <w:tc>
          <w:tcPr>
            <w:tcW w:w="966" w:type="dxa"/>
            <w:vAlign w:val="center"/>
          </w:tcPr>
          <w:p w14:paraId="2C3CE493">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p w14:paraId="157D2C4D">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620" w:type="dxa"/>
            <w:vAlign w:val="center"/>
          </w:tcPr>
          <w:p w14:paraId="368937D9">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技术规格、参数及要求</w:t>
            </w:r>
          </w:p>
        </w:tc>
        <w:tc>
          <w:tcPr>
            <w:tcW w:w="1501" w:type="dxa"/>
            <w:vAlign w:val="center"/>
          </w:tcPr>
          <w:p w14:paraId="756E0641">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w:t>
            </w:r>
          </w:p>
        </w:tc>
      </w:tr>
      <w:tr w14:paraId="2286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15" w:type="dxa"/>
            <w:vAlign w:val="center"/>
          </w:tcPr>
          <w:p w14:paraId="38FED19E">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1358" w:type="dxa"/>
            <w:vAlign w:val="center"/>
          </w:tcPr>
          <w:p w14:paraId="42B30A3F">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其他运行维护服务</w:t>
            </w:r>
          </w:p>
        </w:tc>
        <w:tc>
          <w:tcPr>
            <w:tcW w:w="2496" w:type="dxa"/>
            <w:vAlign w:val="center"/>
          </w:tcPr>
          <w:p w14:paraId="4B49B9B9">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购买省信息化中心财政八楼机房、厅十楼机房基础设施维保服务。</w:t>
            </w:r>
          </w:p>
        </w:tc>
        <w:tc>
          <w:tcPr>
            <w:tcW w:w="966" w:type="dxa"/>
            <w:vAlign w:val="center"/>
          </w:tcPr>
          <w:p w14:paraId="086623E0">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w:t>
            </w:r>
          </w:p>
        </w:tc>
        <w:tc>
          <w:tcPr>
            <w:tcW w:w="1620" w:type="dxa"/>
            <w:vAlign w:val="center"/>
          </w:tcPr>
          <w:p w14:paraId="1E77AE38">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详见采购</w:t>
            </w:r>
          </w:p>
          <w:p w14:paraId="1E840A7A">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文件</w:t>
            </w:r>
          </w:p>
        </w:tc>
        <w:tc>
          <w:tcPr>
            <w:tcW w:w="1501" w:type="dxa"/>
            <w:vAlign w:val="center"/>
          </w:tcPr>
          <w:p w14:paraId="43C6DD8F">
            <w:pPr>
              <w:pStyle w:val="1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469000.00</w:t>
            </w:r>
          </w:p>
        </w:tc>
      </w:tr>
    </w:tbl>
    <w:p w14:paraId="630D95D4">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本项目不接受联合体磋商。</w:t>
      </w:r>
    </w:p>
    <w:p w14:paraId="2D817509">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服务时间：</w:t>
      </w:r>
      <w:r>
        <w:rPr>
          <w:rFonts w:hint="eastAsia" w:ascii="仿宋" w:hAnsi="仿宋" w:eastAsia="仿宋" w:cs="仿宋"/>
          <w:color w:val="auto"/>
          <w:kern w:val="2"/>
          <w:sz w:val="28"/>
          <w:szCs w:val="28"/>
          <w:highlight w:val="none"/>
          <w:lang w:val="en-US" w:eastAsia="zh-CN" w:bidi="ar-SA"/>
        </w:rPr>
        <w:t>一年</w:t>
      </w:r>
      <w:r>
        <w:rPr>
          <w:rFonts w:hint="eastAsia" w:ascii="仿宋" w:hAnsi="仿宋" w:eastAsia="仿宋" w:cs="仿宋"/>
          <w:color w:val="auto"/>
          <w:sz w:val="28"/>
          <w:szCs w:val="28"/>
          <w:highlight w:val="none"/>
          <w:lang w:val="en-US" w:eastAsia="zh-CN"/>
        </w:rPr>
        <w:t>。</w:t>
      </w:r>
    </w:p>
    <w:p w14:paraId="049B3E7D">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二、申请人的资格要求</w:t>
      </w:r>
    </w:p>
    <w:p w14:paraId="5E26DFCB">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w:t>
      </w:r>
      <w:bookmarkStart w:id="57" w:name="_GoBack"/>
      <w:bookmarkEnd w:id="57"/>
      <w:r>
        <w:rPr>
          <w:rFonts w:hint="eastAsia" w:ascii="仿宋" w:hAnsi="仿宋" w:eastAsia="仿宋" w:cs="仿宋"/>
          <w:color w:val="auto"/>
          <w:sz w:val="28"/>
          <w:szCs w:val="28"/>
          <w:highlight w:val="none"/>
          <w:lang w:val="en-US" w:eastAsia="zh-CN"/>
        </w:rPr>
        <w:t>华人民共和国政府采购法》第二十二条规定；</w:t>
      </w:r>
    </w:p>
    <w:p w14:paraId="507727F3">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2、落实政府采购政策需满足的资格要求：属于非专门面向中小企业采购；</w:t>
      </w:r>
    </w:p>
    <w:p w14:paraId="07315E5A">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14:paraId="7141DC43">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、其他组织或自然人，并出具合法有效的营业执照等证明文件，自然人参与的提供其身份证；</w:t>
      </w:r>
    </w:p>
    <w:p w14:paraId="3020477A">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5671E6F6">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32DF9FC">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35A1789E">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提供参加本次政府采购活动前3年内，在经营活动中没有重大违法记录的书面声明；</w:t>
      </w:r>
    </w:p>
    <w:p w14:paraId="03764AC5">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财务状况报告：提供具有财务审计资质单位出具的202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4C887823">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55FEFF7E">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1995F655">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磋商，供应商负责人为同一人或者存在控股、管理关系的不同单位，不得参加同一项目。</w:t>
      </w:r>
    </w:p>
    <w:p w14:paraId="4646442C">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三、获取采购文件</w:t>
      </w:r>
    </w:p>
    <w:p w14:paraId="75D530DE">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时间：2025年12月08日至2025年12月15日，每天上午09:00:00至12:00:00，下午14:00:00至18:00:00（北京时间，法定节假日除外）</w:t>
      </w:r>
    </w:p>
    <w:p w14:paraId="62DBF52B">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40C87464">
      <w:pPr>
        <w:pStyle w:val="2"/>
        <w:keepNext w:val="0"/>
        <w:keepLines w:val="0"/>
        <w:pageBreakBefore w:val="0"/>
        <w:widowControl w:val="0"/>
        <w:kinsoku/>
        <w:wordWrap/>
        <w:overflowPunct/>
        <w:topLinePunct w:val="0"/>
        <w:autoSpaceDE/>
        <w:autoSpaceDN/>
        <w:bidi w:val="0"/>
        <w:adjustRightInd/>
        <w:snapToGrid/>
        <w:spacing w:line="360" w:lineRule="auto"/>
        <w:ind w:left="23" w:right="23"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获取方式：线下获取（电子邮箱获取）。</w:t>
      </w:r>
    </w:p>
    <w:p w14:paraId="55AB5B51">
      <w:pPr>
        <w:pStyle w:val="2"/>
        <w:keepNext w:val="0"/>
        <w:keepLines w:val="0"/>
        <w:pageBreakBefore w:val="0"/>
        <w:widowControl w:val="0"/>
        <w:kinsoku/>
        <w:wordWrap/>
        <w:overflowPunct/>
        <w:topLinePunct w:val="0"/>
        <w:autoSpaceDE/>
        <w:autoSpaceDN/>
        <w:bidi w:val="0"/>
        <w:adjustRightInd/>
        <w:snapToGrid/>
        <w:spacing w:line="360" w:lineRule="auto"/>
        <w:ind w:right="23"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有意向供应商在竞争性磋商文件发售时间段内将介绍信及经办人身份证复印件加盖公章（PDF彩色扫描件）一套发送至邮箱（1506257048@qq.com）审核后，工作人员会予以回复，即为报名成功。（所有扫描件如有造假，后果自负。邮件名称：项目名称+供应商名称+联系人电话）售价：300元。</w:t>
      </w:r>
    </w:p>
    <w:p w14:paraId="73957E05">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四、响应文件提交</w:t>
      </w:r>
    </w:p>
    <w:p w14:paraId="769DF212">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截止时间：2025年12月19日09时30分（北京时间）</w:t>
      </w:r>
    </w:p>
    <w:p w14:paraId="5F0CE099">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44211EE4">
      <w:pPr>
        <w:pStyle w:val="16"/>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开启</w:t>
      </w:r>
    </w:p>
    <w:p w14:paraId="2F283AAA">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时间：2025年12月19日09时30分（北京时间）</w:t>
      </w:r>
    </w:p>
    <w:p w14:paraId="4806FBC4">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11A4FEFD">
      <w:pPr>
        <w:pStyle w:val="16"/>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公告期限</w:t>
      </w:r>
    </w:p>
    <w:p w14:paraId="0B28DE4C">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自本公告发布之日起3个工作日。</w:t>
      </w:r>
    </w:p>
    <w:p w14:paraId="1F5F9B95">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七、其他补充事宜</w:t>
      </w:r>
    </w:p>
    <w:p w14:paraId="3DB9D748">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（1）财政部、国家发展改革委《关于印发〈节能产品政府采购实施意见〉的通知》（财库〔2004〕185号）；</w:t>
      </w:r>
    </w:p>
    <w:p w14:paraId="0C63296F">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（2）财政部、国家环保总局联合印发《关于环境标志产品政府采购实施的意见》（财库〔2006〕90号）；</w:t>
      </w:r>
    </w:p>
    <w:p w14:paraId="2EE01BDD">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（3）《国务院办公厅关于建立政府强制采购节能产品制度的通知》（国发办〔2007〕51号）；</w:t>
      </w:r>
    </w:p>
    <w:p w14:paraId="6A740AD0">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（4）《财政部司法部关于政府采购支持监狱企业发展有关问题的通知》（财库〔2014〕68号）；</w:t>
      </w:r>
    </w:p>
    <w:p w14:paraId="2AF97D6E">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（5）《三部门联合发布关于促进残疾人就业政府采购政策的通知》（财库〔2017〕141号）；</w:t>
      </w:r>
    </w:p>
    <w:p w14:paraId="1954F2CB">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（6）陕西省财政厅关于印发《陕西省中小企业政府采购信用融资办法》（陕财办采〔2018〕23号）；</w:t>
      </w:r>
    </w:p>
    <w:p w14:paraId="0E6FBA06">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（7）《财政部发展改革委生态环境部市场监管总局关于调整优化节能产品、环境标志产品政府采购执行机制的通知》（财库〔2019〕9号）；</w:t>
      </w:r>
    </w:p>
    <w:p w14:paraId="5382B350">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（8）关于印发环境标志产品政府采购品目清单的通知（财库〔2019〕18号）；</w:t>
      </w:r>
    </w:p>
    <w:p w14:paraId="61E44863">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（9）《关于印发节能产品政府采购品目清单的通知》（财库〔2019〕19号）；</w:t>
      </w:r>
    </w:p>
    <w:p w14:paraId="5EAB55DF">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（10）《政府采购促进中小企业发展管理办法》（财库〔2020〕46号）；</w:t>
      </w:r>
    </w:p>
    <w:p w14:paraId="2CF5CFDF">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（11）《财政部、农业农村部、国家乡村振兴局关于运用政府采购政策支持乡村产业振兴的通知》（财库〔2021〕19号）；</w:t>
      </w:r>
    </w:p>
    <w:p w14:paraId="37C8B5E6">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（12）其他需要落实的政府采购政策。</w:t>
      </w:r>
    </w:p>
    <w:p w14:paraId="0E591E54">
      <w:pPr>
        <w:pStyle w:val="16"/>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注：请供应商按照陕西省财政厅关于政府采购供应商注册登记有关事项的通知中的要求，通过陕西省政府采购网（http://www.ccgp-shaanxi.gov.cn/）注册登记加入陕西省政府采购供应商库。</w:t>
      </w:r>
    </w:p>
    <w:p w14:paraId="339BE978">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八、凡对本次采购提出询问，请按以下方式联系。</w:t>
      </w:r>
    </w:p>
    <w:p w14:paraId="0E8BBB20">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14:paraId="6DD89722">
      <w:pPr>
        <w:pStyle w:val="16"/>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3B3151E1">
      <w:pPr>
        <w:pStyle w:val="16"/>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地址：西安市北院门街道冰窖巷</w:t>
      </w:r>
    </w:p>
    <w:p w14:paraId="7333BDF4">
      <w:pPr>
        <w:pStyle w:val="16"/>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联系人：高严肃</w:t>
      </w:r>
    </w:p>
    <w:p w14:paraId="24D9EF83">
      <w:pPr>
        <w:pStyle w:val="16"/>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联系电话：029-68939289</w:t>
      </w:r>
    </w:p>
    <w:p w14:paraId="1FA87459">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14:paraId="13CCD41B">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kern w:val="2"/>
          <w:sz w:val="28"/>
          <w:szCs w:val="28"/>
          <w:highlight w:val="none"/>
          <w:lang w:val="en-US" w:eastAsia="zh-CN" w:bidi="ar-SA"/>
        </w:rPr>
        <w:t>代理机构：华春建设工程项目管理有限责任公司</w:t>
      </w:r>
    </w:p>
    <w:p w14:paraId="19E05335">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地址：</w:t>
      </w:r>
      <w:r>
        <w:rPr>
          <w:rFonts w:hint="eastAsia" w:ascii="仿宋" w:hAnsi="仿宋" w:eastAsia="仿宋" w:cs="仿宋"/>
          <w:color w:val="auto"/>
          <w:sz w:val="28"/>
          <w:szCs w:val="28"/>
          <w:highlight w:val="none"/>
          <w:lang w:val="en-US" w:eastAsia="zh-CN"/>
        </w:rPr>
        <w:t>西安市南二环西段58号成长大厦8楼</w:t>
      </w:r>
    </w:p>
    <w:p w14:paraId="1D4DC021">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联系人：陈辉、张工</w:t>
      </w:r>
    </w:p>
    <w:p w14:paraId="2B34D73F">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联系电话：18392767108</w:t>
      </w:r>
    </w:p>
    <w:p w14:paraId="7D3433C8">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8"/>
          <w:szCs w:val="28"/>
          <w:highlight w:val="none"/>
          <w:lang w:val="en-US" w:eastAsia="zh-CN"/>
        </w:rPr>
      </w:pPr>
    </w:p>
    <w:p w14:paraId="69C659B7">
      <w:pPr>
        <w:keepNext w:val="0"/>
        <w:keepLines w:val="0"/>
        <w:pageBreakBefore w:val="0"/>
        <w:widowControl w:val="0"/>
        <w:kinsoku/>
        <w:wordWrap/>
        <w:overflowPunct/>
        <w:topLinePunct w:val="0"/>
        <w:autoSpaceDE/>
        <w:autoSpaceDN/>
        <w:bidi w:val="0"/>
        <w:adjustRightInd/>
        <w:snapToGrid w:val="0"/>
        <w:spacing w:line="360" w:lineRule="auto"/>
        <w:ind w:left="4791" w:leftChars="1748" w:hanging="1120" w:hangingChars="4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华春建设工程项目管理有限责任公司</w:t>
      </w:r>
      <w:r>
        <w:rPr>
          <w:rFonts w:hint="eastAsia" w:ascii="仿宋" w:hAnsi="仿宋" w:eastAsia="仿宋" w:cs="仿宋"/>
          <w:color w:val="auto"/>
          <w:sz w:val="28"/>
          <w:szCs w:val="28"/>
          <w:highlight w:val="none"/>
          <w:lang w:val="en-US" w:eastAsia="zh-CN"/>
        </w:rPr>
        <w:t>2025年12月08日</w:t>
      </w:r>
    </w:p>
    <w:p w14:paraId="6DC824DC">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br w:type="page"/>
      </w:r>
    </w:p>
    <w:p w14:paraId="0B649986">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bookmarkStart w:id="1" w:name="_Toc8814"/>
      <w:r>
        <w:rPr>
          <w:rFonts w:hint="eastAsia" w:ascii="仿宋" w:hAnsi="仿宋" w:eastAsia="仿宋" w:cs="仿宋"/>
          <w:b/>
          <w:color w:val="auto"/>
          <w:kern w:val="2"/>
          <w:sz w:val="36"/>
          <w:szCs w:val="36"/>
          <w:highlight w:val="none"/>
          <w:lang w:val="en-US" w:eastAsia="zh-CN" w:bidi="ar-SA"/>
        </w:rPr>
        <w:t>第二章</w:t>
      </w:r>
      <w:r>
        <w:rPr>
          <w:rFonts w:hint="eastAsia" w:ascii="仿宋" w:hAnsi="仿宋" w:eastAsia="仿宋" w:cs="仿宋"/>
          <w:b/>
          <w:color w:val="auto"/>
          <w:sz w:val="36"/>
          <w:szCs w:val="36"/>
          <w:highlight w:val="none"/>
          <w:lang w:val="en-US" w:eastAsia="zh-CN"/>
        </w:rPr>
        <w:t>供应商须知</w:t>
      </w:r>
      <w:bookmarkEnd w:id="1"/>
    </w:p>
    <w:p w14:paraId="7D352D5C">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供应商</w:t>
      </w:r>
      <w:r>
        <w:rPr>
          <w:rFonts w:hint="eastAsia" w:ascii="仿宋" w:hAnsi="仿宋" w:eastAsia="仿宋" w:cs="仿宋"/>
          <w:b/>
          <w:color w:val="auto"/>
          <w:sz w:val="32"/>
          <w:szCs w:val="32"/>
          <w:highlight w:val="none"/>
          <w:lang w:eastAsia="zh-CN"/>
        </w:rPr>
        <w:t>须知前附</w:t>
      </w:r>
      <w:r>
        <w:rPr>
          <w:rFonts w:hint="eastAsia" w:ascii="仿宋" w:hAnsi="仿宋" w:eastAsia="仿宋" w:cs="仿宋"/>
          <w:b/>
          <w:color w:val="auto"/>
          <w:sz w:val="32"/>
          <w:szCs w:val="32"/>
          <w:highlight w:val="none"/>
        </w:rPr>
        <w:t>表</w:t>
      </w:r>
    </w:p>
    <w:p w14:paraId="7597D7F0">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（本表是对磋商须知的提示、补充和修改，如有矛盾，应以本表为准。）</w:t>
      </w:r>
    </w:p>
    <w:tbl>
      <w:tblPr>
        <w:tblStyle w:val="17"/>
        <w:tblW w:w="9740"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0"/>
        <w:gridCol w:w="2060"/>
        <w:gridCol w:w="6840"/>
      </w:tblGrid>
      <w:tr w14:paraId="4B4653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jc w:val="center"/>
        </w:trPr>
        <w:tc>
          <w:tcPr>
            <w:tcW w:w="840" w:type="dxa"/>
            <w:vAlign w:val="top"/>
          </w:tcPr>
          <w:p w14:paraId="078DBEF7">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序号</w:t>
            </w:r>
          </w:p>
        </w:tc>
        <w:tc>
          <w:tcPr>
            <w:tcW w:w="2060" w:type="dxa"/>
            <w:vAlign w:val="top"/>
          </w:tcPr>
          <w:p w14:paraId="4AD79989">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条款内容提示</w:t>
            </w:r>
          </w:p>
        </w:tc>
        <w:tc>
          <w:tcPr>
            <w:tcW w:w="6840" w:type="dxa"/>
            <w:vAlign w:val="top"/>
          </w:tcPr>
          <w:p w14:paraId="3E479736">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编列内容</w:t>
            </w:r>
          </w:p>
        </w:tc>
      </w:tr>
      <w:tr w14:paraId="75522D7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7" w:hRule="atLeast"/>
          <w:jc w:val="center"/>
        </w:trPr>
        <w:tc>
          <w:tcPr>
            <w:tcW w:w="840" w:type="dxa"/>
            <w:vAlign w:val="center"/>
          </w:tcPr>
          <w:p w14:paraId="0C312C5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p>
        </w:tc>
        <w:tc>
          <w:tcPr>
            <w:tcW w:w="2060" w:type="dxa"/>
            <w:vAlign w:val="center"/>
          </w:tcPr>
          <w:p w14:paraId="5E2BA63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6840" w:type="dxa"/>
            <w:vAlign w:val="center"/>
          </w:tcPr>
          <w:p w14:paraId="1FE4D06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3C682DA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地址：西安市北院门街道冰窖巷</w:t>
            </w:r>
          </w:p>
          <w:p w14:paraId="0022CEDE">
            <w:pPr>
              <w:keepNext w:val="0"/>
              <w:keepLines w:val="0"/>
              <w:pageBreakBefore w:val="0"/>
              <w:widowControl w:val="0"/>
              <w:kinsoku/>
              <w:wordWrap/>
              <w:overflowPunct/>
              <w:topLinePunct w:val="0"/>
              <w:autoSpaceDE/>
              <w:autoSpaceDN/>
              <w:bidi w:val="0"/>
              <w:spacing w:line="48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联系人：高严肃</w:t>
            </w:r>
          </w:p>
          <w:p w14:paraId="03D641A8">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联系电话：029-68939289</w:t>
            </w:r>
          </w:p>
        </w:tc>
      </w:tr>
      <w:tr w14:paraId="131554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32" w:hRule="atLeast"/>
          <w:jc w:val="center"/>
        </w:trPr>
        <w:tc>
          <w:tcPr>
            <w:tcW w:w="840" w:type="dxa"/>
            <w:vAlign w:val="center"/>
          </w:tcPr>
          <w:p w14:paraId="0F0E7D4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w:t>
            </w:r>
          </w:p>
        </w:tc>
        <w:tc>
          <w:tcPr>
            <w:tcW w:w="2060" w:type="dxa"/>
            <w:vAlign w:val="center"/>
          </w:tcPr>
          <w:p w14:paraId="4ECCE2D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tc>
        <w:tc>
          <w:tcPr>
            <w:tcW w:w="6840" w:type="dxa"/>
            <w:vAlign w:val="center"/>
          </w:tcPr>
          <w:p w14:paraId="05DF72A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代理机构：华春建设工程项目管理有限责任公司</w:t>
            </w:r>
          </w:p>
          <w:p w14:paraId="29C21FC9">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地址：西安市南二环西段58号成长大厦8楼</w:t>
            </w:r>
          </w:p>
          <w:p w14:paraId="0CDD3C57">
            <w:pPr>
              <w:keepNext w:val="0"/>
              <w:keepLines w:val="0"/>
              <w:pageBreakBefore w:val="0"/>
              <w:widowControl w:val="0"/>
              <w:kinsoku/>
              <w:wordWrap/>
              <w:overflowPunct/>
              <w:topLinePunct w:val="0"/>
              <w:autoSpaceDE/>
              <w:autoSpaceDN/>
              <w:bidi w:val="0"/>
              <w:spacing w:line="48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联系人：陈辉、张工</w:t>
            </w:r>
          </w:p>
          <w:p w14:paraId="13DC9D58">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tc>
      </w:tr>
      <w:tr w14:paraId="3415A76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atLeast"/>
          <w:jc w:val="center"/>
        </w:trPr>
        <w:tc>
          <w:tcPr>
            <w:tcW w:w="840" w:type="dxa"/>
            <w:vAlign w:val="center"/>
          </w:tcPr>
          <w:p w14:paraId="16CD0D5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2060" w:type="dxa"/>
            <w:vAlign w:val="center"/>
          </w:tcPr>
          <w:p w14:paraId="02DD1DB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w:t>
            </w:r>
          </w:p>
        </w:tc>
        <w:tc>
          <w:tcPr>
            <w:tcW w:w="6840" w:type="dxa"/>
            <w:vAlign w:val="center"/>
          </w:tcPr>
          <w:p w14:paraId="0325ADE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内容及要求</w:t>
            </w:r>
          </w:p>
        </w:tc>
      </w:tr>
      <w:tr w14:paraId="5E6206D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72DDAC6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2060" w:type="dxa"/>
            <w:vAlign w:val="center"/>
          </w:tcPr>
          <w:p w14:paraId="43F8751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6840" w:type="dxa"/>
            <w:vAlign w:val="center"/>
          </w:tcPr>
          <w:p w14:paraId="15A7EA0C">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采购人指定地点</w:t>
            </w:r>
          </w:p>
        </w:tc>
      </w:tr>
      <w:tr w14:paraId="6941D9B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840" w:type="dxa"/>
            <w:vAlign w:val="center"/>
          </w:tcPr>
          <w:p w14:paraId="0102661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2060" w:type="dxa"/>
            <w:vAlign w:val="center"/>
          </w:tcPr>
          <w:p w14:paraId="7C4F899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联合体形式</w:t>
            </w:r>
          </w:p>
        </w:tc>
        <w:tc>
          <w:tcPr>
            <w:tcW w:w="6840" w:type="dxa"/>
            <w:vAlign w:val="center"/>
          </w:tcPr>
          <w:p w14:paraId="648627F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不接受联合体磋商</w:t>
            </w:r>
          </w:p>
        </w:tc>
      </w:tr>
      <w:tr w14:paraId="1A566A6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64C104C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w:t>
            </w:r>
          </w:p>
        </w:tc>
        <w:tc>
          <w:tcPr>
            <w:tcW w:w="2060" w:type="dxa"/>
            <w:vAlign w:val="center"/>
          </w:tcPr>
          <w:p w14:paraId="3D80508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备选方案</w:t>
            </w:r>
          </w:p>
        </w:tc>
        <w:tc>
          <w:tcPr>
            <w:tcW w:w="6840" w:type="dxa"/>
            <w:vAlign w:val="center"/>
          </w:tcPr>
          <w:p w14:paraId="3399C0D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不允许提供</w:t>
            </w:r>
          </w:p>
        </w:tc>
      </w:tr>
      <w:tr w14:paraId="38E3EA3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3AC139D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2060" w:type="dxa"/>
            <w:vAlign w:val="center"/>
          </w:tcPr>
          <w:p w14:paraId="6251C08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磋商有效期</w:t>
            </w:r>
          </w:p>
        </w:tc>
        <w:tc>
          <w:tcPr>
            <w:tcW w:w="6840" w:type="dxa"/>
            <w:vAlign w:val="center"/>
          </w:tcPr>
          <w:p w14:paraId="72AD9B38">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响应文件及法定代表人授权书从磋商之日起，响应有效期为</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w:t>
            </w:r>
          </w:p>
        </w:tc>
      </w:tr>
      <w:tr w14:paraId="72FFA56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840" w:type="dxa"/>
            <w:vAlign w:val="center"/>
          </w:tcPr>
          <w:p w14:paraId="44D3064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2060" w:type="dxa"/>
            <w:vAlign w:val="center"/>
          </w:tcPr>
          <w:p w14:paraId="236A008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保证金</w:t>
            </w:r>
          </w:p>
        </w:tc>
        <w:tc>
          <w:tcPr>
            <w:tcW w:w="6840" w:type="dxa"/>
            <w:vAlign w:val="center"/>
          </w:tcPr>
          <w:p w14:paraId="7B870C1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无需缴纳</w:t>
            </w:r>
          </w:p>
        </w:tc>
      </w:tr>
      <w:tr w14:paraId="2A05AD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55371B5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2060" w:type="dxa"/>
            <w:vAlign w:val="center"/>
          </w:tcPr>
          <w:p w14:paraId="59FF911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现场勘查、</w:t>
            </w:r>
          </w:p>
          <w:p w14:paraId="705F586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标前答疑会</w:t>
            </w:r>
          </w:p>
        </w:tc>
        <w:tc>
          <w:tcPr>
            <w:tcW w:w="6840" w:type="dxa"/>
            <w:vAlign w:val="center"/>
          </w:tcPr>
          <w:p w14:paraId="56F36C5B">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1、不组织。采购人认为有必要的，另行书面通知。</w:t>
            </w:r>
          </w:p>
          <w:p w14:paraId="29482C47">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2、供应商根据自身情况及需要，自行组织踏勘（一切费用自理）。</w:t>
            </w:r>
          </w:p>
        </w:tc>
      </w:tr>
      <w:tr w14:paraId="0067154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40" w:type="dxa"/>
            <w:vAlign w:val="center"/>
          </w:tcPr>
          <w:p w14:paraId="0BF598B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060" w:type="dxa"/>
            <w:vAlign w:val="center"/>
          </w:tcPr>
          <w:p w14:paraId="4858BEE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服务期</w:t>
            </w:r>
          </w:p>
        </w:tc>
        <w:tc>
          <w:tcPr>
            <w:tcW w:w="6840" w:type="dxa"/>
            <w:vAlign w:val="center"/>
          </w:tcPr>
          <w:p w14:paraId="66D49E3F">
            <w:pPr>
              <w:widowControl/>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2026年1月1日至2026年12月31日</w:t>
            </w:r>
          </w:p>
        </w:tc>
      </w:tr>
      <w:tr w14:paraId="0CB4A78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840" w:type="dxa"/>
            <w:vAlign w:val="center"/>
          </w:tcPr>
          <w:p w14:paraId="4A3D964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2060" w:type="dxa"/>
            <w:vAlign w:val="center"/>
          </w:tcPr>
          <w:p w14:paraId="6C216F1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采购预算价</w:t>
            </w:r>
          </w:p>
        </w:tc>
        <w:tc>
          <w:tcPr>
            <w:tcW w:w="6840" w:type="dxa"/>
            <w:vAlign w:val="center"/>
          </w:tcPr>
          <w:p w14:paraId="34AA2E50">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预算金额：469000.00元，其中厅网络机房基础设施维保预算金额382000.00元，信息化八楼财政机房维保预算金额87000.00元。</w:t>
            </w:r>
          </w:p>
          <w:p w14:paraId="374BF697">
            <w:pPr>
              <w:keepNext w:val="0"/>
              <w:keepLines w:val="0"/>
              <w:pageBreakBefore w:val="0"/>
              <w:widowControl w:val="0"/>
              <w:kinsoku/>
              <w:wordWrap/>
              <w:overflowPunct/>
              <w:topLinePunct w:val="0"/>
              <w:autoSpaceDE/>
              <w:autoSpaceDN/>
              <w:bidi w:val="0"/>
              <w:spacing w:line="480" w:lineRule="exact"/>
              <w:jc w:val="left"/>
              <w:textAlignment w:val="auto"/>
              <w:rPr>
                <w:rFonts w:hint="default"/>
                <w:highlight w:val="none"/>
                <w:lang w:val="en-US" w:eastAsia="zh-CN"/>
              </w:rPr>
            </w:pPr>
            <w:r>
              <w:rPr>
                <w:rFonts w:hint="eastAsia" w:ascii="仿宋" w:hAnsi="仿宋" w:eastAsia="仿宋" w:cs="仿宋"/>
                <w:color w:val="auto"/>
                <w:sz w:val="28"/>
                <w:szCs w:val="28"/>
                <w:highlight w:val="none"/>
                <w:lang w:val="zh-CN" w:eastAsia="zh-CN"/>
              </w:rPr>
              <w:t>（供应商磋商报价超出</w:t>
            </w:r>
            <w:r>
              <w:rPr>
                <w:rFonts w:hint="eastAsia" w:ascii="仿宋" w:hAnsi="仿宋" w:eastAsia="仿宋" w:cs="仿宋"/>
                <w:color w:val="auto"/>
                <w:sz w:val="28"/>
                <w:szCs w:val="28"/>
                <w:highlight w:val="none"/>
                <w:lang w:val="en-US" w:eastAsia="zh-CN"/>
              </w:rPr>
              <w:t>采购预算</w:t>
            </w:r>
            <w:r>
              <w:rPr>
                <w:rFonts w:hint="eastAsia" w:ascii="仿宋" w:hAnsi="仿宋" w:eastAsia="仿宋" w:cs="仿宋"/>
                <w:color w:val="auto"/>
                <w:sz w:val="28"/>
                <w:szCs w:val="28"/>
                <w:highlight w:val="none"/>
                <w:lang w:val="zh-CN" w:eastAsia="zh-CN"/>
              </w:rPr>
              <w:t>最高限价的，作为不实质性响应磋商文件，按无效响应文件处理。）</w:t>
            </w:r>
          </w:p>
        </w:tc>
      </w:tr>
      <w:tr w14:paraId="33BE149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840" w:type="dxa"/>
            <w:vAlign w:val="center"/>
          </w:tcPr>
          <w:p w14:paraId="2E0146E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2060" w:type="dxa"/>
            <w:vAlign w:val="center"/>
          </w:tcPr>
          <w:p w14:paraId="7276859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服务标准</w:t>
            </w:r>
          </w:p>
        </w:tc>
        <w:tc>
          <w:tcPr>
            <w:tcW w:w="6840" w:type="dxa"/>
            <w:vAlign w:val="center"/>
          </w:tcPr>
          <w:p w14:paraId="3B85714F">
            <w:pPr>
              <w:keepNext w:val="0"/>
              <w:keepLines w:val="0"/>
              <w:pageBreakBefore w:val="0"/>
              <w:widowControl w:val="0"/>
              <w:kinsoku/>
              <w:wordWrap/>
              <w:overflowPunct/>
              <w:topLinePunct w:val="0"/>
              <w:autoSpaceDE/>
              <w:autoSpaceDN/>
              <w:bidi w:val="0"/>
              <w:spacing w:line="48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符合采购人要求。</w:t>
            </w:r>
          </w:p>
        </w:tc>
      </w:tr>
      <w:tr w14:paraId="3D515DE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3685C63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c>
          <w:tcPr>
            <w:tcW w:w="2060" w:type="dxa"/>
            <w:vAlign w:val="center"/>
          </w:tcPr>
          <w:p w14:paraId="1FE86BC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供应商提出询问和质疑的时间</w:t>
            </w:r>
          </w:p>
        </w:tc>
        <w:tc>
          <w:tcPr>
            <w:tcW w:w="6840" w:type="dxa"/>
            <w:vAlign w:val="center"/>
          </w:tcPr>
          <w:p w14:paraId="0FFE795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供应商提出质疑应当提交质疑函和必要的证明材料原件，代理机构不接受传真、电子邮件、复印件等形式的质疑材料。</w:t>
            </w:r>
          </w:p>
          <w:p w14:paraId="53705228">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疑函须按财政部《质疑函范本》给定的格式进行填写，范本下载详见【财政部国库司（gks.mof.gov.cn）】网站〖首页·政府采购管理〗栏目中的《政府采购供应商质疑函范本》。《政府采购供应商质疑函范本》链接地址：</w:t>
            </w:r>
          </w:p>
          <w:p w14:paraId="013565A1">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http://www.mof.gov.cn/gp/xxgkml/gks/201802/t20180201_2804587.htm</w:t>
            </w:r>
          </w:p>
          <w:p w14:paraId="59E3697A">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供应商为自然人的，应当由本人签字；供应商为法定代表人或者其他组织的，应当由法定代表人、主要负责人，或者其授权代表（附法定代表人代表授权书）签字或者盖章（鲜章），并加盖公章（鲜章）。</w:t>
            </w:r>
          </w:p>
          <w:p w14:paraId="325B8CA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接收质疑函的方式：书面形式</w:t>
            </w:r>
          </w:p>
          <w:p w14:paraId="41434CAC">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联系部门：华春建设工程项目管理有限责任公司</w:t>
            </w:r>
          </w:p>
          <w:p w14:paraId="5E4BA028">
            <w:pPr>
              <w:keepNext w:val="0"/>
              <w:keepLines w:val="0"/>
              <w:pageBreakBefore w:val="0"/>
              <w:widowControl w:val="0"/>
              <w:kinsoku/>
              <w:wordWrap/>
              <w:overflowPunct/>
              <w:topLinePunct w:val="0"/>
              <w:autoSpaceDE/>
              <w:autoSpaceDN/>
              <w:bidi w:val="0"/>
              <w:spacing w:line="48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联系人：张工</w:t>
            </w:r>
          </w:p>
          <w:p w14:paraId="689CDC5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p w14:paraId="2620C73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通讯地址：西安市南二环西段58号成长大厦8楼</w:t>
            </w:r>
          </w:p>
        </w:tc>
      </w:tr>
      <w:tr w14:paraId="160B04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0D9EECA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w:t>
            </w:r>
          </w:p>
        </w:tc>
        <w:tc>
          <w:tcPr>
            <w:tcW w:w="2060" w:type="dxa"/>
            <w:vAlign w:val="center"/>
          </w:tcPr>
          <w:p w14:paraId="358E554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采购代理机构答疑的时间</w:t>
            </w:r>
          </w:p>
        </w:tc>
        <w:tc>
          <w:tcPr>
            <w:tcW w:w="6840" w:type="dxa"/>
            <w:vAlign w:val="center"/>
          </w:tcPr>
          <w:p w14:paraId="42A1BE8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对于在规定时间内收到的供应商依法提出的询问或者质疑，采购代理机构将按程序及时作出答复，若对磋商文件做出实质性变动，则按照相关规定延长磋商响应截止时间。</w:t>
            </w:r>
          </w:p>
        </w:tc>
      </w:tr>
      <w:tr w14:paraId="702721E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58F989A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15</w:t>
            </w:r>
          </w:p>
        </w:tc>
        <w:tc>
          <w:tcPr>
            <w:tcW w:w="2060" w:type="dxa"/>
            <w:vAlign w:val="center"/>
          </w:tcPr>
          <w:p w14:paraId="3AFC3AC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供应商信用信息查询</w:t>
            </w:r>
          </w:p>
        </w:tc>
        <w:tc>
          <w:tcPr>
            <w:tcW w:w="6840" w:type="dxa"/>
            <w:vAlign w:val="center"/>
          </w:tcPr>
          <w:p w14:paraId="17BFC42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0BBB419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信用记录由采购人或采购代理机构在响应文件资格审查阶段通过互联网或者相关系统查询，以纸质截图或将截图保存至电子介质形式留存。</w:t>
            </w:r>
          </w:p>
        </w:tc>
      </w:tr>
      <w:tr w14:paraId="45E4C9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840" w:type="dxa"/>
            <w:vAlign w:val="center"/>
          </w:tcPr>
          <w:p w14:paraId="69602DFA">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2060" w:type="dxa"/>
            <w:vAlign w:val="center"/>
          </w:tcPr>
          <w:p w14:paraId="0ADE422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资格证明文件</w:t>
            </w:r>
          </w:p>
        </w:tc>
        <w:tc>
          <w:tcPr>
            <w:tcW w:w="6840" w:type="dxa"/>
            <w:vAlign w:val="center"/>
          </w:tcPr>
          <w:p w14:paraId="7D761CA3">
            <w:pPr>
              <w:keepNext w:val="0"/>
              <w:keepLines w:val="0"/>
              <w:pageBreakBefore w:val="0"/>
              <w:widowControl w:val="0"/>
              <w:numPr>
                <w:ilvl w:val="0"/>
                <w:numId w:val="3"/>
              </w:numPr>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、其他组织出具合法有效的营业执照等证明文件，自然人参与的提供其身份证；</w:t>
            </w:r>
          </w:p>
          <w:p w14:paraId="6765E5AC">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3DB75014">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CE0D2D3">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732C93CA">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提供参加本次政府采购活动前3年内，在经营活动中没有重大违法记录的书面声明；</w:t>
            </w:r>
          </w:p>
          <w:p w14:paraId="2DC6CA1E">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5330A232">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6DEC1738">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60D1D3CA">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磋商，供应商负责人为同一人或者存在控股、管理关系的不同单位，不得参加同一项目</w:t>
            </w:r>
            <w:r>
              <w:rPr>
                <w:rFonts w:hint="eastAsia" w:ascii="仿宋" w:hAnsi="仿宋" w:eastAsia="仿宋" w:cs="仿宋"/>
                <w:color w:val="auto"/>
                <w:sz w:val="28"/>
                <w:szCs w:val="28"/>
                <w:highlight w:val="none"/>
                <w:lang w:val="en-US" w:eastAsia="zh-CN"/>
              </w:rPr>
              <w:t>磋商。</w:t>
            </w:r>
          </w:p>
        </w:tc>
      </w:tr>
      <w:tr w14:paraId="7D0947A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840" w:type="dxa"/>
            <w:vAlign w:val="center"/>
          </w:tcPr>
          <w:p w14:paraId="614E079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tc>
        <w:tc>
          <w:tcPr>
            <w:tcW w:w="2060" w:type="dxa"/>
            <w:vAlign w:val="center"/>
          </w:tcPr>
          <w:p w14:paraId="25C3FC8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w:t>
            </w:r>
          </w:p>
        </w:tc>
        <w:tc>
          <w:tcPr>
            <w:tcW w:w="6840" w:type="dxa"/>
            <w:vAlign w:val="center"/>
          </w:tcPr>
          <w:p w14:paraId="6397FC8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磋商响应文件正本</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份，若正本和副本不符，以正本书面文件为准；同时提供电子版</w:t>
            </w:r>
            <w:r>
              <w:rPr>
                <w:rFonts w:hint="eastAsia" w:ascii="仿宋" w:hAnsi="仿宋" w:eastAsia="仿宋" w:cs="仿宋"/>
                <w:color w:val="auto"/>
                <w:sz w:val="28"/>
                <w:szCs w:val="28"/>
                <w:highlight w:val="none"/>
                <w:lang w:val="en-US" w:eastAsia="zh-CN"/>
              </w:rPr>
              <w:t>2份（用U盘拷贝，电子版磋商响应文件提供磋商响应文件正本的word版本及PDF版本（PDF文件为完整签字、盖章的正本扫描件）</w:t>
            </w:r>
            <w:r>
              <w:rPr>
                <w:rFonts w:hint="eastAsia" w:ascii="仿宋" w:hAnsi="仿宋" w:eastAsia="仿宋" w:cs="仿宋"/>
                <w:color w:val="auto"/>
                <w:sz w:val="28"/>
                <w:szCs w:val="28"/>
                <w:highlight w:val="none"/>
              </w:rPr>
              <w:t>。</w:t>
            </w:r>
          </w:p>
        </w:tc>
      </w:tr>
      <w:tr w14:paraId="1133CBD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jc w:val="center"/>
        </w:trPr>
        <w:tc>
          <w:tcPr>
            <w:tcW w:w="840" w:type="dxa"/>
            <w:vAlign w:val="center"/>
          </w:tcPr>
          <w:p w14:paraId="0F622D6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2060" w:type="dxa"/>
            <w:vAlign w:val="center"/>
          </w:tcPr>
          <w:p w14:paraId="700764F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rPr>
              <w:t>包装密封</w:t>
            </w:r>
          </w:p>
        </w:tc>
        <w:tc>
          <w:tcPr>
            <w:tcW w:w="6840" w:type="dxa"/>
            <w:vAlign w:val="center"/>
          </w:tcPr>
          <w:p w14:paraId="1A40C2FA">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响应文件正本、所有的副本、电子版分开密封装在单独的封袋中（封袋不得有破损），且在封袋正面标明“正本”“副本”“电子版”字样</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共3个密封袋。</w:t>
            </w:r>
          </w:p>
          <w:p w14:paraId="27D84B23">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rPr>
              <w:t>封袋应密封完整，并在封线处加盖供应商鲜章，封袋正面要</w:t>
            </w:r>
            <w:r>
              <w:rPr>
                <w:rFonts w:hint="eastAsia" w:ascii="仿宋" w:hAnsi="仿宋" w:eastAsia="仿宋" w:cs="仿宋"/>
                <w:b/>
                <w:bCs/>
                <w:color w:val="auto"/>
                <w:sz w:val="28"/>
                <w:szCs w:val="28"/>
                <w:highlight w:val="none"/>
                <w:lang w:val="en-US" w:eastAsia="zh-CN"/>
              </w:rPr>
              <w:t>注明</w:t>
            </w: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lang w:val="en-US" w:eastAsia="zh-CN"/>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标段（采购包号）、</w:t>
            </w:r>
            <w:r>
              <w:rPr>
                <w:rFonts w:hint="eastAsia" w:ascii="仿宋" w:hAnsi="仿宋" w:eastAsia="仿宋" w:cs="仿宋"/>
                <w:b/>
                <w:bCs/>
                <w:color w:val="auto"/>
                <w:sz w:val="28"/>
                <w:szCs w:val="28"/>
                <w:highlight w:val="none"/>
              </w:rPr>
              <w:t>供应商全称等标识</w:t>
            </w:r>
            <w:r>
              <w:rPr>
                <w:rFonts w:hint="eastAsia" w:ascii="仿宋" w:hAnsi="仿宋" w:eastAsia="仿宋" w:cs="仿宋"/>
                <w:b/>
                <w:bCs/>
                <w:color w:val="auto"/>
                <w:sz w:val="28"/>
                <w:szCs w:val="28"/>
                <w:highlight w:val="none"/>
                <w:lang w:eastAsia="zh-CN"/>
              </w:rPr>
              <w:t>，且</w:t>
            </w:r>
            <w:r>
              <w:rPr>
                <w:rFonts w:hint="eastAsia" w:ascii="仿宋" w:hAnsi="仿宋" w:eastAsia="仿宋" w:cs="仿宋"/>
                <w:b/>
                <w:bCs/>
                <w:color w:val="auto"/>
                <w:sz w:val="28"/>
                <w:szCs w:val="28"/>
                <w:highlight w:val="none"/>
              </w:rPr>
              <w:t>响应文件袋上应加盖供应商公章。</w:t>
            </w:r>
          </w:p>
        </w:tc>
      </w:tr>
      <w:tr w14:paraId="698C1AA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1" w:hRule="atLeast"/>
          <w:jc w:val="center"/>
        </w:trPr>
        <w:tc>
          <w:tcPr>
            <w:tcW w:w="840" w:type="dxa"/>
            <w:vAlign w:val="center"/>
          </w:tcPr>
          <w:p w14:paraId="2DBF657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19</w:t>
            </w:r>
          </w:p>
        </w:tc>
        <w:tc>
          <w:tcPr>
            <w:tcW w:w="2060" w:type="dxa"/>
            <w:vAlign w:val="center"/>
          </w:tcPr>
          <w:p w14:paraId="30D1144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代表授权书签字盖章要求</w:t>
            </w:r>
          </w:p>
        </w:tc>
        <w:tc>
          <w:tcPr>
            <w:tcW w:w="6840" w:type="dxa"/>
            <w:vAlign w:val="center"/>
          </w:tcPr>
          <w:p w14:paraId="368199D0">
            <w:pPr>
              <w:keepNext w:val="0"/>
              <w:keepLines w:val="0"/>
              <w:pageBreakBefore w:val="0"/>
              <w:widowControl w:val="0"/>
              <w:kinsoku/>
              <w:wordWrap/>
              <w:overflowPunct/>
              <w:topLinePunct w:val="0"/>
              <w:autoSpaceDE/>
              <w:autoSpaceDN/>
              <w:bidi w:val="0"/>
              <w:spacing w:line="480" w:lineRule="exact"/>
              <w:ind w:left="1" w:leftChars="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所有要求</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代表签字（名）处，均须由签字（名）者本人用不褪色的蓝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色墨水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书写，也可以加盖</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代表名章代替。</w:t>
            </w:r>
          </w:p>
        </w:tc>
      </w:tr>
      <w:tr w14:paraId="0674A8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717B724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20</w:t>
            </w:r>
          </w:p>
        </w:tc>
        <w:tc>
          <w:tcPr>
            <w:tcW w:w="2060" w:type="dxa"/>
            <w:vAlign w:val="center"/>
          </w:tcPr>
          <w:p w14:paraId="69CE494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磋商响应文件递交的截止时间和磋商地点</w:t>
            </w:r>
          </w:p>
        </w:tc>
        <w:tc>
          <w:tcPr>
            <w:tcW w:w="6840" w:type="dxa"/>
            <w:vAlign w:val="center"/>
          </w:tcPr>
          <w:p w14:paraId="6B5C20C3">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响应文件递交地址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西安市南二环西段58号成长大厦8楼</w:t>
            </w:r>
            <w:r>
              <w:rPr>
                <w:rFonts w:hint="eastAsia" w:ascii="仿宋" w:hAnsi="仿宋" w:eastAsia="仿宋" w:cs="仿宋"/>
                <w:color w:val="auto"/>
                <w:kern w:val="2"/>
                <w:sz w:val="28"/>
                <w:szCs w:val="28"/>
                <w:highlight w:val="none"/>
                <w:lang w:val="en-US" w:eastAsia="zh-CN" w:bidi="ar-SA"/>
              </w:rPr>
              <w:t>会议室</w:t>
            </w:r>
          </w:p>
          <w:p w14:paraId="3052513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响应文件递交截止时间</w:t>
            </w:r>
            <w:r>
              <w:rPr>
                <w:rFonts w:hint="eastAsia" w:ascii="仿宋" w:hAnsi="仿宋" w:eastAsia="仿宋" w:cs="仿宋"/>
                <w:color w:val="auto"/>
                <w:sz w:val="28"/>
                <w:szCs w:val="28"/>
                <w:highlight w:val="none"/>
                <w:lang w:eastAsia="zh-CN"/>
              </w:rPr>
              <w:t>：2025年12月19日09时30分</w:t>
            </w:r>
            <w:r>
              <w:rPr>
                <w:rFonts w:hint="eastAsia" w:ascii="仿宋" w:hAnsi="仿宋" w:eastAsia="仿宋" w:cs="仿宋"/>
                <w:color w:val="auto"/>
                <w:sz w:val="28"/>
                <w:szCs w:val="28"/>
                <w:highlight w:val="none"/>
                <w:lang w:val="en-US" w:eastAsia="zh-CN"/>
              </w:rPr>
              <w:t>（北京时间）</w:t>
            </w:r>
          </w:p>
          <w:p w14:paraId="049D0D6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响应文件接收人</w:t>
            </w:r>
            <w:r>
              <w:rPr>
                <w:rFonts w:hint="eastAsia" w:ascii="仿宋" w:hAnsi="仿宋" w:eastAsia="仿宋" w:cs="仿宋"/>
                <w:color w:val="auto"/>
                <w:sz w:val="28"/>
                <w:szCs w:val="28"/>
                <w:highlight w:val="none"/>
                <w:lang w:eastAsia="zh-CN"/>
              </w:rPr>
              <w:t>：华春建设工程项目管理有限责任公司</w:t>
            </w:r>
          </w:p>
        </w:tc>
      </w:tr>
      <w:tr w14:paraId="13A0E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tcBorders>
              <w:left w:val="single" w:color="auto" w:sz="12" w:space="0"/>
            </w:tcBorders>
            <w:vAlign w:val="center"/>
          </w:tcPr>
          <w:p w14:paraId="675C1C9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21</w:t>
            </w:r>
          </w:p>
        </w:tc>
        <w:tc>
          <w:tcPr>
            <w:tcW w:w="2060" w:type="dxa"/>
            <w:vAlign w:val="center"/>
          </w:tcPr>
          <w:p w14:paraId="72BC1E9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磋商时间和地点</w:t>
            </w:r>
          </w:p>
        </w:tc>
        <w:tc>
          <w:tcPr>
            <w:tcW w:w="6840" w:type="dxa"/>
            <w:tcBorders>
              <w:right w:val="single" w:color="auto" w:sz="12" w:space="0"/>
            </w:tcBorders>
            <w:vAlign w:val="center"/>
          </w:tcPr>
          <w:p w14:paraId="600407D6">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同响应文件递交截止时间</w:t>
            </w:r>
          </w:p>
          <w:p w14:paraId="5BB3C8B6">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同响应文件递交地点</w:t>
            </w:r>
          </w:p>
        </w:tc>
      </w:tr>
      <w:tr w14:paraId="575F9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840" w:type="dxa"/>
            <w:tcBorders>
              <w:left w:val="single" w:color="auto" w:sz="12" w:space="0"/>
            </w:tcBorders>
            <w:vAlign w:val="center"/>
          </w:tcPr>
          <w:p w14:paraId="0476C2B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22</w:t>
            </w:r>
          </w:p>
        </w:tc>
        <w:tc>
          <w:tcPr>
            <w:tcW w:w="2060" w:type="dxa"/>
            <w:vAlign w:val="center"/>
          </w:tcPr>
          <w:p w14:paraId="5FF4271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磋商原则</w:t>
            </w:r>
          </w:p>
        </w:tc>
        <w:tc>
          <w:tcPr>
            <w:tcW w:w="6840" w:type="dxa"/>
            <w:tcBorders>
              <w:right w:val="single" w:color="auto" w:sz="12" w:space="0"/>
            </w:tcBorders>
            <w:vAlign w:val="center"/>
          </w:tcPr>
          <w:p w14:paraId="46F8E6F1">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详见五、磋商及评审</w:t>
            </w:r>
          </w:p>
        </w:tc>
      </w:tr>
      <w:tr w14:paraId="1304D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0" w:type="dxa"/>
            <w:tcBorders>
              <w:left w:val="single" w:color="auto" w:sz="12" w:space="0"/>
            </w:tcBorders>
            <w:vAlign w:val="center"/>
          </w:tcPr>
          <w:p w14:paraId="6BEFFC1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23</w:t>
            </w:r>
          </w:p>
        </w:tc>
        <w:tc>
          <w:tcPr>
            <w:tcW w:w="2060" w:type="dxa"/>
            <w:vAlign w:val="top"/>
          </w:tcPr>
          <w:p w14:paraId="65BF49F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Hans" w:bidi="ar-SA"/>
              </w:rPr>
            </w:pPr>
          </w:p>
          <w:p w14:paraId="5564F3A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p>
          <w:p w14:paraId="1D88516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磋商小组</w:t>
            </w:r>
            <w:r>
              <w:rPr>
                <w:rFonts w:hint="eastAsia" w:ascii="仿宋" w:hAnsi="仿宋" w:eastAsia="仿宋" w:cs="仿宋"/>
                <w:color w:val="auto"/>
                <w:kern w:val="2"/>
                <w:sz w:val="28"/>
                <w:szCs w:val="28"/>
                <w:highlight w:val="none"/>
                <w:lang w:val="en-US" w:eastAsia="zh-Hans" w:bidi="ar-SA"/>
              </w:rPr>
              <w:t>的组建</w:t>
            </w:r>
          </w:p>
        </w:tc>
        <w:tc>
          <w:tcPr>
            <w:tcW w:w="6840" w:type="dxa"/>
            <w:tcBorders>
              <w:right w:val="single" w:color="auto" w:sz="12" w:space="0"/>
            </w:tcBorders>
            <w:vAlign w:val="top"/>
          </w:tcPr>
          <w:p w14:paraId="6E4D4D2E">
            <w:pPr>
              <w:pStyle w:val="15"/>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组建</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依法组成</w:t>
            </w:r>
          </w:p>
          <w:p w14:paraId="1504BB47">
            <w:pPr>
              <w:pStyle w:val="15"/>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构成</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Hans"/>
              </w:rPr>
              <w:t>人或以上单数</w:t>
            </w:r>
          </w:p>
          <w:p w14:paraId="0D83CD29">
            <w:pPr>
              <w:pStyle w:val="15"/>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确定方式</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评审</w:t>
            </w:r>
            <w:r>
              <w:rPr>
                <w:rFonts w:hint="eastAsia" w:ascii="仿宋" w:hAnsi="仿宋" w:eastAsia="仿宋" w:cs="仿宋"/>
                <w:color w:val="auto"/>
                <w:sz w:val="28"/>
                <w:szCs w:val="28"/>
                <w:highlight w:val="none"/>
                <w:lang w:val="en-US" w:eastAsia="zh-Hans"/>
              </w:rPr>
              <w:t>前</w:t>
            </w:r>
            <w:r>
              <w:rPr>
                <w:rFonts w:hint="eastAsia" w:ascii="仿宋" w:hAnsi="仿宋" w:eastAsia="仿宋" w:cs="仿宋"/>
                <w:color w:val="auto"/>
                <w:sz w:val="28"/>
                <w:szCs w:val="28"/>
                <w:highlight w:val="none"/>
                <w:lang w:eastAsia="zh-Hans"/>
              </w:rPr>
              <w:t>24</w:t>
            </w:r>
            <w:r>
              <w:rPr>
                <w:rFonts w:hint="eastAsia" w:ascii="仿宋" w:hAnsi="仿宋" w:eastAsia="仿宋" w:cs="仿宋"/>
                <w:color w:val="auto"/>
                <w:sz w:val="28"/>
                <w:szCs w:val="28"/>
                <w:highlight w:val="none"/>
                <w:lang w:val="en-US" w:eastAsia="zh-Hans"/>
              </w:rPr>
              <w:t>小时内在省级财政部门设立的政府采购评审专家库中随机抽取技术</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经济方面的专家</w:t>
            </w:r>
            <w:r>
              <w:rPr>
                <w:rFonts w:hint="eastAsia" w:ascii="仿宋" w:hAnsi="仿宋" w:eastAsia="仿宋" w:cs="仿宋"/>
                <w:color w:val="auto"/>
                <w:sz w:val="28"/>
                <w:szCs w:val="28"/>
                <w:highlight w:val="none"/>
                <w:lang w:eastAsia="zh-Hans"/>
              </w:rPr>
              <w:t>。</w:t>
            </w:r>
          </w:p>
        </w:tc>
      </w:tr>
      <w:tr w14:paraId="13693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550BDDE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24</w:t>
            </w:r>
          </w:p>
        </w:tc>
        <w:tc>
          <w:tcPr>
            <w:tcW w:w="2060" w:type="dxa"/>
            <w:vAlign w:val="center"/>
          </w:tcPr>
          <w:p w14:paraId="16F5172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采购代理服务费</w:t>
            </w:r>
          </w:p>
        </w:tc>
        <w:tc>
          <w:tcPr>
            <w:tcW w:w="6840" w:type="dxa"/>
            <w:tcBorders>
              <w:right w:val="single" w:color="auto" w:sz="12" w:space="0"/>
            </w:tcBorders>
            <w:vAlign w:val="center"/>
          </w:tcPr>
          <w:p w14:paraId="3DE1062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本项目收取代理服务费</w:t>
            </w:r>
          </w:p>
          <w:p w14:paraId="42C4AA81">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代理服务费用收取对象：成交供应商</w:t>
            </w:r>
          </w:p>
          <w:p w14:paraId="2D136B52">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收费标准：成交供应商在领取成交通知书时，须向采购代理机构支付成交服务费，服务费由采购人与采购代理机构约定：参照原国家计委计价格〔2002〕1980号文和国家发改委发改办价格〔2003〕857号文的计算方法按标准下浮30%收取。</w:t>
            </w:r>
          </w:p>
        </w:tc>
      </w:tr>
      <w:tr w14:paraId="3BF02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163E649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25</w:t>
            </w:r>
          </w:p>
        </w:tc>
        <w:tc>
          <w:tcPr>
            <w:tcW w:w="2060" w:type="dxa"/>
            <w:vAlign w:val="center"/>
          </w:tcPr>
          <w:p w14:paraId="0B300281">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center"/>
              <w:textAlignment w:val="auto"/>
              <w:outlineLvl w:val="9"/>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政府采购政策</w:t>
            </w:r>
          </w:p>
          <w:p w14:paraId="6BC79BDA">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功能</w:t>
            </w:r>
          </w:p>
        </w:tc>
        <w:tc>
          <w:tcPr>
            <w:tcW w:w="6840" w:type="dxa"/>
            <w:tcBorders>
              <w:right w:val="single" w:color="auto" w:sz="12" w:space="0"/>
            </w:tcBorders>
            <w:vAlign w:val="center"/>
          </w:tcPr>
          <w:p w14:paraId="05C5726C">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left"/>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根据《陕西省财政厅关于印发〈陕西省中小企业政府采购信用融资办法〉的通知》（陕财办采〔2018〕23号，详见附件）相关规定，有融资需求的供应商可根据自身情况，在陕西省政府采购信用融资平台http://www.ccgp-shaanxi.gov.cn/zcdservice/zcd/shanxi/）自主选择金融机构及其融资产品，凭政府采购中标（成交）通知书或政府采购合同提出融资申请。相关融资政策以最新通知为准。</w:t>
            </w:r>
          </w:p>
        </w:tc>
      </w:tr>
      <w:tr w14:paraId="3260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3ACA39F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26</w:t>
            </w:r>
          </w:p>
        </w:tc>
        <w:tc>
          <w:tcPr>
            <w:tcW w:w="2060" w:type="dxa"/>
            <w:vAlign w:val="center"/>
          </w:tcPr>
          <w:p w14:paraId="47AEF3F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其他</w:t>
            </w:r>
          </w:p>
        </w:tc>
        <w:tc>
          <w:tcPr>
            <w:tcW w:w="6840" w:type="dxa"/>
            <w:tcBorders>
              <w:right w:val="single" w:color="auto" w:sz="12" w:space="0"/>
            </w:tcBorders>
            <w:vAlign w:val="center"/>
          </w:tcPr>
          <w:p w14:paraId="6C87E6F6">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left"/>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本项目采购标的所属行业为：其他未列明行业。</w:t>
            </w:r>
          </w:p>
        </w:tc>
      </w:tr>
    </w:tbl>
    <w:p w14:paraId="7331FA99">
      <w:pPr>
        <w:keepNext w:val="0"/>
        <w:keepLines w:val="0"/>
        <w:pageBreakBefore w:val="0"/>
        <w:widowControl w:val="0"/>
        <w:kinsoku/>
        <w:wordWrap/>
        <w:overflowPunct/>
        <w:topLinePunct w:val="0"/>
        <w:autoSpaceDE/>
        <w:autoSpaceDN/>
        <w:bidi w:val="0"/>
        <w:snapToGrid w:val="0"/>
        <w:spacing w:line="480" w:lineRule="exact"/>
        <w:textAlignment w:val="auto"/>
        <w:outlineLvl w:val="9"/>
        <w:rPr>
          <w:rFonts w:hint="eastAsia" w:ascii="仿宋" w:hAnsi="仿宋" w:eastAsia="仿宋" w:cs="仿宋"/>
          <w:b/>
          <w:color w:val="auto"/>
          <w:sz w:val="24"/>
          <w:highlight w:val="none"/>
        </w:rPr>
      </w:pPr>
      <w:r>
        <w:rPr>
          <w:rFonts w:hint="eastAsia" w:ascii="仿宋" w:hAnsi="仿宋" w:eastAsia="仿宋" w:cs="仿宋"/>
          <w:b w:val="0"/>
          <w:bCs w:val="0"/>
          <w:color w:val="auto"/>
          <w:sz w:val="28"/>
          <w:szCs w:val="28"/>
          <w:highlight w:val="none"/>
          <w:lang w:val="en-US" w:eastAsia="zh-CN"/>
        </w:rPr>
        <w:t>注：</w:t>
      </w:r>
      <w:r>
        <w:rPr>
          <w:rFonts w:hint="eastAsia" w:ascii="仿宋" w:hAnsi="仿宋" w:eastAsia="仿宋" w:cs="仿宋"/>
          <w:b w:val="0"/>
          <w:bCs w:val="0"/>
          <w:color w:val="auto"/>
          <w:sz w:val="28"/>
          <w:szCs w:val="28"/>
          <w:highlight w:val="none"/>
        </w:rPr>
        <w:t>本磋商文件仅适用于本次竞争性磋商采购项目。</w:t>
      </w:r>
      <w:r>
        <w:rPr>
          <w:rFonts w:hint="eastAsia" w:ascii="仿宋" w:hAnsi="仿宋" w:eastAsia="仿宋" w:cs="仿宋"/>
          <w:b/>
          <w:color w:val="auto"/>
          <w:sz w:val="24"/>
          <w:highlight w:val="none"/>
        </w:rPr>
        <w:br w:type="page"/>
      </w:r>
    </w:p>
    <w:p w14:paraId="4FD82F11">
      <w:pPr>
        <w:pStyle w:val="5"/>
        <w:jc w:val="center"/>
        <w:rPr>
          <w:rFonts w:hint="eastAsia" w:ascii="仿宋" w:hAnsi="仿宋" w:eastAsia="仿宋" w:cs="仿宋"/>
          <w:color w:val="auto"/>
          <w:kern w:val="1"/>
          <w:szCs w:val="24"/>
          <w:highlight w:val="none"/>
        </w:rPr>
      </w:pPr>
      <w:bookmarkStart w:id="2" w:name="_Toc13250"/>
      <w:bookmarkStart w:id="3" w:name="_Toc6161"/>
      <w:r>
        <w:rPr>
          <w:rFonts w:hint="eastAsia" w:ascii="仿宋" w:hAnsi="仿宋" w:eastAsia="仿宋" w:cs="仿宋"/>
          <w:color w:val="auto"/>
          <w:kern w:val="1"/>
          <w:szCs w:val="24"/>
          <w:highlight w:val="none"/>
        </w:rPr>
        <w:t>一、</w:t>
      </w:r>
      <w:bookmarkEnd w:id="2"/>
      <w:r>
        <w:rPr>
          <w:rFonts w:hint="eastAsia" w:ascii="仿宋" w:hAnsi="仿宋" w:eastAsia="仿宋" w:cs="仿宋"/>
          <w:color w:val="auto"/>
          <w:kern w:val="1"/>
          <w:szCs w:val="24"/>
          <w:highlight w:val="none"/>
          <w:lang w:val="en-US" w:eastAsia="zh-CN"/>
        </w:rPr>
        <w:t>总则</w:t>
      </w:r>
      <w:bookmarkEnd w:id="3"/>
    </w:p>
    <w:p w14:paraId="739394DD">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1.说明</w:t>
      </w:r>
    </w:p>
    <w:p w14:paraId="62A5C1BC">
      <w:pPr>
        <w:spacing w:line="360" w:lineRule="auto"/>
        <w:ind w:firstLine="480"/>
        <w:rPr>
          <w:rFonts w:hint="eastAsia" w:ascii="仿宋" w:hAnsi="仿宋" w:eastAsia="仿宋" w:cs="仿宋"/>
          <w:color w:val="auto"/>
          <w:kern w:val="1"/>
          <w:sz w:val="28"/>
          <w:szCs w:val="28"/>
          <w:highlight w:val="none"/>
        </w:rPr>
      </w:pPr>
      <w:bookmarkStart w:id="4" w:name="_Toc266693177"/>
      <w:bookmarkEnd w:id="4"/>
      <w:bookmarkStart w:id="5" w:name="_Toc259085151"/>
      <w:bookmarkEnd w:id="5"/>
      <w:r>
        <w:rPr>
          <w:rFonts w:hint="eastAsia" w:ascii="仿宋" w:hAnsi="仿宋" w:eastAsia="仿宋" w:cs="仿宋"/>
          <w:color w:val="auto"/>
          <w:kern w:val="1"/>
          <w:sz w:val="28"/>
          <w:szCs w:val="28"/>
          <w:highlight w:val="none"/>
        </w:rPr>
        <w:t>1.1竞争性磋商文件涉及术语的内涵及解释</w:t>
      </w:r>
    </w:p>
    <w:p w14:paraId="04E27EC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1.1.1“磋商当事人”是指在磋商活动中享有权利和承担义务的各类主体，包括采购人、磋商供应商和采购代理机构等。</w:t>
      </w:r>
    </w:p>
    <w:p w14:paraId="187F46CE">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rPr>
        <w:t>1.1.2“采购人”是指：</w:t>
      </w:r>
      <w:r>
        <w:rPr>
          <w:rFonts w:hint="eastAsia" w:ascii="仿宋" w:hAnsi="仿宋" w:eastAsia="仿宋" w:cs="仿宋"/>
          <w:color w:val="auto"/>
          <w:kern w:val="1"/>
          <w:sz w:val="28"/>
          <w:szCs w:val="28"/>
          <w:highlight w:val="none"/>
          <w:lang w:eastAsia="zh-CN"/>
        </w:rPr>
        <w:t>陕西省财政厅</w:t>
      </w:r>
    </w:p>
    <w:p w14:paraId="6228498B">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rPr>
        <w:t>1.1.3“采购代理机构”是指：</w:t>
      </w:r>
      <w:r>
        <w:rPr>
          <w:rFonts w:hint="eastAsia" w:ascii="仿宋" w:hAnsi="仿宋" w:eastAsia="仿宋" w:cs="仿宋"/>
          <w:color w:val="auto"/>
          <w:kern w:val="1"/>
          <w:sz w:val="28"/>
          <w:szCs w:val="28"/>
          <w:highlight w:val="none"/>
          <w:lang w:eastAsia="zh-CN"/>
        </w:rPr>
        <w:t>华春建设工程项目管理有限责任公司</w:t>
      </w:r>
    </w:p>
    <w:p w14:paraId="49CC017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1.1.4“</w:t>
      </w:r>
      <w:r>
        <w:rPr>
          <w:rFonts w:hint="eastAsia" w:ascii="仿宋" w:hAnsi="仿宋" w:eastAsia="仿宋" w:cs="仿宋"/>
          <w:color w:val="auto"/>
          <w:kern w:val="1"/>
          <w:sz w:val="28"/>
          <w:szCs w:val="28"/>
          <w:highlight w:val="none"/>
          <w:lang w:val="en-US" w:eastAsia="zh-CN"/>
        </w:rPr>
        <w:t>磋商</w:t>
      </w:r>
      <w:r>
        <w:rPr>
          <w:rFonts w:hint="eastAsia" w:ascii="仿宋" w:hAnsi="仿宋" w:eastAsia="仿宋" w:cs="仿宋"/>
          <w:color w:val="auto"/>
          <w:kern w:val="1"/>
          <w:sz w:val="28"/>
          <w:szCs w:val="28"/>
          <w:highlight w:val="none"/>
        </w:rPr>
        <w:t>供应商”是指：符合本磋商资格条件，自愿欲向采购人提供工程、货物、服务的</w:t>
      </w:r>
      <w:r>
        <w:rPr>
          <w:rFonts w:hint="eastAsia" w:ascii="仿宋" w:hAnsi="仿宋" w:eastAsia="仿宋" w:cs="仿宋"/>
          <w:color w:val="auto"/>
          <w:kern w:val="1"/>
          <w:sz w:val="28"/>
          <w:szCs w:val="28"/>
          <w:highlight w:val="none"/>
          <w:lang w:eastAsia="zh-CN"/>
        </w:rPr>
        <w:t>法定代表人</w:t>
      </w:r>
      <w:r>
        <w:rPr>
          <w:rFonts w:hint="eastAsia" w:ascii="仿宋" w:hAnsi="仿宋" w:eastAsia="仿宋" w:cs="仿宋"/>
          <w:color w:val="auto"/>
          <w:kern w:val="1"/>
          <w:sz w:val="28"/>
          <w:szCs w:val="28"/>
          <w:highlight w:val="none"/>
        </w:rPr>
        <w:t>或其他组织。</w:t>
      </w:r>
    </w:p>
    <w:p w14:paraId="5803646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1.1.5“竞争性磋商文件”是指：由采购人或采购代理机构发出的文本、文件，包括全部章节和附件及答疑会议纪要。</w:t>
      </w:r>
    </w:p>
    <w:p w14:paraId="7251321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1.1.6“竞争性磋商响应文件”是指：磋商供应商根据本竞争性磋商文件向采购人提交的全部文件。</w:t>
      </w:r>
    </w:p>
    <w:p w14:paraId="7F4E4A2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1.1.7“书面形式”是指：任何手写、打印或印刷的各种函件，包括电传、电报、电子邮件。</w:t>
      </w:r>
    </w:p>
    <w:p w14:paraId="1FF74BD4">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1.2磋商供应商</w:t>
      </w:r>
    </w:p>
    <w:p w14:paraId="586B319C">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1.2.1如磋商供应商代表不是法定代表人，须随竞争性磋商响应文件提供《法定代表人授权委托书》。</w:t>
      </w:r>
    </w:p>
    <w:p w14:paraId="315A864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1.3本项目不接受联合体磋商。</w:t>
      </w:r>
    </w:p>
    <w:p w14:paraId="0647C4A6">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2.知识产权</w:t>
      </w:r>
    </w:p>
    <w:p w14:paraId="524C02DA">
      <w:pPr>
        <w:spacing w:line="360" w:lineRule="auto"/>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2.1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14:paraId="3909C98B">
      <w:pPr>
        <w:spacing w:line="360" w:lineRule="auto"/>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2.2采购人享有本项目实施过程中产生的知识成果及知识产权。</w:t>
      </w:r>
    </w:p>
    <w:p w14:paraId="480A99ED">
      <w:pPr>
        <w:spacing w:line="360" w:lineRule="auto"/>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2.3供应商如欲在项目实施过程中采用自有知识成果，需在响应文件中声明，并提供相关知识产权证明文件。使用该知识成果后，供应商需提供开发接口（如涉及）和开发手册等技术文档，并承诺提供无限期技术支持，采购人享有永久使用权。</w:t>
      </w:r>
    </w:p>
    <w:p w14:paraId="22F7073E">
      <w:pPr>
        <w:spacing w:line="360" w:lineRule="auto"/>
        <w:outlineLvl w:val="9"/>
        <w:rPr>
          <w:rFonts w:hint="eastAsia" w:ascii="仿宋" w:hAnsi="仿宋" w:eastAsia="仿宋" w:cs="仿宋"/>
          <w:color w:val="auto"/>
          <w:sz w:val="28"/>
          <w:szCs w:val="28"/>
          <w:highlight w:val="none"/>
        </w:rPr>
      </w:pPr>
      <w:r>
        <w:rPr>
          <w:rFonts w:hint="eastAsia" w:ascii="仿宋" w:hAnsi="仿宋" w:eastAsia="仿宋" w:cs="仿宋"/>
          <w:b w:val="0"/>
          <w:bCs/>
          <w:color w:val="auto"/>
          <w:kern w:val="1"/>
          <w:sz w:val="28"/>
          <w:szCs w:val="28"/>
          <w:highlight w:val="none"/>
        </w:rPr>
        <w:t>2.4如采用供应商所不拥有的知识产权，则在报价中必须包括合法获取该知识产权的相关费用。</w:t>
      </w:r>
    </w:p>
    <w:p w14:paraId="382F2C78">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.磋商费用</w:t>
      </w:r>
    </w:p>
    <w:p w14:paraId="4D32E1C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无论磋商结果如何，磋商供应商自行承担与参加磋商活动有关的全部费用。</w:t>
      </w:r>
    </w:p>
    <w:p w14:paraId="0B2B2793">
      <w:pPr>
        <w:spacing w:line="360" w:lineRule="auto"/>
        <w:outlineLvl w:val="9"/>
        <w:rPr>
          <w:rFonts w:hint="eastAsia" w:ascii="仿宋" w:hAnsi="仿宋" w:eastAsia="仿宋" w:cs="仿宋"/>
          <w:b/>
          <w:bCs/>
          <w:color w:val="auto"/>
          <w:sz w:val="28"/>
          <w:szCs w:val="28"/>
          <w:highlight w:val="none"/>
          <w:lang w:val="zh-CN"/>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保密</w:t>
      </w:r>
    </w:p>
    <w:p w14:paraId="23CA511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zh-CN"/>
        </w:rPr>
        <w:t>参与采购活动的当事人应对磋商文件和响应文件中的商业秘密、技术秘密和个人隐私等保密，违者应对由此造成的后果承担法律责任。</w:t>
      </w:r>
    </w:p>
    <w:p w14:paraId="50448821">
      <w:pPr>
        <w:spacing w:line="360" w:lineRule="auto"/>
        <w:outlineLvl w:val="9"/>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语言文字</w:t>
      </w:r>
    </w:p>
    <w:p w14:paraId="0636F437">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.1磋商文件与响应文件使用的语言为中文。专用术语使用外文的，应附有中文注释。</w:t>
      </w:r>
    </w:p>
    <w:p w14:paraId="36B1804C">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.2响应文件中如附有外文资料，必须逐一对应翻译成中文并加盖供应商单位章后附在相关外文资料后面，否则，供应商的响应文件将作为无效响应文件处理。</w:t>
      </w:r>
    </w:p>
    <w:p w14:paraId="0A9C6810">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3响应文件中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14:paraId="3EF50463">
      <w:pPr>
        <w:snapToGrid w:val="0"/>
        <w:spacing w:line="360" w:lineRule="auto"/>
        <w:rPr>
          <w:rFonts w:hint="eastAsia" w:ascii="仿宋" w:hAnsi="仿宋" w:eastAsia="仿宋" w:cs="仿宋"/>
          <w:b/>
          <w:bCs/>
          <w:color w:val="auto"/>
          <w:sz w:val="28"/>
          <w:szCs w:val="28"/>
          <w:highlight w:val="none"/>
          <w:lang w:val="en-US"/>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计量单位</w:t>
      </w:r>
    </w:p>
    <w:p w14:paraId="1E889495">
      <w:pPr>
        <w:spacing w:line="360" w:lineRule="auto"/>
        <w:ind w:firstLine="480"/>
        <w:rPr>
          <w:rFonts w:hint="eastAsia" w:ascii="仿宋" w:hAnsi="仿宋" w:eastAsia="仿宋" w:cs="仿宋"/>
          <w:color w:val="auto"/>
          <w:kern w:val="1"/>
          <w:sz w:val="28"/>
          <w:szCs w:val="28"/>
          <w:highlight w:val="none"/>
          <w:lang w:val="zh-CN" w:eastAsia="zh-CN"/>
        </w:rPr>
      </w:pPr>
      <w:r>
        <w:rPr>
          <w:rFonts w:hint="eastAsia" w:ascii="仿宋" w:hAnsi="仿宋" w:eastAsia="仿宋" w:cs="仿宋"/>
          <w:color w:val="auto"/>
          <w:kern w:val="1"/>
          <w:sz w:val="28"/>
          <w:szCs w:val="28"/>
          <w:highlight w:val="none"/>
        </w:rPr>
        <w:t>竞争性磋商响应文件中所使用的计量单位，除有特殊要求外，均采用国家法定计量单位</w:t>
      </w:r>
      <w:r>
        <w:rPr>
          <w:rFonts w:hint="eastAsia" w:ascii="仿宋" w:hAnsi="仿宋" w:eastAsia="仿宋" w:cs="仿宋"/>
          <w:color w:val="auto"/>
          <w:kern w:val="1"/>
          <w:sz w:val="28"/>
          <w:szCs w:val="28"/>
          <w:highlight w:val="none"/>
          <w:lang w:val="zh-CN" w:eastAsia="zh-CN"/>
        </w:rPr>
        <w:t>。</w:t>
      </w:r>
    </w:p>
    <w:p w14:paraId="5A169EBB">
      <w:pPr>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7.答疑会或现场考察</w:t>
      </w:r>
    </w:p>
    <w:p w14:paraId="27C71674">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1根据本采购项目的具体情况，采购代理机构认为有必要，可以组织召开磋商前答疑会或组织供应商对项目现场进行考察，澄清供应商提出的问题。答疑会或进行现场考察的时间与地点，采购代理机构将以书面形式通知所有获取了磋商文件的供应商。</w:t>
      </w:r>
    </w:p>
    <w:p w14:paraId="51956562">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.2答疑会或现场考察后，采购人或采购代理机构对供应商所提问题的澄清，以书面形式通知所有获取了磋商文件的供应商。该澄清内容为磋商文件的组成部分。</w:t>
      </w:r>
    </w:p>
    <w:p w14:paraId="3AF401B0">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.3采购人或采购代理机构不对供应商现场考察而做出的推论、理解和结论负责。一旦成交，成交供应商不得以任何借口，提出额外补偿，或延长合同期限的要求。</w:t>
      </w:r>
    </w:p>
    <w:p w14:paraId="47A0B7AE">
      <w:pPr>
        <w:spacing w:line="360" w:lineRule="auto"/>
        <w:outlineLvl w:val="9"/>
        <w:rPr>
          <w:rFonts w:hint="eastAsia" w:ascii="仿宋" w:hAnsi="仿宋" w:eastAsia="仿宋" w:cs="仿宋"/>
          <w:b/>
          <w:bCs/>
          <w:color w:val="auto"/>
          <w:kern w:val="1"/>
          <w:sz w:val="28"/>
          <w:szCs w:val="28"/>
          <w:highlight w:val="none"/>
        </w:rPr>
      </w:pPr>
      <w:r>
        <w:rPr>
          <w:rFonts w:hint="eastAsia" w:ascii="仿宋" w:hAnsi="仿宋" w:eastAsia="仿宋" w:cs="仿宋"/>
          <w:b/>
          <w:bCs/>
          <w:color w:val="auto"/>
          <w:kern w:val="1"/>
          <w:sz w:val="28"/>
          <w:szCs w:val="28"/>
          <w:highlight w:val="none"/>
          <w:lang w:val="en-US" w:eastAsia="zh-CN"/>
        </w:rPr>
        <w:t>8</w:t>
      </w:r>
      <w:r>
        <w:rPr>
          <w:rFonts w:hint="eastAsia" w:ascii="仿宋" w:hAnsi="仿宋" w:eastAsia="仿宋" w:cs="仿宋"/>
          <w:b/>
          <w:bCs/>
          <w:color w:val="auto"/>
          <w:kern w:val="1"/>
          <w:sz w:val="28"/>
          <w:szCs w:val="28"/>
          <w:highlight w:val="none"/>
        </w:rPr>
        <w:t>.合格的磋商</w:t>
      </w:r>
      <w:r>
        <w:rPr>
          <w:rFonts w:hint="eastAsia" w:ascii="仿宋" w:hAnsi="仿宋" w:eastAsia="仿宋" w:cs="仿宋"/>
          <w:b/>
          <w:bCs/>
          <w:color w:val="auto"/>
          <w:kern w:val="1"/>
          <w:sz w:val="28"/>
          <w:szCs w:val="28"/>
          <w:highlight w:val="none"/>
          <w:lang w:eastAsia="zh-CN"/>
        </w:rPr>
        <w:t>供应商</w:t>
      </w:r>
      <w:r>
        <w:rPr>
          <w:rFonts w:hint="eastAsia" w:ascii="仿宋" w:hAnsi="仿宋" w:eastAsia="仿宋" w:cs="仿宋"/>
          <w:b/>
          <w:bCs/>
          <w:color w:val="auto"/>
          <w:kern w:val="1"/>
          <w:sz w:val="28"/>
          <w:szCs w:val="28"/>
          <w:highlight w:val="none"/>
        </w:rPr>
        <w:t>和合格的服务</w:t>
      </w:r>
    </w:p>
    <w:p w14:paraId="471B4F55">
      <w:pPr>
        <w:spacing w:line="360" w:lineRule="auto"/>
        <w:outlineLvl w:val="9"/>
        <w:rPr>
          <w:rFonts w:hint="eastAsia" w:ascii="仿宋" w:hAnsi="仿宋" w:eastAsia="仿宋" w:cs="仿宋"/>
          <w:b/>
          <w:bCs/>
          <w:color w:val="auto"/>
          <w:kern w:val="1"/>
          <w:sz w:val="28"/>
          <w:szCs w:val="28"/>
          <w:highlight w:val="none"/>
        </w:rPr>
      </w:pPr>
      <w:r>
        <w:rPr>
          <w:rFonts w:hint="eastAsia" w:ascii="仿宋" w:hAnsi="仿宋" w:eastAsia="仿宋" w:cs="仿宋"/>
          <w:color w:val="auto"/>
          <w:kern w:val="0"/>
          <w:sz w:val="28"/>
          <w:szCs w:val="28"/>
          <w:highlight w:val="none"/>
        </w:rPr>
        <w:t>具有独立承担民事责任能力的</w:t>
      </w:r>
      <w:r>
        <w:rPr>
          <w:rFonts w:hint="eastAsia" w:ascii="仿宋" w:hAnsi="仿宋" w:eastAsia="仿宋" w:cs="仿宋"/>
          <w:color w:val="auto"/>
          <w:kern w:val="0"/>
          <w:sz w:val="28"/>
          <w:szCs w:val="28"/>
          <w:highlight w:val="none"/>
          <w:lang w:eastAsia="zh-CN"/>
        </w:rPr>
        <w:t>法定代表人</w:t>
      </w:r>
      <w:r>
        <w:rPr>
          <w:rFonts w:hint="eastAsia" w:ascii="仿宋" w:hAnsi="仿宋" w:eastAsia="仿宋" w:cs="仿宋"/>
          <w:color w:val="auto"/>
          <w:kern w:val="0"/>
          <w:sz w:val="28"/>
          <w:szCs w:val="28"/>
          <w:highlight w:val="none"/>
        </w:rPr>
        <w:t>、其他组织或自然人</w:t>
      </w:r>
      <w:r>
        <w:rPr>
          <w:rFonts w:hint="eastAsia" w:ascii="仿宋" w:hAnsi="仿宋" w:eastAsia="仿宋" w:cs="仿宋"/>
          <w:color w:val="auto"/>
          <w:kern w:val="1"/>
          <w:sz w:val="28"/>
          <w:szCs w:val="28"/>
          <w:highlight w:val="none"/>
        </w:rPr>
        <w:t>；遵守国家法律、行政法规，具有良好的信誉及履行合同的能力和良好的履行合同记录，资金状况良好；具有履行合同所必需的设备和专业技术能力</w:t>
      </w:r>
      <w:r>
        <w:rPr>
          <w:rFonts w:hint="eastAsia" w:ascii="仿宋" w:hAnsi="仿宋" w:eastAsia="仿宋" w:cs="仿宋"/>
          <w:color w:val="auto"/>
          <w:kern w:val="1"/>
          <w:sz w:val="28"/>
          <w:szCs w:val="28"/>
          <w:highlight w:val="none"/>
          <w:lang w:eastAsia="zh-CN"/>
        </w:rPr>
        <w:t>，具</w:t>
      </w:r>
      <w:r>
        <w:rPr>
          <w:rFonts w:hint="eastAsia" w:ascii="仿宋" w:hAnsi="仿宋" w:eastAsia="仿宋" w:cs="仿宋"/>
          <w:color w:val="auto"/>
          <w:kern w:val="1"/>
          <w:sz w:val="28"/>
          <w:szCs w:val="28"/>
          <w:highlight w:val="none"/>
        </w:rPr>
        <w:t>有依法缴纳税收和社会保障资金的</w:t>
      </w:r>
      <w:r>
        <w:rPr>
          <w:rFonts w:hint="eastAsia" w:ascii="仿宋" w:hAnsi="仿宋" w:eastAsia="仿宋" w:cs="仿宋"/>
          <w:color w:val="auto"/>
          <w:kern w:val="1"/>
          <w:sz w:val="28"/>
          <w:szCs w:val="28"/>
          <w:highlight w:val="none"/>
          <w:lang w:eastAsia="zh-CN"/>
        </w:rPr>
        <w:t>良好记录</w:t>
      </w:r>
      <w:r>
        <w:rPr>
          <w:rFonts w:hint="eastAsia" w:ascii="仿宋" w:hAnsi="仿宋" w:eastAsia="仿宋" w:cs="仿宋"/>
          <w:color w:val="auto"/>
          <w:kern w:val="1"/>
          <w:sz w:val="28"/>
          <w:szCs w:val="28"/>
          <w:highlight w:val="none"/>
        </w:rPr>
        <w:t>；参加政府采购活动前三年内，在经营活动中没有重大违法</w:t>
      </w:r>
      <w:r>
        <w:rPr>
          <w:rFonts w:hint="eastAsia" w:ascii="仿宋" w:hAnsi="仿宋" w:eastAsia="仿宋" w:cs="仿宋"/>
          <w:color w:val="auto"/>
          <w:kern w:val="1"/>
          <w:sz w:val="28"/>
          <w:szCs w:val="28"/>
          <w:highlight w:val="none"/>
          <w:lang w:eastAsia="zh-CN"/>
        </w:rPr>
        <w:t>记录</w:t>
      </w:r>
      <w:r>
        <w:rPr>
          <w:rFonts w:hint="eastAsia" w:ascii="仿宋" w:hAnsi="仿宋" w:eastAsia="仿宋" w:cs="仿宋"/>
          <w:color w:val="auto"/>
          <w:kern w:val="1"/>
          <w:sz w:val="28"/>
          <w:szCs w:val="28"/>
          <w:highlight w:val="none"/>
        </w:rPr>
        <w:t>。</w:t>
      </w:r>
    </w:p>
    <w:p w14:paraId="73A2C273">
      <w:pPr>
        <w:pStyle w:val="5"/>
        <w:jc w:val="center"/>
        <w:rPr>
          <w:rFonts w:hint="eastAsia" w:ascii="仿宋" w:hAnsi="仿宋" w:eastAsia="仿宋" w:cs="仿宋"/>
          <w:color w:val="auto"/>
          <w:kern w:val="1"/>
          <w:szCs w:val="24"/>
          <w:highlight w:val="none"/>
        </w:rPr>
      </w:pPr>
      <w:bookmarkStart w:id="6" w:name="_Toc31217"/>
      <w:bookmarkStart w:id="7" w:name="_Toc30497"/>
      <w:r>
        <w:rPr>
          <w:rFonts w:hint="eastAsia" w:ascii="仿宋" w:hAnsi="仿宋" w:eastAsia="仿宋" w:cs="仿宋"/>
          <w:color w:val="auto"/>
          <w:kern w:val="1"/>
          <w:szCs w:val="24"/>
          <w:highlight w:val="none"/>
        </w:rPr>
        <w:t>二、竞争性磋商文件</w:t>
      </w:r>
      <w:bookmarkEnd w:id="6"/>
      <w:bookmarkEnd w:id="7"/>
    </w:p>
    <w:p w14:paraId="4389BF60">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.竞争性磋商文件</w:t>
      </w:r>
    </w:p>
    <w:p w14:paraId="4333BD8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.1竞争性磋商文件由竞争性磋商文件总目录所列内容组成。</w:t>
      </w:r>
    </w:p>
    <w:p w14:paraId="6B022F86">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.2磋商供应商应详细阅读竞争性磋商文件的全部内容。不按竞争性磋商文件要求提供的竞争性磋商响应文件和资料可能导致响应无效。</w:t>
      </w:r>
    </w:p>
    <w:p w14:paraId="3EDA6022">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.磋商文件的澄清或修改</w:t>
      </w:r>
    </w:p>
    <w:p w14:paraId="1E1F7634">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2.1磋商文件包括目录中所列</w:t>
      </w:r>
      <w:r>
        <w:rPr>
          <w:rFonts w:hint="eastAsia" w:ascii="仿宋" w:hAnsi="仿宋" w:eastAsia="仿宋" w:cs="仿宋"/>
          <w:bCs/>
          <w:color w:val="auto"/>
          <w:kern w:val="1"/>
          <w:sz w:val="28"/>
          <w:szCs w:val="28"/>
          <w:highlight w:val="none"/>
          <w:lang w:val="en-US" w:eastAsia="zh-CN"/>
        </w:rPr>
        <w:t>内容</w:t>
      </w:r>
      <w:r>
        <w:rPr>
          <w:rFonts w:hint="eastAsia" w:ascii="仿宋" w:hAnsi="仿宋" w:eastAsia="仿宋" w:cs="仿宋"/>
          <w:bCs/>
          <w:color w:val="auto"/>
          <w:kern w:val="1"/>
          <w:sz w:val="28"/>
          <w:szCs w:val="28"/>
          <w:highlight w:val="none"/>
        </w:rPr>
        <w:t>，磋商文件各章内容对磋商事宜提出明确要求，磋商供应商须仔细阅读磋商文件中所有的事项、格式、条款和规范要求，在磋商响应文件中对磋商文件的各方面都做出实质性的响应，按照磋商文件的要求提交全部资料。</w:t>
      </w:r>
    </w:p>
    <w:p w14:paraId="2BCD0169">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2.2磋商供应商未能全面、正确理解磋商文件而产生的误解、疏漏以及所带来的不利后果，其责任由磋商供应商承担。</w:t>
      </w:r>
    </w:p>
    <w:p w14:paraId="650932DD">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2.3磋商文件的修改、澄清或补正</w:t>
      </w:r>
    </w:p>
    <w:p w14:paraId="234B3538">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1</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可对已发出的磋商文件进行必要的修改、澄清和补正，修改、澄清和补正的内容在磋商响应文件递交截止之日止3日前，以书面形式通知所有磋商文件收受人，该修改、澄清和补正的内容为磋商文件的组成部分。</w:t>
      </w:r>
    </w:p>
    <w:p w14:paraId="59D2F66A">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2供应商要求对磋商文件进行澄清的（</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有误、表述不清或认为磋商文件存在排他性条款），必须在磋商响应文件递交截止时间3个工作日前，以书面形式送达</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（涉及</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问题的由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转交采购人、由采购人在规定的时间内予以解释，其他问题由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解释）；</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在磋商响应文件递交截止时间3日前以书面形式予以答复；必要时将书面答复传送给所有磋商文件收受人。没有提出异议视同完全接受磋商文件所有条款内容。</w:t>
      </w:r>
    </w:p>
    <w:p w14:paraId="263BCF48">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3</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可以视采购具体情况，延长磋商响应文件递交截止时间和磋商时间，但至少在磋商文件要求的递交磋商响应文件截止之日3个工作日前，将变更时间书面通知所有磋商文件收受人。</w:t>
      </w:r>
    </w:p>
    <w:p w14:paraId="1F1E3168">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4磋商文件由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登记发售，一经售出，恕不能退。</w:t>
      </w:r>
    </w:p>
    <w:p w14:paraId="4B4016EB">
      <w:pPr>
        <w:spacing w:line="360" w:lineRule="auto"/>
        <w:ind w:firstLine="48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5竞争性磋商文件的解释权归采购代理机构所有。</w:t>
      </w:r>
    </w:p>
    <w:p w14:paraId="2811DED0">
      <w:pPr>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w:t>
      </w:r>
      <w:r>
        <w:rPr>
          <w:rFonts w:hint="eastAsia" w:ascii="仿宋" w:hAnsi="仿宋" w:eastAsia="仿宋" w:cs="仿宋"/>
          <w:b/>
          <w:color w:val="auto"/>
          <w:sz w:val="28"/>
          <w:szCs w:val="28"/>
          <w:highlight w:val="none"/>
        </w:rPr>
        <w:t>备选磋商方案</w:t>
      </w:r>
    </w:p>
    <w:p w14:paraId="60DC2E3D">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本项目不得提供备选方案。</w:t>
      </w:r>
    </w:p>
    <w:p w14:paraId="0B8C44BD">
      <w:pPr>
        <w:pStyle w:val="5"/>
        <w:jc w:val="center"/>
        <w:rPr>
          <w:rFonts w:hint="eastAsia" w:ascii="仿宋" w:hAnsi="仿宋" w:eastAsia="仿宋" w:cs="仿宋"/>
          <w:b/>
          <w:color w:val="auto"/>
          <w:kern w:val="1"/>
          <w:szCs w:val="24"/>
          <w:highlight w:val="none"/>
        </w:rPr>
      </w:pPr>
      <w:bookmarkStart w:id="8" w:name="_Toc12642"/>
      <w:bookmarkStart w:id="9" w:name="_Toc23435"/>
      <w:r>
        <w:rPr>
          <w:rFonts w:hint="eastAsia" w:ascii="仿宋" w:hAnsi="仿宋" w:eastAsia="仿宋" w:cs="仿宋"/>
          <w:b/>
          <w:color w:val="auto"/>
          <w:kern w:val="1"/>
          <w:szCs w:val="24"/>
          <w:highlight w:val="none"/>
        </w:rPr>
        <w:t>三、响应文件</w:t>
      </w:r>
      <w:bookmarkEnd w:id="8"/>
      <w:bookmarkEnd w:id="9"/>
    </w:p>
    <w:p w14:paraId="28BAB457">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.竞争性磋商响应文件的组成</w:t>
      </w:r>
    </w:p>
    <w:p w14:paraId="4D99C5B6">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.1竞争性磋商响应文件的组成包含法定代表人证明书与响应授权书</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磋商</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函、</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报价表、技术响应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、商务响应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供应商</w:t>
      </w:r>
      <w:r>
        <w:rPr>
          <w:rFonts w:hint="eastAsia" w:ascii="仿宋" w:hAnsi="仿宋" w:eastAsia="仿宋" w:cs="仿宋"/>
          <w:color w:val="auto"/>
          <w:kern w:val="1"/>
          <w:sz w:val="28"/>
          <w:szCs w:val="28"/>
          <w:highlight w:val="none"/>
        </w:rPr>
        <w:t>概况声明及承诺</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资格证明文件、供应商拒绝政府采购领域商业贿赂承诺书</w:t>
      </w:r>
      <w:r>
        <w:rPr>
          <w:rFonts w:hint="eastAsia" w:ascii="仿宋" w:hAnsi="仿宋" w:eastAsia="仿宋" w:cs="仿宋"/>
          <w:color w:val="auto"/>
          <w:kern w:val="1"/>
          <w:sz w:val="28"/>
          <w:szCs w:val="28"/>
          <w:highlight w:val="none"/>
        </w:rPr>
        <w:t>等内容。</w:t>
      </w:r>
    </w:p>
    <w:p w14:paraId="6043A3E2">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.2竞争性磋商响应文件中报价一览表内容与分项报价表内容不一致的，以报价一览表为准。</w:t>
      </w:r>
    </w:p>
    <w:p w14:paraId="51998ED5">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.响应内容填写说明</w:t>
      </w:r>
    </w:p>
    <w:p w14:paraId="049A03C8">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竞争性磋商响应文件按统一格式编制，对竞争性磋商文件要求</w:t>
      </w:r>
      <w:r>
        <w:rPr>
          <w:rFonts w:hint="eastAsia" w:ascii="仿宋" w:hAnsi="仿宋" w:eastAsia="仿宋" w:cs="仿宋"/>
          <w:color w:val="auto"/>
          <w:kern w:val="1"/>
          <w:sz w:val="28"/>
          <w:szCs w:val="28"/>
          <w:highlight w:val="none"/>
          <w:lang w:eastAsia="zh-CN"/>
        </w:rPr>
        <w:t>作出</w:t>
      </w:r>
      <w:r>
        <w:rPr>
          <w:rFonts w:hint="eastAsia" w:ascii="仿宋" w:hAnsi="仿宋" w:eastAsia="仿宋" w:cs="仿宋"/>
          <w:color w:val="auto"/>
          <w:kern w:val="1"/>
          <w:sz w:val="28"/>
          <w:szCs w:val="28"/>
          <w:highlight w:val="none"/>
        </w:rPr>
        <w:t>实质性响应。磋商供应商可根据情况自行扩展。</w:t>
      </w:r>
    </w:p>
    <w:p w14:paraId="07039368">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.磋商响应报价</w:t>
      </w:r>
    </w:p>
    <w:p w14:paraId="1497999D">
      <w:pPr>
        <w:spacing w:line="360" w:lineRule="auto"/>
        <w:ind w:firstLine="560" w:firstLineChars="200"/>
        <w:jc w:val="left"/>
        <w:outlineLvl w:val="9"/>
        <w:rPr>
          <w:rFonts w:hint="eastAsia" w:ascii="仿宋" w:hAnsi="仿宋" w:eastAsia="仿宋" w:cs="仿宋"/>
          <w:color w:val="auto"/>
          <w:sz w:val="28"/>
          <w:szCs w:val="28"/>
          <w:highlight w:val="none"/>
        </w:rPr>
      </w:pPr>
      <w:bookmarkStart w:id="10" w:name="OLE_LINK3"/>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.1总报价应是磋商供应商正确、全面完成磋商响应文件所述全部工作内容的全部报酬。为完成本项目及相关服务可能发生的一切费用。所有根据合同</w:t>
      </w:r>
      <w:r>
        <w:rPr>
          <w:rFonts w:hint="eastAsia" w:ascii="仿宋" w:hAnsi="仿宋" w:eastAsia="仿宋" w:cs="仿宋"/>
          <w:color w:val="auto"/>
          <w:sz w:val="28"/>
          <w:szCs w:val="28"/>
          <w:highlight w:val="none"/>
          <w:lang w:eastAsia="zh-CN"/>
        </w:rPr>
        <w:t>或其他原因</w:t>
      </w:r>
      <w:r>
        <w:rPr>
          <w:rFonts w:hint="eastAsia" w:ascii="仿宋" w:hAnsi="仿宋" w:eastAsia="仿宋" w:cs="仿宋"/>
          <w:color w:val="auto"/>
          <w:sz w:val="28"/>
          <w:szCs w:val="28"/>
          <w:highlight w:val="none"/>
        </w:rPr>
        <w:t>由磋商供应商支付的税金</w:t>
      </w:r>
      <w:r>
        <w:rPr>
          <w:rFonts w:hint="eastAsia" w:ascii="仿宋" w:hAnsi="仿宋" w:eastAsia="仿宋" w:cs="仿宋"/>
          <w:color w:val="auto"/>
          <w:sz w:val="28"/>
          <w:szCs w:val="28"/>
          <w:highlight w:val="none"/>
          <w:lang w:eastAsia="zh-CN"/>
        </w:rPr>
        <w:t>和其他</w:t>
      </w:r>
      <w:r>
        <w:rPr>
          <w:rFonts w:hint="eastAsia" w:ascii="仿宋" w:hAnsi="仿宋" w:eastAsia="仿宋" w:cs="仿宋"/>
          <w:color w:val="auto"/>
          <w:sz w:val="28"/>
          <w:szCs w:val="28"/>
          <w:highlight w:val="none"/>
        </w:rPr>
        <w:t>应缴纳的费用，以及利润等都应包含在磋商总报价中，磋商</w:t>
      </w:r>
      <w:bookmarkEnd w:id="10"/>
      <w:r>
        <w:rPr>
          <w:rFonts w:hint="eastAsia" w:ascii="仿宋" w:hAnsi="仿宋" w:eastAsia="仿宋" w:cs="仿宋"/>
          <w:color w:val="auto"/>
          <w:sz w:val="28"/>
          <w:szCs w:val="28"/>
          <w:highlight w:val="none"/>
        </w:rPr>
        <w:t>供应商不得要求采购人在报价之外支付</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费用。由于报价填报不完整、不清楚或存在</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失误，所导致的任何不利后果均应当由磋商供应商自行承担。</w:t>
      </w:r>
    </w:p>
    <w:p w14:paraId="17B6BBB1">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磋商报价不因市场因素、政府政策调整、费率调整和税收变化等而作任何调整，磋商单位应</w:t>
      </w:r>
      <w:r>
        <w:rPr>
          <w:rFonts w:hint="eastAsia" w:ascii="仿宋" w:hAnsi="仿宋" w:eastAsia="仿宋" w:cs="仿宋"/>
          <w:color w:val="auto"/>
          <w:sz w:val="28"/>
          <w:szCs w:val="28"/>
          <w:highlight w:val="none"/>
          <w:lang w:eastAsia="zh-CN"/>
        </w:rPr>
        <w:t>充分考虑</w:t>
      </w:r>
      <w:r>
        <w:rPr>
          <w:rFonts w:hint="eastAsia" w:ascii="仿宋" w:hAnsi="仿宋" w:eastAsia="仿宋" w:cs="仿宋"/>
          <w:color w:val="auto"/>
          <w:sz w:val="28"/>
          <w:szCs w:val="28"/>
          <w:highlight w:val="none"/>
        </w:rPr>
        <w:t>各种风险因素。</w:t>
      </w:r>
    </w:p>
    <w:p w14:paraId="289C7416">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磋商供应商应按竞争性磋商文件所提供的相关需求，报出合理唯一的报价，采购人不接受任何有选择性的报价。</w:t>
      </w:r>
    </w:p>
    <w:p w14:paraId="3D26EB79">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报价货币：人民币。</w:t>
      </w:r>
    </w:p>
    <w:p w14:paraId="757E5306">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kern w:val="0"/>
          <w:sz w:val="28"/>
          <w:szCs w:val="28"/>
          <w:highlight w:val="none"/>
        </w:rPr>
        <w:t>本次磋商采取二次报价，即：竞争性磋商响应文件中的磋商总报价为第一次报价；在磋商供应商符合性审查合格后，第一次报价为有效报价。</w:t>
      </w:r>
      <w:r>
        <w:rPr>
          <w:rFonts w:hint="eastAsia" w:ascii="仿宋" w:hAnsi="仿宋" w:eastAsia="仿宋" w:cs="仿宋"/>
          <w:color w:val="auto"/>
          <w:sz w:val="28"/>
          <w:szCs w:val="28"/>
          <w:highlight w:val="none"/>
        </w:rPr>
        <w:t>通过符合性审查的各供应商单位与磋商小组进行磋商后，在规定时间内，提交第二次报价，</w:t>
      </w:r>
      <w:r>
        <w:rPr>
          <w:rFonts w:hint="eastAsia" w:ascii="仿宋" w:hAnsi="仿宋" w:eastAsia="仿宋" w:cs="仿宋"/>
          <w:color w:val="auto"/>
          <w:kern w:val="0"/>
          <w:sz w:val="28"/>
          <w:szCs w:val="28"/>
          <w:highlight w:val="none"/>
        </w:rPr>
        <w:t>第二次报价即为最终报价。</w:t>
      </w:r>
    </w:p>
    <w:p w14:paraId="167F7879">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特殊情况处理：根据磋商情况，磋商小组有权决定是否进行第三次报价。</w:t>
      </w:r>
    </w:p>
    <w:p w14:paraId="752DB306">
      <w:pPr>
        <w:spacing w:line="360" w:lineRule="auto"/>
        <w:ind w:left="120" w:leftChars="57" w:firstLine="420" w:firstLineChars="15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磋商后所确定的成交价格，在合同执行过程中，不得以任何理由变更。</w:t>
      </w:r>
    </w:p>
    <w:p w14:paraId="1E893AEA">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最低报价不是磋商成交的唯一依据。</w:t>
      </w:r>
    </w:p>
    <w:p w14:paraId="6C1373F7">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任何一次报价超出</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的，按响应无效处理。</w:t>
      </w:r>
    </w:p>
    <w:p w14:paraId="0A8CC990">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本项目不公开任何一次报价。</w:t>
      </w:r>
    </w:p>
    <w:p w14:paraId="24483879">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.磋商响应文件有效期</w:t>
      </w:r>
    </w:p>
    <w:p w14:paraId="6C66DC3C">
      <w:pPr>
        <w:spacing w:line="360" w:lineRule="auto"/>
        <w:ind w:firstLine="548" w:firstLineChars="196"/>
        <w:outlineLvl w:val="9"/>
        <w:rPr>
          <w:rFonts w:hint="eastAsia" w:ascii="仿宋" w:hAnsi="仿宋" w:eastAsia="仿宋" w:cs="仿宋"/>
          <w:color w:val="auto"/>
          <w:kern w:val="1"/>
          <w:sz w:val="28"/>
          <w:szCs w:val="28"/>
          <w:highlight w:val="none"/>
        </w:rPr>
      </w:pPr>
      <w:r>
        <w:rPr>
          <w:rFonts w:hint="eastAsia" w:ascii="仿宋" w:hAnsi="仿宋" w:eastAsia="仿宋" w:cs="仿宋"/>
          <w:bCs/>
          <w:color w:val="auto"/>
          <w:sz w:val="28"/>
          <w:szCs w:val="28"/>
          <w:highlight w:val="none"/>
        </w:rPr>
        <w:t>自磋商截止之日起90天</w:t>
      </w:r>
      <w:r>
        <w:rPr>
          <w:rFonts w:hint="eastAsia" w:ascii="仿宋" w:hAnsi="仿宋" w:eastAsia="仿宋" w:cs="仿宋"/>
          <w:color w:val="auto"/>
          <w:sz w:val="28"/>
          <w:szCs w:val="28"/>
          <w:highlight w:val="none"/>
        </w:rPr>
        <w:t>。</w:t>
      </w:r>
      <w:r>
        <w:rPr>
          <w:rFonts w:hint="eastAsia" w:ascii="仿宋" w:hAnsi="仿宋" w:eastAsia="仿宋" w:cs="仿宋"/>
          <w:color w:val="auto"/>
          <w:kern w:val="1"/>
          <w:sz w:val="28"/>
          <w:szCs w:val="28"/>
          <w:highlight w:val="none"/>
        </w:rPr>
        <w:t>如果成交，则延期到合同期满，磋商响应文件有效期不满足竞争性磋商文件要求的，将视为响应无效。</w:t>
      </w:r>
    </w:p>
    <w:p w14:paraId="5279BB94">
      <w:pPr>
        <w:spacing w:line="360" w:lineRule="auto"/>
        <w:outlineLvl w:val="9"/>
        <w:rPr>
          <w:rFonts w:hint="eastAsia" w:ascii="仿宋" w:hAnsi="仿宋" w:eastAsia="仿宋" w:cs="仿宋"/>
          <w:b/>
          <w:color w:val="auto"/>
          <w:kern w:val="1"/>
          <w:sz w:val="28"/>
          <w:szCs w:val="28"/>
          <w:highlight w:val="none"/>
        </w:rPr>
      </w:pPr>
      <w:bookmarkStart w:id="11" w:name="OLE_LINK2"/>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磋商保证金</w:t>
      </w:r>
    </w:p>
    <w:bookmarkEnd w:id="11"/>
    <w:p w14:paraId="59877047">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5.1磋商保证金数额见须知前附表。</w:t>
      </w:r>
    </w:p>
    <w:p w14:paraId="7A0A66CA">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5.2交纳磋商保证金是保障招标活动的必要条件，供应商在磋商截止时间前，应通过投须知前附表的要求将磋商保证金划入采购代理机构指定账户，具体交纳办法见须知前附表。</w:t>
      </w:r>
    </w:p>
    <w:p w14:paraId="3079B43E">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5.3供应商未按照磋商文件要求的金额、时间提交磋商保证金的，视为无效。</w:t>
      </w:r>
    </w:p>
    <w:p w14:paraId="0696474B">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供应商为联合体的，可以由联合体中的一方或者多方共同交纳磋商保证金，其交纳的保证金对联合体各方均具有约束力。</w:t>
      </w:r>
    </w:p>
    <w:p w14:paraId="1FA29FC9">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5.4磋商保证金的退还</w:t>
      </w:r>
    </w:p>
    <w:p w14:paraId="1E0103C8">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5.4.1未的磋商保证金，将在成交通知书发出之日起5个工作日内全额退还。的磋商保证金，在合同签订生效后5个工作日内全额退还。</w:t>
      </w:r>
    </w:p>
    <w:p w14:paraId="1C719B62">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5.4.2有下列情形之一的，不予退还磋商保证金：</w:t>
      </w:r>
    </w:p>
    <w:p w14:paraId="07550BBC">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（1）供应商在磋商文件规定的有效期内撤销响应文件的；</w:t>
      </w:r>
    </w:p>
    <w:p w14:paraId="49C68432">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（2）在领取成交通知书后，无正当理由不与采购人签订合同的；</w:t>
      </w:r>
    </w:p>
    <w:p w14:paraId="68CD18BB">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（3）无正当理由，未能按磋商文件规定时间内领取《成交通知书》的；</w:t>
      </w:r>
    </w:p>
    <w:p w14:paraId="0701EF65">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（4）未能按规定支付招标代理服务费/中标服务费的；</w:t>
      </w:r>
    </w:p>
    <w:p w14:paraId="3A73C064">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（5）供应商违反竞响应函相关内容和条款的；</w:t>
      </w:r>
    </w:p>
    <w:p w14:paraId="6AEFE3F0">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（6）磋商有效期内，供应商在政府采购活动中有违规、违纪和违法行为的；</w:t>
      </w:r>
    </w:p>
    <w:p w14:paraId="00E21CD6">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（7）法律法规规定的其他情况。</w:t>
      </w:r>
    </w:p>
    <w:p w14:paraId="23479A34">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.磋商响应文件的签署及规定</w:t>
      </w:r>
    </w:p>
    <w:p w14:paraId="1683909C">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.1磋商供应商应填写全称，同时加盖磋商供应商单位印章。</w:t>
      </w:r>
    </w:p>
    <w:p w14:paraId="4B4922FD">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.2竞争性磋商响应文件中需签字的地方按竞争性磋商文件要求签字，需盖章的地方按竞争性磋商文件要求盖章。</w:t>
      </w:r>
    </w:p>
    <w:p w14:paraId="71B6FFA2">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.3磋商供应商准备</w:t>
      </w:r>
      <w:r>
        <w:rPr>
          <w:rFonts w:hint="eastAsia" w:ascii="仿宋" w:hAnsi="仿宋" w:eastAsia="仿宋" w:cs="仿宋"/>
          <w:bCs/>
          <w:color w:val="auto"/>
          <w:kern w:val="1"/>
          <w:sz w:val="28"/>
          <w:szCs w:val="28"/>
          <w:highlight w:val="none"/>
        </w:rPr>
        <w:t>磋商响应文件（正本1份、副本</w:t>
      </w:r>
      <w:r>
        <w:rPr>
          <w:rFonts w:hint="eastAsia" w:ascii="仿宋" w:hAnsi="仿宋" w:eastAsia="仿宋" w:cs="仿宋"/>
          <w:bCs/>
          <w:color w:val="auto"/>
          <w:kern w:val="1"/>
          <w:sz w:val="28"/>
          <w:szCs w:val="28"/>
          <w:highlight w:val="none"/>
          <w:lang w:val="en-US" w:eastAsia="zh-CN"/>
        </w:rPr>
        <w:t>2</w:t>
      </w:r>
      <w:r>
        <w:rPr>
          <w:rFonts w:hint="eastAsia" w:ascii="仿宋" w:hAnsi="仿宋" w:eastAsia="仿宋" w:cs="仿宋"/>
          <w:bCs/>
          <w:color w:val="auto"/>
          <w:kern w:val="1"/>
          <w:sz w:val="28"/>
          <w:szCs w:val="28"/>
          <w:highlight w:val="none"/>
        </w:rPr>
        <w:t>份</w:t>
      </w:r>
      <w:r>
        <w:rPr>
          <w:rFonts w:hint="eastAsia" w:ascii="仿宋" w:hAnsi="仿宋" w:eastAsia="仿宋" w:cs="仿宋"/>
          <w:bCs/>
          <w:color w:val="auto"/>
          <w:kern w:val="1"/>
          <w:sz w:val="28"/>
          <w:szCs w:val="28"/>
          <w:highlight w:val="none"/>
          <w:lang w:eastAsia="zh-CN"/>
        </w:rPr>
        <w:t>、</w:t>
      </w:r>
      <w:r>
        <w:rPr>
          <w:rFonts w:hint="eastAsia" w:ascii="仿宋" w:hAnsi="仿宋" w:eastAsia="仿宋" w:cs="仿宋"/>
          <w:color w:val="auto"/>
          <w:sz w:val="28"/>
          <w:szCs w:val="28"/>
          <w:highlight w:val="none"/>
        </w:rPr>
        <w:t>电子版</w:t>
      </w:r>
      <w:r>
        <w:rPr>
          <w:rFonts w:hint="eastAsia" w:ascii="仿宋" w:hAnsi="仿宋" w:eastAsia="仿宋" w:cs="仿宋"/>
          <w:color w:val="auto"/>
          <w:sz w:val="28"/>
          <w:szCs w:val="28"/>
          <w:highlight w:val="none"/>
          <w:lang w:val="en-US" w:eastAsia="zh-CN"/>
        </w:rPr>
        <w:t>2份</w:t>
      </w:r>
      <w:r>
        <w:rPr>
          <w:rFonts w:hint="eastAsia" w:ascii="仿宋" w:hAnsi="仿宋" w:eastAsia="仿宋" w:cs="仿宋"/>
          <w:bCs/>
          <w:color w:val="auto"/>
          <w:kern w:val="1"/>
          <w:sz w:val="28"/>
          <w:szCs w:val="28"/>
          <w:highlight w:val="none"/>
        </w:rPr>
        <w:t>）</w:t>
      </w:r>
      <w:r>
        <w:rPr>
          <w:rFonts w:hint="eastAsia" w:ascii="仿宋" w:hAnsi="仿宋" w:eastAsia="仿宋" w:cs="仿宋"/>
          <w:color w:val="auto"/>
          <w:kern w:val="1"/>
          <w:sz w:val="28"/>
          <w:szCs w:val="28"/>
          <w:highlight w:val="none"/>
        </w:rPr>
        <w:t>，正、副本须用A4幅面纸张打印或用不褪色的蓝（黑）墨水填写，并清楚标明“正本”“副本”字样，并各自胶装成册。副本可以为正本的复印件。如果正本与副本不符，以正本为准。（为响应国家节能环保政策，建议竞争性磋商响应文件双面打印。）</w:t>
      </w:r>
    </w:p>
    <w:p w14:paraId="1A920CA5">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.4竞争性磋商响应文件不得涂改和增删，如有修改错漏处，必须由法定代表人或授权代表人签字或盖章。</w:t>
      </w:r>
    </w:p>
    <w:p w14:paraId="2405A5E5">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.5因字迹潦草或表达不清所引起的后果由磋商供应商负责。</w:t>
      </w:r>
    </w:p>
    <w:p w14:paraId="6F9B5308">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7</w:t>
      </w:r>
      <w:r>
        <w:rPr>
          <w:rFonts w:hint="eastAsia" w:ascii="仿宋" w:hAnsi="仿宋" w:eastAsia="仿宋" w:cs="仿宋"/>
          <w:b/>
          <w:color w:val="auto"/>
          <w:kern w:val="1"/>
          <w:sz w:val="28"/>
          <w:szCs w:val="28"/>
          <w:highlight w:val="none"/>
        </w:rPr>
        <w:t>.踏勘和磋商预备会</w:t>
      </w:r>
    </w:p>
    <w:p w14:paraId="2ADE7FD9">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.1本项目不组织统一踏勘。</w:t>
      </w:r>
    </w:p>
    <w:p w14:paraId="42CCFD6C">
      <w:pPr>
        <w:spacing w:line="360" w:lineRule="auto"/>
        <w:ind w:firstLine="560" w:firstLineChars="200"/>
        <w:jc w:val="left"/>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.2本项目不召开磋商预备会，磋商供应商如有疑问，请以书面形式在规定时间内提交至代理机构。</w:t>
      </w:r>
    </w:p>
    <w:p w14:paraId="42463079">
      <w:pPr>
        <w:pStyle w:val="5"/>
        <w:jc w:val="center"/>
        <w:rPr>
          <w:rFonts w:hint="eastAsia" w:ascii="仿宋" w:hAnsi="仿宋" w:eastAsia="仿宋" w:cs="仿宋"/>
          <w:color w:val="auto"/>
          <w:kern w:val="1"/>
          <w:szCs w:val="24"/>
          <w:highlight w:val="none"/>
        </w:rPr>
      </w:pPr>
      <w:bookmarkStart w:id="12" w:name="_Toc10349"/>
      <w:bookmarkStart w:id="13" w:name="_Toc17295"/>
      <w:r>
        <w:rPr>
          <w:rFonts w:hint="eastAsia" w:ascii="仿宋" w:hAnsi="仿宋" w:eastAsia="仿宋" w:cs="仿宋"/>
          <w:color w:val="auto"/>
          <w:kern w:val="1"/>
          <w:szCs w:val="24"/>
          <w:highlight w:val="none"/>
        </w:rPr>
        <w:t>四、响应文件递交</w:t>
      </w:r>
      <w:bookmarkEnd w:id="12"/>
      <w:bookmarkEnd w:id="13"/>
    </w:p>
    <w:p w14:paraId="485BECD0">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.磋商响应文件的密封、标记及递交</w:t>
      </w:r>
    </w:p>
    <w:p w14:paraId="09185B4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1.1竞争性磋商响应文件密封袋内装竞争性磋商响应文件正、副本。封口处有磋商供应商公章。</w:t>
      </w:r>
    </w:p>
    <w:p w14:paraId="5D0BA08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1.2封皮上写明：</w:t>
      </w:r>
    </w:p>
    <w:p w14:paraId="2D5542A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项目名称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项目</w:t>
      </w:r>
      <w:r>
        <w:rPr>
          <w:rFonts w:hint="eastAsia" w:ascii="仿宋" w:hAnsi="仿宋" w:eastAsia="仿宋" w:cs="仿宋"/>
          <w:color w:val="auto"/>
          <w:kern w:val="1"/>
          <w:sz w:val="28"/>
          <w:szCs w:val="28"/>
          <w:highlight w:val="none"/>
          <w:lang w:val="en-US" w:eastAsia="zh-CN"/>
        </w:rPr>
        <w:t>编号</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供应商名称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日期，</w:t>
      </w:r>
      <w:r>
        <w:rPr>
          <w:rFonts w:hint="eastAsia" w:ascii="仿宋" w:hAnsi="仿宋" w:eastAsia="仿宋" w:cs="仿宋"/>
          <w:color w:val="auto"/>
          <w:kern w:val="1"/>
          <w:sz w:val="28"/>
          <w:szCs w:val="28"/>
          <w:highlight w:val="none"/>
        </w:rPr>
        <w:t>注明“</w:t>
      </w:r>
      <w:r>
        <w:rPr>
          <w:rFonts w:hint="eastAsia" w:ascii="仿宋" w:hAnsi="仿宋" w:eastAsia="仿宋" w:cs="仿宋"/>
          <w:color w:val="auto"/>
          <w:kern w:val="1"/>
          <w:sz w:val="28"/>
          <w:szCs w:val="28"/>
          <w:highlight w:val="none"/>
          <w:u w:val="none"/>
        </w:rPr>
        <w:t>响应文件</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电子版</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等</w:t>
      </w:r>
      <w:r>
        <w:rPr>
          <w:rFonts w:hint="eastAsia" w:ascii="仿宋" w:hAnsi="仿宋" w:eastAsia="仿宋" w:cs="仿宋"/>
          <w:color w:val="auto"/>
          <w:kern w:val="1"/>
          <w:sz w:val="28"/>
          <w:szCs w:val="28"/>
          <w:highlight w:val="none"/>
        </w:rPr>
        <w:t>字样。</w:t>
      </w:r>
    </w:p>
    <w:p w14:paraId="2DBAF144">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1.3</w:t>
      </w:r>
      <w:r>
        <w:rPr>
          <w:rFonts w:hint="eastAsia" w:ascii="仿宋" w:hAnsi="仿宋" w:eastAsia="仿宋" w:cs="仿宋"/>
          <w:color w:val="auto"/>
          <w:kern w:val="1"/>
          <w:sz w:val="28"/>
          <w:szCs w:val="28"/>
          <w:highlight w:val="none"/>
        </w:rPr>
        <w:t>响应</w:t>
      </w:r>
      <w:r>
        <w:rPr>
          <w:rFonts w:hint="eastAsia" w:ascii="仿宋" w:hAnsi="仿宋" w:eastAsia="仿宋" w:cs="仿宋"/>
          <w:color w:val="auto"/>
          <w:kern w:val="1"/>
          <w:sz w:val="28"/>
          <w:szCs w:val="28"/>
          <w:highlight w:val="none"/>
          <w:lang w:val="en-US" w:eastAsia="zh-CN"/>
        </w:rPr>
        <w:t>文件正本单独密封于1个密封袋内，副本统一密封于1个密封袋内，电子版2份统一密封于1个密封袋内，</w:t>
      </w:r>
      <w:r>
        <w:rPr>
          <w:rFonts w:hint="eastAsia" w:ascii="仿宋" w:hAnsi="仿宋" w:eastAsia="仿宋" w:cs="仿宋"/>
          <w:color w:val="auto"/>
          <w:sz w:val="28"/>
          <w:szCs w:val="28"/>
          <w:highlight w:val="none"/>
          <w:lang w:val="en-US" w:eastAsia="zh-CN"/>
        </w:rPr>
        <w:t>共3个密封袋。</w:t>
      </w:r>
    </w:p>
    <w:p w14:paraId="42FBF03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1.4</w:t>
      </w:r>
      <w:r>
        <w:rPr>
          <w:rFonts w:hint="eastAsia" w:ascii="仿宋" w:hAnsi="仿宋" w:eastAsia="仿宋" w:cs="仿宋"/>
          <w:color w:val="auto"/>
          <w:kern w:val="1"/>
          <w:sz w:val="28"/>
          <w:szCs w:val="28"/>
          <w:highlight w:val="none"/>
        </w:rPr>
        <w:t>未按要求密封、标记的竞争性磋商响应文件，采购人拒绝接收。</w:t>
      </w:r>
    </w:p>
    <w:p w14:paraId="2090C4ED">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.磋商时间</w:t>
      </w:r>
    </w:p>
    <w:p w14:paraId="3B49BD0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.1采购人推迟磋商时间时，应以书面或传真的形式通知所有磋商供应商。采购人和磋商供应商的权利和义务将受到新的磋商时间约束。</w:t>
      </w:r>
    </w:p>
    <w:p w14:paraId="59A3AFD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.2磋商时间以后送达的磋商响应文件及相关的资料，代理机构拒绝接收。</w:t>
      </w:r>
    </w:p>
    <w:p w14:paraId="3C24DA2A">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.磋商响应文件的修改、撤回和撤销</w:t>
      </w:r>
    </w:p>
    <w:p w14:paraId="41888CF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.1</w:t>
      </w:r>
      <w:r>
        <w:rPr>
          <w:rFonts w:hint="eastAsia" w:ascii="仿宋" w:hAnsi="仿宋" w:eastAsia="仿宋" w:cs="仿宋"/>
          <w:color w:val="auto"/>
          <w:sz w:val="28"/>
          <w:szCs w:val="28"/>
          <w:highlight w:val="none"/>
        </w:rPr>
        <w:t>磋商供应商在提交响应文件截止时间前，可以对所提交的竞争性磋商响应文件进行补充、修改或撤回，并书面通知采购代理机构。补充、新</w:t>
      </w:r>
      <w:r>
        <w:rPr>
          <w:rFonts w:hint="eastAsia" w:ascii="仿宋" w:hAnsi="仿宋" w:eastAsia="仿宋" w:cs="仿宋"/>
          <w:color w:val="auto"/>
          <w:sz w:val="28"/>
          <w:szCs w:val="28"/>
          <w:highlight w:val="none"/>
          <w:lang w:val="en-US" w:eastAsia="zh-CN"/>
        </w:rPr>
        <w:t>修改</w:t>
      </w:r>
      <w:r>
        <w:rPr>
          <w:rFonts w:hint="eastAsia" w:ascii="仿宋" w:hAnsi="仿宋" w:eastAsia="仿宋" w:cs="仿宋"/>
          <w:color w:val="auto"/>
          <w:sz w:val="28"/>
          <w:szCs w:val="28"/>
          <w:highlight w:val="none"/>
        </w:rPr>
        <w:t>的内容作为竞争性磋商响应文件的组成部分。补充、修改的内容与响应文件不一致的，以补充、修改的内容为准。</w:t>
      </w:r>
    </w:p>
    <w:p w14:paraId="316736B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.2竞争性磋商响应文件的修改文件应按本须知要求编写、密封，还须注明“修改竞争性磋商响应文件”字样。修改文件须在磋商截止时间前送达采购代理机构。</w:t>
      </w:r>
    </w:p>
    <w:p w14:paraId="7EECFBC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.3磋商截止时间之后，磋商供应商不得对其竞争性磋商响应文件做任何修改。</w:t>
      </w:r>
    </w:p>
    <w:p w14:paraId="6CCDA03F">
      <w:pPr>
        <w:pStyle w:val="5"/>
        <w:jc w:val="center"/>
        <w:rPr>
          <w:rFonts w:hint="eastAsia" w:ascii="仿宋" w:hAnsi="仿宋" w:eastAsia="仿宋" w:cs="仿宋"/>
          <w:color w:val="auto"/>
          <w:kern w:val="1"/>
          <w:sz w:val="36"/>
          <w:szCs w:val="36"/>
          <w:highlight w:val="none"/>
        </w:rPr>
      </w:pPr>
      <w:bookmarkStart w:id="14" w:name="_Toc602"/>
      <w:bookmarkStart w:id="15" w:name="_Toc13433"/>
      <w:r>
        <w:rPr>
          <w:rFonts w:hint="eastAsia" w:ascii="仿宋" w:hAnsi="仿宋" w:eastAsia="仿宋" w:cs="仿宋"/>
          <w:color w:val="auto"/>
          <w:kern w:val="1"/>
          <w:sz w:val="36"/>
          <w:szCs w:val="36"/>
          <w:highlight w:val="none"/>
        </w:rPr>
        <w:t>五、磋商及评审</w:t>
      </w:r>
      <w:bookmarkEnd w:id="14"/>
      <w:bookmarkEnd w:id="15"/>
    </w:p>
    <w:p w14:paraId="2DA4015E">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1.磋商</w:t>
      </w:r>
    </w:p>
    <w:p w14:paraId="35C96F8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1.1采购代理机构按竞争性磋商文件规定的时间、地点组织磋商。</w:t>
      </w:r>
    </w:p>
    <w:p w14:paraId="73DD4CE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1.2磋商大会由采购代理机构主持，采购人代表、磋商供应商等相关人员参加。</w:t>
      </w:r>
    </w:p>
    <w:p w14:paraId="2B4BF899">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1.3磋商供应商应派法定代表人或者授权代表出席磋商大会，参加磋商的代表应签名报到，以证明其出席。磋商供应商的法定代表人或授权代表未出席磋商大会的，视为其认同磋商结果。</w:t>
      </w:r>
    </w:p>
    <w:p w14:paraId="1883BFF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1.4磋商大会程序：</w:t>
      </w:r>
    </w:p>
    <w:p w14:paraId="075AD4C0">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1.4.1</w:t>
      </w:r>
      <w:r>
        <w:rPr>
          <w:rFonts w:hint="eastAsia" w:ascii="仿宋" w:hAnsi="仿宋" w:eastAsia="仿宋" w:cs="仿宋"/>
          <w:color w:val="auto"/>
          <w:kern w:val="1"/>
          <w:sz w:val="28"/>
          <w:szCs w:val="28"/>
          <w:highlight w:val="none"/>
        </w:rPr>
        <w:t>宣布磋商大会现场纪律</w:t>
      </w:r>
      <w:r>
        <w:rPr>
          <w:rFonts w:hint="eastAsia" w:ascii="仿宋" w:hAnsi="仿宋" w:eastAsia="仿宋" w:cs="仿宋"/>
          <w:color w:val="auto"/>
          <w:kern w:val="1"/>
          <w:sz w:val="28"/>
          <w:szCs w:val="28"/>
          <w:highlight w:val="none"/>
          <w:lang w:eastAsia="zh-CN"/>
        </w:rPr>
        <w:t>；</w:t>
      </w:r>
    </w:p>
    <w:p w14:paraId="0594CF0D">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1.4.2</w:t>
      </w:r>
      <w:r>
        <w:rPr>
          <w:rFonts w:hint="eastAsia" w:ascii="仿宋" w:hAnsi="仿宋" w:eastAsia="仿宋" w:cs="仿宋"/>
          <w:color w:val="auto"/>
          <w:kern w:val="1"/>
          <w:sz w:val="28"/>
          <w:szCs w:val="28"/>
          <w:highlight w:val="none"/>
        </w:rPr>
        <w:t>公布递交竞争性磋商响应文件的磋商供应商名称</w:t>
      </w:r>
      <w:r>
        <w:rPr>
          <w:rFonts w:hint="eastAsia" w:ascii="仿宋" w:hAnsi="仿宋" w:eastAsia="仿宋" w:cs="仿宋"/>
          <w:color w:val="auto"/>
          <w:kern w:val="1"/>
          <w:sz w:val="28"/>
          <w:szCs w:val="28"/>
          <w:highlight w:val="none"/>
          <w:lang w:eastAsia="zh-CN"/>
        </w:rPr>
        <w:t>；</w:t>
      </w:r>
    </w:p>
    <w:p w14:paraId="051D2A1E">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1.4.3</w:t>
      </w:r>
      <w:r>
        <w:rPr>
          <w:rFonts w:hint="eastAsia" w:ascii="仿宋" w:hAnsi="仿宋" w:eastAsia="仿宋" w:cs="仿宋"/>
          <w:color w:val="auto"/>
          <w:kern w:val="1"/>
          <w:sz w:val="28"/>
          <w:szCs w:val="28"/>
          <w:highlight w:val="none"/>
        </w:rPr>
        <w:t>查验竞争性磋商响应文件的密封情况</w:t>
      </w:r>
      <w:r>
        <w:rPr>
          <w:rFonts w:hint="eastAsia" w:ascii="仿宋" w:hAnsi="仿宋" w:eastAsia="仿宋" w:cs="仿宋"/>
          <w:color w:val="auto"/>
          <w:kern w:val="1"/>
          <w:sz w:val="28"/>
          <w:szCs w:val="28"/>
          <w:highlight w:val="none"/>
          <w:lang w:eastAsia="zh-CN"/>
        </w:rPr>
        <w:t>；</w:t>
      </w:r>
    </w:p>
    <w:p w14:paraId="022E74D5">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1.4.4</w:t>
      </w:r>
      <w:r>
        <w:rPr>
          <w:rFonts w:hint="eastAsia" w:ascii="仿宋" w:hAnsi="仿宋" w:eastAsia="仿宋" w:cs="仿宋"/>
          <w:color w:val="auto"/>
          <w:kern w:val="1"/>
          <w:sz w:val="28"/>
          <w:szCs w:val="28"/>
          <w:highlight w:val="none"/>
        </w:rPr>
        <w:t>开启竞争性磋商响应文件，公开唱出磋商供应商名称、递交文件份数</w:t>
      </w:r>
      <w:r>
        <w:rPr>
          <w:rFonts w:hint="eastAsia" w:ascii="仿宋" w:hAnsi="仿宋" w:eastAsia="仿宋" w:cs="仿宋"/>
          <w:color w:val="auto"/>
          <w:kern w:val="1"/>
          <w:sz w:val="28"/>
          <w:szCs w:val="28"/>
          <w:highlight w:val="none"/>
          <w:lang w:eastAsia="zh-CN"/>
        </w:rPr>
        <w:t>；</w:t>
      </w:r>
    </w:p>
    <w:p w14:paraId="31EB7D1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1.5采购代理机构对开标过程做好记录，并存档备案。</w:t>
      </w:r>
    </w:p>
    <w:p w14:paraId="496C26B8">
      <w:pPr>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kern w:val="1"/>
          <w:sz w:val="28"/>
          <w:szCs w:val="28"/>
          <w:highlight w:val="none"/>
        </w:rPr>
        <w:t>1.6</w:t>
      </w:r>
      <w:r>
        <w:rPr>
          <w:rFonts w:hint="eastAsia" w:ascii="仿宋" w:hAnsi="仿宋" w:eastAsia="仿宋" w:cs="仿宋"/>
          <w:b/>
          <w:color w:val="auto"/>
          <w:sz w:val="28"/>
          <w:szCs w:val="28"/>
          <w:highlight w:val="none"/>
        </w:rPr>
        <w:t>资格审查</w:t>
      </w:r>
    </w:p>
    <w:p w14:paraId="3064234F">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结束后，</w:t>
      </w:r>
      <w:r>
        <w:rPr>
          <w:rFonts w:hint="eastAsia" w:ascii="仿宋" w:hAnsi="仿宋" w:eastAsia="仿宋" w:cs="仿宋"/>
          <w:color w:val="auto"/>
          <w:sz w:val="28"/>
          <w:szCs w:val="28"/>
          <w:highlight w:val="none"/>
          <w:lang w:val="en-US" w:eastAsia="zh-CN"/>
        </w:rPr>
        <w:t>采购人或采购代理机构</w:t>
      </w:r>
      <w:r>
        <w:rPr>
          <w:rFonts w:hint="eastAsia" w:ascii="仿宋" w:hAnsi="仿宋" w:eastAsia="仿宋" w:cs="仿宋"/>
          <w:color w:val="auto"/>
          <w:sz w:val="28"/>
          <w:szCs w:val="28"/>
          <w:highlight w:val="none"/>
        </w:rPr>
        <w:t>对</w:t>
      </w:r>
      <w:r>
        <w:rPr>
          <w:rFonts w:hint="eastAsia" w:ascii="仿宋" w:hAnsi="仿宋" w:eastAsia="仿宋" w:cs="仿宋"/>
          <w:color w:val="auto"/>
          <w:kern w:val="1"/>
          <w:sz w:val="28"/>
          <w:szCs w:val="28"/>
          <w:highlight w:val="none"/>
        </w:rPr>
        <w:t>磋商供应商</w:t>
      </w:r>
      <w:r>
        <w:rPr>
          <w:rFonts w:hint="eastAsia" w:ascii="仿宋" w:hAnsi="仿宋" w:eastAsia="仿宋" w:cs="仿宋"/>
          <w:color w:val="auto"/>
          <w:sz w:val="28"/>
          <w:szCs w:val="28"/>
          <w:highlight w:val="none"/>
        </w:rPr>
        <w:t>的资格进行审查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采购包1-采购包2）</w:t>
      </w:r>
      <w:r>
        <w:rPr>
          <w:rFonts w:hint="eastAsia" w:ascii="仿宋" w:hAnsi="仿宋" w:eastAsia="仿宋" w:cs="仿宋"/>
          <w:color w:val="auto"/>
          <w:sz w:val="28"/>
          <w:szCs w:val="28"/>
          <w:highlight w:val="none"/>
        </w:rPr>
        <w:t>审查内容出现任何一项不符合，按无效处理。资格审查内容如下：</w:t>
      </w:r>
    </w:p>
    <w:tbl>
      <w:tblPr>
        <w:tblStyle w:val="17"/>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5326"/>
        <w:gridCol w:w="3463"/>
      </w:tblGrid>
      <w:tr w14:paraId="214F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6" w:type="dxa"/>
            <w:vAlign w:val="center"/>
          </w:tcPr>
          <w:p w14:paraId="3D39682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5326" w:type="dxa"/>
            <w:vAlign w:val="center"/>
          </w:tcPr>
          <w:p w14:paraId="67E815E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3463" w:type="dxa"/>
            <w:vAlign w:val="center"/>
          </w:tcPr>
          <w:p w14:paraId="7571B33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427C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55" w:type="dxa"/>
            <w:gridSpan w:val="3"/>
            <w:vAlign w:val="center"/>
          </w:tcPr>
          <w:p w14:paraId="51CCF469">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基本资格条件：</w:t>
            </w:r>
          </w:p>
        </w:tc>
      </w:tr>
      <w:tr w14:paraId="364F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66" w:type="dxa"/>
            <w:vAlign w:val="center"/>
          </w:tcPr>
          <w:p w14:paraId="3171E5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326" w:type="dxa"/>
            <w:vAlign w:val="center"/>
          </w:tcPr>
          <w:p w14:paraId="321B7BC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、其他组织或自然人，出具合法有效的营业执照等证明文件，自然人参与的提供其身份证</w:t>
            </w:r>
            <w:r>
              <w:rPr>
                <w:rFonts w:hint="eastAsia" w:ascii="仿宋" w:hAnsi="仿宋" w:eastAsia="仿宋" w:cs="仿宋"/>
                <w:color w:val="auto"/>
                <w:sz w:val="28"/>
                <w:szCs w:val="28"/>
                <w:highlight w:val="none"/>
                <w:lang w:eastAsia="zh-CN"/>
              </w:rPr>
              <w:t>。</w:t>
            </w:r>
          </w:p>
        </w:tc>
        <w:tc>
          <w:tcPr>
            <w:tcW w:w="3463" w:type="dxa"/>
            <w:vAlign w:val="center"/>
          </w:tcPr>
          <w:p w14:paraId="26AA6A8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047A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66" w:type="dxa"/>
            <w:vAlign w:val="center"/>
          </w:tcPr>
          <w:p w14:paraId="2F570EB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5326" w:type="dxa"/>
            <w:vAlign w:val="center"/>
          </w:tcPr>
          <w:p w14:paraId="1C26972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提供具有履行本合同所必需的设备和专业技术能力的声明。</w:t>
            </w:r>
          </w:p>
        </w:tc>
        <w:tc>
          <w:tcPr>
            <w:tcW w:w="3463" w:type="dxa"/>
            <w:vAlign w:val="center"/>
          </w:tcPr>
          <w:p w14:paraId="4D9AEE2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3C95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2BE7F0B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5326" w:type="dxa"/>
            <w:vAlign w:val="center"/>
          </w:tcPr>
          <w:p w14:paraId="292AAC3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提供参加本次政府采购活动前3年内，在经营活动中没有重大违法记录的书面声明</w:t>
            </w:r>
            <w:r>
              <w:rPr>
                <w:rFonts w:hint="eastAsia" w:ascii="仿宋" w:hAnsi="仿宋" w:eastAsia="仿宋" w:cs="仿宋"/>
                <w:color w:val="auto"/>
                <w:sz w:val="28"/>
                <w:szCs w:val="28"/>
                <w:highlight w:val="none"/>
                <w:lang w:eastAsia="zh-CN"/>
              </w:rPr>
              <w:t>。</w:t>
            </w:r>
          </w:p>
        </w:tc>
        <w:tc>
          <w:tcPr>
            <w:tcW w:w="3463" w:type="dxa"/>
            <w:vAlign w:val="center"/>
          </w:tcPr>
          <w:p w14:paraId="48925A0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1D6D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530700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5326" w:type="dxa"/>
            <w:vAlign w:val="center"/>
          </w:tcPr>
          <w:p w14:paraId="598CACA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r>
              <w:rPr>
                <w:rFonts w:hint="eastAsia" w:ascii="仿宋" w:hAnsi="仿宋" w:eastAsia="仿宋" w:cs="仿宋"/>
                <w:color w:val="auto"/>
                <w:sz w:val="28"/>
                <w:szCs w:val="28"/>
                <w:highlight w:val="none"/>
                <w:lang w:eastAsia="zh-CN"/>
              </w:rPr>
              <w:t>。</w:t>
            </w:r>
          </w:p>
        </w:tc>
        <w:tc>
          <w:tcPr>
            <w:tcW w:w="3463" w:type="dxa"/>
            <w:vAlign w:val="center"/>
          </w:tcPr>
          <w:p w14:paraId="2C3682B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5F3B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64D6C4A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5326" w:type="dxa"/>
            <w:vAlign w:val="center"/>
          </w:tcPr>
          <w:p w14:paraId="3709D08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8"/>
                <w:szCs w:val="28"/>
                <w:highlight w:val="none"/>
                <w:lang w:eastAsia="zh-CN"/>
              </w:rPr>
              <w:t>。</w:t>
            </w:r>
          </w:p>
        </w:tc>
        <w:tc>
          <w:tcPr>
            <w:tcW w:w="3463" w:type="dxa"/>
            <w:vAlign w:val="center"/>
          </w:tcPr>
          <w:p w14:paraId="31BCBD4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04E2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01FDD07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5326" w:type="dxa"/>
            <w:vAlign w:val="center"/>
          </w:tcPr>
          <w:p w14:paraId="45FC52D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8"/>
                <w:szCs w:val="28"/>
                <w:highlight w:val="none"/>
                <w:lang w:eastAsia="zh-CN"/>
              </w:rPr>
              <w:t>。</w:t>
            </w:r>
          </w:p>
        </w:tc>
        <w:tc>
          <w:tcPr>
            <w:tcW w:w="3463" w:type="dxa"/>
            <w:vAlign w:val="center"/>
          </w:tcPr>
          <w:p w14:paraId="43F69ED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299A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55" w:type="dxa"/>
            <w:gridSpan w:val="3"/>
            <w:vAlign w:val="center"/>
          </w:tcPr>
          <w:p w14:paraId="6DA8CE1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特定资格条件：</w:t>
            </w:r>
          </w:p>
        </w:tc>
      </w:tr>
      <w:tr w14:paraId="5E2E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73862E4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7</w:t>
            </w:r>
          </w:p>
        </w:tc>
        <w:tc>
          <w:tcPr>
            <w:tcW w:w="5326" w:type="dxa"/>
            <w:vAlign w:val="center"/>
          </w:tcPr>
          <w:p w14:paraId="165702C7">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r>
              <w:rPr>
                <w:rFonts w:hint="eastAsia" w:ascii="仿宋" w:hAnsi="仿宋" w:eastAsia="仿宋" w:cs="仿宋"/>
                <w:color w:val="auto"/>
                <w:sz w:val="28"/>
                <w:szCs w:val="28"/>
                <w:highlight w:val="none"/>
                <w:lang w:eastAsia="zh-CN"/>
              </w:rPr>
              <w:t>。</w:t>
            </w:r>
          </w:p>
        </w:tc>
        <w:tc>
          <w:tcPr>
            <w:tcW w:w="3463" w:type="dxa"/>
            <w:vAlign w:val="center"/>
          </w:tcPr>
          <w:p w14:paraId="40237D9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2CD7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66ABC73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5326" w:type="dxa"/>
            <w:vAlign w:val="center"/>
          </w:tcPr>
          <w:p w14:paraId="62C7C5FA">
            <w:pPr>
              <w:keepNext w:val="0"/>
              <w:keepLines w:val="0"/>
              <w:pageBreakBefore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8"/>
                <w:szCs w:val="28"/>
                <w:highlight w:val="none"/>
                <w:lang w:eastAsia="zh-CN"/>
              </w:rPr>
              <w:t>。</w:t>
            </w:r>
          </w:p>
        </w:tc>
        <w:tc>
          <w:tcPr>
            <w:tcW w:w="3463" w:type="dxa"/>
            <w:vAlign w:val="center"/>
          </w:tcPr>
          <w:p w14:paraId="1E2805A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1FC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6" w:type="dxa"/>
            <w:vAlign w:val="center"/>
          </w:tcPr>
          <w:p w14:paraId="738578E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p>
        </w:tc>
        <w:tc>
          <w:tcPr>
            <w:tcW w:w="5326" w:type="dxa"/>
            <w:vAlign w:val="center"/>
          </w:tcPr>
          <w:p w14:paraId="24A89357">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单位负责人为同一人或者存在控股、管理关系的不同单位，不得同时参加同一项目的磋商。</w:t>
            </w:r>
          </w:p>
        </w:tc>
        <w:tc>
          <w:tcPr>
            <w:tcW w:w="3463" w:type="dxa"/>
            <w:vAlign w:val="center"/>
          </w:tcPr>
          <w:p w14:paraId="4DEE233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SA"/>
              </w:rPr>
              <w:t>符合磋商文件要求，合法有效。</w:t>
            </w:r>
          </w:p>
        </w:tc>
      </w:tr>
      <w:tr w14:paraId="2B40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755" w:type="dxa"/>
            <w:gridSpan w:val="3"/>
            <w:vAlign w:val="center"/>
          </w:tcPr>
          <w:p w14:paraId="6C72A41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评定结果：以上内容有一项不符合要求，则资格审查评定为不合格。</w:t>
            </w:r>
          </w:p>
        </w:tc>
      </w:tr>
    </w:tbl>
    <w:p w14:paraId="6F42A821">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.磋商小组</w:t>
      </w:r>
    </w:p>
    <w:p w14:paraId="77ABC16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.1为确保</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工作公开、公平、公正，依法成立磋商小组。磋商小组由采购人和评审专家共3人以上单数组成，其中评审专家人数不得少于小组成员总数的三分之二，评审专家在财政部门专家库中随机抽取产生。</w:t>
      </w:r>
    </w:p>
    <w:p w14:paraId="66933E3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.2磋商小组应当遵守评审工作纪律，不得</w:t>
      </w:r>
      <w:r>
        <w:rPr>
          <w:rFonts w:hint="eastAsia" w:ascii="仿宋" w:hAnsi="仿宋" w:eastAsia="仿宋" w:cs="仿宋"/>
          <w:color w:val="auto"/>
          <w:kern w:val="1"/>
          <w:sz w:val="28"/>
          <w:szCs w:val="28"/>
          <w:highlight w:val="none"/>
          <w:lang w:eastAsia="zh-CN"/>
        </w:rPr>
        <w:t>泄露</w:t>
      </w:r>
      <w:r>
        <w:rPr>
          <w:rFonts w:hint="eastAsia" w:ascii="仿宋" w:hAnsi="仿宋" w:eastAsia="仿宋" w:cs="仿宋"/>
          <w:color w:val="auto"/>
          <w:kern w:val="1"/>
          <w:sz w:val="28"/>
          <w:szCs w:val="28"/>
          <w:highlight w:val="none"/>
        </w:rPr>
        <w:t>评审情况和评审中获悉的商业秘密。</w:t>
      </w:r>
    </w:p>
    <w:p w14:paraId="39CFCE0A">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.3磋商小组在评审过程中发现供应商有行贿、提供虚假材料或者串通等违法行为的，应当及时向财政部门报告。</w:t>
      </w:r>
    </w:p>
    <w:p w14:paraId="749B30B2">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.4磋商小组在评审过程中</w:t>
      </w:r>
      <w:r>
        <w:rPr>
          <w:rFonts w:hint="eastAsia" w:ascii="仿宋" w:hAnsi="仿宋" w:eastAsia="仿宋" w:cs="仿宋"/>
          <w:color w:val="auto"/>
          <w:kern w:val="1"/>
          <w:sz w:val="28"/>
          <w:szCs w:val="28"/>
          <w:highlight w:val="none"/>
          <w:lang w:val="en-US" w:eastAsia="zh-CN"/>
        </w:rPr>
        <w:t>受</w:t>
      </w:r>
      <w:r>
        <w:rPr>
          <w:rFonts w:hint="eastAsia" w:ascii="仿宋" w:hAnsi="仿宋" w:eastAsia="仿宋" w:cs="仿宋"/>
          <w:color w:val="auto"/>
          <w:kern w:val="1"/>
          <w:sz w:val="28"/>
          <w:szCs w:val="28"/>
          <w:highlight w:val="none"/>
        </w:rPr>
        <w:t>到非法干涉的，应当及时向财政、监察等部门举报。</w:t>
      </w:r>
    </w:p>
    <w:p w14:paraId="76470354">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.5磋商小组成员应当按照客观、公正、审慎的原则，根据磋商文件规定的评审程序、评审方法和评审标准进行独立评审。</w:t>
      </w:r>
    </w:p>
    <w:p w14:paraId="7DD8BEA4">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.对磋商响应文件的评审</w:t>
      </w:r>
    </w:p>
    <w:p w14:paraId="315B77CA">
      <w:pPr>
        <w:spacing w:line="360" w:lineRule="auto"/>
        <w:ind w:firstLine="548" w:firstLineChars="196"/>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.1对竞争性磋商响应文件的</w:t>
      </w:r>
      <w:r>
        <w:rPr>
          <w:rFonts w:hint="eastAsia" w:ascii="仿宋" w:hAnsi="仿宋" w:eastAsia="仿宋" w:cs="仿宋"/>
          <w:bCs/>
          <w:color w:val="auto"/>
          <w:sz w:val="28"/>
          <w:szCs w:val="28"/>
          <w:highlight w:val="none"/>
        </w:rPr>
        <w:t>符合性审查</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采购包1-采购包2）</w:t>
      </w:r>
    </w:p>
    <w:p w14:paraId="56269C6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磋商小组按照下列内容对通过资格审查的磋商响应文件进行符合性审查，出现任何一项不符合，按响应无效处理：</w:t>
      </w:r>
    </w:p>
    <w:tbl>
      <w:tblPr>
        <w:tblStyle w:val="1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553"/>
        <w:gridCol w:w="4765"/>
      </w:tblGrid>
      <w:tr w14:paraId="6DA0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6FF5B13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553" w:type="dxa"/>
            <w:vAlign w:val="center"/>
          </w:tcPr>
          <w:p w14:paraId="6AC8277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4765" w:type="dxa"/>
            <w:vAlign w:val="center"/>
          </w:tcPr>
          <w:p w14:paraId="60787F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2DA3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1" w:type="dxa"/>
            <w:vAlign w:val="center"/>
          </w:tcPr>
          <w:p w14:paraId="7C85BD1C">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553" w:type="dxa"/>
            <w:vAlign w:val="center"/>
          </w:tcPr>
          <w:p w14:paraId="7819F7C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响应文件签字盖章</w:t>
            </w:r>
          </w:p>
        </w:tc>
        <w:tc>
          <w:tcPr>
            <w:tcW w:w="4765" w:type="dxa"/>
            <w:vAlign w:val="center"/>
          </w:tcPr>
          <w:p w14:paraId="03C83BE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文件上法定代表人或其授权代表人的签字齐全或加盖单位公章</w:t>
            </w:r>
          </w:p>
        </w:tc>
      </w:tr>
      <w:tr w14:paraId="4182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08AA3B56">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553" w:type="dxa"/>
            <w:vAlign w:val="center"/>
          </w:tcPr>
          <w:p w14:paraId="162E83F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文件完整性及响应性</w:t>
            </w:r>
          </w:p>
        </w:tc>
        <w:tc>
          <w:tcPr>
            <w:tcW w:w="4765" w:type="dxa"/>
            <w:vAlign w:val="center"/>
          </w:tcPr>
          <w:p w14:paraId="7E4BE16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文件构成无缺项且响应</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w:t>
            </w:r>
          </w:p>
        </w:tc>
      </w:tr>
      <w:tr w14:paraId="3941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Align w:val="center"/>
          </w:tcPr>
          <w:p w14:paraId="1DBE055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3553" w:type="dxa"/>
            <w:shd w:val="clear" w:color="auto" w:fill="auto"/>
            <w:vAlign w:val="center"/>
          </w:tcPr>
          <w:p w14:paraId="49FBA7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w:t>
            </w:r>
          </w:p>
        </w:tc>
        <w:tc>
          <w:tcPr>
            <w:tcW w:w="4765" w:type="dxa"/>
            <w:shd w:val="clear" w:color="auto" w:fill="auto"/>
            <w:vAlign w:val="center"/>
          </w:tcPr>
          <w:p w14:paraId="1A04E13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只能有一个有效报价，不得提交选择性报价，且报价不超过最高限价。</w:t>
            </w:r>
          </w:p>
        </w:tc>
      </w:tr>
      <w:tr w14:paraId="2C4B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 w:type="dxa"/>
            <w:vAlign w:val="center"/>
          </w:tcPr>
          <w:p w14:paraId="6EA02050">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3553" w:type="dxa"/>
            <w:shd w:val="clear" w:color="auto" w:fill="auto"/>
            <w:vAlign w:val="center"/>
          </w:tcPr>
          <w:p w14:paraId="4CD7969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服务期</w:t>
            </w:r>
          </w:p>
        </w:tc>
        <w:tc>
          <w:tcPr>
            <w:tcW w:w="4765" w:type="dxa"/>
            <w:shd w:val="clear" w:color="auto" w:fill="auto"/>
            <w:vAlign w:val="center"/>
          </w:tcPr>
          <w:p w14:paraId="0489EDC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p>
        </w:tc>
      </w:tr>
      <w:tr w14:paraId="322C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79" w:type="dxa"/>
            <w:gridSpan w:val="3"/>
            <w:vAlign w:val="center"/>
          </w:tcPr>
          <w:p w14:paraId="2A8A2AD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评定结果：以上内容有一项不符合要求，则初步审查评定为不合格。</w:t>
            </w:r>
          </w:p>
        </w:tc>
      </w:tr>
    </w:tbl>
    <w:p w14:paraId="75E0624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.2评审中，磋商响应文件中出现下列情况，修正原则为：</w:t>
      </w:r>
    </w:p>
    <w:p w14:paraId="6ACFA44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2.1</w:t>
      </w:r>
      <w:r>
        <w:rPr>
          <w:rFonts w:hint="eastAsia" w:ascii="仿宋" w:hAnsi="仿宋" w:eastAsia="仿宋" w:cs="仿宋"/>
          <w:color w:val="auto"/>
          <w:kern w:val="1"/>
          <w:sz w:val="28"/>
          <w:szCs w:val="28"/>
          <w:highlight w:val="none"/>
        </w:rPr>
        <w:t>报价的大写金额和小写金额不一致的，以大写金额为准；</w:t>
      </w:r>
    </w:p>
    <w:p w14:paraId="493DE326">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2.2</w:t>
      </w:r>
      <w:r>
        <w:rPr>
          <w:rFonts w:hint="eastAsia" w:ascii="仿宋" w:hAnsi="仿宋" w:eastAsia="仿宋" w:cs="仿宋"/>
          <w:color w:val="auto"/>
          <w:kern w:val="1"/>
          <w:sz w:val="28"/>
          <w:szCs w:val="28"/>
          <w:highlight w:val="none"/>
        </w:rPr>
        <w:t>总价金额与按单价汇总金额不一致的，以单价汇总金额为准；</w:t>
      </w:r>
    </w:p>
    <w:p w14:paraId="71698ED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2.3</w:t>
      </w:r>
      <w:r>
        <w:rPr>
          <w:rFonts w:hint="eastAsia" w:ascii="仿宋" w:hAnsi="仿宋" w:eastAsia="仿宋" w:cs="仿宋"/>
          <w:color w:val="auto"/>
          <w:kern w:val="1"/>
          <w:sz w:val="28"/>
          <w:szCs w:val="28"/>
          <w:highlight w:val="none"/>
        </w:rPr>
        <w:t>单价金额小数点有明显错位的，以总价为准，并修改单价；</w:t>
      </w:r>
    </w:p>
    <w:p w14:paraId="6AB72F0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2.4</w:t>
      </w:r>
      <w:r>
        <w:rPr>
          <w:rFonts w:hint="eastAsia" w:ascii="仿宋" w:hAnsi="仿宋" w:eastAsia="仿宋" w:cs="仿宋"/>
          <w:color w:val="auto"/>
          <w:kern w:val="1"/>
          <w:sz w:val="28"/>
          <w:szCs w:val="28"/>
          <w:highlight w:val="none"/>
        </w:rPr>
        <w:t>磋商响应文件正本与副本不一致的，以正本为准；</w:t>
      </w:r>
    </w:p>
    <w:p w14:paraId="6B01A94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2.5</w:t>
      </w:r>
      <w:r>
        <w:rPr>
          <w:rFonts w:hint="eastAsia" w:ascii="仿宋" w:hAnsi="仿宋" w:eastAsia="仿宋" w:cs="仿宋"/>
          <w:color w:val="auto"/>
          <w:kern w:val="1"/>
          <w:sz w:val="28"/>
          <w:szCs w:val="28"/>
          <w:highlight w:val="none"/>
        </w:rPr>
        <w:t>多处内容交叉不符时，以磋商小组评审结果为准；</w:t>
      </w:r>
    </w:p>
    <w:p w14:paraId="1D0F7D2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2.6</w:t>
      </w:r>
      <w:r>
        <w:rPr>
          <w:rFonts w:hint="eastAsia" w:ascii="仿宋" w:hAnsi="仿宋" w:eastAsia="仿宋" w:cs="仿宋"/>
          <w:color w:val="auto"/>
          <w:kern w:val="1"/>
          <w:sz w:val="28"/>
          <w:szCs w:val="28"/>
          <w:highlight w:val="none"/>
        </w:rPr>
        <w:t>文字与图表不符时，以文字为准；</w:t>
      </w:r>
    </w:p>
    <w:p w14:paraId="29D6B23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.3供应商不同意以上修正，则其将被拒绝。供应商同意后，按上述规定修正后的报价对磋商供应商起约束作用。</w:t>
      </w:r>
    </w:p>
    <w:p w14:paraId="2966A4A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.4对竞争性磋商响应文件的判定，只依据竞争性磋商响应文件所列内容，不依靠任何外来证明。</w:t>
      </w:r>
    </w:p>
    <w:p w14:paraId="01AF17B9">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.5凡审查、澄清、评价和比较的有关资料及被授标意见等内容，磋商小组成员均不得向磋商供应商及与</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无关的其他人透露。</w:t>
      </w:r>
    </w:p>
    <w:p w14:paraId="13A07C4E">
      <w:pPr>
        <w:spacing w:line="360" w:lineRule="auto"/>
        <w:ind w:firstLine="480"/>
        <w:rPr>
          <w:rFonts w:hint="eastAsia" w:ascii="仿宋" w:hAnsi="仿宋" w:eastAsia="仿宋" w:cs="仿宋"/>
          <w:bCs/>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.6竞争性磋商响应文件中出现下列情况之一者（但不限于），</w:t>
      </w:r>
      <w:r>
        <w:rPr>
          <w:rFonts w:hint="eastAsia" w:ascii="仿宋" w:hAnsi="仿宋" w:eastAsia="仿宋" w:cs="仿宋"/>
          <w:bCs/>
          <w:color w:val="auto"/>
          <w:kern w:val="1"/>
          <w:sz w:val="28"/>
          <w:szCs w:val="28"/>
          <w:highlight w:val="none"/>
        </w:rPr>
        <w:t>按响应无效处理：</w:t>
      </w:r>
    </w:p>
    <w:p w14:paraId="109220B2">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3.6.1磋商供应商未经正常渠道购买竞争性磋商文件，或磋商供应商名称与领取文</w:t>
      </w:r>
      <w:r>
        <w:rPr>
          <w:rFonts w:hint="eastAsia" w:ascii="仿宋" w:hAnsi="仿宋" w:eastAsia="仿宋" w:cs="仿宋"/>
          <w:color w:val="auto"/>
          <w:kern w:val="1"/>
          <w:sz w:val="28"/>
          <w:szCs w:val="28"/>
          <w:highlight w:val="none"/>
        </w:rPr>
        <w:t>件时登记的单位名称不符，且未出具有效证明的。</w:t>
      </w:r>
    </w:p>
    <w:p w14:paraId="029B6FB5">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3.6.2</w:t>
      </w:r>
      <w:r>
        <w:rPr>
          <w:rFonts w:hint="eastAsia" w:ascii="仿宋" w:hAnsi="仿宋" w:eastAsia="仿宋" w:cs="仿宋"/>
          <w:color w:val="auto"/>
          <w:kern w:val="1"/>
          <w:sz w:val="28"/>
          <w:szCs w:val="28"/>
          <w:highlight w:val="none"/>
        </w:rPr>
        <w:t>竞争性磋商响应文件没有法定代表人授权书或授权书的合法性或有效性不符合要求（法定代表人直接</w:t>
      </w:r>
      <w:r>
        <w:rPr>
          <w:rFonts w:hint="eastAsia" w:ascii="仿宋" w:hAnsi="仿宋" w:eastAsia="仿宋" w:cs="仿宋"/>
          <w:color w:val="auto"/>
          <w:kern w:val="1"/>
          <w:sz w:val="28"/>
          <w:szCs w:val="28"/>
          <w:highlight w:val="none"/>
          <w:lang w:val="en-US" w:eastAsia="zh-CN"/>
        </w:rPr>
        <w:t>参与</w:t>
      </w:r>
      <w:r>
        <w:rPr>
          <w:rFonts w:hint="eastAsia" w:ascii="仿宋" w:hAnsi="仿宋" w:eastAsia="仿宋" w:cs="仿宋"/>
          <w:color w:val="auto"/>
          <w:kern w:val="1"/>
          <w:sz w:val="28"/>
          <w:szCs w:val="28"/>
          <w:highlight w:val="none"/>
        </w:rPr>
        <w:t>除外，但须提供身份证件）。</w:t>
      </w:r>
    </w:p>
    <w:p w14:paraId="1236D6A1">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3.6.3</w:t>
      </w:r>
      <w:r>
        <w:rPr>
          <w:rFonts w:hint="eastAsia" w:ascii="仿宋" w:hAnsi="仿宋" w:eastAsia="仿宋" w:cs="仿宋"/>
          <w:color w:val="auto"/>
          <w:kern w:val="1"/>
          <w:sz w:val="28"/>
          <w:szCs w:val="28"/>
          <w:highlight w:val="none"/>
        </w:rPr>
        <w:t>竞争性磋商响应文件未按竞争性磋商文件要求密封、签署、盖章的。</w:t>
      </w:r>
    </w:p>
    <w:p w14:paraId="44774836">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3.6.4</w:t>
      </w:r>
      <w:r>
        <w:rPr>
          <w:rFonts w:hint="eastAsia" w:ascii="仿宋" w:hAnsi="仿宋" w:eastAsia="仿宋" w:cs="仿宋"/>
          <w:color w:val="auto"/>
          <w:kern w:val="1"/>
          <w:sz w:val="28"/>
          <w:szCs w:val="28"/>
          <w:highlight w:val="none"/>
        </w:rPr>
        <w:t>产品供货渠道不明确的，提供虚假技术性能指标的。</w:t>
      </w:r>
    </w:p>
    <w:p w14:paraId="18517E3F">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3.6.5提供虚假证明、虚假资质（包含第三方提供的虚假证明）、出现虚假应答的，除按无效文件处理外，还进行相应的处罚。</w:t>
      </w:r>
    </w:p>
    <w:p w14:paraId="1B1FEA0B">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3.6.6磋商小组认为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w:t>
      </w:r>
    </w:p>
    <w:p w14:paraId="3B017B05">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3.6.7磋商供应商不按照磋商小组要求进行澄清或说明。</w:t>
      </w:r>
    </w:p>
    <w:p w14:paraId="783F3077">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3.6.8响应内容存在重大缺漏项。</w:t>
      </w:r>
    </w:p>
    <w:p w14:paraId="7FD168E5">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3.6.9附加了采购人难以接受的条件或条款。</w:t>
      </w:r>
    </w:p>
    <w:p w14:paraId="1D0C454B">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3.6.10单位负责人为同一人或者存在直接控股、管理关系的不同供应商，不得参加同一合同项下的政府采购活动。</w:t>
      </w:r>
    </w:p>
    <w:p w14:paraId="05A38F26">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3.6.11出现相关法律法规所不允许或磋商文件规定的其他情况。</w:t>
      </w:r>
    </w:p>
    <w:p w14:paraId="6EFD0DBC">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3.7磋商响应文件的澄清</w:t>
      </w:r>
    </w:p>
    <w:p w14:paraId="53B9A568">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.7.1磋商小组有权就磋商响应文件中含混之处向磋商供应商提出询问或澄清要求；磋商供应商将有关询标澄清、补正、说明的内容应以书面形式提交。</w:t>
      </w:r>
    </w:p>
    <w:p w14:paraId="6FA18A45">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.7.2询标澄清时磋商供应商只作说明和解释，不得借此对报价、</w:t>
      </w:r>
      <w:r>
        <w:rPr>
          <w:rFonts w:hint="eastAsia" w:ascii="仿宋" w:hAnsi="仿宋" w:eastAsia="仿宋" w:cs="仿宋"/>
          <w:color w:val="auto"/>
          <w:sz w:val="28"/>
          <w:szCs w:val="28"/>
          <w:highlight w:val="none"/>
          <w:lang w:val="en-US" w:eastAsia="zh-CN"/>
        </w:rPr>
        <w:t>服务期</w:t>
      </w:r>
      <w:r>
        <w:rPr>
          <w:rFonts w:hint="eastAsia" w:ascii="仿宋" w:hAnsi="仿宋" w:eastAsia="仿宋" w:cs="仿宋"/>
          <w:color w:val="auto"/>
          <w:sz w:val="28"/>
          <w:szCs w:val="28"/>
          <w:highlight w:val="none"/>
        </w:rPr>
        <w:t>、主要技术指标等实质性内容做任何修改。</w:t>
      </w:r>
    </w:p>
    <w:p w14:paraId="0BB83E8C">
      <w:pPr>
        <w:pStyle w:val="14"/>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zh-CN"/>
        </w:rPr>
        <w:t>磋商小组所有成员集中与单一供应商分别进行磋商，并给予参加磋商的供应商平等的磋商机会。</w:t>
      </w:r>
      <w:r>
        <w:rPr>
          <w:rFonts w:hint="eastAsia" w:ascii="仿宋" w:hAnsi="仿宋" w:eastAsia="仿宋" w:cs="仿宋"/>
          <w:color w:val="auto"/>
          <w:sz w:val="28"/>
          <w:szCs w:val="28"/>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43E34D05">
      <w:pPr>
        <w:pStyle w:val="14"/>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.9在竞争性磋商文件规定的竞争性磋商响应文件递交截止时间后，磋商单位不足三家或在评议期间，出现符合条件的磋商单位不足三家的情形时，依照</w:t>
      </w:r>
      <w:r>
        <w:rPr>
          <w:rFonts w:hint="eastAsia" w:ascii="仿宋" w:hAnsi="仿宋" w:eastAsia="仿宋" w:cs="仿宋"/>
          <w:color w:val="auto"/>
          <w:sz w:val="28"/>
          <w:szCs w:val="28"/>
          <w:highlight w:val="none"/>
          <w:lang w:val="en-US" w:eastAsia="zh-CN"/>
        </w:rPr>
        <w:t>省、市</w:t>
      </w:r>
      <w:r>
        <w:rPr>
          <w:rFonts w:hint="eastAsia" w:ascii="仿宋" w:hAnsi="仿宋" w:eastAsia="仿宋" w:cs="仿宋"/>
          <w:color w:val="auto"/>
          <w:sz w:val="28"/>
          <w:szCs w:val="28"/>
          <w:highlight w:val="none"/>
        </w:rPr>
        <w:t>财政局</w:t>
      </w:r>
      <w:r>
        <w:rPr>
          <w:rFonts w:hint="eastAsia" w:ascii="仿宋" w:hAnsi="仿宋" w:eastAsia="仿宋" w:cs="仿宋"/>
          <w:color w:val="auto"/>
          <w:sz w:val="28"/>
          <w:szCs w:val="28"/>
          <w:highlight w:val="none"/>
          <w:lang w:val="en-US" w:eastAsia="zh-CN"/>
        </w:rPr>
        <w:t>相关文件</w:t>
      </w:r>
      <w:r>
        <w:rPr>
          <w:rFonts w:hint="eastAsia" w:ascii="仿宋" w:hAnsi="仿宋" w:eastAsia="仿宋" w:cs="仿宋"/>
          <w:color w:val="auto"/>
          <w:sz w:val="28"/>
          <w:szCs w:val="28"/>
          <w:highlight w:val="none"/>
        </w:rPr>
        <w:t>的规定执行。</w:t>
      </w:r>
    </w:p>
    <w:p w14:paraId="3A44191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.10磋商响应文件的</w:t>
      </w:r>
      <w:r>
        <w:rPr>
          <w:rFonts w:hint="eastAsia" w:ascii="仿宋" w:hAnsi="仿宋" w:eastAsia="仿宋" w:cs="仿宋"/>
          <w:bCs/>
          <w:color w:val="auto"/>
          <w:sz w:val="28"/>
          <w:szCs w:val="28"/>
          <w:highlight w:val="none"/>
        </w:rPr>
        <w:t>详细审查</w:t>
      </w:r>
    </w:p>
    <w:p w14:paraId="443870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.10.1经磋商确定最终采购需求和提交最后报价的供应商后，磋商小组采用综合评分法对提交最后报价的供应商的竞争性磋商响应文件和最后报价进行综合评分。</w:t>
      </w:r>
    </w:p>
    <w:p w14:paraId="1285646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.10.2综合评分法是指响应文件满足磋商文件全部实质性要求且按评审因素的量化指标评审得分最高的供应商为成交候选供应商的评审方法。磋商文件中没有规定的评审标准不得作为评审依据。</w:t>
      </w:r>
    </w:p>
    <w:p w14:paraId="0D562D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.10.3磋商小组各成员应独立对每个有效响应文件进行评价、打分，然后汇总每个供应商每项评分因素的得分，并根据综合评分情况，按照评审得分由高到低顺序推荐</w:t>
      </w:r>
      <w:r>
        <w:rPr>
          <w:rFonts w:hint="eastAsia" w:ascii="仿宋" w:hAnsi="仿宋" w:eastAsia="仿宋" w:cs="仿宋"/>
          <w:color w:val="auto"/>
          <w:sz w:val="28"/>
          <w:szCs w:val="28"/>
          <w:highlight w:val="none"/>
          <w:lang w:val="en-US" w:eastAsia="zh-CN"/>
        </w:rPr>
        <w:t>3名</w:t>
      </w:r>
      <w:r>
        <w:rPr>
          <w:rFonts w:hint="eastAsia" w:ascii="仿宋" w:hAnsi="仿宋" w:eastAsia="仿宋" w:cs="仿宋"/>
          <w:color w:val="auto"/>
          <w:sz w:val="28"/>
          <w:szCs w:val="28"/>
          <w:highlight w:val="none"/>
        </w:rPr>
        <w:t>成交候选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，并编写评审报告。</w:t>
      </w:r>
    </w:p>
    <w:p w14:paraId="37954A6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.10.4</w:t>
      </w:r>
      <w:r>
        <w:rPr>
          <w:rFonts w:hint="eastAsia" w:ascii="仿宋" w:hAnsi="仿宋" w:eastAsia="仿宋" w:cs="仿宋"/>
          <w:bCs/>
          <w:color w:val="auto"/>
          <w:sz w:val="28"/>
          <w:szCs w:val="28"/>
          <w:highlight w:val="none"/>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7CE7CA44">
      <w:pPr>
        <w:spacing w:line="360" w:lineRule="auto"/>
        <w:rPr>
          <w:rFonts w:hint="eastAsia" w:ascii="仿宋" w:hAnsi="仿宋" w:eastAsia="仿宋" w:cs="仿宋"/>
          <w:color w:val="auto"/>
          <w:sz w:val="28"/>
          <w:szCs w:val="28"/>
          <w:highlight w:val="none"/>
          <w:lang w:val="en-US" w:eastAsia="zh-CN"/>
        </w:rPr>
      </w:pPr>
      <w:bookmarkStart w:id="16" w:name="OLE_LINK8"/>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.11评审内容、原则及标准</w:t>
      </w:r>
      <w:bookmarkEnd w:id="16"/>
      <w:r>
        <w:rPr>
          <w:rFonts w:hint="eastAsia" w:ascii="仿宋" w:hAnsi="仿宋" w:eastAsia="仿宋" w:cs="仿宋"/>
          <w:color w:val="auto"/>
          <w:sz w:val="28"/>
          <w:szCs w:val="28"/>
          <w:highlight w:val="none"/>
        </w:rPr>
        <w:t>（满分100分）</w:t>
      </w:r>
    </w:p>
    <w:tbl>
      <w:tblPr>
        <w:tblStyle w:val="22"/>
        <w:tblpPr w:leftFromText="180" w:rightFromText="180" w:vertAnchor="text" w:horzAnchor="page" w:tblpXSpec="center" w:tblpY="493"/>
        <w:tblOverlap w:val="never"/>
        <w:tblW w:w="9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6728"/>
        <w:gridCol w:w="1375"/>
      </w:tblGrid>
      <w:tr w14:paraId="02D30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76" w:type="dxa"/>
            <w:vAlign w:val="center"/>
          </w:tcPr>
          <w:p w14:paraId="6A020067">
            <w:pPr>
              <w:pStyle w:val="21"/>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评审</w:t>
            </w:r>
            <w:r>
              <w:rPr>
                <w:rFonts w:hint="eastAsia" w:ascii="仿宋" w:hAnsi="仿宋" w:eastAsia="仿宋" w:cs="仿宋"/>
                <w:color w:val="auto"/>
                <w:sz w:val="24"/>
                <w:szCs w:val="24"/>
                <w:highlight w:val="none"/>
                <w:lang w:val="en-US" w:eastAsia="zh-CN"/>
              </w:rPr>
              <w:t>内容</w:t>
            </w:r>
          </w:p>
        </w:tc>
        <w:tc>
          <w:tcPr>
            <w:tcW w:w="6728" w:type="dxa"/>
            <w:vAlign w:val="center"/>
          </w:tcPr>
          <w:p w14:paraId="75862A86">
            <w:pPr>
              <w:pStyle w:val="21"/>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详细描述</w:t>
            </w:r>
          </w:p>
        </w:tc>
        <w:tc>
          <w:tcPr>
            <w:tcW w:w="1375" w:type="dxa"/>
            <w:vAlign w:val="center"/>
          </w:tcPr>
          <w:p w14:paraId="210B4D9A">
            <w:pPr>
              <w:pStyle w:val="21"/>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分值</w:t>
            </w:r>
          </w:p>
        </w:tc>
      </w:tr>
      <w:tr w14:paraId="07B5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6" w:type="dxa"/>
            <w:shd w:val="clear" w:color="auto" w:fill="auto"/>
            <w:vAlign w:val="center"/>
          </w:tcPr>
          <w:p w14:paraId="498E406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sz w:val="24"/>
                <w:szCs w:val="24"/>
                <w:highlight w:val="none"/>
              </w:rPr>
            </w:pPr>
          </w:p>
          <w:p w14:paraId="2EFFBEA0">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sz w:val="24"/>
                <w:szCs w:val="24"/>
                <w:highlight w:val="none"/>
              </w:rPr>
            </w:pPr>
          </w:p>
          <w:p w14:paraId="22F7FC64">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color w:val="auto"/>
                <w:sz w:val="24"/>
                <w:szCs w:val="24"/>
                <w:highlight w:val="none"/>
              </w:rPr>
            </w:pPr>
            <w:r>
              <w:rPr>
                <w:rFonts w:hint="eastAsia" w:ascii="仿宋" w:hAnsi="仿宋" w:eastAsia="仿宋" w:cs="仿宋"/>
                <w:spacing w:val="-4"/>
                <w:sz w:val="24"/>
                <w:szCs w:val="24"/>
                <w:highlight w:val="none"/>
              </w:rPr>
              <w:t>价格分</w:t>
            </w:r>
          </w:p>
        </w:tc>
        <w:tc>
          <w:tcPr>
            <w:tcW w:w="6728" w:type="dxa"/>
            <w:shd w:val="clear" w:color="auto" w:fill="auto"/>
            <w:vAlign w:val="center"/>
          </w:tcPr>
          <w:p w14:paraId="638CFF51">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7" w:firstLineChars="0"/>
              <w:jc w:val="both"/>
              <w:textAlignment w:val="auto"/>
              <w:rPr>
                <w:rFonts w:hint="eastAsia" w:ascii="仿宋" w:hAnsi="仿宋" w:eastAsia="仿宋" w:cs="仿宋"/>
                <w:spacing w:val="-16"/>
                <w:sz w:val="24"/>
                <w:szCs w:val="24"/>
                <w:highlight w:val="none"/>
                <w:lang w:eastAsia="zh-CN"/>
              </w:rPr>
            </w:pPr>
            <w:r>
              <w:rPr>
                <w:rFonts w:hint="eastAsia" w:ascii="仿宋" w:hAnsi="仿宋" w:eastAsia="仿宋" w:cs="仿宋"/>
                <w:sz w:val="24"/>
                <w:szCs w:val="24"/>
                <w:highlight w:val="none"/>
              </w:rPr>
              <w:t>满足磋商文件要求且最后报价最低的供应商的</w:t>
            </w:r>
            <w:r>
              <w:rPr>
                <w:rFonts w:hint="eastAsia" w:ascii="仿宋" w:hAnsi="仿宋" w:eastAsia="仿宋" w:cs="仿宋"/>
                <w:spacing w:val="1"/>
                <w:sz w:val="24"/>
                <w:szCs w:val="24"/>
                <w:highlight w:val="none"/>
              </w:rPr>
              <w:t>价格为磋商基准价，其价格分为满分。其他供应商的价格分统一按照下列公式计算：磋商报</w:t>
            </w:r>
            <w:r>
              <w:rPr>
                <w:rFonts w:hint="eastAsia" w:ascii="仿宋" w:hAnsi="仿宋" w:eastAsia="仿宋" w:cs="仿宋"/>
                <w:spacing w:val="-3"/>
                <w:sz w:val="24"/>
                <w:szCs w:val="24"/>
                <w:highlight w:val="none"/>
              </w:rPr>
              <w:t>价得分=（磋商基准价/最后磋商报价）×价格</w:t>
            </w:r>
            <w:r>
              <w:rPr>
                <w:rFonts w:hint="eastAsia" w:ascii="仿宋" w:hAnsi="仿宋" w:eastAsia="仿宋" w:cs="仿宋"/>
                <w:spacing w:val="-16"/>
                <w:sz w:val="24"/>
                <w:szCs w:val="24"/>
                <w:highlight w:val="none"/>
              </w:rPr>
              <w:t>权值</w:t>
            </w:r>
            <w:r>
              <w:rPr>
                <w:rFonts w:hint="eastAsia" w:ascii="仿宋" w:hAnsi="仿宋" w:eastAsia="仿宋" w:cs="仿宋"/>
                <w:spacing w:val="-16"/>
                <w:sz w:val="24"/>
                <w:szCs w:val="24"/>
                <w:highlight w:val="none"/>
                <w:lang w:eastAsia="zh-CN"/>
              </w:rPr>
              <w:t>。</w:t>
            </w:r>
          </w:p>
          <w:p w14:paraId="31887D1F">
            <w:pPr>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lang w:eastAsia="zh-CN"/>
              </w:rPr>
              <w:t>（1）根据《政府采购促进中小企业发展管理办法》的通知--财库〔2020〕46号的相关规定，对小型和微型企业的价格给予10%的扣除，用扣除后的价格参与评审。</w:t>
            </w:r>
          </w:p>
          <w:p w14:paraId="1A7B2DF4">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7" w:firstLineChars="0"/>
              <w:jc w:val="left"/>
              <w:textAlignment w:val="auto"/>
              <w:rPr>
                <w:rFonts w:hint="eastAsia" w:ascii="仿宋" w:hAnsi="仿宋" w:eastAsia="仿宋" w:cs="仿宋"/>
                <w:spacing w:val="-16"/>
                <w:sz w:val="24"/>
                <w:szCs w:val="24"/>
                <w:highlight w:val="none"/>
                <w:lang w:eastAsia="zh-CN"/>
              </w:rPr>
            </w:pPr>
            <w:r>
              <w:rPr>
                <w:rFonts w:hint="eastAsia" w:ascii="仿宋" w:hAnsi="仿宋" w:eastAsia="仿宋" w:cs="仿宋"/>
                <w:color w:val="auto"/>
                <w:sz w:val="24"/>
                <w:szCs w:val="24"/>
                <w:highlight w:val="none"/>
                <w:lang w:eastAsia="zh-CN"/>
              </w:rPr>
              <w:t>（2）根据《财政部民政部中国残疾人联合会关于促进残疾人就业政府采购政策的通知》（财库〔2017〕141号）的规定，对符合条件的残疾人福利性单位产品的价格给予10%的扣除，用扣除后的价格参与评审。小型、微型企业和监狱企业级符合财政部、民政部、中国残疾人联合会关于促进残疾人就业政府采购政策的通知，以上政策同时具备的仅对其进行一次10%的价格扣除，不重复扣除。</w:t>
            </w:r>
          </w:p>
        </w:tc>
        <w:tc>
          <w:tcPr>
            <w:tcW w:w="1375" w:type="dxa"/>
            <w:shd w:val="clear" w:color="auto" w:fill="auto"/>
            <w:vAlign w:val="center"/>
          </w:tcPr>
          <w:p w14:paraId="14A76A9C">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color w:val="auto"/>
                <w:sz w:val="24"/>
                <w:szCs w:val="24"/>
                <w:highlight w:val="none"/>
              </w:rPr>
            </w:pPr>
            <w:r>
              <w:rPr>
                <w:rFonts w:hint="eastAsia" w:ascii="仿宋" w:hAnsi="仿宋" w:eastAsia="仿宋" w:cs="仿宋"/>
                <w:spacing w:val="-5"/>
                <w:sz w:val="24"/>
                <w:szCs w:val="24"/>
                <w:highlight w:val="none"/>
                <w:lang w:val="en-US" w:eastAsia="zh-CN"/>
              </w:rPr>
              <w:t>2</w:t>
            </w:r>
            <w:r>
              <w:rPr>
                <w:rFonts w:hint="eastAsia" w:ascii="仿宋" w:hAnsi="仿宋" w:eastAsia="仿宋" w:cs="仿宋"/>
                <w:spacing w:val="-5"/>
                <w:sz w:val="24"/>
                <w:szCs w:val="24"/>
                <w:highlight w:val="none"/>
              </w:rPr>
              <w:t>0</w:t>
            </w:r>
          </w:p>
        </w:tc>
      </w:tr>
      <w:tr w14:paraId="6D4E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jc w:val="center"/>
        </w:trPr>
        <w:tc>
          <w:tcPr>
            <w:tcW w:w="1076" w:type="dxa"/>
            <w:shd w:val="clear" w:color="auto" w:fill="auto"/>
            <w:vAlign w:val="center"/>
          </w:tcPr>
          <w:p w14:paraId="0AFB5249">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需求</w:t>
            </w:r>
          </w:p>
          <w:p w14:paraId="4D71CF3F">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kern w:val="2"/>
                <w:sz w:val="24"/>
                <w:szCs w:val="24"/>
                <w:highlight w:val="none"/>
                <w:lang w:val="en-US" w:eastAsia="en-US" w:bidi="ar-SA"/>
              </w:rPr>
            </w:pPr>
            <w:r>
              <w:rPr>
                <w:rFonts w:hint="eastAsia" w:ascii="仿宋" w:hAnsi="仿宋" w:eastAsia="仿宋" w:cs="仿宋"/>
                <w:spacing w:val="6"/>
                <w:sz w:val="24"/>
                <w:szCs w:val="24"/>
                <w:highlight w:val="none"/>
              </w:rPr>
              <w:t>理解</w:t>
            </w:r>
          </w:p>
        </w:tc>
        <w:tc>
          <w:tcPr>
            <w:tcW w:w="6728" w:type="dxa"/>
            <w:shd w:val="clear" w:color="auto" w:fill="auto"/>
            <w:vAlign w:val="center"/>
          </w:tcPr>
          <w:p w14:paraId="48D3B4E4">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供应商针对本项目需求理解和分析，项目重点把握准确，按其响应程度赋分。</w:t>
            </w:r>
          </w:p>
          <w:p w14:paraId="25B49827">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（1）对需求理解内容全面详细、阐述条理清晰详尽</w:t>
            </w:r>
            <w:r>
              <w:rPr>
                <w:rFonts w:hint="eastAsia" w:ascii="仿宋" w:hAnsi="仿宋" w:eastAsia="仿宋" w:cs="仿宋"/>
                <w:spacing w:val="12"/>
                <w:sz w:val="24"/>
                <w:szCs w:val="24"/>
                <w:highlight w:val="none"/>
                <w:lang w:eastAsia="zh-CN"/>
              </w:rPr>
              <w:t>、</w:t>
            </w:r>
            <w:r>
              <w:rPr>
                <w:rFonts w:hint="eastAsia" w:ascii="仿宋" w:hAnsi="仿宋" w:eastAsia="仿宋" w:cs="仿宋"/>
                <w:spacing w:val="12"/>
                <w:sz w:val="24"/>
                <w:szCs w:val="24"/>
                <w:highlight w:val="none"/>
              </w:rPr>
              <w:t>分析准确</w:t>
            </w:r>
            <w:r>
              <w:rPr>
                <w:rFonts w:hint="eastAsia" w:ascii="仿宋" w:hAnsi="仿宋" w:eastAsia="仿宋" w:cs="仿宋"/>
                <w:spacing w:val="12"/>
                <w:sz w:val="24"/>
                <w:szCs w:val="24"/>
                <w:highlight w:val="none"/>
                <w:lang w:eastAsia="zh-CN"/>
              </w:rPr>
              <w:t>、</w:t>
            </w:r>
            <w:r>
              <w:rPr>
                <w:rFonts w:hint="eastAsia" w:ascii="仿宋" w:hAnsi="仿宋" w:eastAsia="仿宋" w:cs="仿宋"/>
                <w:spacing w:val="12"/>
                <w:sz w:val="24"/>
                <w:szCs w:val="24"/>
                <w:highlight w:val="none"/>
                <w:lang w:val="en-US" w:eastAsia="zh-CN"/>
              </w:rPr>
              <w:t>针对性强</w:t>
            </w:r>
            <w:r>
              <w:rPr>
                <w:rFonts w:hint="eastAsia" w:ascii="仿宋" w:hAnsi="仿宋" w:eastAsia="仿宋" w:cs="仿宋"/>
                <w:spacing w:val="12"/>
                <w:sz w:val="24"/>
                <w:szCs w:val="24"/>
                <w:highlight w:val="none"/>
              </w:rPr>
              <w:t>，得</w:t>
            </w:r>
            <w:r>
              <w:rPr>
                <w:rFonts w:hint="eastAsia" w:ascii="仿宋" w:hAnsi="仿宋" w:eastAsia="仿宋" w:cs="仿宋"/>
                <w:spacing w:val="12"/>
                <w:sz w:val="24"/>
                <w:szCs w:val="24"/>
                <w:highlight w:val="none"/>
                <w:lang w:val="en-US" w:eastAsia="zh-CN"/>
              </w:rPr>
              <w:t>5</w:t>
            </w:r>
            <w:r>
              <w:rPr>
                <w:rFonts w:hint="eastAsia" w:ascii="仿宋" w:hAnsi="仿宋" w:eastAsia="仿宋" w:cs="仿宋"/>
                <w:spacing w:val="12"/>
                <w:sz w:val="24"/>
                <w:szCs w:val="24"/>
                <w:highlight w:val="none"/>
              </w:rPr>
              <w:t>分；</w:t>
            </w:r>
          </w:p>
          <w:p w14:paraId="305E33ED">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（2）对用户需求理解合理</w:t>
            </w:r>
            <w:r>
              <w:rPr>
                <w:rFonts w:hint="eastAsia" w:ascii="仿宋" w:hAnsi="仿宋" w:eastAsia="仿宋" w:cs="仿宋"/>
                <w:spacing w:val="12"/>
                <w:sz w:val="24"/>
                <w:szCs w:val="24"/>
                <w:highlight w:val="none"/>
                <w:lang w:eastAsia="zh-CN"/>
              </w:rPr>
              <w:t>，</w:t>
            </w:r>
            <w:r>
              <w:rPr>
                <w:rFonts w:hint="eastAsia" w:ascii="仿宋" w:hAnsi="仿宋" w:eastAsia="仿宋" w:cs="仿宋"/>
                <w:spacing w:val="12"/>
                <w:sz w:val="24"/>
                <w:szCs w:val="24"/>
                <w:highlight w:val="none"/>
              </w:rPr>
              <w:t>分析较</w:t>
            </w:r>
            <w:r>
              <w:rPr>
                <w:rFonts w:hint="eastAsia" w:ascii="仿宋" w:hAnsi="仿宋" w:eastAsia="仿宋" w:cs="仿宋"/>
                <w:spacing w:val="12"/>
                <w:sz w:val="24"/>
                <w:szCs w:val="24"/>
                <w:highlight w:val="none"/>
                <w:lang w:val="en-US" w:eastAsia="zh-CN"/>
              </w:rPr>
              <w:t>为</w:t>
            </w:r>
            <w:r>
              <w:rPr>
                <w:rFonts w:hint="eastAsia" w:ascii="仿宋" w:hAnsi="仿宋" w:eastAsia="仿宋" w:cs="仿宋"/>
                <w:spacing w:val="12"/>
                <w:sz w:val="24"/>
                <w:szCs w:val="24"/>
                <w:highlight w:val="none"/>
              </w:rPr>
              <w:t>准确</w:t>
            </w:r>
            <w:r>
              <w:rPr>
                <w:rFonts w:hint="eastAsia" w:ascii="仿宋" w:hAnsi="仿宋" w:eastAsia="仿宋" w:cs="仿宋"/>
                <w:spacing w:val="12"/>
                <w:sz w:val="24"/>
                <w:szCs w:val="24"/>
                <w:highlight w:val="none"/>
                <w:lang w:eastAsia="zh-CN"/>
              </w:rPr>
              <w:t>，</w:t>
            </w:r>
            <w:r>
              <w:rPr>
                <w:rFonts w:hint="eastAsia" w:ascii="仿宋" w:hAnsi="仿宋" w:eastAsia="仿宋" w:cs="仿宋"/>
                <w:spacing w:val="12"/>
                <w:sz w:val="24"/>
                <w:szCs w:val="24"/>
                <w:highlight w:val="none"/>
                <w:lang w:val="en-US" w:eastAsia="zh-CN"/>
              </w:rPr>
              <w:t>有针对性</w:t>
            </w:r>
            <w:r>
              <w:rPr>
                <w:rFonts w:hint="eastAsia" w:ascii="仿宋" w:hAnsi="仿宋" w:eastAsia="仿宋" w:cs="仿宋"/>
                <w:spacing w:val="12"/>
                <w:sz w:val="24"/>
                <w:szCs w:val="24"/>
                <w:highlight w:val="none"/>
              </w:rPr>
              <w:t>，得3分；</w:t>
            </w:r>
          </w:p>
          <w:p w14:paraId="55122EDC">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（3）对用户需求理解</w:t>
            </w:r>
            <w:r>
              <w:rPr>
                <w:rFonts w:hint="eastAsia" w:ascii="仿宋" w:hAnsi="仿宋" w:eastAsia="仿宋" w:cs="仿宋"/>
                <w:spacing w:val="12"/>
                <w:sz w:val="24"/>
                <w:szCs w:val="24"/>
                <w:highlight w:val="none"/>
                <w:lang w:val="en-US" w:eastAsia="zh-CN"/>
              </w:rPr>
              <w:t>欠缺</w:t>
            </w:r>
            <w:r>
              <w:rPr>
                <w:rFonts w:hint="eastAsia" w:ascii="仿宋" w:hAnsi="仿宋" w:eastAsia="仿宋" w:cs="仿宋"/>
                <w:spacing w:val="12"/>
                <w:sz w:val="24"/>
                <w:szCs w:val="24"/>
                <w:highlight w:val="none"/>
              </w:rPr>
              <w:t>，</w:t>
            </w:r>
            <w:r>
              <w:rPr>
                <w:rFonts w:hint="eastAsia" w:ascii="仿宋" w:hAnsi="仿宋" w:eastAsia="仿宋" w:cs="仿宋"/>
                <w:spacing w:val="12"/>
                <w:sz w:val="24"/>
                <w:szCs w:val="24"/>
                <w:highlight w:val="none"/>
                <w:lang w:val="en-US" w:eastAsia="zh-CN"/>
              </w:rPr>
              <w:t>针对性差</w:t>
            </w:r>
            <w:r>
              <w:rPr>
                <w:rFonts w:hint="eastAsia" w:ascii="仿宋" w:hAnsi="仿宋" w:eastAsia="仿宋" w:cs="仿宋"/>
                <w:spacing w:val="12"/>
                <w:sz w:val="24"/>
                <w:szCs w:val="24"/>
                <w:highlight w:val="none"/>
              </w:rPr>
              <w:t>，得1分；</w:t>
            </w:r>
          </w:p>
          <w:p w14:paraId="2ACE98B4">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kern w:val="2"/>
                <w:sz w:val="24"/>
                <w:szCs w:val="24"/>
                <w:highlight w:val="none"/>
                <w:lang w:val="en-US" w:eastAsia="en-US" w:bidi="ar-SA"/>
              </w:rPr>
            </w:pPr>
            <w:r>
              <w:rPr>
                <w:rFonts w:hint="eastAsia" w:ascii="仿宋" w:hAnsi="仿宋" w:eastAsia="仿宋" w:cs="仿宋"/>
                <w:spacing w:val="12"/>
                <w:sz w:val="24"/>
                <w:szCs w:val="24"/>
                <w:highlight w:val="none"/>
              </w:rPr>
              <w:t>未提供</w:t>
            </w:r>
            <w:r>
              <w:rPr>
                <w:rFonts w:hint="eastAsia" w:ascii="仿宋" w:hAnsi="仿宋" w:eastAsia="仿宋" w:cs="仿宋"/>
                <w:spacing w:val="12"/>
                <w:sz w:val="24"/>
                <w:szCs w:val="24"/>
                <w:highlight w:val="none"/>
                <w:lang w:val="en-US" w:eastAsia="zh-CN"/>
              </w:rPr>
              <w:t>或内容无关</w:t>
            </w:r>
            <w:r>
              <w:rPr>
                <w:rFonts w:hint="eastAsia" w:ascii="仿宋" w:hAnsi="仿宋" w:eastAsia="仿宋" w:cs="仿宋"/>
                <w:spacing w:val="12"/>
                <w:sz w:val="24"/>
                <w:szCs w:val="24"/>
                <w:highlight w:val="none"/>
              </w:rPr>
              <w:t>的不得分。</w:t>
            </w:r>
            <w:r>
              <w:rPr>
                <w:rFonts w:hint="eastAsia" w:ascii="仿宋" w:hAnsi="仿宋" w:eastAsia="仿宋" w:cs="仿宋"/>
                <w:spacing w:val="12"/>
                <w:sz w:val="24"/>
                <w:szCs w:val="24"/>
                <w:highlight w:val="none"/>
              </w:rPr>
              <w:tab/>
            </w:r>
          </w:p>
        </w:tc>
        <w:tc>
          <w:tcPr>
            <w:tcW w:w="1375" w:type="dxa"/>
            <w:shd w:val="clear" w:color="auto" w:fill="auto"/>
            <w:vAlign w:val="center"/>
          </w:tcPr>
          <w:p w14:paraId="04E4827F">
            <w:pPr>
              <w:pStyle w:val="21"/>
              <w:keepNext w:val="0"/>
              <w:keepLines w:val="0"/>
              <w:pageBreakBefore w:val="0"/>
              <w:widowControl w:val="0"/>
              <w:kinsoku/>
              <w:wordWrap/>
              <w:overflowPunct/>
              <w:topLinePunct w:val="0"/>
              <w:autoSpaceDE/>
              <w:autoSpaceDN/>
              <w:bidi w:val="0"/>
              <w:adjustRightInd w:val="0"/>
              <w:snapToGrid w:val="0"/>
              <w:spacing w:line="240" w:lineRule="auto"/>
              <w:ind w:right="105" w:rightChars="5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5</w:t>
            </w:r>
          </w:p>
        </w:tc>
      </w:tr>
      <w:tr w14:paraId="50607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076" w:type="dxa"/>
            <w:shd w:val="clear" w:color="auto" w:fill="auto"/>
            <w:vAlign w:val="center"/>
          </w:tcPr>
          <w:p w14:paraId="4D0BF8B9">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kern w:val="2"/>
                <w:sz w:val="24"/>
                <w:szCs w:val="24"/>
                <w:highlight w:val="none"/>
                <w:lang w:val="en-US" w:eastAsia="en-US" w:bidi="ar-SA"/>
              </w:rPr>
            </w:pPr>
            <w:r>
              <w:rPr>
                <w:rFonts w:hint="eastAsia" w:ascii="仿宋" w:hAnsi="仿宋" w:eastAsia="仿宋" w:cs="仿宋"/>
                <w:spacing w:val="-2"/>
                <w:sz w:val="24"/>
                <w:szCs w:val="24"/>
                <w:highlight w:val="none"/>
                <w:lang w:val="en-US" w:eastAsia="zh-CN"/>
              </w:rPr>
              <w:t>运维</w:t>
            </w:r>
            <w:r>
              <w:rPr>
                <w:rFonts w:hint="eastAsia" w:ascii="仿宋" w:hAnsi="仿宋" w:eastAsia="仿宋" w:cs="仿宋"/>
                <w:spacing w:val="-2"/>
                <w:sz w:val="24"/>
                <w:szCs w:val="24"/>
                <w:highlight w:val="none"/>
              </w:rPr>
              <w:t>服务方案</w:t>
            </w:r>
          </w:p>
        </w:tc>
        <w:tc>
          <w:tcPr>
            <w:tcW w:w="6728" w:type="dxa"/>
            <w:shd w:val="clear" w:color="auto" w:fill="auto"/>
            <w:vAlign w:val="center"/>
          </w:tcPr>
          <w:p w14:paraId="2C521DB7">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spacing w:val="-1"/>
                <w:kern w:val="2"/>
                <w:sz w:val="24"/>
                <w:szCs w:val="24"/>
                <w:highlight w:val="none"/>
                <w:lang w:val="en-US" w:eastAsia="en-US" w:bidi="ar-SA"/>
              </w:rPr>
            </w:pPr>
            <w:r>
              <w:rPr>
                <w:rFonts w:hint="eastAsia" w:ascii="仿宋" w:hAnsi="仿宋" w:eastAsia="仿宋" w:cs="仿宋"/>
                <w:spacing w:val="-1"/>
                <w:kern w:val="2"/>
                <w:sz w:val="24"/>
                <w:szCs w:val="24"/>
                <w:highlight w:val="none"/>
                <w:lang w:val="en-US" w:eastAsia="zh-CN" w:bidi="ar-SA"/>
              </w:rPr>
              <w:t>供应商</w:t>
            </w:r>
            <w:r>
              <w:rPr>
                <w:rFonts w:hint="eastAsia" w:ascii="仿宋" w:hAnsi="仿宋" w:eastAsia="仿宋" w:cs="仿宋"/>
                <w:spacing w:val="-1"/>
                <w:kern w:val="2"/>
                <w:sz w:val="24"/>
                <w:szCs w:val="24"/>
                <w:highlight w:val="none"/>
                <w:lang w:val="en-US" w:eastAsia="en-US" w:bidi="ar-SA"/>
              </w:rPr>
              <w:t>针对本项目维保</w:t>
            </w:r>
            <w:r>
              <w:rPr>
                <w:rFonts w:hint="eastAsia" w:ascii="仿宋" w:hAnsi="仿宋" w:eastAsia="仿宋" w:cs="仿宋"/>
                <w:spacing w:val="-1"/>
                <w:kern w:val="2"/>
                <w:sz w:val="24"/>
                <w:szCs w:val="24"/>
                <w:highlight w:val="none"/>
                <w:lang w:val="en-US" w:eastAsia="zh-CN" w:bidi="ar-SA"/>
              </w:rPr>
              <w:t>服务需求定制</w:t>
            </w:r>
            <w:r>
              <w:rPr>
                <w:rFonts w:hint="eastAsia" w:ascii="仿宋" w:hAnsi="仿宋" w:eastAsia="仿宋" w:cs="仿宋"/>
                <w:spacing w:val="-1"/>
                <w:kern w:val="2"/>
                <w:sz w:val="24"/>
                <w:szCs w:val="24"/>
                <w:highlight w:val="none"/>
                <w:lang w:val="en-US" w:eastAsia="en-US" w:bidi="ar-SA"/>
              </w:rPr>
              <w:t>规范化</w:t>
            </w:r>
            <w:r>
              <w:rPr>
                <w:rFonts w:hint="eastAsia" w:ascii="仿宋" w:hAnsi="仿宋" w:eastAsia="仿宋" w:cs="仿宋"/>
                <w:spacing w:val="-1"/>
                <w:kern w:val="2"/>
                <w:sz w:val="24"/>
                <w:szCs w:val="24"/>
                <w:highlight w:val="none"/>
                <w:lang w:val="en-US" w:eastAsia="zh-CN" w:bidi="ar-SA"/>
              </w:rPr>
              <w:t>的运维</w:t>
            </w:r>
            <w:r>
              <w:rPr>
                <w:rFonts w:hint="eastAsia" w:ascii="仿宋" w:hAnsi="仿宋" w:eastAsia="仿宋" w:cs="仿宋"/>
                <w:spacing w:val="-1"/>
                <w:kern w:val="2"/>
                <w:sz w:val="24"/>
                <w:szCs w:val="24"/>
                <w:highlight w:val="none"/>
                <w:lang w:val="en-US" w:eastAsia="en-US" w:bidi="ar-SA"/>
              </w:rPr>
              <w:t>服务方案，包括但不限于</w:t>
            </w:r>
            <w:r>
              <w:rPr>
                <w:rFonts w:hint="eastAsia" w:ascii="仿宋" w:hAnsi="仿宋" w:eastAsia="仿宋" w:cs="仿宋"/>
                <w:spacing w:val="-1"/>
                <w:kern w:val="2"/>
                <w:sz w:val="24"/>
                <w:szCs w:val="24"/>
                <w:highlight w:val="none"/>
                <w:lang w:val="en-US" w:eastAsia="zh-CN" w:bidi="ar-SA"/>
              </w:rPr>
              <w:t>机房</w:t>
            </w:r>
            <w:r>
              <w:rPr>
                <w:rFonts w:hint="eastAsia" w:ascii="仿宋" w:hAnsi="仿宋" w:eastAsia="仿宋" w:cs="仿宋"/>
                <w:spacing w:val="-1"/>
                <w:kern w:val="2"/>
                <w:sz w:val="24"/>
                <w:szCs w:val="24"/>
                <w:highlight w:val="none"/>
                <w:lang w:val="en-US" w:eastAsia="en-US" w:bidi="ar-SA"/>
              </w:rPr>
              <w:t>基础环境</w:t>
            </w:r>
            <w:r>
              <w:rPr>
                <w:rFonts w:hint="eastAsia" w:ascii="仿宋" w:hAnsi="仿宋" w:eastAsia="仿宋" w:cs="仿宋"/>
                <w:spacing w:val="-1"/>
                <w:kern w:val="2"/>
                <w:sz w:val="24"/>
                <w:szCs w:val="24"/>
                <w:highlight w:val="none"/>
                <w:lang w:val="en-US" w:eastAsia="zh-CN" w:bidi="ar-SA"/>
              </w:rPr>
              <w:t>、UPS主机、后备发电机、空调、消防等设备维保以及技术支持、值守服务等内容，</w:t>
            </w:r>
            <w:r>
              <w:rPr>
                <w:rFonts w:hint="eastAsia" w:ascii="仿宋" w:hAnsi="仿宋" w:eastAsia="仿宋" w:cs="仿宋"/>
                <w:spacing w:val="-1"/>
                <w:kern w:val="2"/>
                <w:sz w:val="24"/>
                <w:szCs w:val="24"/>
                <w:highlight w:val="none"/>
                <w:lang w:val="en-US" w:eastAsia="en-US" w:bidi="ar-SA"/>
              </w:rPr>
              <w:t>方案</w:t>
            </w:r>
            <w:r>
              <w:rPr>
                <w:rFonts w:hint="eastAsia" w:ascii="仿宋" w:hAnsi="仿宋" w:eastAsia="仿宋" w:cs="仿宋"/>
                <w:spacing w:val="-1"/>
                <w:kern w:val="2"/>
                <w:sz w:val="24"/>
                <w:szCs w:val="24"/>
                <w:highlight w:val="none"/>
                <w:lang w:val="en-US" w:eastAsia="zh-CN" w:bidi="ar-SA"/>
              </w:rPr>
              <w:t>要求</w:t>
            </w:r>
            <w:r>
              <w:rPr>
                <w:rFonts w:hint="eastAsia" w:ascii="仿宋" w:hAnsi="仿宋" w:eastAsia="仿宋" w:cs="仿宋"/>
                <w:spacing w:val="-1"/>
                <w:kern w:val="2"/>
                <w:sz w:val="24"/>
                <w:szCs w:val="24"/>
                <w:highlight w:val="none"/>
                <w:lang w:val="en-US" w:eastAsia="en-US" w:bidi="ar-SA"/>
              </w:rPr>
              <w:t>设计合理、架构完整、层次清楚。</w:t>
            </w:r>
          </w:p>
          <w:p w14:paraId="04BB7E4D">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spacing w:val="-1"/>
                <w:kern w:val="2"/>
                <w:sz w:val="24"/>
                <w:szCs w:val="24"/>
                <w:highlight w:val="none"/>
                <w:lang w:val="en-US" w:eastAsia="en-US" w:bidi="ar-SA"/>
              </w:rPr>
            </w:pPr>
            <w:r>
              <w:rPr>
                <w:rFonts w:hint="eastAsia" w:ascii="仿宋" w:hAnsi="仿宋" w:eastAsia="仿宋" w:cs="仿宋"/>
                <w:spacing w:val="-1"/>
                <w:kern w:val="2"/>
                <w:sz w:val="24"/>
                <w:szCs w:val="24"/>
                <w:highlight w:val="none"/>
                <w:lang w:val="en-US" w:eastAsia="en-US" w:bidi="ar-SA"/>
              </w:rPr>
              <w:t>（1）</w:t>
            </w:r>
            <w:r>
              <w:rPr>
                <w:rFonts w:hint="eastAsia" w:ascii="仿宋" w:hAnsi="仿宋" w:eastAsia="仿宋" w:cs="仿宋"/>
                <w:spacing w:val="-1"/>
                <w:kern w:val="2"/>
                <w:sz w:val="24"/>
                <w:szCs w:val="24"/>
                <w:highlight w:val="none"/>
                <w:lang w:val="en-US" w:eastAsia="zh-CN" w:bidi="ar-SA"/>
              </w:rPr>
              <w:t>整体方案</w:t>
            </w:r>
            <w:r>
              <w:rPr>
                <w:rFonts w:hint="eastAsia" w:ascii="仿宋" w:hAnsi="仿宋" w:eastAsia="仿宋" w:cs="仿宋"/>
                <w:spacing w:val="-1"/>
                <w:kern w:val="2"/>
                <w:sz w:val="24"/>
                <w:szCs w:val="24"/>
                <w:highlight w:val="none"/>
                <w:lang w:val="en-US" w:eastAsia="en-US" w:bidi="ar-SA"/>
              </w:rPr>
              <w:t>完整</w:t>
            </w:r>
            <w:r>
              <w:rPr>
                <w:rFonts w:hint="eastAsia" w:ascii="仿宋" w:hAnsi="仿宋" w:eastAsia="仿宋" w:cs="仿宋"/>
                <w:spacing w:val="-1"/>
                <w:kern w:val="2"/>
                <w:sz w:val="24"/>
                <w:szCs w:val="24"/>
                <w:highlight w:val="none"/>
                <w:lang w:val="en-US" w:eastAsia="zh-CN" w:bidi="ar-SA"/>
              </w:rPr>
              <w:t>详细</w:t>
            </w:r>
            <w:r>
              <w:rPr>
                <w:rFonts w:hint="eastAsia" w:ascii="仿宋" w:hAnsi="仿宋" w:eastAsia="仿宋" w:cs="仿宋"/>
                <w:spacing w:val="-1"/>
                <w:kern w:val="2"/>
                <w:sz w:val="24"/>
                <w:szCs w:val="24"/>
                <w:highlight w:val="none"/>
                <w:lang w:val="en-US" w:eastAsia="en-US" w:bidi="ar-SA"/>
              </w:rPr>
              <w:t>，</w:t>
            </w:r>
            <w:r>
              <w:rPr>
                <w:rFonts w:hint="eastAsia" w:ascii="仿宋" w:hAnsi="仿宋" w:eastAsia="仿宋" w:cs="仿宋"/>
                <w:spacing w:val="-1"/>
                <w:kern w:val="2"/>
                <w:sz w:val="24"/>
                <w:szCs w:val="24"/>
                <w:highlight w:val="none"/>
                <w:lang w:val="en-US" w:eastAsia="zh-CN" w:bidi="ar-SA"/>
              </w:rPr>
              <w:t>逻辑层次和</w:t>
            </w:r>
            <w:r>
              <w:rPr>
                <w:rFonts w:hint="eastAsia" w:ascii="仿宋" w:hAnsi="仿宋" w:eastAsia="仿宋" w:cs="仿宋"/>
                <w:spacing w:val="-1"/>
                <w:kern w:val="2"/>
                <w:sz w:val="24"/>
                <w:szCs w:val="24"/>
                <w:highlight w:val="none"/>
                <w:lang w:val="en-US" w:eastAsia="en-US" w:bidi="ar-SA"/>
              </w:rPr>
              <w:t>内容清晰，针对性</w:t>
            </w:r>
            <w:r>
              <w:rPr>
                <w:rFonts w:hint="eastAsia" w:ascii="仿宋" w:hAnsi="仿宋" w:eastAsia="仿宋" w:cs="仿宋"/>
                <w:spacing w:val="-1"/>
                <w:kern w:val="2"/>
                <w:sz w:val="24"/>
                <w:szCs w:val="24"/>
                <w:highlight w:val="none"/>
                <w:lang w:val="en-US" w:eastAsia="zh-CN" w:bidi="ar-SA"/>
              </w:rPr>
              <w:t>及</w:t>
            </w:r>
            <w:r>
              <w:rPr>
                <w:rFonts w:hint="eastAsia" w:ascii="仿宋" w:hAnsi="仿宋" w:eastAsia="仿宋" w:cs="仿宋"/>
                <w:spacing w:val="-1"/>
                <w:kern w:val="2"/>
                <w:sz w:val="24"/>
                <w:szCs w:val="24"/>
                <w:highlight w:val="none"/>
                <w:lang w:val="en-US" w:eastAsia="en-US" w:bidi="ar-SA"/>
              </w:rPr>
              <w:t>可操作性</w:t>
            </w:r>
            <w:r>
              <w:rPr>
                <w:rFonts w:hint="eastAsia" w:ascii="仿宋" w:hAnsi="仿宋" w:eastAsia="仿宋" w:cs="仿宋"/>
                <w:spacing w:val="-1"/>
                <w:kern w:val="2"/>
                <w:sz w:val="24"/>
                <w:szCs w:val="24"/>
                <w:highlight w:val="none"/>
                <w:lang w:val="en-US" w:eastAsia="zh-CN" w:bidi="ar-SA"/>
              </w:rPr>
              <w:t>极强</w:t>
            </w:r>
            <w:r>
              <w:rPr>
                <w:rFonts w:hint="eastAsia" w:ascii="仿宋" w:hAnsi="仿宋" w:eastAsia="仿宋" w:cs="仿宋"/>
                <w:spacing w:val="-1"/>
                <w:kern w:val="2"/>
                <w:sz w:val="24"/>
                <w:szCs w:val="24"/>
                <w:highlight w:val="none"/>
                <w:lang w:val="en-US" w:eastAsia="en-US" w:bidi="ar-SA"/>
              </w:rPr>
              <w:t>，</w:t>
            </w:r>
            <w:r>
              <w:rPr>
                <w:rFonts w:hint="eastAsia" w:ascii="仿宋" w:hAnsi="仿宋" w:eastAsia="仿宋" w:cs="仿宋"/>
                <w:spacing w:val="-1"/>
                <w:kern w:val="2"/>
                <w:sz w:val="24"/>
                <w:szCs w:val="24"/>
                <w:highlight w:val="none"/>
                <w:lang w:val="en-US" w:eastAsia="zh-CN" w:bidi="ar-SA"/>
              </w:rPr>
              <w:t>解决方案明确，</w:t>
            </w:r>
            <w:r>
              <w:rPr>
                <w:rFonts w:hint="eastAsia" w:ascii="仿宋" w:hAnsi="仿宋" w:eastAsia="仿宋" w:cs="仿宋"/>
                <w:spacing w:val="-1"/>
                <w:kern w:val="2"/>
                <w:sz w:val="24"/>
                <w:szCs w:val="24"/>
                <w:highlight w:val="none"/>
                <w:lang w:val="en-US" w:eastAsia="en-US" w:bidi="ar-SA"/>
              </w:rPr>
              <w:t>得</w:t>
            </w:r>
            <w:r>
              <w:rPr>
                <w:rFonts w:hint="eastAsia" w:ascii="仿宋" w:hAnsi="仿宋" w:eastAsia="仿宋" w:cs="仿宋"/>
                <w:spacing w:val="-1"/>
                <w:kern w:val="2"/>
                <w:sz w:val="24"/>
                <w:szCs w:val="24"/>
                <w:highlight w:val="none"/>
                <w:lang w:val="en-US" w:eastAsia="zh-CN" w:bidi="ar-SA"/>
              </w:rPr>
              <w:t>22</w:t>
            </w:r>
            <w:r>
              <w:rPr>
                <w:rFonts w:hint="eastAsia" w:ascii="仿宋" w:hAnsi="仿宋" w:eastAsia="仿宋" w:cs="仿宋"/>
                <w:spacing w:val="-1"/>
                <w:kern w:val="2"/>
                <w:sz w:val="24"/>
                <w:szCs w:val="24"/>
                <w:highlight w:val="none"/>
                <w:lang w:val="en-US" w:eastAsia="en-US" w:bidi="ar-SA"/>
              </w:rPr>
              <w:t>分；</w:t>
            </w:r>
          </w:p>
          <w:p w14:paraId="3AE8CC27">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spacing w:val="-1"/>
                <w:kern w:val="2"/>
                <w:sz w:val="24"/>
                <w:szCs w:val="24"/>
                <w:highlight w:val="none"/>
                <w:lang w:val="en-US" w:eastAsia="en-US" w:bidi="ar-SA"/>
              </w:rPr>
            </w:pPr>
            <w:r>
              <w:rPr>
                <w:rFonts w:hint="eastAsia" w:ascii="仿宋" w:hAnsi="仿宋" w:eastAsia="仿宋" w:cs="仿宋"/>
                <w:spacing w:val="-1"/>
                <w:kern w:val="2"/>
                <w:sz w:val="24"/>
                <w:szCs w:val="24"/>
                <w:highlight w:val="none"/>
                <w:lang w:val="en-US" w:eastAsia="en-US" w:bidi="ar-SA"/>
              </w:rPr>
              <w:t>（2）</w:t>
            </w:r>
            <w:r>
              <w:rPr>
                <w:rFonts w:hint="eastAsia" w:ascii="仿宋" w:hAnsi="仿宋" w:eastAsia="仿宋" w:cs="仿宋"/>
                <w:spacing w:val="-1"/>
                <w:kern w:val="2"/>
                <w:sz w:val="24"/>
                <w:szCs w:val="24"/>
                <w:highlight w:val="none"/>
                <w:lang w:val="en-US" w:eastAsia="zh-CN" w:bidi="ar-SA"/>
              </w:rPr>
              <w:t>整体方案</w:t>
            </w:r>
            <w:r>
              <w:rPr>
                <w:rFonts w:hint="eastAsia" w:ascii="仿宋" w:hAnsi="仿宋" w:eastAsia="仿宋" w:cs="仿宋"/>
                <w:spacing w:val="-1"/>
                <w:kern w:val="2"/>
                <w:sz w:val="24"/>
                <w:szCs w:val="24"/>
                <w:highlight w:val="none"/>
                <w:lang w:val="en-US" w:eastAsia="en-US" w:bidi="ar-SA"/>
              </w:rPr>
              <w:t>完整</w:t>
            </w:r>
            <w:r>
              <w:rPr>
                <w:rFonts w:hint="eastAsia" w:ascii="仿宋" w:hAnsi="仿宋" w:eastAsia="仿宋" w:cs="仿宋"/>
                <w:spacing w:val="-1"/>
                <w:kern w:val="2"/>
                <w:sz w:val="24"/>
                <w:szCs w:val="24"/>
                <w:highlight w:val="none"/>
                <w:lang w:val="en-US" w:eastAsia="zh-CN" w:bidi="ar-SA"/>
              </w:rPr>
              <w:t>详细</w:t>
            </w:r>
            <w:r>
              <w:rPr>
                <w:rFonts w:hint="eastAsia" w:ascii="仿宋" w:hAnsi="仿宋" w:eastAsia="仿宋" w:cs="仿宋"/>
                <w:spacing w:val="-1"/>
                <w:kern w:val="2"/>
                <w:sz w:val="24"/>
                <w:szCs w:val="24"/>
                <w:highlight w:val="none"/>
                <w:lang w:val="en-US" w:eastAsia="en-US" w:bidi="ar-SA"/>
              </w:rPr>
              <w:t>，内容表述清晰，针对性</w:t>
            </w:r>
            <w:r>
              <w:rPr>
                <w:rFonts w:hint="eastAsia" w:ascii="仿宋" w:hAnsi="仿宋" w:eastAsia="仿宋" w:cs="仿宋"/>
                <w:spacing w:val="-1"/>
                <w:kern w:val="2"/>
                <w:sz w:val="24"/>
                <w:szCs w:val="24"/>
                <w:highlight w:val="none"/>
                <w:lang w:val="en-US" w:eastAsia="zh-CN" w:bidi="ar-SA"/>
              </w:rPr>
              <w:t>及</w:t>
            </w:r>
            <w:r>
              <w:rPr>
                <w:rFonts w:hint="eastAsia" w:ascii="仿宋" w:hAnsi="仿宋" w:eastAsia="仿宋" w:cs="仿宋"/>
                <w:spacing w:val="-1"/>
                <w:kern w:val="2"/>
                <w:sz w:val="24"/>
                <w:szCs w:val="24"/>
                <w:highlight w:val="none"/>
                <w:lang w:val="en-US" w:eastAsia="en-US" w:bidi="ar-SA"/>
              </w:rPr>
              <w:t>可操作性较强，</w:t>
            </w:r>
            <w:r>
              <w:rPr>
                <w:rFonts w:hint="eastAsia" w:ascii="仿宋" w:hAnsi="仿宋" w:eastAsia="仿宋" w:cs="仿宋"/>
                <w:spacing w:val="-1"/>
                <w:kern w:val="2"/>
                <w:sz w:val="24"/>
                <w:szCs w:val="24"/>
                <w:highlight w:val="none"/>
                <w:lang w:val="en-US" w:eastAsia="zh-CN" w:bidi="ar-SA"/>
              </w:rPr>
              <w:t>解决方案较为清晰，</w:t>
            </w:r>
            <w:r>
              <w:rPr>
                <w:rFonts w:hint="eastAsia" w:ascii="仿宋" w:hAnsi="仿宋" w:eastAsia="仿宋" w:cs="仿宋"/>
                <w:spacing w:val="-1"/>
                <w:kern w:val="2"/>
                <w:sz w:val="24"/>
                <w:szCs w:val="24"/>
                <w:highlight w:val="none"/>
                <w:lang w:val="en-US" w:eastAsia="en-US" w:bidi="ar-SA"/>
              </w:rPr>
              <w:t>得</w:t>
            </w:r>
            <w:r>
              <w:rPr>
                <w:rFonts w:hint="eastAsia" w:ascii="仿宋" w:hAnsi="仿宋" w:eastAsia="仿宋" w:cs="仿宋"/>
                <w:spacing w:val="-1"/>
                <w:kern w:val="2"/>
                <w:sz w:val="24"/>
                <w:szCs w:val="24"/>
                <w:highlight w:val="none"/>
                <w:lang w:val="en-US" w:eastAsia="zh-CN" w:bidi="ar-SA"/>
              </w:rPr>
              <w:t>18</w:t>
            </w:r>
            <w:r>
              <w:rPr>
                <w:rFonts w:hint="eastAsia" w:ascii="仿宋" w:hAnsi="仿宋" w:eastAsia="仿宋" w:cs="仿宋"/>
                <w:spacing w:val="-1"/>
                <w:kern w:val="2"/>
                <w:sz w:val="24"/>
                <w:szCs w:val="24"/>
                <w:highlight w:val="none"/>
                <w:lang w:val="en-US" w:eastAsia="en-US" w:bidi="ar-SA"/>
              </w:rPr>
              <w:t>分；</w:t>
            </w:r>
          </w:p>
          <w:p w14:paraId="6E76C69C">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default" w:ascii="仿宋" w:hAnsi="仿宋" w:eastAsia="仿宋" w:cs="仿宋"/>
                <w:spacing w:val="-1"/>
                <w:kern w:val="2"/>
                <w:sz w:val="24"/>
                <w:szCs w:val="24"/>
                <w:highlight w:val="none"/>
                <w:lang w:val="en-US" w:eastAsia="zh-CN" w:bidi="ar-SA"/>
              </w:rPr>
            </w:pPr>
            <w:r>
              <w:rPr>
                <w:rFonts w:hint="eastAsia" w:ascii="仿宋" w:hAnsi="仿宋" w:eastAsia="仿宋" w:cs="仿宋"/>
                <w:spacing w:val="-1"/>
                <w:kern w:val="2"/>
                <w:sz w:val="24"/>
                <w:szCs w:val="24"/>
                <w:highlight w:val="none"/>
                <w:lang w:val="en-US" w:eastAsia="en-US" w:bidi="ar-SA"/>
              </w:rPr>
              <w:t>（3）</w:t>
            </w:r>
            <w:r>
              <w:rPr>
                <w:rFonts w:hint="eastAsia" w:ascii="仿宋" w:hAnsi="仿宋" w:eastAsia="仿宋" w:cs="仿宋"/>
                <w:spacing w:val="-1"/>
                <w:kern w:val="2"/>
                <w:sz w:val="24"/>
                <w:szCs w:val="24"/>
                <w:highlight w:val="none"/>
                <w:lang w:val="en-US" w:eastAsia="zh-CN" w:bidi="ar-SA"/>
              </w:rPr>
              <w:t>整体方案需求分析基本完整，但缺乏量化及针对性，解决方案与业务关联度一般，的14分。</w:t>
            </w:r>
          </w:p>
          <w:p w14:paraId="18BDB693">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spacing w:val="-1"/>
                <w:kern w:val="2"/>
                <w:sz w:val="24"/>
                <w:szCs w:val="24"/>
                <w:highlight w:val="none"/>
                <w:lang w:val="en-US" w:eastAsia="en-US" w:bidi="ar-SA"/>
              </w:rPr>
            </w:pPr>
            <w:r>
              <w:rPr>
                <w:rFonts w:hint="eastAsia" w:ascii="仿宋" w:hAnsi="仿宋" w:eastAsia="仿宋" w:cs="仿宋"/>
                <w:spacing w:val="-1"/>
                <w:kern w:val="2"/>
                <w:sz w:val="24"/>
                <w:szCs w:val="24"/>
                <w:highlight w:val="none"/>
                <w:lang w:val="en-US" w:eastAsia="en-US" w:bidi="ar-SA"/>
              </w:rPr>
              <w:t>（4）服务方案完整</w:t>
            </w:r>
            <w:r>
              <w:rPr>
                <w:rFonts w:hint="eastAsia" w:ascii="仿宋" w:hAnsi="仿宋" w:eastAsia="仿宋" w:cs="仿宋"/>
                <w:spacing w:val="-1"/>
                <w:kern w:val="2"/>
                <w:sz w:val="24"/>
                <w:szCs w:val="24"/>
                <w:highlight w:val="none"/>
                <w:lang w:val="en-US" w:eastAsia="zh-CN" w:bidi="ar-SA"/>
              </w:rPr>
              <w:t>度欠佳</w:t>
            </w:r>
            <w:r>
              <w:rPr>
                <w:rFonts w:hint="eastAsia" w:ascii="仿宋" w:hAnsi="仿宋" w:eastAsia="仿宋" w:cs="仿宋"/>
                <w:spacing w:val="-1"/>
                <w:kern w:val="2"/>
                <w:sz w:val="24"/>
                <w:szCs w:val="24"/>
                <w:highlight w:val="none"/>
                <w:lang w:val="en-US" w:eastAsia="en-US" w:bidi="ar-SA"/>
              </w:rPr>
              <w:t>，</w:t>
            </w:r>
            <w:r>
              <w:rPr>
                <w:rFonts w:hint="eastAsia" w:ascii="仿宋" w:hAnsi="仿宋" w:eastAsia="仿宋" w:cs="仿宋"/>
                <w:spacing w:val="-1"/>
                <w:kern w:val="2"/>
                <w:sz w:val="24"/>
                <w:szCs w:val="24"/>
                <w:highlight w:val="none"/>
                <w:lang w:val="en-US" w:eastAsia="zh-CN" w:bidi="ar-SA"/>
              </w:rPr>
              <w:t>需求分析存在盲区，</w:t>
            </w:r>
            <w:r>
              <w:rPr>
                <w:rFonts w:hint="eastAsia" w:ascii="仿宋" w:hAnsi="仿宋" w:eastAsia="仿宋" w:cs="仿宋"/>
                <w:spacing w:val="-1"/>
                <w:kern w:val="2"/>
                <w:sz w:val="24"/>
                <w:szCs w:val="24"/>
                <w:highlight w:val="none"/>
                <w:lang w:val="en-US" w:eastAsia="en-US" w:bidi="ar-SA"/>
              </w:rPr>
              <w:t>针对性、可操作性</w:t>
            </w:r>
            <w:r>
              <w:rPr>
                <w:rFonts w:hint="eastAsia" w:ascii="仿宋" w:hAnsi="仿宋" w:eastAsia="仿宋" w:cs="仿宋"/>
                <w:spacing w:val="-1"/>
                <w:kern w:val="2"/>
                <w:sz w:val="24"/>
                <w:szCs w:val="24"/>
                <w:highlight w:val="none"/>
                <w:lang w:val="en-US" w:eastAsia="zh-CN" w:bidi="ar-SA"/>
              </w:rPr>
              <w:t>欠佳</w:t>
            </w:r>
            <w:r>
              <w:rPr>
                <w:rFonts w:hint="eastAsia" w:ascii="仿宋" w:hAnsi="仿宋" w:eastAsia="仿宋" w:cs="仿宋"/>
                <w:spacing w:val="-1"/>
                <w:kern w:val="2"/>
                <w:sz w:val="24"/>
                <w:szCs w:val="24"/>
                <w:highlight w:val="none"/>
                <w:lang w:val="en-US" w:eastAsia="en-US" w:bidi="ar-SA"/>
              </w:rPr>
              <w:t>，得</w:t>
            </w:r>
            <w:r>
              <w:rPr>
                <w:rFonts w:hint="eastAsia" w:ascii="仿宋" w:hAnsi="仿宋" w:eastAsia="仿宋" w:cs="仿宋"/>
                <w:spacing w:val="-1"/>
                <w:kern w:val="2"/>
                <w:sz w:val="24"/>
                <w:szCs w:val="24"/>
                <w:highlight w:val="none"/>
                <w:lang w:val="en-US" w:eastAsia="zh-CN" w:bidi="ar-SA"/>
              </w:rPr>
              <w:t>10</w:t>
            </w:r>
            <w:r>
              <w:rPr>
                <w:rFonts w:hint="eastAsia" w:ascii="仿宋" w:hAnsi="仿宋" w:eastAsia="仿宋" w:cs="仿宋"/>
                <w:spacing w:val="-1"/>
                <w:kern w:val="2"/>
                <w:sz w:val="24"/>
                <w:szCs w:val="24"/>
                <w:highlight w:val="none"/>
                <w:lang w:val="en-US" w:eastAsia="en-US" w:bidi="ar-SA"/>
              </w:rPr>
              <w:t>分；</w:t>
            </w:r>
          </w:p>
          <w:p w14:paraId="5DE9095B">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spacing w:val="-1"/>
                <w:kern w:val="2"/>
                <w:sz w:val="24"/>
                <w:szCs w:val="24"/>
                <w:highlight w:val="none"/>
                <w:lang w:val="en-US" w:eastAsia="en-US" w:bidi="ar-SA"/>
              </w:rPr>
            </w:pPr>
            <w:r>
              <w:rPr>
                <w:rFonts w:hint="eastAsia" w:ascii="仿宋" w:hAnsi="仿宋" w:eastAsia="仿宋" w:cs="仿宋"/>
                <w:spacing w:val="-1"/>
                <w:kern w:val="2"/>
                <w:sz w:val="24"/>
                <w:szCs w:val="24"/>
                <w:highlight w:val="none"/>
                <w:lang w:val="en-US" w:eastAsia="en-US" w:bidi="ar-SA"/>
              </w:rPr>
              <w:t>（</w:t>
            </w:r>
            <w:r>
              <w:rPr>
                <w:rFonts w:hint="eastAsia" w:ascii="仿宋" w:hAnsi="仿宋" w:eastAsia="仿宋" w:cs="仿宋"/>
                <w:spacing w:val="-1"/>
                <w:kern w:val="2"/>
                <w:sz w:val="24"/>
                <w:szCs w:val="24"/>
                <w:highlight w:val="none"/>
                <w:lang w:val="en-US" w:eastAsia="zh-CN" w:bidi="ar-SA"/>
              </w:rPr>
              <w:t>5</w:t>
            </w:r>
            <w:r>
              <w:rPr>
                <w:rFonts w:hint="eastAsia" w:ascii="仿宋" w:hAnsi="仿宋" w:eastAsia="仿宋" w:cs="仿宋"/>
                <w:spacing w:val="-1"/>
                <w:kern w:val="2"/>
                <w:sz w:val="24"/>
                <w:szCs w:val="24"/>
                <w:highlight w:val="none"/>
                <w:lang w:val="en-US" w:eastAsia="en-US" w:bidi="ar-SA"/>
              </w:rPr>
              <w:t>）服务方案</w:t>
            </w:r>
            <w:r>
              <w:rPr>
                <w:rFonts w:hint="eastAsia" w:ascii="仿宋" w:hAnsi="仿宋" w:eastAsia="仿宋" w:cs="仿宋"/>
                <w:spacing w:val="-1"/>
                <w:kern w:val="2"/>
                <w:sz w:val="24"/>
                <w:szCs w:val="24"/>
                <w:highlight w:val="none"/>
                <w:lang w:val="en-US" w:eastAsia="zh-CN" w:bidi="ar-SA"/>
              </w:rPr>
              <w:t>完整性差</w:t>
            </w:r>
            <w:r>
              <w:rPr>
                <w:rFonts w:hint="eastAsia" w:ascii="仿宋" w:hAnsi="仿宋" w:eastAsia="仿宋" w:cs="仿宋"/>
                <w:spacing w:val="-1"/>
                <w:kern w:val="2"/>
                <w:sz w:val="24"/>
                <w:szCs w:val="24"/>
                <w:highlight w:val="none"/>
                <w:lang w:val="en-US" w:eastAsia="en-US" w:bidi="ar-SA"/>
              </w:rPr>
              <w:t>，内容表述</w:t>
            </w:r>
            <w:r>
              <w:rPr>
                <w:rFonts w:hint="eastAsia" w:ascii="仿宋" w:hAnsi="仿宋" w:eastAsia="仿宋" w:cs="仿宋"/>
                <w:spacing w:val="-1"/>
                <w:kern w:val="2"/>
                <w:sz w:val="24"/>
                <w:szCs w:val="24"/>
                <w:highlight w:val="none"/>
                <w:lang w:val="en-US" w:eastAsia="zh-CN" w:bidi="ar-SA"/>
              </w:rPr>
              <w:t>一般或欠缺</w:t>
            </w:r>
            <w:r>
              <w:rPr>
                <w:rFonts w:hint="eastAsia" w:ascii="仿宋" w:hAnsi="仿宋" w:eastAsia="仿宋" w:cs="仿宋"/>
                <w:spacing w:val="-1"/>
                <w:kern w:val="2"/>
                <w:sz w:val="24"/>
                <w:szCs w:val="24"/>
                <w:highlight w:val="none"/>
                <w:lang w:val="en-US" w:eastAsia="en-US" w:bidi="ar-SA"/>
              </w:rPr>
              <w:t>，针对性、可操作性</w:t>
            </w:r>
            <w:r>
              <w:rPr>
                <w:rFonts w:hint="eastAsia" w:ascii="仿宋" w:hAnsi="仿宋" w:eastAsia="仿宋" w:cs="仿宋"/>
                <w:spacing w:val="-1"/>
                <w:kern w:val="2"/>
                <w:sz w:val="24"/>
                <w:szCs w:val="24"/>
                <w:highlight w:val="none"/>
                <w:lang w:val="en-US" w:eastAsia="zh-CN" w:bidi="ar-SA"/>
              </w:rPr>
              <w:t>差</w:t>
            </w:r>
            <w:r>
              <w:rPr>
                <w:rFonts w:hint="eastAsia" w:ascii="仿宋" w:hAnsi="仿宋" w:eastAsia="仿宋" w:cs="仿宋"/>
                <w:spacing w:val="-1"/>
                <w:kern w:val="2"/>
                <w:sz w:val="24"/>
                <w:szCs w:val="24"/>
                <w:highlight w:val="none"/>
                <w:lang w:val="en-US" w:eastAsia="en-US" w:bidi="ar-SA"/>
              </w:rPr>
              <w:t>，得</w:t>
            </w:r>
            <w:r>
              <w:rPr>
                <w:rFonts w:hint="eastAsia" w:ascii="仿宋" w:hAnsi="仿宋" w:eastAsia="仿宋" w:cs="仿宋"/>
                <w:spacing w:val="-1"/>
                <w:kern w:val="2"/>
                <w:sz w:val="24"/>
                <w:szCs w:val="24"/>
                <w:highlight w:val="none"/>
                <w:lang w:val="en-US" w:eastAsia="zh-CN" w:bidi="ar-SA"/>
              </w:rPr>
              <w:t>6</w:t>
            </w:r>
            <w:r>
              <w:rPr>
                <w:rFonts w:hint="eastAsia" w:ascii="仿宋" w:hAnsi="仿宋" w:eastAsia="仿宋" w:cs="仿宋"/>
                <w:spacing w:val="-1"/>
                <w:kern w:val="2"/>
                <w:sz w:val="24"/>
                <w:szCs w:val="24"/>
                <w:highlight w:val="none"/>
                <w:lang w:val="en-US" w:eastAsia="en-US" w:bidi="ar-SA"/>
              </w:rPr>
              <w:t>分。</w:t>
            </w:r>
          </w:p>
          <w:p w14:paraId="1B0128EB">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spacing w:val="-1"/>
                <w:kern w:val="2"/>
                <w:sz w:val="24"/>
                <w:szCs w:val="24"/>
                <w:highlight w:val="none"/>
                <w:lang w:val="en-US" w:eastAsia="en-US" w:bidi="ar-SA"/>
              </w:rPr>
            </w:pPr>
            <w:r>
              <w:rPr>
                <w:rFonts w:hint="eastAsia" w:ascii="仿宋" w:hAnsi="仿宋" w:eastAsia="仿宋" w:cs="仿宋"/>
                <w:spacing w:val="-1"/>
                <w:kern w:val="2"/>
                <w:sz w:val="24"/>
                <w:szCs w:val="24"/>
                <w:highlight w:val="none"/>
                <w:lang w:val="en-US" w:eastAsia="en-US" w:bidi="ar-SA"/>
              </w:rPr>
              <w:t>（</w:t>
            </w:r>
            <w:r>
              <w:rPr>
                <w:rFonts w:hint="eastAsia" w:ascii="仿宋" w:hAnsi="仿宋" w:eastAsia="仿宋" w:cs="仿宋"/>
                <w:spacing w:val="-1"/>
                <w:kern w:val="2"/>
                <w:sz w:val="24"/>
                <w:szCs w:val="24"/>
                <w:highlight w:val="none"/>
                <w:lang w:val="en-US" w:eastAsia="zh-CN" w:bidi="ar-SA"/>
              </w:rPr>
              <w:t>6</w:t>
            </w:r>
            <w:r>
              <w:rPr>
                <w:rFonts w:hint="eastAsia" w:ascii="仿宋" w:hAnsi="仿宋" w:eastAsia="仿宋" w:cs="仿宋"/>
                <w:spacing w:val="-1"/>
                <w:kern w:val="2"/>
                <w:sz w:val="24"/>
                <w:szCs w:val="24"/>
                <w:highlight w:val="none"/>
                <w:lang w:val="en-US" w:eastAsia="en-US" w:bidi="ar-SA"/>
              </w:rPr>
              <w:t>）服务方案</w:t>
            </w:r>
            <w:r>
              <w:rPr>
                <w:rFonts w:hint="eastAsia" w:ascii="仿宋" w:hAnsi="仿宋" w:eastAsia="仿宋" w:cs="仿宋"/>
                <w:spacing w:val="-1"/>
                <w:kern w:val="2"/>
                <w:sz w:val="24"/>
                <w:szCs w:val="24"/>
                <w:highlight w:val="none"/>
                <w:lang w:val="en-US" w:eastAsia="zh-CN" w:bidi="ar-SA"/>
              </w:rPr>
              <w:t>简单</w:t>
            </w:r>
            <w:r>
              <w:rPr>
                <w:rFonts w:hint="eastAsia" w:ascii="仿宋" w:hAnsi="仿宋" w:eastAsia="仿宋" w:cs="仿宋"/>
                <w:spacing w:val="-1"/>
                <w:kern w:val="2"/>
                <w:sz w:val="24"/>
                <w:szCs w:val="24"/>
                <w:highlight w:val="none"/>
                <w:lang w:val="en-US" w:eastAsia="en-US" w:bidi="ar-SA"/>
              </w:rPr>
              <w:t>，内容表述</w:t>
            </w:r>
            <w:r>
              <w:rPr>
                <w:rFonts w:hint="eastAsia" w:ascii="仿宋" w:hAnsi="仿宋" w:eastAsia="仿宋" w:cs="仿宋"/>
                <w:spacing w:val="-1"/>
                <w:kern w:val="2"/>
                <w:sz w:val="24"/>
                <w:szCs w:val="24"/>
                <w:highlight w:val="none"/>
                <w:lang w:val="en-US" w:eastAsia="zh-CN" w:bidi="ar-SA"/>
              </w:rPr>
              <w:t>碎片化</w:t>
            </w:r>
            <w:r>
              <w:rPr>
                <w:rFonts w:hint="eastAsia" w:ascii="仿宋" w:hAnsi="仿宋" w:eastAsia="仿宋" w:cs="仿宋"/>
                <w:spacing w:val="-1"/>
                <w:kern w:val="2"/>
                <w:sz w:val="24"/>
                <w:szCs w:val="24"/>
                <w:highlight w:val="none"/>
                <w:lang w:val="en-US" w:eastAsia="en-US" w:bidi="ar-SA"/>
              </w:rPr>
              <w:t>，</w:t>
            </w:r>
            <w:r>
              <w:rPr>
                <w:rFonts w:hint="eastAsia" w:ascii="仿宋" w:hAnsi="仿宋" w:eastAsia="仿宋" w:cs="仿宋"/>
                <w:spacing w:val="-1"/>
                <w:kern w:val="2"/>
                <w:sz w:val="24"/>
                <w:szCs w:val="24"/>
                <w:highlight w:val="none"/>
                <w:lang w:val="en-US" w:eastAsia="zh-CN" w:bidi="ar-SA"/>
              </w:rPr>
              <w:t>与需求契合度低，无针对性，</w:t>
            </w:r>
            <w:r>
              <w:rPr>
                <w:rFonts w:hint="eastAsia" w:ascii="仿宋" w:hAnsi="仿宋" w:eastAsia="仿宋" w:cs="仿宋"/>
                <w:spacing w:val="-1"/>
                <w:kern w:val="2"/>
                <w:sz w:val="24"/>
                <w:szCs w:val="24"/>
                <w:highlight w:val="none"/>
                <w:lang w:val="en-US" w:eastAsia="en-US" w:bidi="ar-SA"/>
              </w:rPr>
              <w:t>得</w:t>
            </w:r>
            <w:r>
              <w:rPr>
                <w:rFonts w:hint="eastAsia" w:ascii="仿宋" w:hAnsi="仿宋" w:eastAsia="仿宋" w:cs="仿宋"/>
                <w:spacing w:val="-1"/>
                <w:kern w:val="2"/>
                <w:sz w:val="24"/>
                <w:szCs w:val="24"/>
                <w:highlight w:val="none"/>
                <w:lang w:val="en-US" w:eastAsia="zh-CN" w:bidi="ar-SA"/>
              </w:rPr>
              <w:t>2</w:t>
            </w:r>
            <w:r>
              <w:rPr>
                <w:rFonts w:hint="eastAsia" w:ascii="仿宋" w:hAnsi="仿宋" w:eastAsia="仿宋" w:cs="仿宋"/>
                <w:spacing w:val="-1"/>
                <w:kern w:val="2"/>
                <w:sz w:val="24"/>
                <w:szCs w:val="24"/>
                <w:highlight w:val="none"/>
                <w:lang w:val="en-US" w:eastAsia="en-US" w:bidi="ar-SA"/>
              </w:rPr>
              <w:t>分。</w:t>
            </w:r>
          </w:p>
          <w:p w14:paraId="29E6354F">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12"/>
                <w:sz w:val="24"/>
                <w:szCs w:val="24"/>
                <w:highlight w:val="none"/>
              </w:rPr>
              <w:t>未提供</w:t>
            </w:r>
            <w:r>
              <w:rPr>
                <w:rFonts w:hint="eastAsia" w:ascii="仿宋" w:hAnsi="仿宋" w:eastAsia="仿宋" w:cs="仿宋"/>
                <w:spacing w:val="12"/>
                <w:sz w:val="24"/>
                <w:szCs w:val="24"/>
                <w:highlight w:val="none"/>
                <w:lang w:val="en-US" w:eastAsia="zh-CN"/>
              </w:rPr>
              <w:t>或内容无关</w:t>
            </w:r>
            <w:r>
              <w:rPr>
                <w:rFonts w:hint="eastAsia" w:ascii="仿宋" w:hAnsi="仿宋" w:eastAsia="仿宋" w:cs="仿宋"/>
                <w:spacing w:val="12"/>
                <w:sz w:val="24"/>
                <w:szCs w:val="24"/>
                <w:highlight w:val="none"/>
              </w:rPr>
              <w:t>的不得分。</w:t>
            </w:r>
          </w:p>
        </w:tc>
        <w:tc>
          <w:tcPr>
            <w:tcW w:w="1375" w:type="dxa"/>
            <w:shd w:val="clear" w:color="auto" w:fill="auto"/>
            <w:vAlign w:val="center"/>
          </w:tcPr>
          <w:p w14:paraId="06CF5031">
            <w:pPr>
              <w:pStyle w:val="21"/>
              <w:keepNext w:val="0"/>
              <w:keepLines w:val="0"/>
              <w:pageBreakBefore w:val="0"/>
              <w:widowControl w:val="0"/>
              <w:kinsoku/>
              <w:wordWrap/>
              <w:overflowPunct/>
              <w:topLinePunct w:val="0"/>
              <w:autoSpaceDE/>
              <w:autoSpaceDN/>
              <w:bidi w:val="0"/>
              <w:adjustRightInd w:val="0"/>
              <w:snapToGrid w:val="0"/>
              <w:spacing w:line="240" w:lineRule="auto"/>
              <w:ind w:right="105" w:rightChars="50"/>
              <w:jc w:val="center"/>
              <w:textAlignment w:val="auto"/>
              <w:rPr>
                <w:rFonts w:hint="eastAsia" w:ascii="仿宋" w:hAnsi="仿宋" w:eastAsia="仿宋" w:cs="仿宋"/>
                <w:kern w:val="2"/>
                <w:sz w:val="24"/>
                <w:szCs w:val="24"/>
                <w:highlight w:val="none"/>
                <w:lang w:val="en-US" w:eastAsia="en-US" w:bidi="ar-SA"/>
              </w:rPr>
            </w:pPr>
            <w:r>
              <w:rPr>
                <w:rFonts w:hint="eastAsia" w:ascii="仿宋" w:hAnsi="仿宋" w:eastAsia="仿宋" w:cs="仿宋"/>
                <w:sz w:val="24"/>
                <w:szCs w:val="24"/>
                <w:highlight w:val="none"/>
                <w:lang w:val="en-US" w:eastAsia="zh-CN"/>
              </w:rPr>
              <w:t>22</w:t>
            </w:r>
          </w:p>
        </w:tc>
      </w:tr>
      <w:tr w14:paraId="58A05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76" w:type="dxa"/>
            <w:shd w:val="clear" w:color="auto" w:fill="auto"/>
            <w:vAlign w:val="center"/>
          </w:tcPr>
          <w:p w14:paraId="75AEBC02">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关键点</w:t>
            </w:r>
          </w:p>
          <w:p w14:paraId="6671635D">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kern w:val="2"/>
                <w:sz w:val="24"/>
                <w:szCs w:val="24"/>
                <w:highlight w:val="none"/>
                <w:lang w:val="en-US" w:eastAsia="en-US" w:bidi="ar-SA"/>
              </w:rPr>
            </w:pPr>
            <w:r>
              <w:rPr>
                <w:rFonts w:hint="eastAsia" w:ascii="仿宋" w:hAnsi="仿宋" w:eastAsia="仿宋" w:cs="仿宋"/>
                <w:spacing w:val="-3"/>
                <w:sz w:val="24"/>
                <w:szCs w:val="24"/>
                <w:highlight w:val="none"/>
              </w:rPr>
              <w:t>分析</w:t>
            </w:r>
          </w:p>
        </w:tc>
        <w:tc>
          <w:tcPr>
            <w:tcW w:w="6728" w:type="dxa"/>
            <w:shd w:val="clear" w:color="auto" w:fill="auto"/>
            <w:vAlign w:val="top"/>
          </w:tcPr>
          <w:p w14:paraId="7F67A9A8">
            <w:pPr>
              <w:pStyle w:val="21"/>
              <w:keepNext w:val="0"/>
              <w:keepLines w:val="0"/>
              <w:pageBreakBefore w:val="0"/>
              <w:widowControl w:val="0"/>
              <w:kinsoku/>
              <w:wordWrap/>
              <w:overflowPunct/>
              <w:topLinePunct w:val="0"/>
              <w:autoSpaceDE/>
              <w:autoSpaceDN/>
              <w:bidi w:val="0"/>
              <w:adjustRightInd w:val="0"/>
              <w:snapToGrid w:val="0"/>
              <w:spacing w:before="0" w:line="240" w:lineRule="auto"/>
              <w:ind w:left="105" w:leftChars="50" w:right="105" w:rightChars="50"/>
              <w:jc w:val="left"/>
              <w:textAlignment w:val="auto"/>
              <w:rPr>
                <w:rFonts w:hint="eastAsia" w:ascii="仿宋" w:hAnsi="仿宋" w:eastAsia="仿宋" w:cs="仿宋"/>
                <w:sz w:val="24"/>
                <w:szCs w:val="24"/>
                <w:highlight w:val="none"/>
                <w:lang w:eastAsia="zh-CN"/>
              </w:rPr>
            </w:pPr>
            <w:r>
              <w:rPr>
                <w:rFonts w:hint="eastAsia" w:ascii="仿宋" w:hAnsi="仿宋" w:eastAsia="仿宋" w:cs="仿宋"/>
                <w:spacing w:val="-1"/>
                <w:kern w:val="2"/>
                <w:sz w:val="24"/>
                <w:szCs w:val="24"/>
                <w:highlight w:val="none"/>
                <w:lang w:val="en-US" w:eastAsia="zh-CN" w:bidi="ar-SA"/>
              </w:rPr>
              <w:t>供应商</w:t>
            </w:r>
            <w:r>
              <w:rPr>
                <w:rFonts w:hint="eastAsia" w:ascii="仿宋" w:hAnsi="仿宋" w:eastAsia="仿宋" w:cs="仿宋"/>
                <w:spacing w:val="-1"/>
                <w:kern w:val="2"/>
                <w:sz w:val="24"/>
                <w:szCs w:val="24"/>
                <w:highlight w:val="none"/>
                <w:lang w:val="en-US" w:eastAsia="en-US" w:bidi="ar-SA"/>
              </w:rPr>
              <w:t>针对本项目</w:t>
            </w:r>
            <w:r>
              <w:rPr>
                <w:rFonts w:hint="eastAsia" w:ascii="仿宋" w:hAnsi="仿宋" w:eastAsia="仿宋" w:cs="仿宋"/>
                <w:spacing w:val="-1"/>
                <w:kern w:val="2"/>
                <w:sz w:val="24"/>
                <w:szCs w:val="24"/>
                <w:highlight w:val="none"/>
                <w:lang w:val="en-US" w:eastAsia="zh-CN" w:bidi="ar-SA"/>
              </w:rPr>
              <w:t>关键点</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设备使用年限长</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rPr>
              <w:t>分析，提出相</w:t>
            </w:r>
            <w:r>
              <w:rPr>
                <w:rFonts w:hint="eastAsia" w:ascii="仿宋" w:hAnsi="仿宋" w:eastAsia="仿宋" w:cs="仿宋"/>
                <w:spacing w:val="-8"/>
                <w:sz w:val="24"/>
                <w:szCs w:val="24"/>
                <w:highlight w:val="none"/>
              </w:rPr>
              <w:t>应的解决方案</w:t>
            </w:r>
            <w:r>
              <w:rPr>
                <w:rFonts w:hint="eastAsia" w:ascii="仿宋" w:hAnsi="仿宋" w:eastAsia="仿宋" w:cs="仿宋"/>
                <w:spacing w:val="-8"/>
                <w:sz w:val="24"/>
                <w:szCs w:val="24"/>
                <w:highlight w:val="none"/>
                <w:lang w:eastAsia="zh-CN"/>
              </w:rPr>
              <w:t>。</w:t>
            </w:r>
          </w:p>
          <w:p w14:paraId="3D47A81D">
            <w:pPr>
              <w:pStyle w:val="21"/>
              <w:keepNext w:val="0"/>
              <w:keepLines w:val="0"/>
              <w:pageBreakBefore w:val="0"/>
              <w:widowControl w:val="0"/>
              <w:kinsoku/>
              <w:wordWrap/>
              <w:overflowPunct/>
              <w:topLinePunct w:val="0"/>
              <w:autoSpaceDE/>
              <w:autoSpaceDN/>
              <w:bidi w:val="0"/>
              <w:adjustRightInd w:val="0"/>
              <w:snapToGrid w:val="0"/>
              <w:spacing w:before="0" w:line="240" w:lineRule="auto"/>
              <w:ind w:left="137" w:leftChars="50" w:right="105" w:rightChars="50" w:hanging="32"/>
              <w:jc w:val="left"/>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（1）方案逻辑层次清晰、</w:t>
            </w:r>
            <w:r>
              <w:rPr>
                <w:rFonts w:hint="eastAsia" w:ascii="仿宋" w:hAnsi="仿宋" w:eastAsia="仿宋" w:cs="仿宋"/>
                <w:spacing w:val="-1"/>
                <w:sz w:val="24"/>
                <w:szCs w:val="24"/>
                <w:highlight w:val="none"/>
                <w:lang w:val="en-US" w:eastAsia="zh-CN"/>
              </w:rPr>
              <w:t>关键点分析合理、</w:t>
            </w:r>
            <w:r>
              <w:rPr>
                <w:rFonts w:hint="eastAsia" w:ascii="仿宋" w:hAnsi="仿宋" w:eastAsia="仿宋" w:cs="仿宋"/>
                <w:spacing w:val="-1"/>
                <w:sz w:val="24"/>
                <w:szCs w:val="24"/>
                <w:highlight w:val="none"/>
              </w:rPr>
              <w:t>针对性强、与采购</w:t>
            </w:r>
            <w:r>
              <w:rPr>
                <w:rFonts w:hint="eastAsia" w:ascii="仿宋" w:hAnsi="仿宋" w:eastAsia="仿宋" w:cs="仿宋"/>
                <w:spacing w:val="-1"/>
                <w:sz w:val="24"/>
                <w:szCs w:val="24"/>
                <w:highlight w:val="none"/>
                <w:lang w:val="en-US" w:eastAsia="zh-CN"/>
              </w:rPr>
              <w:t>人实际情况</w:t>
            </w:r>
            <w:r>
              <w:rPr>
                <w:rFonts w:hint="eastAsia" w:ascii="仿宋" w:hAnsi="仿宋" w:eastAsia="仿宋" w:cs="仿宋"/>
                <w:spacing w:val="-6"/>
                <w:sz w:val="24"/>
                <w:szCs w:val="24"/>
                <w:highlight w:val="none"/>
              </w:rPr>
              <w:t>的吻合程度高的，得</w:t>
            </w:r>
            <w:r>
              <w:rPr>
                <w:rFonts w:hint="eastAsia" w:ascii="仿宋" w:hAnsi="仿宋" w:eastAsia="仿宋" w:cs="仿宋"/>
                <w:spacing w:val="-6"/>
                <w:sz w:val="24"/>
                <w:szCs w:val="24"/>
                <w:highlight w:val="none"/>
                <w:lang w:val="en-US" w:eastAsia="zh-CN"/>
              </w:rPr>
              <w:t>3</w:t>
            </w:r>
            <w:r>
              <w:rPr>
                <w:rFonts w:hint="eastAsia" w:ascii="仿宋" w:hAnsi="仿宋" w:eastAsia="仿宋" w:cs="仿宋"/>
                <w:spacing w:val="-6"/>
                <w:sz w:val="24"/>
                <w:szCs w:val="24"/>
                <w:highlight w:val="none"/>
              </w:rPr>
              <w:t>分；</w:t>
            </w:r>
          </w:p>
          <w:p w14:paraId="349D5966">
            <w:pPr>
              <w:pStyle w:val="21"/>
              <w:keepNext w:val="0"/>
              <w:keepLines w:val="0"/>
              <w:pageBreakBefore w:val="0"/>
              <w:widowControl w:val="0"/>
              <w:kinsoku/>
              <w:wordWrap/>
              <w:overflowPunct/>
              <w:topLinePunct w:val="0"/>
              <w:autoSpaceDE/>
              <w:autoSpaceDN/>
              <w:bidi w:val="0"/>
              <w:adjustRightInd w:val="0"/>
              <w:snapToGrid w:val="0"/>
              <w:spacing w:before="0" w:line="240" w:lineRule="auto"/>
              <w:ind w:left="112" w:leftChars="50" w:right="105" w:rightChars="50" w:hanging="7"/>
              <w:jc w:val="left"/>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（2）方案逻辑层次较清晰、</w:t>
            </w:r>
            <w:r>
              <w:rPr>
                <w:rFonts w:hint="eastAsia" w:ascii="仿宋" w:hAnsi="仿宋" w:eastAsia="仿宋" w:cs="仿宋"/>
                <w:spacing w:val="-1"/>
                <w:sz w:val="24"/>
                <w:szCs w:val="24"/>
                <w:highlight w:val="none"/>
                <w:lang w:val="en-US" w:eastAsia="zh-CN"/>
              </w:rPr>
              <w:t>关键点分析一般、</w:t>
            </w:r>
            <w:r>
              <w:rPr>
                <w:rFonts w:hint="eastAsia" w:ascii="仿宋" w:hAnsi="仿宋" w:eastAsia="仿宋" w:cs="仿宋"/>
                <w:spacing w:val="-2"/>
                <w:sz w:val="24"/>
                <w:szCs w:val="24"/>
                <w:highlight w:val="none"/>
              </w:rPr>
              <w:t>针对性</w:t>
            </w:r>
            <w:r>
              <w:rPr>
                <w:rFonts w:hint="eastAsia" w:ascii="仿宋" w:hAnsi="仿宋" w:eastAsia="仿宋" w:cs="仿宋"/>
                <w:spacing w:val="-2"/>
                <w:sz w:val="24"/>
                <w:szCs w:val="24"/>
                <w:highlight w:val="none"/>
                <w:lang w:val="en-US" w:eastAsia="zh-CN"/>
              </w:rPr>
              <w:t>一般</w:t>
            </w:r>
            <w:r>
              <w:rPr>
                <w:rFonts w:hint="eastAsia" w:ascii="仿宋" w:hAnsi="仿宋" w:eastAsia="仿宋" w:cs="仿宋"/>
                <w:spacing w:val="-2"/>
                <w:sz w:val="24"/>
                <w:szCs w:val="24"/>
                <w:highlight w:val="none"/>
              </w:rPr>
              <w:t>、与</w:t>
            </w:r>
            <w:r>
              <w:rPr>
                <w:rFonts w:hint="eastAsia" w:ascii="仿宋" w:hAnsi="仿宋" w:eastAsia="仿宋" w:cs="仿宋"/>
                <w:spacing w:val="-1"/>
                <w:sz w:val="24"/>
                <w:szCs w:val="24"/>
                <w:highlight w:val="none"/>
              </w:rPr>
              <w:t>采购</w:t>
            </w:r>
            <w:r>
              <w:rPr>
                <w:rFonts w:hint="eastAsia" w:ascii="仿宋" w:hAnsi="仿宋" w:eastAsia="仿宋" w:cs="仿宋"/>
                <w:spacing w:val="-1"/>
                <w:sz w:val="24"/>
                <w:szCs w:val="24"/>
                <w:highlight w:val="none"/>
                <w:lang w:val="en-US" w:eastAsia="zh-CN"/>
              </w:rPr>
              <w:t>人实际情况</w:t>
            </w:r>
            <w:r>
              <w:rPr>
                <w:rFonts w:hint="eastAsia" w:ascii="仿宋" w:hAnsi="仿宋" w:eastAsia="仿宋" w:cs="仿宋"/>
                <w:spacing w:val="-1"/>
                <w:sz w:val="24"/>
                <w:szCs w:val="24"/>
                <w:highlight w:val="none"/>
              </w:rPr>
              <w:t>的吻合程度一般，内容较简单的，得</w:t>
            </w: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7"/>
                <w:sz w:val="24"/>
                <w:szCs w:val="24"/>
                <w:highlight w:val="none"/>
              </w:rPr>
              <w:t>分；</w:t>
            </w:r>
          </w:p>
          <w:p w14:paraId="55AAC042">
            <w:pPr>
              <w:pStyle w:val="21"/>
              <w:keepNext w:val="0"/>
              <w:keepLines w:val="0"/>
              <w:pageBreakBefore w:val="0"/>
              <w:widowControl w:val="0"/>
              <w:kinsoku/>
              <w:wordWrap/>
              <w:overflowPunct/>
              <w:topLinePunct w:val="0"/>
              <w:autoSpaceDE/>
              <w:autoSpaceDN/>
              <w:bidi w:val="0"/>
              <w:adjustRightInd w:val="0"/>
              <w:snapToGrid w:val="0"/>
              <w:spacing w:before="0" w:line="240" w:lineRule="auto"/>
              <w:ind w:left="113" w:leftChars="50" w:right="105" w:rightChars="50" w:hanging="8"/>
              <w:jc w:val="left"/>
              <w:textAlignment w:val="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（3）方案逻辑层次</w:t>
            </w:r>
            <w:r>
              <w:rPr>
                <w:rFonts w:hint="eastAsia" w:ascii="仿宋" w:hAnsi="仿宋" w:eastAsia="仿宋" w:cs="仿宋"/>
                <w:spacing w:val="-3"/>
                <w:sz w:val="24"/>
                <w:szCs w:val="24"/>
                <w:highlight w:val="none"/>
                <w:lang w:val="en-US" w:eastAsia="zh-CN"/>
              </w:rPr>
              <w:t>不清，针对性有欠缺</w:t>
            </w:r>
            <w:r>
              <w:rPr>
                <w:rFonts w:hint="eastAsia" w:ascii="仿宋" w:hAnsi="仿宋" w:eastAsia="仿宋" w:cs="仿宋"/>
                <w:spacing w:val="-3"/>
                <w:sz w:val="24"/>
                <w:szCs w:val="24"/>
                <w:highlight w:val="none"/>
              </w:rPr>
              <w:t>，得1</w:t>
            </w:r>
            <w:r>
              <w:rPr>
                <w:rFonts w:hint="eastAsia" w:ascii="仿宋" w:hAnsi="仿宋" w:eastAsia="仿宋" w:cs="仿宋"/>
                <w:spacing w:val="-14"/>
                <w:sz w:val="24"/>
                <w:szCs w:val="24"/>
                <w:highlight w:val="none"/>
              </w:rPr>
              <w:t>分；</w:t>
            </w:r>
          </w:p>
          <w:p w14:paraId="32487FE4">
            <w:pPr>
              <w:pStyle w:val="21"/>
              <w:keepNext w:val="0"/>
              <w:keepLines w:val="0"/>
              <w:pageBreakBefore w:val="0"/>
              <w:widowControl w:val="0"/>
              <w:kinsoku/>
              <w:wordWrap/>
              <w:overflowPunct/>
              <w:topLinePunct w:val="0"/>
              <w:autoSpaceDE/>
              <w:autoSpaceDN/>
              <w:bidi w:val="0"/>
              <w:adjustRightInd w:val="0"/>
              <w:snapToGrid w:val="0"/>
              <w:spacing w:before="0" w:line="240" w:lineRule="auto"/>
              <w:ind w:left="105" w:leftChars="50" w:right="105" w:rightChars="5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3"/>
                <w:sz w:val="24"/>
                <w:szCs w:val="24"/>
                <w:highlight w:val="none"/>
                <w:lang w:eastAsia="zh-CN"/>
              </w:rPr>
              <w:t>未提供或内容无关的不得分。</w:t>
            </w:r>
          </w:p>
        </w:tc>
        <w:tc>
          <w:tcPr>
            <w:tcW w:w="1375" w:type="dxa"/>
            <w:shd w:val="clear" w:color="auto" w:fill="auto"/>
            <w:vAlign w:val="center"/>
          </w:tcPr>
          <w:p w14:paraId="3E896458">
            <w:pPr>
              <w:pStyle w:val="21"/>
              <w:keepNext w:val="0"/>
              <w:keepLines w:val="0"/>
              <w:pageBreakBefore w:val="0"/>
              <w:widowControl w:val="0"/>
              <w:kinsoku/>
              <w:wordWrap/>
              <w:overflowPunct/>
              <w:topLinePunct w:val="0"/>
              <w:autoSpaceDE/>
              <w:autoSpaceDN/>
              <w:bidi w:val="0"/>
              <w:adjustRightInd w:val="0"/>
              <w:snapToGrid w:val="0"/>
              <w:spacing w:line="240" w:lineRule="auto"/>
              <w:ind w:right="105" w:rightChars="50"/>
              <w:jc w:val="center"/>
              <w:textAlignment w:val="auto"/>
              <w:rPr>
                <w:rFonts w:hint="eastAsia" w:ascii="仿宋" w:hAnsi="仿宋" w:eastAsia="仿宋" w:cs="仿宋"/>
                <w:kern w:val="2"/>
                <w:sz w:val="24"/>
                <w:szCs w:val="24"/>
                <w:highlight w:val="none"/>
                <w:lang w:val="en-US" w:eastAsia="en-US" w:bidi="ar-SA"/>
              </w:rPr>
            </w:pPr>
            <w:r>
              <w:rPr>
                <w:rFonts w:hint="eastAsia" w:ascii="仿宋" w:hAnsi="仿宋" w:eastAsia="仿宋" w:cs="仿宋"/>
                <w:sz w:val="24"/>
                <w:szCs w:val="24"/>
                <w:highlight w:val="none"/>
                <w:lang w:val="en-US" w:eastAsia="zh-CN"/>
              </w:rPr>
              <w:t>3</w:t>
            </w:r>
          </w:p>
        </w:tc>
      </w:tr>
      <w:tr w14:paraId="58791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jc w:val="center"/>
        </w:trPr>
        <w:tc>
          <w:tcPr>
            <w:tcW w:w="1076" w:type="dxa"/>
            <w:shd w:val="clear" w:color="auto" w:fill="auto"/>
            <w:vAlign w:val="center"/>
          </w:tcPr>
          <w:p w14:paraId="75BAB5F8">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3"/>
                <w:kern w:val="2"/>
                <w:sz w:val="24"/>
                <w:szCs w:val="24"/>
                <w:highlight w:val="none"/>
                <w:lang w:val="en-US" w:eastAsia="en-US" w:bidi="ar-SA"/>
              </w:rPr>
            </w:pPr>
            <w:r>
              <w:rPr>
                <w:rFonts w:hint="eastAsia" w:ascii="仿宋" w:hAnsi="仿宋" w:eastAsia="仿宋" w:cs="仿宋"/>
                <w:spacing w:val="-2"/>
                <w:sz w:val="24"/>
                <w:szCs w:val="24"/>
                <w:highlight w:val="none"/>
                <w:lang w:val="en-US" w:eastAsia="zh-CN"/>
              </w:rPr>
              <w:t>服务响应及</w:t>
            </w:r>
            <w:r>
              <w:rPr>
                <w:rFonts w:hint="eastAsia" w:ascii="仿宋" w:hAnsi="仿宋" w:eastAsia="仿宋" w:cs="仿宋"/>
                <w:spacing w:val="-2"/>
                <w:sz w:val="24"/>
                <w:szCs w:val="24"/>
                <w:highlight w:val="none"/>
              </w:rPr>
              <w:t>进度安排</w:t>
            </w:r>
          </w:p>
        </w:tc>
        <w:tc>
          <w:tcPr>
            <w:tcW w:w="6728" w:type="dxa"/>
            <w:shd w:val="clear" w:color="auto" w:fill="auto"/>
            <w:vAlign w:val="center"/>
          </w:tcPr>
          <w:p w14:paraId="3C85DB8E">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针对本项目</w:t>
            </w:r>
            <w:r>
              <w:rPr>
                <w:rFonts w:hint="eastAsia" w:ascii="仿宋" w:hAnsi="仿宋" w:eastAsia="仿宋" w:cs="仿宋"/>
                <w:spacing w:val="-4"/>
                <w:sz w:val="24"/>
                <w:szCs w:val="24"/>
                <w:highlight w:val="none"/>
                <w:lang w:val="en-US" w:eastAsia="zh-CN"/>
              </w:rPr>
              <w:t>要求的服务响应时间（提供7×24小时技术支持服务，30分钟响应，2小时内到达现场服务，4小时排除故障恢复设备的正常运行）的工作</w:t>
            </w:r>
            <w:r>
              <w:rPr>
                <w:rFonts w:hint="eastAsia" w:ascii="仿宋" w:hAnsi="仿宋" w:eastAsia="仿宋" w:cs="仿宋"/>
                <w:spacing w:val="-4"/>
                <w:sz w:val="24"/>
                <w:szCs w:val="24"/>
                <w:highlight w:val="none"/>
              </w:rPr>
              <w:t>进度安排有具体方案：</w:t>
            </w:r>
          </w:p>
          <w:p w14:paraId="034572A9">
            <w:pPr>
              <w:pStyle w:val="21"/>
              <w:keepNext w:val="0"/>
              <w:keepLines w:val="0"/>
              <w:pageBreakBefore w:val="0"/>
              <w:widowControl w:val="0"/>
              <w:kinsoku/>
              <w:wordWrap/>
              <w:overflowPunct/>
              <w:topLinePunct w:val="0"/>
              <w:autoSpaceDE/>
              <w:autoSpaceDN/>
              <w:bidi w:val="0"/>
              <w:adjustRightInd w:val="0"/>
              <w:snapToGrid w:val="0"/>
              <w:spacing w:line="240" w:lineRule="auto"/>
              <w:ind w:left="137" w:leftChars="50" w:right="105" w:rightChars="50" w:hanging="32"/>
              <w:jc w:val="left"/>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（1）方案逻辑层次清晰、针对性强、</w:t>
            </w:r>
            <w:r>
              <w:rPr>
                <w:rFonts w:hint="eastAsia" w:ascii="仿宋" w:hAnsi="仿宋" w:eastAsia="仿宋" w:cs="仿宋"/>
                <w:spacing w:val="-1"/>
                <w:sz w:val="24"/>
                <w:szCs w:val="24"/>
                <w:highlight w:val="none"/>
                <w:lang w:val="en-US" w:eastAsia="zh-CN"/>
              </w:rPr>
              <w:t>切实可行</w:t>
            </w:r>
            <w:r>
              <w:rPr>
                <w:rFonts w:hint="eastAsia" w:ascii="仿宋" w:hAnsi="仿宋" w:eastAsia="仿宋" w:cs="仿宋"/>
                <w:spacing w:val="-1"/>
                <w:sz w:val="24"/>
                <w:szCs w:val="24"/>
                <w:highlight w:val="none"/>
              </w:rPr>
              <w:t>与采购</w:t>
            </w:r>
            <w:r>
              <w:rPr>
                <w:rFonts w:hint="eastAsia" w:ascii="仿宋" w:hAnsi="仿宋" w:eastAsia="仿宋" w:cs="仿宋"/>
                <w:spacing w:val="-6"/>
                <w:sz w:val="24"/>
                <w:szCs w:val="24"/>
                <w:highlight w:val="none"/>
              </w:rPr>
              <w:t>内容的吻合程度高的，得</w:t>
            </w:r>
            <w:r>
              <w:rPr>
                <w:rFonts w:hint="eastAsia" w:ascii="仿宋" w:hAnsi="仿宋" w:eastAsia="仿宋" w:cs="仿宋"/>
                <w:spacing w:val="-6"/>
                <w:sz w:val="24"/>
                <w:szCs w:val="24"/>
                <w:highlight w:val="none"/>
                <w:lang w:val="en-US" w:eastAsia="zh-CN"/>
              </w:rPr>
              <w:t>5</w:t>
            </w:r>
            <w:r>
              <w:rPr>
                <w:rFonts w:hint="eastAsia" w:ascii="仿宋" w:hAnsi="仿宋" w:eastAsia="仿宋" w:cs="仿宋"/>
                <w:spacing w:val="-6"/>
                <w:sz w:val="24"/>
                <w:szCs w:val="24"/>
                <w:highlight w:val="none"/>
              </w:rPr>
              <w:t>分；</w:t>
            </w:r>
          </w:p>
          <w:p w14:paraId="3771556C">
            <w:pPr>
              <w:pStyle w:val="21"/>
              <w:keepNext w:val="0"/>
              <w:keepLines w:val="0"/>
              <w:pageBreakBefore w:val="0"/>
              <w:widowControl w:val="0"/>
              <w:kinsoku/>
              <w:wordWrap/>
              <w:overflowPunct/>
              <w:topLinePunct w:val="0"/>
              <w:autoSpaceDE/>
              <w:autoSpaceDN/>
              <w:bidi w:val="0"/>
              <w:adjustRightInd w:val="0"/>
              <w:snapToGrid w:val="0"/>
              <w:spacing w:line="240" w:lineRule="auto"/>
              <w:ind w:left="112" w:leftChars="50" w:right="105" w:rightChars="50" w:hanging="7"/>
              <w:jc w:val="left"/>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（2）方案逻辑层次较清晰、针对性较强、与</w:t>
            </w:r>
            <w:r>
              <w:rPr>
                <w:rFonts w:hint="eastAsia" w:ascii="仿宋" w:hAnsi="仿宋" w:eastAsia="仿宋" w:cs="仿宋"/>
                <w:spacing w:val="-1"/>
                <w:sz w:val="24"/>
                <w:szCs w:val="24"/>
                <w:highlight w:val="none"/>
              </w:rPr>
              <w:t>采购内容的吻合程度一般，内容较简单的，得</w:t>
            </w:r>
            <w:r>
              <w:rPr>
                <w:rFonts w:hint="eastAsia" w:ascii="仿宋" w:hAnsi="仿宋" w:eastAsia="仿宋" w:cs="仿宋"/>
                <w:spacing w:val="-17"/>
                <w:sz w:val="24"/>
                <w:szCs w:val="24"/>
                <w:highlight w:val="none"/>
              </w:rPr>
              <w:t>3分；</w:t>
            </w:r>
          </w:p>
          <w:p w14:paraId="3E46FE20">
            <w:pPr>
              <w:pStyle w:val="21"/>
              <w:keepNext w:val="0"/>
              <w:keepLines w:val="0"/>
              <w:pageBreakBefore w:val="0"/>
              <w:widowControl w:val="0"/>
              <w:kinsoku/>
              <w:wordWrap/>
              <w:overflowPunct/>
              <w:topLinePunct w:val="0"/>
              <w:autoSpaceDE/>
              <w:autoSpaceDN/>
              <w:bidi w:val="0"/>
              <w:adjustRightInd w:val="0"/>
              <w:snapToGrid w:val="0"/>
              <w:spacing w:line="240" w:lineRule="auto"/>
              <w:ind w:left="113" w:leftChars="50" w:right="105" w:rightChars="50" w:hanging="8"/>
              <w:jc w:val="left"/>
              <w:textAlignment w:val="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（3）方案</w:t>
            </w:r>
            <w:r>
              <w:rPr>
                <w:rFonts w:hint="eastAsia" w:ascii="仿宋" w:hAnsi="仿宋" w:eastAsia="仿宋" w:cs="仿宋"/>
                <w:spacing w:val="-3"/>
                <w:sz w:val="24"/>
                <w:szCs w:val="24"/>
                <w:highlight w:val="none"/>
                <w:lang w:val="en-US" w:eastAsia="zh-CN"/>
              </w:rPr>
              <w:t>内容不切实际，与采购人需求偏差大，针对性差的</w:t>
            </w:r>
            <w:r>
              <w:rPr>
                <w:rFonts w:hint="eastAsia" w:ascii="仿宋" w:hAnsi="仿宋" w:eastAsia="仿宋" w:cs="仿宋"/>
                <w:spacing w:val="-3"/>
                <w:sz w:val="24"/>
                <w:szCs w:val="24"/>
                <w:highlight w:val="none"/>
              </w:rPr>
              <w:t>，得1</w:t>
            </w:r>
            <w:r>
              <w:rPr>
                <w:rFonts w:hint="eastAsia" w:ascii="仿宋" w:hAnsi="仿宋" w:eastAsia="仿宋" w:cs="仿宋"/>
                <w:spacing w:val="-14"/>
                <w:sz w:val="24"/>
                <w:szCs w:val="24"/>
                <w:highlight w:val="none"/>
              </w:rPr>
              <w:t>分；</w:t>
            </w:r>
          </w:p>
          <w:p w14:paraId="50812F4B">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pacing w:val="-3"/>
                <w:kern w:val="2"/>
                <w:sz w:val="24"/>
                <w:szCs w:val="24"/>
                <w:highlight w:val="none"/>
                <w:lang w:val="en-US" w:eastAsia="zh-CN" w:bidi="ar-SA"/>
              </w:rPr>
            </w:pPr>
            <w:r>
              <w:rPr>
                <w:rFonts w:hint="eastAsia" w:ascii="仿宋" w:hAnsi="仿宋" w:eastAsia="仿宋" w:cs="仿宋"/>
                <w:spacing w:val="-3"/>
                <w:sz w:val="24"/>
                <w:szCs w:val="24"/>
                <w:highlight w:val="none"/>
                <w:lang w:eastAsia="zh-CN"/>
              </w:rPr>
              <w:t>未提供或内容无关的不得分。</w:t>
            </w:r>
          </w:p>
        </w:tc>
        <w:tc>
          <w:tcPr>
            <w:tcW w:w="1375" w:type="dxa"/>
            <w:shd w:val="clear" w:color="auto" w:fill="auto"/>
            <w:vAlign w:val="center"/>
          </w:tcPr>
          <w:p w14:paraId="5A98FF53">
            <w:pPr>
              <w:pStyle w:val="21"/>
              <w:keepNext w:val="0"/>
              <w:keepLines w:val="0"/>
              <w:pageBreakBefore w:val="0"/>
              <w:widowControl w:val="0"/>
              <w:kinsoku/>
              <w:wordWrap/>
              <w:overflowPunct/>
              <w:topLinePunct w:val="0"/>
              <w:autoSpaceDE/>
              <w:autoSpaceDN/>
              <w:bidi w:val="0"/>
              <w:adjustRightInd w:val="0"/>
              <w:snapToGrid w:val="0"/>
              <w:spacing w:line="240" w:lineRule="auto"/>
              <w:ind w:right="105" w:rightChars="5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5</w:t>
            </w:r>
          </w:p>
        </w:tc>
      </w:tr>
      <w:tr w14:paraId="52AFE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076" w:type="dxa"/>
            <w:shd w:val="clear" w:color="auto" w:fill="auto"/>
            <w:vAlign w:val="center"/>
          </w:tcPr>
          <w:p w14:paraId="0782154A">
            <w:pPr>
              <w:pStyle w:val="21"/>
              <w:keepNext w:val="0"/>
              <w:keepLines w:val="0"/>
              <w:pageBreakBefore w:val="0"/>
              <w:widowControl w:val="0"/>
              <w:kinsoku/>
              <w:wordWrap/>
              <w:overflowPunct/>
              <w:topLinePunct w:val="0"/>
              <w:autoSpaceDE/>
              <w:autoSpaceDN/>
              <w:bidi w:val="0"/>
              <w:adjustRightInd w:val="0"/>
              <w:snapToGrid w:val="0"/>
              <w:spacing w:line="240" w:lineRule="auto"/>
              <w:ind w:left="649" w:leftChars="50" w:right="105" w:rightChars="50" w:hanging="544"/>
              <w:jc w:val="center"/>
              <w:textAlignment w:val="auto"/>
              <w:rPr>
                <w:rFonts w:hint="eastAsia" w:ascii="仿宋" w:hAnsi="仿宋" w:eastAsia="仿宋" w:cs="仿宋"/>
                <w:spacing w:val="-2"/>
                <w:sz w:val="24"/>
                <w:szCs w:val="24"/>
                <w:highlight w:val="none"/>
              </w:rPr>
            </w:pPr>
          </w:p>
          <w:p w14:paraId="272253F7">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定期巡</w:t>
            </w:r>
          </w:p>
          <w:p w14:paraId="0ED15A99">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检与预防性</w:t>
            </w:r>
          </w:p>
          <w:p w14:paraId="62364372">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2"/>
                <w:kern w:val="2"/>
                <w:sz w:val="24"/>
                <w:szCs w:val="24"/>
                <w:highlight w:val="none"/>
                <w:lang w:val="en-US" w:eastAsia="en-US" w:bidi="ar-SA"/>
              </w:rPr>
            </w:pPr>
            <w:r>
              <w:rPr>
                <w:rFonts w:hint="eastAsia" w:ascii="仿宋" w:hAnsi="仿宋" w:eastAsia="仿宋" w:cs="仿宋"/>
                <w:spacing w:val="-2"/>
                <w:sz w:val="24"/>
                <w:szCs w:val="24"/>
                <w:highlight w:val="none"/>
                <w:lang w:val="en-US" w:eastAsia="zh-CN"/>
              </w:rPr>
              <w:t>维护</w:t>
            </w:r>
          </w:p>
        </w:tc>
        <w:tc>
          <w:tcPr>
            <w:tcW w:w="6728" w:type="dxa"/>
            <w:shd w:val="clear" w:color="auto" w:fill="auto"/>
            <w:vAlign w:val="center"/>
          </w:tcPr>
          <w:p w14:paraId="415F84F5">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针对本项目提供巡检和预防性</w:t>
            </w:r>
            <w:r>
              <w:rPr>
                <w:rFonts w:hint="eastAsia" w:ascii="仿宋" w:hAnsi="仿宋" w:eastAsia="仿宋" w:cs="仿宋"/>
                <w:spacing w:val="-3"/>
                <w:sz w:val="24"/>
                <w:szCs w:val="24"/>
                <w:highlight w:val="none"/>
                <w:lang w:val="en-US" w:eastAsia="zh-CN"/>
              </w:rPr>
              <w:t>维护服务，包括但不限于定期</w:t>
            </w:r>
            <w:r>
              <w:rPr>
                <w:rFonts w:hint="eastAsia" w:ascii="仿宋" w:hAnsi="仿宋" w:eastAsia="仿宋" w:cs="仿宋"/>
                <w:spacing w:val="-3"/>
                <w:sz w:val="24"/>
                <w:szCs w:val="24"/>
                <w:highlight w:val="none"/>
                <w:lang w:eastAsia="zh-CN"/>
              </w:rPr>
              <w:t>巡检、</w:t>
            </w:r>
            <w:r>
              <w:rPr>
                <w:rFonts w:hint="eastAsia" w:ascii="仿宋" w:hAnsi="仿宋" w:eastAsia="仿宋" w:cs="仿宋"/>
                <w:spacing w:val="-3"/>
                <w:sz w:val="24"/>
                <w:szCs w:val="24"/>
                <w:highlight w:val="none"/>
                <w:lang w:val="en-US" w:eastAsia="zh-CN"/>
              </w:rPr>
              <w:t>预防性维护、巡检报告完整度</w:t>
            </w:r>
            <w:r>
              <w:rPr>
                <w:rFonts w:hint="eastAsia" w:ascii="仿宋" w:hAnsi="仿宋" w:eastAsia="仿宋" w:cs="仿宋"/>
                <w:spacing w:val="-3"/>
                <w:sz w:val="24"/>
                <w:szCs w:val="24"/>
                <w:highlight w:val="none"/>
                <w:lang w:eastAsia="zh-CN"/>
              </w:rPr>
              <w:t>等；</w:t>
            </w:r>
          </w:p>
          <w:p w14:paraId="5D7158F4">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lang w:val="en-US" w:eastAsia="zh-CN"/>
              </w:rPr>
              <w:t>1）巡检和预防性维护</w:t>
            </w:r>
            <w:r>
              <w:rPr>
                <w:rFonts w:hint="eastAsia" w:ascii="仿宋" w:hAnsi="仿宋" w:eastAsia="仿宋" w:cs="仿宋"/>
                <w:spacing w:val="-3"/>
                <w:sz w:val="24"/>
                <w:szCs w:val="24"/>
                <w:highlight w:val="none"/>
                <w:lang w:eastAsia="zh-CN"/>
              </w:rPr>
              <w:t>方案，设计合理、架构完整、</w:t>
            </w:r>
            <w:r>
              <w:rPr>
                <w:rFonts w:hint="eastAsia" w:ascii="仿宋" w:hAnsi="仿宋" w:eastAsia="仿宋" w:cs="仿宋"/>
                <w:spacing w:val="-3"/>
                <w:sz w:val="24"/>
                <w:szCs w:val="24"/>
                <w:highlight w:val="none"/>
                <w:lang w:val="en-US" w:eastAsia="zh-CN"/>
              </w:rPr>
              <w:t>切合实际、</w:t>
            </w:r>
            <w:r>
              <w:rPr>
                <w:rFonts w:hint="eastAsia" w:ascii="仿宋" w:hAnsi="仿宋" w:eastAsia="仿宋" w:cs="仿宋"/>
                <w:spacing w:val="-3"/>
                <w:sz w:val="24"/>
                <w:szCs w:val="24"/>
                <w:highlight w:val="none"/>
                <w:lang w:eastAsia="zh-CN"/>
              </w:rPr>
              <w:t>层次清楚，完全</w:t>
            </w:r>
            <w:r>
              <w:rPr>
                <w:rFonts w:hint="eastAsia" w:ascii="仿宋" w:hAnsi="仿宋" w:eastAsia="仿宋" w:cs="仿宋"/>
                <w:spacing w:val="-3"/>
                <w:sz w:val="24"/>
                <w:szCs w:val="24"/>
                <w:highlight w:val="none"/>
                <w:lang w:val="en-US" w:eastAsia="zh-CN"/>
              </w:rPr>
              <w:t>满足</w:t>
            </w:r>
            <w:r>
              <w:rPr>
                <w:rFonts w:hint="eastAsia" w:ascii="仿宋" w:hAnsi="仿宋" w:eastAsia="仿宋" w:cs="仿宋"/>
                <w:spacing w:val="-3"/>
                <w:sz w:val="24"/>
                <w:szCs w:val="24"/>
                <w:highlight w:val="none"/>
                <w:lang w:eastAsia="zh-CN"/>
              </w:rPr>
              <w:t>本项目服务要求，</w:t>
            </w:r>
            <w:r>
              <w:rPr>
                <w:rFonts w:hint="eastAsia" w:ascii="仿宋" w:hAnsi="仿宋" w:eastAsia="仿宋" w:cs="仿宋"/>
                <w:spacing w:val="-3"/>
                <w:sz w:val="24"/>
                <w:szCs w:val="24"/>
                <w:highlight w:val="none"/>
                <w:lang w:val="en-US" w:eastAsia="zh-CN"/>
              </w:rPr>
              <w:t>得5</w:t>
            </w:r>
            <w:r>
              <w:rPr>
                <w:rFonts w:hint="eastAsia" w:ascii="仿宋" w:hAnsi="仿宋" w:eastAsia="仿宋" w:cs="仿宋"/>
                <w:spacing w:val="-3"/>
                <w:sz w:val="24"/>
                <w:szCs w:val="24"/>
                <w:highlight w:val="none"/>
                <w:lang w:eastAsia="zh-CN"/>
              </w:rPr>
              <w:t>分；</w:t>
            </w:r>
            <w:r>
              <w:rPr>
                <w:rFonts w:hint="eastAsia" w:ascii="仿宋" w:hAnsi="仿宋" w:eastAsia="仿宋" w:cs="仿宋"/>
                <w:spacing w:val="-3"/>
                <w:sz w:val="24"/>
                <w:szCs w:val="24"/>
                <w:highlight w:val="none"/>
                <w:lang w:eastAsia="zh-CN"/>
              </w:rPr>
              <w:br w:type="textWrapping"/>
            </w: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lang w:val="en-US" w:eastAsia="zh-CN"/>
              </w:rPr>
              <w:t>2）巡检和预防性</w:t>
            </w:r>
            <w:r>
              <w:rPr>
                <w:rFonts w:hint="eastAsia" w:ascii="仿宋" w:hAnsi="仿宋" w:eastAsia="仿宋" w:cs="仿宋"/>
                <w:spacing w:val="-3"/>
                <w:sz w:val="24"/>
                <w:szCs w:val="24"/>
                <w:highlight w:val="none"/>
                <w:lang w:eastAsia="zh-CN"/>
              </w:rPr>
              <w:t>维护方案，设计基本合理、架构较完整、层次较清楚，基本</w:t>
            </w:r>
            <w:r>
              <w:rPr>
                <w:rFonts w:hint="eastAsia" w:ascii="仿宋" w:hAnsi="仿宋" w:eastAsia="仿宋" w:cs="仿宋"/>
                <w:spacing w:val="-3"/>
                <w:sz w:val="24"/>
                <w:szCs w:val="24"/>
                <w:highlight w:val="none"/>
                <w:lang w:val="en-US" w:eastAsia="zh-CN"/>
              </w:rPr>
              <w:t>满足</w:t>
            </w:r>
            <w:r>
              <w:rPr>
                <w:rFonts w:hint="eastAsia" w:ascii="仿宋" w:hAnsi="仿宋" w:eastAsia="仿宋" w:cs="仿宋"/>
                <w:spacing w:val="-3"/>
                <w:sz w:val="24"/>
                <w:szCs w:val="24"/>
                <w:highlight w:val="none"/>
                <w:lang w:eastAsia="zh-CN"/>
              </w:rPr>
              <w:t>本项目服务要求，得</w:t>
            </w:r>
            <w:r>
              <w:rPr>
                <w:rFonts w:hint="eastAsia" w:ascii="仿宋" w:hAnsi="仿宋" w:eastAsia="仿宋" w:cs="仿宋"/>
                <w:spacing w:val="-3"/>
                <w:sz w:val="24"/>
                <w:szCs w:val="24"/>
                <w:highlight w:val="none"/>
                <w:lang w:val="en-US" w:eastAsia="zh-CN"/>
              </w:rPr>
              <w:t>3</w:t>
            </w:r>
            <w:r>
              <w:rPr>
                <w:rFonts w:hint="eastAsia" w:ascii="仿宋" w:hAnsi="仿宋" w:eastAsia="仿宋" w:cs="仿宋"/>
                <w:spacing w:val="-3"/>
                <w:sz w:val="24"/>
                <w:szCs w:val="24"/>
                <w:highlight w:val="none"/>
                <w:lang w:eastAsia="zh-CN"/>
              </w:rPr>
              <w:t>分；</w:t>
            </w:r>
          </w:p>
          <w:p w14:paraId="4BD0DF56">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lang w:val="en-US" w:eastAsia="zh-CN"/>
              </w:rPr>
              <w:t>3）巡检和预防性</w:t>
            </w:r>
            <w:r>
              <w:rPr>
                <w:rFonts w:hint="eastAsia" w:ascii="仿宋" w:hAnsi="仿宋" w:eastAsia="仿宋" w:cs="仿宋"/>
                <w:spacing w:val="-3"/>
                <w:sz w:val="24"/>
                <w:szCs w:val="24"/>
                <w:highlight w:val="none"/>
                <w:lang w:eastAsia="zh-CN"/>
              </w:rPr>
              <w:t>维护方案，设计合理</w:t>
            </w:r>
            <w:r>
              <w:rPr>
                <w:rFonts w:hint="eastAsia" w:ascii="仿宋" w:hAnsi="仿宋" w:eastAsia="仿宋" w:cs="仿宋"/>
                <w:spacing w:val="-3"/>
                <w:sz w:val="24"/>
                <w:szCs w:val="24"/>
                <w:highlight w:val="none"/>
                <w:lang w:val="en-US" w:eastAsia="zh-CN"/>
              </w:rPr>
              <w:t>性欠缺</w:t>
            </w:r>
            <w:r>
              <w:rPr>
                <w:rFonts w:hint="eastAsia" w:ascii="仿宋" w:hAnsi="仿宋" w:eastAsia="仿宋" w:cs="仿宋"/>
                <w:spacing w:val="-3"/>
                <w:sz w:val="24"/>
                <w:szCs w:val="24"/>
                <w:highlight w:val="none"/>
                <w:lang w:eastAsia="zh-CN"/>
              </w:rPr>
              <w:t>、架构完整</w:t>
            </w:r>
            <w:r>
              <w:rPr>
                <w:rFonts w:hint="eastAsia" w:ascii="仿宋" w:hAnsi="仿宋" w:eastAsia="仿宋" w:cs="仿宋"/>
                <w:spacing w:val="-3"/>
                <w:sz w:val="24"/>
                <w:szCs w:val="24"/>
                <w:highlight w:val="none"/>
                <w:lang w:val="en-US" w:eastAsia="zh-CN"/>
              </w:rPr>
              <w:t>度差</w:t>
            </w:r>
            <w:r>
              <w:rPr>
                <w:rFonts w:hint="eastAsia" w:ascii="仿宋" w:hAnsi="仿宋" w:eastAsia="仿宋" w:cs="仿宋"/>
                <w:spacing w:val="-3"/>
                <w:sz w:val="24"/>
                <w:szCs w:val="24"/>
                <w:highlight w:val="none"/>
                <w:lang w:eastAsia="zh-CN"/>
              </w:rPr>
              <w:t>、层次模糊，</w:t>
            </w:r>
            <w:r>
              <w:rPr>
                <w:rFonts w:hint="eastAsia" w:ascii="仿宋" w:hAnsi="仿宋" w:eastAsia="仿宋" w:cs="仿宋"/>
                <w:spacing w:val="-3"/>
                <w:sz w:val="24"/>
                <w:szCs w:val="24"/>
                <w:highlight w:val="none"/>
                <w:lang w:val="en-US" w:eastAsia="zh-CN"/>
              </w:rPr>
              <w:t>部分满足</w:t>
            </w:r>
            <w:r>
              <w:rPr>
                <w:rFonts w:hint="eastAsia" w:ascii="仿宋" w:hAnsi="仿宋" w:eastAsia="仿宋" w:cs="仿宋"/>
                <w:spacing w:val="-3"/>
                <w:sz w:val="24"/>
                <w:szCs w:val="24"/>
                <w:highlight w:val="none"/>
                <w:lang w:eastAsia="zh-CN"/>
              </w:rPr>
              <w:t>本项目服务要求得</w:t>
            </w: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lang w:eastAsia="zh-CN"/>
              </w:rPr>
              <w:t>分；</w:t>
            </w:r>
          </w:p>
          <w:p w14:paraId="400CE2AB">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left"/>
              <w:textAlignment w:val="auto"/>
              <w:rPr>
                <w:rFonts w:hint="eastAsia" w:ascii="仿宋" w:hAnsi="仿宋" w:eastAsia="仿宋" w:cs="仿宋"/>
                <w:spacing w:val="-3"/>
                <w:kern w:val="2"/>
                <w:sz w:val="24"/>
                <w:szCs w:val="24"/>
                <w:highlight w:val="none"/>
                <w:lang w:val="en-US" w:eastAsia="zh-CN" w:bidi="ar-SA"/>
              </w:rPr>
            </w:pPr>
            <w:r>
              <w:rPr>
                <w:rFonts w:hint="eastAsia" w:ascii="仿宋" w:hAnsi="仿宋" w:eastAsia="仿宋" w:cs="仿宋"/>
                <w:spacing w:val="-3"/>
                <w:sz w:val="24"/>
                <w:szCs w:val="24"/>
                <w:highlight w:val="none"/>
                <w:lang w:eastAsia="zh-CN"/>
              </w:rPr>
              <w:t>未提供不计分。未提供或内容无关的不得分。</w:t>
            </w:r>
          </w:p>
        </w:tc>
        <w:tc>
          <w:tcPr>
            <w:tcW w:w="1375" w:type="dxa"/>
            <w:shd w:val="clear" w:color="auto" w:fill="auto"/>
            <w:vAlign w:val="center"/>
          </w:tcPr>
          <w:p w14:paraId="7D21037E">
            <w:pPr>
              <w:pStyle w:val="21"/>
              <w:keepNext w:val="0"/>
              <w:keepLines w:val="0"/>
              <w:pageBreakBefore w:val="0"/>
              <w:widowControl w:val="0"/>
              <w:kinsoku/>
              <w:wordWrap/>
              <w:overflowPunct/>
              <w:topLinePunct w:val="0"/>
              <w:autoSpaceDE/>
              <w:autoSpaceDN/>
              <w:bidi w:val="0"/>
              <w:adjustRightInd w:val="0"/>
              <w:snapToGrid w:val="0"/>
              <w:spacing w:line="240" w:lineRule="auto"/>
              <w:ind w:right="105" w:rightChars="50"/>
              <w:jc w:val="center"/>
              <w:textAlignment w:val="auto"/>
              <w:rPr>
                <w:rFonts w:hint="eastAsia" w:ascii="仿宋" w:hAnsi="仿宋" w:eastAsia="仿宋" w:cs="仿宋"/>
                <w:kern w:val="2"/>
                <w:sz w:val="24"/>
                <w:szCs w:val="24"/>
                <w:highlight w:val="none"/>
                <w:lang w:val="en-US" w:eastAsia="en-US" w:bidi="ar-SA"/>
              </w:rPr>
            </w:pPr>
            <w:r>
              <w:rPr>
                <w:rFonts w:hint="eastAsia" w:ascii="仿宋" w:hAnsi="仿宋" w:eastAsia="仿宋" w:cs="仿宋"/>
                <w:sz w:val="24"/>
                <w:szCs w:val="24"/>
                <w:highlight w:val="none"/>
                <w:lang w:val="en-US" w:eastAsia="zh-CN"/>
              </w:rPr>
              <w:t>5</w:t>
            </w:r>
          </w:p>
        </w:tc>
      </w:tr>
      <w:tr w14:paraId="6B1B5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076" w:type="dxa"/>
            <w:shd w:val="clear" w:color="auto" w:fill="auto"/>
            <w:vAlign w:val="center"/>
          </w:tcPr>
          <w:p w14:paraId="30F088F7">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人员</w:t>
            </w:r>
          </w:p>
          <w:p w14:paraId="4470240D">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color w:val="auto"/>
                <w:spacing w:val="-2"/>
                <w:kern w:val="2"/>
                <w:sz w:val="24"/>
                <w:szCs w:val="24"/>
                <w:highlight w:val="none"/>
                <w:lang w:val="en-US" w:eastAsia="zh-CN" w:bidi="ar-SA"/>
              </w:rPr>
            </w:pPr>
            <w:r>
              <w:rPr>
                <w:rFonts w:hint="eastAsia" w:ascii="仿宋" w:hAnsi="仿宋" w:eastAsia="仿宋" w:cs="仿宋"/>
                <w:color w:val="auto"/>
                <w:spacing w:val="-2"/>
                <w:sz w:val="24"/>
                <w:szCs w:val="24"/>
                <w:highlight w:val="none"/>
              </w:rPr>
              <w:t>配置</w:t>
            </w:r>
            <w:r>
              <w:rPr>
                <w:rFonts w:hint="eastAsia" w:ascii="仿宋" w:hAnsi="仿宋" w:eastAsia="仿宋" w:cs="仿宋"/>
                <w:color w:val="auto"/>
                <w:spacing w:val="-2"/>
                <w:sz w:val="24"/>
                <w:szCs w:val="24"/>
                <w:highlight w:val="none"/>
                <w:lang w:val="en-US" w:eastAsia="zh-CN"/>
              </w:rPr>
              <w:t>1</w:t>
            </w:r>
          </w:p>
        </w:tc>
        <w:tc>
          <w:tcPr>
            <w:tcW w:w="6728" w:type="dxa"/>
            <w:shd w:val="clear" w:color="auto" w:fill="auto"/>
            <w:vAlign w:val="top"/>
          </w:tcPr>
          <w:p w14:paraId="10AFF0B4">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jc w:val="both"/>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本项目拟投入人员的工作经验及组织架构是否满足项目需求，并根据其项目组人员综合实力及合理性进行赋分。</w:t>
            </w:r>
          </w:p>
          <w:p w14:paraId="6C521362">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jc w:val="both"/>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①架构合理，人员配置齐全、岗位分配合理、团队人员经验丰富，得</w:t>
            </w: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rPr>
              <w:t>分；</w:t>
            </w:r>
          </w:p>
          <w:p w14:paraId="39282474">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jc w:val="both"/>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②人员满足采购需求，岗位职责分工合理性一般，工作履历稍有欠缺，得</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rPr>
              <w:t>分；</w:t>
            </w:r>
          </w:p>
          <w:p w14:paraId="2693D94E">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jc w:val="both"/>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③人员满足采购需求，岗位职责分工不清晰，工作履历有欠缺，得</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rPr>
              <w:t>分；</w:t>
            </w:r>
          </w:p>
          <w:p w14:paraId="66183426">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jc w:val="both"/>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注：相关人员提供学历证明、工作履历、职业证书、</w:t>
            </w:r>
            <w:r>
              <w:rPr>
                <w:rFonts w:hint="eastAsia" w:ascii="仿宋" w:hAnsi="仿宋" w:eastAsia="仿宋" w:cs="仿宋"/>
                <w:color w:val="auto"/>
                <w:spacing w:val="-3"/>
                <w:sz w:val="24"/>
                <w:szCs w:val="24"/>
                <w:highlight w:val="none"/>
                <w:lang w:val="en-US" w:eastAsia="zh-CN"/>
              </w:rPr>
              <w:t>磋商</w:t>
            </w:r>
            <w:r>
              <w:rPr>
                <w:rFonts w:hint="eastAsia" w:ascii="仿宋" w:hAnsi="仿宋" w:eastAsia="仿宋" w:cs="仿宋"/>
                <w:color w:val="auto"/>
                <w:spacing w:val="-3"/>
                <w:sz w:val="24"/>
                <w:szCs w:val="24"/>
                <w:highlight w:val="none"/>
              </w:rPr>
              <w:t>前6个月内</w:t>
            </w:r>
            <w:r>
              <w:rPr>
                <w:rFonts w:hint="eastAsia" w:ascii="仿宋" w:hAnsi="仿宋" w:eastAsia="仿宋" w:cs="仿宋"/>
                <w:color w:val="auto"/>
                <w:spacing w:val="-3"/>
                <w:sz w:val="24"/>
                <w:szCs w:val="24"/>
                <w:highlight w:val="none"/>
                <w:lang w:val="en-US" w:eastAsia="zh-CN"/>
              </w:rPr>
              <w:t>任意一个月</w:t>
            </w:r>
            <w:r>
              <w:rPr>
                <w:rFonts w:hint="eastAsia" w:ascii="仿宋" w:hAnsi="仿宋" w:eastAsia="仿宋" w:cs="仿宋"/>
                <w:color w:val="auto"/>
                <w:spacing w:val="-3"/>
                <w:sz w:val="24"/>
                <w:szCs w:val="24"/>
                <w:highlight w:val="none"/>
              </w:rPr>
              <w:t>在本单位缴纳社保证明材料等相关证明材料</w:t>
            </w:r>
            <w:r>
              <w:rPr>
                <w:rFonts w:hint="eastAsia" w:ascii="仿宋" w:hAnsi="仿宋" w:eastAsia="仿宋" w:cs="仿宋"/>
                <w:color w:val="auto"/>
                <w:spacing w:val="-3"/>
                <w:sz w:val="24"/>
                <w:szCs w:val="24"/>
                <w:highlight w:val="none"/>
                <w:lang w:eastAsia="zh-CN"/>
              </w:rPr>
              <w:t>。</w:t>
            </w:r>
          </w:p>
          <w:p w14:paraId="452312E2">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firstLineChars="0"/>
              <w:jc w:val="both"/>
              <w:textAlignment w:val="auto"/>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sz w:val="24"/>
                <w:szCs w:val="24"/>
                <w:highlight w:val="none"/>
              </w:rPr>
              <w:t>供应商未提供或内容与本项目无关不得分。</w:t>
            </w:r>
          </w:p>
        </w:tc>
        <w:tc>
          <w:tcPr>
            <w:tcW w:w="1375" w:type="dxa"/>
            <w:shd w:val="clear" w:color="auto" w:fill="auto"/>
            <w:vAlign w:val="center"/>
          </w:tcPr>
          <w:p w14:paraId="12AF6BA5">
            <w:pPr>
              <w:pStyle w:val="21"/>
              <w:keepNext w:val="0"/>
              <w:keepLines w:val="0"/>
              <w:pageBreakBefore w:val="0"/>
              <w:widowControl w:val="0"/>
              <w:kinsoku/>
              <w:wordWrap/>
              <w:overflowPunct/>
              <w:topLinePunct w:val="0"/>
              <w:autoSpaceDE/>
              <w:autoSpaceDN/>
              <w:bidi w:val="0"/>
              <w:adjustRightInd w:val="0"/>
              <w:snapToGrid w:val="0"/>
              <w:spacing w:line="240" w:lineRule="auto"/>
              <w:ind w:right="105" w:right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4"/>
                <w:sz w:val="24"/>
                <w:szCs w:val="24"/>
                <w:highlight w:val="none"/>
                <w:lang w:val="en-US" w:eastAsia="zh-CN"/>
              </w:rPr>
              <w:t>4</w:t>
            </w:r>
          </w:p>
        </w:tc>
      </w:tr>
      <w:tr w14:paraId="016A5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jc w:val="center"/>
        </w:trPr>
        <w:tc>
          <w:tcPr>
            <w:tcW w:w="1076" w:type="dxa"/>
            <w:shd w:val="clear" w:color="auto" w:fill="auto"/>
            <w:vAlign w:val="center"/>
          </w:tcPr>
          <w:p w14:paraId="5316B3CE">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人员</w:t>
            </w:r>
          </w:p>
          <w:p w14:paraId="4816B0CA">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color w:val="auto"/>
                <w:spacing w:val="-2"/>
                <w:kern w:val="2"/>
                <w:sz w:val="24"/>
                <w:szCs w:val="24"/>
                <w:highlight w:val="none"/>
                <w:lang w:val="en-US" w:eastAsia="en-US" w:bidi="ar-SA"/>
              </w:rPr>
            </w:pPr>
            <w:r>
              <w:rPr>
                <w:rFonts w:hint="eastAsia" w:ascii="仿宋" w:hAnsi="仿宋" w:eastAsia="仿宋" w:cs="仿宋"/>
                <w:color w:val="auto"/>
                <w:spacing w:val="-2"/>
                <w:sz w:val="24"/>
                <w:szCs w:val="24"/>
                <w:highlight w:val="none"/>
              </w:rPr>
              <w:t>配置</w:t>
            </w:r>
            <w:r>
              <w:rPr>
                <w:rFonts w:hint="eastAsia" w:ascii="仿宋" w:hAnsi="仿宋" w:eastAsia="仿宋" w:cs="仿宋"/>
                <w:color w:val="auto"/>
                <w:spacing w:val="-2"/>
                <w:sz w:val="24"/>
                <w:szCs w:val="24"/>
                <w:highlight w:val="none"/>
                <w:lang w:val="en-US" w:eastAsia="zh-CN"/>
              </w:rPr>
              <w:t>2</w:t>
            </w:r>
          </w:p>
        </w:tc>
        <w:tc>
          <w:tcPr>
            <w:tcW w:w="6728" w:type="dxa"/>
            <w:shd w:val="clear" w:color="auto" w:fill="auto"/>
            <w:vAlign w:val="top"/>
          </w:tcPr>
          <w:p w14:paraId="308454A1">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firstLineChars="0"/>
              <w:jc w:val="both"/>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3"/>
                <w:sz w:val="24"/>
                <w:szCs w:val="24"/>
                <w:highlight w:val="none"/>
                <w:lang w:val="en-US" w:eastAsia="zh-CN"/>
              </w:rPr>
              <w:t>项目经理具备PMP项目经理证书，具备得2分，满分2分。</w:t>
            </w:r>
          </w:p>
          <w:p w14:paraId="12973223">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firstLineChars="0"/>
              <w:jc w:val="both"/>
              <w:textAlignment w:val="auto"/>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2、</w:t>
            </w:r>
            <w:r>
              <w:rPr>
                <w:rFonts w:hint="eastAsia" w:ascii="仿宋" w:hAnsi="仿宋" w:eastAsia="仿宋" w:cs="仿宋"/>
                <w:color w:val="auto"/>
                <w:spacing w:val="-3"/>
                <w:sz w:val="24"/>
                <w:szCs w:val="24"/>
                <w:highlight w:val="none"/>
                <w:lang w:val="en-US" w:eastAsia="zh-CN"/>
              </w:rPr>
              <w:t>项目团队人员具备</w:t>
            </w:r>
            <w:r>
              <w:rPr>
                <w:rFonts w:hint="eastAsia" w:ascii="仿宋" w:hAnsi="仿宋" w:eastAsia="仿宋" w:cs="仿宋"/>
                <w:color w:val="auto"/>
                <w:spacing w:val="-3"/>
                <w:sz w:val="24"/>
                <w:szCs w:val="24"/>
                <w:highlight w:val="none"/>
              </w:rPr>
              <w:t>UPS工程师</w:t>
            </w:r>
            <w:r>
              <w:rPr>
                <w:rFonts w:hint="eastAsia" w:ascii="仿宋" w:hAnsi="仿宋" w:eastAsia="仿宋" w:cs="仿宋"/>
                <w:color w:val="auto"/>
                <w:spacing w:val="-3"/>
                <w:sz w:val="24"/>
                <w:szCs w:val="24"/>
                <w:highlight w:val="none"/>
                <w:lang w:val="en-US" w:eastAsia="zh-CN"/>
              </w:rPr>
              <w:t>证书，每具备一个证书得1分，满分2分。</w:t>
            </w:r>
          </w:p>
          <w:p w14:paraId="79302179">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firstLineChars="0"/>
              <w:jc w:val="both"/>
              <w:textAlignment w:val="auto"/>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供应商未提供或内容与本项目无关不得分。</w:t>
            </w:r>
          </w:p>
          <w:p w14:paraId="0A7E2236">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firstLineChars="0"/>
              <w:jc w:val="both"/>
              <w:textAlignment w:val="auto"/>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sz w:val="24"/>
                <w:szCs w:val="24"/>
                <w:highlight w:val="none"/>
              </w:rPr>
              <w:t>注：以上人员需提供</w:t>
            </w:r>
            <w:r>
              <w:rPr>
                <w:rFonts w:hint="eastAsia" w:ascii="仿宋" w:hAnsi="仿宋" w:eastAsia="仿宋" w:cs="仿宋"/>
                <w:color w:val="auto"/>
                <w:spacing w:val="-3"/>
                <w:sz w:val="24"/>
                <w:szCs w:val="24"/>
                <w:highlight w:val="none"/>
                <w:lang w:val="en-US" w:eastAsia="zh-CN"/>
              </w:rPr>
              <w:t>磋商</w:t>
            </w:r>
            <w:r>
              <w:rPr>
                <w:rFonts w:hint="eastAsia" w:ascii="仿宋" w:hAnsi="仿宋" w:eastAsia="仿宋" w:cs="仿宋"/>
                <w:color w:val="auto"/>
                <w:spacing w:val="-3"/>
                <w:sz w:val="24"/>
                <w:szCs w:val="24"/>
                <w:highlight w:val="none"/>
              </w:rPr>
              <w:t>截止日前近</w:t>
            </w:r>
            <w:r>
              <w:rPr>
                <w:rFonts w:hint="eastAsia" w:ascii="仿宋" w:hAnsi="仿宋" w:eastAsia="仿宋" w:cs="仿宋"/>
                <w:color w:val="auto"/>
                <w:spacing w:val="-3"/>
                <w:sz w:val="24"/>
                <w:szCs w:val="24"/>
                <w:highlight w:val="none"/>
                <w:lang w:val="en-US" w:eastAsia="zh-CN"/>
              </w:rPr>
              <w:t>6</w:t>
            </w:r>
            <w:r>
              <w:rPr>
                <w:rFonts w:hint="eastAsia" w:ascii="仿宋" w:hAnsi="仿宋" w:eastAsia="仿宋" w:cs="仿宋"/>
                <w:color w:val="auto"/>
                <w:spacing w:val="-3"/>
                <w:sz w:val="24"/>
                <w:szCs w:val="24"/>
                <w:highlight w:val="none"/>
              </w:rPr>
              <w:t>个月内任意一个月在本单位缴纳</w:t>
            </w:r>
            <w:r>
              <w:rPr>
                <w:rFonts w:hint="eastAsia" w:ascii="仿宋" w:hAnsi="仿宋" w:eastAsia="仿宋" w:cs="仿宋"/>
                <w:color w:val="auto"/>
                <w:spacing w:val="-3"/>
                <w:sz w:val="24"/>
                <w:szCs w:val="24"/>
                <w:highlight w:val="none"/>
                <w:lang w:val="en-US" w:eastAsia="zh-CN"/>
              </w:rPr>
              <w:t>社保证明材料</w:t>
            </w:r>
            <w:r>
              <w:rPr>
                <w:rFonts w:hint="eastAsia" w:ascii="仿宋" w:hAnsi="仿宋" w:eastAsia="仿宋" w:cs="仿宋"/>
                <w:color w:val="auto"/>
                <w:spacing w:val="-3"/>
                <w:sz w:val="24"/>
                <w:szCs w:val="24"/>
                <w:highlight w:val="none"/>
                <w:lang w:eastAsia="zh-CN"/>
              </w:rPr>
              <w:t>。</w:t>
            </w:r>
          </w:p>
        </w:tc>
        <w:tc>
          <w:tcPr>
            <w:tcW w:w="1375" w:type="dxa"/>
            <w:shd w:val="clear" w:color="auto" w:fill="auto"/>
            <w:vAlign w:val="center"/>
          </w:tcPr>
          <w:p w14:paraId="3F9C8149">
            <w:pPr>
              <w:pStyle w:val="21"/>
              <w:keepNext w:val="0"/>
              <w:keepLines w:val="0"/>
              <w:pageBreakBefore w:val="0"/>
              <w:widowControl w:val="0"/>
              <w:kinsoku/>
              <w:wordWrap/>
              <w:overflowPunct/>
              <w:topLinePunct w:val="0"/>
              <w:autoSpaceDE/>
              <w:autoSpaceDN/>
              <w:bidi w:val="0"/>
              <w:adjustRightInd w:val="0"/>
              <w:snapToGrid w:val="0"/>
              <w:spacing w:line="240" w:lineRule="auto"/>
              <w:ind w:right="105" w:rightChars="50"/>
              <w:jc w:val="center"/>
              <w:textAlignment w:val="auto"/>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sz w:val="24"/>
                <w:szCs w:val="24"/>
                <w:highlight w:val="none"/>
                <w:lang w:val="en-US" w:eastAsia="zh-CN"/>
              </w:rPr>
              <w:t>4</w:t>
            </w:r>
          </w:p>
        </w:tc>
      </w:tr>
      <w:tr w14:paraId="22F4B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8" w:hRule="atLeast"/>
          <w:jc w:val="center"/>
        </w:trPr>
        <w:tc>
          <w:tcPr>
            <w:tcW w:w="1076" w:type="dxa"/>
            <w:shd w:val="clear" w:color="auto" w:fill="auto"/>
            <w:vAlign w:val="center"/>
          </w:tcPr>
          <w:p w14:paraId="6C637EDD">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b w:val="0"/>
                <w:bCs w:val="0"/>
                <w:spacing w:val="-3"/>
                <w:kern w:val="2"/>
                <w:sz w:val="24"/>
                <w:szCs w:val="24"/>
                <w:highlight w:val="none"/>
                <w:lang w:val="en-US" w:eastAsia="en-US" w:bidi="ar-SA"/>
              </w:rPr>
            </w:pPr>
            <w:r>
              <w:rPr>
                <w:rFonts w:hint="eastAsia" w:ascii="仿宋" w:hAnsi="仿宋" w:eastAsia="仿宋" w:cs="仿宋"/>
                <w:b w:val="0"/>
                <w:bCs w:val="0"/>
                <w:spacing w:val="-3"/>
                <w:sz w:val="24"/>
                <w:szCs w:val="24"/>
                <w:highlight w:val="none"/>
                <w:lang w:val="en-US" w:eastAsia="zh-CN"/>
              </w:rPr>
              <w:t>故障及</w:t>
            </w:r>
            <w:r>
              <w:rPr>
                <w:rFonts w:hint="eastAsia" w:ascii="仿宋" w:hAnsi="仿宋" w:eastAsia="仿宋" w:cs="仿宋"/>
                <w:b w:val="0"/>
                <w:bCs w:val="0"/>
                <w:spacing w:val="-3"/>
                <w:sz w:val="24"/>
                <w:szCs w:val="24"/>
                <w:highlight w:val="none"/>
              </w:rPr>
              <w:t>应急保障方案</w:t>
            </w:r>
          </w:p>
        </w:tc>
        <w:tc>
          <w:tcPr>
            <w:tcW w:w="6728" w:type="dxa"/>
            <w:shd w:val="clear" w:color="auto" w:fill="auto"/>
            <w:vAlign w:val="top"/>
          </w:tcPr>
          <w:p w14:paraId="03F57F2C">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105" w:rightChars="50"/>
              <w:textAlignment w:val="auto"/>
              <w:rPr>
                <w:rFonts w:hint="eastAsia" w:ascii="仿宋" w:hAnsi="仿宋" w:eastAsia="仿宋" w:cs="仿宋"/>
                <w:b w:val="0"/>
                <w:bCs w:val="0"/>
                <w:spacing w:val="-1"/>
                <w:sz w:val="24"/>
                <w:szCs w:val="24"/>
                <w:highlight w:val="none"/>
                <w:lang w:eastAsia="zh-CN"/>
              </w:rPr>
            </w:pPr>
            <w:r>
              <w:rPr>
                <w:rFonts w:hint="eastAsia" w:ascii="仿宋" w:hAnsi="仿宋" w:eastAsia="仿宋" w:cs="仿宋"/>
                <w:b w:val="0"/>
                <w:bCs w:val="0"/>
                <w:spacing w:val="-1"/>
                <w:sz w:val="24"/>
                <w:szCs w:val="24"/>
                <w:highlight w:val="none"/>
              </w:rPr>
              <w:t>供应商</w:t>
            </w:r>
            <w:r>
              <w:rPr>
                <w:rFonts w:hint="eastAsia" w:ascii="仿宋" w:hAnsi="仿宋" w:eastAsia="仿宋" w:cs="仿宋"/>
                <w:b w:val="0"/>
                <w:bCs w:val="0"/>
                <w:spacing w:val="-1"/>
                <w:sz w:val="24"/>
                <w:szCs w:val="24"/>
                <w:highlight w:val="none"/>
                <w:lang w:val="en-US" w:eastAsia="zh-CN"/>
              </w:rPr>
              <w:t>针对本项目</w:t>
            </w:r>
            <w:r>
              <w:rPr>
                <w:rFonts w:hint="eastAsia" w:ascii="仿宋" w:hAnsi="仿宋" w:eastAsia="仿宋" w:cs="仿宋"/>
                <w:b w:val="0"/>
                <w:bCs w:val="0"/>
                <w:spacing w:val="-3"/>
                <w:sz w:val="24"/>
                <w:szCs w:val="24"/>
                <w:highlight w:val="none"/>
                <w:lang w:val="en-US" w:eastAsia="zh-CN"/>
              </w:rPr>
              <w:t>故障情况和影响范围</w:t>
            </w:r>
            <w:r>
              <w:rPr>
                <w:rFonts w:hint="eastAsia" w:ascii="仿宋" w:hAnsi="仿宋" w:eastAsia="仿宋" w:cs="仿宋"/>
                <w:b w:val="0"/>
                <w:bCs w:val="0"/>
                <w:spacing w:val="-3"/>
                <w:sz w:val="24"/>
                <w:szCs w:val="24"/>
                <w:highlight w:val="none"/>
              </w:rPr>
              <w:t>制定</w:t>
            </w:r>
            <w:r>
              <w:rPr>
                <w:rFonts w:hint="eastAsia" w:ascii="仿宋" w:hAnsi="仿宋" w:eastAsia="仿宋" w:cs="仿宋"/>
                <w:b w:val="0"/>
                <w:bCs w:val="0"/>
                <w:spacing w:val="-1"/>
                <w:sz w:val="24"/>
                <w:szCs w:val="24"/>
                <w:highlight w:val="none"/>
              </w:rPr>
              <w:t>详细的</w:t>
            </w:r>
            <w:r>
              <w:rPr>
                <w:rFonts w:hint="eastAsia" w:ascii="仿宋" w:hAnsi="仿宋" w:eastAsia="仿宋" w:cs="仿宋"/>
                <w:b w:val="0"/>
                <w:bCs w:val="0"/>
                <w:spacing w:val="-1"/>
                <w:sz w:val="24"/>
                <w:szCs w:val="24"/>
                <w:highlight w:val="none"/>
                <w:lang w:val="en-US" w:eastAsia="zh-CN"/>
              </w:rPr>
              <w:t>故障处理</w:t>
            </w:r>
            <w:r>
              <w:rPr>
                <w:rFonts w:hint="eastAsia" w:ascii="仿宋" w:hAnsi="仿宋" w:eastAsia="仿宋" w:cs="仿宋"/>
                <w:b w:val="0"/>
                <w:bCs w:val="0"/>
                <w:spacing w:val="-1"/>
                <w:sz w:val="24"/>
                <w:szCs w:val="24"/>
                <w:highlight w:val="none"/>
              </w:rPr>
              <w:t>方案</w:t>
            </w:r>
            <w:r>
              <w:rPr>
                <w:rFonts w:hint="eastAsia" w:ascii="仿宋" w:hAnsi="仿宋" w:eastAsia="仿宋" w:cs="仿宋"/>
                <w:b w:val="0"/>
                <w:bCs w:val="0"/>
                <w:spacing w:val="-1"/>
                <w:sz w:val="24"/>
                <w:szCs w:val="24"/>
                <w:highlight w:val="none"/>
                <w:lang w:eastAsia="zh-CN"/>
              </w:rPr>
              <w:t>；</w:t>
            </w:r>
            <w:r>
              <w:rPr>
                <w:rFonts w:hint="eastAsia" w:ascii="仿宋" w:hAnsi="仿宋" w:eastAsia="仿宋" w:cs="仿宋"/>
                <w:b w:val="0"/>
                <w:bCs w:val="0"/>
                <w:spacing w:val="-1"/>
                <w:sz w:val="24"/>
                <w:szCs w:val="24"/>
                <w:highlight w:val="none"/>
                <w:lang w:val="en-US" w:eastAsia="zh-CN"/>
              </w:rPr>
              <w:t>针对</w:t>
            </w:r>
            <w:r>
              <w:rPr>
                <w:rFonts w:hint="eastAsia" w:ascii="仿宋" w:hAnsi="仿宋" w:eastAsia="仿宋" w:cs="仿宋"/>
                <w:b w:val="0"/>
                <w:bCs w:val="0"/>
                <w:spacing w:val="-1"/>
                <w:sz w:val="24"/>
                <w:szCs w:val="24"/>
                <w:highlight w:val="none"/>
              </w:rPr>
              <w:t>出现突发情况的应急保障</w:t>
            </w:r>
            <w:r>
              <w:rPr>
                <w:rFonts w:hint="eastAsia" w:ascii="仿宋" w:hAnsi="仿宋" w:eastAsia="仿宋" w:cs="仿宋"/>
                <w:b w:val="0"/>
                <w:bCs w:val="0"/>
                <w:spacing w:val="-1"/>
                <w:sz w:val="24"/>
                <w:szCs w:val="24"/>
                <w:highlight w:val="none"/>
                <w:lang w:eastAsia="zh-CN"/>
              </w:rPr>
              <w:t>、</w:t>
            </w:r>
            <w:r>
              <w:rPr>
                <w:rFonts w:hint="eastAsia" w:ascii="仿宋" w:hAnsi="仿宋" w:eastAsia="仿宋" w:cs="仿宋"/>
                <w:b w:val="0"/>
                <w:bCs w:val="0"/>
                <w:spacing w:val="-1"/>
                <w:sz w:val="24"/>
                <w:szCs w:val="24"/>
                <w:highlight w:val="none"/>
                <w:lang w:val="en-US" w:eastAsia="zh-CN"/>
              </w:rPr>
              <w:t>应急演练、服务监督</w:t>
            </w:r>
            <w:r>
              <w:rPr>
                <w:rFonts w:hint="eastAsia" w:ascii="仿宋" w:hAnsi="仿宋" w:eastAsia="仿宋" w:cs="仿宋"/>
                <w:b w:val="0"/>
                <w:bCs w:val="0"/>
                <w:spacing w:val="-1"/>
                <w:sz w:val="24"/>
                <w:szCs w:val="24"/>
                <w:highlight w:val="none"/>
              </w:rPr>
              <w:t>等</w:t>
            </w:r>
            <w:r>
              <w:rPr>
                <w:rFonts w:hint="eastAsia" w:ascii="仿宋" w:hAnsi="仿宋" w:eastAsia="仿宋" w:cs="仿宋"/>
                <w:b w:val="0"/>
                <w:bCs w:val="0"/>
                <w:spacing w:val="-1"/>
                <w:sz w:val="24"/>
                <w:szCs w:val="24"/>
                <w:highlight w:val="none"/>
                <w:lang w:eastAsia="zh-CN"/>
              </w:rPr>
              <w:t>。</w:t>
            </w:r>
          </w:p>
          <w:p w14:paraId="4FB1E0B5">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kern w:val="2"/>
                <w:sz w:val="24"/>
                <w:szCs w:val="24"/>
                <w:highlight w:val="none"/>
                <w:lang w:val="en-US" w:eastAsia="en-US" w:bidi="ar-SA"/>
              </w:rPr>
              <w:t>（1）</w:t>
            </w:r>
            <w:r>
              <w:rPr>
                <w:rFonts w:hint="eastAsia" w:ascii="仿宋" w:hAnsi="仿宋" w:eastAsia="仿宋" w:cs="仿宋"/>
                <w:b w:val="0"/>
                <w:bCs w:val="0"/>
                <w:spacing w:val="-1"/>
                <w:sz w:val="24"/>
                <w:szCs w:val="24"/>
                <w:highlight w:val="none"/>
                <w:lang w:val="en-US" w:eastAsia="zh-CN"/>
              </w:rPr>
              <w:t>故障响应和处置及时，突发情况有详细的应急保障措施，应急演练方案完整，可执行度高，</w:t>
            </w:r>
            <w:r>
              <w:rPr>
                <w:rFonts w:hint="eastAsia" w:ascii="仿宋" w:hAnsi="仿宋" w:eastAsia="仿宋" w:cs="仿宋"/>
                <w:b w:val="0"/>
                <w:bCs w:val="0"/>
                <w:spacing w:val="-1"/>
                <w:sz w:val="24"/>
                <w:szCs w:val="24"/>
                <w:highlight w:val="none"/>
              </w:rPr>
              <w:t>得</w:t>
            </w:r>
            <w:r>
              <w:rPr>
                <w:rFonts w:hint="eastAsia" w:ascii="仿宋" w:hAnsi="仿宋" w:eastAsia="仿宋" w:cs="仿宋"/>
                <w:b w:val="0"/>
                <w:bCs w:val="0"/>
                <w:spacing w:val="-1"/>
                <w:sz w:val="24"/>
                <w:szCs w:val="24"/>
                <w:highlight w:val="none"/>
                <w:lang w:val="en-US" w:eastAsia="zh-CN"/>
              </w:rPr>
              <w:t>6</w:t>
            </w:r>
            <w:r>
              <w:rPr>
                <w:rFonts w:hint="eastAsia" w:ascii="仿宋" w:hAnsi="仿宋" w:eastAsia="仿宋" w:cs="仿宋"/>
                <w:b w:val="0"/>
                <w:bCs w:val="0"/>
                <w:spacing w:val="-1"/>
                <w:sz w:val="24"/>
                <w:szCs w:val="24"/>
                <w:highlight w:val="none"/>
              </w:rPr>
              <w:t>分；</w:t>
            </w:r>
          </w:p>
          <w:p w14:paraId="0CE7543A">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105" w:rightChars="50"/>
              <w:textAlignment w:val="auto"/>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sz w:val="24"/>
                <w:szCs w:val="24"/>
                <w:highlight w:val="none"/>
              </w:rPr>
              <w:t>（2）</w:t>
            </w:r>
            <w:r>
              <w:rPr>
                <w:rFonts w:hint="eastAsia" w:ascii="仿宋" w:hAnsi="仿宋" w:eastAsia="仿宋" w:cs="仿宋"/>
                <w:b w:val="0"/>
                <w:bCs w:val="0"/>
                <w:spacing w:val="-1"/>
                <w:sz w:val="24"/>
                <w:szCs w:val="24"/>
                <w:highlight w:val="none"/>
                <w:lang w:eastAsia="zh-CN"/>
              </w:rPr>
              <w:t>故障</w:t>
            </w:r>
            <w:r>
              <w:rPr>
                <w:rFonts w:hint="eastAsia" w:ascii="仿宋" w:hAnsi="仿宋" w:eastAsia="仿宋" w:cs="仿宋"/>
                <w:b w:val="0"/>
                <w:bCs w:val="0"/>
                <w:spacing w:val="-1"/>
                <w:sz w:val="24"/>
                <w:szCs w:val="24"/>
                <w:highlight w:val="none"/>
                <w:lang w:val="en-US" w:eastAsia="zh-CN"/>
              </w:rPr>
              <w:t>响应和处置以及应急保障措施</w:t>
            </w:r>
            <w:r>
              <w:rPr>
                <w:rFonts w:hint="eastAsia" w:ascii="仿宋" w:hAnsi="仿宋" w:eastAsia="仿宋" w:cs="仿宋"/>
                <w:b w:val="0"/>
                <w:bCs w:val="0"/>
                <w:spacing w:val="-1"/>
                <w:sz w:val="24"/>
                <w:szCs w:val="24"/>
                <w:highlight w:val="none"/>
              </w:rPr>
              <w:t>有针对性</w:t>
            </w:r>
            <w:r>
              <w:rPr>
                <w:rFonts w:hint="eastAsia" w:ascii="仿宋" w:hAnsi="仿宋" w:eastAsia="仿宋" w:cs="仿宋"/>
                <w:b w:val="0"/>
                <w:bCs w:val="0"/>
                <w:spacing w:val="-1"/>
                <w:sz w:val="24"/>
                <w:szCs w:val="24"/>
                <w:highlight w:val="none"/>
                <w:lang w:eastAsia="zh-CN"/>
              </w:rPr>
              <w:t>，</w:t>
            </w:r>
            <w:r>
              <w:rPr>
                <w:rFonts w:hint="eastAsia" w:ascii="仿宋" w:hAnsi="仿宋" w:eastAsia="仿宋" w:cs="仿宋"/>
                <w:b w:val="0"/>
                <w:bCs w:val="0"/>
                <w:spacing w:val="-1"/>
                <w:sz w:val="24"/>
                <w:szCs w:val="24"/>
                <w:highlight w:val="none"/>
                <w:lang w:val="en-US" w:eastAsia="zh-CN"/>
              </w:rPr>
              <w:t>应急演练方案完整性一般</w:t>
            </w:r>
            <w:r>
              <w:rPr>
                <w:rFonts w:hint="eastAsia" w:ascii="仿宋" w:hAnsi="仿宋" w:eastAsia="仿宋" w:cs="仿宋"/>
                <w:b w:val="0"/>
                <w:bCs w:val="0"/>
                <w:spacing w:val="-1"/>
                <w:sz w:val="24"/>
                <w:szCs w:val="24"/>
                <w:highlight w:val="none"/>
              </w:rPr>
              <w:t>，得</w:t>
            </w:r>
            <w:r>
              <w:rPr>
                <w:rFonts w:hint="eastAsia" w:ascii="仿宋" w:hAnsi="仿宋" w:eastAsia="仿宋" w:cs="仿宋"/>
                <w:b w:val="0"/>
                <w:bCs w:val="0"/>
                <w:spacing w:val="-1"/>
                <w:sz w:val="24"/>
                <w:szCs w:val="24"/>
                <w:highlight w:val="none"/>
                <w:lang w:val="en-US" w:eastAsia="zh-CN"/>
              </w:rPr>
              <w:t>3</w:t>
            </w:r>
            <w:r>
              <w:rPr>
                <w:rFonts w:hint="eastAsia" w:ascii="仿宋" w:hAnsi="仿宋" w:eastAsia="仿宋" w:cs="仿宋"/>
                <w:b w:val="0"/>
                <w:bCs w:val="0"/>
                <w:spacing w:val="-1"/>
                <w:sz w:val="24"/>
                <w:szCs w:val="24"/>
                <w:highlight w:val="none"/>
              </w:rPr>
              <w:t>分；</w:t>
            </w:r>
          </w:p>
          <w:p w14:paraId="01BDF480">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sz w:val="24"/>
                <w:szCs w:val="24"/>
                <w:highlight w:val="none"/>
              </w:rPr>
              <w:t>（3）</w:t>
            </w:r>
            <w:r>
              <w:rPr>
                <w:rFonts w:hint="eastAsia" w:ascii="仿宋" w:hAnsi="仿宋" w:eastAsia="仿宋" w:cs="仿宋"/>
                <w:b w:val="0"/>
                <w:bCs w:val="0"/>
                <w:spacing w:val="-1"/>
                <w:sz w:val="24"/>
                <w:szCs w:val="24"/>
                <w:highlight w:val="none"/>
                <w:lang w:eastAsia="zh-CN"/>
              </w:rPr>
              <w:t>故障</w:t>
            </w:r>
            <w:r>
              <w:rPr>
                <w:rFonts w:hint="eastAsia" w:ascii="仿宋" w:hAnsi="仿宋" w:eastAsia="仿宋" w:cs="仿宋"/>
                <w:b w:val="0"/>
                <w:bCs w:val="0"/>
                <w:spacing w:val="-1"/>
                <w:sz w:val="24"/>
                <w:szCs w:val="24"/>
                <w:highlight w:val="none"/>
                <w:lang w:val="en-US" w:eastAsia="zh-CN"/>
              </w:rPr>
              <w:t>响应和处置以及应急保障措施简单</w:t>
            </w:r>
            <w:r>
              <w:rPr>
                <w:rFonts w:hint="eastAsia" w:ascii="仿宋" w:hAnsi="仿宋" w:eastAsia="仿宋" w:cs="仿宋"/>
                <w:b w:val="0"/>
                <w:bCs w:val="0"/>
                <w:spacing w:val="-1"/>
                <w:sz w:val="24"/>
                <w:szCs w:val="24"/>
                <w:highlight w:val="none"/>
                <w:lang w:eastAsia="zh-CN"/>
              </w:rPr>
              <w:t>，</w:t>
            </w:r>
            <w:r>
              <w:rPr>
                <w:rFonts w:hint="eastAsia" w:ascii="仿宋" w:hAnsi="仿宋" w:eastAsia="仿宋" w:cs="仿宋"/>
                <w:b w:val="0"/>
                <w:bCs w:val="0"/>
                <w:spacing w:val="-1"/>
                <w:sz w:val="24"/>
                <w:szCs w:val="24"/>
                <w:highlight w:val="none"/>
                <w:lang w:val="en-US" w:eastAsia="zh-CN"/>
              </w:rPr>
              <w:t>应急演练方案不完整</w:t>
            </w:r>
            <w:r>
              <w:rPr>
                <w:rFonts w:hint="eastAsia" w:ascii="仿宋" w:hAnsi="仿宋" w:eastAsia="仿宋" w:cs="仿宋"/>
                <w:b w:val="0"/>
                <w:bCs w:val="0"/>
                <w:spacing w:val="-1"/>
                <w:sz w:val="24"/>
                <w:szCs w:val="24"/>
                <w:highlight w:val="none"/>
              </w:rPr>
              <w:t>，得1分。</w:t>
            </w:r>
          </w:p>
          <w:p w14:paraId="781973BB">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b w:val="0"/>
                <w:bCs w:val="0"/>
                <w:spacing w:val="-3"/>
                <w:kern w:val="2"/>
                <w:sz w:val="24"/>
                <w:szCs w:val="24"/>
                <w:highlight w:val="none"/>
                <w:lang w:val="en-US" w:eastAsia="zh-CN" w:bidi="ar-SA"/>
              </w:rPr>
            </w:pPr>
            <w:r>
              <w:rPr>
                <w:rFonts w:hint="eastAsia" w:ascii="仿宋" w:hAnsi="仿宋" w:eastAsia="仿宋" w:cs="仿宋"/>
                <w:b w:val="0"/>
                <w:bCs w:val="0"/>
                <w:spacing w:val="-1"/>
                <w:sz w:val="24"/>
                <w:szCs w:val="24"/>
                <w:highlight w:val="none"/>
                <w:lang w:eastAsia="zh-CN"/>
              </w:rPr>
              <w:t>未提供或内容无关的不得分。</w:t>
            </w:r>
          </w:p>
        </w:tc>
        <w:tc>
          <w:tcPr>
            <w:tcW w:w="1375" w:type="dxa"/>
            <w:shd w:val="clear" w:color="auto" w:fill="auto"/>
            <w:vAlign w:val="center"/>
          </w:tcPr>
          <w:p w14:paraId="39C59622">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z w:val="24"/>
                <w:szCs w:val="24"/>
                <w:highlight w:val="none"/>
              </w:rPr>
            </w:pPr>
          </w:p>
          <w:p w14:paraId="4F82C1FC">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6</w:t>
            </w:r>
          </w:p>
        </w:tc>
      </w:tr>
      <w:tr w14:paraId="435B1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jc w:val="center"/>
        </w:trPr>
        <w:tc>
          <w:tcPr>
            <w:tcW w:w="1076" w:type="dxa"/>
            <w:shd w:val="clear" w:color="auto" w:fill="auto"/>
            <w:vAlign w:val="center"/>
          </w:tcPr>
          <w:p w14:paraId="1A62014C">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b w:val="0"/>
                <w:bCs w:val="0"/>
                <w:spacing w:val="-2"/>
                <w:sz w:val="24"/>
                <w:szCs w:val="24"/>
                <w:highlight w:val="none"/>
                <w:lang w:val="en-US" w:eastAsia="zh-CN"/>
              </w:rPr>
            </w:pPr>
            <w:r>
              <w:rPr>
                <w:rFonts w:hint="eastAsia" w:ascii="仿宋" w:hAnsi="仿宋" w:eastAsia="仿宋" w:cs="仿宋"/>
                <w:b w:val="0"/>
                <w:bCs w:val="0"/>
                <w:spacing w:val="-2"/>
                <w:sz w:val="24"/>
                <w:szCs w:val="24"/>
                <w:highlight w:val="none"/>
                <w:lang w:val="en-US" w:eastAsia="zh-CN"/>
              </w:rPr>
              <w:t>履约</w:t>
            </w:r>
          </w:p>
          <w:p w14:paraId="284577F5">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仿宋" w:hAnsi="仿宋" w:eastAsia="仿宋" w:cs="仿宋"/>
                <w:b w:val="0"/>
                <w:bCs w:val="0"/>
                <w:spacing w:val="-2"/>
                <w:sz w:val="24"/>
                <w:szCs w:val="24"/>
                <w:highlight w:val="none"/>
                <w:lang w:val="en-US" w:eastAsia="zh-CN"/>
              </w:rPr>
            </w:pPr>
            <w:r>
              <w:rPr>
                <w:rFonts w:hint="eastAsia" w:ascii="仿宋" w:hAnsi="仿宋" w:eastAsia="仿宋" w:cs="仿宋"/>
                <w:b w:val="0"/>
                <w:bCs w:val="0"/>
                <w:spacing w:val="-2"/>
                <w:sz w:val="24"/>
                <w:szCs w:val="24"/>
                <w:highlight w:val="none"/>
                <w:lang w:val="en-US" w:eastAsia="zh-CN"/>
              </w:rPr>
              <w:t>能力</w:t>
            </w:r>
          </w:p>
        </w:tc>
        <w:tc>
          <w:tcPr>
            <w:tcW w:w="6728" w:type="dxa"/>
            <w:shd w:val="clear" w:color="auto" w:fill="auto"/>
            <w:vAlign w:val="top"/>
          </w:tcPr>
          <w:p w14:paraId="0D3DF427">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105" w:rightChars="50"/>
              <w:textAlignment w:val="auto"/>
              <w:rPr>
                <w:rFonts w:hint="eastAsia" w:ascii="仿宋" w:hAnsi="仿宋" w:eastAsia="仿宋" w:cs="仿宋"/>
                <w:b w:val="0"/>
                <w:bCs w:val="0"/>
                <w:spacing w:val="-1"/>
                <w:sz w:val="24"/>
                <w:szCs w:val="24"/>
                <w:highlight w:val="none"/>
                <w:lang w:val="en-US" w:eastAsia="zh-CN"/>
              </w:rPr>
            </w:pPr>
            <w:bookmarkStart w:id="17" w:name="OLE_LINK4"/>
            <w:r>
              <w:rPr>
                <w:rFonts w:hint="eastAsia" w:ascii="仿宋" w:hAnsi="仿宋" w:eastAsia="仿宋" w:cs="仿宋"/>
                <w:b w:val="0"/>
                <w:bCs w:val="0"/>
                <w:spacing w:val="-1"/>
                <w:sz w:val="24"/>
                <w:szCs w:val="24"/>
                <w:highlight w:val="none"/>
                <w:lang w:val="en-US" w:eastAsia="zh-CN"/>
              </w:rPr>
              <w:t>供应商能够提供UPS主机生产厂家出具的相关合作证明材料（证明材料：包括但不限于原厂授权、合作协议等）提供施耐德的得3分，提供伊顿的得2分。</w:t>
            </w:r>
          </w:p>
          <w:bookmarkEnd w:id="17"/>
          <w:p w14:paraId="5E9B5F45">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b w:val="0"/>
                <w:bCs w:val="0"/>
                <w:spacing w:val="-1"/>
                <w:sz w:val="24"/>
                <w:szCs w:val="24"/>
                <w:highlight w:val="none"/>
                <w:lang w:eastAsia="zh-CN"/>
              </w:rPr>
            </w:pPr>
            <w:r>
              <w:rPr>
                <w:rFonts w:hint="eastAsia" w:ascii="仿宋" w:hAnsi="仿宋" w:eastAsia="仿宋" w:cs="仿宋"/>
                <w:b w:val="0"/>
                <w:bCs w:val="0"/>
                <w:spacing w:val="-1"/>
                <w:sz w:val="24"/>
                <w:szCs w:val="24"/>
                <w:highlight w:val="none"/>
                <w:lang w:val="en-US" w:eastAsia="zh-CN"/>
              </w:rPr>
              <w:t>未提供的不得分。</w:t>
            </w:r>
          </w:p>
        </w:tc>
        <w:tc>
          <w:tcPr>
            <w:tcW w:w="1375" w:type="dxa"/>
            <w:shd w:val="clear" w:color="auto" w:fill="auto"/>
            <w:vAlign w:val="center"/>
          </w:tcPr>
          <w:p w14:paraId="3C364DCD">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r>
      <w:tr w14:paraId="514F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jc w:val="center"/>
        </w:trPr>
        <w:tc>
          <w:tcPr>
            <w:tcW w:w="1076" w:type="dxa"/>
            <w:shd w:val="clear" w:color="auto" w:fill="auto"/>
            <w:vAlign w:val="center"/>
          </w:tcPr>
          <w:p w14:paraId="384C4859">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备品</w:t>
            </w:r>
          </w:p>
          <w:p w14:paraId="53CA202E">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3"/>
                <w:kern w:val="2"/>
                <w:sz w:val="24"/>
                <w:szCs w:val="24"/>
                <w:highlight w:val="none"/>
                <w:lang w:val="en-US" w:eastAsia="en-US" w:bidi="ar-SA"/>
              </w:rPr>
            </w:pPr>
            <w:r>
              <w:rPr>
                <w:rFonts w:hint="eastAsia" w:ascii="仿宋" w:hAnsi="仿宋" w:eastAsia="仿宋" w:cs="仿宋"/>
                <w:spacing w:val="-2"/>
                <w:sz w:val="24"/>
                <w:szCs w:val="24"/>
                <w:highlight w:val="none"/>
              </w:rPr>
              <w:t>备件</w:t>
            </w:r>
          </w:p>
        </w:tc>
        <w:tc>
          <w:tcPr>
            <w:tcW w:w="6728" w:type="dxa"/>
            <w:shd w:val="clear" w:color="auto" w:fill="auto"/>
            <w:vAlign w:val="top"/>
          </w:tcPr>
          <w:p w14:paraId="2BDE5292">
            <w:pPr>
              <w:pStyle w:val="21"/>
              <w:keepNext w:val="0"/>
              <w:keepLines w:val="0"/>
              <w:pageBreakBefore w:val="0"/>
              <w:widowControl w:val="0"/>
              <w:kinsoku/>
              <w:wordWrap/>
              <w:overflowPunct/>
              <w:topLinePunct w:val="0"/>
              <w:autoSpaceDE/>
              <w:autoSpaceDN/>
              <w:bidi w:val="0"/>
              <w:adjustRightInd w:val="0"/>
              <w:snapToGrid w:val="0"/>
              <w:spacing w:line="240" w:lineRule="auto"/>
              <w:ind w:left="109" w:leftChars="50" w:right="105" w:rightChars="50" w:hanging="4"/>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针对本项目具有完整的备品备件库，具备24小时内提供备件支持的能力，响应文件中请明</w:t>
            </w:r>
            <w:r>
              <w:rPr>
                <w:rFonts w:hint="eastAsia" w:ascii="仿宋" w:hAnsi="仿宋" w:eastAsia="仿宋" w:cs="仿宋"/>
                <w:spacing w:val="-4"/>
                <w:sz w:val="24"/>
                <w:szCs w:val="24"/>
                <w:highlight w:val="none"/>
              </w:rPr>
              <w:t>确备件清单和对应备件的产品清单：</w:t>
            </w:r>
          </w:p>
          <w:p w14:paraId="7774DA72">
            <w:pPr>
              <w:pStyle w:val="21"/>
              <w:keepNext w:val="0"/>
              <w:keepLines w:val="0"/>
              <w:pageBreakBefore w:val="0"/>
              <w:widowControl w:val="0"/>
              <w:kinsoku/>
              <w:wordWrap/>
              <w:overflowPunct/>
              <w:topLinePunct w:val="0"/>
              <w:autoSpaceDE/>
              <w:autoSpaceDN/>
              <w:bidi w:val="0"/>
              <w:adjustRightInd w:val="0"/>
              <w:snapToGrid w:val="0"/>
              <w:spacing w:line="240" w:lineRule="auto"/>
              <w:ind w:left="117" w:leftChars="50" w:right="105" w:rightChars="50" w:hanging="12"/>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（1）备品备件库数量充足，</w:t>
            </w:r>
            <w:r>
              <w:rPr>
                <w:rFonts w:hint="eastAsia" w:ascii="仿宋" w:hAnsi="仿宋" w:eastAsia="仿宋" w:cs="仿宋"/>
                <w:spacing w:val="-1"/>
                <w:sz w:val="24"/>
                <w:szCs w:val="24"/>
                <w:highlight w:val="none"/>
                <w:lang w:val="en-US" w:eastAsia="zh-CN"/>
              </w:rPr>
              <w:t>种类分布均匀合理，</w:t>
            </w:r>
            <w:r>
              <w:rPr>
                <w:rFonts w:hint="eastAsia" w:ascii="仿宋" w:hAnsi="仿宋" w:eastAsia="仿宋" w:cs="仿宋"/>
                <w:spacing w:val="-1"/>
                <w:sz w:val="24"/>
                <w:szCs w:val="24"/>
                <w:highlight w:val="none"/>
              </w:rPr>
              <w:t>能够充分满足本</w:t>
            </w:r>
            <w:r>
              <w:rPr>
                <w:rFonts w:hint="eastAsia" w:ascii="仿宋" w:hAnsi="仿宋" w:eastAsia="仿宋" w:cs="仿宋"/>
                <w:spacing w:val="-6"/>
                <w:sz w:val="24"/>
                <w:szCs w:val="24"/>
                <w:highlight w:val="none"/>
                <w:lang w:val="en-US" w:eastAsia="zh-CN"/>
              </w:rPr>
              <w:t>项目</w:t>
            </w:r>
            <w:r>
              <w:rPr>
                <w:rFonts w:hint="eastAsia" w:ascii="仿宋" w:hAnsi="仿宋" w:eastAsia="仿宋" w:cs="仿宋"/>
                <w:spacing w:val="-6"/>
                <w:sz w:val="24"/>
                <w:szCs w:val="24"/>
                <w:highlight w:val="none"/>
              </w:rPr>
              <w:t>要求，得</w:t>
            </w:r>
            <w:r>
              <w:rPr>
                <w:rFonts w:hint="eastAsia" w:ascii="仿宋" w:hAnsi="仿宋" w:eastAsia="仿宋" w:cs="仿宋"/>
                <w:spacing w:val="-6"/>
                <w:sz w:val="24"/>
                <w:szCs w:val="24"/>
                <w:highlight w:val="none"/>
                <w:lang w:val="en-US" w:eastAsia="zh-CN"/>
              </w:rPr>
              <w:t>5</w:t>
            </w:r>
            <w:r>
              <w:rPr>
                <w:rFonts w:hint="eastAsia" w:ascii="仿宋" w:hAnsi="仿宋" w:eastAsia="仿宋" w:cs="仿宋"/>
                <w:spacing w:val="-6"/>
                <w:sz w:val="24"/>
                <w:szCs w:val="24"/>
                <w:highlight w:val="none"/>
              </w:rPr>
              <w:t>分；</w:t>
            </w:r>
          </w:p>
          <w:p w14:paraId="59D732D7">
            <w:pPr>
              <w:pStyle w:val="21"/>
              <w:keepNext w:val="0"/>
              <w:keepLines w:val="0"/>
              <w:pageBreakBefore w:val="0"/>
              <w:widowControl w:val="0"/>
              <w:kinsoku/>
              <w:wordWrap/>
              <w:overflowPunct/>
              <w:topLinePunct w:val="0"/>
              <w:autoSpaceDE/>
              <w:autoSpaceDN/>
              <w:bidi w:val="0"/>
              <w:adjustRightInd w:val="0"/>
              <w:snapToGrid w:val="0"/>
              <w:spacing w:line="240" w:lineRule="auto"/>
              <w:ind w:left="114" w:leftChars="50" w:right="105" w:rightChars="50" w:hanging="9"/>
              <w:textAlignment w:val="auto"/>
              <w:rPr>
                <w:rFonts w:hint="eastAsia" w:ascii="仿宋" w:hAnsi="仿宋" w:eastAsia="仿宋" w:cs="仿宋"/>
                <w:spacing w:val="-6"/>
                <w:sz w:val="24"/>
                <w:szCs w:val="24"/>
                <w:highlight w:val="none"/>
              </w:rPr>
            </w:pPr>
            <w:r>
              <w:rPr>
                <w:rFonts w:hint="eastAsia" w:ascii="仿宋" w:hAnsi="仿宋" w:eastAsia="仿宋" w:cs="仿宋"/>
                <w:spacing w:val="-2"/>
                <w:sz w:val="24"/>
                <w:szCs w:val="24"/>
                <w:highlight w:val="none"/>
              </w:rPr>
              <w:t>（2）备品备件库数量较</w:t>
            </w:r>
            <w:r>
              <w:rPr>
                <w:rFonts w:hint="eastAsia" w:ascii="仿宋" w:hAnsi="仿宋" w:eastAsia="仿宋" w:cs="仿宋"/>
                <w:spacing w:val="-2"/>
                <w:sz w:val="24"/>
                <w:szCs w:val="24"/>
                <w:highlight w:val="none"/>
                <w:lang w:val="en-US" w:eastAsia="zh-CN"/>
              </w:rPr>
              <w:t>为</w:t>
            </w:r>
            <w:r>
              <w:rPr>
                <w:rFonts w:hint="eastAsia" w:ascii="仿宋" w:hAnsi="仿宋" w:eastAsia="仿宋" w:cs="仿宋"/>
                <w:spacing w:val="-2"/>
                <w:sz w:val="24"/>
                <w:szCs w:val="24"/>
                <w:highlight w:val="none"/>
              </w:rPr>
              <w:t>充足但</w:t>
            </w:r>
            <w:r>
              <w:rPr>
                <w:rFonts w:hint="eastAsia" w:ascii="仿宋" w:hAnsi="仿宋" w:eastAsia="仿宋" w:cs="仿宋"/>
                <w:spacing w:val="-2"/>
                <w:sz w:val="24"/>
                <w:szCs w:val="24"/>
                <w:highlight w:val="none"/>
                <w:lang w:val="en-US" w:eastAsia="zh-CN"/>
              </w:rPr>
              <w:t>类型欠缺</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val="en-US" w:eastAsia="zh-CN"/>
              </w:rPr>
              <w:t>可能</w:t>
            </w:r>
            <w:r>
              <w:rPr>
                <w:rFonts w:hint="eastAsia" w:ascii="仿宋" w:hAnsi="仿宋" w:eastAsia="仿宋" w:cs="仿宋"/>
                <w:spacing w:val="-2"/>
                <w:sz w:val="24"/>
                <w:szCs w:val="24"/>
                <w:highlight w:val="none"/>
              </w:rPr>
              <w:t>影响到</w:t>
            </w:r>
            <w:r>
              <w:rPr>
                <w:rFonts w:hint="eastAsia" w:ascii="仿宋" w:hAnsi="仿宋" w:eastAsia="仿宋" w:cs="仿宋"/>
                <w:spacing w:val="-6"/>
                <w:sz w:val="24"/>
                <w:szCs w:val="24"/>
                <w:highlight w:val="none"/>
              </w:rPr>
              <w:t>项目实施的，得</w:t>
            </w:r>
            <w:r>
              <w:rPr>
                <w:rFonts w:hint="eastAsia" w:ascii="仿宋" w:hAnsi="仿宋" w:eastAsia="仿宋" w:cs="仿宋"/>
                <w:spacing w:val="-6"/>
                <w:sz w:val="24"/>
                <w:szCs w:val="24"/>
                <w:highlight w:val="none"/>
                <w:lang w:val="en-US" w:eastAsia="zh-CN"/>
              </w:rPr>
              <w:t>2</w:t>
            </w:r>
            <w:r>
              <w:rPr>
                <w:rFonts w:hint="eastAsia" w:ascii="仿宋" w:hAnsi="仿宋" w:eastAsia="仿宋" w:cs="仿宋"/>
                <w:spacing w:val="-6"/>
                <w:sz w:val="24"/>
                <w:szCs w:val="24"/>
                <w:highlight w:val="none"/>
              </w:rPr>
              <w:t>分；</w:t>
            </w:r>
          </w:p>
          <w:p w14:paraId="64C333FF">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kern w:val="2"/>
                <w:sz w:val="24"/>
                <w:szCs w:val="24"/>
                <w:highlight w:val="none"/>
                <w:lang w:val="en-US" w:eastAsia="zh-CN" w:bidi="ar-SA"/>
              </w:rPr>
            </w:pPr>
            <w:r>
              <w:rPr>
                <w:rFonts w:hint="eastAsia" w:ascii="仿宋" w:hAnsi="仿宋" w:eastAsia="仿宋" w:cs="仿宋"/>
                <w:spacing w:val="-1"/>
                <w:sz w:val="24"/>
                <w:szCs w:val="24"/>
                <w:highlight w:val="none"/>
                <w:lang w:eastAsia="zh-CN"/>
              </w:rPr>
              <w:t>未提供或内容无关的不得分。</w:t>
            </w:r>
          </w:p>
        </w:tc>
        <w:tc>
          <w:tcPr>
            <w:tcW w:w="1375" w:type="dxa"/>
            <w:shd w:val="clear" w:color="auto" w:fill="auto"/>
            <w:vAlign w:val="center"/>
          </w:tcPr>
          <w:p w14:paraId="584CE087">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z w:val="24"/>
                <w:szCs w:val="24"/>
                <w:highlight w:val="none"/>
              </w:rPr>
            </w:pPr>
          </w:p>
          <w:p w14:paraId="42FEA217">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5</w:t>
            </w:r>
          </w:p>
        </w:tc>
      </w:tr>
      <w:tr w14:paraId="2196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4" w:hRule="atLeast"/>
          <w:jc w:val="center"/>
        </w:trPr>
        <w:tc>
          <w:tcPr>
            <w:tcW w:w="1076" w:type="dxa"/>
            <w:shd w:val="clear" w:color="auto" w:fill="auto"/>
            <w:vAlign w:val="center"/>
          </w:tcPr>
          <w:p w14:paraId="1270DC37">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2"/>
                <w:kern w:val="2"/>
                <w:sz w:val="24"/>
                <w:szCs w:val="24"/>
                <w:highlight w:val="none"/>
                <w:lang w:val="en-US" w:eastAsia="en-US" w:bidi="ar-SA"/>
              </w:rPr>
            </w:pPr>
            <w:r>
              <w:rPr>
                <w:rFonts w:hint="eastAsia" w:ascii="仿宋" w:hAnsi="仿宋" w:eastAsia="仿宋" w:cs="仿宋"/>
                <w:spacing w:val="-2"/>
                <w:sz w:val="24"/>
                <w:szCs w:val="24"/>
                <w:highlight w:val="none"/>
              </w:rPr>
              <w:t>售后服务方案</w:t>
            </w:r>
          </w:p>
        </w:tc>
        <w:tc>
          <w:tcPr>
            <w:tcW w:w="6728" w:type="dxa"/>
            <w:shd w:val="clear" w:color="auto" w:fill="auto"/>
            <w:vAlign w:val="top"/>
          </w:tcPr>
          <w:p w14:paraId="19DC1FEA">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供应商针对本项目提供详细具体可行的售后服务方案：</w:t>
            </w:r>
          </w:p>
          <w:p w14:paraId="250755D4">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（1）方案完整详细、描述清晰、内容科学合理、可实施性强的，得</w:t>
            </w:r>
            <w:r>
              <w:rPr>
                <w:rFonts w:hint="eastAsia" w:ascii="仿宋" w:hAnsi="仿宋" w:eastAsia="仿宋" w:cs="仿宋"/>
                <w:spacing w:val="3"/>
                <w:sz w:val="24"/>
                <w:szCs w:val="24"/>
                <w:highlight w:val="none"/>
                <w:lang w:val="en-US" w:eastAsia="zh-CN"/>
              </w:rPr>
              <w:t>6</w:t>
            </w:r>
            <w:r>
              <w:rPr>
                <w:rFonts w:hint="eastAsia" w:ascii="仿宋" w:hAnsi="仿宋" w:eastAsia="仿宋" w:cs="仿宋"/>
                <w:spacing w:val="3"/>
                <w:sz w:val="24"/>
                <w:szCs w:val="24"/>
                <w:highlight w:val="none"/>
              </w:rPr>
              <w:t>分。</w:t>
            </w:r>
          </w:p>
          <w:p w14:paraId="2A40DE5E">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（2）方案较完整但简单、内容合理性及可实施性一般的，得</w:t>
            </w:r>
            <w:r>
              <w:rPr>
                <w:rFonts w:hint="eastAsia" w:ascii="仿宋" w:hAnsi="仿宋" w:eastAsia="仿宋" w:cs="仿宋"/>
                <w:spacing w:val="3"/>
                <w:sz w:val="24"/>
                <w:szCs w:val="24"/>
                <w:highlight w:val="none"/>
                <w:lang w:val="en-US" w:eastAsia="zh-CN"/>
              </w:rPr>
              <w:t>3</w:t>
            </w:r>
            <w:r>
              <w:rPr>
                <w:rFonts w:hint="eastAsia" w:ascii="仿宋" w:hAnsi="仿宋" w:eastAsia="仿宋" w:cs="仿宋"/>
                <w:spacing w:val="3"/>
                <w:sz w:val="24"/>
                <w:szCs w:val="24"/>
                <w:highlight w:val="none"/>
              </w:rPr>
              <w:t>分。</w:t>
            </w:r>
          </w:p>
          <w:p w14:paraId="1162B2AB">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（3）方案内容</w:t>
            </w:r>
            <w:r>
              <w:rPr>
                <w:rFonts w:hint="eastAsia" w:ascii="仿宋" w:hAnsi="仿宋" w:eastAsia="仿宋" w:cs="仿宋"/>
                <w:spacing w:val="3"/>
                <w:sz w:val="24"/>
                <w:szCs w:val="24"/>
                <w:highlight w:val="none"/>
                <w:lang w:val="en-US" w:eastAsia="zh-CN"/>
              </w:rPr>
              <w:t>描述简单</w:t>
            </w:r>
            <w:r>
              <w:rPr>
                <w:rFonts w:hint="eastAsia"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实施性差</w:t>
            </w:r>
            <w:r>
              <w:rPr>
                <w:rFonts w:hint="eastAsia" w:ascii="仿宋" w:hAnsi="仿宋" w:eastAsia="仿宋" w:cs="仿宋"/>
                <w:spacing w:val="3"/>
                <w:sz w:val="24"/>
                <w:szCs w:val="24"/>
                <w:highlight w:val="none"/>
              </w:rPr>
              <w:t>，得</w:t>
            </w: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rPr>
              <w:t>分。</w:t>
            </w:r>
          </w:p>
          <w:p w14:paraId="1A8D2DEF">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4"/>
                <w:kern w:val="2"/>
                <w:sz w:val="24"/>
                <w:szCs w:val="24"/>
                <w:highlight w:val="none"/>
                <w:lang w:val="en-US" w:eastAsia="zh-CN" w:bidi="ar-SA"/>
              </w:rPr>
            </w:pPr>
            <w:r>
              <w:rPr>
                <w:rFonts w:hint="eastAsia" w:ascii="仿宋" w:hAnsi="仿宋" w:eastAsia="仿宋" w:cs="仿宋"/>
                <w:spacing w:val="-1"/>
                <w:sz w:val="24"/>
                <w:szCs w:val="24"/>
                <w:highlight w:val="none"/>
                <w:lang w:eastAsia="zh-CN"/>
              </w:rPr>
              <w:t>未提供或内容无关的不得分。</w:t>
            </w:r>
          </w:p>
        </w:tc>
        <w:tc>
          <w:tcPr>
            <w:tcW w:w="1375" w:type="dxa"/>
            <w:shd w:val="clear" w:color="auto" w:fill="auto"/>
            <w:vAlign w:val="center"/>
          </w:tcPr>
          <w:p w14:paraId="6878B18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z w:val="24"/>
                <w:szCs w:val="24"/>
                <w:highlight w:val="none"/>
              </w:rPr>
            </w:pPr>
          </w:p>
          <w:p w14:paraId="394E3305">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6</w:t>
            </w:r>
          </w:p>
        </w:tc>
      </w:tr>
      <w:tr w14:paraId="11C0E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076" w:type="dxa"/>
            <w:shd w:val="clear" w:color="auto" w:fill="auto"/>
            <w:vAlign w:val="center"/>
          </w:tcPr>
          <w:p w14:paraId="1701C746">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保密</w:t>
            </w:r>
          </w:p>
          <w:p w14:paraId="4B9192E8">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2"/>
                <w:kern w:val="2"/>
                <w:sz w:val="24"/>
                <w:szCs w:val="24"/>
                <w:highlight w:val="none"/>
                <w:lang w:val="en-US" w:eastAsia="zh-CN" w:bidi="ar-SA"/>
              </w:rPr>
            </w:pPr>
            <w:r>
              <w:rPr>
                <w:rFonts w:hint="eastAsia" w:ascii="仿宋" w:hAnsi="仿宋" w:eastAsia="仿宋" w:cs="仿宋"/>
                <w:spacing w:val="-1"/>
                <w:sz w:val="24"/>
                <w:szCs w:val="24"/>
                <w:highlight w:val="none"/>
              </w:rPr>
              <w:t>方案</w:t>
            </w:r>
          </w:p>
        </w:tc>
        <w:tc>
          <w:tcPr>
            <w:tcW w:w="6728" w:type="dxa"/>
            <w:shd w:val="clear" w:color="auto" w:fill="auto"/>
            <w:vAlign w:val="top"/>
          </w:tcPr>
          <w:p w14:paraId="4E101184">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供应商针对项目安全保密职责提供具体的保密方案：</w:t>
            </w:r>
          </w:p>
          <w:p w14:paraId="3EDEB264">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（1）保密方案内容详细完整，且利于项目实施的得</w:t>
            </w:r>
            <w:r>
              <w:rPr>
                <w:rFonts w:hint="eastAsia" w:ascii="仿宋" w:hAnsi="仿宋" w:eastAsia="仿宋" w:cs="仿宋"/>
                <w:spacing w:val="3"/>
                <w:sz w:val="24"/>
                <w:szCs w:val="24"/>
                <w:highlight w:val="none"/>
                <w:lang w:val="en-US" w:eastAsia="zh-CN"/>
              </w:rPr>
              <w:t>5</w:t>
            </w:r>
            <w:r>
              <w:rPr>
                <w:rFonts w:hint="eastAsia" w:ascii="仿宋" w:hAnsi="仿宋" w:eastAsia="仿宋" w:cs="仿宋"/>
                <w:spacing w:val="3"/>
                <w:sz w:val="24"/>
                <w:szCs w:val="24"/>
                <w:highlight w:val="none"/>
              </w:rPr>
              <w:t>分；</w:t>
            </w:r>
          </w:p>
          <w:p w14:paraId="35BCF569">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（2）保密方案内容满足本项目需求，不影响项目实施的得</w:t>
            </w:r>
            <w:r>
              <w:rPr>
                <w:rFonts w:hint="eastAsia" w:ascii="仿宋" w:hAnsi="仿宋" w:eastAsia="仿宋" w:cs="仿宋"/>
                <w:spacing w:val="3"/>
                <w:sz w:val="24"/>
                <w:szCs w:val="24"/>
                <w:highlight w:val="none"/>
                <w:lang w:val="en-US" w:eastAsia="zh-CN"/>
              </w:rPr>
              <w:t>3</w:t>
            </w:r>
            <w:r>
              <w:rPr>
                <w:rFonts w:hint="eastAsia" w:ascii="仿宋" w:hAnsi="仿宋" w:eastAsia="仿宋" w:cs="仿宋"/>
                <w:spacing w:val="3"/>
                <w:sz w:val="24"/>
                <w:szCs w:val="24"/>
                <w:highlight w:val="none"/>
              </w:rPr>
              <w:t xml:space="preserve"> 分；</w:t>
            </w:r>
          </w:p>
          <w:p w14:paraId="768BA2ED">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（3）保密方案内容有欠缺</w:t>
            </w:r>
            <w:r>
              <w:rPr>
                <w:rFonts w:hint="eastAsia" w:ascii="仿宋" w:hAnsi="仿宋" w:eastAsia="仿宋" w:cs="仿宋"/>
                <w:spacing w:val="3"/>
                <w:sz w:val="24"/>
                <w:szCs w:val="24"/>
                <w:highlight w:val="none"/>
                <w:lang w:val="en-US" w:eastAsia="zh-CN"/>
              </w:rPr>
              <w:t>或方案不缺实际</w:t>
            </w:r>
            <w:r>
              <w:rPr>
                <w:rFonts w:hint="eastAsia" w:ascii="仿宋" w:hAnsi="仿宋" w:eastAsia="仿宋" w:cs="仿宋"/>
                <w:spacing w:val="3"/>
                <w:sz w:val="24"/>
                <w:szCs w:val="24"/>
                <w:highlight w:val="none"/>
              </w:rPr>
              <w:t>得</w:t>
            </w: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rPr>
              <w:t xml:space="preserve"> 分；</w:t>
            </w:r>
          </w:p>
          <w:p w14:paraId="6A5CF413">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kern w:val="2"/>
                <w:sz w:val="24"/>
                <w:szCs w:val="24"/>
                <w:highlight w:val="none"/>
                <w:lang w:val="en-US" w:eastAsia="zh-CN" w:bidi="ar-SA"/>
              </w:rPr>
            </w:pPr>
            <w:r>
              <w:rPr>
                <w:rFonts w:hint="eastAsia" w:ascii="仿宋" w:hAnsi="仿宋" w:eastAsia="仿宋" w:cs="仿宋"/>
                <w:spacing w:val="-1"/>
                <w:sz w:val="24"/>
                <w:szCs w:val="24"/>
                <w:highlight w:val="none"/>
                <w:lang w:eastAsia="zh-CN"/>
              </w:rPr>
              <w:t>未提供或内容无关的不得分。</w:t>
            </w:r>
          </w:p>
        </w:tc>
        <w:tc>
          <w:tcPr>
            <w:tcW w:w="1375" w:type="dxa"/>
            <w:shd w:val="clear" w:color="auto" w:fill="auto"/>
            <w:vAlign w:val="center"/>
          </w:tcPr>
          <w:p w14:paraId="6CDD4F0C">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z w:val="24"/>
                <w:szCs w:val="24"/>
                <w:highlight w:val="none"/>
              </w:rPr>
            </w:pPr>
          </w:p>
          <w:p w14:paraId="0FB07FEA">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5</w:t>
            </w:r>
          </w:p>
        </w:tc>
      </w:tr>
      <w:tr w14:paraId="5FDCC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076" w:type="dxa"/>
            <w:shd w:val="clear" w:color="auto" w:fill="auto"/>
            <w:vAlign w:val="center"/>
          </w:tcPr>
          <w:p w14:paraId="69C372C9">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pacing w:val="-2"/>
                <w:kern w:val="2"/>
                <w:sz w:val="24"/>
                <w:szCs w:val="24"/>
                <w:highlight w:val="none"/>
                <w:lang w:val="en-US" w:eastAsia="zh-CN" w:bidi="ar-SA"/>
              </w:rPr>
            </w:pPr>
            <w:r>
              <w:rPr>
                <w:rFonts w:hint="eastAsia" w:ascii="仿宋" w:hAnsi="仿宋" w:eastAsia="仿宋" w:cs="仿宋"/>
                <w:spacing w:val="-4"/>
                <w:sz w:val="24"/>
                <w:szCs w:val="24"/>
                <w:highlight w:val="none"/>
              </w:rPr>
              <w:t>业绩</w:t>
            </w:r>
          </w:p>
        </w:tc>
        <w:tc>
          <w:tcPr>
            <w:tcW w:w="6728" w:type="dxa"/>
            <w:shd w:val="clear" w:color="auto" w:fill="auto"/>
            <w:vAlign w:val="top"/>
          </w:tcPr>
          <w:p w14:paraId="2267A122">
            <w:pPr>
              <w:pStyle w:val="21"/>
              <w:keepNext w:val="0"/>
              <w:keepLines w:val="0"/>
              <w:pageBreakBefore w:val="0"/>
              <w:widowControl w:val="0"/>
              <w:kinsoku/>
              <w:wordWrap/>
              <w:overflowPunct/>
              <w:topLinePunct w:val="0"/>
              <w:autoSpaceDE/>
              <w:autoSpaceDN/>
              <w:bidi w:val="0"/>
              <w:adjustRightInd w:val="0"/>
              <w:snapToGrid w:val="0"/>
              <w:spacing w:line="240" w:lineRule="auto"/>
              <w:ind w:left="110" w:leftChars="50" w:right="105" w:rightChars="50" w:hanging="5"/>
              <w:textAlignment w:val="auto"/>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提供</w:t>
            </w:r>
            <w:r>
              <w:rPr>
                <w:rFonts w:hint="eastAsia" w:ascii="仿宋" w:hAnsi="仿宋" w:eastAsia="仿宋" w:cs="仿宋"/>
                <w:spacing w:val="-6"/>
                <w:sz w:val="24"/>
                <w:szCs w:val="24"/>
                <w:highlight w:val="none"/>
                <w:lang w:val="en-US" w:eastAsia="zh-CN"/>
              </w:rPr>
              <w:t>供应商</w:t>
            </w:r>
            <w:r>
              <w:rPr>
                <w:rFonts w:hint="eastAsia" w:ascii="仿宋" w:hAnsi="仿宋" w:eastAsia="仿宋" w:cs="仿宋"/>
                <w:spacing w:val="-6"/>
                <w:sz w:val="24"/>
                <w:szCs w:val="24"/>
                <w:highlight w:val="none"/>
              </w:rPr>
              <w:t>202</w:t>
            </w:r>
            <w:r>
              <w:rPr>
                <w:rFonts w:hint="eastAsia" w:ascii="仿宋" w:hAnsi="仿宋" w:eastAsia="仿宋" w:cs="仿宋"/>
                <w:spacing w:val="-6"/>
                <w:sz w:val="24"/>
                <w:szCs w:val="24"/>
                <w:highlight w:val="none"/>
                <w:lang w:val="en-US" w:eastAsia="zh-CN"/>
              </w:rPr>
              <w:t>2</w:t>
            </w:r>
            <w:r>
              <w:rPr>
                <w:rFonts w:hint="eastAsia" w:ascii="仿宋" w:hAnsi="仿宋" w:eastAsia="仿宋" w:cs="仿宋"/>
                <w:spacing w:val="-6"/>
                <w:sz w:val="24"/>
                <w:szCs w:val="24"/>
                <w:highlight w:val="none"/>
              </w:rPr>
              <w:t>年</w:t>
            </w:r>
            <w:r>
              <w:rPr>
                <w:rFonts w:hint="eastAsia" w:ascii="仿宋" w:hAnsi="仿宋" w:eastAsia="仿宋" w:cs="仿宋"/>
                <w:spacing w:val="-6"/>
                <w:sz w:val="24"/>
                <w:szCs w:val="24"/>
                <w:highlight w:val="none"/>
                <w:lang w:val="en-US" w:eastAsia="zh-CN"/>
              </w:rPr>
              <w:t>11</w:t>
            </w:r>
            <w:r>
              <w:rPr>
                <w:rFonts w:hint="eastAsia" w:ascii="仿宋" w:hAnsi="仿宋" w:eastAsia="仿宋" w:cs="仿宋"/>
                <w:spacing w:val="-6"/>
                <w:sz w:val="24"/>
                <w:szCs w:val="24"/>
                <w:highlight w:val="none"/>
              </w:rPr>
              <w:t>月1日至今同类项目合同</w:t>
            </w:r>
            <w:r>
              <w:rPr>
                <w:rFonts w:hint="eastAsia" w:ascii="仿宋" w:hAnsi="仿宋" w:eastAsia="仿宋" w:cs="仿宋"/>
                <w:spacing w:val="-4"/>
                <w:sz w:val="24"/>
                <w:szCs w:val="24"/>
                <w:highlight w:val="none"/>
              </w:rPr>
              <w:t>(以合同签订日期为准)，每提供1个得</w:t>
            </w:r>
            <w:r>
              <w:rPr>
                <w:rFonts w:hint="eastAsia" w:ascii="仿宋" w:hAnsi="仿宋" w:eastAsia="仿宋" w:cs="仿宋"/>
                <w:spacing w:val="-33"/>
                <w:sz w:val="24"/>
                <w:szCs w:val="24"/>
                <w:highlight w:val="none"/>
                <w:lang w:val="en-US" w:eastAsia="zh-CN"/>
              </w:rPr>
              <w:t>1</w:t>
            </w:r>
            <w:r>
              <w:rPr>
                <w:rFonts w:hint="eastAsia" w:ascii="仿宋" w:hAnsi="仿宋" w:eastAsia="仿宋" w:cs="仿宋"/>
                <w:spacing w:val="-4"/>
                <w:sz w:val="24"/>
                <w:szCs w:val="24"/>
                <w:highlight w:val="none"/>
              </w:rPr>
              <w:t>分，</w:t>
            </w:r>
            <w:r>
              <w:rPr>
                <w:rFonts w:hint="eastAsia" w:ascii="仿宋" w:hAnsi="仿宋" w:eastAsia="仿宋" w:cs="仿宋"/>
                <w:spacing w:val="-8"/>
                <w:sz w:val="24"/>
                <w:szCs w:val="24"/>
                <w:highlight w:val="none"/>
              </w:rPr>
              <w:t>最高得</w:t>
            </w:r>
            <w:r>
              <w:rPr>
                <w:rFonts w:hint="eastAsia" w:ascii="仿宋" w:hAnsi="仿宋" w:eastAsia="仿宋" w:cs="仿宋"/>
                <w:spacing w:val="-23"/>
                <w:sz w:val="24"/>
                <w:szCs w:val="24"/>
                <w:highlight w:val="none"/>
                <w:lang w:val="en-US" w:eastAsia="zh-CN"/>
              </w:rPr>
              <w:t>5</w:t>
            </w:r>
            <w:r>
              <w:rPr>
                <w:rFonts w:hint="eastAsia" w:ascii="仿宋" w:hAnsi="仿宋" w:eastAsia="仿宋" w:cs="仿宋"/>
                <w:spacing w:val="-8"/>
                <w:sz w:val="24"/>
                <w:szCs w:val="24"/>
                <w:highlight w:val="none"/>
              </w:rPr>
              <w:t>分。</w:t>
            </w:r>
          </w:p>
          <w:p w14:paraId="6352A01E">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 w:hAnsi="仿宋" w:eastAsia="仿宋" w:cs="仿宋"/>
                <w:spacing w:val="-3"/>
                <w:kern w:val="2"/>
                <w:sz w:val="24"/>
                <w:szCs w:val="24"/>
                <w:highlight w:val="none"/>
                <w:lang w:val="en-US" w:eastAsia="en-US" w:bidi="ar-SA"/>
              </w:rPr>
            </w:pPr>
            <w:r>
              <w:rPr>
                <w:rFonts w:hint="eastAsia" w:ascii="仿宋" w:hAnsi="仿宋" w:eastAsia="仿宋" w:cs="仿宋"/>
                <w:spacing w:val="-3"/>
                <w:sz w:val="24"/>
                <w:szCs w:val="24"/>
                <w:highlight w:val="none"/>
              </w:rPr>
              <w:t>备注：</w:t>
            </w:r>
            <w:r>
              <w:rPr>
                <w:rFonts w:hint="eastAsia" w:ascii="仿宋" w:hAnsi="仿宋" w:eastAsia="仿宋" w:cs="仿宋"/>
                <w:spacing w:val="-3"/>
                <w:sz w:val="24"/>
                <w:szCs w:val="24"/>
                <w:highlight w:val="none"/>
                <w:lang w:val="en-US" w:eastAsia="zh-CN"/>
              </w:rPr>
              <w:t>响应</w:t>
            </w:r>
            <w:r>
              <w:rPr>
                <w:rFonts w:hint="eastAsia" w:ascii="仿宋" w:hAnsi="仿宋" w:eastAsia="仿宋" w:cs="仿宋"/>
                <w:spacing w:val="-3"/>
                <w:sz w:val="24"/>
                <w:szCs w:val="24"/>
                <w:highlight w:val="none"/>
              </w:rPr>
              <w:t>文件中提供合同复印件加盖公章。</w:t>
            </w:r>
          </w:p>
        </w:tc>
        <w:tc>
          <w:tcPr>
            <w:tcW w:w="1375" w:type="dxa"/>
            <w:shd w:val="clear" w:color="auto" w:fill="auto"/>
            <w:vAlign w:val="center"/>
          </w:tcPr>
          <w:p w14:paraId="222BF7C6">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sz w:val="24"/>
                <w:szCs w:val="24"/>
                <w:highlight w:val="none"/>
              </w:rPr>
            </w:pPr>
          </w:p>
          <w:p w14:paraId="20348C7A">
            <w:pPr>
              <w:pStyle w:val="21"/>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4"/>
                <w:sz w:val="24"/>
                <w:szCs w:val="24"/>
                <w:highlight w:val="none"/>
                <w:lang w:val="en-US" w:eastAsia="zh-CN"/>
              </w:rPr>
              <w:t>5</w:t>
            </w:r>
          </w:p>
        </w:tc>
      </w:tr>
    </w:tbl>
    <w:p w14:paraId="1D4D1984">
      <w:pPr>
        <w:spacing w:line="240" w:lineRule="auto"/>
        <w:rPr>
          <w:rFonts w:hint="eastAsia" w:ascii="仿宋" w:hAnsi="仿宋" w:eastAsia="仿宋" w:cs="仿宋"/>
          <w:color w:val="auto"/>
          <w:sz w:val="28"/>
          <w:szCs w:val="28"/>
          <w:highlight w:val="none"/>
          <w:lang w:val="en-US" w:eastAsia="zh-CN"/>
        </w:rPr>
      </w:pPr>
    </w:p>
    <w:p w14:paraId="74C47D98">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.评审过程保密</w:t>
      </w:r>
    </w:p>
    <w:p w14:paraId="339DFE93">
      <w:pPr>
        <w:pStyle w:val="14"/>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.1从磋商截止之日到确定成交供应商止，磋商小组成员不得向磋商供应商或其他无关人员透露有关审查、澄清、评价等情况或授标意向。</w:t>
      </w:r>
    </w:p>
    <w:p w14:paraId="1DB08365">
      <w:pPr>
        <w:pStyle w:val="14"/>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.2任何人员如发生泄密现象，将承担相应的法律责任。</w:t>
      </w:r>
    </w:p>
    <w:p w14:paraId="63A586F0">
      <w:pPr>
        <w:pStyle w:val="14"/>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.3磋商供应商企图影响采购人的任何行为，将导致该磋商供应商被拒绝，并承担相应的法律责任。</w:t>
      </w:r>
    </w:p>
    <w:p w14:paraId="14D7AA21">
      <w:pPr>
        <w:pStyle w:val="5"/>
        <w:jc w:val="center"/>
        <w:rPr>
          <w:rFonts w:hint="eastAsia" w:ascii="仿宋" w:hAnsi="仿宋" w:eastAsia="仿宋" w:cs="仿宋"/>
          <w:color w:val="auto"/>
          <w:kern w:val="1"/>
          <w:szCs w:val="24"/>
          <w:highlight w:val="none"/>
          <w:lang w:eastAsia="zh-CN"/>
        </w:rPr>
      </w:pPr>
      <w:bookmarkStart w:id="18" w:name="_Toc26122"/>
      <w:bookmarkStart w:id="19" w:name="_Toc14487"/>
      <w:r>
        <w:rPr>
          <w:rFonts w:hint="eastAsia" w:ascii="仿宋" w:hAnsi="仿宋" w:eastAsia="仿宋" w:cs="仿宋"/>
          <w:color w:val="auto"/>
          <w:kern w:val="1"/>
          <w:szCs w:val="24"/>
          <w:highlight w:val="none"/>
        </w:rPr>
        <w:t>六、确定</w:t>
      </w:r>
      <w:r>
        <w:rPr>
          <w:rFonts w:hint="eastAsia" w:ascii="仿宋" w:hAnsi="仿宋" w:eastAsia="仿宋" w:cs="仿宋"/>
          <w:color w:val="auto"/>
          <w:kern w:val="1"/>
          <w:szCs w:val="24"/>
          <w:highlight w:val="none"/>
          <w:lang w:eastAsia="zh-CN"/>
        </w:rPr>
        <w:t>成交</w:t>
      </w:r>
      <w:bookmarkEnd w:id="18"/>
      <w:bookmarkEnd w:id="19"/>
    </w:p>
    <w:p w14:paraId="6EA2D7F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采购代理机构应当在评审结束后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个工作日内将评审报告送采购人确认。</w:t>
      </w:r>
    </w:p>
    <w:p w14:paraId="0EFA315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2</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采购人应当在收到评审报告后</w:t>
      </w: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rPr>
        <w:t>个工作日内，从评审报告推荐的成交候选供应商中，按照排序由高到低的原则确定成交供应商，并向采购代理机构出具“成交复函”。采购人逾期未确定成交供应商且不提出异议的，视为确定评审报告提出的排序第一的供应商为成交供应商。</w:t>
      </w:r>
    </w:p>
    <w:p w14:paraId="06D4FA5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3</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采购代理机构应当在收到采购人出具的“成交复函”后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个工作日内，在陕西省政府采购网上发布成交结果公告，同时向成交供应商发出成交通知书，并将磋商文件随成交结果同时公告。</w:t>
      </w:r>
    </w:p>
    <w:p w14:paraId="02CCC37E">
      <w:pPr>
        <w:spacing w:line="360" w:lineRule="auto"/>
        <w:ind w:firstLine="48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8"/>
          <w:szCs w:val="28"/>
          <w:highlight w:val="none"/>
          <w:lang w:val="en-US" w:eastAsia="zh-CN"/>
        </w:rPr>
        <w:t>4.</w:t>
      </w:r>
      <w:r>
        <w:rPr>
          <w:rFonts w:hint="eastAsia" w:ascii="仿宋" w:hAnsi="仿宋" w:eastAsia="仿宋" w:cs="仿宋"/>
          <w:color w:val="auto"/>
          <w:kern w:val="1"/>
          <w:sz w:val="28"/>
          <w:szCs w:val="28"/>
          <w:highlight w:val="none"/>
        </w:rPr>
        <w:t>采购代理机构不做未成交原因的解释。</w:t>
      </w:r>
    </w:p>
    <w:p w14:paraId="17315DF6">
      <w:pPr>
        <w:pStyle w:val="5"/>
        <w:jc w:val="center"/>
        <w:rPr>
          <w:rFonts w:hint="eastAsia" w:ascii="仿宋" w:hAnsi="仿宋" w:eastAsia="仿宋" w:cs="仿宋"/>
          <w:color w:val="auto"/>
          <w:kern w:val="1"/>
          <w:szCs w:val="24"/>
          <w:highlight w:val="none"/>
        </w:rPr>
      </w:pPr>
      <w:bookmarkStart w:id="20" w:name="_Toc28"/>
      <w:r>
        <w:rPr>
          <w:rFonts w:hint="eastAsia" w:ascii="仿宋" w:hAnsi="仿宋" w:eastAsia="仿宋" w:cs="仿宋"/>
          <w:color w:val="auto"/>
          <w:kern w:val="1"/>
          <w:szCs w:val="24"/>
          <w:highlight w:val="none"/>
          <w:lang w:val="en-US" w:eastAsia="zh-CN"/>
        </w:rPr>
        <w:t>七</w:t>
      </w:r>
      <w:r>
        <w:rPr>
          <w:rFonts w:hint="eastAsia" w:ascii="仿宋" w:hAnsi="仿宋" w:eastAsia="仿宋" w:cs="仿宋"/>
          <w:color w:val="auto"/>
          <w:kern w:val="1"/>
          <w:szCs w:val="24"/>
          <w:highlight w:val="none"/>
        </w:rPr>
        <w:t>、合同授予</w:t>
      </w:r>
      <w:bookmarkEnd w:id="20"/>
      <w:bookmarkStart w:id="21" w:name="_Toc217446065"/>
    </w:p>
    <w:p w14:paraId="76CA9029">
      <w:pPr>
        <w:spacing w:line="360" w:lineRule="auto"/>
        <w:rPr>
          <w:rFonts w:hint="eastAsia" w:ascii="仿宋" w:hAnsi="仿宋" w:eastAsia="仿宋" w:cs="仿宋"/>
          <w:b/>
          <w:color w:val="auto"/>
          <w:kern w:val="1"/>
          <w:sz w:val="28"/>
          <w:szCs w:val="28"/>
          <w:highlight w:val="none"/>
          <w:lang w:val="en-US" w:eastAsia="zh-CN"/>
        </w:rPr>
      </w:pPr>
      <w:r>
        <w:rPr>
          <w:rFonts w:hint="eastAsia" w:ascii="仿宋" w:hAnsi="仿宋" w:eastAsia="仿宋" w:cs="仿宋"/>
          <w:b/>
          <w:color w:val="auto"/>
          <w:kern w:val="1"/>
          <w:sz w:val="28"/>
          <w:szCs w:val="28"/>
          <w:highlight w:val="none"/>
          <w:lang w:val="en-US" w:eastAsia="zh-CN"/>
        </w:rPr>
        <w:t>1.合同</w:t>
      </w:r>
      <w:bookmarkEnd w:id="21"/>
      <w:r>
        <w:rPr>
          <w:rFonts w:hint="eastAsia" w:ascii="仿宋" w:hAnsi="仿宋" w:eastAsia="仿宋" w:cs="仿宋"/>
          <w:b/>
          <w:color w:val="auto"/>
          <w:kern w:val="1"/>
          <w:sz w:val="28"/>
          <w:szCs w:val="28"/>
          <w:highlight w:val="none"/>
          <w:lang w:val="en-US" w:eastAsia="zh-CN"/>
        </w:rPr>
        <w:t>订立</w:t>
      </w:r>
    </w:p>
    <w:p w14:paraId="4B9C03EE">
      <w:pPr>
        <w:tabs>
          <w:tab w:val="left" w:pos="7665"/>
        </w:tabs>
        <w:spacing w:line="360" w:lineRule="auto"/>
        <w:ind w:firstLine="482"/>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通知书》发出之日起30日内与采购人签订采购合同。由于</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的原因逾期未与采购人签订采购合同的，将视为放弃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，取消其</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资格，给采购人造成的损失超过保证金数额的，</w:t>
      </w:r>
      <w:r>
        <w:rPr>
          <w:rFonts w:hint="eastAsia" w:ascii="仿宋" w:hAnsi="仿宋" w:eastAsia="仿宋" w:cs="仿宋"/>
          <w:color w:val="auto"/>
          <w:spacing w:val="2"/>
          <w:sz w:val="28"/>
          <w:szCs w:val="28"/>
          <w:highlight w:val="none"/>
        </w:rPr>
        <w:t>应当予以赔偿。</w:t>
      </w:r>
    </w:p>
    <w:p w14:paraId="4076CF8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因不可抗力原因不能履行采购合同或放弃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的，采购人可以与排在</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之后第一位的</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候选人签订采购合同，以此类推</w:t>
      </w:r>
      <w:bookmarkStart w:id="22" w:name="_Toc2174460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也可重新进行采购。</w:t>
      </w:r>
    </w:p>
    <w:p w14:paraId="4058C186">
      <w:pPr>
        <w:keepNext/>
        <w:keepLines/>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合同履行</w:t>
      </w:r>
    </w:p>
    <w:p w14:paraId="435A4C70">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TW"/>
        </w:rPr>
        <w:t>政府采购合同订立后，合同各方不得擅自变更</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TW"/>
        </w:rPr>
        <w:t>中止或者终止合同。政府采购合同需要变更的，采购人应将有关合同变更内容，以书面形式报政府采购监督管理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备案；因特殊情况需要中止或终止合同的，采购人应将中止或终止合同的理由以及相应措施，以书面形式报政府采购监督管理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w:t>
      </w:r>
    </w:p>
    <w:p w14:paraId="2463F1A8">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TW"/>
        </w:rPr>
        <w:t>政府采购合同履行中，采购人需追加与合同标的相同的</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eastAsia="zh-TW"/>
        </w:rPr>
        <w:t>的，在不改变合同其他条款的前提下，可以与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TW"/>
        </w:rPr>
        <w:t>签订补充合同，但所补充合同的采购金额不得超过原</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eastAsia="zh-TW"/>
        </w:rPr>
        <w:t>采购金额的</w:t>
      </w:r>
      <w:r>
        <w:rPr>
          <w:rFonts w:hint="eastAsia" w:ascii="仿宋" w:hAnsi="仿宋" w:eastAsia="仿宋" w:cs="仿宋"/>
          <w:color w:val="auto"/>
          <w:sz w:val="28"/>
          <w:szCs w:val="28"/>
          <w:highlight w:val="none"/>
          <w:lang w:eastAsia="zh-CN"/>
        </w:rPr>
        <w:t>10%</w:t>
      </w:r>
      <w:r>
        <w:rPr>
          <w:rFonts w:hint="eastAsia" w:ascii="仿宋" w:hAnsi="仿宋" w:eastAsia="仿宋" w:cs="仿宋"/>
          <w:color w:val="auto"/>
          <w:sz w:val="28"/>
          <w:szCs w:val="28"/>
          <w:highlight w:val="none"/>
          <w:lang w:eastAsia="zh-TW"/>
        </w:rPr>
        <w:t>。签订补充合同的</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eastAsia="zh-TW"/>
        </w:rPr>
        <w:t>按规定备案。</w:t>
      </w:r>
    </w:p>
    <w:bookmarkEnd w:id="22"/>
    <w:p w14:paraId="4711147D">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成交供应商应依据成交通知书与采购人在法定期限内签订合同。</w:t>
      </w:r>
    </w:p>
    <w:p w14:paraId="1C957DAA">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竞争性磋商文件、成交供应商的竞争性磋商响应文件及有关的澄清文件均作为合同附件。</w:t>
      </w:r>
    </w:p>
    <w:p w14:paraId="3EB69B80">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成交通知书将是合同的一个组成部分。</w:t>
      </w:r>
    </w:p>
    <w:p w14:paraId="46233544">
      <w:pPr>
        <w:pStyle w:val="5"/>
        <w:jc w:val="center"/>
        <w:rPr>
          <w:rFonts w:hint="eastAsia" w:ascii="仿宋" w:hAnsi="仿宋" w:eastAsia="仿宋" w:cs="仿宋"/>
          <w:color w:val="auto"/>
          <w:kern w:val="1"/>
          <w:szCs w:val="24"/>
          <w:highlight w:val="none"/>
          <w:lang w:val="en-US" w:eastAsia="zh-CN"/>
        </w:rPr>
      </w:pPr>
      <w:bookmarkStart w:id="23" w:name="_Toc493074178"/>
      <w:bookmarkStart w:id="24" w:name="_Toc20006"/>
      <w:bookmarkStart w:id="25" w:name="_Toc31232"/>
      <w:r>
        <w:rPr>
          <w:rFonts w:hint="eastAsia" w:ascii="仿宋" w:hAnsi="仿宋" w:eastAsia="仿宋" w:cs="仿宋"/>
          <w:color w:val="auto"/>
          <w:kern w:val="1"/>
          <w:szCs w:val="24"/>
          <w:highlight w:val="none"/>
          <w:lang w:val="en-US" w:eastAsia="zh-CN"/>
        </w:rPr>
        <w:t>八、合同的履约</w:t>
      </w:r>
      <w:bookmarkEnd w:id="23"/>
      <w:bookmarkEnd w:id="24"/>
      <w:bookmarkEnd w:id="25"/>
      <w:r>
        <w:rPr>
          <w:rFonts w:hint="eastAsia" w:ascii="仿宋" w:hAnsi="仿宋" w:eastAsia="仿宋" w:cs="仿宋"/>
          <w:color w:val="auto"/>
          <w:kern w:val="1"/>
          <w:szCs w:val="24"/>
          <w:highlight w:val="none"/>
          <w:lang w:val="en-US" w:eastAsia="zh-CN"/>
        </w:rPr>
        <w:t>评价</w:t>
      </w:r>
    </w:p>
    <w:p w14:paraId="7E9DE82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采购人应按照政府采购合同约定的技术、服务、安全标准组织对供应商每一项技术、服务、安全标准的履约情况进行</w:t>
      </w:r>
      <w:r>
        <w:rPr>
          <w:rFonts w:hint="eastAsia" w:ascii="仿宋" w:hAnsi="仿宋" w:eastAsia="仿宋" w:cs="仿宋"/>
          <w:color w:val="auto"/>
          <w:kern w:val="1"/>
          <w:sz w:val="28"/>
          <w:szCs w:val="28"/>
          <w:highlight w:val="none"/>
          <w:lang w:val="en-US" w:eastAsia="zh-CN"/>
        </w:rPr>
        <w:t>评价</w:t>
      </w:r>
      <w:r>
        <w:rPr>
          <w:rFonts w:hint="eastAsia" w:ascii="仿宋" w:hAnsi="仿宋" w:eastAsia="仿宋" w:cs="仿宋"/>
          <w:color w:val="auto"/>
          <w:kern w:val="1"/>
          <w:sz w:val="28"/>
          <w:szCs w:val="28"/>
          <w:highlight w:val="none"/>
        </w:rPr>
        <w:t>。</w:t>
      </w:r>
    </w:p>
    <w:p w14:paraId="133C058C">
      <w:pPr>
        <w:pStyle w:val="5"/>
        <w:jc w:val="center"/>
        <w:rPr>
          <w:rFonts w:hint="eastAsia" w:ascii="仿宋" w:hAnsi="仿宋" w:eastAsia="仿宋" w:cs="仿宋"/>
          <w:color w:val="auto"/>
          <w:kern w:val="1"/>
          <w:szCs w:val="24"/>
          <w:highlight w:val="none"/>
        </w:rPr>
      </w:pPr>
      <w:bookmarkStart w:id="26" w:name="_Toc25763"/>
      <w:bookmarkStart w:id="27" w:name="_Toc3332"/>
      <w:r>
        <w:rPr>
          <w:rFonts w:hint="eastAsia" w:ascii="仿宋" w:hAnsi="仿宋" w:eastAsia="仿宋" w:cs="仿宋"/>
          <w:color w:val="auto"/>
          <w:kern w:val="1"/>
          <w:szCs w:val="24"/>
          <w:highlight w:val="none"/>
          <w:lang w:val="en-US" w:eastAsia="zh-CN"/>
        </w:rPr>
        <w:t>九</w:t>
      </w:r>
      <w:r>
        <w:rPr>
          <w:rFonts w:hint="eastAsia" w:ascii="仿宋" w:hAnsi="仿宋" w:eastAsia="仿宋" w:cs="仿宋"/>
          <w:color w:val="auto"/>
          <w:kern w:val="1"/>
          <w:szCs w:val="24"/>
          <w:highlight w:val="none"/>
        </w:rPr>
        <w:t>、招标代理服务费</w:t>
      </w:r>
      <w:bookmarkEnd w:id="26"/>
      <w:bookmarkEnd w:id="27"/>
    </w:p>
    <w:p w14:paraId="686866A0">
      <w:pPr>
        <w:spacing w:line="360" w:lineRule="auto"/>
        <w:ind w:firstLine="560" w:firstLineChars="200"/>
        <w:rPr>
          <w:rFonts w:hint="eastAsia" w:ascii="仿宋" w:hAnsi="仿宋" w:eastAsia="仿宋" w:cs="仿宋"/>
          <w:color w:val="auto"/>
          <w:kern w:val="1"/>
          <w:sz w:val="28"/>
          <w:szCs w:val="28"/>
          <w:highlight w:val="none"/>
          <w:lang w:eastAsia="zh-CN"/>
        </w:rPr>
      </w:pPr>
      <w:bookmarkStart w:id="28" w:name="_Toc28323"/>
      <w:bookmarkStart w:id="29" w:name="_Toc8634"/>
      <w:r>
        <w:rPr>
          <w:rFonts w:hint="eastAsia" w:ascii="仿宋" w:hAnsi="仿宋" w:eastAsia="仿宋" w:cs="仿宋"/>
          <w:color w:val="auto"/>
          <w:kern w:val="1"/>
          <w:sz w:val="28"/>
          <w:szCs w:val="28"/>
          <w:highlight w:val="none"/>
          <w:lang w:eastAsia="zh-CN"/>
        </w:rPr>
        <w:t>本项目收取代理服务费</w:t>
      </w:r>
    </w:p>
    <w:p w14:paraId="43BA9558">
      <w:pPr>
        <w:spacing w:line="360" w:lineRule="auto"/>
        <w:ind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代理服务费用收取对象：成交供应商</w:t>
      </w:r>
    </w:p>
    <w:p w14:paraId="235EA043">
      <w:pPr>
        <w:spacing w:line="360" w:lineRule="auto"/>
        <w:ind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收费标准：1.成交供应商在领取成交通知书前，须向采购代理机构支付成交服务费，服务费由采购人与采购代理机构约定：（参照原国家计委计价格〔2002〕1980号文和国家发改委发改办价格〔2003〕857号文的计算方法按标准下浮30%收取。</w:t>
      </w:r>
    </w:p>
    <w:p w14:paraId="50FC0E89">
      <w:pPr>
        <w:spacing w:line="360" w:lineRule="auto"/>
        <w:ind w:firstLine="2891" w:firstLineChars="900"/>
        <w:rPr>
          <w:rFonts w:hint="eastAsia" w:ascii="仿宋" w:hAnsi="仿宋" w:eastAsia="仿宋" w:cs="仿宋"/>
          <w:b/>
          <w:color w:val="auto"/>
          <w:kern w:val="1"/>
          <w:sz w:val="32"/>
          <w:szCs w:val="24"/>
          <w:highlight w:val="none"/>
          <w:lang w:val="en-US" w:eastAsia="zh-CN" w:bidi="ar-SA"/>
        </w:rPr>
      </w:pPr>
      <w:r>
        <w:rPr>
          <w:rFonts w:hint="eastAsia" w:ascii="仿宋" w:hAnsi="仿宋" w:eastAsia="仿宋" w:cs="仿宋"/>
          <w:b/>
          <w:color w:val="auto"/>
          <w:kern w:val="1"/>
          <w:sz w:val="32"/>
          <w:szCs w:val="24"/>
          <w:highlight w:val="none"/>
          <w:lang w:val="en-US" w:eastAsia="zh-CN" w:bidi="ar-SA"/>
        </w:rPr>
        <w:t>十、政府采购相关政策</w:t>
      </w:r>
      <w:bookmarkEnd w:id="28"/>
      <w:bookmarkEnd w:id="29"/>
    </w:p>
    <w:p w14:paraId="245B4CC2">
      <w:pPr>
        <w:keepNext/>
        <w:keepLines/>
        <w:pageBreakBefore w:val="0"/>
        <w:kinsoku/>
        <w:wordWrap/>
        <w:overflowPunct/>
        <w:topLinePunct w:val="0"/>
        <w:bidi w:val="0"/>
        <w:spacing w:line="480" w:lineRule="atLeast"/>
        <w:ind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享受政府采购政策</w:t>
      </w:r>
    </w:p>
    <w:p w14:paraId="05D97986">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《政府采购促进中小企业发展管理办法》的通知－－财库〔2020〕46号</w:t>
      </w:r>
    </w:p>
    <w:p w14:paraId="4002E182">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政府采购促进中小企业发展管理办法》（财库〔2020〕46号）规定，参加政府采购活动的中小企业应当提供《中小企业声明函》。供应商提供的《中小企业声明函》资料必须真实，否则，按照有关规定予以处理。</w:t>
      </w:r>
    </w:p>
    <w:p w14:paraId="40930C5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磋商小组对供应商提供的《中小企业声明函》，根据《政府采购促进中小企业发展暂行办法》的相关规定，对小型和微型企业的价格给予10%的扣除，用扣除后的价格参与评审。</w:t>
      </w:r>
    </w:p>
    <w:p w14:paraId="58918B3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财政部司法部关于政府采购支持监狱企业发展有关问题的通知－－财库〔2014〕68号</w:t>
      </w:r>
    </w:p>
    <w:p w14:paraId="549614E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关于政府采购支持监狱企业发展有关问题的通知》（财库（2014）68号）规定，在政府采购活动中，监狱企业视同小型、微型企业，享受政府采购促进中小企业发展的政府采购政策。监狱企业参加政府采购活动时，应当提供书面声明，并对声明的真实性负责，由磋商小组对监狱企业的价格给予10%的扣除，用扣除后的价格参与评审。</w:t>
      </w:r>
    </w:p>
    <w:p w14:paraId="4E0151CF">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b/>
          <w:bCs/>
          <w:color w:val="auto"/>
          <w:sz w:val="28"/>
          <w:szCs w:val="28"/>
          <w:highlight w:val="none"/>
          <w:lang w:val="en-US" w:eastAsia="zh-CN"/>
        </w:rPr>
        <w:t>《国务院办公厅关于建立政府强制采购节能产品制度的通知》--国办发〔2007〕51号</w:t>
      </w:r>
    </w:p>
    <w:p w14:paraId="6737FA1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各级政府机构使用财政性资金进行政府采购活动时，在技术、服务等指标满足采购需求的前提下，要优先采购节能产品，对部分节能效果、性能等达到要求的产品，实行强制采购。</w:t>
      </w:r>
    </w:p>
    <w:p w14:paraId="57B60681">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《财政部发展改革委生态环境部市场监管总局关于调整优化节能产品、环境标志产品政府采购执行机制的通知》--财库[2019]9号</w:t>
      </w:r>
    </w:p>
    <w:p w14:paraId="4C019B76">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根据《环境标志产品政府采购实施的意见》--财库[2006]90号规定，采购人采购的产品在品目清单中并具有认证证书的，在性能、技术、服务等指标同等条件下，应当优先采购清单中的产品。</w:t>
      </w:r>
    </w:p>
    <w:p w14:paraId="0A6D3F4B">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0EEA3F73">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b/>
          <w:bCs/>
          <w:color w:val="auto"/>
          <w:sz w:val="28"/>
          <w:szCs w:val="28"/>
          <w:highlight w:val="none"/>
          <w:lang w:val="en-US" w:eastAsia="zh-CN"/>
        </w:rPr>
        <w:t>《三部门联合发布关于促进残疾人就业政府采购政策的通知》--财库〔2017〕141号</w:t>
      </w:r>
    </w:p>
    <w:p w14:paraId="2403EF8E">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符合条件的残疾人福利性单位在参加政府采购活动时，应提供本通知规定的《残疾人福利性单位声明函》，并对声明的真实性负责。</w:t>
      </w:r>
    </w:p>
    <w:p w14:paraId="5312FAB9">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8CEC933">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b/>
          <w:bCs/>
          <w:color w:val="auto"/>
          <w:sz w:val="28"/>
          <w:szCs w:val="28"/>
          <w:highlight w:val="none"/>
          <w:lang w:val="en-US" w:eastAsia="zh-CN"/>
        </w:rPr>
        <w:t>《关于运用政府采购政策支持乡村产业振兴的通知》--（财库〔2021〕19号</w:t>
      </w:r>
    </w:p>
    <w:p w14:paraId="32747CE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各级预算单位采购农副产品的，同等条件下应优先采购贫困地区农副产品。贫困地区农副产品是指832个国家级贫困县域内注册的企业、农民专业合作社、家庭农场等出产的农副产品。</w:t>
      </w:r>
    </w:p>
    <w:p w14:paraId="0EAC7D7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各级预算单位使用财政性资金采购物业服务的，有条件的应当优先采购注册地在832个国家级贫困县域内，且聘用建档立卡贫困人员物业公司提供的物业服务。</w:t>
      </w:r>
    </w:p>
    <w:p w14:paraId="579F7AA7">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bCs/>
          <w:color w:val="auto"/>
          <w:sz w:val="28"/>
          <w:szCs w:val="28"/>
          <w:highlight w:val="none"/>
          <w:lang w:val="en-US" w:eastAsia="zh-CN"/>
        </w:rPr>
        <w:t>《节能产品政府采购实施意见》--（财库〔2004〕185号）</w:t>
      </w:r>
    </w:p>
    <w:p w14:paraId="67A5FDB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根据《节能产品政府采购实施意见》--（财库[2004]185号）规定，采购人采购的产品在品目清单中并具有认证证书的，在技术、服务等指标同等条件下，应当优先采购节能清单所列的节能产品。</w:t>
      </w:r>
    </w:p>
    <w:p w14:paraId="288B162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215BA7C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b/>
          <w:bCs/>
          <w:color w:val="auto"/>
          <w:sz w:val="28"/>
          <w:szCs w:val="28"/>
          <w:highlight w:val="none"/>
          <w:lang w:val="en-US" w:eastAsia="zh-CN"/>
        </w:rPr>
        <w:t>《关于在政府采购活动中查询及使用信用记录有关问题的通知》--财库〔2016〕125号</w:t>
      </w:r>
    </w:p>
    <w:p w14:paraId="5624EEA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通过“信用中国”网站（www.creditchina.gov.cn）和中国政府采购网（www.ccgp.gov.cn)查询相关主体信用记录，查询节点应在采购文件获取期至响应文件递交截止时间之间。采购人、采购代理机构有权在开标现场对各供应商信用记录情况进行甄别查询，并对查询结果予以截图留存。对被列入失信被执行人、政府采购严重违法失信行为记录名单及其他不符合《中华人民共和国政府采购法》第二十二条规定条件的供应商，将拒绝其参与政府采购活动。）</w:t>
      </w:r>
    </w:p>
    <w:p w14:paraId="7C0F32C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等有关规定，按照市场主导、财政引导、银企自愿、风险自担的原则，中标（成交）供应商可根据自身资金需求，登录陕西省政府采购信用融资平台（http://www.ccgp-shaanxi.gov.cn/zcdservice/zcd/shanxi/）在线申请，依法参加政府采购信用融资活动。</w:t>
      </w:r>
      <w:r>
        <w:rPr>
          <w:rFonts w:hint="eastAsia" w:ascii="仿宋" w:hAnsi="仿宋" w:eastAsia="仿宋" w:cs="仿宋"/>
          <w:color w:val="auto"/>
          <w:sz w:val="28"/>
          <w:szCs w:val="28"/>
          <w:highlight w:val="none"/>
          <w:lang w:val="en-US" w:eastAsia="zh-CN"/>
        </w:rPr>
        <w:t>注：融资政策以最新通知为准。</w:t>
      </w:r>
    </w:p>
    <w:p w14:paraId="273F9B93">
      <w:pPr>
        <w:pStyle w:val="5"/>
        <w:jc w:val="center"/>
        <w:rPr>
          <w:rFonts w:hint="eastAsia" w:ascii="仿宋" w:hAnsi="仿宋" w:eastAsia="仿宋" w:cs="仿宋"/>
          <w:color w:val="auto"/>
          <w:kern w:val="1"/>
          <w:szCs w:val="24"/>
          <w:highlight w:val="none"/>
          <w:lang w:eastAsia="zh-CN"/>
        </w:rPr>
      </w:pPr>
      <w:bookmarkStart w:id="30" w:name="_Toc5789"/>
      <w:r>
        <w:rPr>
          <w:rFonts w:hint="eastAsia" w:ascii="仿宋" w:hAnsi="仿宋" w:eastAsia="仿宋" w:cs="仿宋"/>
          <w:color w:val="auto"/>
          <w:kern w:val="1"/>
          <w:szCs w:val="24"/>
          <w:highlight w:val="none"/>
          <w:lang w:val="en-US" w:eastAsia="zh-CN"/>
        </w:rPr>
        <w:t>十一</w:t>
      </w:r>
      <w:r>
        <w:rPr>
          <w:rFonts w:hint="eastAsia" w:ascii="仿宋" w:hAnsi="仿宋" w:eastAsia="仿宋" w:cs="仿宋"/>
          <w:color w:val="auto"/>
          <w:kern w:val="1"/>
          <w:szCs w:val="24"/>
          <w:highlight w:val="none"/>
        </w:rPr>
        <w:t>、</w:t>
      </w:r>
      <w:r>
        <w:rPr>
          <w:rFonts w:hint="eastAsia" w:ascii="仿宋" w:hAnsi="仿宋" w:eastAsia="仿宋" w:cs="仿宋"/>
          <w:color w:val="auto"/>
          <w:kern w:val="1"/>
          <w:szCs w:val="24"/>
          <w:highlight w:val="none"/>
          <w:lang w:val="en-US" w:eastAsia="zh-CN"/>
        </w:rPr>
        <w:t>质疑</w:t>
      </w:r>
      <w:bookmarkEnd w:id="30"/>
    </w:p>
    <w:p w14:paraId="6EEB44A2">
      <w:pPr>
        <w:keepNext/>
        <w:keepLines/>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质疑</w:t>
      </w:r>
    </w:p>
    <w:p w14:paraId="33515232">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1供应商认为</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过程、</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结果使自己的权益受到损害的，可以在知道或者应知其权益受到损害之日起7个工作日内，以书面形式向采购人、采购代理机构提出质疑。</w:t>
      </w:r>
    </w:p>
    <w:p w14:paraId="077BB1CC">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2供应商必须在法定质疑期内一次性提出针对同一采购程序环节的质疑。</w:t>
      </w:r>
    </w:p>
    <w:p w14:paraId="5FABBCF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3供应商可以委托代理人进行质疑。代理人提出质疑的，应当提交授权委托书。授权委托书应当载明代理人的姓名或者名称、代理事项、具体权限、期限和相关事项。供应商为自然人的，应当由本人签字；供应商为</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或者其他组织的，应当由法定代表人、主要负责人签字或者盖章，并加盖公章。</w:t>
      </w:r>
    </w:p>
    <w:p w14:paraId="5B22A26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4以联合体形式参加政府采购活动的，其质疑应当由组成联合体的所有供应商共同提出。</w:t>
      </w:r>
    </w:p>
    <w:p w14:paraId="6528D78F">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5供应商提出质疑应当提交质疑函和必要的证明材料。质疑函应当包括下列内容：</w:t>
      </w:r>
    </w:p>
    <w:p w14:paraId="1778422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5.1供应商的姓名或者名称、地址、邮编、联系人及联系电话；</w:t>
      </w:r>
    </w:p>
    <w:p w14:paraId="4BB585E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5.2质疑项目的名称、编号；</w:t>
      </w:r>
    </w:p>
    <w:p w14:paraId="5EEC0AD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5.3具体、明确的质疑事项和与质疑事项相关的请求；</w:t>
      </w:r>
    </w:p>
    <w:p w14:paraId="64DC7E3B">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5.4事实依据；</w:t>
      </w:r>
    </w:p>
    <w:p w14:paraId="7E62FD8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5.5必要的法律依据；</w:t>
      </w:r>
    </w:p>
    <w:p w14:paraId="7B2069CB">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5.6提出质疑的日期。</w:t>
      </w:r>
    </w:p>
    <w:p w14:paraId="06F1A64F">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6有下列情形之一的，属于无效质疑，采购代理机构和采购人不予受理：</w:t>
      </w:r>
    </w:p>
    <w:p w14:paraId="538A94FD">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6.1质疑供应商不是参与本次政府采购项目的供应商；</w:t>
      </w:r>
    </w:p>
    <w:p w14:paraId="5BDD4AB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6.2质疑供应商与质疑事项不存在利害关系的；</w:t>
      </w:r>
    </w:p>
    <w:p w14:paraId="2C4BBC6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6.3未在法定期限内提出质疑的；</w:t>
      </w:r>
    </w:p>
    <w:p w14:paraId="185C714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6.4质疑未以书面形式提出，或质疑函主要内容构成不完整的；</w:t>
      </w:r>
    </w:p>
    <w:p w14:paraId="13C8F8A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6.5应当提交授权书而未提交的；</w:t>
      </w:r>
    </w:p>
    <w:p w14:paraId="6570026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6.6以非法手段取得证据、材料的；</w:t>
      </w:r>
    </w:p>
    <w:p w14:paraId="6074564A">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6.7质疑答复后，同一质疑人就同一事项或同一采购程序环节再次提出质疑的；</w:t>
      </w:r>
    </w:p>
    <w:p w14:paraId="102B093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6.8不符合</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、规章和政府采购监管机构规定的其他条件的。</w:t>
      </w:r>
    </w:p>
    <w:p w14:paraId="6FF57F1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7质疑答复</w:t>
      </w:r>
    </w:p>
    <w:p w14:paraId="1666B6E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7.1采购人或采购代理机构在收到质疑函后7个工作日内作出答复，并以书面形式通知质疑供应商和其他有关供应商。</w:t>
      </w:r>
    </w:p>
    <w:p w14:paraId="611BFDB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7.2质疑供应商对采购人、采购代理机构的答复不满意，或者采购人、采购代理机构未在规定时间内作出答复的，可以在答复期满后15个工作日内向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8"/>
          <w:szCs w:val="28"/>
          <w:highlight w:val="none"/>
          <w:lang w:val="en-US" w:eastAsia="zh-CN"/>
        </w:rPr>
        <w:t>丹凤县</w:t>
      </w:r>
      <w:r>
        <w:rPr>
          <w:rFonts w:hint="eastAsia" w:ascii="仿宋" w:hAnsi="仿宋" w:eastAsia="仿宋" w:cs="仿宋"/>
          <w:color w:val="auto"/>
          <w:sz w:val="28"/>
          <w:szCs w:val="28"/>
          <w:highlight w:val="none"/>
        </w:rPr>
        <w:t>财政局提起投诉。</w:t>
      </w:r>
    </w:p>
    <w:p w14:paraId="3A9E7E5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8.1质疑函须按财政部《质疑函范本》给定的格式进行填写，范本下载详见【财政部国库司（gks.mof.gov.cn）】网站〖首页·政府采购管理〗栏目中的《政府采购供应商质疑函范本》。《政府采购供应商质疑函范本》链接地址：</w:t>
      </w:r>
    </w:p>
    <w:p w14:paraId="18299FA4">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http://gks.mof.gov.cn/zhengfucaigouguanli/201802/t20180201_2804589.html</w:t>
      </w:r>
    </w:p>
    <w:p w14:paraId="14323DC5">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8.2接收质疑函的方式：书面形式</w:t>
      </w:r>
    </w:p>
    <w:p w14:paraId="689FF3B9">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8.3联系部门：</w:t>
      </w:r>
      <w:r>
        <w:rPr>
          <w:rFonts w:hint="eastAsia" w:ascii="仿宋" w:hAnsi="仿宋" w:eastAsia="仿宋" w:cs="仿宋"/>
          <w:color w:val="auto"/>
          <w:sz w:val="28"/>
          <w:szCs w:val="28"/>
          <w:highlight w:val="none"/>
          <w:lang w:eastAsia="zh-CN"/>
        </w:rPr>
        <w:t>华春建设工程项目管理有限责任公司</w:t>
      </w:r>
    </w:p>
    <w:p w14:paraId="64CB868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8.4联系电话：</w:t>
      </w:r>
      <w:r>
        <w:rPr>
          <w:rFonts w:hint="eastAsia" w:ascii="仿宋" w:hAnsi="仿宋" w:eastAsia="仿宋" w:cs="仿宋"/>
          <w:color w:val="auto"/>
          <w:sz w:val="28"/>
          <w:szCs w:val="28"/>
          <w:highlight w:val="none"/>
          <w:lang w:val="en-US" w:eastAsia="zh-CN"/>
        </w:rPr>
        <w:t>18392767108</w:t>
      </w:r>
    </w:p>
    <w:p w14:paraId="254D1C0C">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8.5通讯地址：</w:t>
      </w:r>
      <w:r>
        <w:rPr>
          <w:rFonts w:hint="eastAsia" w:ascii="仿宋" w:hAnsi="仿宋" w:eastAsia="仿宋" w:cs="仿宋"/>
          <w:color w:val="auto"/>
          <w:sz w:val="28"/>
          <w:szCs w:val="28"/>
          <w:highlight w:val="none"/>
          <w:lang w:eastAsia="zh-CN"/>
        </w:rPr>
        <w:t>西安市南二环西段58号成长大厦8楼</w:t>
      </w:r>
    </w:p>
    <w:p w14:paraId="34633E7A">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投诉</w:t>
      </w:r>
    </w:p>
    <w:p w14:paraId="408BEFD2">
      <w:pPr>
        <w:spacing w:line="360" w:lineRule="auto"/>
        <w:ind w:firstLine="57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和其他</w:t>
      </w:r>
      <w:r>
        <w:rPr>
          <w:rFonts w:hint="eastAsia" w:ascii="仿宋" w:hAnsi="仿宋" w:eastAsia="仿宋" w:cs="仿宋"/>
          <w:color w:val="auto"/>
          <w:sz w:val="28"/>
          <w:szCs w:val="28"/>
          <w:highlight w:val="none"/>
          <w:lang w:eastAsia="zh-CN"/>
        </w:rPr>
        <w:t>利害关系人</w:t>
      </w:r>
      <w:r>
        <w:rPr>
          <w:rFonts w:hint="eastAsia" w:ascii="仿宋" w:hAnsi="仿宋" w:eastAsia="仿宋" w:cs="仿宋"/>
          <w:color w:val="auto"/>
          <w:sz w:val="28"/>
          <w:szCs w:val="28"/>
          <w:highlight w:val="none"/>
        </w:rPr>
        <w:t>认为本次招标采购活动违反</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和规章规定的，有权向有关行政监督机构投诉。</w:t>
      </w:r>
    </w:p>
    <w:p w14:paraId="4171A891">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质疑人对采购代理机构或采购人的答复不满意，以及采购代理机构或采购人未在规定时间内</w:t>
      </w:r>
      <w:r>
        <w:rPr>
          <w:rFonts w:hint="eastAsia" w:ascii="仿宋" w:hAnsi="仿宋" w:eastAsia="仿宋" w:cs="仿宋"/>
          <w:color w:val="auto"/>
          <w:sz w:val="28"/>
          <w:szCs w:val="28"/>
          <w:highlight w:val="none"/>
          <w:lang w:eastAsia="zh-CN"/>
        </w:rPr>
        <w:t>作出</w:t>
      </w:r>
      <w:r>
        <w:rPr>
          <w:rFonts w:hint="eastAsia" w:ascii="仿宋" w:hAnsi="仿宋" w:eastAsia="仿宋" w:cs="仿宋"/>
          <w:color w:val="auto"/>
          <w:sz w:val="28"/>
          <w:szCs w:val="28"/>
          <w:highlight w:val="none"/>
        </w:rPr>
        <w:t>答复的，可以在答复期满后15个工作日内向政府采购监管机构提出投诉。</w:t>
      </w:r>
    </w:p>
    <w:p w14:paraId="19BDFDF0">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投诉的事项不得超出已质疑事项的范围。</w:t>
      </w:r>
    </w:p>
    <w:p w14:paraId="08AF86B3">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1C940240">
      <w:pPr>
        <w:numPr>
          <w:ilvl w:val="0"/>
          <w:numId w:val="0"/>
        </w:numPr>
        <w:snapToGrid w:val="0"/>
        <w:spacing w:line="360" w:lineRule="auto"/>
        <w:jc w:val="center"/>
        <w:outlineLvl w:val="0"/>
        <w:rPr>
          <w:rFonts w:hint="eastAsia" w:ascii="仿宋" w:hAnsi="仿宋" w:eastAsia="仿宋" w:cs="仿宋"/>
          <w:b/>
          <w:bCs/>
          <w:color w:val="auto"/>
          <w:sz w:val="36"/>
          <w:szCs w:val="36"/>
          <w:highlight w:val="none"/>
        </w:rPr>
      </w:pPr>
      <w:bookmarkStart w:id="31" w:name="_Toc12014"/>
      <w:r>
        <w:rPr>
          <w:rFonts w:hint="eastAsia" w:ascii="仿宋" w:hAnsi="仿宋" w:eastAsia="仿宋" w:cs="仿宋"/>
          <w:b/>
          <w:color w:val="auto"/>
          <w:kern w:val="2"/>
          <w:sz w:val="36"/>
          <w:szCs w:val="36"/>
          <w:highlight w:val="none"/>
          <w:lang w:val="en-US" w:eastAsia="zh-CN" w:bidi="ar-SA"/>
        </w:rPr>
        <w:t>第三章</w:t>
      </w:r>
      <w:r>
        <w:rPr>
          <w:rFonts w:hint="eastAsia" w:ascii="仿宋" w:hAnsi="仿宋" w:eastAsia="仿宋" w:cs="仿宋"/>
          <w:b/>
          <w:bCs/>
          <w:color w:val="auto"/>
          <w:sz w:val="36"/>
          <w:szCs w:val="36"/>
          <w:highlight w:val="none"/>
          <w:lang w:val="en-US" w:eastAsia="zh-CN"/>
        </w:rPr>
        <w:t>磋商内容及</w:t>
      </w:r>
      <w:r>
        <w:rPr>
          <w:rFonts w:hint="eastAsia" w:ascii="仿宋" w:hAnsi="仿宋" w:eastAsia="仿宋" w:cs="仿宋"/>
          <w:b/>
          <w:bCs/>
          <w:color w:val="auto"/>
          <w:sz w:val="36"/>
          <w:szCs w:val="36"/>
          <w:highlight w:val="none"/>
        </w:rPr>
        <w:t>要求</w:t>
      </w:r>
      <w:bookmarkEnd w:id="31"/>
    </w:p>
    <w:p w14:paraId="757B028F">
      <w:pPr>
        <w:numPr>
          <w:ilvl w:val="0"/>
          <w:numId w:val="0"/>
        </w:numPr>
        <w:snapToGrid w:val="0"/>
        <w:spacing w:line="360" w:lineRule="auto"/>
        <w:jc w:val="left"/>
        <w:outlineLvl w:val="0"/>
        <w:rPr>
          <w:rFonts w:hint="eastAsia" w:ascii="仿宋" w:hAnsi="仿宋" w:eastAsia="仿宋" w:cs="仿宋"/>
          <w:b/>
          <w:bCs/>
          <w:color w:val="auto"/>
          <w:kern w:val="2"/>
          <w:sz w:val="28"/>
          <w:szCs w:val="28"/>
          <w:highlight w:val="none"/>
          <w:u w:color="000000"/>
          <w:lang w:val="en-US" w:eastAsia="zh-CN" w:bidi="ar-SA"/>
        </w:rPr>
      </w:pPr>
      <w:r>
        <w:rPr>
          <w:rFonts w:hint="eastAsia" w:ascii="仿宋" w:hAnsi="仿宋" w:eastAsia="仿宋" w:cs="仿宋"/>
          <w:b/>
          <w:bCs/>
          <w:color w:val="auto"/>
          <w:kern w:val="2"/>
          <w:sz w:val="28"/>
          <w:szCs w:val="28"/>
          <w:highlight w:val="none"/>
          <w:u w:color="000000"/>
          <w:lang w:val="en-US" w:eastAsia="zh-CN" w:bidi="ar-SA"/>
        </w:rPr>
        <w:t>一、技术需求</w:t>
      </w:r>
    </w:p>
    <w:p w14:paraId="35F73B2B">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（一）项目基本情况</w:t>
      </w:r>
    </w:p>
    <w:p w14:paraId="274A5C66">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2026年厅网络机房包含财政厅十楼网络机房及省信息化中心八楼财政机房，为减少运行故障，及时响应并处理问题，提高应对突发事件和风险能力，确保机房基础设施正常，为财政核心业务系统稳定运行提供有利支撑，需对2026年厅网络机房基础设施维保服务项目进行采购。</w:t>
      </w:r>
    </w:p>
    <w:p w14:paraId="397E041D">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（二）项目交付地点：陕西省财政厅、省信息化中心</w:t>
      </w:r>
    </w:p>
    <w:p w14:paraId="48355A85">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（三）项目交付周期：</w:t>
      </w:r>
      <w:r>
        <w:rPr>
          <w:rFonts w:hint="eastAsia" w:ascii="仿宋" w:hAnsi="仿宋" w:eastAsia="仿宋" w:cs="仿宋"/>
          <w:color w:val="auto"/>
          <w:kern w:val="2"/>
          <w:sz w:val="28"/>
          <w:szCs w:val="28"/>
          <w:highlight w:val="none"/>
          <w:lang w:val="en-US" w:eastAsia="zh-CN" w:bidi="ar-SA"/>
        </w:rPr>
        <w:t>2026年1月1日至2026年12月31日。</w:t>
      </w:r>
    </w:p>
    <w:p w14:paraId="414B6F48">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（四）维保项目内容</w:t>
      </w:r>
    </w:p>
    <w:p w14:paraId="68AF3DF4">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4.1厅十楼网络机房基础设施维保项目清单</w:t>
      </w:r>
    </w:p>
    <w:tbl>
      <w:tblPr>
        <w:tblStyle w:val="22"/>
        <w:tblW w:w="8892"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192"/>
        <w:gridCol w:w="1387"/>
        <w:gridCol w:w="1025"/>
        <w:gridCol w:w="725"/>
        <w:gridCol w:w="2825"/>
        <w:gridCol w:w="1090"/>
      </w:tblGrid>
      <w:tr w14:paraId="1F7F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8" w:type="dxa"/>
            <w:vAlign w:val="center"/>
          </w:tcPr>
          <w:p w14:paraId="4018F84B">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序号</w:t>
            </w:r>
          </w:p>
        </w:tc>
        <w:tc>
          <w:tcPr>
            <w:tcW w:w="1192" w:type="dxa"/>
            <w:vAlign w:val="center"/>
          </w:tcPr>
          <w:p w14:paraId="31ACBDAC">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设备名称</w:t>
            </w:r>
          </w:p>
        </w:tc>
        <w:tc>
          <w:tcPr>
            <w:tcW w:w="1387" w:type="dxa"/>
            <w:vAlign w:val="center"/>
          </w:tcPr>
          <w:p w14:paraId="317515B6">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品牌型号</w:t>
            </w:r>
          </w:p>
        </w:tc>
        <w:tc>
          <w:tcPr>
            <w:tcW w:w="1025" w:type="dxa"/>
            <w:vAlign w:val="center"/>
          </w:tcPr>
          <w:p w14:paraId="335667A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技术</w:t>
            </w:r>
          </w:p>
          <w:p w14:paraId="49EF1EDC">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参数</w:t>
            </w:r>
          </w:p>
        </w:tc>
        <w:tc>
          <w:tcPr>
            <w:tcW w:w="725" w:type="dxa"/>
            <w:vAlign w:val="center"/>
          </w:tcPr>
          <w:p w14:paraId="26607BB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数量</w:t>
            </w:r>
          </w:p>
        </w:tc>
        <w:tc>
          <w:tcPr>
            <w:tcW w:w="2825" w:type="dxa"/>
            <w:vAlign w:val="center"/>
          </w:tcPr>
          <w:p w14:paraId="09633D02">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说明</w:t>
            </w:r>
          </w:p>
        </w:tc>
        <w:tc>
          <w:tcPr>
            <w:tcW w:w="1090" w:type="dxa"/>
            <w:textDirection w:val="tbRlV"/>
            <w:vAlign w:val="center"/>
          </w:tcPr>
          <w:p w14:paraId="0F80A05E">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61C77C43">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70C8E69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备注</w:t>
            </w:r>
          </w:p>
          <w:p w14:paraId="55E1DFA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0D70BD23">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65EA3F8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1A5E8F4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62FFA962">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00DDC851">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4A904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648" w:type="dxa"/>
            <w:vAlign w:val="center"/>
          </w:tcPr>
          <w:p w14:paraId="71C6FD93">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49335E84">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w:t>
            </w:r>
          </w:p>
        </w:tc>
        <w:tc>
          <w:tcPr>
            <w:tcW w:w="1192" w:type="dxa"/>
            <w:vMerge w:val="restart"/>
            <w:tcBorders>
              <w:bottom w:val="nil"/>
            </w:tcBorders>
            <w:vAlign w:val="center"/>
          </w:tcPr>
          <w:p w14:paraId="616510CF">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UPS 不间断电源</w:t>
            </w:r>
          </w:p>
        </w:tc>
        <w:tc>
          <w:tcPr>
            <w:tcW w:w="1387" w:type="dxa"/>
            <w:vAlign w:val="center"/>
          </w:tcPr>
          <w:p w14:paraId="0392170B">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施耐德 UPS</w:t>
            </w:r>
          </w:p>
          <w:p w14:paraId="0C2B239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Galaxy 7000；4组188块电池</w:t>
            </w:r>
          </w:p>
        </w:tc>
        <w:tc>
          <w:tcPr>
            <w:tcW w:w="1025" w:type="dxa"/>
            <w:vAlign w:val="center"/>
          </w:tcPr>
          <w:p w14:paraId="78EA9D9B">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200KVA</w:t>
            </w:r>
          </w:p>
        </w:tc>
        <w:tc>
          <w:tcPr>
            <w:tcW w:w="725" w:type="dxa"/>
            <w:vAlign w:val="center"/>
          </w:tcPr>
          <w:p w14:paraId="40BBFFD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 台</w:t>
            </w:r>
          </w:p>
        </w:tc>
        <w:tc>
          <w:tcPr>
            <w:tcW w:w="2825" w:type="dxa"/>
            <w:vAlign w:val="center"/>
          </w:tcPr>
          <w:p w14:paraId="42112921">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设备全年维保，含配件、电池维修更换及设备日常巡检。</w:t>
            </w:r>
          </w:p>
        </w:tc>
        <w:tc>
          <w:tcPr>
            <w:tcW w:w="1090" w:type="dxa"/>
            <w:vAlign w:val="center"/>
          </w:tcPr>
          <w:p w14:paraId="0D495AC1">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主机2011年运行至今，电池2018年更换</w:t>
            </w:r>
          </w:p>
        </w:tc>
      </w:tr>
      <w:tr w14:paraId="0D674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48" w:type="dxa"/>
            <w:vAlign w:val="center"/>
          </w:tcPr>
          <w:p w14:paraId="69B9604E">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w:t>
            </w:r>
          </w:p>
        </w:tc>
        <w:tc>
          <w:tcPr>
            <w:tcW w:w="1192" w:type="dxa"/>
            <w:vMerge w:val="continue"/>
            <w:tcBorders>
              <w:top w:val="nil"/>
            </w:tcBorders>
            <w:vAlign w:val="center"/>
          </w:tcPr>
          <w:p w14:paraId="38001EFA">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c>
          <w:tcPr>
            <w:tcW w:w="1387" w:type="dxa"/>
            <w:vAlign w:val="center"/>
          </w:tcPr>
          <w:p w14:paraId="22FF366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伊顿 93E</w:t>
            </w:r>
          </w:p>
        </w:tc>
        <w:tc>
          <w:tcPr>
            <w:tcW w:w="1025" w:type="dxa"/>
            <w:vAlign w:val="center"/>
          </w:tcPr>
          <w:p w14:paraId="755D8E09">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30KVA</w:t>
            </w:r>
          </w:p>
        </w:tc>
        <w:tc>
          <w:tcPr>
            <w:tcW w:w="725" w:type="dxa"/>
            <w:vAlign w:val="center"/>
          </w:tcPr>
          <w:p w14:paraId="5A7DA94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 台</w:t>
            </w:r>
          </w:p>
        </w:tc>
        <w:tc>
          <w:tcPr>
            <w:tcW w:w="2825" w:type="dxa"/>
            <w:vAlign w:val="center"/>
          </w:tcPr>
          <w:p w14:paraId="412139D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设备全年维保，含配件、电池维修更换及设备日常巡检。</w:t>
            </w:r>
          </w:p>
        </w:tc>
        <w:tc>
          <w:tcPr>
            <w:tcW w:w="1090" w:type="dxa"/>
            <w:vAlign w:val="center"/>
          </w:tcPr>
          <w:p w14:paraId="772A0E7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442CF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8" w:type="dxa"/>
            <w:vAlign w:val="center"/>
          </w:tcPr>
          <w:p w14:paraId="54382770">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3</w:t>
            </w:r>
          </w:p>
        </w:tc>
        <w:tc>
          <w:tcPr>
            <w:tcW w:w="1192" w:type="dxa"/>
            <w:tcBorders>
              <w:bottom w:val="nil"/>
            </w:tcBorders>
            <w:vAlign w:val="center"/>
          </w:tcPr>
          <w:p w14:paraId="19D3EA1F">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0708798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机房空调</w:t>
            </w:r>
          </w:p>
        </w:tc>
        <w:tc>
          <w:tcPr>
            <w:tcW w:w="1387" w:type="dxa"/>
            <w:vAlign w:val="center"/>
          </w:tcPr>
          <w:p w14:paraId="0E7BBDC4">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大金专用柜式</w:t>
            </w:r>
          </w:p>
        </w:tc>
        <w:tc>
          <w:tcPr>
            <w:tcW w:w="1025" w:type="dxa"/>
            <w:vAlign w:val="center"/>
          </w:tcPr>
          <w:p w14:paraId="0121F609">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5P</w:t>
            </w:r>
          </w:p>
        </w:tc>
        <w:tc>
          <w:tcPr>
            <w:tcW w:w="725" w:type="dxa"/>
            <w:vAlign w:val="center"/>
          </w:tcPr>
          <w:p w14:paraId="3650B586">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3 台</w:t>
            </w:r>
          </w:p>
        </w:tc>
        <w:tc>
          <w:tcPr>
            <w:tcW w:w="2825" w:type="dxa"/>
            <w:vAlign w:val="center"/>
          </w:tcPr>
          <w:p w14:paraId="1FF6A7DE">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设备全年维保，含配件维修更换及设备日常巡检。</w:t>
            </w:r>
          </w:p>
        </w:tc>
        <w:tc>
          <w:tcPr>
            <w:tcW w:w="1090" w:type="dxa"/>
            <w:vAlign w:val="center"/>
          </w:tcPr>
          <w:p w14:paraId="68ED1B2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24B1E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8" w:type="dxa"/>
            <w:vAlign w:val="center"/>
          </w:tcPr>
          <w:p w14:paraId="69BF929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w:t>
            </w:r>
          </w:p>
        </w:tc>
        <w:tc>
          <w:tcPr>
            <w:tcW w:w="1192" w:type="dxa"/>
            <w:vMerge w:val="restart"/>
            <w:tcBorders>
              <w:bottom w:val="nil"/>
            </w:tcBorders>
            <w:vAlign w:val="center"/>
          </w:tcPr>
          <w:p w14:paraId="79D760F2">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428FF6D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消防灭火系统</w:t>
            </w:r>
          </w:p>
        </w:tc>
        <w:tc>
          <w:tcPr>
            <w:tcW w:w="1387" w:type="dxa"/>
            <w:vAlign w:val="center"/>
          </w:tcPr>
          <w:p w14:paraId="50CB6A03">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机房及配电室消防灭火系统</w:t>
            </w:r>
          </w:p>
        </w:tc>
        <w:tc>
          <w:tcPr>
            <w:tcW w:w="1025" w:type="dxa"/>
            <w:vAlign w:val="center"/>
          </w:tcPr>
          <w:p w14:paraId="26B9E733">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七氟丙烷</w:t>
            </w:r>
          </w:p>
        </w:tc>
        <w:tc>
          <w:tcPr>
            <w:tcW w:w="725" w:type="dxa"/>
            <w:vAlign w:val="center"/>
          </w:tcPr>
          <w:p w14:paraId="38DC116E">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 套</w:t>
            </w:r>
          </w:p>
        </w:tc>
        <w:tc>
          <w:tcPr>
            <w:tcW w:w="2825" w:type="dxa"/>
            <w:vMerge w:val="restart"/>
            <w:tcBorders>
              <w:bottom w:val="nil"/>
            </w:tcBorders>
            <w:vAlign w:val="center"/>
          </w:tcPr>
          <w:p w14:paraId="7F1FEEA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3922621E">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系统日常巡检、易损件更换、线路故障维修。</w:t>
            </w:r>
          </w:p>
        </w:tc>
        <w:tc>
          <w:tcPr>
            <w:tcW w:w="1090" w:type="dxa"/>
            <w:vAlign w:val="center"/>
          </w:tcPr>
          <w:p w14:paraId="348CC0A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4A0AB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8" w:type="dxa"/>
            <w:vAlign w:val="center"/>
          </w:tcPr>
          <w:p w14:paraId="31F42CB0">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5</w:t>
            </w:r>
          </w:p>
        </w:tc>
        <w:tc>
          <w:tcPr>
            <w:tcW w:w="1192" w:type="dxa"/>
            <w:vMerge w:val="continue"/>
            <w:tcBorders>
              <w:top w:val="nil"/>
            </w:tcBorders>
            <w:vAlign w:val="center"/>
          </w:tcPr>
          <w:p w14:paraId="673D721F">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c>
          <w:tcPr>
            <w:tcW w:w="1387" w:type="dxa"/>
            <w:vAlign w:val="center"/>
          </w:tcPr>
          <w:p w14:paraId="6E32BCCA">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发电机房消防灭火系统</w:t>
            </w:r>
          </w:p>
        </w:tc>
        <w:tc>
          <w:tcPr>
            <w:tcW w:w="1025" w:type="dxa"/>
            <w:vAlign w:val="center"/>
          </w:tcPr>
          <w:p w14:paraId="3B9E9FCF">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七氟丙烷</w:t>
            </w:r>
          </w:p>
        </w:tc>
        <w:tc>
          <w:tcPr>
            <w:tcW w:w="725" w:type="dxa"/>
            <w:vAlign w:val="center"/>
          </w:tcPr>
          <w:p w14:paraId="42E3123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 套</w:t>
            </w:r>
          </w:p>
        </w:tc>
        <w:tc>
          <w:tcPr>
            <w:tcW w:w="2825" w:type="dxa"/>
            <w:vMerge w:val="continue"/>
            <w:tcBorders>
              <w:top w:val="nil"/>
            </w:tcBorders>
            <w:vAlign w:val="center"/>
          </w:tcPr>
          <w:p w14:paraId="14001CD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c>
          <w:tcPr>
            <w:tcW w:w="1090" w:type="dxa"/>
            <w:vAlign w:val="center"/>
          </w:tcPr>
          <w:p w14:paraId="3B706FC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7BEC4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48" w:type="dxa"/>
            <w:vAlign w:val="center"/>
          </w:tcPr>
          <w:p w14:paraId="54F81200">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6</w:t>
            </w:r>
          </w:p>
        </w:tc>
        <w:tc>
          <w:tcPr>
            <w:tcW w:w="1192" w:type="dxa"/>
            <w:vAlign w:val="center"/>
          </w:tcPr>
          <w:p w14:paraId="5C7364DA">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机房后备发电机</w:t>
            </w:r>
          </w:p>
        </w:tc>
        <w:tc>
          <w:tcPr>
            <w:tcW w:w="1387" w:type="dxa"/>
            <w:vAlign w:val="center"/>
          </w:tcPr>
          <w:p w14:paraId="3862F883">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机房后备发电机组系统</w:t>
            </w:r>
          </w:p>
        </w:tc>
        <w:tc>
          <w:tcPr>
            <w:tcW w:w="1025" w:type="dxa"/>
            <w:vAlign w:val="center"/>
          </w:tcPr>
          <w:p w14:paraId="432772D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39C3F77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200KW</w:t>
            </w:r>
          </w:p>
        </w:tc>
        <w:tc>
          <w:tcPr>
            <w:tcW w:w="725" w:type="dxa"/>
            <w:vAlign w:val="center"/>
          </w:tcPr>
          <w:p w14:paraId="305334A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1E8020A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 套</w:t>
            </w:r>
          </w:p>
        </w:tc>
        <w:tc>
          <w:tcPr>
            <w:tcW w:w="2825" w:type="dxa"/>
            <w:vAlign w:val="center"/>
          </w:tcPr>
          <w:p w14:paraId="3625EE0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设备全年质保，含配件维修更换、一年两次三滤更换及年度用油保障。</w:t>
            </w:r>
          </w:p>
        </w:tc>
        <w:tc>
          <w:tcPr>
            <w:tcW w:w="1090" w:type="dxa"/>
            <w:vAlign w:val="center"/>
          </w:tcPr>
          <w:p w14:paraId="476C5012">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2CB3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48" w:type="dxa"/>
            <w:vAlign w:val="center"/>
          </w:tcPr>
          <w:p w14:paraId="1D88DDA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7</w:t>
            </w:r>
          </w:p>
        </w:tc>
        <w:tc>
          <w:tcPr>
            <w:tcW w:w="1192" w:type="dxa"/>
            <w:vAlign w:val="center"/>
          </w:tcPr>
          <w:p w14:paraId="10DA1CAE">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值守巡检</w:t>
            </w:r>
          </w:p>
        </w:tc>
        <w:tc>
          <w:tcPr>
            <w:tcW w:w="1387" w:type="dxa"/>
            <w:vAlign w:val="center"/>
          </w:tcPr>
          <w:p w14:paraId="3CAA746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机房基础设施值守巡检</w:t>
            </w:r>
          </w:p>
        </w:tc>
        <w:tc>
          <w:tcPr>
            <w:tcW w:w="1025" w:type="dxa"/>
            <w:vAlign w:val="center"/>
          </w:tcPr>
          <w:p w14:paraId="19312ED1">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c>
          <w:tcPr>
            <w:tcW w:w="725" w:type="dxa"/>
            <w:vAlign w:val="center"/>
          </w:tcPr>
          <w:p w14:paraId="560998DE">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c>
          <w:tcPr>
            <w:tcW w:w="2825" w:type="dxa"/>
            <w:vAlign w:val="center"/>
          </w:tcPr>
          <w:p w14:paraId="288FF0A6">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全年机房动环设备非工作时间、节假日值守巡检服务。</w:t>
            </w:r>
          </w:p>
        </w:tc>
        <w:tc>
          <w:tcPr>
            <w:tcW w:w="1090" w:type="dxa"/>
            <w:vAlign w:val="center"/>
          </w:tcPr>
          <w:p w14:paraId="729E682A">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bl>
    <w:p w14:paraId="5EF1FF84">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p>
    <w:p w14:paraId="2C618FEF">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4.1.1 故障维护</w:t>
      </w:r>
    </w:p>
    <w:p w14:paraId="24841958">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保障UPS、空调、消防、发电机等硬件、软件的正常运行，及时排除各系统故障，出具故障分析报告并提出避免类似故障发生的解决方案。</w:t>
      </w:r>
    </w:p>
    <w:p w14:paraId="280DBBDB">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4.1.2 设备软件版本升级</w:t>
      </w:r>
    </w:p>
    <w:p w14:paraId="1EE9C0E2">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对维保的各系统进行免费的软件版本升级，升级的风险需提前与甲方沟通并预约升级时间，做好应急预案。</w:t>
      </w:r>
    </w:p>
    <w:p w14:paraId="1F874F3E">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4.1.3 预防性巡检</w:t>
      </w:r>
    </w:p>
    <w:p w14:paraId="349FAFC3">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每日对设备进行预防性巡检服务，巡查各设备的运行状态，排除设备的安全隐患。</w:t>
      </w:r>
    </w:p>
    <w:p w14:paraId="17D4BD8D">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4.1.4 检修和巡检报告</w:t>
      </w:r>
    </w:p>
    <w:p w14:paraId="03B9A806">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投标方对甲方设备进行定期的软硬件检修、维护保养后，必须提供检修、维护保养报告，报告经双方技术人员签字确认后供甲方备案和项目验收。</w:t>
      </w:r>
    </w:p>
    <w:p w14:paraId="246D64ED">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现场巡检时投标方工程师必须携带工作证，且需得到甲方管理人员签字确认，每次巡检必须提供详细巡检报告，经甲方户确认后整理归档，作为验收依据。</w:t>
      </w:r>
    </w:p>
    <w:p w14:paraId="4F052CA8">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4.1.5 备品备件</w:t>
      </w:r>
    </w:p>
    <w:p w14:paraId="59D126E1">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投标方应在本地具有完整的备品备件库，具备提供备件支持的能力，投标时明确备件清单，甲方有权要求在中标后核实，若存在虚假应标将上报有关部门，根据相关规定处理。</w:t>
      </w:r>
    </w:p>
    <w:p w14:paraId="23AD05B8">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4.1.6 提供7×24小时技术支持服务，30分钟响应，2小时内到达现场服务，4小时排除故障恢复设备的正常运行。</w:t>
      </w:r>
    </w:p>
    <w:p w14:paraId="6FA28A56">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4.1.7 机房消防</w:t>
      </w:r>
    </w:p>
    <w:tbl>
      <w:tblPr>
        <w:tblStyle w:val="17"/>
        <w:tblpPr w:leftFromText="180" w:rightFromText="180" w:vertAnchor="text" w:horzAnchor="page" w:tblpXSpec="center" w:tblpY="120"/>
        <w:tblOverlap w:val="never"/>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732"/>
        <w:gridCol w:w="5430"/>
      </w:tblGrid>
      <w:tr w14:paraId="175F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dxa"/>
            <w:vMerge w:val="restart"/>
            <w:vAlign w:val="center"/>
          </w:tcPr>
          <w:p w14:paraId="2CF6ECCC">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消防气体灭火系统</w:t>
            </w:r>
          </w:p>
        </w:tc>
        <w:tc>
          <w:tcPr>
            <w:tcW w:w="1732" w:type="dxa"/>
            <w:vAlign w:val="center"/>
          </w:tcPr>
          <w:p w14:paraId="0B1BEBF7">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报警系统</w:t>
            </w:r>
          </w:p>
        </w:tc>
        <w:tc>
          <w:tcPr>
            <w:tcW w:w="5430" w:type="dxa"/>
            <w:vAlign w:val="top"/>
          </w:tcPr>
          <w:p w14:paraId="20324464">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检查消防报警主机运行状况。</w:t>
            </w:r>
          </w:p>
          <w:p w14:paraId="2D672039">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检查烟感、温感等消防报警装置运行状况。</w:t>
            </w:r>
          </w:p>
          <w:p w14:paraId="0B215FFF">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检查报警主机蓄电池运行状况。</w:t>
            </w:r>
          </w:p>
          <w:p w14:paraId="47354755">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熟悉现场环境、清楚每个消防防区、探头等传感器布放位置。</w:t>
            </w:r>
          </w:p>
        </w:tc>
      </w:tr>
      <w:tr w14:paraId="352C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dxa"/>
            <w:vMerge w:val="continue"/>
            <w:vAlign w:val="center"/>
          </w:tcPr>
          <w:p w14:paraId="166B055F">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p>
        </w:tc>
        <w:tc>
          <w:tcPr>
            <w:tcW w:w="1732" w:type="dxa"/>
            <w:vAlign w:val="center"/>
          </w:tcPr>
          <w:p w14:paraId="6B3A73C0">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七氟丙烷气体灭火系统</w:t>
            </w:r>
          </w:p>
        </w:tc>
        <w:tc>
          <w:tcPr>
            <w:tcW w:w="5430" w:type="dxa"/>
            <w:vAlign w:val="top"/>
          </w:tcPr>
          <w:p w14:paraId="077059FF">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1、主机系统更换升级。</w:t>
            </w:r>
          </w:p>
          <w:p w14:paraId="10B74000">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2、检查钢瓶阀门、压力表、放气指示灯、急起急停按钮等附件运行状况。</w:t>
            </w:r>
          </w:p>
        </w:tc>
      </w:tr>
      <w:tr w14:paraId="1F54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dxa"/>
            <w:vAlign w:val="center"/>
          </w:tcPr>
          <w:p w14:paraId="499CC0FA">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p>
        </w:tc>
        <w:tc>
          <w:tcPr>
            <w:tcW w:w="1732" w:type="dxa"/>
            <w:vAlign w:val="center"/>
          </w:tcPr>
          <w:p w14:paraId="5E459830">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定期巡检与预防性维护服务</w:t>
            </w:r>
          </w:p>
        </w:tc>
        <w:tc>
          <w:tcPr>
            <w:tcW w:w="5430" w:type="dxa"/>
            <w:vAlign w:val="top"/>
          </w:tcPr>
          <w:p w14:paraId="7B3008D1">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服务期内提供不少于每月一次的主动式巡检和维护，并提供例行巡检报告和性能改进措施建议，在保修期结束后，提供全年设备保修服务总结报告。</w:t>
            </w:r>
          </w:p>
        </w:tc>
      </w:tr>
    </w:tbl>
    <w:p w14:paraId="04ECF769">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4.1.8 机房后备发电机系统</w:t>
      </w:r>
    </w:p>
    <w:tbl>
      <w:tblPr>
        <w:tblStyle w:val="1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504"/>
        <w:gridCol w:w="4588"/>
      </w:tblGrid>
      <w:tr w14:paraId="6434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Merge w:val="restart"/>
            <w:vAlign w:val="center"/>
          </w:tcPr>
          <w:p w14:paraId="00A7530B">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机房后备发电机</w:t>
            </w:r>
          </w:p>
        </w:tc>
        <w:tc>
          <w:tcPr>
            <w:tcW w:w="2504" w:type="dxa"/>
            <w:vAlign w:val="center"/>
          </w:tcPr>
          <w:p w14:paraId="58CEE616">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发电机组</w:t>
            </w:r>
          </w:p>
        </w:tc>
        <w:tc>
          <w:tcPr>
            <w:tcW w:w="4588" w:type="dxa"/>
            <w:vAlign w:val="top"/>
          </w:tcPr>
          <w:p w14:paraId="5F855826">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发电机生产厂家维护保养、三滤更换、配件维修更换及年度用油。</w:t>
            </w:r>
          </w:p>
        </w:tc>
      </w:tr>
      <w:tr w14:paraId="3D40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Merge w:val="continue"/>
            <w:vAlign w:val="center"/>
          </w:tcPr>
          <w:p w14:paraId="0A6AD999">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p>
        </w:tc>
        <w:tc>
          <w:tcPr>
            <w:tcW w:w="2504" w:type="dxa"/>
            <w:vAlign w:val="center"/>
          </w:tcPr>
          <w:p w14:paraId="721F6069">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定期巡检与预防性维护服务</w:t>
            </w:r>
          </w:p>
        </w:tc>
        <w:tc>
          <w:tcPr>
            <w:tcW w:w="4588" w:type="dxa"/>
            <w:vAlign w:val="top"/>
          </w:tcPr>
          <w:p w14:paraId="55E221EA">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服务期内提供不少于每月1次的主动式巡检和维护，提供例行巡检报告、性能改进措施建议及全年设备保修服务总结报告。</w:t>
            </w:r>
          </w:p>
        </w:tc>
      </w:tr>
    </w:tbl>
    <w:p w14:paraId="6879606C">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4.2 信息化中心八楼财政机房维保内容</w:t>
      </w:r>
    </w:p>
    <w:p w14:paraId="3A5F5D97">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4.2.1 机房服务范围</w:t>
      </w:r>
    </w:p>
    <w:p w14:paraId="19B7D5FA">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非涉密区域人员出入门禁管理、机房设备机柜外巡检、设备出入监管、机房卫生、常规响应支持等服务。</w:t>
      </w:r>
    </w:p>
    <w:p w14:paraId="2217BB56">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4.2.2 运维服务内容</w:t>
      </w:r>
    </w:p>
    <w:p w14:paraId="4084415B">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1.人员出入门禁服务</w:t>
      </w:r>
    </w:p>
    <w:p w14:paraId="3288D3DB">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为八层机房提供7*24门禁管理及人员访问记录服务，核查运维人员身份，在得到财政厅授权后，方可允许其进入八层机房进行业务部署和设备管理、故障处理工作。</w:t>
      </w:r>
    </w:p>
    <w:p w14:paraId="10F6E6E1">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2.机房设备巡检服务</w:t>
      </w:r>
    </w:p>
    <w:p w14:paraId="70DAB722">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运维服务商指派专业运维工程师，按照机房管理规定每天对八层机房机柜外设备进行现场常规巡检。在机柜外通过观察各类硬件设备告警灯及异常报警声音等信息，进行常规巡检并生成巡检报告。如巡检中发现设备故障告警，第一时间反馈财政厅机房负责人，并及时报告处理进度和结果。</w:t>
      </w:r>
    </w:p>
    <w:p w14:paraId="262D51E4">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3.设备出入监管服务</w:t>
      </w:r>
    </w:p>
    <w:p w14:paraId="2E129DE1">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按照管理要求，进行机房出入设备的按件登记，并更新机房设备记录表。配合完成通过财政厅审批后设备的出入，做好设备出入记录工作。</w:t>
      </w:r>
    </w:p>
    <w:p w14:paraId="676EC713">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 机房卫生服务</w:t>
      </w:r>
    </w:p>
    <w:p w14:paraId="1481B9CE">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定期为八层机房进行机房地板的清理，确保机房卫生符合相关要求，保障入驻设备及业务运行环境的干净整洁。</w:t>
      </w:r>
    </w:p>
    <w:p w14:paraId="6AFC3739">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5. 机房现场响应支持服务</w:t>
      </w:r>
    </w:p>
    <w:p w14:paraId="1ECC27C5">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为确保运维过程中出现问题能够得到及时处理，机房服务人员应在财政厅用户的授权下，为甲方远程协助和应急处置提供支持服务。</w:t>
      </w:r>
    </w:p>
    <w:p w14:paraId="426BDD94">
      <w:pPr>
        <w:numPr>
          <w:ilvl w:val="0"/>
          <w:numId w:val="0"/>
        </w:numPr>
        <w:snapToGrid w:val="0"/>
        <w:spacing w:line="360" w:lineRule="auto"/>
        <w:jc w:val="left"/>
        <w:outlineLvl w:val="0"/>
        <w:rPr>
          <w:rFonts w:hint="eastAsia" w:ascii="仿宋" w:hAnsi="仿宋" w:eastAsia="仿宋" w:cs="仿宋"/>
          <w:b/>
          <w:bCs/>
          <w:color w:val="auto"/>
          <w:kern w:val="2"/>
          <w:sz w:val="28"/>
          <w:szCs w:val="28"/>
          <w:highlight w:val="none"/>
          <w:u w:color="000000"/>
          <w:lang w:val="en-US" w:eastAsia="zh-CN" w:bidi="ar-SA"/>
        </w:rPr>
      </w:pPr>
      <w:r>
        <w:rPr>
          <w:rFonts w:hint="eastAsia" w:ascii="仿宋" w:hAnsi="仿宋" w:eastAsia="仿宋" w:cs="仿宋"/>
          <w:b/>
          <w:bCs/>
          <w:color w:val="auto"/>
          <w:kern w:val="2"/>
          <w:sz w:val="28"/>
          <w:szCs w:val="28"/>
          <w:highlight w:val="none"/>
          <w:u w:color="000000"/>
          <w:lang w:val="en-US" w:eastAsia="zh-CN" w:bidi="ar-SA"/>
        </w:rPr>
        <w:t>二、项目交付件</w:t>
      </w:r>
    </w:p>
    <w:p w14:paraId="59EEF8F1">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在项目运维服务过程中严格遵守财政厅的规章制度与要求，提供如下交付件：</w:t>
      </w:r>
    </w:p>
    <w:p w14:paraId="4BD1B07A">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（1）机房巡检报告（每周一次）；</w:t>
      </w:r>
    </w:p>
    <w:p w14:paraId="59E33133">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（2）UPS主机、电池、发电机、消防设施、空调巡检报告（每月一次）；</w:t>
      </w:r>
    </w:p>
    <w:p w14:paraId="1D850640">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（3）项目运维工作周报（每周一次）；</w:t>
      </w:r>
    </w:p>
    <w:p w14:paraId="7428FE3B">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（4）项目设备维修确认单（按次）；</w:t>
      </w:r>
    </w:p>
    <w:p w14:paraId="6C567BB0">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项目交付件应提供电子版、纸质版。</w:t>
      </w:r>
    </w:p>
    <w:p w14:paraId="72F03C24">
      <w:pPr>
        <w:numPr>
          <w:ilvl w:val="0"/>
          <w:numId w:val="0"/>
        </w:numPr>
        <w:snapToGrid w:val="0"/>
        <w:spacing w:line="360" w:lineRule="auto"/>
        <w:jc w:val="left"/>
        <w:outlineLvl w:val="0"/>
        <w:rPr>
          <w:rFonts w:hint="eastAsia" w:ascii="仿宋" w:hAnsi="仿宋" w:eastAsia="仿宋" w:cs="仿宋"/>
          <w:b/>
          <w:bCs/>
          <w:color w:val="auto"/>
          <w:kern w:val="2"/>
          <w:sz w:val="28"/>
          <w:szCs w:val="28"/>
          <w:highlight w:val="none"/>
          <w:u w:color="000000"/>
          <w:lang w:val="en-US" w:eastAsia="zh-CN" w:bidi="ar-SA"/>
        </w:rPr>
      </w:pPr>
      <w:r>
        <w:rPr>
          <w:rFonts w:hint="eastAsia" w:ascii="仿宋" w:hAnsi="仿宋" w:eastAsia="仿宋" w:cs="仿宋"/>
          <w:b/>
          <w:bCs/>
          <w:color w:val="auto"/>
          <w:kern w:val="2"/>
          <w:sz w:val="28"/>
          <w:szCs w:val="28"/>
          <w:highlight w:val="none"/>
          <w:u w:color="000000"/>
          <w:lang w:val="en-US" w:eastAsia="zh-CN" w:bidi="ar-SA"/>
        </w:rPr>
        <w:t>三、付款方式</w:t>
      </w:r>
    </w:p>
    <w:p w14:paraId="138D352E">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合同款由甲方分3期支付给乙方，原则上合同约定的金额与对运维供应商考核评价结果结算，选择分期支付，具体支付方式及节点如下：</w:t>
      </w:r>
    </w:p>
    <w:p w14:paraId="0F16CA00">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一）首期款：本项目首期款以甲方财政资金实际到位且相关运维（服务）准备工作完成后，监理单位签发开工令，乙方书面提出支付申请函及与拟支付金额等额的符合甲方财务管理要求的相应发票，甲方确认后启动首期款支付流程，支付合同总金额的30％。</w:t>
      </w:r>
    </w:p>
    <w:p w14:paraId="6EFC9826">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（二）二期款：本项目运维服务9个月后，甲方对项目进行阶段评价，乙方书面提出支付申请函及与拟支付金额等额的符合甲方财务管理要求的相应发票，甲方确认后启动支付流程，支付合同总金额的40％。</w:t>
      </w:r>
    </w:p>
    <w:p w14:paraId="05FED3A3">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三）尾款：本项目服务期满，且经甲方评价后30个工作日内，依据甲方服务评价结果或结算审计结果（如有）确认的金额，乙方书面提出支付申请函及与拟支付金额等额的符合甲方财务管理要求的相应发票，甲方确认后启动尾款支付流程。</w:t>
      </w:r>
    </w:p>
    <w:p w14:paraId="595BB5CC">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p>
    <w:p w14:paraId="0E463A63">
      <w:pPr>
        <w:numPr>
          <w:ilvl w:val="0"/>
          <w:numId w:val="0"/>
        </w:numPr>
        <w:spacing w:line="360" w:lineRule="auto"/>
        <w:ind w:leftChars="0" w:firstLine="560" w:firstLineChars="200"/>
        <w:rPr>
          <w:rFonts w:hint="eastAsia" w:ascii="仿宋" w:hAnsi="仿宋" w:eastAsia="仿宋" w:cs="仿宋"/>
          <w:b w:val="0"/>
          <w:bCs/>
          <w:color w:val="auto"/>
          <w:sz w:val="28"/>
          <w:szCs w:val="28"/>
          <w:highlight w:val="none"/>
          <w:lang w:val="en-US" w:eastAsia="zh-CN"/>
        </w:rPr>
      </w:pPr>
    </w:p>
    <w:p w14:paraId="209A6531">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br w:type="page"/>
      </w:r>
    </w:p>
    <w:p w14:paraId="01CBB8E9">
      <w:pPr>
        <w:pStyle w:val="2"/>
        <w:rPr>
          <w:rFonts w:hint="eastAsia" w:ascii="仿宋" w:hAnsi="仿宋" w:eastAsia="仿宋" w:cs="仿宋"/>
          <w:color w:val="auto"/>
          <w:highlight w:val="none"/>
        </w:rPr>
      </w:pPr>
    </w:p>
    <w:p w14:paraId="0C8B627B">
      <w:pPr>
        <w:numPr>
          <w:ilvl w:val="0"/>
          <w:numId w:val="0"/>
        </w:numPr>
        <w:snapToGrid w:val="0"/>
        <w:spacing w:line="360" w:lineRule="auto"/>
        <w:jc w:val="center"/>
        <w:outlineLvl w:val="0"/>
        <w:rPr>
          <w:rFonts w:hint="eastAsia" w:ascii="仿宋" w:hAnsi="仿宋" w:eastAsia="仿宋" w:cs="仿宋"/>
          <w:b/>
          <w:color w:val="auto"/>
          <w:sz w:val="36"/>
          <w:szCs w:val="36"/>
          <w:highlight w:val="none"/>
        </w:rPr>
      </w:pPr>
      <w:bookmarkStart w:id="32" w:name="_Toc20163"/>
      <w:r>
        <w:rPr>
          <w:rFonts w:hint="eastAsia" w:ascii="仿宋" w:hAnsi="仿宋" w:eastAsia="仿宋" w:cs="仿宋"/>
          <w:b/>
          <w:color w:val="auto"/>
          <w:kern w:val="2"/>
          <w:sz w:val="36"/>
          <w:szCs w:val="36"/>
          <w:highlight w:val="none"/>
          <w:lang w:val="en-US" w:eastAsia="zh-CN" w:bidi="ar-SA"/>
        </w:rPr>
        <w:t>第四章</w:t>
      </w:r>
      <w:r>
        <w:rPr>
          <w:rFonts w:hint="eastAsia" w:ascii="仿宋" w:hAnsi="仿宋" w:eastAsia="仿宋" w:cs="仿宋"/>
          <w:b/>
          <w:color w:val="auto"/>
          <w:sz w:val="36"/>
          <w:szCs w:val="36"/>
          <w:highlight w:val="none"/>
          <w:lang w:val="en-US" w:eastAsia="zh-CN"/>
        </w:rPr>
        <w:t>合同条款及格式</w:t>
      </w:r>
      <w:bookmarkEnd w:id="32"/>
    </w:p>
    <w:p w14:paraId="7D391D31">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（注：具体以签订内容为准，此为范本）</w:t>
      </w:r>
    </w:p>
    <w:p w14:paraId="584E1C9B">
      <w:pPr>
        <w:pStyle w:val="2"/>
        <w:spacing w:before="266" w:line="218" w:lineRule="auto"/>
        <w:ind w:firstLine="6552" w:firstLineChars="3600"/>
        <w:jc w:val="both"/>
        <w:rPr>
          <w:rFonts w:hint="eastAsia" w:ascii="仿宋" w:hAnsi="仿宋" w:eastAsia="仿宋" w:cs="仿宋"/>
          <w:color w:val="000000" w:themeColor="text1"/>
          <w:spacing w:val="1"/>
          <w:sz w:val="18"/>
          <w:szCs w:val="18"/>
          <w:highlight w:val="none"/>
          <w14:textFill>
            <w14:solidFill>
              <w14:schemeClr w14:val="tx1"/>
            </w14:solidFill>
          </w14:textFill>
        </w:rPr>
      </w:pPr>
    </w:p>
    <w:p w14:paraId="3CC72D6E">
      <w:pPr>
        <w:pStyle w:val="2"/>
        <w:spacing w:before="266" w:line="218" w:lineRule="auto"/>
        <w:ind w:firstLine="10872" w:firstLineChars="3600"/>
        <w:jc w:val="right"/>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lang w:val="en-US" w:eastAsia="zh-CN"/>
        </w:rPr>
        <w:t>合</w:t>
      </w:r>
      <w:r>
        <w:rPr>
          <w:rFonts w:hint="eastAsia" w:ascii="仿宋" w:hAnsi="仿宋" w:eastAsia="仿宋" w:cs="仿宋"/>
          <w:color w:val="auto"/>
          <w:spacing w:val="1"/>
          <w:sz w:val="30"/>
          <w:szCs w:val="30"/>
          <w:highlight w:val="none"/>
          <w:lang w:eastAsia="zh-CN"/>
        </w:rPr>
        <w:t>合</w:t>
      </w:r>
      <w:r>
        <w:rPr>
          <w:rFonts w:hint="eastAsia" w:ascii="仿宋" w:hAnsi="仿宋" w:eastAsia="仿宋" w:cs="仿宋"/>
          <w:color w:val="auto"/>
          <w:spacing w:val="1"/>
          <w:sz w:val="30"/>
          <w:szCs w:val="30"/>
          <w:highlight w:val="none"/>
        </w:rPr>
        <w:t>同编号：</w:t>
      </w:r>
    </w:p>
    <w:p w14:paraId="01A2A9C8">
      <w:pPr>
        <w:spacing w:line="252" w:lineRule="auto"/>
        <w:jc w:val="both"/>
        <w:rPr>
          <w:rFonts w:hint="eastAsia" w:ascii="仿宋" w:hAnsi="仿宋" w:eastAsia="仿宋" w:cs="仿宋"/>
          <w:color w:val="auto"/>
          <w:highlight w:val="none"/>
        </w:rPr>
      </w:pPr>
    </w:p>
    <w:p w14:paraId="384626EB">
      <w:pPr>
        <w:spacing w:line="252" w:lineRule="auto"/>
        <w:jc w:val="both"/>
        <w:rPr>
          <w:rFonts w:hint="eastAsia" w:ascii="仿宋" w:hAnsi="仿宋" w:eastAsia="仿宋" w:cs="仿宋"/>
          <w:color w:val="auto"/>
          <w:highlight w:val="none"/>
        </w:rPr>
      </w:pPr>
    </w:p>
    <w:p w14:paraId="06E2145A">
      <w:pPr>
        <w:spacing w:line="252" w:lineRule="auto"/>
        <w:jc w:val="both"/>
        <w:rPr>
          <w:rFonts w:hint="eastAsia" w:ascii="仿宋" w:hAnsi="仿宋" w:eastAsia="仿宋" w:cs="仿宋"/>
          <w:color w:val="auto"/>
          <w:highlight w:val="none"/>
        </w:rPr>
      </w:pPr>
    </w:p>
    <w:p w14:paraId="07C806D0">
      <w:pPr>
        <w:spacing w:line="252" w:lineRule="auto"/>
        <w:jc w:val="both"/>
        <w:rPr>
          <w:rFonts w:hint="eastAsia" w:ascii="仿宋" w:hAnsi="仿宋" w:eastAsia="仿宋" w:cs="仿宋"/>
          <w:color w:val="auto"/>
          <w:highlight w:val="none"/>
        </w:rPr>
      </w:pPr>
    </w:p>
    <w:p w14:paraId="6BFC101D">
      <w:pPr>
        <w:pStyle w:val="2"/>
        <w:spacing w:before="176" w:line="218" w:lineRule="auto"/>
        <w:jc w:val="center"/>
        <w:outlineLvl w:val="0"/>
        <w:rPr>
          <w:rFonts w:hint="eastAsia" w:ascii="仿宋" w:hAnsi="仿宋" w:eastAsia="仿宋" w:cs="仿宋"/>
          <w:b/>
          <w:bCs/>
          <w:color w:val="auto"/>
          <w:spacing w:val="15"/>
          <w:sz w:val="54"/>
          <w:szCs w:val="54"/>
          <w:highlight w:val="none"/>
          <w:u w:val="single"/>
        </w:rPr>
      </w:pPr>
      <w:r>
        <w:rPr>
          <w:rFonts w:hint="eastAsia" w:ascii="仿宋" w:hAnsi="仿宋" w:eastAsia="仿宋" w:cs="仿宋"/>
          <w:b/>
          <w:bCs/>
          <w:color w:val="auto"/>
          <w:spacing w:val="12"/>
          <w:sz w:val="54"/>
          <w:szCs w:val="54"/>
          <w:highlight w:val="none"/>
        </w:rPr>
        <w:t>陕西省财政厅</w:t>
      </w:r>
      <w:r>
        <w:rPr>
          <w:rFonts w:hint="eastAsia" w:ascii="仿宋" w:hAnsi="仿宋" w:eastAsia="仿宋" w:cs="仿宋"/>
          <w:b/>
          <w:bCs/>
          <w:color w:val="auto"/>
          <w:spacing w:val="15"/>
          <w:sz w:val="54"/>
          <w:szCs w:val="54"/>
          <w:highlight w:val="none"/>
          <w:u w:val="single"/>
        </w:rPr>
        <w:t>运维服务类</w:t>
      </w:r>
    </w:p>
    <w:p w14:paraId="0B1CBEB4">
      <w:pPr>
        <w:pStyle w:val="2"/>
        <w:spacing w:before="176" w:line="218" w:lineRule="auto"/>
        <w:jc w:val="center"/>
        <w:outlineLvl w:val="0"/>
        <w:rPr>
          <w:rFonts w:hint="eastAsia" w:ascii="仿宋" w:hAnsi="仿宋" w:eastAsia="仿宋" w:cs="仿宋"/>
          <w:b/>
          <w:bCs/>
          <w:color w:val="auto"/>
          <w:spacing w:val="11"/>
          <w:sz w:val="54"/>
          <w:szCs w:val="54"/>
          <w:highlight w:val="none"/>
        </w:rPr>
      </w:pPr>
      <w:r>
        <w:rPr>
          <w:rFonts w:hint="eastAsia" w:ascii="仿宋" w:hAnsi="仿宋" w:eastAsia="仿宋" w:cs="仿宋"/>
          <w:b/>
          <w:bCs/>
          <w:color w:val="auto"/>
          <w:spacing w:val="12"/>
          <w:sz w:val="54"/>
          <w:szCs w:val="54"/>
          <w:highlight w:val="none"/>
        </w:rPr>
        <w:t>项目</w:t>
      </w:r>
      <w:r>
        <w:rPr>
          <w:rFonts w:hint="eastAsia" w:ascii="仿宋" w:hAnsi="仿宋" w:eastAsia="仿宋" w:cs="仿宋"/>
          <w:b/>
          <w:bCs/>
          <w:color w:val="auto"/>
          <w:spacing w:val="11"/>
          <w:sz w:val="54"/>
          <w:szCs w:val="54"/>
          <w:highlight w:val="none"/>
        </w:rPr>
        <w:t>合同书</w:t>
      </w:r>
    </w:p>
    <w:p w14:paraId="21E1FB37">
      <w:pPr>
        <w:spacing w:line="252" w:lineRule="auto"/>
        <w:jc w:val="center"/>
        <w:rPr>
          <w:rFonts w:hint="eastAsia" w:ascii="仿宋" w:hAnsi="仿宋" w:eastAsia="仿宋" w:cs="仿宋"/>
          <w:color w:val="auto"/>
          <w:highlight w:val="none"/>
        </w:rPr>
      </w:pPr>
      <w:r>
        <w:rPr>
          <w:rFonts w:hint="eastAsia" w:ascii="仿宋" w:hAnsi="仿宋" w:eastAsia="仿宋" w:cs="仿宋"/>
          <w:b/>
          <w:bCs/>
          <w:color w:val="auto"/>
          <w:spacing w:val="11"/>
          <w:sz w:val="54"/>
          <w:szCs w:val="54"/>
          <w:highlight w:val="none"/>
          <w:lang w:eastAsia="zh-CN"/>
        </w:rPr>
        <w:t>（范本）</w:t>
      </w:r>
    </w:p>
    <w:p w14:paraId="7743B966">
      <w:pPr>
        <w:spacing w:line="276" w:lineRule="auto"/>
        <w:jc w:val="both"/>
        <w:rPr>
          <w:rFonts w:hint="eastAsia" w:ascii="仿宋" w:hAnsi="仿宋" w:eastAsia="仿宋" w:cs="仿宋"/>
          <w:color w:val="auto"/>
          <w:highlight w:val="none"/>
        </w:rPr>
      </w:pPr>
    </w:p>
    <w:p w14:paraId="7218B7D3">
      <w:pPr>
        <w:spacing w:line="276" w:lineRule="auto"/>
        <w:jc w:val="both"/>
        <w:rPr>
          <w:rFonts w:hint="eastAsia" w:ascii="仿宋" w:hAnsi="仿宋" w:eastAsia="仿宋" w:cs="仿宋"/>
          <w:color w:val="auto"/>
          <w:highlight w:val="none"/>
        </w:rPr>
      </w:pPr>
    </w:p>
    <w:p w14:paraId="4450ED52">
      <w:pPr>
        <w:pStyle w:val="2"/>
        <w:autoSpaceDE/>
        <w:autoSpaceDN/>
        <w:spacing w:line="560" w:lineRule="exact"/>
        <w:jc w:val="both"/>
        <w:rPr>
          <w:rFonts w:hint="eastAsia" w:ascii="仿宋" w:hAnsi="仿宋" w:eastAsia="仿宋" w:cs="仿宋"/>
          <w:spacing w:val="1"/>
          <w:highlight w:val="none"/>
        </w:rPr>
      </w:pPr>
    </w:p>
    <w:p w14:paraId="5B973656">
      <w:pPr>
        <w:pStyle w:val="2"/>
        <w:autoSpaceDE/>
        <w:autoSpaceDN/>
        <w:spacing w:line="560" w:lineRule="exact"/>
        <w:jc w:val="both"/>
        <w:rPr>
          <w:rFonts w:hint="eastAsia" w:ascii="仿宋" w:hAnsi="仿宋" w:eastAsia="仿宋" w:cs="仿宋"/>
          <w:color w:val="auto"/>
          <w:spacing w:val="1"/>
          <w:highlight w:val="none"/>
        </w:rPr>
      </w:pPr>
    </w:p>
    <w:p w14:paraId="08D69680">
      <w:pPr>
        <w:pStyle w:val="2"/>
        <w:spacing w:before="97" w:line="218" w:lineRule="auto"/>
        <w:ind w:firstLine="966" w:firstLineChars="300"/>
        <w:jc w:val="both"/>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rPr>
        <mc:AlternateContent>
          <mc:Choice Requires="wps">
            <w:drawing>
              <wp:anchor distT="0" distB="0" distL="113665" distR="113665" simplePos="0" relativeHeight="251659264" behindDoc="0" locked="0" layoutInCell="1" allowOverlap="1">
                <wp:simplePos x="0" y="0"/>
                <wp:positionH relativeFrom="column">
                  <wp:posOffset>2122170</wp:posOffset>
                </wp:positionH>
                <wp:positionV relativeFrom="paragraph">
                  <wp:posOffset>180340</wp:posOffset>
                </wp:positionV>
                <wp:extent cx="2915285" cy="9525"/>
                <wp:effectExtent l="0" t="0" r="0" b="0"/>
                <wp:wrapNone/>
                <wp:docPr id="1" name="矩形"/>
                <wp:cNvGraphicFramePr/>
                <a:graphic xmlns:a="http://schemas.openxmlformats.org/drawingml/2006/main">
                  <a:graphicData uri="http://schemas.microsoft.com/office/word/2010/wordprocessingShape">
                    <wps:wsp>
                      <wps:cNvSpPr/>
                      <wps:spPr>
                        <a:xfrm>
                          <a:off x="0" y="0"/>
                          <a:ext cx="2915285" cy="9525"/>
                        </a:xfrm>
                        <a:prstGeom prst="rect">
                          <a:avLst/>
                        </a:prstGeom>
                        <a:solidFill>
                          <a:srgbClr val="FFFFFF"/>
                        </a:solidFill>
                        <a:ln w="9525" cap="flat" cmpd="sng">
                          <a:noFill/>
                          <a:prstDash val="solid"/>
                          <a:miter/>
                        </a:ln>
                      </wps:spPr>
                      <wps:txbx>
                        <w:txbxContent>
                          <w:p w14:paraId="4120CA74"/>
                          <w:p w14:paraId="31150F1A"/>
                        </w:txbxContent>
                      </wps:txbx>
                      <wps:bodyPr vert="horz" wrap="square" lIns="91440" tIns="45720" rIns="91440" bIns="45720" anchor="t" anchorCtr="0" upright="1">
                        <a:noAutofit/>
                      </wps:bodyPr>
                    </wps:wsp>
                  </a:graphicData>
                </a:graphic>
              </wp:anchor>
            </w:drawing>
          </mc:Choice>
          <mc:Fallback>
            <w:pict>
              <v:rect id="矩形" o:spid="_x0000_s1026" o:spt="1" style="position:absolute;left:0pt;margin-left:167.1pt;margin-top:14.2pt;height:0.75pt;width:229.55pt;z-index:251659264;mso-width-relative:page;mso-height-relative:page;" fillcolor="#FFFFFF" filled="t" stroked="f" coordsize="21600,21600" o:gfxdata="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qacjXAAAACQEAAA8AAAAA&#10;AAAAAQAgAAAAIgAAAGRycy9kb3ducmV2LnhtbFBLAQIUABQAAAAIAIdO4kBlEzpWFQIAACkEAAAO&#10;AAAAAAAAAAEAIAAAACYBAABkcnMvZTJvRG9jLnhtbFBLBQYAAAAABgAGAFkBAACtBQAAAAA=&#10;">
                <v:fill on="t" focussize="0,0"/>
                <v:stroke on="f" joinstyle="miter"/>
                <v:imagedata o:title=""/>
                <o:lock v:ext="edit" aspectratio="f"/>
                <v:textbox>
                  <w:txbxContent>
                    <w:p w14:paraId="4120CA74"/>
                    <w:p w14:paraId="31150F1A"/>
                  </w:txbxContent>
                </v:textbox>
              </v:rect>
            </w:pict>
          </mc:Fallback>
        </mc:AlternateContent>
      </w:r>
      <w:r>
        <w:rPr>
          <w:rFonts w:hint="eastAsia" w:ascii="仿宋" w:hAnsi="仿宋" w:eastAsia="仿宋" w:cs="仿宋"/>
          <w:color w:val="auto"/>
          <w:spacing w:val="1"/>
          <w:sz w:val="32"/>
          <w:szCs w:val="32"/>
          <w:highlight w:val="none"/>
        </w:rPr>
        <w:t>项目名称：</w:t>
      </w:r>
    </w:p>
    <w:p w14:paraId="7BFA4416">
      <w:pPr>
        <w:pStyle w:val="2"/>
        <w:spacing w:before="97" w:line="218" w:lineRule="auto"/>
        <w:ind w:left="613"/>
        <w:jc w:val="both"/>
        <w:rPr>
          <w:rFonts w:hint="eastAsia" w:ascii="仿宋" w:hAnsi="仿宋" w:eastAsia="仿宋" w:cs="仿宋"/>
          <w:color w:val="auto"/>
          <w:spacing w:val="1"/>
          <w:sz w:val="32"/>
          <w:szCs w:val="32"/>
          <w:highlight w:val="none"/>
        </w:rPr>
      </w:pPr>
    </w:p>
    <w:p w14:paraId="4A1FAFAE">
      <w:pPr>
        <w:pStyle w:val="2"/>
        <w:spacing w:before="97" w:line="218" w:lineRule="auto"/>
        <w:ind w:firstLine="966" w:firstLineChars="300"/>
        <w:jc w:val="both"/>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rPr>
        <w:t>委托方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甲方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w:t>
      </w:r>
    </w:p>
    <w:p w14:paraId="78AD0F71">
      <w:pPr>
        <w:pStyle w:val="2"/>
        <w:spacing w:before="97" w:line="218" w:lineRule="auto"/>
        <w:ind w:left="613"/>
        <w:jc w:val="both"/>
        <w:rPr>
          <w:rFonts w:hint="eastAsia" w:ascii="仿宋" w:hAnsi="仿宋" w:eastAsia="仿宋" w:cs="仿宋"/>
          <w:color w:val="auto"/>
          <w:spacing w:val="1"/>
          <w:sz w:val="32"/>
          <w:szCs w:val="32"/>
          <w:highlight w:val="none"/>
        </w:rPr>
      </w:pPr>
    </w:p>
    <w:p w14:paraId="64940895">
      <w:pPr>
        <w:pStyle w:val="2"/>
        <w:spacing w:before="97" w:line="218" w:lineRule="auto"/>
        <w:ind w:firstLine="966" w:firstLineChars="300"/>
        <w:jc w:val="both"/>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rPr>
        <w:t>受托方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lang w:val="en-US" w:eastAsia="zh-CN"/>
        </w:rPr>
        <w:t>乙</w:t>
      </w:r>
      <w:r>
        <w:rPr>
          <w:rFonts w:hint="eastAsia" w:ascii="仿宋" w:hAnsi="仿宋" w:eastAsia="仿宋" w:cs="仿宋"/>
          <w:color w:val="auto"/>
          <w:spacing w:val="1"/>
          <w:sz w:val="32"/>
          <w:szCs w:val="32"/>
          <w:highlight w:val="none"/>
        </w:rPr>
        <w:t>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w:t>
      </w:r>
    </w:p>
    <w:p w14:paraId="321E8571">
      <w:pPr>
        <w:spacing w:line="245" w:lineRule="auto"/>
        <w:jc w:val="both"/>
        <w:rPr>
          <w:rFonts w:hint="eastAsia" w:ascii="仿宋" w:hAnsi="仿宋" w:eastAsia="仿宋" w:cs="仿宋"/>
          <w:color w:val="auto"/>
          <w:spacing w:val="1"/>
          <w:sz w:val="32"/>
          <w:szCs w:val="32"/>
          <w:highlight w:val="none"/>
        </w:rPr>
      </w:pPr>
    </w:p>
    <w:p w14:paraId="3C49D5FF">
      <w:pPr>
        <w:pStyle w:val="2"/>
        <w:spacing w:before="97" w:line="218" w:lineRule="auto"/>
        <w:ind w:firstLine="966" w:firstLineChars="300"/>
        <w:jc w:val="both"/>
        <w:rPr>
          <w:rFonts w:hint="eastAsia" w:ascii="仿宋" w:hAnsi="仿宋" w:eastAsia="仿宋" w:cs="仿宋"/>
          <w:color w:val="auto"/>
          <w:spacing w:val="1"/>
          <w:sz w:val="32"/>
          <w:szCs w:val="32"/>
          <w:highlight w:val="none"/>
          <w:u w:val="single"/>
          <w:lang w:eastAsia="zh-CN"/>
        </w:rPr>
      </w:pPr>
      <w:r>
        <w:rPr>
          <w:rFonts w:hint="eastAsia" w:ascii="仿宋" w:hAnsi="仿宋" w:eastAsia="仿宋" w:cs="仿宋"/>
          <w:color w:val="auto"/>
          <w:spacing w:val="1"/>
          <w:sz w:val="32"/>
          <w:szCs w:val="32"/>
          <w:highlight w:val="none"/>
        </w:rPr>
        <w:t>签订日期：</w:t>
      </w:r>
    </w:p>
    <w:p w14:paraId="09584179">
      <w:pPr>
        <w:spacing w:line="242" w:lineRule="auto"/>
        <w:jc w:val="both"/>
        <w:rPr>
          <w:rFonts w:hint="eastAsia" w:ascii="仿宋" w:hAnsi="仿宋" w:eastAsia="仿宋" w:cs="仿宋"/>
          <w:color w:val="auto"/>
          <w:spacing w:val="1"/>
          <w:sz w:val="32"/>
          <w:szCs w:val="32"/>
          <w:highlight w:val="none"/>
        </w:rPr>
      </w:pPr>
    </w:p>
    <w:p w14:paraId="2423E5EB">
      <w:pPr>
        <w:pStyle w:val="2"/>
        <w:spacing w:before="98" w:line="218" w:lineRule="auto"/>
        <w:ind w:firstLine="966" w:firstLineChars="300"/>
        <w:jc w:val="both"/>
        <w:rPr>
          <w:rFonts w:hint="eastAsia" w:ascii="仿宋" w:hAnsi="仿宋" w:eastAsia="仿宋" w:cs="仿宋"/>
          <w:color w:val="auto"/>
          <w:spacing w:val="1"/>
          <w:sz w:val="32"/>
          <w:szCs w:val="32"/>
          <w:highlight w:val="none"/>
          <w:u w:val="single"/>
          <w:lang w:eastAsia="zh-CN"/>
        </w:rPr>
      </w:pPr>
      <w:r>
        <w:rPr>
          <w:rFonts w:hint="eastAsia" w:ascii="仿宋" w:hAnsi="仿宋" w:eastAsia="仿宋" w:cs="仿宋"/>
          <w:color w:val="auto"/>
          <w:spacing w:val="1"/>
          <w:sz w:val="32"/>
          <w:szCs w:val="32"/>
          <w:highlight w:val="none"/>
        </w:rPr>
        <w:t>签订地点：</w:t>
      </w:r>
    </w:p>
    <w:p w14:paraId="47D38EBC">
      <w:pPr>
        <w:jc w:val="both"/>
        <w:rPr>
          <w:rFonts w:hint="eastAsia" w:ascii="仿宋" w:hAnsi="仿宋" w:eastAsia="仿宋" w:cs="仿宋"/>
          <w:color w:val="auto"/>
          <w:highlight w:val="none"/>
          <w:lang w:val="en-US" w:eastAsia="zh-CN"/>
        </w:rPr>
      </w:pPr>
    </w:p>
    <w:p w14:paraId="3A8B1C44">
      <w:pPr>
        <w:jc w:val="both"/>
        <w:rPr>
          <w:rFonts w:hint="eastAsia" w:ascii="仿宋" w:hAnsi="仿宋" w:eastAsia="仿宋" w:cs="仿宋"/>
          <w:color w:val="auto"/>
          <w:highlight w:val="none"/>
          <w:lang w:eastAsia="zh-CN"/>
        </w:rPr>
      </w:pPr>
    </w:p>
    <w:p w14:paraId="0DD657EA">
      <w:pPr>
        <w:jc w:val="both"/>
        <w:rPr>
          <w:rFonts w:hint="eastAsia" w:ascii="仿宋" w:hAnsi="仿宋" w:eastAsia="仿宋" w:cs="仿宋"/>
          <w:highlight w:val="none"/>
        </w:rPr>
      </w:pPr>
    </w:p>
    <w:p w14:paraId="5AAC2E6E">
      <w:pPr>
        <w:jc w:val="both"/>
        <w:rPr>
          <w:rFonts w:hint="eastAsia" w:ascii="仿宋" w:hAnsi="仿宋" w:eastAsia="仿宋" w:cs="仿宋"/>
          <w:highlight w:val="none"/>
        </w:rPr>
      </w:pPr>
    </w:p>
    <w:p w14:paraId="167F66D2">
      <w:pPr>
        <w:widowControl w:val="0"/>
        <w:autoSpaceDE/>
        <w:autoSpaceDN/>
        <w:spacing w:line="400" w:lineRule="exact"/>
        <w:ind w:firstLine="420" w:firstLineChars="200"/>
        <w:jc w:val="both"/>
        <w:rPr>
          <w:rFonts w:hint="eastAsia" w:ascii="仿宋" w:hAnsi="仿宋" w:eastAsia="仿宋" w:cs="仿宋"/>
          <w:highlight w:val="none"/>
        </w:rPr>
      </w:pPr>
    </w:p>
    <w:p w14:paraId="0F2C142F">
      <w:pPr>
        <w:widowControl w:val="0"/>
        <w:autoSpaceDE/>
        <w:autoSpaceDN/>
        <w:spacing w:line="400" w:lineRule="exact"/>
        <w:ind w:firstLine="420" w:firstLineChars="200"/>
        <w:jc w:val="both"/>
        <w:rPr>
          <w:rFonts w:hint="eastAsia" w:ascii="仿宋" w:hAnsi="仿宋" w:eastAsia="仿宋" w:cs="仿宋"/>
          <w:highlight w:val="none"/>
        </w:rPr>
      </w:pPr>
    </w:p>
    <w:p w14:paraId="7D62BDC9">
      <w:pPr>
        <w:widowControl w:val="0"/>
        <w:autoSpaceDE/>
        <w:autoSpaceDN/>
        <w:spacing w:line="400" w:lineRule="exact"/>
        <w:ind w:firstLine="420" w:firstLineChars="200"/>
        <w:jc w:val="both"/>
        <w:rPr>
          <w:rFonts w:hint="eastAsia" w:ascii="仿宋" w:hAnsi="仿宋" w:eastAsia="仿宋" w:cs="仿宋"/>
          <w:highlight w:val="none"/>
        </w:rPr>
      </w:pPr>
    </w:p>
    <w:p w14:paraId="45078EA4">
      <w:pPr>
        <w:widowControl w:val="0"/>
        <w:autoSpaceDE/>
        <w:autoSpaceDN/>
        <w:spacing w:beforeLines="0" w:afterLines="0" w:line="360" w:lineRule="auto"/>
        <w:ind w:firstLine="0" w:firstLineChars="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填写说明</w:t>
      </w:r>
      <w:r>
        <w:rPr>
          <w:rFonts w:hint="eastAsia" w:ascii="仿宋" w:hAnsi="仿宋" w:eastAsia="仿宋" w:cs="仿宋"/>
          <w:sz w:val="32"/>
          <w:szCs w:val="32"/>
          <w:highlight w:val="none"/>
          <w:lang w:eastAsia="zh-CN"/>
        </w:rPr>
        <w:t>：</w:t>
      </w:r>
    </w:p>
    <w:p w14:paraId="3684D38B">
      <w:pPr>
        <w:widowControl w:val="0"/>
        <w:autoSpaceDE/>
        <w:autoSpaceDN/>
        <w:spacing w:beforeLines="0" w:afterLines="0" w:line="360" w:lineRule="auto"/>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一、本合同为陕西省财政厅印制的网信系统运维服务项目合同示范文本，各有关处室可参照使用。</w:t>
      </w:r>
    </w:p>
    <w:p w14:paraId="691BDA12">
      <w:pPr>
        <w:widowControl w:val="0"/>
        <w:autoSpaceDE/>
        <w:autoSpaceDN/>
        <w:spacing w:beforeLines="0" w:afterLines="0" w:line="360" w:lineRule="auto"/>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二、本合同书适用于一方当事人（受托方）为另一方（委托方）提供网络安全和信息化项目服务（含运维服务、基础设施、数据处理等服务）所订立的合同。</w:t>
      </w:r>
    </w:p>
    <w:p w14:paraId="30AB4C0B">
      <w:pPr>
        <w:widowControl w:val="0"/>
        <w:autoSpaceDE/>
        <w:autoSpaceDN/>
        <w:spacing w:beforeLines="0" w:afterLines="0" w:line="360" w:lineRule="auto"/>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三、受托方为多个当事人的，可按各自在合同关系中的作用等，在“受托方”项下（增页）分别排列为共同受托人。</w:t>
      </w:r>
    </w:p>
    <w:p w14:paraId="37B86849">
      <w:pPr>
        <w:widowControl w:val="0"/>
        <w:autoSpaceDE/>
        <w:autoSpaceDN/>
        <w:spacing w:beforeLines="0" w:afterLines="0" w:line="360" w:lineRule="auto"/>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四、本合同书未尽事项，可由当事人附页另行约定，并作为本合同的组成部分。</w:t>
      </w:r>
    </w:p>
    <w:p w14:paraId="52D51B99">
      <w:pPr>
        <w:widowControl w:val="0"/>
        <w:autoSpaceDE/>
        <w:autoSpaceDN/>
        <w:spacing w:beforeLines="0" w:afterLines="0" w:line="360" w:lineRule="auto"/>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五、当事人使用本合同书时约定无需填写的条款，应在该条款处注明“无”等字样。</w:t>
      </w:r>
    </w:p>
    <w:p w14:paraId="1C802D48">
      <w:pPr>
        <w:widowControl w:val="0"/>
        <w:autoSpaceDE/>
        <w:autoSpaceDN/>
        <w:spacing w:line="400" w:lineRule="exact"/>
        <w:ind w:firstLine="420" w:firstLineChars="200"/>
        <w:jc w:val="both"/>
        <w:rPr>
          <w:rFonts w:hint="eastAsia" w:ascii="仿宋" w:hAnsi="仿宋" w:eastAsia="仿宋" w:cs="仿宋"/>
          <w:highlight w:val="none"/>
        </w:rPr>
      </w:pPr>
    </w:p>
    <w:p w14:paraId="5C313E39">
      <w:pPr>
        <w:widowControl w:val="0"/>
        <w:autoSpaceDE/>
        <w:autoSpaceDN/>
        <w:spacing w:line="400" w:lineRule="exact"/>
        <w:ind w:firstLine="420" w:firstLineChars="200"/>
        <w:jc w:val="both"/>
        <w:rPr>
          <w:rFonts w:hint="eastAsia" w:ascii="仿宋" w:hAnsi="仿宋" w:eastAsia="仿宋" w:cs="仿宋"/>
          <w:highlight w:val="none"/>
        </w:rPr>
      </w:pPr>
    </w:p>
    <w:p w14:paraId="0563A76D">
      <w:pPr>
        <w:widowControl w:val="0"/>
        <w:autoSpaceDE/>
        <w:autoSpaceDN/>
        <w:spacing w:line="400" w:lineRule="exact"/>
        <w:ind w:firstLine="420" w:firstLineChars="200"/>
        <w:jc w:val="both"/>
        <w:rPr>
          <w:rFonts w:hint="eastAsia" w:ascii="仿宋" w:hAnsi="仿宋" w:eastAsia="仿宋" w:cs="仿宋"/>
          <w:highlight w:val="none"/>
        </w:rPr>
      </w:pPr>
    </w:p>
    <w:p w14:paraId="4619C5B4">
      <w:pPr>
        <w:widowControl w:val="0"/>
        <w:autoSpaceDE/>
        <w:autoSpaceDN/>
        <w:spacing w:line="400" w:lineRule="exact"/>
        <w:ind w:firstLine="420" w:firstLineChars="200"/>
        <w:jc w:val="both"/>
        <w:rPr>
          <w:rFonts w:hint="eastAsia" w:ascii="仿宋" w:hAnsi="仿宋" w:eastAsia="仿宋" w:cs="仿宋"/>
          <w:highlight w:val="none"/>
        </w:rPr>
      </w:pPr>
    </w:p>
    <w:p w14:paraId="51B53869">
      <w:pPr>
        <w:widowControl w:val="0"/>
        <w:autoSpaceDE/>
        <w:autoSpaceDN/>
        <w:spacing w:line="400" w:lineRule="exact"/>
        <w:ind w:firstLine="420" w:firstLineChars="200"/>
        <w:jc w:val="both"/>
        <w:rPr>
          <w:rFonts w:hint="eastAsia" w:ascii="仿宋" w:hAnsi="仿宋" w:eastAsia="仿宋" w:cs="仿宋"/>
          <w:highlight w:val="none"/>
        </w:rPr>
      </w:pPr>
    </w:p>
    <w:p w14:paraId="384006FC">
      <w:pPr>
        <w:widowControl w:val="0"/>
        <w:autoSpaceDE/>
        <w:autoSpaceDN/>
        <w:spacing w:line="400" w:lineRule="exact"/>
        <w:ind w:firstLine="420" w:firstLineChars="200"/>
        <w:jc w:val="both"/>
        <w:rPr>
          <w:rFonts w:hint="eastAsia" w:ascii="仿宋" w:hAnsi="仿宋" w:eastAsia="仿宋" w:cs="仿宋"/>
          <w:highlight w:val="none"/>
        </w:rPr>
      </w:pPr>
    </w:p>
    <w:p w14:paraId="0ABA3DE5">
      <w:pPr>
        <w:widowControl w:val="0"/>
        <w:autoSpaceDE/>
        <w:autoSpaceDN/>
        <w:spacing w:line="400" w:lineRule="exact"/>
        <w:ind w:firstLine="420" w:firstLineChars="200"/>
        <w:jc w:val="both"/>
        <w:rPr>
          <w:rFonts w:hint="eastAsia" w:ascii="仿宋" w:hAnsi="仿宋" w:eastAsia="仿宋" w:cs="仿宋"/>
          <w:highlight w:val="none"/>
        </w:rPr>
      </w:pPr>
    </w:p>
    <w:p w14:paraId="5CF048D5">
      <w:pPr>
        <w:widowControl w:val="0"/>
        <w:autoSpaceDE/>
        <w:autoSpaceDN/>
        <w:spacing w:line="400" w:lineRule="exact"/>
        <w:ind w:firstLine="420" w:firstLineChars="200"/>
        <w:jc w:val="both"/>
        <w:rPr>
          <w:rFonts w:hint="eastAsia" w:ascii="仿宋" w:hAnsi="仿宋" w:eastAsia="仿宋" w:cs="仿宋"/>
          <w:highlight w:val="none"/>
        </w:rPr>
      </w:pPr>
    </w:p>
    <w:p w14:paraId="1E4ECCAC">
      <w:pPr>
        <w:widowControl w:val="0"/>
        <w:autoSpaceDE/>
        <w:autoSpaceDN/>
        <w:spacing w:line="400" w:lineRule="exact"/>
        <w:ind w:firstLine="420" w:firstLineChars="200"/>
        <w:jc w:val="both"/>
        <w:rPr>
          <w:rFonts w:hint="eastAsia" w:ascii="仿宋" w:hAnsi="仿宋" w:eastAsia="仿宋" w:cs="仿宋"/>
          <w:highlight w:val="none"/>
        </w:rPr>
      </w:pPr>
    </w:p>
    <w:p w14:paraId="28775287">
      <w:pPr>
        <w:widowControl w:val="0"/>
        <w:autoSpaceDE/>
        <w:autoSpaceDN/>
        <w:spacing w:line="400" w:lineRule="exact"/>
        <w:ind w:firstLine="420" w:firstLineChars="200"/>
        <w:jc w:val="both"/>
        <w:rPr>
          <w:rFonts w:hint="eastAsia" w:ascii="仿宋" w:hAnsi="仿宋" w:eastAsia="仿宋" w:cs="仿宋"/>
          <w:highlight w:val="none"/>
        </w:rPr>
      </w:pPr>
    </w:p>
    <w:p w14:paraId="50A61E2D">
      <w:pPr>
        <w:widowControl w:val="0"/>
        <w:autoSpaceDE/>
        <w:autoSpaceDN/>
        <w:spacing w:line="400" w:lineRule="exact"/>
        <w:ind w:firstLine="420" w:firstLineChars="200"/>
        <w:jc w:val="both"/>
        <w:rPr>
          <w:rFonts w:hint="eastAsia" w:ascii="仿宋" w:hAnsi="仿宋" w:eastAsia="仿宋" w:cs="仿宋"/>
          <w:highlight w:val="none"/>
        </w:rPr>
      </w:pPr>
    </w:p>
    <w:p w14:paraId="0131217C">
      <w:pPr>
        <w:widowControl w:val="0"/>
        <w:autoSpaceDE/>
        <w:autoSpaceDN/>
        <w:spacing w:line="400" w:lineRule="exact"/>
        <w:ind w:firstLine="420" w:firstLineChars="200"/>
        <w:jc w:val="both"/>
        <w:rPr>
          <w:rFonts w:hint="eastAsia" w:ascii="仿宋" w:hAnsi="仿宋" w:eastAsia="仿宋" w:cs="仿宋"/>
          <w:highlight w:val="none"/>
        </w:rPr>
      </w:pPr>
    </w:p>
    <w:p w14:paraId="054C3026">
      <w:pPr>
        <w:widowControl w:val="0"/>
        <w:autoSpaceDE/>
        <w:autoSpaceDN/>
        <w:spacing w:line="400" w:lineRule="exact"/>
        <w:ind w:firstLine="420" w:firstLineChars="200"/>
        <w:jc w:val="both"/>
        <w:rPr>
          <w:rFonts w:hint="eastAsia" w:ascii="仿宋" w:hAnsi="仿宋" w:eastAsia="仿宋" w:cs="仿宋"/>
          <w:highlight w:val="none"/>
        </w:rPr>
      </w:pPr>
    </w:p>
    <w:p w14:paraId="530CC10A">
      <w:pPr>
        <w:widowControl w:val="0"/>
        <w:autoSpaceDE/>
        <w:autoSpaceDN/>
        <w:spacing w:line="400" w:lineRule="exact"/>
        <w:ind w:firstLine="0" w:firstLineChars="0"/>
        <w:jc w:val="both"/>
        <w:rPr>
          <w:rFonts w:hint="eastAsia" w:ascii="仿宋" w:hAnsi="仿宋" w:eastAsia="仿宋" w:cs="仿宋"/>
          <w:highlight w:val="none"/>
        </w:rPr>
      </w:pPr>
    </w:p>
    <w:p w14:paraId="15468F47">
      <w:pPr>
        <w:widowControl w:val="0"/>
        <w:autoSpaceDE/>
        <w:autoSpaceDN/>
        <w:spacing w:line="400" w:lineRule="exact"/>
        <w:ind w:firstLine="0" w:firstLineChars="0"/>
        <w:jc w:val="both"/>
        <w:rPr>
          <w:rFonts w:hint="eastAsia" w:ascii="仿宋" w:hAnsi="仿宋" w:eastAsia="仿宋" w:cs="仿宋"/>
          <w:highlight w:val="none"/>
        </w:rPr>
      </w:pPr>
      <w:r>
        <w:rPr>
          <w:rFonts w:hint="eastAsia" w:ascii="仿宋" w:hAnsi="仿宋" w:eastAsia="仿宋" w:cs="仿宋"/>
          <w:highlight w:val="none"/>
        </w:rPr>
        <w:t>根据《中华人民共和国民法典》《中华人民共和国政府采购法》</w:t>
      </w:r>
      <w:r>
        <w:rPr>
          <w:rFonts w:hint="eastAsia" w:ascii="仿宋" w:hAnsi="仿宋" w:eastAsia="仿宋" w:cs="仿宋"/>
          <w:highlight w:val="none"/>
          <w:lang w:val="en-US" w:eastAsia="zh-CN"/>
        </w:rPr>
        <w:t>等</w:t>
      </w:r>
      <w:r>
        <w:rPr>
          <w:rFonts w:hint="eastAsia" w:ascii="仿宋" w:hAnsi="仿宋" w:eastAsia="仿宋" w:cs="仿宋"/>
          <w:highlight w:val="none"/>
        </w:rPr>
        <w:t>其</w:t>
      </w:r>
      <w:r>
        <w:rPr>
          <w:rFonts w:hint="eastAsia" w:ascii="仿宋" w:hAnsi="仿宋" w:eastAsia="仿宋" w:cs="仿宋"/>
          <w:highlight w:val="none"/>
          <w:lang w:val="en-US" w:eastAsia="zh-CN"/>
        </w:rPr>
        <w:t>他</w:t>
      </w:r>
      <w:r>
        <w:rPr>
          <w:rFonts w:hint="eastAsia" w:ascii="仿宋" w:hAnsi="仿宋" w:eastAsia="仿宋" w:cs="仿宋"/>
          <w:highlight w:val="none"/>
        </w:rPr>
        <w:t>相关法律法规以及采购文件、成交通知书的规定，就</w:t>
      </w:r>
      <w:r>
        <w:rPr>
          <w:rFonts w:hint="eastAsia" w:ascii="仿宋" w:hAnsi="仿宋" w:eastAsia="仿宋" w:cs="仿宋"/>
          <w:highlight w:val="none"/>
          <w:u w:val="single"/>
        </w:rPr>
        <w:t>公司</w:t>
      </w:r>
      <w:r>
        <w:rPr>
          <w:rFonts w:hint="eastAsia" w:ascii="仿宋" w:hAnsi="仿宋" w:eastAsia="仿宋" w:cs="仿宋"/>
          <w:highlight w:val="none"/>
        </w:rPr>
        <w:t>（以下简称“乙方”）向</w:t>
      </w:r>
      <w:r>
        <w:rPr>
          <w:rFonts w:hint="eastAsia" w:ascii="仿宋" w:hAnsi="仿宋" w:eastAsia="仿宋" w:cs="仿宋"/>
          <w:highlight w:val="none"/>
          <w:u w:val="single"/>
        </w:rPr>
        <w:t>陕西省财政厅</w:t>
      </w:r>
      <w:r>
        <w:rPr>
          <w:rFonts w:hint="eastAsia" w:ascii="仿宋" w:hAnsi="仿宋" w:eastAsia="仿宋" w:cs="仿宋"/>
          <w:highlight w:val="none"/>
        </w:rPr>
        <w:t>（以下简称“甲方”）提供服务（以下简称“服务”）事宜，经甲乙双方共同协商，一致达成如下各条款，以资共同遵照协议。</w:t>
      </w:r>
    </w:p>
    <w:p w14:paraId="59928174">
      <w:pPr>
        <w:widowControl w:val="0"/>
        <w:autoSpaceDE/>
        <w:autoSpaceDN/>
        <w:spacing w:line="400" w:lineRule="exact"/>
        <w:ind w:firstLine="420" w:firstLineChars="200"/>
        <w:jc w:val="both"/>
        <w:rPr>
          <w:rFonts w:hint="eastAsia" w:ascii="仿宋" w:hAnsi="仿宋" w:eastAsia="仿宋" w:cs="仿宋"/>
          <w:highlight w:val="none"/>
        </w:rPr>
      </w:pPr>
    </w:p>
    <w:p w14:paraId="3EA5F4FB">
      <w:pPr>
        <w:widowControl w:val="0"/>
        <w:autoSpaceDE/>
        <w:autoSpaceDN/>
        <w:spacing w:line="400" w:lineRule="exact"/>
        <w:ind w:firstLine="422" w:firstLineChars="200"/>
        <w:jc w:val="center"/>
        <w:rPr>
          <w:rFonts w:hint="eastAsia" w:ascii="仿宋" w:hAnsi="仿宋" w:eastAsia="仿宋" w:cs="仿宋"/>
          <w:b/>
          <w:bCs/>
          <w:highlight w:val="none"/>
        </w:rPr>
      </w:pPr>
      <w:r>
        <w:rPr>
          <w:rFonts w:hint="eastAsia" w:ascii="仿宋" w:hAnsi="仿宋" w:eastAsia="仿宋" w:cs="仿宋"/>
          <w:b/>
          <w:bCs/>
          <w:highlight w:val="none"/>
        </w:rPr>
        <w:t>第一章总则</w:t>
      </w:r>
    </w:p>
    <w:p w14:paraId="73E0F5D6">
      <w:pPr>
        <w:widowControl w:val="0"/>
        <w:autoSpaceDE/>
        <w:autoSpaceDN/>
        <w:spacing w:line="400" w:lineRule="exact"/>
        <w:ind w:firstLine="420" w:firstLineChars="200"/>
        <w:jc w:val="both"/>
        <w:rPr>
          <w:rFonts w:hint="eastAsia" w:ascii="仿宋" w:hAnsi="仿宋" w:eastAsia="仿宋" w:cs="仿宋"/>
          <w:highlight w:val="none"/>
        </w:rPr>
      </w:pPr>
    </w:p>
    <w:p w14:paraId="0BD8160D">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1.相关术语的定义和解释</w:t>
      </w:r>
    </w:p>
    <w:p w14:paraId="03BFA639">
      <w:pPr>
        <w:widowControl w:val="0"/>
        <w:autoSpaceDE/>
        <w:autoSpaceDN/>
        <w:spacing w:line="400" w:lineRule="exact"/>
        <w:jc w:val="both"/>
        <w:rPr>
          <w:rFonts w:hint="eastAsia" w:ascii="仿宋" w:hAnsi="仿宋" w:eastAsia="仿宋" w:cs="仿宋"/>
          <w:highlight w:val="none"/>
        </w:rPr>
      </w:pPr>
    </w:p>
    <w:p w14:paraId="79CECE03">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1.1.定义</w:t>
      </w:r>
    </w:p>
    <w:p w14:paraId="57DD7B70">
      <w:pPr>
        <w:widowControl w:val="0"/>
        <w:autoSpaceDE/>
        <w:autoSpaceDN/>
        <w:spacing w:line="400" w:lineRule="exact"/>
        <w:ind w:firstLine="422" w:firstLineChars="200"/>
        <w:jc w:val="both"/>
        <w:rPr>
          <w:rFonts w:hint="eastAsia" w:ascii="仿宋" w:hAnsi="仿宋" w:eastAsia="仿宋" w:cs="仿宋"/>
          <w:b/>
          <w:bCs/>
          <w:highlight w:val="none"/>
        </w:rPr>
      </w:pPr>
    </w:p>
    <w:p w14:paraId="4DA889FB">
      <w:pPr>
        <w:widowControl w:val="0"/>
        <w:autoSpaceDE/>
        <w:autoSpaceDN/>
        <w:spacing w:line="40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1.1.1.本项目：</w:t>
      </w:r>
    </w:p>
    <w:p w14:paraId="24FD9926">
      <w:pPr>
        <w:widowControl w:val="0"/>
        <w:autoSpaceDE/>
        <w:autoSpaceDN/>
        <w:spacing w:line="400" w:lineRule="exact"/>
        <w:ind w:firstLine="420" w:firstLineChars="200"/>
        <w:rPr>
          <w:rFonts w:hint="eastAsia" w:ascii="仿宋" w:hAnsi="仿宋" w:eastAsia="仿宋" w:cs="仿宋"/>
          <w:highlight w:val="none"/>
          <w:u w:val="single"/>
          <w:lang w:eastAsia="zh-CN"/>
        </w:rPr>
      </w:pPr>
      <w:r>
        <w:rPr>
          <w:rFonts w:hint="eastAsia" w:ascii="仿宋" w:hAnsi="仿宋" w:eastAsia="仿宋" w:cs="仿宋"/>
          <w:highlight w:val="none"/>
        </w:rPr>
        <w:t>1.1.2.甲方：</w:t>
      </w:r>
    </w:p>
    <w:p w14:paraId="1CACCCD2">
      <w:pPr>
        <w:widowControl w:val="0"/>
        <w:autoSpaceDE/>
        <w:autoSpaceDN/>
        <w:spacing w:line="400" w:lineRule="exact"/>
        <w:ind w:firstLine="420" w:firstLineChars="200"/>
        <w:rPr>
          <w:rFonts w:hint="eastAsia" w:ascii="仿宋" w:hAnsi="仿宋" w:eastAsia="仿宋" w:cs="仿宋"/>
          <w:highlight w:val="none"/>
          <w:u w:val="single"/>
          <w:lang w:eastAsia="zh-CN"/>
        </w:rPr>
      </w:pPr>
      <w:r>
        <w:rPr>
          <w:rFonts w:hint="eastAsia" w:ascii="仿宋" w:hAnsi="仿宋" w:eastAsia="仿宋" w:cs="仿宋"/>
          <w:highlight w:val="none"/>
        </w:rPr>
        <w:t>1.1.3.乙方：</w:t>
      </w:r>
    </w:p>
    <w:p w14:paraId="1D710B18">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1.1.4.咨询监理单位：受甲方委托对本项目进行第三方咨询、监理的单位。</w:t>
      </w:r>
    </w:p>
    <w:p w14:paraId="3DED57BD">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1.1.5.测试、测评单位：受甲方或乙方委托对本项目进行第三方测试、安全等保测评等服务的单位。</w:t>
      </w:r>
    </w:p>
    <w:p w14:paraId="55230E00">
      <w:pPr>
        <w:widowControl w:val="0"/>
        <w:autoSpaceDE/>
        <w:autoSpaceDN/>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1.1.6.适用法律：指所有适用的中华人民共和国法律、法规、部门规章、地方性法规、司法解释、政府部门颁布的标准、规范或其他适用的强制性要求、有法律约束力的规范性文件等。除非另有特别约定或文意另有所指，本合同中提及的“法律”均包括适用法律的全部定义内容。</w:t>
      </w:r>
    </w:p>
    <w:p w14:paraId="775B55F7">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1.1.7.法律变更：指在生效日后颁布、修订、废止或重新解释的任何适用法律导致甲方或乙方在本合同项下的权利义务发生实质性变化。</w:t>
      </w:r>
    </w:p>
    <w:p w14:paraId="366C7330">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1.1.8.批准：指为了使乙方能够履行其在本合同项下的义务和行使其在本合同项下的权利，乙方必须从甲方或各有关单位依法获得的为乙方的运维所需要的任何许可、同意、授权等。</w:t>
      </w:r>
    </w:p>
    <w:p w14:paraId="1806064C">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1.1.9.生效日：指本合同甲乙双方盖章并由双方法定代表人或授权代表人签字之日。如依照适用法律需要履行审批程序的，则在有权部门审批后生效。</w:t>
      </w:r>
    </w:p>
    <w:p w14:paraId="1452533A">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1.1.10.服务实施：指乙方根据本合同开展服务实施准备、执行、收尾等工作。</w:t>
      </w:r>
    </w:p>
    <w:p w14:paraId="4D15AE5B">
      <w:pPr>
        <w:widowControl w:val="0"/>
        <w:autoSpaceDE/>
        <w:autoSpaceDN/>
        <w:spacing w:line="400" w:lineRule="exact"/>
        <w:ind w:firstLine="420" w:firstLineChars="200"/>
        <w:jc w:val="both"/>
        <w:rPr>
          <w:rFonts w:hint="eastAsia" w:ascii="仿宋" w:hAnsi="仿宋" w:eastAsia="仿宋" w:cs="仿宋"/>
          <w:highlight w:val="none"/>
          <w:u w:val="none"/>
        </w:rPr>
      </w:pPr>
      <w:r>
        <w:rPr>
          <w:rFonts w:hint="eastAsia" w:ascii="仿宋" w:hAnsi="仿宋" w:eastAsia="仿宋" w:cs="仿宋"/>
          <w:highlight w:val="none"/>
        </w:rPr>
        <w:t>1</w:t>
      </w:r>
      <w:r>
        <w:rPr>
          <w:rFonts w:hint="eastAsia" w:ascii="仿宋" w:hAnsi="仿宋" w:eastAsia="仿宋" w:cs="仿宋"/>
          <w:highlight w:val="none"/>
          <w:u w:val="none"/>
        </w:rPr>
        <w:t>.1.11.</w:t>
      </w:r>
      <w:r>
        <w:rPr>
          <w:rFonts w:hint="eastAsia" w:ascii="仿宋" w:hAnsi="仿宋" w:eastAsia="仿宋" w:cs="仿宋"/>
          <w:highlight w:val="none"/>
          <w:u w:val="none"/>
          <w:lang w:eastAsia="zh-CN"/>
        </w:rPr>
        <w:t>服务评价</w:t>
      </w:r>
      <w:r>
        <w:rPr>
          <w:rFonts w:hint="eastAsia" w:ascii="仿宋" w:hAnsi="仿宋" w:eastAsia="仿宋" w:cs="仿宋"/>
          <w:color w:val="000000" w:themeColor="text1"/>
          <w:highlight w:val="none"/>
          <w:u w:val="none"/>
          <w14:textFill>
            <w14:solidFill>
              <w14:schemeClr w14:val="tx1"/>
            </w14:solidFill>
          </w14:textFill>
        </w:rPr>
        <w:t>：对项目整体服务的</w:t>
      </w:r>
      <w:r>
        <w:rPr>
          <w:rFonts w:hint="eastAsia" w:ascii="仿宋" w:hAnsi="仿宋" w:eastAsia="仿宋" w:cs="仿宋"/>
          <w:color w:val="000000" w:themeColor="text1"/>
          <w:highlight w:val="none"/>
          <w:u w:val="none"/>
          <w:lang w:eastAsia="zh-CN"/>
          <w14:textFill>
            <w14:solidFill>
              <w14:schemeClr w14:val="tx1"/>
            </w14:solidFill>
          </w14:textFill>
        </w:rPr>
        <w:t>评价</w:t>
      </w:r>
      <w:r>
        <w:rPr>
          <w:rFonts w:hint="eastAsia" w:ascii="仿宋" w:hAnsi="仿宋" w:eastAsia="仿宋" w:cs="仿宋"/>
          <w:highlight w:val="none"/>
          <w:u w:val="none"/>
        </w:rPr>
        <w:t>。</w:t>
      </w:r>
    </w:p>
    <w:p w14:paraId="0821D7E8">
      <w:pPr>
        <w:widowControl w:val="0"/>
        <w:autoSpaceDE/>
        <w:autoSpaceDN/>
        <w:spacing w:line="400" w:lineRule="exact"/>
        <w:ind w:firstLine="420" w:firstLineChars="200"/>
        <w:jc w:val="both"/>
        <w:rPr>
          <w:rFonts w:hint="eastAsia" w:ascii="仿宋" w:hAnsi="仿宋" w:eastAsia="仿宋" w:cs="仿宋"/>
          <w:highlight w:val="none"/>
          <w:u w:val="single"/>
        </w:rPr>
      </w:pPr>
      <w:r>
        <w:rPr>
          <w:rFonts w:hint="eastAsia" w:ascii="仿宋" w:hAnsi="仿宋" w:eastAsia="仿宋" w:cs="仿宋"/>
          <w:highlight w:val="none"/>
        </w:rPr>
        <w:t>1.1.12.服务期限：指本项目周期、期限。</w:t>
      </w:r>
    </w:p>
    <w:p w14:paraId="2DE93F70">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1.1.13.其他在本合同及相关附件中涉及的有关名词和技术术语，其定义和解释如下：</w:t>
      </w:r>
    </w:p>
    <w:p w14:paraId="6834D3BA">
      <w:pPr>
        <w:widowControl w:val="0"/>
        <w:autoSpaceDE/>
        <w:autoSpaceDN/>
        <w:spacing w:line="400" w:lineRule="exact"/>
        <w:ind w:firstLine="420" w:firstLineChars="200"/>
        <w:jc w:val="both"/>
        <w:rPr>
          <w:rFonts w:hint="eastAsia" w:ascii="仿宋" w:hAnsi="仿宋" w:eastAsia="仿宋" w:cs="仿宋"/>
          <w:highlight w:val="none"/>
          <w:lang w:eastAsia="zh-CN"/>
        </w:rPr>
      </w:pPr>
      <w:r>
        <w:rPr>
          <w:rFonts w:hint="eastAsia" w:ascii="仿宋" w:hAnsi="仿宋" w:eastAsia="仿宋" w:cs="仿宋"/>
          <w:highlight w:val="none"/>
        </w:rPr>
        <w:t>（1）</w:t>
      </w:r>
      <w:r>
        <w:rPr>
          <w:rFonts w:hint="eastAsia" w:ascii="仿宋" w:hAnsi="仿宋" w:eastAsia="仿宋" w:cs="仿宋"/>
          <w:highlight w:val="none"/>
          <w:u w:val="single"/>
        </w:rPr>
        <w:t>无</w:t>
      </w:r>
    </w:p>
    <w:p w14:paraId="2DA4FA21">
      <w:pPr>
        <w:widowControl w:val="0"/>
        <w:autoSpaceDE/>
        <w:autoSpaceDN/>
        <w:spacing w:line="400" w:lineRule="exact"/>
        <w:ind w:firstLine="420" w:firstLineChars="200"/>
        <w:jc w:val="both"/>
        <w:rPr>
          <w:rFonts w:hint="eastAsia" w:ascii="仿宋" w:hAnsi="仿宋" w:eastAsia="仿宋" w:cs="仿宋"/>
          <w:highlight w:val="none"/>
          <w:lang w:eastAsia="zh-CN"/>
        </w:rPr>
      </w:pPr>
      <w:r>
        <w:rPr>
          <w:rFonts w:hint="eastAsia" w:ascii="仿宋" w:hAnsi="仿宋" w:eastAsia="仿宋" w:cs="仿宋"/>
          <w:highlight w:val="none"/>
        </w:rPr>
        <w:t>（2）</w:t>
      </w:r>
      <w:r>
        <w:rPr>
          <w:rFonts w:hint="eastAsia" w:ascii="仿宋" w:hAnsi="仿宋" w:eastAsia="仿宋" w:cs="仿宋"/>
          <w:highlight w:val="none"/>
          <w:u w:val="single"/>
        </w:rPr>
        <w:t>无</w:t>
      </w:r>
    </w:p>
    <w:p w14:paraId="45A8D7A9">
      <w:pPr>
        <w:widowControl w:val="0"/>
        <w:autoSpaceDE/>
        <w:autoSpaceDN/>
        <w:spacing w:line="400" w:lineRule="exact"/>
        <w:ind w:firstLine="420" w:firstLineChars="200"/>
        <w:jc w:val="both"/>
        <w:rPr>
          <w:rFonts w:hint="eastAsia" w:ascii="仿宋" w:hAnsi="仿宋" w:eastAsia="仿宋" w:cs="仿宋"/>
          <w:highlight w:val="none"/>
        </w:rPr>
      </w:pPr>
    </w:p>
    <w:p w14:paraId="2E38496F">
      <w:pPr>
        <w:widowControl w:val="0"/>
        <w:autoSpaceDE/>
        <w:autoSpaceDN/>
        <w:spacing w:line="400" w:lineRule="exact"/>
        <w:ind w:firstLine="0" w:firstLineChars="0"/>
        <w:jc w:val="both"/>
        <w:rPr>
          <w:rFonts w:hint="eastAsia" w:ascii="仿宋" w:hAnsi="仿宋" w:eastAsia="仿宋" w:cs="仿宋"/>
          <w:highlight w:val="none"/>
        </w:rPr>
      </w:pPr>
      <w:r>
        <w:rPr>
          <w:rFonts w:hint="eastAsia" w:ascii="仿宋" w:hAnsi="仿宋" w:eastAsia="仿宋" w:cs="仿宋"/>
          <w:b/>
          <w:bCs/>
          <w:highlight w:val="none"/>
        </w:rPr>
        <w:t>1.2.解释</w:t>
      </w:r>
    </w:p>
    <w:p w14:paraId="33AD759C">
      <w:pPr>
        <w:widowControl w:val="0"/>
        <w:autoSpaceDE/>
        <w:autoSpaceDN/>
        <w:spacing w:line="400" w:lineRule="exact"/>
        <w:ind w:firstLine="0" w:firstLineChars="0"/>
        <w:jc w:val="both"/>
        <w:rPr>
          <w:rFonts w:hint="eastAsia" w:ascii="仿宋" w:hAnsi="仿宋" w:eastAsia="仿宋" w:cs="仿宋"/>
          <w:highlight w:val="none"/>
        </w:rPr>
      </w:pPr>
    </w:p>
    <w:p w14:paraId="462B6D70">
      <w:pPr>
        <w:widowControl w:val="0"/>
        <w:autoSpaceDE/>
        <w:autoSpaceDN/>
        <w:spacing w:line="400" w:lineRule="exact"/>
        <w:ind w:firstLine="0" w:firstLineChars="0"/>
        <w:jc w:val="both"/>
        <w:rPr>
          <w:rFonts w:hint="eastAsia" w:ascii="仿宋" w:hAnsi="仿宋" w:eastAsia="仿宋" w:cs="仿宋"/>
          <w:highlight w:val="none"/>
        </w:rPr>
      </w:pPr>
      <w:r>
        <w:rPr>
          <w:rFonts w:hint="eastAsia" w:ascii="仿宋" w:hAnsi="仿宋" w:eastAsia="仿宋" w:cs="仿宋"/>
          <w:highlight w:val="none"/>
        </w:rPr>
        <w:t>1.2.1.“工作日”是指国家所规定的节假日之外的所有工作日，凡本合同所约定的工作日均指工作日，未指明工作日的日期指自然顺延的日期。</w:t>
      </w:r>
    </w:p>
    <w:p w14:paraId="51A4BBB1">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1.2.2.所指的日、月和年均指公历的日、月和年，其中一年以三百六十五日计，一个月以三十日计。</w:t>
      </w:r>
    </w:p>
    <w:p w14:paraId="376B3014">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1.2.3.“不可抗力”是指任何一方由于出现不可抗力事件使该方无法全部或部分履行其本合同项下的义务致使合同目的不能实现时，该方应有权中止履行本合同项下的义务，但应及时通知对方，以减轻可能给对方造成的损失，并应在合理期限内向对方提供不可抗力的证明。</w:t>
      </w:r>
    </w:p>
    <w:p w14:paraId="2355F12D">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1.2.4.“元”是指人民币元。</w:t>
      </w:r>
    </w:p>
    <w:p w14:paraId="0B7674AB">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1.2.5.条款或附件：指本合同的条款或附件。</w:t>
      </w:r>
    </w:p>
    <w:p w14:paraId="05D54FA5">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1.2.6.除非本合同另有明确约定，“包括”指包括但不限于；除本合同另有明确约定，“以上”、“以下”、“以内”或“内”均含本数，“超过”、“以外”不含本数。</w:t>
      </w:r>
    </w:p>
    <w:p w14:paraId="4588C9B4">
      <w:pPr>
        <w:widowControl w:val="0"/>
        <w:autoSpaceDE/>
        <w:autoSpaceDN/>
        <w:spacing w:line="400" w:lineRule="exact"/>
        <w:jc w:val="both"/>
        <w:rPr>
          <w:rFonts w:hint="eastAsia" w:ascii="仿宋" w:hAnsi="仿宋" w:eastAsia="仿宋" w:cs="仿宋"/>
          <w:highlight w:val="none"/>
        </w:rPr>
      </w:pPr>
    </w:p>
    <w:p w14:paraId="33BD07A8">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2.声明和保证</w:t>
      </w:r>
    </w:p>
    <w:p w14:paraId="53B9FE8E">
      <w:pPr>
        <w:widowControl w:val="0"/>
        <w:autoSpaceDE/>
        <w:autoSpaceDN/>
        <w:spacing w:line="400" w:lineRule="exact"/>
        <w:jc w:val="both"/>
        <w:rPr>
          <w:rFonts w:hint="eastAsia" w:ascii="仿宋" w:hAnsi="仿宋" w:eastAsia="仿宋" w:cs="仿宋"/>
          <w:highlight w:val="none"/>
        </w:rPr>
      </w:pPr>
    </w:p>
    <w:p w14:paraId="26C156EF">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2.1.甲方的声明和保证</w:t>
      </w:r>
    </w:p>
    <w:p w14:paraId="42544A90">
      <w:pPr>
        <w:widowControl w:val="0"/>
        <w:autoSpaceDE/>
        <w:autoSpaceDN/>
        <w:spacing w:line="400" w:lineRule="exact"/>
        <w:ind w:firstLine="422" w:firstLineChars="200"/>
        <w:jc w:val="both"/>
        <w:rPr>
          <w:rFonts w:hint="eastAsia" w:ascii="仿宋" w:hAnsi="仿宋" w:eastAsia="仿宋" w:cs="仿宋"/>
          <w:b/>
          <w:bCs/>
          <w:highlight w:val="none"/>
        </w:rPr>
      </w:pPr>
    </w:p>
    <w:p w14:paraId="6F129A12">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2.1.1.在本合同生效日前已获得了签订本合同所必需的授权，有权签署本合同。</w:t>
      </w:r>
    </w:p>
    <w:p w14:paraId="7CA4BD82">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2.1.2.甲方应保证对向乙方提供的与本项目相关的材料、信息或数据的准确性、完整性或适宜性负责；甲方对向乙方提供的其他材料、信息或数据的准确性、完整性或适宜性，未作出任何保证。</w:t>
      </w:r>
    </w:p>
    <w:p w14:paraId="0FD0CE0C">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2.1.3.如果甲方的保证被证明在做出时存在不实或不能兑现，对乙方依本合同享有权利或承担义务造成实质性影响时，乙方有权提前终止本合同。本合同各附件也随之自动终止。</w:t>
      </w:r>
    </w:p>
    <w:p w14:paraId="39886B52">
      <w:pPr>
        <w:widowControl w:val="0"/>
        <w:autoSpaceDE/>
        <w:autoSpaceDN/>
        <w:spacing w:line="400" w:lineRule="exact"/>
        <w:ind w:firstLine="420" w:firstLineChars="200"/>
        <w:jc w:val="both"/>
        <w:rPr>
          <w:rFonts w:hint="eastAsia" w:ascii="仿宋" w:hAnsi="仿宋" w:eastAsia="仿宋" w:cs="仿宋"/>
          <w:highlight w:val="none"/>
        </w:rPr>
      </w:pPr>
    </w:p>
    <w:p w14:paraId="48223851">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2.2.乙方的声明和保证</w:t>
      </w:r>
    </w:p>
    <w:p w14:paraId="08DCFCC1">
      <w:pPr>
        <w:widowControl w:val="0"/>
        <w:autoSpaceDE/>
        <w:autoSpaceDN/>
        <w:spacing w:line="400" w:lineRule="exact"/>
        <w:ind w:firstLine="422" w:firstLineChars="200"/>
        <w:jc w:val="both"/>
        <w:rPr>
          <w:rFonts w:hint="eastAsia" w:ascii="仿宋" w:hAnsi="仿宋" w:eastAsia="仿宋" w:cs="仿宋"/>
          <w:b/>
          <w:bCs/>
          <w:highlight w:val="none"/>
        </w:rPr>
      </w:pPr>
    </w:p>
    <w:p w14:paraId="699FF1FF">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2.2.1.乙方是依据中国法律正式成立的企业法人或具有法人资格的事业单位和社会团体，具有签署和履行本合同的法人资格及履约能力。</w:t>
      </w:r>
    </w:p>
    <w:p w14:paraId="3BA5E6A1">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2.2.2.乙方为签署本合同已经依据适用法律及公司章程之规定完成所有必要的公司内部行为，其有权签署本合同并履行本合同项下的义务。</w:t>
      </w:r>
    </w:p>
    <w:p w14:paraId="03CE38F5">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2.2.3.乙方应保证向甲方提供本项目服务内容前，已达到提供相应服务的能力，包括符合国家、陕西省相关标准规范或行业标准规范。</w:t>
      </w:r>
    </w:p>
    <w:p w14:paraId="0E9F00AB">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2.2.4.如果乙方的保证被证明在做出时存在不实或不能兑现，对甲方依本合同享有权利或承担义务造成实质性影响时，甲方有权提前终止本合同，并保留追究损失的权利。本合同各附件也随之自动终止。</w:t>
      </w:r>
    </w:p>
    <w:p w14:paraId="57CBA076">
      <w:pPr>
        <w:widowControl w:val="0"/>
        <w:autoSpaceDE/>
        <w:autoSpaceDN/>
        <w:spacing w:line="400" w:lineRule="exact"/>
        <w:ind w:firstLine="420" w:firstLineChars="200"/>
        <w:jc w:val="both"/>
        <w:rPr>
          <w:rFonts w:hint="eastAsia" w:ascii="仿宋" w:hAnsi="仿宋" w:eastAsia="仿宋" w:cs="仿宋"/>
          <w:highlight w:val="none"/>
        </w:rPr>
      </w:pPr>
    </w:p>
    <w:p w14:paraId="0ECD3F56">
      <w:pPr>
        <w:widowControl w:val="0"/>
        <w:autoSpaceDE/>
        <w:autoSpaceDN/>
        <w:spacing w:line="400" w:lineRule="exact"/>
        <w:ind w:firstLine="422" w:firstLineChars="20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第二章服务实施和</w:t>
      </w:r>
      <w:r>
        <w:rPr>
          <w:rFonts w:hint="eastAsia" w:ascii="仿宋" w:hAnsi="仿宋" w:eastAsia="仿宋" w:cs="仿宋"/>
          <w:b/>
          <w:bCs/>
          <w:highlight w:val="none"/>
          <w:u w:val="none"/>
          <w:lang w:eastAsia="zh-CN"/>
        </w:rPr>
        <w:t>评价</w:t>
      </w:r>
    </w:p>
    <w:p w14:paraId="0295CBE1">
      <w:pPr>
        <w:widowControl w:val="0"/>
        <w:autoSpaceDE/>
        <w:autoSpaceDN/>
        <w:spacing w:line="400" w:lineRule="exact"/>
        <w:ind w:firstLine="420" w:firstLineChars="200"/>
        <w:jc w:val="both"/>
        <w:rPr>
          <w:rFonts w:hint="eastAsia" w:ascii="仿宋" w:hAnsi="仿宋" w:eastAsia="仿宋" w:cs="仿宋"/>
          <w:color w:val="auto"/>
          <w:highlight w:val="none"/>
        </w:rPr>
      </w:pPr>
    </w:p>
    <w:p w14:paraId="6F46F1E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eastAsia="zh-CN"/>
        </w:rPr>
        <w:t>运维（</w:t>
      </w:r>
      <w:r>
        <w:rPr>
          <w:rFonts w:hint="eastAsia" w:ascii="仿宋" w:hAnsi="仿宋" w:eastAsia="仿宋" w:cs="仿宋"/>
          <w:b/>
          <w:bCs/>
          <w:color w:val="auto"/>
          <w:highlight w:val="none"/>
        </w:rPr>
        <w:t>服务</w:t>
      </w:r>
      <w:r>
        <w:rPr>
          <w:rFonts w:hint="eastAsia" w:ascii="仿宋" w:hAnsi="仿宋" w:eastAsia="仿宋" w:cs="仿宋"/>
          <w:b/>
          <w:bCs/>
          <w:color w:val="auto"/>
          <w:highlight w:val="none"/>
          <w:lang w:eastAsia="zh-CN"/>
        </w:rPr>
        <w:t>）详细</w:t>
      </w:r>
      <w:r>
        <w:rPr>
          <w:rFonts w:hint="eastAsia" w:ascii="仿宋" w:hAnsi="仿宋" w:eastAsia="仿宋" w:cs="仿宋"/>
          <w:b/>
          <w:bCs/>
          <w:color w:val="auto"/>
          <w:highlight w:val="none"/>
        </w:rPr>
        <w:t>内容</w:t>
      </w:r>
    </w:p>
    <w:p w14:paraId="0439F00F">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3EDD5C93">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应基于甲方的实际信息系统架构与业务需求，逐项、详尽地描述服务范围。描述内容须涵盖服务的目标、内容、范围、质量保证、交付物等主要方面，并针对每项服务明确关键参数指标，例如可用性、性能基线、巡检频率、故障响应与解决时限等量化目标。对于非详细技术标准参数等，均应在合同正文中明确。）</w:t>
      </w:r>
    </w:p>
    <w:p w14:paraId="6094684E">
      <w:pPr>
        <w:widowControl w:val="0"/>
        <w:autoSpaceDE/>
        <w:autoSpaceDN/>
        <w:spacing w:line="400" w:lineRule="exact"/>
        <w:ind w:firstLine="420" w:firstLineChars="200"/>
        <w:jc w:val="both"/>
        <w:rPr>
          <w:rFonts w:hint="eastAsia" w:ascii="仿宋" w:hAnsi="仿宋" w:eastAsia="仿宋" w:cs="仿宋"/>
          <w:color w:val="auto"/>
          <w:highlight w:val="none"/>
        </w:rPr>
      </w:pPr>
    </w:p>
    <w:p w14:paraId="3CD5001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4.服务期限</w:t>
      </w:r>
    </w:p>
    <w:p w14:paraId="6881F6DB">
      <w:pPr>
        <w:widowControl w:val="0"/>
        <w:autoSpaceDE/>
        <w:autoSpaceDN/>
        <w:spacing w:line="400" w:lineRule="exact"/>
        <w:jc w:val="both"/>
        <w:rPr>
          <w:rFonts w:hint="eastAsia" w:ascii="仿宋" w:hAnsi="仿宋" w:eastAsia="仿宋" w:cs="仿宋"/>
          <w:color w:val="auto"/>
          <w:highlight w:val="none"/>
        </w:rPr>
      </w:pPr>
    </w:p>
    <w:p w14:paraId="0B4BEE70">
      <w:pPr>
        <w:widowControl w:val="0"/>
        <w:autoSpaceDE/>
        <w:autoSpaceDN/>
        <w:spacing w:line="400" w:lineRule="exact"/>
        <w:ind w:firstLine="420" w:firstLineChars="200"/>
        <w:rPr>
          <w:rFonts w:hint="eastAsia" w:ascii="仿宋" w:hAnsi="仿宋" w:eastAsia="仿宋" w:cs="仿宋"/>
          <w:highlight w:val="none"/>
        </w:rPr>
      </w:pPr>
      <w:r>
        <w:rPr>
          <w:rFonts w:hint="eastAsia" w:ascii="仿宋" w:hAnsi="仿宋" w:eastAsia="仿宋" w:cs="仿宋"/>
          <w:color w:val="auto"/>
          <w:highlight w:val="none"/>
        </w:rPr>
        <w:t>4.1.本项目委托服务期限采用以下第</w:t>
      </w:r>
      <w:r>
        <w:rPr>
          <w:rFonts w:hint="eastAsia" w:ascii="仿宋" w:hAnsi="仿宋" w:eastAsia="仿宋" w:cs="仿宋"/>
          <w:highlight w:val="none"/>
        </w:rPr>
        <w:t>种方式计算：</w:t>
      </w:r>
    </w:p>
    <w:p w14:paraId="709BD96F">
      <w:pPr>
        <w:widowControl w:val="0"/>
        <w:autoSpaceDE/>
        <w:autoSpaceDN/>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(1)以合同签订之日为服务起始时间，服务期为个月。</w:t>
      </w:r>
    </w:p>
    <w:p w14:paraId="24C8BA34">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(2)服务期自年月日至年月日止。</w:t>
      </w:r>
    </w:p>
    <w:p w14:paraId="4AC35C0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(3)以甲方确认的服务启动时间为服务起始时间，服务期为个月。</w:t>
      </w:r>
    </w:p>
    <w:p w14:paraId="095A46F4">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合同项下系统在运维期间发生任何扩（改）建等重大变更，该扩（改）建约定新的质保期，且该新质保期与本合同约定的运维期限发生重叠，则重叠期间内，甲方就该扩（改）建所涉及的系统模块或功能的运维服务期限根据实际情况进行核减，相关运维或服务费用根据期限进行相关核减调整。</w:t>
      </w:r>
    </w:p>
    <w:p w14:paraId="13F169EB">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4.2.根据《财政部关于推进和完善服务项目政府采购有关问题的通知》有关规定，本项目在合同期满前，甲方将对乙方进行评价，根据服务评价结果，甲方有权决定是否续签合同。</w:t>
      </w:r>
    </w:p>
    <w:p w14:paraId="674F4551">
      <w:pPr>
        <w:widowControl w:val="0"/>
        <w:autoSpaceDE/>
        <w:autoSpaceDN/>
        <w:spacing w:line="400" w:lineRule="exact"/>
        <w:ind w:firstLine="420" w:firstLineChars="200"/>
        <w:jc w:val="both"/>
        <w:rPr>
          <w:rFonts w:hint="eastAsia" w:ascii="仿宋" w:hAnsi="仿宋" w:eastAsia="仿宋" w:cs="仿宋"/>
          <w:color w:val="auto"/>
          <w:highlight w:val="none"/>
        </w:rPr>
      </w:pPr>
    </w:p>
    <w:p w14:paraId="1467FE19">
      <w:pPr>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rPr>
        <w:t>5.服务</w:t>
      </w:r>
      <w:r>
        <w:rPr>
          <w:rFonts w:hint="eastAsia" w:ascii="仿宋" w:hAnsi="仿宋" w:eastAsia="仿宋" w:cs="仿宋"/>
          <w:b/>
          <w:color w:val="auto"/>
          <w:highlight w:val="none"/>
          <w:u w:val="none"/>
          <w:lang w:eastAsia="zh-CN"/>
        </w:rPr>
        <w:t>评价</w:t>
      </w:r>
    </w:p>
    <w:p w14:paraId="3A88C149">
      <w:pPr>
        <w:widowControl w:val="0"/>
        <w:autoSpaceDE/>
        <w:autoSpaceDN/>
        <w:spacing w:line="400" w:lineRule="exact"/>
        <w:jc w:val="both"/>
        <w:rPr>
          <w:rFonts w:hint="eastAsia" w:ascii="仿宋" w:hAnsi="仿宋" w:eastAsia="仿宋" w:cs="仿宋"/>
          <w:color w:val="auto"/>
          <w:highlight w:val="none"/>
          <w:u w:val="none"/>
        </w:rPr>
      </w:pPr>
    </w:p>
    <w:p w14:paraId="407C2944">
      <w:pPr>
        <w:widowControl w:val="0"/>
        <w:autoSpaceDE/>
        <w:autoSpaceDN/>
        <w:spacing w:line="400" w:lineRule="exact"/>
        <w:ind w:firstLine="420" w:firstLineChars="200"/>
        <w:jc w:val="both"/>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5.1.</w:t>
      </w:r>
      <w:r>
        <w:rPr>
          <w:rFonts w:hint="eastAsia" w:ascii="仿宋" w:hAnsi="仿宋" w:eastAsia="仿宋" w:cs="仿宋"/>
          <w:color w:val="000000" w:themeColor="text1"/>
          <w:highlight w:val="none"/>
          <w:u w:val="none"/>
          <w:lang w:eastAsia="zh-CN"/>
          <w14:textFill>
            <w14:solidFill>
              <w14:schemeClr w14:val="tx1"/>
            </w14:solidFill>
          </w14:textFill>
        </w:rPr>
        <w:t>评价</w:t>
      </w:r>
      <w:r>
        <w:rPr>
          <w:rFonts w:hint="eastAsia" w:ascii="仿宋" w:hAnsi="仿宋" w:eastAsia="仿宋" w:cs="仿宋"/>
          <w:color w:val="000000" w:themeColor="text1"/>
          <w:highlight w:val="none"/>
          <w:u w:val="none"/>
          <w14:textFill>
            <w14:solidFill>
              <w14:schemeClr w14:val="tx1"/>
            </w14:solidFill>
          </w14:textFill>
        </w:rPr>
        <w:t>活动</w:t>
      </w:r>
      <w:r>
        <w:rPr>
          <w:rFonts w:hint="eastAsia" w:ascii="仿宋" w:hAnsi="仿宋" w:eastAsia="仿宋" w:cs="仿宋"/>
          <w:color w:val="000000" w:themeColor="text1"/>
          <w:highlight w:val="none"/>
          <w:u w:val="none"/>
          <w:lang w:eastAsia="zh-CN"/>
          <w14:textFill>
            <w14:solidFill>
              <w14:schemeClr w14:val="tx1"/>
            </w14:solidFill>
          </w14:textFill>
        </w:rPr>
        <w:t>由甲方按照工作管理要求</w:t>
      </w:r>
      <w:r>
        <w:rPr>
          <w:rFonts w:hint="eastAsia" w:ascii="仿宋" w:hAnsi="仿宋" w:eastAsia="仿宋" w:cs="仿宋"/>
          <w:color w:val="000000" w:themeColor="text1"/>
          <w:highlight w:val="none"/>
          <w:u w:val="none"/>
          <w14:textFill>
            <w14:solidFill>
              <w14:schemeClr w14:val="tx1"/>
            </w14:solidFill>
          </w14:textFill>
        </w:rPr>
        <w:t>组织执行，乙方应无条件配合甲方的</w:t>
      </w:r>
      <w:r>
        <w:rPr>
          <w:rFonts w:hint="eastAsia" w:ascii="仿宋" w:hAnsi="仿宋" w:eastAsia="仿宋" w:cs="仿宋"/>
          <w:color w:val="000000" w:themeColor="text1"/>
          <w:highlight w:val="none"/>
          <w:u w:val="none"/>
          <w:lang w:eastAsia="zh-CN"/>
          <w14:textFill>
            <w14:solidFill>
              <w14:schemeClr w14:val="tx1"/>
            </w14:solidFill>
          </w14:textFill>
        </w:rPr>
        <w:t>评价</w:t>
      </w:r>
      <w:r>
        <w:rPr>
          <w:rFonts w:hint="eastAsia" w:ascii="仿宋" w:hAnsi="仿宋" w:eastAsia="仿宋" w:cs="仿宋"/>
          <w:color w:val="000000" w:themeColor="text1"/>
          <w:highlight w:val="none"/>
          <w:u w:val="none"/>
          <w14:textFill>
            <w14:solidFill>
              <w14:schemeClr w14:val="tx1"/>
            </w14:solidFill>
          </w14:textFill>
        </w:rPr>
        <w:t>工作，并按甲方要求的形式提供相应的</w:t>
      </w:r>
      <w:r>
        <w:rPr>
          <w:rFonts w:hint="eastAsia" w:ascii="仿宋" w:hAnsi="仿宋" w:eastAsia="仿宋" w:cs="仿宋"/>
          <w:color w:val="000000" w:themeColor="text1"/>
          <w:highlight w:val="none"/>
          <w:u w:val="none"/>
          <w:lang w:eastAsia="zh-CN"/>
          <w14:textFill>
            <w14:solidFill>
              <w14:schemeClr w14:val="tx1"/>
            </w14:solidFill>
          </w14:textFill>
        </w:rPr>
        <w:t>评价</w:t>
      </w:r>
      <w:r>
        <w:rPr>
          <w:rFonts w:hint="eastAsia" w:ascii="仿宋" w:hAnsi="仿宋" w:eastAsia="仿宋" w:cs="仿宋"/>
          <w:color w:val="000000" w:themeColor="text1"/>
          <w:highlight w:val="none"/>
          <w:u w:val="none"/>
          <w14:textFill>
            <w14:solidFill>
              <w14:schemeClr w14:val="tx1"/>
            </w14:solidFill>
          </w14:textFill>
        </w:rPr>
        <w:t>材料。</w:t>
      </w:r>
    </w:p>
    <w:p w14:paraId="57C1ACD8">
      <w:pPr>
        <w:widowControl w:val="0"/>
        <w:autoSpaceDE/>
        <w:autoSpaceDN/>
        <w:spacing w:line="400" w:lineRule="exact"/>
        <w:ind w:firstLine="420" w:firstLineChars="200"/>
        <w:jc w:val="both"/>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5.2.</w:t>
      </w:r>
      <w:r>
        <w:rPr>
          <w:rFonts w:hint="eastAsia" w:ascii="仿宋" w:hAnsi="仿宋" w:eastAsia="仿宋" w:cs="仿宋"/>
          <w:color w:val="000000" w:themeColor="text1"/>
          <w:highlight w:val="none"/>
          <w:u w:val="none"/>
          <w:lang w:eastAsia="zh-CN"/>
          <w14:textFill>
            <w14:solidFill>
              <w14:schemeClr w14:val="tx1"/>
            </w14:solidFill>
          </w14:textFill>
        </w:rPr>
        <w:t>评价</w:t>
      </w:r>
      <w:r>
        <w:rPr>
          <w:rFonts w:hint="eastAsia" w:ascii="仿宋" w:hAnsi="仿宋" w:eastAsia="仿宋" w:cs="仿宋"/>
          <w:color w:val="000000" w:themeColor="text1"/>
          <w:highlight w:val="none"/>
          <w:u w:val="none"/>
          <w14:textFill>
            <w14:solidFill>
              <w14:schemeClr w14:val="tx1"/>
            </w14:solidFill>
          </w14:textFill>
        </w:rPr>
        <w:t>标准和</w:t>
      </w:r>
      <w:r>
        <w:rPr>
          <w:rFonts w:hint="eastAsia" w:ascii="仿宋" w:hAnsi="仿宋" w:eastAsia="仿宋" w:cs="仿宋"/>
          <w:color w:val="000000" w:themeColor="text1"/>
          <w:highlight w:val="none"/>
          <w:u w:val="none"/>
          <w:lang w:eastAsia="zh-CN"/>
          <w14:textFill>
            <w14:solidFill>
              <w14:schemeClr w14:val="tx1"/>
            </w14:solidFill>
          </w14:textFill>
        </w:rPr>
        <w:t>评价</w:t>
      </w:r>
      <w:r>
        <w:rPr>
          <w:rFonts w:hint="eastAsia" w:ascii="仿宋" w:hAnsi="仿宋" w:eastAsia="仿宋" w:cs="仿宋"/>
          <w:color w:val="000000" w:themeColor="text1"/>
          <w:highlight w:val="none"/>
          <w:u w:val="none"/>
          <w14:textFill>
            <w14:solidFill>
              <w14:schemeClr w14:val="tx1"/>
            </w14:solidFill>
          </w14:textFill>
        </w:rPr>
        <w:t>方式以</w:t>
      </w:r>
      <w:r>
        <w:rPr>
          <w:rFonts w:hint="eastAsia" w:ascii="仿宋" w:hAnsi="仿宋" w:eastAsia="仿宋" w:cs="仿宋"/>
          <w:color w:val="000000" w:themeColor="text1"/>
          <w:highlight w:val="none"/>
          <w:u w:val="none"/>
          <w:lang w:eastAsia="zh-CN"/>
          <w14:textFill>
            <w14:solidFill>
              <w14:schemeClr w14:val="tx1"/>
            </w14:solidFill>
          </w14:textFill>
        </w:rPr>
        <w:t>甲方制定的评价办法为准</w:t>
      </w:r>
      <w:r>
        <w:rPr>
          <w:rFonts w:hint="eastAsia" w:ascii="仿宋" w:hAnsi="仿宋" w:eastAsia="仿宋" w:cs="仿宋"/>
          <w:color w:val="000000" w:themeColor="text1"/>
          <w:highlight w:val="none"/>
          <w:u w:val="none"/>
          <w14:textFill>
            <w14:solidFill>
              <w14:schemeClr w14:val="tx1"/>
            </w14:solidFill>
          </w14:textFill>
        </w:rPr>
        <w:t>。</w:t>
      </w:r>
    </w:p>
    <w:p w14:paraId="50E55D12">
      <w:pPr>
        <w:widowControl w:val="0"/>
        <w:autoSpaceDE/>
        <w:autoSpaceDN/>
        <w:spacing w:line="400" w:lineRule="exact"/>
        <w:ind w:firstLine="420" w:firstLineChars="200"/>
        <w:jc w:val="both"/>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5.3.甲方</w:t>
      </w:r>
      <w:r>
        <w:rPr>
          <w:rFonts w:hint="eastAsia" w:ascii="仿宋" w:hAnsi="仿宋" w:eastAsia="仿宋" w:cs="仿宋"/>
          <w:color w:val="000000" w:themeColor="text1"/>
          <w:highlight w:val="none"/>
          <w:u w:val="none"/>
          <w:lang w:eastAsia="zh-CN"/>
          <w14:textFill>
            <w14:solidFill>
              <w14:schemeClr w14:val="tx1"/>
            </w14:solidFill>
          </w14:textFill>
        </w:rPr>
        <w:t>应及时组织评价，并将服务评价结果反馈乙方。</w:t>
      </w:r>
    </w:p>
    <w:p w14:paraId="7DB8C5A1">
      <w:pPr>
        <w:widowControl w:val="0"/>
        <w:autoSpaceDE/>
        <w:autoSpaceDN/>
        <w:spacing w:line="400" w:lineRule="exact"/>
        <w:ind w:firstLine="420" w:firstLineChars="200"/>
        <w:jc w:val="both"/>
        <w:rPr>
          <w:rFonts w:hint="eastAsia" w:ascii="仿宋" w:hAnsi="仿宋" w:eastAsia="仿宋" w:cs="仿宋"/>
          <w:strike/>
          <w:color w:val="auto"/>
          <w:highlight w:val="none"/>
          <w:u w:val="none"/>
        </w:rPr>
      </w:pPr>
    </w:p>
    <w:p w14:paraId="309DA4B0">
      <w:pPr>
        <w:widowControl w:val="0"/>
        <w:autoSpaceDE/>
        <w:autoSpaceDN/>
        <w:spacing w:line="400" w:lineRule="exact"/>
        <w:ind w:firstLine="420" w:firstLineChars="200"/>
        <w:jc w:val="both"/>
        <w:rPr>
          <w:rFonts w:hint="eastAsia" w:ascii="仿宋" w:hAnsi="仿宋" w:eastAsia="仿宋" w:cs="仿宋"/>
          <w:color w:val="auto"/>
          <w:highlight w:val="none"/>
          <w:u w:val="none"/>
        </w:rPr>
      </w:pPr>
    </w:p>
    <w:p w14:paraId="3D723046">
      <w:pPr>
        <w:pStyle w:val="2"/>
        <w:widowControl w:val="0"/>
        <w:autoSpaceDE/>
        <w:autoSpaceDN/>
        <w:spacing w:line="400" w:lineRule="exact"/>
        <w:jc w:val="center"/>
        <w:rPr>
          <w:rFonts w:hint="eastAsia" w:ascii="仿宋" w:hAnsi="仿宋" w:eastAsia="仿宋" w:cs="仿宋"/>
          <w:b/>
          <w:bCs/>
          <w:color w:val="auto"/>
          <w:spacing w:val="-5"/>
          <w:sz w:val="21"/>
          <w:szCs w:val="21"/>
          <w:highlight w:val="none"/>
        </w:rPr>
      </w:pPr>
      <w:r>
        <w:rPr>
          <w:rFonts w:hint="eastAsia" w:ascii="仿宋" w:hAnsi="仿宋" w:eastAsia="仿宋" w:cs="仿宋"/>
          <w:b/>
          <w:bCs/>
          <w:color w:val="auto"/>
          <w:spacing w:val="-5"/>
          <w:sz w:val="21"/>
          <w:szCs w:val="21"/>
          <w:highlight w:val="none"/>
        </w:rPr>
        <w:t>第三章合同主体的权利和义务</w:t>
      </w:r>
    </w:p>
    <w:p w14:paraId="035B6216">
      <w:pPr>
        <w:widowControl w:val="0"/>
        <w:autoSpaceDE/>
        <w:autoSpaceDN/>
        <w:spacing w:line="400" w:lineRule="exact"/>
        <w:jc w:val="both"/>
        <w:rPr>
          <w:rFonts w:hint="eastAsia" w:ascii="仿宋" w:hAnsi="仿宋" w:eastAsia="仿宋" w:cs="仿宋"/>
          <w:color w:val="auto"/>
          <w:highlight w:val="none"/>
        </w:rPr>
      </w:pPr>
    </w:p>
    <w:p w14:paraId="46E6420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6.甲方权利义务</w:t>
      </w:r>
    </w:p>
    <w:p w14:paraId="7473AFAA">
      <w:pPr>
        <w:widowControl w:val="0"/>
        <w:autoSpaceDE/>
        <w:autoSpaceDN/>
        <w:spacing w:line="400" w:lineRule="exact"/>
        <w:jc w:val="both"/>
        <w:rPr>
          <w:rFonts w:hint="eastAsia" w:ascii="仿宋" w:hAnsi="仿宋" w:eastAsia="仿宋" w:cs="仿宋"/>
          <w:color w:val="auto"/>
          <w:highlight w:val="none"/>
        </w:rPr>
      </w:pPr>
    </w:p>
    <w:p w14:paraId="2AAE303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6.1.按照本合同约定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向乙方支付合同金额。</w:t>
      </w:r>
    </w:p>
    <w:p w14:paraId="1CCAA12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6.2.乙方因自身原因导致合同无法继续履行，则视为乙方违约，甲方有权单方解除合同，并向乙方追偿损失。</w:t>
      </w:r>
    </w:p>
    <w:p w14:paraId="6D29093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6.3.如因乙方原因导致甲方被行政处分或行政处罚，甲方保留向乙方追究法律责任、经济责任的权利。</w:t>
      </w:r>
    </w:p>
    <w:p w14:paraId="62B6D91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6.4.甲方有权要求乙方撤换任何不称职的服务人员，</w:t>
      </w:r>
      <w:r>
        <w:rPr>
          <w:rFonts w:hint="eastAsia" w:ascii="仿宋" w:hAnsi="仿宋" w:eastAsia="仿宋" w:cs="仿宋"/>
          <w:snapToGrid w:val="0"/>
          <w:color w:val="000000"/>
          <w:sz w:val="21"/>
          <w:szCs w:val="21"/>
          <w:highlight w:val="none"/>
          <w:lang w:val="en-US" w:eastAsia="zh-CN" w:bidi="ar"/>
        </w:rPr>
        <w:t>在人员替换时乙方应当进行保密检查，并</w:t>
      </w:r>
      <w:r>
        <w:rPr>
          <w:rFonts w:hint="eastAsia" w:ascii="仿宋" w:hAnsi="仿宋" w:eastAsia="仿宋" w:cs="仿宋"/>
          <w:color w:val="auto"/>
          <w:highlight w:val="none"/>
        </w:rPr>
        <w:t>需在甲方要求的时间内完成替换，替换人员须具备甲方要求的资质和能力。</w:t>
      </w:r>
    </w:p>
    <w:p w14:paraId="156F713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6.5.甲方应依照</w:t>
      </w:r>
      <w:r>
        <w:rPr>
          <w:rFonts w:hint="eastAsia" w:ascii="仿宋" w:hAnsi="仿宋" w:eastAsia="仿宋" w:cs="仿宋"/>
          <w:color w:val="auto"/>
          <w:highlight w:val="none"/>
          <w:lang w:eastAsia="zh-CN"/>
        </w:rPr>
        <w:t>运维（服务）详细内容</w:t>
      </w:r>
      <w:r>
        <w:rPr>
          <w:rFonts w:hint="eastAsia" w:ascii="仿宋" w:hAnsi="仿宋" w:eastAsia="仿宋" w:cs="仿宋"/>
          <w:color w:val="auto"/>
          <w:highlight w:val="none"/>
        </w:rPr>
        <w:t>中的约定，向乙方提供技术服务所必须的信息、数据、资料。如因甲方未能按时提供工作条件或技术资料，或甲方未及时协调需其他相关方配合的资源，经甲乙双方协商并书面确认后，乙方可顺延运维服务工作的完成期限。</w:t>
      </w:r>
    </w:p>
    <w:p w14:paraId="63C9D65B">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000000" w:themeColor="text1"/>
          <w:highlight w:val="none"/>
          <w:u w:val="none"/>
          <w14:textFill>
            <w14:solidFill>
              <w14:schemeClr w14:val="tx1"/>
            </w14:solidFill>
          </w14:textFill>
        </w:rPr>
        <w:t>6.6.</w:t>
      </w:r>
      <w:r>
        <w:rPr>
          <w:rFonts w:hint="eastAsia" w:ascii="仿宋" w:hAnsi="仿宋" w:eastAsia="仿宋" w:cs="仿宋"/>
          <w:color w:val="auto"/>
          <w:highlight w:val="none"/>
        </w:rPr>
        <w:t>若甲方在其他合同中为本项目指定咨询监理单位，甲方应当将授予咨询监理单位的监理权利及时通知乙方。</w:t>
      </w:r>
    </w:p>
    <w:p w14:paraId="34C7F5D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6.7.法律、法规规定的以及本合同项下的其他权利义务。</w:t>
      </w:r>
    </w:p>
    <w:p w14:paraId="2A566FD9">
      <w:pPr>
        <w:widowControl w:val="0"/>
        <w:autoSpaceDE/>
        <w:autoSpaceDN/>
        <w:spacing w:line="400" w:lineRule="exact"/>
        <w:ind w:firstLine="420" w:firstLineChars="200"/>
        <w:jc w:val="both"/>
        <w:rPr>
          <w:rFonts w:hint="eastAsia" w:ascii="仿宋" w:hAnsi="仿宋" w:eastAsia="仿宋" w:cs="仿宋"/>
          <w:color w:val="auto"/>
          <w:highlight w:val="none"/>
        </w:rPr>
      </w:pPr>
    </w:p>
    <w:p w14:paraId="22CFD15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7.乙方权利义务</w:t>
      </w:r>
    </w:p>
    <w:p w14:paraId="6CF7B0F3">
      <w:pPr>
        <w:widowControl w:val="0"/>
        <w:autoSpaceDE/>
        <w:autoSpaceDN/>
        <w:spacing w:line="400" w:lineRule="exact"/>
        <w:ind w:firstLine="420" w:firstLineChars="200"/>
        <w:jc w:val="both"/>
        <w:rPr>
          <w:rFonts w:hint="eastAsia" w:ascii="仿宋" w:hAnsi="仿宋" w:eastAsia="仿宋" w:cs="仿宋"/>
          <w:color w:val="auto"/>
          <w:highlight w:val="none"/>
        </w:rPr>
      </w:pPr>
    </w:p>
    <w:p w14:paraId="6DE94981">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7.1.要求甲方按本合同约定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支付合同金额的权利。</w:t>
      </w:r>
    </w:p>
    <w:p w14:paraId="2ACBC81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7.2.如果因不可归责于乙方的原因导致乙方不能履约的，则乙方有权和甲方就有关事宜进行沟通，如经甲方确认确属不可归责于乙方的原因，且乙方已为避免此种情形采取必要的措施，则甲方出具相应的书面文件，确认不得以此作为对乙方评价不达标的依据，并不得追究乙方的违约责任。</w:t>
      </w:r>
    </w:p>
    <w:p w14:paraId="78F8981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000000" w:themeColor="text1"/>
          <w:highlight w:val="none"/>
          <w:u w:val="none"/>
          <w14:textFill>
            <w14:solidFill>
              <w14:schemeClr w14:val="tx1"/>
            </w14:solidFill>
          </w14:textFill>
        </w:rPr>
        <w:t>7.3.乙方应严格执行项目服务计划，依照</w:t>
      </w:r>
      <w:r>
        <w:rPr>
          <w:rFonts w:hint="eastAsia" w:ascii="仿宋" w:hAnsi="仿宋" w:eastAsia="仿宋" w:cs="仿宋"/>
          <w:color w:val="000000" w:themeColor="text1"/>
          <w:highlight w:val="none"/>
          <w:u w:val="none"/>
          <w:lang w:eastAsia="zh-CN"/>
          <w14:textFill>
            <w14:solidFill>
              <w14:schemeClr w14:val="tx1"/>
            </w14:solidFill>
          </w14:textFill>
        </w:rPr>
        <w:t>运维（服务）详细内容的约定履行合同</w:t>
      </w:r>
      <w:r>
        <w:rPr>
          <w:rFonts w:hint="eastAsia" w:ascii="仿宋" w:hAnsi="仿宋" w:eastAsia="仿宋" w:cs="仿宋"/>
          <w:color w:val="auto"/>
          <w:highlight w:val="none"/>
          <w:u w:val="none"/>
        </w:rPr>
        <w:t>。</w:t>
      </w:r>
    </w:p>
    <w:p w14:paraId="7FCBF67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7.4.若乙方履行本合同确需甲方配合或协调的，应事先向甲方提出书面说明并清晰、完整地列明甲方需配合的事项及时间要求等内容，经甲乙双方协商确认后，甲方依约定完成配合或协调事项。否则，甲方无须向乙方提供任何配合或协助，乙方亦不能以此为由要求甲方承担任何责任或主张减轻或免除自己任何责任。</w:t>
      </w:r>
    </w:p>
    <w:p w14:paraId="4D9D150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7.5.乙方收到甲方提供的资料信息应进行书面签收。对前述资料信息有异议的，应在收到之日起2个工作日内向甲方书面提出，否则视为乙方认可甲方提供的资料信息，乙方不得以甲方未按需提供技术资料为由主张顺延运维服务工作的完成期限。未提出书面异议而因资料信息错误或者缺陷等导致的一切后果由乙方自行承担，给甲方造成损失的，乙方应予以赔偿。</w:t>
      </w:r>
    </w:p>
    <w:p w14:paraId="68F860A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7.6.乙方应为本项目配备相关资质和能力与执行项目运维服务工作相匹配的服务人员，驻场人员应遵守甲方各项工作管理要求，接受统一安排。</w:t>
      </w:r>
    </w:p>
    <w:p w14:paraId="6A4C210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7.7.未经双方项目负责人书面确认或者甲方书面同意，乙方不得延迟运维工作的完成期限或对运维工作进行内容上的变更。如果乙方在提供技术服务的过程中发现影响计划执行的不利因素的，乙方应及时以书面形式通报给甲方。</w:t>
      </w:r>
    </w:p>
    <w:p w14:paraId="1DF8B63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7.8.甲方告知不符合服务要求的内容和原因后，乙方应在甲方指定期限内完成整改。</w:t>
      </w:r>
    </w:p>
    <w:p w14:paraId="686263B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7.9.乙方应及时参加甲方组织的例会、专题会议等。</w:t>
      </w:r>
    </w:p>
    <w:p w14:paraId="7E3C2BC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7.10.如政府审计部门或政府审计部门委托的第三方审计单位需对涉及本合同的事项进行审计时，乙方应按照政府审计有关法律法规和政策要求，支持、协助审计部门或其委托的跟踪审计单位开展工作。</w:t>
      </w:r>
    </w:p>
    <w:p w14:paraId="07016D7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7.11.乙方应保证所提供的产品或服务没有侵害任何第三方的知识产权或其他正当权益。如有第三方指控甲方接受乙方提供的产品或服务侵犯了该方的知识产权或其他合法权利，乙方应自费就上述指控为甲方辩护或进行妥善处理，并承担给甲方及第三方造成的一切损失(包括但不限于赔偿金、律师费、诉讼费等)。如乙方不为甲方辩护或不进行妥善处理，甲方可自行处理，对于甲方与第三方达成的和解协议或法院、仲裁机构作出的生效法律文书确定由甲方承担的责任和费用，及甲方自行处理所支出的合理费用(包括但不限于律师费、案件受理费、执行费、差旅费等),由乙方全部承担，甲方有权在应付乙方的合同款项中直接扣减相应金额或另行向乙方进行追偿。</w:t>
      </w:r>
    </w:p>
    <w:p w14:paraId="2E0B8A4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7.12.本合同的签订在双方(包括但不限于乙方指派人员)之间并不产生任何劳动、雇佣、代理关系。乙方指派人员在履行本合同过程中遭受人身、财产损害或者造成他人人身财产损害的，乙方应承担全部责任。给甲方造成损失的(包括但不限于赔偿金、补偿金、律师费、诉讼费用),乙方应当向甲方赔偿；若甲方因此承担了责任，甲方有权从应付乙方的合同款项中直接扣减相应金额或者另行向乙方进行追偿。</w:t>
      </w:r>
    </w:p>
    <w:p w14:paraId="7DDE3C8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7.13.若甲方在其他合同中为本项目指定咨询监理单位，乙方应无条件接受甲方或甲方指定的咨询监理单位的统一管理和监督检查，并按要求完成相关配合工作。</w:t>
      </w:r>
    </w:p>
    <w:p w14:paraId="17F8673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7.14.乙方应对其履行本合同所雇佣、安排的全部人员的安全事故承担责任。由于乙方或乙方人员原因在甲方办公场所内及其毗邻造成的第三者人身伤亡和财产损失，</w:t>
      </w:r>
      <w:r>
        <w:rPr>
          <w:rFonts w:hint="eastAsia" w:ascii="仿宋" w:hAnsi="仿宋" w:eastAsia="仿宋" w:cs="仿宋"/>
          <w:color w:val="auto"/>
          <w:highlight w:val="none"/>
          <w:lang w:eastAsia="zh-CN"/>
        </w:rPr>
        <w:t>包括但不限于失火、操作不当造成大量数据损失、设备损毁、人员意外伤亡、作业期间造成第三人伤亡等，</w:t>
      </w:r>
      <w:r>
        <w:rPr>
          <w:rFonts w:hint="eastAsia" w:ascii="仿宋" w:hAnsi="仿宋" w:eastAsia="仿宋" w:cs="仿宋"/>
          <w:color w:val="auto"/>
          <w:highlight w:val="none"/>
        </w:rPr>
        <w:t>由乙方负责赔偿。</w:t>
      </w:r>
    </w:p>
    <w:p w14:paraId="457B42EA">
      <w:pPr>
        <w:widowControl w:val="0"/>
        <w:autoSpaceDE/>
        <w:autoSpaceDN/>
        <w:spacing w:line="40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7.15.除甲方在采购文件中明确要求外，合同签订后，禁止乙方对项目进行转包或分包。</w:t>
      </w:r>
    </w:p>
    <w:p w14:paraId="4D06E8FF">
      <w:pPr>
        <w:widowControl w:val="0"/>
        <w:autoSpaceDE/>
        <w:autoSpaceDN/>
        <w:spacing w:line="400" w:lineRule="exact"/>
        <w:ind w:firstLine="42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w:t>
      </w:r>
      <w:r>
        <w:rPr>
          <w:rFonts w:hint="eastAsia" w:ascii="仿宋" w:hAnsi="仿宋" w:eastAsia="仿宋" w:cs="仿宋"/>
          <w:color w:val="auto"/>
          <w:highlight w:val="none"/>
          <w:lang w:eastAsia="zh-CN"/>
        </w:rPr>
        <w:t>6</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乙方应妥善保管相关工作资料、认真配合甲方指定的第三方审计单位进行项目结算审计及审核监督相关工作。</w:t>
      </w:r>
    </w:p>
    <w:p w14:paraId="6BAFD14E">
      <w:pPr>
        <w:widowControl w:val="0"/>
        <w:autoSpaceDE/>
        <w:autoSpaceDN/>
        <w:spacing w:line="400" w:lineRule="exact"/>
        <w:ind w:firstLine="42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7.17.</w:t>
      </w:r>
      <w:r>
        <w:rPr>
          <w:rFonts w:hint="eastAsia" w:ascii="仿宋" w:hAnsi="仿宋" w:eastAsia="仿宋" w:cs="仿宋"/>
          <w:color w:val="auto"/>
          <w:highlight w:val="none"/>
        </w:rPr>
        <w:t>法律、法规规定的以及本合同项下的其他权利义务。</w:t>
      </w:r>
    </w:p>
    <w:p w14:paraId="42C67F45">
      <w:pPr>
        <w:widowControl w:val="0"/>
        <w:autoSpaceDE/>
        <w:autoSpaceDN/>
        <w:spacing w:line="400" w:lineRule="exact"/>
        <w:jc w:val="both"/>
        <w:rPr>
          <w:rFonts w:hint="eastAsia" w:ascii="仿宋" w:hAnsi="仿宋" w:eastAsia="仿宋" w:cs="仿宋"/>
          <w:color w:val="auto"/>
          <w:highlight w:val="none"/>
        </w:rPr>
      </w:pPr>
    </w:p>
    <w:p w14:paraId="6FA78E2F">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第四章合同金额与结算方式</w:t>
      </w:r>
    </w:p>
    <w:p w14:paraId="1DE53FCB">
      <w:pPr>
        <w:widowControl w:val="0"/>
        <w:autoSpaceDE/>
        <w:autoSpaceDN/>
        <w:spacing w:line="400" w:lineRule="exact"/>
        <w:jc w:val="both"/>
        <w:rPr>
          <w:rFonts w:hint="eastAsia" w:ascii="仿宋" w:hAnsi="仿宋" w:eastAsia="仿宋" w:cs="仿宋"/>
          <w:color w:val="auto"/>
          <w:highlight w:val="none"/>
        </w:rPr>
      </w:pPr>
    </w:p>
    <w:p w14:paraId="6A6881F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8.合同金额</w:t>
      </w:r>
    </w:p>
    <w:p w14:paraId="3BB10F87">
      <w:pPr>
        <w:widowControl w:val="0"/>
        <w:autoSpaceDE/>
        <w:autoSpaceDN/>
        <w:spacing w:line="400" w:lineRule="exact"/>
        <w:jc w:val="both"/>
        <w:rPr>
          <w:rFonts w:hint="eastAsia" w:ascii="仿宋" w:hAnsi="仿宋" w:eastAsia="仿宋" w:cs="仿宋"/>
          <w:color w:val="auto"/>
          <w:highlight w:val="none"/>
        </w:rPr>
      </w:pPr>
    </w:p>
    <w:p w14:paraId="23777946">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合同总金额为:人民币（大写）</w:t>
      </w:r>
      <w:r>
        <w:rPr>
          <w:rFonts w:hint="eastAsia" w:ascii="仿宋" w:hAnsi="仿宋" w:eastAsia="仿宋" w:cs="仿宋"/>
          <w:color w:val="auto"/>
          <w:highlight w:val="none"/>
          <w:u w:val="single"/>
          <w:lang w:val="en-US" w:eastAsia="zh-CN"/>
        </w:rPr>
        <w:t>圆</w:t>
      </w:r>
      <w:r>
        <w:rPr>
          <w:rFonts w:hint="eastAsia" w:ascii="仿宋" w:hAnsi="仿宋" w:eastAsia="仿宋" w:cs="仿宋"/>
          <w:color w:val="auto"/>
          <w:highlight w:val="none"/>
        </w:rPr>
        <w:t>整（¥元），本合同总金额为乙方按照合同约定完成合同全部义务后所适用的含税总价格</w:t>
      </w:r>
      <w:r>
        <w:rPr>
          <w:rFonts w:hint="eastAsia" w:ascii="仿宋" w:hAnsi="仿宋" w:eastAsia="仿宋" w:cs="仿宋"/>
          <w:color w:val="auto"/>
          <w:highlight w:val="none"/>
          <w:lang w:eastAsia="zh-CN"/>
        </w:rPr>
        <w:t>，最终付款金额以甲方评价结果确认的金额为准。</w:t>
      </w:r>
    </w:p>
    <w:p w14:paraId="20F46826">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合同总价包括但不限于：服务费、人员费用、运维费、</w:t>
      </w:r>
      <w:r>
        <w:rPr>
          <w:rFonts w:hint="eastAsia" w:ascii="仿宋" w:hAnsi="仿宋" w:eastAsia="仿宋" w:cs="仿宋"/>
          <w:b w:val="0"/>
          <w:bCs w:val="0"/>
          <w:color w:val="auto"/>
          <w:highlight w:val="none"/>
          <w:lang w:val="en-US" w:eastAsia="zh-CN"/>
        </w:rPr>
        <w:t>培训费</w:t>
      </w:r>
      <w:r>
        <w:rPr>
          <w:rFonts w:hint="eastAsia" w:ascii="仿宋" w:hAnsi="仿宋" w:eastAsia="仿宋" w:cs="仿宋"/>
          <w:b w:val="0"/>
          <w:bCs w:val="0"/>
          <w:color w:val="auto"/>
          <w:highlight w:val="none"/>
        </w:rPr>
        <w:t>、其他费用以及税费等乙方为完成本合同项下服务所需的费用。</w:t>
      </w:r>
    </w:p>
    <w:p w14:paraId="28CA615E">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在本合同采购需求范围内所有工作内容的合同总价不受市场价格变化因素的影响。</w:t>
      </w:r>
    </w:p>
    <w:p w14:paraId="10DAB4D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927758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9.结算方式</w:t>
      </w:r>
    </w:p>
    <w:p w14:paraId="7D281EB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B27B4E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9.1.费用结算方式</w:t>
      </w:r>
    </w:p>
    <w:p w14:paraId="73B6D43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D5480E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9.1.1.合同款由甲方分期支付给乙方，原则上合同约定的资金支付条件与</w:t>
      </w:r>
      <w:r>
        <w:rPr>
          <w:rFonts w:hint="eastAsia" w:ascii="仿宋" w:hAnsi="仿宋" w:eastAsia="仿宋" w:cs="仿宋"/>
          <w:color w:val="000000" w:themeColor="text1"/>
          <w:highlight w:val="none"/>
          <w:u w:val="none"/>
          <w:lang w:eastAsia="zh-CN"/>
          <w14:textFill>
            <w14:solidFill>
              <w14:schemeClr w14:val="tx1"/>
            </w14:solidFill>
          </w14:textFill>
        </w:rPr>
        <w:t>评价结果</w:t>
      </w:r>
      <w:r>
        <w:rPr>
          <w:rFonts w:hint="eastAsia" w:ascii="仿宋" w:hAnsi="仿宋" w:eastAsia="仿宋" w:cs="仿宋"/>
          <w:color w:val="auto"/>
          <w:highlight w:val="none"/>
        </w:rPr>
        <w:t>挂钩，选择分期支付，其具体支付方式和时间如下：</w:t>
      </w:r>
    </w:p>
    <w:p w14:paraId="3F28C3C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（1）首期款：本项目首期款以甲方财政资金实际到位</w:t>
      </w:r>
      <w:r>
        <w:rPr>
          <w:rFonts w:hint="eastAsia" w:ascii="仿宋" w:hAnsi="仿宋" w:eastAsia="仿宋" w:cs="仿宋"/>
          <w:color w:val="auto"/>
          <w:highlight w:val="none"/>
          <w:lang w:eastAsia="zh-CN"/>
        </w:rPr>
        <w:t>且相关运维（服务）准备工作完成</w:t>
      </w:r>
      <w:r>
        <w:rPr>
          <w:rFonts w:hint="eastAsia" w:ascii="仿宋" w:hAnsi="仿宋" w:eastAsia="仿宋" w:cs="仿宋"/>
          <w:color w:val="auto"/>
          <w:highlight w:val="none"/>
        </w:rPr>
        <w:t>后，</w:t>
      </w:r>
      <w:r>
        <w:rPr>
          <w:rFonts w:hint="eastAsia" w:ascii="仿宋" w:hAnsi="仿宋" w:eastAsia="仿宋" w:cs="仿宋"/>
          <w:color w:val="auto"/>
          <w:highlight w:val="none"/>
          <w:lang w:eastAsia="zh-CN"/>
        </w:rPr>
        <w:t>监理单位签发开工令，</w:t>
      </w:r>
      <w:r>
        <w:rPr>
          <w:rFonts w:hint="eastAsia" w:ascii="仿宋" w:hAnsi="仿宋" w:eastAsia="仿宋" w:cs="仿宋"/>
          <w:color w:val="auto"/>
          <w:highlight w:val="none"/>
        </w:rPr>
        <w:t>乙方书面提出支付申请函及与拟支付金额等额的符合甲方财务管理要求的相应发票，甲方确认后启动首期款支付流程，支付合同总金额的％，即人民币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整（¥元）。</w:t>
      </w:r>
    </w:p>
    <w:p w14:paraId="663B3B4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（2）二期款：本项目运维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个月后，</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lang w:eastAsia="zh-CN"/>
        </w:rPr>
        <w:t>对项目进行阶段</w:t>
      </w:r>
      <w:r>
        <w:rPr>
          <w:rFonts w:hint="eastAsia" w:ascii="仿宋" w:hAnsi="仿宋" w:eastAsia="仿宋" w:cs="仿宋"/>
          <w:color w:val="0000FF"/>
          <w:highlight w:val="none"/>
          <w:lang w:eastAsia="zh-CN"/>
        </w:rPr>
        <w:t>评价</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乙方书面提出支付申请函及与拟支付金额等额的符合甲方财务管理要求的相应发票，甲方确认后启动支付流程，支付合同总金额的</w:t>
      </w:r>
      <w:r>
        <w:rPr>
          <w:rFonts w:hint="eastAsia" w:ascii="仿宋" w:hAnsi="仿宋" w:eastAsia="仿宋" w:cs="仿宋"/>
          <w:highlight w:val="none"/>
        </w:rPr>
        <w:t>％</w:t>
      </w:r>
      <w:r>
        <w:rPr>
          <w:rFonts w:hint="eastAsia" w:ascii="仿宋" w:hAnsi="仿宋" w:eastAsia="仿宋" w:cs="仿宋"/>
          <w:color w:val="auto"/>
          <w:highlight w:val="none"/>
        </w:rPr>
        <w:t>，即人民币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整（¥元）。</w:t>
      </w:r>
    </w:p>
    <w:p w14:paraId="5BED16FF">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（3）尾款：本项目</w:t>
      </w:r>
      <w:r>
        <w:rPr>
          <w:rFonts w:hint="eastAsia" w:ascii="仿宋" w:hAnsi="仿宋" w:eastAsia="仿宋" w:cs="仿宋"/>
          <w:color w:val="auto"/>
          <w:highlight w:val="none"/>
          <w:lang w:eastAsia="zh-CN"/>
        </w:rPr>
        <w:t>服务期满，且</w:t>
      </w:r>
      <w:r>
        <w:rPr>
          <w:rFonts w:hint="eastAsia" w:ascii="仿宋" w:hAnsi="仿宋" w:eastAsia="仿宋" w:cs="仿宋"/>
          <w:color w:val="auto"/>
          <w:highlight w:val="none"/>
        </w:rPr>
        <w:t>经甲方</w:t>
      </w:r>
      <w:r>
        <w:rPr>
          <w:rFonts w:hint="eastAsia" w:ascii="仿宋" w:hAnsi="仿宋" w:eastAsia="仿宋" w:cs="仿宋"/>
          <w:color w:val="000000" w:themeColor="text1"/>
          <w:highlight w:val="none"/>
          <w:u w:val="none"/>
          <w:lang w:eastAsia="zh-CN"/>
          <w14:textFill>
            <w14:solidFill>
              <w14:schemeClr w14:val="tx1"/>
            </w14:solidFill>
          </w14:textFill>
        </w:rPr>
        <w:t>评价</w:t>
      </w:r>
      <w:r>
        <w:rPr>
          <w:rFonts w:hint="eastAsia" w:ascii="仿宋" w:hAnsi="仿宋" w:eastAsia="仿宋" w:cs="仿宋"/>
          <w:color w:val="auto"/>
          <w:highlight w:val="none"/>
        </w:rPr>
        <w:t>后个工作日内，</w:t>
      </w:r>
      <w:r>
        <w:rPr>
          <w:rFonts w:hint="eastAsia" w:ascii="仿宋" w:hAnsi="仿宋" w:eastAsia="仿宋" w:cs="仿宋"/>
          <w:color w:val="auto"/>
          <w:highlight w:val="none"/>
          <w:lang w:eastAsia="zh-CN"/>
        </w:rPr>
        <w:t>依据甲方服务评价结果或结算审计结果（如有）确认的金额，</w:t>
      </w:r>
      <w:r>
        <w:rPr>
          <w:rFonts w:hint="eastAsia" w:ascii="仿宋" w:hAnsi="仿宋" w:eastAsia="仿宋" w:cs="仿宋"/>
          <w:color w:val="auto"/>
          <w:highlight w:val="none"/>
        </w:rPr>
        <w:t>乙方书面提出支付申请函及与拟支付金额等额的符合甲方财务管理要求的相应发票，甲方确认后启动尾款支付流程。</w:t>
      </w:r>
    </w:p>
    <w:p w14:paraId="2EB6B5B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9.1.2.对于满足合同约定支付条件的，甲方应当自收到发票后日内将资金支付到合同约定的乙方账户，不得以机构变动、人员更替、政策调整等为由延迟付款，不得将采购文件和合同中未规定的义务作为向乙方付款的条件。</w:t>
      </w:r>
    </w:p>
    <w:p w14:paraId="24AA894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9.1.3.如乙方未按照约定提供上述任一所需文件，则甲方有权顺延付款时间且不承担违约责任，同时乙方应履行义务的期限不予顺延。</w:t>
      </w:r>
    </w:p>
    <w:p w14:paraId="6FCCEC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9.1.4.以上所有付款均需以甲方财政资金实际到位为前提。甲方付款前，乙方应提供符合甲方财务管理要求的相应发票，否则甲方有权拒绝付款。鉴于甲方资金拨付受制于政府财政资金拨付流程限制，乙方充分知晓并理解甲方内部费用审批流程的相关规定，因甲方执行流程而导致延迟付款的，乙方不追究甲方的任何责任。</w:t>
      </w:r>
    </w:p>
    <w:p w14:paraId="285621B8">
      <w:pPr>
        <w:widowControl w:val="0"/>
        <w:autoSpaceDE/>
        <w:autoSpaceDN/>
        <w:spacing w:line="400" w:lineRule="exact"/>
        <w:jc w:val="both"/>
        <w:rPr>
          <w:rFonts w:hint="eastAsia" w:ascii="仿宋" w:hAnsi="仿宋" w:eastAsia="仿宋" w:cs="仿宋"/>
          <w:color w:val="auto"/>
          <w:highlight w:val="none"/>
        </w:rPr>
      </w:pPr>
    </w:p>
    <w:p w14:paraId="43D41C0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9.2.乙方账</w:t>
      </w:r>
      <w:r>
        <w:rPr>
          <w:rFonts w:hint="eastAsia" w:ascii="仿宋" w:hAnsi="仿宋" w:eastAsia="仿宋" w:cs="仿宋"/>
          <w:b/>
          <w:bCs/>
          <w:color w:val="auto"/>
          <w:highlight w:val="none"/>
          <w:lang w:val="en-US" w:eastAsia="zh-CN"/>
        </w:rPr>
        <w:t>户</w:t>
      </w:r>
      <w:r>
        <w:rPr>
          <w:rFonts w:hint="eastAsia" w:ascii="仿宋" w:hAnsi="仿宋" w:eastAsia="仿宋" w:cs="仿宋"/>
          <w:b/>
          <w:bCs/>
          <w:color w:val="auto"/>
          <w:highlight w:val="none"/>
        </w:rPr>
        <w:t>信息</w:t>
      </w:r>
    </w:p>
    <w:p w14:paraId="1B8E86FB">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516DB43">
      <w:pPr>
        <w:widowControl w:val="0"/>
        <w:autoSpaceDE/>
        <w:autoSpaceDN/>
        <w:spacing w:line="400" w:lineRule="exact"/>
        <w:ind w:firstLine="420" w:firstLineChars="200"/>
        <w:rPr>
          <w:rFonts w:hint="eastAsia" w:ascii="仿宋" w:hAnsi="仿宋" w:eastAsia="仿宋" w:cs="仿宋"/>
          <w:highlight w:val="none"/>
          <w:u w:val="single"/>
          <w:lang w:eastAsia="zh-CN"/>
        </w:rPr>
      </w:pPr>
      <w:r>
        <w:rPr>
          <w:rFonts w:hint="eastAsia" w:ascii="仿宋" w:hAnsi="仿宋" w:eastAsia="仿宋" w:cs="仿宋"/>
          <w:highlight w:val="none"/>
        </w:rPr>
        <w:t>开户名称：</w:t>
      </w:r>
    </w:p>
    <w:p w14:paraId="5F14890E">
      <w:pPr>
        <w:widowControl w:val="0"/>
        <w:autoSpaceDE/>
        <w:autoSpaceDN/>
        <w:spacing w:line="40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开户银行：</w:t>
      </w:r>
    </w:p>
    <w:p w14:paraId="13E990E6">
      <w:pPr>
        <w:widowControl w:val="0"/>
        <w:autoSpaceDE/>
        <w:autoSpaceDN/>
        <w:spacing w:line="400" w:lineRule="exact"/>
        <w:ind w:firstLine="420" w:firstLineChars="200"/>
        <w:jc w:val="both"/>
        <w:rPr>
          <w:rFonts w:hint="eastAsia" w:ascii="仿宋" w:hAnsi="仿宋" w:eastAsia="仿宋" w:cs="仿宋"/>
          <w:highlight w:val="none"/>
          <w:u w:val="single"/>
          <w:lang w:eastAsia="zh-CN"/>
        </w:rPr>
      </w:pPr>
      <w:r>
        <w:rPr>
          <w:rFonts w:hint="eastAsia" w:ascii="仿宋" w:hAnsi="仿宋" w:eastAsia="仿宋" w:cs="仿宋"/>
          <w:highlight w:val="none"/>
        </w:rPr>
        <w:t>银行账号：</w:t>
      </w:r>
    </w:p>
    <w:p w14:paraId="52BD2A3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甲方向上述账户汇出款项后，即视为甲方已履行付款义务，在汇款过程中因乙方账户原因（包括但不限于账</w:t>
      </w:r>
      <w:r>
        <w:rPr>
          <w:rFonts w:hint="eastAsia" w:ascii="仿宋" w:hAnsi="仿宋" w:eastAsia="仿宋" w:cs="仿宋"/>
          <w:color w:val="auto"/>
          <w:highlight w:val="none"/>
          <w:lang w:val="en-US" w:eastAsia="zh-CN"/>
        </w:rPr>
        <w:t>户</w:t>
      </w:r>
      <w:r>
        <w:rPr>
          <w:rFonts w:hint="eastAsia" w:ascii="仿宋" w:hAnsi="仿宋" w:eastAsia="仿宋" w:cs="仿宋"/>
          <w:color w:val="auto"/>
          <w:highlight w:val="none"/>
        </w:rPr>
        <w:t>被注销、被冻结等）导致其无法收取款项的，由乙方承担相应后果。甲方有权直接在应付款项中扣除乙方应承担的违约金或赔偿金等对应款项。</w:t>
      </w:r>
    </w:p>
    <w:p w14:paraId="2D7E77C1">
      <w:pPr>
        <w:widowControl w:val="0"/>
        <w:autoSpaceDE/>
        <w:autoSpaceDN/>
        <w:spacing w:line="400" w:lineRule="exact"/>
        <w:ind w:firstLine="420" w:firstLineChars="200"/>
        <w:jc w:val="both"/>
        <w:rPr>
          <w:rFonts w:hint="eastAsia" w:ascii="仿宋" w:hAnsi="仿宋" w:eastAsia="仿宋" w:cs="仿宋"/>
          <w:color w:val="auto"/>
          <w:highlight w:val="none"/>
        </w:rPr>
      </w:pPr>
    </w:p>
    <w:p w14:paraId="02FE3D9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9.3.其他</w:t>
      </w:r>
    </w:p>
    <w:p w14:paraId="0880251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1BA59E8">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sz w:val="21"/>
          <w:szCs w:val="21"/>
          <w:highlight w:val="none"/>
        </w:rPr>
        <w:t>除本合同明确约定的费用外，甲方无需对乙方支付任何额外费用和承担任何额外义务。</w:t>
      </w:r>
      <w:r>
        <w:rPr>
          <w:rFonts w:hint="eastAsia" w:ascii="仿宋" w:hAnsi="仿宋" w:eastAsia="仿宋" w:cs="仿宋"/>
          <w:color w:val="auto"/>
          <w:highlight w:val="none"/>
        </w:rPr>
        <w:t>在实际合同履行过程中，如果乙方未完全履行合同义务或履行的合同义务不符合约定的，则未履行或履行不符合合同约定的内容所对应的价款由甲方直接从上述约定的合同金额中扣除。</w:t>
      </w:r>
      <w:r>
        <w:rPr>
          <w:rFonts w:hint="eastAsia" w:ascii="仿宋" w:hAnsi="仿宋" w:eastAsia="仿宋" w:cs="仿宋"/>
          <w:color w:val="auto"/>
          <w:highlight w:val="none"/>
          <w:lang w:eastAsia="zh-CN"/>
        </w:rPr>
        <w:t>涉及项下系统改扩建的，</w:t>
      </w:r>
      <w:r>
        <w:rPr>
          <w:rFonts w:hint="eastAsia" w:ascii="仿宋" w:hAnsi="仿宋" w:eastAsia="仿宋" w:cs="仿宋"/>
          <w:color w:val="auto"/>
          <w:highlight w:val="none"/>
          <w:lang w:val="en-US" w:eastAsia="zh-CN"/>
        </w:rPr>
        <w:t>相关运维或服务费用根据期限进行相关核减调整。</w:t>
      </w:r>
    </w:p>
    <w:p w14:paraId="477AD737">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3D79A47E">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0BEA5EF1">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第五章不可抗力</w:t>
      </w:r>
    </w:p>
    <w:p w14:paraId="0D900246">
      <w:pPr>
        <w:widowControl w:val="0"/>
        <w:autoSpaceDE/>
        <w:autoSpaceDN/>
        <w:spacing w:line="400" w:lineRule="exact"/>
        <w:jc w:val="both"/>
        <w:rPr>
          <w:rFonts w:hint="eastAsia" w:ascii="仿宋" w:hAnsi="仿宋" w:eastAsia="仿宋" w:cs="仿宋"/>
          <w:color w:val="auto"/>
          <w:highlight w:val="none"/>
        </w:rPr>
      </w:pPr>
    </w:p>
    <w:p w14:paraId="481BEF3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10.不可抗力事件</w:t>
      </w:r>
    </w:p>
    <w:p w14:paraId="3A5785CC">
      <w:pPr>
        <w:widowControl w:val="0"/>
        <w:autoSpaceDE/>
        <w:autoSpaceDN/>
        <w:spacing w:line="400" w:lineRule="exact"/>
        <w:ind w:firstLine="420" w:firstLineChars="200"/>
        <w:jc w:val="both"/>
        <w:rPr>
          <w:rFonts w:hint="eastAsia" w:ascii="仿宋" w:hAnsi="仿宋" w:eastAsia="仿宋" w:cs="仿宋"/>
          <w:color w:val="auto"/>
          <w:highlight w:val="none"/>
        </w:rPr>
      </w:pPr>
    </w:p>
    <w:p w14:paraId="2433736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不可抗力指任何一方无法预见、控制、且经合理努力仍无法避免或克服的、导致其无法履行合同项下的义务的情形，包括但不限于：台风、地震、洪水等自然灾害；战争、罢工、骚乱等社会异常现象；征收征用等政府行为；以及甲乙双方不能合理预见和控制的任何其他客观情形。</w:t>
      </w:r>
    </w:p>
    <w:p w14:paraId="684B2CF4">
      <w:pPr>
        <w:widowControl w:val="0"/>
        <w:autoSpaceDE/>
        <w:autoSpaceDN/>
        <w:spacing w:line="400" w:lineRule="exact"/>
        <w:ind w:firstLine="420" w:firstLineChars="200"/>
        <w:jc w:val="both"/>
        <w:rPr>
          <w:rFonts w:hint="eastAsia" w:ascii="仿宋" w:hAnsi="仿宋" w:eastAsia="仿宋" w:cs="仿宋"/>
          <w:color w:val="auto"/>
          <w:highlight w:val="none"/>
        </w:rPr>
      </w:pPr>
    </w:p>
    <w:p w14:paraId="01A9EA9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11.不可抗力事件的认定和评估</w:t>
      </w:r>
    </w:p>
    <w:p w14:paraId="7595E80B">
      <w:pPr>
        <w:widowControl w:val="0"/>
        <w:autoSpaceDE/>
        <w:autoSpaceDN/>
        <w:spacing w:line="400" w:lineRule="exact"/>
        <w:jc w:val="both"/>
        <w:rPr>
          <w:rFonts w:hint="eastAsia" w:ascii="仿宋" w:hAnsi="仿宋" w:eastAsia="仿宋" w:cs="仿宋"/>
          <w:color w:val="auto"/>
          <w:highlight w:val="none"/>
        </w:rPr>
      </w:pPr>
    </w:p>
    <w:p w14:paraId="799F6DB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11.1.认定和评估</w:t>
      </w:r>
    </w:p>
    <w:p w14:paraId="563F059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E1043E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11.1.1.受到不可抗力事件影响的一方应在不可抗力事件发生后七日内书面通知另一方，详细描述不可抗力的发生情况、必要的证明文件和可能导致的后果，并及时采取措施减少损失范围。</w:t>
      </w:r>
    </w:p>
    <w:p w14:paraId="514BB43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11.1.2.甲方组织双方协商，评估和认定不可抗力。</w:t>
      </w:r>
    </w:p>
    <w:p w14:paraId="007DFD54">
      <w:pPr>
        <w:widowControl w:val="0"/>
        <w:autoSpaceDE/>
        <w:autoSpaceDN/>
        <w:spacing w:line="400" w:lineRule="exact"/>
        <w:ind w:firstLine="420" w:firstLineChars="200"/>
        <w:jc w:val="both"/>
        <w:rPr>
          <w:rFonts w:hint="eastAsia" w:ascii="仿宋" w:hAnsi="仿宋" w:eastAsia="仿宋" w:cs="仿宋"/>
          <w:color w:val="auto"/>
          <w:highlight w:val="none"/>
        </w:rPr>
      </w:pPr>
    </w:p>
    <w:p w14:paraId="17521B7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11.2.例外情况</w:t>
      </w:r>
    </w:p>
    <w:p w14:paraId="5C082924">
      <w:pPr>
        <w:widowControl w:val="0"/>
        <w:autoSpaceDE/>
        <w:autoSpaceDN/>
        <w:spacing w:line="400" w:lineRule="exact"/>
        <w:ind w:firstLine="420" w:firstLineChars="200"/>
        <w:jc w:val="both"/>
        <w:rPr>
          <w:rFonts w:hint="eastAsia" w:ascii="仿宋" w:hAnsi="仿宋" w:eastAsia="仿宋" w:cs="仿宋"/>
          <w:color w:val="auto"/>
          <w:highlight w:val="none"/>
        </w:rPr>
      </w:pPr>
    </w:p>
    <w:p w14:paraId="3374399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11.2.1.适用于乙方的例外情况</w:t>
      </w:r>
    </w:p>
    <w:p w14:paraId="7AAA986A">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693BB3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乙方无权将下述情况视作不可抗力事件而终止、中止履行本合同或不完全履行本合同项下义务：</w:t>
      </w:r>
    </w:p>
    <w:p w14:paraId="448FA96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（1）其他与乙方建立合同关系的第三方在履行合同方面发生延误；</w:t>
      </w:r>
    </w:p>
    <w:p w14:paraId="71C406E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（2）乙方提供服务的设施发生故障或正常磨损。</w:t>
      </w:r>
    </w:p>
    <w:p w14:paraId="460F5C7D">
      <w:pPr>
        <w:widowControl w:val="0"/>
        <w:autoSpaceDE/>
        <w:autoSpaceDN/>
        <w:spacing w:line="400" w:lineRule="exact"/>
        <w:jc w:val="both"/>
        <w:rPr>
          <w:rFonts w:hint="eastAsia" w:ascii="仿宋" w:hAnsi="仿宋" w:eastAsia="仿宋" w:cs="仿宋"/>
          <w:color w:val="auto"/>
          <w:highlight w:val="none"/>
        </w:rPr>
      </w:pPr>
    </w:p>
    <w:p w14:paraId="305D67F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11.2.2.适用于甲方的例外情况</w:t>
      </w:r>
    </w:p>
    <w:p w14:paraId="707EBF5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7A6589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甲方无权将下述情况视作不可抗力事件而终止、中止履行或不完全履行本合同项下义务：甲方因机构改革发生变更。</w:t>
      </w:r>
    </w:p>
    <w:p w14:paraId="62E632EB">
      <w:pPr>
        <w:widowControl w:val="0"/>
        <w:autoSpaceDE/>
        <w:autoSpaceDN/>
        <w:spacing w:line="400" w:lineRule="exact"/>
        <w:ind w:firstLine="420" w:firstLineChars="200"/>
        <w:jc w:val="both"/>
        <w:rPr>
          <w:rFonts w:hint="eastAsia" w:ascii="仿宋" w:hAnsi="仿宋" w:eastAsia="仿宋" w:cs="仿宋"/>
          <w:color w:val="auto"/>
          <w:highlight w:val="none"/>
        </w:rPr>
      </w:pPr>
    </w:p>
    <w:p w14:paraId="21F0F63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12.不可抗力事件发生期间各方权利和义务</w:t>
      </w:r>
    </w:p>
    <w:p w14:paraId="7393CEBB">
      <w:pPr>
        <w:widowControl w:val="0"/>
        <w:autoSpaceDE/>
        <w:autoSpaceDN/>
        <w:spacing w:line="400" w:lineRule="exact"/>
        <w:ind w:firstLine="420" w:firstLineChars="200"/>
        <w:jc w:val="both"/>
        <w:rPr>
          <w:rFonts w:hint="eastAsia" w:ascii="仿宋" w:hAnsi="仿宋" w:eastAsia="仿宋" w:cs="仿宋"/>
          <w:color w:val="auto"/>
          <w:highlight w:val="none"/>
        </w:rPr>
      </w:pPr>
    </w:p>
    <w:p w14:paraId="369E797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12.1.权利</w:t>
      </w:r>
    </w:p>
    <w:p w14:paraId="790DE5F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E6D780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12.1.1.甲方有认定不可抗力事件对本合同影响的权利。</w:t>
      </w:r>
    </w:p>
    <w:p w14:paraId="34ED1CD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12.1.2.乙方有权要求甲方按合同约定计量支付不可抗力事件发生前的合同金额。</w:t>
      </w:r>
    </w:p>
    <w:p w14:paraId="3F343BFC">
      <w:pPr>
        <w:widowControl w:val="0"/>
        <w:autoSpaceDE/>
        <w:autoSpaceDN/>
        <w:spacing w:line="400" w:lineRule="exact"/>
        <w:ind w:firstLine="420" w:firstLineChars="200"/>
        <w:jc w:val="both"/>
        <w:rPr>
          <w:rFonts w:hint="eastAsia" w:ascii="仿宋" w:hAnsi="仿宋" w:eastAsia="仿宋" w:cs="仿宋"/>
          <w:color w:val="auto"/>
          <w:highlight w:val="none"/>
        </w:rPr>
      </w:pPr>
    </w:p>
    <w:p w14:paraId="3379D3CB">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12.2.义务</w:t>
      </w:r>
    </w:p>
    <w:p w14:paraId="6A4797B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BE6D3D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12.2.1.受到不可抗力事件影响的一方按合同约定时限通知另一方。</w:t>
      </w:r>
    </w:p>
    <w:p w14:paraId="3D62709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12.2.2.双方均应采取合理措施尽量避免和减少损失的扩大。</w:t>
      </w:r>
    </w:p>
    <w:p w14:paraId="7A92CC8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12.2.3.声称不可抗力的一方在不可抗力消除之后应尽快恢复履行本合同项下的义务。</w:t>
      </w:r>
    </w:p>
    <w:p w14:paraId="14361D1E">
      <w:pPr>
        <w:widowControl w:val="0"/>
        <w:autoSpaceDE/>
        <w:autoSpaceDN/>
        <w:spacing w:line="400" w:lineRule="exact"/>
        <w:ind w:firstLine="420" w:firstLineChars="200"/>
        <w:jc w:val="both"/>
        <w:rPr>
          <w:rFonts w:hint="eastAsia" w:ascii="仿宋" w:hAnsi="仿宋" w:eastAsia="仿宋" w:cs="仿宋"/>
          <w:color w:val="auto"/>
          <w:highlight w:val="none"/>
        </w:rPr>
      </w:pPr>
    </w:p>
    <w:p w14:paraId="5D47B07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13.不可抗力事件的处理</w:t>
      </w:r>
    </w:p>
    <w:p w14:paraId="24CC77F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115195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13.1.发生不可抗力时，双方应各自承担由于不可抗力对其造成的损失。双方应协商采取合理的补救措施尽量减少不可抗力给各方带来的损失。</w:t>
      </w:r>
    </w:p>
    <w:p w14:paraId="345A966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13.2.不可抗力发生前已发生的合同金额应当按照合同约定进行计量支付。</w:t>
      </w:r>
    </w:p>
    <w:p w14:paraId="3613F2D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13.3.当不可抗力事件阻止一方履行其义务的时间持续</w:t>
      </w:r>
      <w:r>
        <w:rPr>
          <w:rFonts w:hint="eastAsia" w:ascii="仿宋" w:hAnsi="仿宋" w:eastAsia="仿宋" w:cs="仿宋"/>
          <w:color w:val="auto"/>
          <w:highlight w:val="none"/>
          <w:u w:val="single"/>
        </w:rPr>
        <w:t>九十</w:t>
      </w:r>
      <w:r>
        <w:rPr>
          <w:rFonts w:hint="eastAsia" w:ascii="仿宋" w:hAnsi="仿宋" w:eastAsia="仿宋" w:cs="仿宋"/>
          <w:color w:val="auto"/>
          <w:highlight w:val="none"/>
        </w:rPr>
        <w:t>日以上时，双方应协商决定继续履行本合同的条件或者终止本合同。如果自不可抗力发生后</w:t>
      </w:r>
      <w:r>
        <w:rPr>
          <w:rFonts w:hint="eastAsia" w:ascii="仿宋" w:hAnsi="仿宋" w:eastAsia="仿宋" w:cs="仿宋"/>
          <w:color w:val="auto"/>
          <w:highlight w:val="none"/>
          <w:u w:val="single"/>
        </w:rPr>
        <w:t>一百八十</w:t>
      </w:r>
      <w:r>
        <w:rPr>
          <w:rFonts w:hint="eastAsia" w:ascii="仿宋" w:hAnsi="仿宋" w:eastAsia="仿宋" w:cs="仿宋"/>
          <w:color w:val="auto"/>
          <w:highlight w:val="none"/>
        </w:rPr>
        <w:t>日之内双方不能就继续履行的条件或终止本合同达成一致意见，任何一方有权给予另一方书面通知后立即终止本合同。</w:t>
      </w:r>
    </w:p>
    <w:p w14:paraId="31CC4CF7">
      <w:pPr>
        <w:widowControl w:val="0"/>
        <w:autoSpaceDE/>
        <w:autoSpaceDN/>
        <w:spacing w:line="400" w:lineRule="exact"/>
        <w:ind w:firstLine="420" w:firstLineChars="200"/>
        <w:jc w:val="both"/>
        <w:rPr>
          <w:rFonts w:hint="eastAsia" w:ascii="仿宋" w:hAnsi="仿宋" w:eastAsia="仿宋" w:cs="仿宋"/>
          <w:highlight w:val="none"/>
        </w:rPr>
      </w:pPr>
    </w:p>
    <w:p w14:paraId="28908F3A">
      <w:pPr>
        <w:widowControl w:val="0"/>
        <w:numPr>
          <w:ilvl w:val="0"/>
          <w:numId w:val="4"/>
        </w:numPr>
        <w:autoSpaceDE/>
        <w:autoSpaceDN/>
        <w:spacing w:line="400" w:lineRule="exact"/>
        <w:ind w:firstLine="422" w:firstLineChars="200"/>
        <w:jc w:val="center"/>
        <w:rPr>
          <w:rFonts w:hint="eastAsia" w:ascii="仿宋" w:hAnsi="仿宋" w:eastAsia="仿宋" w:cs="仿宋"/>
          <w:b/>
          <w:bCs/>
          <w:highlight w:val="none"/>
        </w:rPr>
      </w:pPr>
      <w:r>
        <w:rPr>
          <w:rFonts w:hint="eastAsia" w:ascii="仿宋" w:hAnsi="仿宋" w:eastAsia="仿宋" w:cs="仿宋"/>
          <w:b/>
          <w:bCs/>
          <w:highlight w:val="none"/>
        </w:rPr>
        <w:t>合同解除</w:t>
      </w:r>
    </w:p>
    <w:p w14:paraId="6A88EA96">
      <w:pPr>
        <w:widowControl w:val="0"/>
        <w:autoSpaceDE/>
        <w:autoSpaceDN/>
        <w:spacing w:line="400" w:lineRule="exact"/>
        <w:jc w:val="both"/>
        <w:rPr>
          <w:rFonts w:hint="eastAsia" w:ascii="仿宋" w:hAnsi="仿宋" w:eastAsia="仿宋" w:cs="仿宋"/>
          <w:b/>
          <w:bCs/>
          <w:highlight w:val="none"/>
        </w:rPr>
      </w:pPr>
    </w:p>
    <w:p w14:paraId="26B81F18">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14.合同解除的事由</w:t>
      </w:r>
    </w:p>
    <w:p w14:paraId="4197C6E3">
      <w:pPr>
        <w:widowControl w:val="0"/>
        <w:autoSpaceDE/>
        <w:autoSpaceDN/>
        <w:spacing w:line="400" w:lineRule="exact"/>
        <w:ind w:firstLine="422" w:firstLineChars="200"/>
        <w:jc w:val="both"/>
        <w:rPr>
          <w:rFonts w:hint="eastAsia" w:ascii="仿宋" w:hAnsi="仿宋" w:eastAsia="仿宋" w:cs="仿宋"/>
          <w:b/>
          <w:bCs/>
          <w:highlight w:val="none"/>
        </w:rPr>
      </w:pPr>
    </w:p>
    <w:p w14:paraId="36D6DA9C">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14.1.甲方或乙方在本合同中的声明或保证在被证实存在虚假或未兑现，严重影响其履约能力。</w:t>
      </w:r>
    </w:p>
    <w:p w14:paraId="50E9B0F3">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14.2.出现本合同约定的导致合同终止情形的。</w:t>
      </w:r>
    </w:p>
    <w:p w14:paraId="5DBB65C7">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14.3.发生其他导致本合同无法继续履行情形的。</w:t>
      </w:r>
    </w:p>
    <w:p w14:paraId="3FBD589B">
      <w:pPr>
        <w:widowControl w:val="0"/>
        <w:autoSpaceDE/>
        <w:autoSpaceDN/>
        <w:spacing w:line="400" w:lineRule="exact"/>
        <w:ind w:firstLine="422" w:firstLineChars="200"/>
        <w:jc w:val="both"/>
        <w:rPr>
          <w:rFonts w:hint="eastAsia" w:ascii="仿宋" w:hAnsi="仿宋" w:eastAsia="仿宋" w:cs="仿宋"/>
          <w:b/>
          <w:bCs/>
          <w:highlight w:val="none"/>
        </w:rPr>
      </w:pPr>
    </w:p>
    <w:p w14:paraId="3CE0DECC">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15.合同解除程序</w:t>
      </w:r>
    </w:p>
    <w:p w14:paraId="69539DA8">
      <w:pPr>
        <w:widowControl w:val="0"/>
        <w:autoSpaceDE/>
        <w:autoSpaceDN/>
        <w:spacing w:line="400" w:lineRule="exact"/>
        <w:ind w:firstLine="422" w:firstLineChars="200"/>
        <w:jc w:val="both"/>
        <w:rPr>
          <w:rFonts w:hint="eastAsia" w:ascii="仿宋" w:hAnsi="仿宋" w:eastAsia="仿宋" w:cs="仿宋"/>
          <w:b/>
          <w:bCs/>
          <w:highlight w:val="none"/>
        </w:rPr>
      </w:pPr>
    </w:p>
    <w:p w14:paraId="32896F54">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15.1.发出终止意向通知</w:t>
      </w:r>
    </w:p>
    <w:p w14:paraId="7457A95A">
      <w:pPr>
        <w:widowControl w:val="0"/>
        <w:autoSpaceDE/>
        <w:autoSpaceDN/>
        <w:spacing w:line="400" w:lineRule="exact"/>
        <w:ind w:firstLine="422" w:firstLineChars="200"/>
        <w:jc w:val="both"/>
        <w:rPr>
          <w:rFonts w:hint="eastAsia" w:ascii="仿宋" w:hAnsi="仿宋" w:eastAsia="仿宋" w:cs="仿宋"/>
          <w:b/>
          <w:bCs/>
          <w:highlight w:val="none"/>
        </w:rPr>
      </w:pPr>
    </w:p>
    <w:p w14:paraId="58450786">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15.1.1.甲方发出的终止</w:t>
      </w:r>
    </w:p>
    <w:p w14:paraId="6EE9AE71">
      <w:pPr>
        <w:widowControl w:val="0"/>
        <w:autoSpaceDE/>
        <w:autoSpaceDN/>
        <w:spacing w:line="400" w:lineRule="exact"/>
        <w:ind w:firstLine="422" w:firstLineChars="200"/>
        <w:jc w:val="both"/>
        <w:rPr>
          <w:rFonts w:hint="eastAsia" w:ascii="仿宋" w:hAnsi="仿宋" w:eastAsia="仿宋" w:cs="仿宋"/>
          <w:b/>
          <w:bCs/>
          <w:highlight w:val="none"/>
        </w:rPr>
      </w:pPr>
    </w:p>
    <w:p w14:paraId="7FD4897F">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下述任一行为发生时，甲方有权立即发出终止意向通知：</w:t>
      </w:r>
    </w:p>
    <w:p w14:paraId="34FDC60F">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（1）乙方在本合同中的声明或保证在被证实存在虚假或未兑现，严重影响其履约能力；</w:t>
      </w:r>
    </w:p>
    <w:p w14:paraId="27D577FD">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（2）乙方出现本合同约定的导致合同终止情形的；</w:t>
      </w:r>
    </w:p>
    <w:p w14:paraId="327E3C37">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（3）乙方被依法吊销营业执照、责令停业、清算或破产；</w:t>
      </w:r>
    </w:p>
    <w:p w14:paraId="37C608CF">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color w:val="auto"/>
          <w:highlight w:val="none"/>
        </w:rPr>
        <w:t>乙方未按时间节点完成本合同项下工作，逾期超过</w:t>
      </w:r>
      <w:r>
        <w:rPr>
          <w:rFonts w:hint="eastAsia" w:ascii="仿宋" w:hAnsi="仿宋" w:eastAsia="仿宋" w:cs="仿宋"/>
          <w:color w:val="auto"/>
          <w:highlight w:val="none"/>
          <w:u w:val="single"/>
          <w:lang w:eastAsia="zh-CN"/>
        </w:rPr>
        <w:t>三十</w:t>
      </w:r>
      <w:r>
        <w:rPr>
          <w:rFonts w:hint="eastAsia" w:ascii="仿宋" w:hAnsi="仿宋" w:eastAsia="仿宋" w:cs="仿宋"/>
          <w:color w:val="auto"/>
          <w:highlight w:val="none"/>
        </w:rPr>
        <w:t>日的；</w:t>
      </w:r>
    </w:p>
    <w:p w14:paraId="070E2B07">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（5）乙方发生累计两次或以上违约行为；</w:t>
      </w:r>
    </w:p>
    <w:p w14:paraId="513957CE">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（6）乙方履行义务不符合约定，经甲方提出后合理期限内仍未改正的；</w:t>
      </w:r>
    </w:p>
    <w:p w14:paraId="185BD03D">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（7）未经甲方书面同意，乙方将本合同项下其应履行的权利或义务部分或全部转让；</w:t>
      </w:r>
    </w:p>
    <w:p w14:paraId="4A155411">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（8）未经甲方书面同意，乙方将本合同项下属于甲方单方所有的成果作为己用或交付第三人使用的；</w:t>
      </w:r>
    </w:p>
    <w:p w14:paraId="791B169E">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（9）第三方指控并经有权机关认定甲方使用/接受乙方提供的产品/服务侵犯了该方的知识产权或其他权利，造成甲方损失的。</w:t>
      </w:r>
    </w:p>
    <w:p w14:paraId="7072B8EF">
      <w:pPr>
        <w:widowControl w:val="0"/>
        <w:autoSpaceDE/>
        <w:autoSpaceDN/>
        <w:spacing w:line="400" w:lineRule="exact"/>
        <w:ind w:firstLine="420" w:firstLineChars="200"/>
        <w:jc w:val="both"/>
        <w:rPr>
          <w:rFonts w:hint="eastAsia" w:ascii="仿宋" w:hAnsi="仿宋" w:eastAsia="仿宋" w:cs="仿宋"/>
          <w:highlight w:val="none"/>
        </w:rPr>
      </w:pPr>
    </w:p>
    <w:p w14:paraId="4C97CDF4">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15.1.2.乙方发出的终止</w:t>
      </w:r>
    </w:p>
    <w:p w14:paraId="2004258A">
      <w:pPr>
        <w:widowControl w:val="0"/>
        <w:autoSpaceDE/>
        <w:autoSpaceDN/>
        <w:spacing w:line="400" w:lineRule="exact"/>
        <w:ind w:firstLine="422" w:firstLineChars="200"/>
        <w:jc w:val="both"/>
        <w:rPr>
          <w:rFonts w:hint="eastAsia" w:ascii="仿宋" w:hAnsi="仿宋" w:eastAsia="仿宋" w:cs="仿宋"/>
          <w:b/>
          <w:bCs/>
          <w:highlight w:val="none"/>
        </w:rPr>
      </w:pPr>
    </w:p>
    <w:p w14:paraId="69589F37">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下述任一事件发生时，乙方有权立即发出终止意向通知：</w:t>
      </w:r>
    </w:p>
    <w:p w14:paraId="2E53E210">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（1）甲方在本合同中的声明或保证在被证实是虚假的或未兑现，使乙方履行本合同的能力受到严重不利影响；</w:t>
      </w:r>
    </w:p>
    <w:p w14:paraId="0FA6FC73">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（2）甲方无正当理由在逾期</w:t>
      </w:r>
      <w:r>
        <w:rPr>
          <w:rFonts w:hint="eastAsia" w:ascii="仿宋" w:hAnsi="仿宋" w:eastAsia="仿宋" w:cs="仿宋"/>
          <w:highlight w:val="none"/>
          <w:u w:val="single"/>
        </w:rPr>
        <w:t>六</w:t>
      </w:r>
      <w:r>
        <w:rPr>
          <w:rFonts w:hint="eastAsia" w:ascii="仿宋" w:hAnsi="仿宋" w:eastAsia="仿宋" w:cs="仿宋"/>
          <w:highlight w:val="none"/>
        </w:rPr>
        <w:t>个月（自应付日起算）后仍未履行支付义务。但因财政支付管理流程导致的支付延期除外。</w:t>
      </w:r>
    </w:p>
    <w:p w14:paraId="690310F1">
      <w:pPr>
        <w:widowControl w:val="0"/>
        <w:autoSpaceDE/>
        <w:autoSpaceDN/>
        <w:spacing w:line="400" w:lineRule="exact"/>
        <w:ind w:firstLine="420" w:firstLineChars="200"/>
        <w:jc w:val="both"/>
        <w:rPr>
          <w:rFonts w:hint="eastAsia" w:ascii="仿宋" w:hAnsi="仿宋" w:eastAsia="仿宋" w:cs="仿宋"/>
          <w:highlight w:val="none"/>
        </w:rPr>
      </w:pPr>
    </w:p>
    <w:p w14:paraId="138C9CA4">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15.1.3.法律变更或政府行为</w:t>
      </w:r>
    </w:p>
    <w:p w14:paraId="1CBE9480">
      <w:pPr>
        <w:widowControl w:val="0"/>
        <w:autoSpaceDE/>
        <w:autoSpaceDN/>
        <w:spacing w:line="400" w:lineRule="exact"/>
        <w:ind w:firstLine="422" w:firstLineChars="200"/>
        <w:jc w:val="both"/>
        <w:rPr>
          <w:rFonts w:hint="eastAsia" w:ascii="仿宋" w:hAnsi="仿宋" w:eastAsia="仿宋" w:cs="仿宋"/>
          <w:b/>
          <w:bCs/>
          <w:highlight w:val="none"/>
        </w:rPr>
      </w:pPr>
    </w:p>
    <w:p w14:paraId="4D8BAF37">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如果在本合同生效后，因法律变更及政府行为导致乙方部分或全部不能履行本合同项下主要义务，而这种变化和影响又不以甲方的意志为转移，甲乙双方应尽力就继续履行本合同进行协商，若不能达成一致，则一方可向另一方发出终止意向通知，</w:t>
      </w:r>
      <w:r>
        <w:rPr>
          <w:rFonts w:hint="eastAsia" w:ascii="仿宋" w:hAnsi="仿宋" w:eastAsia="仿宋" w:cs="仿宋"/>
          <w:highlight w:val="none"/>
          <w:lang w:eastAsia="zh-CN"/>
        </w:rPr>
        <w:t>“终止意向通知发出后三十日内”</w:t>
      </w:r>
      <w:r>
        <w:rPr>
          <w:rFonts w:hint="eastAsia" w:ascii="仿宋" w:hAnsi="仿宋" w:eastAsia="仿宋" w:cs="仿宋"/>
          <w:highlight w:val="none"/>
        </w:rPr>
        <w:t>双方仍协商不成的，本合同自终止意向通知到达对方</w:t>
      </w:r>
      <w:r>
        <w:rPr>
          <w:rFonts w:hint="eastAsia" w:ascii="仿宋" w:hAnsi="仿宋" w:eastAsia="仿宋" w:cs="仿宋"/>
          <w:color w:val="000000"/>
          <w:highlight w:val="none"/>
        </w:rPr>
        <w:t>时</w:t>
      </w:r>
      <w:r>
        <w:rPr>
          <w:rFonts w:hint="eastAsia" w:ascii="仿宋" w:hAnsi="仿宋" w:eastAsia="仿宋" w:cs="仿宋"/>
          <w:highlight w:val="none"/>
        </w:rPr>
        <w:t>终止。</w:t>
      </w:r>
    </w:p>
    <w:p w14:paraId="3E100636">
      <w:pPr>
        <w:widowControl w:val="0"/>
        <w:autoSpaceDE/>
        <w:autoSpaceDN/>
        <w:spacing w:line="400" w:lineRule="exact"/>
        <w:ind w:firstLine="420" w:firstLineChars="200"/>
        <w:jc w:val="both"/>
        <w:rPr>
          <w:rFonts w:hint="eastAsia" w:ascii="仿宋" w:hAnsi="仿宋" w:eastAsia="仿宋" w:cs="仿宋"/>
          <w:highlight w:val="none"/>
        </w:rPr>
      </w:pPr>
    </w:p>
    <w:p w14:paraId="6FBC626C">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15.1.4.协商一致终止</w:t>
      </w:r>
    </w:p>
    <w:p w14:paraId="109C192E">
      <w:pPr>
        <w:widowControl w:val="0"/>
        <w:autoSpaceDE/>
        <w:autoSpaceDN/>
        <w:spacing w:line="400" w:lineRule="exact"/>
        <w:ind w:firstLine="422" w:firstLineChars="200"/>
        <w:jc w:val="both"/>
        <w:rPr>
          <w:rFonts w:hint="eastAsia" w:ascii="仿宋" w:hAnsi="仿宋" w:eastAsia="仿宋" w:cs="仿宋"/>
          <w:b/>
          <w:bCs/>
          <w:highlight w:val="none"/>
        </w:rPr>
      </w:pPr>
    </w:p>
    <w:p w14:paraId="2AF3F285">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在本合同履行期间，由各方协商一致可提前终止本合同。费用结算等问题由各方协商一致。</w:t>
      </w:r>
    </w:p>
    <w:p w14:paraId="7E232A50">
      <w:pPr>
        <w:widowControl w:val="0"/>
        <w:autoSpaceDE/>
        <w:autoSpaceDN/>
        <w:spacing w:line="400" w:lineRule="exact"/>
        <w:ind w:firstLine="420" w:firstLineChars="200"/>
        <w:jc w:val="both"/>
        <w:rPr>
          <w:rFonts w:hint="eastAsia" w:ascii="仿宋" w:hAnsi="仿宋" w:eastAsia="仿宋" w:cs="仿宋"/>
          <w:highlight w:val="none"/>
        </w:rPr>
      </w:pPr>
    </w:p>
    <w:p w14:paraId="7166C4FF">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15.2.双方协商</w:t>
      </w:r>
    </w:p>
    <w:p w14:paraId="390226AB">
      <w:pPr>
        <w:widowControl w:val="0"/>
        <w:autoSpaceDE/>
        <w:autoSpaceDN/>
        <w:spacing w:line="400" w:lineRule="exact"/>
        <w:ind w:firstLine="422" w:firstLineChars="200"/>
        <w:jc w:val="both"/>
        <w:rPr>
          <w:rFonts w:hint="eastAsia" w:ascii="仿宋" w:hAnsi="仿宋" w:eastAsia="仿宋" w:cs="仿宋"/>
          <w:b/>
          <w:bCs/>
          <w:highlight w:val="none"/>
        </w:rPr>
      </w:pPr>
    </w:p>
    <w:p w14:paraId="78856257">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15.2.1.终止意向通知发出之后，双方应在三十日内协商。</w:t>
      </w:r>
    </w:p>
    <w:p w14:paraId="215DFB44">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15.2.2.如果双方就将要采取的措施达成一致意见，或者违约行为在指定期限内得到纠正，终止意向通知即自动失效。</w:t>
      </w:r>
    </w:p>
    <w:p w14:paraId="6F82D960">
      <w:pPr>
        <w:widowControl w:val="0"/>
        <w:autoSpaceDE/>
        <w:autoSpaceDN/>
        <w:spacing w:line="400" w:lineRule="exact"/>
        <w:ind w:firstLine="420" w:firstLineChars="200"/>
        <w:jc w:val="both"/>
        <w:rPr>
          <w:rFonts w:hint="eastAsia" w:ascii="仿宋" w:hAnsi="仿宋" w:eastAsia="仿宋" w:cs="仿宋"/>
          <w:highlight w:val="none"/>
        </w:rPr>
      </w:pPr>
    </w:p>
    <w:p w14:paraId="3DE7BAF1">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15.3.发出终止通知</w:t>
      </w:r>
    </w:p>
    <w:p w14:paraId="655072ED">
      <w:pPr>
        <w:widowControl w:val="0"/>
        <w:autoSpaceDE/>
        <w:autoSpaceDN/>
        <w:spacing w:line="400" w:lineRule="exact"/>
        <w:ind w:firstLine="422" w:firstLineChars="200"/>
        <w:jc w:val="both"/>
        <w:rPr>
          <w:rFonts w:hint="eastAsia" w:ascii="仿宋" w:hAnsi="仿宋" w:eastAsia="仿宋" w:cs="仿宋"/>
          <w:b/>
          <w:bCs/>
          <w:highlight w:val="none"/>
        </w:rPr>
      </w:pPr>
    </w:p>
    <w:p w14:paraId="4ECDD6BC">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如终止意向通知发出后，指定期限内违约方仍实施违约行为或违约行为仍未得到纠正，则另一方有权在指定期限届满后合同履约期满前任何时间发出终止本合同的书面通知，本合同自书面通知送达对方之日起终止。</w:t>
      </w:r>
    </w:p>
    <w:p w14:paraId="15E2FE17">
      <w:pPr>
        <w:widowControl w:val="0"/>
        <w:autoSpaceDE/>
        <w:autoSpaceDN/>
        <w:spacing w:line="400" w:lineRule="exact"/>
        <w:ind w:firstLine="422" w:firstLineChars="200"/>
        <w:jc w:val="center"/>
        <w:rPr>
          <w:rFonts w:hint="eastAsia" w:ascii="仿宋" w:hAnsi="仿宋" w:eastAsia="仿宋" w:cs="仿宋"/>
          <w:b/>
          <w:bCs/>
          <w:highlight w:val="none"/>
        </w:rPr>
      </w:pPr>
    </w:p>
    <w:p w14:paraId="21D77336">
      <w:pPr>
        <w:widowControl w:val="0"/>
        <w:autoSpaceDE/>
        <w:autoSpaceDN/>
        <w:spacing w:line="400" w:lineRule="exact"/>
        <w:ind w:firstLine="422" w:firstLineChars="200"/>
        <w:jc w:val="center"/>
        <w:rPr>
          <w:rFonts w:hint="eastAsia" w:ascii="仿宋" w:hAnsi="仿宋" w:eastAsia="仿宋" w:cs="仿宋"/>
          <w:b/>
          <w:bCs/>
          <w:highlight w:val="none"/>
        </w:rPr>
      </w:pPr>
      <w:r>
        <w:rPr>
          <w:rFonts w:hint="eastAsia" w:ascii="仿宋" w:hAnsi="仿宋" w:eastAsia="仿宋" w:cs="仿宋"/>
          <w:b/>
          <w:bCs/>
          <w:highlight w:val="none"/>
        </w:rPr>
        <w:t>第七章违约处理</w:t>
      </w:r>
    </w:p>
    <w:p w14:paraId="006E136C">
      <w:pPr>
        <w:widowControl w:val="0"/>
        <w:autoSpaceDE/>
        <w:autoSpaceDN/>
        <w:spacing w:line="400" w:lineRule="exact"/>
        <w:jc w:val="both"/>
        <w:rPr>
          <w:rFonts w:hint="eastAsia" w:ascii="仿宋" w:hAnsi="仿宋" w:eastAsia="仿宋" w:cs="仿宋"/>
          <w:highlight w:val="none"/>
        </w:rPr>
      </w:pPr>
    </w:p>
    <w:p w14:paraId="5DA67B55">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16.违约行为认定</w:t>
      </w:r>
    </w:p>
    <w:p w14:paraId="6352A3DC">
      <w:pPr>
        <w:widowControl w:val="0"/>
        <w:autoSpaceDE/>
        <w:autoSpaceDN/>
        <w:spacing w:line="400" w:lineRule="exact"/>
        <w:ind w:firstLine="422" w:firstLineChars="200"/>
        <w:jc w:val="both"/>
        <w:rPr>
          <w:rFonts w:hint="eastAsia" w:ascii="仿宋" w:hAnsi="仿宋" w:eastAsia="仿宋" w:cs="仿宋"/>
          <w:b/>
          <w:bCs/>
          <w:highlight w:val="none"/>
        </w:rPr>
      </w:pPr>
    </w:p>
    <w:p w14:paraId="2244CDCE">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除不可抗力情形外，签订本合同任一方不履行本合同的任一条款，均视为违约。</w:t>
      </w:r>
    </w:p>
    <w:p w14:paraId="5153D809">
      <w:pPr>
        <w:widowControl w:val="0"/>
        <w:autoSpaceDE/>
        <w:autoSpaceDN/>
        <w:spacing w:line="400" w:lineRule="exact"/>
        <w:ind w:firstLine="420" w:firstLineChars="200"/>
        <w:jc w:val="both"/>
        <w:rPr>
          <w:rFonts w:hint="eastAsia" w:ascii="仿宋" w:hAnsi="仿宋" w:eastAsia="仿宋" w:cs="仿宋"/>
          <w:highlight w:val="none"/>
        </w:rPr>
      </w:pPr>
    </w:p>
    <w:p w14:paraId="30A43F0D">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17.违约责任承担方式</w:t>
      </w:r>
    </w:p>
    <w:p w14:paraId="0277949E">
      <w:pPr>
        <w:widowControl w:val="0"/>
        <w:autoSpaceDE/>
        <w:autoSpaceDN/>
        <w:spacing w:line="400" w:lineRule="exact"/>
        <w:ind w:firstLine="420" w:firstLineChars="200"/>
        <w:jc w:val="both"/>
        <w:rPr>
          <w:rFonts w:hint="eastAsia" w:ascii="仿宋" w:hAnsi="仿宋" w:eastAsia="仿宋" w:cs="仿宋"/>
          <w:highlight w:val="none"/>
        </w:rPr>
      </w:pPr>
    </w:p>
    <w:p w14:paraId="0845504B">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17.1.继续履行</w:t>
      </w:r>
    </w:p>
    <w:p w14:paraId="1919661A">
      <w:pPr>
        <w:widowControl w:val="0"/>
        <w:autoSpaceDE/>
        <w:autoSpaceDN/>
        <w:spacing w:line="400" w:lineRule="exact"/>
        <w:ind w:firstLine="422" w:firstLineChars="200"/>
        <w:jc w:val="both"/>
        <w:rPr>
          <w:rFonts w:hint="eastAsia" w:ascii="仿宋" w:hAnsi="仿宋" w:eastAsia="仿宋" w:cs="仿宋"/>
          <w:b/>
          <w:bCs/>
          <w:highlight w:val="none"/>
        </w:rPr>
      </w:pPr>
    </w:p>
    <w:p w14:paraId="5DFE64B9">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守约方有权暂时停止履行义务，并要求违约方继续履行本合同，待违约方纠正违约行为后恢复履行；守约方根据此款规定暂停履行义务不构成违约。</w:t>
      </w:r>
    </w:p>
    <w:p w14:paraId="30B6C18C">
      <w:pPr>
        <w:widowControl w:val="0"/>
        <w:autoSpaceDE/>
        <w:autoSpaceDN/>
        <w:spacing w:line="400" w:lineRule="exact"/>
        <w:ind w:firstLine="420" w:firstLineChars="200"/>
        <w:jc w:val="both"/>
        <w:rPr>
          <w:rFonts w:hint="eastAsia" w:ascii="仿宋" w:hAnsi="仿宋" w:eastAsia="仿宋" w:cs="仿宋"/>
          <w:highlight w:val="none"/>
        </w:rPr>
      </w:pPr>
    </w:p>
    <w:p w14:paraId="323A107F">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17.2.赔偿</w:t>
      </w:r>
    </w:p>
    <w:p w14:paraId="43F7A009">
      <w:pPr>
        <w:widowControl w:val="0"/>
        <w:autoSpaceDE/>
        <w:autoSpaceDN/>
        <w:spacing w:line="400" w:lineRule="exact"/>
        <w:ind w:firstLine="422" w:firstLineChars="200"/>
        <w:jc w:val="both"/>
        <w:rPr>
          <w:rFonts w:hint="eastAsia" w:ascii="仿宋" w:hAnsi="仿宋" w:eastAsia="仿宋" w:cs="仿宋"/>
          <w:b/>
          <w:bCs/>
          <w:highlight w:val="none"/>
        </w:rPr>
      </w:pPr>
    </w:p>
    <w:p w14:paraId="62247C0B">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任何一方有权获得因另一方违约而使该方遭受的任何损失、支出和费用（包括但不限于评估费、鉴定费、律师费、诉讼费）的赔偿，该项赔偿由违约方支付。</w:t>
      </w:r>
    </w:p>
    <w:p w14:paraId="4CEB3915">
      <w:pPr>
        <w:widowControl w:val="0"/>
        <w:autoSpaceDE/>
        <w:autoSpaceDN/>
        <w:spacing w:line="400" w:lineRule="exact"/>
        <w:ind w:firstLine="420" w:firstLineChars="200"/>
        <w:jc w:val="both"/>
        <w:rPr>
          <w:rFonts w:hint="eastAsia" w:ascii="仿宋" w:hAnsi="仿宋" w:eastAsia="仿宋" w:cs="仿宋"/>
          <w:highlight w:val="none"/>
        </w:rPr>
      </w:pPr>
    </w:p>
    <w:p w14:paraId="7EEB0043">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17.3.不减免和影响的事项</w:t>
      </w:r>
    </w:p>
    <w:p w14:paraId="382D3143">
      <w:pPr>
        <w:widowControl w:val="0"/>
        <w:autoSpaceDE/>
        <w:autoSpaceDN/>
        <w:spacing w:line="400" w:lineRule="exact"/>
        <w:ind w:firstLine="422" w:firstLineChars="200"/>
        <w:jc w:val="both"/>
        <w:rPr>
          <w:rFonts w:hint="eastAsia" w:ascii="仿宋" w:hAnsi="仿宋" w:eastAsia="仿宋" w:cs="仿宋"/>
          <w:b/>
          <w:bCs/>
          <w:highlight w:val="none"/>
        </w:rPr>
      </w:pPr>
    </w:p>
    <w:p w14:paraId="3C8E363A">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17.3.1.违约方对违约责任的承担并不能减免其在本合同项下的其他任何义务。</w:t>
      </w:r>
    </w:p>
    <w:p w14:paraId="0FE90C2F">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17.3.2.双方获得上述违约赔偿的权利不影响其在本合同项下的终止合同权利。</w:t>
      </w:r>
    </w:p>
    <w:p w14:paraId="700567C3">
      <w:pPr>
        <w:widowControl w:val="0"/>
        <w:autoSpaceDE/>
        <w:autoSpaceDN/>
        <w:spacing w:line="400" w:lineRule="exact"/>
        <w:jc w:val="both"/>
        <w:rPr>
          <w:rFonts w:hint="eastAsia" w:ascii="仿宋" w:hAnsi="仿宋" w:eastAsia="仿宋" w:cs="仿宋"/>
          <w:highlight w:val="none"/>
        </w:rPr>
      </w:pPr>
    </w:p>
    <w:p w14:paraId="1EEF1A06">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18.违约赔偿责任</w:t>
      </w:r>
    </w:p>
    <w:p w14:paraId="200F02EE">
      <w:pPr>
        <w:widowControl w:val="0"/>
        <w:autoSpaceDE/>
        <w:autoSpaceDN/>
        <w:spacing w:line="400" w:lineRule="exact"/>
        <w:ind w:firstLine="420" w:firstLineChars="200"/>
        <w:jc w:val="both"/>
        <w:rPr>
          <w:rFonts w:hint="eastAsia" w:ascii="仿宋" w:hAnsi="仿宋" w:eastAsia="仿宋" w:cs="仿宋"/>
          <w:highlight w:val="none"/>
        </w:rPr>
      </w:pPr>
    </w:p>
    <w:p w14:paraId="22D897CF">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18.1.甲方违约赔偿责任</w:t>
      </w:r>
    </w:p>
    <w:p w14:paraId="515C4F81">
      <w:pPr>
        <w:widowControl w:val="0"/>
        <w:autoSpaceDE/>
        <w:autoSpaceDN/>
        <w:spacing w:line="400" w:lineRule="exact"/>
        <w:ind w:firstLine="422" w:firstLineChars="200"/>
        <w:jc w:val="both"/>
        <w:rPr>
          <w:rFonts w:hint="eastAsia" w:ascii="仿宋" w:hAnsi="仿宋" w:eastAsia="仿宋" w:cs="仿宋"/>
          <w:b/>
          <w:bCs/>
          <w:highlight w:val="none"/>
        </w:rPr>
      </w:pPr>
    </w:p>
    <w:p w14:paraId="25982740">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18.1.1.甲方未按照本合同约定</w:t>
      </w:r>
      <w:r>
        <w:rPr>
          <w:rFonts w:hint="eastAsia" w:ascii="仿宋" w:hAnsi="仿宋" w:eastAsia="仿宋" w:cs="仿宋"/>
          <w:highlight w:val="none"/>
          <w:lang w:eastAsia="zh-CN"/>
        </w:rPr>
        <w:t>及服务评价结果确认的金额</w:t>
      </w:r>
      <w:r>
        <w:rPr>
          <w:rFonts w:hint="eastAsia" w:ascii="仿宋" w:hAnsi="仿宋" w:eastAsia="仿宋" w:cs="仿宋"/>
          <w:highlight w:val="none"/>
        </w:rPr>
        <w:t>，及时向乙方支付相应的合同金额，则乙方有权向甲方发出书面催告，如甲方在收到书面催告通知后的</w:t>
      </w:r>
      <w:r>
        <w:rPr>
          <w:rFonts w:hint="eastAsia" w:ascii="仿宋" w:hAnsi="仿宋" w:eastAsia="仿宋" w:cs="仿宋"/>
          <w:highlight w:val="none"/>
          <w:u w:val="single"/>
        </w:rPr>
        <w:t>三十</w:t>
      </w:r>
      <w:r>
        <w:rPr>
          <w:rFonts w:hint="eastAsia" w:ascii="仿宋" w:hAnsi="仿宋" w:eastAsia="仿宋" w:cs="仿宋"/>
          <w:highlight w:val="none"/>
        </w:rPr>
        <w:t>日内仍未能支付的，则甲方除应支付应付未付的合同金额外，还应自收到书面催告通知后第</w:t>
      </w:r>
      <w:r>
        <w:rPr>
          <w:rFonts w:hint="eastAsia" w:ascii="仿宋" w:hAnsi="仿宋" w:eastAsia="仿宋" w:cs="仿宋"/>
          <w:highlight w:val="none"/>
          <w:u w:val="single"/>
        </w:rPr>
        <w:t>三十一</w:t>
      </w:r>
      <w:r>
        <w:rPr>
          <w:rFonts w:hint="eastAsia" w:ascii="仿宋" w:hAnsi="仿宋" w:eastAsia="仿宋" w:cs="仿宋"/>
          <w:highlight w:val="none"/>
        </w:rPr>
        <w:t>日起每日按照应付未付金额</w:t>
      </w:r>
      <w:r>
        <w:rPr>
          <w:rFonts w:hint="eastAsia" w:ascii="仿宋" w:hAnsi="仿宋" w:eastAsia="仿宋" w:cs="仿宋"/>
          <w:highlight w:val="none"/>
          <w:u w:val="single"/>
        </w:rPr>
        <w:t>1‱</w:t>
      </w:r>
      <w:r>
        <w:rPr>
          <w:rFonts w:hint="eastAsia" w:ascii="仿宋" w:hAnsi="仿宋" w:eastAsia="仿宋" w:cs="仿宋"/>
          <w:highlight w:val="none"/>
        </w:rPr>
        <w:t>的数额向乙方支付违约金。但因财政支付管理流程导致的支付延期除外。</w:t>
      </w:r>
    </w:p>
    <w:p w14:paraId="6585200F">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18.1.2.付款时间为甲方向财政部门提出支付申请的时间，而非款项实际到达乙方账户的时间。如因政府财政支付流程导致的支付延期，甲方不承担责任，也不能作为乙方延迟履行或不履行合同义务的抗辩理由。</w:t>
      </w:r>
    </w:p>
    <w:p w14:paraId="1B1E0325">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color w:val="000000" w:themeColor="text1"/>
          <w:highlight w:val="none"/>
          <w:u w:val="none"/>
          <w14:textFill>
            <w14:solidFill>
              <w14:schemeClr w14:val="tx1"/>
            </w14:solidFill>
          </w14:textFill>
        </w:rPr>
        <w:t>18.1.3.</w:t>
      </w:r>
      <w:r>
        <w:rPr>
          <w:rFonts w:hint="eastAsia" w:ascii="仿宋" w:hAnsi="仿宋" w:eastAsia="仿宋" w:cs="仿宋"/>
          <w:highlight w:val="none"/>
        </w:rPr>
        <w:t>甲方支付的违约金和赔偿金总额不超过本合同金额的</w:t>
      </w:r>
      <w:r>
        <w:rPr>
          <w:rFonts w:hint="eastAsia" w:ascii="仿宋" w:hAnsi="仿宋" w:eastAsia="仿宋" w:cs="仿宋"/>
          <w:highlight w:val="none"/>
          <w:u w:val="single"/>
        </w:rPr>
        <w:t>3％</w:t>
      </w:r>
      <w:r>
        <w:rPr>
          <w:rFonts w:hint="eastAsia" w:ascii="仿宋" w:hAnsi="仿宋" w:eastAsia="仿宋" w:cs="仿宋"/>
          <w:highlight w:val="none"/>
        </w:rPr>
        <w:t>。</w:t>
      </w:r>
    </w:p>
    <w:p w14:paraId="6E66E647">
      <w:pPr>
        <w:widowControl w:val="0"/>
        <w:autoSpaceDE/>
        <w:autoSpaceDN/>
        <w:spacing w:line="400" w:lineRule="exact"/>
        <w:ind w:firstLine="422" w:firstLineChars="200"/>
        <w:jc w:val="both"/>
        <w:rPr>
          <w:rFonts w:hint="eastAsia" w:ascii="仿宋" w:hAnsi="仿宋" w:eastAsia="仿宋" w:cs="仿宋"/>
          <w:b/>
          <w:bCs/>
          <w:highlight w:val="none"/>
        </w:rPr>
      </w:pPr>
    </w:p>
    <w:p w14:paraId="1E4EC948">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18.2.乙方违约赔偿责任</w:t>
      </w:r>
    </w:p>
    <w:p w14:paraId="0AF4CEE2">
      <w:pPr>
        <w:widowControl w:val="0"/>
        <w:autoSpaceDE/>
        <w:autoSpaceDN/>
        <w:spacing w:line="400" w:lineRule="exact"/>
        <w:ind w:firstLine="420" w:firstLineChars="200"/>
        <w:jc w:val="both"/>
        <w:rPr>
          <w:rFonts w:hint="eastAsia" w:ascii="仿宋" w:hAnsi="仿宋" w:eastAsia="仿宋" w:cs="仿宋"/>
          <w:highlight w:val="none"/>
        </w:rPr>
      </w:pPr>
    </w:p>
    <w:p w14:paraId="561357BD">
      <w:pPr>
        <w:widowControl w:val="0"/>
        <w:autoSpaceDE/>
        <w:autoSpaceDN/>
        <w:spacing w:line="400" w:lineRule="exact"/>
        <w:ind w:firstLine="422" w:firstLineChars="200"/>
        <w:jc w:val="both"/>
        <w:rPr>
          <w:rFonts w:hint="eastAsia" w:ascii="仿宋" w:hAnsi="仿宋" w:eastAsia="仿宋" w:cs="仿宋"/>
          <w:b/>
          <w:bCs/>
          <w:highlight w:val="none"/>
          <w:u w:val="none"/>
          <w:lang w:eastAsia="zh-CN"/>
        </w:rPr>
      </w:pPr>
      <w:r>
        <w:rPr>
          <w:rFonts w:hint="eastAsia" w:ascii="仿宋" w:hAnsi="仿宋" w:eastAsia="仿宋" w:cs="仿宋"/>
          <w:b/>
          <w:bCs/>
          <w:highlight w:val="none"/>
          <w:u w:val="none"/>
        </w:rPr>
        <w:t>18.2.1.服务</w:t>
      </w:r>
      <w:r>
        <w:rPr>
          <w:rFonts w:hint="eastAsia" w:ascii="仿宋" w:hAnsi="仿宋" w:eastAsia="仿宋" w:cs="仿宋"/>
          <w:b/>
          <w:bCs/>
          <w:highlight w:val="none"/>
          <w:u w:val="none"/>
          <w:lang w:eastAsia="zh-CN"/>
        </w:rPr>
        <w:t>违约责任</w:t>
      </w:r>
    </w:p>
    <w:p w14:paraId="131DBB32">
      <w:pPr>
        <w:widowControl w:val="0"/>
        <w:autoSpaceDE/>
        <w:autoSpaceDN/>
        <w:spacing w:line="400" w:lineRule="exact"/>
        <w:ind w:firstLine="422" w:firstLineChars="200"/>
        <w:jc w:val="both"/>
        <w:rPr>
          <w:rFonts w:hint="eastAsia" w:ascii="仿宋" w:hAnsi="仿宋" w:eastAsia="仿宋" w:cs="仿宋"/>
          <w:b/>
          <w:bCs/>
          <w:highlight w:val="none"/>
          <w:u w:val="none"/>
          <w:lang w:eastAsia="zh-CN"/>
        </w:rPr>
      </w:pPr>
    </w:p>
    <w:p w14:paraId="0D67D323">
      <w:pPr>
        <w:widowControl w:val="0"/>
        <w:autoSpaceDE/>
        <w:autoSpaceDN/>
        <w:spacing w:line="400" w:lineRule="exact"/>
        <w:ind w:firstLine="420" w:firstLineChars="200"/>
        <w:jc w:val="both"/>
        <w:rPr>
          <w:rFonts w:hint="eastAsia" w:ascii="仿宋" w:hAnsi="仿宋" w:eastAsia="仿宋" w:cs="仿宋"/>
          <w:color w:val="000000" w:themeColor="text1"/>
          <w:highlight w:val="none"/>
          <w:u w:val="single"/>
          <w:lang w:eastAsia="zh-CN"/>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18.2.1.1.乙方无正当理由未能够按</w:t>
      </w:r>
      <w:r>
        <w:rPr>
          <w:rFonts w:hint="eastAsia" w:ascii="仿宋" w:hAnsi="仿宋" w:eastAsia="仿宋" w:cs="仿宋"/>
          <w:color w:val="000000" w:themeColor="text1"/>
          <w:highlight w:val="none"/>
          <w:u w:val="none"/>
          <w:lang w:eastAsia="zh-CN"/>
          <w14:textFill>
            <w14:solidFill>
              <w14:schemeClr w14:val="tx1"/>
            </w14:solidFill>
          </w14:textFill>
        </w:rPr>
        <w:t>运维（服务）详细内容</w:t>
      </w:r>
      <w:r>
        <w:rPr>
          <w:rFonts w:hint="eastAsia" w:ascii="仿宋" w:hAnsi="仿宋" w:eastAsia="仿宋" w:cs="仿宋"/>
          <w:color w:val="000000" w:themeColor="text1"/>
          <w:highlight w:val="none"/>
          <w:u w:val="none"/>
          <w14:textFill>
            <w14:solidFill>
              <w14:schemeClr w14:val="tx1"/>
            </w14:solidFill>
          </w14:textFill>
        </w:rPr>
        <w:t>约定</w:t>
      </w:r>
      <w:r>
        <w:rPr>
          <w:rFonts w:hint="eastAsia" w:ascii="仿宋" w:hAnsi="仿宋" w:eastAsia="仿宋" w:cs="仿宋"/>
          <w:color w:val="000000" w:themeColor="text1"/>
          <w:highlight w:val="none"/>
          <w:u w:val="none"/>
          <w:lang w:eastAsia="zh-CN"/>
          <w14:textFill>
            <w14:solidFill>
              <w14:schemeClr w14:val="tx1"/>
            </w14:solidFill>
          </w14:textFill>
        </w:rPr>
        <w:t>提供</w:t>
      </w:r>
      <w:r>
        <w:rPr>
          <w:rFonts w:hint="eastAsia" w:ascii="仿宋" w:hAnsi="仿宋" w:eastAsia="仿宋" w:cs="仿宋"/>
          <w:color w:val="000000" w:themeColor="text1"/>
          <w:highlight w:val="none"/>
          <w:u w:val="none"/>
          <w14:textFill>
            <w14:solidFill>
              <w14:schemeClr w14:val="tx1"/>
            </w14:solidFill>
          </w14:textFill>
        </w:rPr>
        <w:t>服务，乙方应向甲方出具书面文件说明</w:t>
      </w:r>
      <w:r>
        <w:rPr>
          <w:rFonts w:hint="eastAsia" w:ascii="仿宋" w:hAnsi="仿宋" w:eastAsia="仿宋" w:cs="仿宋"/>
          <w:color w:val="000000" w:themeColor="text1"/>
          <w:highlight w:val="none"/>
          <w:u w:val="none"/>
          <w:lang w:eastAsia="zh-CN"/>
          <w14:textFill>
            <w14:solidFill>
              <w14:schemeClr w14:val="tx1"/>
            </w14:solidFill>
          </w14:textFill>
        </w:rPr>
        <w:t>情况</w:t>
      </w:r>
      <w:r>
        <w:rPr>
          <w:rFonts w:hint="eastAsia" w:ascii="仿宋" w:hAnsi="仿宋" w:eastAsia="仿宋" w:cs="仿宋"/>
          <w:color w:val="000000" w:themeColor="text1"/>
          <w:highlight w:val="none"/>
          <w:u w:val="none"/>
          <w14:textFill>
            <w14:solidFill>
              <w14:schemeClr w14:val="tx1"/>
            </w14:solidFill>
          </w14:textFill>
        </w:rPr>
        <w:t>，</w:t>
      </w:r>
      <w:r>
        <w:rPr>
          <w:rFonts w:hint="eastAsia" w:ascii="仿宋" w:hAnsi="仿宋" w:eastAsia="仿宋" w:cs="仿宋"/>
          <w:color w:val="000000" w:themeColor="text1"/>
          <w:highlight w:val="none"/>
          <w:u w:val="none"/>
          <w:lang w:eastAsia="zh-CN"/>
          <w14:textFill>
            <w14:solidFill>
              <w14:schemeClr w14:val="tx1"/>
            </w14:solidFill>
          </w14:textFill>
        </w:rPr>
        <w:t>并按期整改</w:t>
      </w:r>
      <w:r>
        <w:rPr>
          <w:rFonts w:hint="eastAsia" w:ascii="仿宋" w:hAnsi="仿宋" w:eastAsia="仿宋" w:cs="仿宋"/>
          <w:color w:val="000000" w:themeColor="text1"/>
          <w:highlight w:val="none"/>
          <w:u w:val="none"/>
          <w14:textFill>
            <w14:solidFill>
              <w14:schemeClr w14:val="tx1"/>
            </w14:solidFill>
          </w14:textFill>
        </w:rPr>
        <w:t>。如乙方</w:t>
      </w:r>
      <w:r>
        <w:rPr>
          <w:rFonts w:hint="eastAsia" w:ascii="仿宋" w:hAnsi="仿宋" w:eastAsia="仿宋" w:cs="仿宋"/>
          <w:color w:val="000000" w:themeColor="text1"/>
          <w:highlight w:val="none"/>
          <w:u w:val="none"/>
          <w:lang w:eastAsia="zh-CN"/>
          <w14:textFill>
            <w14:solidFill>
              <w14:schemeClr w14:val="tx1"/>
            </w14:solidFill>
          </w14:textFill>
        </w:rPr>
        <w:t>整改仍不</w:t>
      </w:r>
      <w:r>
        <w:rPr>
          <w:rFonts w:hint="eastAsia" w:ascii="仿宋" w:hAnsi="仿宋" w:eastAsia="仿宋" w:cs="仿宋"/>
          <w:color w:val="000000" w:themeColor="text1"/>
          <w:highlight w:val="none"/>
          <w:u w:val="none"/>
          <w14:textFill>
            <w14:solidFill>
              <w14:schemeClr w14:val="tx1"/>
            </w14:solidFill>
          </w14:textFill>
        </w:rPr>
        <w:t>符合</w:t>
      </w:r>
      <w:r>
        <w:rPr>
          <w:rFonts w:hint="eastAsia" w:ascii="仿宋" w:hAnsi="仿宋" w:eastAsia="仿宋" w:cs="仿宋"/>
          <w:color w:val="000000" w:themeColor="text1"/>
          <w:highlight w:val="none"/>
          <w:u w:val="none"/>
          <w:lang w:eastAsia="zh-CN"/>
          <w14:textFill>
            <w14:solidFill>
              <w14:schemeClr w14:val="tx1"/>
            </w14:solidFill>
          </w14:textFill>
        </w:rPr>
        <w:t>运维（服务）详细内容</w:t>
      </w:r>
      <w:r>
        <w:rPr>
          <w:rFonts w:hint="eastAsia" w:ascii="仿宋" w:hAnsi="仿宋" w:eastAsia="仿宋" w:cs="仿宋"/>
          <w:color w:val="000000" w:themeColor="text1"/>
          <w:highlight w:val="none"/>
          <w:u w:val="none"/>
          <w14:textFill>
            <w14:solidFill>
              <w14:schemeClr w14:val="tx1"/>
            </w14:solidFill>
          </w14:textFill>
        </w:rPr>
        <w:t>的约定</w:t>
      </w:r>
      <w:r>
        <w:rPr>
          <w:rFonts w:hint="eastAsia" w:ascii="仿宋" w:hAnsi="仿宋" w:eastAsia="仿宋" w:cs="仿宋"/>
          <w:color w:val="000000" w:themeColor="text1"/>
          <w:highlight w:val="none"/>
          <w:u w:val="none"/>
          <w:lang w:eastAsia="zh-CN"/>
          <w14:textFill>
            <w14:solidFill>
              <w14:schemeClr w14:val="tx1"/>
            </w14:solidFill>
          </w14:textFill>
        </w:rPr>
        <w:t>提供</w:t>
      </w:r>
      <w:r>
        <w:rPr>
          <w:rFonts w:hint="eastAsia" w:ascii="仿宋" w:hAnsi="仿宋" w:eastAsia="仿宋" w:cs="仿宋"/>
          <w:color w:val="000000" w:themeColor="text1"/>
          <w:highlight w:val="none"/>
          <w:u w:val="none"/>
          <w14:textFill>
            <w14:solidFill>
              <w14:schemeClr w14:val="tx1"/>
            </w14:solidFill>
          </w14:textFill>
        </w:rPr>
        <w:t>服务达日以上，甲方有权单方解除合同，乙方除应向甲方退还所有已经支付的款项外，还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000000" w:themeColor="text1"/>
          <w:highlight w:val="none"/>
          <w:u w:val="single"/>
          <w:lang w:val="en-US" w:eastAsia="zh-CN"/>
          <w14:textFill>
            <w14:solidFill>
              <w14:schemeClr w14:val="tx1"/>
            </w14:solidFill>
          </w14:textFill>
        </w:rPr>
        <w:t>10</w:t>
      </w:r>
      <w:r>
        <w:rPr>
          <w:rFonts w:hint="eastAsia" w:ascii="仿宋" w:hAnsi="仿宋" w:eastAsia="仿宋" w:cs="仿宋"/>
          <w:color w:val="000000" w:themeColor="text1"/>
          <w:highlight w:val="none"/>
          <w:u w:val="none"/>
          <w14:textFill>
            <w14:solidFill>
              <w14:schemeClr w14:val="tx1"/>
            </w14:solidFill>
          </w14:textFill>
        </w:rPr>
        <w:t>％。</w:t>
      </w:r>
    </w:p>
    <w:p w14:paraId="3D8523F1">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000000" w:themeColor="text1"/>
          <w:highlight w:val="none"/>
          <w:u w:val="none"/>
          <w14:textFill>
            <w14:solidFill>
              <w14:schemeClr w14:val="tx1"/>
            </w14:solidFill>
          </w14:textFill>
        </w:rPr>
        <w:t>18.2.1.2.乙方服务期限内须严格遵守服务质量承诺及相关管理规定确保服务质量，对于违反服务质量承诺和服务水平约定造成服务质量下降的，</w:t>
      </w:r>
      <w:r>
        <w:rPr>
          <w:rFonts w:hint="eastAsia" w:ascii="仿宋" w:hAnsi="仿宋" w:eastAsia="仿宋" w:cs="仿宋"/>
          <w:color w:val="000000" w:themeColor="text1"/>
          <w:highlight w:val="none"/>
          <w:u w:val="none"/>
          <w:lang w:eastAsia="zh-CN"/>
          <w14:textFill>
            <w14:solidFill>
              <w14:schemeClr w14:val="tx1"/>
            </w14:solidFill>
          </w14:textFill>
        </w:rPr>
        <w:t>或因其自身原因导致甲方产生重大事故的，</w:t>
      </w:r>
      <w:r>
        <w:rPr>
          <w:rFonts w:hint="eastAsia" w:ascii="仿宋" w:hAnsi="仿宋" w:eastAsia="仿宋" w:cs="仿宋"/>
          <w:color w:val="000000" w:themeColor="text1"/>
          <w:highlight w:val="none"/>
          <w:u w:val="none"/>
          <w14:textFill>
            <w14:solidFill>
              <w14:schemeClr w14:val="tx1"/>
            </w14:solidFill>
          </w14:textFill>
        </w:rPr>
        <w:t>乙方应向甲方承担相应的违约责任。</w:t>
      </w:r>
    </w:p>
    <w:p w14:paraId="1663CD51">
      <w:pPr>
        <w:widowControl w:val="0"/>
        <w:autoSpaceDE/>
        <w:autoSpaceDN/>
        <w:spacing w:line="400" w:lineRule="exact"/>
        <w:ind w:firstLine="420" w:firstLineChars="200"/>
        <w:jc w:val="both"/>
        <w:rPr>
          <w:rFonts w:hint="eastAsia" w:ascii="仿宋" w:hAnsi="仿宋" w:eastAsia="仿宋" w:cs="仿宋"/>
          <w:color w:val="000000" w:themeColor="text1"/>
          <w:highlight w:val="none"/>
          <w:u w:val="none"/>
          <w:lang w:eastAsia="zh-CN"/>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18.2.</w:t>
      </w:r>
      <w:r>
        <w:rPr>
          <w:rFonts w:hint="eastAsia" w:ascii="仿宋" w:hAnsi="仿宋" w:eastAsia="仿宋" w:cs="仿宋"/>
          <w:color w:val="000000" w:themeColor="text1"/>
          <w:highlight w:val="none"/>
          <w:u w:val="none"/>
          <w:lang w:val="en-US" w:eastAsia="zh-CN"/>
          <w14:textFill>
            <w14:solidFill>
              <w14:schemeClr w14:val="tx1"/>
            </w14:solidFill>
          </w14:textFill>
        </w:rPr>
        <w:t>1.3</w:t>
      </w:r>
      <w:r>
        <w:rPr>
          <w:rFonts w:hint="eastAsia" w:ascii="仿宋" w:hAnsi="仿宋" w:eastAsia="仿宋" w:cs="仿宋"/>
          <w:color w:val="000000" w:themeColor="text1"/>
          <w:highlight w:val="none"/>
          <w:u w:val="none"/>
          <w14:textFill>
            <w14:solidFill>
              <w14:schemeClr w14:val="tx1"/>
            </w14:solidFill>
          </w14:textFill>
        </w:rPr>
        <w:t>.</w:t>
      </w:r>
      <w:r>
        <w:rPr>
          <w:rFonts w:hint="eastAsia" w:ascii="仿宋" w:hAnsi="仿宋" w:eastAsia="仿宋" w:cs="仿宋"/>
          <w:color w:val="000000" w:themeColor="text1"/>
          <w:highlight w:val="none"/>
          <w:u w:val="none"/>
          <w:lang w:eastAsia="zh-CN"/>
          <w14:textFill>
            <w14:solidFill>
              <w14:schemeClr w14:val="tx1"/>
            </w14:solidFill>
          </w14:textFill>
        </w:rPr>
        <w:t>根据甲方评价结果，乙方提供的服务达不到甲方服务标准的，甲方有权要求乙方整改，并由乙方承担产生的费用。</w:t>
      </w:r>
      <w:r>
        <w:rPr>
          <w:rFonts w:hint="eastAsia" w:ascii="仿宋" w:hAnsi="仿宋" w:eastAsia="仿宋" w:cs="仿宋"/>
          <w:snapToGrid w:val="0"/>
          <w:color w:val="000000"/>
          <w:sz w:val="21"/>
          <w:szCs w:val="21"/>
          <w:highlight w:val="none"/>
          <w:u w:val="none"/>
          <w:lang w:val="en-US" w:eastAsia="zh-CN" w:bidi="ar"/>
        </w:rPr>
        <w:t>乙方在甲方指定期限内拒绝整改或整改后仍不符合要求的，甲方有权解除合同，并额外赔偿因此给甲方造成的直接经济损失</w:t>
      </w:r>
      <w:r>
        <w:rPr>
          <w:rFonts w:hint="eastAsia" w:ascii="仿宋" w:hAnsi="仿宋" w:eastAsia="仿宋" w:cs="仿宋"/>
          <w:color w:val="000000" w:themeColor="text1"/>
          <w:highlight w:val="none"/>
          <w:u w:val="none"/>
          <w:lang w:eastAsia="zh-CN"/>
          <w14:textFill>
            <w14:solidFill>
              <w14:schemeClr w14:val="tx1"/>
            </w14:solidFill>
          </w14:textFill>
        </w:rPr>
        <w:t>（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000000" w:themeColor="text1"/>
          <w:highlight w:val="none"/>
          <w:u w:val="single"/>
          <w:lang w:val="en-US" w:eastAsia="zh-CN"/>
          <w14:textFill>
            <w14:solidFill>
              <w14:schemeClr w14:val="tx1"/>
            </w14:solidFill>
          </w14:textFill>
        </w:rPr>
        <w:t>10</w:t>
      </w:r>
      <w:r>
        <w:rPr>
          <w:rFonts w:hint="eastAsia" w:ascii="仿宋" w:hAnsi="仿宋" w:eastAsia="仿宋" w:cs="仿宋"/>
          <w:color w:val="000000" w:themeColor="text1"/>
          <w:highlight w:val="none"/>
          <w:u w:val="none"/>
          <w:lang w:eastAsia="zh-CN"/>
          <w14:textFill>
            <w14:solidFill>
              <w14:schemeClr w14:val="tx1"/>
            </w14:solidFill>
          </w14:textFill>
        </w:rPr>
        <w:t>％。</w:t>
      </w:r>
    </w:p>
    <w:p w14:paraId="0AC70FBA">
      <w:pPr>
        <w:widowControl w:val="0"/>
        <w:autoSpaceDE/>
        <w:autoSpaceDN/>
        <w:spacing w:line="400" w:lineRule="exact"/>
        <w:ind w:firstLine="420" w:firstLineChars="200"/>
        <w:jc w:val="both"/>
        <w:rPr>
          <w:rFonts w:hint="eastAsia" w:ascii="仿宋" w:hAnsi="仿宋" w:eastAsia="仿宋" w:cs="仿宋"/>
          <w:color w:val="000000" w:themeColor="text1"/>
          <w:highlight w:val="none"/>
          <w:u w:val="none"/>
          <w:lang w:eastAsia="zh-CN"/>
          <w14:textFill>
            <w14:solidFill>
              <w14:schemeClr w14:val="tx1"/>
            </w14:solidFill>
          </w14:textFill>
        </w:rPr>
      </w:pPr>
    </w:p>
    <w:p w14:paraId="5859CC49">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18.2.</w:t>
      </w:r>
      <w:r>
        <w:rPr>
          <w:rFonts w:hint="eastAsia" w:ascii="仿宋" w:hAnsi="仿宋" w:eastAsia="仿宋" w:cs="仿宋"/>
          <w:b/>
          <w:bCs/>
          <w:highlight w:val="none"/>
          <w:lang w:val="en-US" w:eastAsia="zh-CN"/>
        </w:rPr>
        <w:t>2</w:t>
      </w:r>
      <w:r>
        <w:rPr>
          <w:rFonts w:hint="eastAsia" w:ascii="仿宋" w:hAnsi="仿宋" w:eastAsia="仿宋" w:cs="仿宋"/>
          <w:b/>
          <w:bCs/>
          <w:highlight w:val="none"/>
        </w:rPr>
        <w:t>.保密违约责任</w:t>
      </w:r>
    </w:p>
    <w:p w14:paraId="7C807A42">
      <w:pPr>
        <w:widowControl w:val="0"/>
        <w:autoSpaceDE/>
        <w:autoSpaceDN/>
        <w:spacing w:line="400" w:lineRule="exact"/>
        <w:ind w:firstLine="422" w:firstLineChars="200"/>
        <w:jc w:val="both"/>
        <w:rPr>
          <w:rFonts w:hint="eastAsia" w:ascii="仿宋" w:hAnsi="仿宋" w:eastAsia="仿宋" w:cs="仿宋"/>
          <w:b/>
          <w:bCs/>
          <w:highlight w:val="none"/>
        </w:rPr>
      </w:pPr>
    </w:p>
    <w:p w14:paraId="78FD3124">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乙方违反本合同保密条款的，应承担违约责任。如果给甲方造成经济损失，乙方应赔偿甲方的直接经济损失及承担甲方因此而支出的一切合理费用（包括但不限于律师费、案件受理费、执行费、差旅费等）；如果因乙方恶意泄露信息资料，给甲方造成严重后果的，除应赔偿甲方的直接经济损失及承担甲方因此而支出的一切合理费用外，甲方将通过法律手段追究乙方责任。构成犯罪的，甲方有权移交相关部门。</w:t>
      </w:r>
    </w:p>
    <w:p w14:paraId="44341D4E">
      <w:pPr>
        <w:widowControl w:val="0"/>
        <w:autoSpaceDE/>
        <w:autoSpaceDN/>
        <w:spacing w:line="400" w:lineRule="exact"/>
        <w:ind w:firstLine="420" w:firstLineChars="200"/>
        <w:jc w:val="both"/>
        <w:rPr>
          <w:rFonts w:hint="eastAsia" w:ascii="仿宋" w:hAnsi="仿宋" w:eastAsia="仿宋" w:cs="仿宋"/>
          <w:highlight w:val="none"/>
        </w:rPr>
      </w:pPr>
    </w:p>
    <w:p w14:paraId="65B19D95">
      <w:pPr>
        <w:widowControl w:val="0"/>
        <w:autoSpaceDE/>
        <w:autoSpaceDN/>
        <w:spacing w:line="400" w:lineRule="exact"/>
        <w:ind w:firstLine="422" w:firstLineChars="200"/>
        <w:jc w:val="both"/>
        <w:rPr>
          <w:rFonts w:hint="eastAsia" w:ascii="仿宋" w:hAnsi="仿宋" w:eastAsia="仿宋" w:cs="仿宋"/>
          <w:b/>
          <w:bCs/>
          <w:highlight w:val="none"/>
        </w:rPr>
      </w:pPr>
      <w:r>
        <w:rPr>
          <w:rFonts w:hint="eastAsia" w:ascii="仿宋" w:hAnsi="仿宋" w:eastAsia="仿宋" w:cs="仿宋"/>
          <w:b/>
          <w:bCs/>
          <w:highlight w:val="none"/>
        </w:rPr>
        <w:t>18.2.</w:t>
      </w:r>
      <w:r>
        <w:rPr>
          <w:rFonts w:hint="eastAsia" w:ascii="仿宋" w:hAnsi="仿宋" w:eastAsia="仿宋" w:cs="仿宋"/>
          <w:b/>
          <w:bCs/>
          <w:highlight w:val="none"/>
          <w:lang w:val="en-US" w:eastAsia="zh-CN"/>
        </w:rPr>
        <w:t>3</w:t>
      </w:r>
      <w:r>
        <w:rPr>
          <w:rFonts w:hint="eastAsia" w:ascii="仿宋" w:hAnsi="仿宋" w:eastAsia="仿宋" w:cs="仿宋"/>
          <w:b/>
          <w:bCs/>
          <w:highlight w:val="none"/>
        </w:rPr>
        <w:t>.其他违约责任</w:t>
      </w:r>
    </w:p>
    <w:p w14:paraId="2A61B56B">
      <w:pPr>
        <w:widowControl w:val="0"/>
        <w:autoSpaceDE/>
        <w:autoSpaceDN/>
        <w:spacing w:line="400" w:lineRule="exact"/>
        <w:ind w:firstLine="422" w:firstLineChars="200"/>
        <w:jc w:val="both"/>
        <w:rPr>
          <w:rFonts w:hint="eastAsia" w:ascii="仿宋" w:hAnsi="仿宋" w:eastAsia="仿宋" w:cs="仿宋"/>
          <w:b/>
          <w:bCs/>
          <w:highlight w:val="none"/>
        </w:rPr>
      </w:pPr>
    </w:p>
    <w:p w14:paraId="0B0E43A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.1.乙方违反约定，</w:t>
      </w:r>
      <w:r>
        <w:rPr>
          <w:rFonts w:hint="eastAsia" w:ascii="仿宋" w:hAnsi="仿宋" w:eastAsia="仿宋" w:cs="仿宋"/>
          <w:highlight w:val="none"/>
        </w:rPr>
        <w:t>应当按照</w:t>
      </w:r>
      <w:r>
        <w:rPr>
          <w:rFonts w:hint="eastAsia" w:ascii="仿宋" w:hAnsi="仿宋" w:eastAsia="仿宋" w:cs="仿宋"/>
          <w:color w:val="auto"/>
          <w:highlight w:val="none"/>
        </w:rPr>
        <w:t>违约金或损失赔偿额的计算方法支付。</w:t>
      </w:r>
    </w:p>
    <w:p w14:paraId="62D55E27">
      <w:pPr>
        <w:widowControl w:val="0"/>
        <w:autoSpaceDE/>
        <w:autoSpaceDN/>
        <w:spacing w:line="400" w:lineRule="exact"/>
        <w:ind w:firstLine="420" w:firstLineChars="200"/>
        <w:jc w:val="both"/>
        <w:rPr>
          <w:rFonts w:hint="eastAsia" w:ascii="仿宋" w:hAnsi="仿宋" w:eastAsia="仿宋" w:cs="仿宋"/>
          <w:highlight w:val="none"/>
          <w:lang w:val="en-US" w:eastAsia="zh-CN"/>
        </w:rPr>
      </w:pPr>
      <w:r>
        <w:rPr>
          <w:rFonts w:hint="eastAsia" w:ascii="仿宋" w:hAnsi="仿宋" w:eastAsia="仿宋" w:cs="仿宋"/>
          <w:highlight w:val="none"/>
        </w:rPr>
        <w:t>18.2.</w:t>
      </w:r>
      <w:r>
        <w:rPr>
          <w:rFonts w:hint="eastAsia" w:ascii="仿宋" w:hAnsi="仿宋" w:eastAsia="仿宋" w:cs="仿宋"/>
          <w:highlight w:val="none"/>
          <w:lang w:val="en-US" w:eastAsia="zh-CN"/>
        </w:rPr>
        <w:t>3</w:t>
      </w:r>
      <w:r>
        <w:rPr>
          <w:rFonts w:hint="eastAsia" w:ascii="仿宋" w:hAnsi="仿宋" w:eastAsia="仿宋" w:cs="仿宋"/>
          <w:highlight w:val="none"/>
        </w:rPr>
        <w:t>.2.</w:t>
      </w:r>
      <w:r>
        <w:rPr>
          <w:rFonts w:hint="eastAsia" w:ascii="仿宋" w:hAnsi="仿宋" w:eastAsia="仿宋" w:cs="仿宋"/>
          <w:highlight w:val="none"/>
          <w:lang w:val="en-US" w:eastAsia="zh-CN"/>
        </w:rPr>
        <w:t>如发生前款约定外的违约事项，给甲方或第三人造成损失的，</w:t>
      </w:r>
      <w:r>
        <w:rPr>
          <w:rFonts w:hint="eastAsia" w:ascii="仿宋" w:hAnsi="仿宋" w:eastAsia="仿宋" w:cs="仿宋"/>
          <w:highlight w:val="none"/>
        </w:rPr>
        <w:t>乙方</w:t>
      </w:r>
      <w:r>
        <w:rPr>
          <w:rFonts w:hint="eastAsia" w:ascii="仿宋" w:hAnsi="仿宋" w:eastAsia="仿宋" w:cs="仿宋"/>
          <w:highlight w:val="none"/>
          <w:lang w:val="en-US" w:eastAsia="zh-CN"/>
        </w:rPr>
        <w:t>应承担全部赔偿责任，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10%。</w:t>
      </w:r>
    </w:p>
    <w:p w14:paraId="272F8878">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color w:val="auto"/>
          <w:highlight w:val="none"/>
          <w:lang w:val="en-US" w:eastAsia="zh-CN"/>
        </w:rPr>
        <w:t>18.2.3.3.如进行转包或分包，甲方有权立即解除合同并要求乙方承担违约责任，违约金为本合同总金额的20%。若乙方私自转包、分包的行为给甲方或其他第三方造成损失的，由乙方承担全部赔偿责任。</w:t>
      </w:r>
    </w:p>
    <w:p w14:paraId="63D78278">
      <w:pPr>
        <w:widowControl w:val="0"/>
        <w:autoSpaceDE/>
        <w:autoSpaceDN/>
        <w:spacing w:line="400" w:lineRule="exact"/>
        <w:ind w:firstLine="420" w:firstLineChars="200"/>
        <w:jc w:val="both"/>
        <w:rPr>
          <w:rFonts w:hint="eastAsia" w:ascii="仿宋" w:hAnsi="仿宋" w:eastAsia="仿宋" w:cs="仿宋"/>
          <w:highlight w:val="none"/>
        </w:rPr>
      </w:pPr>
    </w:p>
    <w:p w14:paraId="7820A260">
      <w:pPr>
        <w:widowControl w:val="0"/>
        <w:autoSpaceDE/>
        <w:autoSpaceDN/>
        <w:spacing w:line="400" w:lineRule="exact"/>
        <w:ind w:firstLine="420" w:firstLineChars="200"/>
        <w:jc w:val="both"/>
        <w:rPr>
          <w:rFonts w:hint="eastAsia" w:ascii="仿宋" w:hAnsi="仿宋" w:eastAsia="仿宋" w:cs="仿宋"/>
          <w:highlight w:val="none"/>
        </w:rPr>
      </w:pPr>
    </w:p>
    <w:p w14:paraId="4E541703">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第八章争议解决</w:t>
      </w:r>
    </w:p>
    <w:p w14:paraId="3287B5E6">
      <w:pPr>
        <w:widowControl w:val="0"/>
        <w:autoSpaceDE/>
        <w:autoSpaceDN/>
        <w:spacing w:line="400" w:lineRule="exact"/>
        <w:ind w:firstLine="420" w:firstLineChars="200"/>
        <w:jc w:val="both"/>
        <w:rPr>
          <w:rFonts w:hint="eastAsia" w:ascii="仿宋" w:hAnsi="仿宋" w:eastAsia="仿宋" w:cs="仿宋"/>
          <w:color w:val="auto"/>
          <w:highlight w:val="none"/>
        </w:rPr>
      </w:pPr>
    </w:p>
    <w:p w14:paraId="50E0AB7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19.争议解决方式</w:t>
      </w:r>
    </w:p>
    <w:p w14:paraId="20597B19">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E37A2D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19.1.因履行合同所发生的一切争议，双方应友好协商解决，协商不成的，按下列第种方式解决：</w:t>
      </w:r>
    </w:p>
    <w:p w14:paraId="43037A8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（1）向</w:t>
      </w:r>
      <w:r>
        <w:rPr>
          <w:rFonts w:hint="eastAsia" w:ascii="仿宋" w:hAnsi="仿宋" w:eastAsia="仿宋" w:cs="仿宋"/>
          <w:color w:val="auto"/>
          <w:highlight w:val="none"/>
          <w:lang w:val="zh-CN"/>
        </w:rPr>
        <w:t>合同履行地（签订地）仲裁机关</w:t>
      </w:r>
      <w:r>
        <w:rPr>
          <w:rFonts w:hint="eastAsia" w:ascii="仿宋" w:hAnsi="仿宋" w:eastAsia="仿宋" w:cs="仿宋"/>
          <w:color w:val="auto"/>
          <w:highlight w:val="none"/>
        </w:rPr>
        <w:t>提交仲裁，仲裁裁决为终局裁决；</w:t>
      </w:r>
    </w:p>
    <w:p w14:paraId="37DAF10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（2）双方均同意向甲方所在地人民法院提起诉讼，律师代理费用等均由败诉方承担。</w:t>
      </w:r>
    </w:p>
    <w:p w14:paraId="25E6D6B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19.2.在仲裁、诉讼进行过程中，双方将继续履行本合同未涉诉的其它部分（合同被解除或终止的除外）。</w:t>
      </w:r>
    </w:p>
    <w:p w14:paraId="44A2B70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19.3.双方对于合同履行期间难以确定过错归属的，可以向双方认可的第三方机构申请鉴定，确认责任。鉴定费用由主张对方存在过错的一方先行垫付，最终由鉴定存在过错的一方承担。</w:t>
      </w:r>
    </w:p>
    <w:p w14:paraId="5108B77B">
      <w:pPr>
        <w:widowControl w:val="0"/>
        <w:autoSpaceDE/>
        <w:autoSpaceDN/>
        <w:spacing w:line="400" w:lineRule="exact"/>
        <w:jc w:val="both"/>
        <w:rPr>
          <w:rFonts w:hint="eastAsia" w:ascii="仿宋" w:hAnsi="仿宋" w:eastAsia="仿宋" w:cs="仿宋"/>
          <w:color w:val="auto"/>
          <w:highlight w:val="none"/>
        </w:rPr>
      </w:pPr>
    </w:p>
    <w:p w14:paraId="529F334C">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第九章保密范围及责任</w:t>
      </w:r>
    </w:p>
    <w:p w14:paraId="6790BFAC">
      <w:pPr>
        <w:widowControl w:val="0"/>
        <w:autoSpaceDE/>
        <w:autoSpaceDN/>
        <w:spacing w:line="400" w:lineRule="exact"/>
        <w:jc w:val="both"/>
        <w:rPr>
          <w:rFonts w:hint="eastAsia" w:ascii="仿宋" w:hAnsi="仿宋" w:eastAsia="仿宋" w:cs="仿宋"/>
          <w:color w:val="auto"/>
          <w:highlight w:val="none"/>
        </w:rPr>
      </w:pPr>
    </w:p>
    <w:p w14:paraId="2F3DE05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20.保密信息范围</w:t>
      </w:r>
    </w:p>
    <w:p w14:paraId="299F5F7F">
      <w:pPr>
        <w:widowControl w:val="0"/>
        <w:autoSpaceDE/>
        <w:autoSpaceDN/>
        <w:spacing w:line="400" w:lineRule="exact"/>
        <w:jc w:val="both"/>
        <w:rPr>
          <w:rFonts w:hint="eastAsia" w:ascii="仿宋" w:hAnsi="仿宋" w:eastAsia="仿宋" w:cs="仿宋"/>
          <w:color w:val="auto"/>
          <w:highlight w:val="none"/>
        </w:rPr>
      </w:pPr>
    </w:p>
    <w:p w14:paraId="670F30A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20.1.在本合同执行过程中乙方接触的甲方所有业务信息（包括但不限于合同、计划、文档、方案、图纸、数据等）。</w:t>
      </w:r>
    </w:p>
    <w:p w14:paraId="26562A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20.2.在本合同执行过程中接触的政府机关文件（包括但不限于内部发文、各类通知及会议记录等）。</w:t>
      </w:r>
    </w:p>
    <w:p w14:paraId="248A677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20.3.其他详细保密条款内容见附件。</w:t>
      </w:r>
    </w:p>
    <w:p w14:paraId="433966AE">
      <w:pPr>
        <w:widowControl w:val="0"/>
        <w:autoSpaceDE/>
        <w:autoSpaceDN/>
        <w:spacing w:line="400" w:lineRule="exact"/>
        <w:ind w:firstLine="420" w:firstLineChars="200"/>
        <w:jc w:val="both"/>
        <w:rPr>
          <w:rFonts w:hint="eastAsia" w:ascii="仿宋" w:hAnsi="仿宋" w:eastAsia="仿宋" w:cs="仿宋"/>
          <w:color w:val="auto"/>
          <w:highlight w:val="none"/>
        </w:rPr>
      </w:pPr>
    </w:p>
    <w:p w14:paraId="428E3E8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21.保密责任</w:t>
      </w:r>
    </w:p>
    <w:p w14:paraId="48663BD1">
      <w:pPr>
        <w:widowControl w:val="0"/>
        <w:autoSpaceDE/>
        <w:autoSpaceDN/>
        <w:spacing w:line="400" w:lineRule="exact"/>
        <w:ind w:firstLine="420" w:firstLineChars="200"/>
        <w:jc w:val="both"/>
        <w:rPr>
          <w:rFonts w:hint="eastAsia" w:ascii="仿宋" w:hAnsi="仿宋" w:eastAsia="仿宋" w:cs="仿宋"/>
          <w:color w:val="auto"/>
          <w:highlight w:val="none"/>
        </w:rPr>
      </w:pPr>
    </w:p>
    <w:p w14:paraId="60D5F06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21.1.乙方对其因身份、职务、职业或技术关系而知悉的甲方商业秘密和党政机关保密信息应严格保守，保证不被披露或使用，包括意外或过失。</w:t>
      </w:r>
    </w:p>
    <w:p w14:paraId="1F1DAB0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乙方不得以竞争为目的、或出于私利、或为第三人谋利而擅自保存、复制、披露、使用甲方商业秘密和党政机关保密信息；不得直接或间接地向无关人员泄露甲方的商业秘密和党政机关保密信息；不得向不承担保密义务的任何第三人披露甲方的商业秘密和党政机关保密信息。由此造成甲方损失的，乙方应负责赔偿。</w:t>
      </w:r>
    </w:p>
    <w:p w14:paraId="3F4C0E9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乙方在从事政府项目时，不得擅自记录、复制、拍摄、摘抄、收藏在工作中涉及的保密信息，严禁将涉及政府项目的任何资料、数据透露或以其他方式提供给本项目以外的其他方或乙方内部与本项目无关的任何人员。由此造成甲方损失的，乙方应负责赔偿。</w:t>
      </w:r>
    </w:p>
    <w:p w14:paraId="269ED8E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21.4.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乙方应当在完成委托事项或本合同终止或解除时将资料原件全部返还甲方，并销毁所有复制件。</w:t>
      </w:r>
    </w:p>
    <w:p w14:paraId="5FC0DC4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21.5.严禁泄露在工作中接触到的政府机关科技研究、发明、装备器材及其技术资料和政府工作信息。</w:t>
      </w:r>
    </w:p>
    <w:p w14:paraId="19CFB1A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21.6.未经甲方书面同意，乙方不得带领无关人员进入甲方办公场所，未经甲方工作人员允许，不得进入与项目服务无关的党政机关其他办公场所。</w:t>
      </w:r>
    </w:p>
    <w:p w14:paraId="5BAB3B3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21.7.乙方的保密义务延及乙方聘用的员工、工作人员，如因其员工、工作人员导致本合同保密义务的违反或商业秘密的泄露，由乙方承担全部违约责任。</w:t>
      </w:r>
    </w:p>
    <w:p w14:paraId="3BCC367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21.8.涉及党政机关项目的保密内容可根据相关部门意见，相应增加修改，乙方予以接受并同意履行相应保密责任。</w:t>
      </w:r>
    </w:p>
    <w:p w14:paraId="37A179D2">
      <w:pPr>
        <w:widowControl w:val="0"/>
        <w:autoSpaceDE/>
        <w:autoSpaceDN/>
        <w:spacing w:line="400" w:lineRule="exact"/>
        <w:jc w:val="both"/>
        <w:rPr>
          <w:rFonts w:hint="eastAsia" w:ascii="仿宋" w:hAnsi="仿宋" w:eastAsia="仿宋" w:cs="仿宋"/>
          <w:color w:val="auto"/>
          <w:highlight w:val="none"/>
        </w:rPr>
      </w:pPr>
    </w:p>
    <w:p w14:paraId="738B5E2F">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第十章项目资产权属</w:t>
      </w:r>
    </w:p>
    <w:p w14:paraId="56979508">
      <w:pPr>
        <w:widowControl w:val="0"/>
        <w:autoSpaceDE/>
        <w:autoSpaceDN/>
        <w:spacing w:line="400" w:lineRule="exact"/>
        <w:jc w:val="both"/>
        <w:rPr>
          <w:rFonts w:hint="eastAsia" w:ascii="仿宋" w:hAnsi="仿宋" w:eastAsia="仿宋" w:cs="仿宋"/>
          <w:color w:val="auto"/>
          <w:highlight w:val="none"/>
        </w:rPr>
      </w:pPr>
    </w:p>
    <w:p w14:paraId="2AE0FEC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22.项目资产权属</w:t>
      </w:r>
    </w:p>
    <w:p w14:paraId="1FD8E0D9">
      <w:pPr>
        <w:widowControl w:val="0"/>
        <w:autoSpaceDE/>
        <w:autoSpaceDN/>
        <w:spacing w:line="400" w:lineRule="exact"/>
        <w:ind w:firstLine="420" w:firstLineChars="200"/>
        <w:jc w:val="both"/>
        <w:rPr>
          <w:rFonts w:hint="eastAsia" w:ascii="仿宋" w:hAnsi="仿宋" w:eastAsia="仿宋" w:cs="仿宋"/>
          <w:color w:val="auto"/>
          <w:highlight w:val="none"/>
        </w:rPr>
      </w:pPr>
    </w:p>
    <w:p w14:paraId="54D29D5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22.1.本合同不会引起任何已申请、登记的知识产权所有权的转移。</w:t>
      </w:r>
    </w:p>
    <w:p w14:paraId="262AB0A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22.2.本项目为运维服务，不涉及知识产权转移。</w:t>
      </w:r>
    </w:p>
    <w:p w14:paraId="79A4C0D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22.3.本合同所涉及的数据所有权归政府所有。乙方只能用于履行本合同之义务或用于甲方书面明确同意的其他用途。</w:t>
      </w:r>
    </w:p>
    <w:p w14:paraId="2C5D535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22.4.乙方提供的相关软件应具备合法、合规授权，满足知识产权等方面的有关规定和要求。</w:t>
      </w:r>
    </w:p>
    <w:p w14:paraId="14A5EED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22.5.乙方保证向甲方提供的服务成果不存在任何侵犯第三方专利权、商标权、著作权等合法权益的情形。如因乙方提供的服务成果侵犯任何第三方的合法权益，导致该第三方追究甲方责任的，乙方应负责解决并赔偿因此给甲方造成的全部损失。</w:t>
      </w:r>
    </w:p>
    <w:p w14:paraId="1E22B1C9">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73DC91BF">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第十一章其他约定</w:t>
      </w:r>
    </w:p>
    <w:p w14:paraId="3B0F45D9">
      <w:pPr>
        <w:widowControl w:val="0"/>
        <w:autoSpaceDE/>
        <w:autoSpaceDN/>
        <w:spacing w:line="400" w:lineRule="exact"/>
        <w:ind w:firstLine="420" w:firstLineChars="200"/>
        <w:jc w:val="both"/>
        <w:rPr>
          <w:rFonts w:hint="eastAsia" w:ascii="仿宋" w:hAnsi="仿宋" w:eastAsia="仿宋" w:cs="仿宋"/>
          <w:color w:val="auto"/>
          <w:highlight w:val="none"/>
        </w:rPr>
      </w:pPr>
    </w:p>
    <w:p w14:paraId="0584E6B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23.其他约定</w:t>
      </w:r>
    </w:p>
    <w:p w14:paraId="68F2E91A">
      <w:pPr>
        <w:widowControl w:val="0"/>
        <w:autoSpaceDE/>
        <w:autoSpaceDN/>
        <w:spacing w:line="400" w:lineRule="exact"/>
        <w:ind w:firstLine="420" w:firstLineChars="200"/>
        <w:jc w:val="both"/>
        <w:rPr>
          <w:rFonts w:hint="eastAsia" w:ascii="仿宋" w:hAnsi="仿宋" w:eastAsia="仿宋" w:cs="仿宋"/>
          <w:color w:val="auto"/>
          <w:highlight w:val="none"/>
        </w:rPr>
      </w:pPr>
    </w:p>
    <w:p w14:paraId="23BBA9E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23.1.合同构成</w:t>
      </w:r>
    </w:p>
    <w:p w14:paraId="760A54BB">
      <w:pPr>
        <w:widowControl w:val="0"/>
        <w:autoSpaceDE/>
        <w:autoSpaceDN/>
        <w:spacing w:line="400" w:lineRule="exact"/>
        <w:ind w:firstLine="420" w:firstLineChars="200"/>
        <w:jc w:val="both"/>
        <w:rPr>
          <w:rFonts w:hint="eastAsia" w:ascii="仿宋" w:hAnsi="仿宋" w:eastAsia="仿宋" w:cs="仿宋"/>
          <w:color w:val="auto"/>
          <w:highlight w:val="none"/>
        </w:rPr>
      </w:pPr>
    </w:p>
    <w:p w14:paraId="0F785CC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23.1.1.下列文件均为本合同不可分割的组成部分，具有同等法律效力：</w:t>
      </w:r>
    </w:p>
    <w:p w14:paraId="7B906997">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（1）中标（成交）通知书；</w:t>
      </w:r>
    </w:p>
    <w:p w14:paraId="76FA039C">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（2）采购文件；</w:t>
      </w:r>
    </w:p>
    <w:p w14:paraId="0EA2691D">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（3）乙方中标的投标（响应）文件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澄清函（</w:t>
      </w:r>
      <w:r>
        <w:rPr>
          <w:rFonts w:hint="eastAsia" w:ascii="仿宋" w:hAnsi="仿宋" w:eastAsia="仿宋" w:cs="仿宋"/>
          <w:color w:val="auto"/>
          <w:highlight w:val="none"/>
        </w:rPr>
        <w:t>若有</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w:t>
      </w:r>
    </w:p>
    <w:p w14:paraId="60D46855">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（4）在合同实施过程中双方共同签署的补充协议（若有）；</w:t>
      </w:r>
    </w:p>
    <w:p w14:paraId="7A9CD5F8">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（5）变更文件（若有）；</w:t>
      </w:r>
    </w:p>
    <w:p w14:paraId="4D98990E">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（6）合同附件。</w:t>
      </w:r>
    </w:p>
    <w:p w14:paraId="405E2D9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上述文件先后解释顺序为：在合同实施过程中双方共同签署的补充协议、变更文件、本合同书、合同附件、中标（成交）通知书、采购文件、乙方中标的投标（响应）文件。补充协议之间如有冲突，以对乙方要求较高或对甲方更有利的条款为准。</w:t>
      </w:r>
    </w:p>
    <w:p w14:paraId="53A0B1EB">
      <w:pPr>
        <w:widowControl w:val="0"/>
        <w:autoSpaceDE/>
        <w:autoSpaceDN/>
        <w:spacing w:line="400" w:lineRule="exact"/>
        <w:ind w:firstLine="420" w:firstLineChars="200"/>
        <w:jc w:val="both"/>
        <w:rPr>
          <w:rFonts w:hint="eastAsia" w:ascii="仿宋" w:hAnsi="仿宋" w:eastAsia="仿宋" w:cs="仿宋"/>
          <w:color w:val="auto"/>
          <w:highlight w:val="none"/>
        </w:rPr>
      </w:pPr>
    </w:p>
    <w:p w14:paraId="218FF56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23.2.合同变更与修订</w:t>
      </w:r>
    </w:p>
    <w:p w14:paraId="0613EFC5">
      <w:pPr>
        <w:widowControl w:val="0"/>
        <w:autoSpaceDE/>
        <w:autoSpaceDN/>
        <w:spacing w:line="400" w:lineRule="exact"/>
        <w:ind w:firstLine="420" w:firstLineChars="200"/>
        <w:jc w:val="both"/>
        <w:rPr>
          <w:rFonts w:hint="eastAsia" w:ascii="仿宋" w:hAnsi="仿宋" w:eastAsia="仿宋" w:cs="仿宋"/>
          <w:color w:val="auto"/>
          <w:highlight w:val="none"/>
        </w:rPr>
      </w:pPr>
    </w:p>
    <w:p w14:paraId="3CFFB0F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23.2.1.除另有约定，本合同任何修改、补充或变更必须经双方协商一致，并书面签订补充协议。</w:t>
      </w:r>
    </w:p>
    <w:p w14:paraId="21590B0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23.2.2.如果本合同的任何条款不合法、无效或不能执行，则：</w:t>
      </w:r>
    </w:p>
    <w:p w14:paraId="32B4D7A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（1）并不影响其他条款的效力和执行；</w:t>
      </w:r>
    </w:p>
    <w:p w14:paraId="137FD86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（2）双方应商定对不合法、无效或不能执行的条款进行修改，使之合法、有效并可执行；修改或更改应尽可能平衡双方之间的利益。</w:t>
      </w:r>
    </w:p>
    <w:p w14:paraId="249C62D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23.2.3.项目变更时为确保效率，如无涉及项目合同金额变动且甲方认为没有必要的，可按照甲乙双方书面确认的往来文件立即实施。如涉及项目合同金额变动或甲方认为确有必要的，乙方需按甲方要求完成变更申请审批工作，并双方必须就相关变更事项签订补充协议。</w:t>
      </w:r>
    </w:p>
    <w:p w14:paraId="0856A9AB">
      <w:pPr>
        <w:widowControl w:val="0"/>
        <w:autoSpaceDE/>
        <w:autoSpaceDN/>
        <w:spacing w:line="400" w:lineRule="exact"/>
        <w:jc w:val="both"/>
        <w:rPr>
          <w:rFonts w:hint="eastAsia" w:ascii="仿宋" w:hAnsi="仿宋" w:eastAsia="仿宋" w:cs="仿宋"/>
          <w:color w:val="auto"/>
          <w:highlight w:val="none"/>
        </w:rPr>
      </w:pPr>
    </w:p>
    <w:p w14:paraId="002B1FC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23.3.合同适用法律</w:t>
      </w:r>
    </w:p>
    <w:p w14:paraId="59758DEE">
      <w:pPr>
        <w:widowControl w:val="0"/>
        <w:autoSpaceDE/>
        <w:autoSpaceDN/>
        <w:spacing w:line="400" w:lineRule="exact"/>
        <w:ind w:firstLine="420" w:firstLineChars="200"/>
        <w:jc w:val="both"/>
        <w:rPr>
          <w:rFonts w:hint="eastAsia" w:ascii="仿宋" w:hAnsi="仿宋" w:eastAsia="仿宋" w:cs="仿宋"/>
          <w:color w:val="auto"/>
          <w:highlight w:val="none"/>
        </w:rPr>
      </w:pPr>
    </w:p>
    <w:p w14:paraId="488964D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本合同的成立、有效性、解释、履行、签署、修订和终止以及争议的解决适用中华人民共和国法律。</w:t>
      </w:r>
    </w:p>
    <w:p w14:paraId="4FE86255">
      <w:pPr>
        <w:widowControl w:val="0"/>
        <w:autoSpaceDE/>
        <w:autoSpaceDN/>
        <w:spacing w:line="400" w:lineRule="exact"/>
        <w:ind w:firstLine="420" w:firstLineChars="200"/>
        <w:jc w:val="both"/>
        <w:rPr>
          <w:rFonts w:hint="eastAsia" w:ascii="仿宋" w:hAnsi="仿宋" w:eastAsia="仿宋" w:cs="仿宋"/>
          <w:color w:val="auto"/>
          <w:highlight w:val="none"/>
        </w:rPr>
      </w:pPr>
    </w:p>
    <w:p w14:paraId="4C4392D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23.4.不弃权</w:t>
      </w:r>
    </w:p>
    <w:p w14:paraId="5A9EBE3A">
      <w:pPr>
        <w:widowControl w:val="0"/>
        <w:autoSpaceDE/>
        <w:autoSpaceDN/>
        <w:spacing w:line="400" w:lineRule="exact"/>
        <w:ind w:firstLine="420" w:firstLineChars="200"/>
        <w:jc w:val="both"/>
        <w:rPr>
          <w:rFonts w:hint="eastAsia" w:ascii="仿宋" w:hAnsi="仿宋" w:eastAsia="仿宋" w:cs="仿宋"/>
          <w:color w:val="auto"/>
          <w:highlight w:val="none"/>
        </w:rPr>
      </w:pPr>
    </w:p>
    <w:p w14:paraId="1DE1D0E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除非另有规定，一方未行使或迟延行使本合同项下的权利、权力并不构成放弃这些权利、权力，而单一或部分行使这些权利、权力并不排斥行使任何其他权利、权力。</w:t>
      </w:r>
    </w:p>
    <w:p w14:paraId="7457D732">
      <w:pPr>
        <w:widowControl w:val="0"/>
        <w:autoSpaceDE/>
        <w:autoSpaceDN/>
        <w:spacing w:line="400" w:lineRule="exact"/>
        <w:ind w:firstLine="420" w:firstLineChars="200"/>
        <w:jc w:val="both"/>
        <w:rPr>
          <w:rFonts w:hint="eastAsia" w:ascii="仿宋" w:hAnsi="仿宋" w:eastAsia="仿宋" w:cs="仿宋"/>
          <w:color w:val="auto"/>
          <w:highlight w:val="none"/>
        </w:rPr>
      </w:pPr>
    </w:p>
    <w:p w14:paraId="72E6585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23.5.通知与送达条款</w:t>
      </w:r>
    </w:p>
    <w:p w14:paraId="6CD7376D">
      <w:pPr>
        <w:widowControl w:val="0"/>
        <w:autoSpaceDE/>
        <w:autoSpaceDN/>
        <w:spacing w:line="400" w:lineRule="exact"/>
        <w:ind w:firstLine="420" w:firstLineChars="200"/>
        <w:jc w:val="both"/>
        <w:rPr>
          <w:rFonts w:hint="eastAsia" w:ascii="仿宋" w:hAnsi="仿宋" w:eastAsia="仿宋" w:cs="仿宋"/>
          <w:color w:val="auto"/>
          <w:highlight w:val="none"/>
        </w:rPr>
      </w:pPr>
    </w:p>
    <w:p w14:paraId="314C579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23.5.1.本合同约定的联系地址、联系方式为甲乙双方唯一联系地址、联系方式。甲乙双方因履行本合同而需由一方发给对方的任何通知应以书面方式发出。该通知可以专人送达、传真、电子邮件、特快专递或挂号方式送达的方式发出。所有的通知应送达本合同项下对方当事人的地址或该方事先通知的其他地址或传真号码。该联系地址或联系方式有变动的，应至少提前三日书面通知对方。双方发生争议后，甚至进入诉讼程序，该联系地址、联系方式仍为有效。</w:t>
      </w:r>
    </w:p>
    <w:p w14:paraId="18DF81D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23.5.2.上述通知、要求或信息，以专人送达的，以受送达人在送达回执上的签收时间为送达日期；以传真方式送达的，以发送之日为送达日期；以电子邮件方式送达的，以到达受送达人特定系统的日期为送达日期；以特快专递或挂号方式送达的，以受送达人在相应邮寄凭证上签收之日为送达日期。上述联系地址或联系方式发生变动且未及时书面通知另一方的，另一方按原地址邮寄相关材料即视为已履行送达义务。</w:t>
      </w:r>
    </w:p>
    <w:p w14:paraId="6AC2014D">
      <w:pPr>
        <w:widowControl w:val="0"/>
        <w:autoSpaceDE/>
        <w:autoSpaceDN/>
        <w:spacing w:line="400" w:lineRule="exact"/>
        <w:ind w:firstLine="420" w:firstLineChars="200"/>
        <w:jc w:val="both"/>
        <w:rPr>
          <w:rFonts w:hint="eastAsia" w:ascii="仿宋" w:hAnsi="仿宋" w:eastAsia="仿宋" w:cs="仿宋"/>
          <w:color w:val="auto"/>
          <w:highlight w:val="none"/>
        </w:rPr>
      </w:pPr>
    </w:p>
    <w:p w14:paraId="33208B5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23.6.合同生效条件</w:t>
      </w:r>
    </w:p>
    <w:p w14:paraId="4EEC0A60">
      <w:pPr>
        <w:widowControl w:val="0"/>
        <w:autoSpaceDE/>
        <w:autoSpaceDN/>
        <w:spacing w:line="400" w:lineRule="exact"/>
        <w:ind w:firstLine="420" w:firstLineChars="200"/>
        <w:jc w:val="both"/>
        <w:rPr>
          <w:rFonts w:hint="eastAsia" w:ascii="仿宋" w:hAnsi="仿宋" w:eastAsia="仿宋" w:cs="仿宋"/>
          <w:color w:val="auto"/>
          <w:highlight w:val="none"/>
        </w:rPr>
      </w:pPr>
    </w:p>
    <w:p w14:paraId="6D71BA8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本合同经甲乙双方法定代表人或授权委托代理人签字，并盖章后生效</w:t>
      </w:r>
      <w:r>
        <w:rPr>
          <w:rFonts w:hint="eastAsia" w:ascii="仿宋" w:hAnsi="仿宋" w:eastAsia="仿宋" w:cs="仿宋"/>
          <w:color w:val="auto"/>
          <w:highlight w:val="none"/>
          <w:lang w:eastAsia="zh-CN"/>
        </w:rPr>
        <w:t>；合同执行完毕后，自动失效，</w:t>
      </w:r>
      <w:r>
        <w:rPr>
          <w:rFonts w:hint="eastAsia" w:ascii="仿宋" w:hAnsi="仿宋" w:eastAsia="仿宋" w:cs="仿宋"/>
          <w:color w:val="auto"/>
          <w:highlight w:val="none"/>
          <w:lang w:val="en-US" w:eastAsia="zh-CN"/>
        </w:rPr>
        <w:t>但关于本</w:t>
      </w:r>
      <w:r>
        <w:rPr>
          <w:rFonts w:hint="eastAsia" w:ascii="仿宋" w:hAnsi="仿宋" w:eastAsia="仿宋" w:cs="仿宋"/>
          <w:color w:val="auto"/>
          <w:highlight w:val="none"/>
          <w:lang w:eastAsia="zh-CN"/>
        </w:rPr>
        <w:t>合同的服务承诺则长期有效</w:t>
      </w:r>
      <w:r>
        <w:rPr>
          <w:rFonts w:hint="eastAsia" w:ascii="仿宋" w:hAnsi="仿宋" w:eastAsia="仿宋" w:cs="仿宋"/>
          <w:color w:val="auto"/>
          <w:highlight w:val="none"/>
        </w:rPr>
        <w:t>。</w:t>
      </w:r>
    </w:p>
    <w:p w14:paraId="50679A18">
      <w:pPr>
        <w:widowControl w:val="0"/>
        <w:autoSpaceDE/>
        <w:autoSpaceDN/>
        <w:spacing w:line="400" w:lineRule="exact"/>
        <w:ind w:firstLine="420" w:firstLineChars="200"/>
        <w:jc w:val="both"/>
        <w:rPr>
          <w:rFonts w:hint="eastAsia" w:ascii="仿宋" w:hAnsi="仿宋" w:eastAsia="仿宋" w:cs="仿宋"/>
          <w:color w:val="auto"/>
          <w:highlight w:val="none"/>
        </w:rPr>
      </w:pPr>
    </w:p>
    <w:p w14:paraId="7E2857E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23.7.合同份数</w:t>
      </w:r>
    </w:p>
    <w:p w14:paraId="4A6BA384">
      <w:pPr>
        <w:widowControl w:val="0"/>
        <w:autoSpaceDE/>
        <w:autoSpaceDN/>
        <w:spacing w:line="400" w:lineRule="exact"/>
        <w:ind w:firstLine="420" w:firstLineChars="200"/>
        <w:jc w:val="both"/>
        <w:rPr>
          <w:rFonts w:hint="eastAsia" w:ascii="仿宋" w:hAnsi="仿宋" w:eastAsia="仿宋" w:cs="仿宋"/>
          <w:color w:val="auto"/>
          <w:highlight w:val="none"/>
        </w:rPr>
      </w:pPr>
    </w:p>
    <w:p w14:paraId="08E2F30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陆</w:t>
      </w:r>
      <w:r>
        <w:rPr>
          <w:rFonts w:hint="eastAsia" w:ascii="仿宋" w:hAnsi="仿宋" w:eastAsia="仿宋" w:cs="仿宋"/>
          <w:color w:val="auto"/>
          <w:highlight w:val="none"/>
        </w:rPr>
        <w:t>份，甲方执</w:t>
      </w:r>
      <w:r>
        <w:rPr>
          <w:rFonts w:hint="eastAsia" w:ascii="仿宋" w:hAnsi="仿宋" w:eastAsia="仿宋" w:cs="仿宋"/>
          <w:color w:val="auto"/>
          <w:highlight w:val="none"/>
          <w:u w:val="single"/>
        </w:rPr>
        <w:t>肆</w:t>
      </w:r>
      <w:r>
        <w:rPr>
          <w:rFonts w:hint="eastAsia" w:ascii="仿宋" w:hAnsi="仿宋" w:eastAsia="仿宋" w:cs="仿宋"/>
          <w:color w:val="auto"/>
          <w:highlight w:val="none"/>
        </w:rPr>
        <w:t>份，乙方执</w:t>
      </w:r>
      <w:r>
        <w:rPr>
          <w:rFonts w:hint="eastAsia" w:ascii="仿宋" w:hAnsi="仿宋" w:eastAsia="仿宋" w:cs="仿宋"/>
          <w:color w:val="auto"/>
          <w:highlight w:val="none"/>
          <w:u w:val="single"/>
        </w:rPr>
        <w:t>贰</w:t>
      </w:r>
      <w:r>
        <w:rPr>
          <w:rFonts w:hint="eastAsia" w:ascii="仿宋" w:hAnsi="仿宋" w:eastAsia="仿宋" w:cs="仿宋"/>
          <w:color w:val="auto"/>
          <w:highlight w:val="none"/>
        </w:rPr>
        <w:t>份，具有同等法律效力。</w:t>
      </w:r>
    </w:p>
    <w:p w14:paraId="245B8675">
      <w:pPr>
        <w:widowControl w:val="0"/>
        <w:autoSpaceDE/>
        <w:autoSpaceDN/>
        <w:spacing w:line="400" w:lineRule="exact"/>
        <w:ind w:firstLine="420" w:firstLineChars="200"/>
        <w:jc w:val="both"/>
        <w:rPr>
          <w:rFonts w:hint="eastAsia" w:ascii="仿宋" w:hAnsi="仿宋" w:eastAsia="仿宋" w:cs="仿宋"/>
          <w:color w:val="auto"/>
          <w:highlight w:val="none"/>
        </w:rPr>
      </w:pPr>
    </w:p>
    <w:p w14:paraId="7B8AF77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23.8.合同页数</w:t>
      </w:r>
    </w:p>
    <w:p w14:paraId="6C2E74C6">
      <w:pPr>
        <w:widowControl w:val="0"/>
        <w:autoSpaceDE/>
        <w:autoSpaceDN/>
        <w:spacing w:line="400" w:lineRule="exact"/>
        <w:ind w:firstLine="420" w:firstLineChars="200"/>
        <w:jc w:val="both"/>
        <w:rPr>
          <w:rFonts w:hint="eastAsia" w:ascii="仿宋" w:hAnsi="仿宋" w:eastAsia="仿宋" w:cs="仿宋"/>
          <w:color w:val="auto"/>
          <w:highlight w:val="none"/>
        </w:rPr>
      </w:pPr>
    </w:p>
    <w:p w14:paraId="4055F6C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本合同正文（不含封面及签署页）合计页</w:t>
      </w:r>
      <w:r>
        <w:rPr>
          <w:rFonts w:hint="eastAsia" w:ascii="仿宋" w:hAnsi="仿宋" w:eastAsia="仿宋" w:cs="仿宋"/>
          <w:color w:val="auto"/>
          <w:highlight w:val="none"/>
          <w:u w:val="single"/>
        </w:rPr>
        <w:t>A4</w:t>
      </w:r>
      <w:r>
        <w:rPr>
          <w:rFonts w:hint="eastAsia" w:ascii="仿宋" w:hAnsi="仿宋" w:eastAsia="仿宋" w:cs="仿宋"/>
          <w:color w:val="auto"/>
          <w:highlight w:val="none"/>
        </w:rPr>
        <w:t>纸张，附件份共页</w:t>
      </w:r>
      <w:r>
        <w:rPr>
          <w:rFonts w:hint="eastAsia" w:ascii="仿宋" w:hAnsi="仿宋" w:eastAsia="仿宋" w:cs="仿宋"/>
          <w:color w:val="auto"/>
          <w:highlight w:val="none"/>
          <w:u w:val="single"/>
        </w:rPr>
        <w:t>A4</w:t>
      </w:r>
      <w:r>
        <w:rPr>
          <w:rFonts w:hint="eastAsia" w:ascii="仿宋" w:hAnsi="仿宋" w:eastAsia="仿宋" w:cs="仿宋"/>
          <w:color w:val="auto"/>
          <w:highlight w:val="none"/>
        </w:rPr>
        <w:t>纸张。缺页之合同为无效合同。</w:t>
      </w:r>
    </w:p>
    <w:p w14:paraId="61E706A6">
      <w:pPr>
        <w:widowControl/>
        <w:autoSpaceDE/>
        <w:autoSpaceDN/>
        <w:spacing w:line="240" w:lineRule="auto"/>
        <w:jc w:val="left"/>
        <w:rPr>
          <w:rFonts w:hint="eastAsia" w:ascii="仿宋" w:hAnsi="仿宋" w:eastAsia="仿宋" w:cs="仿宋"/>
          <w:highlight w:val="none"/>
        </w:rPr>
      </w:pPr>
    </w:p>
    <w:p w14:paraId="0E3CFBEB">
      <w:pPr>
        <w:widowControl w:val="0"/>
        <w:autoSpaceDE/>
        <w:autoSpaceDN/>
        <w:spacing w:line="400" w:lineRule="exact"/>
        <w:jc w:val="both"/>
        <w:rPr>
          <w:rFonts w:hint="eastAsia" w:ascii="仿宋" w:hAnsi="仿宋" w:eastAsia="仿宋" w:cs="仿宋"/>
          <w:highlight w:val="none"/>
        </w:rPr>
      </w:pPr>
    </w:p>
    <w:p w14:paraId="02B4869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附件：</w:t>
      </w:r>
    </w:p>
    <w:p w14:paraId="5EB133D1">
      <w:pPr>
        <w:widowControl w:val="0"/>
        <w:autoSpaceDE/>
        <w:autoSpaceDN/>
        <w:spacing w:line="400" w:lineRule="exact"/>
        <w:jc w:val="both"/>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.运维服务评价标准</w:t>
      </w:r>
    </w:p>
    <w:p w14:paraId="54365B7A">
      <w:pPr>
        <w:widowControl w:val="0"/>
        <w:autoSpaceDE/>
        <w:autoSpaceDN/>
        <w:spacing w:line="400" w:lineRule="exact"/>
        <w:ind w:firstLine="420" w:firstLineChars="200"/>
        <w:jc w:val="both"/>
        <w:rPr>
          <w:rFonts w:hint="eastAsia" w:ascii="仿宋" w:hAnsi="仿宋" w:eastAsia="仿宋" w:cs="仿宋"/>
          <w:strike/>
          <w:highlight w:val="none"/>
        </w:rPr>
      </w:pPr>
      <w:r>
        <w:rPr>
          <w:rFonts w:hint="eastAsia" w:ascii="仿宋" w:hAnsi="仿宋" w:eastAsia="仿宋" w:cs="仿宋"/>
          <w:highlight w:val="none"/>
          <w:u w:val="none"/>
          <w:lang w:val="en-US" w:eastAsia="zh-CN"/>
        </w:rPr>
        <w:t>2</w:t>
      </w:r>
      <w:r>
        <w:rPr>
          <w:rFonts w:hint="eastAsia" w:ascii="仿宋" w:hAnsi="仿宋" w:eastAsia="仿宋" w:cs="仿宋"/>
          <w:highlight w:val="none"/>
          <w:u w:val="none"/>
        </w:rPr>
        <w:t>.</w:t>
      </w:r>
      <w:r>
        <w:rPr>
          <w:rFonts w:hint="eastAsia" w:ascii="仿宋" w:hAnsi="仿宋" w:eastAsia="仿宋" w:cs="仿宋"/>
          <w:highlight w:val="none"/>
        </w:rPr>
        <w:t>乙方团队人员清单</w:t>
      </w:r>
    </w:p>
    <w:p w14:paraId="059640DA">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.保密承诺书</w:t>
      </w:r>
    </w:p>
    <w:p w14:paraId="1BCAB047">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.反商业贿赂协议</w:t>
      </w:r>
    </w:p>
    <w:p w14:paraId="53F28F75">
      <w:pPr>
        <w:widowControl w:val="0"/>
        <w:tabs>
          <w:tab w:val="left" w:pos="3346"/>
        </w:tabs>
        <w:autoSpaceDE/>
        <w:autoSpaceDN/>
        <w:spacing w:line="400" w:lineRule="exact"/>
        <w:ind w:firstLine="420" w:firstLineChars="200"/>
        <w:jc w:val="both"/>
        <w:rPr>
          <w:rFonts w:hint="eastAsia" w:ascii="仿宋" w:hAnsi="仿宋" w:eastAsia="仿宋" w:cs="仿宋"/>
          <w:highlight w:val="none"/>
          <w:lang w:eastAsia="zh-CN"/>
        </w:rPr>
      </w:pPr>
      <w:r>
        <w:rPr>
          <w:rFonts w:hint="eastAsia" w:ascii="仿宋" w:hAnsi="仿宋" w:eastAsia="仿宋" w:cs="仿宋"/>
          <w:highlight w:val="none"/>
        </w:rPr>
        <w:t>（以下无合同正文）</w:t>
      </w:r>
      <w:r>
        <w:rPr>
          <w:rFonts w:hint="eastAsia" w:ascii="仿宋" w:hAnsi="仿宋" w:eastAsia="仿宋" w:cs="仿宋"/>
          <w:highlight w:val="none"/>
          <w:lang w:eastAsia="zh-CN"/>
        </w:rPr>
        <w:tab/>
      </w:r>
    </w:p>
    <w:p w14:paraId="03A7113E">
      <w:pPr>
        <w:widowControl w:val="0"/>
        <w:tabs>
          <w:tab w:val="left" w:pos="3346"/>
        </w:tabs>
        <w:autoSpaceDE/>
        <w:autoSpaceDN/>
        <w:spacing w:line="400" w:lineRule="exact"/>
        <w:ind w:firstLine="420" w:firstLineChars="200"/>
        <w:jc w:val="both"/>
        <w:rPr>
          <w:rFonts w:hint="eastAsia" w:ascii="仿宋" w:hAnsi="仿宋" w:eastAsia="仿宋" w:cs="仿宋"/>
          <w:highlight w:val="none"/>
          <w:lang w:eastAsia="zh-CN"/>
        </w:rPr>
        <w:sectPr>
          <w:headerReference r:id="rId12" w:type="default"/>
          <w:footerReference r:id="rId13" w:type="default"/>
          <w:pgSz w:w="12070" w:h="16950"/>
          <w:pgMar w:top="1440" w:right="1544" w:bottom="1112" w:left="1810" w:header="0" w:footer="898" w:gutter="0"/>
          <w:pgNumType w:fmt="decimal" w:start="1"/>
          <w:cols w:space="720" w:num="1"/>
          <w:formProt w:val="0"/>
          <w:docGrid w:linePitch="312" w:charSpace="0"/>
        </w:sectPr>
      </w:pPr>
    </w:p>
    <w:p w14:paraId="47146CFD">
      <w:pPr>
        <w:widowControl w:val="0"/>
        <w:tabs>
          <w:tab w:val="left" w:pos="3346"/>
        </w:tabs>
        <w:autoSpaceDE/>
        <w:autoSpaceDN/>
        <w:spacing w:line="400" w:lineRule="exact"/>
        <w:ind w:firstLine="420" w:firstLineChars="200"/>
        <w:jc w:val="both"/>
        <w:rPr>
          <w:rFonts w:hint="eastAsia" w:ascii="仿宋" w:hAnsi="仿宋" w:eastAsia="仿宋" w:cs="仿宋"/>
          <w:highlight w:val="none"/>
          <w:lang w:eastAsia="zh-CN"/>
        </w:rPr>
      </w:pPr>
    </w:p>
    <w:p w14:paraId="63457049">
      <w:pPr>
        <w:widowControl w:val="0"/>
        <w:tabs>
          <w:tab w:val="left" w:pos="3346"/>
        </w:tabs>
        <w:autoSpaceDE/>
        <w:autoSpaceDN/>
        <w:spacing w:line="400" w:lineRule="exact"/>
        <w:ind w:firstLine="0" w:firstLineChars="0"/>
        <w:jc w:val="both"/>
        <w:rPr>
          <w:rFonts w:hint="eastAsia" w:ascii="仿宋" w:hAnsi="仿宋" w:eastAsia="仿宋" w:cs="仿宋"/>
          <w:highlight w:val="none"/>
          <w:lang w:eastAsia="zh-CN"/>
        </w:rPr>
      </w:pPr>
    </w:p>
    <w:p w14:paraId="41DE125B">
      <w:pPr>
        <w:widowControl w:val="0"/>
        <w:autoSpaceDE/>
        <w:autoSpaceDN/>
        <w:spacing w:line="400" w:lineRule="exact"/>
        <w:jc w:val="both"/>
        <w:rPr>
          <w:rFonts w:hint="eastAsia" w:ascii="仿宋" w:hAnsi="仿宋" w:eastAsia="仿宋" w:cs="仿宋"/>
          <w:b/>
          <w:bCs/>
          <w:highlight w:val="none"/>
        </w:rPr>
      </w:pPr>
      <w:r>
        <w:rPr>
          <w:rFonts w:hint="eastAsia" w:ascii="仿宋" w:hAnsi="仿宋" w:eastAsia="仿宋" w:cs="仿宋"/>
          <w:b/>
          <w:bCs/>
          <w:highlight w:val="none"/>
        </w:rPr>
        <w:t>（签署页）</w:t>
      </w:r>
    </w:p>
    <w:p w14:paraId="3C713CEC">
      <w:pPr>
        <w:widowControl w:val="0"/>
        <w:autoSpaceDE/>
        <w:autoSpaceDN/>
        <w:spacing w:line="520" w:lineRule="exact"/>
        <w:rPr>
          <w:rFonts w:hint="eastAsia" w:ascii="仿宋" w:hAnsi="仿宋" w:eastAsia="仿宋" w:cs="仿宋"/>
          <w:highlight w:val="none"/>
          <w:u w:val="single"/>
          <w:lang w:eastAsia="zh-CN"/>
        </w:rPr>
      </w:pPr>
      <w:r>
        <w:rPr>
          <w:rFonts w:hint="eastAsia" w:ascii="仿宋" w:hAnsi="仿宋" w:eastAsia="仿宋" w:cs="仿宋"/>
          <w:b/>
          <w:bCs/>
          <w:highlight w:val="none"/>
        </w:rPr>
        <w:t>委托方（甲方）:</w:t>
      </w:r>
      <w:r>
        <w:rPr>
          <w:rFonts w:hint="eastAsia" w:ascii="仿宋" w:hAnsi="仿宋" w:eastAsia="仿宋" w:cs="仿宋"/>
          <w:highlight w:val="none"/>
          <w:u w:val="single"/>
        </w:rPr>
        <w:t>（盖章）</w:t>
      </w:r>
    </w:p>
    <w:p w14:paraId="20F0169B">
      <w:pPr>
        <w:widowControl w:val="0"/>
        <w:autoSpaceDE/>
        <w:autoSpaceDN/>
        <w:spacing w:line="520" w:lineRule="exact"/>
        <w:rPr>
          <w:rFonts w:hint="eastAsia" w:ascii="仿宋" w:hAnsi="仿宋" w:eastAsia="仿宋" w:cs="仿宋"/>
          <w:highlight w:val="none"/>
          <w:lang w:eastAsia="zh-CN"/>
        </w:rPr>
      </w:pPr>
      <w:r>
        <w:rPr>
          <w:rFonts w:hint="eastAsia" w:ascii="仿宋" w:hAnsi="仿宋" w:eastAsia="仿宋" w:cs="仿宋"/>
          <w:highlight w:val="none"/>
        </w:rPr>
        <w:t>住所地：</w:t>
      </w:r>
    </w:p>
    <w:p w14:paraId="3CD2AC2A">
      <w:pPr>
        <w:widowControl w:val="0"/>
        <w:autoSpaceDE/>
        <w:autoSpaceDN/>
        <w:spacing w:line="520" w:lineRule="exact"/>
        <w:rPr>
          <w:rFonts w:hint="eastAsia" w:ascii="仿宋" w:hAnsi="仿宋" w:eastAsia="仿宋" w:cs="仿宋"/>
          <w:highlight w:val="none"/>
          <w:lang w:eastAsia="zh-CN"/>
        </w:rPr>
      </w:pPr>
      <w:r>
        <w:rPr>
          <w:rFonts w:hint="eastAsia" w:ascii="仿宋" w:hAnsi="仿宋" w:eastAsia="仿宋" w:cs="仿宋"/>
          <w:highlight w:val="none"/>
        </w:rPr>
        <w:t>法定代表人/委托代理人：</w:t>
      </w:r>
      <w:r>
        <w:rPr>
          <w:rFonts w:hint="eastAsia" w:ascii="仿宋" w:hAnsi="仿宋" w:eastAsia="仿宋" w:cs="仿宋"/>
          <w:highlight w:val="none"/>
          <w:u w:val="single"/>
        </w:rPr>
        <w:t>（签名/章）</w:t>
      </w:r>
    </w:p>
    <w:p w14:paraId="5613C9FF">
      <w:pPr>
        <w:widowControl w:val="0"/>
        <w:autoSpaceDE/>
        <w:autoSpaceDN/>
        <w:spacing w:line="520" w:lineRule="exact"/>
        <w:rPr>
          <w:rFonts w:hint="eastAsia" w:ascii="仿宋" w:hAnsi="仿宋" w:eastAsia="仿宋" w:cs="仿宋"/>
          <w:highlight w:val="none"/>
          <w:lang w:eastAsia="zh-CN"/>
        </w:rPr>
      </w:pPr>
      <w:r>
        <w:rPr>
          <w:rFonts w:hint="eastAsia" w:ascii="仿宋" w:hAnsi="仿宋" w:eastAsia="仿宋" w:cs="仿宋"/>
          <w:highlight w:val="none"/>
        </w:rPr>
        <w:t>项目联系人：</w:t>
      </w:r>
    </w:p>
    <w:p w14:paraId="38FED273">
      <w:pPr>
        <w:widowControl w:val="0"/>
        <w:autoSpaceDE/>
        <w:autoSpaceDN/>
        <w:spacing w:line="520" w:lineRule="exact"/>
        <w:rPr>
          <w:rFonts w:hint="eastAsia" w:ascii="仿宋" w:hAnsi="仿宋" w:eastAsia="仿宋" w:cs="仿宋"/>
          <w:highlight w:val="none"/>
          <w:lang w:eastAsia="zh-CN"/>
        </w:rPr>
      </w:pPr>
      <w:r>
        <w:rPr>
          <w:rFonts w:hint="eastAsia" w:ascii="仿宋" w:hAnsi="仿宋" w:eastAsia="仿宋" w:cs="仿宋"/>
          <w:highlight w:val="none"/>
        </w:rPr>
        <w:t>联系方式:</w:t>
      </w:r>
    </w:p>
    <w:p w14:paraId="191555BF">
      <w:pPr>
        <w:widowControl w:val="0"/>
        <w:autoSpaceDE/>
        <w:autoSpaceDN/>
        <w:spacing w:line="520" w:lineRule="exact"/>
        <w:rPr>
          <w:rFonts w:hint="eastAsia" w:ascii="仿宋" w:hAnsi="仿宋" w:eastAsia="仿宋" w:cs="仿宋"/>
          <w:highlight w:val="none"/>
          <w:u w:val="single"/>
          <w:lang w:eastAsia="zh-CN"/>
        </w:rPr>
      </w:pPr>
      <w:r>
        <w:rPr>
          <w:rFonts w:hint="eastAsia" w:ascii="仿宋" w:hAnsi="仿宋" w:eastAsia="仿宋" w:cs="仿宋"/>
          <w:highlight w:val="none"/>
        </w:rPr>
        <w:t>通讯地址：</w:t>
      </w:r>
    </w:p>
    <w:p w14:paraId="384AC7DF">
      <w:pPr>
        <w:widowControl w:val="0"/>
        <w:autoSpaceDE/>
        <w:autoSpaceDN/>
        <w:spacing w:line="520" w:lineRule="exact"/>
        <w:rPr>
          <w:rFonts w:hint="eastAsia" w:ascii="仿宋" w:hAnsi="仿宋" w:eastAsia="仿宋" w:cs="仿宋"/>
          <w:highlight w:val="none"/>
          <w:lang w:eastAsia="zh-CN"/>
        </w:rPr>
      </w:pPr>
      <w:r>
        <w:rPr>
          <w:rFonts w:hint="eastAsia" w:ascii="仿宋" w:hAnsi="仿宋" w:eastAsia="仿宋" w:cs="仿宋"/>
          <w:highlight w:val="none"/>
        </w:rPr>
        <w:t>电话：</w:t>
      </w:r>
    </w:p>
    <w:p w14:paraId="52B477B5">
      <w:pPr>
        <w:widowControl w:val="0"/>
        <w:autoSpaceDE/>
        <w:autoSpaceDN/>
        <w:spacing w:line="520" w:lineRule="exact"/>
        <w:rPr>
          <w:rFonts w:hint="eastAsia" w:ascii="仿宋" w:hAnsi="仿宋" w:eastAsia="仿宋" w:cs="仿宋"/>
          <w:highlight w:val="none"/>
          <w:lang w:eastAsia="zh-CN"/>
        </w:rPr>
      </w:pPr>
      <w:r>
        <w:rPr>
          <w:rFonts w:hint="eastAsia" w:ascii="仿宋" w:hAnsi="仿宋" w:eastAsia="仿宋" w:cs="仿宋"/>
          <w:highlight w:val="none"/>
        </w:rPr>
        <w:t>传真：</w:t>
      </w:r>
    </w:p>
    <w:p w14:paraId="323C99E2">
      <w:pPr>
        <w:widowControl w:val="0"/>
        <w:autoSpaceDE/>
        <w:autoSpaceDN/>
        <w:spacing w:line="520" w:lineRule="exact"/>
        <w:jc w:val="both"/>
        <w:rPr>
          <w:rFonts w:hint="eastAsia" w:ascii="仿宋" w:hAnsi="仿宋" w:eastAsia="仿宋" w:cs="仿宋"/>
          <w:highlight w:val="none"/>
          <w:lang w:eastAsia="zh-CN"/>
        </w:rPr>
      </w:pPr>
      <w:r>
        <w:rPr>
          <w:rFonts w:hint="eastAsia" w:ascii="仿宋" w:hAnsi="仿宋" w:eastAsia="仿宋" w:cs="仿宋"/>
          <w:highlight w:val="none"/>
        </w:rPr>
        <w:t>电子信箱：</w:t>
      </w:r>
    </w:p>
    <w:p w14:paraId="675F28C5">
      <w:pPr>
        <w:widowControl w:val="0"/>
        <w:autoSpaceDE/>
        <w:autoSpaceDN/>
        <w:spacing w:line="520" w:lineRule="exact"/>
        <w:jc w:val="both"/>
        <w:rPr>
          <w:rFonts w:hint="eastAsia" w:ascii="仿宋" w:hAnsi="仿宋" w:eastAsia="仿宋" w:cs="仿宋"/>
          <w:highlight w:val="none"/>
          <w:lang w:eastAsia="zh-CN"/>
        </w:rPr>
      </w:pPr>
      <w:r>
        <w:rPr>
          <w:rFonts w:hint="eastAsia" w:ascii="仿宋" w:hAnsi="仿宋" w:eastAsia="仿宋" w:cs="仿宋"/>
          <w:highlight w:val="none"/>
        </w:rPr>
        <w:t>签订日期：</w:t>
      </w:r>
    </w:p>
    <w:p w14:paraId="1E7C8329">
      <w:pPr>
        <w:widowControl w:val="0"/>
        <w:autoSpaceDE/>
        <w:autoSpaceDN/>
        <w:spacing w:line="520" w:lineRule="exact"/>
        <w:jc w:val="both"/>
        <w:rPr>
          <w:rFonts w:hint="eastAsia" w:ascii="仿宋" w:hAnsi="仿宋" w:eastAsia="仿宋" w:cs="仿宋"/>
          <w:highlight w:val="none"/>
        </w:rPr>
      </w:pPr>
    </w:p>
    <w:p w14:paraId="03A1CBE2">
      <w:pPr>
        <w:widowControl w:val="0"/>
        <w:autoSpaceDE/>
        <w:autoSpaceDN/>
        <w:spacing w:line="520" w:lineRule="exact"/>
        <w:jc w:val="both"/>
        <w:rPr>
          <w:rFonts w:hint="eastAsia" w:ascii="仿宋" w:hAnsi="仿宋" w:eastAsia="仿宋" w:cs="仿宋"/>
          <w:highlight w:val="none"/>
        </w:rPr>
      </w:pPr>
    </w:p>
    <w:p w14:paraId="5DEAE037">
      <w:pPr>
        <w:widowControl w:val="0"/>
        <w:autoSpaceDE/>
        <w:autoSpaceDN/>
        <w:spacing w:line="520" w:lineRule="exact"/>
        <w:jc w:val="both"/>
        <w:rPr>
          <w:rFonts w:hint="eastAsia" w:ascii="仿宋" w:hAnsi="仿宋" w:eastAsia="仿宋" w:cs="仿宋"/>
          <w:highlight w:val="none"/>
        </w:rPr>
      </w:pPr>
      <w:r>
        <w:rPr>
          <w:rFonts w:hint="eastAsia" w:ascii="仿宋" w:hAnsi="仿宋" w:eastAsia="仿宋" w:cs="仿宋"/>
          <w:b/>
          <w:bCs/>
          <w:highlight w:val="none"/>
        </w:rPr>
        <w:t>受托方（乙方）:</w:t>
      </w:r>
      <w:r>
        <w:rPr>
          <w:rFonts w:hint="eastAsia" w:ascii="仿宋" w:hAnsi="仿宋" w:eastAsia="仿宋" w:cs="仿宋"/>
          <w:highlight w:val="none"/>
          <w:u w:val="single"/>
        </w:rPr>
        <w:t>（盖章）</w:t>
      </w:r>
    </w:p>
    <w:p w14:paraId="4713EDFD">
      <w:pPr>
        <w:widowControl w:val="0"/>
        <w:autoSpaceDE/>
        <w:autoSpaceDN/>
        <w:spacing w:line="520" w:lineRule="exact"/>
        <w:jc w:val="both"/>
        <w:rPr>
          <w:rFonts w:hint="eastAsia" w:ascii="仿宋" w:hAnsi="仿宋" w:eastAsia="仿宋" w:cs="仿宋"/>
          <w:highlight w:val="none"/>
          <w:lang w:eastAsia="zh-CN"/>
        </w:rPr>
      </w:pPr>
      <w:r>
        <w:rPr>
          <w:rFonts w:hint="eastAsia" w:ascii="仿宋" w:hAnsi="仿宋" w:eastAsia="仿宋" w:cs="仿宋"/>
          <w:highlight w:val="none"/>
        </w:rPr>
        <w:t>住所地：</w:t>
      </w:r>
    </w:p>
    <w:p w14:paraId="1F54ECE5">
      <w:pPr>
        <w:widowControl w:val="0"/>
        <w:autoSpaceDE/>
        <w:autoSpaceDN/>
        <w:spacing w:line="520" w:lineRule="exact"/>
        <w:jc w:val="both"/>
        <w:rPr>
          <w:rFonts w:hint="eastAsia" w:ascii="仿宋" w:hAnsi="仿宋" w:eastAsia="仿宋" w:cs="仿宋"/>
          <w:highlight w:val="none"/>
        </w:rPr>
      </w:pPr>
      <w:r>
        <w:rPr>
          <w:rFonts w:hint="eastAsia" w:ascii="仿宋" w:hAnsi="仿宋" w:eastAsia="仿宋" w:cs="仿宋"/>
          <w:highlight w:val="none"/>
        </w:rPr>
        <w:t>法定代表人/委托代理人：</w:t>
      </w:r>
      <w:r>
        <w:rPr>
          <w:rFonts w:hint="eastAsia" w:ascii="仿宋" w:hAnsi="仿宋" w:eastAsia="仿宋" w:cs="仿宋"/>
          <w:highlight w:val="none"/>
          <w:u w:val="single"/>
        </w:rPr>
        <w:t>（签名/章）</w:t>
      </w:r>
    </w:p>
    <w:p w14:paraId="59B88089">
      <w:pPr>
        <w:widowControl w:val="0"/>
        <w:autoSpaceDE/>
        <w:autoSpaceDN/>
        <w:spacing w:line="520" w:lineRule="exact"/>
        <w:jc w:val="both"/>
        <w:rPr>
          <w:rFonts w:hint="eastAsia" w:ascii="仿宋" w:hAnsi="仿宋" w:eastAsia="仿宋" w:cs="仿宋"/>
          <w:highlight w:val="none"/>
          <w:lang w:eastAsia="zh-CN"/>
        </w:rPr>
      </w:pPr>
      <w:r>
        <w:rPr>
          <w:rFonts w:hint="eastAsia" w:ascii="仿宋" w:hAnsi="仿宋" w:eastAsia="仿宋" w:cs="仿宋"/>
          <w:highlight w:val="none"/>
        </w:rPr>
        <w:t>项目联系人：</w:t>
      </w:r>
    </w:p>
    <w:p w14:paraId="43E8DF2C">
      <w:pPr>
        <w:widowControl w:val="0"/>
        <w:autoSpaceDE/>
        <w:autoSpaceDN/>
        <w:spacing w:line="520" w:lineRule="exact"/>
        <w:jc w:val="both"/>
        <w:rPr>
          <w:rFonts w:hint="eastAsia" w:ascii="仿宋" w:hAnsi="仿宋" w:eastAsia="仿宋" w:cs="仿宋"/>
          <w:highlight w:val="none"/>
          <w:u w:val="single"/>
          <w:lang w:eastAsia="zh-CN"/>
        </w:rPr>
      </w:pPr>
      <w:r>
        <w:rPr>
          <w:rFonts w:hint="eastAsia" w:ascii="仿宋" w:hAnsi="仿宋" w:eastAsia="仿宋" w:cs="仿宋"/>
          <w:highlight w:val="none"/>
        </w:rPr>
        <w:t>联系方式：</w:t>
      </w:r>
    </w:p>
    <w:p w14:paraId="54AB8C28">
      <w:pPr>
        <w:widowControl w:val="0"/>
        <w:autoSpaceDE/>
        <w:autoSpaceDN/>
        <w:spacing w:line="520" w:lineRule="exact"/>
        <w:jc w:val="both"/>
        <w:rPr>
          <w:rFonts w:hint="eastAsia" w:ascii="仿宋" w:hAnsi="仿宋" w:eastAsia="仿宋" w:cs="仿宋"/>
          <w:highlight w:val="none"/>
          <w:lang w:eastAsia="zh-CN"/>
        </w:rPr>
      </w:pPr>
      <w:r>
        <w:rPr>
          <w:rFonts w:hint="eastAsia" w:ascii="仿宋" w:hAnsi="仿宋" w:eastAsia="仿宋" w:cs="仿宋"/>
          <w:highlight w:val="none"/>
        </w:rPr>
        <w:t>通讯地址：</w:t>
      </w:r>
    </w:p>
    <w:p w14:paraId="2FED51CD">
      <w:pPr>
        <w:widowControl w:val="0"/>
        <w:autoSpaceDE/>
        <w:autoSpaceDN/>
        <w:spacing w:line="520" w:lineRule="exact"/>
        <w:jc w:val="both"/>
        <w:rPr>
          <w:rFonts w:hint="eastAsia" w:ascii="仿宋" w:hAnsi="仿宋" w:eastAsia="仿宋" w:cs="仿宋"/>
          <w:highlight w:val="none"/>
          <w:lang w:eastAsia="zh-CN"/>
        </w:rPr>
      </w:pPr>
      <w:r>
        <w:rPr>
          <w:rFonts w:hint="eastAsia" w:ascii="仿宋" w:hAnsi="仿宋" w:eastAsia="仿宋" w:cs="仿宋"/>
          <w:highlight w:val="none"/>
        </w:rPr>
        <w:t>电话：</w:t>
      </w:r>
    </w:p>
    <w:p w14:paraId="02963B05">
      <w:pPr>
        <w:widowControl w:val="0"/>
        <w:autoSpaceDE/>
        <w:autoSpaceDN/>
        <w:spacing w:line="520" w:lineRule="exact"/>
        <w:jc w:val="both"/>
        <w:rPr>
          <w:rFonts w:hint="eastAsia" w:ascii="仿宋" w:hAnsi="仿宋" w:eastAsia="仿宋" w:cs="仿宋"/>
          <w:highlight w:val="none"/>
          <w:lang w:eastAsia="zh-CN"/>
        </w:rPr>
      </w:pPr>
      <w:r>
        <w:rPr>
          <w:rFonts w:hint="eastAsia" w:ascii="仿宋" w:hAnsi="仿宋" w:eastAsia="仿宋" w:cs="仿宋"/>
          <w:highlight w:val="none"/>
        </w:rPr>
        <w:t>传真：</w:t>
      </w:r>
    </w:p>
    <w:p w14:paraId="61FB1E36">
      <w:pPr>
        <w:widowControl w:val="0"/>
        <w:autoSpaceDE/>
        <w:autoSpaceDN/>
        <w:spacing w:line="520" w:lineRule="exact"/>
        <w:jc w:val="both"/>
        <w:rPr>
          <w:rFonts w:hint="eastAsia" w:ascii="仿宋" w:hAnsi="仿宋" w:eastAsia="仿宋" w:cs="仿宋"/>
          <w:highlight w:val="none"/>
          <w:lang w:eastAsia="zh-CN"/>
        </w:rPr>
      </w:pPr>
      <w:r>
        <w:rPr>
          <w:rFonts w:hint="eastAsia" w:ascii="仿宋" w:hAnsi="仿宋" w:eastAsia="仿宋" w:cs="仿宋"/>
          <w:highlight w:val="none"/>
        </w:rPr>
        <w:t>电子信箱：</w:t>
      </w:r>
    </w:p>
    <w:p w14:paraId="2D40D559">
      <w:pPr>
        <w:widowControl w:val="0"/>
        <w:autoSpaceDE/>
        <w:autoSpaceDN/>
        <w:spacing w:line="520" w:lineRule="exact"/>
        <w:jc w:val="both"/>
        <w:rPr>
          <w:rFonts w:hint="eastAsia" w:ascii="仿宋" w:hAnsi="仿宋" w:eastAsia="仿宋" w:cs="仿宋"/>
          <w:highlight w:val="none"/>
          <w:lang w:eastAsia="zh-CN"/>
        </w:rPr>
      </w:pPr>
      <w:r>
        <w:rPr>
          <w:rFonts w:hint="eastAsia" w:ascii="仿宋" w:hAnsi="仿宋" w:eastAsia="仿宋" w:cs="仿宋"/>
          <w:highlight w:val="none"/>
        </w:rPr>
        <w:t>签订日期：</w:t>
      </w:r>
    </w:p>
    <w:p w14:paraId="1D6787FA">
      <w:pPr>
        <w:widowControl w:val="0"/>
        <w:autoSpaceDE/>
        <w:autoSpaceDN/>
        <w:spacing w:line="400" w:lineRule="exact"/>
        <w:jc w:val="both"/>
        <w:rPr>
          <w:rFonts w:hint="eastAsia" w:ascii="仿宋" w:hAnsi="仿宋" w:eastAsia="仿宋" w:cs="仿宋"/>
          <w:highlight w:val="none"/>
        </w:rPr>
      </w:pPr>
    </w:p>
    <w:p w14:paraId="05474377">
      <w:pPr>
        <w:widowControl w:val="0"/>
        <w:autoSpaceDE/>
        <w:autoSpaceDN/>
        <w:spacing w:line="400" w:lineRule="exact"/>
        <w:jc w:val="both"/>
        <w:rPr>
          <w:rFonts w:hint="eastAsia" w:ascii="仿宋" w:hAnsi="仿宋" w:eastAsia="仿宋" w:cs="仿宋"/>
          <w:highlight w:val="none"/>
        </w:rPr>
      </w:pPr>
    </w:p>
    <w:p w14:paraId="511AC8AD">
      <w:pPr>
        <w:widowControl w:val="0"/>
        <w:autoSpaceDE/>
        <w:autoSpaceDN/>
        <w:spacing w:line="400" w:lineRule="exact"/>
        <w:jc w:val="both"/>
        <w:rPr>
          <w:rFonts w:hint="eastAsia" w:ascii="仿宋" w:hAnsi="仿宋" w:eastAsia="仿宋" w:cs="仿宋"/>
          <w:highlight w:val="none"/>
        </w:rPr>
      </w:pPr>
    </w:p>
    <w:p w14:paraId="5052944B">
      <w:pPr>
        <w:widowControl w:val="0"/>
        <w:autoSpaceDE/>
        <w:autoSpaceDN/>
        <w:spacing w:line="400" w:lineRule="exact"/>
        <w:jc w:val="both"/>
        <w:rPr>
          <w:rFonts w:hint="eastAsia" w:ascii="仿宋" w:hAnsi="仿宋" w:eastAsia="仿宋" w:cs="仿宋"/>
          <w:highlight w:val="none"/>
        </w:rPr>
      </w:pPr>
    </w:p>
    <w:p w14:paraId="5512BF1D">
      <w:pPr>
        <w:widowControl w:val="0"/>
        <w:autoSpaceDE/>
        <w:autoSpaceDN/>
        <w:spacing w:line="400" w:lineRule="exact"/>
        <w:jc w:val="both"/>
        <w:rPr>
          <w:rFonts w:hint="eastAsia" w:ascii="仿宋" w:hAnsi="仿宋" w:eastAsia="仿宋" w:cs="仿宋"/>
          <w:highlight w:val="none"/>
        </w:rPr>
        <w:sectPr>
          <w:headerReference r:id="rId14" w:type="default"/>
          <w:footerReference r:id="rId15" w:type="default"/>
          <w:pgSz w:w="12070" w:h="16950"/>
          <w:pgMar w:top="1440" w:right="1544" w:bottom="1112" w:left="1810" w:header="0" w:footer="898" w:gutter="0"/>
          <w:pgNumType w:fmt="decimal"/>
          <w:cols w:space="720" w:num="1"/>
          <w:formProt w:val="0"/>
          <w:docGrid w:linePitch="312" w:charSpace="0"/>
        </w:sectPr>
      </w:pPr>
    </w:p>
    <w:p w14:paraId="721B93C9">
      <w:pPr>
        <w:autoSpaceDE/>
        <w:autoSpaceDN/>
        <w:spacing w:line="400" w:lineRule="exact"/>
        <w:jc w:val="both"/>
        <w:rPr>
          <w:rFonts w:hint="eastAsia" w:ascii="仿宋" w:hAnsi="仿宋" w:eastAsia="仿宋" w:cs="仿宋"/>
          <w:b/>
          <w:bCs/>
          <w:highlight w:val="none"/>
        </w:rPr>
      </w:pPr>
      <w:r>
        <w:rPr>
          <w:rFonts w:hint="eastAsia" w:ascii="仿宋" w:hAnsi="仿宋" w:eastAsia="仿宋" w:cs="仿宋"/>
          <w:b/>
          <w:bCs/>
          <w:highlight w:val="none"/>
          <w:lang w:eastAsia="zh-CN"/>
        </w:rPr>
        <w:t>附</w:t>
      </w:r>
      <w:r>
        <w:rPr>
          <w:rFonts w:hint="eastAsia" w:ascii="仿宋" w:hAnsi="仿宋" w:eastAsia="仿宋" w:cs="仿宋"/>
          <w:b/>
          <w:bCs/>
          <w:highlight w:val="none"/>
        </w:rPr>
        <w:t>件</w:t>
      </w:r>
      <w:r>
        <w:rPr>
          <w:rFonts w:hint="eastAsia" w:ascii="仿宋" w:hAnsi="仿宋" w:eastAsia="仿宋" w:cs="仿宋"/>
          <w:b/>
          <w:bCs/>
          <w:highlight w:val="none"/>
          <w:lang w:val="en-US" w:eastAsia="zh-CN"/>
        </w:rPr>
        <w:t>1</w:t>
      </w:r>
      <w:r>
        <w:rPr>
          <w:rFonts w:hint="eastAsia" w:ascii="仿宋" w:hAnsi="仿宋" w:eastAsia="仿宋" w:cs="仿宋"/>
          <w:b/>
          <w:bCs/>
          <w:highlight w:val="none"/>
        </w:rPr>
        <w:t>：</w:t>
      </w:r>
    </w:p>
    <w:p w14:paraId="38F70287">
      <w:pPr>
        <w:autoSpaceDE/>
        <w:autoSpaceDN/>
        <w:spacing w:line="400" w:lineRule="exact"/>
        <w:ind w:firstLine="3162" w:firstLineChars="1500"/>
        <w:jc w:val="both"/>
        <w:rPr>
          <w:rFonts w:hint="eastAsia" w:ascii="仿宋" w:hAnsi="仿宋" w:eastAsia="仿宋" w:cs="仿宋"/>
          <w:highlight w:val="none"/>
        </w:rPr>
      </w:pPr>
      <w:r>
        <w:rPr>
          <w:rFonts w:hint="eastAsia" w:ascii="仿宋" w:hAnsi="仿宋" w:eastAsia="仿宋" w:cs="仿宋"/>
          <w:b/>
          <w:bCs/>
          <w:highlight w:val="none"/>
        </w:rPr>
        <w:t>运维服务评价标准</w:t>
      </w:r>
    </w:p>
    <w:p w14:paraId="71B9C87C">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1.运维人员应当遵守甲方的有关规定，严格执行有关廉政制度、保密制度、考勤制度等工作纪律；</w:t>
      </w:r>
    </w:p>
    <w:p w14:paraId="0816D97E">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2.必须服从甲方管理，甲方安排的任务，应立即遵守执行，做到迅速响应；</w:t>
      </w:r>
    </w:p>
    <w:p w14:paraId="44AF62A1">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3.做好工作日志登记，定期将工作日志交于甲方；服务内容、服务量每周向甲方汇报，每月形成汇总报告，按年度存档。甲方对驻场运维公司工作情况进行评价，将评价结果作为付款的重要依据。</w:t>
      </w:r>
    </w:p>
    <w:p w14:paraId="61EB3174">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4.乙方应实行严密的保密措施，未经授权或批准，不准对外提供技术文件、软件代码、业务资料以及其他未经公开的数据信息等。一旦出现泄密情况，乙方应承担所有损失和责任。</w:t>
      </w:r>
    </w:p>
    <w:p w14:paraId="0CD4ED29">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5.驻场</w:t>
      </w:r>
      <w:r>
        <w:rPr>
          <w:rFonts w:hint="eastAsia" w:ascii="仿宋" w:hAnsi="仿宋" w:eastAsia="仿宋" w:cs="仿宋"/>
          <w:highlight w:val="none"/>
          <w:lang w:eastAsia="zh-CN"/>
        </w:rPr>
        <w:t>（巡检）</w:t>
      </w:r>
      <w:r>
        <w:rPr>
          <w:rFonts w:hint="eastAsia" w:ascii="仿宋" w:hAnsi="仿宋" w:eastAsia="仿宋" w:cs="仿宋"/>
          <w:highlight w:val="none"/>
        </w:rPr>
        <w:t>运维人员在办公时间，不得从事与工作无关的活动，严格遵守甲方工作纪律和工作秩序，维护甲方工作形象。</w:t>
      </w:r>
    </w:p>
    <w:p w14:paraId="5592A6A4">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6.运维</w:t>
      </w:r>
      <w:r>
        <w:rPr>
          <w:rFonts w:hint="eastAsia" w:ascii="仿宋" w:hAnsi="仿宋" w:eastAsia="仿宋" w:cs="仿宋"/>
          <w:highlight w:val="none"/>
          <w:lang w:eastAsia="zh-CN"/>
        </w:rPr>
        <w:t>（巡检）</w:t>
      </w:r>
      <w:r>
        <w:rPr>
          <w:rFonts w:hint="eastAsia" w:ascii="仿宋" w:hAnsi="仿宋" w:eastAsia="仿宋" w:cs="仿宋"/>
          <w:highlight w:val="none"/>
        </w:rPr>
        <w:t>人员在接听办公电话时应使用普通话，通话期间注意使用礼貌用语。不得与用户发生争执，如当事人不在，应代为记录并转告。</w:t>
      </w:r>
    </w:p>
    <w:p w14:paraId="2F408536">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7.乙方应保持运维</w:t>
      </w:r>
      <w:r>
        <w:rPr>
          <w:rFonts w:hint="eastAsia" w:ascii="仿宋" w:hAnsi="仿宋" w:eastAsia="仿宋" w:cs="仿宋"/>
          <w:highlight w:val="none"/>
          <w:lang w:eastAsia="zh-CN"/>
        </w:rPr>
        <w:t>（巡检）</w:t>
      </w:r>
      <w:r>
        <w:rPr>
          <w:rFonts w:hint="eastAsia" w:ascii="仿宋" w:hAnsi="仿宋" w:eastAsia="仿宋" w:cs="仿宋"/>
          <w:highlight w:val="none"/>
        </w:rPr>
        <w:t>人员固定，如因特殊原因出现人员变动时，运维公司必须事先提出书面变更申请，报甲方同意，在甲方要求时间内完成工作交接并进行保密检查后方可进行人员调整，确保运维</w:t>
      </w:r>
      <w:r>
        <w:rPr>
          <w:rFonts w:hint="eastAsia" w:ascii="仿宋" w:hAnsi="仿宋" w:eastAsia="仿宋" w:cs="仿宋"/>
          <w:highlight w:val="none"/>
          <w:lang w:eastAsia="zh-CN"/>
        </w:rPr>
        <w:t>（巡检）</w:t>
      </w:r>
      <w:r>
        <w:rPr>
          <w:rFonts w:hint="eastAsia" w:ascii="仿宋" w:hAnsi="仿宋" w:eastAsia="仿宋" w:cs="仿宋"/>
          <w:highlight w:val="none"/>
        </w:rPr>
        <w:t>服务不受影响。</w:t>
      </w:r>
    </w:p>
    <w:p w14:paraId="0CA5B911">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8.建立联络员制度。乙方应明确一名负责运维管理的固定人员与甲方联系沟通</w:t>
      </w:r>
      <w:r>
        <w:rPr>
          <w:rFonts w:hint="eastAsia" w:ascii="仿宋" w:hAnsi="仿宋" w:eastAsia="仿宋" w:cs="仿宋"/>
          <w:highlight w:val="none"/>
          <w:lang w:eastAsia="zh-CN"/>
        </w:rPr>
        <w:t>，并提出合理工作建议</w:t>
      </w:r>
      <w:r>
        <w:rPr>
          <w:rFonts w:hint="eastAsia" w:ascii="仿宋" w:hAnsi="仿宋" w:eastAsia="仿宋" w:cs="仿宋"/>
          <w:highlight w:val="none"/>
        </w:rPr>
        <w:t>。</w:t>
      </w:r>
    </w:p>
    <w:p w14:paraId="194B4808">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9.乙方应建立运维操作规范，完善相关保密规章制度，健全信息安全保密技术防护手段。</w:t>
      </w:r>
    </w:p>
    <w:p w14:paraId="61B74CC8">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10.按照《运维</w:t>
      </w:r>
      <w:r>
        <w:rPr>
          <w:rFonts w:hint="eastAsia" w:ascii="仿宋" w:hAnsi="仿宋" w:eastAsia="仿宋" w:cs="仿宋"/>
          <w:highlight w:val="none"/>
          <w:lang w:eastAsia="zh-CN"/>
        </w:rPr>
        <w:t>（维保）</w:t>
      </w:r>
      <w:r>
        <w:rPr>
          <w:rFonts w:hint="eastAsia" w:ascii="仿宋" w:hAnsi="仿宋" w:eastAsia="仿宋" w:cs="仿宋"/>
          <w:highlight w:val="none"/>
        </w:rPr>
        <w:t>服务商服务保障评价表》</w:t>
      </w:r>
      <w:r>
        <w:rPr>
          <w:rFonts w:hint="eastAsia" w:ascii="仿宋" w:hAnsi="仿宋" w:eastAsia="仿宋" w:cs="仿宋"/>
          <w:b w:val="0"/>
          <w:bCs w:val="0"/>
          <w:highlight w:val="none"/>
          <w:lang w:eastAsia="zh-CN"/>
        </w:rPr>
        <w:t>（建设</w:t>
      </w:r>
      <w:r>
        <w:rPr>
          <w:rFonts w:hint="eastAsia" w:ascii="仿宋" w:hAnsi="仿宋" w:eastAsia="仿宋" w:cs="仿宋"/>
          <w:b w:val="0"/>
          <w:bCs w:val="0"/>
          <w:highlight w:val="none"/>
          <w:lang w:val="en-US" w:eastAsia="zh-CN"/>
        </w:rPr>
        <w:t>处室根据具体项目制定</w:t>
      </w:r>
      <w:r>
        <w:rPr>
          <w:rFonts w:hint="eastAsia" w:ascii="仿宋" w:hAnsi="仿宋" w:eastAsia="仿宋" w:cs="仿宋"/>
          <w:b w:val="0"/>
          <w:bCs w:val="0"/>
          <w:highlight w:val="none"/>
          <w:lang w:eastAsia="zh-CN"/>
        </w:rPr>
        <w:t>）</w:t>
      </w:r>
      <w:r>
        <w:rPr>
          <w:rFonts w:hint="eastAsia" w:ascii="仿宋" w:hAnsi="仿宋" w:eastAsia="仿宋" w:cs="仿宋"/>
          <w:highlight w:val="none"/>
          <w:lang w:eastAsia="zh-CN"/>
        </w:rPr>
        <w:t>中的</w:t>
      </w:r>
      <w:r>
        <w:rPr>
          <w:rFonts w:hint="eastAsia" w:ascii="仿宋" w:hAnsi="仿宋" w:eastAsia="仿宋" w:cs="仿宋"/>
          <w:highlight w:val="none"/>
        </w:rPr>
        <w:t>“评分标准”进行</w:t>
      </w:r>
      <w:r>
        <w:rPr>
          <w:rFonts w:hint="eastAsia" w:ascii="仿宋" w:hAnsi="仿宋" w:eastAsia="仿宋" w:cs="仿宋"/>
          <w:highlight w:val="none"/>
          <w:lang w:eastAsia="zh-CN"/>
        </w:rPr>
        <w:t>运维服务</w:t>
      </w:r>
      <w:r>
        <w:rPr>
          <w:rFonts w:hint="eastAsia" w:ascii="仿宋" w:hAnsi="仿宋" w:eastAsia="仿宋" w:cs="仿宋"/>
          <w:highlight w:val="none"/>
        </w:rPr>
        <w:t>评价</w:t>
      </w:r>
      <w:r>
        <w:rPr>
          <w:rFonts w:hint="eastAsia" w:ascii="仿宋" w:hAnsi="仿宋" w:eastAsia="仿宋" w:cs="仿宋"/>
          <w:highlight w:val="none"/>
          <w:lang w:eastAsia="zh-CN"/>
        </w:rPr>
        <w:t>，涉及基础设施运维服务的，按照《</w:t>
      </w:r>
      <w:r>
        <w:rPr>
          <w:rFonts w:hint="eastAsia" w:ascii="仿宋" w:hAnsi="仿宋" w:eastAsia="仿宋" w:cs="仿宋"/>
          <w:highlight w:val="none"/>
        </w:rPr>
        <w:t>陕西省财政厅信息化基础设施运维服务评价表</w:t>
      </w:r>
      <w:r>
        <w:rPr>
          <w:rFonts w:hint="eastAsia" w:ascii="仿宋" w:hAnsi="仿宋" w:eastAsia="仿宋" w:cs="仿宋"/>
          <w:highlight w:val="none"/>
          <w:lang w:eastAsia="zh-CN"/>
        </w:rPr>
        <w:t>》</w:t>
      </w:r>
      <w:r>
        <w:rPr>
          <w:rFonts w:hint="eastAsia" w:ascii="仿宋" w:hAnsi="仿宋" w:eastAsia="仿宋" w:cs="仿宋"/>
          <w:highlight w:val="none"/>
        </w:rPr>
        <w:t>进行</w:t>
      </w:r>
      <w:r>
        <w:rPr>
          <w:rFonts w:hint="eastAsia" w:ascii="仿宋" w:hAnsi="仿宋" w:eastAsia="仿宋" w:cs="仿宋"/>
          <w:highlight w:val="none"/>
          <w:lang w:eastAsia="zh-CN"/>
        </w:rPr>
        <w:t>运维服务</w:t>
      </w:r>
      <w:r>
        <w:rPr>
          <w:rFonts w:hint="eastAsia" w:ascii="仿宋" w:hAnsi="仿宋" w:eastAsia="仿宋" w:cs="仿宋"/>
          <w:highlight w:val="none"/>
        </w:rPr>
        <w:t>评价</w:t>
      </w:r>
      <w:r>
        <w:rPr>
          <w:rFonts w:hint="eastAsia" w:ascii="仿宋" w:hAnsi="仿宋" w:eastAsia="仿宋" w:cs="仿宋"/>
          <w:highlight w:val="none"/>
          <w:lang w:eastAsia="zh-CN"/>
        </w:rPr>
        <w:t>，</w:t>
      </w:r>
      <w:r>
        <w:rPr>
          <w:rFonts w:hint="eastAsia" w:ascii="仿宋" w:hAnsi="仿宋" w:eastAsia="仿宋" w:cs="仿宋"/>
          <w:highlight w:val="none"/>
        </w:rPr>
        <w:t>总分为100分。</w:t>
      </w:r>
    </w:p>
    <w:p w14:paraId="777BBF93">
      <w:pPr>
        <w:autoSpaceDE/>
        <w:autoSpaceDN/>
        <w:spacing w:line="400" w:lineRule="exact"/>
        <w:ind w:firstLine="420" w:firstLineChars="200"/>
        <w:jc w:val="both"/>
        <w:rPr>
          <w:rFonts w:hint="eastAsia" w:ascii="仿宋" w:hAnsi="仿宋" w:eastAsia="仿宋" w:cs="仿宋"/>
          <w:highlight w:val="none"/>
        </w:rPr>
      </w:pPr>
    </w:p>
    <w:p w14:paraId="0A2BCE99">
      <w:pPr>
        <w:autoSpaceDE/>
        <w:autoSpaceDN/>
        <w:spacing w:line="400" w:lineRule="exact"/>
        <w:ind w:firstLine="420" w:firstLineChars="200"/>
        <w:jc w:val="both"/>
        <w:rPr>
          <w:rFonts w:hint="eastAsia" w:ascii="仿宋" w:hAnsi="仿宋" w:eastAsia="仿宋" w:cs="仿宋"/>
          <w:highlight w:val="none"/>
        </w:rPr>
      </w:pPr>
    </w:p>
    <w:p w14:paraId="3189CE6A">
      <w:pPr>
        <w:autoSpaceDE/>
        <w:autoSpaceDN/>
        <w:spacing w:line="400" w:lineRule="exact"/>
        <w:ind w:firstLine="420" w:firstLineChars="200"/>
        <w:jc w:val="both"/>
        <w:rPr>
          <w:rFonts w:hint="eastAsia" w:ascii="仿宋" w:hAnsi="仿宋" w:eastAsia="仿宋" w:cs="仿宋"/>
          <w:highlight w:val="none"/>
        </w:rPr>
      </w:pPr>
    </w:p>
    <w:p w14:paraId="46CF045C">
      <w:pPr>
        <w:autoSpaceDE/>
        <w:autoSpaceDN/>
        <w:spacing w:line="400" w:lineRule="exact"/>
        <w:ind w:firstLine="420" w:firstLineChars="200"/>
        <w:jc w:val="both"/>
        <w:rPr>
          <w:rFonts w:hint="eastAsia" w:ascii="仿宋" w:hAnsi="仿宋" w:eastAsia="仿宋" w:cs="仿宋"/>
          <w:highlight w:val="none"/>
        </w:rPr>
      </w:pPr>
    </w:p>
    <w:p w14:paraId="7F265CCD">
      <w:pPr>
        <w:autoSpaceDE/>
        <w:autoSpaceDN/>
        <w:spacing w:line="400" w:lineRule="exact"/>
        <w:ind w:firstLine="420" w:firstLineChars="200"/>
        <w:jc w:val="both"/>
        <w:rPr>
          <w:rFonts w:hint="eastAsia" w:ascii="仿宋" w:hAnsi="仿宋" w:eastAsia="仿宋" w:cs="仿宋"/>
          <w:highlight w:val="none"/>
        </w:rPr>
      </w:pPr>
    </w:p>
    <w:p w14:paraId="0F0AD4FF">
      <w:pPr>
        <w:autoSpaceDE/>
        <w:autoSpaceDN/>
        <w:spacing w:line="400" w:lineRule="exact"/>
        <w:ind w:firstLine="420" w:firstLineChars="200"/>
        <w:jc w:val="both"/>
        <w:rPr>
          <w:rFonts w:hint="eastAsia" w:ascii="仿宋" w:hAnsi="仿宋" w:eastAsia="仿宋" w:cs="仿宋"/>
          <w:highlight w:val="none"/>
        </w:rPr>
      </w:pPr>
    </w:p>
    <w:p w14:paraId="478CD625">
      <w:pPr>
        <w:autoSpaceDE/>
        <w:autoSpaceDN/>
        <w:spacing w:line="400" w:lineRule="exact"/>
        <w:ind w:firstLine="420" w:firstLineChars="200"/>
        <w:jc w:val="both"/>
        <w:rPr>
          <w:rFonts w:hint="eastAsia" w:ascii="仿宋" w:hAnsi="仿宋" w:eastAsia="仿宋" w:cs="仿宋"/>
          <w:highlight w:val="none"/>
        </w:rPr>
      </w:pPr>
    </w:p>
    <w:p w14:paraId="5364CFB9">
      <w:pPr>
        <w:autoSpaceDE/>
        <w:autoSpaceDN/>
        <w:spacing w:line="400" w:lineRule="exact"/>
        <w:ind w:firstLine="420" w:firstLineChars="200"/>
        <w:jc w:val="both"/>
        <w:rPr>
          <w:rFonts w:hint="eastAsia" w:ascii="仿宋" w:hAnsi="仿宋" w:eastAsia="仿宋" w:cs="仿宋"/>
          <w:highlight w:val="none"/>
        </w:rPr>
      </w:pPr>
    </w:p>
    <w:p w14:paraId="7219297B">
      <w:pPr>
        <w:autoSpaceDE/>
        <w:autoSpaceDN/>
        <w:spacing w:line="400" w:lineRule="exact"/>
        <w:ind w:firstLine="420" w:firstLineChars="200"/>
        <w:jc w:val="both"/>
        <w:rPr>
          <w:rFonts w:hint="eastAsia" w:ascii="仿宋" w:hAnsi="仿宋" w:eastAsia="仿宋" w:cs="仿宋"/>
          <w:highlight w:val="none"/>
        </w:rPr>
      </w:pPr>
    </w:p>
    <w:p w14:paraId="6308F85B">
      <w:pPr>
        <w:autoSpaceDE/>
        <w:autoSpaceDN/>
        <w:spacing w:line="400" w:lineRule="exact"/>
        <w:ind w:firstLine="420" w:firstLineChars="200"/>
        <w:jc w:val="both"/>
        <w:rPr>
          <w:rFonts w:hint="eastAsia" w:ascii="仿宋" w:hAnsi="仿宋" w:eastAsia="仿宋" w:cs="仿宋"/>
          <w:highlight w:val="none"/>
        </w:rPr>
      </w:pPr>
    </w:p>
    <w:p w14:paraId="2F5E12CE">
      <w:pPr>
        <w:autoSpaceDE/>
        <w:autoSpaceDN/>
        <w:spacing w:line="400" w:lineRule="exact"/>
        <w:jc w:val="both"/>
        <w:rPr>
          <w:rFonts w:hint="eastAsia" w:ascii="仿宋" w:hAnsi="仿宋" w:eastAsia="仿宋" w:cs="仿宋"/>
          <w:b/>
          <w:bCs/>
          <w:highlight w:val="none"/>
        </w:rPr>
      </w:pPr>
    </w:p>
    <w:p w14:paraId="7800CB7C">
      <w:pPr>
        <w:autoSpaceDE/>
        <w:autoSpaceDN/>
        <w:spacing w:line="400" w:lineRule="exact"/>
        <w:jc w:val="both"/>
        <w:rPr>
          <w:rFonts w:hint="eastAsia" w:ascii="仿宋" w:hAnsi="仿宋" w:eastAsia="仿宋" w:cs="仿宋"/>
          <w:b/>
          <w:bCs/>
          <w:highlight w:val="none"/>
        </w:rPr>
      </w:pPr>
    </w:p>
    <w:p w14:paraId="7C7DB206">
      <w:pPr>
        <w:autoSpaceDE/>
        <w:autoSpaceDN/>
        <w:spacing w:line="400" w:lineRule="exact"/>
        <w:jc w:val="both"/>
        <w:rPr>
          <w:rFonts w:hint="eastAsia" w:ascii="仿宋" w:hAnsi="仿宋" w:eastAsia="仿宋" w:cs="仿宋"/>
          <w:b/>
          <w:bCs/>
          <w:highlight w:val="none"/>
        </w:rPr>
      </w:pPr>
    </w:p>
    <w:p w14:paraId="53D5B7D3">
      <w:pPr>
        <w:autoSpaceDE/>
        <w:autoSpaceDN/>
        <w:spacing w:line="400" w:lineRule="exact"/>
        <w:jc w:val="both"/>
        <w:rPr>
          <w:rFonts w:hint="eastAsia" w:ascii="仿宋" w:hAnsi="仿宋" w:eastAsia="仿宋" w:cs="仿宋"/>
          <w:b/>
          <w:bCs/>
          <w:highlight w:val="none"/>
        </w:rPr>
      </w:pPr>
      <w:r>
        <w:rPr>
          <w:rFonts w:hint="eastAsia" w:ascii="仿宋" w:hAnsi="仿宋" w:eastAsia="仿宋" w:cs="仿宋"/>
          <w:b/>
          <w:bCs/>
          <w:highlight w:val="none"/>
        </w:rPr>
        <w:t>附件</w:t>
      </w:r>
      <w:r>
        <w:rPr>
          <w:rFonts w:hint="eastAsia" w:ascii="仿宋" w:hAnsi="仿宋" w:eastAsia="仿宋" w:cs="仿宋"/>
          <w:b/>
          <w:bCs/>
          <w:highlight w:val="none"/>
          <w:lang w:val="en-US" w:eastAsia="zh-CN"/>
        </w:rPr>
        <w:t>2</w:t>
      </w:r>
      <w:r>
        <w:rPr>
          <w:rFonts w:hint="eastAsia" w:ascii="仿宋" w:hAnsi="仿宋" w:eastAsia="仿宋" w:cs="仿宋"/>
          <w:b/>
          <w:bCs/>
          <w:highlight w:val="none"/>
        </w:rPr>
        <w:t>：</w:t>
      </w:r>
    </w:p>
    <w:p w14:paraId="44CEA4A8">
      <w:pPr>
        <w:autoSpaceDE/>
        <w:autoSpaceDN/>
        <w:spacing w:line="400" w:lineRule="exact"/>
        <w:ind w:firstLine="3373" w:firstLineChars="1600"/>
        <w:jc w:val="both"/>
        <w:rPr>
          <w:rFonts w:hint="eastAsia" w:ascii="仿宋" w:hAnsi="仿宋" w:eastAsia="仿宋" w:cs="仿宋"/>
          <w:b/>
          <w:bCs/>
          <w:highlight w:val="none"/>
        </w:rPr>
      </w:pPr>
      <w:r>
        <w:rPr>
          <w:rFonts w:hint="eastAsia" w:ascii="仿宋" w:hAnsi="仿宋" w:eastAsia="仿宋" w:cs="仿宋"/>
          <w:b/>
          <w:bCs/>
          <w:highlight w:val="none"/>
        </w:rPr>
        <w:t>乙方团队人员清单</w:t>
      </w:r>
    </w:p>
    <w:tbl>
      <w:tblPr>
        <w:tblStyle w:val="17"/>
        <w:tblW w:w="9639"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851"/>
        <w:gridCol w:w="709"/>
        <w:gridCol w:w="2409"/>
        <w:gridCol w:w="851"/>
        <w:gridCol w:w="1220"/>
        <w:gridCol w:w="1480"/>
        <w:gridCol w:w="1552"/>
      </w:tblGrid>
      <w:tr w14:paraId="6A30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67" w:type="dxa"/>
          </w:tcPr>
          <w:p w14:paraId="47549C7A">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rPr>
            </w:pPr>
            <w:r>
              <w:rPr>
                <w:rFonts w:hint="eastAsia" w:ascii="仿宋" w:hAnsi="仿宋" w:eastAsia="仿宋" w:cs="仿宋"/>
                <w:b/>
                <w:spacing w:val="13"/>
                <w:kern w:val="2"/>
                <w:sz w:val="18"/>
                <w:szCs w:val="18"/>
                <w:highlight w:val="none"/>
              </w:rPr>
              <w:t>序号</w:t>
            </w:r>
          </w:p>
        </w:tc>
        <w:tc>
          <w:tcPr>
            <w:tcW w:w="851" w:type="dxa"/>
            <w:vAlign w:val="center"/>
          </w:tcPr>
          <w:p w14:paraId="097B96E1">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rPr>
            </w:pPr>
            <w:r>
              <w:rPr>
                <w:rFonts w:hint="eastAsia" w:ascii="仿宋" w:hAnsi="仿宋" w:eastAsia="仿宋" w:cs="仿宋"/>
                <w:b/>
                <w:spacing w:val="13"/>
                <w:kern w:val="2"/>
                <w:sz w:val="18"/>
                <w:szCs w:val="18"/>
                <w:highlight w:val="none"/>
              </w:rPr>
              <w:t>姓名</w:t>
            </w:r>
          </w:p>
        </w:tc>
        <w:tc>
          <w:tcPr>
            <w:tcW w:w="709" w:type="dxa"/>
            <w:vAlign w:val="center"/>
          </w:tcPr>
          <w:p w14:paraId="1AB870A9">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rPr>
            </w:pPr>
            <w:r>
              <w:rPr>
                <w:rFonts w:hint="eastAsia" w:ascii="仿宋" w:hAnsi="仿宋" w:eastAsia="仿宋" w:cs="仿宋"/>
                <w:b/>
                <w:spacing w:val="13"/>
                <w:kern w:val="2"/>
                <w:sz w:val="18"/>
                <w:szCs w:val="18"/>
                <w:highlight w:val="none"/>
              </w:rPr>
              <w:t>性别</w:t>
            </w:r>
          </w:p>
        </w:tc>
        <w:tc>
          <w:tcPr>
            <w:tcW w:w="2409" w:type="dxa"/>
            <w:vAlign w:val="center"/>
          </w:tcPr>
          <w:p w14:paraId="247354C7">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rPr>
            </w:pPr>
            <w:r>
              <w:rPr>
                <w:rFonts w:hint="eastAsia" w:ascii="仿宋" w:hAnsi="仿宋" w:eastAsia="仿宋" w:cs="仿宋"/>
                <w:b/>
                <w:spacing w:val="13"/>
                <w:kern w:val="2"/>
                <w:sz w:val="18"/>
                <w:szCs w:val="18"/>
                <w:highlight w:val="none"/>
              </w:rPr>
              <w:t>身份证号</w:t>
            </w:r>
          </w:p>
        </w:tc>
        <w:tc>
          <w:tcPr>
            <w:tcW w:w="851" w:type="dxa"/>
            <w:vAlign w:val="center"/>
          </w:tcPr>
          <w:p w14:paraId="218347B7">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rPr>
            </w:pPr>
            <w:r>
              <w:rPr>
                <w:rFonts w:hint="eastAsia" w:ascii="仿宋" w:hAnsi="仿宋" w:eastAsia="仿宋" w:cs="仿宋"/>
                <w:b/>
                <w:spacing w:val="13"/>
                <w:kern w:val="2"/>
                <w:sz w:val="18"/>
                <w:szCs w:val="18"/>
                <w:highlight w:val="none"/>
              </w:rPr>
              <w:t>学历</w:t>
            </w:r>
          </w:p>
        </w:tc>
        <w:tc>
          <w:tcPr>
            <w:tcW w:w="1220" w:type="dxa"/>
            <w:vAlign w:val="center"/>
          </w:tcPr>
          <w:p w14:paraId="47D86AB8">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rPr>
            </w:pPr>
            <w:r>
              <w:rPr>
                <w:rFonts w:hint="eastAsia" w:ascii="仿宋" w:hAnsi="仿宋" w:eastAsia="仿宋" w:cs="仿宋"/>
                <w:b/>
                <w:spacing w:val="13"/>
                <w:kern w:val="2"/>
                <w:sz w:val="18"/>
                <w:szCs w:val="18"/>
                <w:highlight w:val="none"/>
              </w:rPr>
              <w:t>职称</w:t>
            </w:r>
          </w:p>
        </w:tc>
        <w:tc>
          <w:tcPr>
            <w:tcW w:w="1480" w:type="dxa"/>
            <w:vAlign w:val="center"/>
          </w:tcPr>
          <w:p w14:paraId="39462461">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rPr>
            </w:pPr>
            <w:r>
              <w:rPr>
                <w:rFonts w:hint="eastAsia" w:ascii="仿宋" w:hAnsi="仿宋" w:eastAsia="仿宋" w:cs="仿宋"/>
                <w:b/>
                <w:spacing w:val="13"/>
                <w:kern w:val="2"/>
                <w:sz w:val="18"/>
                <w:szCs w:val="18"/>
                <w:highlight w:val="none"/>
              </w:rPr>
              <w:t>同类工作年限</w:t>
            </w:r>
          </w:p>
        </w:tc>
        <w:tc>
          <w:tcPr>
            <w:tcW w:w="1552" w:type="dxa"/>
            <w:vAlign w:val="center"/>
          </w:tcPr>
          <w:p w14:paraId="14C8A2C4">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rPr>
            </w:pPr>
            <w:r>
              <w:rPr>
                <w:rFonts w:hint="eastAsia" w:ascii="仿宋" w:hAnsi="仿宋" w:eastAsia="仿宋" w:cs="仿宋"/>
                <w:b/>
                <w:spacing w:val="13"/>
                <w:kern w:val="2"/>
                <w:sz w:val="18"/>
                <w:szCs w:val="18"/>
                <w:highlight w:val="none"/>
              </w:rPr>
              <w:t>职务</w:t>
            </w:r>
          </w:p>
        </w:tc>
      </w:tr>
      <w:tr w14:paraId="214AF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3456C07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4D46909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C99E17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3740B85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46E9C7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DC07BF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B2D7666">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17B5C8F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22BD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0A7B7C4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232978A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8BCE71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730FC50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6CF44A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2E5E62A6">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29E8D35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0F3DA1E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2CF99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109A3FA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1FDFBAC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332E3B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599B1A8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6C7FD0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B39071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6F3F855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549617A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1D9E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68F6B79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21E72A6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E0E722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449B947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28039E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12430D3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4494AED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899B886">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3CD6F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7D9AB6E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4F4C264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EE6553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5306CB1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926104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53FF9F3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71181D2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64CE33F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34A48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639" w:type="dxa"/>
            <w:gridSpan w:val="8"/>
            <w:tcBorders>
              <w:right w:val="single" w:color="000000" w:sz="4" w:space="0"/>
            </w:tcBorders>
          </w:tcPr>
          <w:p w14:paraId="486CEAC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r>
              <w:rPr>
                <w:rFonts w:hint="eastAsia" w:ascii="仿宋" w:hAnsi="仿宋" w:eastAsia="仿宋" w:cs="仿宋"/>
                <w:spacing w:val="1"/>
                <w:kern w:val="2"/>
                <w:sz w:val="18"/>
                <w:szCs w:val="18"/>
                <w:highlight w:val="none"/>
              </w:rPr>
              <w:t>项目主要人员简历(毕业院校、曾任职、专长、承担同类项目历史情况)</w:t>
            </w:r>
          </w:p>
        </w:tc>
      </w:tr>
    </w:tbl>
    <w:p w14:paraId="0EE3A9D8">
      <w:pPr>
        <w:autoSpaceDE/>
        <w:autoSpaceDN/>
        <w:spacing w:line="400" w:lineRule="exact"/>
        <w:rPr>
          <w:rFonts w:hint="eastAsia" w:ascii="仿宋" w:hAnsi="仿宋" w:eastAsia="仿宋" w:cs="仿宋"/>
          <w:highlight w:val="none"/>
        </w:rPr>
      </w:pPr>
    </w:p>
    <w:tbl>
      <w:tblPr>
        <w:tblStyle w:val="17"/>
        <w:tblpPr w:leftFromText="180" w:rightFromText="180" w:vertAnchor="text" w:horzAnchor="page" w:tblpX="1275" w:tblpY="389"/>
        <w:tblOverlap w:val="never"/>
        <w:tblW w:w="9621" w:type="dxa"/>
        <w:tblInd w:w="0" w:type="dxa"/>
        <w:tblLayout w:type="fixed"/>
        <w:tblCellMar>
          <w:top w:w="96" w:type="dxa"/>
          <w:left w:w="24" w:type="dxa"/>
          <w:bottom w:w="0" w:type="dxa"/>
          <w:right w:w="5" w:type="dxa"/>
        </w:tblCellMar>
      </w:tblPr>
      <w:tblGrid>
        <w:gridCol w:w="2212"/>
        <w:gridCol w:w="1560"/>
        <w:gridCol w:w="992"/>
        <w:gridCol w:w="1559"/>
        <w:gridCol w:w="1701"/>
        <w:gridCol w:w="1597"/>
      </w:tblGrid>
      <w:tr w14:paraId="3D97EDF2">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45A952E2">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姓名</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5B63A2E8">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75B9">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rPr>
            </w:pPr>
            <w:r>
              <w:rPr>
                <w:rFonts w:hint="eastAsia" w:ascii="仿宋" w:hAnsi="仿宋" w:eastAsia="仿宋" w:cs="仿宋"/>
                <w:b/>
                <w:spacing w:val="13"/>
                <w:kern w:val="2"/>
                <w:sz w:val="18"/>
                <w:szCs w:val="18"/>
                <w:highlight w:val="none"/>
              </w:rPr>
              <w:t>年龄</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A0F1">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r>
      <w:tr w14:paraId="4E9C2C43">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43486D72">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毕业院校</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080B86D9">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933359B">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专业</w:t>
            </w:r>
          </w:p>
        </w:tc>
        <w:tc>
          <w:tcPr>
            <w:tcW w:w="1597" w:type="dxa"/>
            <w:tcBorders>
              <w:top w:val="single" w:color="000000" w:sz="4" w:space="0"/>
              <w:left w:val="single" w:color="000000" w:sz="4" w:space="0"/>
              <w:bottom w:val="single" w:color="000000" w:sz="4" w:space="0"/>
              <w:right w:val="single" w:color="000000" w:sz="4" w:space="0"/>
            </w:tcBorders>
            <w:vAlign w:val="center"/>
          </w:tcPr>
          <w:p w14:paraId="7ECC62FF">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r>
      <w:tr w14:paraId="5C38BD21">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35CB47FE">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学位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7EB13D2D">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4F20593">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职称</w:t>
            </w:r>
          </w:p>
        </w:tc>
        <w:tc>
          <w:tcPr>
            <w:tcW w:w="1559" w:type="dxa"/>
            <w:tcBorders>
              <w:top w:val="single" w:color="000000" w:sz="4" w:space="0"/>
              <w:left w:val="single" w:color="000000" w:sz="4" w:space="0"/>
              <w:bottom w:val="single" w:color="000000" w:sz="4" w:space="0"/>
              <w:right w:val="single" w:color="000000" w:sz="4" w:space="0"/>
            </w:tcBorders>
            <w:vAlign w:val="center"/>
          </w:tcPr>
          <w:p w14:paraId="6B16E14B">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CEC0512">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职务</w:t>
            </w:r>
          </w:p>
        </w:tc>
        <w:tc>
          <w:tcPr>
            <w:tcW w:w="1597" w:type="dxa"/>
            <w:tcBorders>
              <w:top w:val="single" w:color="000000" w:sz="4" w:space="0"/>
              <w:left w:val="single" w:color="000000" w:sz="4" w:space="0"/>
              <w:bottom w:val="single" w:color="000000" w:sz="4" w:space="0"/>
              <w:right w:val="single" w:color="000000" w:sz="4" w:space="0"/>
            </w:tcBorders>
            <w:vAlign w:val="center"/>
          </w:tcPr>
          <w:p w14:paraId="6E74F9A5">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lang w:eastAsia="zh-CN"/>
              </w:rPr>
            </w:pPr>
          </w:p>
        </w:tc>
      </w:tr>
      <w:tr w14:paraId="10A9BB5C">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0A55322D">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现所在机构或部门</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38F30E30">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lang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10A9FFA">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服务时间</w:t>
            </w:r>
          </w:p>
        </w:tc>
        <w:tc>
          <w:tcPr>
            <w:tcW w:w="1597" w:type="dxa"/>
            <w:tcBorders>
              <w:top w:val="single" w:color="000000" w:sz="4" w:space="0"/>
              <w:left w:val="single" w:color="000000" w:sz="4" w:space="0"/>
              <w:bottom w:val="single" w:color="000000" w:sz="4" w:space="0"/>
              <w:right w:val="single" w:color="000000" w:sz="4" w:space="0"/>
            </w:tcBorders>
            <w:vAlign w:val="center"/>
          </w:tcPr>
          <w:p w14:paraId="711BB3B2">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lang w:eastAsia="zh-CN"/>
              </w:rPr>
            </w:pPr>
          </w:p>
        </w:tc>
      </w:tr>
      <w:tr w14:paraId="690E55E9">
        <w:tblPrEx>
          <w:tblCellMar>
            <w:top w:w="96" w:type="dxa"/>
            <w:left w:w="24" w:type="dxa"/>
            <w:bottom w:w="0" w:type="dxa"/>
            <w:right w:w="5" w:type="dxa"/>
          </w:tblCellMar>
        </w:tblPrEx>
        <w:trPr>
          <w:trHeight w:val="567" w:hRule="exact"/>
        </w:trPr>
        <w:tc>
          <w:tcPr>
            <w:tcW w:w="9621" w:type="dxa"/>
            <w:gridSpan w:val="6"/>
            <w:tcBorders>
              <w:top w:val="single" w:color="000000" w:sz="4" w:space="0"/>
              <w:left w:val="single" w:color="000000" w:sz="4" w:space="0"/>
              <w:bottom w:val="single" w:color="000000" w:sz="4" w:space="0"/>
              <w:right w:val="single" w:color="000000" w:sz="4" w:space="0"/>
            </w:tcBorders>
            <w:vAlign w:val="center"/>
          </w:tcPr>
          <w:p w14:paraId="5AFEF90E">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主要经历</w:t>
            </w:r>
          </w:p>
        </w:tc>
      </w:tr>
      <w:tr w14:paraId="2E9B476B">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auto" w:sz="4" w:space="0"/>
              <w:right w:val="single" w:color="000000" w:sz="4" w:space="0"/>
            </w:tcBorders>
            <w:vAlign w:val="center"/>
          </w:tcPr>
          <w:p w14:paraId="2D130A51">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日期</w:t>
            </w:r>
          </w:p>
        </w:tc>
        <w:tc>
          <w:tcPr>
            <w:tcW w:w="4111" w:type="dxa"/>
            <w:gridSpan w:val="3"/>
            <w:tcBorders>
              <w:top w:val="single" w:color="000000" w:sz="4" w:space="0"/>
              <w:left w:val="single" w:color="000000" w:sz="4" w:space="0"/>
              <w:bottom w:val="single" w:color="auto" w:sz="4" w:space="0"/>
              <w:right w:val="single" w:color="000000" w:sz="4" w:space="0"/>
            </w:tcBorders>
            <w:vAlign w:val="center"/>
          </w:tcPr>
          <w:p w14:paraId="720175E5">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参加过的项目名称</w:t>
            </w:r>
          </w:p>
        </w:tc>
        <w:tc>
          <w:tcPr>
            <w:tcW w:w="1701" w:type="dxa"/>
            <w:tcBorders>
              <w:top w:val="single" w:color="000000" w:sz="4" w:space="0"/>
              <w:left w:val="single" w:color="000000" w:sz="4" w:space="0"/>
              <w:bottom w:val="single" w:color="auto" w:sz="4" w:space="0"/>
              <w:right w:val="single" w:color="000000" w:sz="4" w:space="0"/>
            </w:tcBorders>
            <w:vAlign w:val="center"/>
          </w:tcPr>
          <w:p w14:paraId="2AD613BD">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担任何职</w:t>
            </w:r>
          </w:p>
        </w:tc>
        <w:tc>
          <w:tcPr>
            <w:tcW w:w="1597" w:type="dxa"/>
            <w:tcBorders>
              <w:top w:val="single" w:color="000000" w:sz="4" w:space="0"/>
              <w:left w:val="single" w:color="000000" w:sz="4" w:space="0"/>
              <w:bottom w:val="single" w:color="auto" w:sz="4" w:space="0"/>
              <w:right w:val="single" w:color="000000" w:sz="4" w:space="0"/>
            </w:tcBorders>
            <w:vAlign w:val="center"/>
          </w:tcPr>
          <w:p w14:paraId="26E7A3EB">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spacing w:val="13"/>
                <w:kern w:val="2"/>
                <w:sz w:val="18"/>
                <w:szCs w:val="18"/>
                <w:highlight w:val="none"/>
                <w:lang w:eastAsia="zh-CN"/>
              </w:rPr>
            </w:pPr>
            <w:r>
              <w:rPr>
                <w:rFonts w:hint="eastAsia" w:ascii="仿宋" w:hAnsi="仿宋" w:eastAsia="仿宋" w:cs="仿宋"/>
                <w:b/>
                <w:spacing w:val="13"/>
                <w:kern w:val="2"/>
                <w:sz w:val="18"/>
                <w:szCs w:val="18"/>
                <w:highlight w:val="none"/>
              </w:rPr>
              <w:t>备注</w:t>
            </w:r>
          </w:p>
        </w:tc>
      </w:tr>
      <w:tr w14:paraId="15F17AC9">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5BD3A8D6">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0CA9B094">
            <w:pPr>
              <w:pStyle w:val="21"/>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FF3DAA6">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197F93CF">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r>
      <w:tr w14:paraId="03E9F902">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1551C7EA">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19142AC7">
            <w:pPr>
              <w:pStyle w:val="21"/>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EB67D4D">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2CBBF8CA">
            <w:pPr>
              <w:pStyle w:val="21"/>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spacing w:val="13"/>
                <w:kern w:val="2"/>
                <w:sz w:val="18"/>
                <w:szCs w:val="18"/>
                <w:highlight w:val="none"/>
              </w:rPr>
            </w:pPr>
          </w:p>
        </w:tc>
      </w:tr>
    </w:tbl>
    <w:p w14:paraId="55BBDC84">
      <w:pPr>
        <w:autoSpaceDE/>
        <w:autoSpaceDN/>
        <w:spacing w:line="400" w:lineRule="exact"/>
        <w:rPr>
          <w:rFonts w:hint="eastAsia" w:ascii="仿宋" w:hAnsi="仿宋" w:eastAsia="仿宋" w:cs="仿宋"/>
          <w:highlight w:val="none"/>
        </w:rPr>
      </w:pPr>
    </w:p>
    <w:p w14:paraId="3AB21196">
      <w:pPr>
        <w:autoSpaceDE/>
        <w:autoSpaceDN/>
        <w:spacing w:line="400" w:lineRule="exact"/>
        <w:rPr>
          <w:rFonts w:hint="eastAsia" w:ascii="仿宋" w:hAnsi="仿宋" w:eastAsia="仿宋" w:cs="仿宋"/>
          <w:b/>
          <w:bCs/>
          <w:highlight w:val="none"/>
        </w:rPr>
      </w:pPr>
    </w:p>
    <w:p w14:paraId="7A749C5C">
      <w:pPr>
        <w:autoSpaceDE/>
        <w:autoSpaceDN/>
        <w:spacing w:line="400" w:lineRule="exact"/>
        <w:rPr>
          <w:rFonts w:hint="eastAsia" w:ascii="仿宋" w:hAnsi="仿宋" w:eastAsia="仿宋" w:cs="仿宋"/>
          <w:b/>
          <w:bCs/>
          <w:highlight w:val="none"/>
        </w:rPr>
      </w:pPr>
    </w:p>
    <w:p w14:paraId="038CC3EC">
      <w:pPr>
        <w:autoSpaceDE/>
        <w:autoSpaceDN/>
        <w:spacing w:line="400" w:lineRule="exact"/>
        <w:rPr>
          <w:rFonts w:hint="eastAsia" w:ascii="仿宋" w:hAnsi="仿宋" w:eastAsia="仿宋" w:cs="仿宋"/>
          <w:b/>
          <w:bCs/>
          <w:highlight w:val="none"/>
        </w:rPr>
      </w:pPr>
    </w:p>
    <w:p w14:paraId="5C171F86">
      <w:pPr>
        <w:autoSpaceDE/>
        <w:autoSpaceDN/>
        <w:spacing w:line="400" w:lineRule="exact"/>
        <w:rPr>
          <w:rFonts w:hint="eastAsia" w:ascii="仿宋" w:hAnsi="仿宋" w:eastAsia="仿宋" w:cs="仿宋"/>
          <w:b/>
          <w:bCs/>
          <w:highlight w:val="none"/>
        </w:rPr>
      </w:pPr>
    </w:p>
    <w:p w14:paraId="085D2D72">
      <w:pPr>
        <w:autoSpaceDE/>
        <w:autoSpaceDN/>
        <w:spacing w:line="400" w:lineRule="exact"/>
        <w:rPr>
          <w:rFonts w:hint="eastAsia" w:ascii="仿宋" w:hAnsi="仿宋" w:eastAsia="仿宋" w:cs="仿宋"/>
          <w:b/>
          <w:bCs/>
          <w:highlight w:val="none"/>
        </w:rPr>
      </w:pPr>
    </w:p>
    <w:p w14:paraId="5CEAD004">
      <w:pPr>
        <w:autoSpaceDE/>
        <w:autoSpaceDN/>
        <w:spacing w:line="400" w:lineRule="exact"/>
        <w:rPr>
          <w:rFonts w:hint="eastAsia" w:ascii="仿宋" w:hAnsi="仿宋" w:eastAsia="仿宋" w:cs="仿宋"/>
          <w:b/>
          <w:bCs/>
          <w:highlight w:val="none"/>
        </w:rPr>
      </w:pPr>
    </w:p>
    <w:p w14:paraId="361043F0">
      <w:pPr>
        <w:autoSpaceDE/>
        <w:autoSpaceDN/>
        <w:spacing w:line="400" w:lineRule="exact"/>
        <w:rPr>
          <w:rFonts w:hint="eastAsia" w:ascii="仿宋" w:hAnsi="仿宋" w:eastAsia="仿宋" w:cs="仿宋"/>
          <w:b/>
          <w:bCs/>
          <w:highlight w:val="none"/>
        </w:rPr>
      </w:pPr>
    </w:p>
    <w:p w14:paraId="59A43F2F">
      <w:pPr>
        <w:autoSpaceDE/>
        <w:autoSpaceDN/>
        <w:spacing w:line="400" w:lineRule="exact"/>
        <w:rPr>
          <w:rFonts w:hint="eastAsia" w:ascii="仿宋" w:hAnsi="仿宋" w:eastAsia="仿宋" w:cs="仿宋"/>
          <w:b/>
          <w:bCs/>
          <w:highlight w:val="none"/>
        </w:rPr>
      </w:pPr>
    </w:p>
    <w:p w14:paraId="43F54996">
      <w:pPr>
        <w:autoSpaceDE/>
        <w:autoSpaceDN/>
        <w:spacing w:line="400" w:lineRule="exact"/>
        <w:rPr>
          <w:rFonts w:hint="eastAsia" w:ascii="仿宋" w:hAnsi="仿宋" w:eastAsia="仿宋" w:cs="仿宋"/>
          <w:b/>
          <w:bCs/>
          <w:highlight w:val="none"/>
        </w:rPr>
      </w:pPr>
    </w:p>
    <w:p w14:paraId="2F29EA57">
      <w:pPr>
        <w:autoSpaceDE/>
        <w:autoSpaceDN/>
        <w:spacing w:line="400" w:lineRule="exact"/>
        <w:rPr>
          <w:rFonts w:hint="eastAsia" w:ascii="仿宋" w:hAnsi="仿宋" w:eastAsia="仿宋" w:cs="仿宋"/>
          <w:b/>
          <w:bCs/>
          <w:sz w:val="18"/>
          <w:szCs w:val="18"/>
          <w:highlight w:val="none"/>
        </w:rPr>
      </w:pPr>
    </w:p>
    <w:p w14:paraId="7B79ED3F">
      <w:pPr>
        <w:autoSpaceDE/>
        <w:autoSpaceDN/>
        <w:spacing w:line="400" w:lineRule="exact"/>
        <w:rPr>
          <w:rFonts w:hint="eastAsia" w:ascii="仿宋" w:hAnsi="仿宋" w:eastAsia="仿宋" w:cs="仿宋"/>
          <w:b/>
          <w:bCs/>
          <w:sz w:val="18"/>
          <w:szCs w:val="18"/>
          <w:highlight w:val="none"/>
        </w:rPr>
      </w:pPr>
    </w:p>
    <w:p w14:paraId="6299855E">
      <w:pPr>
        <w:pStyle w:val="2"/>
        <w:autoSpaceDE/>
        <w:autoSpaceDN/>
        <w:spacing w:line="400" w:lineRule="exact"/>
        <w:jc w:val="both"/>
        <w:rPr>
          <w:rFonts w:hint="eastAsia" w:ascii="仿宋" w:hAnsi="仿宋" w:eastAsia="仿宋" w:cs="仿宋"/>
          <w:b/>
          <w:bCs/>
          <w:spacing w:val="-5"/>
          <w:sz w:val="21"/>
          <w:szCs w:val="21"/>
          <w:highlight w:val="none"/>
        </w:rPr>
      </w:pPr>
    </w:p>
    <w:p w14:paraId="73E38716">
      <w:pPr>
        <w:pStyle w:val="2"/>
        <w:autoSpaceDE/>
        <w:autoSpaceDN/>
        <w:spacing w:line="400" w:lineRule="exact"/>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附件</w:t>
      </w:r>
      <w:r>
        <w:rPr>
          <w:rFonts w:hint="eastAsia" w:ascii="仿宋" w:hAnsi="仿宋" w:eastAsia="仿宋" w:cs="仿宋"/>
          <w:b/>
          <w:bCs/>
          <w:color w:val="auto"/>
          <w:spacing w:val="-5"/>
          <w:sz w:val="21"/>
          <w:szCs w:val="21"/>
          <w:highlight w:val="none"/>
          <w:lang w:val="en-US" w:eastAsia="zh-CN"/>
        </w:rPr>
        <w:t>3</w:t>
      </w:r>
      <w:r>
        <w:rPr>
          <w:rFonts w:hint="eastAsia" w:ascii="仿宋" w:hAnsi="仿宋" w:eastAsia="仿宋" w:cs="仿宋"/>
          <w:b/>
          <w:bCs/>
          <w:color w:val="auto"/>
          <w:spacing w:val="-5"/>
          <w:sz w:val="21"/>
          <w:szCs w:val="21"/>
          <w:highlight w:val="none"/>
        </w:rPr>
        <w:t>：</w:t>
      </w:r>
    </w:p>
    <w:p w14:paraId="599D0CB3">
      <w:pPr>
        <w:pStyle w:val="2"/>
        <w:autoSpaceDE/>
        <w:autoSpaceDN/>
        <w:spacing w:line="400" w:lineRule="exact"/>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保密承诺书</w:t>
      </w:r>
    </w:p>
    <w:p w14:paraId="15EA2D48">
      <w:pPr>
        <w:pStyle w:val="7"/>
        <w:rPr>
          <w:rFonts w:hint="eastAsia" w:ascii="仿宋" w:hAnsi="仿宋" w:eastAsia="仿宋" w:cs="仿宋"/>
          <w:color w:val="auto"/>
          <w:highlight w:val="none"/>
        </w:rPr>
      </w:pPr>
    </w:p>
    <w:p w14:paraId="2BF0C7E0">
      <w:pPr>
        <w:autoSpaceDE/>
        <w:autoSpaceDN/>
        <w:spacing w:line="400" w:lineRule="exact"/>
        <w:ind w:firstLine="420" w:firstLineChars="200"/>
        <w:jc w:val="both"/>
        <w:rPr>
          <w:rFonts w:hint="eastAsia" w:ascii="仿宋" w:hAnsi="仿宋" w:eastAsia="仿宋" w:cs="仿宋"/>
          <w:color w:val="auto"/>
          <w:highlight w:val="none"/>
          <w:u w:val="single"/>
          <w:lang w:eastAsia="zh-CN"/>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陕西省财政厅</w:t>
      </w:r>
    </w:p>
    <w:p w14:paraId="12B1B68F">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为保护合作方甲方的合法利益，保证合作双方实现顺利合作，避免因信息泄露而给甲方造成损失，本项目的服务方以及参与本项目的所有员工承诺遵守本保密协议内容。</w:t>
      </w:r>
    </w:p>
    <w:p w14:paraId="5F73D87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一、保密信息定义</w:t>
      </w:r>
    </w:p>
    <w:p w14:paraId="76DDA468">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协议所称的“保密信息”是指所有涉密信息、商业秘密、技术秘密、通信或与该项目相关的其他信息，无论是书面的、口头的、图形的、电磁的或其它任何形式的信息，包括（但不限于）数据、用户名、口令、产品、文件、规划、方案、技术、方法、仪器设备和其它信息及文档等，上述信息在本项目以如下形式确定：</w:t>
      </w:r>
    </w:p>
    <w:p w14:paraId="48536EF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1.甲方在项目实施中为乙方及乙方工作人员提供必要的数据、程序、用户名、口令和资料等；</w:t>
      </w:r>
    </w:p>
    <w:p w14:paraId="0D8ABD58">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2.在对甲方提供服务工作中涉及的业务及技术文档，包括政策、方案设计细节、程序文件、数据结构，以及相关业务系统的硬软件、文档，测试和测试产生的数据等；</w:t>
      </w:r>
    </w:p>
    <w:p w14:paraId="3BFA1E35">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3.服务过程中产生的所有成果为保密的内容；</w:t>
      </w:r>
    </w:p>
    <w:p w14:paraId="10A91B01">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color w:val="auto"/>
          <w:highlight w:val="none"/>
        </w:rPr>
        <w:t>4.其他甲方合理认为并申明属于保密信息的内容</w:t>
      </w:r>
      <w:r>
        <w:rPr>
          <w:rFonts w:hint="eastAsia" w:ascii="仿宋" w:hAnsi="仿宋" w:eastAsia="仿宋" w:cs="仿宋"/>
          <w:highlight w:val="none"/>
        </w:rPr>
        <w:t>。</w:t>
      </w:r>
    </w:p>
    <w:p w14:paraId="7460D2D6">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二、保密要求</w:t>
      </w:r>
    </w:p>
    <w:p w14:paraId="2331EC64">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我公司在国家相关法律法规、规章政策所规定的前提下，全力限制“保密信息”的使用范围以利保密防范，并仅用于为甲方提供服务。在未经甲方书面形式授权下，我公司不会直接或间接使用“项目资料”的利益或目的性的任何专有信息，亦不会把任何专用信息披露给他人，我公司的所有员工均有义务受约束，并负有保密的义务。</w:t>
      </w:r>
    </w:p>
    <w:p w14:paraId="6A1EF531">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1.承诺人始终对保密资料保密，不在项目之外使用甲方提供的保密信息及因履行本项目而掌握的保密信息。</w:t>
      </w:r>
    </w:p>
    <w:p w14:paraId="3160BF1A">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2.未经甲方书面同意，不向任何第三方提供保密信息以及可以接触上述保密信息的手段，包括在公开场合展览，公开对外宣传，作为文章、讯息、参考数据发表等。</w:t>
      </w:r>
    </w:p>
    <w:p w14:paraId="5BB87555">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3.只向项目相关人员（包括各自的领导、同事和雇员等）为商讨合作项目而有需要知悉</w:t>
      </w:r>
    </w:p>
    <w:p w14:paraId="6D95630B">
      <w:pPr>
        <w:autoSpaceDE/>
        <w:autoSpaceDN/>
        <w:spacing w:line="400" w:lineRule="exact"/>
        <w:jc w:val="both"/>
        <w:rPr>
          <w:rFonts w:hint="eastAsia" w:ascii="仿宋" w:hAnsi="仿宋" w:eastAsia="仿宋" w:cs="仿宋"/>
          <w:highlight w:val="none"/>
        </w:rPr>
      </w:pPr>
      <w:r>
        <w:rPr>
          <w:rFonts w:hint="eastAsia" w:ascii="仿宋" w:hAnsi="仿宋" w:eastAsia="仿宋" w:cs="仿宋"/>
          <w:highlight w:val="none"/>
        </w:rPr>
        <w:t>保密信息的人士披露保密信息；并保证上述各相关人员的行为将会符合本守则的规定。</w:t>
      </w:r>
    </w:p>
    <w:p w14:paraId="5ED70DE9">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4.在商讨合作项目的过程中，若需向第三方披露甲方的保密信息，应取得甲方书面许可，并要求该第三方不得向任何其它人士泄露保密信息。</w:t>
      </w:r>
    </w:p>
    <w:p w14:paraId="09FF0625">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5.运维</w:t>
      </w:r>
      <w:r>
        <w:rPr>
          <w:rFonts w:hint="eastAsia" w:ascii="仿宋" w:hAnsi="仿宋" w:eastAsia="仿宋" w:cs="仿宋"/>
          <w:highlight w:val="none"/>
          <w:lang w:eastAsia="zh-CN"/>
        </w:rPr>
        <w:t>服务</w:t>
      </w:r>
      <w:r>
        <w:rPr>
          <w:rFonts w:hint="eastAsia" w:ascii="仿宋" w:hAnsi="仿宋" w:eastAsia="仿宋" w:cs="仿宋"/>
          <w:highlight w:val="none"/>
        </w:rPr>
        <w:t>人员离岗、转岗时，应当进行保密检查，确保个人不私自携带、留存保密信息。</w:t>
      </w:r>
    </w:p>
    <w:p w14:paraId="1F9B8B4C">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6.运维</w:t>
      </w:r>
      <w:r>
        <w:rPr>
          <w:rFonts w:hint="eastAsia" w:ascii="仿宋" w:hAnsi="仿宋" w:eastAsia="仿宋" w:cs="仿宋"/>
          <w:highlight w:val="none"/>
          <w:lang w:eastAsia="zh-CN"/>
        </w:rPr>
        <w:t>服务</w:t>
      </w:r>
      <w:r>
        <w:rPr>
          <w:rFonts w:hint="eastAsia" w:ascii="仿宋" w:hAnsi="仿宋" w:eastAsia="仿宋" w:cs="仿宋"/>
          <w:highlight w:val="none"/>
        </w:rPr>
        <w:t>人员离职时，应与其签订离职保密协议书，督促离职人员严格遵守相关保密规定，不得因工作变动泄露保密信息。</w:t>
      </w:r>
    </w:p>
    <w:p w14:paraId="23D93DB2">
      <w:pPr>
        <w:autoSpaceDE/>
        <w:autoSpaceDN/>
        <w:spacing w:line="400" w:lineRule="exact"/>
        <w:ind w:firstLine="420" w:firstLineChars="200"/>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7.</w:t>
      </w:r>
      <w:r>
        <w:rPr>
          <w:rFonts w:hint="eastAsia" w:ascii="仿宋" w:hAnsi="仿宋" w:eastAsia="仿宋" w:cs="仿宋"/>
          <w:highlight w:val="none"/>
          <w:lang w:eastAsia="zh-CN"/>
        </w:rPr>
        <w:t>运维服务工作结束后，运维期间产生的保密信息，应全部移交甲方，并在甲方的监督下将其删除。运维人员不得私自留存、复制、销毁与运维工作相关的文件、资料，更不得提供或出售给其他无关单位和人员。</w:t>
      </w:r>
    </w:p>
    <w:p w14:paraId="41617580">
      <w:pPr>
        <w:autoSpaceDE/>
        <w:autoSpaceDN/>
        <w:spacing w:line="400" w:lineRule="exact"/>
        <w:ind w:firstLine="420" w:firstLineChars="20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8.运维服务项目的所有权、处置权均属于甲方，承诺人不得擅自处理运维服务项目有关信息，不得改变运维设备用途、干扰运行，不得下载有关资料、数据和程序。</w:t>
      </w:r>
    </w:p>
    <w:p w14:paraId="1E53EA23">
      <w:pPr>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9</w:t>
      </w:r>
      <w:r>
        <w:rPr>
          <w:rFonts w:hint="eastAsia" w:ascii="仿宋" w:hAnsi="仿宋" w:eastAsia="仿宋" w:cs="仿宋"/>
          <w:highlight w:val="none"/>
        </w:rPr>
        <w:t>.有关保密的内容和义务，未经甲方解封则长期有效。</w:t>
      </w:r>
    </w:p>
    <w:p w14:paraId="267321FE">
      <w:pPr>
        <w:autoSpaceDE/>
        <w:autoSpaceDN/>
        <w:spacing w:line="400" w:lineRule="exact"/>
        <w:ind w:firstLine="420" w:firstLineChars="200"/>
        <w:jc w:val="both"/>
        <w:rPr>
          <w:rFonts w:hint="eastAsia" w:ascii="仿宋" w:hAnsi="仿宋" w:eastAsia="仿宋" w:cs="仿宋"/>
          <w:highlight w:val="none"/>
        </w:rPr>
      </w:pPr>
    </w:p>
    <w:p w14:paraId="72013690">
      <w:pPr>
        <w:autoSpaceDE/>
        <w:autoSpaceDN/>
        <w:spacing w:line="400" w:lineRule="exact"/>
        <w:ind w:firstLine="420" w:firstLineChars="200"/>
        <w:jc w:val="both"/>
        <w:rPr>
          <w:rFonts w:hint="eastAsia" w:ascii="仿宋" w:hAnsi="仿宋" w:eastAsia="仿宋" w:cs="仿宋"/>
          <w:highlight w:val="none"/>
        </w:rPr>
      </w:pPr>
    </w:p>
    <w:p w14:paraId="611EA8C1">
      <w:pPr>
        <w:autoSpaceDE/>
        <w:autoSpaceDN/>
        <w:spacing w:line="400" w:lineRule="exact"/>
        <w:ind w:firstLine="5250" w:firstLineChars="2500"/>
        <w:jc w:val="both"/>
        <w:rPr>
          <w:rFonts w:hint="eastAsia" w:ascii="仿宋" w:hAnsi="仿宋" w:eastAsia="仿宋" w:cs="仿宋"/>
          <w:highlight w:val="none"/>
        </w:rPr>
      </w:pPr>
      <w:r>
        <w:rPr>
          <w:rFonts w:hint="eastAsia" w:ascii="仿宋" w:hAnsi="仿宋" w:eastAsia="仿宋" w:cs="仿宋"/>
          <w:highlight w:val="none"/>
        </w:rPr>
        <w:t>承诺人：</w:t>
      </w:r>
    </w:p>
    <w:p w14:paraId="310BCD1E">
      <w:pPr>
        <w:autoSpaceDE/>
        <w:autoSpaceDN/>
        <w:spacing w:line="400" w:lineRule="exact"/>
        <w:ind w:firstLine="5250" w:firstLineChars="2500"/>
        <w:jc w:val="both"/>
        <w:rPr>
          <w:rFonts w:hint="eastAsia" w:ascii="仿宋" w:hAnsi="仿宋" w:eastAsia="仿宋" w:cs="仿宋"/>
          <w:highlight w:val="none"/>
        </w:rPr>
      </w:pPr>
    </w:p>
    <w:p w14:paraId="2629BFDE">
      <w:pPr>
        <w:autoSpaceDE/>
        <w:autoSpaceDN/>
        <w:spacing w:line="400" w:lineRule="exact"/>
        <w:jc w:val="both"/>
        <w:rPr>
          <w:rFonts w:hint="eastAsia" w:ascii="仿宋" w:hAnsi="仿宋" w:eastAsia="仿宋" w:cs="仿宋"/>
          <w:highlight w:val="none"/>
        </w:rPr>
      </w:pPr>
      <w:r>
        <w:rPr>
          <w:rFonts w:hint="eastAsia" w:ascii="仿宋" w:hAnsi="仿宋" w:eastAsia="仿宋" w:cs="仿宋"/>
          <w:highlight w:val="none"/>
        </w:rPr>
        <w:t>（法定代表人或委托代理人签字/章并盖单位公章）</w:t>
      </w:r>
    </w:p>
    <w:p w14:paraId="4E3E6649">
      <w:pPr>
        <w:autoSpaceDE/>
        <w:autoSpaceDN/>
        <w:spacing w:line="400" w:lineRule="exact"/>
        <w:jc w:val="both"/>
        <w:rPr>
          <w:rFonts w:hint="eastAsia" w:ascii="仿宋" w:hAnsi="仿宋" w:eastAsia="仿宋" w:cs="仿宋"/>
          <w:highlight w:val="none"/>
        </w:rPr>
      </w:pPr>
    </w:p>
    <w:p w14:paraId="65347B88">
      <w:pPr>
        <w:autoSpaceDE/>
        <w:autoSpaceDN/>
        <w:spacing w:line="400" w:lineRule="exact"/>
        <w:ind w:firstLine="5250" w:firstLineChars="2500"/>
        <w:jc w:val="both"/>
        <w:rPr>
          <w:rFonts w:hint="eastAsia" w:ascii="仿宋" w:hAnsi="仿宋" w:eastAsia="仿宋" w:cs="仿宋"/>
          <w:highlight w:val="none"/>
        </w:rPr>
      </w:pPr>
      <w:r>
        <w:rPr>
          <w:rFonts w:hint="eastAsia" w:ascii="仿宋" w:hAnsi="仿宋" w:eastAsia="仿宋" w:cs="仿宋"/>
          <w:highlight w:val="none"/>
        </w:rPr>
        <w:t>日期：</w:t>
      </w:r>
    </w:p>
    <w:p w14:paraId="6D981035">
      <w:pPr>
        <w:autoSpaceDE/>
        <w:autoSpaceDN/>
        <w:spacing w:line="400" w:lineRule="exact"/>
        <w:jc w:val="both"/>
        <w:rPr>
          <w:rFonts w:hint="eastAsia" w:ascii="仿宋" w:hAnsi="仿宋" w:eastAsia="仿宋" w:cs="仿宋"/>
          <w:highlight w:val="none"/>
        </w:rPr>
        <w:sectPr>
          <w:headerReference r:id="rId16" w:type="default"/>
          <w:footerReference r:id="rId17" w:type="default"/>
          <w:pgSz w:w="12070" w:h="16950"/>
          <w:pgMar w:top="1440" w:right="1544" w:bottom="1112" w:left="1810" w:header="0" w:footer="898" w:gutter="0"/>
          <w:pgNumType w:fmt="decimal" w:start="1"/>
          <w:cols w:space="720" w:num="1"/>
          <w:formProt w:val="0"/>
          <w:docGrid w:linePitch="312" w:charSpace="0"/>
        </w:sectPr>
      </w:pPr>
    </w:p>
    <w:p w14:paraId="1AF34F57">
      <w:pPr>
        <w:autoSpaceDE/>
        <w:autoSpaceDN/>
        <w:spacing w:line="400" w:lineRule="exact"/>
        <w:jc w:val="both"/>
        <w:rPr>
          <w:rFonts w:hint="eastAsia" w:ascii="仿宋" w:hAnsi="仿宋" w:eastAsia="仿宋" w:cs="仿宋"/>
          <w:highlight w:val="none"/>
        </w:rPr>
      </w:pPr>
      <w:r>
        <w:rPr>
          <w:rFonts w:hint="eastAsia" w:ascii="仿宋" w:hAnsi="仿宋" w:eastAsia="仿宋" w:cs="仿宋"/>
          <w:b/>
          <w:bCs/>
          <w:highlight w:val="none"/>
        </w:rPr>
        <w:t>附件</w:t>
      </w:r>
      <w:r>
        <w:rPr>
          <w:rFonts w:hint="eastAsia" w:ascii="仿宋" w:hAnsi="仿宋" w:eastAsia="仿宋" w:cs="仿宋"/>
          <w:b/>
          <w:bCs/>
          <w:highlight w:val="none"/>
          <w:lang w:val="en-US" w:eastAsia="zh-CN"/>
        </w:rPr>
        <w:t>4</w:t>
      </w:r>
      <w:r>
        <w:rPr>
          <w:rFonts w:hint="eastAsia" w:ascii="仿宋" w:hAnsi="仿宋" w:eastAsia="仿宋" w:cs="仿宋"/>
          <w:b/>
          <w:bCs/>
          <w:highlight w:val="none"/>
        </w:rPr>
        <w:t>:</w:t>
      </w:r>
    </w:p>
    <w:p w14:paraId="6FA4D541">
      <w:pPr>
        <w:autoSpaceDE/>
        <w:autoSpaceDN/>
        <w:spacing w:line="400" w:lineRule="exact"/>
        <w:jc w:val="center"/>
        <w:rPr>
          <w:rFonts w:hint="eastAsia" w:ascii="仿宋" w:hAnsi="仿宋" w:eastAsia="仿宋" w:cs="仿宋"/>
          <w:b/>
          <w:bCs/>
          <w:highlight w:val="none"/>
        </w:rPr>
      </w:pPr>
      <w:r>
        <w:rPr>
          <w:rFonts w:hint="eastAsia" w:ascii="仿宋" w:hAnsi="仿宋" w:eastAsia="仿宋" w:cs="仿宋"/>
          <w:b/>
          <w:bCs/>
          <w:highlight w:val="none"/>
        </w:rPr>
        <w:t>反商业贿赂协议</w:t>
      </w:r>
    </w:p>
    <w:p w14:paraId="4E5FC632">
      <w:pPr>
        <w:autoSpaceDE/>
        <w:autoSpaceDN/>
        <w:spacing w:line="400" w:lineRule="exact"/>
        <w:jc w:val="both"/>
        <w:rPr>
          <w:rFonts w:hint="eastAsia" w:ascii="仿宋" w:hAnsi="仿宋" w:eastAsia="仿宋" w:cs="仿宋"/>
          <w:b/>
          <w:bCs/>
          <w:highlight w:val="none"/>
        </w:rPr>
      </w:pPr>
    </w:p>
    <w:p w14:paraId="571DCEC5">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根据《关于开展治理商业贿赂专项工作的意见》（中办发[2006]9号）以及有关项目服务、廉政建设的规定，为做好项目服务中的反商业贿赂工作，建立起责任机制、督查机制和保障机制，保证项目服务高效优质，保证建设资金的安全和有效使用以及投资效益，本项目甲方与乙方特订立如下协议。</w:t>
      </w:r>
    </w:p>
    <w:p w14:paraId="0270D851">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一、甲乙双方的权利和义务</w:t>
      </w:r>
    </w:p>
    <w:p w14:paraId="0B9BEEC1">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1.严格遵守党的政策规定和国家有关法律法规及陕西省委、省政府关于反商业贿赂和加强党风廉政建设的有关规定。</w:t>
      </w:r>
    </w:p>
    <w:p w14:paraId="335ACBC0">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2.严格执行本项目的合同文件，自觉按合同办事。</w:t>
      </w:r>
    </w:p>
    <w:p w14:paraId="71D762B3">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3.双方的业务活动坚持公开、公正、诚信、透明的原则（法律认定的商业秘密和合同文件另有规定除外），不得损害国家和集体利益，违反项目管理规章制度。</w:t>
      </w:r>
    </w:p>
    <w:p w14:paraId="07250F0F">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4.建立健全反商业贿赂和廉政制度，开展相关教育，设立反商业贿赂和廉政告示牌。公布举报电话，监督并认真查处违法违纪行为。</w:t>
      </w:r>
    </w:p>
    <w:p w14:paraId="7B7AEF5C">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5.发现对方在业务活动中有违反商业贿赂和廉政规定的行为，有及时提醒对方纠正的权利和义务。</w:t>
      </w:r>
    </w:p>
    <w:p w14:paraId="617B753E">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6.发现对方严重违反合同义务条款的行为，有向其上级有关部门举报、建议给予处理并要求告知处理结果的权利。</w:t>
      </w:r>
    </w:p>
    <w:p w14:paraId="2B825E6E">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7.双方或双方与系统设计、软件开发、系统集成、设备材料供应等相关单位不得串通、弄虚作假谋取不正当利益或降低服务质量等损害国家利益。</w:t>
      </w:r>
    </w:p>
    <w:p w14:paraId="58C72DF0">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8.乙方遵守《反商业贿赂协议》情况纳入甲方对乙方的绩效考评范围。</w:t>
      </w:r>
    </w:p>
    <w:p w14:paraId="011C9BED">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二、甲方的义务</w:t>
      </w:r>
    </w:p>
    <w:p w14:paraId="5E10DF4C">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1.甲方及其工作人员不索要或接受乙方的礼金、有价证券和贵重物品，不得在乙方报销任何应由甲方或甲方工作人员个人支付的费用等。</w:t>
      </w:r>
    </w:p>
    <w:p w14:paraId="2EBF9C40">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2.甲方工作人员不得参加乙方安排的超标准宴请和娱乐活动；不得接受乙方提供的通讯工具、交通工具和高档办公用品等。</w:t>
      </w:r>
    </w:p>
    <w:p w14:paraId="6CB9F7EE">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3.甲方及其工作人员不得要求或者接受乙方为其住房装修、婚丧嫁娶活动、配偶子女的工作安排以及出国出境、旅游等提供方便等。</w:t>
      </w:r>
    </w:p>
    <w:p w14:paraId="186DCEB9">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4.甲方工作人员及其配偶、子女不得从事与项目有关的材料设备供应、服务承包、劳务活动等。</w:t>
      </w:r>
    </w:p>
    <w:p w14:paraId="398643AF">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5.甲方及其工作人员不得利用职权插手项目活动谋求不正当利益，不得以任何理由向乙方推荐项目建设相关单位或推销材料，不得要求乙方购买合同规定外的材料和设备。</w:t>
      </w:r>
    </w:p>
    <w:p w14:paraId="641CF033">
      <w:pPr>
        <w:widowControl w:val="0"/>
        <w:autoSpaceDE/>
        <w:autoSpaceDN/>
        <w:spacing w:line="400" w:lineRule="exact"/>
        <w:ind w:firstLine="420" w:firstLineChars="200"/>
        <w:jc w:val="both"/>
        <w:rPr>
          <w:rFonts w:hint="eastAsia" w:ascii="仿宋" w:hAnsi="仿宋" w:eastAsia="仿宋" w:cs="仿宋"/>
          <w:highlight w:val="none"/>
        </w:rPr>
        <w:sectPr>
          <w:headerReference r:id="rId18" w:type="default"/>
          <w:footerReference r:id="rId19" w:type="default"/>
          <w:pgSz w:w="11907" w:h="16839"/>
          <w:pgMar w:top="1440" w:right="1800" w:bottom="1440" w:left="1800" w:header="851" w:footer="992" w:gutter="0"/>
          <w:pgNumType w:fmt="decimal" w:start="6"/>
          <w:cols w:space="425" w:num="1"/>
          <w:formProt w:val="0"/>
          <w:docGrid w:type="lines" w:linePitch="312" w:charSpace="0"/>
        </w:sectPr>
      </w:pPr>
      <w:r>
        <w:rPr>
          <w:rFonts w:hint="eastAsia" w:ascii="仿宋" w:hAnsi="仿宋" w:eastAsia="仿宋" w:cs="仿宋"/>
          <w:highlight w:val="none"/>
        </w:rPr>
        <w:t>6.甲方工作人员要秉公办事，不准营私舞弊，不准利用职权从事各种个人有偿中介活动</w:t>
      </w:r>
    </w:p>
    <w:p w14:paraId="6E09F58D">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和安排介绍服务团队。</w:t>
      </w:r>
    </w:p>
    <w:p w14:paraId="68528C4F">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三、乙方义务</w:t>
      </w:r>
    </w:p>
    <w:p w14:paraId="6A8734D9">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1.乙方不得以任何理由向甲方及其工作人员、服务单位行贿或馈赠礼金、有价证券、贵重礼品。</w:t>
      </w:r>
    </w:p>
    <w:p w14:paraId="3ADC54BA">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2.乙方不得以任何名义为甲方及其工作人员报销应由甲方单位或个人支付的任何费用。</w:t>
      </w:r>
    </w:p>
    <w:p w14:paraId="7CDB6D2E">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3.乙方不得以任何理由安排甲方工作人员参加超标准宴请及娱乐活动。</w:t>
      </w:r>
    </w:p>
    <w:p w14:paraId="2209B533">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4.乙方不得为甲方单位和个人购置或提供通讯工具、交通工具和高档办公用品等。</w:t>
      </w:r>
    </w:p>
    <w:p w14:paraId="08891FB2">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四、违约责任</w:t>
      </w:r>
    </w:p>
    <w:p w14:paraId="20A13E7B">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1.甲方及其工作人员违反第一、二条，按管理权限，依据有关规定给予党纪、政纪或组织处理；涉嫌犯罪的，移交司法机关追究刑事责任；给乙方单位造成经济损失的，应予以赔偿。</w:t>
      </w:r>
    </w:p>
    <w:p w14:paraId="33D7F44C">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2.乙方及其工作人员违反第一、三条，按合同金额的50％向甲方支付违约金，同时按管理权限，依据有关规定给予党纪、政纪组织处理；给甲方单位造成经济损失的，应予以经济赔偿。</w:t>
      </w:r>
    </w:p>
    <w:p w14:paraId="42FE405C">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五、双方约定，双方有义务对合同执行情况开展自查自纠，并自觉接受有关部门监督。</w:t>
      </w:r>
    </w:p>
    <w:p w14:paraId="00CB164E">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六、本协议有效期为甲乙双方签署之日起至该项目运维期满止。</w:t>
      </w:r>
    </w:p>
    <w:p w14:paraId="7E40961C">
      <w:pPr>
        <w:widowControl w:val="0"/>
        <w:autoSpaceDE/>
        <w:autoSpaceDN/>
        <w:spacing w:line="400" w:lineRule="exact"/>
        <w:ind w:firstLine="420" w:firstLineChars="200"/>
        <w:jc w:val="both"/>
        <w:rPr>
          <w:rFonts w:hint="eastAsia" w:ascii="仿宋" w:hAnsi="仿宋" w:eastAsia="仿宋" w:cs="仿宋"/>
          <w:highlight w:val="none"/>
        </w:rPr>
      </w:pPr>
      <w:r>
        <w:rPr>
          <w:rFonts w:hint="eastAsia" w:ascii="仿宋" w:hAnsi="仿宋" w:eastAsia="仿宋" w:cs="仿宋"/>
          <w:highlight w:val="none"/>
        </w:rPr>
        <w:t>七、本协议作为合同的附件，与上述合同具有同等的法律效力，经合同双方签署后生效。</w:t>
      </w:r>
    </w:p>
    <w:p w14:paraId="4192A3BB">
      <w:pPr>
        <w:autoSpaceDE/>
        <w:autoSpaceDN/>
        <w:spacing w:line="400" w:lineRule="exact"/>
        <w:jc w:val="both"/>
        <w:rPr>
          <w:rFonts w:hint="eastAsia" w:ascii="仿宋" w:hAnsi="仿宋" w:eastAsia="仿宋" w:cs="仿宋"/>
          <w:highlight w:val="none"/>
        </w:rPr>
      </w:pPr>
    </w:p>
    <w:p w14:paraId="6F1905AD">
      <w:pPr>
        <w:autoSpaceDE/>
        <w:autoSpaceDN/>
        <w:spacing w:line="400" w:lineRule="exact"/>
        <w:jc w:val="both"/>
        <w:rPr>
          <w:rFonts w:hint="eastAsia" w:ascii="仿宋" w:hAnsi="仿宋" w:eastAsia="仿宋" w:cs="仿宋"/>
          <w:highlight w:val="none"/>
        </w:rPr>
      </w:pPr>
    </w:p>
    <w:p w14:paraId="14C3F856">
      <w:pPr>
        <w:autoSpaceDE/>
        <w:autoSpaceDN/>
        <w:spacing w:line="400" w:lineRule="exact"/>
        <w:jc w:val="both"/>
        <w:rPr>
          <w:rFonts w:hint="eastAsia" w:ascii="仿宋" w:hAnsi="仿宋" w:eastAsia="仿宋" w:cs="仿宋"/>
          <w:highlight w:val="none"/>
        </w:rPr>
      </w:pPr>
    </w:p>
    <w:p w14:paraId="0E873F62">
      <w:pPr>
        <w:autoSpaceDE/>
        <w:autoSpaceDN/>
        <w:spacing w:line="400" w:lineRule="exact"/>
        <w:jc w:val="both"/>
        <w:rPr>
          <w:rFonts w:hint="eastAsia" w:ascii="仿宋" w:hAnsi="仿宋" w:eastAsia="仿宋" w:cs="仿宋"/>
          <w:highlight w:val="none"/>
          <w:lang w:eastAsia="zh-CN"/>
        </w:rPr>
      </w:pPr>
      <w:r>
        <w:rPr>
          <w:rFonts w:hint="eastAsia" w:ascii="仿宋" w:hAnsi="仿宋" w:eastAsia="仿宋" w:cs="仿宋"/>
          <w:highlight w:val="none"/>
        </w:rPr>
        <w:t>委托方（甲方）：（盖章）受托方（乙方）：（盖章）</w:t>
      </w:r>
    </w:p>
    <w:p w14:paraId="21EE4C16">
      <w:pPr>
        <w:autoSpaceDE/>
        <w:autoSpaceDN/>
        <w:spacing w:line="400" w:lineRule="exact"/>
        <w:jc w:val="both"/>
        <w:rPr>
          <w:rFonts w:hint="eastAsia" w:ascii="仿宋" w:hAnsi="仿宋" w:eastAsia="仿宋" w:cs="仿宋"/>
          <w:highlight w:val="none"/>
        </w:rPr>
      </w:pPr>
    </w:p>
    <w:p w14:paraId="42A7931F">
      <w:pPr>
        <w:autoSpaceDE/>
        <w:autoSpaceDN/>
        <w:spacing w:line="400" w:lineRule="exact"/>
        <w:jc w:val="both"/>
        <w:rPr>
          <w:rFonts w:hint="eastAsia" w:ascii="仿宋" w:hAnsi="仿宋" w:eastAsia="仿宋" w:cs="仿宋"/>
          <w:highlight w:val="none"/>
        </w:rPr>
      </w:pPr>
      <w:r>
        <w:rPr>
          <w:rFonts w:hint="eastAsia" w:ascii="仿宋" w:hAnsi="仿宋" w:eastAsia="仿宋" w:cs="仿宋"/>
          <w:highlight w:val="none"/>
        </w:rPr>
        <w:t>法定代表人：法定代表人：</w:t>
      </w:r>
    </w:p>
    <w:p w14:paraId="70B34F69">
      <w:pPr>
        <w:autoSpaceDE/>
        <w:autoSpaceDN/>
        <w:spacing w:line="400" w:lineRule="exact"/>
        <w:jc w:val="both"/>
        <w:rPr>
          <w:rFonts w:hint="eastAsia" w:ascii="仿宋" w:hAnsi="仿宋" w:eastAsia="仿宋" w:cs="仿宋"/>
          <w:highlight w:val="none"/>
        </w:rPr>
      </w:pPr>
    </w:p>
    <w:p w14:paraId="3EBDF031">
      <w:pPr>
        <w:autoSpaceDE/>
        <w:autoSpaceDN/>
        <w:spacing w:line="400" w:lineRule="exact"/>
        <w:jc w:val="both"/>
        <w:rPr>
          <w:rFonts w:hint="eastAsia" w:ascii="仿宋" w:hAnsi="仿宋" w:eastAsia="仿宋" w:cs="仿宋"/>
          <w:highlight w:val="none"/>
        </w:rPr>
      </w:pPr>
      <w:r>
        <w:rPr>
          <w:rFonts w:hint="eastAsia" w:ascii="仿宋" w:hAnsi="仿宋" w:eastAsia="仿宋" w:cs="仿宋"/>
          <w:highlight w:val="none"/>
        </w:rPr>
        <w:t>或其委托代理人（签名|盖章）：或其委托代理人（签名|盖章）：</w:t>
      </w:r>
    </w:p>
    <w:p w14:paraId="76CB61B8">
      <w:pPr>
        <w:autoSpaceDE/>
        <w:autoSpaceDN/>
        <w:spacing w:line="400" w:lineRule="exact"/>
        <w:jc w:val="both"/>
        <w:rPr>
          <w:rFonts w:hint="eastAsia" w:ascii="仿宋" w:hAnsi="仿宋" w:eastAsia="仿宋" w:cs="仿宋"/>
          <w:highlight w:val="none"/>
        </w:rPr>
      </w:pPr>
    </w:p>
    <w:p w14:paraId="1E9F2CD6">
      <w:pPr>
        <w:autoSpaceDE/>
        <w:autoSpaceDN/>
        <w:spacing w:line="400" w:lineRule="exact"/>
        <w:jc w:val="both"/>
        <w:rPr>
          <w:rFonts w:hint="eastAsia" w:ascii="仿宋" w:hAnsi="仿宋" w:eastAsia="仿宋" w:cs="仿宋"/>
          <w:highlight w:val="none"/>
        </w:rPr>
      </w:pPr>
      <w:r>
        <w:rPr>
          <w:rFonts w:hint="eastAsia" w:ascii="仿宋" w:hAnsi="仿宋" w:eastAsia="仿宋" w:cs="仿宋"/>
          <w:highlight w:val="none"/>
        </w:rPr>
        <w:t>日期：日期：</w:t>
      </w:r>
    </w:p>
    <w:p w14:paraId="2B573A69">
      <w:pPr>
        <w:ind w:left="0"/>
        <w:jc w:val="both"/>
        <w:rPr>
          <w:rFonts w:hint="eastAsia" w:ascii="仿宋" w:hAnsi="仿宋" w:eastAsia="仿宋" w:cs="仿宋"/>
          <w:color w:val="auto"/>
          <w:highlight w:val="none"/>
          <w:lang w:eastAsia="zh-CN"/>
        </w:rPr>
      </w:pPr>
    </w:p>
    <w:p w14:paraId="21F191B7">
      <w:pPr>
        <w:pStyle w:val="2"/>
        <w:rPr>
          <w:rFonts w:hint="eastAsia" w:ascii="仿宋" w:hAnsi="仿宋" w:eastAsia="仿宋" w:cs="仿宋"/>
          <w:color w:val="auto"/>
          <w:highlight w:val="none"/>
        </w:rPr>
      </w:pPr>
    </w:p>
    <w:p w14:paraId="514FD1C5">
      <w:pPr>
        <w:rPr>
          <w:rFonts w:hint="eastAsia" w:ascii="仿宋" w:hAnsi="仿宋" w:eastAsia="仿宋" w:cs="仿宋"/>
          <w:b/>
          <w:color w:val="auto"/>
          <w:kern w:val="2"/>
          <w:sz w:val="36"/>
          <w:szCs w:val="36"/>
          <w:highlight w:val="none"/>
          <w:lang w:val="en-US" w:eastAsia="zh-CN" w:bidi="ar-SA"/>
        </w:rPr>
      </w:pPr>
      <w:bookmarkStart w:id="33" w:name="_Toc3399"/>
      <w:r>
        <w:rPr>
          <w:rFonts w:hint="eastAsia" w:ascii="仿宋" w:hAnsi="仿宋" w:eastAsia="仿宋" w:cs="仿宋"/>
          <w:b/>
          <w:color w:val="auto"/>
          <w:kern w:val="2"/>
          <w:sz w:val="36"/>
          <w:szCs w:val="36"/>
          <w:highlight w:val="none"/>
          <w:lang w:val="en-US" w:eastAsia="zh-CN" w:bidi="ar-SA"/>
        </w:rPr>
        <w:br w:type="page"/>
      </w:r>
    </w:p>
    <w:p w14:paraId="762FCEBF">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kern w:val="2"/>
          <w:sz w:val="36"/>
          <w:szCs w:val="36"/>
          <w:highlight w:val="none"/>
          <w:lang w:val="en-US" w:eastAsia="zh-CN" w:bidi="ar-SA"/>
        </w:rPr>
        <w:t>第五章</w:t>
      </w:r>
      <w:r>
        <w:rPr>
          <w:rFonts w:hint="eastAsia" w:ascii="仿宋" w:hAnsi="仿宋" w:eastAsia="仿宋" w:cs="仿宋"/>
          <w:b/>
          <w:color w:val="auto"/>
          <w:sz w:val="36"/>
          <w:szCs w:val="36"/>
          <w:highlight w:val="none"/>
          <w:lang w:val="en-US" w:eastAsia="zh-CN"/>
        </w:rPr>
        <w:t>磋商响应文件格式</w:t>
      </w:r>
      <w:bookmarkEnd w:id="33"/>
    </w:p>
    <w:p w14:paraId="654B3504">
      <w:pPr>
        <w:spacing w:line="720" w:lineRule="auto"/>
        <w:jc w:val="center"/>
        <w:rPr>
          <w:rFonts w:hint="eastAsia" w:ascii="仿宋" w:hAnsi="仿宋" w:eastAsia="仿宋" w:cs="仿宋"/>
          <w:b w:val="0"/>
          <w:bCs/>
          <w:color w:val="auto"/>
          <w:sz w:val="48"/>
          <w:szCs w:val="48"/>
          <w:highlight w:val="none"/>
          <w:u w:val="double"/>
        </w:rPr>
      </w:pPr>
      <w:r>
        <w:rPr>
          <w:rFonts w:hint="eastAsia" w:ascii="仿宋" w:hAnsi="仿宋" w:eastAsia="仿宋" w:cs="仿宋"/>
          <w:b w:val="0"/>
          <w:bCs/>
          <w:color w:val="auto"/>
          <w:sz w:val="48"/>
          <w:szCs w:val="48"/>
          <w:highlight w:val="none"/>
          <w:u w:val="double"/>
        </w:rPr>
        <w:t>特别提示</w:t>
      </w:r>
    </w:p>
    <w:p w14:paraId="45831C62">
      <w:pPr>
        <w:pStyle w:val="2"/>
        <w:rPr>
          <w:rFonts w:hint="eastAsia" w:ascii="仿宋" w:hAnsi="仿宋" w:eastAsia="仿宋" w:cs="仿宋"/>
          <w:b w:val="0"/>
          <w:bCs/>
          <w:color w:val="auto"/>
          <w:highlight w:val="none"/>
        </w:rPr>
      </w:pPr>
    </w:p>
    <w:p w14:paraId="40B27005">
      <w:pPr>
        <w:spacing w:line="72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各</w:t>
      </w:r>
      <w:r>
        <w:rPr>
          <w:rFonts w:hint="eastAsia" w:ascii="仿宋" w:hAnsi="仿宋" w:eastAsia="仿宋" w:cs="仿宋"/>
          <w:b w:val="0"/>
          <w:bCs/>
          <w:color w:val="auto"/>
          <w:sz w:val="28"/>
          <w:szCs w:val="28"/>
          <w:highlight w:val="none"/>
          <w:lang w:eastAsia="zh-CN"/>
        </w:rPr>
        <w:t>供应商</w:t>
      </w:r>
      <w:r>
        <w:rPr>
          <w:rFonts w:hint="eastAsia" w:ascii="仿宋" w:hAnsi="仿宋" w:eastAsia="仿宋" w:cs="仿宋"/>
          <w:b w:val="0"/>
          <w:bCs/>
          <w:color w:val="auto"/>
          <w:sz w:val="28"/>
          <w:szCs w:val="28"/>
          <w:highlight w:val="none"/>
        </w:rPr>
        <w:t>：在此我们特别</w:t>
      </w:r>
      <w:r>
        <w:rPr>
          <w:rFonts w:hint="eastAsia" w:ascii="仿宋" w:hAnsi="仿宋" w:eastAsia="仿宋" w:cs="仿宋"/>
          <w:b w:val="0"/>
          <w:bCs/>
          <w:color w:val="auto"/>
          <w:sz w:val="28"/>
          <w:szCs w:val="28"/>
          <w:highlight w:val="none"/>
          <w:lang w:val="en-US" w:eastAsia="zh-CN"/>
        </w:rPr>
        <w:t>诚意</w:t>
      </w:r>
      <w:r>
        <w:rPr>
          <w:rFonts w:hint="eastAsia" w:ascii="仿宋" w:hAnsi="仿宋" w:eastAsia="仿宋" w:cs="仿宋"/>
          <w:b w:val="0"/>
          <w:bCs/>
          <w:color w:val="auto"/>
          <w:sz w:val="28"/>
          <w:szCs w:val="28"/>
          <w:highlight w:val="none"/>
        </w:rPr>
        <w:t>地提醒您注意！</w:t>
      </w:r>
    </w:p>
    <w:p w14:paraId="4817E5A6">
      <w:pPr>
        <w:spacing w:line="72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响应文件</w:t>
      </w:r>
      <w:r>
        <w:rPr>
          <w:rFonts w:hint="eastAsia" w:ascii="仿宋" w:hAnsi="仿宋" w:eastAsia="仿宋" w:cs="仿宋"/>
          <w:b w:val="0"/>
          <w:bCs/>
          <w:color w:val="auto"/>
          <w:sz w:val="28"/>
          <w:szCs w:val="28"/>
          <w:highlight w:val="none"/>
        </w:rPr>
        <w:t>编制说明：</w:t>
      </w:r>
    </w:p>
    <w:p w14:paraId="7E66854B">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一</w:t>
      </w:r>
      <w:r>
        <w:rPr>
          <w:rFonts w:hint="eastAsia" w:ascii="仿宋" w:hAnsi="仿宋" w:eastAsia="仿宋" w:cs="仿宋"/>
          <w:b w:val="0"/>
          <w:bCs/>
          <w:color w:val="auto"/>
          <w:sz w:val="28"/>
          <w:szCs w:val="28"/>
          <w:highlight w:val="none"/>
        </w:rPr>
        <w:t>、本磋商响应文件格式，仅起到样式作用，编制磋商响应文件前，请详细阅读竞争性磋商文件。</w:t>
      </w:r>
    </w:p>
    <w:p w14:paraId="7D1E8F33">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二</w:t>
      </w:r>
      <w:r>
        <w:rPr>
          <w:rFonts w:hint="eastAsia" w:ascii="仿宋" w:hAnsi="仿宋" w:eastAsia="仿宋" w:cs="仿宋"/>
          <w:b w:val="0"/>
          <w:bCs/>
          <w:color w:val="auto"/>
          <w:sz w:val="28"/>
          <w:szCs w:val="28"/>
          <w:highlight w:val="none"/>
        </w:rPr>
        <w:t>、磋商响应文件的编制应按照本格式提供的内容，做出逐一的明确答复；磋商供应商认为必要，还可以</w:t>
      </w:r>
      <w:r>
        <w:rPr>
          <w:rFonts w:hint="eastAsia" w:ascii="仿宋" w:hAnsi="仿宋" w:eastAsia="仿宋" w:cs="仿宋"/>
          <w:b w:val="0"/>
          <w:bCs/>
          <w:color w:val="auto"/>
          <w:sz w:val="28"/>
          <w:szCs w:val="28"/>
          <w:highlight w:val="none"/>
          <w:lang w:eastAsia="zh-CN"/>
        </w:rPr>
        <w:t>做其他</w:t>
      </w:r>
      <w:r>
        <w:rPr>
          <w:rFonts w:hint="eastAsia" w:ascii="仿宋" w:hAnsi="仿宋" w:eastAsia="仿宋" w:cs="仿宋"/>
          <w:b w:val="0"/>
          <w:bCs/>
          <w:color w:val="auto"/>
          <w:sz w:val="28"/>
          <w:szCs w:val="28"/>
          <w:highlight w:val="none"/>
        </w:rPr>
        <w:t>补充说明。</w:t>
      </w:r>
    </w:p>
    <w:p w14:paraId="7DDEB9A8">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三</w:t>
      </w:r>
      <w:r>
        <w:rPr>
          <w:rFonts w:hint="eastAsia" w:ascii="仿宋" w:hAnsi="仿宋" w:eastAsia="仿宋" w:cs="仿宋"/>
          <w:b w:val="0"/>
          <w:bCs/>
          <w:color w:val="auto"/>
          <w:sz w:val="28"/>
          <w:szCs w:val="28"/>
          <w:highlight w:val="none"/>
        </w:rPr>
        <w:t>、本竞争性磋商文件中相关表格如不够填写时，磋商供应商可以自行扩展。</w:t>
      </w:r>
    </w:p>
    <w:p w14:paraId="617691B3">
      <w:pPr>
        <w:spacing w:line="720" w:lineRule="auto"/>
        <w:ind w:firstLine="281" w:firstLineChars="100"/>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highlight w:val="none"/>
          <w:lang w:val="en-US" w:eastAsia="zh-CN"/>
        </w:rPr>
        <w:t>注：鼓励环保双面打印，副本可为正本的复印件。</w:t>
      </w:r>
      <w:r>
        <w:rPr>
          <w:rFonts w:hint="eastAsia" w:ascii="仿宋" w:hAnsi="仿宋" w:eastAsia="仿宋" w:cs="仿宋"/>
          <w:b/>
          <w:bCs w:val="0"/>
          <w:color w:val="auto"/>
          <w:sz w:val="28"/>
          <w:szCs w:val="28"/>
          <w:highlight w:val="none"/>
          <w:lang w:eastAsia="zh-CN"/>
        </w:rPr>
        <w:t>）</w:t>
      </w:r>
    </w:p>
    <w:p w14:paraId="5989E078">
      <w:pPr>
        <w:rPr>
          <w:rFonts w:hint="eastAsia" w:ascii="仿宋" w:hAnsi="仿宋" w:eastAsia="仿宋" w:cs="仿宋"/>
          <w:b w:val="0"/>
          <w:bCs/>
          <w:color w:val="auto"/>
          <w:highlight w:val="none"/>
          <w:lang w:eastAsia="zh-CN"/>
        </w:rPr>
      </w:pPr>
      <w:r>
        <w:rPr>
          <w:rFonts w:hint="eastAsia" w:ascii="仿宋" w:hAnsi="仿宋" w:eastAsia="仿宋" w:cs="仿宋"/>
          <w:b w:val="0"/>
          <w:bCs/>
          <w:color w:val="auto"/>
          <w:highlight w:val="none"/>
          <w:lang w:eastAsia="zh-CN"/>
        </w:rPr>
        <w:br w:type="page"/>
      </w:r>
    </w:p>
    <w:p w14:paraId="2C6AF811">
      <w:pPr>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4"/>
          <w:szCs w:val="44"/>
          <w:highlight w:val="none"/>
        </w:rPr>
        <w:t>目录</w:t>
      </w:r>
    </w:p>
    <w:p w14:paraId="4C80EF0E">
      <w:pPr>
        <w:spacing w:line="480" w:lineRule="exact"/>
        <w:ind w:firstLine="562" w:firstLineChars="200"/>
        <w:rPr>
          <w:rFonts w:hint="eastAsia" w:ascii="仿宋" w:hAnsi="仿宋" w:eastAsia="仿宋" w:cs="仿宋"/>
          <w:b/>
          <w:bCs/>
          <w:color w:val="auto"/>
          <w:sz w:val="28"/>
          <w:szCs w:val="28"/>
          <w:highlight w:val="none"/>
        </w:rPr>
      </w:pPr>
    </w:p>
    <w:p w14:paraId="491B6C20">
      <w:pPr>
        <w:spacing w:line="480" w:lineRule="exact"/>
        <w:ind w:firstLine="560" w:firstLineChars="200"/>
        <w:rPr>
          <w:rFonts w:hint="eastAsia" w:ascii="仿宋" w:hAnsi="仿宋" w:eastAsia="仿宋" w:cs="仿宋"/>
          <w:color w:val="auto"/>
          <w:sz w:val="28"/>
          <w:szCs w:val="28"/>
          <w:highlight w:val="none"/>
        </w:rPr>
      </w:pPr>
    </w:p>
    <w:p w14:paraId="46425C1A">
      <w:pPr>
        <w:tabs>
          <w:tab w:val="left" w:pos="315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部分法定代表人证明书与授权书</w:t>
      </w:r>
    </w:p>
    <w:p w14:paraId="5502E7E1">
      <w:pPr>
        <w:spacing w:line="360" w:lineRule="exact"/>
        <w:ind w:firstLine="560" w:firstLineChars="200"/>
        <w:rPr>
          <w:rFonts w:hint="eastAsia" w:ascii="仿宋" w:hAnsi="仿宋" w:eastAsia="仿宋" w:cs="仿宋"/>
          <w:color w:val="auto"/>
          <w:sz w:val="28"/>
          <w:szCs w:val="28"/>
          <w:highlight w:val="none"/>
        </w:rPr>
      </w:pPr>
    </w:p>
    <w:p w14:paraId="19A17660">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部分磋商响应函</w:t>
      </w:r>
    </w:p>
    <w:p w14:paraId="4D0B32F8">
      <w:pPr>
        <w:spacing w:line="360" w:lineRule="exact"/>
        <w:ind w:firstLine="560" w:firstLineChars="200"/>
        <w:rPr>
          <w:rFonts w:hint="eastAsia" w:ascii="仿宋" w:hAnsi="仿宋" w:eastAsia="仿宋" w:cs="仿宋"/>
          <w:color w:val="auto"/>
          <w:sz w:val="28"/>
          <w:szCs w:val="28"/>
          <w:highlight w:val="none"/>
        </w:rPr>
      </w:pPr>
    </w:p>
    <w:p w14:paraId="5F36595C">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部分响应报价表</w:t>
      </w:r>
    </w:p>
    <w:p w14:paraId="755F39F6">
      <w:pPr>
        <w:spacing w:line="360" w:lineRule="exact"/>
        <w:rPr>
          <w:rFonts w:hint="eastAsia" w:ascii="仿宋" w:hAnsi="仿宋" w:eastAsia="仿宋" w:cs="仿宋"/>
          <w:color w:val="auto"/>
          <w:sz w:val="28"/>
          <w:szCs w:val="28"/>
          <w:highlight w:val="none"/>
        </w:rPr>
      </w:pPr>
    </w:p>
    <w:p w14:paraId="6BC967B8">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eastAsia="zh-CN"/>
        </w:rPr>
        <w:t>技术</w:t>
      </w:r>
      <w:r>
        <w:rPr>
          <w:rFonts w:hint="eastAsia" w:ascii="仿宋" w:hAnsi="仿宋" w:eastAsia="仿宋" w:cs="仿宋"/>
          <w:color w:val="auto"/>
          <w:sz w:val="28"/>
          <w:szCs w:val="28"/>
          <w:highlight w:val="none"/>
        </w:rPr>
        <w:t>响应方案</w:t>
      </w:r>
    </w:p>
    <w:p w14:paraId="0AE75980">
      <w:pPr>
        <w:spacing w:line="360" w:lineRule="exact"/>
        <w:ind w:firstLine="560" w:firstLineChars="200"/>
        <w:rPr>
          <w:rFonts w:hint="eastAsia" w:ascii="仿宋" w:hAnsi="仿宋" w:eastAsia="仿宋" w:cs="仿宋"/>
          <w:color w:val="auto"/>
          <w:sz w:val="28"/>
          <w:szCs w:val="28"/>
          <w:highlight w:val="none"/>
        </w:rPr>
      </w:pPr>
    </w:p>
    <w:p w14:paraId="30FC8D05">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部分商务响应方案</w:t>
      </w:r>
    </w:p>
    <w:p w14:paraId="013F9AE0">
      <w:pPr>
        <w:spacing w:line="360" w:lineRule="exact"/>
        <w:ind w:firstLine="560" w:firstLineChars="200"/>
        <w:rPr>
          <w:rFonts w:hint="eastAsia" w:ascii="仿宋" w:hAnsi="仿宋" w:eastAsia="仿宋" w:cs="仿宋"/>
          <w:color w:val="auto"/>
          <w:sz w:val="28"/>
          <w:szCs w:val="28"/>
          <w:highlight w:val="none"/>
        </w:rPr>
      </w:pPr>
    </w:p>
    <w:p w14:paraId="4D0B579F">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概况、声明及承诺</w:t>
      </w:r>
    </w:p>
    <w:p w14:paraId="19633335">
      <w:pPr>
        <w:spacing w:line="360" w:lineRule="exact"/>
        <w:ind w:firstLine="560" w:firstLineChars="200"/>
        <w:rPr>
          <w:rFonts w:hint="eastAsia" w:ascii="仿宋" w:hAnsi="仿宋" w:eastAsia="仿宋" w:cs="仿宋"/>
          <w:color w:val="auto"/>
          <w:sz w:val="28"/>
          <w:szCs w:val="28"/>
          <w:highlight w:val="none"/>
        </w:rPr>
      </w:pPr>
    </w:p>
    <w:p w14:paraId="32AAEE66">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部分资格证明文件</w:t>
      </w:r>
    </w:p>
    <w:p w14:paraId="280F4235">
      <w:pPr>
        <w:tabs>
          <w:tab w:val="right" w:leader="dot" w:pos="9022"/>
        </w:tabs>
        <w:autoSpaceDE w:val="0"/>
        <w:autoSpaceDN w:val="0"/>
        <w:adjustRightInd w:val="0"/>
        <w:spacing w:line="500" w:lineRule="exact"/>
        <w:jc w:val="left"/>
        <w:rPr>
          <w:rFonts w:hint="eastAsia" w:ascii="仿宋" w:hAnsi="仿宋" w:eastAsia="仿宋" w:cs="仿宋"/>
          <w:b/>
          <w:bCs/>
          <w:caps/>
          <w:color w:val="auto"/>
          <w:sz w:val="24"/>
          <w:szCs w:val="24"/>
          <w:highlight w:val="none"/>
        </w:rPr>
      </w:pPr>
    </w:p>
    <w:p w14:paraId="6585A213">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部分供应商拒绝政府采购领域商业贿赂承诺书</w:t>
      </w:r>
    </w:p>
    <w:p w14:paraId="42BAC13B">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3B585CEB">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78DBAA06">
      <w:pPr>
        <w:pStyle w:val="2"/>
        <w:rPr>
          <w:rFonts w:hint="eastAsia" w:ascii="仿宋" w:hAnsi="仿宋" w:eastAsia="仿宋" w:cs="仿宋"/>
          <w:b/>
          <w:bCs/>
          <w:color w:val="auto"/>
          <w:sz w:val="24"/>
          <w:highlight w:val="none"/>
          <w:lang w:val="en-US" w:eastAsia="zh-CN"/>
        </w:rPr>
      </w:pPr>
    </w:p>
    <w:p w14:paraId="23A9D457">
      <w:pPr>
        <w:rPr>
          <w:rFonts w:hint="eastAsia" w:ascii="仿宋" w:hAnsi="仿宋" w:eastAsia="仿宋" w:cs="仿宋"/>
          <w:color w:val="auto"/>
          <w:highlight w:val="none"/>
          <w:lang w:val="en-US" w:eastAsia="zh-CN"/>
        </w:rPr>
      </w:pPr>
    </w:p>
    <w:p w14:paraId="6BFC4F6C">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10689EDF">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7AD53D07">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398191AC">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4C095A7">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21C332D3">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3BBEA218">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23417D91">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4A13DF9E">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E316CB1">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464DADA0">
      <w:pPr>
        <w:tabs>
          <w:tab w:val="left" w:pos="1260"/>
        </w:tabs>
        <w:spacing w:line="440" w:lineRule="exact"/>
        <w:jc w:val="center"/>
        <w:outlineLvl w:val="1"/>
        <w:rPr>
          <w:rFonts w:hint="eastAsia" w:ascii="仿宋" w:hAnsi="仿宋" w:eastAsia="仿宋" w:cs="仿宋"/>
          <w:b/>
          <w:bCs/>
          <w:color w:val="auto"/>
          <w:sz w:val="32"/>
          <w:szCs w:val="32"/>
          <w:highlight w:val="none"/>
        </w:rPr>
      </w:pPr>
      <w:bookmarkStart w:id="34" w:name="_Toc8476"/>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法定代表人证明书与授权书</w:t>
      </w:r>
      <w:bookmarkEnd w:id="34"/>
    </w:p>
    <w:p w14:paraId="044E76A9">
      <w:pPr>
        <w:spacing w:line="480" w:lineRule="exact"/>
        <w:ind w:firstLine="157" w:firstLineChars="49"/>
        <w:jc w:val="center"/>
        <w:rPr>
          <w:rFonts w:hint="eastAsia" w:ascii="仿宋" w:hAnsi="仿宋" w:eastAsia="仿宋" w:cs="仿宋"/>
          <w:b/>
          <w:color w:val="auto"/>
          <w:sz w:val="32"/>
          <w:szCs w:val="32"/>
          <w:highlight w:val="none"/>
          <w:u w:val="single"/>
        </w:rPr>
      </w:pPr>
    </w:p>
    <w:p w14:paraId="1A3D7A19">
      <w:pPr>
        <w:spacing w:line="480" w:lineRule="exact"/>
        <w:ind w:firstLine="157" w:firstLineChars="49"/>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u w:val="single"/>
        </w:rPr>
        <w:t>1.1法定代表人证明书</w:t>
      </w:r>
    </w:p>
    <w:p w14:paraId="779C682D">
      <w:pPr>
        <w:tabs>
          <w:tab w:val="left" w:pos="1155"/>
        </w:tabs>
        <w:spacing w:line="180" w:lineRule="exact"/>
        <w:rPr>
          <w:rFonts w:hint="eastAsia" w:ascii="仿宋" w:hAnsi="仿宋" w:eastAsia="仿宋" w:cs="仿宋"/>
          <w:color w:val="auto"/>
          <w:sz w:val="10"/>
          <w:szCs w:val="10"/>
          <w:highlight w:val="none"/>
        </w:rPr>
      </w:pPr>
    </w:p>
    <w:tbl>
      <w:tblPr>
        <w:tblStyle w:val="17"/>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907"/>
        <w:gridCol w:w="1379"/>
        <w:gridCol w:w="2023"/>
        <w:gridCol w:w="2005"/>
      </w:tblGrid>
      <w:tr w14:paraId="0FCF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20" w:type="dxa"/>
            <w:gridSpan w:val="5"/>
            <w:vAlign w:val="top"/>
          </w:tcPr>
          <w:p w14:paraId="5E709DCF">
            <w:pPr>
              <w:tabs>
                <w:tab w:val="left" w:pos="1260"/>
              </w:tabs>
              <w:spacing w:line="440" w:lineRule="exact"/>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6252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vAlign w:val="center"/>
          </w:tcPr>
          <w:p w14:paraId="4023837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w:t>
            </w:r>
          </w:p>
          <w:p w14:paraId="7FD795C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w:t>
            </w:r>
          </w:p>
          <w:p w14:paraId="4D07954B">
            <w:pPr>
              <w:tabs>
                <w:tab w:val="left" w:pos="1260"/>
              </w:tabs>
              <w:spacing w:line="44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w:t>
            </w:r>
          </w:p>
          <w:p w14:paraId="30C03F30">
            <w:pPr>
              <w:tabs>
                <w:tab w:val="left" w:pos="1260"/>
              </w:tabs>
              <w:spacing w:line="440" w:lineRule="exact"/>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息</w:t>
            </w:r>
          </w:p>
        </w:tc>
        <w:tc>
          <w:tcPr>
            <w:tcW w:w="1907" w:type="dxa"/>
            <w:vAlign w:val="center"/>
          </w:tcPr>
          <w:p w14:paraId="51337278">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5407" w:type="dxa"/>
            <w:gridSpan w:val="3"/>
            <w:vAlign w:val="top"/>
          </w:tcPr>
          <w:p w14:paraId="3EDE3B3F">
            <w:pPr>
              <w:tabs>
                <w:tab w:val="left" w:pos="1260"/>
              </w:tabs>
              <w:spacing w:line="440" w:lineRule="exact"/>
              <w:rPr>
                <w:rFonts w:hint="eastAsia" w:ascii="仿宋" w:hAnsi="仿宋" w:eastAsia="仿宋" w:cs="仿宋"/>
                <w:b/>
                <w:bCs/>
                <w:color w:val="auto"/>
                <w:sz w:val="28"/>
                <w:szCs w:val="28"/>
                <w:highlight w:val="none"/>
              </w:rPr>
            </w:pPr>
          </w:p>
        </w:tc>
      </w:tr>
      <w:tr w14:paraId="0F5B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7AB118F0">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E980F96">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5407" w:type="dxa"/>
            <w:gridSpan w:val="3"/>
            <w:vAlign w:val="top"/>
          </w:tcPr>
          <w:p w14:paraId="4E4D3CE6">
            <w:pPr>
              <w:tabs>
                <w:tab w:val="left" w:pos="1260"/>
              </w:tabs>
              <w:spacing w:line="440" w:lineRule="exact"/>
              <w:rPr>
                <w:rFonts w:hint="eastAsia" w:ascii="仿宋" w:hAnsi="仿宋" w:eastAsia="仿宋" w:cs="仿宋"/>
                <w:b/>
                <w:bCs/>
                <w:color w:val="auto"/>
                <w:sz w:val="28"/>
                <w:szCs w:val="28"/>
                <w:highlight w:val="none"/>
              </w:rPr>
            </w:pPr>
          </w:p>
        </w:tc>
      </w:tr>
      <w:tr w14:paraId="4B2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08F9A00">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0DAA72AB">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5407" w:type="dxa"/>
            <w:gridSpan w:val="3"/>
            <w:vAlign w:val="top"/>
          </w:tcPr>
          <w:p w14:paraId="773BA679">
            <w:pPr>
              <w:tabs>
                <w:tab w:val="left" w:pos="1260"/>
              </w:tabs>
              <w:spacing w:line="440" w:lineRule="exact"/>
              <w:rPr>
                <w:rFonts w:hint="eastAsia" w:ascii="仿宋" w:hAnsi="仿宋" w:eastAsia="仿宋" w:cs="仿宋"/>
                <w:b/>
                <w:bCs/>
                <w:color w:val="auto"/>
                <w:sz w:val="28"/>
                <w:szCs w:val="28"/>
                <w:highlight w:val="none"/>
              </w:rPr>
            </w:pPr>
          </w:p>
        </w:tc>
      </w:tr>
      <w:tr w14:paraId="3F76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5FE9B193">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7C32F5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5407" w:type="dxa"/>
            <w:gridSpan w:val="3"/>
            <w:vAlign w:val="top"/>
          </w:tcPr>
          <w:p w14:paraId="1CECF689">
            <w:pPr>
              <w:tabs>
                <w:tab w:val="left" w:pos="1260"/>
              </w:tabs>
              <w:spacing w:line="440" w:lineRule="exact"/>
              <w:rPr>
                <w:rFonts w:hint="eastAsia" w:ascii="仿宋" w:hAnsi="仿宋" w:eastAsia="仿宋" w:cs="仿宋"/>
                <w:b/>
                <w:bCs/>
                <w:color w:val="auto"/>
                <w:sz w:val="28"/>
                <w:szCs w:val="28"/>
                <w:highlight w:val="none"/>
              </w:rPr>
            </w:pPr>
          </w:p>
        </w:tc>
      </w:tr>
      <w:tr w14:paraId="31D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79941085">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top"/>
          </w:tcPr>
          <w:p w14:paraId="4627E8A6">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工商登记机关</w:t>
            </w:r>
          </w:p>
        </w:tc>
        <w:tc>
          <w:tcPr>
            <w:tcW w:w="5407" w:type="dxa"/>
            <w:gridSpan w:val="3"/>
            <w:vAlign w:val="top"/>
          </w:tcPr>
          <w:p w14:paraId="6C098E0E">
            <w:pPr>
              <w:tabs>
                <w:tab w:val="left" w:pos="1260"/>
              </w:tabs>
              <w:spacing w:line="440" w:lineRule="exact"/>
              <w:rPr>
                <w:rFonts w:hint="eastAsia" w:ascii="仿宋" w:hAnsi="仿宋" w:eastAsia="仿宋" w:cs="仿宋"/>
                <w:b/>
                <w:bCs/>
                <w:color w:val="auto"/>
                <w:sz w:val="28"/>
                <w:szCs w:val="28"/>
                <w:highlight w:val="none"/>
              </w:rPr>
            </w:pPr>
          </w:p>
        </w:tc>
      </w:tr>
      <w:tr w14:paraId="660B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6" w:type="dxa"/>
            <w:vMerge w:val="continue"/>
            <w:vAlign w:val="top"/>
          </w:tcPr>
          <w:p w14:paraId="1D7BE1BB">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A49E327">
            <w:pPr>
              <w:tabs>
                <w:tab w:val="left" w:pos="1260"/>
              </w:tabs>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税务登记机关</w:t>
            </w:r>
          </w:p>
        </w:tc>
        <w:tc>
          <w:tcPr>
            <w:tcW w:w="5407" w:type="dxa"/>
            <w:gridSpan w:val="3"/>
            <w:vAlign w:val="top"/>
          </w:tcPr>
          <w:p w14:paraId="694B21AC">
            <w:pPr>
              <w:tabs>
                <w:tab w:val="left" w:pos="1260"/>
              </w:tabs>
              <w:spacing w:line="440" w:lineRule="exact"/>
              <w:rPr>
                <w:rFonts w:hint="eastAsia" w:ascii="仿宋" w:hAnsi="仿宋" w:eastAsia="仿宋" w:cs="仿宋"/>
                <w:color w:val="auto"/>
                <w:sz w:val="28"/>
                <w:szCs w:val="28"/>
                <w:highlight w:val="none"/>
              </w:rPr>
            </w:pPr>
          </w:p>
        </w:tc>
      </w:tr>
      <w:tr w14:paraId="3788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56185185">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top"/>
          </w:tcPr>
          <w:p w14:paraId="2220A8EC">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机构代码证号</w:t>
            </w:r>
          </w:p>
        </w:tc>
        <w:tc>
          <w:tcPr>
            <w:tcW w:w="5407" w:type="dxa"/>
            <w:gridSpan w:val="3"/>
            <w:vAlign w:val="top"/>
          </w:tcPr>
          <w:p w14:paraId="27793D9C">
            <w:pPr>
              <w:tabs>
                <w:tab w:val="left" w:pos="1260"/>
              </w:tabs>
              <w:spacing w:line="440" w:lineRule="exact"/>
              <w:rPr>
                <w:rFonts w:hint="eastAsia" w:ascii="仿宋" w:hAnsi="仿宋" w:eastAsia="仿宋" w:cs="仿宋"/>
                <w:b/>
                <w:bCs/>
                <w:color w:val="auto"/>
                <w:sz w:val="28"/>
                <w:szCs w:val="28"/>
                <w:highlight w:val="none"/>
              </w:rPr>
            </w:pPr>
          </w:p>
        </w:tc>
      </w:tr>
      <w:tr w14:paraId="37D6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vAlign w:val="top"/>
          </w:tcPr>
          <w:p w14:paraId="6901A8DE">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法定代表人</w:t>
            </w:r>
          </w:p>
        </w:tc>
        <w:tc>
          <w:tcPr>
            <w:tcW w:w="1907" w:type="dxa"/>
            <w:vAlign w:val="center"/>
          </w:tcPr>
          <w:p w14:paraId="7A570A66">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379" w:type="dxa"/>
            <w:vAlign w:val="top"/>
          </w:tcPr>
          <w:p w14:paraId="785F9599">
            <w:pPr>
              <w:tabs>
                <w:tab w:val="left" w:pos="1260"/>
              </w:tabs>
              <w:spacing w:line="440" w:lineRule="exact"/>
              <w:rPr>
                <w:rFonts w:hint="eastAsia" w:ascii="仿宋" w:hAnsi="仿宋" w:eastAsia="仿宋" w:cs="仿宋"/>
                <w:color w:val="auto"/>
                <w:sz w:val="28"/>
                <w:szCs w:val="28"/>
                <w:highlight w:val="none"/>
              </w:rPr>
            </w:pPr>
          </w:p>
        </w:tc>
        <w:tc>
          <w:tcPr>
            <w:tcW w:w="2023" w:type="dxa"/>
            <w:vAlign w:val="center"/>
          </w:tcPr>
          <w:p w14:paraId="0CB291E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005" w:type="dxa"/>
            <w:vAlign w:val="top"/>
          </w:tcPr>
          <w:p w14:paraId="6E72356C">
            <w:pPr>
              <w:tabs>
                <w:tab w:val="left" w:pos="1260"/>
              </w:tabs>
              <w:spacing w:line="440" w:lineRule="exact"/>
              <w:rPr>
                <w:rFonts w:hint="eastAsia" w:ascii="仿宋" w:hAnsi="仿宋" w:eastAsia="仿宋" w:cs="仿宋"/>
                <w:color w:val="auto"/>
                <w:sz w:val="28"/>
                <w:szCs w:val="28"/>
                <w:highlight w:val="none"/>
              </w:rPr>
            </w:pPr>
          </w:p>
        </w:tc>
      </w:tr>
      <w:tr w14:paraId="5A1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5B7B50B">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11548C4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379" w:type="dxa"/>
            <w:vAlign w:val="top"/>
          </w:tcPr>
          <w:p w14:paraId="7C5DCEF4">
            <w:pPr>
              <w:tabs>
                <w:tab w:val="left" w:pos="1260"/>
              </w:tabs>
              <w:spacing w:line="440" w:lineRule="exact"/>
              <w:rPr>
                <w:rFonts w:hint="eastAsia" w:ascii="仿宋" w:hAnsi="仿宋" w:eastAsia="仿宋" w:cs="仿宋"/>
                <w:color w:val="auto"/>
                <w:sz w:val="28"/>
                <w:szCs w:val="28"/>
                <w:highlight w:val="none"/>
              </w:rPr>
            </w:pPr>
          </w:p>
        </w:tc>
        <w:tc>
          <w:tcPr>
            <w:tcW w:w="2023" w:type="dxa"/>
            <w:vAlign w:val="center"/>
          </w:tcPr>
          <w:p w14:paraId="025C71A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05" w:type="dxa"/>
            <w:vAlign w:val="top"/>
          </w:tcPr>
          <w:p w14:paraId="418696B6">
            <w:pPr>
              <w:tabs>
                <w:tab w:val="left" w:pos="1260"/>
              </w:tabs>
              <w:spacing w:line="440" w:lineRule="exact"/>
              <w:rPr>
                <w:rFonts w:hint="eastAsia" w:ascii="仿宋" w:hAnsi="仿宋" w:eastAsia="仿宋" w:cs="仿宋"/>
                <w:color w:val="auto"/>
                <w:sz w:val="28"/>
                <w:szCs w:val="28"/>
                <w:highlight w:val="none"/>
              </w:rPr>
            </w:pPr>
          </w:p>
        </w:tc>
      </w:tr>
      <w:tr w14:paraId="4D9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09B1C3B">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DB00AC6">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5407" w:type="dxa"/>
            <w:gridSpan w:val="3"/>
            <w:vAlign w:val="top"/>
          </w:tcPr>
          <w:p w14:paraId="0F66D520">
            <w:pPr>
              <w:tabs>
                <w:tab w:val="left" w:pos="1260"/>
              </w:tabs>
              <w:spacing w:line="440" w:lineRule="exact"/>
              <w:rPr>
                <w:rFonts w:hint="eastAsia" w:ascii="仿宋" w:hAnsi="仿宋" w:eastAsia="仿宋" w:cs="仿宋"/>
                <w:color w:val="auto"/>
                <w:sz w:val="28"/>
                <w:szCs w:val="28"/>
                <w:highlight w:val="none"/>
              </w:rPr>
            </w:pPr>
          </w:p>
        </w:tc>
      </w:tr>
      <w:tr w14:paraId="03EA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106" w:type="dxa"/>
            <w:vMerge w:val="restart"/>
            <w:vAlign w:val="center"/>
          </w:tcPr>
          <w:p w14:paraId="02CB982E">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14:paraId="5879161A">
            <w:pPr>
              <w:tabs>
                <w:tab w:val="left" w:pos="1260"/>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全件</w:t>
            </w:r>
            <w:r>
              <w:rPr>
                <w:rFonts w:hint="eastAsia" w:ascii="仿宋" w:hAnsi="仿宋" w:eastAsia="仿宋" w:cs="仿宋"/>
                <w:color w:val="auto"/>
                <w:sz w:val="28"/>
                <w:szCs w:val="28"/>
                <w:highlight w:val="none"/>
                <w:lang w:eastAsia="zh-CN"/>
              </w:rPr>
              <w:t>）</w:t>
            </w:r>
          </w:p>
        </w:tc>
        <w:tc>
          <w:tcPr>
            <w:tcW w:w="3286" w:type="dxa"/>
            <w:gridSpan w:val="2"/>
            <w:vMerge w:val="restart"/>
            <w:vAlign w:val="center"/>
          </w:tcPr>
          <w:p w14:paraId="367358FF">
            <w:pPr>
              <w:tabs>
                <w:tab w:val="left" w:pos="1260"/>
              </w:tabs>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（粘贴处）</w:t>
            </w:r>
          </w:p>
        </w:tc>
        <w:tc>
          <w:tcPr>
            <w:tcW w:w="4028" w:type="dxa"/>
            <w:gridSpan w:val="2"/>
            <w:vAlign w:val="center"/>
          </w:tcPr>
          <w:p w14:paraId="3D43FAD6">
            <w:pPr>
              <w:tabs>
                <w:tab w:val="left" w:pos="1260"/>
              </w:tabs>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p>
        </w:tc>
      </w:tr>
      <w:tr w14:paraId="0387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106" w:type="dxa"/>
            <w:vMerge w:val="continue"/>
            <w:vAlign w:val="top"/>
          </w:tcPr>
          <w:p w14:paraId="35833AB7">
            <w:pPr>
              <w:tabs>
                <w:tab w:val="left" w:pos="1260"/>
              </w:tabs>
              <w:spacing w:line="440" w:lineRule="exact"/>
              <w:rPr>
                <w:rFonts w:hint="eastAsia" w:ascii="仿宋" w:hAnsi="仿宋" w:eastAsia="仿宋" w:cs="仿宋"/>
                <w:b/>
                <w:bCs/>
                <w:color w:val="auto"/>
                <w:sz w:val="28"/>
                <w:szCs w:val="28"/>
                <w:highlight w:val="none"/>
              </w:rPr>
            </w:pPr>
          </w:p>
        </w:tc>
        <w:tc>
          <w:tcPr>
            <w:tcW w:w="3286" w:type="dxa"/>
            <w:gridSpan w:val="2"/>
            <w:vMerge w:val="continue"/>
            <w:vAlign w:val="top"/>
          </w:tcPr>
          <w:p w14:paraId="084C71C5">
            <w:pPr>
              <w:tabs>
                <w:tab w:val="left" w:pos="1260"/>
              </w:tabs>
              <w:spacing w:line="440" w:lineRule="exact"/>
              <w:rPr>
                <w:rFonts w:hint="eastAsia" w:ascii="仿宋" w:hAnsi="仿宋" w:eastAsia="仿宋" w:cs="仿宋"/>
                <w:b/>
                <w:bCs/>
                <w:color w:val="auto"/>
                <w:sz w:val="28"/>
                <w:szCs w:val="28"/>
                <w:highlight w:val="none"/>
              </w:rPr>
            </w:pPr>
          </w:p>
        </w:tc>
        <w:tc>
          <w:tcPr>
            <w:tcW w:w="4028" w:type="dxa"/>
            <w:gridSpan w:val="2"/>
            <w:vAlign w:val="center"/>
          </w:tcPr>
          <w:p w14:paraId="24FEC972">
            <w:pPr>
              <w:tabs>
                <w:tab w:val="left" w:pos="1260"/>
              </w:tabs>
              <w:spacing w:line="440" w:lineRule="exact"/>
              <w:ind w:firstLine="459"/>
              <w:jc w:val="center"/>
              <w:rPr>
                <w:rFonts w:hint="eastAsia" w:ascii="仿宋" w:hAnsi="仿宋" w:eastAsia="仿宋" w:cs="仿宋"/>
                <w:color w:val="auto"/>
                <w:sz w:val="28"/>
                <w:szCs w:val="28"/>
                <w:highlight w:val="none"/>
              </w:rPr>
            </w:pPr>
          </w:p>
          <w:p w14:paraId="785110AE">
            <w:pPr>
              <w:tabs>
                <w:tab w:val="left" w:pos="1260"/>
              </w:tabs>
              <w:spacing w:line="440" w:lineRule="exact"/>
              <w:ind w:firstLine="459"/>
              <w:jc w:val="center"/>
              <w:rPr>
                <w:rFonts w:hint="eastAsia" w:ascii="仿宋" w:hAnsi="仿宋" w:eastAsia="仿宋" w:cs="仿宋"/>
                <w:color w:val="auto"/>
                <w:sz w:val="28"/>
                <w:szCs w:val="28"/>
                <w:highlight w:val="none"/>
              </w:rPr>
            </w:pPr>
          </w:p>
          <w:p w14:paraId="7BB48595">
            <w:pPr>
              <w:tabs>
                <w:tab w:val="left" w:pos="1260"/>
              </w:tabs>
              <w:spacing w:line="440" w:lineRule="exact"/>
              <w:ind w:firstLine="459"/>
              <w:jc w:val="center"/>
              <w:rPr>
                <w:rFonts w:hint="eastAsia" w:ascii="仿宋" w:hAnsi="仿宋" w:eastAsia="仿宋" w:cs="仿宋"/>
                <w:color w:val="auto"/>
                <w:sz w:val="28"/>
                <w:szCs w:val="28"/>
                <w:highlight w:val="none"/>
              </w:rPr>
            </w:pPr>
          </w:p>
          <w:p w14:paraId="518C3770">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690AFB0E">
            <w:pPr>
              <w:tabs>
                <w:tab w:val="left" w:pos="1260"/>
              </w:tabs>
              <w:spacing w:line="440" w:lineRule="exact"/>
              <w:ind w:firstLine="459"/>
              <w:jc w:val="center"/>
              <w:rPr>
                <w:rFonts w:hint="eastAsia" w:ascii="仿宋" w:hAnsi="仿宋" w:eastAsia="仿宋" w:cs="仿宋"/>
                <w:color w:val="auto"/>
                <w:sz w:val="28"/>
                <w:szCs w:val="28"/>
                <w:highlight w:val="none"/>
              </w:rPr>
            </w:pPr>
          </w:p>
          <w:p w14:paraId="74B245AE">
            <w:pPr>
              <w:tabs>
                <w:tab w:val="left" w:pos="1260"/>
              </w:tabs>
              <w:spacing w:line="440" w:lineRule="exact"/>
              <w:ind w:right="280" w:firstLine="459"/>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648E67E7">
      <w:pPr>
        <w:pStyle w:val="2"/>
        <w:rPr>
          <w:rFonts w:hint="eastAsia" w:ascii="仿宋" w:hAnsi="仿宋" w:eastAsia="仿宋" w:cs="仿宋"/>
          <w:b/>
          <w:bCs/>
          <w:color w:val="auto"/>
          <w:sz w:val="24"/>
          <w:highlight w:val="none"/>
          <w:lang w:val="en-US" w:eastAsia="zh-CN"/>
        </w:rPr>
      </w:pPr>
    </w:p>
    <w:p w14:paraId="2978B5D3">
      <w:pPr>
        <w:tabs>
          <w:tab w:val="left" w:pos="1260"/>
        </w:tabs>
        <w:spacing w:line="440" w:lineRule="exact"/>
        <w:jc w:val="center"/>
        <w:rPr>
          <w:rFonts w:hint="eastAsia" w:ascii="仿宋" w:hAnsi="仿宋" w:eastAsia="仿宋" w:cs="仿宋"/>
          <w:b/>
          <w:bCs/>
          <w:color w:val="auto"/>
          <w:sz w:val="32"/>
          <w:szCs w:val="32"/>
          <w:highlight w:val="none"/>
          <w:u w:val="single"/>
        </w:rPr>
      </w:pPr>
    </w:p>
    <w:p w14:paraId="6EB2FB69">
      <w:pPr>
        <w:tabs>
          <w:tab w:val="left" w:pos="1260"/>
        </w:tabs>
        <w:spacing w:line="440" w:lineRule="exact"/>
        <w:jc w:val="center"/>
        <w:rPr>
          <w:rFonts w:hint="eastAsia" w:ascii="仿宋" w:hAnsi="仿宋" w:eastAsia="仿宋" w:cs="仿宋"/>
          <w:b/>
          <w:bCs/>
          <w:color w:val="auto"/>
          <w:sz w:val="32"/>
          <w:szCs w:val="32"/>
          <w:highlight w:val="none"/>
          <w:u w:val="single"/>
        </w:rPr>
      </w:pPr>
    </w:p>
    <w:p w14:paraId="61AB7F1A">
      <w:pPr>
        <w:tabs>
          <w:tab w:val="left" w:pos="1260"/>
        </w:tabs>
        <w:spacing w:line="440" w:lineRule="exact"/>
        <w:jc w:val="center"/>
        <w:rPr>
          <w:rFonts w:hint="eastAsia" w:ascii="仿宋" w:hAnsi="仿宋" w:eastAsia="仿宋" w:cs="仿宋"/>
          <w:b/>
          <w:bCs/>
          <w:color w:val="auto"/>
          <w:sz w:val="32"/>
          <w:szCs w:val="32"/>
          <w:highlight w:val="none"/>
          <w:u w:val="single"/>
        </w:rPr>
      </w:pPr>
    </w:p>
    <w:p w14:paraId="1AB6F04C">
      <w:pPr>
        <w:tabs>
          <w:tab w:val="left" w:pos="1260"/>
        </w:tabs>
        <w:spacing w:line="440" w:lineRule="exact"/>
        <w:jc w:val="center"/>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single"/>
        </w:rPr>
        <w:t>1.2法定代表人授权书</w:t>
      </w:r>
    </w:p>
    <w:p w14:paraId="7B0DA67D">
      <w:pPr>
        <w:tabs>
          <w:tab w:val="left" w:pos="1260"/>
        </w:tabs>
        <w:spacing w:line="240" w:lineRule="exact"/>
        <w:rPr>
          <w:rFonts w:hint="eastAsia" w:ascii="仿宋" w:hAnsi="仿宋" w:eastAsia="仿宋" w:cs="仿宋"/>
          <w:b/>
          <w:bCs/>
          <w:color w:val="auto"/>
          <w:sz w:val="36"/>
          <w:szCs w:val="44"/>
          <w:highlight w:val="none"/>
        </w:rPr>
      </w:pPr>
    </w:p>
    <w:tbl>
      <w:tblPr>
        <w:tblStyle w:val="17"/>
        <w:tblW w:w="900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21"/>
        <w:gridCol w:w="1399"/>
        <w:gridCol w:w="295"/>
        <w:gridCol w:w="2050"/>
        <w:gridCol w:w="2257"/>
      </w:tblGrid>
      <w:tr w14:paraId="64E0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00" w:type="dxa"/>
            <w:gridSpan w:val="6"/>
            <w:vAlign w:val="center"/>
          </w:tcPr>
          <w:p w14:paraId="23F3B903">
            <w:pPr>
              <w:tabs>
                <w:tab w:val="left" w:pos="1260"/>
              </w:tabs>
              <w:spacing w:line="440" w:lineRule="exact"/>
              <w:ind w:firstLine="156" w:firstLineChars="5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2A89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restart"/>
            <w:vAlign w:val="center"/>
          </w:tcPr>
          <w:p w14:paraId="191C1186">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2221" w:type="dxa"/>
            <w:vAlign w:val="center"/>
          </w:tcPr>
          <w:p w14:paraId="0D62341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694" w:type="dxa"/>
            <w:gridSpan w:val="2"/>
            <w:vAlign w:val="top"/>
          </w:tcPr>
          <w:p w14:paraId="71C61D2B">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3C81F1CF">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257" w:type="dxa"/>
            <w:vAlign w:val="top"/>
          </w:tcPr>
          <w:p w14:paraId="0242209A">
            <w:pPr>
              <w:tabs>
                <w:tab w:val="left" w:pos="1260"/>
              </w:tabs>
              <w:spacing w:line="440" w:lineRule="exact"/>
              <w:rPr>
                <w:rFonts w:hint="eastAsia" w:ascii="仿宋" w:hAnsi="仿宋" w:eastAsia="仿宋" w:cs="仿宋"/>
                <w:color w:val="auto"/>
                <w:sz w:val="28"/>
                <w:szCs w:val="28"/>
                <w:highlight w:val="none"/>
              </w:rPr>
            </w:pPr>
          </w:p>
        </w:tc>
      </w:tr>
      <w:tr w14:paraId="06E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68656137">
            <w:pPr>
              <w:tabs>
                <w:tab w:val="left" w:pos="1260"/>
              </w:tabs>
              <w:spacing w:line="360" w:lineRule="exact"/>
              <w:jc w:val="center"/>
              <w:rPr>
                <w:rFonts w:hint="eastAsia" w:ascii="仿宋" w:hAnsi="仿宋" w:eastAsia="仿宋" w:cs="仿宋"/>
                <w:color w:val="auto"/>
                <w:sz w:val="28"/>
                <w:szCs w:val="28"/>
                <w:highlight w:val="none"/>
              </w:rPr>
            </w:pPr>
          </w:p>
        </w:tc>
        <w:tc>
          <w:tcPr>
            <w:tcW w:w="2221" w:type="dxa"/>
            <w:vAlign w:val="center"/>
          </w:tcPr>
          <w:p w14:paraId="64070B0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694" w:type="dxa"/>
            <w:gridSpan w:val="2"/>
            <w:vAlign w:val="top"/>
          </w:tcPr>
          <w:p w14:paraId="6EF4CC21">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423B484B">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2257" w:type="dxa"/>
            <w:vAlign w:val="top"/>
          </w:tcPr>
          <w:p w14:paraId="3B8FCA28">
            <w:pPr>
              <w:tabs>
                <w:tab w:val="left" w:pos="1260"/>
              </w:tabs>
              <w:spacing w:line="440" w:lineRule="exact"/>
              <w:rPr>
                <w:rFonts w:hint="eastAsia" w:ascii="仿宋" w:hAnsi="仿宋" w:eastAsia="仿宋" w:cs="仿宋"/>
                <w:color w:val="auto"/>
                <w:sz w:val="28"/>
                <w:szCs w:val="28"/>
                <w:highlight w:val="none"/>
              </w:rPr>
            </w:pPr>
          </w:p>
        </w:tc>
      </w:tr>
      <w:tr w14:paraId="56D7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487599C0">
            <w:pPr>
              <w:tabs>
                <w:tab w:val="left" w:pos="1260"/>
              </w:tabs>
              <w:spacing w:line="360" w:lineRule="exact"/>
              <w:jc w:val="center"/>
              <w:rPr>
                <w:rFonts w:hint="eastAsia" w:ascii="仿宋" w:hAnsi="仿宋" w:eastAsia="仿宋" w:cs="仿宋"/>
                <w:color w:val="auto"/>
                <w:sz w:val="28"/>
                <w:szCs w:val="28"/>
                <w:highlight w:val="none"/>
              </w:rPr>
            </w:pPr>
          </w:p>
        </w:tc>
        <w:tc>
          <w:tcPr>
            <w:tcW w:w="2221" w:type="dxa"/>
            <w:vAlign w:val="center"/>
          </w:tcPr>
          <w:p w14:paraId="569CB27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1694" w:type="dxa"/>
            <w:gridSpan w:val="2"/>
            <w:vAlign w:val="top"/>
          </w:tcPr>
          <w:p w14:paraId="6C9A3172">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0D4F5180">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图文传真</w:t>
            </w:r>
          </w:p>
        </w:tc>
        <w:tc>
          <w:tcPr>
            <w:tcW w:w="2257" w:type="dxa"/>
            <w:vAlign w:val="top"/>
          </w:tcPr>
          <w:p w14:paraId="630838B9">
            <w:pPr>
              <w:tabs>
                <w:tab w:val="left" w:pos="1260"/>
              </w:tabs>
              <w:spacing w:line="440" w:lineRule="exact"/>
              <w:rPr>
                <w:rFonts w:hint="eastAsia" w:ascii="仿宋" w:hAnsi="仿宋" w:eastAsia="仿宋" w:cs="仿宋"/>
                <w:color w:val="auto"/>
                <w:sz w:val="28"/>
                <w:szCs w:val="28"/>
                <w:highlight w:val="none"/>
              </w:rPr>
            </w:pPr>
          </w:p>
        </w:tc>
      </w:tr>
      <w:tr w14:paraId="1EA5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3A2135A5">
            <w:pPr>
              <w:tabs>
                <w:tab w:val="left" w:pos="1260"/>
              </w:tabs>
              <w:spacing w:line="360" w:lineRule="exact"/>
              <w:jc w:val="center"/>
              <w:rPr>
                <w:rFonts w:hint="eastAsia" w:ascii="仿宋" w:hAnsi="仿宋" w:eastAsia="仿宋" w:cs="仿宋"/>
                <w:color w:val="auto"/>
                <w:sz w:val="28"/>
                <w:szCs w:val="28"/>
                <w:highlight w:val="none"/>
              </w:rPr>
            </w:pPr>
          </w:p>
        </w:tc>
        <w:tc>
          <w:tcPr>
            <w:tcW w:w="2221" w:type="dxa"/>
            <w:vAlign w:val="center"/>
          </w:tcPr>
          <w:p w14:paraId="4CB11CC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通讯地址</w:t>
            </w:r>
          </w:p>
        </w:tc>
        <w:tc>
          <w:tcPr>
            <w:tcW w:w="6001" w:type="dxa"/>
            <w:gridSpan w:val="4"/>
            <w:vAlign w:val="top"/>
          </w:tcPr>
          <w:p w14:paraId="1A6C3BEB">
            <w:pPr>
              <w:tabs>
                <w:tab w:val="left" w:pos="1260"/>
              </w:tabs>
              <w:spacing w:line="440" w:lineRule="exact"/>
              <w:rPr>
                <w:rFonts w:hint="eastAsia" w:ascii="仿宋" w:hAnsi="仿宋" w:eastAsia="仿宋" w:cs="仿宋"/>
                <w:color w:val="auto"/>
                <w:sz w:val="28"/>
                <w:szCs w:val="28"/>
                <w:highlight w:val="none"/>
              </w:rPr>
            </w:pPr>
          </w:p>
        </w:tc>
      </w:tr>
      <w:tr w14:paraId="2512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6605CDE0">
            <w:pPr>
              <w:tabs>
                <w:tab w:val="left" w:pos="1260"/>
              </w:tabs>
              <w:spacing w:line="360" w:lineRule="exact"/>
              <w:jc w:val="center"/>
              <w:rPr>
                <w:rFonts w:hint="eastAsia" w:ascii="仿宋" w:hAnsi="仿宋" w:eastAsia="仿宋" w:cs="仿宋"/>
                <w:color w:val="auto"/>
                <w:sz w:val="28"/>
                <w:szCs w:val="28"/>
                <w:highlight w:val="none"/>
              </w:rPr>
            </w:pPr>
          </w:p>
        </w:tc>
        <w:tc>
          <w:tcPr>
            <w:tcW w:w="2221" w:type="dxa"/>
            <w:vAlign w:val="center"/>
          </w:tcPr>
          <w:p w14:paraId="73576CD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6001" w:type="dxa"/>
            <w:gridSpan w:val="4"/>
            <w:vAlign w:val="top"/>
          </w:tcPr>
          <w:p w14:paraId="6698F62E">
            <w:pPr>
              <w:tabs>
                <w:tab w:val="left" w:pos="1260"/>
              </w:tabs>
              <w:spacing w:line="440" w:lineRule="exact"/>
              <w:rPr>
                <w:rFonts w:hint="eastAsia" w:ascii="仿宋" w:hAnsi="仿宋" w:eastAsia="仿宋" w:cs="仿宋"/>
                <w:color w:val="auto"/>
                <w:sz w:val="28"/>
                <w:szCs w:val="28"/>
                <w:highlight w:val="none"/>
              </w:rPr>
            </w:pPr>
          </w:p>
        </w:tc>
      </w:tr>
      <w:tr w14:paraId="749A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778" w:type="dxa"/>
            <w:vMerge w:val="restart"/>
            <w:vAlign w:val="center"/>
          </w:tcPr>
          <w:p w14:paraId="2C91E494">
            <w:pPr>
              <w:tabs>
                <w:tab w:val="left" w:pos="1260"/>
              </w:tabs>
              <w:spacing w:line="3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被授权项目与内容</w:t>
            </w:r>
          </w:p>
        </w:tc>
        <w:tc>
          <w:tcPr>
            <w:tcW w:w="2221" w:type="dxa"/>
            <w:vAlign w:val="center"/>
          </w:tcPr>
          <w:p w14:paraId="7B2282C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001" w:type="dxa"/>
            <w:gridSpan w:val="4"/>
            <w:vAlign w:val="center"/>
          </w:tcPr>
          <w:p w14:paraId="16966797">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30DC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778" w:type="dxa"/>
            <w:vMerge w:val="continue"/>
            <w:vAlign w:val="center"/>
          </w:tcPr>
          <w:p w14:paraId="5F95F470">
            <w:pPr>
              <w:tabs>
                <w:tab w:val="left" w:pos="1260"/>
              </w:tabs>
              <w:spacing w:line="320" w:lineRule="exact"/>
              <w:jc w:val="center"/>
              <w:rPr>
                <w:rFonts w:hint="eastAsia" w:ascii="仿宋" w:hAnsi="仿宋" w:eastAsia="仿宋" w:cs="仿宋"/>
                <w:color w:val="auto"/>
                <w:sz w:val="28"/>
                <w:szCs w:val="28"/>
                <w:highlight w:val="none"/>
              </w:rPr>
            </w:pPr>
          </w:p>
        </w:tc>
        <w:tc>
          <w:tcPr>
            <w:tcW w:w="2221" w:type="dxa"/>
            <w:vAlign w:val="center"/>
          </w:tcPr>
          <w:p w14:paraId="5EC50F5D">
            <w:pPr>
              <w:tabs>
                <w:tab w:val="left" w:pos="1260"/>
              </w:tabs>
              <w:spacing w:line="44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标段/采购包号</w:t>
            </w:r>
          </w:p>
        </w:tc>
        <w:tc>
          <w:tcPr>
            <w:tcW w:w="6001" w:type="dxa"/>
            <w:gridSpan w:val="4"/>
            <w:vAlign w:val="center"/>
          </w:tcPr>
          <w:p w14:paraId="05B9251C">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434D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78" w:type="dxa"/>
            <w:vMerge w:val="continue"/>
            <w:vAlign w:val="center"/>
          </w:tcPr>
          <w:p w14:paraId="1AD27BFB">
            <w:pPr>
              <w:tabs>
                <w:tab w:val="left" w:pos="1260"/>
              </w:tabs>
              <w:spacing w:line="440" w:lineRule="exact"/>
              <w:jc w:val="center"/>
              <w:rPr>
                <w:rFonts w:hint="eastAsia" w:ascii="仿宋" w:hAnsi="仿宋" w:eastAsia="仿宋" w:cs="仿宋"/>
                <w:color w:val="auto"/>
                <w:sz w:val="28"/>
                <w:szCs w:val="28"/>
                <w:highlight w:val="none"/>
              </w:rPr>
            </w:pPr>
          </w:p>
        </w:tc>
        <w:tc>
          <w:tcPr>
            <w:tcW w:w="2221" w:type="dxa"/>
            <w:vAlign w:val="center"/>
          </w:tcPr>
          <w:p w14:paraId="77E504D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001" w:type="dxa"/>
            <w:gridSpan w:val="4"/>
            <w:vAlign w:val="center"/>
          </w:tcPr>
          <w:p w14:paraId="0F55F8C2">
            <w:pPr>
              <w:tabs>
                <w:tab w:val="left" w:pos="1260"/>
              </w:tabs>
              <w:spacing w:line="440" w:lineRule="exact"/>
              <w:jc w:val="both"/>
              <w:rPr>
                <w:rFonts w:hint="eastAsia" w:ascii="仿宋" w:hAnsi="仿宋" w:eastAsia="仿宋" w:cs="仿宋"/>
                <w:color w:val="auto"/>
                <w:sz w:val="28"/>
                <w:szCs w:val="28"/>
                <w:highlight w:val="none"/>
                <w:lang w:val="en-US"/>
              </w:rPr>
            </w:pPr>
          </w:p>
        </w:tc>
      </w:tr>
      <w:tr w14:paraId="7BFD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78" w:type="dxa"/>
            <w:vMerge w:val="continue"/>
            <w:vAlign w:val="center"/>
          </w:tcPr>
          <w:p w14:paraId="4D47FAD1">
            <w:pPr>
              <w:tabs>
                <w:tab w:val="left" w:pos="1260"/>
              </w:tabs>
              <w:spacing w:line="440" w:lineRule="exact"/>
              <w:jc w:val="center"/>
              <w:rPr>
                <w:rFonts w:hint="eastAsia" w:ascii="仿宋" w:hAnsi="仿宋" w:eastAsia="仿宋" w:cs="仿宋"/>
                <w:color w:val="auto"/>
                <w:sz w:val="28"/>
                <w:szCs w:val="28"/>
                <w:highlight w:val="none"/>
              </w:rPr>
            </w:pPr>
          </w:p>
        </w:tc>
        <w:tc>
          <w:tcPr>
            <w:tcW w:w="2221" w:type="dxa"/>
            <w:vAlign w:val="center"/>
          </w:tcPr>
          <w:p w14:paraId="0F345B1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授权范围</w:t>
            </w:r>
          </w:p>
        </w:tc>
        <w:tc>
          <w:tcPr>
            <w:tcW w:w="6001" w:type="dxa"/>
            <w:gridSpan w:val="4"/>
            <w:vAlign w:val="center"/>
          </w:tcPr>
          <w:p w14:paraId="579E9B51">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全权办理本磋商采购项目的响应、联系、洽谈、签约、执行等具体事务，签署全部有关的文件、文书、协议及合同。</w:t>
            </w:r>
          </w:p>
        </w:tc>
      </w:tr>
      <w:tr w14:paraId="1A0E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78" w:type="dxa"/>
            <w:vMerge w:val="continue"/>
            <w:vAlign w:val="center"/>
          </w:tcPr>
          <w:p w14:paraId="5365B1D2">
            <w:pPr>
              <w:tabs>
                <w:tab w:val="left" w:pos="1260"/>
              </w:tabs>
              <w:spacing w:line="440" w:lineRule="exact"/>
              <w:jc w:val="center"/>
              <w:rPr>
                <w:rFonts w:hint="eastAsia" w:ascii="仿宋" w:hAnsi="仿宋" w:eastAsia="仿宋" w:cs="仿宋"/>
                <w:color w:val="auto"/>
                <w:sz w:val="28"/>
                <w:szCs w:val="28"/>
                <w:highlight w:val="none"/>
              </w:rPr>
            </w:pPr>
          </w:p>
        </w:tc>
        <w:tc>
          <w:tcPr>
            <w:tcW w:w="2221" w:type="dxa"/>
            <w:vAlign w:val="center"/>
          </w:tcPr>
          <w:p w14:paraId="3BEC246E">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法律责任</w:t>
            </w:r>
          </w:p>
        </w:tc>
        <w:tc>
          <w:tcPr>
            <w:tcW w:w="6001" w:type="dxa"/>
            <w:gridSpan w:val="4"/>
            <w:vAlign w:val="center"/>
          </w:tcPr>
          <w:p w14:paraId="2E9FC746">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本公司对被授权人在本项目中的签名承担全部法律责任。</w:t>
            </w:r>
          </w:p>
        </w:tc>
      </w:tr>
      <w:tr w14:paraId="241C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78" w:type="dxa"/>
            <w:vMerge w:val="continue"/>
            <w:vAlign w:val="center"/>
          </w:tcPr>
          <w:p w14:paraId="60CC63A6">
            <w:pPr>
              <w:tabs>
                <w:tab w:val="left" w:pos="1260"/>
              </w:tabs>
              <w:spacing w:line="440" w:lineRule="exact"/>
              <w:jc w:val="center"/>
              <w:rPr>
                <w:rFonts w:hint="eastAsia" w:ascii="仿宋" w:hAnsi="仿宋" w:eastAsia="仿宋" w:cs="仿宋"/>
                <w:color w:val="auto"/>
                <w:sz w:val="28"/>
                <w:szCs w:val="28"/>
                <w:highlight w:val="none"/>
              </w:rPr>
            </w:pPr>
          </w:p>
        </w:tc>
        <w:tc>
          <w:tcPr>
            <w:tcW w:w="2221" w:type="dxa"/>
            <w:vAlign w:val="center"/>
          </w:tcPr>
          <w:p w14:paraId="59DC29B3">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授权期限</w:t>
            </w:r>
          </w:p>
        </w:tc>
        <w:tc>
          <w:tcPr>
            <w:tcW w:w="6001" w:type="dxa"/>
            <w:gridSpan w:val="4"/>
            <w:vAlign w:val="center"/>
          </w:tcPr>
          <w:p w14:paraId="6D775C9A">
            <w:pPr>
              <w:tabs>
                <w:tab w:val="left" w:pos="1260"/>
              </w:tabs>
              <w:spacing w:line="36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本授权书自磋商大会之日计算有效期为90天。</w:t>
            </w:r>
          </w:p>
        </w:tc>
      </w:tr>
      <w:tr w14:paraId="3BC2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398" w:type="dxa"/>
            <w:gridSpan w:val="3"/>
            <w:vAlign w:val="center"/>
          </w:tcPr>
          <w:p w14:paraId="744305A1">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被授权人身份证复印件</w:t>
            </w:r>
          </w:p>
        </w:tc>
        <w:tc>
          <w:tcPr>
            <w:tcW w:w="4602" w:type="dxa"/>
            <w:gridSpan w:val="3"/>
            <w:vAlign w:val="center"/>
          </w:tcPr>
          <w:p w14:paraId="5A74E71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法定代表人签署栏</w:t>
            </w:r>
          </w:p>
        </w:tc>
      </w:tr>
      <w:tr w14:paraId="11B2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5" w:hRule="atLeast"/>
        </w:trPr>
        <w:tc>
          <w:tcPr>
            <w:tcW w:w="4398" w:type="dxa"/>
            <w:gridSpan w:val="3"/>
            <w:vAlign w:val="center"/>
          </w:tcPr>
          <w:p w14:paraId="7BF86CBC">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（粘贴处）</w:t>
            </w:r>
          </w:p>
        </w:tc>
        <w:tc>
          <w:tcPr>
            <w:tcW w:w="4602" w:type="dxa"/>
            <w:gridSpan w:val="3"/>
            <w:vAlign w:val="center"/>
          </w:tcPr>
          <w:p w14:paraId="1E717277">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1D95B398">
            <w:pPr>
              <w:pStyle w:val="2"/>
              <w:rPr>
                <w:rFonts w:hint="eastAsia" w:ascii="仿宋" w:hAnsi="仿宋" w:eastAsia="仿宋" w:cs="仿宋"/>
                <w:color w:val="auto"/>
                <w:sz w:val="28"/>
                <w:szCs w:val="28"/>
                <w:highlight w:val="none"/>
              </w:rPr>
            </w:pPr>
          </w:p>
          <w:p w14:paraId="199020C7">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法定代表人代表签字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r>
              <w:rPr>
                <w:rFonts w:hint="eastAsia" w:ascii="仿宋" w:hAnsi="仿宋" w:eastAsia="仿宋" w:cs="仿宋"/>
                <w:color w:val="auto"/>
                <w:sz w:val="28"/>
                <w:szCs w:val="28"/>
                <w:highlight w:val="none"/>
              </w:rPr>
              <w:t>）</w:t>
            </w:r>
          </w:p>
          <w:p w14:paraId="0394594D">
            <w:pPr>
              <w:tabs>
                <w:tab w:val="left" w:pos="1260"/>
              </w:tabs>
              <w:spacing w:line="220" w:lineRule="exact"/>
              <w:jc w:val="center"/>
              <w:rPr>
                <w:rFonts w:hint="eastAsia" w:ascii="仿宋" w:hAnsi="仿宋" w:eastAsia="仿宋" w:cs="仿宋"/>
                <w:color w:val="auto"/>
                <w:sz w:val="28"/>
                <w:szCs w:val="28"/>
                <w:highlight w:val="none"/>
              </w:rPr>
            </w:pPr>
          </w:p>
          <w:p w14:paraId="497E1FFB">
            <w:pPr>
              <w:pStyle w:val="2"/>
              <w:rPr>
                <w:rFonts w:hint="eastAsia" w:ascii="仿宋" w:hAnsi="仿宋" w:eastAsia="仿宋" w:cs="仿宋"/>
                <w:color w:val="auto"/>
                <w:sz w:val="28"/>
                <w:szCs w:val="28"/>
                <w:highlight w:val="none"/>
              </w:rPr>
            </w:pPr>
          </w:p>
          <w:p w14:paraId="624EB945">
            <w:pPr>
              <w:tabs>
                <w:tab w:val="left" w:pos="1260"/>
              </w:tabs>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7106B500">
      <w:pP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重要提示：</w:t>
      </w:r>
    </w:p>
    <w:p w14:paraId="75609EC0">
      <w:pPr>
        <w:numPr>
          <w:ilvl w:val="0"/>
          <w:numId w:val="0"/>
        </w:numPr>
        <w:tabs>
          <w:tab w:val="left" w:pos="360"/>
        </w:tabs>
        <w:autoSpaceDE w:val="0"/>
        <w:autoSpaceDN w:val="0"/>
        <w:adjustRightInd w:val="0"/>
        <w:spacing w:line="400" w:lineRule="exact"/>
        <w:ind w:leftChars="12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非法定代表人响应的须有法定代表人授权，并要求响应</w:t>
      </w:r>
      <w:r>
        <w:rPr>
          <w:rFonts w:hint="eastAsia" w:ascii="仿宋" w:hAnsi="仿宋" w:eastAsia="仿宋" w:cs="仿宋"/>
          <w:bCs/>
          <w:color w:val="auto"/>
          <w:sz w:val="24"/>
          <w:highlight w:val="none"/>
        </w:rPr>
        <w:t>文件正本内装订授权书原件。</w:t>
      </w:r>
    </w:p>
    <w:p w14:paraId="4DE6ADB2">
      <w:pPr>
        <w:numPr>
          <w:ilvl w:val="0"/>
          <w:numId w:val="0"/>
        </w:numPr>
        <w:tabs>
          <w:tab w:val="left" w:pos="360"/>
        </w:tabs>
        <w:autoSpaceDE w:val="0"/>
        <w:autoSpaceDN w:val="0"/>
        <w:adjustRightInd w:val="0"/>
        <w:spacing w:line="400" w:lineRule="exact"/>
        <w:ind w:leftChars="128"/>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本授权书有效期应自磋商大会之日计算不得少于</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天。</w:t>
      </w:r>
    </w:p>
    <w:p w14:paraId="4732FDC9">
      <w:pPr>
        <w:tabs>
          <w:tab w:val="left" w:pos="1260"/>
        </w:tabs>
        <w:spacing w:line="440" w:lineRule="exact"/>
        <w:jc w:val="center"/>
        <w:outlineLvl w:val="1"/>
        <w:rPr>
          <w:rFonts w:hint="eastAsia" w:ascii="仿宋" w:hAnsi="仿宋" w:eastAsia="仿宋" w:cs="仿宋"/>
          <w:b/>
          <w:bCs/>
          <w:color w:val="auto"/>
          <w:sz w:val="32"/>
          <w:szCs w:val="32"/>
          <w:highlight w:val="none"/>
        </w:rPr>
      </w:pPr>
      <w:bookmarkStart w:id="35" w:name="_Toc26386"/>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磋商响应函</w:t>
      </w:r>
      <w:bookmarkEnd w:id="35"/>
    </w:p>
    <w:p w14:paraId="4B6917FE">
      <w:pPr>
        <w:pStyle w:val="9"/>
        <w:spacing w:line="240" w:lineRule="exact"/>
        <w:ind w:left="5250"/>
        <w:rPr>
          <w:rFonts w:hint="eastAsia" w:ascii="仿宋" w:hAnsi="仿宋" w:eastAsia="仿宋" w:cs="仿宋"/>
          <w:color w:val="auto"/>
          <w:sz w:val="11"/>
          <w:szCs w:val="11"/>
          <w:highlight w:val="none"/>
        </w:rPr>
      </w:pPr>
    </w:p>
    <w:tbl>
      <w:tblPr>
        <w:tblStyle w:val="17"/>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22"/>
        <w:gridCol w:w="1163"/>
        <w:gridCol w:w="192"/>
        <w:gridCol w:w="2513"/>
        <w:gridCol w:w="382"/>
        <w:gridCol w:w="347"/>
        <w:gridCol w:w="252"/>
        <w:gridCol w:w="785"/>
        <w:gridCol w:w="1800"/>
      </w:tblGrid>
      <w:tr w14:paraId="4569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74B015F9">
            <w:pPr>
              <w:tabs>
                <w:tab w:val="left" w:pos="1260"/>
              </w:tabs>
              <w:ind w:firstLine="156" w:firstLineChars="5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78A5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5B94F60C">
            <w:pPr>
              <w:tabs>
                <w:tab w:val="left" w:pos="1260"/>
              </w:tabs>
              <w:spacing w:line="3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val="en-US" w:eastAsia="zh-CN"/>
              </w:rPr>
              <w:t>信息</w:t>
            </w:r>
          </w:p>
        </w:tc>
        <w:tc>
          <w:tcPr>
            <w:tcW w:w="2077" w:type="dxa"/>
            <w:gridSpan w:val="3"/>
            <w:vAlign w:val="center"/>
          </w:tcPr>
          <w:p w14:paraId="607AA9EB">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6079" w:type="dxa"/>
            <w:gridSpan w:val="6"/>
            <w:vAlign w:val="top"/>
          </w:tcPr>
          <w:p w14:paraId="39DD73EE">
            <w:pPr>
              <w:tabs>
                <w:tab w:val="left" w:pos="1260"/>
              </w:tabs>
              <w:rPr>
                <w:rFonts w:hint="eastAsia" w:ascii="仿宋" w:hAnsi="仿宋" w:eastAsia="仿宋" w:cs="仿宋"/>
                <w:color w:val="auto"/>
                <w:sz w:val="28"/>
                <w:szCs w:val="28"/>
                <w:highlight w:val="none"/>
              </w:rPr>
            </w:pPr>
          </w:p>
        </w:tc>
      </w:tr>
      <w:tr w14:paraId="3126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4A83E9C">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11753BD9">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6079" w:type="dxa"/>
            <w:gridSpan w:val="6"/>
            <w:vAlign w:val="top"/>
          </w:tcPr>
          <w:p w14:paraId="352F52BF">
            <w:pPr>
              <w:tabs>
                <w:tab w:val="left" w:pos="1260"/>
              </w:tabs>
              <w:rPr>
                <w:rFonts w:hint="eastAsia" w:ascii="仿宋" w:hAnsi="仿宋" w:eastAsia="仿宋" w:cs="仿宋"/>
                <w:color w:val="auto"/>
                <w:sz w:val="28"/>
                <w:szCs w:val="28"/>
                <w:highlight w:val="none"/>
              </w:rPr>
            </w:pPr>
          </w:p>
        </w:tc>
      </w:tr>
      <w:tr w14:paraId="3F16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18056421">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265F41D7">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2513" w:type="dxa"/>
            <w:vAlign w:val="top"/>
          </w:tcPr>
          <w:p w14:paraId="2D8430DE">
            <w:pPr>
              <w:tabs>
                <w:tab w:val="left" w:pos="1260"/>
              </w:tabs>
              <w:rPr>
                <w:rFonts w:hint="eastAsia" w:ascii="仿宋" w:hAnsi="仿宋" w:eastAsia="仿宋" w:cs="仿宋"/>
                <w:color w:val="auto"/>
                <w:sz w:val="28"/>
                <w:szCs w:val="28"/>
                <w:highlight w:val="none"/>
              </w:rPr>
            </w:pPr>
          </w:p>
        </w:tc>
        <w:tc>
          <w:tcPr>
            <w:tcW w:w="981" w:type="dxa"/>
            <w:gridSpan w:val="3"/>
            <w:vAlign w:val="center"/>
          </w:tcPr>
          <w:p w14:paraId="2FE0C8A0">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12CBAD22">
            <w:pPr>
              <w:tabs>
                <w:tab w:val="left" w:pos="1260"/>
              </w:tabs>
              <w:ind w:firstLine="459"/>
              <w:rPr>
                <w:rFonts w:hint="eastAsia" w:ascii="仿宋" w:hAnsi="仿宋" w:eastAsia="仿宋" w:cs="仿宋"/>
                <w:color w:val="auto"/>
                <w:sz w:val="28"/>
                <w:szCs w:val="28"/>
                <w:highlight w:val="none"/>
              </w:rPr>
            </w:pPr>
          </w:p>
        </w:tc>
      </w:tr>
      <w:tr w14:paraId="6893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18D4A541">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w:t>
            </w:r>
          </w:p>
          <w:p w14:paraId="0A8E84C6">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w:t>
            </w:r>
          </w:p>
          <w:p w14:paraId="4DC31349">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与</w:t>
            </w:r>
          </w:p>
          <w:p w14:paraId="515F2CD4">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声</w:t>
            </w:r>
          </w:p>
          <w:p w14:paraId="147B3EB8">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明</w:t>
            </w:r>
          </w:p>
        </w:tc>
        <w:tc>
          <w:tcPr>
            <w:tcW w:w="2077" w:type="dxa"/>
            <w:gridSpan w:val="3"/>
            <w:vAlign w:val="center"/>
          </w:tcPr>
          <w:p w14:paraId="6D870156">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079" w:type="dxa"/>
            <w:gridSpan w:val="6"/>
            <w:vAlign w:val="center"/>
          </w:tcPr>
          <w:p w14:paraId="11AF98EC">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4CE3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4F80C111">
            <w:pPr>
              <w:tabs>
                <w:tab w:val="left" w:pos="1260"/>
              </w:tabs>
              <w:spacing w:line="360" w:lineRule="exact"/>
              <w:jc w:val="center"/>
              <w:rPr>
                <w:rFonts w:hint="eastAsia" w:ascii="仿宋" w:hAnsi="仿宋" w:eastAsia="仿宋" w:cs="仿宋"/>
                <w:color w:val="auto"/>
                <w:sz w:val="28"/>
                <w:szCs w:val="28"/>
                <w:highlight w:val="none"/>
              </w:rPr>
            </w:pPr>
          </w:p>
        </w:tc>
        <w:tc>
          <w:tcPr>
            <w:tcW w:w="2077" w:type="dxa"/>
            <w:gridSpan w:val="3"/>
            <w:vAlign w:val="center"/>
          </w:tcPr>
          <w:p w14:paraId="3E884A32">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标段/采购包号</w:t>
            </w:r>
          </w:p>
        </w:tc>
        <w:tc>
          <w:tcPr>
            <w:tcW w:w="6079" w:type="dxa"/>
            <w:gridSpan w:val="6"/>
            <w:vAlign w:val="center"/>
          </w:tcPr>
          <w:p w14:paraId="38E61A65">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36C2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1DEFD416">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0159AF7D">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079" w:type="dxa"/>
            <w:gridSpan w:val="6"/>
            <w:vAlign w:val="center"/>
          </w:tcPr>
          <w:p w14:paraId="728EE864">
            <w:pPr>
              <w:tabs>
                <w:tab w:val="left" w:pos="1260"/>
              </w:tabs>
              <w:spacing w:line="440" w:lineRule="exact"/>
              <w:jc w:val="both"/>
              <w:rPr>
                <w:rFonts w:hint="eastAsia" w:ascii="仿宋" w:hAnsi="仿宋" w:eastAsia="仿宋" w:cs="仿宋"/>
                <w:color w:val="auto"/>
                <w:sz w:val="28"/>
                <w:szCs w:val="28"/>
                <w:highlight w:val="none"/>
                <w:lang w:val="en-US"/>
              </w:rPr>
            </w:pPr>
          </w:p>
        </w:tc>
      </w:tr>
      <w:tr w14:paraId="1DF2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6C567DAA">
            <w:pPr>
              <w:widowControl/>
              <w:ind w:firstLine="459"/>
              <w:jc w:val="center"/>
              <w:rPr>
                <w:rFonts w:hint="eastAsia" w:ascii="仿宋" w:hAnsi="仿宋" w:eastAsia="仿宋" w:cs="仿宋"/>
                <w:color w:val="auto"/>
                <w:sz w:val="28"/>
                <w:szCs w:val="28"/>
                <w:highlight w:val="none"/>
              </w:rPr>
            </w:pPr>
          </w:p>
        </w:tc>
        <w:tc>
          <w:tcPr>
            <w:tcW w:w="2077" w:type="dxa"/>
            <w:gridSpan w:val="3"/>
            <w:vAlign w:val="top"/>
          </w:tcPr>
          <w:p w14:paraId="3AF9C6F0">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2513" w:type="dxa"/>
            <w:vAlign w:val="top"/>
          </w:tcPr>
          <w:p w14:paraId="53C86E59">
            <w:pPr>
              <w:tabs>
                <w:tab w:val="left" w:pos="1260"/>
              </w:tabs>
              <w:ind w:firstLine="459"/>
              <w:rPr>
                <w:rFonts w:hint="eastAsia" w:ascii="仿宋" w:hAnsi="仿宋" w:eastAsia="仿宋" w:cs="仿宋"/>
                <w:color w:val="auto"/>
                <w:sz w:val="28"/>
                <w:szCs w:val="28"/>
                <w:highlight w:val="none"/>
              </w:rPr>
            </w:pPr>
          </w:p>
        </w:tc>
        <w:tc>
          <w:tcPr>
            <w:tcW w:w="981" w:type="dxa"/>
            <w:gridSpan w:val="3"/>
            <w:vAlign w:val="center"/>
          </w:tcPr>
          <w:p w14:paraId="2F635D58">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10CD4323">
            <w:pPr>
              <w:tabs>
                <w:tab w:val="left" w:pos="1260"/>
              </w:tabs>
              <w:ind w:firstLine="459"/>
              <w:rPr>
                <w:rFonts w:hint="eastAsia" w:ascii="仿宋" w:hAnsi="仿宋" w:eastAsia="仿宋" w:cs="仿宋"/>
                <w:color w:val="auto"/>
                <w:sz w:val="28"/>
                <w:szCs w:val="28"/>
                <w:highlight w:val="none"/>
              </w:rPr>
            </w:pPr>
          </w:p>
        </w:tc>
      </w:tr>
      <w:tr w14:paraId="1A81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C5DE3ED">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43DA484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w:t>
            </w:r>
          </w:p>
        </w:tc>
        <w:tc>
          <w:tcPr>
            <w:tcW w:w="6079" w:type="dxa"/>
            <w:gridSpan w:val="6"/>
            <w:vAlign w:val="center"/>
          </w:tcPr>
          <w:p w14:paraId="1454C7B9">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正本</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电子版</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lang w:val="en-US" w:eastAsia="zh-CN"/>
              </w:rPr>
              <w:t>份</w:t>
            </w:r>
          </w:p>
        </w:tc>
      </w:tr>
      <w:tr w14:paraId="4533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824" w:type="dxa"/>
            <w:vMerge w:val="continue"/>
            <w:vAlign w:val="center"/>
          </w:tcPr>
          <w:p w14:paraId="2C664976">
            <w:pPr>
              <w:widowControl/>
              <w:ind w:firstLine="459"/>
              <w:rPr>
                <w:rFonts w:hint="eastAsia" w:ascii="仿宋" w:hAnsi="仿宋" w:eastAsia="仿宋" w:cs="仿宋"/>
                <w:color w:val="auto"/>
                <w:sz w:val="28"/>
                <w:szCs w:val="28"/>
                <w:highlight w:val="none"/>
              </w:rPr>
            </w:pPr>
          </w:p>
        </w:tc>
        <w:tc>
          <w:tcPr>
            <w:tcW w:w="8156" w:type="dxa"/>
            <w:gridSpan w:val="9"/>
            <w:vAlign w:val="center"/>
          </w:tcPr>
          <w:p w14:paraId="6C255B55">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作为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郑重声明</w:t>
            </w:r>
          </w:p>
        </w:tc>
      </w:tr>
      <w:tr w14:paraId="73C1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24" w:type="dxa"/>
            <w:vMerge w:val="continue"/>
            <w:vAlign w:val="center"/>
          </w:tcPr>
          <w:p w14:paraId="24D07E11">
            <w:pPr>
              <w:widowControl/>
              <w:ind w:firstLine="459"/>
              <w:rPr>
                <w:rFonts w:hint="eastAsia" w:ascii="仿宋" w:hAnsi="仿宋" w:eastAsia="仿宋" w:cs="仿宋"/>
                <w:color w:val="auto"/>
                <w:sz w:val="28"/>
                <w:szCs w:val="28"/>
                <w:highlight w:val="none"/>
              </w:rPr>
            </w:pPr>
          </w:p>
        </w:tc>
        <w:tc>
          <w:tcPr>
            <w:tcW w:w="722" w:type="dxa"/>
            <w:vAlign w:val="center"/>
          </w:tcPr>
          <w:p w14:paraId="1E61DA7C">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p>
        </w:tc>
        <w:tc>
          <w:tcPr>
            <w:tcW w:w="7434" w:type="dxa"/>
            <w:gridSpan w:val="8"/>
            <w:vAlign w:val="center"/>
          </w:tcPr>
          <w:p w14:paraId="7FACDBBE">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文件的内容要求，提供完全满足采购需求的服务保障。</w:t>
            </w:r>
          </w:p>
        </w:tc>
      </w:tr>
      <w:tr w14:paraId="7E18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24" w:type="dxa"/>
            <w:vMerge w:val="continue"/>
            <w:vAlign w:val="center"/>
          </w:tcPr>
          <w:p w14:paraId="7C8E5D35">
            <w:pPr>
              <w:widowControl/>
              <w:ind w:firstLine="459"/>
              <w:rPr>
                <w:rFonts w:hint="eastAsia" w:ascii="仿宋" w:hAnsi="仿宋" w:eastAsia="仿宋" w:cs="仿宋"/>
                <w:color w:val="auto"/>
                <w:sz w:val="28"/>
                <w:szCs w:val="28"/>
                <w:highlight w:val="none"/>
              </w:rPr>
            </w:pPr>
          </w:p>
        </w:tc>
        <w:tc>
          <w:tcPr>
            <w:tcW w:w="722" w:type="dxa"/>
            <w:vAlign w:val="center"/>
          </w:tcPr>
          <w:p w14:paraId="58E81F5E">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w:t>
            </w:r>
          </w:p>
        </w:tc>
        <w:tc>
          <w:tcPr>
            <w:tcW w:w="7434" w:type="dxa"/>
            <w:gridSpan w:val="8"/>
            <w:vAlign w:val="center"/>
          </w:tcPr>
          <w:p w14:paraId="7382C7BE">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已详细阅读和核实全部</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文件内容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完全清楚和知道必须放弃提出含糊不清或误解问题的所有权利。</w:t>
            </w:r>
          </w:p>
        </w:tc>
      </w:tr>
      <w:tr w14:paraId="1D55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24" w:type="dxa"/>
            <w:vMerge w:val="continue"/>
            <w:vAlign w:val="center"/>
          </w:tcPr>
          <w:p w14:paraId="71BBE130">
            <w:pPr>
              <w:widowControl/>
              <w:ind w:firstLine="459"/>
              <w:rPr>
                <w:rFonts w:hint="eastAsia" w:ascii="仿宋" w:hAnsi="仿宋" w:eastAsia="仿宋" w:cs="仿宋"/>
                <w:color w:val="auto"/>
                <w:sz w:val="28"/>
                <w:szCs w:val="28"/>
                <w:highlight w:val="none"/>
              </w:rPr>
            </w:pPr>
          </w:p>
        </w:tc>
        <w:tc>
          <w:tcPr>
            <w:tcW w:w="722" w:type="dxa"/>
            <w:vAlign w:val="center"/>
          </w:tcPr>
          <w:p w14:paraId="648908F3">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w:t>
            </w:r>
          </w:p>
        </w:tc>
        <w:tc>
          <w:tcPr>
            <w:tcW w:w="7434" w:type="dxa"/>
            <w:gridSpan w:val="8"/>
            <w:vAlign w:val="center"/>
          </w:tcPr>
          <w:p w14:paraId="27B18725">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同意提供与本次磋商采购活动相关的其他任何证据和资料。</w:t>
            </w:r>
          </w:p>
        </w:tc>
      </w:tr>
      <w:tr w14:paraId="65A7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824" w:type="dxa"/>
            <w:vMerge w:val="continue"/>
            <w:vAlign w:val="center"/>
          </w:tcPr>
          <w:p w14:paraId="2D113F1E">
            <w:pPr>
              <w:widowControl/>
              <w:ind w:firstLine="459"/>
              <w:rPr>
                <w:rFonts w:hint="eastAsia" w:ascii="仿宋" w:hAnsi="仿宋" w:eastAsia="仿宋" w:cs="仿宋"/>
                <w:color w:val="auto"/>
                <w:sz w:val="28"/>
                <w:szCs w:val="28"/>
                <w:highlight w:val="none"/>
              </w:rPr>
            </w:pPr>
          </w:p>
        </w:tc>
        <w:tc>
          <w:tcPr>
            <w:tcW w:w="722" w:type="dxa"/>
            <w:vAlign w:val="center"/>
          </w:tcPr>
          <w:p w14:paraId="6AFC91AF">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w:t>
            </w:r>
          </w:p>
        </w:tc>
        <w:tc>
          <w:tcPr>
            <w:tcW w:w="7434" w:type="dxa"/>
            <w:gridSpan w:val="8"/>
            <w:vAlign w:val="center"/>
          </w:tcPr>
          <w:p w14:paraId="49C58D10">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尊重评审委员会的评审结论及成交结果。</w:t>
            </w:r>
          </w:p>
        </w:tc>
      </w:tr>
      <w:tr w14:paraId="1E3D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824" w:type="dxa"/>
            <w:vMerge w:val="continue"/>
            <w:vAlign w:val="center"/>
          </w:tcPr>
          <w:p w14:paraId="663FA9EC">
            <w:pPr>
              <w:widowControl/>
              <w:ind w:firstLine="459"/>
              <w:rPr>
                <w:rFonts w:hint="eastAsia" w:ascii="仿宋" w:hAnsi="仿宋" w:eastAsia="仿宋" w:cs="仿宋"/>
                <w:color w:val="auto"/>
                <w:sz w:val="28"/>
                <w:szCs w:val="28"/>
                <w:highlight w:val="none"/>
              </w:rPr>
            </w:pPr>
          </w:p>
        </w:tc>
        <w:tc>
          <w:tcPr>
            <w:tcW w:w="722" w:type="dxa"/>
            <w:vAlign w:val="center"/>
          </w:tcPr>
          <w:p w14:paraId="71D9D2E8">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w:t>
            </w:r>
          </w:p>
        </w:tc>
        <w:tc>
          <w:tcPr>
            <w:tcW w:w="7434" w:type="dxa"/>
            <w:gridSpan w:val="8"/>
            <w:vAlign w:val="center"/>
          </w:tcPr>
          <w:p w14:paraId="7740D9C7">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如若成交，将根据磋商文件的要求、响应文件及承诺条件，全面签约并履行约定书规定的责任和义务。</w:t>
            </w:r>
          </w:p>
        </w:tc>
      </w:tr>
      <w:tr w14:paraId="52AF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824" w:type="dxa"/>
            <w:vMerge w:val="continue"/>
            <w:vAlign w:val="center"/>
          </w:tcPr>
          <w:p w14:paraId="25980B08">
            <w:pPr>
              <w:widowControl/>
              <w:ind w:firstLine="459"/>
              <w:rPr>
                <w:rFonts w:hint="eastAsia" w:ascii="仿宋" w:hAnsi="仿宋" w:eastAsia="仿宋" w:cs="仿宋"/>
                <w:color w:val="auto"/>
                <w:sz w:val="28"/>
                <w:szCs w:val="28"/>
                <w:highlight w:val="none"/>
              </w:rPr>
            </w:pPr>
          </w:p>
        </w:tc>
        <w:tc>
          <w:tcPr>
            <w:tcW w:w="722" w:type="dxa"/>
            <w:vAlign w:val="center"/>
          </w:tcPr>
          <w:p w14:paraId="0D77CF52">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F</w:t>
            </w:r>
          </w:p>
        </w:tc>
        <w:tc>
          <w:tcPr>
            <w:tcW w:w="7434" w:type="dxa"/>
            <w:gridSpan w:val="8"/>
            <w:vAlign w:val="center"/>
          </w:tcPr>
          <w:p w14:paraId="03A04504">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本响应文件自磋商大会之日计算有效期为90天</w:t>
            </w:r>
            <w:r>
              <w:rPr>
                <w:rFonts w:hint="eastAsia" w:ascii="仿宋" w:hAnsi="仿宋" w:eastAsia="仿宋" w:cs="仿宋"/>
                <w:color w:val="auto"/>
                <w:sz w:val="28"/>
                <w:szCs w:val="28"/>
                <w:highlight w:val="none"/>
              </w:rPr>
              <w:t>。</w:t>
            </w:r>
          </w:p>
        </w:tc>
      </w:tr>
      <w:tr w14:paraId="26CB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4E3E1055">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有关本次磋商的所有联络</w:t>
            </w:r>
            <w:r>
              <w:rPr>
                <w:rFonts w:hint="eastAsia" w:ascii="仿宋" w:hAnsi="仿宋" w:eastAsia="仿宋" w:cs="仿宋"/>
                <w:color w:val="auto"/>
                <w:sz w:val="28"/>
                <w:szCs w:val="28"/>
                <w:highlight w:val="none"/>
                <w:lang w:eastAsia="zh-CN"/>
              </w:rPr>
              <w:t>电函</w:t>
            </w:r>
            <w:r>
              <w:rPr>
                <w:rFonts w:hint="eastAsia" w:ascii="仿宋" w:hAnsi="仿宋" w:eastAsia="仿宋" w:cs="仿宋"/>
                <w:color w:val="auto"/>
                <w:sz w:val="28"/>
                <w:szCs w:val="28"/>
                <w:highlight w:val="none"/>
              </w:rPr>
              <w:t>，请按下列方式联系：</w:t>
            </w:r>
          </w:p>
        </w:tc>
      </w:tr>
      <w:tr w14:paraId="1F31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54B2DD8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4250" w:type="dxa"/>
            <w:gridSpan w:val="4"/>
            <w:vAlign w:val="center"/>
          </w:tcPr>
          <w:p w14:paraId="1E060F8E">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35A61B6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1800" w:type="dxa"/>
            <w:vAlign w:val="center"/>
          </w:tcPr>
          <w:p w14:paraId="2F77B1DB">
            <w:pPr>
              <w:tabs>
                <w:tab w:val="left" w:pos="1260"/>
              </w:tabs>
              <w:ind w:firstLine="459"/>
              <w:rPr>
                <w:rFonts w:hint="eastAsia" w:ascii="仿宋" w:hAnsi="仿宋" w:eastAsia="仿宋" w:cs="仿宋"/>
                <w:color w:val="auto"/>
                <w:sz w:val="28"/>
                <w:szCs w:val="28"/>
                <w:highlight w:val="none"/>
              </w:rPr>
            </w:pPr>
          </w:p>
        </w:tc>
      </w:tr>
      <w:tr w14:paraId="573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34C49539">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电话/传真</w:t>
            </w:r>
          </w:p>
        </w:tc>
        <w:tc>
          <w:tcPr>
            <w:tcW w:w="4250" w:type="dxa"/>
            <w:gridSpan w:val="4"/>
            <w:vAlign w:val="center"/>
          </w:tcPr>
          <w:p w14:paraId="00E53901">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0C2288D3">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1800" w:type="dxa"/>
            <w:vAlign w:val="center"/>
          </w:tcPr>
          <w:p w14:paraId="63C20D9E">
            <w:pPr>
              <w:tabs>
                <w:tab w:val="left" w:pos="1260"/>
              </w:tabs>
              <w:ind w:firstLine="459"/>
              <w:rPr>
                <w:rFonts w:hint="eastAsia" w:ascii="仿宋" w:hAnsi="仿宋" w:eastAsia="仿宋" w:cs="仿宋"/>
                <w:color w:val="auto"/>
                <w:sz w:val="28"/>
                <w:szCs w:val="28"/>
                <w:highlight w:val="none"/>
              </w:rPr>
            </w:pPr>
          </w:p>
        </w:tc>
      </w:tr>
      <w:tr w14:paraId="6083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6107B668">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4250" w:type="dxa"/>
            <w:gridSpan w:val="4"/>
            <w:vAlign w:val="center"/>
          </w:tcPr>
          <w:p w14:paraId="40200965">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55BAB2AC">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1800" w:type="dxa"/>
            <w:vAlign w:val="center"/>
          </w:tcPr>
          <w:p w14:paraId="7D711C21">
            <w:pPr>
              <w:tabs>
                <w:tab w:val="left" w:pos="1260"/>
              </w:tabs>
              <w:ind w:firstLine="459"/>
              <w:rPr>
                <w:rFonts w:hint="eastAsia" w:ascii="仿宋" w:hAnsi="仿宋" w:eastAsia="仿宋" w:cs="仿宋"/>
                <w:color w:val="auto"/>
                <w:sz w:val="28"/>
                <w:szCs w:val="28"/>
                <w:highlight w:val="none"/>
              </w:rPr>
            </w:pPr>
          </w:p>
        </w:tc>
      </w:tr>
      <w:tr w14:paraId="14C4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709" w:type="dxa"/>
            <w:gridSpan w:val="3"/>
            <w:vAlign w:val="center"/>
          </w:tcPr>
          <w:p w14:paraId="3EBBDBED">
            <w:pPr>
              <w:tabs>
                <w:tab w:val="left" w:pos="1260"/>
              </w:tabs>
              <w:jc w:val="center"/>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8"/>
                <w:szCs w:val="28"/>
                <w:highlight w:val="none"/>
                <w:lang w:eastAsia="zh-CN"/>
              </w:rPr>
              <w:t>供应商</w:t>
            </w:r>
          </w:p>
        </w:tc>
        <w:tc>
          <w:tcPr>
            <w:tcW w:w="3434" w:type="dxa"/>
            <w:gridSpan w:val="4"/>
            <w:vAlign w:val="center"/>
          </w:tcPr>
          <w:p w14:paraId="68B17A4A">
            <w:pPr>
              <w:tabs>
                <w:tab w:val="left" w:pos="1260"/>
              </w:tabs>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w:t>
            </w:r>
          </w:p>
        </w:tc>
        <w:tc>
          <w:tcPr>
            <w:tcW w:w="2837" w:type="dxa"/>
            <w:gridSpan w:val="3"/>
            <w:vAlign w:val="center"/>
          </w:tcPr>
          <w:p w14:paraId="3FB398E4">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签署日期</w:t>
            </w:r>
          </w:p>
        </w:tc>
      </w:tr>
      <w:tr w14:paraId="5BE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2709" w:type="dxa"/>
            <w:gridSpan w:val="3"/>
            <w:vAlign w:val="center"/>
          </w:tcPr>
          <w:p w14:paraId="3AA54809">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tc>
        <w:tc>
          <w:tcPr>
            <w:tcW w:w="3434" w:type="dxa"/>
            <w:gridSpan w:val="4"/>
            <w:vAlign w:val="center"/>
          </w:tcPr>
          <w:p w14:paraId="23F0063F">
            <w:pPr>
              <w:tabs>
                <w:tab w:val="left" w:pos="1260"/>
              </w:tabs>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tc>
        <w:tc>
          <w:tcPr>
            <w:tcW w:w="2837" w:type="dxa"/>
            <w:gridSpan w:val="3"/>
            <w:vAlign w:val="center"/>
          </w:tcPr>
          <w:p w14:paraId="3EF6846D">
            <w:pPr>
              <w:tabs>
                <w:tab w:val="left" w:pos="1260"/>
              </w:tabs>
              <w:ind w:firstLine="840" w:firstLineChars="3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年月日</w:t>
            </w:r>
          </w:p>
        </w:tc>
      </w:tr>
    </w:tbl>
    <w:p w14:paraId="4095C417">
      <w:pPr>
        <w:numPr>
          <w:ilvl w:val="0"/>
          <w:numId w:val="0"/>
        </w:numPr>
        <w:snapToGrid w:val="0"/>
        <w:spacing w:line="360" w:lineRule="auto"/>
        <w:jc w:val="both"/>
        <w:rPr>
          <w:rFonts w:hint="eastAsia" w:ascii="仿宋" w:hAnsi="仿宋" w:eastAsia="仿宋" w:cs="仿宋"/>
          <w:b/>
          <w:bCs/>
          <w:color w:val="auto"/>
          <w:sz w:val="28"/>
          <w:szCs w:val="28"/>
          <w:highlight w:val="none"/>
          <w:lang w:val="en-US" w:eastAsia="zh-CN"/>
        </w:rPr>
      </w:pPr>
    </w:p>
    <w:p w14:paraId="33C957AD">
      <w:pPr>
        <w:tabs>
          <w:tab w:val="left" w:pos="1260"/>
        </w:tabs>
        <w:spacing w:line="440" w:lineRule="exact"/>
        <w:jc w:val="center"/>
        <w:rPr>
          <w:rFonts w:hint="eastAsia" w:ascii="仿宋" w:hAnsi="仿宋" w:eastAsia="仿宋" w:cs="仿宋"/>
          <w:b/>
          <w:bCs/>
          <w:color w:val="auto"/>
          <w:sz w:val="32"/>
          <w:szCs w:val="32"/>
          <w:highlight w:val="none"/>
        </w:rPr>
      </w:pPr>
    </w:p>
    <w:p w14:paraId="564AEB67">
      <w:pPr>
        <w:pStyle w:val="2"/>
        <w:rPr>
          <w:rFonts w:hint="eastAsia" w:ascii="仿宋" w:hAnsi="仿宋" w:eastAsia="仿宋" w:cs="仿宋"/>
          <w:b/>
          <w:bCs/>
          <w:color w:val="auto"/>
          <w:sz w:val="32"/>
          <w:szCs w:val="32"/>
          <w:highlight w:val="none"/>
        </w:rPr>
      </w:pPr>
    </w:p>
    <w:p w14:paraId="56ACA16B">
      <w:pPr>
        <w:rPr>
          <w:rFonts w:hint="eastAsia" w:ascii="仿宋" w:hAnsi="仿宋" w:eastAsia="仿宋" w:cs="仿宋"/>
          <w:b/>
          <w:bCs/>
          <w:color w:val="auto"/>
          <w:sz w:val="32"/>
          <w:szCs w:val="32"/>
          <w:highlight w:val="none"/>
        </w:rPr>
      </w:pPr>
    </w:p>
    <w:p w14:paraId="52791678">
      <w:pPr>
        <w:pStyle w:val="2"/>
        <w:rPr>
          <w:rFonts w:hint="eastAsia" w:ascii="仿宋" w:hAnsi="仿宋" w:eastAsia="仿宋" w:cs="仿宋"/>
          <w:b/>
          <w:bCs/>
          <w:color w:val="auto"/>
          <w:sz w:val="32"/>
          <w:szCs w:val="32"/>
          <w:highlight w:val="none"/>
        </w:rPr>
      </w:pPr>
    </w:p>
    <w:p w14:paraId="04FBF320">
      <w:pPr>
        <w:rPr>
          <w:rFonts w:hint="eastAsia" w:ascii="仿宋" w:hAnsi="仿宋" w:eastAsia="仿宋" w:cs="仿宋"/>
          <w:b/>
          <w:bCs/>
          <w:color w:val="auto"/>
          <w:sz w:val="32"/>
          <w:szCs w:val="32"/>
          <w:highlight w:val="none"/>
        </w:rPr>
      </w:pPr>
    </w:p>
    <w:p w14:paraId="6692219B">
      <w:pPr>
        <w:pStyle w:val="2"/>
        <w:rPr>
          <w:rFonts w:hint="eastAsia" w:ascii="仿宋" w:hAnsi="仿宋" w:eastAsia="仿宋" w:cs="仿宋"/>
          <w:b/>
          <w:bCs/>
          <w:color w:val="auto"/>
          <w:sz w:val="32"/>
          <w:szCs w:val="32"/>
          <w:highlight w:val="none"/>
        </w:rPr>
      </w:pPr>
    </w:p>
    <w:p w14:paraId="5F6A0962">
      <w:pPr>
        <w:rPr>
          <w:rFonts w:hint="eastAsia" w:ascii="仿宋" w:hAnsi="仿宋" w:eastAsia="仿宋" w:cs="仿宋"/>
          <w:b/>
          <w:bCs/>
          <w:color w:val="auto"/>
          <w:sz w:val="32"/>
          <w:szCs w:val="32"/>
          <w:highlight w:val="none"/>
        </w:rPr>
      </w:pPr>
    </w:p>
    <w:p w14:paraId="064E9657">
      <w:pPr>
        <w:pStyle w:val="2"/>
        <w:rPr>
          <w:rFonts w:hint="eastAsia" w:ascii="仿宋" w:hAnsi="仿宋" w:eastAsia="仿宋" w:cs="仿宋"/>
          <w:b/>
          <w:bCs/>
          <w:color w:val="auto"/>
          <w:sz w:val="32"/>
          <w:szCs w:val="32"/>
          <w:highlight w:val="none"/>
        </w:rPr>
      </w:pPr>
    </w:p>
    <w:p w14:paraId="7B2DD86B">
      <w:pPr>
        <w:rPr>
          <w:rFonts w:hint="eastAsia" w:ascii="仿宋" w:hAnsi="仿宋" w:eastAsia="仿宋" w:cs="仿宋"/>
          <w:b/>
          <w:bCs/>
          <w:color w:val="auto"/>
          <w:sz w:val="32"/>
          <w:szCs w:val="32"/>
          <w:highlight w:val="none"/>
        </w:rPr>
      </w:pPr>
    </w:p>
    <w:p w14:paraId="152B60D5">
      <w:pPr>
        <w:pStyle w:val="2"/>
        <w:rPr>
          <w:rFonts w:hint="eastAsia" w:ascii="仿宋" w:hAnsi="仿宋" w:eastAsia="仿宋" w:cs="仿宋"/>
          <w:b/>
          <w:bCs/>
          <w:color w:val="auto"/>
          <w:sz w:val="32"/>
          <w:szCs w:val="32"/>
          <w:highlight w:val="none"/>
        </w:rPr>
      </w:pPr>
    </w:p>
    <w:p w14:paraId="65315614">
      <w:pPr>
        <w:rPr>
          <w:rFonts w:hint="eastAsia" w:ascii="仿宋" w:hAnsi="仿宋" w:eastAsia="仿宋" w:cs="仿宋"/>
          <w:b/>
          <w:bCs/>
          <w:color w:val="auto"/>
          <w:sz w:val="32"/>
          <w:szCs w:val="32"/>
          <w:highlight w:val="none"/>
        </w:rPr>
      </w:pPr>
    </w:p>
    <w:p w14:paraId="12D3AB34">
      <w:pPr>
        <w:pStyle w:val="2"/>
        <w:rPr>
          <w:rFonts w:hint="eastAsia" w:ascii="仿宋" w:hAnsi="仿宋" w:eastAsia="仿宋" w:cs="仿宋"/>
          <w:b/>
          <w:bCs/>
          <w:color w:val="auto"/>
          <w:sz w:val="32"/>
          <w:szCs w:val="32"/>
          <w:highlight w:val="none"/>
        </w:rPr>
      </w:pPr>
    </w:p>
    <w:p w14:paraId="38758822">
      <w:pPr>
        <w:rPr>
          <w:rFonts w:hint="eastAsia" w:ascii="仿宋" w:hAnsi="仿宋" w:eastAsia="仿宋" w:cs="仿宋"/>
          <w:b/>
          <w:bCs/>
          <w:color w:val="auto"/>
          <w:sz w:val="32"/>
          <w:szCs w:val="32"/>
          <w:highlight w:val="none"/>
        </w:rPr>
      </w:pPr>
    </w:p>
    <w:p w14:paraId="41F0889C">
      <w:pPr>
        <w:rPr>
          <w:rFonts w:hint="eastAsia" w:ascii="仿宋" w:hAnsi="仿宋" w:eastAsia="仿宋" w:cs="仿宋"/>
          <w:b/>
          <w:bCs/>
          <w:color w:val="auto"/>
          <w:sz w:val="32"/>
          <w:szCs w:val="32"/>
          <w:highlight w:val="none"/>
        </w:rPr>
      </w:pPr>
    </w:p>
    <w:p w14:paraId="060AFA9D">
      <w:pPr>
        <w:tabs>
          <w:tab w:val="left" w:pos="1260"/>
        </w:tabs>
        <w:spacing w:line="440" w:lineRule="exact"/>
        <w:jc w:val="center"/>
        <w:outlineLvl w:val="1"/>
        <w:rPr>
          <w:rFonts w:hint="eastAsia" w:ascii="仿宋" w:hAnsi="仿宋" w:eastAsia="仿宋" w:cs="仿宋"/>
          <w:b/>
          <w:bCs/>
          <w:color w:val="auto"/>
          <w:sz w:val="32"/>
          <w:szCs w:val="32"/>
          <w:highlight w:val="none"/>
        </w:rPr>
      </w:pPr>
      <w:bookmarkStart w:id="36" w:name="_Toc8768"/>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响应报价表</w:t>
      </w:r>
      <w:bookmarkEnd w:id="36"/>
    </w:p>
    <w:p w14:paraId="05D0A7A2">
      <w:pPr>
        <w:tabs>
          <w:tab w:val="left" w:pos="7920"/>
        </w:tabs>
        <w:spacing w:line="240" w:lineRule="exact"/>
        <w:rPr>
          <w:rFonts w:hint="eastAsia" w:ascii="仿宋" w:hAnsi="仿宋" w:eastAsia="仿宋" w:cs="仿宋"/>
          <w:color w:val="auto"/>
          <w:sz w:val="32"/>
          <w:szCs w:val="44"/>
          <w:highlight w:val="none"/>
        </w:rPr>
      </w:pPr>
    </w:p>
    <w:p w14:paraId="4DF8A2FB">
      <w:pPr>
        <w:tabs>
          <w:tab w:val="left" w:pos="7920"/>
        </w:tabs>
        <w:jc w:val="center"/>
        <w:rPr>
          <w:rFonts w:hint="eastAsia" w:ascii="仿宋" w:hAnsi="仿宋" w:eastAsia="仿宋" w:cs="仿宋"/>
          <w:b/>
          <w:color w:val="auto"/>
          <w:sz w:val="32"/>
          <w:szCs w:val="44"/>
          <w:highlight w:val="none"/>
          <w:u w:val="single"/>
        </w:rPr>
      </w:pPr>
      <w:r>
        <w:rPr>
          <w:rFonts w:hint="eastAsia" w:ascii="仿宋" w:hAnsi="仿宋" w:eastAsia="仿宋" w:cs="仿宋"/>
          <w:b/>
          <w:color w:val="auto"/>
          <w:sz w:val="32"/>
          <w:szCs w:val="44"/>
          <w:highlight w:val="none"/>
          <w:u w:val="single"/>
        </w:rPr>
        <w:t>3.1报价一览表</w:t>
      </w:r>
    </w:p>
    <w:p w14:paraId="4BCB16BE">
      <w:pPr>
        <w:tabs>
          <w:tab w:val="right" w:leader="dot" w:pos="9022"/>
        </w:tabs>
        <w:autoSpaceDE w:val="0"/>
        <w:autoSpaceDN w:val="0"/>
        <w:adjustRightInd w:val="0"/>
        <w:spacing w:line="400" w:lineRule="exact"/>
        <w:ind w:firstLine="140" w:firstLineChars="50"/>
        <w:jc w:val="left"/>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供应商</w:t>
      </w:r>
      <w:r>
        <w:rPr>
          <w:rFonts w:hint="eastAsia" w:ascii="仿宋" w:hAnsi="仿宋" w:eastAsia="仿宋" w:cs="仿宋"/>
          <w:bCs/>
          <w:caps/>
          <w:color w:val="auto"/>
          <w:sz w:val="28"/>
          <w:szCs w:val="28"/>
          <w:highlight w:val="none"/>
        </w:rPr>
        <w:t>名称：人民币：元</w:t>
      </w:r>
    </w:p>
    <w:tbl>
      <w:tblPr>
        <w:tblStyle w:val="1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35"/>
        <w:gridCol w:w="3108"/>
      </w:tblGrid>
      <w:tr w14:paraId="20B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80" w:type="dxa"/>
            <w:vAlign w:val="center"/>
          </w:tcPr>
          <w:p w14:paraId="09B2D80D">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项目名称</w:t>
            </w:r>
          </w:p>
        </w:tc>
        <w:tc>
          <w:tcPr>
            <w:tcW w:w="7243" w:type="dxa"/>
            <w:gridSpan w:val="2"/>
            <w:vAlign w:val="center"/>
          </w:tcPr>
          <w:p w14:paraId="019396F3">
            <w:pPr>
              <w:tabs>
                <w:tab w:val="right" w:leader="dot" w:pos="9022"/>
              </w:tabs>
              <w:spacing w:line="400" w:lineRule="exact"/>
              <w:jc w:val="center"/>
              <w:rPr>
                <w:rFonts w:hint="eastAsia" w:ascii="仿宋" w:hAnsi="仿宋" w:eastAsia="仿宋" w:cs="仿宋"/>
                <w:b/>
                <w:color w:val="auto"/>
                <w:sz w:val="28"/>
                <w:szCs w:val="28"/>
                <w:highlight w:val="none"/>
                <w:lang w:eastAsia="zh-CN"/>
              </w:rPr>
            </w:pPr>
          </w:p>
        </w:tc>
      </w:tr>
      <w:tr w14:paraId="3883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80" w:type="dxa"/>
            <w:vAlign w:val="center"/>
          </w:tcPr>
          <w:p w14:paraId="6073A792">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color w:val="auto"/>
                <w:sz w:val="28"/>
                <w:szCs w:val="28"/>
                <w:highlight w:val="none"/>
                <w:lang w:val="en-US" w:eastAsia="zh-CN"/>
              </w:rPr>
              <w:t>标段/采购包号</w:t>
            </w:r>
          </w:p>
        </w:tc>
        <w:tc>
          <w:tcPr>
            <w:tcW w:w="7243" w:type="dxa"/>
            <w:gridSpan w:val="2"/>
            <w:vAlign w:val="center"/>
          </w:tcPr>
          <w:p w14:paraId="0ED0A095">
            <w:pPr>
              <w:tabs>
                <w:tab w:val="right" w:leader="dot" w:pos="9022"/>
              </w:tabs>
              <w:spacing w:line="400" w:lineRule="exact"/>
              <w:jc w:val="center"/>
              <w:rPr>
                <w:rFonts w:hint="eastAsia" w:ascii="仿宋" w:hAnsi="仿宋" w:eastAsia="仿宋" w:cs="仿宋"/>
                <w:b/>
                <w:color w:val="auto"/>
                <w:sz w:val="28"/>
                <w:szCs w:val="28"/>
                <w:highlight w:val="none"/>
                <w:lang w:eastAsia="zh-CN"/>
              </w:rPr>
            </w:pPr>
          </w:p>
        </w:tc>
      </w:tr>
      <w:tr w14:paraId="03AF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80" w:type="dxa"/>
            <w:vMerge w:val="restart"/>
            <w:vAlign w:val="center"/>
          </w:tcPr>
          <w:p w14:paraId="673BA4D8">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总</w:t>
            </w:r>
            <w:r>
              <w:rPr>
                <w:rFonts w:hint="eastAsia" w:ascii="仿宋" w:hAnsi="仿宋" w:eastAsia="仿宋" w:cs="仿宋"/>
                <w:bCs/>
                <w:caps/>
                <w:color w:val="auto"/>
                <w:sz w:val="28"/>
                <w:szCs w:val="28"/>
                <w:highlight w:val="none"/>
                <w:lang w:val="en-US" w:eastAsia="zh-CN"/>
              </w:rPr>
              <w:t>报</w:t>
            </w:r>
            <w:r>
              <w:rPr>
                <w:rFonts w:hint="eastAsia" w:ascii="仿宋" w:hAnsi="仿宋" w:eastAsia="仿宋" w:cs="仿宋"/>
                <w:bCs/>
                <w:caps/>
                <w:color w:val="auto"/>
                <w:sz w:val="28"/>
                <w:szCs w:val="28"/>
                <w:highlight w:val="none"/>
              </w:rPr>
              <w:t>价</w:t>
            </w:r>
          </w:p>
        </w:tc>
        <w:tc>
          <w:tcPr>
            <w:tcW w:w="7243" w:type="dxa"/>
            <w:gridSpan w:val="2"/>
            <w:vAlign w:val="center"/>
          </w:tcPr>
          <w:p w14:paraId="7632D9B9">
            <w:pPr>
              <w:tabs>
                <w:tab w:val="right" w:leader="dot" w:pos="9022"/>
              </w:tabs>
              <w:spacing w:line="400" w:lineRule="exact"/>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小写：</w:t>
            </w:r>
          </w:p>
        </w:tc>
      </w:tr>
      <w:tr w14:paraId="7BB0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80" w:type="dxa"/>
            <w:vMerge w:val="continue"/>
            <w:vAlign w:val="center"/>
          </w:tcPr>
          <w:p w14:paraId="1E16FDCB">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eastAsia="zh-CN"/>
              </w:rPr>
            </w:pPr>
          </w:p>
        </w:tc>
        <w:tc>
          <w:tcPr>
            <w:tcW w:w="7243" w:type="dxa"/>
            <w:gridSpan w:val="2"/>
            <w:vAlign w:val="center"/>
          </w:tcPr>
          <w:p w14:paraId="1FCAD055">
            <w:pPr>
              <w:tabs>
                <w:tab w:val="right" w:leader="dot" w:pos="9022"/>
              </w:tabs>
              <w:spacing w:line="400" w:lineRule="exact"/>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大写：</w:t>
            </w:r>
          </w:p>
        </w:tc>
      </w:tr>
      <w:tr w14:paraId="6BC1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6437FF51">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供应商</w:t>
            </w:r>
          </w:p>
          <w:p w14:paraId="5B0366CD">
            <w:pPr>
              <w:tabs>
                <w:tab w:val="right" w:leader="dot" w:pos="9022"/>
              </w:tabs>
              <w:spacing w:line="400" w:lineRule="exact"/>
              <w:ind w:left="480" w:hanging="560" w:hangingChars="200"/>
              <w:jc w:val="center"/>
              <w:rPr>
                <w:rFonts w:hint="eastAsia" w:ascii="仿宋" w:hAnsi="仿宋" w:eastAsia="仿宋" w:cs="仿宋"/>
                <w:color w:val="auto"/>
                <w:sz w:val="28"/>
                <w:szCs w:val="28"/>
                <w:highlight w:val="none"/>
                <w:lang w:eastAsia="zh-CN"/>
              </w:rPr>
            </w:pPr>
            <w:r>
              <w:rPr>
                <w:rFonts w:hint="eastAsia" w:ascii="仿宋" w:hAnsi="仿宋" w:eastAsia="仿宋" w:cs="仿宋"/>
                <w:bCs/>
                <w:caps/>
                <w:color w:val="auto"/>
                <w:sz w:val="28"/>
                <w:szCs w:val="28"/>
                <w:highlight w:val="none"/>
                <w:lang w:val="en-US" w:eastAsia="zh-CN"/>
              </w:rPr>
              <w:t>项目负责人</w:t>
            </w:r>
          </w:p>
        </w:tc>
        <w:tc>
          <w:tcPr>
            <w:tcW w:w="7243" w:type="dxa"/>
            <w:gridSpan w:val="2"/>
            <w:vAlign w:val="center"/>
          </w:tcPr>
          <w:p w14:paraId="7D5A6034">
            <w:pPr>
              <w:tabs>
                <w:tab w:val="right" w:leader="dot" w:pos="9022"/>
              </w:tabs>
              <w:spacing w:line="400" w:lineRule="exact"/>
              <w:jc w:val="both"/>
              <w:rPr>
                <w:rFonts w:hint="eastAsia" w:ascii="仿宋" w:hAnsi="仿宋" w:eastAsia="仿宋" w:cs="仿宋"/>
                <w:color w:val="auto"/>
                <w:sz w:val="28"/>
                <w:szCs w:val="28"/>
                <w:highlight w:val="none"/>
              </w:rPr>
            </w:pPr>
          </w:p>
        </w:tc>
      </w:tr>
      <w:tr w14:paraId="5062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0462E7FC">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服务标准</w:t>
            </w:r>
          </w:p>
        </w:tc>
        <w:tc>
          <w:tcPr>
            <w:tcW w:w="7243" w:type="dxa"/>
            <w:gridSpan w:val="2"/>
            <w:vAlign w:val="center"/>
          </w:tcPr>
          <w:p w14:paraId="129D77B2">
            <w:pPr>
              <w:tabs>
                <w:tab w:val="right" w:leader="dot" w:pos="9022"/>
              </w:tabs>
              <w:spacing w:line="400" w:lineRule="exact"/>
              <w:jc w:val="both"/>
              <w:rPr>
                <w:rFonts w:hint="eastAsia" w:ascii="仿宋" w:hAnsi="仿宋" w:eastAsia="仿宋" w:cs="仿宋"/>
                <w:color w:val="auto"/>
                <w:sz w:val="28"/>
                <w:szCs w:val="28"/>
                <w:highlight w:val="none"/>
              </w:rPr>
            </w:pPr>
          </w:p>
        </w:tc>
      </w:tr>
      <w:tr w14:paraId="55A3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80" w:type="dxa"/>
            <w:vAlign w:val="center"/>
          </w:tcPr>
          <w:p w14:paraId="1C9087EC">
            <w:pPr>
              <w:tabs>
                <w:tab w:val="right" w:leader="dot" w:pos="9022"/>
              </w:tabs>
              <w:spacing w:line="400" w:lineRule="exact"/>
              <w:jc w:val="center"/>
              <w:rPr>
                <w:rFonts w:hint="default"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服务时间</w:t>
            </w:r>
          </w:p>
        </w:tc>
        <w:tc>
          <w:tcPr>
            <w:tcW w:w="7243" w:type="dxa"/>
            <w:gridSpan w:val="2"/>
            <w:vAlign w:val="center"/>
          </w:tcPr>
          <w:p w14:paraId="361A9E06">
            <w:pPr>
              <w:tabs>
                <w:tab w:val="right" w:leader="dot" w:pos="9022"/>
              </w:tabs>
              <w:spacing w:line="400" w:lineRule="exact"/>
              <w:jc w:val="center"/>
              <w:rPr>
                <w:rFonts w:hint="eastAsia" w:ascii="仿宋" w:hAnsi="仿宋" w:eastAsia="仿宋" w:cs="仿宋"/>
                <w:b/>
                <w:bCs/>
                <w:caps/>
                <w:color w:val="auto"/>
                <w:sz w:val="28"/>
                <w:szCs w:val="28"/>
                <w:highlight w:val="none"/>
                <w:u w:val="single"/>
              </w:rPr>
            </w:pPr>
          </w:p>
        </w:tc>
      </w:tr>
      <w:tr w14:paraId="2977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980" w:type="dxa"/>
            <w:vAlign w:val="center"/>
          </w:tcPr>
          <w:p w14:paraId="1D665EF2">
            <w:pPr>
              <w:tabs>
                <w:tab w:val="right" w:leader="dot" w:pos="9022"/>
              </w:tabs>
              <w:spacing w:line="400" w:lineRule="exact"/>
              <w:jc w:val="center"/>
              <w:rPr>
                <w:rFonts w:hint="eastAsia" w:ascii="仿宋" w:hAnsi="仿宋" w:eastAsia="仿宋" w:cs="仿宋"/>
                <w:bCs/>
                <w:caps/>
                <w:color w:val="auto"/>
                <w:sz w:val="28"/>
                <w:szCs w:val="28"/>
                <w:highlight w:val="none"/>
                <w:lang w:eastAsia="zh-CN"/>
              </w:rPr>
            </w:pPr>
            <w:r>
              <w:rPr>
                <w:rFonts w:hint="eastAsia" w:ascii="仿宋" w:hAnsi="仿宋" w:eastAsia="仿宋" w:cs="仿宋"/>
                <w:bCs/>
                <w:caps/>
                <w:color w:val="auto"/>
                <w:sz w:val="28"/>
                <w:szCs w:val="28"/>
                <w:highlight w:val="none"/>
                <w:lang w:eastAsia="zh-CN"/>
              </w:rPr>
              <w:t>供应商</w:t>
            </w:r>
          </w:p>
        </w:tc>
        <w:tc>
          <w:tcPr>
            <w:tcW w:w="4135" w:type="dxa"/>
            <w:vAlign w:val="center"/>
          </w:tcPr>
          <w:p w14:paraId="2A490363">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法定代表人或</w:t>
            </w:r>
            <w:r>
              <w:rPr>
                <w:rFonts w:hint="eastAsia" w:ascii="仿宋" w:hAnsi="仿宋" w:eastAsia="仿宋" w:cs="仿宋"/>
                <w:bCs/>
                <w:caps/>
                <w:color w:val="auto"/>
                <w:sz w:val="28"/>
                <w:szCs w:val="28"/>
                <w:highlight w:val="none"/>
              </w:rPr>
              <w:t>被授权人</w:t>
            </w:r>
          </w:p>
        </w:tc>
        <w:tc>
          <w:tcPr>
            <w:tcW w:w="3108" w:type="dxa"/>
            <w:vAlign w:val="center"/>
          </w:tcPr>
          <w:p w14:paraId="46F54B7B">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日期</w:t>
            </w:r>
          </w:p>
        </w:tc>
      </w:tr>
      <w:tr w14:paraId="63EE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980" w:type="dxa"/>
            <w:vAlign w:val="center"/>
          </w:tcPr>
          <w:p w14:paraId="2B2BA200">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bCs/>
                <w:caps/>
                <w:color w:val="auto"/>
                <w:sz w:val="28"/>
                <w:szCs w:val="28"/>
                <w:highlight w:val="none"/>
                <w:lang w:eastAsia="zh-CN"/>
              </w:rPr>
              <w:t>单位</w:t>
            </w:r>
            <w:r>
              <w:rPr>
                <w:rFonts w:hint="eastAsia" w:ascii="仿宋" w:hAnsi="仿宋" w:eastAsia="仿宋" w:cs="仿宋"/>
                <w:bCs/>
                <w:caps/>
                <w:color w:val="auto"/>
                <w:sz w:val="28"/>
                <w:szCs w:val="28"/>
                <w:highlight w:val="none"/>
              </w:rPr>
              <w:t>公章）</w:t>
            </w:r>
          </w:p>
        </w:tc>
        <w:tc>
          <w:tcPr>
            <w:tcW w:w="4135" w:type="dxa"/>
            <w:vAlign w:val="center"/>
          </w:tcPr>
          <w:p w14:paraId="368ECC2A">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bCs/>
                <w:caps/>
                <w:color w:val="auto"/>
                <w:sz w:val="28"/>
                <w:szCs w:val="28"/>
                <w:highlight w:val="none"/>
              </w:rPr>
              <w:t>）</w:t>
            </w:r>
          </w:p>
        </w:tc>
        <w:tc>
          <w:tcPr>
            <w:tcW w:w="3108" w:type="dxa"/>
            <w:vAlign w:val="center"/>
          </w:tcPr>
          <w:p w14:paraId="1F292E6A">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年月日</w:t>
            </w:r>
          </w:p>
        </w:tc>
      </w:tr>
    </w:tbl>
    <w:p w14:paraId="243E2F3C">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特别提示：</w:t>
      </w:r>
    </w:p>
    <w:p w14:paraId="16A0AB3D">
      <w:pPr>
        <w:numPr>
          <w:ilvl w:val="0"/>
          <w:numId w:val="5"/>
        </w:num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报价一览表与明细表不一致时，以报价一览表为准；</w:t>
      </w:r>
    </w:p>
    <w:p w14:paraId="459C586E">
      <w:pPr>
        <w:numPr>
          <w:ilvl w:val="0"/>
          <w:numId w:val="5"/>
        </w:numPr>
        <w:spacing w:line="440" w:lineRule="exact"/>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5D35B64">
      <w:pPr>
        <w:pStyle w:val="10"/>
        <w:numPr>
          <w:ilvl w:val="0"/>
          <w:numId w:val="0"/>
        </w:numPr>
        <w:ind w:leftChars="200"/>
        <w:rPr>
          <w:rFonts w:hint="eastAsia" w:ascii="仿宋" w:hAnsi="仿宋" w:eastAsia="仿宋" w:cs="仿宋"/>
          <w:color w:val="auto"/>
          <w:highlight w:val="none"/>
        </w:rPr>
      </w:pPr>
    </w:p>
    <w:p w14:paraId="3FCFEAB8">
      <w:pPr>
        <w:tabs>
          <w:tab w:val="left" w:pos="7920"/>
        </w:tabs>
        <w:jc w:val="center"/>
        <w:rPr>
          <w:rFonts w:hint="eastAsia" w:ascii="仿宋" w:hAnsi="仿宋" w:eastAsia="仿宋" w:cs="仿宋"/>
          <w:b/>
          <w:color w:val="auto"/>
          <w:sz w:val="32"/>
          <w:szCs w:val="44"/>
          <w:highlight w:val="none"/>
          <w:u w:val="single"/>
        </w:rPr>
      </w:pPr>
    </w:p>
    <w:p w14:paraId="5AA2CF3A">
      <w:pPr>
        <w:rPr>
          <w:rFonts w:hint="eastAsia" w:ascii="仿宋" w:hAnsi="仿宋" w:eastAsia="仿宋" w:cs="仿宋"/>
          <w:b/>
          <w:color w:val="auto"/>
          <w:sz w:val="32"/>
          <w:szCs w:val="44"/>
          <w:highlight w:val="none"/>
          <w:u w:val="single"/>
        </w:rPr>
      </w:pPr>
      <w:r>
        <w:rPr>
          <w:rFonts w:hint="eastAsia" w:ascii="仿宋" w:hAnsi="仿宋" w:eastAsia="仿宋" w:cs="仿宋"/>
          <w:b/>
          <w:color w:val="auto"/>
          <w:sz w:val="32"/>
          <w:szCs w:val="44"/>
          <w:highlight w:val="none"/>
          <w:u w:val="single"/>
        </w:rPr>
        <w:br w:type="page"/>
      </w:r>
    </w:p>
    <w:p w14:paraId="3ADADE71">
      <w:pPr>
        <w:tabs>
          <w:tab w:val="left" w:pos="7920"/>
        </w:tabs>
        <w:jc w:val="center"/>
        <w:rPr>
          <w:rFonts w:hint="eastAsia" w:ascii="仿宋" w:hAnsi="仿宋" w:eastAsia="仿宋" w:cs="仿宋"/>
          <w:b/>
          <w:color w:val="auto"/>
          <w:sz w:val="32"/>
          <w:szCs w:val="44"/>
          <w:highlight w:val="none"/>
          <w:u w:val="single"/>
          <w:lang w:eastAsia="zh-CN"/>
        </w:rPr>
      </w:pPr>
      <w:r>
        <w:rPr>
          <w:rFonts w:hint="eastAsia" w:ascii="仿宋" w:hAnsi="仿宋" w:eastAsia="仿宋" w:cs="仿宋"/>
          <w:b/>
          <w:color w:val="auto"/>
          <w:sz w:val="32"/>
          <w:szCs w:val="44"/>
          <w:highlight w:val="none"/>
          <w:u w:val="single"/>
        </w:rPr>
        <w:t>3.</w:t>
      </w:r>
      <w:r>
        <w:rPr>
          <w:rFonts w:hint="eastAsia" w:ascii="仿宋" w:hAnsi="仿宋" w:eastAsia="仿宋" w:cs="仿宋"/>
          <w:b/>
          <w:color w:val="auto"/>
          <w:sz w:val="32"/>
          <w:szCs w:val="44"/>
          <w:highlight w:val="none"/>
          <w:u w:val="single"/>
          <w:lang w:val="en-US" w:eastAsia="zh-CN"/>
        </w:rPr>
        <w:t>2</w:t>
      </w:r>
      <w:r>
        <w:rPr>
          <w:rFonts w:hint="eastAsia" w:ascii="仿宋" w:hAnsi="仿宋" w:eastAsia="仿宋" w:cs="仿宋"/>
          <w:b/>
          <w:color w:val="auto"/>
          <w:sz w:val="32"/>
          <w:szCs w:val="44"/>
          <w:highlight w:val="none"/>
          <w:u w:val="single"/>
        </w:rPr>
        <w:t>报价</w:t>
      </w:r>
      <w:r>
        <w:rPr>
          <w:rFonts w:hint="eastAsia" w:ascii="仿宋" w:hAnsi="仿宋" w:eastAsia="仿宋" w:cs="仿宋"/>
          <w:b/>
          <w:color w:val="auto"/>
          <w:sz w:val="32"/>
          <w:szCs w:val="44"/>
          <w:highlight w:val="none"/>
          <w:u w:val="single"/>
          <w:lang w:eastAsia="zh-CN"/>
        </w:rPr>
        <w:t>明细</w:t>
      </w:r>
      <w:r>
        <w:rPr>
          <w:rFonts w:hint="eastAsia" w:ascii="仿宋" w:hAnsi="仿宋" w:eastAsia="仿宋" w:cs="仿宋"/>
          <w:b/>
          <w:color w:val="auto"/>
          <w:sz w:val="32"/>
          <w:szCs w:val="44"/>
          <w:highlight w:val="none"/>
          <w:u w:val="single"/>
        </w:rPr>
        <w:t>表</w:t>
      </w:r>
    </w:p>
    <w:p w14:paraId="057D126F">
      <w:pPr>
        <w:pStyle w:val="2"/>
        <w:rPr>
          <w:rFonts w:hint="eastAsia" w:ascii="仿宋" w:hAnsi="仿宋" w:eastAsia="仿宋" w:cs="仿宋"/>
          <w:bCs/>
          <w:caps/>
          <w:color w:val="auto"/>
          <w:sz w:val="24"/>
          <w:highlight w:val="none"/>
          <w:lang w:val="en-US" w:eastAsia="zh-CN"/>
        </w:rPr>
      </w:pPr>
    </w:p>
    <w:tbl>
      <w:tblPr>
        <w:tblStyle w:val="22"/>
        <w:tblW w:w="8496"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
        <w:gridCol w:w="1214"/>
        <w:gridCol w:w="1570"/>
        <w:gridCol w:w="883"/>
        <w:gridCol w:w="794"/>
        <w:gridCol w:w="2580"/>
        <w:gridCol w:w="937"/>
      </w:tblGrid>
      <w:tr w14:paraId="650D2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trPr>
        <w:tc>
          <w:tcPr>
            <w:tcW w:w="8496" w:type="dxa"/>
            <w:gridSpan w:val="7"/>
            <w:vAlign w:val="center"/>
          </w:tcPr>
          <w:p w14:paraId="4C35CFDA">
            <w:pPr>
              <w:numPr>
                <w:ilvl w:val="0"/>
                <w:numId w:val="0"/>
              </w:numPr>
              <w:snapToGrid w:val="0"/>
              <w:spacing w:line="360" w:lineRule="auto"/>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b/>
                <w:bCs/>
                <w:color w:val="auto"/>
                <w:sz w:val="28"/>
                <w:szCs w:val="28"/>
                <w:highlight w:val="none"/>
                <w:u w:val="single"/>
                <w:lang w:val="en-US" w:eastAsia="zh-CN"/>
              </w:rPr>
              <w:t>厅网络机房基础设施维保</w:t>
            </w:r>
            <w:r>
              <w:rPr>
                <w:rFonts w:hint="eastAsia" w:ascii="仿宋" w:hAnsi="仿宋" w:eastAsia="仿宋" w:cs="仿宋"/>
                <w:b/>
                <w:bCs/>
                <w:color w:val="auto"/>
                <w:sz w:val="28"/>
                <w:szCs w:val="28"/>
                <w:highlight w:val="none"/>
                <w:lang w:val="en-US" w:eastAsia="zh-CN"/>
              </w:rPr>
              <w:t>分项报价</w:t>
            </w:r>
          </w:p>
        </w:tc>
      </w:tr>
      <w:tr w14:paraId="6CFF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trPr>
        <w:tc>
          <w:tcPr>
            <w:tcW w:w="518" w:type="dxa"/>
            <w:vAlign w:val="center"/>
          </w:tcPr>
          <w:p w14:paraId="1EA44FD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序号</w:t>
            </w:r>
          </w:p>
        </w:tc>
        <w:tc>
          <w:tcPr>
            <w:tcW w:w="1214" w:type="dxa"/>
            <w:vAlign w:val="center"/>
          </w:tcPr>
          <w:p w14:paraId="36BCD87F">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设备名称</w:t>
            </w:r>
          </w:p>
        </w:tc>
        <w:tc>
          <w:tcPr>
            <w:tcW w:w="1570" w:type="dxa"/>
            <w:vAlign w:val="center"/>
          </w:tcPr>
          <w:p w14:paraId="405BB6AC">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品牌型号</w:t>
            </w:r>
          </w:p>
        </w:tc>
        <w:tc>
          <w:tcPr>
            <w:tcW w:w="883" w:type="dxa"/>
            <w:vAlign w:val="center"/>
          </w:tcPr>
          <w:p w14:paraId="2CE6BA4E">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技术</w:t>
            </w:r>
          </w:p>
          <w:p w14:paraId="2E559ED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参数</w:t>
            </w:r>
          </w:p>
        </w:tc>
        <w:tc>
          <w:tcPr>
            <w:tcW w:w="794" w:type="dxa"/>
            <w:vAlign w:val="center"/>
          </w:tcPr>
          <w:p w14:paraId="3DE1EAA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数量</w:t>
            </w:r>
          </w:p>
        </w:tc>
        <w:tc>
          <w:tcPr>
            <w:tcW w:w="2580" w:type="dxa"/>
            <w:vAlign w:val="center"/>
          </w:tcPr>
          <w:p w14:paraId="6820C9A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说明</w:t>
            </w:r>
          </w:p>
        </w:tc>
        <w:tc>
          <w:tcPr>
            <w:tcW w:w="937" w:type="dxa"/>
            <w:vAlign w:val="center"/>
          </w:tcPr>
          <w:p w14:paraId="6924B17B">
            <w:pPr>
              <w:numPr>
                <w:ilvl w:val="0"/>
                <w:numId w:val="0"/>
              </w:numPr>
              <w:snapToGrid w:val="0"/>
              <w:spacing w:line="360" w:lineRule="auto"/>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单价（元）</w:t>
            </w:r>
          </w:p>
        </w:tc>
      </w:tr>
      <w:tr w14:paraId="382D9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8" w:type="dxa"/>
            <w:vAlign w:val="center"/>
          </w:tcPr>
          <w:p w14:paraId="0CB4CB1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1AC0EF74">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w:t>
            </w:r>
          </w:p>
        </w:tc>
        <w:tc>
          <w:tcPr>
            <w:tcW w:w="1214" w:type="dxa"/>
            <w:vMerge w:val="restart"/>
            <w:tcBorders>
              <w:bottom w:val="nil"/>
            </w:tcBorders>
            <w:vAlign w:val="center"/>
          </w:tcPr>
          <w:p w14:paraId="5977FE04">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UPS 不间断电源</w:t>
            </w:r>
          </w:p>
        </w:tc>
        <w:tc>
          <w:tcPr>
            <w:tcW w:w="1570" w:type="dxa"/>
            <w:vAlign w:val="center"/>
          </w:tcPr>
          <w:p w14:paraId="7191C40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施耐德 UPS</w:t>
            </w:r>
          </w:p>
          <w:p w14:paraId="22C7713A">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Galaxy 7000；4组188块电池</w:t>
            </w:r>
          </w:p>
        </w:tc>
        <w:tc>
          <w:tcPr>
            <w:tcW w:w="883" w:type="dxa"/>
            <w:vAlign w:val="center"/>
          </w:tcPr>
          <w:p w14:paraId="1B41973F">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200KVA</w:t>
            </w:r>
          </w:p>
        </w:tc>
        <w:tc>
          <w:tcPr>
            <w:tcW w:w="794" w:type="dxa"/>
            <w:vAlign w:val="center"/>
          </w:tcPr>
          <w:p w14:paraId="72C0C8A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 台</w:t>
            </w:r>
          </w:p>
        </w:tc>
        <w:tc>
          <w:tcPr>
            <w:tcW w:w="2580" w:type="dxa"/>
            <w:vAlign w:val="center"/>
          </w:tcPr>
          <w:p w14:paraId="70F8FA03">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设备全年维保，含配件、电池维修更换及设备日常巡检。主机2011年运行至今，电池2018年更换</w:t>
            </w:r>
          </w:p>
        </w:tc>
        <w:tc>
          <w:tcPr>
            <w:tcW w:w="937" w:type="dxa"/>
            <w:vAlign w:val="center"/>
          </w:tcPr>
          <w:p w14:paraId="6DF12A4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11150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6" w:hRule="atLeast"/>
        </w:trPr>
        <w:tc>
          <w:tcPr>
            <w:tcW w:w="518" w:type="dxa"/>
            <w:vAlign w:val="center"/>
          </w:tcPr>
          <w:p w14:paraId="04860A6C">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w:t>
            </w:r>
          </w:p>
        </w:tc>
        <w:tc>
          <w:tcPr>
            <w:tcW w:w="1214" w:type="dxa"/>
            <w:vMerge w:val="continue"/>
            <w:tcBorders>
              <w:top w:val="nil"/>
            </w:tcBorders>
            <w:vAlign w:val="center"/>
          </w:tcPr>
          <w:p w14:paraId="25D7C87C">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c>
          <w:tcPr>
            <w:tcW w:w="1570" w:type="dxa"/>
            <w:vAlign w:val="center"/>
          </w:tcPr>
          <w:p w14:paraId="79E9350A">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伊顿 93E</w:t>
            </w:r>
          </w:p>
        </w:tc>
        <w:tc>
          <w:tcPr>
            <w:tcW w:w="883" w:type="dxa"/>
            <w:vAlign w:val="center"/>
          </w:tcPr>
          <w:p w14:paraId="4A516EA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30KVA</w:t>
            </w:r>
          </w:p>
        </w:tc>
        <w:tc>
          <w:tcPr>
            <w:tcW w:w="794" w:type="dxa"/>
            <w:vAlign w:val="center"/>
          </w:tcPr>
          <w:p w14:paraId="3A1809B9">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 台</w:t>
            </w:r>
          </w:p>
        </w:tc>
        <w:tc>
          <w:tcPr>
            <w:tcW w:w="2580" w:type="dxa"/>
            <w:vAlign w:val="center"/>
          </w:tcPr>
          <w:p w14:paraId="3F5B033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设备全年维保，含配件、电池维修更换及设备日常巡检。</w:t>
            </w:r>
          </w:p>
        </w:tc>
        <w:tc>
          <w:tcPr>
            <w:tcW w:w="937" w:type="dxa"/>
            <w:vAlign w:val="center"/>
          </w:tcPr>
          <w:p w14:paraId="6DBBD8A4">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5B21C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1" w:hRule="atLeast"/>
        </w:trPr>
        <w:tc>
          <w:tcPr>
            <w:tcW w:w="518" w:type="dxa"/>
            <w:tcBorders>
              <w:bottom w:val="single" w:color="000000" w:sz="2" w:space="0"/>
            </w:tcBorders>
            <w:vAlign w:val="center"/>
          </w:tcPr>
          <w:p w14:paraId="6F3AA1D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3</w:t>
            </w:r>
          </w:p>
        </w:tc>
        <w:tc>
          <w:tcPr>
            <w:tcW w:w="1214" w:type="dxa"/>
            <w:tcBorders>
              <w:bottom w:val="single" w:color="000000" w:sz="2" w:space="0"/>
            </w:tcBorders>
            <w:vAlign w:val="center"/>
          </w:tcPr>
          <w:p w14:paraId="40FAA223">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22EDB5C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机房空调</w:t>
            </w:r>
          </w:p>
        </w:tc>
        <w:tc>
          <w:tcPr>
            <w:tcW w:w="1570" w:type="dxa"/>
            <w:tcBorders>
              <w:bottom w:val="single" w:color="000000" w:sz="2" w:space="0"/>
            </w:tcBorders>
            <w:vAlign w:val="center"/>
          </w:tcPr>
          <w:p w14:paraId="54911DE2">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大金专用柜式</w:t>
            </w:r>
          </w:p>
        </w:tc>
        <w:tc>
          <w:tcPr>
            <w:tcW w:w="883" w:type="dxa"/>
            <w:tcBorders>
              <w:bottom w:val="single" w:color="000000" w:sz="2" w:space="0"/>
            </w:tcBorders>
            <w:vAlign w:val="center"/>
          </w:tcPr>
          <w:p w14:paraId="5CAB73E4">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5P</w:t>
            </w:r>
          </w:p>
        </w:tc>
        <w:tc>
          <w:tcPr>
            <w:tcW w:w="794" w:type="dxa"/>
            <w:tcBorders>
              <w:bottom w:val="single" w:color="000000" w:sz="2" w:space="0"/>
            </w:tcBorders>
            <w:vAlign w:val="center"/>
          </w:tcPr>
          <w:p w14:paraId="36F5A77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3 台</w:t>
            </w:r>
          </w:p>
        </w:tc>
        <w:tc>
          <w:tcPr>
            <w:tcW w:w="2580" w:type="dxa"/>
            <w:tcBorders>
              <w:bottom w:val="single" w:color="000000" w:sz="2" w:space="0"/>
            </w:tcBorders>
            <w:vAlign w:val="center"/>
          </w:tcPr>
          <w:p w14:paraId="6DD015A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设备全年维保，含配件维修更换及设备日常巡检。</w:t>
            </w:r>
          </w:p>
        </w:tc>
        <w:tc>
          <w:tcPr>
            <w:tcW w:w="937" w:type="dxa"/>
            <w:tcBorders>
              <w:bottom w:val="single" w:color="000000" w:sz="2" w:space="0"/>
            </w:tcBorders>
            <w:vAlign w:val="center"/>
          </w:tcPr>
          <w:p w14:paraId="7BD5553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222AB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518" w:type="dxa"/>
            <w:tcBorders>
              <w:top w:val="single" w:color="000000" w:sz="2" w:space="0"/>
              <w:bottom w:val="single" w:color="000000" w:sz="2" w:space="0"/>
            </w:tcBorders>
            <w:vAlign w:val="center"/>
          </w:tcPr>
          <w:p w14:paraId="178AD372">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4</w:t>
            </w:r>
          </w:p>
          <w:p w14:paraId="0A96D350">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c>
          <w:tcPr>
            <w:tcW w:w="1214" w:type="dxa"/>
            <w:tcBorders>
              <w:top w:val="single" w:color="000000" w:sz="2" w:space="0"/>
              <w:bottom w:val="single" w:color="000000" w:sz="2" w:space="0"/>
            </w:tcBorders>
            <w:vAlign w:val="center"/>
          </w:tcPr>
          <w:p w14:paraId="2DE7B437">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67C44C92">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消防灭火系统</w:t>
            </w:r>
          </w:p>
        </w:tc>
        <w:tc>
          <w:tcPr>
            <w:tcW w:w="1570" w:type="dxa"/>
            <w:tcBorders>
              <w:top w:val="single" w:color="000000" w:sz="2" w:space="0"/>
              <w:bottom w:val="single" w:color="000000" w:sz="2" w:space="0"/>
            </w:tcBorders>
            <w:vAlign w:val="center"/>
          </w:tcPr>
          <w:p w14:paraId="683912D0">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机房及配电室消防灭火系统、发电机房消防灭火系统</w:t>
            </w:r>
          </w:p>
        </w:tc>
        <w:tc>
          <w:tcPr>
            <w:tcW w:w="883" w:type="dxa"/>
            <w:tcBorders>
              <w:top w:val="single" w:color="000000" w:sz="2" w:space="0"/>
              <w:bottom w:val="single" w:color="000000" w:sz="2" w:space="0"/>
            </w:tcBorders>
            <w:vAlign w:val="center"/>
          </w:tcPr>
          <w:p w14:paraId="4FBA0178">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七氟丙烷</w:t>
            </w:r>
          </w:p>
        </w:tc>
        <w:tc>
          <w:tcPr>
            <w:tcW w:w="794" w:type="dxa"/>
            <w:tcBorders>
              <w:top w:val="single" w:color="000000" w:sz="2" w:space="0"/>
              <w:bottom w:val="single" w:color="000000" w:sz="2" w:space="0"/>
            </w:tcBorders>
            <w:vAlign w:val="center"/>
          </w:tcPr>
          <w:p w14:paraId="4CCD5C96">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2套</w:t>
            </w:r>
          </w:p>
        </w:tc>
        <w:tc>
          <w:tcPr>
            <w:tcW w:w="2580" w:type="dxa"/>
            <w:tcBorders>
              <w:top w:val="single" w:color="000000" w:sz="2" w:space="0"/>
              <w:bottom w:val="single" w:color="000000" w:sz="2" w:space="0"/>
            </w:tcBorders>
            <w:vAlign w:val="center"/>
          </w:tcPr>
          <w:p w14:paraId="62EDCCC6">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7DABED41">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系统日常巡检、易损件更换、线路故障维修。</w:t>
            </w:r>
          </w:p>
        </w:tc>
        <w:tc>
          <w:tcPr>
            <w:tcW w:w="937" w:type="dxa"/>
            <w:tcBorders>
              <w:top w:val="single" w:color="000000" w:sz="2" w:space="0"/>
            </w:tcBorders>
            <w:vAlign w:val="center"/>
          </w:tcPr>
          <w:p w14:paraId="287425D6">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4C4F4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2" w:hRule="atLeast"/>
        </w:trPr>
        <w:tc>
          <w:tcPr>
            <w:tcW w:w="518" w:type="dxa"/>
            <w:vAlign w:val="center"/>
          </w:tcPr>
          <w:p w14:paraId="4BD86E31">
            <w:pPr>
              <w:numPr>
                <w:ilvl w:val="0"/>
                <w:numId w:val="0"/>
              </w:numPr>
              <w:snapToGrid w:val="0"/>
              <w:spacing w:line="360" w:lineRule="auto"/>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5</w:t>
            </w:r>
          </w:p>
        </w:tc>
        <w:tc>
          <w:tcPr>
            <w:tcW w:w="1214" w:type="dxa"/>
            <w:vAlign w:val="center"/>
          </w:tcPr>
          <w:p w14:paraId="6F6E185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机房后备发电机</w:t>
            </w:r>
          </w:p>
        </w:tc>
        <w:tc>
          <w:tcPr>
            <w:tcW w:w="1570" w:type="dxa"/>
            <w:vAlign w:val="center"/>
          </w:tcPr>
          <w:p w14:paraId="7AAFE6D2">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机房后备发电机组系统</w:t>
            </w:r>
          </w:p>
        </w:tc>
        <w:tc>
          <w:tcPr>
            <w:tcW w:w="883" w:type="dxa"/>
            <w:vAlign w:val="center"/>
          </w:tcPr>
          <w:p w14:paraId="0031F94F">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4E5849ED">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200KW</w:t>
            </w:r>
          </w:p>
        </w:tc>
        <w:tc>
          <w:tcPr>
            <w:tcW w:w="794" w:type="dxa"/>
            <w:vAlign w:val="center"/>
          </w:tcPr>
          <w:p w14:paraId="28F99FBF">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p w14:paraId="2BD17E3A">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 套</w:t>
            </w:r>
          </w:p>
        </w:tc>
        <w:tc>
          <w:tcPr>
            <w:tcW w:w="2580" w:type="dxa"/>
            <w:vAlign w:val="center"/>
          </w:tcPr>
          <w:p w14:paraId="42A916E6">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设备全年质保，含配件维修更换、一年两次三滤更换及年度用油保障。</w:t>
            </w:r>
          </w:p>
        </w:tc>
        <w:tc>
          <w:tcPr>
            <w:tcW w:w="937" w:type="dxa"/>
            <w:vAlign w:val="center"/>
          </w:tcPr>
          <w:p w14:paraId="4E2B4DDF">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6FC3F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518" w:type="dxa"/>
            <w:vAlign w:val="center"/>
          </w:tcPr>
          <w:p w14:paraId="41CF57E4">
            <w:pPr>
              <w:numPr>
                <w:ilvl w:val="0"/>
                <w:numId w:val="0"/>
              </w:numPr>
              <w:snapToGrid w:val="0"/>
              <w:spacing w:line="360" w:lineRule="auto"/>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6</w:t>
            </w:r>
          </w:p>
        </w:tc>
        <w:tc>
          <w:tcPr>
            <w:tcW w:w="1214" w:type="dxa"/>
            <w:vAlign w:val="center"/>
          </w:tcPr>
          <w:p w14:paraId="2AE86385">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值守巡检</w:t>
            </w:r>
          </w:p>
        </w:tc>
        <w:tc>
          <w:tcPr>
            <w:tcW w:w="1570" w:type="dxa"/>
            <w:vAlign w:val="center"/>
          </w:tcPr>
          <w:p w14:paraId="3E80D0E9">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机房基础设施值守巡检</w:t>
            </w:r>
          </w:p>
        </w:tc>
        <w:tc>
          <w:tcPr>
            <w:tcW w:w="883" w:type="dxa"/>
            <w:vAlign w:val="center"/>
          </w:tcPr>
          <w:p w14:paraId="7193781F">
            <w:pPr>
              <w:numPr>
                <w:ilvl w:val="0"/>
                <w:numId w:val="0"/>
              </w:numPr>
              <w:snapToGrid w:val="0"/>
              <w:spacing w:line="360" w:lineRule="auto"/>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w:t>
            </w:r>
          </w:p>
        </w:tc>
        <w:tc>
          <w:tcPr>
            <w:tcW w:w="794" w:type="dxa"/>
            <w:vAlign w:val="center"/>
          </w:tcPr>
          <w:p w14:paraId="40DA3219">
            <w:pPr>
              <w:numPr>
                <w:ilvl w:val="0"/>
                <w:numId w:val="0"/>
              </w:numPr>
              <w:snapToGrid w:val="0"/>
              <w:spacing w:line="360" w:lineRule="auto"/>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w:t>
            </w:r>
          </w:p>
        </w:tc>
        <w:tc>
          <w:tcPr>
            <w:tcW w:w="2580" w:type="dxa"/>
            <w:vAlign w:val="center"/>
          </w:tcPr>
          <w:p w14:paraId="190A2E7C">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全年机房动环设备非工作时间、节假日值守巡检服务。</w:t>
            </w:r>
          </w:p>
        </w:tc>
        <w:tc>
          <w:tcPr>
            <w:tcW w:w="937" w:type="dxa"/>
            <w:vAlign w:val="center"/>
          </w:tcPr>
          <w:p w14:paraId="754ABA16">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p>
        </w:tc>
      </w:tr>
      <w:tr w14:paraId="4103C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8496" w:type="dxa"/>
            <w:gridSpan w:val="7"/>
            <w:vAlign w:val="center"/>
          </w:tcPr>
          <w:p w14:paraId="42F2161E">
            <w:pPr>
              <w:numPr>
                <w:ilvl w:val="0"/>
                <w:numId w:val="0"/>
              </w:numPr>
              <w:snapToGrid w:val="0"/>
              <w:spacing w:line="360" w:lineRule="auto"/>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b/>
                <w:bCs/>
                <w:color w:val="auto"/>
                <w:sz w:val="28"/>
                <w:szCs w:val="28"/>
                <w:highlight w:val="none"/>
                <w:u w:val="single"/>
                <w:lang w:val="en-US" w:eastAsia="zh-CN"/>
              </w:rPr>
              <w:t>省信息化八楼财政机房维保</w:t>
            </w:r>
            <w:r>
              <w:rPr>
                <w:rFonts w:hint="eastAsia" w:ascii="仿宋" w:hAnsi="仿宋" w:eastAsia="仿宋" w:cs="仿宋"/>
                <w:b/>
                <w:bCs/>
                <w:color w:val="auto"/>
                <w:sz w:val="28"/>
                <w:szCs w:val="28"/>
                <w:highlight w:val="none"/>
                <w:lang w:val="en-US" w:eastAsia="zh-CN"/>
              </w:rPr>
              <w:t>分项报价</w:t>
            </w:r>
          </w:p>
        </w:tc>
      </w:tr>
      <w:tr w14:paraId="204FC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518" w:type="dxa"/>
            <w:shd w:val="clear" w:color="auto" w:fill="auto"/>
            <w:vAlign w:val="center"/>
          </w:tcPr>
          <w:p w14:paraId="31D9C310">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序号</w:t>
            </w:r>
          </w:p>
        </w:tc>
        <w:tc>
          <w:tcPr>
            <w:tcW w:w="1214" w:type="dxa"/>
            <w:shd w:val="clear" w:color="auto" w:fill="auto"/>
            <w:vAlign w:val="center"/>
          </w:tcPr>
          <w:p w14:paraId="2CD9D409">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设备名称</w:t>
            </w:r>
          </w:p>
        </w:tc>
        <w:tc>
          <w:tcPr>
            <w:tcW w:w="1570" w:type="dxa"/>
            <w:shd w:val="clear" w:color="auto" w:fill="auto"/>
            <w:vAlign w:val="center"/>
          </w:tcPr>
          <w:p w14:paraId="4BE413F4">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品牌型号</w:t>
            </w:r>
          </w:p>
        </w:tc>
        <w:tc>
          <w:tcPr>
            <w:tcW w:w="883" w:type="dxa"/>
            <w:shd w:val="clear" w:color="auto" w:fill="auto"/>
            <w:vAlign w:val="center"/>
          </w:tcPr>
          <w:p w14:paraId="29C81481">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技术参数</w:t>
            </w:r>
          </w:p>
        </w:tc>
        <w:tc>
          <w:tcPr>
            <w:tcW w:w="794" w:type="dxa"/>
            <w:shd w:val="clear" w:color="auto" w:fill="auto"/>
            <w:vAlign w:val="center"/>
          </w:tcPr>
          <w:p w14:paraId="2E8F8F05">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数量</w:t>
            </w:r>
          </w:p>
        </w:tc>
        <w:tc>
          <w:tcPr>
            <w:tcW w:w="2580" w:type="dxa"/>
            <w:shd w:val="clear" w:color="auto" w:fill="auto"/>
            <w:vAlign w:val="center"/>
          </w:tcPr>
          <w:p w14:paraId="6AAE16E0">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说明</w:t>
            </w:r>
          </w:p>
        </w:tc>
        <w:tc>
          <w:tcPr>
            <w:tcW w:w="937" w:type="dxa"/>
            <w:shd w:val="clear" w:color="auto" w:fill="auto"/>
            <w:vAlign w:val="center"/>
          </w:tcPr>
          <w:p w14:paraId="5A83EE8F">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单价（元）</w:t>
            </w:r>
          </w:p>
        </w:tc>
      </w:tr>
      <w:tr w14:paraId="2A8AC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518" w:type="dxa"/>
            <w:shd w:val="clear" w:color="auto" w:fill="auto"/>
            <w:vAlign w:val="center"/>
          </w:tcPr>
          <w:p w14:paraId="269B0CCE">
            <w:pPr>
              <w:numPr>
                <w:ilvl w:val="0"/>
                <w:numId w:val="0"/>
              </w:numPr>
              <w:snapToGrid w:val="0"/>
              <w:spacing w:line="360" w:lineRule="auto"/>
              <w:ind w:left="0" w:leftChars="0" w:firstLine="0" w:firstLineChars="0"/>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w:t>
            </w:r>
          </w:p>
        </w:tc>
        <w:tc>
          <w:tcPr>
            <w:tcW w:w="1214" w:type="dxa"/>
            <w:shd w:val="clear" w:color="auto" w:fill="auto"/>
            <w:vAlign w:val="center"/>
          </w:tcPr>
          <w:p w14:paraId="504EC4D2">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sz w:val="28"/>
                <w:szCs w:val="28"/>
                <w:highlight w:val="none"/>
                <w:lang w:val="en-US" w:eastAsia="zh-CN"/>
              </w:rPr>
              <w:t>省信息化八楼财政机房维保</w:t>
            </w:r>
          </w:p>
        </w:tc>
        <w:tc>
          <w:tcPr>
            <w:tcW w:w="1570" w:type="dxa"/>
            <w:shd w:val="clear" w:color="auto" w:fill="auto"/>
            <w:vAlign w:val="center"/>
          </w:tcPr>
          <w:p w14:paraId="2646C222">
            <w:pPr>
              <w:numPr>
                <w:ilvl w:val="0"/>
                <w:numId w:val="0"/>
              </w:numPr>
              <w:snapToGrid w:val="0"/>
              <w:spacing w:line="360" w:lineRule="auto"/>
              <w:ind w:left="0" w:leftChars="0" w:firstLine="0" w:firstLineChars="0"/>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w:t>
            </w:r>
          </w:p>
        </w:tc>
        <w:tc>
          <w:tcPr>
            <w:tcW w:w="883" w:type="dxa"/>
            <w:shd w:val="clear" w:color="auto" w:fill="auto"/>
            <w:vAlign w:val="center"/>
          </w:tcPr>
          <w:p w14:paraId="3C3E7CA5">
            <w:pPr>
              <w:numPr>
                <w:ilvl w:val="0"/>
                <w:numId w:val="0"/>
              </w:numPr>
              <w:snapToGrid w:val="0"/>
              <w:spacing w:line="360" w:lineRule="auto"/>
              <w:ind w:left="0" w:leftChars="0" w:firstLine="0" w:firstLineChars="0"/>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w:t>
            </w:r>
          </w:p>
        </w:tc>
        <w:tc>
          <w:tcPr>
            <w:tcW w:w="794" w:type="dxa"/>
            <w:shd w:val="clear" w:color="auto" w:fill="auto"/>
            <w:vAlign w:val="center"/>
          </w:tcPr>
          <w:p w14:paraId="5A1DF77C">
            <w:pPr>
              <w:numPr>
                <w:ilvl w:val="0"/>
                <w:numId w:val="0"/>
              </w:numPr>
              <w:snapToGrid w:val="0"/>
              <w:spacing w:line="360" w:lineRule="auto"/>
              <w:ind w:left="0" w:leftChars="0" w:firstLine="0" w:firstLineChars="0"/>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1项</w:t>
            </w:r>
          </w:p>
        </w:tc>
        <w:tc>
          <w:tcPr>
            <w:tcW w:w="2580" w:type="dxa"/>
            <w:shd w:val="clear" w:color="auto" w:fill="auto"/>
            <w:vAlign w:val="center"/>
          </w:tcPr>
          <w:p w14:paraId="48990A98">
            <w:pPr>
              <w:numPr>
                <w:ilvl w:val="0"/>
                <w:numId w:val="0"/>
              </w:numPr>
              <w:snapToGrid w:val="0"/>
              <w:spacing w:line="360" w:lineRule="auto"/>
              <w:ind w:left="0" w:leftChars="0" w:firstLine="0" w:firstLineChars="0"/>
              <w:jc w:val="center"/>
              <w:outlineLvl w:val="0"/>
              <w:rPr>
                <w:rFonts w:hint="default"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w:t>
            </w:r>
          </w:p>
        </w:tc>
        <w:tc>
          <w:tcPr>
            <w:tcW w:w="937" w:type="dxa"/>
            <w:shd w:val="clear" w:color="auto" w:fill="auto"/>
            <w:vAlign w:val="center"/>
          </w:tcPr>
          <w:p w14:paraId="276ACD7E">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p>
        </w:tc>
      </w:tr>
      <w:tr w14:paraId="1A987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8496" w:type="dxa"/>
            <w:gridSpan w:val="7"/>
            <w:shd w:val="clear" w:color="auto" w:fill="auto"/>
            <w:vAlign w:val="center"/>
          </w:tcPr>
          <w:p w14:paraId="5840BB9B">
            <w:pPr>
              <w:numPr>
                <w:ilvl w:val="0"/>
                <w:numId w:val="0"/>
              </w:numPr>
              <w:snapToGrid w:val="0"/>
              <w:spacing w:line="360" w:lineRule="auto"/>
              <w:ind w:left="0" w:leftChars="0" w:firstLine="0" w:firstLineChars="0"/>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sz w:val="28"/>
                <w:szCs w:val="28"/>
                <w:highlight w:val="none"/>
                <w:lang w:val="en-US" w:eastAsia="zh-CN"/>
              </w:rPr>
              <w:t>合计总价：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 xml:space="preserve">  大写：</w:t>
            </w:r>
          </w:p>
        </w:tc>
      </w:tr>
    </w:tbl>
    <w:p w14:paraId="58BC4604">
      <w:pPr>
        <w:pStyle w:val="2"/>
        <w:rPr>
          <w:rFonts w:hint="eastAsia" w:ascii="仿宋" w:hAnsi="仿宋" w:eastAsia="仿宋" w:cs="仿宋"/>
          <w:color w:val="auto"/>
          <w:kern w:val="2"/>
          <w:sz w:val="24"/>
          <w:szCs w:val="24"/>
          <w:highlight w:val="none"/>
          <w:lang w:val="en-US" w:eastAsia="zh-CN" w:bidi="ar-SA"/>
        </w:rPr>
      </w:pPr>
    </w:p>
    <w:p w14:paraId="07E1B06E">
      <w:pPr>
        <w:pStyle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说明：1.供应商自行编制报价明细表；报价精确到小数点后两位。</w:t>
      </w:r>
    </w:p>
    <w:p w14:paraId="19EF53F4">
      <w:pPr>
        <w:pStyle w:val="2"/>
        <w:rPr>
          <w:rFonts w:hint="eastAsia" w:ascii="仿宋" w:hAnsi="仿宋" w:eastAsia="仿宋" w:cs="仿宋"/>
          <w:color w:val="auto"/>
          <w:kern w:val="2"/>
          <w:sz w:val="21"/>
          <w:szCs w:val="21"/>
          <w:highlight w:val="none"/>
          <w:lang w:val="en-US" w:eastAsia="zh-CN" w:bidi="ar-SA"/>
        </w:rPr>
      </w:pPr>
    </w:p>
    <w:p w14:paraId="0F5316DA">
      <w:pPr>
        <w:pStyle w:val="2"/>
        <w:rPr>
          <w:rFonts w:hint="eastAsia" w:ascii="仿宋" w:hAnsi="仿宋" w:eastAsia="仿宋" w:cs="仿宋"/>
          <w:color w:val="auto"/>
          <w:kern w:val="2"/>
          <w:sz w:val="21"/>
          <w:szCs w:val="21"/>
          <w:highlight w:val="none"/>
          <w:lang w:val="en-US" w:eastAsia="zh-CN" w:bidi="ar-SA"/>
        </w:rPr>
      </w:pPr>
    </w:p>
    <w:p w14:paraId="23B0CD96">
      <w:pPr>
        <w:pStyle w:val="2"/>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供应商：（盖单位章）</w:t>
      </w:r>
    </w:p>
    <w:p w14:paraId="11E289B7">
      <w:pPr>
        <w:pStyle w:val="2"/>
        <w:ind w:firstLine="2640" w:firstLineChars="1100"/>
        <w:rPr>
          <w:rFonts w:hint="eastAsia" w:ascii="仿宋" w:hAnsi="仿宋" w:eastAsia="仿宋" w:cs="仿宋"/>
          <w:color w:val="auto"/>
          <w:kern w:val="2"/>
          <w:sz w:val="24"/>
          <w:szCs w:val="24"/>
          <w:highlight w:val="none"/>
          <w:lang w:val="en-US" w:eastAsia="zh-CN" w:bidi="ar-SA"/>
        </w:rPr>
      </w:pPr>
    </w:p>
    <w:p w14:paraId="1F4A2C27">
      <w:pPr>
        <w:pStyle w:val="2"/>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法定代表人或委托代理人：（签字或盖章）</w:t>
      </w:r>
    </w:p>
    <w:p w14:paraId="14BCC23A">
      <w:pPr>
        <w:pStyle w:val="2"/>
        <w:ind w:firstLine="2640" w:firstLineChars="1100"/>
        <w:rPr>
          <w:rFonts w:hint="eastAsia" w:ascii="仿宋" w:hAnsi="仿宋" w:eastAsia="仿宋" w:cs="仿宋"/>
          <w:color w:val="auto"/>
          <w:kern w:val="2"/>
          <w:sz w:val="24"/>
          <w:szCs w:val="24"/>
          <w:highlight w:val="none"/>
          <w:lang w:val="en-US" w:eastAsia="zh-CN" w:bidi="ar-SA"/>
        </w:rPr>
      </w:pPr>
    </w:p>
    <w:p w14:paraId="55E9B455">
      <w:pPr>
        <w:pStyle w:val="2"/>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日期：年月日</w:t>
      </w:r>
    </w:p>
    <w:p w14:paraId="5980E9DA">
      <w:pPr>
        <w:numPr>
          <w:ilvl w:val="0"/>
          <w:numId w:val="0"/>
        </w:numPr>
        <w:jc w:val="center"/>
        <w:outlineLvl w:val="1"/>
        <w:rPr>
          <w:rFonts w:hint="eastAsia" w:ascii="仿宋" w:hAnsi="仿宋" w:eastAsia="仿宋" w:cs="仿宋"/>
          <w:b/>
          <w:bCs/>
          <w:color w:val="auto"/>
          <w:sz w:val="32"/>
          <w:szCs w:val="32"/>
          <w:highlight w:val="none"/>
        </w:rPr>
      </w:pPr>
      <w:bookmarkStart w:id="37" w:name="_Toc21817"/>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技术响应方案</w:t>
      </w:r>
      <w:bookmarkEnd w:id="37"/>
    </w:p>
    <w:p w14:paraId="6E7807BD">
      <w:pPr>
        <w:numPr>
          <w:ilvl w:val="0"/>
          <w:numId w:val="0"/>
        </w:num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（各供应商根据采购内容及</w:t>
      </w:r>
      <w:r>
        <w:rPr>
          <w:rFonts w:hint="eastAsia" w:ascii="仿宋" w:hAnsi="仿宋" w:eastAsia="仿宋" w:cs="仿宋"/>
          <w:b/>
          <w:bCs/>
          <w:color w:val="auto"/>
          <w:sz w:val="24"/>
          <w:szCs w:val="24"/>
          <w:highlight w:val="none"/>
          <w:lang w:eastAsia="zh-CN"/>
        </w:rPr>
        <w:t>评审</w:t>
      </w:r>
      <w:r>
        <w:rPr>
          <w:rFonts w:hint="eastAsia" w:ascii="仿宋" w:hAnsi="仿宋" w:eastAsia="仿宋" w:cs="仿宋"/>
          <w:b/>
          <w:bCs/>
          <w:color w:val="auto"/>
          <w:sz w:val="24"/>
          <w:szCs w:val="24"/>
          <w:highlight w:val="none"/>
        </w:rPr>
        <w:t>办法，</w:t>
      </w:r>
      <w:r>
        <w:rPr>
          <w:rFonts w:hint="eastAsia" w:ascii="仿宋" w:hAnsi="仿宋" w:eastAsia="仿宋" w:cs="仿宋"/>
          <w:b/>
          <w:bCs/>
          <w:color w:val="auto"/>
          <w:sz w:val="24"/>
          <w:szCs w:val="24"/>
          <w:highlight w:val="none"/>
          <w:lang w:eastAsia="zh-CN"/>
        </w:rPr>
        <w:t>可自行扩展</w:t>
      </w:r>
      <w:r>
        <w:rPr>
          <w:rFonts w:hint="eastAsia" w:ascii="仿宋" w:hAnsi="仿宋" w:eastAsia="仿宋" w:cs="仿宋"/>
          <w:b/>
          <w:bCs/>
          <w:color w:val="auto"/>
          <w:sz w:val="24"/>
          <w:szCs w:val="24"/>
          <w:highlight w:val="none"/>
        </w:rPr>
        <w:t>编写</w:t>
      </w:r>
      <w:r>
        <w:rPr>
          <w:rFonts w:hint="eastAsia" w:ascii="仿宋" w:hAnsi="仿宋" w:eastAsia="仿宋" w:cs="仿宋"/>
          <w:b/>
          <w:bCs/>
          <w:color w:val="auto"/>
          <w:sz w:val="24"/>
          <w:szCs w:val="24"/>
          <w:highlight w:val="none"/>
          <w:lang w:eastAsia="zh-CN"/>
        </w:rPr>
        <w:t>技术</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eastAsia="zh-CN"/>
        </w:rPr>
        <w:t>。）</w:t>
      </w:r>
    </w:p>
    <w:p w14:paraId="5EF87EF3">
      <w:pPr>
        <w:ind w:firstLine="560"/>
        <w:jc w:val="left"/>
        <w:rPr>
          <w:rFonts w:hint="eastAsia" w:ascii="仿宋" w:hAnsi="仿宋" w:eastAsia="仿宋" w:cs="仿宋"/>
          <w:b/>
          <w:bCs/>
          <w:color w:val="auto"/>
          <w:sz w:val="28"/>
          <w:szCs w:val="28"/>
          <w:highlight w:val="none"/>
        </w:rPr>
      </w:pPr>
    </w:p>
    <w:p w14:paraId="12B0191D">
      <w:pPr>
        <w:ind w:firstLine="560"/>
        <w:jc w:val="left"/>
        <w:rPr>
          <w:rFonts w:hint="eastAsia" w:ascii="仿宋" w:hAnsi="仿宋" w:eastAsia="仿宋" w:cs="仿宋"/>
          <w:b/>
          <w:bCs/>
          <w:color w:val="auto"/>
          <w:sz w:val="28"/>
          <w:szCs w:val="28"/>
          <w:highlight w:val="none"/>
        </w:rPr>
      </w:pPr>
    </w:p>
    <w:p w14:paraId="36AA2FB3">
      <w:pPr>
        <w:ind w:firstLine="560"/>
        <w:jc w:val="left"/>
        <w:rPr>
          <w:rFonts w:hint="eastAsia" w:ascii="仿宋" w:hAnsi="仿宋" w:eastAsia="仿宋" w:cs="仿宋"/>
          <w:b/>
          <w:bCs/>
          <w:color w:val="auto"/>
          <w:sz w:val="28"/>
          <w:szCs w:val="28"/>
          <w:highlight w:val="none"/>
        </w:rPr>
      </w:pPr>
    </w:p>
    <w:p w14:paraId="2C3D8EE2">
      <w:pPr>
        <w:ind w:firstLine="560"/>
        <w:jc w:val="left"/>
        <w:rPr>
          <w:rFonts w:hint="eastAsia" w:ascii="仿宋" w:hAnsi="仿宋" w:eastAsia="仿宋" w:cs="仿宋"/>
          <w:b/>
          <w:bCs/>
          <w:color w:val="auto"/>
          <w:sz w:val="28"/>
          <w:szCs w:val="28"/>
          <w:highlight w:val="none"/>
        </w:rPr>
      </w:pPr>
    </w:p>
    <w:p w14:paraId="3BF64529">
      <w:pPr>
        <w:ind w:firstLine="560"/>
        <w:jc w:val="left"/>
        <w:rPr>
          <w:rFonts w:hint="eastAsia" w:ascii="仿宋" w:hAnsi="仿宋" w:eastAsia="仿宋" w:cs="仿宋"/>
          <w:b/>
          <w:bCs/>
          <w:color w:val="auto"/>
          <w:sz w:val="28"/>
          <w:szCs w:val="28"/>
          <w:highlight w:val="none"/>
        </w:rPr>
      </w:pPr>
    </w:p>
    <w:p w14:paraId="4C9D847B">
      <w:pPr>
        <w:ind w:firstLine="560"/>
        <w:jc w:val="left"/>
        <w:rPr>
          <w:rFonts w:hint="eastAsia" w:ascii="仿宋" w:hAnsi="仿宋" w:eastAsia="仿宋" w:cs="仿宋"/>
          <w:b/>
          <w:bCs/>
          <w:color w:val="auto"/>
          <w:sz w:val="28"/>
          <w:szCs w:val="28"/>
          <w:highlight w:val="none"/>
        </w:rPr>
      </w:pPr>
    </w:p>
    <w:p w14:paraId="5FDDE771">
      <w:pPr>
        <w:ind w:firstLine="560"/>
        <w:jc w:val="left"/>
        <w:rPr>
          <w:rFonts w:hint="eastAsia" w:ascii="仿宋" w:hAnsi="仿宋" w:eastAsia="仿宋" w:cs="仿宋"/>
          <w:b/>
          <w:bCs/>
          <w:color w:val="auto"/>
          <w:sz w:val="28"/>
          <w:szCs w:val="28"/>
          <w:highlight w:val="none"/>
        </w:rPr>
      </w:pPr>
    </w:p>
    <w:p w14:paraId="1E117456">
      <w:pPr>
        <w:ind w:firstLine="560"/>
        <w:jc w:val="left"/>
        <w:rPr>
          <w:rFonts w:hint="eastAsia" w:ascii="仿宋" w:hAnsi="仿宋" w:eastAsia="仿宋" w:cs="仿宋"/>
          <w:b/>
          <w:bCs/>
          <w:color w:val="auto"/>
          <w:sz w:val="28"/>
          <w:szCs w:val="28"/>
          <w:highlight w:val="none"/>
        </w:rPr>
      </w:pPr>
    </w:p>
    <w:p w14:paraId="2D7B2C29">
      <w:pPr>
        <w:ind w:firstLine="560"/>
        <w:jc w:val="left"/>
        <w:rPr>
          <w:rFonts w:hint="eastAsia" w:ascii="仿宋" w:hAnsi="仿宋" w:eastAsia="仿宋" w:cs="仿宋"/>
          <w:b/>
          <w:bCs/>
          <w:color w:val="auto"/>
          <w:sz w:val="28"/>
          <w:szCs w:val="28"/>
          <w:highlight w:val="none"/>
        </w:rPr>
      </w:pPr>
    </w:p>
    <w:p w14:paraId="5BD9C8B3">
      <w:pPr>
        <w:ind w:firstLine="560"/>
        <w:jc w:val="left"/>
        <w:rPr>
          <w:rFonts w:hint="eastAsia" w:ascii="仿宋" w:hAnsi="仿宋" w:eastAsia="仿宋" w:cs="仿宋"/>
          <w:b/>
          <w:bCs/>
          <w:color w:val="auto"/>
          <w:sz w:val="28"/>
          <w:szCs w:val="28"/>
          <w:highlight w:val="none"/>
        </w:rPr>
      </w:pPr>
    </w:p>
    <w:p w14:paraId="19855C9F">
      <w:pPr>
        <w:ind w:firstLine="560"/>
        <w:jc w:val="left"/>
        <w:rPr>
          <w:rFonts w:hint="eastAsia" w:ascii="仿宋" w:hAnsi="仿宋" w:eastAsia="仿宋" w:cs="仿宋"/>
          <w:b/>
          <w:bCs/>
          <w:color w:val="auto"/>
          <w:sz w:val="28"/>
          <w:szCs w:val="28"/>
          <w:highlight w:val="none"/>
        </w:rPr>
      </w:pPr>
    </w:p>
    <w:p w14:paraId="64FFD896">
      <w:pPr>
        <w:ind w:firstLine="560"/>
        <w:jc w:val="left"/>
        <w:rPr>
          <w:rFonts w:hint="eastAsia" w:ascii="仿宋" w:hAnsi="仿宋" w:eastAsia="仿宋" w:cs="仿宋"/>
          <w:b/>
          <w:bCs/>
          <w:color w:val="auto"/>
          <w:sz w:val="28"/>
          <w:szCs w:val="28"/>
          <w:highlight w:val="none"/>
        </w:rPr>
      </w:pPr>
    </w:p>
    <w:p w14:paraId="62AA8906">
      <w:pPr>
        <w:ind w:firstLine="560"/>
        <w:jc w:val="left"/>
        <w:rPr>
          <w:rFonts w:hint="eastAsia" w:ascii="仿宋" w:hAnsi="仿宋" w:eastAsia="仿宋" w:cs="仿宋"/>
          <w:b/>
          <w:bCs/>
          <w:color w:val="auto"/>
          <w:sz w:val="28"/>
          <w:szCs w:val="28"/>
          <w:highlight w:val="none"/>
        </w:rPr>
      </w:pPr>
    </w:p>
    <w:p w14:paraId="48E4229E">
      <w:pPr>
        <w:ind w:firstLine="560"/>
        <w:jc w:val="left"/>
        <w:rPr>
          <w:rFonts w:hint="eastAsia" w:ascii="仿宋" w:hAnsi="仿宋" w:eastAsia="仿宋" w:cs="仿宋"/>
          <w:b/>
          <w:bCs/>
          <w:color w:val="auto"/>
          <w:sz w:val="28"/>
          <w:szCs w:val="28"/>
          <w:highlight w:val="none"/>
        </w:rPr>
      </w:pPr>
    </w:p>
    <w:p w14:paraId="3E0652AC">
      <w:pPr>
        <w:ind w:firstLine="560"/>
        <w:jc w:val="left"/>
        <w:rPr>
          <w:rFonts w:hint="eastAsia" w:ascii="仿宋" w:hAnsi="仿宋" w:eastAsia="仿宋" w:cs="仿宋"/>
          <w:b/>
          <w:bCs/>
          <w:color w:val="auto"/>
          <w:sz w:val="28"/>
          <w:szCs w:val="28"/>
          <w:highlight w:val="none"/>
        </w:rPr>
      </w:pPr>
    </w:p>
    <w:p w14:paraId="753109F4">
      <w:pPr>
        <w:ind w:firstLine="560"/>
        <w:jc w:val="left"/>
        <w:rPr>
          <w:rFonts w:hint="eastAsia" w:ascii="仿宋" w:hAnsi="仿宋" w:eastAsia="仿宋" w:cs="仿宋"/>
          <w:b/>
          <w:bCs/>
          <w:color w:val="auto"/>
          <w:sz w:val="28"/>
          <w:szCs w:val="28"/>
          <w:highlight w:val="none"/>
        </w:rPr>
      </w:pPr>
    </w:p>
    <w:p w14:paraId="1E2BE055">
      <w:pPr>
        <w:ind w:firstLine="560"/>
        <w:jc w:val="left"/>
        <w:rPr>
          <w:rFonts w:hint="eastAsia" w:ascii="仿宋" w:hAnsi="仿宋" w:eastAsia="仿宋" w:cs="仿宋"/>
          <w:b/>
          <w:bCs/>
          <w:color w:val="auto"/>
          <w:sz w:val="28"/>
          <w:szCs w:val="28"/>
          <w:highlight w:val="none"/>
        </w:rPr>
      </w:pPr>
    </w:p>
    <w:p w14:paraId="48DDE6C4">
      <w:pPr>
        <w:ind w:firstLine="560"/>
        <w:jc w:val="left"/>
        <w:rPr>
          <w:rFonts w:hint="eastAsia" w:ascii="仿宋" w:hAnsi="仿宋" w:eastAsia="仿宋" w:cs="仿宋"/>
          <w:b/>
          <w:bCs/>
          <w:color w:val="auto"/>
          <w:sz w:val="28"/>
          <w:szCs w:val="28"/>
          <w:highlight w:val="none"/>
        </w:rPr>
      </w:pPr>
    </w:p>
    <w:p w14:paraId="27886ABB">
      <w:pPr>
        <w:ind w:firstLine="560"/>
        <w:jc w:val="left"/>
        <w:rPr>
          <w:rFonts w:hint="eastAsia" w:ascii="仿宋" w:hAnsi="仿宋" w:eastAsia="仿宋" w:cs="仿宋"/>
          <w:b/>
          <w:bCs/>
          <w:color w:val="auto"/>
          <w:sz w:val="28"/>
          <w:szCs w:val="28"/>
          <w:highlight w:val="none"/>
        </w:rPr>
      </w:pPr>
    </w:p>
    <w:p w14:paraId="72436DC9">
      <w:pPr>
        <w:ind w:firstLine="560"/>
        <w:jc w:val="left"/>
        <w:rPr>
          <w:rFonts w:hint="eastAsia" w:ascii="仿宋" w:hAnsi="仿宋" w:eastAsia="仿宋" w:cs="仿宋"/>
          <w:b/>
          <w:bCs/>
          <w:color w:val="auto"/>
          <w:sz w:val="28"/>
          <w:szCs w:val="28"/>
          <w:highlight w:val="none"/>
        </w:rPr>
      </w:pPr>
    </w:p>
    <w:p w14:paraId="6063332A">
      <w:pPr>
        <w:jc w:val="left"/>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28"/>
          <w:szCs w:val="28"/>
          <w:highlight w:val="none"/>
          <w:lang w:val="en-US" w:eastAsia="zh-CN"/>
        </w:rPr>
        <w:t>附件1：</w:t>
      </w:r>
    </w:p>
    <w:p w14:paraId="2DE2212E">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拟投入本项目</w:t>
      </w:r>
      <w:r>
        <w:rPr>
          <w:rFonts w:hint="eastAsia" w:ascii="仿宋" w:hAnsi="仿宋" w:eastAsia="仿宋" w:cs="仿宋"/>
          <w:b/>
          <w:bCs/>
          <w:color w:val="auto"/>
          <w:sz w:val="28"/>
          <w:szCs w:val="28"/>
          <w:highlight w:val="none"/>
          <w:lang w:eastAsia="zh-CN"/>
        </w:rPr>
        <w:t>人员配备情况</w:t>
      </w:r>
      <w:r>
        <w:rPr>
          <w:rFonts w:hint="eastAsia" w:ascii="仿宋" w:hAnsi="仿宋" w:eastAsia="仿宋" w:cs="仿宋"/>
          <w:b/>
          <w:bCs/>
          <w:color w:val="auto"/>
          <w:sz w:val="28"/>
          <w:szCs w:val="28"/>
          <w:highlight w:val="none"/>
        </w:rPr>
        <w:t>表</w:t>
      </w:r>
    </w:p>
    <w:tbl>
      <w:tblPr>
        <w:tblStyle w:val="17"/>
        <w:tblW w:w="948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1270"/>
        <w:gridCol w:w="583"/>
        <w:gridCol w:w="583"/>
        <w:gridCol w:w="583"/>
        <w:gridCol w:w="855"/>
        <w:gridCol w:w="1185"/>
        <w:gridCol w:w="766"/>
        <w:gridCol w:w="1923"/>
        <w:gridCol w:w="961"/>
      </w:tblGrid>
      <w:tr w14:paraId="5451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771" w:type="dxa"/>
            <w:noWrap w:val="0"/>
            <w:tcMar>
              <w:top w:w="15" w:type="dxa"/>
              <w:left w:w="15" w:type="dxa"/>
              <w:bottom w:w="0" w:type="dxa"/>
              <w:right w:w="15" w:type="dxa"/>
            </w:tcMar>
            <w:vAlign w:val="center"/>
          </w:tcPr>
          <w:p w14:paraId="751C9509">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270" w:type="dxa"/>
            <w:noWrap w:val="0"/>
            <w:tcMar>
              <w:top w:w="15" w:type="dxa"/>
              <w:left w:w="15" w:type="dxa"/>
              <w:bottom w:w="0" w:type="dxa"/>
              <w:right w:w="15" w:type="dxa"/>
            </w:tcMar>
            <w:vAlign w:val="center"/>
          </w:tcPr>
          <w:p w14:paraId="07BEE91F">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583" w:type="dxa"/>
            <w:noWrap w:val="0"/>
            <w:tcMar>
              <w:top w:w="15" w:type="dxa"/>
              <w:left w:w="15" w:type="dxa"/>
              <w:bottom w:w="0" w:type="dxa"/>
              <w:right w:w="15" w:type="dxa"/>
            </w:tcMar>
            <w:vAlign w:val="center"/>
          </w:tcPr>
          <w:p w14:paraId="35E3E3DE">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性别</w:t>
            </w:r>
          </w:p>
        </w:tc>
        <w:tc>
          <w:tcPr>
            <w:tcW w:w="583" w:type="dxa"/>
            <w:noWrap w:val="0"/>
            <w:tcMar>
              <w:top w:w="15" w:type="dxa"/>
              <w:left w:w="15" w:type="dxa"/>
              <w:bottom w:w="0" w:type="dxa"/>
              <w:right w:w="15" w:type="dxa"/>
            </w:tcMar>
            <w:vAlign w:val="center"/>
          </w:tcPr>
          <w:p w14:paraId="4136C865">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年龄</w:t>
            </w:r>
          </w:p>
        </w:tc>
        <w:tc>
          <w:tcPr>
            <w:tcW w:w="583" w:type="dxa"/>
            <w:noWrap w:val="0"/>
            <w:tcMar>
              <w:top w:w="15" w:type="dxa"/>
              <w:left w:w="15" w:type="dxa"/>
              <w:bottom w:w="0" w:type="dxa"/>
              <w:right w:w="15" w:type="dxa"/>
            </w:tcMar>
            <w:vAlign w:val="center"/>
          </w:tcPr>
          <w:p w14:paraId="05545913">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学历</w:t>
            </w:r>
          </w:p>
        </w:tc>
        <w:tc>
          <w:tcPr>
            <w:tcW w:w="855" w:type="dxa"/>
            <w:noWrap w:val="0"/>
            <w:tcMar>
              <w:top w:w="15" w:type="dxa"/>
              <w:left w:w="15" w:type="dxa"/>
              <w:bottom w:w="0" w:type="dxa"/>
              <w:right w:w="15" w:type="dxa"/>
            </w:tcMar>
            <w:vAlign w:val="center"/>
          </w:tcPr>
          <w:p w14:paraId="00D6CD39">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w:t>
            </w:r>
          </w:p>
          <w:p w14:paraId="62B03CD7">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185" w:type="dxa"/>
            <w:noWrap w:val="0"/>
            <w:tcMar>
              <w:top w:w="15" w:type="dxa"/>
              <w:left w:w="15" w:type="dxa"/>
              <w:bottom w:w="0" w:type="dxa"/>
              <w:right w:w="15" w:type="dxa"/>
            </w:tcMar>
            <w:vAlign w:val="top"/>
          </w:tcPr>
          <w:p w14:paraId="11E424C3">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资格证</w:t>
            </w:r>
          </w:p>
          <w:p w14:paraId="5259F97D">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书种类</w:t>
            </w:r>
          </w:p>
        </w:tc>
        <w:tc>
          <w:tcPr>
            <w:tcW w:w="766" w:type="dxa"/>
            <w:noWrap w:val="0"/>
            <w:tcMar>
              <w:top w:w="15" w:type="dxa"/>
              <w:left w:w="15" w:type="dxa"/>
              <w:bottom w:w="0" w:type="dxa"/>
              <w:right w:w="15" w:type="dxa"/>
            </w:tcMar>
            <w:vAlign w:val="center"/>
          </w:tcPr>
          <w:p w14:paraId="386EF2B4">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工作</w:t>
            </w:r>
          </w:p>
          <w:p w14:paraId="0A5D476D">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年限</w:t>
            </w:r>
          </w:p>
        </w:tc>
        <w:tc>
          <w:tcPr>
            <w:tcW w:w="1923" w:type="dxa"/>
            <w:noWrap w:val="0"/>
            <w:tcMar>
              <w:top w:w="15" w:type="dxa"/>
              <w:left w:w="15" w:type="dxa"/>
              <w:bottom w:w="0" w:type="dxa"/>
              <w:right w:w="15" w:type="dxa"/>
            </w:tcMar>
            <w:vAlign w:val="center"/>
          </w:tcPr>
          <w:p w14:paraId="19210BE3">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拟担任的职务</w:t>
            </w:r>
          </w:p>
        </w:tc>
        <w:tc>
          <w:tcPr>
            <w:tcW w:w="961" w:type="dxa"/>
            <w:noWrap w:val="0"/>
            <w:tcMar>
              <w:top w:w="15" w:type="dxa"/>
              <w:left w:w="15" w:type="dxa"/>
              <w:bottom w:w="0" w:type="dxa"/>
              <w:right w:w="15" w:type="dxa"/>
            </w:tcMar>
            <w:vAlign w:val="center"/>
          </w:tcPr>
          <w:p w14:paraId="55F585F2">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岗位</w:t>
            </w:r>
          </w:p>
          <w:p w14:paraId="357DDAF7">
            <w:pPr>
              <w:pStyle w:val="23"/>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情况</w:t>
            </w:r>
          </w:p>
        </w:tc>
      </w:tr>
      <w:tr w14:paraId="5267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A6146D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DF3E8D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FEE09D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B16752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88A60A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15A19B8F">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5D37B73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343B593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7738EA5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3DC5C542">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0476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ADBA3F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4E2D4A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9F150F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26754B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1305B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A7B2DE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4C49B6A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432B9E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07007FC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2C9888E">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3B66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01DBC83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0A5155A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EF85F7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4EDB73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6B9062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C17686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CB5B9ED">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F80169D">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5CE1BD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B31B66">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1131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1D38278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D33735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A22399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67E4A23">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0F6389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6FF7F6D">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A76630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46ED9D9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69FB1C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E4C8D75">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6AA7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F8F4C7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BAB387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490941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61CC45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8D0947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8E93F4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509CBD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AF0544F">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D703F9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FB9102F">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26EB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5EB6B40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1FF402E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847A1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F37706F">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E9E514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1A8F6D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3690F4E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3A8EE4E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41F548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137E14AF">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335A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4482B07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1A3DD68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0F735AD">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72EDF4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6AD2A9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6D0C5DF">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1EAF4AF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91CF74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428F47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38BC58">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4E2D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5864BD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05A64A3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E4D271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4C5343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8442DE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6AD8B7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70F926D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669F90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A4ADF2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54F3E03">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41C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2ECCA8F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6E44E5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F18D21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205F8F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7A790C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8EA2B6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8D85C0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CD4932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5BE829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722CD12">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578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0977ABBF">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18F6F2AD">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E71A9C3">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211A54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0931D7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C2572B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7FE5ABF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54FB16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5C01C29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AF15E8A">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6988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16C97F0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578A7AE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2B74DA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B11E5C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332ADC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3D8214C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1DE3F5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F4E384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EE1378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A75D6D4">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08FB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7FC1F4E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2ECCC2C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021890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201AC1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12EA853">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ACDDE2F">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1F74B67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1C87BA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2E7DBE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3DE90B12">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620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6373AB4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779D9FB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E18858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A4AB043">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8C5B13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0EB0E5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AA9817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969103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02503F4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20A3D43">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4C8C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0793A43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21E840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7A7E1B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EB8F01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053257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3D74974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603885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D046C5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D22CD0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1034073B">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2C0C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1170B9A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771445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AB59B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4A93ADD">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27C304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9449A7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7FACD1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AACF29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762D3C1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5533040">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42E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43964DC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20FEA8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9CD5E1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42BD02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9C5DF7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FED3ED3">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8FE044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D1A393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D0FA4D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6FD9EDA">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2F55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77FC1EC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2A0AE18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09AF7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EED22C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8D42B5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18C6773">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4A3330A1">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30755BF">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AC42EC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9D6C6B0">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413D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567C3913">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C8D115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E3AE0C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58DE6C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3F93F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47DA0D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43F0E6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4BA6874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9D0839C">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83EDEAB">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3053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83A0899">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0B994A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78E5D8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B7CF5BF">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644DF0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EDB886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55162BAE">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53EDF7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637DF0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CFEED9">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667B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15741F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2A55410">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67FF56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C37552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36BD9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415C114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384302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62F46A23">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5956417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6C15E23">
            <w:pPr>
              <w:pStyle w:val="23"/>
              <w:spacing w:line="400" w:lineRule="exact"/>
              <w:ind w:left="0" w:leftChars="0" w:firstLine="420" w:firstLineChars="200"/>
              <w:jc w:val="both"/>
              <w:rPr>
                <w:rFonts w:hint="eastAsia" w:ascii="仿宋" w:hAnsi="仿宋" w:eastAsia="仿宋" w:cs="仿宋"/>
                <w:color w:val="auto"/>
                <w:szCs w:val="21"/>
                <w:highlight w:val="none"/>
              </w:rPr>
            </w:pPr>
          </w:p>
        </w:tc>
      </w:tr>
      <w:tr w14:paraId="081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2BC29A18">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FF25BF5">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A136AD4">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001A16B">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8AC2BAD">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A9C24D7">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5DE425A">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8D69192">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DFBEB36">
            <w:pPr>
              <w:pStyle w:val="23"/>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41EB1302">
            <w:pPr>
              <w:pStyle w:val="23"/>
              <w:spacing w:line="400" w:lineRule="exact"/>
              <w:ind w:left="0" w:leftChars="0" w:firstLine="420" w:firstLineChars="200"/>
              <w:jc w:val="both"/>
              <w:rPr>
                <w:rFonts w:hint="eastAsia" w:ascii="仿宋" w:hAnsi="仿宋" w:eastAsia="仿宋" w:cs="仿宋"/>
                <w:color w:val="auto"/>
                <w:szCs w:val="21"/>
                <w:highlight w:val="none"/>
              </w:rPr>
            </w:pPr>
          </w:p>
        </w:tc>
      </w:tr>
    </w:tbl>
    <w:p w14:paraId="3B4CCA55">
      <w:pPr>
        <w:pStyle w:val="24"/>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textAlignment w:val="auto"/>
        <w:rPr>
          <w:rFonts w:hint="eastAsia" w:ascii="仿宋" w:hAnsi="仿宋" w:eastAsia="仿宋" w:cs="仿宋"/>
          <w:color w:val="auto"/>
          <w:szCs w:val="21"/>
          <w:highlight w:val="none"/>
          <w:lang w:val="en-US" w:eastAsia="zh-CN"/>
        </w:rPr>
      </w:pPr>
    </w:p>
    <w:p w14:paraId="603B415D">
      <w:pPr>
        <w:pStyle w:val="24"/>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注：</w:t>
      </w:r>
      <w:r>
        <w:rPr>
          <w:rFonts w:hint="eastAsia" w:ascii="仿宋" w:hAnsi="仿宋" w:eastAsia="仿宋" w:cs="仿宋"/>
          <w:color w:val="auto"/>
          <w:szCs w:val="21"/>
          <w:highlight w:val="none"/>
        </w:rPr>
        <w:t>供应商可适当调整该表格式，但不得减少信息内容。</w:t>
      </w:r>
    </w:p>
    <w:p w14:paraId="6630FE51">
      <w:pPr>
        <w:pStyle w:val="20"/>
        <w:rPr>
          <w:rFonts w:hint="eastAsia" w:ascii="仿宋" w:hAnsi="仿宋" w:eastAsia="仿宋" w:cs="仿宋"/>
          <w:b/>
          <w:bCs/>
          <w:color w:val="auto"/>
          <w:sz w:val="28"/>
          <w:szCs w:val="28"/>
          <w:highlight w:val="none"/>
          <w:lang w:val="en-US" w:eastAsia="zh-CN"/>
        </w:rPr>
      </w:pPr>
    </w:p>
    <w:p w14:paraId="4A1212D9">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17C56FA">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附件2：</w:t>
      </w:r>
    </w:p>
    <w:p w14:paraId="7960FB01">
      <w:pPr>
        <w:ind w:firstLine="56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业绩</w:t>
      </w:r>
      <w:r>
        <w:rPr>
          <w:rFonts w:hint="eastAsia" w:ascii="仿宋" w:hAnsi="仿宋" w:eastAsia="仿宋" w:cs="仿宋"/>
          <w:b/>
          <w:bCs/>
          <w:color w:val="auto"/>
          <w:sz w:val="28"/>
          <w:szCs w:val="28"/>
          <w:highlight w:val="none"/>
          <w:lang w:eastAsia="zh-CN"/>
        </w:rPr>
        <w:t>一览</w:t>
      </w:r>
      <w:r>
        <w:rPr>
          <w:rFonts w:hint="eastAsia" w:ascii="仿宋" w:hAnsi="仿宋" w:eastAsia="仿宋" w:cs="仿宋"/>
          <w:b/>
          <w:bCs/>
          <w:color w:val="auto"/>
          <w:sz w:val="28"/>
          <w:szCs w:val="28"/>
          <w:highlight w:val="none"/>
        </w:rPr>
        <w:t>表</w:t>
      </w:r>
    </w:p>
    <w:tbl>
      <w:tblPr>
        <w:tblStyle w:val="17"/>
        <w:tblW w:w="8772" w:type="dxa"/>
        <w:jc w:val="center"/>
        <w:tblLayout w:type="fixed"/>
        <w:tblCellMar>
          <w:top w:w="0" w:type="dxa"/>
          <w:left w:w="0" w:type="dxa"/>
          <w:bottom w:w="0" w:type="dxa"/>
          <w:right w:w="0" w:type="dxa"/>
        </w:tblCellMar>
      </w:tblPr>
      <w:tblGrid>
        <w:gridCol w:w="774"/>
        <w:gridCol w:w="1300"/>
        <w:gridCol w:w="1243"/>
        <w:gridCol w:w="1440"/>
        <w:gridCol w:w="1492"/>
        <w:gridCol w:w="1425"/>
        <w:gridCol w:w="1098"/>
      </w:tblGrid>
      <w:tr w14:paraId="66D416E0">
        <w:tblPrEx>
          <w:tblCellMar>
            <w:top w:w="0" w:type="dxa"/>
            <w:left w:w="0" w:type="dxa"/>
            <w:bottom w:w="0" w:type="dxa"/>
            <w:right w:w="0" w:type="dxa"/>
          </w:tblCellMar>
        </w:tblPrEx>
        <w:trPr>
          <w:trHeight w:val="902" w:hRule="atLeast"/>
          <w:jc w:val="center"/>
        </w:trPr>
        <w:tc>
          <w:tcPr>
            <w:tcW w:w="774" w:type="dxa"/>
            <w:tcBorders>
              <w:top w:val="single" w:color="000000" w:sz="4" w:space="0"/>
              <w:left w:val="single" w:color="000000" w:sz="4" w:space="0"/>
              <w:bottom w:val="single" w:color="000000" w:sz="6" w:space="0"/>
              <w:right w:val="single" w:color="000000" w:sz="6" w:space="0"/>
            </w:tcBorders>
            <w:noWrap w:val="0"/>
            <w:tcMar>
              <w:left w:w="0" w:type="dxa"/>
              <w:right w:w="0" w:type="dxa"/>
            </w:tcMar>
            <w:vAlign w:val="center"/>
          </w:tcPr>
          <w:p w14:paraId="1D5FAA70">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序号</w:t>
            </w:r>
          </w:p>
        </w:tc>
        <w:tc>
          <w:tcPr>
            <w:tcW w:w="130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123A3471">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合同签订</w:t>
            </w:r>
          </w:p>
          <w:p w14:paraId="7831AD52">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时间</w:t>
            </w:r>
          </w:p>
        </w:tc>
        <w:tc>
          <w:tcPr>
            <w:tcW w:w="1243"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3B89B192">
            <w:pPr>
              <w:spacing w:line="360" w:lineRule="auto"/>
              <w:jc w:val="center"/>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委托单位名称</w:t>
            </w:r>
          </w:p>
        </w:tc>
        <w:tc>
          <w:tcPr>
            <w:tcW w:w="144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0F7BEE2C">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1492"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3F0D2EF4">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合同内容</w:t>
            </w:r>
          </w:p>
        </w:tc>
        <w:tc>
          <w:tcPr>
            <w:tcW w:w="1425"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14:paraId="7C0A378B">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合同金额</w:t>
            </w:r>
          </w:p>
        </w:tc>
        <w:tc>
          <w:tcPr>
            <w:tcW w:w="1098"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14:paraId="5DE1A247">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备注</w:t>
            </w:r>
          </w:p>
        </w:tc>
      </w:tr>
      <w:tr w14:paraId="5C393E43">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3E78E4BC">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A09DE93">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775BCB4">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45E4F0E">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C0E0189">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0E81C7F">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80FC552">
            <w:pPr>
              <w:spacing w:before="156" w:after="156"/>
              <w:jc w:val="center"/>
              <w:rPr>
                <w:rFonts w:hint="eastAsia" w:ascii="仿宋" w:hAnsi="仿宋" w:eastAsia="仿宋" w:cs="仿宋"/>
                <w:color w:val="auto"/>
                <w:sz w:val="24"/>
                <w:szCs w:val="24"/>
                <w:highlight w:val="none"/>
              </w:rPr>
            </w:pPr>
          </w:p>
        </w:tc>
      </w:tr>
      <w:tr w14:paraId="2D975E65">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15B3942C">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9F6AB4A">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D57FB60">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2941DDF">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1B6C23">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1D9C2F58">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0A11C7DF">
            <w:pPr>
              <w:spacing w:before="156" w:after="156"/>
              <w:jc w:val="center"/>
              <w:rPr>
                <w:rFonts w:hint="eastAsia" w:ascii="仿宋" w:hAnsi="仿宋" w:eastAsia="仿宋" w:cs="仿宋"/>
                <w:color w:val="auto"/>
                <w:sz w:val="24"/>
                <w:szCs w:val="24"/>
                <w:highlight w:val="none"/>
              </w:rPr>
            </w:pPr>
          </w:p>
        </w:tc>
      </w:tr>
      <w:tr w14:paraId="5E4D7B40">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6A5BFEA8">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C95FDD5">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F60CC55">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B810F8D">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E50AB12">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C0E14AA">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1A71E28C">
            <w:pPr>
              <w:spacing w:before="156" w:after="156"/>
              <w:jc w:val="center"/>
              <w:rPr>
                <w:rFonts w:hint="eastAsia" w:ascii="仿宋" w:hAnsi="仿宋" w:eastAsia="仿宋" w:cs="仿宋"/>
                <w:color w:val="auto"/>
                <w:sz w:val="24"/>
                <w:szCs w:val="24"/>
                <w:highlight w:val="none"/>
              </w:rPr>
            </w:pPr>
          </w:p>
        </w:tc>
      </w:tr>
      <w:tr w14:paraId="0968FB9A">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4CD973D4">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702A25">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F988C89">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B1D7613">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F095693">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B53C3BE">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3366E917">
            <w:pPr>
              <w:spacing w:before="156" w:after="156"/>
              <w:jc w:val="center"/>
              <w:rPr>
                <w:rFonts w:hint="eastAsia" w:ascii="仿宋" w:hAnsi="仿宋" w:eastAsia="仿宋" w:cs="仿宋"/>
                <w:color w:val="auto"/>
                <w:sz w:val="24"/>
                <w:szCs w:val="24"/>
                <w:highlight w:val="none"/>
              </w:rPr>
            </w:pPr>
          </w:p>
        </w:tc>
      </w:tr>
      <w:tr w14:paraId="4B2429C8">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58B756CB">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87D2404">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7D8170C">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BE18C7">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93D58C0">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0D100267">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00B4E20">
            <w:pPr>
              <w:spacing w:before="156" w:after="156"/>
              <w:jc w:val="center"/>
              <w:rPr>
                <w:rFonts w:hint="eastAsia" w:ascii="仿宋" w:hAnsi="仿宋" w:eastAsia="仿宋" w:cs="仿宋"/>
                <w:color w:val="auto"/>
                <w:sz w:val="24"/>
                <w:szCs w:val="24"/>
                <w:highlight w:val="none"/>
              </w:rPr>
            </w:pPr>
          </w:p>
        </w:tc>
      </w:tr>
      <w:tr w14:paraId="46361B3A">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707535DD">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6D65D4F">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766767">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7DC115">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A4A0F1">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3B47502">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B62E2BE">
            <w:pPr>
              <w:spacing w:before="156" w:after="156"/>
              <w:jc w:val="center"/>
              <w:rPr>
                <w:rFonts w:hint="eastAsia" w:ascii="仿宋" w:hAnsi="仿宋" w:eastAsia="仿宋" w:cs="仿宋"/>
                <w:color w:val="auto"/>
                <w:sz w:val="24"/>
                <w:szCs w:val="24"/>
                <w:highlight w:val="none"/>
              </w:rPr>
            </w:pPr>
          </w:p>
        </w:tc>
      </w:tr>
      <w:tr w14:paraId="2BF495EC">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2230136B">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041767F">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49D0A4E">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B82C5C9">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C7B95B6">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21F0910D">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4925214">
            <w:pPr>
              <w:spacing w:before="156" w:after="156"/>
              <w:jc w:val="center"/>
              <w:rPr>
                <w:rFonts w:hint="eastAsia" w:ascii="仿宋" w:hAnsi="仿宋" w:eastAsia="仿宋" w:cs="仿宋"/>
                <w:color w:val="auto"/>
                <w:sz w:val="24"/>
                <w:szCs w:val="24"/>
                <w:highlight w:val="none"/>
              </w:rPr>
            </w:pPr>
          </w:p>
        </w:tc>
      </w:tr>
      <w:tr w14:paraId="048ADB7A">
        <w:tblPrEx>
          <w:tblCellMar>
            <w:top w:w="0" w:type="dxa"/>
            <w:left w:w="0" w:type="dxa"/>
            <w:bottom w:w="0" w:type="dxa"/>
            <w:right w:w="0" w:type="dxa"/>
          </w:tblCellMar>
        </w:tblPrEx>
        <w:trPr>
          <w:trHeight w:val="717"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2441EB5E">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F1BC986">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8569D40">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7D4924A">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626386C">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23F55E73">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352ED2B6">
            <w:pPr>
              <w:spacing w:before="156" w:after="156"/>
              <w:jc w:val="center"/>
              <w:rPr>
                <w:rFonts w:hint="eastAsia" w:ascii="仿宋" w:hAnsi="仿宋" w:eastAsia="仿宋" w:cs="仿宋"/>
                <w:color w:val="auto"/>
                <w:sz w:val="24"/>
                <w:szCs w:val="24"/>
                <w:highlight w:val="none"/>
              </w:rPr>
            </w:pPr>
          </w:p>
        </w:tc>
      </w:tr>
    </w:tbl>
    <w:p w14:paraId="144AF199">
      <w:pPr>
        <w:pStyle w:val="2"/>
        <w:rPr>
          <w:rFonts w:hint="eastAsia" w:ascii="仿宋" w:hAnsi="仿宋" w:eastAsia="仿宋" w:cs="仿宋"/>
          <w:color w:val="auto"/>
          <w:highlight w:val="none"/>
          <w:lang w:val="en-US" w:eastAsia="zh-CN"/>
        </w:rPr>
      </w:pPr>
    </w:p>
    <w:p w14:paraId="23ABCE68">
      <w:pPr>
        <w:spacing w:line="580" w:lineRule="exact"/>
        <w:jc w:val="center"/>
        <w:rPr>
          <w:rFonts w:hint="eastAsia" w:ascii="仿宋" w:hAnsi="仿宋" w:eastAsia="仿宋" w:cs="仿宋"/>
          <w:bCs/>
          <w:color w:val="auto"/>
          <w:sz w:val="32"/>
          <w:szCs w:val="32"/>
          <w:highlight w:val="none"/>
          <w:u w:val="single"/>
        </w:rPr>
      </w:pPr>
    </w:p>
    <w:p w14:paraId="6656CB3E">
      <w:pPr>
        <w:pStyle w:val="2"/>
        <w:rPr>
          <w:rFonts w:hint="eastAsia" w:ascii="仿宋" w:hAnsi="仿宋" w:eastAsia="仿宋" w:cs="仿宋"/>
          <w:color w:val="auto"/>
          <w:highlight w:val="none"/>
        </w:rPr>
      </w:pPr>
    </w:p>
    <w:p w14:paraId="7357275A">
      <w:pPr>
        <w:pStyle w:val="2"/>
        <w:rPr>
          <w:rFonts w:hint="eastAsia" w:ascii="仿宋" w:hAnsi="仿宋" w:eastAsia="仿宋" w:cs="仿宋"/>
          <w:color w:val="auto"/>
          <w:highlight w:val="none"/>
        </w:rPr>
      </w:pPr>
    </w:p>
    <w:p w14:paraId="1D485A7F">
      <w:pPr>
        <w:pStyle w:val="2"/>
        <w:rPr>
          <w:rFonts w:hint="eastAsia" w:ascii="仿宋" w:hAnsi="仿宋" w:eastAsia="仿宋" w:cs="仿宋"/>
          <w:color w:val="auto"/>
          <w:highlight w:val="none"/>
        </w:rPr>
      </w:pPr>
    </w:p>
    <w:p w14:paraId="17940BAA">
      <w:pPr>
        <w:pStyle w:val="2"/>
        <w:rPr>
          <w:rFonts w:hint="eastAsia" w:ascii="仿宋" w:hAnsi="仿宋" w:eastAsia="仿宋" w:cs="仿宋"/>
          <w:color w:val="auto"/>
          <w:highlight w:val="none"/>
        </w:rPr>
      </w:pPr>
    </w:p>
    <w:p w14:paraId="42E1E354">
      <w:pPr>
        <w:pStyle w:val="2"/>
        <w:rPr>
          <w:rFonts w:hint="eastAsia" w:ascii="仿宋" w:hAnsi="仿宋" w:eastAsia="仿宋" w:cs="仿宋"/>
          <w:color w:val="auto"/>
          <w:highlight w:val="none"/>
        </w:rPr>
      </w:pPr>
    </w:p>
    <w:p w14:paraId="2FC61EDC">
      <w:pPr>
        <w:numPr>
          <w:ilvl w:val="0"/>
          <w:numId w:val="0"/>
        </w:numPr>
        <w:spacing w:line="480" w:lineRule="exact"/>
        <w:jc w:val="both"/>
        <w:rPr>
          <w:rFonts w:hint="eastAsia" w:ascii="仿宋" w:hAnsi="仿宋" w:eastAsia="仿宋" w:cs="仿宋"/>
          <w:b w:val="0"/>
          <w:bCs w:val="0"/>
          <w:color w:val="auto"/>
          <w:sz w:val="24"/>
          <w:szCs w:val="24"/>
          <w:highlight w:val="none"/>
          <w:lang w:val="en-US" w:eastAsia="zh-CN"/>
        </w:rPr>
      </w:pPr>
    </w:p>
    <w:p w14:paraId="79CDD303">
      <w:pPr>
        <w:spacing w:line="480" w:lineRule="exact"/>
        <w:jc w:val="both"/>
        <w:rPr>
          <w:rFonts w:hint="eastAsia" w:ascii="仿宋" w:hAnsi="仿宋" w:eastAsia="仿宋" w:cs="仿宋"/>
          <w:b/>
          <w:bCs/>
          <w:color w:val="auto"/>
          <w:sz w:val="32"/>
          <w:szCs w:val="32"/>
          <w:highlight w:val="none"/>
        </w:rPr>
      </w:pPr>
    </w:p>
    <w:p w14:paraId="737FFAF8">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9B2B65D">
      <w:pPr>
        <w:pStyle w:val="20"/>
        <w:rPr>
          <w:rFonts w:hint="eastAsia" w:ascii="仿宋" w:hAnsi="仿宋" w:eastAsia="仿宋" w:cs="仿宋"/>
          <w:color w:val="auto"/>
          <w:highlight w:val="none"/>
        </w:rPr>
      </w:pPr>
    </w:p>
    <w:p w14:paraId="012F3AA5">
      <w:pPr>
        <w:numPr>
          <w:ilvl w:val="0"/>
          <w:numId w:val="6"/>
        </w:numPr>
        <w:spacing w:line="480" w:lineRule="exact"/>
        <w:jc w:val="center"/>
        <w:outlineLvl w:val="1"/>
        <w:rPr>
          <w:rFonts w:hint="eastAsia" w:ascii="仿宋" w:hAnsi="仿宋" w:eastAsia="仿宋" w:cs="仿宋"/>
          <w:b/>
          <w:bCs/>
          <w:color w:val="auto"/>
          <w:sz w:val="32"/>
          <w:szCs w:val="32"/>
          <w:highlight w:val="none"/>
        </w:rPr>
      </w:pPr>
      <w:bookmarkStart w:id="38" w:name="_Toc11191"/>
      <w:r>
        <w:rPr>
          <w:rFonts w:hint="eastAsia" w:ascii="仿宋" w:hAnsi="仿宋" w:eastAsia="仿宋" w:cs="仿宋"/>
          <w:b/>
          <w:bCs/>
          <w:color w:val="auto"/>
          <w:sz w:val="32"/>
          <w:szCs w:val="32"/>
          <w:highlight w:val="none"/>
        </w:rPr>
        <w:t>商务响应方案</w:t>
      </w:r>
      <w:bookmarkEnd w:id="38"/>
    </w:p>
    <w:p w14:paraId="0B2A9E69">
      <w:pPr>
        <w:pStyle w:val="20"/>
        <w:numPr>
          <w:ilvl w:val="0"/>
          <w:numId w:val="0"/>
        </w:numPr>
        <w:rPr>
          <w:rFonts w:hint="eastAsia" w:ascii="仿宋" w:hAnsi="仿宋" w:eastAsia="仿宋" w:cs="仿宋"/>
          <w:color w:val="auto"/>
          <w:highlight w:val="none"/>
        </w:rPr>
      </w:pPr>
    </w:p>
    <w:p w14:paraId="5022AF90">
      <w:pPr>
        <w:spacing w:line="48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.1商务响应方案的</w:t>
      </w:r>
      <w:r>
        <w:rPr>
          <w:rFonts w:hint="eastAsia" w:ascii="仿宋" w:hAnsi="仿宋" w:eastAsia="仿宋" w:cs="仿宋"/>
          <w:b/>
          <w:color w:val="auto"/>
          <w:sz w:val="28"/>
          <w:szCs w:val="28"/>
          <w:highlight w:val="none"/>
        </w:rPr>
        <w:t>主要内容</w:t>
      </w:r>
    </w:p>
    <w:p w14:paraId="5E8CA64B">
      <w:pPr>
        <w:tabs>
          <w:tab w:val="left" w:pos="1470"/>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.1-1</w:t>
      </w:r>
      <w:r>
        <w:rPr>
          <w:rFonts w:hint="eastAsia" w:ascii="仿宋" w:hAnsi="仿宋" w:eastAsia="仿宋" w:cs="仿宋"/>
          <w:bCs/>
          <w:color w:val="auto"/>
          <w:sz w:val="28"/>
          <w:szCs w:val="28"/>
          <w:highlight w:val="none"/>
          <w:lang w:eastAsia="zh-CN"/>
        </w:rPr>
        <w:t>供应商服务条款响应</w:t>
      </w:r>
      <w:r>
        <w:rPr>
          <w:rFonts w:hint="eastAsia" w:ascii="仿宋" w:hAnsi="仿宋" w:eastAsia="仿宋" w:cs="仿宋"/>
          <w:bCs/>
          <w:color w:val="auto"/>
          <w:sz w:val="28"/>
          <w:szCs w:val="28"/>
          <w:highlight w:val="none"/>
        </w:rPr>
        <w:t>与商务偏差（参照《合同条款</w:t>
      </w:r>
      <w:r>
        <w:rPr>
          <w:rFonts w:hint="eastAsia" w:ascii="仿宋" w:hAnsi="仿宋" w:eastAsia="仿宋" w:cs="仿宋"/>
          <w:bCs/>
          <w:color w:val="auto"/>
          <w:sz w:val="28"/>
          <w:szCs w:val="28"/>
          <w:highlight w:val="none"/>
          <w:lang w:val="en-US" w:eastAsia="zh-CN"/>
        </w:rPr>
        <w:t>及格式》《</w:t>
      </w:r>
      <w:r>
        <w:rPr>
          <w:rFonts w:hint="eastAsia" w:ascii="仿宋" w:hAnsi="仿宋" w:eastAsia="仿宋" w:cs="仿宋"/>
          <w:bCs/>
          <w:color w:val="auto"/>
          <w:sz w:val="28"/>
          <w:szCs w:val="28"/>
          <w:highlight w:val="none"/>
        </w:rPr>
        <w:t>磋商内容及要求》）。</w:t>
      </w:r>
    </w:p>
    <w:p w14:paraId="7EF14D4B">
      <w:pPr>
        <w:tabs>
          <w:tab w:val="left" w:pos="1470"/>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.1-2有必要说明的商务事宜。</w:t>
      </w:r>
    </w:p>
    <w:p w14:paraId="1D0269C9">
      <w:pPr>
        <w:tabs>
          <w:tab w:val="left" w:pos="1470"/>
        </w:tabs>
        <w:spacing w:line="48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商务承担能力说明</w:t>
      </w:r>
    </w:p>
    <w:p w14:paraId="7004467F">
      <w:pPr>
        <w:tabs>
          <w:tab w:val="left" w:pos="1470"/>
        </w:tabs>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服务承诺；</w:t>
      </w:r>
    </w:p>
    <w:p w14:paraId="5462CDB1">
      <w:pPr>
        <w:tabs>
          <w:tab w:val="left" w:pos="1470"/>
        </w:tabs>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其他有必要说明的问题。</w:t>
      </w:r>
    </w:p>
    <w:p w14:paraId="3BFF3DC2">
      <w:pPr>
        <w:pStyle w:val="2"/>
        <w:rPr>
          <w:rFonts w:hint="eastAsia" w:ascii="仿宋" w:hAnsi="仿宋" w:eastAsia="仿宋" w:cs="仿宋"/>
          <w:color w:val="auto"/>
          <w:sz w:val="24"/>
          <w:highlight w:val="none"/>
        </w:rPr>
      </w:pPr>
    </w:p>
    <w:p w14:paraId="537D8868">
      <w:pPr>
        <w:rPr>
          <w:rFonts w:hint="eastAsia" w:ascii="仿宋" w:hAnsi="仿宋" w:eastAsia="仿宋" w:cs="仿宋"/>
          <w:color w:val="auto"/>
          <w:sz w:val="24"/>
          <w:highlight w:val="none"/>
        </w:rPr>
      </w:pPr>
    </w:p>
    <w:p w14:paraId="0537CF7B">
      <w:pPr>
        <w:pStyle w:val="2"/>
        <w:rPr>
          <w:rFonts w:hint="eastAsia" w:ascii="仿宋" w:hAnsi="仿宋" w:eastAsia="仿宋" w:cs="仿宋"/>
          <w:color w:val="auto"/>
          <w:sz w:val="24"/>
          <w:highlight w:val="none"/>
        </w:rPr>
      </w:pPr>
    </w:p>
    <w:p w14:paraId="5940E708">
      <w:pPr>
        <w:rPr>
          <w:rFonts w:hint="eastAsia" w:ascii="仿宋" w:hAnsi="仿宋" w:eastAsia="仿宋" w:cs="仿宋"/>
          <w:color w:val="auto"/>
          <w:sz w:val="24"/>
          <w:highlight w:val="none"/>
        </w:rPr>
      </w:pPr>
    </w:p>
    <w:p w14:paraId="25CB73F1">
      <w:pPr>
        <w:pStyle w:val="2"/>
        <w:rPr>
          <w:rFonts w:hint="eastAsia" w:ascii="仿宋" w:hAnsi="仿宋" w:eastAsia="仿宋" w:cs="仿宋"/>
          <w:color w:val="auto"/>
          <w:sz w:val="24"/>
          <w:highlight w:val="none"/>
        </w:rPr>
      </w:pPr>
    </w:p>
    <w:p w14:paraId="02852068">
      <w:pPr>
        <w:rPr>
          <w:rFonts w:hint="eastAsia" w:ascii="仿宋" w:hAnsi="仿宋" w:eastAsia="仿宋" w:cs="仿宋"/>
          <w:color w:val="auto"/>
          <w:sz w:val="24"/>
          <w:highlight w:val="none"/>
        </w:rPr>
      </w:pPr>
    </w:p>
    <w:p w14:paraId="3FA62E1D">
      <w:pPr>
        <w:pStyle w:val="2"/>
        <w:rPr>
          <w:rFonts w:hint="eastAsia" w:ascii="仿宋" w:hAnsi="仿宋" w:eastAsia="仿宋" w:cs="仿宋"/>
          <w:color w:val="auto"/>
          <w:sz w:val="24"/>
          <w:highlight w:val="none"/>
        </w:rPr>
      </w:pPr>
    </w:p>
    <w:p w14:paraId="348F64E5">
      <w:pPr>
        <w:rPr>
          <w:rFonts w:hint="eastAsia" w:ascii="仿宋" w:hAnsi="仿宋" w:eastAsia="仿宋" w:cs="仿宋"/>
          <w:color w:val="auto"/>
          <w:sz w:val="24"/>
          <w:highlight w:val="none"/>
        </w:rPr>
      </w:pPr>
    </w:p>
    <w:p w14:paraId="6E3692D9">
      <w:pPr>
        <w:pStyle w:val="2"/>
        <w:rPr>
          <w:rFonts w:hint="eastAsia" w:ascii="仿宋" w:hAnsi="仿宋" w:eastAsia="仿宋" w:cs="仿宋"/>
          <w:color w:val="auto"/>
          <w:sz w:val="24"/>
          <w:highlight w:val="none"/>
        </w:rPr>
      </w:pPr>
    </w:p>
    <w:p w14:paraId="37547250">
      <w:pPr>
        <w:rPr>
          <w:rFonts w:hint="eastAsia" w:ascii="仿宋" w:hAnsi="仿宋" w:eastAsia="仿宋" w:cs="仿宋"/>
          <w:color w:val="auto"/>
          <w:sz w:val="24"/>
          <w:highlight w:val="none"/>
        </w:rPr>
      </w:pPr>
    </w:p>
    <w:p w14:paraId="47EA5F02">
      <w:pPr>
        <w:pStyle w:val="2"/>
        <w:rPr>
          <w:rFonts w:hint="eastAsia" w:ascii="仿宋" w:hAnsi="仿宋" w:eastAsia="仿宋" w:cs="仿宋"/>
          <w:color w:val="auto"/>
          <w:sz w:val="24"/>
          <w:highlight w:val="none"/>
        </w:rPr>
      </w:pPr>
    </w:p>
    <w:p w14:paraId="28170BDC">
      <w:pPr>
        <w:rPr>
          <w:rFonts w:hint="eastAsia" w:ascii="仿宋" w:hAnsi="仿宋" w:eastAsia="仿宋" w:cs="仿宋"/>
          <w:color w:val="auto"/>
          <w:sz w:val="24"/>
          <w:highlight w:val="none"/>
        </w:rPr>
      </w:pPr>
    </w:p>
    <w:p w14:paraId="7D3226C9">
      <w:pPr>
        <w:pStyle w:val="2"/>
        <w:rPr>
          <w:rFonts w:hint="eastAsia" w:ascii="仿宋" w:hAnsi="仿宋" w:eastAsia="仿宋" w:cs="仿宋"/>
          <w:color w:val="auto"/>
          <w:sz w:val="24"/>
          <w:highlight w:val="none"/>
        </w:rPr>
      </w:pPr>
    </w:p>
    <w:p w14:paraId="68602E5E">
      <w:pPr>
        <w:rPr>
          <w:rFonts w:hint="eastAsia" w:ascii="仿宋" w:hAnsi="仿宋" w:eastAsia="仿宋" w:cs="仿宋"/>
          <w:color w:val="auto"/>
          <w:sz w:val="24"/>
          <w:highlight w:val="none"/>
        </w:rPr>
      </w:pPr>
    </w:p>
    <w:p w14:paraId="54863159">
      <w:pPr>
        <w:pStyle w:val="2"/>
        <w:rPr>
          <w:rFonts w:hint="eastAsia" w:ascii="仿宋" w:hAnsi="仿宋" w:eastAsia="仿宋" w:cs="仿宋"/>
          <w:color w:val="auto"/>
          <w:sz w:val="24"/>
          <w:highlight w:val="none"/>
        </w:rPr>
      </w:pPr>
    </w:p>
    <w:p w14:paraId="7D0B9ADE">
      <w:pPr>
        <w:rPr>
          <w:rFonts w:hint="eastAsia" w:ascii="仿宋" w:hAnsi="仿宋" w:eastAsia="仿宋" w:cs="仿宋"/>
          <w:color w:val="auto"/>
          <w:sz w:val="24"/>
          <w:highlight w:val="none"/>
        </w:rPr>
      </w:pPr>
    </w:p>
    <w:p w14:paraId="5E30BF17">
      <w:pPr>
        <w:pStyle w:val="2"/>
        <w:rPr>
          <w:rFonts w:hint="eastAsia" w:ascii="仿宋" w:hAnsi="仿宋" w:eastAsia="仿宋" w:cs="仿宋"/>
          <w:color w:val="auto"/>
          <w:sz w:val="24"/>
          <w:highlight w:val="none"/>
        </w:rPr>
      </w:pPr>
    </w:p>
    <w:p w14:paraId="0DB6BF14">
      <w:pPr>
        <w:rPr>
          <w:rFonts w:hint="eastAsia" w:ascii="仿宋" w:hAnsi="仿宋" w:eastAsia="仿宋" w:cs="仿宋"/>
          <w:color w:val="auto"/>
          <w:sz w:val="24"/>
          <w:highlight w:val="none"/>
        </w:rPr>
      </w:pPr>
    </w:p>
    <w:p w14:paraId="74028C12">
      <w:pPr>
        <w:pStyle w:val="2"/>
        <w:rPr>
          <w:rFonts w:hint="eastAsia" w:ascii="仿宋" w:hAnsi="仿宋" w:eastAsia="仿宋" w:cs="仿宋"/>
          <w:color w:val="auto"/>
          <w:sz w:val="24"/>
          <w:highlight w:val="none"/>
        </w:rPr>
      </w:pPr>
    </w:p>
    <w:p w14:paraId="1ACE5A9D">
      <w:pPr>
        <w:rPr>
          <w:rFonts w:hint="eastAsia" w:ascii="仿宋" w:hAnsi="仿宋" w:eastAsia="仿宋" w:cs="仿宋"/>
          <w:color w:val="auto"/>
          <w:sz w:val="24"/>
          <w:highlight w:val="none"/>
        </w:rPr>
      </w:pPr>
    </w:p>
    <w:p w14:paraId="7B6EDA31">
      <w:pPr>
        <w:pStyle w:val="2"/>
        <w:rPr>
          <w:rFonts w:hint="eastAsia" w:ascii="仿宋" w:hAnsi="仿宋" w:eastAsia="仿宋" w:cs="仿宋"/>
          <w:color w:val="auto"/>
          <w:sz w:val="24"/>
          <w:highlight w:val="none"/>
        </w:rPr>
      </w:pPr>
    </w:p>
    <w:p w14:paraId="44968C70">
      <w:pPr>
        <w:rPr>
          <w:rFonts w:hint="eastAsia" w:ascii="仿宋" w:hAnsi="仿宋" w:eastAsia="仿宋" w:cs="仿宋"/>
          <w:color w:val="auto"/>
          <w:highlight w:val="none"/>
        </w:rPr>
      </w:pPr>
    </w:p>
    <w:p w14:paraId="7858C32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95ED51">
      <w:pPr>
        <w:spacing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附表1：服务条款响应表</w:t>
      </w:r>
    </w:p>
    <w:p w14:paraId="590BE9CB">
      <w:pPr>
        <w:spacing w:after="120"/>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服务条款响应表</w:t>
      </w:r>
    </w:p>
    <w:p w14:paraId="6865965D">
      <w:pPr>
        <w:spacing w:line="0" w:lineRule="atLeast"/>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eastAsia="zh-CN"/>
        </w:rPr>
        <w:t>供</w:t>
      </w:r>
      <w:r>
        <w:rPr>
          <w:rFonts w:hint="eastAsia" w:ascii="仿宋" w:hAnsi="仿宋" w:eastAsia="仿宋" w:cs="仿宋"/>
          <w:color w:val="auto"/>
          <w:sz w:val="28"/>
          <w:szCs w:val="28"/>
          <w:highlight w:val="none"/>
          <w:lang w:eastAsia="zh-CN"/>
        </w:rPr>
        <w:t>应商</w:t>
      </w:r>
      <w:r>
        <w:rPr>
          <w:rFonts w:hint="eastAsia" w:ascii="仿宋" w:hAnsi="仿宋" w:eastAsia="仿宋" w:cs="仿宋"/>
          <w:color w:val="auto"/>
          <w:sz w:val="28"/>
          <w:szCs w:val="28"/>
          <w:highlight w:val="none"/>
        </w:rPr>
        <w:t>名称：项目编号：</w:t>
      </w:r>
      <w:r>
        <w:rPr>
          <w:rFonts w:hint="eastAsia" w:ascii="仿宋" w:hAnsi="仿宋" w:eastAsia="仿宋" w:cs="仿宋"/>
          <w:color w:val="auto"/>
          <w:sz w:val="28"/>
          <w:szCs w:val="28"/>
          <w:highlight w:val="none"/>
          <w:lang w:val="en-US" w:eastAsia="zh-CN"/>
        </w:rPr>
        <w:t>标段/采购包号：</w:t>
      </w:r>
    </w:p>
    <w:tbl>
      <w:tblPr>
        <w:tblStyle w:val="17"/>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5"/>
        <w:gridCol w:w="2627"/>
        <w:gridCol w:w="2810"/>
        <w:gridCol w:w="1412"/>
        <w:gridCol w:w="963"/>
      </w:tblGrid>
      <w:tr w14:paraId="1F9F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1345" w:type="dxa"/>
            <w:vAlign w:val="center"/>
          </w:tcPr>
          <w:p w14:paraId="7BEBC60D">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2627" w:type="dxa"/>
            <w:vAlign w:val="center"/>
          </w:tcPr>
          <w:p w14:paraId="7FC875F8">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磋商文件</w:t>
            </w:r>
            <w:r>
              <w:rPr>
                <w:rFonts w:hint="eastAsia" w:ascii="仿宋" w:hAnsi="仿宋" w:eastAsia="仿宋" w:cs="仿宋"/>
                <w:b/>
                <w:bCs/>
                <w:color w:val="auto"/>
                <w:sz w:val="28"/>
                <w:szCs w:val="28"/>
                <w:highlight w:val="none"/>
              </w:rPr>
              <w:t>要求</w:t>
            </w:r>
          </w:p>
        </w:tc>
        <w:tc>
          <w:tcPr>
            <w:tcW w:w="2810" w:type="dxa"/>
            <w:vAlign w:val="center"/>
          </w:tcPr>
          <w:p w14:paraId="40327026">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响应</w:t>
            </w:r>
          </w:p>
        </w:tc>
        <w:tc>
          <w:tcPr>
            <w:tcW w:w="1412" w:type="dxa"/>
            <w:vAlign w:val="center"/>
          </w:tcPr>
          <w:p w14:paraId="38058C7F">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响应/偏离</w:t>
            </w:r>
          </w:p>
        </w:tc>
        <w:tc>
          <w:tcPr>
            <w:tcW w:w="963" w:type="dxa"/>
            <w:vAlign w:val="center"/>
          </w:tcPr>
          <w:p w14:paraId="1092A951">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6256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28014E32">
            <w:pPr>
              <w:rPr>
                <w:rFonts w:hint="eastAsia" w:ascii="仿宋" w:hAnsi="仿宋" w:eastAsia="仿宋" w:cs="仿宋"/>
                <w:b/>
                <w:bCs/>
                <w:color w:val="auto"/>
                <w:sz w:val="28"/>
                <w:szCs w:val="28"/>
                <w:highlight w:val="none"/>
              </w:rPr>
            </w:pPr>
          </w:p>
        </w:tc>
        <w:tc>
          <w:tcPr>
            <w:tcW w:w="2627" w:type="dxa"/>
            <w:vAlign w:val="top"/>
          </w:tcPr>
          <w:p w14:paraId="52C12F81">
            <w:pPr>
              <w:rPr>
                <w:rFonts w:hint="eastAsia" w:ascii="仿宋" w:hAnsi="仿宋" w:eastAsia="仿宋" w:cs="仿宋"/>
                <w:b/>
                <w:bCs/>
                <w:color w:val="auto"/>
                <w:sz w:val="28"/>
                <w:szCs w:val="28"/>
                <w:highlight w:val="none"/>
              </w:rPr>
            </w:pPr>
          </w:p>
        </w:tc>
        <w:tc>
          <w:tcPr>
            <w:tcW w:w="2810" w:type="dxa"/>
            <w:vAlign w:val="top"/>
          </w:tcPr>
          <w:p w14:paraId="42364069">
            <w:pPr>
              <w:rPr>
                <w:rFonts w:hint="eastAsia" w:ascii="仿宋" w:hAnsi="仿宋" w:eastAsia="仿宋" w:cs="仿宋"/>
                <w:b/>
                <w:bCs/>
                <w:color w:val="auto"/>
                <w:sz w:val="28"/>
                <w:szCs w:val="28"/>
                <w:highlight w:val="none"/>
              </w:rPr>
            </w:pPr>
          </w:p>
        </w:tc>
        <w:tc>
          <w:tcPr>
            <w:tcW w:w="1412" w:type="dxa"/>
            <w:vAlign w:val="top"/>
          </w:tcPr>
          <w:p w14:paraId="3AA37D28">
            <w:pPr>
              <w:rPr>
                <w:rFonts w:hint="eastAsia" w:ascii="仿宋" w:hAnsi="仿宋" w:eastAsia="仿宋" w:cs="仿宋"/>
                <w:b/>
                <w:bCs/>
                <w:color w:val="auto"/>
                <w:sz w:val="28"/>
                <w:szCs w:val="28"/>
                <w:highlight w:val="none"/>
              </w:rPr>
            </w:pPr>
          </w:p>
        </w:tc>
        <w:tc>
          <w:tcPr>
            <w:tcW w:w="963" w:type="dxa"/>
            <w:vAlign w:val="top"/>
          </w:tcPr>
          <w:p w14:paraId="734F3264">
            <w:pPr>
              <w:rPr>
                <w:rFonts w:hint="eastAsia" w:ascii="仿宋" w:hAnsi="仿宋" w:eastAsia="仿宋" w:cs="仿宋"/>
                <w:b/>
                <w:bCs/>
                <w:color w:val="auto"/>
                <w:sz w:val="28"/>
                <w:szCs w:val="28"/>
                <w:highlight w:val="none"/>
              </w:rPr>
            </w:pPr>
          </w:p>
        </w:tc>
      </w:tr>
      <w:tr w14:paraId="4633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6E3478FB">
            <w:pPr>
              <w:rPr>
                <w:rFonts w:hint="eastAsia" w:ascii="仿宋" w:hAnsi="仿宋" w:eastAsia="仿宋" w:cs="仿宋"/>
                <w:b/>
                <w:bCs/>
                <w:color w:val="auto"/>
                <w:sz w:val="28"/>
                <w:szCs w:val="28"/>
                <w:highlight w:val="none"/>
              </w:rPr>
            </w:pPr>
          </w:p>
        </w:tc>
        <w:tc>
          <w:tcPr>
            <w:tcW w:w="2627" w:type="dxa"/>
            <w:vAlign w:val="top"/>
          </w:tcPr>
          <w:p w14:paraId="3E583413">
            <w:pPr>
              <w:rPr>
                <w:rFonts w:hint="eastAsia" w:ascii="仿宋" w:hAnsi="仿宋" w:eastAsia="仿宋" w:cs="仿宋"/>
                <w:b/>
                <w:bCs/>
                <w:color w:val="auto"/>
                <w:sz w:val="28"/>
                <w:szCs w:val="28"/>
                <w:highlight w:val="none"/>
              </w:rPr>
            </w:pPr>
          </w:p>
        </w:tc>
        <w:tc>
          <w:tcPr>
            <w:tcW w:w="2810" w:type="dxa"/>
            <w:vAlign w:val="top"/>
          </w:tcPr>
          <w:p w14:paraId="4981BC66">
            <w:pPr>
              <w:rPr>
                <w:rFonts w:hint="eastAsia" w:ascii="仿宋" w:hAnsi="仿宋" w:eastAsia="仿宋" w:cs="仿宋"/>
                <w:b/>
                <w:bCs/>
                <w:color w:val="auto"/>
                <w:sz w:val="28"/>
                <w:szCs w:val="28"/>
                <w:highlight w:val="none"/>
              </w:rPr>
            </w:pPr>
          </w:p>
        </w:tc>
        <w:tc>
          <w:tcPr>
            <w:tcW w:w="1412" w:type="dxa"/>
            <w:vAlign w:val="top"/>
          </w:tcPr>
          <w:p w14:paraId="7A88C52D">
            <w:pPr>
              <w:rPr>
                <w:rFonts w:hint="eastAsia" w:ascii="仿宋" w:hAnsi="仿宋" w:eastAsia="仿宋" w:cs="仿宋"/>
                <w:b/>
                <w:bCs/>
                <w:color w:val="auto"/>
                <w:sz w:val="28"/>
                <w:szCs w:val="28"/>
                <w:highlight w:val="none"/>
              </w:rPr>
            </w:pPr>
          </w:p>
        </w:tc>
        <w:tc>
          <w:tcPr>
            <w:tcW w:w="963" w:type="dxa"/>
            <w:vAlign w:val="top"/>
          </w:tcPr>
          <w:p w14:paraId="4B0E4867">
            <w:pPr>
              <w:rPr>
                <w:rFonts w:hint="eastAsia" w:ascii="仿宋" w:hAnsi="仿宋" w:eastAsia="仿宋" w:cs="仿宋"/>
                <w:b/>
                <w:bCs/>
                <w:color w:val="auto"/>
                <w:sz w:val="28"/>
                <w:szCs w:val="28"/>
                <w:highlight w:val="none"/>
              </w:rPr>
            </w:pPr>
          </w:p>
        </w:tc>
      </w:tr>
      <w:tr w14:paraId="6EF4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C325323">
            <w:pPr>
              <w:rPr>
                <w:rFonts w:hint="eastAsia" w:ascii="仿宋" w:hAnsi="仿宋" w:eastAsia="仿宋" w:cs="仿宋"/>
                <w:b/>
                <w:bCs/>
                <w:color w:val="auto"/>
                <w:sz w:val="28"/>
                <w:szCs w:val="28"/>
                <w:highlight w:val="none"/>
              </w:rPr>
            </w:pPr>
          </w:p>
        </w:tc>
        <w:tc>
          <w:tcPr>
            <w:tcW w:w="2627" w:type="dxa"/>
            <w:vAlign w:val="top"/>
          </w:tcPr>
          <w:p w14:paraId="4F553DB3">
            <w:pPr>
              <w:rPr>
                <w:rFonts w:hint="eastAsia" w:ascii="仿宋" w:hAnsi="仿宋" w:eastAsia="仿宋" w:cs="仿宋"/>
                <w:b/>
                <w:bCs/>
                <w:color w:val="auto"/>
                <w:sz w:val="28"/>
                <w:szCs w:val="28"/>
                <w:highlight w:val="none"/>
              </w:rPr>
            </w:pPr>
          </w:p>
        </w:tc>
        <w:tc>
          <w:tcPr>
            <w:tcW w:w="2810" w:type="dxa"/>
            <w:vAlign w:val="top"/>
          </w:tcPr>
          <w:p w14:paraId="64E29A38">
            <w:pPr>
              <w:rPr>
                <w:rFonts w:hint="eastAsia" w:ascii="仿宋" w:hAnsi="仿宋" w:eastAsia="仿宋" w:cs="仿宋"/>
                <w:b/>
                <w:bCs/>
                <w:color w:val="auto"/>
                <w:sz w:val="28"/>
                <w:szCs w:val="28"/>
                <w:highlight w:val="none"/>
              </w:rPr>
            </w:pPr>
          </w:p>
        </w:tc>
        <w:tc>
          <w:tcPr>
            <w:tcW w:w="1412" w:type="dxa"/>
            <w:vAlign w:val="top"/>
          </w:tcPr>
          <w:p w14:paraId="14B9D49A">
            <w:pPr>
              <w:rPr>
                <w:rFonts w:hint="eastAsia" w:ascii="仿宋" w:hAnsi="仿宋" w:eastAsia="仿宋" w:cs="仿宋"/>
                <w:b/>
                <w:bCs/>
                <w:color w:val="auto"/>
                <w:sz w:val="28"/>
                <w:szCs w:val="28"/>
                <w:highlight w:val="none"/>
              </w:rPr>
            </w:pPr>
          </w:p>
        </w:tc>
        <w:tc>
          <w:tcPr>
            <w:tcW w:w="963" w:type="dxa"/>
            <w:vAlign w:val="top"/>
          </w:tcPr>
          <w:p w14:paraId="24BC4633">
            <w:pPr>
              <w:rPr>
                <w:rFonts w:hint="eastAsia" w:ascii="仿宋" w:hAnsi="仿宋" w:eastAsia="仿宋" w:cs="仿宋"/>
                <w:b/>
                <w:bCs/>
                <w:color w:val="auto"/>
                <w:sz w:val="28"/>
                <w:szCs w:val="28"/>
                <w:highlight w:val="none"/>
              </w:rPr>
            </w:pPr>
          </w:p>
        </w:tc>
      </w:tr>
      <w:tr w14:paraId="319F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4DBEF396">
            <w:pPr>
              <w:rPr>
                <w:rFonts w:hint="eastAsia" w:ascii="仿宋" w:hAnsi="仿宋" w:eastAsia="仿宋" w:cs="仿宋"/>
                <w:b/>
                <w:bCs/>
                <w:color w:val="auto"/>
                <w:sz w:val="28"/>
                <w:szCs w:val="28"/>
                <w:highlight w:val="none"/>
              </w:rPr>
            </w:pPr>
          </w:p>
        </w:tc>
        <w:tc>
          <w:tcPr>
            <w:tcW w:w="2627" w:type="dxa"/>
            <w:vAlign w:val="top"/>
          </w:tcPr>
          <w:p w14:paraId="25D0ED85">
            <w:pPr>
              <w:rPr>
                <w:rFonts w:hint="eastAsia" w:ascii="仿宋" w:hAnsi="仿宋" w:eastAsia="仿宋" w:cs="仿宋"/>
                <w:b/>
                <w:bCs/>
                <w:color w:val="auto"/>
                <w:sz w:val="28"/>
                <w:szCs w:val="28"/>
                <w:highlight w:val="none"/>
              </w:rPr>
            </w:pPr>
          </w:p>
        </w:tc>
        <w:tc>
          <w:tcPr>
            <w:tcW w:w="2810" w:type="dxa"/>
            <w:vAlign w:val="top"/>
          </w:tcPr>
          <w:p w14:paraId="435C27C8">
            <w:pPr>
              <w:rPr>
                <w:rFonts w:hint="eastAsia" w:ascii="仿宋" w:hAnsi="仿宋" w:eastAsia="仿宋" w:cs="仿宋"/>
                <w:b/>
                <w:bCs/>
                <w:color w:val="auto"/>
                <w:sz w:val="28"/>
                <w:szCs w:val="28"/>
                <w:highlight w:val="none"/>
              </w:rPr>
            </w:pPr>
          </w:p>
        </w:tc>
        <w:tc>
          <w:tcPr>
            <w:tcW w:w="1412" w:type="dxa"/>
            <w:vAlign w:val="top"/>
          </w:tcPr>
          <w:p w14:paraId="6173CAEA">
            <w:pPr>
              <w:rPr>
                <w:rFonts w:hint="eastAsia" w:ascii="仿宋" w:hAnsi="仿宋" w:eastAsia="仿宋" w:cs="仿宋"/>
                <w:b/>
                <w:bCs/>
                <w:color w:val="auto"/>
                <w:sz w:val="28"/>
                <w:szCs w:val="28"/>
                <w:highlight w:val="none"/>
              </w:rPr>
            </w:pPr>
          </w:p>
        </w:tc>
        <w:tc>
          <w:tcPr>
            <w:tcW w:w="963" w:type="dxa"/>
            <w:vAlign w:val="top"/>
          </w:tcPr>
          <w:p w14:paraId="67D1B13A">
            <w:pPr>
              <w:rPr>
                <w:rFonts w:hint="eastAsia" w:ascii="仿宋" w:hAnsi="仿宋" w:eastAsia="仿宋" w:cs="仿宋"/>
                <w:b/>
                <w:bCs/>
                <w:color w:val="auto"/>
                <w:sz w:val="28"/>
                <w:szCs w:val="28"/>
                <w:highlight w:val="none"/>
              </w:rPr>
            </w:pPr>
          </w:p>
        </w:tc>
      </w:tr>
      <w:tr w14:paraId="1AC7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6AD03254">
            <w:pPr>
              <w:rPr>
                <w:rFonts w:hint="eastAsia" w:ascii="仿宋" w:hAnsi="仿宋" w:eastAsia="仿宋" w:cs="仿宋"/>
                <w:b/>
                <w:bCs/>
                <w:color w:val="auto"/>
                <w:sz w:val="28"/>
                <w:szCs w:val="28"/>
                <w:highlight w:val="none"/>
              </w:rPr>
            </w:pPr>
          </w:p>
        </w:tc>
        <w:tc>
          <w:tcPr>
            <w:tcW w:w="2627" w:type="dxa"/>
            <w:vAlign w:val="top"/>
          </w:tcPr>
          <w:p w14:paraId="3B453110">
            <w:pPr>
              <w:rPr>
                <w:rFonts w:hint="eastAsia" w:ascii="仿宋" w:hAnsi="仿宋" w:eastAsia="仿宋" w:cs="仿宋"/>
                <w:b/>
                <w:bCs/>
                <w:color w:val="auto"/>
                <w:sz w:val="28"/>
                <w:szCs w:val="28"/>
                <w:highlight w:val="none"/>
              </w:rPr>
            </w:pPr>
          </w:p>
        </w:tc>
        <w:tc>
          <w:tcPr>
            <w:tcW w:w="2810" w:type="dxa"/>
            <w:vAlign w:val="top"/>
          </w:tcPr>
          <w:p w14:paraId="7CE63EE8">
            <w:pPr>
              <w:rPr>
                <w:rFonts w:hint="eastAsia" w:ascii="仿宋" w:hAnsi="仿宋" w:eastAsia="仿宋" w:cs="仿宋"/>
                <w:b/>
                <w:bCs/>
                <w:color w:val="auto"/>
                <w:sz w:val="28"/>
                <w:szCs w:val="28"/>
                <w:highlight w:val="none"/>
              </w:rPr>
            </w:pPr>
          </w:p>
        </w:tc>
        <w:tc>
          <w:tcPr>
            <w:tcW w:w="1412" w:type="dxa"/>
            <w:vAlign w:val="top"/>
          </w:tcPr>
          <w:p w14:paraId="26CCD11E">
            <w:pPr>
              <w:rPr>
                <w:rFonts w:hint="eastAsia" w:ascii="仿宋" w:hAnsi="仿宋" w:eastAsia="仿宋" w:cs="仿宋"/>
                <w:b/>
                <w:bCs/>
                <w:color w:val="auto"/>
                <w:sz w:val="28"/>
                <w:szCs w:val="28"/>
                <w:highlight w:val="none"/>
              </w:rPr>
            </w:pPr>
          </w:p>
        </w:tc>
        <w:tc>
          <w:tcPr>
            <w:tcW w:w="963" w:type="dxa"/>
            <w:vAlign w:val="top"/>
          </w:tcPr>
          <w:p w14:paraId="0E565C77">
            <w:pPr>
              <w:rPr>
                <w:rFonts w:hint="eastAsia" w:ascii="仿宋" w:hAnsi="仿宋" w:eastAsia="仿宋" w:cs="仿宋"/>
                <w:b/>
                <w:bCs/>
                <w:color w:val="auto"/>
                <w:sz w:val="28"/>
                <w:szCs w:val="28"/>
                <w:highlight w:val="none"/>
              </w:rPr>
            </w:pPr>
          </w:p>
        </w:tc>
      </w:tr>
      <w:tr w14:paraId="3154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A1114E3">
            <w:pPr>
              <w:rPr>
                <w:rFonts w:hint="eastAsia" w:ascii="仿宋" w:hAnsi="仿宋" w:eastAsia="仿宋" w:cs="仿宋"/>
                <w:b/>
                <w:bCs/>
                <w:color w:val="auto"/>
                <w:sz w:val="28"/>
                <w:szCs w:val="28"/>
                <w:highlight w:val="none"/>
              </w:rPr>
            </w:pPr>
          </w:p>
        </w:tc>
        <w:tc>
          <w:tcPr>
            <w:tcW w:w="2627" w:type="dxa"/>
            <w:vAlign w:val="top"/>
          </w:tcPr>
          <w:p w14:paraId="5D98042F">
            <w:pPr>
              <w:rPr>
                <w:rFonts w:hint="eastAsia" w:ascii="仿宋" w:hAnsi="仿宋" w:eastAsia="仿宋" w:cs="仿宋"/>
                <w:b/>
                <w:bCs/>
                <w:color w:val="auto"/>
                <w:sz w:val="28"/>
                <w:szCs w:val="28"/>
                <w:highlight w:val="none"/>
              </w:rPr>
            </w:pPr>
          </w:p>
        </w:tc>
        <w:tc>
          <w:tcPr>
            <w:tcW w:w="2810" w:type="dxa"/>
            <w:vAlign w:val="top"/>
          </w:tcPr>
          <w:p w14:paraId="0FD9B7CA">
            <w:pPr>
              <w:rPr>
                <w:rFonts w:hint="eastAsia" w:ascii="仿宋" w:hAnsi="仿宋" w:eastAsia="仿宋" w:cs="仿宋"/>
                <w:b/>
                <w:bCs/>
                <w:color w:val="auto"/>
                <w:sz w:val="28"/>
                <w:szCs w:val="28"/>
                <w:highlight w:val="none"/>
              </w:rPr>
            </w:pPr>
          </w:p>
        </w:tc>
        <w:tc>
          <w:tcPr>
            <w:tcW w:w="1412" w:type="dxa"/>
            <w:vAlign w:val="top"/>
          </w:tcPr>
          <w:p w14:paraId="3A5B1FC3">
            <w:pPr>
              <w:rPr>
                <w:rFonts w:hint="eastAsia" w:ascii="仿宋" w:hAnsi="仿宋" w:eastAsia="仿宋" w:cs="仿宋"/>
                <w:b/>
                <w:bCs/>
                <w:color w:val="auto"/>
                <w:sz w:val="28"/>
                <w:szCs w:val="28"/>
                <w:highlight w:val="none"/>
              </w:rPr>
            </w:pPr>
          </w:p>
        </w:tc>
        <w:tc>
          <w:tcPr>
            <w:tcW w:w="963" w:type="dxa"/>
            <w:vAlign w:val="top"/>
          </w:tcPr>
          <w:p w14:paraId="0D933EAC">
            <w:pPr>
              <w:rPr>
                <w:rFonts w:hint="eastAsia" w:ascii="仿宋" w:hAnsi="仿宋" w:eastAsia="仿宋" w:cs="仿宋"/>
                <w:b/>
                <w:bCs/>
                <w:color w:val="auto"/>
                <w:sz w:val="28"/>
                <w:szCs w:val="28"/>
                <w:highlight w:val="none"/>
              </w:rPr>
            </w:pPr>
          </w:p>
        </w:tc>
      </w:tr>
      <w:tr w14:paraId="3B94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E08CE94">
            <w:pPr>
              <w:rPr>
                <w:rFonts w:hint="eastAsia" w:ascii="仿宋" w:hAnsi="仿宋" w:eastAsia="仿宋" w:cs="仿宋"/>
                <w:b/>
                <w:bCs/>
                <w:color w:val="auto"/>
                <w:sz w:val="28"/>
                <w:szCs w:val="28"/>
                <w:highlight w:val="none"/>
              </w:rPr>
            </w:pPr>
          </w:p>
        </w:tc>
        <w:tc>
          <w:tcPr>
            <w:tcW w:w="2627" w:type="dxa"/>
            <w:vAlign w:val="top"/>
          </w:tcPr>
          <w:p w14:paraId="6002C721">
            <w:pPr>
              <w:rPr>
                <w:rFonts w:hint="eastAsia" w:ascii="仿宋" w:hAnsi="仿宋" w:eastAsia="仿宋" w:cs="仿宋"/>
                <w:b/>
                <w:bCs/>
                <w:color w:val="auto"/>
                <w:sz w:val="28"/>
                <w:szCs w:val="28"/>
                <w:highlight w:val="none"/>
              </w:rPr>
            </w:pPr>
          </w:p>
        </w:tc>
        <w:tc>
          <w:tcPr>
            <w:tcW w:w="2810" w:type="dxa"/>
            <w:vAlign w:val="top"/>
          </w:tcPr>
          <w:p w14:paraId="03B9D8B9">
            <w:pPr>
              <w:rPr>
                <w:rFonts w:hint="eastAsia" w:ascii="仿宋" w:hAnsi="仿宋" w:eastAsia="仿宋" w:cs="仿宋"/>
                <w:b/>
                <w:bCs/>
                <w:color w:val="auto"/>
                <w:sz w:val="28"/>
                <w:szCs w:val="28"/>
                <w:highlight w:val="none"/>
              </w:rPr>
            </w:pPr>
          </w:p>
        </w:tc>
        <w:tc>
          <w:tcPr>
            <w:tcW w:w="1412" w:type="dxa"/>
            <w:vAlign w:val="top"/>
          </w:tcPr>
          <w:p w14:paraId="434199D3">
            <w:pPr>
              <w:rPr>
                <w:rFonts w:hint="eastAsia" w:ascii="仿宋" w:hAnsi="仿宋" w:eastAsia="仿宋" w:cs="仿宋"/>
                <w:b/>
                <w:bCs/>
                <w:color w:val="auto"/>
                <w:sz w:val="28"/>
                <w:szCs w:val="28"/>
                <w:highlight w:val="none"/>
              </w:rPr>
            </w:pPr>
          </w:p>
        </w:tc>
        <w:tc>
          <w:tcPr>
            <w:tcW w:w="963" w:type="dxa"/>
            <w:vAlign w:val="top"/>
          </w:tcPr>
          <w:p w14:paraId="5BAC1B27">
            <w:pPr>
              <w:rPr>
                <w:rFonts w:hint="eastAsia" w:ascii="仿宋" w:hAnsi="仿宋" w:eastAsia="仿宋" w:cs="仿宋"/>
                <w:b/>
                <w:bCs/>
                <w:color w:val="auto"/>
                <w:sz w:val="28"/>
                <w:szCs w:val="28"/>
                <w:highlight w:val="none"/>
              </w:rPr>
            </w:pPr>
          </w:p>
        </w:tc>
      </w:tr>
      <w:tr w14:paraId="57CB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345" w:type="dxa"/>
            <w:vAlign w:val="top"/>
          </w:tcPr>
          <w:p w14:paraId="0C52FFF9">
            <w:pPr>
              <w:rPr>
                <w:rFonts w:hint="eastAsia" w:ascii="仿宋" w:hAnsi="仿宋" w:eastAsia="仿宋" w:cs="仿宋"/>
                <w:b/>
                <w:bCs/>
                <w:color w:val="auto"/>
                <w:sz w:val="28"/>
                <w:szCs w:val="28"/>
                <w:highlight w:val="none"/>
              </w:rPr>
            </w:pPr>
          </w:p>
        </w:tc>
        <w:tc>
          <w:tcPr>
            <w:tcW w:w="2627" w:type="dxa"/>
            <w:vAlign w:val="top"/>
          </w:tcPr>
          <w:p w14:paraId="792524F9">
            <w:pPr>
              <w:rPr>
                <w:rFonts w:hint="eastAsia" w:ascii="仿宋" w:hAnsi="仿宋" w:eastAsia="仿宋" w:cs="仿宋"/>
                <w:b/>
                <w:bCs/>
                <w:color w:val="auto"/>
                <w:sz w:val="28"/>
                <w:szCs w:val="28"/>
                <w:highlight w:val="none"/>
              </w:rPr>
            </w:pPr>
          </w:p>
        </w:tc>
        <w:tc>
          <w:tcPr>
            <w:tcW w:w="2810" w:type="dxa"/>
            <w:vAlign w:val="top"/>
          </w:tcPr>
          <w:p w14:paraId="70A20086">
            <w:pPr>
              <w:rPr>
                <w:rFonts w:hint="eastAsia" w:ascii="仿宋" w:hAnsi="仿宋" w:eastAsia="仿宋" w:cs="仿宋"/>
                <w:b/>
                <w:bCs/>
                <w:color w:val="auto"/>
                <w:sz w:val="28"/>
                <w:szCs w:val="28"/>
                <w:highlight w:val="none"/>
              </w:rPr>
            </w:pPr>
          </w:p>
        </w:tc>
        <w:tc>
          <w:tcPr>
            <w:tcW w:w="1412" w:type="dxa"/>
            <w:vAlign w:val="top"/>
          </w:tcPr>
          <w:p w14:paraId="312AF99D">
            <w:pPr>
              <w:rPr>
                <w:rFonts w:hint="eastAsia" w:ascii="仿宋" w:hAnsi="仿宋" w:eastAsia="仿宋" w:cs="仿宋"/>
                <w:b/>
                <w:bCs/>
                <w:color w:val="auto"/>
                <w:sz w:val="28"/>
                <w:szCs w:val="28"/>
                <w:highlight w:val="none"/>
              </w:rPr>
            </w:pPr>
          </w:p>
        </w:tc>
        <w:tc>
          <w:tcPr>
            <w:tcW w:w="963" w:type="dxa"/>
            <w:vAlign w:val="top"/>
          </w:tcPr>
          <w:p w14:paraId="5AEE1C4C">
            <w:pPr>
              <w:rPr>
                <w:rFonts w:hint="eastAsia" w:ascii="仿宋" w:hAnsi="仿宋" w:eastAsia="仿宋" w:cs="仿宋"/>
                <w:b/>
                <w:bCs/>
                <w:color w:val="auto"/>
                <w:sz w:val="28"/>
                <w:szCs w:val="28"/>
                <w:highlight w:val="none"/>
              </w:rPr>
            </w:pPr>
          </w:p>
        </w:tc>
      </w:tr>
    </w:tbl>
    <w:p w14:paraId="75DEAB8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b w:val="0"/>
          <w:bCs w:val="0"/>
          <w:color w:val="auto"/>
          <w:sz w:val="24"/>
          <w:szCs w:val="24"/>
          <w:highlight w:val="none"/>
          <w:lang w:val="en-US" w:eastAsia="zh-CN"/>
        </w:rPr>
        <w:t>磋商文件</w:t>
      </w:r>
      <w:r>
        <w:rPr>
          <w:rFonts w:hint="eastAsia" w:ascii="仿宋" w:hAnsi="仿宋" w:eastAsia="仿宋" w:cs="仿宋"/>
          <w:b w:val="0"/>
          <w:bCs w:val="0"/>
          <w:color w:val="auto"/>
          <w:sz w:val="24"/>
          <w:szCs w:val="24"/>
          <w:highlight w:val="none"/>
        </w:rPr>
        <w:t>要求</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w:t>
      </w: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章磋商内容及要求的</w:t>
      </w:r>
      <w:r>
        <w:rPr>
          <w:rFonts w:hint="eastAsia" w:ascii="仿宋" w:hAnsi="仿宋" w:eastAsia="仿宋" w:cs="仿宋"/>
          <w:b/>
          <w:bCs/>
          <w:color w:val="auto"/>
          <w:sz w:val="24"/>
          <w:szCs w:val="24"/>
          <w:highlight w:val="none"/>
          <w:lang w:val="en-US" w:eastAsia="zh-CN"/>
        </w:rPr>
        <w:t>全部内容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val="en-US" w:eastAsia="zh-CN"/>
        </w:rPr>
        <w:t>第三章的</w:t>
      </w:r>
      <w:r>
        <w:rPr>
          <w:rFonts w:hint="eastAsia" w:ascii="仿宋" w:hAnsi="仿宋" w:eastAsia="仿宋" w:cs="仿宋"/>
          <w:b/>
          <w:bCs/>
          <w:color w:val="auto"/>
          <w:sz w:val="24"/>
          <w:szCs w:val="24"/>
          <w:highlight w:val="none"/>
        </w:rPr>
        <w:t>内容逐条</w:t>
      </w:r>
      <w:r>
        <w:rPr>
          <w:rFonts w:hint="eastAsia" w:ascii="仿宋" w:hAnsi="仿宋" w:eastAsia="仿宋" w:cs="仿宋"/>
          <w:b/>
          <w:bCs/>
          <w:color w:val="auto"/>
          <w:sz w:val="24"/>
          <w:szCs w:val="24"/>
          <w:highlight w:val="none"/>
          <w:lang w:eastAsia="zh-CN"/>
        </w:rPr>
        <w:t>填</w:t>
      </w:r>
      <w:r>
        <w:rPr>
          <w:rFonts w:hint="eastAsia" w:ascii="仿宋" w:hAnsi="仿宋" w:eastAsia="仿宋" w:cs="仿宋"/>
          <w:b/>
          <w:bCs/>
          <w:color w:val="auto"/>
          <w:sz w:val="24"/>
          <w:szCs w:val="24"/>
          <w:highlight w:val="none"/>
        </w:rPr>
        <w:t>写。</w:t>
      </w:r>
    </w:p>
    <w:p w14:paraId="37145D3E">
      <w:pPr>
        <w:ind w:left="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响应</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拟提供的服务响应情况</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应逐条如实填写。</w:t>
      </w:r>
    </w:p>
    <w:p w14:paraId="4C4F2B0D">
      <w:pPr>
        <w:rPr>
          <w:rFonts w:hint="eastAsia" w:ascii="仿宋" w:hAnsi="仿宋" w:eastAsia="仿宋" w:cs="仿宋"/>
          <w:color w:val="auto"/>
          <w:highlight w:val="none"/>
        </w:rPr>
      </w:pPr>
    </w:p>
    <w:p w14:paraId="09386E57">
      <w:pPr>
        <w:pStyle w:val="2"/>
        <w:rPr>
          <w:rFonts w:hint="eastAsia" w:ascii="仿宋" w:hAnsi="仿宋" w:eastAsia="仿宋" w:cs="仿宋"/>
          <w:color w:val="auto"/>
          <w:highlight w:val="none"/>
        </w:rPr>
      </w:pPr>
    </w:p>
    <w:p w14:paraId="6060F5D3">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2EC9243F">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082C6493">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1CB228A4">
      <w:pPr>
        <w:pStyle w:val="5"/>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附表2：商务偏差表</w:t>
      </w:r>
    </w:p>
    <w:p w14:paraId="22E7C5DD">
      <w:pPr>
        <w:spacing w:after="120" w:line="360" w:lineRule="auto"/>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商务偏差表</w:t>
      </w:r>
    </w:p>
    <w:tbl>
      <w:tblPr>
        <w:tblStyle w:val="17"/>
        <w:tblW w:w="9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03"/>
        <w:gridCol w:w="3183"/>
        <w:gridCol w:w="2141"/>
      </w:tblGrid>
      <w:tr w14:paraId="76D18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71" w:type="dxa"/>
            <w:tcBorders>
              <w:top w:val="single" w:color="auto" w:sz="12" w:space="0"/>
            </w:tcBorders>
            <w:vAlign w:val="center"/>
          </w:tcPr>
          <w:p w14:paraId="60C5B08B">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2903" w:type="dxa"/>
            <w:tcBorders>
              <w:top w:val="single" w:color="auto" w:sz="12" w:space="0"/>
            </w:tcBorders>
            <w:vAlign w:val="center"/>
          </w:tcPr>
          <w:p w14:paraId="7BC056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竞争性磋商文件</w:t>
            </w:r>
            <w:r>
              <w:rPr>
                <w:rFonts w:hint="eastAsia" w:ascii="仿宋" w:hAnsi="仿宋" w:eastAsia="仿宋" w:cs="仿宋"/>
                <w:b/>
                <w:color w:val="auto"/>
                <w:sz w:val="28"/>
                <w:szCs w:val="28"/>
                <w:highlight w:val="none"/>
              </w:rPr>
              <w:t>章节及条款号</w:t>
            </w:r>
          </w:p>
        </w:tc>
        <w:tc>
          <w:tcPr>
            <w:tcW w:w="3183" w:type="dxa"/>
            <w:tcBorders>
              <w:top w:val="single" w:color="auto" w:sz="12" w:space="0"/>
            </w:tcBorders>
            <w:vAlign w:val="center"/>
          </w:tcPr>
          <w:p w14:paraId="0DF27993">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响应</w:t>
            </w:r>
            <w:r>
              <w:rPr>
                <w:rFonts w:hint="eastAsia" w:ascii="仿宋" w:hAnsi="仿宋" w:eastAsia="仿宋" w:cs="仿宋"/>
                <w:b/>
                <w:color w:val="auto"/>
                <w:sz w:val="28"/>
                <w:szCs w:val="28"/>
                <w:highlight w:val="none"/>
              </w:rPr>
              <w:t>文件章节及条款号</w:t>
            </w:r>
          </w:p>
        </w:tc>
        <w:tc>
          <w:tcPr>
            <w:tcW w:w="2141" w:type="dxa"/>
            <w:tcBorders>
              <w:top w:val="single" w:color="auto" w:sz="12" w:space="0"/>
            </w:tcBorders>
            <w:vAlign w:val="center"/>
          </w:tcPr>
          <w:p w14:paraId="1099FAD4">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偏差说明</w:t>
            </w:r>
          </w:p>
        </w:tc>
      </w:tr>
      <w:tr w14:paraId="13056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4F4188CC">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903" w:type="dxa"/>
            <w:vAlign w:val="top"/>
          </w:tcPr>
          <w:p w14:paraId="31344E0B">
            <w:pPr>
              <w:spacing w:line="360" w:lineRule="auto"/>
              <w:rPr>
                <w:rFonts w:hint="eastAsia" w:ascii="仿宋" w:hAnsi="仿宋" w:eastAsia="仿宋" w:cs="仿宋"/>
                <w:b/>
                <w:color w:val="auto"/>
                <w:sz w:val="28"/>
                <w:szCs w:val="28"/>
                <w:highlight w:val="none"/>
              </w:rPr>
            </w:pPr>
          </w:p>
        </w:tc>
        <w:tc>
          <w:tcPr>
            <w:tcW w:w="3183" w:type="dxa"/>
            <w:vAlign w:val="top"/>
          </w:tcPr>
          <w:p w14:paraId="29776C92">
            <w:pPr>
              <w:spacing w:line="360" w:lineRule="auto"/>
              <w:rPr>
                <w:rFonts w:hint="eastAsia" w:ascii="仿宋" w:hAnsi="仿宋" w:eastAsia="仿宋" w:cs="仿宋"/>
                <w:b/>
                <w:color w:val="auto"/>
                <w:sz w:val="28"/>
                <w:szCs w:val="28"/>
                <w:highlight w:val="none"/>
              </w:rPr>
            </w:pPr>
          </w:p>
        </w:tc>
        <w:tc>
          <w:tcPr>
            <w:tcW w:w="2141" w:type="dxa"/>
            <w:vAlign w:val="top"/>
          </w:tcPr>
          <w:p w14:paraId="468F63B1">
            <w:pPr>
              <w:spacing w:line="360" w:lineRule="auto"/>
              <w:rPr>
                <w:rFonts w:hint="eastAsia" w:ascii="仿宋" w:hAnsi="仿宋" w:eastAsia="仿宋" w:cs="仿宋"/>
                <w:b/>
                <w:color w:val="auto"/>
                <w:sz w:val="28"/>
                <w:szCs w:val="28"/>
                <w:highlight w:val="none"/>
              </w:rPr>
            </w:pPr>
          </w:p>
        </w:tc>
      </w:tr>
      <w:tr w14:paraId="6B91A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73528FF">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2903" w:type="dxa"/>
            <w:vAlign w:val="top"/>
          </w:tcPr>
          <w:p w14:paraId="191A8C6A">
            <w:pPr>
              <w:spacing w:line="360" w:lineRule="auto"/>
              <w:rPr>
                <w:rFonts w:hint="eastAsia" w:ascii="仿宋" w:hAnsi="仿宋" w:eastAsia="仿宋" w:cs="仿宋"/>
                <w:b/>
                <w:color w:val="auto"/>
                <w:sz w:val="28"/>
                <w:szCs w:val="28"/>
                <w:highlight w:val="none"/>
              </w:rPr>
            </w:pPr>
          </w:p>
        </w:tc>
        <w:tc>
          <w:tcPr>
            <w:tcW w:w="3183" w:type="dxa"/>
            <w:vAlign w:val="top"/>
          </w:tcPr>
          <w:p w14:paraId="119C5A1B">
            <w:pPr>
              <w:spacing w:line="360" w:lineRule="auto"/>
              <w:rPr>
                <w:rFonts w:hint="eastAsia" w:ascii="仿宋" w:hAnsi="仿宋" w:eastAsia="仿宋" w:cs="仿宋"/>
                <w:b/>
                <w:color w:val="auto"/>
                <w:sz w:val="28"/>
                <w:szCs w:val="28"/>
                <w:highlight w:val="none"/>
              </w:rPr>
            </w:pPr>
          </w:p>
        </w:tc>
        <w:tc>
          <w:tcPr>
            <w:tcW w:w="2141" w:type="dxa"/>
            <w:vAlign w:val="top"/>
          </w:tcPr>
          <w:p w14:paraId="2E80E573">
            <w:pPr>
              <w:spacing w:line="360" w:lineRule="auto"/>
              <w:rPr>
                <w:rFonts w:hint="eastAsia" w:ascii="仿宋" w:hAnsi="仿宋" w:eastAsia="仿宋" w:cs="仿宋"/>
                <w:b/>
                <w:color w:val="auto"/>
                <w:sz w:val="28"/>
                <w:szCs w:val="28"/>
                <w:highlight w:val="none"/>
              </w:rPr>
            </w:pPr>
          </w:p>
        </w:tc>
      </w:tr>
      <w:tr w14:paraId="6AA20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10E81670">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2903" w:type="dxa"/>
            <w:vAlign w:val="top"/>
          </w:tcPr>
          <w:p w14:paraId="5EC70FCD">
            <w:pPr>
              <w:spacing w:line="360" w:lineRule="auto"/>
              <w:rPr>
                <w:rFonts w:hint="eastAsia" w:ascii="仿宋" w:hAnsi="仿宋" w:eastAsia="仿宋" w:cs="仿宋"/>
                <w:b/>
                <w:color w:val="auto"/>
                <w:sz w:val="28"/>
                <w:szCs w:val="28"/>
                <w:highlight w:val="none"/>
              </w:rPr>
            </w:pPr>
          </w:p>
        </w:tc>
        <w:tc>
          <w:tcPr>
            <w:tcW w:w="3183" w:type="dxa"/>
            <w:vAlign w:val="top"/>
          </w:tcPr>
          <w:p w14:paraId="6AC7BE48">
            <w:pPr>
              <w:spacing w:line="360" w:lineRule="auto"/>
              <w:rPr>
                <w:rFonts w:hint="eastAsia" w:ascii="仿宋" w:hAnsi="仿宋" w:eastAsia="仿宋" w:cs="仿宋"/>
                <w:b/>
                <w:color w:val="auto"/>
                <w:sz w:val="28"/>
                <w:szCs w:val="28"/>
                <w:highlight w:val="none"/>
              </w:rPr>
            </w:pPr>
          </w:p>
        </w:tc>
        <w:tc>
          <w:tcPr>
            <w:tcW w:w="2141" w:type="dxa"/>
            <w:vAlign w:val="top"/>
          </w:tcPr>
          <w:p w14:paraId="7360AC84">
            <w:pPr>
              <w:spacing w:line="360" w:lineRule="auto"/>
              <w:rPr>
                <w:rFonts w:hint="eastAsia" w:ascii="仿宋" w:hAnsi="仿宋" w:eastAsia="仿宋" w:cs="仿宋"/>
                <w:b/>
                <w:color w:val="auto"/>
                <w:sz w:val="28"/>
                <w:szCs w:val="28"/>
                <w:highlight w:val="none"/>
              </w:rPr>
            </w:pPr>
          </w:p>
        </w:tc>
      </w:tr>
      <w:tr w14:paraId="2E4AF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7AD71CC3">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903" w:type="dxa"/>
            <w:vAlign w:val="top"/>
          </w:tcPr>
          <w:p w14:paraId="5FDF668E">
            <w:pPr>
              <w:spacing w:line="360" w:lineRule="auto"/>
              <w:rPr>
                <w:rFonts w:hint="eastAsia" w:ascii="仿宋" w:hAnsi="仿宋" w:eastAsia="仿宋" w:cs="仿宋"/>
                <w:b/>
                <w:color w:val="auto"/>
                <w:sz w:val="28"/>
                <w:szCs w:val="28"/>
                <w:highlight w:val="none"/>
              </w:rPr>
            </w:pPr>
          </w:p>
        </w:tc>
        <w:tc>
          <w:tcPr>
            <w:tcW w:w="3183" w:type="dxa"/>
            <w:vAlign w:val="top"/>
          </w:tcPr>
          <w:p w14:paraId="0F49D4A7">
            <w:pPr>
              <w:spacing w:line="360" w:lineRule="auto"/>
              <w:rPr>
                <w:rFonts w:hint="eastAsia" w:ascii="仿宋" w:hAnsi="仿宋" w:eastAsia="仿宋" w:cs="仿宋"/>
                <w:b/>
                <w:color w:val="auto"/>
                <w:sz w:val="28"/>
                <w:szCs w:val="28"/>
                <w:highlight w:val="none"/>
              </w:rPr>
            </w:pPr>
          </w:p>
        </w:tc>
        <w:tc>
          <w:tcPr>
            <w:tcW w:w="2141" w:type="dxa"/>
            <w:vAlign w:val="top"/>
          </w:tcPr>
          <w:p w14:paraId="5DA76247">
            <w:pPr>
              <w:spacing w:line="360" w:lineRule="auto"/>
              <w:rPr>
                <w:rFonts w:hint="eastAsia" w:ascii="仿宋" w:hAnsi="仿宋" w:eastAsia="仿宋" w:cs="仿宋"/>
                <w:b/>
                <w:color w:val="auto"/>
                <w:sz w:val="28"/>
                <w:szCs w:val="28"/>
                <w:highlight w:val="none"/>
              </w:rPr>
            </w:pPr>
          </w:p>
        </w:tc>
      </w:tr>
      <w:tr w14:paraId="47E90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8601348">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2903" w:type="dxa"/>
            <w:vAlign w:val="top"/>
          </w:tcPr>
          <w:p w14:paraId="3597902F">
            <w:pPr>
              <w:spacing w:line="360" w:lineRule="auto"/>
              <w:rPr>
                <w:rFonts w:hint="eastAsia" w:ascii="仿宋" w:hAnsi="仿宋" w:eastAsia="仿宋" w:cs="仿宋"/>
                <w:b/>
                <w:color w:val="auto"/>
                <w:sz w:val="28"/>
                <w:szCs w:val="28"/>
                <w:highlight w:val="none"/>
              </w:rPr>
            </w:pPr>
          </w:p>
        </w:tc>
        <w:tc>
          <w:tcPr>
            <w:tcW w:w="3183" w:type="dxa"/>
            <w:vAlign w:val="top"/>
          </w:tcPr>
          <w:p w14:paraId="275B48DB">
            <w:pPr>
              <w:spacing w:line="360" w:lineRule="auto"/>
              <w:rPr>
                <w:rFonts w:hint="eastAsia" w:ascii="仿宋" w:hAnsi="仿宋" w:eastAsia="仿宋" w:cs="仿宋"/>
                <w:b/>
                <w:color w:val="auto"/>
                <w:sz w:val="28"/>
                <w:szCs w:val="28"/>
                <w:highlight w:val="none"/>
              </w:rPr>
            </w:pPr>
          </w:p>
        </w:tc>
        <w:tc>
          <w:tcPr>
            <w:tcW w:w="2141" w:type="dxa"/>
            <w:vAlign w:val="top"/>
          </w:tcPr>
          <w:p w14:paraId="0E43B275">
            <w:pPr>
              <w:spacing w:line="360" w:lineRule="auto"/>
              <w:rPr>
                <w:rFonts w:hint="eastAsia" w:ascii="仿宋" w:hAnsi="仿宋" w:eastAsia="仿宋" w:cs="仿宋"/>
                <w:b/>
                <w:color w:val="auto"/>
                <w:sz w:val="28"/>
                <w:szCs w:val="28"/>
                <w:highlight w:val="none"/>
              </w:rPr>
            </w:pPr>
          </w:p>
        </w:tc>
      </w:tr>
      <w:tr w14:paraId="622DC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tcBorders>
              <w:bottom w:val="single" w:color="auto" w:sz="12" w:space="0"/>
            </w:tcBorders>
            <w:vAlign w:val="center"/>
          </w:tcPr>
          <w:p w14:paraId="23FED489">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w:t>
            </w:r>
          </w:p>
        </w:tc>
        <w:tc>
          <w:tcPr>
            <w:tcW w:w="2903" w:type="dxa"/>
            <w:tcBorders>
              <w:bottom w:val="single" w:color="auto" w:sz="12" w:space="0"/>
            </w:tcBorders>
            <w:vAlign w:val="top"/>
          </w:tcPr>
          <w:p w14:paraId="250716C4">
            <w:pPr>
              <w:spacing w:line="360" w:lineRule="auto"/>
              <w:rPr>
                <w:rFonts w:hint="eastAsia" w:ascii="仿宋" w:hAnsi="仿宋" w:eastAsia="仿宋" w:cs="仿宋"/>
                <w:b/>
                <w:color w:val="auto"/>
                <w:sz w:val="28"/>
                <w:szCs w:val="28"/>
                <w:highlight w:val="none"/>
              </w:rPr>
            </w:pPr>
          </w:p>
        </w:tc>
        <w:tc>
          <w:tcPr>
            <w:tcW w:w="3183" w:type="dxa"/>
            <w:tcBorders>
              <w:bottom w:val="single" w:color="auto" w:sz="12" w:space="0"/>
            </w:tcBorders>
            <w:vAlign w:val="top"/>
          </w:tcPr>
          <w:p w14:paraId="171D7B90">
            <w:pPr>
              <w:spacing w:line="360" w:lineRule="auto"/>
              <w:rPr>
                <w:rFonts w:hint="eastAsia" w:ascii="仿宋" w:hAnsi="仿宋" w:eastAsia="仿宋" w:cs="仿宋"/>
                <w:b/>
                <w:color w:val="auto"/>
                <w:sz w:val="28"/>
                <w:szCs w:val="28"/>
                <w:highlight w:val="none"/>
              </w:rPr>
            </w:pPr>
          </w:p>
        </w:tc>
        <w:tc>
          <w:tcPr>
            <w:tcW w:w="2141" w:type="dxa"/>
            <w:tcBorders>
              <w:bottom w:val="single" w:color="auto" w:sz="12" w:space="0"/>
            </w:tcBorders>
            <w:vAlign w:val="top"/>
          </w:tcPr>
          <w:p w14:paraId="24BEB60F">
            <w:pPr>
              <w:spacing w:line="360" w:lineRule="auto"/>
              <w:rPr>
                <w:rFonts w:hint="eastAsia" w:ascii="仿宋" w:hAnsi="仿宋" w:eastAsia="仿宋" w:cs="仿宋"/>
                <w:b/>
                <w:color w:val="auto"/>
                <w:sz w:val="28"/>
                <w:szCs w:val="28"/>
                <w:highlight w:val="none"/>
              </w:rPr>
            </w:pPr>
          </w:p>
        </w:tc>
      </w:tr>
    </w:tbl>
    <w:p w14:paraId="13AA1EB5">
      <w:pPr>
        <w:pStyle w:val="15"/>
        <w:widowControl w:val="0"/>
        <w:spacing w:before="0" w:beforeAutospacing="0" w:after="0" w:afterAutospacing="0"/>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1.本表只填写与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商务条款</w:t>
      </w:r>
      <w:r>
        <w:rPr>
          <w:rFonts w:hint="eastAsia" w:ascii="仿宋" w:hAnsi="仿宋" w:eastAsia="仿宋" w:cs="仿宋"/>
          <w:color w:val="auto"/>
          <w:sz w:val="24"/>
          <w:szCs w:val="24"/>
          <w:highlight w:val="none"/>
        </w:rPr>
        <w:t>有偏离（包括正偏离和负偏离）的内容，商务响应与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文件要求完全一致的，不用在此表中列出，但必须提交空白表。</w:t>
      </w:r>
    </w:p>
    <w:p w14:paraId="656EB726">
      <w:pPr>
        <w:pStyle w:val="15"/>
        <w:widowControl w:val="0"/>
        <w:spacing w:before="0" w:beforeAutospacing="0" w:after="0"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2.供应商必须据实填写，不得虚假响应，否则将取消其</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资格，并按有关规定进</w:t>
      </w:r>
      <w:r>
        <w:rPr>
          <w:rFonts w:hint="eastAsia" w:ascii="仿宋" w:hAnsi="仿宋" w:eastAsia="仿宋" w:cs="仿宋"/>
          <w:color w:val="auto"/>
          <w:sz w:val="24"/>
          <w:szCs w:val="24"/>
          <w:highlight w:val="none"/>
          <w:lang w:val="en-US" w:eastAsia="zh-Hans"/>
        </w:rPr>
        <w:t>行</w:t>
      </w:r>
      <w:r>
        <w:rPr>
          <w:rFonts w:hint="eastAsia" w:ascii="仿宋" w:hAnsi="仿宋" w:eastAsia="仿宋" w:cs="仿宋"/>
          <w:color w:val="auto"/>
          <w:sz w:val="24"/>
          <w:szCs w:val="24"/>
          <w:highlight w:val="none"/>
        </w:rPr>
        <w:t>处罚。</w:t>
      </w:r>
    </w:p>
    <w:p w14:paraId="01EB5C26">
      <w:pPr>
        <w:pStyle w:val="15"/>
        <w:widowControl w:val="0"/>
        <w:spacing w:before="0" w:beforeAutospacing="0" w:after="0" w:afterAutospacing="0"/>
        <w:ind w:firstLine="480" w:firstLineChars="200"/>
        <w:rPr>
          <w:rFonts w:hint="eastAsia" w:ascii="仿宋" w:hAnsi="仿宋" w:eastAsia="仿宋" w:cs="仿宋"/>
          <w:color w:val="auto"/>
          <w:sz w:val="24"/>
          <w:szCs w:val="24"/>
          <w:highlight w:val="none"/>
        </w:rPr>
      </w:pPr>
    </w:p>
    <w:p w14:paraId="6B90D0E3">
      <w:pPr>
        <w:pStyle w:val="15"/>
        <w:widowControl w:val="0"/>
        <w:spacing w:before="0" w:beforeAutospacing="0" w:after="0" w:afterAutospacing="0"/>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6E42F9CB">
      <w:pPr>
        <w:pStyle w:val="2"/>
        <w:rPr>
          <w:rFonts w:hint="eastAsia" w:ascii="仿宋" w:hAnsi="仿宋" w:eastAsia="仿宋" w:cs="仿宋"/>
          <w:color w:val="auto"/>
          <w:highlight w:val="none"/>
        </w:rPr>
      </w:pPr>
    </w:p>
    <w:p w14:paraId="505C87CA">
      <w:pPr>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602FD503">
      <w:pPr>
        <w:pStyle w:val="2"/>
        <w:rPr>
          <w:rFonts w:hint="eastAsia" w:ascii="仿宋" w:hAnsi="仿宋" w:eastAsia="仿宋" w:cs="仿宋"/>
          <w:color w:val="auto"/>
          <w:highlight w:val="none"/>
        </w:rPr>
      </w:pPr>
    </w:p>
    <w:p w14:paraId="72F663C0">
      <w:pPr>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日期：年月日</w:t>
      </w:r>
    </w:p>
    <w:p w14:paraId="2946C249">
      <w:pPr>
        <w:numPr>
          <w:ilvl w:val="0"/>
          <w:numId w:val="0"/>
        </w:numPr>
        <w:spacing w:line="480" w:lineRule="exact"/>
        <w:jc w:val="both"/>
        <w:rPr>
          <w:rFonts w:hint="eastAsia" w:ascii="仿宋" w:hAnsi="仿宋" w:eastAsia="仿宋" w:cs="仿宋"/>
          <w:b w:val="0"/>
          <w:bCs w:val="0"/>
          <w:color w:val="auto"/>
          <w:sz w:val="24"/>
          <w:szCs w:val="24"/>
          <w:highlight w:val="none"/>
          <w:lang w:val="en-US" w:eastAsia="zh-CN"/>
        </w:rPr>
      </w:pPr>
    </w:p>
    <w:p w14:paraId="6D882333">
      <w:pPr>
        <w:spacing w:line="480" w:lineRule="exact"/>
        <w:jc w:val="center"/>
        <w:outlineLvl w:val="1"/>
        <w:rPr>
          <w:rFonts w:hint="eastAsia" w:ascii="仿宋" w:hAnsi="仿宋" w:eastAsia="仿宋" w:cs="仿宋"/>
          <w:b/>
          <w:bCs/>
          <w:color w:val="auto"/>
          <w:sz w:val="32"/>
          <w:szCs w:val="32"/>
          <w:highlight w:val="none"/>
          <w:lang w:val="en-US" w:eastAsia="zh-CN"/>
        </w:rPr>
      </w:pPr>
      <w:bookmarkStart w:id="39" w:name="_Toc17202"/>
    </w:p>
    <w:p w14:paraId="6FA179E3">
      <w:pPr>
        <w:spacing w:line="480" w:lineRule="exact"/>
        <w:jc w:val="center"/>
        <w:outlineLvl w:val="1"/>
        <w:rPr>
          <w:rFonts w:hint="eastAsia" w:ascii="仿宋" w:hAnsi="仿宋" w:eastAsia="仿宋" w:cs="仿宋"/>
          <w:b/>
          <w:bCs/>
          <w:color w:val="auto"/>
          <w:sz w:val="32"/>
          <w:szCs w:val="32"/>
          <w:highlight w:val="none"/>
          <w:lang w:val="en-US" w:eastAsia="zh-CN"/>
        </w:rPr>
      </w:pPr>
    </w:p>
    <w:p w14:paraId="4E5CA58C">
      <w:pPr>
        <w:spacing w:line="480" w:lineRule="exact"/>
        <w:jc w:val="center"/>
        <w:outlineLvl w:val="1"/>
        <w:rPr>
          <w:rFonts w:hint="eastAsia" w:ascii="仿宋" w:hAnsi="仿宋" w:eastAsia="仿宋" w:cs="仿宋"/>
          <w:b/>
          <w:bCs/>
          <w:color w:val="auto"/>
          <w:sz w:val="32"/>
          <w:szCs w:val="32"/>
          <w:highlight w:val="none"/>
          <w:lang w:val="en-US" w:eastAsia="zh-CN"/>
        </w:rPr>
      </w:pPr>
    </w:p>
    <w:p w14:paraId="2D80ADD3">
      <w:pPr>
        <w:spacing w:line="480" w:lineRule="exac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概况、声明及承诺</w:t>
      </w:r>
      <w:bookmarkEnd w:id="39"/>
    </w:p>
    <w:p w14:paraId="213557D5">
      <w:pPr>
        <w:spacing w:line="480" w:lineRule="exact"/>
        <w:ind w:firstLine="275" w:firstLineChars="98"/>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概况</w:t>
      </w:r>
    </w:p>
    <w:p w14:paraId="327D88DA">
      <w:pPr>
        <w:spacing w:line="480" w:lineRule="exact"/>
        <w:ind w:firstLine="551"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简介。</w:t>
      </w:r>
    </w:p>
    <w:p w14:paraId="3B436C69">
      <w:pPr>
        <w:spacing w:line="480" w:lineRule="exact"/>
        <w:ind w:firstLine="551"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.1-2填报Ⅰ、Ⅱ表。</w:t>
      </w:r>
    </w:p>
    <w:p w14:paraId="5C9881CD">
      <w:pPr>
        <w:spacing w:line="580" w:lineRule="exact"/>
        <w:jc w:val="center"/>
        <w:rPr>
          <w:rFonts w:hint="eastAsia" w:ascii="仿宋" w:hAnsi="仿宋" w:eastAsia="仿宋" w:cs="仿宋"/>
          <w:bCs/>
          <w:color w:val="auto"/>
          <w:sz w:val="28"/>
          <w:szCs w:val="28"/>
          <w:highlight w:val="none"/>
          <w:u w:val="single"/>
        </w:rPr>
      </w:pPr>
      <w:r>
        <w:rPr>
          <w:rFonts w:hint="eastAsia" w:ascii="仿宋" w:hAnsi="仿宋" w:eastAsia="仿宋" w:cs="仿宋"/>
          <w:b/>
          <w:bCs/>
          <w:color w:val="auto"/>
          <w:sz w:val="28"/>
          <w:szCs w:val="28"/>
          <w:highlight w:val="none"/>
        </w:rPr>
        <w:t>Ⅰ.</w:t>
      </w:r>
      <w:r>
        <w:rPr>
          <w:rFonts w:hint="eastAsia" w:ascii="仿宋" w:hAnsi="仿宋" w:eastAsia="仿宋" w:cs="仿宋"/>
          <w:bCs/>
          <w:color w:val="auto"/>
          <w:sz w:val="28"/>
          <w:szCs w:val="28"/>
          <w:highlight w:val="none"/>
        </w:rPr>
        <w:t>企业</w:t>
      </w:r>
      <w:r>
        <w:rPr>
          <w:rFonts w:hint="eastAsia" w:ascii="仿宋" w:hAnsi="仿宋" w:eastAsia="仿宋" w:cs="仿宋"/>
          <w:bCs/>
          <w:color w:val="auto"/>
          <w:sz w:val="28"/>
          <w:szCs w:val="28"/>
          <w:highlight w:val="none"/>
          <w:lang w:eastAsia="zh-CN"/>
        </w:rPr>
        <w:t>基本</w:t>
      </w:r>
      <w:r>
        <w:rPr>
          <w:rFonts w:hint="eastAsia" w:ascii="仿宋" w:hAnsi="仿宋" w:eastAsia="仿宋" w:cs="仿宋"/>
          <w:bCs/>
          <w:color w:val="auto"/>
          <w:sz w:val="28"/>
          <w:szCs w:val="28"/>
          <w:highlight w:val="none"/>
        </w:rPr>
        <w:t>情况表</w:t>
      </w:r>
    </w:p>
    <w:p w14:paraId="5C0E1433">
      <w:pPr>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公章）单位：万元</w:t>
      </w:r>
    </w:p>
    <w:tbl>
      <w:tblPr>
        <w:tblStyle w:val="17"/>
        <w:tblW w:w="916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047"/>
        <w:gridCol w:w="1232"/>
        <w:gridCol w:w="1456"/>
        <w:gridCol w:w="1442"/>
        <w:gridCol w:w="1268"/>
        <w:gridCol w:w="1175"/>
      </w:tblGrid>
      <w:tr w14:paraId="4F83CC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1540" w:type="dxa"/>
            <w:tcBorders>
              <w:top w:val="single" w:color="auto" w:sz="12" w:space="0"/>
              <w:left w:val="single" w:color="auto" w:sz="12" w:space="0"/>
              <w:bottom w:val="single" w:color="auto" w:sz="6" w:space="0"/>
              <w:right w:val="single" w:color="auto" w:sz="6" w:space="0"/>
            </w:tcBorders>
            <w:vAlign w:val="center"/>
          </w:tcPr>
          <w:p w14:paraId="72D2E89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w:t>
            </w:r>
          </w:p>
        </w:tc>
        <w:tc>
          <w:tcPr>
            <w:tcW w:w="7620" w:type="dxa"/>
            <w:gridSpan w:val="6"/>
            <w:tcBorders>
              <w:top w:val="single" w:color="auto" w:sz="12" w:space="0"/>
              <w:left w:val="single" w:color="auto" w:sz="6" w:space="0"/>
              <w:bottom w:val="single" w:color="auto" w:sz="6" w:space="0"/>
              <w:right w:val="single" w:color="auto" w:sz="12" w:space="0"/>
            </w:tcBorders>
            <w:vAlign w:val="center"/>
          </w:tcPr>
          <w:p w14:paraId="3C163DCB">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305DA0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60F0A63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注册地址</w:t>
            </w:r>
          </w:p>
        </w:tc>
        <w:tc>
          <w:tcPr>
            <w:tcW w:w="3735" w:type="dxa"/>
            <w:gridSpan w:val="3"/>
            <w:tcBorders>
              <w:top w:val="single" w:color="auto" w:sz="6" w:space="0"/>
              <w:left w:val="single" w:color="auto" w:sz="6" w:space="0"/>
              <w:bottom w:val="single" w:color="auto" w:sz="6" w:space="0"/>
              <w:right w:val="single" w:color="auto" w:sz="6" w:space="0"/>
            </w:tcBorders>
            <w:vAlign w:val="center"/>
          </w:tcPr>
          <w:p w14:paraId="29B31566">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44F0D64D">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邮政编码</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7451B8F1">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5A4F5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vMerge w:val="restart"/>
            <w:tcBorders>
              <w:top w:val="single" w:color="auto" w:sz="6" w:space="0"/>
              <w:left w:val="single" w:color="auto" w:sz="12" w:space="0"/>
              <w:bottom w:val="single" w:color="auto" w:sz="6" w:space="0"/>
              <w:right w:val="single" w:color="auto" w:sz="6" w:space="0"/>
            </w:tcBorders>
            <w:vAlign w:val="center"/>
          </w:tcPr>
          <w:p w14:paraId="055E7504">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14:paraId="54AEC8C9">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24904131">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3558EEB4">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3CA89216">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69F25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540" w:type="dxa"/>
            <w:vMerge w:val="continue"/>
            <w:tcBorders>
              <w:top w:val="single" w:color="auto" w:sz="6" w:space="0"/>
              <w:left w:val="single" w:color="auto" w:sz="12" w:space="0"/>
              <w:bottom w:val="single" w:color="auto" w:sz="6" w:space="0"/>
              <w:right w:val="single" w:color="auto" w:sz="6" w:space="0"/>
            </w:tcBorders>
            <w:vAlign w:val="center"/>
          </w:tcPr>
          <w:p w14:paraId="75E5CF43">
            <w:pPr>
              <w:widowControl/>
              <w:jc w:val="left"/>
              <w:rPr>
                <w:rFonts w:hint="eastAsia" w:ascii="仿宋" w:hAnsi="仿宋" w:eastAsia="仿宋" w:cs="仿宋"/>
                <w:color w:val="auto"/>
                <w:kern w:val="0"/>
                <w:sz w:val="28"/>
                <w:szCs w:val="28"/>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7A27681C">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7ACEC1CC">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7CD3458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网址</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2348958">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CACEE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141E5FE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单位性质</w:t>
            </w:r>
          </w:p>
        </w:tc>
        <w:tc>
          <w:tcPr>
            <w:tcW w:w="7620" w:type="dxa"/>
            <w:gridSpan w:val="6"/>
            <w:tcBorders>
              <w:top w:val="single" w:color="auto" w:sz="6" w:space="0"/>
              <w:left w:val="single" w:color="auto" w:sz="6" w:space="0"/>
              <w:bottom w:val="single" w:color="auto" w:sz="6" w:space="0"/>
              <w:right w:val="single" w:color="auto" w:sz="12" w:space="0"/>
            </w:tcBorders>
            <w:vAlign w:val="center"/>
          </w:tcPr>
          <w:p w14:paraId="7E4C21B2">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0312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49C7B99">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14:paraId="06EFCB80">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306226FF">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3B0D7930">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36FD0347">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5F7B49DA">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333A5E60">
            <w:pPr>
              <w:autoSpaceDE w:val="0"/>
              <w:autoSpaceDN w:val="0"/>
              <w:adjustRightInd w:val="0"/>
              <w:spacing w:line="400" w:lineRule="exact"/>
              <w:jc w:val="center"/>
              <w:rPr>
                <w:rFonts w:hint="eastAsia" w:ascii="仿宋" w:hAnsi="仿宋" w:eastAsia="仿宋" w:cs="仿宋"/>
                <w:b/>
                <w:bCs/>
                <w:color w:val="auto"/>
                <w:kern w:val="0"/>
                <w:sz w:val="28"/>
                <w:szCs w:val="28"/>
                <w:highlight w:val="none"/>
              </w:rPr>
            </w:pPr>
          </w:p>
        </w:tc>
      </w:tr>
      <w:tr w14:paraId="70AF7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BC5592E">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技术负责人</w:t>
            </w:r>
          </w:p>
        </w:tc>
        <w:tc>
          <w:tcPr>
            <w:tcW w:w="1047" w:type="dxa"/>
            <w:tcBorders>
              <w:top w:val="single" w:color="auto" w:sz="6" w:space="0"/>
              <w:left w:val="single" w:color="auto" w:sz="6" w:space="0"/>
              <w:bottom w:val="single" w:color="auto" w:sz="4" w:space="0"/>
              <w:right w:val="single" w:color="auto" w:sz="6" w:space="0"/>
            </w:tcBorders>
            <w:vAlign w:val="center"/>
          </w:tcPr>
          <w:p w14:paraId="3FFEA86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4" w:space="0"/>
              <w:right w:val="single" w:color="auto" w:sz="6" w:space="0"/>
            </w:tcBorders>
            <w:vAlign w:val="center"/>
          </w:tcPr>
          <w:p w14:paraId="32732736">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4" w:space="0"/>
              <w:right w:val="single" w:color="auto" w:sz="6" w:space="0"/>
            </w:tcBorders>
            <w:vAlign w:val="center"/>
          </w:tcPr>
          <w:p w14:paraId="6FD9F1BB">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1F7AEEA3">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7B704C75">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6A938B3D">
            <w:pPr>
              <w:autoSpaceDE w:val="0"/>
              <w:autoSpaceDN w:val="0"/>
              <w:adjustRightInd w:val="0"/>
              <w:spacing w:line="400" w:lineRule="exact"/>
              <w:jc w:val="center"/>
              <w:rPr>
                <w:rFonts w:hint="eastAsia" w:ascii="仿宋" w:hAnsi="仿宋" w:eastAsia="仿宋" w:cs="仿宋"/>
                <w:b/>
                <w:bCs/>
                <w:color w:val="auto"/>
                <w:kern w:val="0"/>
                <w:sz w:val="28"/>
                <w:szCs w:val="28"/>
                <w:highlight w:val="none"/>
              </w:rPr>
            </w:pPr>
          </w:p>
        </w:tc>
      </w:tr>
      <w:tr w14:paraId="33F181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03FB69FC">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企业资质等级</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43A417A8">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63F7FDAB">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成立时间</w:t>
            </w:r>
          </w:p>
        </w:tc>
        <w:tc>
          <w:tcPr>
            <w:tcW w:w="3885" w:type="dxa"/>
            <w:gridSpan w:val="3"/>
            <w:tcBorders>
              <w:top w:val="single" w:color="auto" w:sz="6" w:space="0"/>
              <w:left w:val="single" w:color="auto" w:sz="4" w:space="0"/>
              <w:right w:val="single" w:color="auto" w:sz="12" w:space="0"/>
            </w:tcBorders>
            <w:vAlign w:val="center"/>
          </w:tcPr>
          <w:p w14:paraId="352007AC">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p>
        </w:tc>
      </w:tr>
      <w:tr w14:paraId="170528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1689597">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注册资金</w:t>
            </w:r>
          </w:p>
        </w:tc>
        <w:tc>
          <w:tcPr>
            <w:tcW w:w="7620" w:type="dxa"/>
            <w:gridSpan w:val="6"/>
            <w:tcBorders>
              <w:top w:val="single" w:color="auto" w:sz="4" w:space="0"/>
              <w:left w:val="single" w:color="auto" w:sz="6" w:space="0"/>
              <w:bottom w:val="single" w:color="auto" w:sz="6" w:space="0"/>
              <w:right w:val="single" w:color="auto" w:sz="12" w:space="0"/>
            </w:tcBorders>
            <w:vAlign w:val="center"/>
          </w:tcPr>
          <w:p w14:paraId="42CF22C0">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万元</w:t>
            </w:r>
          </w:p>
        </w:tc>
      </w:tr>
      <w:tr w14:paraId="70682A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3E274E7">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开户银行</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690F78CB">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vMerge w:val="restart"/>
            <w:tcBorders>
              <w:top w:val="single" w:color="auto" w:sz="6" w:space="0"/>
              <w:left w:val="single" w:color="auto" w:sz="6" w:space="0"/>
              <w:right w:val="single" w:color="auto" w:sz="6" w:space="0"/>
            </w:tcBorders>
            <w:vAlign w:val="center"/>
          </w:tcPr>
          <w:p w14:paraId="045163B8">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人员</w:t>
            </w:r>
            <w:r>
              <w:rPr>
                <w:rFonts w:hint="eastAsia" w:ascii="仿宋" w:hAnsi="仿宋" w:eastAsia="仿宋" w:cs="仿宋"/>
                <w:color w:val="auto"/>
                <w:kern w:val="0"/>
                <w:sz w:val="28"/>
                <w:szCs w:val="28"/>
                <w:highlight w:val="none"/>
              </w:rPr>
              <w:t>总数</w:t>
            </w:r>
          </w:p>
          <w:p w14:paraId="08FF180E">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人</w:t>
            </w:r>
          </w:p>
        </w:tc>
        <w:tc>
          <w:tcPr>
            <w:tcW w:w="1442" w:type="dxa"/>
            <w:tcBorders>
              <w:top w:val="single" w:color="auto" w:sz="6" w:space="0"/>
              <w:left w:val="single" w:color="auto" w:sz="6" w:space="0"/>
              <w:bottom w:val="single" w:color="auto" w:sz="6" w:space="0"/>
              <w:right w:val="single" w:color="auto" w:sz="6" w:space="0"/>
            </w:tcBorders>
            <w:vAlign w:val="center"/>
          </w:tcPr>
          <w:p w14:paraId="1B392AF9">
            <w:pPr>
              <w:autoSpaceDE w:val="0"/>
              <w:autoSpaceDN w:val="0"/>
              <w:adjustRightInd w:val="0"/>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高级职称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7AE88E7A">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4E95A9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8AF918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基本银行账号</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27781C5D">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vMerge w:val="continue"/>
            <w:tcBorders>
              <w:left w:val="single" w:color="auto" w:sz="6" w:space="0"/>
              <w:bottom w:val="single" w:color="auto" w:sz="6" w:space="0"/>
              <w:right w:val="single" w:color="auto" w:sz="6" w:space="0"/>
            </w:tcBorders>
            <w:vAlign w:val="center"/>
          </w:tcPr>
          <w:p w14:paraId="744C1C60">
            <w:pPr>
              <w:widowControl/>
              <w:jc w:val="left"/>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6BA2CF86">
            <w:pPr>
              <w:autoSpaceDE w:val="0"/>
              <w:autoSpaceDN w:val="0"/>
              <w:adjustRightInd w:val="0"/>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中级职称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454FD9F">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39095F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27"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29124FE0">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经营范围</w:t>
            </w:r>
          </w:p>
        </w:tc>
        <w:tc>
          <w:tcPr>
            <w:tcW w:w="7620" w:type="dxa"/>
            <w:gridSpan w:val="6"/>
            <w:tcBorders>
              <w:top w:val="single" w:color="auto" w:sz="4" w:space="0"/>
              <w:left w:val="single" w:color="auto" w:sz="4" w:space="0"/>
              <w:bottom w:val="single" w:color="auto" w:sz="4" w:space="0"/>
              <w:right w:val="single" w:color="auto" w:sz="12" w:space="0"/>
            </w:tcBorders>
            <w:vAlign w:val="center"/>
          </w:tcPr>
          <w:p w14:paraId="1AA340BB">
            <w:pPr>
              <w:autoSpaceDE w:val="0"/>
              <w:autoSpaceDN w:val="0"/>
              <w:adjustRightInd w:val="0"/>
              <w:spacing w:line="400" w:lineRule="exact"/>
              <w:rPr>
                <w:rFonts w:hint="eastAsia" w:ascii="仿宋" w:hAnsi="仿宋" w:eastAsia="仿宋" w:cs="仿宋"/>
                <w:b/>
                <w:bCs/>
                <w:color w:val="auto"/>
                <w:kern w:val="0"/>
                <w:sz w:val="28"/>
                <w:szCs w:val="28"/>
                <w:highlight w:val="none"/>
              </w:rPr>
            </w:pPr>
          </w:p>
        </w:tc>
      </w:tr>
      <w:tr w14:paraId="2C8D28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6" w:hRule="atLeast"/>
          <w:jc w:val="center"/>
        </w:trPr>
        <w:tc>
          <w:tcPr>
            <w:tcW w:w="1540" w:type="dxa"/>
            <w:tcBorders>
              <w:top w:val="single" w:color="auto" w:sz="6" w:space="0"/>
              <w:left w:val="single" w:color="auto" w:sz="12" w:space="0"/>
              <w:bottom w:val="single" w:color="auto" w:sz="12" w:space="0"/>
              <w:right w:val="single" w:color="auto" w:sz="6" w:space="0"/>
            </w:tcBorders>
            <w:vAlign w:val="center"/>
          </w:tcPr>
          <w:p w14:paraId="68F47AE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c>
          <w:tcPr>
            <w:tcW w:w="7620" w:type="dxa"/>
            <w:gridSpan w:val="6"/>
            <w:tcBorders>
              <w:top w:val="single" w:color="auto" w:sz="6" w:space="0"/>
              <w:left w:val="single" w:color="auto" w:sz="6" w:space="0"/>
              <w:bottom w:val="single" w:color="auto" w:sz="12" w:space="0"/>
              <w:right w:val="single" w:color="auto" w:sz="12" w:space="0"/>
            </w:tcBorders>
            <w:vAlign w:val="top"/>
          </w:tcPr>
          <w:p w14:paraId="131B28F1">
            <w:pPr>
              <w:autoSpaceDE w:val="0"/>
              <w:autoSpaceDN w:val="0"/>
              <w:adjustRightInd w:val="0"/>
              <w:spacing w:line="400" w:lineRule="exact"/>
              <w:jc w:val="left"/>
              <w:rPr>
                <w:rFonts w:hint="eastAsia" w:ascii="仿宋" w:hAnsi="仿宋" w:eastAsia="仿宋" w:cs="仿宋"/>
                <w:color w:val="auto"/>
                <w:kern w:val="0"/>
                <w:sz w:val="28"/>
                <w:szCs w:val="28"/>
                <w:highlight w:val="none"/>
              </w:rPr>
            </w:pPr>
          </w:p>
        </w:tc>
      </w:tr>
    </w:tbl>
    <w:p w14:paraId="305C1F9F">
      <w:pPr>
        <w:spacing w:line="580" w:lineRule="exact"/>
        <w:jc w:val="center"/>
        <w:rPr>
          <w:rFonts w:hint="eastAsia" w:ascii="仿宋" w:hAnsi="仿宋" w:eastAsia="仿宋" w:cs="仿宋"/>
          <w:bCs/>
          <w:color w:val="auto"/>
          <w:sz w:val="28"/>
          <w:szCs w:val="28"/>
          <w:highlight w:val="none"/>
        </w:rPr>
      </w:pPr>
    </w:p>
    <w:p w14:paraId="7DDAB021">
      <w:pPr>
        <w:spacing w:line="5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Ⅱ.企业人员情况表</w:t>
      </w:r>
    </w:p>
    <w:p w14:paraId="7849E208">
      <w:pPr>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：（公章）</w:t>
      </w:r>
    </w:p>
    <w:tbl>
      <w:tblPr>
        <w:tblStyle w:val="17"/>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80"/>
        <w:gridCol w:w="648"/>
        <w:gridCol w:w="428"/>
        <w:gridCol w:w="557"/>
        <w:gridCol w:w="509"/>
        <w:gridCol w:w="438"/>
        <w:gridCol w:w="642"/>
        <w:gridCol w:w="280"/>
        <w:gridCol w:w="1156"/>
        <w:gridCol w:w="514"/>
        <w:gridCol w:w="922"/>
        <w:gridCol w:w="1454"/>
      </w:tblGrid>
      <w:tr w14:paraId="5612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restart"/>
            <w:vAlign w:val="center"/>
          </w:tcPr>
          <w:p w14:paraId="3DE71251">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企业总人数</w:t>
            </w:r>
          </w:p>
        </w:tc>
        <w:tc>
          <w:tcPr>
            <w:tcW w:w="3222" w:type="dxa"/>
            <w:gridSpan w:val="6"/>
            <w:vAlign w:val="center"/>
          </w:tcPr>
          <w:p w14:paraId="1C73A244">
            <w:pPr>
              <w:spacing w:line="400" w:lineRule="exact"/>
              <w:ind w:left="-246" w:leftChars="-117" w:firstLine="380" w:firstLineChars="13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4326" w:type="dxa"/>
            <w:gridSpan w:val="5"/>
            <w:vAlign w:val="center"/>
          </w:tcPr>
          <w:p w14:paraId="112120AF">
            <w:pPr>
              <w:spacing w:line="400" w:lineRule="exact"/>
              <w:ind w:left="900" w:hanging="480"/>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获得各类专业技术职称人数</w:t>
            </w:r>
          </w:p>
        </w:tc>
      </w:tr>
      <w:tr w14:paraId="7EDE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411" w:type="dxa"/>
            <w:gridSpan w:val="2"/>
            <w:vMerge w:val="continue"/>
            <w:vAlign w:val="center"/>
          </w:tcPr>
          <w:p w14:paraId="46CFC95A">
            <w:pPr>
              <w:spacing w:line="400" w:lineRule="exact"/>
              <w:jc w:val="center"/>
              <w:rPr>
                <w:rFonts w:hint="eastAsia" w:ascii="仿宋" w:hAnsi="仿宋" w:eastAsia="仿宋" w:cs="仿宋"/>
                <w:bCs/>
                <w:color w:val="auto"/>
                <w:sz w:val="28"/>
                <w:szCs w:val="28"/>
                <w:highlight w:val="none"/>
              </w:rPr>
            </w:pPr>
          </w:p>
        </w:tc>
        <w:tc>
          <w:tcPr>
            <w:tcW w:w="1076" w:type="dxa"/>
            <w:gridSpan w:val="2"/>
            <w:vAlign w:val="center"/>
          </w:tcPr>
          <w:p w14:paraId="509A7322">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管理</w:t>
            </w:r>
          </w:p>
          <w:p w14:paraId="5EC567D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66" w:type="dxa"/>
            <w:gridSpan w:val="2"/>
            <w:vAlign w:val="center"/>
          </w:tcPr>
          <w:p w14:paraId="0ABF1250">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p>
          <w:p w14:paraId="1394A7A7">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80" w:type="dxa"/>
            <w:gridSpan w:val="2"/>
            <w:vAlign w:val="center"/>
          </w:tcPr>
          <w:p w14:paraId="3DCCAA69">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w:t>
            </w:r>
          </w:p>
          <w:p w14:paraId="3069801C">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w:t>
            </w:r>
          </w:p>
        </w:tc>
        <w:tc>
          <w:tcPr>
            <w:tcW w:w="1436" w:type="dxa"/>
            <w:gridSpan w:val="2"/>
            <w:vAlign w:val="center"/>
          </w:tcPr>
          <w:p w14:paraId="0355165F">
            <w:pPr>
              <w:spacing w:line="400" w:lineRule="exact"/>
              <w:ind w:left="840" w:hanging="89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w:t>
            </w:r>
          </w:p>
        </w:tc>
        <w:tc>
          <w:tcPr>
            <w:tcW w:w="1436" w:type="dxa"/>
            <w:gridSpan w:val="2"/>
            <w:vAlign w:val="center"/>
          </w:tcPr>
          <w:p w14:paraId="48BD4C98">
            <w:pPr>
              <w:spacing w:line="400" w:lineRule="exact"/>
              <w:ind w:left="840" w:hanging="94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w:t>
            </w:r>
          </w:p>
        </w:tc>
        <w:tc>
          <w:tcPr>
            <w:tcW w:w="1454" w:type="dxa"/>
            <w:vAlign w:val="center"/>
          </w:tcPr>
          <w:p w14:paraId="34EFFD6A">
            <w:pPr>
              <w:spacing w:line="400" w:lineRule="exact"/>
              <w:ind w:left="840" w:hanging="939"/>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w:t>
            </w:r>
          </w:p>
        </w:tc>
      </w:tr>
      <w:tr w14:paraId="6718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continue"/>
            <w:vAlign w:val="center"/>
          </w:tcPr>
          <w:p w14:paraId="3E373A48">
            <w:pPr>
              <w:spacing w:line="400" w:lineRule="exact"/>
              <w:jc w:val="center"/>
              <w:rPr>
                <w:rFonts w:hint="eastAsia" w:ascii="仿宋" w:hAnsi="仿宋" w:eastAsia="仿宋" w:cs="仿宋"/>
                <w:bCs/>
                <w:color w:val="auto"/>
                <w:sz w:val="28"/>
                <w:szCs w:val="28"/>
                <w:highlight w:val="none"/>
              </w:rPr>
            </w:pPr>
          </w:p>
        </w:tc>
        <w:tc>
          <w:tcPr>
            <w:tcW w:w="1076" w:type="dxa"/>
            <w:gridSpan w:val="2"/>
            <w:vAlign w:val="center"/>
          </w:tcPr>
          <w:p w14:paraId="3BC12995">
            <w:pPr>
              <w:spacing w:line="400" w:lineRule="exact"/>
              <w:jc w:val="center"/>
              <w:rPr>
                <w:rFonts w:hint="eastAsia" w:ascii="仿宋" w:hAnsi="仿宋" w:eastAsia="仿宋" w:cs="仿宋"/>
                <w:bCs/>
                <w:color w:val="auto"/>
                <w:sz w:val="28"/>
                <w:szCs w:val="28"/>
                <w:highlight w:val="none"/>
              </w:rPr>
            </w:pPr>
          </w:p>
        </w:tc>
        <w:tc>
          <w:tcPr>
            <w:tcW w:w="1066" w:type="dxa"/>
            <w:gridSpan w:val="2"/>
            <w:vAlign w:val="center"/>
          </w:tcPr>
          <w:p w14:paraId="364C155E">
            <w:pPr>
              <w:spacing w:line="400" w:lineRule="exact"/>
              <w:jc w:val="center"/>
              <w:rPr>
                <w:rFonts w:hint="eastAsia" w:ascii="仿宋" w:hAnsi="仿宋" w:eastAsia="仿宋" w:cs="仿宋"/>
                <w:bCs/>
                <w:color w:val="auto"/>
                <w:sz w:val="28"/>
                <w:szCs w:val="28"/>
                <w:highlight w:val="none"/>
              </w:rPr>
            </w:pPr>
          </w:p>
        </w:tc>
        <w:tc>
          <w:tcPr>
            <w:tcW w:w="1080" w:type="dxa"/>
            <w:gridSpan w:val="2"/>
            <w:vAlign w:val="center"/>
          </w:tcPr>
          <w:p w14:paraId="50A3F6E2">
            <w:pPr>
              <w:spacing w:line="400" w:lineRule="exact"/>
              <w:jc w:val="center"/>
              <w:rPr>
                <w:rFonts w:hint="eastAsia" w:ascii="仿宋" w:hAnsi="仿宋" w:eastAsia="仿宋" w:cs="仿宋"/>
                <w:bCs/>
                <w:color w:val="auto"/>
                <w:sz w:val="28"/>
                <w:szCs w:val="28"/>
                <w:highlight w:val="none"/>
              </w:rPr>
            </w:pPr>
          </w:p>
        </w:tc>
        <w:tc>
          <w:tcPr>
            <w:tcW w:w="1436" w:type="dxa"/>
            <w:gridSpan w:val="2"/>
            <w:vAlign w:val="center"/>
          </w:tcPr>
          <w:p w14:paraId="104349D1">
            <w:pPr>
              <w:spacing w:line="400" w:lineRule="exact"/>
              <w:jc w:val="center"/>
              <w:rPr>
                <w:rFonts w:hint="eastAsia" w:ascii="仿宋" w:hAnsi="仿宋" w:eastAsia="仿宋" w:cs="仿宋"/>
                <w:bCs/>
                <w:color w:val="auto"/>
                <w:sz w:val="28"/>
                <w:szCs w:val="28"/>
                <w:highlight w:val="none"/>
              </w:rPr>
            </w:pPr>
          </w:p>
        </w:tc>
        <w:tc>
          <w:tcPr>
            <w:tcW w:w="1436" w:type="dxa"/>
            <w:gridSpan w:val="2"/>
            <w:vAlign w:val="center"/>
          </w:tcPr>
          <w:p w14:paraId="07E66448">
            <w:pPr>
              <w:spacing w:line="400" w:lineRule="exact"/>
              <w:jc w:val="center"/>
              <w:rPr>
                <w:rFonts w:hint="eastAsia" w:ascii="仿宋" w:hAnsi="仿宋" w:eastAsia="仿宋" w:cs="仿宋"/>
                <w:bCs/>
                <w:color w:val="auto"/>
                <w:sz w:val="28"/>
                <w:szCs w:val="28"/>
                <w:highlight w:val="none"/>
              </w:rPr>
            </w:pPr>
          </w:p>
        </w:tc>
        <w:tc>
          <w:tcPr>
            <w:tcW w:w="1454" w:type="dxa"/>
            <w:vAlign w:val="center"/>
          </w:tcPr>
          <w:p w14:paraId="3F49DD39">
            <w:pPr>
              <w:spacing w:line="400" w:lineRule="exact"/>
              <w:jc w:val="center"/>
              <w:rPr>
                <w:rFonts w:hint="eastAsia" w:ascii="仿宋" w:hAnsi="仿宋" w:eastAsia="仿宋" w:cs="仿宋"/>
                <w:bCs/>
                <w:color w:val="auto"/>
                <w:sz w:val="28"/>
                <w:szCs w:val="28"/>
                <w:highlight w:val="none"/>
              </w:rPr>
            </w:pPr>
          </w:p>
        </w:tc>
      </w:tr>
      <w:tr w14:paraId="1530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4258BC5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拟派</w:t>
            </w:r>
            <w:r>
              <w:rPr>
                <w:rFonts w:hint="eastAsia" w:ascii="仿宋" w:hAnsi="仿宋" w:eastAsia="仿宋" w:cs="仿宋"/>
                <w:bCs/>
                <w:color w:val="auto"/>
                <w:sz w:val="28"/>
                <w:szCs w:val="28"/>
                <w:highlight w:val="none"/>
              </w:rPr>
              <w:t>本项目</w:t>
            </w:r>
            <w:r>
              <w:rPr>
                <w:rFonts w:hint="eastAsia" w:ascii="仿宋" w:hAnsi="仿宋" w:eastAsia="仿宋" w:cs="仿宋"/>
                <w:bCs/>
                <w:color w:val="auto"/>
                <w:sz w:val="28"/>
                <w:szCs w:val="28"/>
                <w:highlight w:val="none"/>
                <w:lang w:eastAsia="zh-CN"/>
              </w:rPr>
              <w:t>主要人</w:t>
            </w:r>
            <w:r>
              <w:rPr>
                <w:rFonts w:hint="eastAsia" w:ascii="仿宋" w:hAnsi="仿宋" w:eastAsia="仿宋" w:cs="仿宋"/>
                <w:bCs/>
                <w:color w:val="auto"/>
                <w:sz w:val="28"/>
                <w:szCs w:val="28"/>
                <w:highlight w:val="none"/>
              </w:rPr>
              <w:t>员</w:t>
            </w:r>
          </w:p>
        </w:tc>
      </w:tr>
      <w:tr w14:paraId="75E4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0C4395F6">
            <w:pPr>
              <w:spacing w:line="400" w:lineRule="exac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1.项目</w:t>
            </w:r>
            <w:r>
              <w:rPr>
                <w:rFonts w:hint="eastAsia" w:ascii="仿宋" w:hAnsi="仿宋" w:eastAsia="仿宋" w:cs="仿宋"/>
                <w:bCs/>
                <w:color w:val="auto"/>
                <w:sz w:val="28"/>
                <w:szCs w:val="28"/>
                <w:highlight w:val="none"/>
                <w:lang w:eastAsia="zh-CN"/>
              </w:rPr>
              <w:t>负责人</w:t>
            </w:r>
          </w:p>
        </w:tc>
      </w:tr>
      <w:tr w14:paraId="201D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31" w:type="dxa"/>
            <w:vAlign w:val="center"/>
          </w:tcPr>
          <w:p w14:paraId="201B8EA1">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3EC24A59">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1133DF93">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0DF8532B">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职务</w:t>
            </w:r>
          </w:p>
        </w:tc>
        <w:tc>
          <w:tcPr>
            <w:tcW w:w="922" w:type="dxa"/>
            <w:gridSpan w:val="2"/>
            <w:vAlign w:val="center"/>
          </w:tcPr>
          <w:p w14:paraId="2C148EA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资格/职称</w:t>
            </w:r>
          </w:p>
        </w:tc>
        <w:tc>
          <w:tcPr>
            <w:tcW w:w="1670" w:type="dxa"/>
            <w:gridSpan w:val="2"/>
            <w:vAlign w:val="center"/>
          </w:tcPr>
          <w:p w14:paraId="0482F748">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2F15FC84">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从业工作年限</w:t>
            </w:r>
          </w:p>
        </w:tc>
        <w:tc>
          <w:tcPr>
            <w:tcW w:w="2376" w:type="dxa"/>
            <w:gridSpan w:val="2"/>
            <w:vAlign w:val="center"/>
          </w:tcPr>
          <w:p w14:paraId="201458E2">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046B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31" w:type="dxa"/>
            <w:vAlign w:val="center"/>
          </w:tcPr>
          <w:p w14:paraId="728F86A1">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4F8372F8">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0764983B">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063A90E9">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020A7793">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5DBC4768">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0360E516">
            <w:pPr>
              <w:spacing w:line="400" w:lineRule="exact"/>
              <w:rPr>
                <w:rFonts w:hint="eastAsia" w:ascii="仿宋" w:hAnsi="仿宋" w:eastAsia="仿宋" w:cs="仿宋"/>
                <w:bCs/>
                <w:color w:val="auto"/>
                <w:sz w:val="28"/>
                <w:szCs w:val="28"/>
                <w:highlight w:val="none"/>
              </w:rPr>
            </w:pPr>
          </w:p>
        </w:tc>
      </w:tr>
      <w:tr w14:paraId="3CD4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59" w:type="dxa"/>
            <w:gridSpan w:val="13"/>
            <w:vAlign w:val="center"/>
          </w:tcPr>
          <w:p w14:paraId="1A2215EB">
            <w:pPr>
              <w:spacing w:line="4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eastAsia="zh-CN"/>
              </w:rPr>
              <w:t>项目主要人员</w:t>
            </w:r>
          </w:p>
        </w:tc>
      </w:tr>
      <w:tr w14:paraId="4231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1" w:type="dxa"/>
            <w:vAlign w:val="center"/>
          </w:tcPr>
          <w:p w14:paraId="25EA9863">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0653F550">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5B8762EB">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7EE4C7E3">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职务</w:t>
            </w:r>
          </w:p>
        </w:tc>
        <w:tc>
          <w:tcPr>
            <w:tcW w:w="922" w:type="dxa"/>
            <w:gridSpan w:val="2"/>
            <w:vAlign w:val="center"/>
          </w:tcPr>
          <w:p w14:paraId="3F94DD2D">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资格/职称</w:t>
            </w:r>
          </w:p>
        </w:tc>
        <w:tc>
          <w:tcPr>
            <w:tcW w:w="1670" w:type="dxa"/>
            <w:gridSpan w:val="2"/>
            <w:vAlign w:val="center"/>
          </w:tcPr>
          <w:p w14:paraId="5FBA8AFA">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65DA86E3">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从业工作年限</w:t>
            </w:r>
          </w:p>
        </w:tc>
        <w:tc>
          <w:tcPr>
            <w:tcW w:w="2376" w:type="dxa"/>
            <w:gridSpan w:val="2"/>
            <w:vAlign w:val="center"/>
          </w:tcPr>
          <w:p w14:paraId="7831EAF4">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1362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4E37CDD3">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2C118A8D">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318C49C6">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591C707C">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74157294">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10EE6864">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4D7FAF0F">
            <w:pPr>
              <w:spacing w:line="400" w:lineRule="exact"/>
              <w:rPr>
                <w:rFonts w:hint="eastAsia" w:ascii="仿宋" w:hAnsi="仿宋" w:eastAsia="仿宋" w:cs="仿宋"/>
                <w:bCs/>
                <w:color w:val="auto"/>
                <w:sz w:val="28"/>
                <w:szCs w:val="28"/>
                <w:highlight w:val="none"/>
              </w:rPr>
            </w:pPr>
          </w:p>
        </w:tc>
      </w:tr>
      <w:tr w14:paraId="4806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5DA0D582">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0440EE0D">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1FBD6537">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52002854">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2722F64C">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08B7F1AF">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71BE6AF4">
            <w:pPr>
              <w:spacing w:line="400" w:lineRule="exact"/>
              <w:rPr>
                <w:rFonts w:hint="eastAsia" w:ascii="仿宋" w:hAnsi="仿宋" w:eastAsia="仿宋" w:cs="仿宋"/>
                <w:bCs/>
                <w:color w:val="auto"/>
                <w:sz w:val="28"/>
                <w:szCs w:val="28"/>
                <w:highlight w:val="none"/>
              </w:rPr>
            </w:pPr>
          </w:p>
        </w:tc>
      </w:tr>
      <w:tr w14:paraId="3ED6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31" w:type="dxa"/>
            <w:vAlign w:val="center"/>
          </w:tcPr>
          <w:p w14:paraId="4A5C7224">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3FD5C71D">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533350A0">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4F46008B">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4E6D8DFB">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75ABAD1D">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5FB1F05F">
            <w:pPr>
              <w:spacing w:line="400" w:lineRule="exact"/>
              <w:rPr>
                <w:rFonts w:hint="eastAsia" w:ascii="仿宋" w:hAnsi="仿宋" w:eastAsia="仿宋" w:cs="仿宋"/>
                <w:bCs/>
                <w:color w:val="auto"/>
                <w:sz w:val="28"/>
                <w:szCs w:val="28"/>
                <w:highlight w:val="none"/>
              </w:rPr>
            </w:pPr>
          </w:p>
        </w:tc>
      </w:tr>
    </w:tbl>
    <w:p w14:paraId="62466482">
      <w:pPr>
        <w:tabs>
          <w:tab w:val="left" w:pos="540"/>
        </w:tabs>
        <w:rPr>
          <w:rFonts w:hint="eastAsia" w:ascii="仿宋" w:hAnsi="仿宋" w:eastAsia="仿宋" w:cs="仿宋"/>
          <w:b/>
          <w:color w:val="auto"/>
          <w:sz w:val="24"/>
          <w:szCs w:val="24"/>
          <w:highlight w:val="none"/>
          <w:lang w:val="en-GB" w:eastAsia="zh-CN"/>
        </w:rPr>
      </w:pPr>
      <w:r>
        <w:rPr>
          <w:rFonts w:hint="eastAsia" w:ascii="仿宋" w:hAnsi="仿宋" w:eastAsia="仿宋" w:cs="仿宋"/>
          <w:b/>
          <w:color w:val="auto"/>
          <w:sz w:val="24"/>
          <w:szCs w:val="24"/>
          <w:highlight w:val="none"/>
          <w:lang w:val="en-GB" w:eastAsia="zh-CN"/>
        </w:rPr>
        <w:t>注：供应商须在上表中填报拟派实施本项目的工作人员。</w:t>
      </w:r>
    </w:p>
    <w:p w14:paraId="6DDC206E">
      <w:pPr>
        <w:pStyle w:val="25"/>
        <w:jc w:val="center"/>
        <w:rPr>
          <w:rFonts w:hint="eastAsia" w:ascii="仿宋" w:hAnsi="仿宋" w:eastAsia="仿宋" w:cs="仿宋"/>
          <w:b/>
          <w:bCs/>
          <w:color w:val="auto"/>
          <w:sz w:val="24"/>
          <w:highlight w:val="none"/>
        </w:rPr>
      </w:pPr>
    </w:p>
    <w:p w14:paraId="50C0586B">
      <w:pPr>
        <w:pStyle w:val="25"/>
        <w:jc w:val="center"/>
        <w:rPr>
          <w:rFonts w:hint="eastAsia" w:ascii="仿宋" w:hAnsi="仿宋" w:eastAsia="仿宋" w:cs="仿宋"/>
          <w:b/>
          <w:bCs/>
          <w:color w:val="auto"/>
          <w:sz w:val="24"/>
          <w:highlight w:val="none"/>
        </w:rPr>
      </w:pPr>
    </w:p>
    <w:p w14:paraId="52881CC6">
      <w:pPr>
        <w:spacing w:line="580" w:lineRule="exact"/>
        <w:jc w:val="both"/>
        <w:rPr>
          <w:rFonts w:hint="eastAsia" w:ascii="仿宋" w:hAnsi="仿宋" w:eastAsia="仿宋" w:cs="仿宋"/>
          <w:b/>
          <w:bCs/>
          <w:color w:val="auto"/>
          <w:sz w:val="24"/>
          <w:highlight w:val="none"/>
        </w:rPr>
      </w:pPr>
    </w:p>
    <w:p w14:paraId="5C735CCB">
      <w:pPr>
        <w:pStyle w:val="20"/>
        <w:rPr>
          <w:rFonts w:hint="eastAsia" w:ascii="仿宋" w:hAnsi="仿宋" w:eastAsia="仿宋" w:cs="仿宋"/>
          <w:color w:val="auto"/>
          <w:highlight w:val="none"/>
        </w:rPr>
      </w:pPr>
    </w:p>
    <w:p w14:paraId="74882384">
      <w:pPr>
        <w:numPr>
          <w:ilvl w:val="0"/>
          <w:numId w:val="0"/>
        </w:numPr>
        <w:spacing w:line="480" w:lineRule="exact"/>
        <w:jc w:val="center"/>
        <w:outlineLvl w:val="1"/>
        <w:rPr>
          <w:rFonts w:hint="eastAsia" w:ascii="仿宋" w:hAnsi="仿宋" w:eastAsia="仿宋" w:cs="仿宋"/>
          <w:b/>
          <w:bCs/>
          <w:color w:val="auto"/>
          <w:sz w:val="32"/>
          <w:szCs w:val="32"/>
          <w:highlight w:val="none"/>
        </w:rPr>
      </w:pPr>
      <w:bookmarkStart w:id="40" w:name="_Toc12364"/>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资格证明文件</w:t>
      </w:r>
      <w:bookmarkEnd w:id="40"/>
    </w:p>
    <w:p w14:paraId="294DB7C9">
      <w:pPr>
        <w:numPr>
          <w:ilvl w:val="0"/>
          <w:numId w:val="0"/>
        </w:numPr>
        <w:spacing w:line="480" w:lineRule="exact"/>
        <w:jc w:val="both"/>
        <w:rPr>
          <w:rFonts w:hint="eastAsia" w:ascii="仿宋" w:hAnsi="仿宋" w:eastAsia="仿宋" w:cs="仿宋"/>
          <w:b/>
          <w:bCs/>
          <w:color w:val="auto"/>
          <w:sz w:val="32"/>
          <w:szCs w:val="32"/>
          <w:highlight w:val="none"/>
        </w:rPr>
      </w:pPr>
    </w:p>
    <w:p w14:paraId="251E6621">
      <w:pPr>
        <w:pStyle w:val="1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、其他组织或自然人，并出具合法有效的营业执照等证明文件，自然人参与的提供其身份证</w:t>
      </w:r>
      <w:r>
        <w:rPr>
          <w:rFonts w:hint="eastAsia" w:ascii="仿宋" w:hAnsi="仿宋" w:eastAsia="仿宋" w:cs="仿宋"/>
          <w:color w:val="auto"/>
          <w:sz w:val="24"/>
          <w:szCs w:val="24"/>
          <w:highlight w:val="none"/>
          <w:lang w:eastAsia="zh-CN"/>
        </w:rPr>
        <w:t>。</w:t>
      </w:r>
    </w:p>
    <w:p w14:paraId="635710C5">
      <w:pPr>
        <w:pStyle w:val="1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供应商应授权合法的人员参加</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，其中法定代表人直接参加</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身份证，并与营业执照上信息一致；授权代表参加的，须出具法定代表人授权委托书、被授权人身份证</w:t>
      </w:r>
      <w:r>
        <w:rPr>
          <w:rFonts w:hint="eastAsia" w:ascii="仿宋" w:hAnsi="仿宋" w:eastAsia="仿宋" w:cs="仿宋"/>
          <w:color w:val="auto"/>
          <w:sz w:val="24"/>
          <w:szCs w:val="24"/>
          <w:highlight w:val="none"/>
          <w:lang w:eastAsia="zh-CN"/>
        </w:rPr>
        <w:t>。</w:t>
      </w:r>
    </w:p>
    <w:p w14:paraId="079162FB">
      <w:pPr>
        <w:pStyle w:val="1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4"/>
          <w:szCs w:val="24"/>
          <w:highlight w:val="none"/>
          <w:lang w:eastAsia="zh-CN"/>
        </w:rPr>
        <w:t>。</w:t>
      </w:r>
    </w:p>
    <w:p w14:paraId="094482CD">
      <w:pPr>
        <w:pStyle w:val="1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）提供具有履行本合同所必需的设备和专业技术能力的声明。</w:t>
      </w:r>
    </w:p>
    <w:p w14:paraId="09BD9DE2">
      <w:pPr>
        <w:pStyle w:val="1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提供参加本次政府采购活动前3年内，在经营活动中没有重大违法记录的书面声明</w:t>
      </w:r>
      <w:r>
        <w:rPr>
          <w:rFonts w:hint="eastAsia" w:ascii="仿宋" w:hAnsi="仿宋" w:eastAsia="仿宋" w:cs="仿宋"/>
          <w:color w:val="auto"/>
          <w:sz w:val="24"/>
          <w:szCs w:val="24"/>
          <w:highlight w:val="none"/>
          <w:lang w:eastAsia="zh-CN"/>
        </w:rPr>
        <w:t>。</w:t>
      </w:r>
    </w:p>
    <w:p w14:paraId="114D4F82">
      <w:pPr>
        <w:pStyle w:val="1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财务状况报告：提供具有财务审计资质单位出具的</w:t>
      </w:r>
      <w:r>
        <w:rPr>
          <w:rFonts w:hint="eastAsia" w:ascii="仿宋" w:hAnsi="仿宋" w:eastAsia="仿宋" w:cs="仿宋"/>
          <w:color w:val="auto"/>
          <w:sz w:val="24"/>
          <w:szCs w:val="24"/>
          <w:highlight w:val="none"/>
          <w:lang w:val="en-US" w:eastAsia="zh-CN"/>
        </w:rPr>
        <w:t>2024年度</w:t>
      </w:r>
      <w:r>
        <w:rPr>
          <w:rFonts w:hint="eastAsia" w:ascii="仿宋" w:hAnsi="仿宋" w:eastAsia="仿宋" w:cs="仿宋"/>
          <w:color w:val="auto"/>
          <w:sz w:val="24"/>
          <w:szCs w:val="24"/>
          <w:highlight w:val="none"/>
        </w:rPr>
        <w:t>的财务报告（成立时间至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时间不足一年的可提供成立后任意时段的资产负债表）或</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前六个月内其基本账户银行出具的资信证明（附开户许可证）或政府采购信用担保机构出具的担保函</w:t>
      </w:r>
      <w:r>
        <w:rPr>
          <w:rFonts w:hint="eastAsia" w:ascii="仿宋" w:hAnsi="仿宋" w:eastAsia="仿宋" w:cs="仿宋"/>
          <w:color w:val="auto"/>
          <w:sz w:val="24"/>
          <w:szCs w:val="24"/>
          <w:highlight w:val="none"/>
          <w:lang w:eastAsia="zh-CN"/>
        </w:rPr>
        <w:t>。</w:t>
      </w:r>
    </w:p>
    <w:p w14:paraId="27FD7B75">
      <w:pPr>
        <w:pStyle w:val="1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税收缴纳证明：提供</w:t>
      </w:r>
      <w:r>
        <w:rPr>
          <w:rFonts w:hint="eastAsia" w:ascii="仿宋" w:hAnsi="仿宋" w:eastAsia="仿宋" w:cs="仿宋"/>
          <w:color w:val="auto"/>
          <w:sz w:val="24"/>
          <w:szCs w:val="24"/>
          <w:highlight w:val="none"/>
          <w:lang w:eastAsia="zh-CN"/>
        </w:rPr>
        <w:t>自202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年11月1日</w:t>
      </w:r>
      <w:r>
        <w:rPr>
          <w:rFonts w:hint="eastAsia" w:ascii="仿宋" w:hAnsi="仿宋" w:eastAsia="仿宋" w:cs="仿宋"/>
          <w:color w:val="auto"/>
          <w:sz w:val="24"/>
          <w:szCs w:val="24"/>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4"/>
          <w:szCs w:val="24"/>
          <w:highlight w:val="none"/>
          <w:lang w:eastAsia="zh-CN"/>
        </w:rPr>
        <w:t>。</w:t>
      </w:r>
    </w:p>
    <w:p w14:paraId="2DED3640">
      <w:pPr>
        <w:pStyle w:val="1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社会保障资金缴纳证明：提供供应商</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月1日</w:t>
      </w:r>
      <w:r>
        <w:rPr>
          <w:rFonts w:hint="eastAsia" w:ascii="仿宋" w:hAnsi="仿宋" w:eastAsia="仿宋" w:cs="仿宋"/>
          <w:color w:val="auto"/>
          <w:sz w:val="24"/>
          <w:szCs w:val="24"/>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4"/>
          <w:szCs w:val="24"/>
          <w:highlight w:val="none"/>
          <w:lang w:eastAsia="zh-CN"/>
        </w:rPr>
        <w:t>。</w:t>
      </w:r>
    </w:p>
    <w:p w14:paraId="44404556">
      <w:pPr>
        <w:pStyle w:val="1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eastAsia="zh-CN"/>
        </w:rPr>
        <w:t>磋商，供应商负责人为同一人或者存在控股、管理关系的不同单位，不得参加同一项目。</w:t>
      </w:r>
    </w:p>
    <w:p w14:paraId="583F44C5">
      <w:pPr>
        <w:spacing w:line="360" w:lineRule="atLeast"/>
        <w:jc w:val="both"/>
        <w:rPr>
          <w:rFonts w:hint="eastAsia" w:ascii="仿宋" w:hAnsi="仿宋" w:eastAsia="仿宋" w:cs="仿宋"/>
          <w:b/>
          <w:bCs/>
          <w:color w:val="auto"/>
          <w:sz w:val="28"/>
          <w:szCs w:val="28"/>
          <w:highlight w:val="none"/>
          <w:lang w:eastAsia="zh-CN"/>
        </w:rPr>
      </w:pPr>
    </w:p>
    <w:p w14:paraId="402D6DDE">
      <w:pPr>
        <w:spacing w:line="360" w:lineRule="atLeast"/>
        <w:jc w:val="both"/>
        <w:rPr>
          <w:rFonts w:hint="eastAsia" w:ascii="仿宋" w:hAnsi="仿宋" w:eastAsia="仿宋" w:cs="仿宋"/>
          <w:b/>
          <w:bCs/>
          <w:color w:val="auto"/>
          <w:sz w:val="28"/>
          <w:szCs w:val="28"/>
          <w:highlight w:val="none"/>
          <w:lang w:eastAsia="zh-CN"/>
        </w:rPr>
      </w:pPr>
    </w:p>
    <w:p w14:paraId="518A7C36">
      <w:pPr>
        <w:spacing w:line="360" w:lineRule="atLeast"/>
        <w:jc w:val="both"/>
        <w:rPr>
          <w:rFonts w:hint="eastAsia" w:ascii="仿宋" w:hAnsi="仿宋" w:eastAsia="仿宋" w:cs="仿宋"/>
          <w:b/>
          <w:bCs/>
          <w:color w:val="auto"/>
          <w:sz w:val="28"/>
          <w:szCs w:val="28"/>
          <w:highlight w:val="none"/>
          <w:lang w:eastAsia="zh-CN"/>
        </w:rPr>
      </w:pPr>
    </w:p>
    <w:p w14:paraId="1EA5DE9F">
      <w:pPr>
        <w:spacing w:line="360" w:lineRule="atLeast"/>
        <w:jc w:val="both"/>
        <w:rPr>
          <w:rFonts w:hint="eastAsia" w:ascii="仿宋" w:hAnsi="仿宋" w:eastAsia="仿宋" w:cs="仿宋"/>
          <w:b/>
          <w:bCs/>
          <w:color w:val="auto"/>
          <w:sz w:val="28"/>
          <w:szCs w:val="28"/>
          <w:highlight w:val="none"/>
          <w:lang w:eastAsia="zh-CN"/>
        </w:rPr>
      </w:pPr>
    </w:p>
    <w:p w14:paraId="23CEE021">
      <w:pPr>
        <w:spacing w:line="360" w:lineRule="atLeas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w:t>
      </w:r>
    </w:p>
    <w:p w14:paraId="64336251">
      <w:pPr>
        <w:spacing w:line="36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履行合同所必需的设备和专业技术能力的说明及承诺</w:t>
      </w:r>
    </w:p>
    <w:p w14:paraId="21864562">
      <w:pPr>
        <w:pStyle w:val="8"/>
        <w:adjustRightInd w:val="0"/>
        <w:snapToGrid w:val="0"/>
        <w:spacing w:line="360" w:lineRule="auto"/>
        <w:jc w:val="center"/>
        <w:rPr>
          <w:rFonts w:hint="eastAsia" w:ascii="仿宋" w:hAnsi="仿宋" w:eastAsia="仿宋" w:cs="仿宋"/>
          <w:b/>
          <w:color w:val="auto"/>
          <w:highlight w:val="none"/>
        </w:rPr>
      </w:pPr>
    </w:p>
    <w:p w14:paraId="6C667C58">
      <w:pPr>
        <w:spacing w:line="480" w:lineRule="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（采购人名称）：</w:t>
      </w:r>
    </w:p>
    <w:p w14:paraId="5A12BEFA">
      <w:pPr>
        <w:pStyle w:val="8"/>
        <w:adjustRightInd w:val="0"/>
        <w:snapToGrid w:val="0"/>
        <w:spacing w:line="48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u w:val="single"/>
        </w:rPr>
        <w:t>（供应商名称）</w:t>
      </w:r>
      <w:r>
        <w:rPr>
          <w:rFonts w:hint="eastAsia" w:ascii="仿宋" w:hAnsi="仿宋" w:eastAsia="仿宋" w:cs="仿宋"/>
          <w:color w:val="auto"/>
          <w:spacing w:val="4"/>
          <w:sz w:val="24"/>
          <w:szCs w:val="24"/>
          <w:highlight w:val="none"/>
        </w:rPr>
        <w:t>于年月日在中华人民共和国境内</w:t>
      </w:r>
      <w:r>
        <w:rPr>
          <w:rFonts w:hint="eastAsia" w:ascii="仿宋" w:hAnsi="仿宋" w:eastAsia="仿宋" w:cs="仿宋"/>
          <w:color w:val="auto"/>
          <w:spacing w:val="4"/>
          <w:sz w:val="24"/>
          <w:szCs w:val="24"/>
          <w:highlight w:val="none"/>
          <w:u w:val="single"/>
        </w:rPr>
        <w:t>（详细注册地址）</w:t>
      </w:r>
      <w:r>
        <w:rPr>
          <w:rFonts w:hint="eastAsia" w:ascii="仿宋" w:hAnsi="仿宋" w:eastAsia="仿宋" w:cs="仿宋"/>
          <w:color w:val="auto"/>
          <w:spacing w:val="4"/>
          <w:sz w:val="24"/>
          <w:szCs w:val="24"/>
          <w:highlight w:val="none"/>
        </w:rPr>
        <w:t>合法注册并经营，公司主营业务为，营业（生产经营）面积为，现有员工数量为，其中与履行本合同相关的专业技术人员有（</w:t>
      </w:r>
      <w:r>
        <w:rPr>
          <w:rFonts w:hint="eastAsia" w:ascii="仿宋" w:hAnsi="仿宋" w:eastAsia="仿宋" w:cs="仿宋"/>
          <w:color w:val="auto"/>
          <w:spacing w:val="4"/>
          <w:sz w:val="24"/>
          <w:szCs w:val="24"/>
          <w:highlight w:val="none"/>
          <w:u w:val="single"/>
        </w:rPr>
        <w:t>专业能力、数量</w:t>
      </w:r>
      <w:r>
        <w:rPr>
          <w:rFonts w:hint="eastAsia" w:ascii="仿宋" w:hAnsi="仿宋" w:eastAsia="仿宋" w:cs="仿宋"/>
          <w:color w:val="auto"/>
          <w:spacing w:val="4"/>
          <w:sz w:val="24"/>
          <w:szCs w:val="24"/>
          <w:highlight w:val="none"/>
        </w:rPr>
        <w:t>），本公司郑重承诺，具有履行本合同所必需的设备和专业技术能力。</w:t>
      </w:r>
    </w:p>
    <w:p w14:paraId="468AF698">
      <w:pPr>
        <w:pStyle w:val="8"/>
        <w:adjustRightInd w:val="0"/>
        <w:snapToGrid w:val="0"/>
        <w:spacing w:line="480" w:lineRule="auto"/>
        <w:rPr>
          <w:rFonts w:hint="eastAsia" w:ascii="仿宋" w:hAnsi="仿宋" w:eastAsia="仿宋" w:cs="仿宋"/>
          <w:color w:val="auto"/>
          <w:spacing w:val="4"/>
          <w:highlight w:val="none"/>
        </w:rPr>
      </w:pPr>
    </w:p>
    <w:p w14:paraId="323EF0BF">
      <w:pPr>
        <w:pStyle w:val="8"/>
        <w:adjustRightInd w:val="0"/>
        <w:snapToGrid w:val="0"/>
        <w:spacing w:line="480" w:lineRule="auto"/>
        <w:rPr>
          <w:rFonts w:hint="eastAsia" w:ascii="仿宋" w:hAnsi="仿宋" w:eastAsia="仿宋" w:cs="仿宋"/>
          <w:color w:val="auto"/>
          <w:spacing w:val="4"/>
          <w:highlight w:val="none"/>
        </w:rPr>
      </w:pPr>
    </w:p>
    <w:p w14:paraId="212C0AF4">
      <w:pPr>
        <w:pStyle w:val="8"/>
        <w:adjustRightInd w:val="0"/>
        <w:snapToGrid w:val="0"/>
        <w:spacing w:line="480" w:lineRule="auto"/>
        <w:rPr>
          <w:rFonts w:hint="eastAsia" w:ascii="仿宋" w:hAnsi="仿宋" w:eastAsia="仿宋" w:cs="仿宋"/>
          <w:color w:val="auto"/>
          <w:spacing w:val="4"/>
          <w:highlight w:val="none"/>
        </w:rPr>
      </w:pPr>
    </w:p>
    <w:p w14:paraId="0701F191">
      <w:pPr>
        <w:adjustRightInd w:val="0"/>
        <w:spacing w:before="360" w:beforeLines="150" w:line="360" w:lineRule="auto"/>
        <w:ind w:firstLine="2280" w:firstLineChars="9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2F8DB2B5">
      <w:pPr>
        <w:pStyle w:val="26"/>
        <w:spacing w:before="360" w:beforeLines="150" w:line="360" w:lineRule="auto"/>
        <w:ind w:firstLine="2280" w:firstLineChars="95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0E8F352C">
      <w:pPr>
        <w:adjustRightInd w:val="0"/>
        <w:spacing w:before="360" w:beforeLines="150" w:line="360" w:lineRule="auto"/>
        <w:ind w:firstLine="2400" w:firstLineChars="10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年月日</w:t>
      </w:r>
    </w:p>
    <w:p w14:paraId="73BE7C9A">
      <w:pPr>
        <w:pStyle w:val="2"/>
        <w:rPr>
          <w:rFonts w:hint="eastAsia" w:ascii="仿宋" w:hAnsi="仿宋" w:eastAsia="仿宋" w:cs="仿宋"/>
          <w:b w:val="0"/>
          <w:bCs w:val="0"/>
          <w:color w:val="auto"/>
          <w:sz w:val="24"/>
          <w:szCs w:val="24"/>
          <w:highlight w:val="none"/>
          <w:lang w:val="en-US" w:eastAsia="zh-CN"/>
        </w:rPr>
      </w:pPr>
    </w:p>
    <w:p w14:paraId="57B8DCFC">
      <w:pPr>
        <w:rPr>
          <w:rFonts w:hint="eastAsia" w:ascii="仿宋" w:hAnsi="仿宋" w:eastAsia="仿宋" w:cs="仿宋"/>
          <w:b w:val="0"/>
          <w:bCs w:val="0"/>
          <w:color w:val="auto"/>
          <w:sz w:val="24"/>
          <w:szCs w:val="24"/>
          <w:highlight w:val="none"/>
          <w:lang w:val="en-US" w:eastAsia="zh-CN"/>
        </w:rPr>
      </w:pPr>
    </w:p>
    <w:p w14:paraId="56B1AA1F">
      <w:pPr>
        <w:pStyle w:val="2"/>
        <w:rPr>
          <w:rFonts w:hint="eastAsia" w:ascii="仿宋" w:hAnsi="仿宋" w:eastAsia="仿宋" w:cs="仿宋"/>
          <w:b w:val="0"/>
          <w:bCs w:val="0"/>
          <w:color w:val="auto"/>
          <w:sz w:val="24"/>
          <w:szCs w:val="24"/>
          <w:highlight w:val="none"/>
          <w:lang w:val="en-US" w:eastAsia="zh-CN"/>
        </w:rPr>
      </w:pPr>
    </w:p>
    <w:p w14:paraId="4E2AE8CB">
      <w:pPr>
        <w:rPr>
          <w:rFonts w:hint="eastAsia" w:ascii="仿宋" w:hAnsi="仿宋" w:eastAsia="仿宋" w:cs="仿宋"/>
          <w:b/>
          <w:color w:val="auto"/>
          <w:sz w:val="32"/>
          <w:szCs w:val="32"/>
          <w:highlight w:val="none"/>
        </w:rPr>
      </w:pPr>
      <w:bookmarkStart w:id="41" w:name="_Toc424500508"/>
    </w:p>
    <w:p w14:paraId="710A30AC">
      <w:pPr>
        <w:rPr>
          <w:rFonts w:hint="eastAsia" w:ascii="仿宋" w:hAnsi="仿宋" w:eastAsia="仿宋" w:cs="仿宋"/>
          <w:b/>
          <w:color w:val="auto"/>
          <w:sz w:val="32"/>
          <w:szCs w:val="32"/>
          <w:highlight w:val="none"/>
        </w:rPr>
      </w:pPr>
    </w:p>
    <w:p w14:paraId="22596534">
      <w:pPr>
        <w:rPr>
          <w:rFonts w:hint="eastAsia" w:ascii="仿宋" w:hAnsi="仿宋" w:eastAsia="仿宋" w:cs="仿宋"/>
          <w:b/>
          <w:color w:val="auto"/>
          <w:sz w:val="32"/>
          <w:szCs w:val="32"/>
          <w:highlight w:val="none"/>
        </w:rPr>
      </w:pPr>
    </w:p>
    <w:p w14:paraId="6E0F7926">
      <w:pPr>
        <w:rPr>
          <w:rFonts w:hint="eastAsia" w:ascii="仿宋" w:hAnsi="仿宋" w:eastAsia="仿宋" w:cs="仿宋"/>
          <w:b/>
          <w:color w:val="auto"/>
          <w:sz w:val="32"/>
          <w:szCs w:val="32"/>
          <w:highlight w:val="none"/>
        </w:rPr>
      </w:pPr>
    </w:p>
    <w:p w14:paraId="66226C52">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14:paraId="27817C74">
      <w:pPr>
        <w:spacing w:line="360" w:lineRule="atLeas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附件2:</w:t>
      </w:r>
    </w:p>
    <w:p w14:paraId="019E44EC">
      <w:pPr>
        <w:autoSpaceDE w:val="0"/>
        <w:autoSpaceDN w:val="0"/>
        <w:adjustRightInd w:val="0"/>
        <w:spacing w:line="360" w:lineRule="auto"/>
        <w:jc w:val="center"/>
        <w:rPr>
          <w:rFonts w:hint="eastAsia" w:ascii="仿宋" w:hAnsi="仿宋" w:eastAsia="仿宋" w:cs="仿宋"/>
          <w:b/>
          <w:color w:val="auto"/>
          <w:spacing w:val="-6"/>
          <w:szCs w:val="21"/>
          <w:highlight w:val="none"/>
        </w:rPr>
      </w:pPr>
    </w:p>
    <w:p w14:paraId="3C4B8112">
      <w:pPr>
        <w:spacing w:line="36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参加政府采购活动前三年内无重大违法记录的书面声明</w:t>
      </w:r>
    </w:p>
    <w:p w14:paraId="19C76B63">
      <w:pPr>
        <w:snapToGrid w:val="0"/>
        <w:spacing w:line="360" w:lineRule="auto"/>
        <w:rPr>
          <w:rFonts w:hint="eastAsia" w:ascii="仿宋" w:hAnsi="仿宋" w:eastAsia="仿宋" w:cs="仿宋"/>
          <w:color w:val="auto"/>
          <w:sz w:val="24"/>
          <w:highlight w:val="none"/>
        </w:rPr>
      </w:pPr>
    </w:p>
    <w:p w14:paraId="7084D4E5">
      <w:pPr>
        <w:spacing w:line="480" w:lineRule="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u w:val="single"/>
        </w:rPr>
        <w:t>（采购人名称）：</w:t>
      </w:r>
    </w:p>
    <w:p w14:paraId="46341B3A">
      <w:pPr>
        <w:autoSpaceDE w:val="0"/>
        <w:autoSpaceDN w:val="0"/>
        <w:adjustRightInd w:val="0"/>
        <w:spacing w:line="480" w:lineRule="auto"/>
        <w:rPr>
          <w:rFonts w:hint="eastAsia" w:ascii="仿宋" w:hAnsi="仿宋" w:eastAsia="仿宋" w:cs="仿宋"/>
          <w:color w:val="auto"/>
          <w:sz w:val="28"/>
          <w:szCs w:val="28"/>
          <w:highlight w:val="none"/>
          <w:lang w:eastAsia="zh-CN"/>
        </w:rPr>
      </w:pPr>
    </w:p>
    <w:p w14:paraId="308FDD25">
      <w:pPr>
        <w:autoSpaceDE w:val="0"/>
        <w:autoSpaceDN w:val="0"/>
        <w:adjustRightInd w:val="0"/>
        <w:spacing w:line="48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15C16514">
      <w:pPr>
        <w:autoSpaceDE w:val="0"/>
        <w:autoSpaceDN w:val="0"/>
        <w:adjustRightInd w:val="0"/>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1A028FD1">
      <w:pPr>
        <w:autoSpaceDE w:val="0"/>
        <w:autoSpaceDN w:val="0"/>
        <w:adjustRightInd w:val="0"/>
        <w:spacing w:line="480" w:lineRule="auto"/>
        <w:ind w:firstLine="560" w:firstLineChars="200"/>
        <w:rPr>
          <w:rFonts w:hint="eastAsia" w:ascii="仿宋" w:hAnsi="仿宋" w:eastAsia="仿宋" w:cs="仿宋"/>
          <w:color w:val="auto"/>
          <w:sz w:val="28"/>
          <w:szCs w:val="28"/>
          <w:highlight w:val="none"/>
        </w:rPr>
      </w:pPr>
    </w:p>
    <w:p w14:paraId="71D31981">
      <w:pPr>
        <w:autoSpaceDE w:val="0"/>
        <w:autoSpaceDN w:val="0"/>
        <w:adjustRightInd w:val="0"/>
        <w:spacing w:line="480" w:lineRule="auto"/>
        <w:rPr>
          <w:rFonts w:hint="eastAsia" w:ascii="仿宋" w:hAnsi="仿宋" w:eastAsia="仿宋" w:cs="仿宋"/>
          <w:color w:val="auto"/>
          <w:sz w:val="28"/>
          <w:szCs w:val="28"/>
          <w:highlight w:val="none"/>
        </w:rPr>
      </w:pPr>
    </w:p>
    <w:p w14:paraId="4DD439CD">
      <w:pPr>
        <w:adjustRightInd w:val="0"/>
        <w:spacing w:before="360" w:beforeLines="150" w:line="360" w:lineRule="auto"/>
        <w:ind w:firstLine="2660" w:firstLineChars="950"/>
        <w:jc w:val="left"/>
        <w:rPr>
          <w:rFonts w:hint="eastAsia" w:ascii="仿宋" w:hAnsi="仿宋" w:eastAsia="仿宋" w:cs="仿宋"/>
          <w:color w:val="auto"/>
          <w:sz w:val="28"/>
          <w:szCs w:val="28"/>
          <w:highlight w:val="none"/>
        </w:rPr>
      </w:pPr>
      <w:bookmarkStart w:id="42" w:name="_Toc495671271"/>
      <w:bookmarkStart w:id="43" w:name="_Toc495909105"/>
      <w:bookmarkStart w:id="44" w:name="_Toc495681260"/>
      <w:bookmarkStart w:id="45" w:name="_Toc495908056"/>
      <w:bookmarkStart w:id="46" w:name="_Toc495681414"/>
      <w:bookmarkStart w:id="47" w:name="_Toc495681541"/>
      <w:r>
        <w:rPr>
          <w:rFonts w:hint="eastAsia" w:ascii="仿宋" w:hAnsi="仿宋" w:eastAsia="仿宋" w:cs="仿宋"/>
          <w:color w:val="auto"/>
          <w:sz w:val="28"/>
          <w:szCs w:val="28"/>
          <w:highlight w:val="none"/>
        </w:rPr>
        <w:t>供应商：（盖单位章）</w:t>
      </w:r>
    </w:p>
    <w:p w14:paraId="79BBA301">
      <w:pPr>
        <w:pStyle w:val="26"/>
        <w:spacing w:before="360" w:beforeLines="150" w:line="360" w:lineRule="auto"/>
        <w:ind w:firstLine="2660" w:firstLineChars="95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62AB47D6">
      <w:pPr>
        <w:adjustRightInd w:val="0"/>
        <w:spacing w:before="360" w:beforeLines="150" w:line="360" w:lineRule="auto"/>
        <w:ind w:firstLine="2800" w:firstLineChars="10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p w14:paraId="0506165D">
      <w:pPr>
        <w:adjustRightInd w:val="0"/>
        <w:snapToGrid w:val="0"/>
        <w:spacing w:line="480" w:lineRule="auto"/>
        <w:rPr>
          <w:rFonts w:hint="eastAsia" w:ascii="仿宋" w:hAnsi="仿宋" w:eastAsia="仿宋" w:cs="仿宋"/>
          <w:color w:val="auto"/>
          <w:szCs w:val="21"/>
          <w:highlight w:val="none"/>
          <w:lang w:val="zh-CN"/>
        </w:rPr>
      </w:pPr>
    </w:p>
    <w:bookmarkEnd w:id="42"/>
    <w:bookmarkEnd w:id="43"/>
    <w:bookmarkEnd w:id="44"/>
    <w:bookmarkEnd w:id="45"/>
    <w:bookmarkEnd w:id="46"/>
    <w:bookmarkEnd w:id="47"/>
    <w:p w14:paraId="2DA1D5F6">
      <w:pPr>
        <w:pStyle w:val="20"/>
        <w:rPr>
          <w:rFonts w:hint="eastAsia" w:ascii="仿宋" w:hAnsi="仿宋" w:eastAsia="仿宋" w:cs="仿宋"/>
          <w:b/>
          <w:bCs/>
          <w:color w:val="auto"/>
          <w:sz w:val="28"/>
          <w:szCs w:val="28"/>
          <w:highlight w:val="none"/>
        </w:rPr>
      </w:pPr>
      <w:r>
        <w:rPr>
          <w:rFonts w:hint="eastAsia" w:ascii="仿宋" w:hAnsi="仿宋" w:eastAsia="仿宋" w:cs="仿宋"/>
          <w:color w:val="auto"/>
          <w:sz w:val="21"/>
          <w:szCs w:val="21"/>
          <w:highlight w:val="none"/>
          <w:lang w:val="zh-CN"/>
        </w:rPr>
        <w:br w:type="page"/>
      </w:r>
      <w:r>
        <w:rPr>
          <w:rFonts w:hint="eastAsia" w:ascii="仿宋" w:hAnsi="仿宋" w:eastAsia="仿宋" w:cs="仿宋"/>
          <w:b/>
          <w:bCs/>
          <w:color w:val="auto"/>
          <w:kern w:val="2"/>
          <w:sz w:val="28"/>
          <w:szCs w:val="28"/>
          <w:highlight w:val="none"/>
          <w:lang w:val="en-US" w:eastAsia="zh-CN" w:bidi="ar-SA"/>
        </w:rPr>
        <w:t>附件3：</w:t>
      </w:r>
    </w:p>
    <w:p w14:paraId="4220982C">
      <w:pPr>
        <w:spacing w:line="360" w:lineRule="atLeast"/>
        <w:jc w:val="center"/>
        <w:rPr>
          <w:rFonts w:hint="eastAsia" w:ascii="仿宋" w:hAnsi="仿宋" w:eastAsia="仿宋" w:cs="仿宋"/>
          <w:color w:val="auto"/>
          <w:highlight w:val="none"/>
          <w:lang w:val="zh-CN"/>
        </w:rPr>
      </w:pPr>
      <w:r>
        <w:rPr>
          <w:rFonts w:hint="eastAsia" w:ascii="仿宋" w:hAnsi="仿宋" w:eastAsia="仿宋" w:cs="仿宋"/>
          <w:b/>
          <w:bCs/>
          <w:color w:val="auto"/>
          <w:sz w:val="28"/>
          <w:szCs w:val="28"/>
          <w:highlight w:val="none"/>
        </w:rPr>
        <w:t>供应商企业关系关联承诺书</w:t>
      </w:r>
    </w:p>
    <w:p w14:paraId="31C947D7">
      <w:pPr>
        <w:rPr>
          <w:rFonts w:hint="eastAsia" w:ascii="仿宋" w:hAnsi="仿宋" w:eastAsia="仿宋" w:cs="仿宋"/>
          <w:color w:val="auto"/>
          <w:highlight w:val="none"/>
          <w:lang w:val="zh-CN"/>
        </w:rPr>
      </w:pPr>
    </w:p>
    <w:p w14:paraId="20B2CE6D">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一、供应商股东及股权证明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提供相关证明材料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D46781A">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二、供应商</w:t>
      </w:r>
      <w:r>
        <w:rPr>
          <w:rFonts w:hint="eastAsia" w:ascii="仿宋" w:hAnsi="仿宋" w:eastAsia="仿宋" w:cs="仿宋"/>
          <w:color w:val="auto"/>
          <w:sz w:val="28"/>
          <w:szCs w:val="28"/>
          <w:highlight w:val="none"/>
          <w:lang w:val="en-US" w:eastAsia="zh-CN"/>
        </w:rPr>
        <w:t>参与</w:t>
      </w:r>
      <w:r>
        <w:rPr>
          <w:rFonts w:hint="eastAsia" w:ascii="仿宋" w:hAnsi="仿宋" w:eastAsia="仿宋" w:cs="仿宋"/>
          <w:color w:val="auto"/>
          <w:sz w:val="28"/>
          <w:szCs w:val="28"/>
          <w:highlight w:val="none"/>
        </w:rPr>
        <w:t>本项目中，不存在</w:t>
      </w:r>
      <w:r>
        <w:rPr>
          <w:rFonts w:hint="eastAsia" w:ascii="仿宋" w:hAnsi="仿宋" w:eastAsia="仿宋" w:cs="仿宋"/>
          <w:color w:val="auto"/>
          <w:sz w:val="28"/>
          <w:szCs w:val="28"/>
          <w:highlight w:val="none"/>
          <w:lang w:eastAsia="zh-CN"/>
        </w:rPr>
        <w:t>与其他供应商</w:t>
      </w:r>
      <w:r>
        <w:rPr>
          <w:rFonts w:hint="eastAsia" w:ascii="仿宋" w:hAnsi="仿宋" w:eastAsia="仿宋" w:cs="仿宋"/>
          <w:color w:val="auto"/>
          <w:sz w:val="28"/>
          <w:szCs w:val="28"/>
          <w:highlight w:val="none"/>
        </w:rPr>
        <w:t>负责人为同一人，有控股、管理等关联关系承诺。</w:t>
      </w:r>
    </w:p>
    <w:p w14:paraId="4D3E4B0C">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1.管理关系说明：</w:t>
      </w:r>
    </w:p>
    <w:p w14:paraId="1F066211">
      <w:pPr>
        <w:autoSpaceDE w:val="0"/>
        <w:autoSpaceDN w:val="0"/>
        <w:adjustRightInd w:val="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我单位管理的具有独立</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的下属单位：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59434C2B">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我单位的上级管理单位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9081DC5">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2.股权关系说明：</w:t>
      </w:r>
    </w:p>
    <w:p w14:paraId="16BA53F0">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我单位控股的单位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1DEB615B">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u w:val="single"/>
        </w:rPr>
        <w:t>（控股单位全称）</w:t>
      </w:r>
      <w:r>
        <w:rPr>
          <w:rFonts w:hint="eastAsia" w:ascii="仿宋" w:hAnsi="仿宋" w:eastAsia="仿宋" w:cs="仿宋"/>
          <w:color w:val="auto"/>
          <w:sz w:val="28"/>
          <w:szCs w:val="28"/>
          <w:highlight w:val="none"/>
        </w:rPr>
        <w:t>单位控股。</w:t>
      </w:r>
    </w:p>
    <w:p w14:paraId="23CC5117">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3.单位负责人：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41F50C90">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三、我单位（是或否）为本采购项目提供过整体设计、规范编制或者项目管理、监理、检测等服务的供应商。</w:t>
      </w:r>
    </w:p>
    <w:p w14:paraId="6EAB58E8">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四、其他与本项目有关的利害关系说明。</w:t>
      </w:r>
    </w:p>
    <w:p w14:paraId="7EF49D48">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五、我单位非联合体</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w:t>
      </w:r>
    </w:p>
    <w:p w14:paraId="790E5F64">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我单位承诺以上说明真实有效，无虚假内容或隐瞒。</w:t>
      </w:r>
    </w:p>
    <w:p w14:paraId="31A4C469">
      <w:pPr>
        <w:keepNext w:val="0"/>
        <w:keepLines w:val="0"/>
        <w:pageBreakBefore w:val="0"/>
        <w:widowControl w:val="0"/>
        <w:kinsoku/>
        <w:wordWrap/>
        <w:overflowPunct/>
        <w:topLinePunct w:val="0"/>
        <w:autoSpaceDE/>
        <w:autoSpaceDN/>
        <w:bidi w:val="0"/>
        <w:adjustRightInd w:val="0"/>
        <w:snapToGrid/>
        <w:spacing w:before="360" w:beforeLines="150" w:line="200" w:lineRule="exact"/>
        <w:ind w:firstLine="2660" w:firstLineChars="95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4413FA53">
      <w:pPr>
        <w:pStyle w:val="26"/>
        <w:keepNext w:val="0"/>
        <w:keepLines w:val="0"/>
        <w:pageBreakBefore w:val="0"/>
        <w:widowControl w:val="0"/>
        <w:kinsoku/>
        <w:wordWrap/>
        <w:overflowPunct/>
        <w:topLinePunct w:val="0"/>
        <w:autoSpaceDE/>
        <w:autoSpaceDN/>
        <w:bidi w:val="0"/>
        <w:snapToGrid/>
        <w:spacing w:before="360" w:beforeLines="150" w:line="200" w:lineRule="exact"/>
        <w:ind w:firstLine="2660" w:firstLineChars="95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3BF71361">
      <w:pPr>
        <w:keepNext w:val="0"/>
        <w:keepLines w:val="0"/>
        <w:pageBreakBefore w:val="0"/>
        <w:widowControl w:val="0"/>
        <w:kinsoku/>
        <w:wordWrap/>
        <w:overflowPunct/>
        <w:topLinePunct w:val="0"/>
        <w:autoSpaceDE/>
        <w:autoSpaceDN/>
        <w:bidi w:val="0"/>
        <w:adjustRightInd w:val="0"/>
        <w:snapToGrid/>
        <w:spacing w:before="360" w:beforeLines="150" w:line="200" w:lineRule="exact"/>
        <w:ind w:firstLine="2800" w:firstLineChars="10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p w14:paraId="4CB7A019">
      <w:pPr>
        <w:pStyle w:val="20"/>
        <w:rPr>
          <w:rFonts w:hint="eastAsia" w:ascii="仿宋" w:hAnsi="仿宋" w:eastAsia="仿宋" w:cs="仿宋"/>
          <w:color w:val="auto"/>
          <w:szCs w:val="21"/>
          <w:highlight w:val="none"/>
        </w:rPr>
      </w:pPr>
    </w:p>
    <w:p w14:paraId="25838796">
      <w:pPr>
        <w:rPr>
          <w:rFonts w:hint="eastAsia" w:ascii="仿宋" w:hAnsi="仿宋" w:eastAsia="仿宋" w:cs="仿宋"/>
          <w:b/>
          <w:color w:val="auto"/>
          <w:sz w:val="32"/>
          <w:szCs w:val="32"/>
          <w:highlight w:val="none"/>
        </w:rPr>
      </w:pPr>
    </w:p>
    <w:bookmarkEnd w:id="41"/>
    <w:p w14:paraId="3F4F4CF1">
      <w:pPr>
        <w:pageBreakBefore w:val="0"/>
        <w:numPr>
          <w:ilvl w:val="0"/>
          <w:numId w:val="0"/>
        </w:numPr>
        <w:kinsoku/>
        <w:overflowPunct/>
        <w:topLinePunct w:val="0"/>
        <w:autoSpaceDE/>
        <w:autoSpaceDN/>
        <w:bidi w:val="0"/>
        <w:adjustRightInd/>
        <w:snapToGrid/>
        <w:spacing w:beforeAutospacing="0" w:afterAutospacing="0" w:line="240" w:lineRule="auto"/>
        <w:ind w:left="0" w:leftChars="0" w:firstLine="0" w:firstLineChars="0"/>
        <w:jc w:val="both"/>
        <w:textAlignment w:val="auto"/>
        <w:outlineLvl w:val="2"/>
        <w:rPr>
          <w:rFonts w:hint="eastAsia" w:ascii="仿宋" w:hAnsi="仿宋" w:eastAsia="仿宋" w:cs="仿宋"/>
          <w:b/>
          <w:bCs/>
          <w:color w:val="auto"/>
          <w:kern w:val="2"/>
          <w:sz w:val="28"/>
          <w:szCs w:val="28"/>
          <w:highlight w:val="none"/>
          <w:lang w:val="en-US" w:eastAsia="zh-CN" w:bidi="ar-SA"/>
        </w:rPr>
      </w:pPr>
      <w:bookmarkStart w:id="48" w:name="_Toc265"/>
      <w:r>
        <w:rPr>
          <w:rFonts w:hint="eastAsia" w:ascii="仿宋" w:hAnsi="仿宋" w:eastAsia="仿宋" w:cs="仿宋"/>
          <w:b/>
          <w:bCs/>
          <w:color w:val="auto"/>
          <w:kern w:val="2"/>
          <w:sz w:val="28"/>
          <w:szCs w:val="28"/>
          <w:highlight w:val="none"/>
          <w:lang w:val="en-US" w:eastAsia="zh-CN" w:bidi="ar-SA"/>
        </w:rPr>
        <w:t>附件4：</w:t>
      </w:r>
    </w:p>
    <w:p w14:paraId="1D0D0361">
      <w:pPr>
        <w:pageBreakBefore w:val="0"/>
        <w:numPr>
          <w:ilvl w:val="0"/>
          <w:numId w:val="0"/>
        </w:numPr>
        <w:kinsoku/>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w:t>
      </w:r>
    </w:p>
    <w:p w14:paraId="6582B777">
      <w:pPr>
        <w:pStyle w:val="6"/>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12D4F312">
      <w:pPr>
        <w:pStyle w:val="2"/>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本公司（联合体）郑重声明，根据《政府采购促进中小企业发展管理办法》（财库﹝2020﹞46号）的规定，本公司（联合体）参加</w:t>
      </w:r>
      <w:r>
        <w:rPr>
          <w:rFonts w:hint="eastAsia" w:ascii="仿宋" w:hAnsi="仿宋" w:eastAsia="仿宋" w:cs="仿宋"/>
          <w:color w:val="auto"/>
          <w:w w:val="95"/>
          <w:sz w:val="28"/>
          <w:szCs w:val="28"/>
          <w:highlight w:val="none"/>
          <w:u w:val="single"/>
        </w:rPr>
        <w:t>（单位名称）</w:t>
      </w:r>
      <w:r>
        <w:rPr>
          <w:rFonts w:hint="eastAsia" w:ascii="仿宋" w:hAnsi="仿宋" w:eastAsia="仿宋" w:cs="仿宋"/>
          <w:color w:val="auto"/>
          <w:w w:val="95"/>
          <w:sz w:val="28"/>
          <w:szCs w:val="28"/>
          <w:highlight w:val="none"/>
        </w:rPr>
        <w:t>的</w:t>
      </w:r>
      <w:r>
        <w:rPr>
          <w:rFonts w:hint="eastAsia" w:ascii="仿宋" w:hAnsi="仿宋" w:eastAsia="仿宋" w:cs="仿宋"/>
          <w:color w:val="auto"/>
          <w:w w:val="95"/>
          <w:sz w:val="28"/>
          <w:szCs w:val="28"/>
          <w:highlight w:val="none"/>
          <w:u w:val="single"/>
        </w:rPr>
        <w:t>（项目名称）</w:t>
      </w:r>
      <w:r>
        <w:rPr>
          <w:rFonts w:hint="eastAsia" w:ascii="仿宋" w:hAnsi="仿宋" w:eastAsia="仿宋" w:cs="仿宋"/>
          <w:color w:val="auto"/>
          <w:w w:val="95"/>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A6886F">
      <w:pPr>
        <w:pStyle w:val="2"/>
        <w:keepNext w:val="0"/>
        <w:keepLines w:val="0"/>
        <w:pageBreakBefore w:val="0"/>
        <w:widowControl w:val="0"/>
        <w:kinsoku w:val="0"/>
        <w:wordWrap/>
        <w:overflowPunct w:val="0"/>
        <w:topLinePunct w:val="0"/>
        <w:autoSpaceDE/>
        <w:autoSpaceDN/>
        <w:bidi w:val="0"/>
        <w:adjustRightInd/>
        <w:snapToGrid/>
        <w:spacing w:before="34" w:line="500" w:lineRule="exact"/>
        <w:ind w:firstLine="558"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spacing w:val="1"/>
          <w:w w:val="99"/>
          <w:sz w:val="28"/>
          <w:szCs w:val="28"/>
          <w:highlight w:val="none"/>
        </w:rPr>
        <w:t>1</w:t>
      </w:r>
      <w:r>
        <w:rPr>
          <w:rFonts w:hint="eastAsia" w:ascii="仿宋" w:hAnsi="仿宋" w:eastAsia="仿宋" w:cs="仿宋"/>
          <w:color w:val="auto"/>
          <w:w w:val="99"/>
          <w:sz w:val="28"/>
          <w:szCs w:val="28"/>
          <w:highlight w:val="none"/>
        </w:rPr>
        <w:t>.</w:t>
      </w:r>
      <w:r>
        <w:rPr>
          <w:rFonts w:hint="eastAsia" w:ascii="仿宋" w:hAnsi="仿宋" w:eastAsia="仿宋" w:cs="仿宋"/>
          <w:color w:val="auto"/>
          <w:w w:val="95"/>
          <w:sz w:val="28"/>
          <w:szCs w:val="28"/>
          <w:highlight w:val="none"/>
          <w:u w:val="single"/>
        </w:rPr>
        <w:t>（标的名称）</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（采购文件中明确的所属行业）</w:t>
      </w:r>
      <w:r>
        <w:rPr>
          <w:rFonts w:hint="eastAsia" w:ascii="仿宋" w:hAnsi="仿宋" w:eastAsia="仿宋" w:cs="仿宋"/>
          <w:color w:val="auto"/>
          <w:w w:val="95"/>
          <w:sz w:val="28"/>
          <w:szCs w:val="28"/>
          <w:highlight w:val="none"/>
        </w:rPr>
        <w:t>；承建（承接）企业为</w:t>
      </w:r>
      <w:r>
        <w:rPr>
          <w:rFonts w:hint="eastAsia" w:ascii="仿宋" w:hAnsi="仿宋" w:eastAsia="仿宋" w:cs="仿宋"/>
          <w:color w:val="auto"/>
          <w:w w:val="95"/>
          <w:sz w:val="28"/>
          <w:szCs w:val="28"/>
          <w:highlight w:val="none"/>
          <w:u w:val="single"/>
        </w:rPr>
        <w:t>（企业名称）</w:t>
      </w:r>
      <w:r>
        <w:rPr>
          <w:rFonts w:hint="eastAsia" w:ascii="仿宋" w:hAnsi="仿宋" w:eastAsia="仿宋" w:cs="仿宋"/>
          <w:color w:val="auto"/>
          <w:w w:val="95"/>
          <w:sz w:val="28"/>
          <w:szCs w:val="28"/>
          <w:highlight w:val="none"/>
        </w:rPr>
        <w:t>，从业人员</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人，营业收入为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万元，资产总额为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w:t>
      </w:r>
      <w:r>
        <w:rPr>
          <w:rFonts w:hint="eastAsia" w:ascii="仿宋" w:hAnsi="仿宋" w:eastAsia="仿宋" w:cs="仿宋"/>
          <w:color w:val="auto"/>
          <w:spacing w:val="2"/>
          <w:w w:val="99"/>
          <w:sz w:val="28"/>
          <w:szCs w:val="28"/>
          <w:highlight w:val="none"/>
        </w:rPr>
        <w:t>元</w:t>
      </w:r>
      <w:r>
        <w:rPr>
          <w:rFonts w:hint="eastAsia" w:ascii="仿宋" w:hAnsi="仿宋" w:eastAsia="仿宋" w:cs="仿宋"/>
          <w:color w:val="auto"/>
          <w:spacing w:val="2"/>
          <w:w w:val="99"/>
          <w:sz w:val="28"/>
          <w:szCs w:val="28"/>
          <w:highlight w:val="none"/>
          <w:vertAlign w:val="superscript"/>
        </w:rPr>
        <w:t>1</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（中型企业、小型企业、微型企业）</w:t>
      </w:r>
      <w:r>
        <w:rPr>
          <w:rFonts w:hint="eastAsia" w:ascii="仿宋" w:hAnsi="仿宋" w:eastAsia="仿宋" w:cs="仿宋"/>
          <w:color w:val="auto"/>
          <w:w w:val="95"/>
          <w:sz w:val="28"/>
          <w:szCs w:val="28"/>
          <w:highlight w:val="none"/>
        </w:rPr>
        <w:t>；</w:t>
      </w:r>
    </w:p>
    <w:p w14:paraId="722C8BEC">
      <w:pPr>
        <w:pStyle w:val="2"/>
        <w:keepNext w:val="0"/>
        <w:keepLines w:val="0"/>
        <w:pageBreakBefore w:val="0"/>
        <w:widowControl w:val="0"/>
        <w:kinsoku w:val="0"/>
        <w:wordWrap/>
        <w:overflowPunct w:val="0"/>
        <w:topLinePunct w:val="0"/>
        <w:autoSpaceDE/>
        <w:autoSpaceDN/>
        <w:bidi w:val="0"/>
        <w:adjustRightInd/>
        <w:snapToGrid/>
        <w:spacing w:before="34" w:line="500" w:lineRule="exact"/>
        <w:ind w:right="138" w:firstLine="560" w:firstLineChars="200"/>
        <w:textAlignment w:val="auto"/>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z w:val="28"/>
          <w:szCs w:val="28"/>
          <w:highlight w:val="none"/>
        </w:rPr>
        <w:t>……</w:t>
      </w:r>
    </w:p>
    <w:p w14:paraId="69505F33">
      <w:pPr>
        <w:pStyle w:val="2"/>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以上企业，不属于大企业的分支机构，不存在控股股东为大企业的情形，也不存在与大企业的负责人为同一人的情形。</w:t>
      </w:r>
    </w:p>
    <w:p w14:paraId="68B37479">
      <w:pPr>
        <w:pStyle w:val="2"/>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本企业对上述声明内容的真实性负责。如有虚假，将依法承担相应责任。</w:t>
      </w:r>
    </w:p>
    <w:p w14:paraId="2AC1CE2D">
      <w:pPr>
        <w:pStyle w:val="2"/>
        <w:kinsoku w:val="0"/>
        <w:overflowPunct w:val="0"/>
        <w:spacing w:before="56" w:line="360" w:lineRule="auto"/>
        <w:ind w:left="840" w:right="1748"/>
        <w:rPr>
          <w:rFonts w:hint="eastAsia" w:ascii="仿宋" w:hAnsi="仿宋" w:eastAsia="仿宋" w:cs="仿宋"/>
          <w:color w:val="auto"/>
          <w:spacing w:val="-18"/>
          <w:sz w:val="28"/>
          <w:szCs w:val="28"/>
          <w:highlight w:val="none"/>
        </w:rPr>
      </w:pPr>
    </w:p>
    <w:p w14:paraId="36D2BE5F">
      <w:pPr>
        <w:pStyle w:val="2"/>
        <w:kinsoku w:val="0"/>
        <w:overflowPunct w:val="0"/>
        <w:spacing w:before="56" w:line="360" w:lineRule="auto"/>
        <w:ind w:left="840" w:right="1748" w:firstLine="4148" w:firstLineChars="1700"/>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pacing w:val="-18"/>
          <w:sz w:val="28"/>
          <w:szCs w:val="28"/>
          <w:highlight w:val="none"/>
        </w:rPr>
        <w:t>企业名称（盖章）：</w:t>
      </w:r>
    </w:p>
    <w:p w14:paraId="3510CFCC">
      <w:pPr>
        <w:pStyle w:val="2"/>
        <w:kinsoku w:val="0"/>
        <w:overflowPunct w:val="0"/>
        <w:spacing w:before="56" w:line="360" w:lineRule="auto"/>
        <w:ind w:left="840" w:right="1748" w:firstLine="4200" w:firstLineChars="1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5002681E">
      <w:pPr>
        <w:pStyle w:val="6"/>
        <w:ind w:left="0" w:leftChars="0" w:firstLine="0" w:firstLineChars="0"/>
        <w:rPr>
          <w:rFonts w:hint="eastAsia" w:ascii="仿宋" w:hAnsi="仿宋" w:eastAsia="仿宋" w:cs="仿宋"/>
          <w:color w:val="auto"/>
          <w:highlight w:val="none"/>
        </w:rPr>
      </w:pPr>
    </w:p>
    <w:p w14:paraId="437627BD">
      <w:pPr>
        <w:spacing w:line="276" w:lineRule="auto"/>
        <w:ind w:firstLine="361" w:firstLineChars="15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从业人员、营业收入、资产总额填报上一年度数据，无上一年度数据的新成立企业可不填报。</w:t>
      </w:r>
    </w:p>
    <w:p w14:paraId="1B3F4A49">
      <w:pPr>
        <w:spacing w:line="276" w:lineRule="auto"/>
        <w:ind w:firstLine="361" w:firstLineChars="150"/>
        <w:outlineLvl w:val="1"/>
        <w:rPr>
          <w:rFonts w:hint="eastAsia" w:ascii="仿宋" w:hAnsi="仿宋" w:eastAsia="仿宋" w:cs="仿宋"/>
          <w:color w:val="auto"/>
          <w:sz w:val="24"/>
          <w:highlight w:val="none"/>
          <w:lang w:eastAsia="zh-CN"/>
        </w:rPr>
      </w:pPr>
      <w:bookmarkStart w:id="49" w:name="_Toc103341111"/>
      <w:r>
        <w:rPr>
          <w:rFonts w:hint="eastAsia" w:ascii="仿宋" w:hAnsi="仿宋" w:eastAsia="仿宋" w:cs="仿宋"/>
          <w:b/>
          <w:color w:val="auto"/>
          <w:sz w:val="24"/>
          <w:highlight w:val="none"/>
        </w:rPr>
        <w:t>注：《中小企业声明函》内容必须真实，供应商提供声明函内容不实的，属于提供虚假材料谋取中标、成交，按照《中华人民共和国政府采购法》等国家有关规定追究相应责任。</w:t>
      </w:r>
      <w:bookmarkEnd w:id="49"/>
    </w:p>
    <w:p w14:paraId="77D39DFA">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p>
    <w:p w14:paraId="38079662">
      <w:pPr>
        <w:pStyle w:val="2"/>
        <w:rPr>
          <w:rFonts w:hint="eastAsia" w:ascii="仿宋" w:hAnsi="仿宋" w:eastAsia="仿宋" w:cs="仿宋"/>
          <w:b/>
          <w:bCs/>
          <w:color w:val="auto"/>
          <w:sz w:val="32"/>
          <w:szCs w:val="32"/>
          <w:highlight w:val="none"/>
          <w:lang w:val="en-US" w:eastAsia="zh-CN"/>
        </w:rPr>
      </w:pPr>
    </w:p>
    <w:p w14:paraId="3A26D165">
      <w:pPr>
        <w:rPr>
          <w:rFonts w:hint="eastAsia" w:ascii="仿宋" w:hAnsi="仿宋" w:eastAsia="仿宋" w:cs="仿宋"/>
          <w:color w:val="auto"/>
          <w:highlight w:val="none"/>
          <w:lang w:val="en-US" w:eastAsia="zh-CN"/>
        </w:rPr>
      </w:pPr>
    </w:p>
    <w:p w14:paraId="410D16A3">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p>
    <w:p w14:paraId="2A347036">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八、供应商拒绝政府采购领域商业贿赂承诺书</w:t>
      </w:r>
      <w:bookmarkEnd w:id="48"/>
    </w:p>
    <w:p w14:paraId="4F4C090C">
      <w:pPr>
        <w:numPr>
          <w:ilvl w:val="0"/>
          <w:numId w:val="0"/>
        </w:numPr>
        <w:spacing w:line="480" w:lineRule="exact"/>
        <w:jc w:val="center"/>
        <w:outlineLvl w:val="9"/>
        <w:rPr>
          <w:rFonts w:hint="eastAsia" w:ascii="仿宋" w:hAnsi="仿宋" w:eastAsia="仿宋" w:cs="仿宋"/>
          <w:b/>
          <w:bCs/>
          <w:color w:val="auto"/>
          <w:sz w:val="32"/>
          <w:szCs w:val="32"/>
          <w:highlight w:val="none"/>
        </w:rPr>
      </w:pPr>
    </w:p>
    <w:p w14:paraId="670484BC">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为响应党中央、国务院关于治理政府采购领域商业贿赂行为的号召，我公司在此庄严承诺：</w:t>
      </w:r>
    </w:p>
    <w:p w14:paraId="473E9D7A">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1、在参与政府采购活动中遵纪守法、诚信经营、公平竞标。</w:t>
      </w:r>
    </w:p>
    <w:p w14:paraId="78368DBC">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2、不向政府采购人、采购代理机构和政府采购评审专家进行任何形式的商业贿赂以谋取交易机会。</w:t>
      </w:r>
    </w:p>
    <w:p w14:paraId="511D7FB3">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3、不向政府采购代理机构和采购人提供虚假资质文件或采用虚假应标方式参与政府采购市场竞争并谋取成交。</w:t>
      </w:r>
    </w:p>
    <w:p w14:paraId="1C5A2472">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4、不采取“围标、陪标”等商业欺诈手段获得政府采购</w:t>
      </w:r>
      <w:r>
        <w:rPr>
          <w:rFonts w:hint="eastAsia" w:ascii="仿宋" w:hAnsi="仿宋" w:eastAsia="仿宋" w:cs="仿宋"/>
          <w:color w:val="auto"/>
          <w:sz w:val="28"/>
          <w:szCs w:val="28"/>
          <w:highlight w:val="none"/>
          <w:lang w:eastAsia="zh-CN"/>
        </w:rPr>
        <w:t>订单</w:t>
      </w:r>
      <w:r>
        <w:rPr>
          <w:rFonts w:hint="eastAsia" w:ascii="仿宋" w:hAnsi="仿宋" w:eastAsia="仿宋" w:cs="仿宋"/>
          <w:color w:val="auto"/>
          <w:sz w:val="28"/>
          <w:szCs w:val="28"/>
          <w:highlight w:val="none"/>
        </w:rPr>
        <w:t>。</w:t>
      </w:r>
    </w:p>
    <w:p w14:paraId="0E83F811">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5、不采取不正当手段诋毁、排挤其他供应商。</w:t>
      </w:r>
    </w:p>
    <w:p w14:paraId="66E8EBC4">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不再提供</w:t>
      </w:r>
      <w:r>
        <w:rPr>
          <w:rFonts w:hint="eastAsia" w:ascii="仿宋" w:hAnsi="仿宋" w:eastAsia="仿宋" w:cs="仿宋"/>
          <w:color w:val="auto"/>
          <w:sz w:val="28"/>
          <w:szCs w:val="28"/>
          <w:highlight w:val="none"/>
        </w:rPr>
        <w:t>商品和服务时“偷梁换柱、以次充好”损害采购人的合法权益。</w:t>
      </w:r>
    </w:p>
    <w:p w14:paraId="72062FD7">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7、不与采购人、采购代理机构政府采购评审专家</w:t>
      </w:r>
      <w:r>
        <w:rPr>
          <w:rFonts w:hint="eastAsia" w:ascii="仿宋" w:hAnsi="仿宋" w:eastAsia="仿宋" w:cs="仿宋"/>
          <w:color w:val="auto"/>
          <w:sz w:val="28"/>
          <w:szCs w:val="28"/>
          <w:highlight w:val="none"/>
          <w:lang w:eastAsia="zh-CN"/>
        </w:rPr>
        <w:t>或其他</w:t>
      </w:r>
      <w:r>
        <w:rPr>
          <w:rFonts w:hint="eastAsia" w:ascii="仿宋" w:hAnsi="仿宋" w:eastAsia="仿宋" w:cs="仿宋"/>
          <w:color w:val="auto"/>
          <w:sz w:val="28"/>
          <w:szCs w:val="28"/>
          <w:highlight w:val="none"/>
        </w:rPr>
        <w:t>供应商恶意串通，进行质疑和投诉，维护政府采购市场秩序。</w:t>
      </w:r>
    </w:p>
    <w:p w14:paraId="4531185D">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8、尊重和接受政府采购监督管理部门的监督和政府采购代理机构招标采购要求，承担因违约行为给采购人造成的损失。</w:t>
      </w:r>
    </w:p>
    <w:p w14:paraId="34EABB1B">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9、不发生其他有悖于政府采购公开、公平、公正和诚信原则的行为。</w:t>
      </w:r>
    </w:p>
    <w:p w14:paraId="69AD9CD2">
      <w:pPr>
        <w:pStyle w:val="20"/>
        <w:rPr>
          <w:rFonts w:hint="eastAsia" w:ascii="仿宋" w:hAnsi="仿宋" w:eastAsia="仿宋" w:cs="仿宋"/>
          <w:color w:val="auto"/>
          <w:highlight w:val="none"/>
          <w:lang w:eastAsia="zh-CN"/>
        </w:rPr>
      </w:pPr>
    </w:p>
    <w:p w14:paraId="4790EA95">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承诺单位：</w:t>
      </w:r>
      <w:r>
        <w:rPr>
          <w:rFonts w:hint="eastAsia" w:ascii="仿宋" w:hAnsi="仿宋" w:eastAsia="仿宋" w:cs="仿宋"/>
          <w:color w:val="auto"/>
          <w:sz w:val="28"/>
          <w:szCs w:val="28"/>
          <w:highlight w:val="none"/>
          <w:u w:val="single"/>
        </w:rPr>
        <w:t>（盖章）</w:t>
      </w:r>
    </w:p>
    <w:p w14:paraId="27BA55AF">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none"/>
        </w:rPr>
        <w:t>法定代表人或委托代理人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（签字</w:t>
      </w:r>
      <w:r>
        <w:rPr>
          <w:rFonts w:hint="eastAsia" w:ascii="仿宋" w:hAnsi="仿宋" w:eastAsia="仿宋" w:cs="仿宋"/>
          <w:color w:val="auto"/>
          <w:sz w:val="28"/>
          <w:szCs w:val="28"/>
          <w:highlight w:val="none"/>
          <w:u w:val="single"/>
          <w:lang w:eastAsia="zh-CN"/>
        </w:rPr>
        <w:t>或盖章</w:t>
      </w:r>
      <w:r>
        <w:rPr>
          <w:rFonts w:hint="eastAsia" w:ascii="仿宋" w:hAnsi="仿宋" w:eastAsia="仿宋" w:cs="仿宋"/>
          <w:color w:val="auto"/>
          <w:sz w:val="28"/>
          <w:szCs w:val="28"/>
          <w:highlight w:val="none"/>
          <w:u w:val="single"/>
        </w:rPr>
        <w:t>）</w:t>
      </w:r>
    </w:p>
    <w:p w14:paraId="01781503">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p>
    <w:p w14:paraId="7F16B80A">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邮  编：</w:t>
      </w:r>
      <w:r>
        <w:rPr>
          <w:rFonts w:hint="eastAsia" w:ascii="仿宋" w:hAnsi="仿宋" w:eastAsia="仿宋" w:cs="仿宋"/>
          <w:color w:val="auto"/>
          <w:sz w:val="28"/>
          <w:szCs w:val="28"/>
          <w:highlight w:val="none"/>
          <w:u w:val="single"/>
        </w:rPr>
        <w:t>          </w:t>
      </w:r>
    </w:p>
    <w:p w14:paraId="599DFFAC">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w:t>
      </w:r>
    </w:p>
    <w:p w14:paraId="632E3227">
      <w:pPr>
        <w:pStyle w:val="8"/>
        <w:tabs>
          <w:tab w:val="clear" w:pos="5890"/>
          <w:tab w:val="clear" w:pos="8108"/>
        </w:tabs>
        <w:adjustRightInd w:val="0"/>
        <w:snapToGrid w:val="0"/>
        <w:spacing w:before="120" w:beforeLines="50" w:line="360" w:lineRule="auto"/>
        <w:jc w:val="center"/>
        <w:outlineLvl w:val="9"/>
        <w:rPr>
          <w:rFonts w:hint="eastAsia" w:ascii="仿宋" w:hAnsi="仿宋" w:eastAsia="仿宋" w:cs="仿宋"/>
          <w:b/>
          <w:bCs/>
          <w:color w:val="auto"/>
          <w:kern w:val="2"/>
          <w:sz w:val="36"/>
          <w:szCs w:val="36"/>
          <w:highlight w:val="none"/>
          <w:lang w:val="en-US" w:eastAsia="zh-Hans" w:bidi="ar-SA"/>
        </w:rPr>
      </w:pPr>
    </w:p>
    <w:p w14:paraId="0DAADAA9">
      <w:pPr>
        <w:pStyle w:val="27"/>
        <w:pageBreakBefore w:val="0"/>
        <w:kinsoku/>
        <w:overflowPunct/>
        <w:topLinePunct w:val="0"/>
        <w:autoSpaceDE/>
        <w:autoSpaceDN/>
        <w:bidi w:val="0"/>
        <w:adjustRightInd/>
        <w:snapToGrid/>
        <w:spacing w:beforeAutospacing="0" w:afterAutospacing="0" w:line="240" w:lineRule="auto"/>
        <w:ind w:left="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32"/>
          <w:szCs w:val="32"/>
          <w:highlight w:val="none"/>
          <w:lang w:val="en-US" w:eastAsia="zh-CN"/>
        </w:rPr>
        <w:t>附件</w:t>
      </w:r>
    </w:p>
    <w:p w14:paraId="7F2D5486">
      <w:pPr>
        <w:pStyle w:val="27"/>
        <w:pageBreakBefore w:val="0"/>
        <w:kinsoku/>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供应商声明函</w:t>
      </w:r>
    </w:p>
    <w:p w14:paraId="33D4ACC6">
      <w:pPr>
        <w:pStyle w:val="27"/>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未提供或未按下述格式填报的，不享受中小企业扶持政策，但不影响</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文件的有效性。</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供应商享受了《政府采购促进中小企业发展管理办法》（以下简称《办法》）规定的中小企业扶持政策的，将随</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结果公开其《中小企业声明函》。</w:t>
      </w:r>
    </w:p>
    <w:p w14:paraId="37F9FAC6">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声明函中的中小企业指的是货物制造商、工程承建商或服务承接商。对于货物类项目，供应商希望获得《办法》规定政策支持的，应从制造商处获得充分、准确的信息。</w:t>
      </w:r>
      <w:bookmarkStart w:id="50" w:name="_Toc7005133"/>
      <w:bookmarkStart w:id="51" w:name="_Toc515647823"/>
      <w:bookmarkStart w:id="52" w:name="_Toc532473511"/>
      <w:bookmarkStart w:id="53" w:name="_Toc20660416"/>
      <w:bookmarkStart w:id="54" w:name="_Toc10725"/>
      <w:bookmarkStart w:id="55" w:name="_Toc21312"/>
    </w:p>
    <w:p w14:paraId="2C7D0E14">
      <w:pPr>
        <w:pageBreakBefore w:val="0"/>
        <w:kinsoku/>
        <w:overflowPunct/>
        <w:topLinePunct w:val="0"/>
        <w:autoSpaceDE/>
        <w:autoSpaceDN/>
        <w:bidi w:val="0"/>
        <w:adjustRightInd/>
        <w:snapToGrid/>
        <w:spacing w:beforeAutospacing="0" w:afterAutospacing="0" w:line="240" w:lineRule="auto"/>
        <w:ind w:left="0" w:firstLine="480" w:firstLineChars="200"/>
        <w:textAlignment w:val="auto"/>
        <w:rPr>
          <w:rFonts w:hint="eastAsia" w:ascii="仿宋" w:hAnsi="仿宋" w:eastAsia="仿宋" w:cs="仿宋"/>
          <w:color w:val="auto"/>
          <w:sz w:val="24"/>
          <w:szCs w:val="24"/>
          <w:highlight w:val="none"/>
        </w:rPr>
      </w:pPr>
    </w:p>
    <w:p w14:paraId="546AA2BB">
      <w:pPr>
        <w:pStyle w:val="27"/>
        <w:pageBreakBefore w:val="0"/>
        <w:kinsoku/>
        <w:overflowPunct/>
        <w:topLinePunct w:val="0"/>
        <w:autoSpaceDE/>
        <w:autoSpaceDN/>
        <w:bidi w:val="0"/>
        <w:adjustRightInd/>
        <w:snapToGrid/>
        <w:spacing w:beforeAutospacing="0" w:afterAutospacing="0" w:line="240" w:lineRule="auto"/>
        <w:ind w:left="0" w:firstLine="643" w:firstLineChars="200"/>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、监狱企业证明</w:t>
      </w:r>
    </w:p>
    <w:p w14:paraId="346AF278">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3CC59C97">
      <w:pPr>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（注：符合条件的监狱企业请提供本函，不符合的不提供本函）</w:t>
      </w:r>
    </w:p>
    <w:p w14:paraId="6F6866AC">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7658AE1B">
      <w:pPr>
        <w:pageBreakBefore w:val="0"/>
        <w:widowControl/>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39662F">
      <w:pPr>
        <w:pageBreakBefore w:val="0"/>
        <w:widowControl/>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监狱企业参加政府采购活动时，应当提供由省级以上监狱管理局、戒毒管理局（含新疆生产建设兵团）出具的属于监狱企业的证明文件。</w:t>
      </w:r>
    </w:p>
    <w:p w14:paraId="48771D51">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4D49C40C">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5297938D">
      <w:pPr>
        <w:pageBreakBefore w:val="0"/>
        <w:kinsoku/>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End w:id="50"/>
      <w:bookmarkStart w:id="56" w:name="_Toc7005134"/>
    </w:p>
    <w:p w14:paraId="29DC95EC">
      <w:pPr>
        <w:pageBreakBefore w:val="0"/>
        <w:widowControl/>
        <w:kinsoku/>
        <w:overflowPunct/>
        <w:topLinePunct w:val="0"/>
        <w:autoSpaceDE/>
        <w:autoSpaceDN/>
        <w:bidi w:val="0"/>
        <w:adjustRightInd/>
        <w:snapToGrid/>
        <w:spacing w:beforeAutospacing="0" w:afterAutospacing="0" w:line="240" w:lineRule="auto"/>
        <w:ind w:left="0"/>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残疾人福利性单位声明函</w:t>
      </w:r>
      <w:bookmarkEnd w:id="56"/>
    </w:p>
    <w:p w14:paraId="23267B51">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3F45B805">
      <w:pPr>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（注：符合条件的残疾人福利性单位请提供本函，不符合的不提供本函）</w:t>
      </w:r>
    </w:p>
    <w:p w14:paraId="6B5FB732">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7E82B5A5">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0E3FA598">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61F667F">
      <w:pPr>
        <w:pageBreakBefore w:val="0"/>
        <w:kinsoku/>
        <w:overflowPunct/>
        <w:topLinePunct w:val="0"/>
        <w:autoSpaceDE/>
        <w:autoSpaceDN/>
        <w:bidi w:val="0"/>
        <w:adjustRightInd/>
        <w:snapToGrid/>
        <w:spacing w:beforeAutospacing="0" w:afterAutospacing="0" w:line="240" w:lineRule="auto"/>
        <w:ind w:left="0"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2A438D1E">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4D25C8F4">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lang w:eastAsia="zh-CN"/>
        </w:rPr>
      </w:pPr>
    </w:p>
    <w:p w14:paraId="463C7BFA">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302CB92C">
      <w:pPr>
        <w:pageBreakBefore w:val="0"/>
        <w:kinsoku/>
        <w:overflowPunct/>
        <w:topLinePunct w:val="0"/>
        <w:autoSpaceDE/>
        <w:autoSpaceDN/>
        <w:bidi w:val="0"/>
        <w:adjustRightInd/>
        <w:snapToGrid/>
        <w:spacing w:beforeAutospacing="0" w:afterAutospacing="0" w:line="240" w:lineRule="auto"/>
        <w:ind w:left="0" w:firstLine="3920" w:firstLineChars="14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051345DD">
      <w:pPr>
        <w:pageBreakBefore w:val="0"/>
        <w:kinsoku/>
        <w:overflowPunct/>
        <w:topLinePunct w:val="0"/>
        <w:autoSpaceDE/>
        <w:autoSpaceDN/>
        <w:bidi w:val="0"/>
        <w:adjustRightInd/>
        <w:snapToGrid/>
        <w:spacing w:beforeAutospacing="0" w:afterAutospacing="0" w:line="240" w:lineRule="auto"/>
        <w:ind w:left="0" w:firstLine="3920" w:firstLineChars="14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258211E9">
      <w:pPr>
        <w:pageBreakBefore w:val="0"/>
        <w:kinsoku/>
        <w:overflowPunct/>
        <w:topLinePunct w:val="0"/>
        <w:autoSpaceDE/>
        <w:autoSpaceDN/>
        <w:bidi w:val="0"/>
        <w:adjustRightInd/>
        <w:snapToGrid/>
        <w:spacing w:before="0" w:beforeAutospacing="0" w:after="0" w:afterAutospacing="0" w:line="240" w:lineRule="auto"/>
        <w:ind w:left="0"/>
        <w:textAlignment w:val="auto"/>
        <w:outlineLvl w:val="9"/>
        <w:rPr>
          <w:rFonts w:hint="eastAsia" w:ascii="仿宋" w:hAnsi="仿宋" w:eastAsia="仿宋" w:cs="仿宋"/>
          <w:color w:val="auto"/>
          <w:sz w:val="24"/>
          <w:highlight w:val="none"/>
        </w:rPr>
      </w:pPr>
    </w:p>
    <w:p w14:paraId="35576DFA">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bookmarkEnd w:id="51"/>
    <w:bookmarkEnd w:id="52"/>
    <w:bookmarkEnd w:id="53"/>
    <w:bookmarkEnd w:id="54"/>
    <w:bookmarkEnd w:id="55"/>
    <w:p w14:paraId="2F51CEC8">
      <w:pPr>
        <w:pageBreakBefore w:val="0"/>
        <w:widowControl/>
        <w:tabs>
          <w:tab w:val="left" w:pos="5670"/>
        </w:tabs>
        <w:kinsoku/>
        <w:overflowPunct/>
        <w:topLinePunct w:val="0"/>
        <w:autoSpaceDE/>
        <w:autoSpaceDN/>
        <w:bidi w:val="0"/>
        <w:adjustRightInd/>
        <w:snapToGrid/>
        <w:spacing w:beforeAutospacing="0" w:afterAutospacing="0" w:line="24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说明：供应商在填报前请认真阅读《财政部、民政部、中国残疾人联合会关于促进残疾人就业政府采购政策的通知》。符合条件的供应商未按上述要求提供、填写的，评审时不予认可。</w:t>
      </w:r>
    </w:p>
    <w:p w14:paraId="58D68DCD">
      <w:pPr>
        <w:pStyle w:val="1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342B95F1">
      <w:pPr>
        <w:pageBreakBefore w:val="0"/>
        <w:widowControl/>
        <w:kinsoku/>
        <w:overflowPunct/>
        <w:topLinePunct w:val="0"/>
        <w:autoSpaceDE/>
        <w:autoSpaceDN/>
        <w:bidi w:val="0"/>
        <w:adjustRightInd/>
        <w:snapToGrid/>
        <w:spacing w:beforeAutospacing="0" w:afterAutospacing="0" w:line="240" w:lineRule="auto"/>
        <w:ind w:left="0"/>
        <w:jc w:val="center"/>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3、不参与磋商告知函</w:t>
      </w:r>
    </w:p>
    <w:p w14:paraId="5D74DAD2">
      <w:pPr>
        <w:pStyle w:val="28"/>
        <w:ind w:firstLine="422"/>
        <w:rPr>
          <w:rFonts w:hint="eastAsia" w:ascii="仿宋" w:hAnsi="仿宋" w:eastAsia="仿宋" w:cs="仿宋"/>
          <w:b/>
          <w:color w:val="auto"/>
          <w:sz w:val="28"/>
          <w:szCs w:val="28"/>
          <w:highlight w:val="none"/>
        </w:rPr>
      </w:pPr>
    </w:p>
    <w:p w14:paraId="1E152C11">
      <w:pPr>
        <w:pStyle w:val="28"/>
        <w:spacing w:line="360" w:lineRule="auto"/>
        <w:ind w:left="0" w:leftChars="0" w:firstLine="0" w:firstLineChars="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lang w:eastAsia="zh-CN"/>
        </w:rPr>
        <w:t>华春建设工程项目管理有限责任公司</w:t>
      </w:r>
      <w:r>
        <w:rPr>
          <w:rFonts w:hint="eastAsia" w:ascii="仿宋" w:hAnsi="仿宋" w:eastAsia="仿宋" w:cs="仿宋"/>
          <w:bCs/>
          <w:color w:val="auto"/>
          <w:sz w:val="28"/>
          <w:szCs w:val="28"/>
          <w:highlight w:val="none"/>
        </w:rPr>
        <w:t>：</w:t>
      </w:r>
    </w:p>
    <w:p w14:paraId="68A6637A">
      <w:pPr>
        <w:pStyle w:val="28"/>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我单位（</w:t>
      </w:r>
      <w:r>
        <w:rPr>
          <w:rFonts w:hint="eastAsia" w:ascii="仿宋" w:hAnsi="仿宋" w:eastAsia="仿宋" w:cs="仿宋"/>
          <w:bCs/>
          <w:color w:val="auto"/>
          <w:sz w:val="28"/>
          <w:szCs w:val="28"/>
          <w:highlight w:val="none"/>
          <w:u w:val="single"/>
        </w:rPr>
        <w:t>单位名称</w:t>
      </w:r>
      <w:r>
        <w:rPr>
          <w:rFonts w:hint="eastAsia" w:ascii="仿宋" w:hAnsi="仿宋" w:eastAsia="仿宋" w:cs="仿宋"/>
          <w:bCs/>
          <w:color w:val="auto"/>
          <w:sz w:val="28"/>
          <w:szCs w:val="28"/>
          <w:highlight w:val="none"/>
        </w:rPr>
        <w:t>），于年月日，经我单位研究决定，由于</w:t>
      </w:r>
      <w:r>
        <w:rPr>
          <w:rFonts w:hint="eastAsia" w:ascii="仿宋" w:hAnsi="仿宋" w:eastAsia="仿宋" w:cs="仿宋"/>
          <w:bCs/>
          <w:color w:val="auto"/>
          <w:sz w:val="28"/>
          <w:szCs w:val="28"/>
          <w:highlight w:val="none"/>
          <w:u w:val="single"/>
        </w:rPr>
        <w:t>（不参与理由）</w:t>
      </w:r>
      <w:r>
        <w:rPr>
          <w:rFonts w:hint="eastAsia" w:ascii="仿宋" w:hAnsi="仿宋" w:eastAsia="仿宋" w:cs="仿宋"/>
          <w:bCs/>
          <w:color w:val="auto"/>
          <w:sz w:val="28"/>
          <w:szCs w:val="28"/>
          <w:highlight w:val="none"/>
        </w:rPr>
        <w:t>。现确认不参与（</w:t>
      </w:r>
      <w:r>
        <w:rPr>
          <w:rFonts w:hint="eastAsia" w:ascii="仿宋" w:hAnsi="仿宋" w:eastAsia="仿宋" w:cs="仿宋"/>
          <w:bCs/>
          <w:color w:val="auto"/>
          <w:sz w:val="28"/>
          <w:szCs w:val="28"/>
          <w:highlight w:val="none"/>
          <w:u w:val="single"/>
        </w:rPr>
        <w:t>项目名称、项目编号</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磋商</w:t>
      </w:r>
      <w:r>
        <w:rPr>
          <w:rFonts w:hint="eastAsia" w:ascii="仿宋" w:hAnsi="仿宋" w:eastAsia="仿宋" w:cs="仿宋"/>
          <w:bCs/>
          <w:color w:val="auto"/>
          <w:sz w:val="28"/>
          <w:szCs w:val="28"/>
          <w:highlight w:val="none"/>
        </w:rPr>
        <w:t>活动。</w:t>
      </w:r>
    </w:p>
    <w:p w14:paraId="4F88EEAD">
      <w:pPr>
        <w:pStyle w:val="28"/>
        <w:spacing w:line="360" w:lineRule="auto"/>
        <w:ind w:firstLine="48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特此说明！</w:t>
      </w:r>
    </w:p>
    <w:p w14:paraId="42DE2525">
      <w:pPr>
        <w:pStyle w:val="28"/>
        <w:ind w:firstLine="480"/>
        <w:rPr>
          <w:rFonts w:hint="eastAsia" w:ascii="仿宋" w:hAnsi="仿宋" w:eastAsia="仿宋" w:cs="仿宋"/>
          <w:bCs/>
          <w:color w:val="auto"/>
          <w:sz w:val="28"/>
          <w:szCs w:val="28"/>
          <w:highlight w:val="none"/>
        </w:rPr>
      </w:pPr>
    </w:p>
    <w:p w14:paraId="49962A5E">
      <w:pPr>
        <w:pStyle w:val="28"/>
        <w:ind w:firstLine="480"/>
        <w:rPr>
          <w:rFonts w:hint="eastAsia" w:ascii="仿宋" w:hAnsi="仿宋" w:eastAsia="仿宋" w:cs="仿宋"/>
          <w:bCs/>
          <w:color w:val="auto"/>
          <w:sz w:val="28"/>
          <w:szCs w:val="28"/>
          <w:highlight w:val="none"/>
        </w:rPr>
      </w:pPr>
    </w:p>
    <w:p w14:paraId="175C308E">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6E0F3AE4">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p>
    <w:p w14:paraId="31D0C29D">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11E7CFAA">
      <w:pPr>
        <w:pStyle w:val="10"/>
        <w:rPr>
          <w:rFonts w:hint="eastAsia" w:ascii="仿宋" w:hAnsi="仿宋" w:eastAsia="仿宋" w:cs="仿宋"/>
          <w:b/>
          <w:bCs/>
          <w:color w:val="auto"/>
          <w:sz w:val="24"/>
          <w:szCs w:val="24"/>
          <w:highlight w:val="none"/>
          <w:lang w:eastAsia="zh-CN"/>
        </w:rPr>
      </w:pPr>
    </w:p>
    <w:p w14:paraId="5F210230">
      <w:pPr>
        <w:rPr>
          <w:rFonts w:hint="eastAsia" w:ascii="仿宋" w:hAnsi="仿宋" w:eastAsia="仿宋" w:cs="仿宋"/>
          <w:color w:val="auto"/>
          <w:highlight w:val="none"/>
        </w:rPr>
      </w:pPr>
    </w:p>
    <w:p w14:paraId="20F4A758">
      <w:pPr>
        <w:rPr>
          <w:rFonts w:hint="eastAsia" w:ascii="仿宋" w:hAnsi="仿宋" w:eastAsia="仿宋" w:cs="仿宋"/>
          <w:highlight w:val="none"/>
        </w:rPr>
      </w:pPr>
    </w:p>
    <w:p w14:paraId="4298FE91">
      <w:pPr>
        <w:rPr>
          <w:highlight w:val="none"/>
        </w:rPr>
      </w:pPr>
    </w:p>
    <w:sectPr>
      <w:headerReference r:id="rId20" w:type="default"/>
      <w:footerReference r:id="rId21" w:type="default"/>
      <w:pgSz w:w="11906" w:h="16838"/>
      <w:pgMar w:top="1417" w:right="1417" w:bottom="1417"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兰亭黑简体">
    <w:altName w:val="黑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055D">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F9AC">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EAD73">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DEAD73">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1A4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9086">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ADE0">
    <w:pPr>
      <w:widowControl w:val="0"/>
      <w:snapToGrid w:val="0"/>
      <w:jc w:val="left"/>
      <w:rPr>
        <w:rFonts w:ascii="Times New Roman" w:hAnsi="Times New Roman" w:eastAsia="宋体" w:cs="Times New Roman"/>
        <w:kern w:val="2"/>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0F14">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B02E">
    <w:pPr>
      <w:pStyle w:val="10"/>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B8413">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9B8413">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BACE">
    <w:pPr>
      <w:pStyle w:val="10"/>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172B0">
                          <w:pPr>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1172B0">
                    <w:pPr>
                      <w:rPr>
                        <w:rFonts w:hint="eastAsia" w:eastAsia="宋体"/>
                        <w:sz w:val="18"/>
                        <w:lang w:eastAsia="zh-CN"/>
                      </w:rPr>
                    </w:pPr>
                  </w:p>
                </w:txbxContent>
              </v:textbox>
            </v:shape>
          </w:pict>
        </mc:Fallback>
      </mc:AlternateContent>
    </w:r>
    <w:r>
      <w:rPr>
        <w:rFonts w:hint="eastAsia" w:eastAsia="宋体"/>
        <w:sz w:val="17"/>
        <w:szCs w:val="17"/>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B956">
    <w:pPr>
      <w:pStyle w:val="10"/>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0D1E6">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640D1E6">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74D4">
    <w:pPr>
      <w:pStyle w:val="10"/>
      <w:rPr>
        <w:rFonts w:hint="eastAsia" w:eastAsia="宋体"/>
        <w:lang w:val="en-US" w:eastAsia="zh-CN"/>
      </w:rPr>
    </w:pPr>
    <w:r>
      <w:rPr>
        <w:rFonts w:hint="eastAsia" w:eastAsia="宋体"/>
        <w:lang w:val="en-US" w:eastAsia="zh-CN"/>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2B23">
    <w:pPr>
      <w:adjustRightInd w:val="0"/>
      <w:snapToGrid w:val="0"/>
      <w:spacing w:line="360" w:lineRule="auto"/>
      <w:jc w:val="left"/>
      <w:rPr>
        <w:rFonts w:asci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CEB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3F3E">
    <w:pPr>
      <w:pStyle w:val="11"/>
      <w:tabs>
        <w:tab w:val="center" w:pos="4153"/>
        <w:tab w:val="right" w:pos="8306"/>
        <w:tab w:val="clear" w:pos="4320"/>
        <w:tab w:val="clear"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737F">
    <w:pPr>
      <w:pStyle w:val="11"/>
      <w:tabs>
        <w:tab w:val="center" w:pos="4153"/>
        <w:tab w:val="right" w:pos="8306"/>
        <w:tab w:val="clear" w:pos="4320"/>
        <w:tab w:val="clear"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C03E">
    <w:pPr>
      <w:pStyle w:val="11"/>
      <w:pBdr>
        <w:bottom w:val="none" w:color="auto" w:sz="0" w:space="0"/>
      </w:pBdr>
      <w:tabs>
        <w:tab w:val="center" w:pos="4153"/>
        <w:tab w:val="right" w:pos="8306"/>
        <w:tab w:val="clear" w:pos="4320"/>
        <w:tab w:val="clear"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9EE0">
    <w:pPr>
      <w:pStyle w:val="11"/>
      <w:pBdr>
        <w:bottom w:val="none" w:color="auto" w:sz="0" w:space="0"/>
      </w:pBdr>
      <w:tabs>
        <w:tab w:val="center" w:pos="4153"/>
        <w:tab w:val="right" w:pos="8306"/>
        <w:tab w:val="clear" w:pos="4320"/>
        <w:tab w:val="clear" w:pos="864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44DA5">
    <w:pPr>
      <w:pStyle w:val="11"/>
      <w:pBdr>
        <w:bottom w:val="none" w:color="auto" w:sz="0" w:space="1"/>
      </w:pBdr>
      <w:tabs>
        <w:tab w:val="center" w:pos="4153"/>
        <w:tab w:val="right" w:pos="8306"/>
        <w:tab w:val="clear" w:pos="4320"/>
        <w:tab w:val="clear" w:pos="8640"/>
      </w:tabs>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84"/>
    <w:multiLevelType w:val="singleLevel"/>
    <w:tmpl w:val="968E1184"/>
    <w:lvl w:ilvl="0" w:tentative="0">
      <w:start w:val="1"/>
      <w:numFmt w:val="decimal"/>
      <w:suff w:val="nothing"/>
      <w:lvlText w:val="%1、"/>
      <w:lvlJc w:val="left"/>
    </w:lvl>
  </w:abstractNum>
  <w:abstractNum w:abstractNumId="1">
    <w:nsid w:val="D44D9153"/>
    <w:multiLevelType w:val="singleLevel"/>
    <w:tmpl w:val="D44D9153"/>
    <w:lvl w:ilvl="0" w:tentative="0">
      <w:start w:val="5"/>
      <w:numFmt w:val="chineseCounting"/>
      <w:suff w:val="nothing"/>
      <w:lvlText w:val="%1、"/>
      <w:lvlJc w:val="left"/>
      <w:rPr>
        <w:rFonts w:hint="eastAsia"/>
      </w:rPr>
    </w:lvl>
  </w:abstractNum>
  <w:abstractNum w:abstractNumId="2">
    <w:nsid w:val="FBD2FB55"/>
    <w:multiLevelType w:val="singleLevel"/>
    <w:tmpl w:val="FBD2FB55"/>
    <w:lvl w:ilvl="0" w:tentative="0">
      <w:start w:val="1"/>
      <w:numFmt w:val="decimal"/>
      <w:suff w:val="nothing"/>
      <w:lvlText w:val="%1、"/>
      <w:lvlJc w:val="left"/>
    </w:lvl>
  </w:abstractNum>
  <w:abstractNum w:abstractNumId="3">
    <w:nsid w:val="2EA2D10D"/>
    <w:multiLevelType w:val="singleLevel"/>
    <w:tmpl w:val="2EA2D10D"/>
    <w:lvl w:ilvl="0" w:tentative="0">
      <w:start w:val="1"/>
      <w:numFmt w:val="chineseCounting"/>
      <w:suff w:val="space"/>
      <w:lvlText w:val="第%1章"/>
      <w:lvlJc w:val="left"/>
      <w:rPr>
        <w:rFonts w:hint="eastAsia"/>
      </w:rPr>
    </w:lvl>
  </w:abstractNum>
  <w:abstractNum w:abstractNumId="4">
    <w:nsid w:val="5816DF92"/>
    <w:multiLevelType w:val="singleLevel"/>
    <w:tmpl w:val="5816DF92"/>
    <w:lvl w:ilvl="0" w:tentative="0">
      <w:start w:val="5"/>
      <w:numFmt w:val="chineseCounting"/>
      <w:suff w:val="nothing"/>
      <w:lvlText w:val="%1、"/>
      <w:lvlJc w:val="left"/>
      <w:rPr>
        <w:rFonts w:hint="eastAsia"/>
      </w:rPr>
    </w:lvl>
  </w:abstractNum>
  <w:abstractNum w:abstractNumId="5">
    <w:nsid w:val="7739ACA5"/>
    <w:multiLevelType w:val="singleLevel"/>
    <w:tmpl w:val="7739ACA5"/>
    <w:lvl w:ilvl="0" w:tentative="0">
      <w:start w:val="6"/>
      <w:numFmt w:val="chineseCounting"/>
      <w:suff w:val="space"/>
      <w:lvlText w:val="第%1章"/>
      <w:lvlJc w:val="left"/>
      <w:rPr>
        <w:rFonts w:hint="eastAsia"/>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A7A05"/>
    <w:rsid w:val="00865CA0"/>
    <w:rsid w:val="00961E4D"/>
    <w:rsid w:val="010A5041"/>
    <w:rsid w:val="023A007E"/>
    <w:rsid w:val="028F6EE1"/>
    <w:rsid w:val="07543DBE"/>
    <w:rsid w:val="07837045"/>
    <w:rsid w:val="0D0758E4"/>
    <w:rsid w:val="0E6C0137"/>
    <w:rsid w:val="0ECD5CB3"/>
    <w:rsid w:val="0F135152"/>
    <w:rsid w:val="0FFF7485"/>
    <w:rsid w:val="101C508D"/>
    <w:rsid w:val="10B362E0"/>
    <w:rsid w:val="12B312DE"/>
    <w:rsid w:val="132A35C6"/>
    <w:rsid w:val="13A32529"/>
    <w:rsid w:val="15363948"/>
    <w:rsid w:val="15BA6B35"/>
    <w:rsid w:val="18AD1615"/>
    <w:rsid w:val="1BE649E3"/>
    <w:rsid w:val="1CB52C73"/>
    <w:rsid w:val="1DCC56E6"/>
    <w:rsid w:val="1DE603FC"/>
    <w:rsid w:val="1E676683"/>
    <w:rsid w:val="1E6A7A05"/>
    <w:rsid w:val="1F6258ED"/>
    <w:rsid w:val="1F934F7A"/>
    <w:rsid w:val="21132D8F"/>
    <w:rsid w:val="24347809"/>
    <w:rsid w:val="25757B75"/>
    <w:rsid w:val="281D775F"/>
    <w:rsid w:val="290A02E1"/>
    <w:rsid w:val="29623781"/>
    <w:rsid w:val="2A257B34"/>
    <w:rsid w:val="2A775007"/>
    <w:rsid w:val="2C4320AD"/>
    <w:rsid w:val="2CA53A90"/>
    <w:rsid w:val="32AC3044"/>
    <w:rsid w:val="32DE64A9"/>
    <w:rsid w:val="33D56F09"/>
    <w:rsid w:val="352C084C"/>
    <w:rsid w:val="35F42D38"/>
    <w:rsid w:val="36D156B0"/>
    <w:rsid w:val="39A54D13"/>
    <w:rsid w:val="3C917483"/>
    <w:rsid w:val="406B009A"/>
    <w:rsid w:val="411078CD"/>
    <w:rsid w:val="45BC5EDB"/>
    <w:rsid w:val="495165D9"/>
    <w:rsid w:val="4A344922"/>
    <w:rsid w:val="4CBB35AF"/>
    <w:rsid w:val="4DB50986"/>
    <w:rsid w:val="4E732FAA"/>
    <w:rsid w:val="4F564FEE"/>
    <w:rsid w:val="52294627"/>
    <w:rsid w:val="525C787D"/>
    <w:rsid w:val="527B24DD"/>
    <w:rsid w:val="52BE5550"/>
    <w:rsid w:val="52E12941"/>
    <w:rsid w:val="58BB3498"/>
    <w:rsid w:val="59C26858"/>
    <w:rsid w:val="5A3C1FE1"/>
    <w:rsid w:val="5A55762E"/>
    <w:rsid w:val="5BB36B97"/>
    <w:rsid w:val="6462187D"/>
    <w:rsid w:val="65A808F0"/>
    <w:rsid w:val="67262473"/>
    <w:rsid w:val="6794413B"/>
    <w:rsid w:val="6AB40011"/>
    <w:rsid w:val="6C661592"/>
    <w:rsid w:val="6CA9147F"/>
    <w:rsid w:val="6D0B1173"/>
    <w:rsid w:val="6D8E53F5"/>
    <w:rsid w:val="6DCA5069"/>
    <w:rsid w:val="71CE367D"/>
    <w:rsid w:val="724A66D2"/>
    <w:rsid w:val="73AA59C6"/>
    <w:rsid w:val="77013C90"/>
    <w:rsid w:val="77495308"/>
    <w:rsid w:val="79055F9C"/>
    <w:rsid w:val="7B21333C"/>
    <w:rsid w:val="7C423C8F"/>
    <w:rsid w:val="7EC108AA"/>
    <w:rsid w:val="7EC35188"/>
    <w:rsid w:val="7F1C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rPr>
  </w:style>
  <w:style w:type="paragraph" w:styleId="3">
    <w:name w:val="heading 4"/>
    <w:basedOn w:val="1"/>
    <w:next w:val="1"/>
    <w:unhideWhenUsed/>
    <w:qFormat/>
    <w:uiPriority w:val="9"/>
    <w:pPr>
      <w:keepNext/>
      <w:keepLines/>
      <w:spacing w:beforeAutospacing="1" w:afterAutospacing="1" w:line="300" w:lineRule="auto"/>
      <w:outlineLvl w:val="3"/>
    </w:pPr>
    <w:rPr>
      <w:b/>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color w:val="993300"/>
      <w:sz w:val="24"/>
    </w:rPr>
  </w:style>
  <w:style w:type="paragraph" w:styleId="6">
    <w:name w:val="Normal Indent"/>
    <w:basedOn w:val="1"/>
    <w:qFormat/>
    <w:uiPriority w:val="0"/>
    <w:pPr>
      <w:ind w:firstLine="420"/>
    </w:pPr>
    <w:rPr>
      <w:szCs w:val="20"/>
    </w:rPr>
  </w:style>
  <w:style w:type="paragraph" w:styleId="7">
    <w:name w:val="index 6"/>
    <w:basedOn w:val="1"/>
    <w:next w:val="1"/>
    <w:semiHidden/>
    <w:unhideWhenUsed/>
    <w:qFormat/>
    <w:uiPriority w:val="99"/>
    <w:pPr>
      <w:ind w:left="1000" w:leftChars="1000"/>
    </w:pPr>
  </w:style>
  <w:style w:type="paragraph" w:styleId="8">
    <w:name w:val="Plain Text"/>
    <w:basedOn w:val="1"/>
    <w:qFormat/>
    <w:uiPriority w:val="99"/>
    <w:pPr>
      <w:tabs>
        <w:tab w:val="left" w:pos="5890"/>
        <w:tab w:val="left" w:leader="middleDot" w:pos="8108"/>
      </w:tabs>
      <w:spacing w:line="223" w:lineRule="auto"/>
      <w:ind w:firstLine="380"/>
    </w:pPr>
    <w:rPr>
      <w:rFonts w:ascii="宋体" w:hAnsi="Courier New"/>
      <w:color w:val="000000"/>
      <w:kern w:val="0"/>
      <w:sz w:val="21"/>
      <w:szCs w:val="20"/>
    </w:rPr>
  </w:style>
  <w:style w:type="paragraph" w:styleId="9">
    <w:name w:val="Date"/>
    <w:basedOn w:val="1"/>
    <w:next w:val="1"/>
    <w:qFormat/>
    <w:uiPriority w:val="0"/>
    <w:pPr>
      <w:autoSpaceDE w:val="0"/>
      <w:autoSpaceDN w:val="0"/>
      <w:adjustRightInd w:val="0"/>
      <w:spacing w:line="240" w:lineRule="auto"/>
    </w:pPr>
    <w:rPr>
      <w:rFonts w:ascii="Copperplate Gothic Bold" w:hAnsi="Copperplate Gothic Bold"/>
      <w:kern w:val="0"/>
      <w:sz w:val="32"/>
      <w:szCs w:val="32"/>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tabs>
        <w:tab w:val="center" w:pos="4320"/>
        <w:tab w:val="right" w:pos="8640"/>
      </w:tabs>
    </w:p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qFormat/>
    <w:uiPriority w:val="0"/>
    <w:pPr>
      <w:jc w:val="left"/>
    </w:pPr>
    <w:rPr>
      <w:rFonts w:ascii="仿宋_GB2312" w:hAnsi="宋体" w:eastAsia="仿宋_GB231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
    <w:name w:val="Table Text"/>
    <w:basedOn w:val="1"/>
    <w:semiHidden/>
    <w:qFormat/>
    <w:uiPriority w:val="0"/>
    <w:rPr>
      <w:rFonts w:ascii="宋体" w:hAnsi="宋体" w:eastAsia="宋体" w:cs="宋体"/>
      <w:sz w:val="19"/>
      <w:szCs w:val="19"/>
      <w:lang w:val="en-US" w:eastAsia="en-US" w:bidi="ar-SA"/>
    </w:rPr>
  </w:style>
  <w:style w:type="table" w:customStyle="1" w:styleId="22">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3">
    <w:name w:val="表格文字中"/>
    <w:basedOn w:val="1"/>
    <w:autoRedefine/>
    <w:qFormat/>
    <w:uiPriority w:val="0"/>
    <w:pPr>
      <w:adjustRightInd w:val="0"/>
      <w:snapToGrid w:val="0"/>
      <w:ind w:left="22" w:leftChars="8"/>
      <w:jc w:val="center"/>
    </w:pPr>
    <w:rPr>
      <w:kern w:val="0"/>
      <w:szCs w:val="24"/>
    </w:rPr>
  </w:style>
  <w:style w:type="paragraph" w:customStyle="1" w:styleId="24">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25">
    <w:name w:val="表格文字"/>
    <w:basedOn w:val="1"/>
    <w:autoRedefine/>
    <w:qFormat/>
    <w:uiPriority w:val="0"/>
    <w:pPr>
      <w:spacing w:before="25" w:beforeLines="0" w:after="25" w:afterLines="0"/>
      <w:jc w:val="left"/>
    </w:pPr>
    <w:rPr>
      <w:bCs/>
      <w:spacing w:val="10"/>
      <w:kern w:val="0"/>
      <w:sz w:val="24"/>
      <w:szCs w:val="20"/>
    </w:rPr>
  </w:style>
  <w:style w:type="paragraph" w:customStyle="1" w:styleId="26">
    <w:name w:val="Char1"/>
    <w:basedOn w:val="1"/>
    <w:autoRedefine/>
    <w:qFormat/>
    <w:uiPriority w:val="0"/>
    <w:rPr>
      <w:szCs w:val="21"/>
    </w:rPr>
  </w:style>
  <w:style w:type="paragraph" w:customStyle="1" w:styleId="27">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28">
    <w:name w:val="4"/>
    <w:basedOn w:val="1"/>
    <w:next w:val="29"/>
    <w:autoRedefine/>
    <w:qFormat/>
    <w:uiPriority w:val="34"/>
    <w:pPr>
      <w:ind w:firstLine="420" w:firstLineChars="200"/>
    </w:pPr>
    <w:rPr>
      <w:rFonts w:eastAsia="@方正兰亭黑简体"/>
    </w:rPr>
  </w:style>
  <w:style w:type="paragraph" w:customStyle="1" w:styleId="29">
    <w:name w:val="List Paragraph"/>
    <w:basedOn w:val="1"/>
    <w:autoRedefine/>
    <w:qFormat/>
    <w:uiPriority w:val="34"/>
    <w:pPr>
      <w:ind w:firstLine="420" w:firstLineChars="200"/>
    </w:pPr>
    <w:rPr>
      <w:rFonts w:ascii="Calibri" w:hAnsi="Calibri"/>
      <w:szCs w:val="22"/>
    </w:rPr>
  </w:style>
  <w:style w:type="paragraph" w:customStyle="1" w:styleId="30">
    <w:name w:val="公文一级标题"/>
    <w:basedOn w:val="1"/>
    <w:qFormat/>
    <w:uiPriority w:val="0"/>
    <w:pPr>
      <w:ind w:firstLine="640" w:firstLineChars="200"/>
    </w:pPr>
    <w:rPr>
      <w:rFonts w:hint="eastAsia" w:ascii="黑体" w:hAnsi="黑体" w:eastAsia="黑体" w:cs="黑体"/>
      <w:sz w:val="32"/>
      <w:szCs w:val="32"/>
      <w:lang w:val="en-US" w:eastAsia="zh-CN" w:bidi="ar-SA"/>
    </w:rPr>
  </w:style>
  <w:style w:type="paragraph" w:customStyle="1" w:styleId="31">
    <w:name w:val="公文正文"/>
    <w:basedOn w:val="1"/>
    <w:qFormat/>
    <w:uiPriority w:val="0"/>
    <w:pPr>
      <w:ind w:firstLine="640" w:firstLineChars="200"/>
    </w:pPr>
    <w:rPr>
      <w:rFonts w:hint="eastAsia" w:ascii="方正仿宋_GB2312" w:hAnsi="方正仿宋_GB2312" w:eastAsia="方正仿宋_GB2312" w:cs="方正仿宋_GB2312"/>
      <w:sz w:val="32"/>
      <w:szCs w:val="32"/>
      <w:lang w:val="en-US" w:eastAsia="zh-CN" w:bidi="ar-SA"/>
    </w:rPr>
  </w:style>
  <w:style w:type="character" w:customStyle="1" w:styleId="32">
    <w:name w:val="Char2"/>
    <w:qFormat/>
    <w:uiPriority w:val="0"/>
    <w:rPr>
      <w:rFonts w:ascii="Arial" w:hAnsi="Arial" w:eastAsia="黑体"/>
      <w:b/>
      <w:bCs/>
      <w:kern w:val="2"/>
      <w:sz w:val="32"/>
      <w:szCs w:val="32"/>
      <w:lang w:val="en-US" w:eastAsia="zh-CN" w:bidi="ar-SA"/>
    </w:rPr>
  </w:style>
  <w:style w:type="paragraph" w:customStyle="1" w:styleId="33">
    <w:name w:val="null3"/>
    <w:hidden/>
    <w:qFormat/>
    <w:uiPriority w:val="0"/>
    <w:rPr>
      <w:rFonts w:hint="eastAsia" w:ascii="Calibri" w:hAnsi="Calibri" w:eastAsia="宋体" w:cs="黑体"/>
      <w:lang w:val="en-US" w:eastAsia="zh-CN" w:bidi="ar-SA"/>
    </w:rPr>
  </w:style>
  <w:style w:type="paragraph" w:customStyle="1" w:styleId="3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26154</Words>
  <Characters>28007</Characters>
  <Lines>0</Lines>
  <Paragraphs>0</Paragraphs>
  <TotalTime>67</TotalTime>
  <ScaleCrop>false</ScaleCrop>
  <LinksUpToDate>false</LinksUpToDate>
  <CharactersWithSpaces>28038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2025-11-11T02:08:00Z</dcterms:created>
  <dc:creator>Ndxgtt-</dc:creator>
  <cp:lastModifiedBy>Ndxgtt-</cp:lastModifiedBy>
  <dcterms:modified xsi:type="dcterms:W3CDTF">2025-12-20T04:46:12Z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A8E857E39D6740718CCFCB475FB18BC2_13</vt:lpwstr>
  </property>
  <property fmtid="{D5CDD505-2E9C-101B-9397-08002B2CF9AE}" pid="4" name="KSOTemplateDocerSaveRecord">
    <vt:lpwstr>eyJoZGlkIjoiZjJiYzRjZDg4ODIxMmZkMzVjYzYxNzIzMDEwYjJjY2IiLCJ1c2VySWQiOiI4MjcxMjAyNDEifQ==</vt:lpwstr>
  </property>
</Properties>
</file>