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68"/>
      <w:bookmarkStart w:id="1" w:name="_Toc21955"/>
      <w:bookmarkStart w:id="2" w:name="_Toc519156735"/>
      <w:bookmarkStart w:id="3" w:name="_Toc495908398"/>
    </w:p>
    <w:p w14:paraId="3FBBC90F">
      <w:pPr>
        <w:jc w:val="center"/>
        <w:rPr>
          <w:rFonts w:hint="eastAsia" w:ascii="宋体" w:hAnsi="宋体" w:eastAsia="宋体" w:cs="宋体"/>
        </w:rPr>
      </w:pPr>
      <w:r>
        <w:rPr>
          <w:rFonts w:hint="eastAsia" w:ascii="宋体" w:hAnsi="宋体" w:cs="宋体"/>
          <w:b/>
          <w:bCs/>
          <w:color w:val="auto"/>
          <w:sz w:val="48"/>
          <w:szCs w:val="48"/>
          <w:highlight w:val="none"/>
          <w:lang w:val="en-US" w:eastAsia="zh-CN"/>
        </w:rPr>
        <w:t>交通基础设施智能感知与协同管控关键技术研究（二次）</w:t>
      </w:r>
    </w:p>
    <w:p w14:paraId="5FE1F06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XHZB-25-089.1.2B1</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w:t>
      </w:r>
      <w:r>
        <w:rPr>
          <w:rFonts w:hint="eastAsia" w:ascii="宋体" w:hAnsi="宋体" w:cs="宋体"/>
          <w:b/>
          <w:bCs/>
          <w:sz w:val="36"/>
          <w:szCs w:val="36"/>
          <w:highlight w:val="none"/>
          <w:lang w:val="en-US" w:eastAsia="zh-CN"/>
        </w:rPr>
        <w:t>二</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8474"/>
      <w:bookmarkStart w:id="7" w:name="_Toc495908399"/>
      <w:bookmarkStart w:id="8" w:name="_Toc26933"/>
      <w:bookmarkStart w:id="9" w:name="_Toc2990"/>
      <w:bookmarkStart w:id="10" w:name="_Toc519156736"/>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交通基础设施智能感知与协同管控关键技术研究（</w:t>
      </w:r>
      <w:r>
        <w:rPr>
          <w:rFonts w:hint="eastAsia" w:cs="宋体"/>
          <w:highlight w:val="none"/>
          <w:lang w:val="en-US" w:eastAsia="zh-CN"/>
        </w:rPr>
        <w:t>二次</w:t>
      </w:r>
      <w:r>
        <w:rPr>
          <w:rFonts w:hint="eastAsia" w:cs="宋体"/>
          <w:highlight w:val="none"/>
          <w:lang w:eastAsia="zh-CN"/>
        </w:rPr>
        <w:t>）</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陕西省西安市雁塔区二环南路东段22号凯森盛世一号A座14层13A04室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22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项目编号：XHZB-25-089.1.2B1</w:t>
      </w:r>
    </w:p>
    <w:p w14:paraId="2746C3F3">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交通基础设施智能感知与协同管控关键技术研究（二次）</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桥梁安全预警视觉智能感知关键技术研究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桥梁安全预警视觉智能感知关键技术研究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桥梁安全预警视觉智能感知关键技术研究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复杂态势下机场空地协同管控方法及应用</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7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复杂态势下机场空地协同管控方法及应用</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复杂态势下机场空地协同管控方法及应用</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highlight w:val="none"/>
        </w:rPr>
        <w:t>合同包1(</w:t>
      </w:r>
      <w:r>
        <w:rPr>
          <w:rFonts w:hint="eastAsia" w:ascii="宋体" w:hAnsi="宋体" w:cs="宋体"/>
          <w:highlight w:val="none"/>
          <w:lang w:eastAsia="zh-CN"/>
        </w:rPr>
        <w:t>交通基础设施智能感知与协同管控关键技术研究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1173F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合同包2（</w:t>
      </w:r>
      <w:r>
        <w:rPr>
          <w:rFonts w:hint="eastAsia" w:ascii="宋体" w:hAnsi="宋体" w:cs="宋体"/>
          <w:highlight w:val="none"/>
          <w:lang w:eastAsia="zh-CN"/>
        </w:rPr>
        <w:t>复杂态势下机场空地协同管控方法及应用</w:t>
      </w:r>
      <w:r>
        <w:rPr>
          <w:rFonts w:hint="eastAsia" w:ascii="宋体" w:hAnsi="宋体" w:cs="宋体"/>
          <w:sz w:val="24"/>
          <w:highlight w:val="none"/>
          <w:lang w:val="en-US" w:eastAsia="zh-CN"/>
        </w:rPr>
        <w:t>）</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 xml:space="preserve">日至2025年12月17日，每天上午 </w:t>
      </w:r>
      <w:r>
        <w:rPr>
          <w:rFonts w:hint="eastAsia"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:00 至 12:00:00 ，下午 14:00:00 至 17:00:00 （北京时间,法定节假日除外）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w:t>
      </w:r>
      <w:r>
        <w:rPr>
          <w:rFonts w:hint="eastAsia" w:cs="宋体"/>
          <w:highlight w:val="none"/>
          <w:lang w:val="en-US" w:eastAsia="zh-CN"/>
        </w:rPr>
        <w:t>14层</w:t>
      </w:r>
      <w:r>
        <w:rPr>
          <w:rFonts w:hint="eastAsia" w:ascii="宋体" w:hAnsi="宋体" w:eastAsia="宋体" w:cs="宋体"/>
          <w:highlight w:val="none"/>
          <w:lang w:eastAsia="zh-CN"/>
        </w:rPr>
        <w:t>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highlight w:val="none"/>
          <w:lang w:val="en-US" w:eastAsia="zh-CN"/>
        </w:rPr>
        <w:t xml:space="preserve">2025年12月22日 14时00分00秒 </w:t>
      </w:r>
      <w:r>
        <w:rPr>
          <w:rFonts w:hint="eastAsia" w:ascii="宋体" w:hAnsi="宋体" w:eastAsia="宋体" w:cs="宋体"/>
          <w:i w:val="0"/>
          <w:iCs w:val="0"/>
          <w:caps w:val="0"/>
          <w:color w:val="auto"/>
          <w:spacing w:val="0"/>
          <w:sz w:val="24"/>
          <w:szCs w:val="24"/>
          <w:highlight w:val="none"/>
        </w:rPr>
        <w:t>（北京时间）</w:t>
      </w:r>
    </w:p>
    <w:p w14:paraId="28B245A9">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w:t>
      </w:r>
      <w:r>
        <w:rPr>
          <w:rFonts w:hint="eastAsia" w:cs="宋体"/>
          <w:highlight w:val="none"/>
          <w:lang w:val="en-US" w:eastAsia="zh-CN"/>
        </w:rPr>
        <w:t>14层</w:t>
      </w:r>
      <w:r>
        <w:rPr>
          <w:rFonts w:hint="eastAsia" w:ascii="宋体" w:hAnsi="宋体" w:eastAsia="宋体" w:cs="宋体"/>
          <w:highlight w:val="none"/>
          <w:lang w:eastAsia="zh-CN"/>
        </w:rPr>
        <w:t>13A04室</w:t>
      </w:r>
    </w:p>
    <w:p w14:paraId="4B50689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 xml:space="preserve">2025年12月22日 14时00分00秒 </w:t>
      </w:r>
      <w:r>
        <w:rPr>
          <w:rFonts w:hint="eastAsia" w:ascii="宋体" w:hAnsi="宋体" w:eastAsia="宋体" w:cs="宋体"/>
          <w:i w:val="0"/>
          <w:iCs w:val="0"/>
          <w:caps w:val="0"/>
          <w:color w:val="auto"/>
          <w:spacing w:val="0"/>
          <w:sz w:val="24"/>
          <w:szCs w:val="24"/>
          <w:highlight w:val="none"/>
        </w:rPr>
        <w:t>（北京时间）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w:t>
      </w:r>
      <w:r>
        <w:rPr>
          <w:rFonts w:hint="eastAsia" w:ascii="宋体" w:hAnsi="宋体" w:eastAsia="宋体" w:cs="宋体"/>
          <w:highlight w:val="none"/>
          <w:lang w:eastAsia="zh-CN"/>
        </w:rPr>
        <w:t>陕西省西安市雁塔区二环南路东段22号凯森盛世一号A座14层13A04室</w:t>
      </w:r>
      <w:bookmarkStart w:id="123" w:name="_GoBack"/>
      <w:bookmarkEnd w:id="123"/>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万仕彬、耿萍、黄菲、田丰原</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万仕彬、耿萍、黄菲、田丰原</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 xml:space="preserve">2025年12月22日 14时00分00秒 </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highlight w:val="none"/>
                <w:lang w:val="en-US" w:eastAsia="zh-CN"/>
              </w:rPr>
              <w:t xml:space="preserve">2025年12月22日 14时00分00秒 </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32286"/>
            <w:bookmarkStart w:id="13" w:name="_Toc519156737"/>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519156746"/>
      <w:bookmarkStart w:id="19" w:name="_Toc26143"/>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2298"/>
      <w:bookmarkStart w:id="22" w:name="_Toc519156738"/>
      <w:bookmarkStart w:id="23" w:name="_Toc13421"/>
      <w:bookmarkStart w:id="24" w:name="_Toc12414"/>
      <w:bookmarkStart w:id="25" w:name="_Toc24454"/>
      <w:bookmarkStart w:id="26" w:name="_Toc25586"/>
      <w:bookmarkStart w:id="27" w:name="_Toc7253"/>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519156739"/>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10773"/>
      <w:bookmarkStart w:id="33" w:name="_Toc17134"/>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28014"/>
      <w:bookmarkStart w:id="36" w:name="_Toc18132"/>
      <w:bookmarkStart w:id="37" w:name="_Toc16846"/>
      <w:bookmarkStart w:id="38" w:name="_Toc1168"/>
      <w:bookmarkStart w:id="39" w:name="_Toc8808"/>
      <w:bookmarkStart w:id="40" w:name="_Toc22803"/>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2515"/>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32447"/>
      <w:bookmarkStart w:id="49" w:name="_Toc519156742"/>
      <w:bookmarkStart w:id="50" w:name="_Toc14489"/>
      <w:bookmarkStart w:id="51" w:name="_Toc1285"/>
      <w:bookmarkStart w:id="52" w:name="_Toc4585"/>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519156743"/>
      <w:bookmarkStart w:id="55" w:name="_Toc6759"/>
      <w:bookmarkStart w:id="56" w:name="_Toc1954"/>
      <w:bookmarkStart w:id="57" w:name="_Toc15015"/>
      <w:bookmarkStart w:id="58" w:name="_Toc13700"/>
      <w:bookmarkStart w:id="59" w:name="_Toc12452"/>
      <w:bookmarkStart w:id="60" w:name="_Toc21838"/>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19721"/>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1776"/>
      <w:bookmarkStart w:id="65" w:name="_Toc26927"/>
      <w:bookmarkStart w:id="66" w:name="_Toc729"/>
      <w:bookmarkStart w:id="67" w:name="_Toc12773"/>
      <w:bookmarkStart w:id="68" w:name="_Toc30935"/>
      <w:bookmarkStart w:id="69" w:name="_Toc14277"/>
      <w:bookmarkStart w:id="70" w:name="_Toc5011"/>
      <w:bookmarkStart w:id="71" w:name="_Toc11936"/>
      <w:bookmarkStart w:id="72" w:name="_Toc23647"/>
      <w:bookmarkStart w:id="73" w:name="_Toc23716"/>
      <w:bookmarkStart w:id="74" w:name="_Toc519156745"/>
      <w:bookmarkStart w:id="75" w:name="_Toc23884"/>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18282"/>
      <w:bookmarkStart w:id="78" w:name="_Toc10165"/>
      <w:bookmarkStart w:id="79" w:name="_Toc5878"/>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8268"/>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333A0BCC">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31CB29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（一）项目背景</w:t>
      </w:r>
    </w:p>
    <w:p w14:paraId="2D45926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为应对传统桥梁人工巡检效率低、风险高、无法实时预警的挑战，本项目旨在利用计算机视觉与人工智能技术，研发自动化、智能化的安全监测解决方案，以提升桥梁管养水平，防范安全事故。</w:t>
      </w:r>
    </w:p>
    <w:p w14:paraId="077C040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（二）采购内容</w:t>
      </w:r>
    </w:p>
    <w:p w14:paraId="16F2F95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研发复杂环境下桥梁表观病害（裂缝、剥落等）智能识别算法</w:t>
      </w:r>
    </w:p>
    <w:p w14:paraId="7935798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开发基于视频的非接触式结构变形测量技术</w:t>
      </w:r>
    </w:p>
    <w:p w14:paraId="19E919C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建立桥梁周边环境风险（船舶、车辆）感知预警系统</w:t>
      </w:r>
    </w:p>
    <w:p w14:paraId="2FE42C4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构建多源数据融合的智能预警模型</w:t>
      </w:r>
    </w:p>
    <w:p w14:paraId="27B6B41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完成系统原型集成与实地验证</w:t>
      </w:r>
    </w:p>
    <w:p w14:paraId="348E936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（三）功能要求</w:t>
      </w:r>
    </w:p>
    <w:p w14:paraId="7204436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支持多路视频流实时接入与分析</w:t>
      </w:r>
    </w:p>
    <w:p w14:paraId="3FE4324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实现病害自动识别、结构变形测量、风险目标报警</w:t>
      </w:r>
    </w:p>
    <w:p w14:paraId="4AE32FA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提供数据可视化看板与分级预警管理</w:t>
      </w:r>
    </w:p>
    <w:p w14:paraId="7681218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具备用户权限管理、系统配置等维护功能</w:t>
      </w:r>
    </w:p>
    <w:p w14:paraId="2FF0764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（四）技术指标</w:t>
      </w:r>
    </w:p>
    <w:p w14:paraId="19DB66D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裂缝识别精度≥90%，风险目标识别率≥95%</w:t>
      </w:r>
    </w:p>
    <w:p w14:paraId="5FD9CFD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位移测量精度≤1mm，频率测量误差≤2%</w:t>
      </w:r>
    </w:p>
    <w:p w14:paraId="0D1A7B34">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分析延迟≤3秒，误报率≤5%</w:t>
      </w:r>
    </w:p>
    <w:p w14:paraId="091681E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支持≥4路视频并发分析</w:t>
      </w:r>
    </w:p>
    <w:p w14:paraId="4024B91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（五）成果要求</w:t>
      </w:r>
    </w:p>
    <w:p w14:paraId="021CE9E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可运行的系统原型及全部源代码</w:t>
      </w:r>
    </w:p>
    <w:p w14:paraId="2EE815F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训练好的算法模型及相关数据集</w:t>
      </w:r>
    </w:p>
    <w:p w14:paraId="1E16319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关键技术研究报告</w:t>
      </w:r>
    </w:p>
    <w:p w14:paraId="29277BEC">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系统测试验证报告</w:t>
      </w:r>
    </w:p>
    <w:p w14:paraId="7BAD0DF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相关知识产权归采购方所有</w:t>
      </w:r>
    </w:p>
    <w:p w14:paraId="7187183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二、其他要求</w:t>
      </w:r>
    </w:p>
    <w:p w14:paraId="7320029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FA79FD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12F9C2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B7F529F">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101F5E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应当在合同签订的7日内，按照合同金额的5％，作为履约保证金交付给</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，此款项不计利息或资金占用费。</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在收到</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履约保证金的一个月内，向</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全额支付合同费用。保证期自</w:t>
      </w:r>
      <w:r>
        <w:rPr>
          <w:rFonts w:hint="eastAsia" w:ascii="宋体" w:hAnsi="宋体" w:cs="宋体"/>
          <w:color w:val="auto"/>
          <w:kern w:val="2"/>
          <w:sz w:val="24"/>
          <w:szCs w:val="24"/>
          <w:highlight w:val="none"/>
          <w:lang w:val="en-US" w:eastAsia="zh-CN" w:bidi="ar-SA"/>
        </w:rPr>
        <w:t>采购人供应商</w:t>
      </w:r>
      <w:r>
        <w:rPr>
          <w:rFonts w:hint="eastAsia" w:ascii="宋体" w:hAnsi="宋体" w:eastAsia="宋体" w:cs="宋体"/>
          <w:color w:val="auto"/>
          <w:kern w:val="2"/>
          <w:sz w:val="24"/>
          <w:szCs w:val="24"/>
          <w:highlight w:val="none"/>
          <w:lang w:val="en-US" w:eastAsia="zh-CN" w:bidi="ar-SA"/>
        </w:rPr>
        <w:t>双方签订合同生效之日起至项目验收通过且双方无任何争议后的15日内，保证期后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合同履行情况，按照合同相关约定无息退还履约保证金给</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w:t>
      </w:r>
    </w:p>
    <w:p w14:paraId="5702745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7D19BE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9321A1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A6CC159">
      <w:pPr>
        <w:rPr>
          <w:rFonts w:hint="eastAsia"/>
        </w:rPr>
      </w:pPr>
      <w:r>
        <w:rPr>
          <w:rFonts w:hint="eastAsia"/>
          <w:lang w:eastAsia="zh-CN"/>
        </w:rPr>
        <w:t>（</w:t>
      </w:r>
      <w:r>
        <w:rPr>
          <w:rFonts w:hint="eastAsia"/>
        </w:rPr>
        <w:t>一</w:t>
      </w:r>
      <w:r>
        <w:rPr>
          <w:rFonts w:hint="eastAsia"/>
          <w:lang w:eastAsia="zh-CN"/>
        </w:rPr>
        <w:t>）</w:t>
      </w:r>
      <w:r>
        <w:rPr>
          <w:rFonts w:hint="eastAsia"/>
        </w:rPr>
        <w:t xml:space="preserve"> 项目背景</w:t>
      </w:r>
    </w:p>
    <w:p w14:paraId="7707DF2D">
      <w:pPr>
        <w:rPr>
          <w:rFonts w:hint="eastAsia"/>
        </w:rPr>
      </w:pPr>
      <w:r>
        <w:rPr>
          <w:rFonts w:hint="eastAsia"/>
        </w:rPr>
        <w:t>陕西地区航空运输量快速增长，空域结构复杂，军民航飞行密集，加之复杂气象影响，导致机场运行效率面临巨大压力。目前，机场、空管、航空公司等关键单位之间的信息共享不畅、协同决策效率不高，在航班排序、地面保障和应急响应等方面存在瓶颈，影响了整体运行安全与正点率。</w:t>
      </w:r>
    </w:p>
    <w:p w14:paraId="66B6DC4A">
      <w:pPr>
        <w:rPr>
          <w:rFonts w:hint="eastAsia"/>
        </w:rPr>
      </w:pPr>
      <w:r>
        <w:rPr>
          <w:rFonts w:hint="eastAsia"/>
        </w:rPr>
        <w:t>为解决上述问题，提升区域航空运行的整体效能，特设立本项目，旨在研究并建立一套先进的空地协同管控方法与实践应用系统。</w:t>
      </w:r>
    </w:p>
    <w:p w14:paraId="4E914588">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 xml:space="preserve"> 项目目标</w:t>
      </w:r>
    </w:p>
    <w:p w14:paraId="7B88B53E">
      <w:pPr>
        <w:rPr>
          <w:rFonts w:hint="eastAsia"/>
        </w:rPr>
      </w:pPr>
      <w:r>
        <w:rPr>
          <w:rFonts w:hint="eastAsia"/>
        </w:rPr>
        <w:t>本项目总体目标是构建一个信息共享、智能决策、协同高效的机场空地协同管控平台。具体目标如下：</w:t>
      </w:r>
    </w:p>
    <w:p w14:paraId="3144FD3B">
      <w:pPr>
        <w:rPr>
          <w:rFonts w:hint="eastAsia"/>
        </w:rPr>
      </w:pPr>
      <w:r>
        <w:rPr>
          <w:rFonts w:hint="eastAsia"/>
        </w:rPr>
        <w:t>1. 提升效率：通过优化航班全程管理（从起飞、着陆到地面滑行），有效减少航班延误，提升航班正点率和机场资源利用率。</w:t>
      </w:r>
    </w:p>
    <w:p w14:paraId="5F444E8F">
      <w:pPr>
        <w:rPr>
          <w:rFonts w:hint="eastAsia"/>
        </w:rPr>
      </w:pPr>
      <w:r>
        <w:rPr>
          <w:rFonts w:hint="eastAsia"/>
        </w:rPr>
        <w:t>2. 保障安全：增强对跑道、滑行道等关键区域的冲突预警和管控能力，提高运行安全裕度。</w:t>
      </w:r>
    </w:p>
    <w:p w14:paraId="602BD09F">
      <w:pPr>
        <w:rPr>
          <w:rFonts w:hint="eastAsia"/>
        </w:rPr>
      </w:pPr>
      <w:r>
        <w:rPr>
          <w:rFonts w:hint="eastAsia"/>
        </w:rPr>
        <w:t>3. 加强协同：打破信息壁垒，建立机场、空管、航司等多方统一的协同指挥与决策机制。</w:t>
      </w:r>
    </w:p>
    <w:p w14:paraId="14E8D873">
      <w:pPr>
        <w:rPr>
          <w:rFonts w:hint="eastAsia"/>
        </w:rPr>
      </w:pPr>
      <w:r>
        <w:rPr>
          <w:rFonts w:hint="eastAsia"/>
        </w:rPr>
        <w:t>4. 智能应急：提升在面对恶劣天气、设备故障等特殊情况下的快速响应和协同处置能力。</w:t>
      </w:r>
    </w:p>
    <w:p w14:paraId="41D47CD1">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实施与交付要求</w:t>
      </w:r>
    </w:p>
    <w:p w14:paraId="25AE7269">
      <w:pPr>
        <w:rPr>
          <w:rFonts w:hint="eastAsia"/>
        </w:rPr>
      </w:pPr>
      <w:r>
        <w:rPr>
          <w:rFonts w:hint="eastAsia"/>
        </w:rPr>
        <w:t>1. 交付内容：</w:t>
      </w:r>
    </w:p>
    <w:p w14:paraId="2D17E14A">
      <w:pPr>
        <w:rPr>
          <w:rFonts w:hint="eastAsia"/>
        </w:rPr>
      </w:pPr>
      <w:r>
        <w:rPr>
          <w:rFonts w:hint="eastAsia"/>
        </w:rPr>
        <w:t xml:space="preserve">   研究成果：包含协同管控方法、运行流程优化方案及核心算法模型的研究报告。</w:t>
      </w:r>
    </w:p>
    <w:p w14:paraId="2D1F425D">
      <w:pPr>
        <w:rPr>
          <w:rFonts w:hint="eastAsia"/>
        </w:rPr>
      </w:pPr>
      <w:r>
        <w:rPr>
          <w:rFonts w:hint="eastAsia"/>
        </w:rPr>
        <w:t xml:space="preserve">   软件系统：一套功能完备的“空地协同管控应用平台”软件，具备统一态势显示、智能决策支持、协同指挥等功能。</w:t>
      </w:r>
    </w:p>
    <w:p w14:paraId="5E27EF6F">
      <w:pPr>
        <w:rPr>
          <w:rFonts w:hint="eastAsia"/>
        </w:rPr>
      </w:pPr>
      <w:r>
        <w:rPr>
          <w:rFonts w:hint="eastAsia"/>
        </w:rPr>
        <w:t xml:space="preserve">   集成与部署：完成新平台与现有相关系统的数据对接和集成部署。</w:t>
      </w:r>
    </w:p>
    <w:p w14:paraId="62CE60BF">
      <w:pPr>
        <w:rPr>
          <w:rFonts w:hint="eastAsia"/>
        </w:rPr>
      </w:pPr>
      <w:r>
        <w:rPr>
          <w:rFonts w:hint="eastAsia"/>
        </w:rPr>
        <w:t>3. 质量与培训：</w:t>
      </w:r>
    </w:p>
    <w:p w14:paraId="5E29F2B0">
      <w:pPr>
        <w:rPr>
          <w:rFonts w:hint="eastAsia"/>
        </w:rPr>
      </w:pPr>
      <w:r>
        <w:rPr>
          <w:rFonts w:hint="eastAsia"/>
        </w:rPr>
        <w:t xml:space="preserve">   系统需运行稳定、可靠。</w:t>
      </w:r>
    </w:p>
    <w:p w14:paraId="0B69A6AE">
      <w:pPr>
        <w:rPr>
          <w:rFonts w:hint="eastAsia" w:ascii="宋体" w:hAnsi="宋体" w:eastAsia="宋体" w:cs="宋体"/>
          <w:b/>
          <w:bCs/>
          <w:color w:val="auto"/>
          <w:kern w:val="2"/>
          <w:sz w:val="24"/>
          <w:szCs w:val="24"/>
          <w:highlight w:val="none"/>
          <w:lang w:val="en-US" w:eastAsia="zh-CN" w:bidi="ar-SA"/>
        </w:rPr>
      </w:pPr>
      <w:r>
        <w:rPr>
          <w:rFonts w:hint="eastAsia"/>
        </w:rPr>
        <w:t xml:space="preserve">   中标人需提供全面的技术培训和不少于</w:t>
      </w:r>
      <w:r>
        <w:rPr>
          <w:rFonts w:hint="eastAsia"/>
          <w:lang w:val="en-US" w:eastAsia="zh-CN"/>
        </w:rPr>
        <w:t>2</w:t>
      </w:r>
      <w:r>
        <w:rPr>
          <w:rFonts w:hint="eastAsia"/>
        </w:rPr>
        <w:t>年的运维服务。</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auto"/>
          <w:sz w:val="28"/>
        </w:rPr>
      </w:pPr>
      <w:bookmarkStart w:id="91" w:name="_Toc27511"/>
      <w:bookmarkStart w:id="92"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color w:val="auto"/>
          <w:sz w:val="24"/>
          <w:szCs w:val="22"/>
        </w:rPr>
      </w:pPr>
      <w:r>
        <w:rPr>
          <w:rFonts w:hint="eastAsia" w:ascii="宋体" w:hAnsi="宋体" w:eastAsia="宋体" w:cs="宋体"/>
          <w:color w:val="auto"/>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color w:val="auto"/>
          <w:sz w:val="28"/>
        </w:rPr>
      </w:pPr>
      <w:r>
        <w:rPr>
          <w:rFonts w:hint="eastAsia" w:ascii="宋体" w:hAnsi="宋体" w:eastAsia="宋体" w:cs="宋体"/>
          <w:color w:val="auto"/>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auto"/>
          <w:sz w:val="28"/>
        </w:rPr>
      </w:pPr>
      <w:r>
        <w:rPr>
          <w:rFonts w:hint="eastAsia" w:ascii="宋体" w:hAnsi="宋体" w:eastAsia="宋体" w:cs="宋体"/>
          <w:color w:val="auto"/>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（注：要解决的主要技术难点和问题，要简明扼要）</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color w:val="auto"/>
                <w:sz w:val="28"/>
              </w:rPr>
            </w:pPr>
            <w:r>
              <w:rPr>
                <w:rFonts w:hint="eastAsia" w:ascii="宋体" w:hAnsi="宋体" w:eastAsia="宋体" w:cs="宋体"/>
                <w:color w:val="auto"/>
                <w:sz w:val="28"/>
              </w:rPr>
              <w:t>1．预期目标</w:t>
            </w:r>
          </w:p>
          <w:p w14:paraId="2A4292B9">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（注：是否填补技术空白（国际/国家/省级））</w:t>
            </w:r>
          </w:p>
          <w:p w14:paraId="490AB47F">
            <w:pPr>
              <w:ind w:left="420"/>
              <w:rPr>
                <w:rFonts w:hint="eastAsia" w:ascii="宋体" w:hAnsi="宋体" w:eastAsia="宋体" w:cs="宋体"/>
                <w:color w:val="auto"/>
                <w:sz w:val="28"/>
              </w:rPr>
            </w:pPr>
            <w:r>
              <w:rPr>
                <w:rFonts w:hint="eastAsia" w:ascii="宋体" w:hAnsi="宋体" w:eastAsia="宋体" w:cs="宋体"/>
                <w:color w:val="auto"/>
                <w:sz w:val="28"/>
              </w:rPr>
              <w:t>2．主要技术经济指标（具体的技术经济参数）</w:t>
            </w:r>
          </w:p>
          <w:p w14:paraId="1A23C17A">
            <w:pPr>
              <w:ind w:left="420"/>
              <w:rPr>
                <w:rFonts w:hint="eastAsia" w:ascii="宋体" w:hAnsi="宋体" w:eastAsia="宋体" w:cs="宋体"/>
                <w:color w:val="auto"/>
                <w:sz w:val="28"/>
              </w:rPr>
            </w:pPr>
            <w:r>
              <w:rPr>
                <w:rFonts w:hint="eastAsia" w:ascii="宋体" w:hAnsi="宋体" w:eastAsia="宋体" w:cs="宋体"/>
                <w:color w:val="auto"/>
                <w:sz w:val="28"/>
              </w:rPr>
              <w:t>3．经济和社会效益</w:t>
            </w:r>
          </w:p>
          <w:p w14:paraId="20DCF345">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（注：完成项目绩效目标）</w:t>
            </w:r>
          </w:p>
          <w:p w14:paraId="1FBCD7CF">
            <w:pPr>
              <w:ind w:left="420"/>
              <w:rPr>
                <w:rFonts w:hint="eastAsia" w:ascii="宋体" w:hAnsi="宋体" w:eastAsia="宋体" w:cs="宋体"/>
                <w:color w:val="auto"/>
                <w:sz w:val="28"/>
              </w:rPr>
            </w:pPr>
            <w:r>
              <w:rPr>
                <w:rFonts w:hint="eastAsia" w:ascii="宋体" w:hAnsi="宋体" w:eastAsia="宋体" w:cs="宋体"/>
                <w:color w:val="auto"/>
                <w:sz w:val="28"/>
              </w:rPr>
              <w:t>4．成果提供形式</w:t>
            </w:r>
          </w:p>
          <w:p w14:paraId="5868B1B5">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合同期间产生的，包括产品/工艺/材料/装备装置、软件系统、平台基地、人才团队、科技奖励、示范工程、试验段及推广工程的规模数量、技术指南、标准规范、指导意见、政策建议、出版学术专著，发表论文、专利、软件著作权等知识产权。</w:t>
            </w:r>
          </w:p>
          <w:p w14:paraId="7B41A970">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按照项目规模大小，应提供不少于1篇与成果密切相关的《中文核心期刊要目总览》论文，论文发表须注明：依托陕西交通科技项目及项目编号）</w:t>
            </w:r>
          </w:p>
          <w:p w14:paraId="439A9908">
            <w:pPr>
              <w:numPr>
                <w:ilvl w:val="0"/>
                <w:numId w:val="5"/>
              </w:numPr>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其他考核指标</w:t>
            </w:r>
          </w:p>
          <w:p w14:paraId="5D945F98">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（注：填写人才培养、技术交流、宣传报道指标等，</w:t>
            </w:r>
          </w:p>
          <w:p w14:paraId="701F10A3">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应开展的媒体宣传报道不少于3次，技术交流不少于1次，不得填写培养研究生、博硕士）。</w:t>
            </w:r>
          </w:p>
          <w:p w14:paraId="28B683D0">
            <w:pPr>
              <w:rPr>
                <w:rFonts w:hint="eastAsia" w:ascii="宋体" w:hAnsi="宋体" w:eastAsia="宋体" w:cs="宋体"/>
                <w:color w:val="auto"/>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kern w:val="2"/>
                <w:sz w:val="24"/>
                <w:szCs w:val="22"/>
                <w:lang w:val="en-US" w:eastAsia="zh-CN" w:bidi="ar-SA"/>
              </w:rPr>
              <w:t>（注：以季度为单位安排每年进度计划，计划内容应包括研究涉及的所有工作，如调查、试验、理论分析、依托工程验证情况等，并相应的明确每季度完成工作的量化程度和提交的阶段性成果）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注：预算编制按照《陕西省人民政府办公厅关于改革完善省级财政科研经费管理的实施意见》（陕政办发[2022]3号）文件执行。项目验收将组织财务专项验收或审计。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ind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17EF99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8ACA5A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4034B0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73AA151E">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ABA7DD3">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auto"/>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FF0000"/>
                <w:sz w:val="28"/>
                <w:szCs w:val="28"/>
              </w:rPr>
              <w:t>主要研究人员（注：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C89349">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4DD774D">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18566024">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69F118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28A7654">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0C616FF">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175CA691">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0E747C3">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5ABDFA1">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12FC141">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9C81BA5">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E80800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D876769">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F4F4CB6">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3AE14DA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45916ED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5B7F6407">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58AD9EC">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41C7DB82">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F6DEEF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7137BE6">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7672361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72AED4C0">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0361DDA">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0CFCFFE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14E44923">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2C026F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DD9E3BA">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6B164D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0C4451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67162C">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72C8E5B">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7D698F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EDDDC79">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7C057FB">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w:t>
      </w:r>
      <w:r>
        <w:rPr>
          <w:rFonts w:hint="eastAsia" w:ascii="宋体" w:hAnsi="宋体" w:eastAsia="宋体" w:cs="宋体"/>
          <w:b/>
          <w:color w:val="auto"/>
          <w:sz w:val="32"/>
          <w:highlight w:val="none"/>
        </w:rPr>
        <w:t>方</w:t>
      </w:r>
      <w:r>
        <w:rPr>
          <w:rFonts w:hint="eastAsia" w:ascii="宋体" w:hAnsi="宋体" w:eastAsia="宋体" w:cs="宋体"/>
          <w:b/>
          <w:color w:val="auto"/>
          <w:sz w:val="32"/>
          <w:highlight w:val="none"/>
          <w:lang w:eastAsia="zh-CN"/>
        </w:rPr>
        <w:t>（</w:t>
      </w:r>
      <w:r>
        <w:rPr>
          <w:rFonts w:hint="eastAsia" w:ascii="宋体" w:hAnsi="宋体" w:eastAsia="宋体" w:cs="宋体"/>
          <w:color w:val="auto"/>
          <w:sz w:val="24"/>
          <w:szCs w:val="22"/>
          <w:highlight w:val="none"/>
          <w:lang w:val="en-US" w:eastAsia="zh-CN"/>
        </w:rPr>
        <w:t>注：本页内容不得跨页！</w:t>
      </w:r>
      <w:r>
        <w:rPr>
          <w:rFonts w:hint="eastAsia" w:ascii="宋体" w:hAnsi="宋体" w:eastAsia="宋体" w:cs="宋体"/>
          <w:b/>
          <w:color w:val="auto"/>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133475"/>
                <wp:effectExtent l="5080" t="4445" r="7620" b="5080"/>
                <wp:wrapNone/>
                <wp:docPr id="2" name="文本框 2"/>
                <wp:cNvGraphicFramePr/>
                <a:graphic xmlns:a="http://schemas.openxmlformats.org/drawingml/2006/main">
                  <a:graphicData uri="http://schemas.microsoft.com/office/word/2010/wordprocessingShape">
                    <wps:wsp>
                      <wps:cNvSpPr txBox="1"/>
                      <wps:spPr>
                        <a:xfrm>
                          <a:off x="0" y="0"/>
                          <a:ext cx="2540000" cy="113347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9.25pt;width:200pt;z-index:251660288;mso-width-relative:page;mso-height-relative:page;" fillcolor="#FFFFFF" filled="t" stroked="t" coordsize="21600,21600" o:gfxdata="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1wT52AAAAAkBAAAPAAAAAAAAAAEAIAAA&#10;ACIAAABkcnMvZG93bnJldi54bWxQSwECFAAUAAAACACHTuJAa9RtHA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0930_WPSOffice_Level1"/>
      <w:bookmarkStart w:id="96" w:name="_Toc5592_WPSOffice_Level1"/>
      <w:bookmarkStart w:id="97" w:name="_Toc25996_WPSOffice_Level1"/>
      <w:bookmarkStart w:id="98" w:name="_Toc19196"/>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16163"/>
      <w:bookmarkStart w:id="103" w:name="_Toc26642"/>
      <w:bookmarkStart w:id="104" w:name="_Toc1838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3"/>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2541"/>
      <w:bookmarkStart w:id="111" w:name="_Toc17889"/>
      <w:bookmarkStart w:id="112"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12758"/>
      <w:bookmarkStart w:id="120"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交通基础设施智能感知与协同管控关键技术研究（</w:t>
    </w:r>
    <w:r>
      <w:rPr>
        <w:rFonts w:hint="eastAsia" w:ascii="仿宋" w:hAnsi="仿宋" w:eastAsia="仿宋" w:cs="仿宋"/>
        <w:sz w:val="21"/>
        <w:szCs w:val="21"/>
        <w:lang w:val="en-US" w:eastAsia="zh-CN"/>
      </w:rPr>
      <w:t>二次</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A77B8"/>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C16CFD"/>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DF55E90"/>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923088"/>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CE6DCC"/>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11BC4"/>
    <w:rsid w:val="1B387CCD"/>
    <w:rsid w:val="1B457073"/>
    <w:rsid w:val="1B6A61A2"/>
    <w:rsid w:val="1BA64C58"/>
    <w:rsid w:val="1BAA7C5C"/>
    <w:rsid w:val="1BBE2342"/>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187F8E"/>
    <w:rsid w:val="1F975C85"/>
    <w:rsid w:val="1F9A41B9"/>
    <w:rsid w:val="1FB12E34"/>
    <w:rsid w:val="1FF01EC7"/>
    <w:rsid w:val="203748DC"/>
    <w:rsid w:val="205310CF"/>
    <w:rsid w:val="205552D0"/>
    <w:rsid w:val="209566F8"/>
    <w:rsid w:val="20F65BB1"/>
    <w:rsid w:val="21204F2B"/>
    <w:rsid w:val="215C54B8"/>
    <w:rsid w:val="21E446F9"/>
    <w:rsid w:val="2282237E"/>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4E675DF"/>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5156BB"/>
    <w:rsid w:val="5F724A35"/>
    <w:rsid w:val="5F7D4C95"/>
    <w:rsid w:val="5F8748DA"/>
    <w:rsid w:val="5F92022D"/>
    <w:rsid w:val="5FD11532"/>
    <w:rsid w:val="60096A5F"/>
    <w:rsid w:val="60201E9B"/>
    <w:rsid w:val="602867D3"/>
    <w:rsid w:val="603E2C7E"/>
    <w:rsid w:val="606A6585"/>
    <w:rsid w:val="608545AF"/>
    <w:rsid w:val="60C56AE9"/>
    <w:rsid w:val="60CA1CA6"/>
    <w:rsid w:val="60EC10DB"/>
    <w:rsid w:val="612D083D"/>
    <w:rsid w:val="61774699"/>
    <w:rsid w:val="61963FB3"/>
    <w:rsid w:val="620B398A"/>
    <w:rsid w:val="62127AB7"/>
    <w:rsid w:val="623854C9"/>
    <w:rsid w:val="628337CD"/>
    <w:rsid w:val="62DE5D67"/>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4F722EF"/>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AB76EC"/>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27567</Words>
  <Characters>29082</Characters>
  <Lines>297</Lines>
  <Paragraphs>83</Paragraphs>
  <TotalTime>0</TotalTime>
  <ScaleCrop>false</ScaleCrop>
  <LinksUpToDate>false</LinksUpToDate>
  <CharactersWithSpaces>29501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百看不厌</cp:lastModifiedBy>
  <cp:lastPrinted>2023-04-13T01:31:00Z</cp:lastPrinted>
  <dcterms:modified xsi:type="dcterms:W3CDTF">2025-12-10T07:41:48Z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eyJoZGlkIjoiNTE5MTZhMTA0MTkxNDlhOGYyYzI2NjJmZTUzZjE2NWUiLCJ1c2VySWQiOiIxMDc2MzQwNzE3In0=</vt:lpwstr>
  </property>
</Properties>
</file>