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6DAFF">
      <w:pPr>
        <w:spacing w:line="360" w:lineRule="auto"/>
        <w:ind w:firstLine="361" w:firstLineChars="200"/>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铜川市王益区王益街道及桃园街道城镇开发边界外9个单元详细规划采购内容及要求</w:t>
      </w:r>
    </w:p>
    <w:p w14:paraId="2FC18035">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一、项目背景</w:t>
      </w:r>
    </w:p>
    <w:p w14:paraId="7CBB306E">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以中共中央国务院《关于建立国土空间规划体系并监督实施的若干意见》为根本遵循，严格坚守“三区三线”。自然资源部系列文件《关于加强国土空间详细规划工作的通知》、《关于做好城镇开发边界管理的通知》等明确要求，将详细规划范围扩展至城镇开发边界外，并对允许布局的零星城镇建设用地实行“正面清单”管理。</w:t>
      </w:r>
    </w:p>
    <w:p w14:paraId="5ED9F074">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2024 年起，陕西省自然资源厅陆续出台《陕西省国土空间规划传导指引(试行)》、《陕西省国土空间规划传导细则(试行)》，明确详细规划分为单元层面详细规划与实施层面详细规划(地块/村庄规划),详细规划是实施国土空间用途管制和核发建设用地规划许可证、建设工程规划许可证、乡村建设规划许可证等城乡建设项目规划许可以及实施城乡开发建设、整治更新、保护修复活动的法定依据，是优化城乡空间结构、完善功能配置、激发发展活力的实施性政策工具。</w:t>
      </w:r>
    </w:p>
    <w:p w14:paraId="61D69F3A">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二、主要目标</w:t>
      </w:r>
    </w:p>
    <w:p w14:paraId="27A9E1D2">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将上位国土空间总体规划的宏观目标、指标和管控要求，分解并落实到具体空间单元，确保“总体规划能落地、详细规划有依据”。通过单元详细规划，明确各地块用途、容量、风貌等管控要求，成为核发乡村建设规划许可证的法定依据，实现“一张蓝图管到底”。此外，在严守底线的前提下，通过科学规划保障农村产业融合、人居环境整治、基础设施建设等项目的合理空间需求，为乡村振兴战略的实施提供精准的空间赋能和要素保障。</w:t>
      </w:r>
    </w:p>
    <w:p w14:paraId="4DE3B4E5">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三、采购内容</w:t>
      </w:r>
    </w:p>
    <w:p w14:paraId="49494E1A">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依据《陕西省城镇开发边界外单元层面详细规划编制指南(试行)》及《陕西省城镇开发边界外单元层面详细规划数据库标准(试行)》，边界外单元详规成果构成主要为规划文本、规划图件、数据库等。规划文本应包括目标指标、底线管控、规划分区与用途结构调整、建设用地布局、资源利用、设施配置、历史文化保护、国土综合整治与生态修复、规划指引等内容。规划图件主要包括现状图和规划图两类，</w:t>
      </w:r>
      <w:r>
        <w:rPr>
          <w:rFonts w:hint="eastAsia" w:ascii="仿宋_GB2312" w:hAnsi="仿宋_GB2312" w:eastAsia="仿宋_GB2312" w:cs="仿宋_GB2312"/>
          <w:sz w:val="18"/>
          <w:szCs w:val="18"/>
          <w:highlight w:val="none"/>
        </w:rPr>
        <w:t>可结合实际与单元划定类型选择相关图件。数</w:t>
      </w:r>
      <w:r>
        <w:rPr>
          <w:rFonts w:hint="eastAsia" w:ascii="仿宋_GB2312" w:hAnsi="仿宋_GB2312" w:eastAsia="仿宋_GB2312" w:cs="仿宋_GB2312"/>
          <w:sz w:val="18"/>
          <w:szCs w:val="18"/>
        </w:rPr>
        <w:t>据库参照《陕西省城镇开发边界外单元层面详细规划数据库标准(试行)》(见单行本)有关要求制定。</w:t>
      </w:r>
    </w:p>
    <w:p w14:paraId="63E03AE0">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1、资料收集</w:t>
      </w:r>
    </w:p>
    <w:p w14:paraId="69F82F8E">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完成“三区三线”划定成果及近年来年度国家下发国土变更调查、遥感影像及数据库成果、单元划定成果、上位规划及相关规划成果及数据库、重点项目等资料收集。</w:t>
      </w:r>
    </w:p>
    <w:p w14:paraId="51E0B701">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2、现状调研与分析</w:t>
      </w:r>
    </w:p>
    <w:p w14:paraId="09FA3E1E">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通过与项目范围内街道及各村负责人的沟通，梳理街道、村现存问题、用地需求、重点项目等项目座谈及现场踏勘调研，进行各单元现状调研及分析。</w:t>
      </w:r>
    </w:p>
    <w:p w14:paraId="36B15309">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3、上位及相关规划落实</w:t>
      </w:r>
    </w:p>
    <w:p w14:paraId="52419F9C">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通过与上位规划、专项规划及相关规划的衔接，明确各单元重点项目及发展方向，明确单元功能定位、类型与发展目标，衔接上位规划要求，细化”三区三线"管控规则,落实刚性约束条件。</w:t>
      </w:r>
    </w:p>
    <w:p w14:paraId="545D8CE1">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4、方案衔接落实</w:t>
      </w:r>
    </w:p>
    <w:p w14:paraId="2952595B">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与区级部门及街道、村庄等进行需落实项目沟通确认，细化用地方案。</w:t>
      </w:r>
    </w:p>
    <w:p w14:paraId="0087142C">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5、方案深化</w:t>
      </w:r>
    </w:p>
    <w:p w14:paraId="1F92E16B">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优化用地布局方案，统筹生产、生活、生态空间，完善公共服务设施和基础设施配置标准，制定建筑高度、密度、风貌等</w:t>
      </w:r>
      <w:r>
        <w:rPr>
          <w:rFonts w:hint="eastAsia" w:ascii="仿宋_GB2312" w:hAnsi="仿宋_GB2312" w:eastAsia="仿宋_GB2312" w:cs="仿宋_GB2312"/>
          <w:sz w:val="18"/>
          <w:szCs w:val="18"/>
          <w:lang w:val="en-US" w:eastAsia="zh-CN"/>
        </w:rPr>
        <w:t>城乡</w:t>
      </w:r>
      <w:r>
        <w:rPr>
          <w:rFonts w:hint="eastAsia" w:ascii="仿宋_GB2312" w:hAnsi="仿宋_GB2312" w:eastAsia="仿宋_GB2312" w:cs="仿宋_GB2312"/>
          <w:sz w:val="18"/>
          <w:szCs w:val="18"/>
        </w:rPr>
        <w:t>设计管控要求，提出分期实施计划和近期建设重点。</w:t>
      </w:r>
    </w:p>
    <w:p w14:paraId="4EAD648E">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6、规划成果编制</w:t>
      </w:r>
    </w:p>
    <w:p w14:paraId="4385418C">
      <w:pPr>
        <w:spacing w:line="360" w:lineRule="auto"/>
        <w:ind w:firstLine="360" w:firstLineChars="20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编制规划文本、图件</w:t>
      </w:r>
      <w:r>
        <w:rPr>
          <w:rFonts w:hint="eastAsia" w:ascii="仿宋_GB2312" w:hAnsi="仿宋_GB2312" w:eastAsia="仿宋_GB2312" w:cs="仿宋_GB2312"/>
          <w:sz w:val="18"/>
          <w:szCs w:val="18"/>
          <w:highlight w:val="none"/>
          <w:lang w:val="en-US" w:eastAsia="zh-CN"/>
        </w:rPr>
        <w:t>及</w:t>
      </w:r>
      <w:r>
        <w:rPr>
          <w:rFonts w:hint="eastAsia" w:ascii="仿宋_GB2312" w:hAnsi="仿宋_GB2312" w:eastAsia="仿宋_GB2312" w:cs="仿宋_GB2312"/>
          <w:sz w:val="18"/>
          <w:szCs w:val="18"/>
          <w:highlight w:val="none"/>
        </w:rPr>
        <w:t>数据库。</w:t>
      </w:r>
    </w:p>
    <w:p w14:paraId="5A08FE7E">
      <w:pPr>
        <w:spacing w:line="360" w:lineRule="auto"/>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7、质量检查及成果汇交</w:t>
      </w:r>
    </w:p>
    <w:p w14:paraId="1FB0BA03">
      <w:pPr>
        <w:spacing w:line="360" w:lineRule="auto"/>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在成果提交前进行数据库质检，保证数据完整性、标准符合性、数据一致性、空间拓扑及业务符合性等方面的质量，成果数据应符合“一张图”的数据内容、格式和命名要求等。</w:t>
      </w:r>
    </w:p>
    <w:p w14:paraId="53FFEEDD">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四、规划编制范围</w:t>
      </w:r>
    </w:p>
    <w:p w14:paraId="6C952E7C">
      <w:pPr>
        <w:ind w:firstLine="270" w:firstLineChars="1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本次规划编制范围共计9个单元，其中王益街道8个单元，桃园街道1个单元，用地面积共计29.98平方公里。</w:t>
      </w:r>
    </w:p>
    <w:p w14:paraId="73D0624C">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五、商务要求</w:t>
      </w:r>
    </w:p>
    <w:p w14:paraId="0B8CB7BD">
      <w:pPr>
        <w:ind w:firstLine="270" w:firstLineChars="1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1、交付期：自合同签订之日起90日历天。</w:t>
      </w:r>
    </w:p>
    <w:p w14:paraId="0D1C3431">
      <w:pPr>
        <w:ind w:firstLine="270" w:firstLineChars="15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2、交付内容：包括规划成果的电子文档1份和正式印刷文本1份。</w:t>
      </w:r>
    </w:p>
    <w:p w14:paraId="0F959914">
      <w:pPr>
        <w:ind w:firstLine="270" w:firstLineChars="150"/>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3、交付条件：根据国家、省市有关技术规范规程要求。</w:t>
      </w:r>
    </w:p>
    <w:p w14:paraId="3EC09A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5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2025-12-26T09:21:59Z</dcterms:created>
  <dc:creator>Administrator</dc:creator>
  <cp:lastModifiedBy>韩朵</cp:lastModifiedBy>
  <dcterms:modified xsi:type="dcterms:W3CDTF">2025-12-26T09:22:06Z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eyJoZGlkIjoiNmQ0NGQ4MGM5OWU4YzVjNjVkMmVkMGNmYjk1NGQzMWUiLCJ1c2VySWQiOiI0NzI2OTg0NjMifQ==</vt:lpwstr>
  </property>
  <property fmtid="{D5CDD505-2E9C-101B-9397-08002B2CF9AE}" pid="4" name="ICV">
    <vt:lpwstr>8EA8ECE774714550AFE8EAE742D50369_12</vt:lpwstr>
  </property>
</Properties>
</file>