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49B7">
      <w:pPr>
        <w:pStyle w:val="4"/>
        <w:ind w:firstLine="480"/>
      </w:pPr>
      <w:r>
        <w:rPr>
          <w:rFonts w:ascii="仿宋_GB2312" w:hAnsi="仿宋_GB2312" w:eastAsia="仿宋_GB2312" w:cs="仿宋_GB2312"/>
        </w:rPr>
        <w:t>满足现代通信网，IP网络实验等相关课程的教学需求，为相关专业的本科生和研究生提供确定性网络相关研究与实验环境。平台支持时间触发以太网等新型确定性专网通信协议，构建面向专网通信的实验场景与演示验证平台，完成确定性网络的关键理论验证与网络性能分析；需满足的要求:该平台包含时间触发以太网交换机，端系统设备以及配套网络配置管理工具，能够对不同类型端系统以及TT、RC、BE等多种业务的支持能力进行实验验证，支持新型算法的部署验证。</w:t>
      </w:r>
    </w:p>
    <w:p w14:paraId="01DF44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7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2025-12-08T06:55:58Z</dcterms:created>
  <dc:creator>Administrator</dc:creator>
  <cp:lastModifiedBy>cool~静</cp:lastModifiedBy>
  <dcterms:modified xsi:type="dcterms:W3CDTF">2025-12-08T06:56:37Z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42098B4563594FFBAEDF737729872582_12</vt:lpwstr>
  </property>
</Properties>
</file>