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78A2F">
      <w:pPr>
        <w:adjustRightInd w:val="0"/>
        <w:snapToGrid w:val="0"/>
        <w:spacing w:line="360" w:lineRule="auto"/>
        <w:ind w:firstLine="2168" w:firstLineChars="600"/>
        <w:outlineLvl w:val="0"/>
        <w:rPr>
          <w:rFonts w:hint="eastAsia" w:ascii="仿宋" w:hAnsi="仿宋" w:eastAsia="仿宋" w:cs="仿宋"/>
          <w:b/>
          <w:sz w:val="36"/>
          <w:szCs w:val="36"/>
        </w:rPr>
      </w:pPr>
      <w:bookmarkStart w:id="0" w:name="_Toc27640"/>
      <w:bookmarkStart w:id="1" w:name="_Toc782"/>
      <w:r>
        <w:rPr>
          <w:rFonts w:hint="eastAsia" w:ascii="仿宋" w:hAnsi="仿宋" w:eastAsia="仿宋" w:cs="仿宋"/>
          <w:b/>
          <w:sz w:val="36"/>
          <w:szCs w:val="36"/>
        </w:rPr>
        <w:t>采购内容及具体要求</w:t>
      </w:r>
      <w:bookmarkEnd w:id="0"/>
      <w:bookmarkEnd w:id="1"/>
    </w:p>
    <w:p w14:paraId="544D1440">
      <w:pPr>
        <w:widowControl/>
        <w:spacing w:line="500" w:lineRule="exact"/>
        <w:ind w:firstLine="440" w:firstLineChars="200"/>
        <w:rPr>
          <w:rFonts w:hint="eastAsia"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一、项目概况</w:t>
      </w:r>
    </w:p>
    <w:p w14:paraId="2C0EB9BC">
      <w:pPr>
        <w:spacing w:before="140" w:line="40" w:lineRule="exact"/>
        <w:textAlignment w:val="center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drawing>
          <wp:inline distT="0" distB="0" distL="0" distR="0">
            <wp:extent cx="5314315" cy="24765"/>
            <wp:effectExtent l="0" t="0" r="635" b="381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895" cy="2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83D02">
      <w:pPr>
        <w:widowControl/>
        <w:spacing w:line="500" w:lineRule="exact"/>
        <w:ind w:firstLine="440" w:firstLineChars="200"/>
        <w:rPr>
          <w:rFonts w:hint="eastAsia"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雁塔区机关院内的上下水、雨水、供暖管网，电路，电器的抢修以及日常维修，屋面防水、道路补修硬化、墙体维修和粉刷、垃圾分类需配套的各种工作及各类零星维修项目。验收要求：按照国家建设工程施工验收规范，工程所用材料涉及的行业技术标准。</w:t>
      </w:r>
    </w:p>
    <w:p w14:paraId="0D495C28">
      <w:pPr>
        <w:pStyle w:val="2"/>
        <w:rPr>
          <w:rFonts w:hint="eastAsia" w:ascii="仿宋" w:hAnsi="仿宋" w:eastAsia="仿宋" w:cs="仿宋"/>
          <w:sz w:val="22"/>
          <w:szCs w:val="22"/>
        </w:rPr>
      </w:pPr>
    </w:p>
    <w:p w14:paraId="5261299F">
      <w:pPr>
        <w:widowControl/>
        <w:spacing w:line="500" w:lineRule="exact"/>
        <w:ind w:firstLine="440" w:firstLineChars="200"/>
        <w:rPr>
          <w:rFonts w:hint="eastAsia"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二、工程内容和施工地点、计划工期、质量保修期</w:t>
      </w:r>
    </w:p>
    <w:p w14:paraId="7486905A">
      <w:pPr>
        <w:spacing w:before="135" w:line="40" w:lineRule="exact"/>
        <w:textAlignment w:val="center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drawing>
          <wp:inline distT="0" distB="0" distL="0" distR="0">
            <wp:extent cx="5307965" cy="24765"/>
            <wp:effectExtent l="0" t="0" r="6985" b="381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8569" cy="2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CB37F">
      <w:pPr>
        <w:widowControl/>
        <w:spacing w:line="500" w:lineRule="exact"/>
        <w:ind w:firstLine="440" w:firstLineChars="200"/>
        <w:rPr>
          <w:rFonts w:hint="eastAsia"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(一)工程内容:雁塔区机关院内的上下水、雨水、供暖管网，电路，电器的抢修以及日常维修，屋面防水、道路补修硬化、墙体维修和粉刷、垃圾分类需配套的各种工作及各类零星维修项目。</w:t>
      </w:r>
    </w:p>
    <w:p w14:paraId="245EF112">
      <w:pPr>
        <w:widowControl/>
        <w:spacing w:line="500" w:lineRule="exact"/>
        <w:ind w:firstLine="440" w:firstLineChars="200"/>
        <w:rPr>
          <w:rFonts w:hint="eastAsia"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(二)工程地点: 西安市雁塔区</w:t>
      </w:r>
    </w:p>
    <w:p w14:paraId="69530286">
      <w:pPr>
        <w:widowControl/>
        <w:spacing w:line="500" w:lineRule="exact"/>
        <w:ind w:firstLine="440" w:firstLineChars="200"/>
        <w:rPr>
          <w:rFonts w:hint="eastAsia"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(三)计划工期: 壹年</w:t>
      </w:r>
    </w:p>
    <w:p w14:paraId="3094B75B">
      <w:pPr>
        <w:widowControl/>
        <w:spacing w:line="500" w:lineRule="exact"/>
        <w:ind w:firstLine="440" w:firstLineChars="200"/>
        <w:rPr>
          <w:rFonts w:hint="eastAsia"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(四)质量保修期:根据《建设工程质量管理条例》规定</w:t>
      </w:r>
    </w:p>
    <w:p w14:paraId="544AEE61">
      <w:pPr>
        <w:widowControl/>
        <w:spacing w:line="500" w:lineRule="exact"/>
        <w:ind w:firstLine="440" w:firstLineChars="200"/>
        <w:rPr>
          <w:rFonts w:hint="eastAsia" w:ascii="仿宋" w:hAnsi="仿宋" w:eastAsia="仿宋" w:cs="仿宋"/>
          <w:spacing w:val="9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三、商务要求</w:t>
      </w:r>
    </w:p>
    <w:p w14:paraId="59A7F4A6">
      <w:pPr>
        <w:pStyle w:val="2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drawing>
          <wp:inline distT="0" distB="0" distL="0" distR="0">
            <wp:extent cx="5307965" cy="24765"/>
            <wp:effectExtent l="0" t="0" r="6985" b="3810"/>
            <wp:docPr id="6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2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17659">
      <w:pPr>
        <w:widowControl/>
        <w:spacing w:line="500" w:lineRule="exact"/>
        <w:ind w:firstLine="440" w:firstLineChars="200"/>
        <w:rPr>
          <w:rFonts w:hint="eastAsia"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付款方式：每个季度付款结算一次，结算前先进行造价审计，按相应成交金额（折扣率）进行扣除，按扣除后的金额进行付款。</w:t>
      </w:r>
    </w:p>
    <w:p w14:paraId="0505F958">
      <w:pPr>
        <w:widowControl/>
        <w:spacing w:line="500" w:lineRule="exact"/>
        <w:ind w:firstLine="440" w:firstLineChars="200"/>
        <w:rPr>
          <w:rFonts w:hint="eastAsia" w:ascii="仿宋" w:hAnsi="仿宋" w:eastAsia="仿宋" w:cs="仿宋"/>
          <w:spacing w:val="9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四、施工要求</w:t>
      </w:r>
    </w:p>
    <w:p w14:paraId="513B639C">
      <w:pPr>
        <w:pStyle w:val="2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drawing>
          <wp:inline distT="0" distB="0" distL="0" distR="0">
            <wp:extent cx="5307965" cy="24765"/>
            <wp:effectExtent l="0" t="0" r="6985" b="3810"/>
            <wp:docPr id="12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8569" cy="2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92BD0">
      <w:pPr>
        <w:spacing w:before="91" w:line="360" w:lineRule="auto"/>
        <w:ind w:firstLine="504" w:firstLineChars="200"/>
        <w:rPr>
          <w:rFonts w:hint="eastAsia" w:ascii="仿宋" w:hAnsi="仿宋" w:eastAsia="仿宋" w:cs="仿宋"/>
          <w:spacing w:val="16"/>
          <w:sz w:val="22"/>
          <w:szCs w:val="22"/>
        </w:rPr>
      </w:pPr>
      <w:r>
        <w:rPr>
          <w:rFonts w:hint="eastAsia" w:ascii="仿宋" w:hAnsi="仿宋" w:eastAsia="仿宋" w:cs="仿宋"/>
          <w:spacing w:val="16"/>
          <w:sz w:val="22"/>
          <w:szCs w:val="22"/>
        </w:rPr>
        <w:t>1、所使用的建筑材料应符合国家有关建筑材料检测试验标准，经检验或复试合格后方可使用。</w:t>
      </w:r>
    </w:p>
    <w:p w14:paraId="53C2CA17">
      <w:pPr>
        <w:spacing w:before="91" w:line="360" w:lineRule="auto"/>
        <w:ind w:firstLine="504" w:firstLineChars="200"/>
        <w:rPr>
          <w:rFonts w:hint="eastAsia" w:ascii="仿宋" w:hAnsi="仿宋" w:eastAsia="仿宋" w:cs="仿宋"/>
          <w:spacing w:val="16"/>
          <w:sz w:val="22"/>
          <w:szCs w:val="22"/>
        </w:rPr>
      </w:pPr>
      <w:r>
        <w:rPr>
          <w:rFonts w:hint="eastAsia" w:ascii="仿宋" w:hAnsi="仿宋" w:eastAsia="仿宋" w:cs="仿宋"/>
          <w:spacing w:val="16"/>
          <w:sz w:val="22"/>
          <w:szCs w:val="22"/>
        </w:rPr>
        <w:t>2、应遵循有关环境保护法的法律法规，并应采取有效措施控制施工现场的各种粉尘、废气、废弃物、噪声、震动等对周围环境造成的污染和危害。</w:t>
      </w:r>
    </w:p>
    <w:p w14:paraId="72CFB430">
      <w:pPr>
        <w:spacing w:before="91" w:line="360" w:lineRule="auto"/>
        <w:ind w:firstLine="504" w:firstLineChars="200"/>
        <w:rPr>
          <w:rFonts w:hint="eastAsia" w:ascii="仿宋" w:hAnsi="仿宋" w:eastAsia="仿宋" w:cs="仿宋"/>
          <w:spacing w:val="16"/>
          <w:sz w:val="22"/>
          <w:szCs w:val="22"/>
        </w:rPr>
      </w:pPr>
      <w:r>
        <w:rPr>
          <w:rFonts w:hint="eastAsia" w:ascii="仿宋" w:hAnsi="仿宋" w:eastAsia="仿宋" w:cs="仿宋"/>
          <w:spacing w:val="16"/>
          <w:sz w:val="22"/>
          <w:szCs w:val="22"/>
        </w:rPr>
        <w:t>3、安全及文明施工：要遵守有关规章制度，文明施工，对施工中出现的安全事故负全责。</w:t>
      </w:r>
    </w:p>
    <w:p w14:paraId="25407B7E">
      <w:pPr>
        <w:spacing w:before="91" w:line="360" w:lineRule="auto"/>
        <w:ind w:firstLine="504" w:firstLineChars="200"/>
        <w:rPr>
          <w:rFonts w:hint="eastAsia" w:ascii="仿宋" w:hAnsi="仿宋" w:eastAsia="仿宋" w:cs="仿宋"/>
          <w:color w:val="auto"/>
          <w:spacing w:val="16"/>
          <w:sz w:val="22"/>
          <w:szCs w:val="22"/>
        </w:rPr>
      </w:pPr>
      <w:r>
        <w:rPr>
          <w:rFonts w:hint="eastAsia" w:ascii="仿宋" w:hAnsi="仿宋" w:eastAsia="仿宋" w:cs="仿宋"/>
          <w:spacing w:val="16"/>
          <w:sz w:val="22"/>
          <w:szCs w:val="22"/>
        </w:rPr>
        <w:t>4、达不到中标质量等级的，除按规定进行整改，直至合格外，还应接受合同</w:t>
      </w:r>
      <w:r>
        <w:rPr>
          <w:rFonts w:hint="eastAsia" w:ascii="仿宋" w:hAnsi="仿宋" w:eastAsia="仿宋" w:cs="仿宋"/>
          <w:color w:val="auto"/>
          <w:spacing w:val="16"/>
          <w:sz w:val="22"/>
          <w:szCs w:val="22"/>
        </w:rPr>
        <w:t>价款5%的处罚。</w:t>
      </w:r>
    </w:p>
    <w:p w14:paraId="781DE3AD">
      <w:pPr>
        <w:spacing w:line="360" w:lineRule="auto"/>
        <w:ind w:firstLine="440" w:firstLineChars="200"/>
      </w:pPr>
      <w:r>
        <w:rPr>
          <w:rFonts w:hint="eastAsia" w:ascii="仿宋" w:hAnsi="仿宋" w:eastAsia="仿宋" w:cs="仿宋"/>
          <w:color w:val="auto"/>
          <w:sz w:val="22"/>
          <w:szCs w:val="22"/>
        </w:rPr>
        <w:t>5、</w:t>
      </w:r>
      <w:bookmarkStart w:id="2" w:name="OLE_LINK2"/>
      <w:bookmarkStart w:id="3" w:name="OLE_LINK1"/>
      <w:r>
        <w:rPr>
          <w:rFonts w:hint="eastAsia" w:ascii="仿宋" w:hAnsi="仿宋" w:eastAsia="仿宋" w:cs="仿宋"/>
          <w:color w:val="auto"/>
          <w:sz w:val="22"/>
          <w:szCs w:val="22"/>
        </w:rPr>
        <w:t>结算审核产生的审计效益费（成果费）由成交供应商承担。</w:t>
      </w:r>
      <w:bookmarkEnd w:id="2"/>
      <w:bookmarkEnd w:id="3"/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2026-01-05T08:21:03Z</dcterms:created>
  <dc:creator>Administrator</dc:creator>
  <cp:lastModifiedBy>韩朵</cp:lastModifiedBy>
  <dcterms:modified xsi:type="dcterms:W3CDTF">2026-01-05T08:21:13Z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eyJoZGlkIjoiNmQ0NGQ4MGM5OWU4YzVjNjVkMmVkMGNmYjk1NGQzMWUiLCJ1c2VySWQiOiIzNjQ4MDc5NzYifQ==</vt:lpwstr>
  </property>
  <property fmtid="{D5CDD505-2E9C-101B-9397-08002B2CF9AE}" pid="4" name="ICV">
    <vt:lpwstr>89ED8F10CA3F448E93C83B69FF7E1419_12</vt:lpwstr>
  </property>
</Properties>
</file>