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DC647">
      <w:pPr>
        <w:rPr>
          <w:rFonts w:hint="eastAsia" w:hAnsi="宋体" w:eastAsia="宋体" w:cs="宋体"/>
          <w:b/>
          <w:color w:val="auto"/>
          <w:sz w:val="36"/>
          <w:highlight w:val="none"/>
          <w:lang w:val="en-US"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SXZCZB2025-ZCCS-1127（三次）</w:t>
      </w:r>
    </w:p>
    <w:p w14:paraId="1EDD74D0">
      <w:pPr>
        <w:rPr>
          <w:rFonts w:hAnsi="宋体" w:cs="宋体"/>
          <w:b/>
          <w:color w:val="auto"/>
          <w:sz w:val="36"/>
          <w:highlight w:val="none"/>
        </w:rPr>
      </w:pPr>
    </w:p>
    <w:p w14:paraId="077C8F1F">
      <w:pPr>
        <w:rPr>
          <w:rFonts w:hAnsi="宋体" w:cs="宋体"/>
          <w:b/>
          <w:color w:val="auto"/>
          <w:sz w:val="36"/>
          <w:highlight w:val="none"/>
        </w:rPr>
      </w:pPr>
    </w:p>
    <w:p w14:paraId="427F4CFB">
      <w:pPr>
        <w:rPr>
          <w:rFonts w:hAnsi="宋体" w:cs="宋体"/>
          <w:b/>
          <w:color w:val="auto"/>
          <w:sz w:val="56"/>
          <w:szCs w:val="56"/>
          <w:highlight w:val="none"/>
        </w:rPr>
      </w:pPr>
    </w:p>
    <w:p w14:paraId="1D669C86">
      <w:pPr>
        <w:spacing w:line="780" w:lineRule="auto"/>
        <w:jc w:val="center"/>
        <w:rPr>
          <w:rFonts w:hint="eastAsia" w:hAnsi="宋体" w:eastAsia="宋体" w:cs="宋体"/>
          <w:b/>
          <w:color w:val="auto"/>
          <w:sz w:val="72"/>
          <w:szCs w:val="72"/>
          <w:highlight w:val="none"/>
          <w:lang w:eastAsia="zh-CN"/>
        </w:rPr>
      </w:pPr>
      <w:r>
        <w:rPr>
          <w:rFonts w:hint="eastAsia" w:hAnsi="宋体" w:cs="宋体"/>
          <w:b/>
          <w:color w:val="auto"/>
          <w:sz w:val="52"/>
          <w:szCs w:val="52"/>
          <w:highlight w:val="none"/>
          <w:lang w:eastAsia="zh-CN"/>
        </w:rPr>
        <w:t>2025年秋季学期期末考试考场租赁项目(三次)</w:t>
      </w:r>
    </w:p>
    <w:p w14:paraId="0DFA8C34">
      <w:pPr>
        <w:spacing w:line="780" w:lineRule="auto"/>
        <w:jc w:val="both"/>
        <w:rPr>
          <w:rFonts w:hint="eastAsia" w:hAnsi="宋体" w:cs="宋体"/>
          <w:b/>
          <w:color w:val="auto"/>
          <w:sz w:val="72"/>
          <w:szCs w:val="72"/>
          <w:highlight w:val="none"/>
        </w:rPr>
      </w:pPr>
    </w:p>
    <w:p w14:paraId="74A5D557">
      <w:pPr>
        <w:spacing w:line="780" w:lineRule="auto"/>
        <w:jc w:val="center"/>
        <w:rPr>
          <w:rFonts w:hAnsi="宋体" w:cs="宋体"/>
          <w:b/>
          <w:color w:val="auto"/>
          <w:sz w:val="56"/>
          <w:szCs w:val="56"/>
          <w:highlight w:val="none"/>
        </w:rPr>
      </w:pPr>
      <w:r>
        <w:rPr>
          <w:rFonts w:hint="eastAsia" w:hAnsi="宋体" w:cs="宋体"/>
          <w:b/>
          <w:color w:val="auto"/>
          <w:sz w:val="56"/>
          <w:szCs w:val="56"/>
          <w:highlight w:val="none"/>
        </w:rPr>
        <w:t>竞争性磋商文件</w:t>
      </w:r>
    </w:p>
    <w:p w14:paraId="15A05D52">
      <w:pPr>
        <w:rPr>
          <w:rFonts w:hAnsi="宋体" w:cs="宋体"/>
          <w:color w:val="auto"/>
          <w:highlight w:val="none"/>
        </w:rPr>
      </w:pPr>
      <w:bookmarkStart w:id="0" w:name="_Toc363463325"/>
    </w:p>
    <w:p w14:paraId="05A232FB">
      <w:pPr>
        <w:rPr>
          <w:rFonts w:hAnsi="宋体" w:cs="宋体"/>
          <w:color w:val="auto"/>
          <w:highlight w:val="none"/>
        </w:rPr>
      </w:pPr>
    </w:p>
    <w:p w14:paraId="4BB80B26">
      <w:pPr>
        <w:rPr>
          <w:rFonts w:hAnsi="宋体" w:cs="宋体"/>
          <w:color w:val="auto"/>
          <w:highlight w:val="none"/>
        </w:rPr>
      </w:pPr>
    </w:p>
    <w:bookmarkEnd w:id="0"/>
    <w:p w14:paraId="082F5BE1">
      <w:pPr>
        <w:rPr>
          <w:rFonts w:hAnsi="宋体" w:cs="宋体"/>
          <w:color w:val="auto"/>
          <w:sz w:val="18"/>
          <w:szCs w:val="18"/>
          <w:highlight w:val="none"/>
        </w:rPr>
      </w:pPr>
    </w:p>
    <w:p w14:paraId="609E9B57">
      <w:pPr>
        <w:jc w:val="center"/>
        <w:rPr>
          <w:rFonts w:hAnsi="宋体" w:cs="宋体"/>
          <w:b/>
          <w:bCs/>
          <w:color w:val="auto"/>
          <w:sz w:val="32"/>
          <w:szCs w:val="32"/>
          <w:highlight w:val="none"/>
        </w:rPr>
      </w:pPr>
    </w:p>
    <w:p w14:paraId="7D328960">
      <w:pPr>
        <w:pStyle w:val="8"/>
        <w:jc w:val="both"/>
        <w:rPr>
          <w:color w:val="auto"/>
          <w:highlight w:val="none"/>
        </w:rPr>
      </w:pPr>
    </w:p>
    <w:p w14:paraId="60253BC0">
      <w:pPr>
        <w:jc w:val="center"/>
        <w:rPr>
          <w:rFonts w:hint="eastAsia" w:hAnsi="宋体" w:cs="宋体"/>
          <w:b/>
          <w:bCs/>
          <w:color w:val="auto"/>
          <w:sz w:val="32"/>
          <w:szCs w:val="32"/>
          <w:highlight w:val="none"/>
        </w:rPr>
      </w:pPr>
    </w:p>
    <w:p w14:paraId="673F42F4">
      <w:pPr>
        <w:jc w:val="center"/>
        <w:rPr>
          <w:rFonts w:hAnsi="宋体" w:cs="宋体"/>
          <w:b/>
          <w:bCs/>
          <w:color w:val="auto"/>
          <w:sz w:val="32"/>
          <w:szCs w:val="32"/>
          <w:highlight w:val="none"/>
        </w:rPr>
      </w:pPr>
      <w:r>
        <w:rPr>
          <w:rFonts w:hint="eastAsia" w:hAnsi="宋体" w:cs="宋体"/>
          <w:b/>
          <w:bCs/>
          <w:color w:val="auto"/>
          <w:sz w:val="32"/>
          <w:szCs w:val="32"/>
          <w:highlight w:val="none"/>
        </w:rPr>
        <w:t>陕西至诚项目管理集团有限公司</w:t>
      </w:r>
    </w:p>
    <w:p w14:paraId="0266161E">
      <w:pPr>
        <w:pStyle w:val="9"/>
        <w:ind w:left="0" w:leftChars="0" w:firstLine="0" w:firstLineChars="0"/>
        <w:jc w:val="center"/>
        <w:rPr>
          <w:b/>
          <w:bCs/>
          <w:color w:val="auto"/>
          <w:sz w:val="36"/>
          <w:szCs w:val="36"/>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b/>
          <w:bCs/>
          <w:color w:val="auto"/>
          <w:sz w:val="32"/>
          <w:szCs w:val="32"/>
          <w:highlight w:val="none"/>
        </w:rPr>
        <w:t>二〇二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十二</w:t>
      </w:r>
      <w:r>
        <w:rPr>
          <w:rFonts w:hint="eastAsia"/>
          <w:b/>
          <w:bCs/>
          <w:color w:val="auto"/>
          <w:sz w:val="32"/>
          <w:szCs w:val="32"/>
          <w:highlight w:val="none"/>
        </w:rPr>
        <w:t>月</w:t>
      </w:r>
    </w:p>
    <w:p w14:paraId="031C4E87">
      <w:pPr>
        <w:rPr>
          <w:rFonts w:hAnsi="宋体" w:cs="宋体"/>
          <w:color w:val="auto"/>
          <w:highlight w:val="none"/>
        </w:rPr>
      </w:pPr>
    </w:p>
    <w:p w14:paraId="376E9AAE">
      <w:pPr>
        <w:jc w:val="center"/>
        <w:rPr>
          <w:rFonts w:hAnsi="宋体" w:cs="宋体"/>
          <w:b/>
          <w:color w:val="auto"/>
          <w:sz w:val="44"/>
          <w:szCs w:val="44"/>
          <w:highlight w:val="none"/>
        </w:rPr>
      </w:pPr>
      <w:r>
        <w:rPr>
          <w:rFonts w:hint="eastAsia" w:hAnsi="宋体" w:cs="宋体"/>
          <w:b/>
          <w:color w:val="auto"/>
          <w:sz w:val="44"/>
          <w:szCs w:val="44"/>
          <w:highlight w:val="none"/>
        </w:rPr>
        <w:t>目 录</w:t>
      </w:r>
    </w:p>
    <w:p w14:paraId="378223C8">
      <w:pPr>
        <w:jc w:val="center"/>
        <w:rPr>
          <w:color w:val="auto"/>
          <w:highlight w:val="none"/>
        </w:rPr>
      </w:pPr>
      <w:bookmarkStart w:id="1" w:name="_Toc16218"/>
      <w:bookmarkStart w:id="2" w:name="_Toc389582033"/>
      <w:bookmarkStart w:id="3" w:name="_Toc19886"/>
      <w:bookmarkStart w:id="4" w:name="_Toc20858"/>
      <w:bookmarkStart w:id="5" w:name="_Toc5293"/>
      <w:bookmarkStart w:id="6" w:name="_Toc20652"/>
      <w:bookmarkStart w:id="7" w:name="_Toc21518"/>
      <w:bookmarkStart w:id="8" w:name="_Toc27420"/>
      <w:bookmarkStart w:id="9" w:name="_Toc363474016"/>
      <w:bookmarkStart w:id="10" w:name="_Toc403077638"/>
      <w:bookmarkStart w:id="11" w:name="_Toc363473971"/>
    </w:p>
    <w:p w14:paraId="425BAC67">
      <w:pPr>
        <w:pStyle w:val="16"/>
        <w:tabs>
          <w:tab w:val="right" w:leader="dot" w:pos="8787"/>
        </w:tabs>
        <w:rPr>
          <w:sz w:val="28"/>
          <w:szCs w:val="21"/>
          <w:highlight w:val="none"/>
        </w:rPr>
      </w:pPr>
      <w:r>
        <w:rPr>
          <w:rFonts w:hint="eastAsia" w:hAnsi="宋体" w:cs="宋体"/>
          <w:bCs/>
          <w:color w:val="auto"/>
          <w:sz w:val="32"/>
          <w:szCs w:val="32"/>
          <w:highlight w:val="none"/>
        </w:rPr>
        <w:fldChar w:fldCharType="begin"/>
      </w:r>
      <w:r>
        <w:rPr>
          <w:rFonts w:hint="eastAsia" w:hAnsi="宋体" w:cs="宋体"/>
          <w:bCs/>
          <w:color w:val="auto"/>
          <w:sz w:val="32"/>
          <w:szCs w:val="32"/>
          <w:highlight w:val="none"/>
        </w:rPr>
        <w:instrText xml:space="preserve">TOC \o "1-3" \h \u </w:instrText>
      </w:r>
      <w:r>
        <w:rPr>
          <w:rFonts w:hint="eastAsia" w:hAnsi="宋体" w:cs="宋体"/>
          <w:bCs/>
          <w:color w:val="auto"/>
          <w:sz w:val="32"/>
          <w:szCs w:val="32"/>
          <w:highlight w:val="none"/>
        </w:rPr>
        <w:fldChar w:fldCharType="separate"/>
      </w: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_Toc19312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_Toc19312 \h </w:instrText>
      </w:r>
      <w:r>
        <w:rPr>
          <w:sz w:val="28"/>
          <w:szCs w:val="21"/>
          <w:highlight w:val="none"/>
        </w:rPr>
        <w:fldChar w:fldCharType="separate"/>
      </w:r>
      <w:r>
        <w:rPr>
          <w:sz w:val="28"/>
          <w:szCs w:val="21"/>
          <w:highlight w:val="none"/>
        </w:rPr>
        <w:t>1</w:t>
      </w:r>
      <w:r>
        <w:rPr>
          <w:sz w:val="28"/>
          <w:szCs w:val="21"/>
          <w:highlight w:val="none"/>
        </w:rPr>
        <w:fldChar w:fldCharType="end"/>
      </w:r>
      <w:r>
        <w:rPr>
          <w:rFonts w:hint="eastAsia" w:hAnsi="宋体" w:cs="宋体"/>
          <w:bCs/>
          <w:color w:val="auto"/>
          <w:sz w:val="28"/>
          <w:szCs w:val="32"/>
          <w:highlight w:val="none"/>
        </w:rPr>
        <w:fldChar w:fldCharType="end"/>
      </w:r>
    </w:p>
    <w:p w14:paraId="7E9D4EB2">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_Toc5958 </w:instrText>
      </w:r>
      <w:r>
        <w:rPr>
          <w:rFonts w:hint="eastAsia" w:hAnsi="宋体" w:cs="宋体"/>
          <w:bCs/>
          <w:sz w:val="28"/>
          <w:szCs w:val="32"/>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_Toc5958 \h </w:instrText>
      </w:r>
      <w:r>
        <w:rPr>
          <w:sz w:val="28"/>
          <w:szCs w:val="21"/>
          <w:highlight w:val="none"/>
        </w:rPr>
        <w:fldChar w:fldCharType="separate"/>
      </w:r>
      <w:r>
        <w:rPr>
          <w:sz w:val="28"/>
          <w:szCs w:val="21"/>
          <w:highlight w:val="none"/>
        </w:rPr>
        <w:t>5</w:t>
      </w:r>
      <w:r>
        <w:rPr>
          <w:sz w:val="28"/>
          <w:szCs w:val="21"/>
          <w:highlight w:val="none"/>
        </w:rPr>
        <w:fldChar w:fldCharType="end"/>
      </w:r>
      <w:r>
        <w:rPr>
          <w:rFonts w:hint="eastAsia" w:hAnsi="宋体" w:cs="宋体"/>
          <w:bCs/>
          <w:color w:val="auto"/>
          <w:sz w:val="28"/>
          <w:szCs w:val="32"/>
          <w:highlight w:val="none"/>
        </w:rPr>
        <w:fldChar w:fldCharType="end"/>
      </w:r>
    </w:p>
    <w:p w14:paraId="1ECCCBB0">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_Toc11536 </w:instrText>
      </w:r>
      <w:r>
        <w:rPr>
          <w:rFonts w:hint="eastAsia" w:hAnsi="宋体" w:cs="宋体"/>
          <w:bCs/>
          <w:sz w:val="28"/>
          <w:szCs w:val="32"/>
          <w:highlight w:val="none"/>
        </w:rPr>
        <w:fldChar w:fldCharType="separate"/>
      </w:r>
      <w:r>
        <w:rPr>
          <w:rFonts w:hint="eastAsia" w:ascii="宋体" w:eastAsia="宋体" w:cs="宋体"/>
          <w:sz w:val="28"/>
          <w:szCs w:val="21"/>
          <w:highlight w:val="none"/>
        </w:rPr>
        <w:t xml:space="preserve">第三章 </w:t>
      </w:r>
      <w:r>
        <w:rPr>
          <w:rFonts w:hint="eastAsia" w:cs="宋体"/>
          <w:sz w:val="28"/>
          <w:szCs w:val="21"/>
          <w:highlight w:val="none"/>
          <w:lang w:val="en-US" w:eastAsia="zh-CN"/>
        </w:rPr>
        <w:t xml:space="preserve"> </w:t>
      </w:r>
      <w:r>
        <w:rPr>
          <w:rFonts w:hint="eastAsia" w:ascii="宋体" w:eastAsia="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_Toc11536 \h </w:instrText>
      </w:r>
      <w:r>
        <w:rPr>
          <w:sz w:val="28"/>
          <w:szCs w:val="21"/>
          <w:highlight w:val="none"/>
        </w:rPr>
        <w:fldChar w:fldCharType="separate"/>
      </w:r>
      <w:r>
        <w:rPr>
          <w:sz w:val="28"/>
          <w:szCs w:val="21"/>
          <w:highlight w:val="none"/>
        </w:rPr>
        <w:t>24</w:t>
      </w:r>
      <w:r>
        <w:rPr>
          <w:sz w:val="28"/>
          <w:szCs w:val="21"/>
          <w:highlight w:val="none"/>
        </w:rPr>
        <w:fldChar w:fldCharType="end"/>
      </w:r>
      <w:r>
        <w:rPr>
          <w:rFonts w:hint="eastAsia" w:hAnsi="宋体" w:cs="宋体"/>
          <w:bCs/>
          <w:color w:val="auto"/>
          <w:sz w:val="28"/>
          <w:szCs w:val="32"/>
          <w:highlight w:val="none"/>
        </w:rPr>
        <w:fldChar w:fldCharType="end"/>
      </w:r>
    </w:p>
    <w:p w14:paraId="31665DEA">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_Toc2724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_Toc2724 \h </w:instrText>
      </w:r>
      <w:r>
        <w:rPr>
          <w:sz w:val="28"/>
          <w:szCs w:val="21"/>
          <w:highlight w:val="none"/>
        </w:rPr>
        <w:fldChar w:fldCharType="separate"/>
      </w:r>
      <w:r>
        <w:rPr>
          <w:sz w:val="28"/>
          <w:szCs w:val="21"/>
          <w:highlight w:val="none"/>
        </w:rPr>
        <w:t>32</w:t>
      </w:r>
      <w:r>
        <w:rPr>
          <w:sz w:val="28"/>
          <w:szCs w:val="21"/>
          <w:highlight w:val="none"/>
        </w:rPr>
        <w:fldChar w:fldCharType="end"/>
      </w:r>
      <w:r>
        <w:rPr>
          <w:rFonts w:hint="eastAsia" w:hAnsi="宋体" w:cs="宋体"/>
          <w:bCs/>
          <w:color w:val="auto"/>
          <w:sz w:val="28"/>
          <w:szCs w:val="32"/>
          <w:highlight w:val="none"/>
        </w:rPr>
        <w:fldChar w:fldCharType="end"/>
      </w:r>
    </w:p>
    <w:p w14:paraId="22A3722F">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_Toc8072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_Toc8072 \h </w:instrText>
      </w:r>
      <w:r>
        <w:rPr>
          <w:sz w:val="28"/>
          <w:szCs w:val="21"/>
          <w:highlight w:val="none"/>
        </w:rPr>
        <w:fldChar w:fldCharType="separate"/>
      </w:r>
      <w:r>
        <w:rPr>
          <w:sz w:val="28"/>
          <w:szCs w:val="21"/>
          <w:highlight w:val="none"/>
        </w:rPr>
        <w:t>39</w:t>
      </w:r>
      <w:r>
        <w:rPr>
          <w:sz w:val="28"/>
          <w:szCs w:val="21"/>
          <w:highlight w:val="none"/>
        </w:rPr>
        <w:fldChar w:fldCharType="end"/>
      </w:r>
      <w:r>
        <w:rPr>
          <w:rFonts w:hint="eastAsia" w:hAnsi="宋体" w:cs="宋体"/>
          <w:bCs/>
          <w:color w:val="auto"/>
          <w:sz w:val="28"/>
          <w:szCs w:val="32"/>
          <w:highlight w:val="none"/>
        </w:rPr>
        <w:fldChar w:fldCharType="end"/>
      </w:r>
    </w:p>
    <w:p w14:paraId="550329CA">
      <w:pPr>
        <w:pStyle w:val="16"/>
        <w:tabs>
          <w:tab w:val="right" w:leader="dot" w:pos="8787"/>
        </w:tabs>
        <w:rPr>
          <w:rFonts w:hint="eastAsia" w:eastAsia="宋体"/>
          <w:sz w:val="28"/>
          <w:szCs w:val="21"/>
          <w:highlight w:val="none"/>
          <w:lang w:val="en-US" w:eastAsia="zh-CN"/>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_Toc16389 </w:instrText>
      </w:r>
      <w:r>
        <w:rPr>
          <w:rFonts w:hint="eastAsia" w:hAnsi="宋体" w:cs="宋体"/>
          <w:bCs/>
          <w:sz w:val="28"/>
          <w:szCs w:val="32"/>
          <w:highlight w:val="none"/>
        </w:rPr>
        <w:fldChar w:fldCharType="separate"/>
      </w:r>
      <w:r>
        <w:rPr>
          <w:rFonts w:hint="eastAsia" w:ascii="宋体" w:eastAsia="宋体" w:cs="宋体"/>
          <w:sz w:val="28"/>
          <w:szCs w:val="22"/>
          <w:highlight w:val="none"/>
        </w:rPr>
        <w:t>第六章  竞争性磋商响应文件格式</w:t>
      </w:r>
      <w:r>
        <w:rPr>
          <w:sz w:val="28"/>
          <w:szCs w:val="21"/>
          <w:highlight w:val="none"/>
        </w:rPr>
        <w:tab/>
      </w:r>
      <w:r>
        <w:rPr>
          <w:rFonts w:hint="eastAsia"/>
          <w:sz w:val="28"/>
          <w:szCs w:val="21"/>
          <w:highlight w:val="none"/>
          <w:lang w:val="en-US" w:eastAsia="zh-CN"/>
        </w:rPr>
        <w:t>4</w:t>
      </w:r>
      <w:r>
        <w:rPr>
          <w:rFonts w:hint="eastAsia" w:hAnsi="宋体" w:cs="宋体"/>
          <w:bCs/>
          <w:color w:val="auto"/>
          <w:sz w:val="28"/>
          <w:szCs w:val="32"/>
          <w:highlight w:val="none"/>
        </w:rPr>
        <w:fldChar w:fldCharType="end"/>
      </w:r>
      <w:r>
        <w:rPr>
          <w:rFonts w:hint="eastAsia" w:hAnsi="宋体" w:cs="宋体"/>
          <w:bCs/>
          <w:color w:val="auto"/>
          <w:sz w:val="28"/>
          <w:szCs w:val="32"/>
          <w:highlight w:val="none"/>
          <w:lang w:val="en-US" w:eastAsia="zh-CN"/>
        </w:rPr>
        <w:t>1</w:t>
      </w:r>
    </w:p>
    <w:p w14:paraId="47CA1BF4">
      <w:pPr>
        <w:pStyle w:val="16"/>
        <w:tabs>
          <w:tab w:val="right" w:leader="dot" w:pos="8302"/>
        </w:tabs>
        <w:spacing w:line="360" w:lineRule="auto"/>
        <w:rPr>
          <w:rFonts w:hAnsi="宋体" w:cs="宋体"/>
          <w:bCs/>
          <w:color w:val="auto"/>
          <w:sz w:val="36"/>
          <w:szCs w:val="36"/>
          <w:highlight w:val="none"/>
        </w:rPr>
      </w:pPr>
      <w:r>
        <w:rPr>
          <w:rFonts w:hint="eastAsia" w:hAnsi="宋体" w:cs="宋体"/>
          <w:bCs/>
          <w:color w:val="auto"/>
          <w:sz w:val="28"/>
          <w:szCs w:val="32"/>
          <w:highlight w:val="none"/>
        </w:rPr>
        <w:fldChar w:fldCharType="end"/>
      </w:r>
    </w:p>
    <w:p w14:paraId="7EA8A1F7">
      <w:pPr>
        <w:pStyle w:val="2"/>
        <w:spacing w:beforeLines="100"/>
        <w:jc w:val="center"/>
        <w:rPr>
          <w:rFonts w:ascii="宋体" w:eastAsia="宋体" w:cs="宋体"/>
          <w:bCs/>
          <w:color w:val="auto"/>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15A09E07">
      <w:pPr>
        <w:pStyle w:val="2"/>
        <w:keepNext w:val="0"/>
        <w:keepLines/>
        <w:pageBreakBefore/>
        <w:spacing w:beforeLines="50" w:afterLines="50" w:line="360" w:lineRule="auto"/>
        <w:jc w:val="center"/>
        <w:rPr>
          <w:rFonts w:ascii="宋体" w:eastAsia="宋体" w:cs="宋体"/>
          <w:bCs/>
          <w:color w:val="auto"/>
          <w:sz w:val="36"/>
          <w:szCs w:val="36"/>
          <w:highlight w:val="none"/>
        </w:rPr>
      </w:pPr>
      <w:bookmarkStart w:id="12" w:name="_Toc19312"/>
      <w:bookmarkStart w:id="13" w:name="_Toc2705"/>
      <w:bookmarkStart w:id="14" w:name="_Toc25782"/>
      <w:bookmarkStart w:id="15" w:name="_Toc423973071"/>
      <w:r>
        <w:rPr>
          <w:rFonts w:hint="eastAsia" w:asci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color w:val="auto"/>
          <w:sz w:val="36"/>
          <w:szCs w:val="36"/>
          <w:highlight w:val="none"/>
        </w:rPr>
        <w:t>竞争性磋商公告</w:t>
      </w:r>
      <w:bookmarkEnd w:id="8"/>
      <w:bookmarkEnd w:id="12"/>
      <w:bookmarkEnd w:id="13"/>
      <w:bookmarkEnd w:id="14"/>
      <w:bookmarkEnd w:id="15"/>
    </w:p>
    <w:p w14:paraId="2A699BC8">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bookmarkStart w:id="16" w:name="_Toc2929"/>
      <w:bookmarkStart w:id="17" w:name="_Toc389582035"/>
      <w:bookmarkStart w:id="18" w:name="_Toc29249"/>
      <w:bookmarkStart w:id="19" w:name="_Toc423973072"/>
      <w:r>
        <w:rPr>
          <w:rFonts w:hint="eastAsia" w:ascii="宋体" w:hAnsi="宋体" w:eastAsia="宋体" w:cs="宋体"/>
          <w:b/>
          <w:bCs/>
          <w:i w:val="0"/>
          <w:iCs w:val="0"/>
          <w:caps w:val="0"/>
          <w:color w:val="333333"/>
          <w:spacing w:val="0"/>
          <w:sz w:val="24"/>
          <w:szCs w:val="24"/>
          <w:highlight w:val="none"/>
          <w:shd w:val="clear" w:fill="FFFFFF"/>
        </w:rPr>
        <w:t xml:space="preserve"> 项目概况</w:t>
      </w:r>
    </w:p>
    <w:p w14:paraId="6F57BE5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hAnsi="宋体" w:cs="宋体"/>
          <w:i w:val="0"/>
          <w:iCs w:val="0"/>
          <w:caps w:val="0"/>
          <w:color w:val="333333"/>
          <w:spacing w:val="0"/>
          <w:sz w:val="24"/>
          <w:szCs w:val="24"/>
          <w:highlight w:val="none"/>
          <w:shd w:val="clear" w:fill="FFFFFF"/>
          <w:lang w:eastAsia="zh-CN"/>
        </w:rPr>
        <w:t>2025年秋季学期期末考试考场租赁项目采购项目（</w:t>
      </w:r>
      <w:r>
        <w:rPr>
          <w:rFonts w:hint="eastAsia" w:hAnsi="宋体" w:cs="宋体"/>
          <w:i w:val="0"/>
          <w:iCs w:val="0"/>
          <w:caps w:val="0"/>
          <w:color w:val="333333"/>
          <w:spacing w:val="0"/>
          <w:sz w:val="24"/>
          <w:szCs w:val="24"/>
          <w:highlight w:val="none"/>
          <w:shd w:val="clear" w:fill="FFFFFF"/>
          <w:lang w:val="en-US" w:eastAsia="zh-CN"/>
        </w:rPr>
        <w:t>三</w:t>
      </w:r>
      <w:r>
        <w:rPr>
          <w:rFonts w:hint="eastAsia" w:hAnsi="宋体" w:cs="宋体"/>
          <w:i w:val="0"/>
          <w:iCs w:val="0"/>
          <w:caps w:val="0"/>
          <w:color w:val="333333"/>
          <w:spacing w:val="0"/>
          <w:sz w:val="24"/>
          <w:szCs w:val="24"/>
          <w:highlight w:val="none"/>
          <w:shd w:val="clear" w:fill="FFFFFF"/>
          <w:lang w:eastAsia="zh-CN"/>
        </w:rPr>
        <w:t>次）</w:t>
      </w:r>
      <w:r>
        <w:rPr>
          <w:rFonts w:hint="eastAsia" w:ascii="宋体" w:hAnsi="宋体" w:eastAsia="宋体" w:cs="宋体"/>
          <w:i w:val="0"/>
          <w:iCs w:val="0"/>
          <w:caps w:val="0"/>
          <w:color w:val="333333"/>
          <w:spacing w:val="0"/>
          <w:sz w:val="24"/>
          <w:szCs w:val="24"/>
          <w:highlight w:val="none"/>
          <w:shd w:val="clear" w:fill="FFFFFF"/>
        </w:rPr>
        <w:t>的潜在供应商应在陕西省西安市经济技术开发区未央路171-1号银池道拉斯财富中心21楼03室获取采购文件，并于 2026年01月05日 09时30分 （北京时间）前提交响应文件。</w:t>
      </w:r>
    </w:p>
    <w:p w14:paraId="15D0ADD9">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一、项目基本情况</w:t>
      </w:r>
    </w:p>
    <w:p w14:paraId="66904F5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hAnsi="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项目编号：</w:t>
      </w:r>
      <w:r>
        <w:rPr>
          <w:rFonts w:hint="eastAsia" w:hAnsi="宋体" w:cs="宋体"/>
          <w:i w:val="0"/>
          <w:iCs w:val="0"/>
          <w:caps w:val="0"/>
          <w:color w:val="333333"/>
          <w:spacing w:val="0"/>
          <w:sz w:val="24"/>
          <w:szCs w:val="24"/>
          <w:highlight w:val="none"/>
          <w:shd w:val="clear" w:fill="FFFFFF"/>
          <w:lang w:eastAsia="zh-CN"/>
        </w:rPr>
        <w:t>SXZCZB2025-ZCCS-1127（三次）</w:t>
      </w:r>
    </w:p>
    <w:p w14:paraId="315E09A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hAnsi="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项目名称：</w:t>
      </w:r>
      <w:r>
        <w:rPr>
          <w:rFonts w:hint="eastAsia" w:hAnsi="宋体" w:cs="宋体"/>
          <w:i w:val="0"/>
          <w:iCs w:val="0"/>
          <w:caps w:val="0"/>
          <w:color w:val="333333"/>
          <w:spacing w:val="0"/>
          <w:sz w:val="24"/>
          <w:szCs w:val="24"/>
          <w:highlight w:val="none"/>
          <w:shd w:val="clear" w:fill="FFFFFF"/>
          <w:lang w:eastAsia="zh-CN"/>
        </w:rPr>
        <w:t>2025年秋季学期期末考试考场租赁项目(三次)</w:t>
      </w:r>
    </w:p>
    <w:p w14:paraId="36CC222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采购方式：竞争性磋商</w:t>
      </w:r>
    </w:p>
    <w:p w14:paraId="6F9A30D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预算金额：11</w:t>
      </w:r>
      <w:r>
        <w:rPr>
          <w:rFonts w:hint="eastAsia" w:hAnsi="宋体" w:cs="宋体"/>
          <w:i w:val="0"/>
          <w:iCs w:val="0"/>
          <w:caps w:val="0"/>
          <w:color w:val="333333"/>
          <w:spacing w:val="0"/>
          <w:sz w:val="24"/>
          <w:szCs w:val="24"/>
          <w:highlight w:val="none"/>
          <w:shd w:val="clear" w:fill="FFFFFF"/>
          <w:lang w:val="en-US" w:eastAsia="zh-CN"/>
        </w:rPr>
        <w:t>1</w:t>
      </w:r>
      <w:r>
        <w:rPr>
          <w:rFonts w:hint="eastAsia" w:ascii="宋体" w:hAnsi="宋体" w:eastAsia="宋体" w:cs="宋体"/>
          <w:i w:val="0"/>
          <w:iCs w:val="0"/>
          <w:caps w:val="0"/>
          <w:color w:val="333333"/>
          <w:spacing w:val="0"/>
          <w:sz w:val="24"/>
          <w:szCs w:val="24"/>
          <w:highlight w:val="none"/>
          <w:shd w:val="clear" w:fill="FFFFFF"/>
        </w:rPr>
        <w:t>,</w:t>
      </w:r>
      <w:r>
        <w:rPr>
          <w:rFonts w:hint="eastAsia" w:hAnsi="宋体" w:cs="宋体"/>
          <w:i w:val="0"/>
          <w:iCs w:val="0"/>
          <w:caps w:val="0"/>
          <w:color w:val="333333"/>
          <w:spacing w:val="0"/>
          <w:sz w:val="24"/>
          <w:szCs w:val="24"/>
          <w:highlight w:val="none"/>
          <w:shd w:val="clear" w:fill="FFFFFF"/>
          <w:lang w:val="en-US" w:eastAsia="zh-CN"/>
        </w:rPr>
        <w:t>8</w:t>
      </w:r>
      <w:r>
        <w:rPr>
          <w:rFonts w:hint="eastAsia" w:ascii="宋体" w:hAnsi="宋体" w:eastAsia="宋体" w:cs="宋体"/>
          <w:i w:val="0"/>
          <w:iCs w:val="0"/>
          <w:caps w:val="0"/>
          <w:color w:val="333333"/>
          <w:spacing w:val="0"/>
          <w:sz w:val="24"/>
          <w:szCs w:val="24"/>
          <w:highlight w:val="none"/>
          <w:shd w:val="clear" w:fill="FFFFFF"/>
        </w:rPr>
        <w:t>00.00元</w:t>
      </w:r>
    </w:p>
    <w:p w14:paraId="2D39FC5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采购需求：</w:t>
      </w:r>
    </w:p>
    <w:p w14:paraId="3298E49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w:t>
      </w:r>
      <w:r>
        <w:rPr>
          <w:rFonts w:hint="eastAsia" w:hAnsi="宋体" w:cs="宋体"/>
          <w:i w:val="0"/>
          <w:iCs w:val="0"/>
          <w:caps w:val="0"/>
          <w:color w:val="333333"/>
          <w:spacing w:val="0"/>
          <w:sz w:val="24"/>
          <w:szCs w:val="24"/>
          <w:highlight w:val="none"/>
          <w:shd w:val="clear" w:fill="FFFFFF"/>
          <w:lang w:eastAsia="zh-CN"/>
        </w:rPr>
        <w:t>2025年秋季学期期末考试考场租赁项目</w:t>
      </w:r>
      <w:r>
        <w:rPr>
          <w:rFonts w:hint="eastAsia" w:ascii="宋体" w:hAnsi="宋体" w:eastAsia="宋体" w:cs="宋体"/>
          <w:i w:val="0"/>
          <w:iCs w:val="0"/>
          <w:caps w:val="0"/>
          <w:color w:val="333333"/>
          <w:spacing w:val="0"/>
          <w:sz w:val="24"/>
          <w:szCs w:val="24"/>
          <w:highlight w:val="none"/>
          <w:shd w:val="clear" w:fill="FFFFFF"/>
        </w:rPr>
        <w:t>):</w:t>
      </w:r>
    </w:p>
    <w:p w14:paraId="4131C9C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合同包预算金额：11</w:t>
      </w:r>
      <w:r>
        <w:rPr>
          <w:rFonts w:hint="eastAsia" w:hAnsi="宋体" w:cs="宋体"/>
          <w:i w:val="0"/>
          <w:iCs w:val="0"/>
          <w:caps w:val="0"/>
          <w:color w:val="333333"/>
          <w:spacing w:val="0"/>
          <w:sz w:val="24"/>
          <w:szCs w:val="24"/>
          <w:highlight w:val="none"/>
          <w:shd w:val="clear" w:fill="FFFFFF"/>
          <w:lang w:val="en-US" w:eastAsia="zh-CN"/>
        </w:rPr>
        <w:t>1</w:t>
      </w:r>
      <w:r>
        <w:rPr>
          <w:rFonts w:hint="eastAsia" w:ascii="宋体" w:hAnsi="宋体" w:eastAsia="宋体" w:cs="宋体"/>
          <w:i w:val="0"/>
          <w:iCs w:val="0"/>
          <w:caps w:val="0"/>
          <w:color w:val="333333"/>
          <w:spacing w:val="0"/>
          <w:sz w:val="24"/>
          <w:szCs w:val="24"/>
          <w:highlight w:val="none"/>
          <w:shd w:val="clear" w:fill="FFFFFF"/>
        </w:rPr>
        <w:t>,</w:t>
      </w:r>
      <w:r>
        <w:rPr>
          <w:rFonts w:hint="eastAsia" w:hAnsi="宋体" w:cs="宋体"/>
          <w:i w:val="0"/>
          <w:iCs w:val="0"/>
          <w:caps w:val="0"/>
          <w:color w:val="333333"/>
          <w:spacing w:val="0"/>
          <w:sz w:val="24"/>
          <w:szCs w:val="24"/>
          <w:highlight w:val="none"/>
          <w:shd w:val="clear" w:fill="FFFFFF"/>
          <w:lang w:val="en-US" w:eastAsia="zh-CN"/>
        </w:rPr>
        <w:t>8</w:t>
      </w:r>
      <w:r>
        <w:rPr>
          <w:rFonts w:hint="eastAsia" w:ascii="宋体" w:hAnsi="宋体" w:eastAsia="宋体" w:cs="宋体"/>
          <w:i w:val="0"/>
          <w:iCs w:val="0"/>
          <w:caps w:val="0"/>
          <w:color w:val="333333"/>
          <w:spacing w:val="0"/>
          <w:sz w:val="24"/>
          <w:szCs w:val="24"/>
          <w:highlight w:val="none"/>
          <w:shd w:val="clear" w:fill="FFFFFF"/>
        </w:rPr>
        <w:t>00.00元</w:t>
      </w:r>
    </w:p>
    <w:p w14:paraId="41F5CAD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合同包最高限价：11</w:t>
      </w:r>
      <w:r>
        <w:rPr>
          <w:rFonts w:hint="eastAsia" w:hAnsi="宋体" w:cs="宋体"/>
          <w:i w:val="0"/>
          <w:iCs w:val="0"/>
          <w:caps w:val="0"/>
          <w:color w:val="333333"/>
          <w:spacing w:val="0"/>
          <w:sz w:val="24"/>
          <w:szCs w:val="24"/>
          <w:highlight w:val="none"/>
          <w:shd w:val="clear" w:fill="FFFFFF"/>
          <w:lang w:val="en-US" w:eastAsia="zh-CN"/>
        </w:rPr>
        <w:t>1</w:t>
      </w:r>
      <w:r>
        <w:rPr>
          <w:rFonts w:hint="eastAsia" w:ascii="宋体" w:hAnsi="宋体" w:eastAsia="宋体" w:cs="宋体"/>
          <w:i w:val="0"/>
          <w:iCs w:val="0"/>
          <w:caps w:val="0"/>
          <w:color w:val="333333"/>
          <w:spacing w:val="0"/>
          <w:sz w:val="24"/>
          <w:szCs w:val="24"/>
          <w:highlight w:val="none"/>
          <w:shd w:val="clear" w:fill="FFFFFF"/>
        </w:rPr>
        <w:t>,</w:t>
      </w:r>
      <w:r>
        <w:rPr>
          <w:rFonts w:hint="eastAsia" w:hAnsi="宋体" w:cs="宋体"/>
          <w:i w:val="0"/>
          <w:iCs w:val="0"/>
          <w:caps w:val="0"/>
          <w:color w:val="333333"/>
          <w:spacing w:val="0"/>
          <w:sz w:val="24"/>
          <w:szCs w:val="24"/>
          <w:highlight w:val="none"/>
          <w:shd w:val="clear" w:fill="FFFFFF"/>
          <w:lang w:val="en-US" w:eastAsia="zh-CN"/>
        </w:rPr>
        <w:t>8</w:t>
      </w:r>
      <w:r>
        <w:rPr>
          <w:rFonts w:hint="eastAsia" w:ascii="宋体" w:hAnsi="宋体" w:eastAsia="宋体" w:cs="宋体"/>
          <w:i w:val="0"/>
          <w:iCs w:val="0"/>
          <w:caps w:val="0"/>
          <w:color w:val="333333"/>
          <w:spacing w:val="0"/>
          <w:sz w:val="24"/>
          <w:szCs w:val="24"/>
          <w:highlight w:val="none"/>
          <w:shd w:val="clear" w:fill="FFFFFF"/>
        </w:rPr>
        <w:t>00.00元</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506"/>
        <w:gridCol w:w="1566"/>
        <w:gridCol w:w="1551"/>
        <w:gridCol w:w="2375"/>
        <w:gridCol w:w="1626"/>
      </w:tblGrid>
      <w:tr w14:paraId="3D148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479168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品目号</w:t>
            </w:r>
          </w:p>
        </w:tc>
        <w:tc>
          <w:tcPr>
            <w:tcW w:w="0" w:type="auto"/>
            <w:vAlign w:val="center"/>
          </w:tcPr>
          <w:p w14:paraId="03203C0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品目名称</w:t>
            </w:r>
          </w:p>
        </w:tc>
        <w:tc>
          <w:tcPr>
            <w:tcW w:w="0" w:type="auto"/>
            <w:vAlign w:val="center"/>
          </w:tcPr>
          <w:p w14:paraId="7FA5A8E9">
            <w:pPr>
              <w:keepNext w:val="0"/>
              <w:keepLines w:val="0"/>
              <w:pageBreakBefore w:val="0"/>
              <w:kinsoku/>
              <w:overflowPunct/>
              <w:topLinePunct w:val="0"/>
              <w:autoSpaceDE/>
              <w:autoSpaceDN/>
              <w:bidi w:val="0"/>
              <w:adjustRightInd/>
              <w:snapToGrid w:val="0"/>
              <w:spacing w:line="360" w:lineRule="auto"/>
              <w:ind w:left="0" w:firstLine="480" w:firstLineChars="200"/>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采购标的</w:t>
            </w:r>
          </w:p>
        </w:tc>
        <w:tc>
          <w:tcPr>
            <w:tcW w:w="0" w:type="auto"/>
            <w:vAlign w:val="center"/>
          </w:tcPr>
          <w:p w14:paraId="39C1CA1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数量（单位）</w:t>
            </w:r>
          </w:p>
        </w:tc>
        <w:tc>
          <w:tcPr>
            <w:tcW w:w="0" w:type="auto"/>
            <w:vAlign w:val="center"/>
          </w:tcPr>
          <w:p w14:paraId="5634CF2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技术规格、参数及要求</w:t>
            </w:r>
          </w:p>
        </w:tc>
        <w:tc>
          <w:tcPr>
            <w:tcW w:w="0" w:type="auto"/>
            <w:vAlign w:val="center"/>
          </w:tcPr>
          <w:p w14:paraId="6EE492F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品目预算(元)</w:t>
            </w:r>
          </w:p>
        </w:tc>
      </w:tr>
      <w:tr w14:paraId="79ACC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98664D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1-1</w:t>
            </w:r>
          </w:p>
        </w:tc>
        <w:tc>
          <w:tcPr>
            <w:tcW w:w="0" w:type="auto"/>
            <w:vAlign w:val="center"/>
          </w:tcPr>
          <w:p w14:paraId="7C0A13D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房屋租赁服务</w:t>
            </w:r>
          </w:p>
        </w:tc>
        <w:tc>
          <w:tcPr>
            <w:tcW w:w="0" w:type="auto"/>
            <w:vAlign w:val="center"/>
          </w:tcPr>
          <w:p w14:paraId="06F1752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考场租赁</w:t>
            </w:r>
          </w:p>
        </w:tc>
        <w:tc>
          <w:tcPr>
            <w:tcW w:w="0" w:type="auto"/>
            <w:vAlign w:val="center"/>
          </w:tcPr>
          <w:p w14:paraId="6DE1298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1(项)</w:t>
            </w:r>
          </w:p>
        </w:tc>
        <w:tc>
          <w:tcPr>
            <w:tcW w:w="0" w:type="auto"/>
            <w:vAlign w:val="center"/>
          </w:tcPr>
          <w:p w14:paraId="7DDBCB7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详见采购文件</w:t>
            </w:r>
          </w:p>
        </w:tc>
        <w:tc>
          <w:tcPr>
            <w:tcW w:w="0" w:type="auto"/>
            <w:vAlign w:val="center"/>
          </w:tcPr>
          <w:p w14:paraId="613823B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111,800.00</w:t>
            </w:r>
          </w:p>
        </w:tc>
      </w:tr>
    </w:tbl>
    <w:p w14:paraId="2C678FB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 xml:space="preserve"> 本合同包不接受联合体投标</w:t>
      </w:r>
    </w:p>
    <w:p w14:paraId="784826B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 xml:space="preserve"> 合同履行期限：详见采购文件</w:t>
      </w:r>
    </w:p>
    <w:p w14:paraId="3AC9E9B0">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二、申请人的资格要求：</w:t>
      </w:r>
    </w:p>
    <w:p w14:paraId="770AD87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1.满足《中华人民共和国政府采购法》第二十二条规定;</w:t>
      </w:r>
    </w:p>
    <w:p w14:paraId="5DBF739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2.落实政府采购政策需满足的资格要求：</w:t>
      </w:r>
    </w:p>
    <w:p w14:paraId="315D3C0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w:t>
      </w:r>
      <w:r>
        <w:rPr>
          <w:rFonts w:hint="eastAsia" w:hAnsi="宋体" w:cs="宋体"/>
          <w:i w:val="0"/>
          <w:iCs w:val="0"/>
          <w:caps w:val="0"/>
          <w:color w:val="333333"/>
          <w:spacing w:val="0"/>
          <w:sz w:val="24"/>
          <w:szCs w:val="24"/>
          <w:highlight w:val="none"/>
          <w:shd w:val="clear" w:fill="FFFFFF"/>
          <w:lang w:eastAsia="zh-CN"/>
        </w:rPr>
        <w:t>2025年秋季学期期末考试考场租赁项目</w:t>
      </w:r>
      <w:r>
        <w:rPr>
          <w:rFonts w:hint="eastAsia" w:ascii="宋体" w:hAnsi="宋体" w:eastAsia="宋体" w:cs="宋体"/>
          <w:i w:val="0"/>
          <w:iCs w:val="0"/>
          <w:caps w:val="0"/>
          <w:color w:val="333333"/>
          <w:spacing w:val="0"/>
          <w:sz w:val="24"/>
          <w:szCs w:val="24"/>
          <w:highlight w:val="none"/>
          <w:shd w:val="clear" w:fill="FFFFFF"/>
        </w:rPr>
        <w:t>)落实政府采购政策需满足的资格要求如下:</w:t>
      </w:r>
    </w:p>
    <w:p w14:paraId="41339A7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（1）《政府采购促进中小企业发展管理办法》（财库〔2020〕46号）；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（3）《关于促进残疾人就业政府采购政策的通知》（财库〔2017〕141号）；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（4）《节能产品政府采购实施意见》（财库〔2004〕185号）；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（5）《环境标志产品政府采购实施的意见》（财库〔2006〕90号）；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（6）《国务院办公厅关于建立政府强制采购节能产品制度的通知》（国办发〔2007〕51号）；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（8）《关于印发环境标志产品政府采购品目清单的通知》--（财库〔2019〕18号）；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（9）《关于印发节能产品政府采购品目清单的通知》--（财库〔2019〕19号）；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（10）《关于发布参与实施政府采购节能产品、环境标志产品认证机构名录的公告》—2019年第16号；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（11）《关于运用政府采购政策支持乡村产业振兴的通知》（财库〔2021〕19号）；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（13）《陕西省财政厅关于加快推进我省中小企业政府采购信用融资工作的通知》（陕财办采〔2020〕15号）；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（14）《关于进一步加强政府绿色采购有关问题的通知》（陕财办采〔2021〕29号）；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（15）《陕西省财政厅陕西省工业和信息化厅关于运用政府采购政策支持首台（套）及创新产品有关事项的通知》（陕财办采〔2021〕17号）；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（16）《关于进一步加大政府采购支持中小企业力度的通知》（财库〔2022〕19号）、《关于落实政府采购支持中小企业政策有关事项的通知》（陕财办采函〔2022〕10号）；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（17）其他需要落实的政府采购政策。</w:t>
      </w:r>
    </w:p>
    <w:p w14:paraId="4E119A2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3.本项目的特定资格要求：</w:t>
      </w:r>
    </w:p>
    <w:p w14:paraId="3BFCA5A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w:t>
      </w:r>
      <w:r>
        <w:rPr>
          <w:rFonts w:hint="eastAsia" w:hAnsi="宋体" w:cs="宋体"/>
          <w:i w:val="0"/>
          <w:iCs w:val="0"/>
          <w:caps w:val="0"/>
          <w:color w:val="333333"/>
          <w:spacing w:val="0"/>
          <w:sz w:val="24"/>
          <w:szCs w:val="24"/>
          <w:highlight w:val="none"/>
          <w:shd w:val="clear" w:fill="FFFFFF"/>
          <w:lang w:eastAsia="zh-CN"/>
        </w:rPr>
        <w:t>2025年秋季学期期末考试考场租赁项目</w:t>
      </w:r>
      <w:r>
        <w:rPr>
          <w:rFonts w:hint="eastAsia" w:ascii="宋体" w:hAnsi="宋体" w:eastAsia="宋体" w:cs="宋体"/>
          <w:i w:val="0"/>
          <w:iCs w:val="0"/>
          <w:caps w:val="0"/>
          <w:color w:val="333333"/>
          <w:spacing w:val="0"/>
          <w:sz w:val="24"/>
          <w:szCs w:val="24"/>
          <w:highlight w:val="none"/>
          <w:shd w:val="clear" w:fill="FFFFFF"/>
        </w:rPr>
        <w:t>)特定资格要求如下:</w:t>
      </w:r>
    </w:p>
    <w:p w14:paraId="01C3E74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（1）提供合格有效的法人或者其他组织的营业执照等证明文件，自然人的身份证明；</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（2）提供法定代表人授权书（附法定代表人、被授权人身份证复印件），法定代表人直接参加的，须提供法定代表人身份证明及身份证复印件；</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3）财务状况：提供2024年度经审计的财务审计报告，内容至少包括资产负债表、利润表、现金流量表及附注（成立时间至提交响应文件截止时间不足一年的可提供成立后任意时段的资产负债表）或磋商时间前六个月内银行出具的资信证明；</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（4）税收缴纳证明：提供2025年01月01日至今已缴存的至少一个月的纳税证明或完税证明，依法免税的单位应提供相关证明材料；</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（5）社会保障资金缴纳证明：提供2025年01月01日至今已缴存的至少一个月的社会保障资金缴存单据或社保机构开具的社会保险参保缴费情况证明，依法不需要缴纳社会保障资金的单位应提供相关证明材料；</w:t>
      </w:r>
    </w:p>
    <w:p w14:paraId="247D02C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（6）供应商通过“信用中国”网站(www.creditchina.gov.cn)、中国政府采购网(www.ccgp.gov.cn)等查询相关主体信用记录；</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（7）参加政府采购活动前3年内，在经营活动中没有重大违法记录的书面声明；</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（8）提供具有履行合同所必需的设备和专业技术能力的书面承诺；</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（9）中小企业声明函：本项目为专门面向中小企业采购（提供中小企业声明函或监狱企业的证明文件或残疾人福利性单位声明函）；</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（10）本项目不接受联合体磋商（提供承诺书）。</w:t>
      </w:r>
    </w:p>
    <w:p w14:paraId="07566B0F">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三、获取采购文件</w:t>
      </w:r>
    </w:p>
    <w:p w14:paraId="5298AE9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时间： 2025年12月26日 至 2026年01月04日 ，每天上午 09:00:00 至 12:00:00 ，下午 14:00:00 至 17:00:00 （北京时间）</w:t>
      </w:r>
    </w:p>
    <w:p w14:paraId="20968AE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途径：陕西省西安市经济技术开发区未央路171-1号银池道拉斯财富中心21楼03室</w:t>
      </w:r>
    </w:p>
    <w:p w14:paraId="0060AEC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方式：现场获取</w:t>
      </w:r>
    </w:p>
    <w:p w14:paraId="4C0A6DE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售价： 0元</w:t>
      </w:r>
    </w:p>
    <w:p w14:paraId="4E380A46">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四、响应文件提交</w:t>
      </w:r>
    </w:p>
    <w:p w14:paraId="2E3B1C7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截止时间： 2026年01月05日 09时30分00秒 （北京时间）</w:t>
      </w:r>
    </w:p>
    <w:p w14:paraId="5130E8B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rPr>
        <w:t>地点：陕西省西安市碑林区南二环西段21号华融国际商务大厦A座22楼E区</w:t>
      </w:r>
    </w:p>
    <w:p w14:paraId="6695EA31">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五、开启</w:t>
      </w:r>
    </w:p>
    <w:p w14:paraId="6F7957B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时间： 2026年01月05日 09时30分00秒 （北京时间）</w:t>
      </w:r>
    </w:p>
    <w:p w14:paraId="40D41D8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地点：陕西省西安市碑林区南二环西段21号华融国际商务大厦A座22楼E区</w:t>
      </w:r>
    </w:p>
    <w:p w14:paraId="773F96A9">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六、公告期限</w:t>
      </w:r>
    </w:p>
    <w:p w14:paraId="115925D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自本公告发布之日起3个工作日。</w:t>
      </w:r>
    </w:p>
    <w:p w14:paraId="4C7E24BA">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七、其他补充事宜</w:t>
      </w:r>
    </w:p>
    <w:p w14:paraId="4C393C7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（1）供应商领取采购文件时，请携带单位介绍信及经办人身份证原件及复印件加盖公章；</w:t>
      </w:r>
    </w:p>
    <w:p w14:paraId="3EE8736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（2）请供应商按照《陕西省财政厅关于政府采购供应商注册登记有关事项的通知》中的要求，通过陕西省政府采购网（http://www.ccgp-shaanxi.gov.cn/）注册登记加入陕西省政府采购供应商库；</w:t>
      </w:r>
    </w:p>
    <w:p w14:paraId="019C70B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（3）本项目专门面向中小企业采购。</w:t>
      </w:r>
    </w:p>
    <w:p w14:paraId="14C149C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hAnsi="宋体" w:cs="宋体"/>
          <w:i w:val="0"/>
          <w:iCs w:val="0"/>
          <w:caps w:val="0"/>
          <w:color w:val="333333"/>
          <w:spacing w:val="0"/>
          <w:sz w:val="24"/>
          <w:szCs w:val="24"/>
          <w:highlight w:val="none"/>
          <w:shd w:val="clear" w:fill="FFFFFF"/>
          <w:lang w:val="en-US" w:eastAsia="zh-CN"/>
        </w:rPr>
      </w:pPr>
      <w:r>
        <w:rPr>
          <w:rFonts w:hint="eastAsia" w:hAnsi="宋体" w:cs="宋体"/>
          <w:i w:val="0"/>
          <w:iCs w:val="0"/>
          <w:caps w:val="0"/>
          <w:color w:val="333333"/>
          <w:spacing w:val="0"/>
          <w:sz w:val="24"/>
          <w:szCs w:val="24"/>
          <w:highlight w:val="none"/>
          <w:shd w:val="clear" w:fill="FFFFFF"/>
          <w:lang w:eastAsia="zh-CN"/>
        </w:rPr>
        <w:t>（</w:t>
      </w:r>
      <w:r>
        <w:rPr>
          <w:rFonts w:hint="eastAsia" w:hAnsi="宋体" w:cs="宋体"/>
          <w:i w:val="0"/>
          <w:iCs w:val="0"/>
          <w:caps w:val="0"/>
          <w:color w:val="333333"/>
          <w:spacing w:val="0"/>
          <w:sz w:val="24"/>
          <w:szCs w:val="24"/>
          <w:highlight w:val="none"/>
          <w:shd w:val="clear" w:fill="FFFFFF"/>
          <w:lang w:val="en-US" w:eastAsia="zh-CN"/>
        </w:rPr>
        <w:t>4</w:t>
      </w:r>
      <w:r>
        <w:rPr>
          <w:rFonts w:hint="eastAsia" w:hAnsi="宋体" w:cs="宋体"/>
          <w:i w:val="0"/>
          <w:iCs w:val="0"/>
          <w:caps w:val="0"/>
          <w:color w:val="333333"/>
          <w:spacing w:val="0"/>
          <w:sz w:val="24"/>
          <w:szCs w:val="24"/>
          <w:highlight w:val="none"/>
          <w:shd w:val="clear" w:fill="FFFFFF"/>
          <w:lang w:eastAsia="zh-CN"/>
        </w:rPr>
        <w:t>）</w:t>
      </w:r>
      <w:r>
        <w:rPr>
          <w:rFonts w:hint="eastAsia" w:hAnsi="宋体" w:cs="宋体"/>
          <w:i w:val="0"/>
          <w:iCs w:val="0"/>
          <w:caps w:val="0"/>
          <w:color w:val="333333"/>
          <w:spacing w:val="0"/>
          <w:sz w:val="24"/>
          <w:szCs w:val="24"/>
          <w:highlight w:val="none"/>
          <w:shd w:val="clear" w:fill="FFFFFF"/>
          <w:lang w:val="en-US" w:eastAsia="zh-CN"/>
        </w:rPr>
        <w:t>本项目根据单价据实结算</w:t>
      </w:r>
    </w:p>
    <w:p w14:paraId="6AD980A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default" w:hAnsi="宋体" w:cs="宋体"/>
          <w:i w:val="0"/>
          <w:iCs w:val="0"/>
          <w:caps w:val="0"/>
          <w:color w:val="333333"/>
          <w:spacing w:val="0"/>
          <w:sz w:val="24"/>
          <w:szCs w:val="24"/>
          <w:highlight w:val="none"/>
          <w:shd w:val="clear" w:fill="FFFFFF"/>
          <w:lang w:val="en-US" w:eastAsia="zh-CN"/>
        </w:rPr>
      </w:pPr>
      <w:r>
        <w:rPr>
          <w:rFonts w:hint="eastAsia" w:hAnsi="宋体" w:cs="宋体"/>
          <w:i w:val="0"/>
          <w:iCs w:val="0"/>
          <w:caps w:val="0"/>
          <w:color w:val="333333"/>
          <w:spacing w:val="0"/>
          <w:sz w:val="24"/>
          <w:szCs w:val="24"/>
          <w:highlight w:val="none"/>
          <w:shd w:val="clear" w:fill="FFFFFF"/>
          <w:lang w:val="en-US" w:eastAsia="zh-CN"/>
        </w:rPr>
        <w:t>（5）最高限价：650元/间/天</w:t>
      </w:r>
    </w:p>
    <w:p w14:paraId="64BB156C">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八、对本次招标提出询问，请按以下方式联系。</w:t>
      </w:r>
    </w:p>
    <w:p w14:paraId="5540357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1.采购人信息</w:t>
      </w:r>
    </w:p>
    <w:p w14:paraId="505E43D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rPr>
        <w:t>名称：</w:t>
      </w:r>
      <w:r>
        <w:rPr>
          <w:rFonts w:hint="eastAsia" w:hAnsi="宋体" w:cs="宋体"/>
          <w:i w:val="0"/>
          <w:iCs w:val="0"/>
          <w:caps w:val="0"/>
          <w:color w:val="333333"/>
          <w:spacing w:val="0"/>
          <w:sz w:val="24"/>
          <w:szCs w:val="24"/>
          <w:highlight w:val="none"/>
          <w:shd w:val="clear" w:fill="FFFFFF"/>
          <w:lang w:val="en-US" w:eastAsia="zh-CN"/>
        </w:rPr>
        <w:t>西安开放大学</w:t>
      </w:r>
    </w:p>
    <w:p w14:paraId="18F63D6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地址：西安市碑林区金花南路11号</w:t>
      </w:r>
    </w:p>
    <w:p w14:paraId="0B9C5C2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yellow"/>
          <w:shd w:val="clear" w:fill="FFFFFF"/>
        </w:rPr>
      </w:pPr>
      <w:r>
        <w:rPr>
          <w:rFonts w:hint="eastAsia" w:ascii="宋体" w:hAnsi="宋体" w:eastAsia="宋体" w:cs="宋体"/>
          <w:i w:val="0"/>
          <w:iCs w:val="0"/>
          <w:caps w:val="0"/>
          <w:color w:val="333333"/>
          <w:spacing w:val="0"/>
          <w:sz w:val="24"/>
          <w:szCs w:val="24"/>
          <w:highlight w:val="none"/>
          <w:shd w:val="clear" w:fill="FFFFFF"/>
        </w:rPr>
        <w:t>联系方式：15102999937</w:t>
      </w:r>
    </w:p>
    <w:p w14:paraId="48FF66D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2.采购代理机构信息</w:t>
      </w:r>
    </w:p>
    <w:p w14:paraId="5987177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名称：陕西至诚项目管理集团有限公司</w:t>
      </w:r>
    </w:p>
    <w:p w14:paraId="67B0936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地址：陕西省西安市经济技术开发区未央路171-1号银池道拉斯财富中心21楼</w:t>
      </w:r>
    </w:p>
    <w:p w14:paraId="2EF7D81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联系方式：029-88219779</w:t>
      </w:r>
    </w:p>
    <w:p w14:paraId="34862CB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3.项目联系方式</w:t>
      </w:r>
    </w:p>
    <w:p w14:paraId="13EE79A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项目联系人：康乐、孙洋、常瑛</w:t>
      </w:r>
    </w:p>
    <w:p w14:paraId="75B26FC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电话：029-88219779</w:t>
      </w:r>
    </w:p>
    <w:p w14:paraId="22A22260">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br w:type="textWrapping"/>
      </w:r>
    </w:p>
    <w:p w14:paraId="160049AF">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陕西至诚项目管理集团有限公司</w:t>
      </w:r>
    </w:p>
    <w:p w14:paraId="6025A5CA">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hAnsi="宋体" w:cs="宋体"/>
          <w:i w:val="0"/>
          <w:iCs w:val="0"/>
          <w:caps w:val="0"/>
          <w:color w:val="333333"/>
          <w:spacing w:val="0"/>
          <w:sz w:val="24"/>
          <w:szCs w:val="24"/>
          <w:highlight w:val="none"/>
          <w:shd w:val="clear" w:fill="FFFFFF"/>
          <w:lang w:val="en-US" w:eastAsia="zh-CN"/>
        </w:rPr>
        <w:t>2025年12月25日</w:t>
      </w:r>
    </w:p>
    <w:p w14:paraId="1FE81373">
      <w:pPr>
        <w:keepNext w:val="0"/>
        <w:keepLines w:val="0"/>
        <w:pageBreakBefore w:val="0"/>
        <w:kinsoku/>
        <w:overflowPunct/>
        <w:topLinePunct w:val="0"/>
        <w:autoSpaceDE/>
        <w:autoSpaceDN/>
        <w:bidi w:val="0"/>
        <w:adjustRightInd/>
        <w:snapToGrid w:val="0"/>
        <w:spacing w:line="360" w:lineRule="auto"/>
        <w:ind w:left="0" w:firstLine="480" w:firstLineChars="200"/>
        <w:jc w:val="center"/>
        <w:textAlignment w:val="auto"/>
        <w:rPr>
          <w:rFonts w:hAnsi="宋体" w:cs="宋体"/>
          <w:color w:val="auto"/>
          <w:highlight w:val="none"/>
        </w:rPr>
      </w:pPr>
      <w:r>
        <w:rPr>
          <w:rFonts w:hint="eastAsia" w:hAnsi="宋体" w:cs="宋体"/>
          <w:color w:val="auto"/>
          <w:highlight w:val="none"/>
        </w:rPr>
        <w:br w:type="page"/>
      </w:r>
    </w:p>
    <w:p w14:paraId="575C789B">
      <w:pPr>
        <w:spacing w:line="348" w:lineRule="auto"/>
        <w:ind w:right="119"/>
        <w:jc w:val="center"/>
        <w:outlineLvl w:val="0"/>
        <w:rPr>
          <w:rFonts w:hAnsi="宋体" w:cs="宋体"/>
          <w:bCs/>
          <w:color w:val="auto"/>
          <w:sz w:val="36"/>
          <w:szCs w:val="36"/>
          <w:highlight w:val="none"/>
        </w:rPr>
      </w:pPr>
      <w:bookmarkStart w:id="20" w:name="_Toc5958"/>
      <w:bookmarkStart w:id="21" w:name="_Toc3334"/>
      <w:bookmarkStart w:id="22" w:name="_Toc14793"/>
      <w:r>
        <w:rPr>
          <w:rFonts w:hint="eastAsia" w:hAnsi="宋体" w:cs="宋体"/>
          <w:b/>
          <w:bCs/>
          <w:color w:val="auto"/>
          <w:kern w:val="2"/>
          <w:sz w:val="36"/>
          <w:szCs w:val="36"/>
          <w:highlight w:val="none"/>
        </w:rPr>
        <w:t xml:space="preserve">第二章  </w:t>
      </w:r>
      <w:bookmarkEnd w:id="16"/>
      <w:bookmarkEnd w:id="17"/>
      <w:bookmarkStart w:id="23" w:name="OLE_LINK3"/>
      <w:r>
        <w:rPr>
          <w:rFonts w:hint="eastAsia" w:hAnsi="宋体" w:cs="宋体"/>
          <w:b/>
          <w:bCs/>
          <w:color w:val="auto"/>
          <w:kern w:val="2"/>
          <w:sz w:val="36"/>
          <w:szCs w:val="36"/>
          <w:highlight w:val="none"/>
        </w:rPr>
        <w:t>供应商须知</w:t>
      </w:r>
      <w:bookmarkEnd w:id="18"/>
      <w:bookmarkEnd w:id="19"/>
      <w:bookmarkEnd w:id="20"/>
      <w:bookmarkEnd w:id="21"/>
      <w:bookmarkEnd w:id="22"/>
      <w:bookmarkEnd w:id="23"/>
    </w:p>
    <w:p w14:paraId="296E84F9">
      <w:pPr>
        <w:spacing w:line="440" w:lineRule="exact"/>
        <w:jc w:val="center"/>
        <w:outlineLvl w:val="1"/>
        <w:rPr>
          <w:rFonts w:hAnsi="宋体" w:cs="宋体"/>
          <w:b/>
          <w:bCs/>
          <w:color w:val="auto"/>
          <w:sz w:val="32"/>
          <w:szCs w:val="32"/>
          <w:highlight w:val="none"/>
        </w:rPr>
      </w:pPr>
      <w:bookmarkStart w:id="24" w:name="_Toc18299"/>
      <w:bookmarkStart w:id="25" w:name="_Toc16830"/>
      <w:bookmarkStart w:id="26" w:name="_Toc23180"/>
      <w:bookmarkStart w:id="27" w:name="_Toc8846"/>
      <w:bookmarkStart w:id="28" w:name="_Toc4724"/>
      <w:r>
        <w:rPr>
          <w:rFonts w:hint="eastAsia" w:hAnsi="宋体" w:cs="宋体"/>
          <w:b/>
          <w:bCs/>
          <w:color w:val="auto"/>
          <w:sz w:val="32"/>
          <w:szCs w:val="32"/>
          <w:highlight w:val="none"/>
        </w:rPr>
        <w:t>供应商须知前附表</w:t>
      </w:r>
      <w:bookmarkEnd w:id="24"/>
      <w:bookmarkEnd w:id="25"/>
      <w:bookmarkEnd w:id="26"/>
      <w:bookmarkEnd w:id="27"/>
      <w:bookmarkEnd w:id="28"/>
    </w:p>
    <w:p w14:paraId="720A360C">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090"/>
        <w:gridCol w:w="7215"/>
      </w:tblGrid>
      <w:tr w14:paraId="16BC1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1CBC1596">
            <w:pPr>
              <w:spacing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1090" w:type="dxa"/>
            <w:vAlign w:val="center"/>
          </w:tcPr>
          <w:p w14:paraId="73C2A81A">
            <w:pPr>
              <w:spacing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215" w:type="dxa"/>
          </w:tcPr>
          <w:p w14:paraId="7E1549B6">
            <w:pPr>
              <w:spacing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14:paraId="17315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167CCEC7">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1090" w:type="dxa"/>
            <w:vAlign w:val="center"/>
          </w:tcPr>
          <w:p w14:paraId="034AC3D9">
            <w:pP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215" w:type="dxa"/>
          </w:tcPr>
          <w:p w14:paraId="06149DDE">
            <w:pPr>
              <w:spacing w:line="360" w:lineRule="auto"/>
              <w:rPr>
                <w:rFonts w:hAnsi="宋体" w:cs="宋体"/>
                <w:color w:val="auto"/>
                <w:szCs w:val="24"/>
                <w:highlight w:val="none"/>
              </w:rPr>
            </w:pPr>
            <w:r>
              <w:rPr>
                <w:rFonts w:hint="eastAsia" w:hAnsi="宋体" w:cs="宋体"/>
                <w:color w:val="auto"/>
                <w:szCs w:val="24"/>
                <w:highlight w:val="none"/>
              </w:rPr>
              <w:t>采购代理机构：陕西至诚项目管理集团有限公司</w:t>
            </w:r>
          </w:p>
          <w:p w14:paraId="3AA29DBB">
            <w:pPr>
              <w:spacing w:line="360" w:lineRule="auto"/>
              <w:rPr>
                <w:rFonts w:hAnsi="宋体" w:cs="宋体"/>
                <w:color w:val="auto"/>
                <w:szCs w:val="24"/>
                <w:highlight w:val="none"/>
              </w:rPr>
            </w:pPr>
            <w:r>
              <w:rPr>
                <w:rFonts w:hint="eastAsia" w:hAnsi="宋体" w:cs="宋体"/>
                <w:color w:val="auto"/>
                <w:szCs w:val="24"/>
                <w:highlight w:val="none"/>
              </w:rPr>
              <w:t>地        址：陕西省西安市经济技术开发区未央路171-1号银池道拉斯财富中心21楼03室</w:t>
            </w:r>
          </w:p>
          <w:p w14:paraId="612B2965">
            <w:pPr>
              <w:spacing w:line="360" w:lineRule="auto"/>
              <w:rPr>
                <w:rFonts w:hAnsi="宋体" w:cs="宋体"/>
                <w:color w:val="auto"/>
                <w:szCs w:val="24"/>
                <w:highlight w:val="none"/>
              </w:rPr>
            </w:pPr>
            <w:r>
              <w:rPr>
                <w:rFonts w:hint="eastAsia" w:hAnsi="宋体" w:cs="宋体"/>
                <w:color w:val="auto"/>
                <w:szCs w:val="24"/>
                <w:highlight w:val="none"/>
              </w:rPr>
              <w:t>邮        编：710021</w:t>
            </w:r>
          </w:p>
          <w:p w14:paraId="382FE197">
            <w:pPr>
              <w:spacing w:line="360" w:lineRule="auto"/>
              <w:rPr>
                <w:rFonts w:hAnsi="宋体" w:cs="宋体"/>
                <w:color w:val="auto"/>
                <w:szCs w:val="24"/>
                <w:highlight w:val="none"/>
              </w:rPr>
            </w:pPr>
            <w:r>
              <w:rPr>
                <w:rFonts w:hint="eastAsia" w:hAnsi="宋体" w:cs="宋体"/>
                <w:color w:val="auto"/>
                <w:szCs w:val="24"/>
                <w:highlight w:val="none"/>
              </w:rPr>
              <w:t>电        话：029-88219779</w:t>
            </w:r>
          </w:p>
          <w:p w14:paraId="479200E6">
            <w:pPr>
              <w:spacing w:line="360" w:lineRule="auto"/>
              <w:rPr>
                <w:rFonts w:hAnsi="宋体" w:cs="宋体"/>
                <w:color w:val="auto"/>
                <w:szCs w:val="24"/>
                <w:highlight w:val="none"/>
              </w:rPr>
            </w:pPr>
            <w:r>
              <w:rPr>
                <w:rFonts w:hint="eastAsia" w:hAnsi="宋体" w:cs="宋体"/>
                <w:color w:val="auto"/>
                <w:szCs w:val="24"/>
                <w:highlight w:val="none"/>
              </w:rPr>
              <w:t>传        真：/</w:t>
            </w:r>
          </w:p>
        </w:tc>
      </w:tr>
      <w:tr w14:paraId="4D379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592" w:type="dxa"/>
            <w:vAlign w:val="center"/>
          </w:tcPr>
          <w:p w14:paraId="662FF131">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1090" w:type="dxa"/>
            <w:vAlign w:val="center"/>
          </w:tcPr>
          <w:p w14:paraId="362AC1DF">
            <w:pP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215" w:type="dxa"/>
            <w:vAlign w:val="center"/>
          </w:tcPr>
          <w:p w14:paraId="6FF9F313">
            <w:pP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14:paraId="6E983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592" w:type="dxa"/>
            <w:vAlign w:val="center"/>
          </w:tcPr>
          <w:p w14:paraId="1D56C4D2">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1090" w:type="dxa"/>
            <w:vAlign w:val="center"/>
          </w:tcPr>
          <w:p w14:paraId="390DF204">
            <w:pP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215" w:type="dxa"/>
            <w:vAlign w:val="center"/>
          </w:tcPr>
          <w:p w14:paraId="020D0143">
            <w:pP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14:paraId="4A7A6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335AF5B4">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1090" w:type="dxa"/>
            <w:vAlign w:val="center"/>
          </w:tcPr>
          <w:p w14:paraId="3B46E3C4">
            <w:pP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215" w:type="dxa"/>
            <w:vAlign w:val="center"/>
          </w:tcPr>
          <w:p w14:paraId="0ABAAC2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6F478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6A46ABC4">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1090" w:type="dxa"/>
            <w:vAlign w:val="center"/>
          </w:tcPr>
          <w:p w14:paraId="424171DC">
            <w:pP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215" w:type="dxa"/>
          </w:tcPr>
          <w:p w14:paraId="16A20225">
            <w:pPr>
              <w:spacing w:line="360" w:lineRule="auto"/>
              <w:ind w:firstLine="480"/>
              <w:rPr>
                <w:rFonts w:hAnsi="宋体" w:cs="宋体"/>
                <w:color w:val="auto"/>
                <w:szCs w:val="24"/>
                <w:highlight w:val="none"/>
              </w:rPr>
            </w:pPr>
            <w:r>
              <w:rPr>
                <w:rFonts w:hint="eastAsia" w:hAnsi="宋体" w:cs="宋体"/>
                <w:color w:val="auto"/>
                <w:szCs w:val="24"/>
                <w:highlight w:val="none"/>
              </w:rPr>
              <w:t>磋商报价：是供应商为完成本项目要求的全部服务内容最终价格的体现。</w:t>
            </w:r>
          </w:p>
          <w:p w14:paraId="082C7F3B">
            <w:pPr>
              <w:spacing w:line="360" w:lineRule="auto"/>
              <w:ind w:firstLine="48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436DC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4A06ECAB">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1090" w:type="dxa"/>
            <w:vAlign w:val="center"/>
          </w:tcPr>
          <w:p w14:paraId="76B24D39">
            <w:pP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215" w:type="dxa"/>
          </w:tcPr>
          <w:p w14:paraId="16D05166">
            <w:pPr>
              <w:spacing w:line="360" w:lineRule="auto"/>
              <w:rPr>
                <w:rFonts w:hAnsi="宋体" w:cs="宋体"/>
                <w:color w:val="auto"/>
                <w:szCs w:val="24"/>
                <w:highlight w:val="none"/>
              </w:rPr>
            </w:pPr>
            <w:r>
              <w:rPr>
                <w:rFonts w:hint="eastAsia" w:hAnsi="宋体" w:cs="宋体"/>
                <w:color w:val="auto"/>
                <w:szCs w:val="24"/>
                <w:highlight w:val="none"/>
              </w:rPr>
              <w:t>特定资格证明文件：</w:t>
            </w:r>
          </w:p>
          <w:p w14:paraId="62A317A7">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（1）提供合格有效的法人或者其他组织的营业执照等证明文件，自然人的身份证明；</w:t>
            </w:r>
          </w:p>
          <w:p w14:paraId="215D0018">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（2）提供法定代表人授权书（附法定代表人、被授权人身份证复印件），法定代表人直接参加的，须提供法定代表人身份证明及身份证复印件；</w:t>
            </w:r>
          </w:p>
          <w:p w14:paraId="560F92CE">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3）财务状况：提供2024年度经审计的财务审计报告，内容至少包括资产负债表、利润表、现金流量表及附注（成立时间至提交响应文件截止时间不足一年的可提供成立后任意时段的资产负债表）或磋商时间前六个月内银行出具的资信证明；</w:t>
            </w:r>
          </w:p>
          <w:p w14:paraId="34D7E87B">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（4）税收缴纳证明：提供2025年01月01日至今已缴存的至少一个月的纳税证明或完税证明，依法免税的单位应提供相关证明材料；</w:t>
            </w:r>
          </w:p>
          <w:p w14:paraId="4ACF015C">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（5）社会保障资金缴纳证明：提供2025年01月01日至今已缴存的至少一个月的社会保障资金缴存单据或社保机构开具的社会保险参保缴费情况证明，依法不需要缴纳社会保障资金的单位应提供相关证明材料；</w:t>
            </w:r>
          </w:p>
          <w:p w14:paraId="7058C03E">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（6）供应商通过“信用中国”网站(www.creditchina.gov.cn)、中国政府采购网(www.ccgp.gov.cn)等查询相关主体信用记录；</w:t>
            </w:r>
          </w:p>
          <w:p w14:paraId="2BF3BE49">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（7）参加政府采购活动前3年内，在经营活动中没有重大违法记录的书面声明；</w:t>
            </w:r>
          </w:p>
          <w:p w14:paraId="17270391">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（8）提供具有履行合同所必需的设备和专业技术能力的书面承诺；</w:t>
            </w:r>
          </w:p>
          <w:p w14:paraId="0D66F0D1">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（9）中小企业声明函：本项目为专门面向中小企业采购（提供中小企业声明函或监狱企业的证明文件或残疾人福利性单位声明函）；</w:t>
            </w:r>
          </w:p>
          <w:p w14:paraId="497B0565">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（10）本项目不接受联合体磋商（提供承诺书）。</w:t>
            </w:r>
          </w:p>
          <w:p w14:paraId="352567ED">
            <w:pPr>
              <w:numPr>
                <w:ilvl w:val="0"/>
                <w:numId w:val="0"/>
              </w:num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以上</w:t>
            </w:r>
            <w:r>
              <w:rPr>
                <w:rFonts w:hint="eastAsia" w:hAnsi="宋体" w:cs="宋体"/>
                <w:b/>
                <w:bCs/>
                <w:color w:val="auto"/>
                <w:szCs w:val="24"/>
                <w:highlight w:val="none"/>
                <w:lang w:val="en-US" w:eastAsia="zh-CN"/>
              </w:rPr>
              <w:t>1-10项</w:t>
            </w:r>
            <w:r>
              <w:rPr>
                <w:rFonts w:hint="eastAsia" w:hAnsi="宋体" w:cs="宋体"/>
                <w:b/>
                <w:bCs/>
                <w:color w:val="auto"/>
                <w:szCs w:val="24"/>
                <w:highlight w:val="none"/>
              </w:rPr>
              <w:t>为必备资质，缺一项或某项达不到要求，按无效磋商处理。</w:t>
            </w:r>
          </w:p>
        </w:tc>
      </w:tr>
      <w:tr w14:paraId="0A7F6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53E986B5">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1090" w:type="dxa"/>
            <w:vAlign w:val="center"/>
          </w:tcPr>
          <w:p w14:paraId="0386565C">
            <w:pP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215" w:type="dxa"/>
          </w:tcPr>
          <w:p w14:paraId="008FCFAB">
            <w:pPr>
              <w:spacing w:line="360" w:lineRule="auto"/>
              <w:ind w:firstLine="465"/>
              <w:rPr>
                <w:rFonts w:hAnsi="宋体" w:cs="宋体"/>
                <w:color w:val="auto"/>
                <w:szCs w:val="24"/>
                <w:highlight w:val="none"/>
              </w:rPr>
            </w:pPr>
            <w:r>
              <w:rPr>
                <w:rFonts w:hint="eastAsia" w:hAnsi="宋体" w:cs="宋体"/>
                <w:b/>
                <w:bCs/>
                <w:color w:val="auto"/>
                <w:szCs w:val="24"/>
                <w:highlight w:val="none"/>
              </w:rPr>
              <w:t>磋商保证金：本项目不缴纳磋商保证金</w:t>
            </w:r>
          </w:p>
          <w:p w14:paraId="37F1CF0C">
            <w:pPr>
              <w:spacing w:line="360" w:lineRule="auto"/>
              <w:ind w:firstLine="465"/>
              <w:rPr>
                <w:rFonts w:hAnsi="宋体" w:cs="宋体"/>
                <w:color w:val="auto"/>
                <w:szCs w:val="24"/>
                <w:highlight w:val="none"/>
              </w:rPr>
            </w:pPr>
            <w:r>
              <w:rPr>
                <w:rFonts w:hint="eastAsia" w:hAnsi="宋体" w:cs="宋体"/>
                <w:color w:val="auto"/>
                <w:szCs w:val="24"/>
                <w:highlight w:val="none"/>
              </w:rPr>
              <w:t>磋商保证金的有效期与磋商有效期一致。</w:t>
            </w:r>
            <w:r>
              <w:rPr>
                <w:rFonts w:hint="eastAsia" w:hAnsi="宋体" w:cs="宋体"/>
                <w:color w:val="auto"/>
                <w:szCs w:val="22"/>
                <w:highlight w:val="none"/>
              </w:rPr>
              <w:t>担保机构出具的保函的有效期为磋商有效期延长一个月。</w:t>
            </w:r>
          </w:p>
          <w:p w14:paraId="4CD366C2">
            <w:pPr>
              <w:spacing w:line="360" w:lineRule="auto"/>
              <w:ind w:firstLine="480"/>
              <w:rPr>
                <w:rFonts w:hAnsi="宋体" w:cs="宋体"/>
                <w:color w:val="auto"/>
                <w:szCs w:val="24"/>
                <w:highlight w:val="none"/>
              </w:rPr>
            </w:pPr>
            <w:r>
              <w:rPr>
                <w:rFonts w:hint="eastAsia" w:hAnsi="宋体" w:cs="宋体"/>
                <w:color w:val="auto"/>
                <w:szCs w:val="24"/>
                <w:highlight w:val="none"/>
              </w:rPr>
              <w:t>磋商保证金的缴纳形式：转账、电汇、担保机构保函。</w:t>
            </w:r>
          </w:p>
          <w:p w14:paraId="6F8B8E33">
            <w:pPr>
              <w:spacing w:line="360" w:lineRule="auto"/>
              <w:ind w:firstLine="480"/>
              <w:rPr>
                <w:rFonts w:hAnsi="宋体" w:cs="宋体"/>
                <w:color w:val="auto"/>
                <w:szCs w:val="24"/>
                <w:highlight w:val="none"/>
              </w:rPr>
            </w:pPr>
            <w:r>
              <w:rPr>
                <w:rFonts w:hint="eastAsia" w:hAnsi="宋体" w:cs="宋体"/>
                <w:color w:val="auto"/>
                <w:szCs w:val="24"/>
                <w:highlight w:val="none"/>
              </w:rPr>
              <w:t>供应商以银行转账、电汇形式交纳保证金的，须从基本账户转出，并且在磋商响应文件递交截止前到达采购代理机构指定账户（</w:t>
            </w:r>
            <w:r>
              <w:rPr>
                <w:rFonts w:hint="eastAsia" w:hAnsi="宋体" w:cs="宋体"/>
                <w:b/>
                <w:color w:val="auto"/>
                <w:szCs w:val="24"/>
                <w:highlight w:val="none"/>
              </w:rPr>
              <w:t>转账时请注明项目编号</w:t>
            </w:r>
            <w:r>
              <w:rPr>
                <w:rFonts w:hint="eastAsia" w:hAnsi="宋体" w:cs="宋体"/>
                <w:color w:val="auto"/>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34A8605D">
            <w:pPr>
              <w:spacing w:line="360" w:lineRule="auto"/>
              <w:ind w:firstLine="480"/>
              <w:rPr>
                <w:rFonts w:hAnsi="宋体" w:cs="宋体"/>
                <w:color w:val="auto"/>
                <w:szCs w:val="24"/>
                <w:highlight w:val="none"/>
              </w:rPr>
            </w:pPr>
            <w:r>
              <w:rPr>
                <w:rFonts w:hint="eastAsia" w:hAnsi="宋体" w:cs="宋体"/>
                <w:color w:val="auto"/>
                <w:szCs w:val="24"/>
                <w:highlight w:val="none"/>
              </w:rPr>
              <w:t>供应商以保函形式缴纳磋商保证金的，须在磋商响应文件递交截止时间前将担保机构保函</w:t>
            </w:r>
            <w:r>
              <w:rPr>
                <w:rFonts w:hint="eastAsia" w:hAnsi="宋体" w:cs="宋体"/>
                <w:b/>
                <w:bCs/>
                <w:color w:val="auto"/>
                <w:szCs w:val="24"/>
                <w:highlight w:val="none"/>
              </w:rPr>
              <w:t>正本原件</w:t>
            </w:r>
            <w:r>
              <w:rPr>
                <w:rFonts w:hint="eastAsia" w:hAnsi="宋体" w:cs="宋体"/>
                <w:color w:val="auto"/>
                <w:szCs w:val="24"/>
                <w:highlight w:val="none"/>
              </w:rPr>
              <w:t>提交至采购代理机构备案，并将保函正本复印件附在磋商响应文件规定处。</w:t>
            </w:r>
          </w:p>
        </w:tc>
      </w:tr>
      <w:tr w14:paraId="69902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03770A5D">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1090" w:type="dxa"/>
            <w:vAlign w:val="center"/>
          </w:tcPr>
          <w:p w14:paraId="6DFCA75B">
            <w:pP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215" w:type="dxa"/>
            <w:vAlign w:val="center"/>
          </w:tcPr>
          <w:p w14:paraId="2AFE23FF">
            <w:pP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14:paraId="5739A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7D9FA019">
            <w:pP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1090" w:type="dxa"/>
            <w:vAlign w:val="center"/>
          </w:tcPr>
          <w:p w14:paraId="73171D64">
            <w:pPr>
              <w:spacing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215" w:type="dxa"/>
            <w:vAlign w:val="center"/>
          </w:tcPr>
          <w:p w14:paraId="05238C1B">
            <w:pPr>
              <w:spacing w:line="360" w:lineRule="auto"/>
              <w:rPr>
                <w:rFonts w:hAnsi="宋体" w:cs="宋体"/>
                <w:color w:val="auto"/>
                <w:szCs w:val="24"/>
                <w:highlight w:val="none"/>
              </w:rPr>
            </w:pPr>
            <w:r>
              <w:rPr>
                <w:rFonts w:hint="eastAsia" w:hAnsi="宋体" w:cs="宋体"/>
                <w:color w:val="auto"/>
                <w:szCs w:val="24"/>
                <w:highlight w:val="none"/>
              </w:rPr>
              <w:t>正本的份数：壹份；副本的份数：贰份；报价一览表：壹份；电子版（U盘）：壹份（需在盘面上标注供应商全称、项目名称、编号）。</w:t>
            </w:r>
          </w:p>
        </w:tc>
      </w:tr>
      <w:tr w14:paraId="0130B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4251FBA2">
            <w:pPr>
              <w:spacing w:line="360" w:lineRule="auto"/>
              <w:jc w:val="center"/>
              <w:rPr>
                <w:rFonts w:hAnsi="宋体" w:cs="宋体"/>
                <w:color w:val="auto"/>
                <w:szCs w:val="24"/>
                <w:highlight w:val="none"/>
              </w:rPr>
            </w:pPr>
            <w:r>
              <w:rPr>
                <w:rFonts w:hint="eastAsia" w:hAnsi="宋体" w:cs="宋体"/>
                <w:color w:val="auto"/>
                <w:szCs w:val="24"/>
                <w:highlight w:val="none"/>
              </w:rPr>
              <w:t>10</w:t>
            </w:r>
          </w:p>
        </w:tc>
        <w:tc>
          <w:tcPr>
            <w:tcW w:w="1090" w:type="dxa"/>
            <w:vAlign w:val="center"/>
          </w:tcPr>
          <w:p w14:paraId="1A49354F">
            <w:pPr>
              <w:spacing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215" w:type="dxa"/>
            <w:vAlign w:val="center"/>
          </w:tcPr>
          <w:p w14:paraId="7A50F023">
            <w:pPr>
              <w:spacing w:line="360" w:lineRule="auto"/>
              <w:rPr>
                <w:rFonts w:hAnsi="宋体" w:cs="宋体"/>
                <w:color w:val="auto"/>
                <w:szCs w:val="24"/>
                <w:highlight w:val="none"/>
              </w:rPr>
            </w:pPr>
            <w:r>
              <w:rPr>
                <w:rFonts w:hint="eastAsia" w:hAnsi="宋体" w:cs="宋体"/>
                <w:color w:val="auto"/>
                <w:szCs w:val="24"/>
                <w:highlight w:val="none"/>
              </w:rPr>
              <w:t>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tc>
      </w:tr>
      <w:tr w14:paraId="01260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6FBA14A6">
            <w:pPr>
              <w:spacing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1090" w:type="dxa"/>
            <w:vAlign w:val="center"/>
          </w:tcPr>
          <w:p w14:paraId="29466E57">
            <w:pPr>
              <w:spacing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215" w:type="dxa"/>
          </w:tcPr>
          <w:p w14:paraId="3EF8FE37">
            <w:pPr>
              <w:spacing w:line="360" w:lineRule="auto"/>
              <w:rPr>
                <w:rFonts w:hAnsi="宋体" w:cs="宋体"/>
                <w:color w:val="auto"/>
                <w:szCs w:val="24"/>
                <w:highlight w:val="none"/>
              </w:rPr>
            </w:pPr>
            <w:r>
              <w:rPr>
                <w:rFonts w:hint="eastAsia" w:hAnsi="宋体" w:cs="宋体"/>
                <w:color w:val="auto"/>
                <w:szCs w:val="24"/>
                <w:highlight w:val="none"/>
              </w:rPr>
              <w:t>磋商响应文件递交截止时间：详见磋商公告</w:t>
            </w:r>
          </w:p>
          <w:p w14:paraId="49459708">
            <w:pPr>
              <w:spacing w:line="360" w:lineRule="auto"/>
              <w:jc w:val="left"/>
              <w:rPr>
                <w:rFonts w:hAnsi="宋体" w:cs="宋体"/>
                <w:color w:val="auto"/>
                <w:szCs w:val="24"/>
                <w:highlight w:val="none"/>
              </w:rPr>
            </w:pPr>
            <w:r>
              <w:rPr>
                <w:rFonts w:hint="eastAsia" w:hAnsi="宋体" w:cs="宋体"/>
                <w:color w:val="auto"/>
                <w:szCs w:val="24"/>
                <w:highlight w:val="none"/>
              </w:rPr>
              <w:t>磋商响应文件递交地址：</w:t>
            </w:r>
            <w:r>
              <w:rPr>
                <w:rFonts w:hint="eastAsia" w:ascii="宋体" w:hAnsi="宋体" w:eastAsia="宋体" w:cs="宋体"/>
                <w:sz w:val="24"/>
                <w:szCs w:val="24"/>
              </w:rPr>
              <w:t>陕西省西安市经济技术开发区未央路171-1号银池道拉斯财富中心21楼03室</w:t>
            </w:r>
          </w:p>
          <w:p w14:paraId="3901B736">
            <w:pPr>
              <w:spacing w:line="360" w:lineRule="auto"/>
              <w:rPr>
                <w:rFonts w:hAnsi="宋体" w:cs="宋体"/>
                <w:color w:val="auto"/>
                <w:szCs w:val="24"/>
                <w:highlight w:val="none"/>
              </w:rPr>
            </w:pPr>
            <w:r>
              <w:rPr>
                <w:rFonts w:hint="eastAsia" w:hAnsi="宋体" w:cs="宋体"/>
                <w:color w:val="auto"/>
                <w:szCs w:val="24"/>
                <w:highlight w:val="none"/>
              </w:rPr>
              <w:t>磋商响应文件接收人：陕西至诚项目管理集团有限公司</w:t>
            </w:r>
          </w:p>
        </w:tc>
      </w:tr>
      <w:tr w14:paraId="65B79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3354618">
            <w:pPr>
              <w:spacing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1090" w:type="dxa"/>
            <w:vAlign w:val="center"/>
          </w:tcPr>
          <w:p w14:paraId="60870BC0">
            <w:pPr>
              <w:spacing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215" w:type="dxa"/>
            <w:vAlign w:val="center"/>
          </w:tcPr>
          <w:p w14:paraId="32F2B939">
            <w:pPr>
              <w:spacing w:line="360" w:lineRule="auto"/>
              <w:rPr>
                <w:rFonts w:hAnsi="宋体" w:cs="宋体"/>
                <w:color w:val="auto"/>
                <w:szCs w:val="24"/>
                <w:highlight w:val="none"/>
              </w:rPr>
            </w:pPr>
            <w:r>
              <w:rPr>
                <w:rFonts w:hint="eastAsia" w:hAnsi="宋体" w:cs="宋体"/>
                <w:color w:val="auto"/>
                <w:szCs w:val="24"/>
                <w:highlight w:val="none"/>
              </w:rPr>
              <w:t>磋商时间：详见磋商公告</w:t>
            </w:r>
          </w:p>
          <w:p w14:paraId="5D049CE6">
            <w:pPr>
              <w:spacing w:line="360" w:lineRule="auto"/>
              <w:rPr>
                <w:rFonts w:hAnsi="宋体" w:cs="宋体"/>
                <w:color w:val="auto"/>
                <w:szCs w:val="24"/>
                <w:highlight w:val="none"/>
              </w:rPr>
            </w:pPr>
            <w:r>
              <w:rPr>
                <w:rFonts w:hint="eastAsia" w:hAnsi="宋体" w:cs="宋体"/>
                <w:color w:val="auto"/>
                <w:szCs w:val="24"/>
                <w:highlight w:val="none"/>
              </w:rPr>
              <w:t>磋商地点：</w:t>
            </w:r>
            <w:r>
              <w:rPr>
                <w:rFonts w:hint="eastAsia" w:ascii="宋体" w:hAnsi="宋体" w:eastAsia="宋体" w:cs="宋体"/>
                <w:sz w:val="24"/>
                <w:szCs w:val="24"/>
              </w:rPr>
              <w:t>陕西省西安市经济技术开发区未央路171-1号银池道拉斯财富中心21楼03室</w:t>
            </w:r>
          </w:p>
        </w:tc>
      </w:tr>
      <w:tr w14:paraId="7771B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592" w:type="dxa"/>
            <w:vAlign w:val="center"/>
          </w:tcPr>
          <w:p w14:paraId="58DCD9C6">
            <w:pPr>
              <w:spacing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1090" w:type="dxa"/>
            <w:vAlign w:val="center"/>
          </w:tcPr>
          <w:p w14:paraId="36DBC4D5">
            <w:pPr>
              <w:spacing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215" w:type="dxa"/>
            <w:vAlign w:val="center"/>
          </w:tcPr>
          <w:p w14:paraId="45FFC4AF">
            <w:pPr>
              <w:spacing w:afterLines="50" w:line="360" w:lineRule="auto"/>
              <w:jc w:val="left"/>
              <w:rPr>
                <w:rFonts w:hAnsi="宋体" w:cs="宋体"/>
                <w:color w:val="auto"/>
                <w:szCs w:val="24"/>
                <w:highlight w:val="none"/>
              </w:rPr>
            </w:pPr>
            <w:r>
              <w:rPr>
                <w:rFonts w:hint="eastAsia" w:hAnsi="宋体" w:cs="宋体"/>
                <w:b/>
                <w:bCs/>
                <w:color w:val="auto"/>
                <w:szCs w:val="24"/>
                <w:highlight w:val="none"/>
              </w:rPr>
              <w:t>评审方法：综合评分法（详见第三章）</w:t>
            </w:r>
          </w:p>
        </w:tc>
      </w:tr>
      <w:tr w14:paraId="0B1BC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5B2257C0">
            <w:pPr>
              <w:spacing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1090" w:type="dxa"/>
            <w:vAlign w:val="center"/>
          </w:tcPr>
          <w:p w14:paraId="0D187697">
            <w:pPr>
              <w:spacing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215" w:type="dxa"/>
            <w:shd w:val="clear" w:color="auto" w:fill="auto"/>
            <w:vAlign w:val="center"/>
          </w:tcPr>
          <w:p w14:paraId="03B2435D">
            <w:pPr>
              <w:spacing w:line="360" w:lineRule="auto"/>
              <w:rPr>
                <w:rFonts w:hint="eastAsia" w:hAnsi="宋体" w:cs="宋体"/>
                <w:szCs w:val="24"/>
              </w:rPr>
            </w:pPr>
            <w:r>
              <w:rPr>
                <w:rFonts w:hint="eastAsia" w:hAnsi="宋体" w:cs="宋体"/>
                <w:szCs w:val="24"/>
              </w:rPr>
              <w:t>代理服务费：</w:t>
            </w:r>
          </w:p>
          <w:p w14:paraId="0A1C5F1D">
            <w:pPr>
              <w:spacing w:line="360" w:lineRule="auto"/>
              <w:ind w:firstLine="480" w:firstLineChars="200"/>
              <w:rPr>
                <w:rFonts w:hint="eastAsia" w:hAnsi="宋体" w:cs="宋体"/>
                <w:szCs w:val="24"/>
              </w:rPr>
            </w:pPr>
            <w:r>
              <w:rPr>
                <w:rFonts w:hint="eastAsia" w:hAnsi="宋体" w:cs="宋体"/>
                <w:szCs w:val="24"/>
              </w:rPr>
              <w:t>29.1、以中标金额为基数，按照《中华人民共和国国家发展和改革委员会关于进一步放开建设项目专业服务价格的通知》（发改价格〔2015〕299号）文件的要求，结合市场行情执行，不足4000元按4000元收取。</w:t>
            </w:r>
          </w:p>
          <w:p w14:paraId="0E470454">
            <w:pPr>
              <w:spacing w:line="360" w:lineRule="auto"/>
              <w:ind w:firstLine="480" w:firstLineChars="200"/>
              <w:rPr>
                <w:rFonts w:hint="eastAsia" w:ascii="宋体" w:hAnsi="宋体" w:eastAsia="宋体" w:cs="宋体"/>
                <w:sz w:val="24"/>
                <w:szCs w:val="24"/>
                <w:lang w:val="en-US" w:eastAsia="zh-CN" w:bidi="ar-SA"/>
              </w:rPr>
            </w:pPr>
            <w:r>
              <w:rPr>
                <w:rFonts w:hint="eastAsia" w:hAnsi="宋体" w:cs="宋体"/>
                <w:szCs w:val="24"/>
              </w:rPr>
              <w:t>29.2、本项目代理服务费由中标单位支付，中标单位应依据成交金额向招标代理机构交纳招标代理服务费，委托方不支付任何费用。</w:t>
            </w:r>
          </w:p>
        </w:tc>
      </w:tr>
      <w:tr w14:paraId="71321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2653CD1C">
            <w:pPr>
              <w:spacing w:afterLines="50" w:line="360" w:lineRule="auto"/>
              <w:jc w:val="center"/>
              <w:rPr>
                <w:rFonts w:hAnsi="宋体" w:cs="宋体"/>
                <w:color w:val="auto"/>
                <w:szCs w:val="24"/>
                <w:highlight w:val="none"/>
              </w:rPr>
            </w:pPr>
            <w:r>
              <w:rPr>
                <w:rFonts w:hint="eastAsia" w:hAnsi="宋体" w:cs="宋体"/>
                <w:color w:val="auto"/>
                <w:szCs w:val="24"/>
                <w:highlight w:val="none"/>
              </w:rPr>
              <w:t>15</w:t>
            </w:r>
          </w:p>
        </w:tc>
        <w:tc>
          <w:tcPr>
            <w:tcW w:w="1090" w:type="dxa"/>
            <w:vAlign w:val="center"/>
          </w:tcPr>
          <w:p w14:paraId="2AB38B2A">
            <w:pPr>
              <w:spacing w:line="360" w:lineRule="auto"/>
              <w:jc w:val="center"/>
              <w:rPr>
                <w:rFonts w:hAnsi="宋体" w:cs="宋体"/>
                <w:color w:val="auto"/>
                <w:szCs w:val="24"/>
                <w:highlight w:val="none"/>
              </w:rPr>
            </w:pPr>
            <w:r>
              <w:rPr>
                <w:rFonts w:hint="eastAsia" w:hAnsi="宋体" w:cs="宋体"/>
                <w:color w:val="auto"/>
                <w:szCs w:val="24"/>
                <w:highlight w:val="none"/>
              </w:rPr>
              <w:t>踏勘</w:t>
            </w:r>
          </w:p>
          <w:p w14:paraId="6AEE89B8">
            <w:pPr>
              <w:spacing w:line="360" w:lineRule="auto"/>
              <w:jc w:val="center"/>
              <w:rPr>
                <w:rFonts w:hAnsi="宋体" w:cs="宋体"/>
                <w:color w:val="auto"/>
                <w:szCs w:val="24"/>
                <w:highlight w:val="none"/>
              </w:rPr>
            </w:pPr>
            <w:r>
              <w:rPr>
                <w:rFonts w:hint="eastAsia" w:hAnsi="宋体" w:cs="宋体"/>
                <w:color w:val="auto"/>
                <w:szCs w:val="24"/>
                <w:highlight w:val="none"/>
              </w:rPr>
              <w:t>现场</w:t>
            </w:r>
          </w:p>
        </w:tc>
        <w:tc>
          <w:tcPr>
            <w:tcW w:w="7215" w:type="dxa"/>
            <w:vAlign w:val="center"/>
          </w:tcPr>
          <w:p w14:paraId="2E9D5713">
            <w:pPr>
              <w:spacing w:line="360" w:lineRule="auto"/>
              <w:rPr>
                <w:rFonts w:hAnsi="宋体" w:cs="宋体"/>
                <w:color w:val="auto"/>
                <w:szCs w:val="24"/>
                <w:highlight w:val="none"/>
              </w:rPr>
            </w:pPr>
            <w:r>
              <w:rPr>
                <w:rFonts w:hint="eastAsia" w:hAnsi="宋体" w:cs="宋体"/>
                <w:color w:val="auto"/>
                <w:szCs w:val="24"/>
                <w:highlight w:val="none"/>
              </w:rPr>
              <w:t>1）招标代理机构不组织统一踏勘，各供应商自行踏勘，相关费用及安全由供应商自行承担，踏勘时遵守相关规定，不得扰民。</w:t>
            </w:r>
          </w:p>
          <w:p w14:paraId="04B159C4">
            <w:pPr>
              <w:spacing w:line="360" w:lineRule="auto"/>
              <w:rPr>
                <w:rFonts w:hAnsi="宋体" w:cs="宋体"/>
                <w:color w:val="auto"/>
                <w:szCs w:val="24"/>
                <w:highlight w:val="none"/>
              </w:rPr>
            </w:pPr>
            <w:r>
              <w:rPr>
                <w:rFonts w:hint="eastAsia" w:hAnsi="宋体" w:cs="宋体"/>
                <w:color w:val="auto"/>
                <w:szCs w:val="24"/>
                <w:highlight w:val="none"/>
              </w:rPr>
              <w:t>2）踏勘内容包含：完成本次招标所需要的现场情况及周围环境等资料。</w:t>
            </w:r>
          </w:p>
        </w:tc>
      </w:tr>
      <w:tr w14:paraId="60DAD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02BB3253">
            <w:pPr>
              <w:spacing w:afterLines="50" w:line="360" w:lineRule="auto"/>
              <w:jc w:val="center"/>
              <w:rPr>
                <w:rFonts w:hAnsi="宋体" w:cs="宋体"/>
                <w:color w:val="auto"/>
                <w:szCs w:val="24"/>
                <w:highlight w:val="none"/>
              </w:rPr>
            </w:pPr>
            <w:r>
              <w:rPr>
                <w:rFonts w:hint="eastAsia" w:hAnsi="宋体" w:cs="宋体"/>
                <w:color w:val="auto"/>
                <w:szCs w:val="24"/>
                <w:highlight w:val="none"/>
              </w:rPr>
              <w:t>16</w:t>
            </w:r>
          </w:p>
        </w:tc>
        <w:tc>
          <w:tcPr>
            <w:tcW w:w="1090" w:type="dxa"/>
            <w:vAlign w:val="center"/>
          </w:tcPr>
          <w:p w14:paraId="722691B1">
            <w:pPr>
              <w:jc w:val="center"/>
              <w:rPr>
                <w:rFonts w:hAnsi="宋体" w:cs="宋体"/>
                <w:b/>
                <w:bCs/>
                <w:color w:val="auto"/>
                <w:szCs w:val="24"/>
                <w:highlight w:val="none"/>
              </w:rPr>
            </w:pPr>
            <w:r>
              <w:rPr>
                <w:rFonts w:hint="eastAsia" w:hAnsi="宋体" w:cs="宋体"/>
                <w:b/>
                <w:bCs/>
                <w:color w:val="auto"/>
                <w:szCs w:val="24"/>
                <w:highlight w:val="none"/>
              </w:rPr>
              <w:t>银行</w:t>
            </w:r>
          </w:p>
          <w:p w14:paraId="3C2BD280">
            <w:pPr>
              <w:jc w:val="center"/>
              <w:rPr>
                <w:rFonts w:hAnsi="宋体" w:cs="宋体"/>
                <w:b/>
                <w:bCs/>
                <w:color w:val="auto"/>
                <w:szCs w:val="24"/>
                <w:highlight w:val="none"/>
              </w:rPr>
            </w:pPr>
            <w:r>
              <w:rPr>
                <w:rFonts w:hint="eastAsia" w:hAnsi="宋体" w:cs="宋体"/>
                <w:b/>
                <w:bCs/>
                <w:color w:val="auto"/>
                <w:szCs w:val="24"/>
                <w:highlight w:val="none"/>
              </w:rPr>
              <w:t>账户</w:t>
            </w:r>
          </w:p>
          <w:p w14:paraId="501517DF">
            <w:pPr>
              <w:jc w:val="center"/>
              <w:rPr>
                <w:rFonts w:hAnsi="宋体" w:cs="宋体"/>
                <w:color w:val="auto"/>
                <w:szCs w:val="24"/>
                <w:highlight w:val="none"/>
              </w:rPr>
            </w:pPr>
            <w:r>
              <w:rPr>
                <w:rFonts w:hint="eastAsia" w:hAnsi="宋体" w:cs="宋体"/>
                <w:b/>
                <w:bCs/>
                <w:color w:val="auto"/>
                <w:szCs w:val="24"/>
                <w:highlight w:val="none"/>
              </w:rPr>
              <w:t>信息</w:t>
            </w:r>
          </w:p>
        </w:tc>
        <w:tc>
          <w:tcPr>
            <w:tcW w:w="7215" w:type="dxa"/>
            <w:vAlign w:val="center"/>
          </w:tcPr>
          <w:p w14:paraId="5B87AF9E">
            <w:pPr>
              <w:spacing w:line="520" w:lineRule="exact"/>
              <w:rPr>
                <w:rFonts w:hAnsi="宋体" w:cs="宋体"/>
                <w:b/>
                <w:bCs/>
                <w:color w:val="auto"/>
                <w:szCs w:val="24"/>
                <w:highlight w:val="none"/>
              </w:rPr>
            </w:pPr>
            <w:r>
              <w:rPr>
                <w:rFonts w:hint="eastAsia" w:hAnsi="宋体" w:cs="宋体"/>
                <w:b/>
                <w:bCs/>
                <w:color w:val="auto"/>
                <w:szCs w:val="24"/>
                <w:highlight w:val="none"/>
              </w:rPr>
              <w:t>1、保证金及代理服务费账户：</w:t>
            </w:r>
          </w:p>
          <w:p w14:paraId="18FE005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①采购代理机构开户名称: 陕西至诚项目管理集团有限公司</w:t>
            </w:r>
          </w:p>
          <w:p w14:paraId="7E015A89">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②开户行名称：中国建设银行股份有限公司西安高新技术产业开发区支行</w:t>
            </w:r>
          </w:p>
          <w:p w14:paraId="4C45AD35">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③账号：61050192090000002152</w:t>
            </w:r>
          </w:p>
        </w:tc>
      </w:tr>
      <w:tr w14:paraId="7113F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380A25E9">
            <w:pPr>
              <w:spacing w:afterLines="50" w:line="360" w:lineRule="auto"/>
              <w:jc w:val="center"/>
              <w:rPr>
                <w:rFonts w:hAnsi="宋体" w:cs="宋体"/>
                <w:color w:val="auto"/>
                <w:szCs w:val="24"/>
                <w:highlight w:val="none"/>
              </w:rPr>
            </w:pPr>
            <w:r>
              <w:rPr>
                <w:rFonts w:hint="eastAsia" w:hAnsi="宋体" w:cs="宋体"/>
                <w:color w:val="auto"/>
                <w:szCs w:val="24"/>
                <w:highlight w:val="none"/>
              </w:rPr>
              <w:t>17</w:t>
            </w:r>
          </w:p>
        </w:tc>
        <w:tc>
          <w:tcPr>
            <w:tcW w:w="1090" w:type="dxa"/>
            <w:vAlign w:val="center"/>
          </w:tcPr>
          <w:p w14:paraId="605D6844">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项目</w:t>
            </w:r>
          </w:p>
          <w:p w14:paraId="51186C5B">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性质</w:t>
            </w:r>
          </w:p>
        </w:tc>
        <w:tc>
          <w:tcPr>
            <w:tcW w:w="7215" w:type="dxa"/>
            <w:vAlign w:val="center"/>
          </w:tcPr>
          <w:p w14:paraId="258BD60C">
            <w:pPr>
              <w:spacing w:line="500" w:lineRule="exact"/>
              <w:rPr>
                <w:rFonts w:hAnsi="宋体" w:cs="宋体"/>
                <w:b/>
                <w:bCs/>
                <w:color w:val="auto"/>
                <w:szCs w:val="24"/>
                <w:highlight w:val="none"/>
              </w:rPr>
            </w:pPr>
            <w:r>
              <w:rPr>
                <w:rFonts w:hint="eastAsia" w:hAnsi="宋体" w:cs="宋体"/>
                <w:b/>
                <w:bCs/>
                <w:color w:val="auto"/>
                <w:szCs w:val="24"/>
                <w:highlight w:val="none"/>
              </w:rPr>
              <w:t>本项目专门面向中小企业</w:t>
            </w:r>
          </w:p>
        </w:tc>
      </w:tr>
      <w:tr w14:paraId="4FAA0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0AEEAD09">
            <w:pPr>
              <w:spacing w:afterLines="50" w:line="360" w:lineRule="auto"/>
              <w:jc w:val="center"/>
              <w:rPr>
                <w:rFonts w:hAnsi="宋体" w:cs="宋体"/>
                <w:color w:val="auto"/>
                <w:szCs w:val="24"/>
                <w:highlight w:val="none"/>
              </w:rPr>
            </w:pPr>
            <w:r>
              <w:rPr>
                <w:rFonts w:hint="eastAsia" w:hAnsi="宋体" w:cs="宋体"/>
                <w:color w:val="auto"/>
                <w:szCs w:val="24"/>
                <w:highlight w:val="none"/>
              </w:rPr>
              <w:t>18</w:t>
            </w:r>
          </w:p>
        </w:tc>
        <w:tc>
          <w:tcPr>
            <w:tcW w:w="1090" w:type="dxa"/>
            <w:vAlign w:val="center"/>
          </w:tcPr>
          <w:p w14:paraId="6E5F916C">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lang w:val="en-US" w:eastAsia="zh-CN"/>
              </w:rPr>
              <w:t>项目</w:t>
            </w:r>
            <w:r>
              <w:rPr>
                <w:rFonts w:hint="eastAsia" w:hAnsi="宋体" w:cs="宋体"/>
                <w:b/>
                <w:bCs/>
                <w:color w:val="auto"/>
                <w:szCs w:val="24"/>
                <w:highlight w:val="none"/>
              </w:rPr>
              <w:t>所属行业</w:t>
            </w:r>
          </w:p>
        </w:tc>
        <w:tc>
          <w:tcPr>
            <w:tcW w:w="7215" w:type="dxa"/>
            <w:vAlign w:val="center"/>
          </w:tcPr>
          <w:p w14:paraId="32CEC107">
            <w:pPr>
              <w:spacing w:line="500" w:lineRule="exact"/>
              <w:rPr>
                <w:rFonts w:hint="eastAsia" w:hAnsi="宋体" w:eastAsia="宋体" w:cs="宋体"/>
                <w:b/>
                <w:bCs/>
                <w:color w:val="auto"/>
                <w:szCs w:val="24"/>
                <w:highlight w:val="none"/>
                <w:lang w:val="en-US" w:eastAsia="zh-CN"/>
              </w:rPr>
            </w:pPr>
            <w:r>
              <w:rPr>
                <w:rFonts w:hint="eastAsia" w:ascii="宋体" w:hAnsi="宋体" w:eastAsia="宋体" w:cs="宋体"/>
                <w:b/>
                <w:bCs/>
                <w:i w:val="0"/>
                <w:iCs w:val="0"/>
                <w:caps w:val="0"/>
                <w:color w:val="333333"/>
                <w:spacing w:val="0"/>
                <w:sz w:val="24"/>
                <w:szCs w:val="24"/>
                <w:highlight w:val="none"/>
                <w:shd w:val="clear" w:fill="FFFFFF"/>
              </w:rPr>
              <w:t>租赁和商务服务</w:t>
            </w:r>
            <w:r>
              <w:rPr>
                <w:rFonts w:hint="eastAsia" w:hAnsi="宋体" w:cs="宋体"/>
                <w:b/>
                <w:bCs/>
                <w:i w:val="0"/>
                <w:iCs w:val="0"/>
                <w:caps w:val="0"/>
                <w:color w:val="333333"/>
                <w:spacing w:val="0"/>
                <w:sz w:val="24"/>
                <w:szCs w:val="24"/>
                <w:highlight w:val="none"/>
                <w:shd w:val="clear" w:fill="FFFFFF"/>
                <w:lang w:val="en-US" w:eastAsia="zh-CN"/>
              </w:rPr>
              <w:t>业</w:t>
            </w:r>
          </w:p>
        </w:tc>
      </w:tr>
      <w:tr w14:paraId="3B979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C36C336">
            <w:pPr>
              <w:spacing w:afterLines="50" w:line="360" w:lineRule="auto"/>
              <w:jc w:val="center"/>
              <w:rPr>
                <w:rFonts w:hAnsi="宋体" w:cs="宋体"/>
                <w:color w:val="auto"/>
                <w:szCs w:val="24"/>
                <w:highlight w:val="none"/>
              </w:rPr>
            </w:pPr>
            <w:r>
              <w:rPr>
                <w:rFonts w:hint="eastAsia" w:hAnsi="宋体" w:cs="宋体"/>
                <w:color w:val="auto"/>
                <w:szCs w:val="24"/>
                <w:highlight w:val="none"/>
              </w:rPr>
              <w:t>19</w:t>
            </w:r>
          </w:p>
        </w:tc>
        <w:tc>
          <w:tcPr>
            <w:tcW w:w="1090" w:type="dxa"/>
            <w:vAlign w:val="center"/>
          </w:tcPr>
          <w:p w14:paraId="6DAADAAC">
            <w:pPr>
              <w:widowControl/>
              <w:spacing w:line="360" w:lineRule="auto"/>
              <w:jc w:val="center"/>
              <w:rPr>
                <w:rFonts w:hAnsi="宋体" w:cs="宋体"/>
                <w:b/>
                <w:bCs/>
                <w:color w:val="auto"/>
                <w:szCs w:val="24"/>
                <w:highlight w:val="none"/>
              </w:rPr>
            </w:pPr>
            <w:r>
              <w:rPr>
                <w:rFonts w:hint="eastAsia" w:hAnsi="宋体" w:cs="宋体"/>
                <w:color w:val="auto"/>
                <w:kern w:val="2"/>
                <w:szCs w:val="24"/>
                <w:highlight w:val="none"/>
              </w:rPr>
              <w:t>其他</w:t>
            </w:r>
          </w:p>
        </w:tc>
        <w:tc>
          <w:tcPr>
            <w:tcW w:w="7215" w:type="dxa"/>
            <w:vAlign w:val="center"/>
          </w:tcPr>
          <w:p w14:paraId="77FA9485">
            <w:pP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4FE512D0">
            <w:pPr>
              <w:spacing w:line="360" w:lineRule="auto"/>
              <w:rPr>
                <w:rFonts w:hAnsi="宋体" w:cs="宋体"/>
                <w:color w:val="auto"/>
                <w:szCs w:val="32"/>
                <w:highlight w:val="none"/>
              </w:rPr>
            </w:pPr>
            <w:r>
              <w:rPr>
                <w:rFonts w:hint="eastAsia" w:hAnsi="宋体" w:cs="宋体"/>
                <w:color w:val="auto"/>
                <w:szCs w:val="32"/>
                <w:highlight w:val="none"/>
              </w:rPr>
              <w:t>(http://www.ccgp-shaanxi.gov.cn/zcdservice/zcd/shan xi/）在线申请，依法参加政府采购信用融资活动。</w:t>
            </w:r>
          </w:p>
          <w:p w14:paraId="7452E4A2">
            <w:pPr>
              <w:spacing w:line="500" w:lineRule="exact"/>
              <w:ind w:firstLine="480" w:firstLineChars="200"/>
              <w:rPr>
                <w:rFonts w:hAnsi="宋体" w:cs="宋体"/>
                <w:b/>
                <w:bCs/>
                <w:color w:val="auto"/>
                <w:szCs w:val="24"/>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72172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592" w:type="dxa"/>
            <w:vAlign w:val="center"/>
          </w:tcPr>
          <w:p w14:paraId="698CB39A">
            <w:pPr>
              <w:spacing w:afterLines="50" w:line="360" w:lineRule="auto"/>
              <w:jc w:val="center"/>
              <w:rPr>
                <w:rFonts w:hAnsi="宋体" w:cs="宋体"/>
                <w:color w:val="auto"/>
                <w:szCs w:val="24"/>
                <w:highlight w:val="none"/>
              </w:rPr>
            </w:pPr>
            <w:r>
              <w:rPr>
                <w:rFonts w:hint="eastAsia" w:hAnsi="宋体" w:cs="宋体"/>
                <w:color w:val="auto"/>
                <w:szCs w:val="24"/>
                <w:highlight w:val="none"/>
              </w:rPr>
              <w:t>20</w:t>
            </w:r>
          </w:p>
        </w:tc>
        <w:tc>
          <w:tcPr>
            <w:tcW w:w="1090" w:type="dxa"/>
            <w:vAlign w:val="center"/>
          </w:tcPr>
          <w:p w14:paraId="493B5479">
            <w:pPr>
              <w:spacing w:line="312" w:lineRule="auto"/>
              <w:jc w:val="center"/>
              <w:rPr>
                <w:rFonts w:hAnsi="宋体" w:cs="宋体"/>
                <w:color w:val="auto"/>
                <w:kern w:val="2"/>
                <w:szCs w:val="24"/>
                <w:highlight w:val="none"/>
              </w:rPr>
            </w:pPr>
            <w:r>
              <w:rPr>
                <w:rFonts w:hint="eastAsia" w:hAnsi="宋体" w:cs="宋体"/>
                <w:color w:val="auto"/>
                <w:szCs w:val="24"/>
                <w:highlight w:val="none"/>
              </w:rPr>
              <w:t>价格得分扣减</w:t>
            </w:r>
          </w:p>
        </w:tc>
        <w:tc>
          <w:tcPr>
            <w:tcW w:w="7215" w:type="dxa"/>
            <w:vAlign w:val="center"/>
          </w:tcPr>
          <w:p w14:paraId="2CD35116">
            <w:pPr>
              <w:spacing w:line="500" w:lineRule="exact"/>
              <w:ind w:firstLine="480" w:firstLineChars="200"/>
              <w:rPr>
                <w:rFonts w:hint="default" w:hAnsi="宋体" w:eastAsia="宋体" w:cs="宋体"/>
                <w:color w:val="auto"/>
                <w:szCs w:val="32"/>
                <w:highlight w:val="none"/>
                <w:lang w:val="en-US" w:eastAsia="zh-CN"/>
              </w:rPr>
            </w:pPr>
            <w:r>
              <w:rPr>
                <w:rFonts w:hint="eastAsia" w:hAnsi="宋体" w:cs="宋体"/>
                <w:color w:val="auto"/>
                <w:szCs w:val="32"/>
                <w:highlight w:val="none"/>
              </w:rPr>
              <w:t>对符合《政府采购促进中小企业发展管理办法》(财库(2020)46号)规定的小微企业(监狱企业视同小型、微型企业)的报价给予10%(10%-20%)的扣除,用扣除后的价格参加评审。</w:t>
            </w:r>
            <w:r>
              <w:rPr>
                <w:rFonts w:hint="eastAsia" w:hAnsi="宋体" w:cs="宋体"/>
                <w:color w:val="auto"/>
                <w:szCs w:val="32"/>
                <w:highlight w:val="none"/>
                <w:lang w:val="en-US" w:eastAsia="zh-CN"/>
              </w:rPr>
              <w:t>本项目为专门面向中小企业采购，不再进行价格得分的扣减。</w:t>
            </w:r>
          </w:p>
        </w:tc>
      </w:tr>
      <w:tr w14:paraId="7BA2C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071BF88">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21</w:t>
            </w:r>
          </w:p>
        </w:tc>
        <w:tc>
          <w:tcPr>
            <w:tcW w:w="1090" w:type="dxa"/>
            <w:vAlign w:val="center"/>
          </w:tcPr>
          <w:p w14:paraId="185210D3">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备注</w:t>
            </w:r>
          </w:p>
        </w:tc>
        <w:tc>
          <w:tcPr>
            <w:tcW w:w="7215" w:type="dxa"/>
            <w:vAlign w:val="center"/>
          </w:tcPr>
          <w:p w14:paraId="3E33DEF8">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267D4B35">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4FC7E469">
      <w:pPr>
        <w:spacing w:beforeLines="50" w:afterLines="50"/>
        <w:jc w:val="center"/>
        <w:outlineLvl w:val="2"/>
        <w:rPr>
          <w:rFonts w:hAnsi="宋体" w:cs="宋体"/>
          <w:color w:val="auto"/>
          <w:sz w:val="32"/>
          <w:szCs w:val="32"/>
          <w:highlight w:val="none"/>
        </w:rPr>
      </w:pPr>
      <w:bookmarkStart w:id="29" w:name="_Toc363474017"/>
      <w:bookmarkStart w:id="30" w:name="_Toc363473972"/>
      <w:bookmarkStart w:id="31" w:name="_Toc403077639"/>
      <w:r>
        <w:rPr>
          <w:rFonts w:hint="eastAsia" w:hAnsi="宋体" w:cs="宋体"/>
          <w:b/>
          <w:color w:val="auto"/>
          <w:sz w:val="32"/>
          <w:szCs w:val="32"/>
          <w:highlight w:val="none"/>
        </w:rPr>
        <w:br w:type="page"/>
      </w:r>
      <w:bookmarkStart w:id="32" w:name="_Toc30660"/>
      <w:bookmarkStart w:id="33" w:name="_Toc3623"/>
      <w:bookmarkStart w:id="34" w:name="_Toc27537"/>
      <w:bookmarkStart w:id="35" w:name="_Toc22284"/>
      <w:bookmarkStart w:id="36" w:name="_Toc4670"/>
      <w:r>
        <w:rPr>
          <w:rFonts w:hint="eastAsia" w:hAnsi="宋体" w:cs="宋体"/>
          <w:b/>
          <w:color w:val="auto"/>
          <w:sz w:val="32"/>
          <w:szCs w:val="32"/>
          <w:highlight w:val="none"/>
        </w:rPr>
        <w:t>一.总  则</w:t>
      </w:r>
      <w:bookmarkEnd w:id="29"/>
      <w:bookmarkEnd w:id="30"/>
      <w:bookmarkEnd w:id="31"/>
      <w:bookmarkEnd w:id="32"/>
      <w:bookmarkEnd w:id="33"/>
      <w:bookmarkEnd w:id="34"/>
      <w:bookmarkEnd w:id="35"/>
      <w:bookmarkEnd w:id="36"/>
    </w:p>
    <w:p w14:paraId="334E019D">
      <w:pPr>
        <w:spacing w:line="360" w:lineRule="auto"/>
        <w:rPr>
          <w:rFonts w:hAnsi="宋体" w:cs="宋体"/>
          <w:b/>
          <w:color w:val="auto"/>
          <w:szCs w:val="24"/>
          <w:highlight w:val="none"/>
        </w:rPr>
      </w:pPr>
      <w:r>
        <w:rPr>
          <w:rFonts w:hint="eastAsia" w:hAnsi="宋体" w:cs="宋体"/>
          <w:b/>
          <w:color w:val="auto"/>
          <w:szCs w:val="24"/>
          <w:highlight w:val="none"/>
        </w:rPr>
        <w:t>1.资金来源</w:t>
      </w:r>
    </w:p>
    <w:p w14:paraId="4FB6B07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1.1本次竞争性磋商所签合同使用财政拨款支付，资金已落实到位。</w:t>
      </w:r>
    </w:p>
    <w:p w14:paraId="355493EE">
      <w:pPr>
        <w:numPr>
          <w:ilvl w:val="0"/>
          <w:numId w:val="1"/>
        </w:numPr>
        <w:spacing w:line="500" w:lineRule="exact"/>
        <w:rPr>
          <w:rFonts w:hAnsi="宋体" w:cs="宋体"/>
          <w:b/>
          <w:color w:val="auto"/>
          <w:szCs w:val="24"/>
          <w:highlight w:val="none"/>
        </w:rPr>
      </w:pPr>
      <w:bookmarkStart w:id="37" w:name="_Toc363474018"/>
      <w:bookmarkStart w:id="38" w:name="_Toc363473973"/>
      <w:bookmarkStart w:id="39" w:name="_Toc403077640"/>
      <w:r>
        <w:rPr>
          <w:rFonts w:hint="eastAsia" w:hAnsi="宋体" w:cs="宋体"/>
          <w:b/>
          <w:color w:val="auto"/>
          <w:szCs w:val="24"/>
          <w:highlight w:val="none"/>
        </w:rPr>
        <w:t>名词解释</w:t>
      </w:r>
    </w:p>
    <w:p w14:paraId="098CF14C">
      <w:pPr>
        <w:tabs>
          <w:tab w:val="left" w:pos="7665"/>
        </w:tabs>
        <w:spacing w:line="360" w:lineRule="auto"/>
        <w:ind w:firstLine="480" w:firstLineChars="200"/>
        <w:rPr>
          <w:rFonts w:hint="eastAsia" w:hAnsi="宋体" w:eastAsia="宋体" w:cs="宋体"/>
          <w:color w:val="auto"/>
          <w:szCs w:val="22"/>
          <w:highlight w:val="none"/>
          <w:lang w:eastAsia="zh-CN"/>
        </w:rPr>
      </w:pPr>
      <w:r>
        <w:rPr>
          <w:rFonts w:hint="eastAsia" w:hAnsi="宋体" w:cs="宋体"/>
          <w:color w:val="auto"/>
          <w:szCs w:val="22"/>
          <w:highlight w:val="none"/>
        </w:rPr>
        <w:t>2.1采购人：</w:t>
      </w:r>
      <w:r>
        <w:rPr>
          <w:rFonts w:hint="eastAsia" w:hAnsi="宋体" w:cs="宋体"/>
          <w:color w:val="auto"/>
          <w:szCs w:val="22"/>
          <w:highlight w:val="none"/>
          <w:lang w:eastAsia="zh-CN"/>
        </w:rPr>
        <w:t>西安开放大学</w:t>
      </w:r>
    </w:p>
    <w:p w14:paraId="6522B26A">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2.2监督机构：同级人民政府财政部门</w:t>
      </w:r>
    </w:p>
    <w:p w14:paraId="3D44B588">
      <w:pP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2.3采购代理机构：陕西至诚项目管理集团有限公司</w:t>
      </w:r>
    </w:p>
    <w:p w14:paraId="5F9D5544">
      <w:pP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14:paraId="173B9B8A">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14:paraId="5C6D6C41">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14:paraId="04FE41C7">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14:paraId="6D35BCF8">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14:paraId="404DA41B">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5EE184FC">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99F227">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14:paraId="553A874E">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14:paraId="722136AF">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3.1《中华人民共和国政府采购法》第二十二条第一款规定的供应商基本资格条件:</w:t>
      </w:r>
    </w:p>
    <w:p w14:paraId="5A90DC85">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14:paraId="3EB129FA">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14:paraId="367FDB99">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14:paraId="4EF0F514">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14:paraId="4F1723E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14:paraId="034FB29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14:paraId="2F46ACA0">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14:paraId="2B745C01">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13A0780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3.4供应商必须在陕西至诚项目管理集团有限公司购买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14:paraId="5A3CBA0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14:paraId="1CDE93C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14:paraId="6224836C">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14:paraId="2682C5AA">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14:paraId="79FB7F43">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14:paraId="66E89203">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6A0CF70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5C76F365">
      <w:pPr>
        <w:keepNext/>
        <w:keepLines/>
        <w:spacing w:beforeLines="100" w:afterLines="50" w:line="360" w:lineRule="auto"/>
        <w:jc w:val="center"/>
        <w:outlineLvl w:val="2"/>
        <w:rPr>
          <w:rFonts w:hAnsi="宋体" w:cs="宋体"/>
          <w:b/>
          <w:color w:val="auto"/>
          <w:sz w:val="32"/>
          <w:szCs w:val="32"/>
          <w:highlight w:val="none"/>
        </w:rPr>
      </w:pPr>
      <w:bookmarkStart w:id="40" w:name="_Toc28120"/>
      <w:bookmarkStart w:id="41" w:name="_Toc18686"/>
      <w:bookmarkStart w:id="42" w:name="_Toc20799"/>
      <w:bookmarkStart w:id="43" w:name="_Toc12266"/>
      <w:bookmarkStart w:id="44" w:name="_Toc13194"/>
      <w:bookmarkStart w:id="45" w:name="_Toc15249"/>
      <w:bookmarkStart w:id="46" w:name="_Toc30698"/>
      <w:bookmarkStart w:id="47" w:name="_Toc27903"/>
      <w:bookmarkStart w:id="48" w:name="_Toc31742"/>
      <w:bookmarkStart w:id="49" w:name="_Toc12362"/>
      <w:r>
        <w:rPr>
          <w:rFonts w:hint="eastAsia" w:hAnsi="宋体" w:cs="宋体"/>
          <w:b/>
          <w:color w:val="auto"/>
          <w:sz w:val="32"/>
          <w:szCs w:val="32"/>
          <w:highlight w:val="none"/>
        </w:rPr>
        <w:t>四.竞争性磋商响应文件的递交</w:t>
      </w:r>
      <w:bookmarkEnd w:id="40"/>
      <w:bookmarkEnd w:id="41"/>
      <w:bookmarkEnd w:id="42"/>
      <w:bookmarkEnd w:id="43"/>
      <w:bookmarkEnd w:id="44"/>
    </w:p>
    <w:p w14:paraId="102BAE61">
      <w:pP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14:paraId="75932F8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2697C252">
      <w:pP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p w14:paraId="1205292C">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14:paraId="3407B8EC">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1) 磋商响应单位的全称；</w:t>
      </w:r>
    </w:p>
    <w:p w14:paraId="408BB844">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2) 磋商项目名称、项目编号；</w:t>
      </w:r>
    </w:p>
    <w:p w14:paraId="067CD7DE">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3）正本或副本“请勿在＿＿＿＿＿(磋商时间)之前启封”。</w:t>
      </w:r>
    </w:p>
    <w:p w14:paraId="319CECD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17.4如果供应商未对竞争性磋商响应文件按上述要求进行完好密封，由此产生的不利后果由供应商自行承担。</w:t>
      </w:r>
    </w:p>
    <w:p w14:paraId="126DDEAF">
      <w:pPr>
        <w:spacing w:line="360" w:lineRule="auto"/>
        <w:rPr>
          <w:rFonts w:hAnsi="宋体" w:cs="宋体"/>
          <w:b/>
          <w:color w:val="auto"/>
          <w:szCs w:val="24"/>
          <w:highlight w:val="none"/>
        </w:rPr>
      </w:pPr>
      <w:r>
        <w:rPr>
          <w:rFonts w:hint="eastAsia" w:hAnsi="宋体" w:cs="宋体"/>
          <w:b/>
          <w:color w:val="auto"/>
          <w:szCs w:val="24"/>
          <w:highlight w:val="none"/>
        </w:rPr>
        <w:t>18．竞争性磋商响应文件的递交</w:t>
      </w:r>
    </w:p>
    <w:p w14:paraId="57699BF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07EF4F6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54D192B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14:paraId="3C508E74">
      <w:pPr>
        <w:spacing w:line="360" w:lineRule="auto"/>
        <w:rPr>
          <w:rFonts w:hAnsi="宋体" w:cs="宋体"/>
          <w:b/>
          <w:color w:val="auto"/>
          <w:szCs w:val="24"/>
          <w:highlight w:val="none"/>
        </w:rPr>
      </w:pPr>
      <w:r>
        <w:rPr>
          <w:rFonts w:hint="eastAsia" w:hAnsi="宋体" w:cs="宋体"/>
          <w:b/>
          <w:color w:val="auto"/>
          <w:szCs w:val="24"/>
          <w:highlight w:val="none"/>
        </w:rPr>
        <w:t>19．递交的竞争性磋商响应文件</w:t>
      </w:r>
    </w:p>
    <w:p w14:paraId="35FC418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14:paraId="64DF3BC2">
      <w:pPr>
        <w:spacing w:line="360" w:lineRule="auto"/>
        <w:rPr>
          <w:rFonts w:hAnsi="宋体" w:cs="宋体"/>
          <w:b/>
          <w:color w:val="auto"/>
          <w:szCs w:val="24"/>
          <w:highlight w:val="none"/>
        </w:rPr>
      </w:pPr>
      <w:r>
        <w:rPr>
          <w:rFonts w:hint="eastAsia" w:hAnsi="宋体" w:cs="宋体"/>
          <w:b/>
          <w:color w:val="auto"/>
          <w:szCs w:val="24"/>
          <w:highlight w:val="none"/>
        </w:rPr>
        <w:t>20．磋商的修改与撤回</w:t>
      </w:r>
    </w:p>
    <w:p w14:paraId="2008B03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6FAFF6B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14:paraId="7001B7E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20.3 在磋商截止时间之后，供应商不得对其磋商响应文件做任何修改或撤回。</w:t>
      </w:r>
    </w:p>
    <w:p w14:paraId="60A54CC8">
      <w:pPr>
        <w:keepNext/>
        <w:keepLines/>
        <w:spacing w:beforeLines="100" w:afterLines="50" w:line="360" w:lineRule="auto"/>
        <w:jc w:val="center"/>
        <w:outlineLvl w:val="2"/>
        <w:rPr>
          <w:rFonts w:hAnsi="宋体" w:cs="宋体"/>
          <w:b/>
          <w:color w:val="auto"/>
          <w:sz w:val="32"/>
          <w:szCs w:val="32"/>
          <w:highlight w:val="none"/>
        </w:rPr>
      </w:pPr>
      <w:r>
        <w:rPr>
          <w:rFonts w:hint="eastAsia" w:hAnsi="宋体" w:cs="宋体"/>
          <w:b/>
          <w:color w:val="auto"/>
          <w:sz w:val="32"/>
          <w:szCs w:val="32"/>
          <w:highlight w:val="none"/>
        </w:rPr>
        <w:t>二.竞争性磋商文件</w:t>
      </w:r>
      <w:bookmarkEnd w:id="37"/>
      <w:bookmarkEnd w:id="38"/>
      <w:bookmarkEnd w:id="39"/>
      <w:bookmarkEnd w:id="45"/>
      <w:bookmarkEnd w:id="46"/>
      <w:bookmarkEnd w:id="47"/>
      <w:bookmarkEnd w:id="48"/>
      <w:bookmarkEnd w:id="49"/>
    </w:p>
    <w:p w14:paraId="4EDDD18E">
      <w:pP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14:paraId="2257BAD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14:paraId="79244CD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第一章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竞争性磋商公告</w:t>
      </w:r>
    </w:p>
    <w:p w14:paraId="7225234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第二章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供应商须知</w:t>
      </w:r>
    </w:p>
    <w:p w14:paraId="5B97E1E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第三章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评审方法</w:t>
      </w:r>
    </w:p>
    <w:p w14:paraId="2D0E82A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第四章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合同条款及格式</w:t>
      </w:r>
    </w:p>
    <w:p w14:paraId="738936A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第五章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磋商内容及技术要求</w:t>
      </w:r>
    </w:p>
    <w:p w14:paraId="7B2F9F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第六章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竞争性磋商响应文件构成及格式</w:t>
      </w:r>
    </w:p>
    <w:p w14:paraId="74FFC2F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06120B7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6.3本竞争性磋商文件的解释权归陕西至诚项目管理集团有限公司，如发现竞争性磋商响应文件内容与现行法律法规不相符的情况，以现行法律法规为准。</w:t>
      </w:r>
    </w:p>
    <w:p w14:paraId="6DD97FC8">
      <w:pP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14:paraId="2700645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7E27A81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4B34A5B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7.3已经购买竞争性磋商文件的供应商对竞争性磋商文件有疑问的，均应在磋商截止之日起3日前以书面形式向采购代理机构提出。采购代理机构视情况必要时将书面答复传送给所有获取竞争性磋商文件的供应商。</w:t>
      </w:r>
    </w:p>
    <w:p w14:paraId="65A1B5F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14:paraId="45600018">
      <w:pPr>
        <w:keepNext/>
        <w:keepLines/>
        <w:spacing w:beforeLines="100" w:afterLines="50" w:line="360" w:lineRule="auto"/>
        <w:jc w:val="center"/>
        <w:outlineLvl w:val="2"/>
        <w:rPr>
          <w:rFonts w:hAnsi="宋体" w:cs="宋体"/>
          <w:b/>
          <w:color w:val="auto"/>
          <w:sz w:val="32"/>
          <w:szCs w:val="32"/>
          <w:highlight w:val="none"/>
        </w:rPr>
      </w:pPr>
      <w:bookmarkStart w:id="50" w:name="_Toc28227"/>
      <w:bookmarkStart w:id="51" w:name="_Toc363474019"/>
      <w:bookmarkStart w:id="52" w:name="_Toc13771"/>
      <w:bookmarkStart w:id="53" w:name="_Toc4913"/>
      <w:bookmarkStart w:id="54" w:name="_Toc26653"/>
      <w:bookmarkStart w:id="55" w:name="_Toc403077641"/>
      <w:bookmarkStart w:id="56" w:name="_Toc363473974"/>
      <w:bookmarkStart w:id="57" w:name="_Toc9512"/>
      <w:r>
        <w:rPr>
          <w:rFonts w:hint="eastAsia" w:hAnsi="宋体" w:cs="宋体"/>
          <w:b/>
          <w:color w:val="auto"/>
          <w:sz w:val="32"/>
          <w:szCs w:val="32"/>
          <w:highlight w:val="none"/>
        </w:rPr>
        <w:t>三.磋商响应文件的编制</w:t>
      </w:r>
      <w:bookmarkEnd w:id="50"/>
      <w:bookmarkEnd w:id="51"/>
      <w:bookmarkEnd w:id="52"/>
      <w:bookmarkEnd w:id="53"/>
      <w:bookmarkEnd w:id="54"/>
      <w:bookmarkEnd w:id="55"/>
      <w:bookmarkEnd w:id="56"/>
      <w:bookmarkEnd w:id="57"/>
    </w:p>
    <w:p w14:paraId="242612F8">
      <w:pP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14:paraId="56DD35FE">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14:paraId="5B7369E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14:paraId="58BBEC4B">
      <w:pP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14:paraId="2F8450F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14:paraId="1CCE77A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14:paraId="6479831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14:paraId="5C0025F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14:paraId="265C4E6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14:paraId="5912DCF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14:paraId="2D1B8B5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14:paraId="3EA9CFD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011AFFF0">
      <w:pP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14:paraId="02EF383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1DA05383">
      <w:pP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5A139139">
      <w:pPr>
        <w:spacing w:line="360" w:lineRule="auto"/>
        <w:rPr>
          <w:rFonts w:hAnsi="宋体" w:cs="宋体"/>
          <w:b/>
          <w:color w:val="auto"/>
          <w:szCs w:val="24"/>
          <w:highlight w:val="none"/>
        </w:rPr>
      </w:pPr>
      <w:r>
        <w:rPr>
          <w:rFonts w:hint="eastAsia" w:hAnsi="宋体" w:cs="宋体"/>
          <w:b/>
          <w:color w:val="auto"/>
          <w:szCs w:val="24"/>
          <w:highlight w:val="none"/>
        </w:rPr>
        <w:t>11.磋商报价</w:t>
      </w:r>
    </w:p>
    <w:p w14:paraId="7C3C1E82">
      <w:pPr>
        <w:spacing w:line="360" w:lineRule="auto"/>
        <w:ind w:firstLine="480"/>
        <w:rPr>
          <w:rFonts w:hAnsi="宋体" w:cs="宋体"/>
          <w:color w:val="auto"/>
          <w:szCs w:val="24"/>
          <w:highlight w:val="none"/>
        </w:rPr>
      </w:pPr>
      <w:r>
        <w:rPr>
          <w:rFonts w:hint="eastAsia" w:hAnsi="宋体" w:cs="宋体"/>
          <w:color w:val="auto"/>
          <w:szCs w:val="24"/>
          <w:highlight w:val="none"/>
        </w:rPr>
        <w:t>11.1磋商报价：磋商报价是供应商为完成本项目要求的全部服务内容最终价格的体现。</w:t>
      </w:r>
    </w:p>
    <w:p w14:paraId="15C723E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w:t>
      </w:r>
    </w:p>
    <w:p w14:paraId="1AF8119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14:paraId="23BD6E1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14:paraId="48EEED3E">
      <w:pP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14:paraId="597E63C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821FDF3">
      <w:pPr>
        <w:spacing w:line="360" w:lineRule="auto"/>
        <w:rPr>
          <w:rFonts w:hAnsi="宋体" w:cs="宋体"/>
          <w:b/>
          <w:color w:val="auto"/>
          <w:szCs w:val="24"/>
          <w:highlight w:val="none"/>
        </w:rPr>
      </w:pPr>
      <w:r>
        <w:rPr>
          <w:rFonts w:hint="eastAsia" w:hAnsi="宋体" w:cs="宋体"/>
          <w:b/>
          <w:color w:val="auto"/>
          <w:szCs w:val="24"/>
          <w:highlight w:val="none"/>
        </w:rPr>
        <w:t>13.证明服务符合竞争性磋商文件规定的文件</w:t>
      </w:r>
    </w:p>
    <w:p w14:paraId="6812D2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13.1供应商应在竞争性磋商响应文件中提交服务满足竞争性磋商文件要求并符合国家法律法规、行业管理部门要求的其他强制性标准的证明文件。</w:t>
      </w:r>
    </w:p>
    <w:p w14:paraId="001012F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13.2 供应商须提供全部服务内容的详细说明。</w:t>
      </w:r>
    </w:p>
    <w:p w14:paraId="34F9234D">
      <w:pPr>
        <w:spacing w:line="360" w:lineRule="auto"/>
        <w:rPr>
          <w:rFonts w:hAnsi="宋体" w:cs="宋体"/>
          <w:b/>
          <w:color w:val="auto"/>
          <w:szCs w:val="24"/>
          <w:highlight w:val="none"/>
        </w:rPr>
      </w:pPr>
      <w:r>
        <w:rPr>
          <w:rFonts w:hint="eastAsia" w:hAnsi="宋体" w:cs="宋体"/>
          <w:b/>
          <w:color w:val="auto"/>
          <w:szCs w:val="24"/>
          <w:highlight w:val="none"/>
        </w:rPr>
        <w:t>14.磋商保证金</w:t>
      </w:r>
    </w:p>
    <w:p w14:paraId="228C8B8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14.1供应商在磋商时应向陕西至诚项目管理集团有限公司提交“供应商须知前附表”规定数额的磋商保证金,并作为其磋商的一部分。</w:t>
      </w:r>
    </w:p>
    <w:p w14:paraId="795CDAA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10DB617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14.3磋商保证金可采取“供应商须知前附表”规定的任何一种形式。</w:t>
      </w:r>
    </w:p>
    <w:p w14:paraId="68C36EB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14.4磋商保证金必须按照竞争性磋商文件“供应商须知前附表”中规定的缴纳金额及方式办理。</w:t>
      </w:r>
    </w:p>
    <w:p w14:paraId="309FFD3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14.5磋商后经审查，未提交磋商保证金、未按竞争性磋商文件规定时间提交磋商保证金</w:t>
      </w:r>
      <w:r>
        <w:rPr>
          <w:rFonts w:hint="eastAsia" w:hAnsi="宋体" w:cs="宋体"/>
          <w:color w:val="auto"/>
          <w:highlight w:val="none"/>
        </w:rPr>
        <w:t>或担保机构出具的保函正本未在采购代理机构备案的</w:t>
      </w:r>
      <w:r>
        <w:rPr>
          <w:rFonts w:hint="eastAsia" w:hAnsi="宋体" w:cs="宋体"/>
          <w:color w:val="auto"/>
          <w:szCs w:val="24"/>
          <w:highlight w:val="none"/>
        </w:rPr>
        <w:t>、磋商保证金金额不足或磋商保证金转账凭证复印件/担保机构出具的保函正本复印件未附在磋商响应文件内的磋商将按无效磋商处理。</w:t>
      </w:r>
    </w:p>
    <w:p w14:paraId="6FF9D09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14.6未成交供应商的磋商保证金，将在成交通知书发出后五个工作日内按原账户退还；成交供应商的磋商保证金，在采购合同签订并按规定缴纳成交代理服务费后五个工作日内退还</w:t>
      </w:r>
      <w:r>
        <w:rPr>
          <w:rFonts w:hint="eastAsia" w:hAnsi="宋体" w:cs="宋体"/>
          <w:b/>
          <w:color w:val="auto"/>
          <w:szCs w:val="24"/>
          <w:highlight w:val="none"/>
        </w:rPr>
        <w:t>（退还时，须向采购代理机构提供采购合同原件、开户许可证及转账凭证复印件壹份）</w:t>
      </w:r>
      <w:r>
        <w:rPr>
          <w:rFonts w:hint="eastAsia" w:hAnsi="宋体" w:cs="宋体"/>
          <w:color w:val="auto"/>
          <w:szCs w:val="24"/>
          <w:highlight w:val="none"/>
        </w:rPr>
        <w:t>。</w:t>
      </w:r>
    </w:p>
    <w:p w14:paraId="42129E8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7ABC5E0C">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14.8 下列任何情况发生时，视为供应商违约，其磋商保证金将被没收：</w:t>
      </w:r>
    </w:p>
    <w:p w14:paraId="1325D76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 供应商在磋商有效期内撤回其磋商响应文件；</w:t>
      </w:r>
    </w:p>
    <w:p w14:paraId="3F5370A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2）供应商在响应文件中提供伪造、套改、虚假资料参加磋商的。</w:t>
      </w:r>
    </w:p>
    <w:p w14:paraId="1305E04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 供应商成交后放弃成交或未能按规定签订合同；或未能按规定缴纳成交代理服务费。</w:t>
      </w:r>
    </w:p>
    <w:p w14:paraId="1B4DB25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4）供应商成交后将成交项目转让给他人，或者在响应文件中未说明，且未经采购人同意，将成交项目分包给他人的。</w:t>
      </w:r>
    </w:p>
    <w:p w14:paraId="1A21BF5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5）供应商事先未通告无故不参加磋商活动的。</w:t>
      </w:r>
    </w:p>
    <w:p w14:paraId="196DFE6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6）供应商不按法定程序进行质疑和投诉，捏造事实，查无实据，造成恶劣影响，导致采购活动无法正常进行的。</w:t>
      </w:r>
    </w:p>
    <w:p w14:paraId="508AC958">
      <w:pPr>
        <w:spacing w:line="360" w:lineRule="auto"/>
        <w:rPr>
          <w:rFonts w:hAnsi="宋体" w:cs="宋体"/>
          <w:b/>
          <w:color w:val="auto"/>
          <w:szCs w:val="24"/>
          <w:highlight w:val="none"/>
        </w:rPr>
      </w:pPr>
      <w:r>
        <w:rPr>
          <w:rFonts w:hint="eastAsia" w:hAnsi="宋体" w:cs="宋体"/>
          <w:b/>
          <w:color w:val="auto"/>
          <w:szCs w:val="24"/>
          <w:highlight w:val="none"/>
        </w:rPr>
        <w:t>15.磋商有效期</w:t>
      </w:r>
    </w:p>
    <w:p w14:paraId="29F18F3F">
      <w:pPr>
        <w:spacing w:line="360" w:lineRule="auto"/>
        <w:ind w:firstLine="480" w:firstLineChars="200"/>
        <w:rPr>
          <w:rFonts w:hAnsi="宋体" w:cs="宋体"/>
          <w:color w:val="auto"/>
          <w:szCs w:val="24"/>
          <w:highlight w:val="none"/>
        </w:rPr>
      </w:pPr>
      <w:bookmarkStart w:id="58"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58"/>
    </w:p>
    <w:p w14:paraId="0372E2C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0B26D01">
      <w:pP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14:paraId="440E906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color w:val="auto"/>
          <w:spacing w:val="4"/>
          <w:highlight w:val="none"/>
        </w:rPr>
        <w:t>电子版（U盘）</w:t>
      </w:r>
      <w:r>
        <w:rPr>
          <w:rFonts w:hint="eastAsia" w:hAnsi="宋体" w:cs="宋体"/>
          <w:color w:val="auto"/>
          <w:szCs w:val="24"/>
          <w:highlight w:val="none"/>
        </w:rPr>
        <w:t>并在盘面标注供应商全称、项目名称、项目编号，并与竞争性磋商响应文件同时递交。</w:t>
      </w:r>
    </w:p>
    <w:p w14:paraId="7E31665C">
      <w:pPr>
        <w:spacing w:line="500" w:lineRule="exact"/>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14:paraId="0855788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14:paraId="5A1CE52F">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16.4供应商名称应填写全称。磋商响应文件正本及所有副本必须逐页加盖供应商公章（鲜章），否则按无效处理。</w:t>
      </w:r>
    </w:p>
    <w:p w14:paraId="7B11391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14:paraId="43A5E239">
      <w:pPr>
        <w:spacing w:line="500" w:lineRule="exact"/>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14:paraId="3F375740">
      <w:pPr>
        <w:keepNext/>
        <w:keepLines/>
        <w:spacing w:beforeLines="100" w:afterLines="50" w:line="360" w:lineRule="auto"/>
        <w:jc w:val="center"/>
        <w:outlineLvl w:val="2"/>
        <w:rPr>
          <w:rFonts w:hAnsi="宋体" w:cs="宋体"/>
          <w:b/>
          <w:color w:val="auto"/>
          <w:sz w:val="32"/>
          <w:szCs w:val="32"/>
          <w:highlight w:val="none"/>
        </w:rPr>
      </w:pPr>
      <w:bookmarkStart w:id="59" w:name="_Toc13669"/>
      <w:bookmarkStart w:id="60" w:name="_Toc30850"/>
      <w:bookmarkStart w:id="61" w:name="_Toc363473976"/>
      <w:bookmarkStart w:id="62" w:name="_Toc25852"/>
      <w:bookmarkStart w:id="63" w:name="_Toc363474021"/>
      <w:bookmarkStart w:id="64" w:name="_Toc22043"/>
      <w:bookmarkStart w:id="65" w:name="_Toc15436"/>
      <w:bookmarkStart w:id="66" w:name="_Toc403077643"/>
      <w:r>
        <w:rPr>
          <w:rFonts w:hint="eastAsia" w:hAnsi="宋体" w:cs="宋体"/>
          <w:b/>
          <w:color w:val="auto"/>
          <w:sz w:val="32"/>
          <w:szCs w:val="32"/>
          <w:highlight w:val="none"/>
        </w:rPr>
        <w:t>五.磋商与评标</w:t>
      </w:r>
      <w:bookmarkEnd w:id="59"/>
      <w:bookmarkEnd w:id="60"/>
      <w:bookmarkEnd w:id="61"/>
      <w:bookmarkEnd w:id="62"/>
      <w:bookmarkEnd w:id="63"/>
      <w:bookmarkEnd w:id="64"/>
      <w:bookmarkEnd w:id="65"/>
      <w:bookmarkEnd w:id="66"/>
    </w:p>
    <w:p w14:paraId="6D29EC1B">
      <w:pPr>
        <w:spacing w:line="360" w:lineRule="auto"/>
        <w:rPr>
          <w:rFonts w:hAnsi="宋体" w:cs="宋体"/>
          <w:b/>
          <w:color w:val="auto"/>
          <w:szCs w:val="24"/>
          <w:highlight w:val="none"/>
        </w:rPr>
      </w:pPr>
      <w:r>
        <w:rPr>
          <w:rFonts w:hint="eastAsia" w:hAnsi="宋体" w:cs="宋体"/>
          <w:b/>
          <w:color w:val="auto"/>
          <w:szCs w:val="24"/>
          <w:highlight w:val="none"/>
        </w:rPr>
        <w:t>21.磋商大会</w:t>
      </w:r>
    </w:p>
    <w:p w14:paraId="3B820F3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14:paraId="3DF666DC">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21.2采购代理机构将做好磋商记录，存档备查。</w:t>
      </w:r>
    </w:p>
    <w:p w14:paraId="0A65EEBA">
      <w:pPr>
        <w:spacing w:line="360" w:lineRule="auto"/>
        <w:rPr>
          <w:rFonts w:hAnsi="宋体" w:cs="宋体"/>
          <w:b/>
          <w:color w:val="auto"/>
          <w:szCs w:val="24"/>
          <w:highlight w:val="none"/>
        </w:rPr>
      </w:pPr>
      <w:r>
        <w:rPr>
          <w:rFonts w:hint="eastAsia" w:hAnsi="宋体" w:cs="宋体"/>
          <w:b/>
          <w:color w:val="auto"/>
          <w:szCs w:val="24"/>
          <w:highlight w:val="none"/>
        </w:rPr>
        <w:t>22．评审程序</w:t>
      </w:r>
    </w:p>
    <w:p w14:paraId="0D27C73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1038CBFC">
      <w:pPr>
        <w:spacing w:line="360" w:lineRule="auto"/>
        <w:rPr>
          <w:rFonts w:hAnsi="宋体" w:cs="宋体"/>
          <w:b/>
          <w:color w:val="auto"/>
          <w:szCs w:val="24"/>
          <w:highlight w:val="none"/>
        </w:rPr>
      </w:pPr>
      <w:r>
        <w:rPr>
          <w:rFonts w:hint="eastAsia" w:hAnsi="宋体" w:cs="宋体"/>
          <w:b/>
          <w:color w:val="auto"/>
          <w:szCs w:val="24"/>
          <w:highlight w:val="none"/>
        </w:rPr>
        <w:t>23．评审组织及评审原则</w:t>
      </w:r>
    </w:p>
    <w:p w14:paraId="1CF57F7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23.1</w:t>
      </w: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资格审查小组和磋商小组</w:t>
      </w:r>
      <w:r>
        <w:rPr>
          <w:rFonts w:hAnsi="宋体"/>
          <w:color w:val="auto"/>
          <w:szCs w:val="24"/>
          <w:highlight w:val="none"/>
        </w:rPr>
        <w:t>。</w:t>
      </w:r>
      <w:r>
        <w:rPr>
          <w:rFonts w:hint="eastAsia" w:hAnsi="宋体"/>
          <w:color w:val="auto"/>
          <w:szCs w:val="24"/>
          <w:highlight w:val="none"/>
        </w:rPr>
        <w:t>资格审查小组由采购人代表和代理机构代表组成，成员人数应当为3人以上单数。磋商小组由采购人代表和评审专家组成，成员人数应当为3人以上单数，其中采购人代表须持有授权书。磋商小组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r>
        <w:rPr>
          <w:rFonts w:hint="eastAsia" w:hAnsi="宋体" w:cs="宋体"/>
          <w:color w:val="auto"/>
          <w:szCs w:val="24"/>
          <w:highlight w:val="none"/>
        </w:rPr>
        <w:t>。</w:t>
      </w:r>
    </w:p>
    <w:p w14:paraId="4763ECB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14:paraId="72CEEAC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4EBB812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14:paraId="5201548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14:paraId="1A5CE78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8774EC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14:paraId="584198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14:paraId="38285B7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14:paraId="2FC5D7FA">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14:paraId="62478FD7">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5E13A2A6">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14:paraId="7029C83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14:paraId="59088FF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14:paraId="75CB0A4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14:paraId="6C32D1B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14:paraId="61F5C75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3C136D8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14:paraId="291006D1">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14:paraId="043572AA">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2）竞争性磋商响应文件未按竞争性磋商文件要求密封、签署、盖章的；</w:t>
      </w:r>
    </w:p>
    <w:p w14:paraId="45A4951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3）供应商未提交有效的磋商保证金或金额不足的、磋商保证金形式不符合竞争性磋商文件要求的；</w:t>
      </w:r>
    </w:p>
    <w:p w14:paraId="3C6914C2">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4）资格证明文件不全的或无效的，或不符合国家规定的；</w:t>
      </w:r>
    </w:p>
    <w:p w14:paraId="623A1B3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5）竞争性磋商响应文件无供应商公章、无法定代表人签字或签字人无法定代表人有效委托书的；</w:t>
      </w:r>
    </w:p>
    <w:p w14:paraId="73241DF4">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14:paraId="59A42790">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7）供应商在同一份竞争性磋商响应文件中，有两个或多个报价的；</w:t>
      </w:r>
    </w:p>
    <w:p w14:paraId="77ED57BC">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8）存在有重大缺漏项和重大偏离的；</w:t>
      </w:r>
    </w:p>
    <w:p w14:paraId="2E7C705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28943462">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10）磋商总报价低于成本或者高于竞争性磋商文件公布的采购预算的。</w:t>
      </w:r>
    </w:p>
    <w:p w14:paraId="46A194A9">
      <w:pPr>
        <w:pStyle w:val="19"/>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4E55D528">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12）竞争性磋商响应文件不符合法律法规要求的；</w:t>
      </w:r>
    </w:p>
    <w:p w14:paraId="78027B77">
      <w:pPr>
        <w:pStyle w:val="19"/>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7D8B79B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14:paraId="2D7ACFA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14:paraId="3529CBF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14:paraId="1ECF9E5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14:paraId="2530204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14:paraId="0D24CB60">
      <w:pPr>
        <w:spacing w:line="360" w:lineRule="auto"/>
        <w:rPr>
          <w:rFonts w:hAnsi="宋体" w:cs="宋体"/>
          <w:b/>
          <w:color w:val="auto"/>
          <w:szCs w:val="24"/>
          <w:highlight w:val="none"/>
        </w:rPr>
      </w:pPr>
      <w:r>
        <w:rPr>
          <w:rFonts w:hint="eastAsia" w:hAnsi="宋体" w:cs="宋体"/>
          <w:b/>
          <w:color w:val="auto"/>
          <w:szCs w:val="24"/>
          <w:highlight w:val="none"/>
        </w:rPr>
        <w:t>24．评审过程的保密</w:t>
      </w:r>
    </w:p>
    <w:p w14:paraId="145C68D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14:paraId="60973A05">
      <w:pPr>
        <w:jc w:val="left"/>
        <w:rPr>
          <w:rFonts w:hAnsi="宋体" w:cs="宋体"/>
          <w:b/>
          <w:color w:val="auto"/>
          <w:szCs w:val="24"/>
          <w:highlight w:val="none"/>
        </w:rPr>
      </w:pPr>
      <w:r>
        <w:rPr>
          <w:rFonts w:hint="eastAsia" w:hAnsi="宋体" w:cs="宋体"/>
          <w:b/>
          <w:color w:val="auto"/>
          <w:szCs w:val="24"/>
          <w:highlight w:val="none"/>
        </w:rPr>
        <w:t>25．评审方法</w:t>
      </w:r>
    </w:p>
    <w:p w14:paraId="0AEE4D6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荐1-3名成交候选人。</w:t>
      </w:r>
    </w:p>
    <w:p w14:paraId="64EE3D98">
      <w:pPr>
        <w:keepNext/>
        <w:keepLines/>
        <w:spacing w:beforeLines="100" w:afterLines="50" w:line="360" w:lineRule="auto"/>
        <w:jc w:val="center"/>
        <w:outlineLvl w:val="2"/>
        <w:rPr>
          <w:rFonts w:hAnsi="宋体" w:cs="宋体"/>
          <w:b/>
          <w:color w:val="auto"/>
          <w:sz w:val="32"/>
          <w:szCs w:val="32"/>
          <w:highlight w:val="none"/>
        </w:rPr>
      </w:pPr>
      <w:bookmarkStart w:id="67" w:name="_Toc29694"/>
      <w:bookmarkStart w:id="68" w:name="_Toc24420"/>
      <w:bookmarkStart w:id="69" w:name="_Toc15100"/>
      <w:bookmarkStart w:id="70" w:name="_Toc29146"/>
      <w:bookmarkStart w:id="71" w:name="_Toc7759"/>
      <w:r>
        <w:rPr>
          <w:rFonts w:hint="eastAsia" w:hAnsi="宋体" w:cs="宋体"/>
          <w:b/>
          <w:color w:val="auto"/>
          <w:sz w:val="32"/>
          <w:szCs w:val="32"/>
          <w:highlight w:val="none"/>
        </w:rPr>
        <w:t>六.成交、通知与签约</w:t>
      </w:r>
      <w:bookmarkEnd w:id="67"/>
      <w:bookmarkEnd w:id="68"/>
      <w:bookmarkEnd w:id="69"/>
      <w:bookmarkEnd w:id="70"/>
      <w:bookmarkEnd w:id="71"/>
    </w:p>
    <w:p w14:paraId="5B903ECA">
      <w:pPr>
        <w:spacing w:line="360" w:lineRule="auto"/>
        <w:rPr>
          <w:rFonts w:hAnsi="宋体" w:cs="宋体"/>
          <w:b/>
          <w:color w:val="auto"/>
          <w:szCs w:val="24"/>
          <w:highlight w:val="none"/>
        </w:rPr>
      </w:pPr>
      <w:r>
        <w:rPr>
          <w:rFonts w:hint="eastAsia" w:hAnsi="宋体" w:cs="宋体"/>
          <w:b/>
          <w:color w:val="auto"/>
          <w:szCs w:val="24"/>
          <w:highlight w:val="none"/>
        </w:rPr>
        <w:t>26．成交程序</w:t>
      </w:r>
    </w:p>
    <w:p w14:paraId="412DB34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14:paraId="5000CB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14:paraId="73B9269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2E5611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14:paraId="5022684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14:paraId="2D8E0C45">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14:paraId="7262FE05">
      <w:pPr>
        <w:spacing w:line="360" w:lineRule="auto"/>
        <w:rPr>
          <w:rFonts w:hAnsi="宋体" w:cs="宋体"/>
          <w:b/>
          <w:color w:val="auto"/>
          <w:szCs w:val="24"/>
          <w:highlight w:val="none"/>
        </w:rPr>
      </w:pPr>
      <w:r>
        <w:rPr>
          <w:rFonts w:hint="eastAsia" w:hAnsi="宋体" w:cs="宋体"/>
          <w:b/>
          <w:color w:val="auto"/>
          <w:szCs w:val="24"/>
          <w:highlight w:val="none"/>
        </w:rPr>
        <w:t>27．成交通知</w:t>
      </w:r>
    </w:p>
    <w:p w14:paraId="2B9EA8F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14:paraId="37B34E8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0C6F6E67">
      <w:pP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14:paraId="4690F22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0595E8A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14:paraId="67D47550">
      <w:pPr>
        <w:spacing w:line="360" w:lineRule="auto"/>
        <w:rPr>
          <w:rFonts w:hAnsi="宋体" w:cs="宋体"/>
          <w:b/>
          <w:color w:val="auto"/>
          <w:szCs w:val="24"/>
          <w:highlight w:val="none"/>
        </w:rPr>
      </w:pPr>
      <w:r>
        <w:rPr>
          <w:rFonts w:hint="eastAsia" w:hAnsi="宋体" w:cs="宋体"/>
          <w:b/>
          <w:color w:val="auto"/>
          <w:szCs w:val="24"/>
          <w:highlight w:val="none"/>
        </w:rPr>
        <w:t>29．成交代理服务费</w:t>
      </w:r>
      <w:r>
        <w:rPr>
          <w:rFonts w:hint="eastAsia" w:hAnsi="宋体" w:cs="宋体"/>
          <w:color w:val="auto"/>
          <w:szCs w:val="24"/>
          <w:highlight w:val="none"/>
        </w:rPr>
        <w:t xml:space="preserve"> </w:t>
      </w:r>
    </w:p>
    <w:p w14:paraId="6BD7A961">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不足6000元按6000元收取。</w:t>
      </w:r>
    </w:p>
    <w:p w14:paraId="3832B1F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29.2本项目代理服务费由中标单位支付，中标单位应依据成交金额向招标代理机构交纳招标代理服务费。</w:t>
      </w:r>
    </w:p>
    <w:p w14:paraId="59798089">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14:paraId="5857EBAB">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1、采购代理机构开户名称:陕西至诚项目管理集团有限公司</w:t>
      </w:r>
    </w:p>
    <w:p w14:paraId="6BB3C424">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2、开户行名称：中国建设银行股份有限公司西安高新技术产业开发区支行</w:t>
      </w:r>
    </w:p>
    <w:p w14:paraId="31E1EAED">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3、账号：61050192090000002152</w:t>
      </w:r>
    </w:p>
    <w:p w14:paraId="0A211C07">
      <w:pPr>
        <w:numPr>
          <w:ilvl w:val="0"/>
          <w:numId w:val="2"/>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15632E76">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4B184B0F">
      <w:pPr>
        <w:spacing w:line="500" w:lineRule="exact"/>
        <w:ind w:right="12" w:firstLine="480"/>
        <w:rPr>
          <w:rStyle w:val="25"/>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19A5546D">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51156FF">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0BD4214E">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571BECBE">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07C61427">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4090A2FA">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29CE70AE">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240B2909">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7D394081">
      <w:pPr>
        <w:spacing w:line="500" w:lineRule="exact"/>
        <w:ind w:right="12" w:firstLine="480" w:firstLineChars="200"/>
        <w:rPr>
          <w:rStyle w:val="25"/>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0C81C10A">
      <w:pPr>
        <w:widowControl/>
        <w:spacing w:line="360" w:lineRule="auto"/>
        <w:ind w:firstLine="480" w:firstLineChars="200"/>
        <w:rPr>
          <w:rFonts w:hAnsi="宋体" w:cs="宋体"/>
          <w:color w:val="auto"/>
          <w:highlight w:val="none"/>
        </w:rPr>
      </w:pPr>
      <w:r>
        <w:rPr>
          <w:rFonts w:hint="eastAsia" w:hAnsi="宋体" w:cs="宋体"/>
          <w:color w:val="auto"/>
          <w:highlight w:val="none"/>
        </w:rPr>
        <w:t>30.6有下列情形之一的，属于无效质疑，采购代理机构和采购人不予受理：</w:t>
      </w:r>
    </w:p>
    <w:p w14:paraId="5B11CEF9">
      <w:pPr>
        <w:widowControl/>
        <w:spacing w:line="360" w:lineRule="auto"/>
        <w:ind w:firstLine="480" w:firstLineChars="200"/>
        <w:rPr>
          <w:rFonts w:hAnsi="宋体" w:cs="宋体"/>
          <w:color w:val="auto"/>
          <w:highlight w:val="none"/>
        </w:rPr>
      </w:pPr>
      <w:r>
        <w:rPr>
          <w:rFonts w:hint="eastAsia" w:hAnsi="宋体" w:cs="宋体"/>
          <w:color w:val="auto"/>
          <w:highlight w:val="none"/>
        </w:rPr>
        <w:t>30.6.1质疑供应商不是参与本次政府采购项目的供应商；</w:t>
      </w:r>
    </w:p>
    <w:p w14:paraId="606983C6">
      <w:pPr>
        <w:widowControl/>
        <w:spacing w:line="360" w:lineRule="auto"/>
        <w:ind w:firstLine="480" w:firstLineChars="200"/>
        <w:rPr>
          <w:rFonts w:hAnsi="宋体" w:cs="宋体"/>
          <w:color w:val="auto"/>
          <w:highlight w:val="none"/>
        </w:rPr>
      </w:pPr>
      <w:r>
        <w:rPr>
          <w:rFonts w:hint="eastAsia" w:hAnsi="宋体" w:cs="宋体"/>
          <w:color w:val="auto"/>
          <w:highlight w:val="none"/>
        </w:rPr>
        <w:t>30.6.2质疑供应商与质疑事项不存在利害关系的；</w:t>
      </w:r>
    </w:p>
    <w:p w14:paraId="1CD53E37">
      <w:pPr>
        <w:widowControl/>
        <w:spacing w:line="360" w:lineRule="auto"/>
        <w:ind w:firstLine="480" w:firstLineChars="200"/>
        <w:rPr>
          <w:rFonts w:hAnsi="宋体" w:cs="宋体"/>
          <w:color w:val="auto"/>
          <w:highlight w:val="none"/>
        </w:rPr>
      </w:pPr>
      <w:r>
        <w:rPr>
          <w:rFonts w:hint="eastAsia" w:hAnsi="宋体" w:cs="宋体"/>
          <w:color w:val="auto"/>
          <w:highlight w:val="none"/>
        </w:rPr>
        <w:t>30.6.3未在法定期限内提出质疑的；</w:t>
      </w:r>
    </w:p>
    <w:p w14:paraId="18C50CB7">
      <w:pPr>
        <w:widowControl/>
        <w:spacing w:line="360" w:lineRule="auto"/>
        <w:ind w:firstLine="480" w:firstLineChars="200"/>
        <w:rPr>
          <w:rFonts w:hAnsi="宋体" w:cs="宋体"/>
          <w:color w:val="auto"/>
          <w:highlight w:val="none"/>
        </w:rPr>
      </w:pPr>
      <w:r>
        <w:rPr>
          <w:rFonts w:hint="eastAsia" w:hAnsi="宋体" w:cs="宋体"/>
          <w:color w:val="auto"/>
          <w:highlight w:val="none"/>
        </w:rPr>
        <w:t>30.6.4质疑未以书面形式提出，或质疑函主要内容构成不完整的；</w:t>
      </w:r>
    </w:p>
    <w:p w14:paraId="6A128B39">
      <w:pPr>
        <w:widowControl/>
        <w:spacing w:line="360" w:lineRule="auto"/>
        <w:ind w:firstLine="480" w:firstLineChars="200"/>
        <w:rPr>
          <w:rFonts w:hAnsi="宋体" w:cs="宋体"/>
          <w:color w:val="auto"/>
          <w:highlight w:val="none"/>
        </w:rPr>
      </w:pPr>
      <w:r>
        <w:rPr>
          <w:rFonts w:hint="eastAsia" w:hAnsi="宋体" w:cs="宋体"/>
          <w:color w:val="auto"/>
          <w:highlight w:val="none"/>
        </w:rPr>
        <w:t>30.6.5应当提交授权书而未提交的；</w:t>
      </w:r>
    </w:p>
    <w:p w14:paraId="60015088">
      <w:pPr>
        <w:widowControl/>
        <w:spacing w:line="360" w:lineRule="auto"/>
        <w:ind w:firstLine="480" w:firstLineChars="200"/>
        <w:rPr>
          <w:rFonts w:hAnsi="宋体" w:cs="宋体"/>
          <w:color w:val="auto"/>
          <w:highlight w:val="none"/>
        </w:rPr>
      </w:pPr>
      <w:r>
        <w:rPr>
          <w:rFonts w:hint="eastAsia" w:hAnsi="宋体" w:cs="宋体"/>
          <w:color w:val="auto"/>
          <w:highlight w:val="none"/>
        </w:rPr>
        <w:t>30.6.6以非法手段取得证据、材料的；</w:t>
      </w:r>
    </w:p>
    <w:p w14:paraId="78EEC17F">
      <w:pPr>
        <w:widowControl/>
        <w:spacing w:line="360" w:lineRule="auto"/>
        <w:ind w:firstLine="480" w:firstLineChars="200"/>
        <w:rPr>
          <w:rFonts w:hAnsi="宋体" w:cs="宋体"/>
          <w:color w:val="auto"/>
          <w:highlight w:val="none"/>
        </w:rPr>
      </w:pPr>
      <w:r>
        <w:rPr>
          <w:rFonts w:hint="eastAsia" w:hAnsi="宋体" w:cs="宋体"/>
          <w:color w:val="auto"/>
          <w:highlight w:val="none"/>
        </w:rPr>
        <w:t>30.6.7质疑答复后，同一质疑人就同一事项或同一采购程序环节再次提出质疑的；</w:t>
      </w:r>
    </w:p>
    <w:p w14:paraId="36EDE860">
      <w:pPr>
        <w:widowControl/>
        <w:spacing w:line="360" w:lineRule="auto"/>
        <w:ind w:firstLine="480" w:firstLineChars="200"/>
        <w:rPr>
          <w:rFonts w:hAnsi="宋体" w:cs="宋体"/>
          <w:color w:val="auto"/>
          <w:highlight w:val="none"/>
        </w:rPr>
      </w:pPr>
      <w:r>
        <w:rPr>
          <w:rFonts w:hint="eastAsia" w:hAnsi="宋体" w:cs="宋体"/>
          <w:color w:val="auto"/>
          <w:highlight w:val="none"/>
        </w:rPr>
        <w:t>30.6.8不符合法律、法规、规章和政府采购监管机构规定的其他条件的。</w:t>
      </w:r>
    </w:p>
    <w:p w14:paraId="47DA9AE0">
      <w:pPr>
        <w:widowControl/>
        <w:spacing w:line="360" w:lineRule="auto"/>
        <w:ind w:firstLine="480" w:firstLineChars="200"/>
        <w:rPr>
          <w:rFonts w:hAnsi="宋体" w:cs="宋体"/>
          <w:color w:val="auto"/>
          <w:highlight w:val="none"/>
        </w:rPr>
      </w:pPr>
      <w:r>
        <w:rPr>
          <w:rFonts w:hint="eastAsia" w:hAnsi="宋体" w:cs="宋体"/>
          <w:color w:val="auto"/>
          <w:highlight w:val="none"/>
        </w:rPr>
        <w:t>30.7质疑答复</w:t>
      </w:r>
    </w:p>
    <w:p w14:paraId="530A7E0B">
      <w:pPr>
        <w:widowControl/>
        <w:spacing w:line="360" w:lineRule="auto"/>
        <w:ind w:firstLine="480" w:firstLineChars="200"/>
        <w:rPr>
          <w:rFonts w:hAnsi="宋体" w:cs="宋体"/>
          <w:color w:val="auto"/>
          <w:highlight w:val="none"/>
        </w:rPr>
      </w:pPr>
      <w:r>
        <w:rPr>
          <w:rFonts w:hint="eastAsia" w:hAnsi="宋体" w:cs="宋体"/>
          <w:color w:val="auto"/>
          <w:highlight w:val="none"/>
        </w:rPr>
        <w:t>30.7.1采购人或采购代理机构在收到质疑函后7个工作日内作出答复，并以书面形式通知质疑供应商和其他有关供应商。</w:t>
      </w:r>
    </w:p>
    <w:p w14:paraId="70C21E63">
      <w:pPr>
        <w:spacing w:line="360" w:lineRule="auto"/>
        <w:rPr>
          <w:rFonts w:hAnsi="宋体" w:cs="宋体"/>
          <w:b/>
          <w:color w:val="auto"/>
          <w:szCs w:val="24"/>
          <w:highlight w:val="none"/>
        </w:rPr>
      </w:pPr>
      <w:r>
        <w:rPr>
          <w:rFonts w:hint="eastAsia" w:hAnsi="宋体" w:cs="宋体"/>
          <w:b/>
          <w:color w:val="auto"/>
          <w:szCs w:val="24"/>
          <w:highlight w:val="none"/>
        </w:rPr>
        <w:t>31.其他</w:t>
      </w:r>
    </w:p>
    <w:p w14:paraId="382ECE4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2F65A79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198DDFB3">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383A450C">
      <w:pPr>
        <w:spacing w:line="360" w:lineRule="auto"/>
        <w:ind w:firstLine="480" w:firstLineChars="200"/>
        <w:rPr>
          <w:rFonts w:hAnsi="宋体" w:cs="宋体"/>
          <w:color w:val="auto"/>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72" w:name="_Toc363474023"/>
    </w:p>
    <w:p w14:paraId="5BAA4B70">
      <w:pPr>
        <w:pStyle w:val="2"/>
        <w:numPr>
          <w:ilvl w:val="0"/>
          <w:numId w:val="0"/>
        </w:numPr>
        <w:jc w:val="center"/>
        <w:rPr>
          <w:rFonts w:ascii="宋体" w:eastAsia="宋体" w:cs="宋体"/>
          <w:color w:val="auto"/>
          <w:highlight w:val="none"/>
        </w:rPr>
      </w:pPr>
      <w:bookmarkStart w:id="73" w:name="_Toc423973074"/>
      <w:bookmarkStart w:id="74" w:name="_Toc25783"/>
      <w:bookmarkStart w:id="75" w:name="_Toc403077645"/>
      <w:r>
        <w:rPr>
          <w:rFonts w:hint="eastAsia" w:ascii="宋体" w:eastAsia="宋体" w:cs="宋体"/>
          <w:bCs/>
          <w:color w:val="auto"/>
          <w:sz w:val="36"/>
          <w:szCs w:val="36"/>
          <w:highlight w:val="none"/>
        </w:rPr>
        <w:br w:type="page"/>
      </w:r>
      <w:bookmarkStart w:id="76" w:name="_Toc22973"/>
      <w:r>
        <w:rPr>
          <w:rFonts w:hint="eastAsia" w:ascii="宋体" w:eastAsia="宋体" w:cs="宋体"/>
          <w:bCs/>
          <w:color w:val="auto"/>
          <w:sz w:val="36"/>
          <w:szCs w:val="36"/>
          <w:highlight w:val="none"/>
          <w:lang w:val="en-US" w:eastAsia="zh-CN"/>
        </w:rPr>
        <w:t>第三章</w:t>
      </w:r>
      <w:r>
        <w:rPr>
          <w:rFonts w:hint="eastAsia" w:ascii="宋体" w:eastAsia="宋体" w:cs="宋体"/>
          <w:bCs/>
          <w:color w:val="auto"/>
          <w:sz w:val="36"/>
          <w:szCs w:val="36"/>
          <w:highlight w:val="none"/>
        </w:rPr>
        <w:t xml:space="preserve">  </w:t>
      </w:r>
      <w:bookmarkStart w:id="77" w:name="_Toc11536"/>
      <w:bookmarkStart w:id="78" w:name="_Toc9687"/>
      <w:r>
        <w:rPr>
          <w:rFonts w:hint="eastAsia" w:ascii="宋体" w:eastAsia="宋体" w:cs="宋体"/>
          <w:bCs/>
          <w:color w:val="auto"/>
          <w:sz w:val="36"/>
          <w:szCs w:val="36"/>
          <w:highlight w:val="none"/>
        </w:rPr>
        <w:t>评审方法</w:t>
      </w:r>
      <w:bookmarkEnd w:id="76"/>
      <w:bookmarkEnd w:id="77"/>
      <w:bookmarkEnd w:id="78"/>
    </w:p>
    <w:p w14:paraId="042F6F86">
      <w:pPr>
        <w:spacing w:line="360" w:lineRule="auto"/>
        <w:outlineLvl w:val="1"/>
        <w:rPr>
          <w:rFonts w:hAnsi="宋体" w:cs="宋体"/>
          <w:b/>
          <w:color w:val="auto"/>
          <w:szCs w:val="24"/>
          <w:highlight w:val="none"/>
        </w:rPr>
      </w:pPr>
      <w:bookmarkStart w:id="79" w:name="_Toc23762"/>
      <w:bookmarkStart w:id="80" w:name="_Toc28665"/>
      <w:bookmarkStart w:id="81" w:name="_Toc32051"/>
      <w:bookmarkStart w:id="82" w:name="_Toc7988"/>
      <w:bookmarkStart w:id="83" w:name="_Toc26649"/>
      <w:bookmarkStart w:id="84" w:name="_Toc23722"/>
      <w:r>
        <w:rPr>
          <w:rFonts w:hint="eastAsia" w:hAnsi="宋体" w:cs="宋体"/>
          <w:b/>
          <w:color w:val="auto"/>
          <w:szCs w:val="24"/>
          <w:highlight w:val="none"/>
        </w:rPr>
        <w:t>一、评审方法</w:t>
      </w:r>
      <w:bookmarkEnd w:id="79"/>
      <w:bookmarkEnd w:id="80"/>
      <w:bookmarkEnd w:id="81"/>
      <w:bookmarkEnd w:id="82"/>
      <w:bookmarkEnd w:id="83"/>
      <w:bookmarkEnd w:id="84"/>
    </w:p>
    <w:p w14:paraId="6DEE2848">
      <w:pPr>
        <w:spacing w:line="500" w:lineRule="exact"/>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412B7F28">
      <w:pPr>
        <w:spacing w:line="500" w:lineRule="exact"/>
        <w:outlineLvl w:val="1"/>
        <w:rPr>
          <w:rFonts w:hAnsi="宋体" w:cs="宋体"/>
          <w:b/>
          <w:color w:val="auto"/>
          <w:spacing w:val="4"/>
          <w:szCs w:val="24"/>
          <w:highlight w:val="none"/>
        </w:rPr>
      </w:pPr>
      <w:bookmarkStart w:id="85" w:name="_Toc20625"/>
      <w:bookmarkStart w:id="86" w:name="_Toc27615"/>
      <w:bookmarkStart w:id="87" w:name="_Toc20714"/>
      <w:bookmarkStart w:id="88" w:name="_Toc2374"/>
      <w:bookmarkStart w:id="89" w:name="_Toc23145"/>
      <w:bookmarkStart w:id="90" w:name="_Toc27029"/>
      <w:r>
        <w:rPr>
          <w:rFonts w:hint="eastAsia" w:hAnsi="宋体" w:cs="宋体"/>
          <w:b/>
          <w:color w:val="auto"/>
          <w:spacing w:val="4"/>
          <w:szCs w:val="24"/>
          <w:highlight w:val="none"/>
        </w:rPr>
        <w:t>二、评审程序</w:t>
      </w:r>
      <w:bookmarkEnd w:id="85"/>
      <w:bookmarkEnd w:id="86"/>
      <w:bookmarkEnd w:id="87"/>
      <w:bookmarkEnd w:id="88"/>
      <w:bookmarkEnd w:id="89"/>
      <w:bookmarkEnd w:id="90"/>
    </w:p>
    <w:p w14:paraId="4B83C766">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335B3017">
      <w:pPr>
        <w:numPr>
          <w:ilvl w:val="0"/>
          <w:numId w:val="0"/>
        </w:numPr>
        <w:spacing w:line="500" w:lineRule="exact"/>
        <w:ind w:firstLine="498" w:firstLineChars="200"/>
        <w:rPr>
          <w:rFonts w:hAnsi="宋体" w:cs="宋体"/>
          <w:b/>
          <w:bCs/>
          <w:color w:val="auto"/>
          <w:spacing w:val="4"/>
          <w:szCs w:val="24"/>
          <w:highlight w:val="none"/>
        </w:rPr>
      </w:pPr>
      <w:r>
        <w:rPr>
          <w:rFonts w:ascii="宋体" w:hAnsi="宋体" w:eastAsia="宋体" w:cs="宋体"/>
          <w:b/>
          <w:bCs/>
          <w:color w:val="auto"/>
          <w:spacing w:val="4"/>
          <w:sz w:val="24"/>
          <w:szCs w:val="24"/>
          <w:lang w:val="en-US" w:eastAsia="zh-CN" w:bidi="ar-SA"/>
        </w:rPr>
        <w:t>1、</w:t>
      </w:r>
      <w:r>
        <w:rPr>
          <w:rFonts w:hint="eastAsia" w:hAnsi="宋体" w:cs="宋体"/>
          <w:b/>
          <w:bCs/>
          <w:color w:val="auto"/>
          <w:spacing w:val="4"/>
          <w:szCs w:val="24"/>
          <w:highlight w:val="none"/>
        </w:rPr>
        <w:t>对磋商响应文件的初审：</w:t>
      </w:r>
    </w:p>
    <w:p w14:paraId="34900C18">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lang w:val="en-US" w:eastAsia="zh-CN"/>
        </w:rPr>
        <w:t>采购人及采购代理机构</w:t>
      </w:r>
      <w:r>
        <w:rPr>
          <w:rFonts w:hint="eastAsia" w:hAnsi="宋体" w:cs="宋体"/>
          <w:color w:val="auto"/>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0B5ECD96">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14:paraId="056E96AA">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3F9AC9E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65D2C738">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5BB72E0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43E4FE8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1.2.5 磋商保证金是否按竞争性磋商文件规定时间提交磋商保证金或担保机构出具的保函。</w:t>
      </w:r>
    </w:p>
    <w:p w14:paraId="76C05B8A">
      <w:pPr>
        <w:spacing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4E37E393">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2DE83FC">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1C5C904E">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他内容。实质性变动得内容，需经采购人代表确认。</w:t>
      </w:r>
    </w:p>
    <w:p w14:paraId="7C1E9E24">
      <w:pPr>
        <w:pStyle w:val="9"/>
        <w:ind w:firstLine="482"/>
        <w:rPr>
          <w:color w:val="auto"/>
          <w:kern w:val="0"/>
          <w:highlight w:val="none"/>
        </w:rPr>
      </w:pPr>
      <w:r>
        <w:rPr>
          <w:rFonts w:hint="eastAsia"/>
          <w:b/>
          <w:bCs/>
          <w:color w:val="auto"/>
          <w:highlight w:val="none"/>
        </w:rPr>
        <w:t>4、综合评审：</w:t>
      </w:r>
      <w:r>
        <w:rPr>
          <w:rFonts w:hint="eastAsia"/>
          <w:color w:val="auto"/>
          <w:kern w:val="0"/>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7E6B2F8E">
      <w:pPr>
        <w:spacing w:line="500" w:lineRule="exact"/>
        <w:jc w:val="left"/>
        <w:outlineLvl w:val="1"/>
        <w:rPr>
          <w:rFonts w:hAnsi="宋体" w:cs="宋体"/>
          <w:b/>
          <w:color w:val="auto"/>
          <w:szCs w:val="24"/>
          <w:highlight w:val="none"/>
        </w:rPr>
      </w:pPr>
      <w:bookmarkStart w:id="91" w:name="_Toc17111"/>
      <w:bookmarkStart w:id="92" w:name="_Toc19221"/>
      <w:bookmarkStart w:id="93" w:name="_Toc24776"/>
      <w:bookmarkStart w:id="94" w:name="_Toc4428"/>
      <w:bookmarkStart w:id="95" w:name="_Toc30804"/>
      <w:bookmarkStart w:id="96" w:name="_Toc7905"/>
      <w:r>
        <w:rPr>
          <w:rFonts w:hint="eastAsia" w:hAnsi="宋体" w:cs="宋体"/>
          <w:b/>
          <w:color w:val="auto"/>
          <w:szCs w:val="24"/>
          <w:highlight w:val="none"/>
        </w:rPr>
        <w:t>三、政策性扣减</w:t>
      </w:r>
      <w:bookmarkEnd w:id="91"/>
      <w:bookmarkEnd w:id="92"/>
      <w:bookmarkEnd w:id="93"/>
      <w:bookmarkEnd w:id="94"/>
      <w:bookmarkEnd w:id="95"/>
      <w:bookmarkEnd w:id="96"/>
    </w:p>
    <w:p w14:paraId="196A798A">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1政策性扣减范围</w:t>
      </w:r>
    </w:p>
    <w:p w14:paraId="27361CC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1.1供应商符合小型、微型企业或监狱企业、残疾人福利性单位条件的，其磋商报价价格评审时将按相应比例进行扣减。</w:t>
      </w:r>
    </w:p>
    <w:p w14:paraId="3A1320AF">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1.2依照《政府采购促进中小企业发展管理办法》（财库〔2020〕46号）的规定，小型、微型企业应当同时符合以下条件：</w:t>
      </w:r>
    </w:p>
    <w:p w14:paraId="2BCC328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69E1AD6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1.2.2提供本企业制造的货物、承担的工程或者服务，或者提供其他中小企业制造的货物，不包括提供或使用大型企业注册商标的货物。</w:t>
      </w:r>
    </w:p>
    <w:p w14:paraId="6A0A97A6">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1.2.3小型、微型企业提供中型企业制造的货物的，视同为中型企业；小型、微型、中型企业提供大型企业制造的货物的，视同为大型企业。</w:t>
      </w:r>
    </w:p>
    <w:p w14:paraId="109B8C1F">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795F3FB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0B92A744">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13791F7B">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35A78BAD">
      <w:pPr>
        <w:spacing w:line="500" w:lineRule="exact"/>
        <w:ind w:firstLine="600" w:firstLineChars="250"/>
        <w:rPr>
          <w:rFonts w:hAnsi="宋体" w:cs="宋体"/>
          <w:color w:val="auto"/>
          <w:szCs w:val="24"/>
          <w:highlight w:val="none"/>
        </w:rPr>
      </w:pPr>
      <w:r>
        <w:rPr>
          <w:rFonts w:hint="eastAsia" w:hAnsi="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57699BEA">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2、政策性扣减方式：</w:t>
      </w:r>
    </w:p>
    <w:p w14:paraId="32FAAC3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2.1供应商为非联合体参与磋商的情况：</w:t>
      </w:r>
    </w:p>
    <w:p w14:paraId="32A3213B">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2.1.1在磋商最终报价的基础上，小型企业或达到小型企业划分标准的监狱企业（或残疾人福利性单位），按“磋商最终报价×10%”进行扣减；</w:t>
      </w:r>
    </w:p>
    <w:p w14:paraId="399E5C5F">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2.2供应商为联合体参与磋商且联合协议中约定小型或微型企业的协议合同金额占到联合体协议合同总金额30％以上的情况：</w:t>
      </w:r>
    </w:p>
    <w:p w14:paraId="386FD25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2.2.1在磋商最终报价的基础上，与小型企业或达到小型企业划分标准的监狱企业（或残疾人福利性单位）联合的，按“磋商最终报价×2%”进行扣减；</w:t>
      </w:r>
    </w:p>
    <w:p w14:paraId="0A2021A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2.2.2在磋商最终报价的基础上，与微型企业或达到微型企业划分标准的监狱企业（或残疾人福利性单位）联合的，按“磋商最终报价×3%”进行扣减。</w:t>
      </w:r>
    </w:p>
    <w:p w14:paraId="3249C322">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14:paraId="1A171EE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2.3供应商享受支持中小型企业发展政策优惠的，可以同时享受节能、环境标志产品优先采购政策。</w:t>
      </w:r>
    </w:p>
    <w:p w14:paraId="78CC056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2.3.1单个合同项为单一产品的，所投产品为节能、环境标志产品的在磋商最终报价的基础上，按“磋商最终报价×6%”进行扣减；</w:t>
      </w:r>
    </w:p>
    <w:p w14:paraId="5B7535C2">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169CD99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3、成交价格=成交供应商的有效磋商报价。</w:t>
      </w:r>
    </w:p>
    <w:p w14:paraId="2073F699">
      <w:pPr>
        <w:spacing w:line="360" w:lineRule="auto"/>
        <w:ind w:firstLine="498" w:firstLineChars="200"/>
        <w:jc w:val="center"/>
        <w:outlineLvl w:val="1"/>
        <w:rPr>
          <w:rFonts w:hAnsi="宋体" w:cs="宋体"/>
          <w:b/>
          <w:color w:val="auto"/>
          <w:szCs w:val="24"/>
          <w:highlight w:val="none"/>
        </w:rPr>
      </w:pPr>
      <w:r>
        <w:rPr>
          <w:rFonts w:hint="eastAsia" w:hAnsi="宋体" w:cs="宋体"/>
          <w:b/>
          <w:color w:val="auto"/>
          <w:spacing w:val="4"/>
          <w:szCs w:val="24"/>
          <w:highlight w:val="none"/>
        </w:rPr>
        <w:br w:type="page"/>
      </w:r>
      <w:bookmarkStart w:id="293" w:name="_GoBack"/>
      <w:bookmarkEnd w:id="293"/>
      <w:bookmarkStart w:id="97" w:name="_Toc13330"/>
      <w:bookmarkStart w:id="98" w:name="_Toc4223"/>
      <w:bookmarkStart w:id="99" w:name="_Toc25458"/>
      <w:bookmarkStart w:id="100" w:name="_Toc28532"/>
      <w:bookmarkStart w:id="101" w:name="_Toc23630"/>
      <w:bookmarkStart w:id="102" w:name="_Toc14745"/>
      <w:r>
        <w:rPr>
          <w:rFonts w:hint="eastAsia" w:hAnsi="宋体" w:cs="宋体"/>
          <w:b/>
          <w:color w:val="auto"/>
          <w:spacing w:val="4"/>
          <w:szCs w:val="24"/>
          <w:highlight w:val="none"/>
        </w:rPr>
        <w:t>四、</w:t>
      </w:r>
      <w:r>
        <w:rPr>
          <w:rFonts w:hint="eastAsia" w:hAnsi="宋体" w:cs="宋体"/>
          <w:b/>
          <w:color w:val="auto"/>
          <w:szCs w:val="24"/>
          <w:highlight w:val="none"/>
        </w:rPr>
        <w:t>评审要素和分值分解表</w:t>
      </w:r>
      <w:bookmarkEnd w:id="97"/>
      <w:bookmarkEnd w:id="98"/>
      <w:bookmarkEnd w:id="99"/>
      <w:bookmarkEnd w:id="100"/>
      <w:bookmarkEnd w:id="101"/>
      <w:bookmarkEnd w:id="102"/>
    </w:p>
    <w:p w14:paraId="1F5AFF72">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rPr>
        <w:t>评价和比较以磋商响应文件为依据，进行评审并按照百分制进行赋分。</w:t>
      </w:r>
    </w:p>
    <w:tbl>
      <w:tblPr>
        <w:tblStyle w:val="22"/>
        <w:tblpPr w:leftFromText="180" w:rightFromText="180" w:vertAnchor="text" w:horzAnchor="page" w:tblpXSpec="center" w:tblpY="86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6880"/>
        <w:gridCol w:w="870"/>
      </w:tblGrid>
      <w:tr w14:paraId="05CB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56" w:type="dxa"/>
            <w:noWrap w:val="0"/>
            <w:vAlign w:val="center"/>
          </w:tcPr>
          <w:p w14:paraId="5756594A">
            <w:pPr>
              <w:spacing w:line="360" w:lineRule="auto"/>
              <w:jc w:val="center"/>
              <w:rPr>
                <w:rFonts w:hint="eastAsia" w:hAnsi="宋体" w:cs="宋体"/>
                <w:color w:val="auto"/>
                <w:szCs w:val="24"/>
                <w:highlight w:val="none"/>
              </w:rPr>
            </w:pPr>
            <w:r>
              <w:rPr>
                <w:rFonts w:hint="eastAsia" w:hAnsi="宋体" w:cs="宋体"/>
                <w:color w:val="auto"/>
                <w:szCs w:val="24"/>
                <w:highlight w:val="none"/>
              </w:rPr>
              <w:t>评审内容</w:t>
            </w:r>
          </w:p>
        </w:tc>
        <w:tc>
          <w:tcPr>
            <w:tcW w:w="6880" w:type="dxa"/>
            <w:noWrap w:val="0"/>
            <w:vAlign w:val="center"/>
          </w:tcPr>
          <w:p w14:paraId="18C40626">
            <w:pPr>
              <w:spacing w:line="360" w:lineRule="auto"/>
              <w:ind w:firstLine="480" w:firstLineChars="200"/>
              <w:jc w:val="center"/>
              <w:rPr>
                <w:rFonts w:hint="eastAsia" w:hAnsi="宋体" w:cs="宋体"/>
                <w:color w:val="auto"/>
                <w:szCs w:val="24"/>
                <w:highlight w:val="none"/>
              </w:rPr>
            </w:pPr>
            <w:r>
              <w:rPr>
                <w:rFonts w:hint="eastAsia" w:hAnsi="宋体" w:cs="宋体"/>
                <w:color w:val="auto"/>
                <w:szCs w:val="24"/>
                <w:highlight w:val="none"/>
              </w:rPr>
              <w:t>评审原则与标准</w:t>
            </w:r>
          </w:p>
        </w:tc>
        <w:tc>
          <w:tcPr>
            <w:tcW w:w="870" w:type="dxa"/>
            <w:noWrap w:val="0"/>
            <w:vAlign w:val="center"/>
          </w:tcPr>
          <w:p w14:paraId="148F7D9A">
            <w:pPr>
              <w:spacing w:line="360" w:lineRule="auto"/>
              <w:jc w:val="center"/>
              <w:rPr>
                <w:rFonts w:hint="eastAsia" w:hAnsi="宋体" w:cs="宋体"/>
                <w:color w:val="auto"/>
                <w:szCs w:val="24"/>
                <w:highlight w:val="none"/>
              </w:rPr>
            </w:pPr>
            <w:r>
              <w:rPr>
                <w:rFonts w:hint="eastAsia" w:hAnsi="宋体" w:cs="宋体"/>
                <w:color w:val="auto"/>
                <w:szCs w:val="24"/>
                <w:highlight w:val="none"/>
              </w:rPr>
              <w:t>分值</w:t>
            </w:r>
          </w:p>
        </w:tc>
      </w:tr>
      <w:tr w14:paraId="65FE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56" w:type="dxa"/>
            <w:noWrap w:val="0"/>
            <w:vAlign w:val="center"/>
          </w:tcPr>
          <w:p w14:paraId="4A980532">
            <w:pPr>
              <w:spacing w:line="360" w:lineRule="auto"/>
              <w:jc w:val="center"/>
              <w:rPr>
                <w:rFonts w:hint="eastAsia" w:hAnsi="宋体" w:cs="宋体"/>
                <w:color w:val="auto"/>
                <w:szCs w:val="22"/>
                <w:highlight w:val="none"/>
              </w:rPr>
            </w:pPr>
            <w:r>
              <w:rPr>
                <w:rFonts w:hint="eastAsia" w:hAnsi="宋体" w:cs="宋体"/>
                <w:color w:val="auto"/>
                <w:szCs w:val="22"/>
                <w:highlight w:val="none"/>
              </w:rPr>
              <w:t>价格评审</w:t>
            </w:r>
          </w:p>
          <w:p w14:paraId="26ACAD65">
            <w:pPr>
              <w:spacing w:line="360" w:lineRule="auto"/>
              <w:jc w:val="center"/>
              <w:rPr>
                <w:rFonts w:hint="eastAsia" w:hAnsi="宋体" w:cs="宋体"/>
                <w:color w:val="auto"/>
                <w:szCs w:val="22"/>
                <w:highlight w:val="none"/>
              </w:rPr>
            </w:pPr>
            <w:r>
              <w:rPr>
                <w:rFonts w:hint="eastAsia" w:hAnsi="宋体" w:cs="宋体"/>
                <w:color w:val="auto"/>
                <w:szCs w:val="22"/>
                <w:highlight w:val="none"/>
              </w:rPr>
              <w:t>（</w:t>
            </w:r>
            <w:r>
              <w:rPr>
                <w:rFonts w:hint="eastAsia" w:hAnsi="宋体" w:cs="宋体"/>
                <w:color w:val="auto"/>
                <w:szCs w:val="22"/>
                <w:highlight w:val="none"/>
                <w:lang w:val="en-US" w:eastAsia="zh-CN"/>
              </w:rPr>
              <w:t>20</w:t>
            </w:r>
            <w:r>
              <w:rPr>
                <w:rFonts w:hint="eastAsia" w:hAnsi="宋体" w:cs="宋体"/>
                <w:color w:val="auto"/>
                <w:szCs w:val="22"/>
                <w:highlight w:val="none"/>
              </w:rPr>
              <w:t>分）</w:t>
            </w:r>
          </w:p>
        </w:tc>
        <w:tc>
          <w:tcPr>
            <w:tcW w:w="6880" w:type="dxa"/>
            <w:noWrap w:val="0"/>
            <w:vAlign w:val="center"/>
          </w:tcPr>
          <w:p w14:paraId="6E7CAD7C">
            <w:pPr>
              <w:rPr>
                <w:rFonts w:hint="eastAsia" w:hAnsi="宋体" w:cs="宋体"/>
                <w:color w:val="auto"/>
                <w:szCs w:val="24"/>
                <w:highlight w:val="none"/>
              </w:rPr>
            </w:pPr>
            <w:r>
              <w:rPr>
                <w:rFonts w:hint="eastAsia" w:hAnsi="宋体" w:cs="宋体"/>
                <w:color w:val="auto"/>
                <w:szCs w:val="24"/>
                <w:highlight w:val="none"/>
              </w:rPr>
              <w:t>满足磋商文件商务及技术要求且最后报价最低的供应商的价格为磋商基准价，其价格分为满分。</w:t>
            </w:r>
          </w:p>
          <w:p w14:paraId="36B7B8D3">
            <w:pPr>
              <w:rPr>
                <w:rFonts w:hint="eastAsia" w:hAnsi="宋体" w:cs="宋体"/>
                <w:color w:val="auto"/>
                <w:szCs w:val="24"/>
                <w:highlight w:val="none"/>
              </w:rPr>
            </w:pPr>
            <w:r>
              <w:rPr>
                <w:rFonts w:hint="eastAsia" w:hAnsi="宋体" w:cs="宋体"/>
                <w:color w:val="auto"/>
                <w:szCs w:val="24"/>
                <w:highlight w:val="none"/>
              </w:rPr>
              <w:t>报价得分=（磋商基准价/最后磋商报价）*价格分值</w:t>
            </w:r>
          </w:p>
        </w:tc>
        <w:tc>
          <w:tcPr>
            <w:tcW w:w="870" w:type="dxa"/>
            <w:noWrap w:val="0"/>
            <w:vAlign w:val="center"/>
          </w:tcPr>
          <w:p w14:paraId="683921EA">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20分</w:t>
            </w:r>
          </w:p>
        </w:tc>
      </w:tr>
      <w:tr w14:paraId="3579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9" w:hRule="atLeast"/>
          <w:jc w:val="center"/>
        </w:trPr>
        <w:tc>
          <w:tcPr>
            <w:tcW w:w="1656" w:type="dxa"/>
            <w:noWrap w:val="0"/>
            <w:vAlign w:val="center"/>
          </w:tcPr>
          <w:p w14:paraId="41C7D059">
            <w:pPr>
              <w:pStyle w:val="33"/>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总体服务方案</w:t>
            </w:r>
          </w:p>
        </w:tc>
        <w:tc>
          <w:tcPr>
            <w:tcW w:w="6880" w:type="dxa"/>
            <w:noWrap w:val="0"/>
            <w:vAlign w:val="center"/>
          </w:tcPr>
          <w:p w14:paraId="233EA810">
            <w:pPr>
              <w:numPr>
                <w:ilvl w:val="0"/>
                <w:numId w:val="0"/>
              </w:numPr>
              <w:ind w:left="0" w:leftChars="0"/>
              <w:jc w:val="left"/>
              <w:rPr>
                <w:rFonts w:hint="default" w:ascii="宋体" w:hAnsi="宋体" w:eastAsia="宋体" w:cs="宋体"/>
                <w:color w:val="auto"/>
                <w:highlight w:val="none"/>
                <w:lang w:val="en-US" w:eastAsia="zh-CN"/>
              </w:rPr>
            </w:pPr>
            <w:r>
              <w:rPr>
                <w:rFonts w:hint="eastAsia" w:ascii="宋体" w:hAnsi="宋体" w:eastAsia="宋体" w:cs="宋体"/>
                <w:b/>
                <w:bCs/>
                <w:color w:val="auto"/>
                <w:sz w:val="24"/>
                <w:lang w:val="en-US" w:eastAsia="zh-CN" w:bidi="ar-SA"/>
              </w:rPr>
              <w:t>一、</w:t>
            </w:r>
            <w:r>
              <w:rPr>
                <w:rFonts w:hint="default" w:ascii="宋体" w:hAnsi="宋体" w:eastAsia="宋体" w:cs="宋体"/>
                <w:b/>
                <w:bCs/>
                <w:color w:val="auto"/>
                <w:highlight w:val="none"/>
                <w:lang w:val="en-US" w:eastAsia="zh-CN"/>
              </w:rPr>
              <w:t>评审内容：</w:t>
            </w:r>
          </w:p>
          <w:p w14:paraId="5A926F61">
            <w:pPr>
              <w:numPr>
                <w:ilvl w:val="0"/>
                <w:numId w:val="0"/>
              </w:numPr>
              <w:ind w:left="0" w:leftChars="0"/>
              <w:jc w:val="left"/>
              <w:rPr>
                <w:rFonts w:hint="eastAsia" w:hAnsi="宋体" w:cs="宋体"/>
                <w:color w:val="auto"/>
                <w:highlight w:val="none"/>
                <w:lang w:val="en-US" w:eastAsia="zh-CN"/>
              </w:rPr>
            </w:pPr>
            <w:r>
              <w:rPr>
                <w:rFonts w:hint="default" w:ascii="宋体" w:hAnsi="宋体" w:eastAsia="宋体" w:cs="宋体"/>
                <w:color w:val="auto"/>
                <w:highlight w:val="none"/>
                <w:lang w:val="en-US" w:eastAsia="zh-CN"/>
              </w:rPr>
              <w:t>针对本项目提出适用于本项目的服务方案，包括：①考点</w:t>
            </w:r>
            <w:r>
              <w:rPr>
                <w:rFonts w:hint="eastAsia" w:hAnsi="宋体" w:cs="宋体"/>
                <w:color w:val="auto"/>
                <w:highlight w:val="none"/>
                <w:lang w:val="en-US" w:eastAsia="zh-CN"/>
              </w:rPr>
              <w:t>服务方案</w:t>
            </w:r>
            <w:r>
              <w:rPr>
                <w:rFonts w:hint="default" w:ascii="宋体" w:hAnsi="宋体" w:eastAsia="宋体" w:cs="宋体"/>
                <w:color w:val="auto"/>
                <w:highlight w:val="none"/>
                <w:lang w:val="en-US" w:eastAsia="zh-CN"/>
              </w:rPr>
              <w:t>②考</w:t>
            </w:r>
            <w:r>
              <w:rPr>
                <w:rFonts w:hint="eastAsia" w:hAnsi="宋体" w:cs="宋体"/>
                <w:color w:val="auto"/>
                <w:highlight w:val="none"/>
                <w:lang w:val="en-US" w:eastAsia="zh-CN"/>
              </w:rPr>
              <w:t>场服务方案</w:t>
            </w:r>
            <w:r>
              <w:rPr>
                <w:rFonts w:hint="default" w:ascii="宋体" w:hAnsi="宋体" w:eastAsia="宋体" w:cs="宋体"/>
                <w:color w:val="auto"/>
                <w:highlight w:val="none"/>
                <w:lang w:val="en-US" w:eastAsia="zh-CN"/>
              </w:rPr>
              <w:t>③保密室</w:t>
            </w:r>
            <w:r>
              <w:rPr>
                <w:rFonts w:hint="eastAsia" w:hAnsi="宋体" w:cs="宋体"/>
                <w:color w:val="auto"/>
                <w:highlight w:val="none"/>
                <w:lang w:val="en-US" w:eastAsia="zh-CN"/>
              </w:rPr>
              <w:t>服务方案</w:t>
            </w:r>
            <w:r>
              <w:rPr>
                <w:rFonts w:hint="default" w:ascii="宋体" w:hAnsi="宋体" w:eastAsia="宋体" w:cs="宋体"/>
                <w:color w:val="auto"/>
                <w:highlight w:val="none"/>
                <w:lang w:val="en-US" w:eastAsia="zh-CN"/>
              </w:rPr>
              <w:t>④考务管理办公室</w:t>
            </w:r>
            <w:r>
              <w:rPr>
                <w:rFonts w:hint="eastAsia" w:hAnsi="宋体" w:cs="宋体"/>
                <w:color w:val="auto"/>
                <w:highlight w:val="none"/>
                <w:lang w:val="en-US" w:eastAsia="zh-CN"/>
              </w:rPr>
              <w:t>服务方案</w:t>
            </w:r>
          </w:p>
          <w:p w14:paraId="1514CFDE">
            <w:pPr>
              <w:numPr>
                <w:ilvl w:val="0"/>
                <w:numId w:val="0"/>
              </w:numPr>
              <w:ind w:left="0" w:leftChars="0"/>
              <w:jc w:val="left"/>
              <w:rPr>
                <w:rFonts w:hint="default" w:ascii="宋体" w:hAnsi="宋体" w:eastAsia="宋体" w:cs="宋体"/>
                <w:b/>
                <w:bCs/>
                <w:color w:val="auto"/>
                <w:highlight w:val="none"/>
                <w:lang w:val="en-US" w:eastAsia="zh-CN"/>
              </w:rPr>
            </w:pPr>
            <w:r>
              <w:rPr>
                <w:rFonts w:hint="default" w:ascii="宋体" w:hAnsi="宋体" w:eastAsia="宋体" w:cs="宋体"/>
                <w:b/>
                <w:bCs/>
                <w:color w:val="auto"/>
                <w:highlight w:val="none"/>
                <w:lang w:val="en-US" w:eastAsia="zh-CN"/>
              </w:rPr>
              <w:t>二、评审标准：</w:t>
            </w:r>
          </w:p>
          <w:p w14:paraId="71F49FFA">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1、完整性：方案必须全面，对评审内容中的各项要求有详细描述；</w:t>
            </w:r>
          </w:p>
          <w:p w14:paraId="74644B88">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2、可实施性：切合本项目实际情况，提出步骤清晰、合理的方案；</w:t>
            </w:r>
          </w:p>
          <w:p w14:paraId="16F55CF2">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3、针对性：方案能够紧扣项目实际情况，内容科学合理。</w:t>
            </w:r>
          </w:p>
          <w:p w14:paraId="1FE7B800">
            <w:pPr>
              <w:numPr>
                <w:ilvl w:val="0"/>
                <w:numId w:val="0"/>
              </w:numPr>
              <w:ind w:left="0" w:leftChars="0"/>
              <w:jc w:val="left"/>
              <w:rPr>
                <w:rFonts w:hint="default" w:ascii="宋体" w:hAnsi="宋体" w:eastAsia="宋体" w:cs="宋体"/>
                <w:b/>
                <w:bCs/>
                <w:color w:val="auto"/>
                <w:highlight w:val="none"/>
                <w:lang w:val="en-US" w:eastAsia="zh-CN"/>
              </w:rPr>
            </w:pPr>
            <w:r>
              <w:rPr>
                <w:rFonts w:hint="default" w:ascii="宋体" w:hAnsi="宋体" w:eastAsia="宋体" w:cs="宋体"/>
                <w:b/>
                <w:bCs/>
                <w:color w:val="auto"/>
                <w:highlight w:val="none"/>
                <w:lang w:val="en-US" w:eastAsia="zh-CN"/>
              </w:rPr>
              <w:t>三、赋分标准（满分</w:t>
            </w:r>
            <w:r>
              <w:rPr>
                <w:rFonts w:hint="eastAsia" w:hAnsi="宋体" w:cs="宋体"/>
                <w:b/>
                <w:bCs/>
                <w:color w:val="auto"/>
                <w:highlight w:val="none"/>
                <w:lang w:val="en-US" w:eastAsia="zh-CN"/>
              </w:rPr>
              <w:t>12</w:t>
            </w:r>
            <w:r>
              <w:rPr>
                <w:rFonts w:hint="default" w:ascii="宋体" w:hAnsi="宋体" w:eastAsia="宋体" w:cs="宋体"/>
                <w:b/>
                <w:bCs/>
                <w:color w:val="auto"/>
                <w:highlight w:val="none"/>
                <w:lang w:val="en-US" w:eastAsia="zh-CN"/>
              </w:rPr>
              <w:t>分）</w:t>
            </w:r>
          </w:p>
          <w:p w14:paraId="7A46356C">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①考点</w:t>
            </w:r>
            <w:r>
              <w:rPr>
                <w:rFonts w:hint="eastAsia" w:hAnsi="宋体" w:cs="宋体"/>
                <w:color w:val="auto"/>
                <w:highlight w:val="none"/>
                <w:lang w:val="en-US" w:eastAsia="zh-CN"/>
              </w:rPr>
              <w:t>服务方案</w:t>
            </w:r>
            <w:r>
              <w:rPr>
                <w:rFonts w:hint="default" w:ascii="宋体" w:hAnsi="宋体" w:eastAsia="宋体" w:cs="宋体"/>
                <w:color w:val="auto"/>
                <w:highlight w:val="none"/>
                <w:lang w:val="en-US" w:eastAsia="zh-CN"/>
              </w:rPr>
              <w:t xml:space="preserve">：每完全满足一个评审标准得 </w:t>
            </w:r>
            <w:r>
              <w:rPr>
                <w:rFonts w:hint="eastAsia" w:hAnsi="宋体" w:cs="宋体"/>
                <w:color w:val="auto"/>
                <w:highlight w:val="none"/>
                <w:lang w:val="en-US" w:eastAsia="zh-CN"/>
              </w:rPr>
              <w:t>1</w:t>
            </w:r>
            <w:r>
              <w:rPr>
                <w:rFonts w:hint="default" w:ascii="宋体" w:hAnsi="宋体" w:eastAsia="宋体" w:cs="宋体"/>
                <w:color w:val="auto"/>
                <w:highlight w:val="none"/>
                <w:lang w:val="en-US" w:eastAsia="zh-CN"/>
              </w:rPr>
              <w:t>分，</w:t>
            </w:r>
            <w:r>
              <w:rPr>
                <w:rFonts w:hint="eastAsia"/>
                <w:lang w:val="en-US" w:eastAsia="zh-CN"/>
              </w:rPr>
              <w:t>不完全满足一个评审标准得0-1分，</w:t>
            </w:r>
            <w:r>
              <w:rPr>
                <w:rFonts w:hint="default" w:ascii="宋体" w:hAnsi="宋体" w:eastAsia="宋体" w:cs="宋体"/>
                <w:color w:val="auto"/>
                <w:highlight w:val="none"/>
                <w:lang w:val="en-US" w:eastAsia="zh-CN"/>
              </w:rPr>
              <w:t>满分</w:t>
            </w:r>
            <w:r>
              <w:rPr>
                <w:rFonts w:hint="eastAsia" w:hAnsi="宋体" w:cs="宋体"/>
                <w:color w:val="auto"/>
                <w:highlight w:val="none"/>
                <w:lang w:val="en-US" w:eastAsia="zh-CN"/>
              </w:rPr>
              <w:t>3</w:t>
            </w:r>
            <w:r>
              <w:rPr>
                <w:rFonts w:hint="default" w:ascii="宋体" w:hAnsi="宋体" w:eastAsia="宋体" w:cs="宋体"/>
                <w:color w:val="auto"/>
                <w:highlight w:val="none"/>
                <w:lang w:val="en-US" w:eastAsia="zh-CN"/>
              </w:rPr>
              <w:t>分；</w:t>
            </w:r>
          </w:p>
          <w:p w14:paraId="39A4B296">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②考</w:t>
            </w:r>
            <w:r>
              <w:rPr>
                <w:rFonts w:hint="eastAsia" w:hAnsi="宋体" w:cs="宋体"/>
                <w:color w:val="auto"/>
                <w:highlight w:val="none"/>
                <w:lang w:val="en-US" w:eastAsia="zh-CN"/>
              </w:rPr>
              <w:t>场服务方案</w:t>
            </w:r>
            <w:r>
              <w:rPr>
                <w:rFonts w:hint="default" w:ascii="宋体" w:hAnsi="宋体" w:eastAsia="宋体" w:cs="宋体"/>
                <w:color w:val="auto"/>
                <w:highlight w:val="none"/>
                <w:lang w:val="en-US" w:eastAsia="zh-CN"/>
              </w:rPr>
              <w:t xml:space="preserve">：每完全满足一个评审标准得 </w:t>
            </w:r>
            <w:r>
              <w:rPr>
                <w:rFonts w:hint="eastAsia" w:hAnsi="宋体" w:cs="宋体"/>
                <w:color w:val="auto"/>
                <w:highlight w:val="none"/>
                <w:lang w:val="en-US" w:eastAsia="zh-CN"/>
              </w:rPr>
              <w:t>1</w:t>
            </w:r>
            <w:r>
              <w:rPr>
                <w:rFonts w:hint="default" w:ascii="宋体" w:hAnsi="宋体" w:eastAsia="宋体" w:cs="宋体"/>
                <w:color w:val="auto"/>
                <w:highlight w:val="none"/>
                <w:lang w:val="en-US" w:eastAsia="zh-CN"/>
              </w:rPr>
              <w:t>分，</w:t>
            </w:r>
            <w:r>
              <w:rPr>
                <w:rFonts w:hint="eastAsia"/>
                <w:lang w:val="en-US" w:eastAsia="zh-CN"/>
              </w:rPr>
              <w:t>不完全满足一个评审标准得0-1分，</w:t>
            </w:r>
            <w:r>
              <w:rPr>
                <w:rFonts w:hint="default" w:ascii="宋体" w:hAnsi="宋体" w:eastAsia="宋体" w:cs="宋体"/>
                <w:color w:val="auto"/>
                <w:highlight w:val="none"/>
                <w:lang w:val="en-US" w:eastAsia="zh-CN"/>
              </w:rPr>
              <w:t>满分</w:t>
            </w:r>
            <w:r>
              <w:rPr>
                <w:rFonts w:hint="eastAsia" w:hAnsi="宋体" w:cs="宋体"/>
                <w:color w:val="auto"/>
                <w:highlight w:val="none"/>
                <w:lang w:val="en-US" w:eastAsia="zh-CN"/>
              </w:rPr>
              <w:t>3</w:t>
            </w:r>
            <w:r>
              <w:rPr>
                <w:rFonts w:hint="default" w:ascii="宋体" w:hAnsi="宋体" w:eastAsia="宋体" w:cs="宋体"/>
                <w:color w:val="auto"/>
                <w:highlight w:val="none"/>
                <w:lang w:val="en-US" w:eastAsia="zh-CN"/>
              </w:rPr>
              <w:t>分；</w:t>
            </w:r>
          </w:p>
          <w:p w14:paraId="2EB0B254">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③保密室</w:t>
            </w:r>
            <w:r>
              <w:rPr>
                <w:rFonts w:hint="eastAsia" w:hAnsi="宋体" w:cs="宋体"/>
                <w:color w:val="auto"/>
                <w:highlight w:val="none"/>
                <w:lang w:val="en-US" w:eastAsia="zh-CN"/>
              </w:rPr>
              <w:t>服务方案</w:t>
            </w:r>
            <w:r>
              <w:rPr>
                <w:rFonts w:hint="default" w:ascii="宋体" w:hAnsi="宋体" w:eastAsia="宋体" w:cs="宋体"/>
                <w:color w:val="auto"/>
                <w:highlight w:val="none"/>
                <w:lang w:val="en-US" w:eastAsia="zh-CN"/>
              </w:rPr>
              <w:t xml:space="preserve">：每完全满足一个评审标准得 </w:t>
            </w:r>
            <w:r>
              <w:rPr>
                <w:rFonts w:hint="eastAsia" w:hAnsi="宋体" w:cs="宋体"/>
                <w:color w:val="auto"/>
                <w:highlight w:val="none"/>
                <w:lang w:val="en-US" w:eastAsia="zh-CN"/>
              </w:rPr>
              <w:t>1</w:t>
            </w:r>
            <w:r>
              <w:rPr>
                <w:rFonts w:hint="default" w:ascii="宋体" w:hAnsi="宋体" w:eastAsia="宋体" w:cs="宋体"/>
                <w:color w:val="auto"/>
                <w:highlight w:val="none"/>
                <w:lang w:val="en-US" w:eastAsia="zh-CN"/>
              </w:rPr>
              <w:t>分，</w:t>
            </w:r>
            <w:r>
              <w:rPr>
                <w:rFonts w:hint="eastAsia"/>
                <w:lang w:val="en-US" w:eastAsia="zh-CN"/>
              </w:rPr>
              <w:t>不完全满足一个评审标准得0-1分，</w:t>
            </w:r>
            <w:r>
              <w:rPr>
                <w:rFonts w:hint="default" w:ascii="宋体" w:hAnsi="宋体" w:eastAsia="宋体" w:cs="宋体"/>
                <w:color w:val="auto"/>
                <w:highlight w:val="none"/>
                <w:lang w:val="en-US" w:eastAsia="zh-CN"/>
              </w:rPr>
              <w:t>满分</w:t>
            </w:r>
            <w:r>
              <w:rPr>
                <w:rFonts w:hint="eastAsia" w:hAnsi="宋体" w:cs="宋体"/>
                <w:color w:val="auto"/>
                <w:highlight w:val="none"/>
                <w:lang w:val="en-US" w:eastAsia="zh-CN"/>
              </w:rPr>
              <w:t>3</w:t>
            </w:r>
            <w:r>
              <w:rPr>
                <w:rFonts w:hint="default" w:ascii="宋体" w:hAnsi="宋体" w:eastAsia="宋体" w:cs="宋体"/>
                <w:color w:val="auto"/>
                <w:highlight w:val="none"/>
                <w:lang w:val="en-US" w:eastAsia="zh-CN"/>
              </w:rPr>
              <w:t>分；</w:t>
            </w:r>
          </w:p>
          <w:p w14:paraId="1B3E52A2">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④考务管理办公室</w:t>
            </w:r>
            <w:r>
              <w:rPr>
                <w:rFonts w:hint="eastAsia" w:hAnsi="宋体" w:cs="宋体"/>
                <w:color w:val="auto"/>
                <w:highlight w:val="none"/>
                <w:lang w:val="en-US" w:eastAsia="zh-CN"/>
              </w:rPr>
              <w:t>服务方案</w:t>
            </w:r>
            <w:r>
              <w:rPr>
                <w:rFonts w:hint="default" w:ascii="宋体" w:hAnsi="宋体" w:eastAsia="宋体" w:cs="宋体"/>
                <w:color w:val="auto"/>
                <w:highlight w:val="none"/>
                <w:lang w:val="en-US" w:eastAsia="zh-CN"/>
              </w:rPr>
              <w:t xml:space="preserve">：每完全满足一个评审标准得 </w:t>
            </w:r>
            <w:r>
              <w:rPr>
                <w:rFonts w:hint="eastAsia" w:hAnsi="宋体" w:cs="宋体"/>
                <w:color w:val="auto"/>
                <w:highlight w:val="none"/>
                <w:lang w:val="en-US" w:eastAsia="zh-CN"/>
              </w:rPr>
              <w:t>1</w:t>
            </w:r>
            <w:r>
              <w:rPr>
                <w:rFonts w:hint="default" w:ascii="宋体" w:hAnsi="宋体" w:eastAsia="宋体" w:cs="宋体"/>
                <w:color w:val="auto"/>
                <w:highlight w:val="none"/>
                <w:lang w:val="en-US" w:eastAsia="zh-CN"/>
              </w:rPr>
              <w:t>分，</w:t>
            </w:r>
            <w:r>
              <w:rPr>
                <w:rFonts w:hint="eastAsia"/>
                <w:lang w:val="en-US" w:eastAsia="zh-CN"/>
              </w:rPr>
              <w:t>不完全满足一个评审标准得0-1分，</w:t>
            </w:r>
            <w:r>
              <w:rPr>
                <w:rFonts w:hint="default" w:ascii="宋体" w:hAnsi="宋体" w:eastAsia="宋体" w:cs="宋体"/>
                <w:color w:val="auto"/>
                <w:highlight w:val="none"/>
                <w:lang w:val="en-US" w:eastAsia="zh-CN"/>
              </w:rPr>
              <w:t>满分</w:t>
            </w:r>
            <w:r>
              <w:rPr>
                <w:rFonts w:hint="eastAsia" w:hAnsi="宋体" w:cs="宋体"/>
                <w:color w:val="auto"/>
                <w:highlight w:val="none"/>
                <w:lang w:val="en-US" w:eastAsia="zh-CN"/>
              </w:rPr>
              <w:t>3</w:t>
            </w:r>
            <w:r>
              <w:rPr>
                <w:rFonts w:hint="default" w:ascii="宋体" w:hAnsi="宋体" w:eastAsia="宋体" w:cs="宋体"/>
                <w:color w:val="auto"/>
                <w:highlight w:val="none"/>
                <w:lang w:val="en-US" w:eastAsia="zh-CN"/>
              </w:rPr>
              <w:t>分。</w:t>
            </w:r>
          </w:p>
        </w:tc>
        <w:tc>
          <w:tcPr>
            <w:tcW w:w="870" w:type="dxa"/>
            <w:noWrap w:val="0"/>
            <w:vAlign w:val="center"/>
          </w:tcPr>
          <w:p w14:paraId="25AB1D64">
            <w:pPr>
              <w:spacing w:line="360" w:lineRule="auto"/>
              <w:jc w:val="center"/>
              <w:rPr>
                <w:rFonts w:hAnsi="宋体" w:cs="宋体"/>
                <w:color w:val="auto"/>
                <w:szCs w:val="24"/>
                <w:highlight w:val="none"/>
              </w:rPr>
            </w:pPr>
            <w:r>
              <w:rPr>
                <w:rFonts w:hint="eastAsia" w:hAnsi="宋体" w:cs="宋体"/>
                <w:color w:val="auto"/>
                <w:szCs w:val="24"/>
                <w:highlight w:val="none"/>
                <w:lang w:val="en-US" w:eastAsia="zh-CN"/>
              </w:rPr>
              <w:t>12</w:t>
            </w:r>
            <w:r>
              <w:rPr>
                <w:rFonts w:hint="eastAsia" w:hAnsi="宋体" w:cs="宋体"/>
                <w:color w:val="auto"/>
                <w:szCs w:val="24"/>
                <w:highlight w:val="none"/>
              </w:rPr>
              <w:t>分</w:t>
            </w:r>
          </w:p>
        </w:tc>
      </w:tr>
      <w:tr w14:paraId="1217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6" w:type="dxa"/>
            <w:noWrap w:val="0"/>
            <w:vAlign w:val="center"/>
          </w:tcPr>
          <w:p w14:paraId="20D62AD7">
            <w:pPr>
              <w:pStyle w:val="33"/>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考点地理位置</w:t>
            </w:r>
          </w:p>
        </w:tc>
        <w:tc>
          <w:tcPr>
            <w:tcW w:w="6880" w:type="dxa"/>
            <w:noWrap w:val="0"/>
            <w:vAlign w:val="center"/>
          </w:tcPr>
          <w:p w14:paraId="4B835DB9">
            <w:pPr>
              <w:numPr>
                <w:ilvl w:val="0"/>
                <w:numId w:val="0"/>
              </w:numPr>
              <w:ind w:left="0" w:leftChars="0"/>
              <w:jc w:val="left"/>
              <w:rPr>
                <w:rFonts w:hint="eastAsia" w:hAnsi="宋体" w:cs="宋体"/>
                <w:color w:val="auto"/>
                <w:highlight w:val="none"/>
                <w:lang w:val="en-US" w:eastAsia="zh-CN"/>
              </w:rPr>
            </w:pPr>
            <w:r>
              <w:rPr>
                <w:rFonts w:hint="eastAsia" w:hAnsi="宋体" w:cs="宋体"/>
                <w:color w:val="auto"/>
                <w:highlight w:val="none"/>
                <w:lang w:val="en-US" w:eastAsia="zh-CN"/>
              </w:rPr>
              <w:t>1、考生入口处1公里内有地铁站得3分，两公里内有地铁站得1.5分，超过两公里不得分，满分3分。</w:t>
            </w:r>
          </w:p>
          <w:p w14:paraId="14C24674">
            <w:pPr>
              <w:numPr>
                <w:ilvl w:val="0"/>
                <w:numId w:val="0"/>
              </w:numPr>
              <w:ind w:left="0" w:leftChars="0"/>
              <w:jc w:val="left"/>
              <w:rPr>
                <w:rFonts w:hint="default" w:hAnsi="宋体" w:cs="宋体"/>
                <w:color w:val="auto"/>
                <w:highlight w:val="none"/>
                <w:lang w:val="en-US" w:eastAsia="zh-CN"/>
              </w:rPr>
            </w:pPr>
            <w:r>
              <w:rPr>
                <w:rFonts w:hint="eastAsia" w:hAnsi="宋体" w:cs="宋体"/>
                <w:b/>
                <w:bCs/>
                <w:color w:val="auto"/>
                <w:highlight w:val="none"/>
                <w:lang w:val="en-US" w:eastAsia="zh-CN"/>
              </w:rPr>
              <w:t>备注：提供查询截图等证明资料</w:t>
            </w:r>
          </w:p>
        </w:tc>
        <w:tc>
          <w:tcPr>
            <w:tcW w:w="870" w:type="dxa"/>
            <w:noWrap w:val="0"/>
            <w:vAlign w:val="center"/>
          </w:tcPr>
          <w:p w14:paraId="223A6897">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3分</w:t>
            </w:r>
          </w:p>
        </w:tc>
      </w:tr>
      <w:tr w14:paraId="5010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6" w:type="dxa"/>
            <w:noWrap w:val="0"/>
            <w:vAlign w:val="center"/>
          </w:tcPr>
          <w:p w14:paraId="7A20E0DE">
            <w:pPr>
              <w:pStyle w:val="3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考点</w:t>
            </w:r>
          </w:p>
        </w:tc>
        <w:tc>
          <w:tcPr>
            <w:tcW w:w="6880" w:type="dxa"/>
            <w:noWrap w:val="0"/>
            <w:vAlign w:val="center"/>
          </w:tcPr>
          <w:p w14:paraId="23816505">
            <w:pPr>
              <w:numPr>
                <w:ilvl w:val="0"/>
                <w:numId w:val="0"/>
              </w:numPr>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一、</w:t>
            </w:r>
            <w:r>
              <w:rPr>
                <w:rFonts w:hint="eastAsia" w:ascii="宋体" w:hAnsi="宋体" w:eastAsia="宋体" w:cs="宋体"/>
                <w:b/>
                <w:bCs/>
                <w:color w:val="auto"/>
                <w:sz w:val="24"/>
                <w:lang w:val="en-US" w:eastAsia="zh-CN" w:bidi="ar-SA"/>
              </w:rPr>
              <w:t>评审内容</w:t>
            </w:r>
            <w:r>
              <w:rPr>
                <w:rFonts w:hint="eastAsia" w:ascii="宋体" w:hAnsi="宋体" w:eastAsia="宋体" w:cs="宋体"/>
                <w:color w:val="auto"/>
                <w:sz w:val="24"/>
                <w:lang w:val="en-US" w:eastAsia="zh-CN" w:bidi="ar-SA"/>
              </w:rPr>
              <w:t>：</w:t>
            </w:r>
          </w:p>
          <w:p w14:paraId="15958626">
            <w:pPr>
              <w:numPr>
                <w:ilvl w:val="0"/>
                <w:numId w:val="0"/>
              </w:numPr>
              <w:ind w:left="0" w:leftChars="0"/>
              <w:jc w:val="left"/>
              <w:rPr>
                <w:rFonts w:hint="default" w:hAnsi="Times New Roman" w:cs="Times New Roman"/>
                <w:color w:val="auto"/>
                <w:highlight w:val="none"/>
                <w:lang w:val="en-US" w:eastAsia="zh-CN"/>
              </w:rPr>
            </w:pPr>
            <w:r>
              <w:rPr>
                <w:rFonts w:hint="eastAsia" w:ascii="宋体" w:hAnsi="宋体" w:eastAsia="宋体" w:cs="宋体"/>
                <w:color w:val="auto"/>
                <w:sz w:val="24"/>
                <w:lang w:val="en-US" w:eastAsia="zh-CN" w:bidi="ar-SA"/>
              </w:rPr>
              <w:t>针对本项目提出适用于本项目的项目管理措施，包括：①</w:t>
            </w:r>
            <w:r>
              <w:rPr>
                <w:rFonts w:hint="eastAsia" w:hAnsi="宋体" w:cs="宋体"/>
                <w:color w:val="auto"/>
                <w:sz w:val="24"/>
                <w:lang w:val="en-US" w:eastAsia="zh-CN" w:bidi="ar-SA"/>
              </w:rPr>
              <w:t>考点</w:t>
            </w:r>
            <w:r>
              <w:rPr>
                <w:rFonts w:hint="eastAsia" w:hAnsi="宋体" w:cs="宋体"/>
                <w:color w:val="auto"/>
                <w:highlight w:val="none"/>
                <w:lang w:val="en-US" w:eastAsia="zh-CN"/>
              </w:rPr>
              <w:t>公共设施配备</w:t>
            </w:r>
            <w:r>
              <w:rPr>
                <w:rFonts w:hint="eastAsia" w:ascii="宋体" w:hAnsi="宋体" w:eastAsia="宋体" w:cs="宋体"/>
                <w:color w:val="auto"/>
                <w:sz w:val="24"/>
                <w:lang w:val="en-US" w:eastAsia="zh-CN" w:bidi="ar-SA"/>
              </w:rPr>
              <w:t>②</w:t>
            </w:r>
            <w:r>
              <w:rPr>
                <w:rFonts w:hint="eastAsia" w:hAnsi="宋体" w:cs="宋体"/>
                <w:color w:val="auto"/>
                <w:highlight w:val="none"/>
                <w:lang w:val="en-US" w:eastAsia="zh-CN"/>
              </w:rPr>
              <w:t>考点封闭管理方案及措施</w:t>
            </w:r>
          </w:p>
          <w:p w14:paraId="06B49739">
            <w:pPr>
              <w:numPr>
                <w:ilvl w:val="0"/>
                <w:numId w:val="0"/>
              </w:numPr>
              <w:jc w:val="left"/>
              <w:rPr>
                <w:rFonts w:hint="eastAsia" w:ascii="宋体" w:hAnsi="宋体" w:eastAsia="宋体" w:cs="宋体"/>
                <w:b/>
                <w:bCs/>
                <w:color w:val="auto"/>
                <w:sz w:val="24"/>
                <w:lang w:val="en-US" w:eastAsia="zh-CN" w:bidi="ar-SA"/>
              </w:rPr>
            </w:pPr>
            <w:r>
              <w:rPr>
                <w:rFonts w:hint="eastAsia" w:ascii="宋体" w:hAnsi="宋体" w:eastAsia="宋体" w:cs="宋体"/>
                <w:b/>
                <w:bCs/>
                <w:color w:val="auto"/>
                <w:sz w:val="24"/>
                <w:lang w:val="en-US" w:eastAsia="zh-CN" w:bidi="ar-SA"/>
              </w:rPr>
              <w:t>二、评审标准：</w:t>
            </w:r>
          </w:p>
          <w:p w14:paraId="4B9143BB">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1、完整性：方案必须全面，对评审内容中的各项要求有详细描述；</w:t>
            </w:r>
          </w:p>
          <w:p w14:paraId="57D74A83">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2、可实施性：切合本项目实际情况，提出步骤清晰、合理的方案；</w:t>
            </w:r>
          </w:p>
          <w:p w14:paraId="4876AE46">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3、针对性：方案能够紧扣项目实际情况，内容科学合理。</w:t>
            </w:r>
          </w:p>
          <w:p w14:paraId="5D1664FB">
            <w:pPr>
              <w:numPr>
                <w:ilvl w:val="0"/>
                <w:numId w:val="0"/>
              </w:numPr>
              <w:ind w:left="0" w:leftChars="0"/>
              <w:jc w:val="left"/>
              <w:rPr>
                <w:rFonts w:hint="eastAsia" w:ascii="宋体" w:hAnsi="宋体" w:eastAsia="宋体" w:cs="宋体"/>
                <w:b/>
                <w:bCs/>
                <w:color w:val="auto"/>
                <w:sz w:val="24"/>
                <w:lang w:val="en-US" w:eastAsia="zh-CN" w:bidi="ar-SA"/>
              </w:rPr>
            </w:pPr>
            <w:r>
              <w:rPr>
                <w:rFonts w:hint="eastAsia" w:ascii="宋体" w:hAnsi="宋体" w:eastAsia="宋体" w:cs="宋体"/>
                <w:b/>
                <w:bCs/>
                <w:color w:val="auto"/>
                <w:sz w:val="24"/>
                <w:lang w:val="en-US" w:eastAsia="zh-CN" w:bidi="ar-SA"/>
              </w:rPr>
              <w:t>三、赋分标准（满分1</w:t>
            </w:r>
            <w:r>
              <w:rPr>
                <w:rFonts w:hint="eastAsia" w:hAnsi="宋体" w:cs="宋体"/>
                <w:b/>
                <w:bCs/>
                <w:color w:val="auto"/>
                <w:sz w:val="24"/>
                <w:lang w:val="en-US" w:eastAsia="zh-CN" w:bidi="ar-SA"/>
              </w:rPr>
              <w:t>2</w:t>
            </w:r>
            <w:r>
              <w:rPr>
                <w:rFonts w:hint="eastAsia" w:ascii="宋体" w:hAnsi="宋体" w:eastAsia="宋体" w:cs="宋体"/>
                <w:b/>
                <w:bCs/>
                <w:color w:val="auto"/>
                <w:sz w:val="24"/>
                <w:lang w:val="en-US" w:eastAsia="zh-CN" w:bidi="ar-SA"/>
              </w:rPr>
              <w:t>分）</w:t>
            </w:r>
          </w:p>
          <w:p w14:paraId="7D53257D">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①</w:t>
            </w:r>
            <w:r>
              <w:rPr>
                <w:rFonts w:hint="eastAsia" w:hAnsi="宋体" w:cs="宋体"/>
                <w:color w:val="auto"/>
                <w:sz w:val="24"/>
                <w:lang w:val="en-US" w:eastAsia="zh-CN" w:bidi="ar-SA"/>
              </w:rPr>
              <w:t>考点</w:t>
            </w:r>
            <w:r>
              <w:rPr>
                <w:rFonts w:hint="eastAsia" w:hAnsi="宋体" w:cs="宋体"/>
                <w:color w:val="auto"/>
                <w:highlight w:val="none"/>
                <w:lang w:val="en-US" w:eastAsia="zh-CN"/>
              </w:rPr>
              <w:t>公共设施配备</w:t>
            </w:r>
            <w:r>
              <w:rPr>
                <w:rFonts w:hint="eastAsia" w:ascii="宋体" w:hAnsi="宋体" w:eastAsia="宋体" w:cs="宋体"/>
                <w:color w:val="auto"/>
                <w:sz w:val="24"/>
                <w:lang w:val="en-US" w:eastAsia="zh-CN" w:bidi="ar-SA"/>
              </w:rPr>
              <w:t>：每完全满足一个评审标准得</w:t>
            </w:r>
            <w:r>
              <w:rPr>
                <w:rFonts w:hint="eastAsia" w:hAnsi="宋体" w:cs="宋体"/>
                <w:color w:val="auto"/>
                <w:sz w:val="24"/>
                <w:lang w:val="en-US" w:eastAsia="zh-CN" w:bidi="ar-SA"/>
              </w:rPr>
              <w:t>2</w:t>
            </w:r>
            <w:r>
              <w:rPr>
                <w:rFonts w:hint="eastAsia" w:ascii="宋体" w:hAnsi="宋体" w:eastAsia="宋体" w:cs="宋体"/>
                <w:color w:val="auto"/>
                <w:sz w:val="24"/>
                <w:lang w:val="en-US" w:eastAsia="zh-CN" w:bidi="ar-SA"/>
              </w:rPr>
              <w:t>分，</w:t>
            </w:r>
            <w:r>
              <w:rPr>
                <w:rFonts w:hint="eastAsia"/>
                <w:lang w:val="en-US" w:eastAsia="zh-CN"/>
              </w:rPr>
              <w:t>不完全满足一个评审标准得0-2分，</w:t>
            </w:r>
            <w:r>
              <w:rPr>
                <w:rFonts w:hint="eastAsia" w:ascii="宋体" w:hAnsi="宋体" w:eastAsia="宋体" w:cs="宋体"/>
                <w:color w:val="auto"/>
                <w:sz w:val="24"/>
                <w:lang w:val="en-US" w:eastAsia="zh-CN" w:bidi="ar-SA"/>
              </w:rPr>
              <w:t>满分</w:t>
            </w:r>
            <w:r>
              <w:rPr>
                <w:rFonts w:hint="eastAsia" w:hAnsi="宋体" w:cs="宋体"/>
                <w:color w:val="auto"/>
                <w:sz w:val="24"/>
                <w:lang w:val="en-US" w:eastAsia="zh-CN" w:bidi="ar-SA"/>
              </w:rPr>
              <w:t>6</w:t>
            </w:r>
            <w:r>
              <w:rPr>
                <w:rFonts w:hint="eastAsia" w:ascii="宋体" w:hAnsi="宋体" w:eastAsia="宋体" w:cs="宋体"/>
                <w:color w:val="auto"/>
                <w:sz w:val="24"/>
                <w:lang w:val="en-US" w:eastAsia="zh-CN" w:bidi="ar-SA"/>
              </w:rPr>
              <w:t>分；</w:t>
            </w:r>
          </w:p>
          <w:p w14:paraId="1AC476BA">
            <w:pPr>
              <w:numPr>
                <w:ilvl w:val="0"/>
                <w:numId w:val="0"/>
              </w:numPr>
              <w:ind w:left="0" w:leftChars="0"/>
              <w:jc w:val="left"/>
              <w:rPr>
                <w:rFonts w:hint="default" w:hAnsi="宋体" w:cs="宋体"/>
                <w:color w:val="auto"/>
                <w:highlight w:val="none"/>
                <w:lang w:val="en-US" w:eastAsia="zh-CN"/>
              </w:rPr>
            </w:pPr>
            <w:r>
              <w:rPr>
                <w:rFonts w:hint="eastAsia" w:ascii="宋体" w:hAnsi="宋体" w:eastAsia="宋体" w:cs="宋体"/>
                <w:color w:val="auto"/>
                <w:sz w:val="24"/>
                <w:lang w:val="en-US" w:eastAsia="zh-CN" w:bidi="ar-SA"/>
              </w:rPr>
              <w:t>②</w:t>
            </w:r>
            <w:r>
              <w:rPr>
                <w:rFonts w:hint="eastAsia" w:hAnsi="宋体" w:cs="宋体"/>
                <w:color w:val="auto"/>
                <w:highlight w:val="none"/>
                <w:lang w:val="en-US" w:eastAsia="zh-CN"/>
              </w:rPr>
              <w:t>考点封闭管理方案及措施</w:t>
            </w:r>
            <w:r>
              <w:rPr>
                <w:rFonts w:hint="eastAsia" w:ascii="宋体" w:hAnsi="宋体" w:eastAsia="宋体" w:cs="宋体"/>
                <w:color w:val="auto"/>
                <w:sz w:val="24"/>
                <w:lang w:val="en-US" w:eastAsia="zh-CN" w:bidi="ar-SA"/>
              </w:rPr>
              <w:t>：每完全满足一个评审标准得</w:t>
            </w:r>
            <w:r>
              <w:rPr>
                <w:rFonts w:hint="eastAsia" w:hAnsi="宋体" w:cs="宋体"/>
                <w:color w:val="auto"/>
                <w:sz w:val="24"/>
                <w:lang w:val="en-US" w:eastAsia="zh-CN" w:bidi="ar-SA"/>
              </w:rPr>
              <w:t>2</w:t>
            </w:r>
            <w:r>
              <w:rPr>
                <w:rFonts w:hint="eastAsia" w:ascii="宋体" w:hAnsi="宋体" w:eastAsia="宋体" w:cs="宋体"/>
                <w:color w:val="auto"/>
                <w:sz w:val="24"/>
                <w:lang w:val="en-US" w:eastAsia="zh-CN" w:bidi="ar-SA"/>
              </w:rPr>
              <w:t>分，</w:t>
            </w:r>
            <w:r>
              <w:rPr>
                <w:rFonts w:hint="eastAsia"/>
                <w:lang w:val="en-US" w:eastAsia="zh-CN"/>
              </w:rPr>
              <w:t>不完全满足一个评审标准得0-2分，</w:t>
            </w:r>
            <w:r>
              <w:rPr>
                <w:rFonts w:hint="eastAsia" w:ascii="宋体" w:hAnsi="宋体" w:eastAsia="宋体" w:cs="宋体"/>
                <w:color w:val="auto"/>
                <w:sz w:val="24"/>
                <w:lang w:val="en-US" w:eastAsia="zh-CN" w:bidi="ar-SA"/>
              </w:rPr>
              <w:t>满分</w:t>
            </w:r>
            <w:r>
              <w:rPr>
                <w:rFonts w:hint="eastAsia" w:hAnsi="宋体" w:cs="宋体"/>
                <w:color w:val="auto"/>
                <w:sz w:val="24"/>
                <w:lang w:val="en-US" w:eastAsia="zh-CN" w:bidi="ar-SA"/>
              </w:rPr>
              <w:t>6</w:t>
            </w:r>
            <w:r>
              <w:rPr>
                <w:rFonts w:hint="eastAsia" w:ascii="宋体" w:hAnsi="宋体" w:eastAsia="宋体" w:cs="宋体"/>
                <w:color w:val="auto"/>
                <w:sz w:val="24"/>
                <w:lang w:val="en-US" w:eastAsia="zh-CN" w:bidi="ar-SA"/>
              </w:rPr>
              <w:t>分；</w:t>
            </w:r>
          </w:p>
        </w:tc>
        <w:tc>
          <w:tcPr>
            <w:tcW w:w="870" w:type="dxa"/>
            <w:noWrap w:val="0"/>
            <w:vAlign w:val="center"/>
          </w:tcPr>
          <w:p w14:paraId="1BA4C8F3">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12分</w:t>
            </w:r>
          </w:p>
        </w:tc>
      </w:tr>
      <w:tr w14:paraId="4F6C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6" w:type="dxa"/>
            <w:noWrap w:val="0"/>
            <w:vAlign w:val="center"/>
          </w:tcPr>
          <w:p w14:paraId="7EE8688D">
            <w:pPr>
              <w:pStyle w:val="33"/>
              <w:jc w:val="center"/>
              <w:rPr>
                <w:rFonts w:hint="eastAsia" w:ascii="宋体" w:hAnsi="宋体" w:eastAsia="仿宋" w:cs="宋体"/>
                <w:color w:val="auto"/>
                <w:highlight w:val="none"/>
                <w:lang w:val="en-US" w:eastAsia="zh-CN"/>
              </w:rPr>
            </w:pPr>
            <w:r>
              <w:rPr>
                <w:rFonts w:hint="eastAsia" w:ascii="宋体" w:hAnsi="宋体" w:eastAsia="宋体" w:cs="宋体"/>
                <w:color w:val="auto"/>
                <w:highlight w:val="none"/>
                <w:lang w:val="en-US" w:eastAsia="zh-CN"/>
              </w:rPr>
              <w:t>考场及保密室</w:t>
            </w:r>
          </w:p>
        </w:tc>
        <w:tc>
          <w:tcPr>
            <w:tcW w:w="6880" w:type="dxa"/>
            <w:noWrap w:val="0"/>
            <w:vAlign w:val="center"/>
          </w:tcPr>
          <w:p w14:paraId="6B50664F">
            <w:pPr>
              <w:numPr>
                <w:ilvl w:val="0"/>
                <w:numId w:val="0"/>
              </w:numPr>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一、</w:t>
            </w:r>
            <w:r>
              <w:rPr>
                <w:rFonts w:hint="eastAsia" w:ascii="宋体" w:hAnsi="宋体" w:eastAsia="宋体" w:cs="宋体"/>
                <w:b/>
                <w:bCs/>
                <w:color w:val="auto"/>
                <w:sz w:val="24"/>
                <w:lang w:val="en-US" w:eastAsia="zh-CN" w:bidi="ar-SA"/>
              </w:rPr>
              <w:t>评审内容</w:t>
            </w:r>
            <w:r>
              <w:rPr>
                <w:rFonts w:hint="eastAsia" w:ascii="宋体" w:hAnsi="宋体" w:eastAsia="宋体" w:cs="宋体"/>
                <w:color w:val="auto"/>
                <w:sz w:val="24"/>
                <w:lang w:val="en-US" w:eastAsia="zh-CN" w:bidi="ar-SA"/>
              </w:rPr>
              <w:t>：</w:t>
            </w:r>
          </w:p>
          <w:p w14:paraId="111037A5">
            <w:pPr>
              <w:numPr>
                <w:ilvl w:val="0"/>
                <w:numId w:val="0"/>
              </w:numPr>
              <w:jc w:val="left"/>
              <w:rPr>
                <w:rFonts w:hint="default" w:hAnsi="宋体" w:cs="宋体"/>
                <w:color w:val="auto"/>
                <w:sz w:val="24"/>
                <w:lang w:val="en-US" w:eastAsia="zh-CN" w:bidi="ar-SA"/>
              </w:rPr>
            </w:pPr>
            <w:r>
              <w:rPr>
                <w:rFonts w:hint="eastAsia" w:ascii="宋体" w:hAnsi="宋体" w:eastAsia="宋体" w:cs="宋体"/>
                <w:color w:val="auto"/>
                <w:sz w:val="24"/>
                <w:lang w:val="en-US" w:eastAsia="zh-CN" w:bidi="ar-SA"/>
              </w:rPr>
              <w:t>针对本项目提出适用于本项目的项目管理措施，包括：①考场</w:t>
            </w:r>
            <w:r>
              <w:rPr>
                <w:rFonts w:hint="eastAsia" w:hAnsi="宋体" w:cs="宋体"/>
                <w:color w:val="auto"/>
                <w:sz w:val="24"/>
                <w:lang w:val="en-US" w:eastAsia="zh-CN" w:bidi="ar-SA"/>
              </w:rPr>
              <w:t>设施配备②影像资料存储方案③考务管理办公室设备配备④保密室设备配备方案</w:t>
            </w:r>
          </w:p>
          <w:p w14:paraId="0A665AC3">
            <w:pPr>
              <w:numPr>
                <w:ilvl w:val="0"/>
                <w:numId w:val="0"/>
              </w:numPr>
              <w:jc w:val="left"/>
              <w:rPr>
                <w:rFonts w:hint="eastAsia" w:ascii="宋体" w:hAnsi="宋体" w:eastAsia="宋体" w:cs="宋体"/>
                <w:b/>
                <w:bCs/>
                <w:color w:val="auto"/>
                <w:sz w:val="24"/>
                <w:lang w:val="en-US" w:eastAsia="zh-CN" w:bidi="ar-SA"/>
              </w:rPr>
            </w:pPr>
            <w:r>
              <w:rPr>
                <w:rFonts w:hint="eastAsia" w:ascii="宋体" w:hAnsi="宋体" w:eastAsia="宋体" w:cs="宋体"/>
                <w:b/>
                <w:bCs/>
                <w:color w:val="auto"/>
                <w:sz w:val="24"/>
                <w:lang w:val="en-US" w:eastAsia="zh-CN" w:bidi="ar-SA"/>
              </w:rPr>
              <w:t>二、评审标准：</w:t>
            </w:r>
          </w:p>
          <w:p w14:paraId="4CBEE4D4">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1、完整性：方案必须全面，对评审内容中的各项要求有详细描述；</w:t>
            </w:r>
          </w:p>
          <w:p w14:paraId="235DE33E">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2、可实施性：切合本项目实际情况，提出步骤清晰、合理的方案；</w:t>
            </w:r>
          </w:p>
          <w:p w14:paraId="6CC7C0D1">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3、针对性：方案能够紧扣项目实际情况，内容科学合理。</w:t>
            </w:r>
          </w:p>
          <w:p w14:paraId="458A42A3">
            <w:pPr>
              <w:numPr>
                <w:ilvl w:val="0"/>
                <w:numId w:val="0"/>
              </w:numPr>
              <w:ind w:left="0" w:leftChars="0"/>
              <w:jc w:val="left"/>
              <w:rPr>
                <w:rFonts w:hint="eastAsia" w:ascii="宋体" w:hAnsi="宋体" w:eastAsia="宋体" w:cs="宋体"/>
                <w:b/>
                <w:bCs/>
                <w:color w:val="auto"/>
                <w:sz w:val="24"/>
                <w:lang w:val="en-US" w:eastAsia="zh-CN" w:bidi="ar-SA"/>
              </w:rPr>
            </w:pPr>
            <w:r>
              <w:rPr>
                <w:rFonts w:hint="eastAsia" w:ascii="宋体" w:hAnsi="宋体" w:eastAsia="宋体" w:cs="宋体"/>
                <w:b/>
                <w:bCs/>
                <w:color w:val="auto"/>
                <w:sz w:val="24"/>
                <w:lang w:val="en-US" w:eastAsia="zh-CN" w:bidi="ar-SA"/>
              </w:rPr>
              <w:t>三、赋分标准（满分1</w:t>
            </w:r>
            <w:r>
              <w:rPr>
                <w:rFonts w:hint="eastAsia" w:hAnsi="宋体" w:cs="宋体"/>
                <w:b/>
                <w:bCs/>
                <w:color w:val="auto"/>
                <w:sz w:val="24"/>
                <w:lang w:val="en-US" w:eastAsia="zh-CN" w:bidi="ar-SA"/>
              </w:rPr>
              <w:t>8</w:t>
            </w:r>
            <w:r>
              <w:rPr>
                <w:rFonts w:hint="eastAsia" w:ascii="宋体" w:hAnsi="宋体" w:eastAsia="宋体" w:cs="宋体"/>
                <w:b/>
                <w:bCs/>
                <w:color w:val="auto"/>
                <w:sz w:val="24"/>
                <w:lang w:val="en-US" w:eastAsia="zh-CN" w:bidi="ar-SA"/>
              </w:rPr>
              <w:t>分）</w:t>
            </w:r>
          </w:p>
          <w:p w14:paraId="5DFC7AAC">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①考场</w:t>
            </w:r>
            <w:r>
              <w:rPr>
                <w:rFonts w:hint="eastAsia" w:hAnsi="宋体" w:cs="宋体"/>
                <w:color w:val="auto"/>
                <w:sz w:val="24"/>
                <w:lang w:val="en-US" w:eastAsia="zh-CN" w:bidi="ar-SA"/>
              </w:rPr>
              <w:t>设施配备</w:t>
            </w:r>
            <w:r>
              <w:rPr>
                <w:rFonts w:hint="eastAsia" w:ascii="宋体" w:hAnsi="宋体" w:eastAsia="宋体" w:cs="宋体"/>
                <w:color w:val="auto"/>
                <w:sz w:val="24"/>
                <w:lang w:val="en-US" w:eastAsia="zh-CN" w:bidi="ar-SA"/>
              </w:rPr>
              <w:t>：每完全满足一个评审标准得</w:t>
            </w:r>
            <w:r>
              <w:rPr>
                <w:rFonts w:hint="eastAsia" w:hAnsi="宋体" w:cs="宋体"/>
                <w:color w:val="auto"/>
                <w:sz w:val="24"/>
                <w:lang w:val="en-US" w:eastAsia="zh-CN" w:bidi="ar-SA"/>
              </w:rPr>
              <w:t>1.5</w:t>
            </w:r>
            <w:r>
              <w:rPr>
                <w:rFonts w:hint="eastAsia" w:ascii="宋体" w:hAnsi="宋体" w:eastAsia="宋体" w:cs="宋体"/>
                <w:color w:val="auto"/>
                <w:sz w:val="24"/>
                <w:lang w:val="en-US" w:eastAsia="zh-CN" w:bidi="ar-SA"/>
              </w:rPr>
              <w:t>分，</w:t>
            </w:r>
            <w:r>
              <w:rPr>
                <w:rFonts w:hint="eastAsia"/>
                <w:lang w:val="en-US" w:eastAsia="zh-CN"/>
              </w:rPr>
              <w:t>不完全满足一个评审标准得0-1.5分，</w:t>
            </w:r>
            <w:r>
              <w:rPr>
                <w:rFonts w:hint="eastAsia" w:ascii="宋体" w:hAnsi="宋体" w:eastAsia="宋体" w:cs="宋体"/>
                <w:color w:val="auto"/>
                <w:sz w:val="24"/>
                <w:lang w:val="en-US" w:eastAsia="zh-CN" w:bidi="ar-SA"/>
              </w:rPr>
              <w:t>满分</w:t>
            </w:r>
            <w:r>
              <w:rPr>
                <w:rFonts w:hint="eastAsia" w:hAnsi="宋体" w:cs="宋体"/>
                <w:color w:val="auto"/>
                <w:sz w:val="24"/>
                <w:lang w:val="en-US" w:eastAsia="zh-CN" w:bidi="ar-SA"/>
              </w:rPr>
              <w:t>4.5</w:t>
            </w:r>
            <w:r>
              <w:rPr>
                <w:rFonts w:hint="eastAsia" w:ascii="宋体" w:hAnsi="宋体" w:eastAsia="宋体" w:cs="宋体"/>
                <w:color w:val="auto"/>
                <w:sz w:val="24"/>
                <w:lang w:val="en-US" w:eastAsia="zh-CN" w:bidi="ar-SA"/>
              </w:rPr>
              <w:t>分；</w:t>
            </w:r>
          </w:p>
          <w:p w14:paraId="5E8A70E3">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②</w:t>
            </w:r>
            <w:r>
              <w:rPr>
                <w:rFonts w:hint="eastAsia" w:hAnsi="宋体" w:cs="宋体"/>
                <w:color w:val="auto"/>
                <w:sz w:val="24"/>
                <w:lang w:val="en-US" w:eastAsia="zh-CN" w:bidi="ar-SA"/>
              </w:rPr>
              <w:t>影像资料存储方案</w:t>
            </w:r>
            <w:r>
              <w:rPr>
                <w:rFonts w:hint="eastAsia" w:ascii="宋体" w:hAnsi="宋体" w:eastAsia="宋体" w:cs="宋体"/>
                <w:color w:val="auto"/>
                <w:sz w:val="24"/>
                <w:lang w:val="en-US" w:eastAsia="zh-CN" w:bidi="ar-SA"/>
              </w:rPr>
              <w:t>：每完全满足一个评审标准得</w:t>
            </w:r>
            <w:r>
              <w:rPr>
                <w:rFonts w:hint="eastAsia" w:hAnsi="宋体" w:cs="宋体"/>
                <w:color w:val="auto"/>
                <w:sz w:val="24"/>
                <w:lang w:val="en-US" w:eastAsia="zh-CN" w:bidi="ar-SA"/>
              </w:rPr>
              <w:t>1.5</w:t>
            </w:r>
            <w:r>
              <w:rPr>
                <w:rFonts w:hint="eastAsia" w:ascii="宋体" w:hAnsi="宋体" w:eastAsia="宋体" w:cs="宋体"/>
                <w:color w:val="auto"/>
                <w:sz w:val="24"/>
                <w:lang w:val="en-US" w:eastAsia="zh-CN" w:bidi="ar-SA"/>
              </w:rPr>
              <w:t>分，</w:t>
            </w:r>
            <w:r>
              <w:rPr>
                <w:rFonts w:hint="eastAsia"/>
                <w:lang w:val="en-US" w:eastAsia="zh-CN"/>
              </w:rPr>
              <w:t>不完全满足一个评审标准得0-1.5分，</w:t>
            </w:r>
            <w:r>
              <w:rPr>
                <w:rFonts w:hint="eastAsia" w:ascii="宋体" w:hAnsi="宋体" w:eastAsia="宋体" w:cs="宋体"/>
                <w:color w:val="auto"/>
                <w:sz w:val="24"/>
                <w:lang w:val="en-US" w:eastAsia="zh-CN" w:bidi="ar-SA"/>
              </w:rPr>
              <w:t>满分</w:t>
            </w:r>
            <w:r>
              <w:rPr>
                <w:rFonts w:hint="eastAsia" w:hAnsi="宋体" w:cs="宋体"/>
                <w:color w:val="auto"/>
                <w:sz w:val="24"/>
                <w:lang w:val="en-US" w:eastAsia="zh-CN" w:bidi="ar-SA"/>
              </w:rPr>
              <w:t>4.5</w:t>
            </w:r>
            <w:r>
              <w:rPr>
                <w:rFonts w:hint="eastAsia" w:ascii="宋体" w:hAnsi="宋体" w:eastAsia="宋体" w:cs="宋体"/>
                <w:color w:val="auto"/>
                <w:sz w:val="24"/>
                <w:lang w:val="en-US" w:eastAsia="zh-CN" w:bidi="ar-SA"/>
              </w:rPr>
              <w:t>分；</w:t>
            </w:r>
          </w:p>
          <w:p w14:paraId="074F1542">
            <w:pPr>
              <w:numPr>
                <w:ilvl w:val="0"/>
                <w:numId w:val="0"/>
              </w:numPr>
              <w:ind w:left="0" w:leftChars="0"/>
              <w:jc w:val="left"/>
              <w:rPr>
                <w:rFonts w:hint="eastAsia" w:ascii="宋体" w:hAnsi="宋体" w:eastAsia="宋体" w:cs="宋体"/>
                <w:color w:val="auto"/>
                <w:sz w:val="24"/>
                <w:lang w:val="en-US" w:eastAsia="zh-CN" w:bidi="ar-SA"/>
              </w:rPr>
            </w:pPr>
            <w:r>
              <w:rPr>
                <w:rFonts w:hint="eastAsia" w:hAnsi="宋体" w:cs="宋体"/>
                <w:color w:val="auto"/>
                <w:sz w:val="24"/>
                <w:lang w:val="en-US" w:eastAsia="zh-CN" w:bidi="ar-SA"/>
              </w:rPr>
              <w:t>③考务管理办公室设备配备</w:t>
            </w:r>
            <w:r>
              <w:rPr>
                <w:rFonts w:hint="eastAsia" w:ascii="宋体" w:hAnsi="宋体" w:eastAsia="宋体" w:cs="宋体"/>
                <w:color w:val="auto"/>
                <w:sz w:val="24"/>
                <w:lang w:val="en-US" w:eastAsia="zh-CN" w:bidi="ar-SA"/>
              </w:rPr>
              <w:t>：每完全满足一个评审标准得</w:t>
            </w:r>
            <w:r>
              <w:rPr>
                <w:rFonts w:hint="eastAsia" w:hAnsi="宋体" w:cs="宋体"/>
                <w:color w:val="auto"/>
                <w:sz w:val="24"/>
                <w:lang w:val="en-US" w:eastAsia="zh-CN" w:bidi="ar-SA"/>
              </w:rPr>
              <w:t>1.5</w:t>
            </w:r>
            <w:r>
              <w:rPr>
                <w:rFonts w:hint="eastAsia" w:ascii="宋体" w:hAnsi="宋体" w:eastAsia="宋体" w:cs="宋体"/>
                <w:color w:val="auto"/>
                <w:sz w:val="24"/>
                <w:lang w:val="en-US" w:eastAsia="zh-CN" w:bidi="ar-SA"/>
              </w:rPr>
              <w:t>分，</w:t>
            </w:r>
            <w:r>
              <w:rPr>
                <w:rFonts w:hint="eastAsia"/>
                <w:lang w:val="en-US" w:eastAsia="zh-CN"/>
              </w:rPr>
              <w:t>不完全满足一个评审标准得0-1.5分，</w:t>
            </w:r>
            <w:r>
              <w:rPr>
                <w:rFonts w:hint="eastAsia" w:ascii="宋体" w:hAnsi="宋体" w:eastAsia="宋体" w:cs="宋体"/>
                <w:color w:val="auto"/>
                <w:sz w:val="24"/>
                <w:lang w:val="en-US" w:eastAsia="zh-CN" w:bidi="ar-SA"/>
              </w:rPr>
              <w:t>满分</w:t>
            </w:r>
            <w:r>
              <w:rPr>
                <w:rFonts w:hint="eastAsia" w:hAnsi="宋体" w:cs="宋体"/>
                <w:color w:val="auto"/>
                <w:sz w:val="24"/>
                <w:lang w:val="en-US" w:eastAsia="zh-CN" w:bidi="ar-SA"/>
              </w:rPr>
              <w:t>4.5</w:t>
            </w:r>
            <w:r>
              <w:rPr>
                <w:rFonts w:hint="eastAsia" w:ascii="宋体" w:hAnsi="宋体" w:eastAsia="宋体" w:cs="宋体"/>
                <w:color w:val="auto"/>
                <w:sz w:val="24"/>
                <w:lang w:val="en-US" w:eastAsia="zh-CN" w:bidi="ar-SA"/>
              </w:rPr>
              <w:t>分；</w:t>
            </w:r>
          </w:p>
          <w:p w14:paraId="220AF4B2">
            <w:pPr>
              <w:numPr>
                <w:ilvl w:val="0"/>
                <w:numId w:val="0"/>
              </w:numPr>
              <w:jc w:val="left"/>
              <w:rPr>
                <w:rFonts w:hint="default" w:ascii="宋体" w:hAnsi="宋体" w:eastAsia="宋体" w:cs="宋体"/>
                <w:color w:val="auto"/>
                <w:sz w:val="24"/>
                <w:lang w:val="en-US" w:eastAsia="zh-CN" w:bidi="ar-SA"/>
              </w:rPr>
            </w:pPr>
            <w:r>
              <w:rPr>
                <w:rFonts w:hint="eastAsia" w:hAnsi="宋体" w:cs="宋体"/>
                <w:color w:val="auto"/>
                <w:sz w:val="24"/>
                <w:lang w:val="en-US" w:eastAsia="zh-CN" w:bidi="ar-SA"/>
              </w:rPr>
              <w:t>④保密室设备配备方案</w:t>
            </w:r>
            <w:r>
              <w:rPr>
                <w:rFonts w:hint="eastAsia" w:ascii="宋体" w:hAnsi="宋体" w:eastAsia="宋体" w:cs="宋体"/>
                <w:color w:val="auto"/>
                <w:sz w:val="24"/>
                <w:lang w:val="en-US" w:eastAsia="zh-CN" w:bidi="ar-SA"/>
              </w:rPr>
              <w:t>：每完全满足一个评审标准得</w:t>
            </w:r>
            <w:r>
              <w:rPr>
                <w:rFonts w:hint="eastAsia" w:hAnsi="宋体" w:cs="宋体"/>
                <w:color w:val="auto"/>
                <w:sz w:val="24"/>
                <w:lang w:val="en-US" w:eastAsia="zh-CN" w:bidi="ar-SA"/>
              </w:rPr>
              <w:t>1.5</w:t>
            </w:r>
            <w:r>
              <w:rPr>
                <w:rFonts w:hint="eastAsia" w:ascii="宋体" w:hAnsi="宋体" w:eastAsia="宋体" w:cs="宋体"/>
                <w:color w:val="auto"/>
                <w:sz w:val="24"/>
                <w:lang w:val="en-US" w:eastAsia="zh-CN" w:bidi="ar-SA"/>
              </w:rPr>
              <w:t>分，</w:t>
            </w:r>
            <w:r>
              <w:rPr>
                <w:rFonts w:hint="eastAsia"/>
                <w:lang w:val="en-US" w:eastAsia="zh-CN"/>
              </w:rPr>
              <w:t>不完全满足一个评审标准得0-1.5分，</w:t>
            </w:r>
            <w:r>
              <w:rPr>
                <w:rFonts w:hint="eastAsia" w:ascii="宋体" w:hAnsi="宋体" w:eastAsia="宋体" w:cs="宋体"/>
                <w:color w:val="auto"/>
                <w:sz w:val="24"/>
                <w:lang w:val="en-US" w:eastAsia="zh-CN" w:bidi="ar-SA"/>
              </w:rPr>
              <w:t>满分</w:t>
            </w:r>
            <w:r>
              <w:rPr>
                <w:rFonts w:hint="eastAsia" w:hAnsi="宋体" w:cs="宋体"/>
                <w:color w:val="auto"/>
                <w:sz w:val="24"/>
                <w:lang w:val="en-US" w:eastAsia="zh-CN" w:bidi="ar-SA"/>
              </w:rPr>
              <w:t>4.5</w:t>
            </w:r>
            <w:r>
              <w:rPr>
                <w:rFonts w:hint="eastAsia" w:ascii="宋体" w:hAnsi="宋体" w:eastAsia="宋体" w:cs="宋体"/>
                <w:color w:val="auto"/>
                <w:sz w:val="24"/>
                <w:lang w:val="en-US" w:eastAsia="zh-CN" w:bidi="ar-SA"/>
              </w:rPr>
              <w:t>分；</w:t>
            </w:r>
          </w:p>
        </w:tc>
        <w:tc>
          <w:tcPr>
            <w:tcW w:w="870" w:type="dxa"/>
            <w:noWrap w:val="0"/>
            <w:vAlign w:val="center"/>
          </w:tcPr>
          <w:p w14:paraId="7B628449">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18分</w:t>
            </w:r>
          </w:p>
        </w:tc>
      </w:tr>
      <w:tr w14:paraId="5A32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56" w:type="dxa"/>
            <w:noWrap w:val="0"/>
            <w:vAlign w:val="center"/>
          </w:tcPr>
          <w:p w14:paraId="7617F131">
            <w:pPr>
              <w:jc w:val="center"/>
              <w:rPr>
                <w:rFonts w:hint="default" w:hAnsi="宋体" w:eastAsia="宋体" w:cs="宋体"/>
                <w:color w:val="auto"/>
                <w:szCs w:val="24"/>
                <w:highlight w:val="none"/>
                <w:lang w:val="en-US" w:eastAsia="zh-CN"/>
              </w:rPr>
            </w:pPr>
            <w:r>
              <w:rPr>
                <w:rFonts w:hint="eastAsia" w:hAnsi="宋体" w:cs="宋体"/>
                <w:color w:val="auto"/>
                <w:sz w:val="24"/>
                <w:szCs w:val="24"/>
                <w:highlight w:val="none"/>
                <w:lang w:val="en-US" w:eastAsia="zh-CN"/>
              </w:rPr>
              <w:t>项目管理措施</w:t>
            </w:r>
          </w:p>
        </w:tc>
        <w:tc>
          <w:tcPr>
            <w:tcW w:w="6880" w:type="dxa"/>
            <w:noWrap w:val="0"/>
            <w:vAlign w:val="center"/>
          </w:tcPr>
          <w:p w14:paraId="05FFA969">
            <w:pPr>
              <w:numPr>
                <w:ilvl w:val="0"/>
                <w:numId w:val="0"/>
              </w:numPr>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一、</w:t>
            </w:r>
            <w:r>
              <w:rPr>
                <w:rFonts w:hint="eastAsia" w:ascii="宋体" w:hAnsi="宋体" w:eastAsia="宋体" w:cs="宋体"/>
                <w:b/>
                <w:bCs/>
                <w:color w:val="auto"/>
                <w:sz w:val="24"/>
                <w:lang w:val="en-US" w:eastAsia="zh-CN" w:bidi="ar-SA"/>
              </w:rPr>
              <w:t>评审内容</w:t>
            </w:r>
            <w:r>
              <w:rPr>
                <w:rFonts w:hint="eastAsia" w:ascii="宋体" w:hAnsi="宋体" w:eastAsia="宋体" w:cs="宋体"/>
                <w:color w:val="auto"/>
                <w:sz w:val="24"/>
                <w:lang w:val="en-US" w:eastAsia="zh-CN" w:bidi="ar-SA"/>
              </w:rPr>
              <w:t>：</w:t>
            </w:r>
          </w:p>
          <w:p w14:paraId="6BF96BD0">
            <w:pPr>
              <w:numPr>
                <w:ilvl w:val="0"/>
                <w:numId w:val="0"/>
              </w:numPr>
              <w:ind w:firstLine="480" w:firstLineChars="200"/>
              <w:jc w:val="left"/>
              <w:rPr>
                <w:rFonts w:hint="eastAsia" w:hAnsi="Times New Roman" w:cs="Times New Roman"/>
                <w:color w:val="auto"/>
                <w:highlight w:val="none"/>
                <w:lang w:val="en-US" w:eastAsia="zh-CN"/>
              </w:rPr>
            </w:pPr>
            <w:r>
              <w:rPr>
                <w:rFonts w:hint="eastAsia" w:ascii="宋体" w:hAnsi="宋体" w:eastAsia="宋体" w:cs="宋体"/>
                <w:color w:val="auto"/>
                <w:sz w:val="24"/>
                <w:lang w:val="en-US" w:eastAsia="zh-CN" w:bidi="ar-SA"/>
              </w:rPr>
              <w:t>针对本项目提出适用于本项目的项目管理措施，包括：①</w:t>
            </w:r>
            <w:r>
              <w:rPr>
                <w:rFonts w:hint="eastAsia" w:hAnsi="宋体" w:cs="宋体"/>
                <w:color w:val="auto"/>
                <w:sz w:val="24"/>
                <w:lang w:val="en-US" w:eastAsia="zh-CN" w:bidi="ar-SA"/>
              </w:rPr>
              <w:t>人员配备计划</w:t>
            </w:r>
            <w:r>
              <w:rPr>
                <w:rFonts w:hint="eastAsia" w:ascii="宋体" w:hAnsi="宋体" w:eastAsia="宋体" w:cs="宋体"/>
                <w:color w:val="auto"/>
                <w:sz w:val="24"/>
                <w:lang w:val="en-US" w:eastAsia="zh-CN" w:bidi="ar-SA"/>
              </w:rPr>
              <w:t>②各部门协调方案</w:t>
            </w:r>
          </w:p>
          <w:p w14:paraId="591CCA7F">
            <w:pPr>
              <w:numPr>
                <w:ilvl w:val="0"/>
                <w:numId w:val="0"/>
              </w:numPr>
              <w:jc w:val="left"/>
              <w:rPr>
                <w:rFonts w:hint="eastAsia" w:ascii="宋体" w:hAnsi="宋体" w:eastAsia="宋体" w:cs="宋体"/>
                <w:b/>
                <w:bCs/>
                <w:color w:val="auto"/>
                <w:sz w:val="24"/>
                <w:lang w:val="en-US" w:eastAsia="zh-CN" w:bidi="ar-SA"/>
              </w:rPr>
            </w:pPr>
            <w:r>
              <w:rPr>
                <w:rFonts w:hint="eastAsia" w:ascii="宋体" w:hAnsi="宋体" w:eastAsia="宋体" w:cs="宋体"/>
                <w:b/>
                <w:bCs/>
                <w:color w:val="auto"/>
                <w:sz w:val="24"/>
                <w:lang w:val="en-US" w:eastAsia="zh-CN" w:bidi="ar-SA"/>
              </w:rPr>
              <w:t>二、评审标准：</w:t>
            </w:r>
          </w:p>
          <w:p w14:paraId="307C9504">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1、完整性：方案必须全面，对评审内容中的各项要求有详细描述；</w:t>
            </w:r>
          </w:p>
          <w:p w14:paraId="7995E831">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2、可实施性：切合本项目实际情况，提出步骤清晰、合理的方案；</w:t>
            </w:r>
          </w:p>
          <w:p w14:paraId="1821EDDC">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3、针对性：方案能够紧扣项目实际情况，内容科学合理。</w:t>
            </w:r>
          </w:p>
          <w:p w14:paraId="5D13968E">
            <w:pPr>
              <w:numPr>
                <w:ilvl w:val="0"/>
                <w:numId w:val="0"/>
              </w:numPr>
              <w:ind w:left="0" w:leftChars="0"/>
              <w:jc w:val="left"/>
              <w:rPr>
                <w:rFonts w:hint="eastAsia" w:ascii="宋体" w:hAnsi="宋体" w:eastAsia="宋体" w:cs="宋体"/>
                <w:b/>
                <w:bCs/>
                <w:color w:val="auto"/>
                <w:sz w:val="24"/>
                <w:lang w:val="en-US" w:eastAsia="zh-CN" w:bidi="ar-SA"/>
              </w:rPr>
            </w:pPr>
            <w:r>
              <w:rPr>
                <w:rFonts w:hint="eastAsia" w:ascii="宋体" w:hAnsi="宋体" w:eastAsia="宋体" w:cs="宋体"/>
                <w:b/>
                <w:bCs/>
                <w:color w:val="auto"/>
                <w:sz w:val="24"/>
                <w:lang w:val="en-US" w:eastAsia="zh-CN" w:bidi="ar-SA"/>
              </w:rPr>
              <w:t>三、赋分标准（满分</w:t>
            </w:r>
            <w:r>
              <w:rPr>
                <w:rFonts w:hint="eastAsia" w:hAnsi="宋体" w:cs="宋体"/>
                <w:b/>
                <w:bCs/>
                <w:color w:val="auto"/>
                <w:sz w:val="24"/>
                <w:lang w:val="en-US" w:eastAsia="zh-CN" w:bidi="ar-SA"/>
              </w:rPr>
              <w:t>6</w:t>
            </w:r>
            <w:r>
              <w:rPr>
                <w:rFonts w:hint="eastAsia" w:ascii="宋体" w:hAnsi="宋体" w:eastAsia="宋体" w:cs="宋体"/>
                <w:b/>
                <w:bCs/>
                <w:color w:val="auto"/>
                <w:sz w:val="24"/>
                <w:lang w:val="en-US" w:eastAsia="zh-CN" w:bidi="ar-SA"/>
              </w:rPr>
              <w:t>分）</w:t>
            </w:r>
          </w:p>
          <w:p w14:paraId="6F377628">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①</w:t>
            </w:r>
            <w:r>
              <w:rPr>
                <w:rFonts w:hint="eastAsia" w:hAnsi="宋体" w:cs="宋体"/>
                <w:color w:val="auto"/>
                <w:sz w:val="24"/>
                <w:lang w:val="en-US" w:eastAsia="zh-CN" w:bidi="ar-SA"/>
              </w:rPr>
              <w:t>人员配备计划</w:t>
            </w:r>
            <w:r>
              <w:rPr>
                <w:rFonts w:hint="eastAsia" w:ascii="宋体" w:hAnsi="宋体" w:eastAsia="宋体" w:cs="宋体"/>
                <w:color w:val="auto"/>
                <w:sz w:val="24"/>
                <w:lang w:val="en-US" w:eastAsia="zh-CN" w:bidi="ar-SA"/>
              </w:rPr>
              <w:t>：每完全满足一个评审标准得</w:t>
            </w:r>
            <w:r>
              <w:rPr>
                <w:rFonts w:hint="eastAsia" w:hAnsi="宋体" w:cs="宋体"/>
                <w:color w:val="auto"/>
                <w:sz w:val="24"/>
                <w:lang w:val="en-US" w:eastAsia="zh-CN" w:bidi="ar-SA"/>
              </w:rPr>
              <w:t>1</w:t>
            </w:r>
            <w:r>
              <w:rPr>
                <w:rFonts w:hint="eastAsia" w:ascii="宋体" w:hAnsi="宋体" w:eastAsia="宋体" w:cs="宋体"/>
                <w:color w:val="auto"/>
                <w:sz w:val="24"/>
                <w:lang w:val="en-US" w:eastAsia="zh-CN" w:bidi="ar-SA"/>
              </w:rPr>
              <w:t>分，</w:t>
            </w:r>
            <w:r>
              <w:rPr>
                <w:rFonts w:hint="eastAsia"/>
                <w:lang w:val="en-US" w:eastAsia="zh-CN"/>
              </w:rPr>
              <w:t>不完全满足一个评审标准得0-1分，</w:t>
            </w:r>
            <w:r>
              <w:rPr>
                <w:rFonts w:hint="eastAsia" w:ascii="宋体" w:hAnsi="宋体" w:eastAsia="宋体" w:cs="宋体"/>
                <w:color w:val="auto"/>
                <w:sz w:val="24"/>
                <w:lang w:val="en-US" w:eastAsia="zh-CN" w:bidi="ar-SA"/>
              </w:rPr>
              <w:t>满分</w:t>
            </w:r>
            <w:r>
              <w:rPr>
                <w:rFonts w:hint="eastAsia" w:hAnsi="宋体" w:cs="宋体"/>
                <w:color w:val="auto"/>
                <w:sz w:val="24"/>
                <w:lang w:val="en-US" w:eastAsia="zh-CN" w:bidi="ar-SA"/>
              </w:rPr>
              <w:t>3</w:t>
            </w:r>
            <w:r>
              <w:rPr>
                <w:rFonts w:hint="eastAsia" w:ascii="宋体" w:hAnsi="宋体" w:eastAsia="宋体" w:cs="宋体"/>
                <w:color w:val="auto"/>
                <w:sz w:val="24"/>
                <w:lang w:val="en-US" w:eastAsia="zh-CN" w:bidi="ar-SA"/>
              </w:rPr>
              <w:t>分；</w:t>
            </w:r>
          </w:p>
          <w:p w14:paraId="6A81E0F1">
            <w:pPr>
              <w:numPr>
                <w:ilvl w:val="0"/>
                <w:numId w:val="0"/>
              </w:numPr>
              <w:ind w:left="0" w:leftChars="0"/>
              <w:jc w:val="left"/>
              <w:rPr>
                <w:rFonts w:hint="default"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②各部门协调方案：每完全满足一个评审标准得</w:t>
            </w:r>
            <w:r>
              <w:rPr>
                <w:rFonts w:hint="eastAsia" w:hAnsi="宋体" w:cs="宋体"/>
                <w:color w:val="auto"/>
                <w:sz w:val="24"/>
                <w:lang w:val="en-US" w:eastAsia="zh-CN" w:bidi="ar-SA"/>
              </w:rPr>
              <w:t>1</w:t>
            </w:r>
            <w:r>
              <w:rPr>
                <w:rFonts w:hint="eastAsia" w:ascii="宋体" w:hAnsi="宋体" w:eastAsia="宋体" w:cs="宋体"/>
                <w:color w:val="auto"/>
                <w:sz w:val="24"/>
                <w:lang w:val="en-US" w:eastAsia="zh-CN" w:bidi="ar-SA"/>
              </w:rPr>
              <w:t>分，</w:t>
            </w:r>
            <w:r>
              <w:rPr>
                <w:rFonts w:hint="eastAsia"/>
                <w:lang w:val="en-US" w:eastAsia="zh-CN"/>
              </w:rPr>
              <w:t>不完全满足一个评审标准得0-1分，</w:t>
            </w:r>
            <w:r>
              <w:rPr>
                <w:rFonts w:hint="eastAsia" w:ascii="宋体" w:hAnsi="宋体" w:eastAsia="宋体" w:cs="宋体"/>
                <w:color w:val="auto"/>
                <w:sz w:val="24"/>
                <w:lang w:val="en-US" w:eastAsia="zh-CN" w:bidi="ar-SA"/>
              </w:rPr>
              <w:t>满分</w:t>
            </w:r>
            <w:r>
              <w:rPr>
                <w:rFonts w:hint="eastAsia" w:hAnsi="宋体" w:cs="宋体"/>
                <w:color w:val="auto"/>
                <w:sz w:val="24"/>
                <w:lang w:val="en-US" w:eastAsia="zh-CN" w:bidi="ar-SA"/>
              </w:rPr>
              <w:t>3</w:t>
            </w:r>
            <w:r>
              <w:rPr>
                <w:rFonts w:hint="eastAsia" w:ascii="宋体" w:hAnsi="宋体" w:eastAsia="宋体" w:cs="宋体"/>
                <w:color w:val="auto"/>
                <w:sz w:val="24"/>
                <w:lang w:val="en-US" w:eastAsia="zh-CN" w:bidi="ar-SA"/>
              </w:rPr>
              <w:t>分；</w:t>
            </w:r>
          </w:p>
        </w:tc>
        <w:tc>
          <w:tcPr>
            <w:tcW w:w="870" w:type="dxa"/>
            <w:noWrap w:val="0"/>
            <w:vAlign w:val="center"/>
          </w:tcPr>
          <w:p w14:paraId="4676457F">
            <w:pPr>
              <w:spacing w:line="360" w:lineRule="auto"/>
              <w:jc w:val="center"/>
              <w:rPr>
                <w:rFonts w:hint="eastAsia" w:hAnsi="宋体" w:cs="宋体"/>
                <w:color w:val="auto"/>
                <w:szCs w:val="24"/>
                <w:highlight w:val="none"/>
              </w:rPr>
            </w:pPr>
            <w:r>
              <w:rPr>
                <w:rFonts w:hint="eastAsia" w:hAnsi="宋体" w:cs="宋体"/>
                <w:color w:val="auto"/>
                <w:szCs w:val="24"/>
                <w:highlight w:val="none"/>
                <w:lang w:val="en-US" w:eastAsia="zh-CN"/>
              </w:rPr>
              <w:t>6</w:t>
            </w:r>
            <w:r>
              <w:rPr>
                <w:rFonts w:hint="eastAsia" w:hAnsi="宋体" w:cs="宋体"/>
                <w:color w:val="auto"/>
                <w:szCs w:val="24"/>
                <w:highlight w:val="none"/>
              </w:rPr>
              <w:t>分</w:t>
            </w:r>
          </w:p>
        </w:tc>
      </w:tr>
      <w:tr w14:paraId="106E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6" w:hRule="atLeast"/>
          <w:jc w:val="center"/>
        </w:trPr>
        <w:tc>
          <w:tcPr>
            <w:tcW w:w="1656" w:type="dxa"/>
            <w:noWrap w:val="0"/>
            <w:vAlign w:val="center"/>
          </w:tcPr>
          <w:p w14:paraId="13B9E482">
            <w:pPr>
              <w:jc w:val="center"/>
              <w:rPr>
                <w:rFonts w:hint="default" w:hAnsi="宋体" w:cs="宋体"/>
                <w:color w:val="auto"/>
                <w:szCs w:val="24"/>
                <w:highlight w:val="none"/>
                <w:lang w:val="en-US" w:eastAsia="zh-CN"/>
              </w:rPr>
            </w:pPr>
            <w:r>
              <w:rPr>
                <w:rFonts w:hint="eastAsia" w:cs="Times New Roman"/>
                <w:color w:val="auto"/>
                <w:highlight w:val="none"/>
                <w:lang w:val="en-US" w:eastAsia="zh-CN"/>
              </w:rPr>
              <w:t>质量保证措施</w:t>
            </w:r>
          </w:p>
        </w:tc>
        <w:tc>
          <w:tcPr>
            <w:tcW w:w="6880" w:type="dxa"/>
            <w:noWrap w:val="0"/>
            <w:vAlign w:val="center"/>
          </w:tcPr>
          <w:p w14:paraId="323FCF2D">
            <w:pPr>
              <w:numPr>
                <w:ilvl w:val="0"/>
                <w:numId w:val="0"/>
              </w:numPr>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hAnsi="Times New Roman" w:cs="Times New Roman"/>
                <w:b/>
                <w:bCs/>
                <w:color w:val="auto"/>
                <w:highlight w:val="none"/>
                <w:lang w:val="en-US" w:eastAsia="zh-CN"/>
              </w:rPr>
              <w:t>评审内容：</w:t>
            </w:r>
          </w:p>
          <w:p w14:paraId="17B10A7B">
            <w:pPr>
              <w:numPr>
                <w:ilvl w:val="0"/>
                <w:numId w:val="0"/>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针对采购需求提出适用于本项目的管理措施方案，方案包括：①考场变动情况②</w:t>
            </w:r>
            <w:r>
              <w:rPr>
                <w:rFonts w:hint="eastAsia" w:cs="Times New Roman"/>
                <w:color w:val="auto"/>
                <w:highlight w:val="none"/>
                <w:lang w:val="en-US" w:eastAsia="zh-CN"/>
              </w:rPr>
              <w:t>安全保障</w:t>
            </w:r>
            <w:r>
              <w:rPr>
                <w:rFonts w:hint="eastAsia" w:hAnsi="Times New Roman" w:cs="Times New Roman"/>
                <w:color w:val="auto"/>
                <w:highlight w:val="none"/>
                <w:lang w:val="en-US" w:eastAsia="zh-CN"/>
              </w:rPr>
              <w:t>体系</w:t>
            </w:r>
          </w:p>
          <w:p w14:paraId="31C61E11">
            <w:pPr>
              <w:numPr>
                <w:ilvl w:val="0"/>
                <w:numId w:val="0"/>
              </w:numPr>
              <w:ind w:left="0" w:leftChars="0" w:firstLine="0" w:firstLineChars="0"/>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二、</w:t>
            </w:r>
            <w:r>
              <w:rPr>
                <w:rFonts w:hint="eastAsia" w:hAnsi="Times New Roman" w:cs="Times New Roman"/>
                <w:b/>
                <w:bCs/>
                <w:color w:val="auto"/>
                <w:highlight w:val="none"/>
                <w:lang w:val="en-US" w:eastAsia="zh-CN"/>
              </w:rPr>
              <w:t xml:space="preserve">评审标准： </w:t>
            </w:r>
          </w:p>
          <w:p w14:paraId="49059426">
            <w:pPr>
              <w:numPr>
                <w:ilvl w:val="0"/>
                <w:numId w:val="3"/>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完整性：方案必须全面，对评审内容中的各项要求有详细描述；</w:t>
            </w:r>
          </w:p>
          <w:p w14:paraId="17B3BF48">
            <w:pPr>
              <w:numPr>
                <w:ilvl w:val="0"/>
                <w:numId w:val="3"/>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可实施性：切合本项目实际情况，提出步骤清晰、合理的方案； </w:t>
            </w:r>
          </w:p>
          <w:p w14:paraId="72444A25">
            <w:pPr>
              <w:numPr>
                <w:ilvl w:val="0"/>
                <w:numId w:val="3"/>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针对性：方案能够紧扣项目实际情况，内容科学合理。 </w:t>
            </w:r>
          </w:p>
          <w:p w14:paraId="006C408C">
            <w:pPr>
              <w:numPr>
                <w:ilvl w:val="0"/>
                <w:numId w:val="0"/>
              </w:numPr>
              <w:ind w:left="0" w:leftChars="0" w:firstLine="0" w:firstLineChars="0"/>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三、</w:t>
            </w:r>
            <w:r>
              <w:rPr>
                <w:rFonts w:hint="eastAsia" w:hAnsi="Times New Roman" w:cs="Times New Roman"/>
                <w:b/>
                <w:bCs/>
                <w:color w:val="auto"/>
                <w:highlight w:val="none"/>
                <w:lang w:val="en-US" w:eastAsia="zh-CN"/>
              </w:rPr>
              <w:t>赋分标准（满分</w:t>
            </w:r>
            <w:r>
              <w:rPr>
                <w:rFonts w:hint="eastAsia" w:cs="Times New Roman"/>
                <w:b/>
                <w:bCs/>
                <w:color w:val="auto"/>
                <w:highlight w:val="none"/>
                <w:lang w:val="en-US" w:eastAsia="zh-CN"/>
              </w:rPr>
              <w:t>6</w:t>
            </w:r>
            <w:r>
              <w:rPr>
                <w:rFonts w:hint="eastAsia" w:hAnsi="Times New Roman" w:cs="Times New Roman"/>
                <w:b/>
                <w:bCs/>
                <w:color w:val="auto"/>
                <w:highlight w:val="none"/>
                <w:lang w:val="en-US" w:eastAsia="zh-CN"/>
              </w:rPr>
              <w:t>分）</w:t>
            </w:r>
          </w:p>
          <w:p w14:paraId="523F6C2E">
            <w:pPr>
              <w:numPr>
                <w:ilvl w:val="0"/>
                <w:numId w:val="0"/>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①质量保证措施：每完全满足一个评审标准得</w:t>
            </w:r>
            <w:r>
              <w:rPr>
                <w:rFonts w:hint="eastAsia" w:cs="Times New Roman"/>
                <w:color w:val="auto"/>
                <w:highlight w:val="none"/>
                <w:lang w:val="en-US" w:eastAsia="zh-CN"/>
              </w:rPr>
              <w:t>1</w:t>
            </w:r>
            <w:r>
              <w:rPr>
                <w:rFonts w:hint="eastAsia" w:hAnsi="Times New Roman" w:cs="Times New Roman"/>
                <w:color w:val="auto"/>
                <w:highlight w:val="none"/>
                <w:lang w:val="en-US" w:eastAsia="zh-CN"/>
              </w:rPr>
              <w:t>分，</w:t>
            </w:r>
            <w:r>
              <w:rPr>
                <w:rFonts w:hint="eastAsia"/>
                <w:lang w:val="en-US" w:eastAsia="zh-CN"/>
              </w:rPr>
              <w:t>不完全满足一个评审标准得0-1分，</w:t>
            </w:r>
            <w:r>
              <w:rPr>
                <w:rFonts w:hint="eastAsia" w:hAnsi="Times New Roman" w:cs="Times New Roman"/>
                <w:color w:val="auto"/>
                <w:highlight w:val="none"/>
                <w:lang w:val="en-US" w:eastAsia="zh-CN"/>
              </w:rPr>
              <w:t>满分</w:t>
            </w:r>
            <w:r>
              <w:rPr>
                <w:rFonts w:hint="eastAsia" w:cs="Times New Roman"/>
                <w:color w:val="auto"/>
                <w:highlight w:val="none"/>
                <w:lang w:val="en-US" w:eastAsia="zh-CN"/>
              </w:rPr>
              <w:t>3</w:t>
            </w:r>
            <w:r>
              <w:rPr>
                <w:rFonts w:hint="eastAsia" w:hAnsi="Times New Roman" w:cs="Times New Roman"/>
                <w:color w:val="auto"/>
                <w:highlight w:val="none"/>
                <w:lang w:val="en-US" w:eastAsia="zh-CN"/>
              </w:rPr>
              <w:t xml:space="preserve">分； </w:t>
            </w:r>
          </w:p>
          <w:p w14:paraId="151A22BD">
            <w:pPr>
              <w:numPr>
                <w:ilvl w:val="0"/>
                <w:numId w:val="0"/>
              </w:numPr>
              <w:ind w:leftChars="0"/>
              <w:jc w:val="left"/>
              <w:rPr>
                <w:rFonts w:hint="eastAsia" w:cs="Times New Roman"/>
                <w:color w:val="auto"/>
                <w:highlight w:val="none"/>
                <w:lang w:val="en-US" w:eastAsia="zh-CN"/>
              </w:rPr>
            </w:pPr>
            <w:r>
              <w:rPr>
                <w:rFonts w:hint="eastAsia" w:hAnsi="Times New Roman" w:cs="Times New Roman"/>
                <w:color w:val="auto"/>
                <w:highlight w:val="none"/>
                <w:lang w:val="en-US" w:eastAsia="zh-CN"/>
              </w:rPr>
              <w:t>②质量管理体系：每完全满足一个评审标准得</w:t>
            </w:r>
            <w:r>
              <w:rPr>
                <w:rFonts w:hint="eastAsia" w:cs="Times New Roman"/>
                <w:color w:val="auto"/>
                <w:highlight w:val="none"/>
                <w:lang w:val="en-US" w:eastAsia="zh-CN"/>
              </w:rPr>
              <w:t>1</w:t>
            </w:r>
            <w:r>
              <w:rPr>
                <w:rFonts w:hint="eastAsia" w:hAnsi="Times New Roman" w:cs="Times New Roman"/>
                <w:color w:val="auto"/>
                <w:highlight w:val="none"/>
                <w:lang w:val="en-US" w:eastAsia="zh-CN"/>
              </w:rPr>
              <w:t>分，</w:t>
            </w:r>
            <w:r>
              <w:rPr>
                <w:rFonts w:hint="eastAsia"/>
                <w:lang w:val="en-US" w:eastAsia="zh-CN"/>
              </w:rPr>
              <w:t>不完全满足一个评审标准得0-1分，</w:t>
            </w:r>
            <w:r>
              <w:rPr>
                <w:rFonts w:hint="eastAsia" w:hAnsi="Times New Roman" w:cs="Times New Roman"/>
                <w:color w:val="auto"/>
                <w:highlight w:val="none"/>
                <w:lang w:val="en-US" w:eastAsia="zh-CN"/>
              </w:rPr>
              <w:t>满分</w:t>
            </w:r>
            <w:r>
              <w:rPr>
                <w:rFonts w:hint="eastAsia" w:cs="Times New Roman"/>
                <w:color w:val="auto"/>
                <w:highlight w:val="none"/>
                <w:lang w:val="en-US" w:eastAsia="zh-CN"/>
              </w:rPr>
              <w:t>3</w:t>
            </w:r>
            <w:r>
              <w:rPr>
                <w:rFonts w:hint="eastAsia" w:hAnsi="Times New Roman" w:cs="Times New Roman"/>
                <w:color w:val="auto"/>
                <w:highlight w:val="none"/>
                <w:lang w:val="en-US" w:eastAsia="zh-CN"/>
              </w:rPr>
              <w:t xml:space="preserve">分； </w:t>
            </w:r>
          </w:p>
        </w:tc>
        <w:tc>
          <w:tcPr>
            <w:tcW w:w="870" w:type="dxa"/>
            <w:noWrap w:val="0"/>
            <w:vAlign w:val="center"/>
          </w:tcPr>
          <w:p w14:paraId="5CDA27F6">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6分</w:t>
            </w:r>
          </w:p>
        </w:tc>
      </w:tr>
      <w:tr w14:paraId="2692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6" w:type="dxa"/>
            <w:noWrap w:val="0"/>
            <w:vAlign w:val="center"/>
          </w:tcPr>
          <w:p w14:paraId="3E1C7900">
            <w:pPr>
              <w:jc w:val="center"/>
              <w:rPr>
                <w:rFonts w:hint="eastAsia" w:ascii="宋体" w:hAnsi="宋体" w:eastAsia="宋体" w:cs="宋体"/>
                <w:color w:val="auto"/>
                <w:sz w:val="24"/>
                <w:szCs w:val="24"/>
                <w:highlight w:val="none"/>
                <w:lang w:val="en-US" w:eastAsia="zh-CN"/>
              </w:rPr>
            </w:pPr>
            <w:r>
              <w:rPr>
                <w:rFonts w:hint="eastAsia" w:hAnsi="Times New Roman" w:cs="Times New Roman"/>
                <w:color w:val="auto"/>
                <w:highlight w:val="none"/>
                <w:lang w:val="en-US" w:eastAsia="zh-CN"/>
              </w:rPr>
              <w:t>应急安全管理</w:t>
            </w:r>
          </w:p>
        </w:tc>
        <w:tc>
          <w:tcPr>
            <w:tcW w:w="6880" w:type="dxa"/>
            <w:noWrap w:val="0"/>
            <w:vAlign w:val="center"/>
          </w:tcPr>
          <w:p w14:paraId="5F7E8173">
            <w:pPr>
              <w:numPr>
                <w:ilvl w:val="0"/>
                <w:numId w:val="0"/>
              </w:numPr>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hAnsi="Times New Roman" w:cs="Times New Roman"/>
                <w:b/>
                <w:bCs/>
                <w:color w:val="auto"/>
                <w:highlight w:val="none"/>
                <w:lang w:val="en-US" w:eastAsia="zh-CN"/>
              </w:rPr>
              <w:t>评审内容：</w:t>
            </w:r>
          </w:p>
          <w:p w14:paraId="24EBFE54">
            <w:pPr>
              <w:numPr>
                <w:ilvl w:val="0"/>
                <w:numId w:val="0"/>
              </w:num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针对本项目提出适用于本项目的应急安全管理方案，方案包括： ①突发应急事件预案②应急保障措施 </w:t>
            </w:r>
          </w:p>
          <w:p w14:paraId="123BB214">
            <w:pPr>
              <w:numPr>
                <w:ilvl w:val="0"/>
                <w:numId w:val="0"/>
              </w:numPr>
              <w:ind w:left="0" w:leftChars="0" w:firstLine="0" w:firstLineChars="0"/>
              <w:jc w:val="left"/>
              <w:rPr>
                <w:rFonts w:hint="eastAsia" w:hAnsi="Times New Roman" w:cs="Times New Roman"/>
                <w:color w:val="auto"/>
                <w:highlight w:val="none"/>
                <w:lang w:val="en-US" w:eastAsia="zh-CN"/>
              </w:rPr>
            </w:pPr>
            <w:r>
              <w:rPr>
                <w:rFonts w:hint="eastAsia" w:ascii="宋体" w:hAnsi="Times New Roman" w:eastAsia="宋体" w:cs="Times New Roman"/>
                <w:b/>
                <w:bCs/>
                <w:color w:val="auto"/>
                <w:sz w:val="24"/>
                <w:lang w:val="en-US" w:eastAsia="zh-CN" w:bidi="ar-SA"/>
              </w:rPr>
              <w:t>二、</w:t>
            </w:r>
            <w:r>
              <w:rPr>
                <w:rFonts w:hint="eastAsia" w:hAnsi="Times New Roman" w:cs="Times New Roman"/>
                <w:b/>
                <w:bCs/>
                <w:color w:val="auto"/>
                <w:highlight w:val="none"/>
                <w:lang w:val="en-US" w:eastAsia="zh-CN"/>
              </w:rPr>
              <w:t>评审标准：</w:t>
            </w:r>
            <w:r>
              <w:rPr>
                <w:rFonts w:hint="eastAsia" w:hAnsi="Times New Roman" w:cs="Times New Roman"/>
                <w:color w:val="auto"/>
                <w:highlight w:val="none"/>
                <w:lang w:val="en-US" w:eastAsia="zh-CN"/>
              </w:rPr>
              <w:t xml:space="preserve"> </w:t>
            </w:r>
          </w:p>
          <w:p w14:paraId="45400CE7">
            <w:pPr>
              <w:numPr>
                <w:ilvl w:val="0"/>
                <w:numId w:val="4"/>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完整性：方案必须全面，对评审内容中的各项要求有详细描述； </w:t>
            </w:r>
          </w:p>
          <w:p w14:paraId="4E9DEFB8">
            <w:pPr>
              <w:numPr>
                <w:ilvl w:val="0"/>
                <w:numId w:val="4"/>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可实施性：切合本项目实际情况，提出步骤清晰、合理的方案； </w:t>
            </w:r>
          </w:p>
          <w:p w14:paraId="4FFF9F23">
            <w:pPr>
              <w:numPr>
                <w:ilvl w:val="0"/>
                <w:numId w:val="4"/>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针对性：方案能够紧扣项目实际情况，内容科学合理。 </w:t>
            </w:r>
          </w:p>
          <w:p w14:paraId="3DDB8AF5">
            <w:pPr>
              <w:numPr>
                <w:ilvl w:val="0"/>
                <w:numId w:val="0"/>
              </w:numPr>
              <w:ind w:left="0" w:leftChars="0" w:firstLine="0" w:firstLineChars="0"/>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三、</w:t>
            </w:r>
            <w:r>
              <w:rPr>
                <w:rFonts w:hint="eastAsia" w:hAnsi="Times New Roman" w:cs="Times New Roman"/>
                <w:b/>
                <w:bCs/>
                <w:color w:val="auto"/>
                <w:highlight w:val="none"/>
                <w:lang w:val="en-US" w:eastAsia="zh-CN"/>
              </w:rPr>
              <w:t>赋分标准（满分</w:t>
            </w:r>
            <w:r>
              <w:rPr>
                <w:rFonts w:hint="eastAsia" w:cs="Times New Roman"/>
                <w:b/>
                <w:bCs/>
                <w:color w:val="auto"/>
                <w:highlight w:val="none"/>
                <w:lang w:val="en-US" w:eastAsia="zh-CN"/>
              </w:rPr>
              <w:t>6</w:t>
            </w:r>
            <w:r>
              <w:rPr>
                <w:rFonts w:hint="eastAsia" w:hAnsi="Times New Roman" w:cs="Times New Roman"/>
                <w:b/>
                <w:bCs/>
                <w:color w:val="auto"/>
                <w:highlight w:val="none"/>
                <w:lang w:val="en-US" w:eastAsia="zh-CN"/>
              </w:rPr>
              <w:t>分）</w:t>
            </w:r>
          </w:p>
          <w:p w14:paraId="6E6E4A4F">
            <w:pPr>
              <w:numPr>
                <w:ilvl w:val="0"/>
                <w:numId w:val="0"/>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①突发应急事件预案：每完全满足一个评审标准得</w:t>
            </w:r>
            <w:r>
              <w:rPr>
                <w:rFonts w:hint="eastAsia" w:cs="Times New Roman"/>
                <w:color w:val="auto"/>
                <w:highlight w:val="none"/>
                <w:lang w:val="en-US" w:eastAsia="zh-CN"/>
              </w:rPr>
              <w:t>1</w:t>
            </w:r>
            <w:r>
              <w:rPr>
                <w:rFonts w:hint="eastAsia" w:hAnsi="Times New Roman" w:cs="Times New Roman"/>
                <w:color w:val="auto"/>
                <w:highlight w:val="none"/>
                <w:lang w:val="en-US" w:eastAsia="zh-CN"/>
              </w:rPr>
              <w:t>分，</w:t>
            </w:r>
            <w:r>
              <w:rPr>
                <w:rFonts w:hint="eastAsia"/>
                <w:lang w:val="en-US" w:eastAsia="zh-CN"/>
              </w:rPr>
              <w:t>不完全满足一个评审标准得0-1分，</w:t>
            </w:r>
            <w:r>
              <w:rPr>
                <w:rFonts w:hint="eastAsia" w:hAnsi="Times New Roman" w:cs="Times New Roman"/>
                <w:color w:val="auto"/>
                <w:highlight w:val="none"/>
                <w:lang w:val="en-US" w:eastAsia="zh-CN"/>
              </w:rPr>
              <w:t>满分</w:t>
            </w:r>
            <w:r>
              <w:rPr>
                <w:rFonts w:hint="eastAsia" w:cs="Times New Roman"/>
                <w:color w:val="auto"/>
                <w:highlight w:val="none"/>
                <w:lang w:val="en-US" w:eastAsia="zh-CN"/>
              </w:rPr>
              <w:t>3</w:t>
            </w:r>
            <w:r>
              <w:rPr>
                <w:rFonts w:hint="eastAsia" w:hAnsi="Times New Roman" w:cs="Times New Roman"/>
                <w:color w:val="auto"/>
                <w:highlight w:val="none"/>
                <w:lang w:val="en-US" w:eastAsia="zh-CN"/>
              </w:rPr>
              <w:t>分；</w:t>
            </w:r>
          </w:p>
          <w:p w14:paraId="181CA627">
            <w:pPr>
              <w:numPr>
                <w:ilvl w:val="0"/>
                <w:numId w:val="0"/>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②应急保障措施：每完全满足一个评审标准得</w:t>
            </w:r>
            <w:r>
              <w:rPr>
                <w:rFonts w:hint="eastAsia" w:cs="Times New Roman"/>
                <w:color w:val="auto"/>
                <w:highlight w:val="none"/>
                <w:lang w:val="en-US" w:eastAsia="zh-CN"/>
              </w:rPr>
              <w:t>1</w:t>
            </w:r>
            <w:r>
              <w:rPr>
                <w:rFonts w:hint="eastAsia" w:hAnsi="Times New Roman" w:cs="Times New Roman"/>
                <w:color w:val="auto"/>
                <w:highlight w:val="none"/>
                <w:lang w:val="en-US" w:eastAsia="zh-CN"/>
              </w:rPr>
              <w:t>分，</w:t>
            </w:r>
            <w:r>
              <w:rPr>
                <w:rFonts w:hint="eastAsia"/>
                <w:lang w:val="en-US" w:eastAsia="zh-CN"/>
              </w:rPr>
              <w:t>不完全满足一个评审标准得0-1分，</w:t>
            </w:r>
            <w:r>
              <w:rPr>
                <w:rFonts w:hint="eastAsia" w:hAnsi="Times New Roman" w:cs="Times New Roman"/>
                <w:color w:val="auto"/>
                <w:highlight w:val="none"/>
                <w:lang w:val="en-US" w:eastAsia="zh-CN"/>
              </w:rPr>
              <w:t>满分</w:t>
            </w:r>
            <w:r>
              <w:rPr>
                <w:rFonts w:hint="eastAsia" w:cs="Times New Roman"/>
                <w:color w:val="auto"/>
                <w:highlight w:val="none"/>
                <w:lang w:val="en-US" w:eastAsia="zh-CN"/>
              </w:rPr>
              <w:t>3</w:t>
            </w:r>
            <w:r>
              <w:rPr>
                <w:rFonts w:hint="eastAsia" w:hAnsi="Times New Roman" w:cs="Times New Roman"/>
                <w:color w:val="auto"/>
                <w:highlight w:val="none"/>
                <w:lang w:val="en-US" w:eastAsia="zh-CN"/>
              </w:rPr>
              <w:t>分。</w:t>
            </w:r>
          </w:p>
        </w:tc>
        <w:tc>
          <w:tcPr>
            <w:tcW w:w="870" w:type="dxa"/>
            <w:noWrap w:val="0"/>
            <w:vAlign w:val="center"/>
          </w:tcPr>
          <w:p w14:paraId="7C3CCF8C">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6分</w:t>
            </w:r>
          </w:p>
        </w:tc>
      </w:tr>
      <w:tr w14:paraId="3D94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656" w:type="dxa"/>
            <w:noWrap w:val="0"/>
            <w:vAlign w:val="center"/>
          </w:tcPr>
          <w:p w14:paraId="42815359">
            <w:pPr>
              <w:pStyle w:val="33"/>
              <w:jc w:val="center"/>
              <w:rPr>
                <w:rFonts w:hint="eastAsia" w:ascii="宋体" w:hAnsi="宋体" w:eastAsia="宋体" w:cs="宋体"/>
                <w:color w:val="auto"/>
                <w:highlight w:val="none"/>
              </w:rPr>
            </w:pPr>
            <w:r>
              <w:rPr>
                <w:rFonts w:hint="eastAsia" w:hAnsi="宋体" w:eastAsia="宋体" w:cs="宋体"/>
                <w:color w:val="auto"/>
                <w:highlight w:val="none"/>
              </w:rPr>
              <w:t>合理化建议</w:t>
            </w:r>
          </w:p>
        </w:tc>
        <w:tc>
          <w:tcPr>
            <w:tcW w:w="6880" w:type="dxa"/>
            <w:noWrap w:val="0"/>
            <w:vAlign w:val="center"/>
          </w:tcPr>
          <w:p w14:paraId="005BD9FD">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ascii="宋体" w:hAnsi="Times New Roman" w:eastAsia="宋体" w:cs="Times New Roman"/>
                <w:b/>
                <w:bCs/>
                <w:color w:val="auto"/>
                <w:highlight w:val="none"/>
                <w:lang w:val="en-US" w:eastAsia="zh-CN"/>
              </w:rPr>
              <w:t>评审内容:</w:t>
            </w:r>
          </w:p>
          <w:p w14:paraId="16684415">
            <w:pPr>
              <w:numPr>
                <w:ilvl w:val="0"/>
                <w:numId w:val="0"/>
              </w:numPr>
              <w:ind w:firstLine="480" w:firstLineChars="200"/>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针对本项目提出适用于本项目的合理化建议，方案包括:①合理化建议</w:t>
            </w:r>
          </w:p>
          <w:p w14:paraId="25A10256">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二、评审标准:</w:t>
            </w:r>
          </w:p>
          <w:p w14:paraId="15F85DDE">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1、完整性:方案必须全面，对评审内容中的各项要求有详细描述:</w:t>
            </w:r>
          </w:p>
          <w:p w14:paraId="0ED65B1B">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2、可实施性:切合本项目实际情况，提出步骤清晰合理的方案:</w:t>
            </w:r>
          </w:p>
          <w:p w14:paraId="09A84049">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3、针对性:方案能够紧扣项目实际情况，内容科学合理。</w:t>
            </w:r>
          </w:p>
          <w:p w14:paraId="776B4B58">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三、赋分标准(满分3分）</w:t>
            </w:r>
          </w:p>
          <w:p w14:paraId="4A8E1BBD">
            <w:pPr>
              <w:numPr>
                <w:ilvl w:val="0"/>
                <w:numId w:val="0"/>
              </w:numPr>
              <w:jc w:val="left"/>
              <w:rPr>
                <w:rFonts w:hint="eastAsia"/>
                <w:highlight w:val="none"/>
              </w:rPr>
            </w:pPr>
            <w:r>
              <w:rPr>
                <w:rFonts w:hint="eastAsia" w:ascii="宋体" w:hAnsi="Times New Roman" w:eastAsia="宋体" w:cs="Times New Roman"/>
                <w:color w:val="auto"/>
                <w:highlight w:val="none"/>
                <w:lang w:val="en-US" w:eastAsia="zh-CN"/>
              </w:rPr>
              <w:t>①合理化建议:每完全满足一个评审标准得1分，不完全满足一个评审标准得0-1分，满分3分；</w:t>
            </w:r>
          </w:p>
        </w:tc>
        <w:tc>
          <w:tcPr>
            <w:tcW w:w="870" w:type="dxa"/>
            <w:noWrap w:val="0"/>
            <w:vAlign w:val="center"/>
          </w:tcPr>
          <w:p w14:paraId="6FB6CF9C">
            <w:pPr>
              <w:spacing w:line="360" w:lineRule="auto"/>
              <w:jc w:val="center"/>
              <w:rPr>
                <w:rFonts w:hAnsi="宋体" w:cs="宋体"/>
                <w:color w:val="auto"/>
                <w:szCs w:val="24"/>
                <w:highlight w:val="none"/>
              </w:rPr>
            </w:pPr>
            <w:r>
              <w:rPr>
                <w:rFonts w:hint="eastAsia" w:hAnsi="宋体" w:cs="宋体"/>
                <w:color w:val="auto"/>
                <w:szCs w:val="24"/>
                <w:highlight w:val="none"/>
                <w:lang w:val="en-US" w:eastAsia="zh-CN"/>
              </w:rPr>
              <w:t>3</w:t>
            </w:r>
            <w:r>
              <w:rPr>
                <w:rFonts w:hint="eastAsia" w:hAnsi="宋体" w:cs="宋体"/>
                <w:color w:val="auto"/>
                <w:szCs w:val="24"/>
                <w:highlight w:val="none"/>
              </w:rPr>
              <w:t>分</w:t>
            </w:r>
          </w:p>
        </w:tc>
      </w:tr>
      <w:tr w14:paraId="3FAC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656" w:type="dxa"/>
            <w:noWrap w:val="0"/>
            <w:vAlign w:val="center"/>
          </w:tcPr>
          <w:p w14:paraId="09FA0467">
            <w:pPr>
              <w:pStyle w:val="33"/>
              <w:jc w:val="center"/>
              <w:rPr>
                <w:rFonts w:hint="eastAsia" w:hAnsi="宋体" w:eastAsia="宋体" w:cs="宋体"/>
                <w:color w:val="auto"/>
                <w:highlight w:val="none"/>
              </w:rPr>
            </w:pPr>
            <w:r>
              <w:rPr>
                <w:rFonts w:hint="eastAsia" w:hAnsi="宋体" w:eastAsia="宋体" w:cs="宋体"/>
                <w:color w:val="auto"/>
                <w:highlight w:val="none"/>
                <w:lang w:val="en-US" w:eastAsia="zh-CN"/>
              </w:rPr>
              <w:t>服务承诺</w:t>
            </w:r>
          </w:p>
        </w:tc>
        <w:tc>
          <w:tcPr>
            <w:tcW w:w="6880" w:type="dxa"/>
            <w:noWrap w:val="0"/>
            <w:vAlign w:val="center"/>
          </w:tcPr>
          <w:p w14:paraId="00999145">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ascii="宋体" w:hAnsi="Times New Roman" w:eastAsia="宋体" w:cs="Times New Roman"/>
                <w:b/>
                <w:bCs/>
                <w:color w:val="auto"/>
                <w:highlight w:val="none"/>
                <w:lang w:val="en-US" w:eastAsia="zh-CN"/>
              </w:rPr>
              <w:t>评审内容:</w:t>
            </w:r>
          </w:p>
          <w:p w14:paraId="32E9503C">
            <w:pPr>
              <w:numPr>
                <w:ilvl w:val="0"/>
                <w:numId w:val="0"/>
              </w:numPr>
              <w:ind w:firstLine="480" w:firstLineChars="200"/>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针对本项目提出适用于本项目的</w:t>
            </w:r>
            <w:r>
              <w:rPr>
                <w:rFonts w:hint="eastAsia" w:cs="Times New Roman"/>
                <w:color w:val="auto"/>
                <w:highlight w:val="none"/>
                <w:lang w:val="en-US" w:eastAsia="zh-CN"/>
              </w:rPr>
              <w:t>服务承诺</w:t>
            </w:r>
            <w:r>
              <w:rPr>
                <w:rFonts w:hint="eastAsia" w:ascii="宋体" w:hAnsi="Times New Roman" w:eastAsia="宋体" w:cs="Times New Roman"/>
                <w:color w:val="auto"/>
                <w:highlight w:val="none"/>
                <w:lang w:val="en-US" w:eastAsia="zh-CN"/>
              </w:rPr>
              <w:t>，方案包括:①服务质量承诺②</w:t>
            </w:r>
            <w:r>
              <w:rPr>
                <w:rFonts w:hint="eastAsia" w:cs="Times New Roman"/>
                <w:color w:val="auto"/>
                <w:highlight w:val="none"/>
                <w:lang w:val="en-US" w:eastAsia="zh-CN"/>
              </w:rPr>
              <w:t>保密</w:t>
            </w:r>
            <w:r>
              <w:rPr>
                <w:rFonts w:hint="eastAsia" w:hAnsi="Times New Roman" w:cs="Times New Roman"/>
                <w:color w:val="auto"/>
                <w:highlight w:val="none"/>
                <w:lang w:val="en-US" w:eastAsia="zh-CN"/>
              </w:rPr>
              <w:t>承诺</w:t>
            </w:r>
          </w:p>
          <w:p w14:paraId="2D67BC58">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二、评审标准:</w:t>
            </w:r>
          </w:p>
          <w:p w14:paraId="5A8D52BD">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完整性:方案必须全面，对评审内容中的各项要求有详细描述:</w:t>
            </w:r>
          </w:p>
          <w:p w14:paraId="102292BD">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2、可实施性:切合本项目实际情况，提出步骤清晰合理的方案:</w:t>
            </w:r>
          </w:p>
          <w:p w14:paraId="45761937">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3、针对性:方案能够紧扣项目实际情况，内容科学合理。</w:t>
            </w:r>
          </w:p>
          <w:p w14:paraId="4041B5BA">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三、赋分标准(满分6分）</w:t>
            </w:r>
          </w:p>
          <w:p w14:paraId="2C58FA60">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①服务质量承诺:每完全满足一个评审标准得1分，</w:t>
            </w:r>
            <w:r>
              <w:rPr>
                <w:rFonts w:hint="eastAsia"/>
                <w:lang w:val="en-US" w:eastAsia="zh-CN"/>
              </w:rPr>
              <w:t>不完全满足一个评审标准得0-1分，</w:t>
            </w:r>
            <w:r>
              <w:rPr>
                <w:rFonts w:hint="eastAsia" w:ascii="宋体" w:hAnsi="Times New Roman" w:eastAsia="宋体" w:cs="Times New Roman"/>
                <w:color w:val="auto"/>
                <w:highlight w:val="none"/>
                <w:lang w:val="en-US" w:eastAsia="zh-CN"/>
              </w:rPr>
              <w:t>满分3分；</w:t>
            </w:r>
          </w:p>
          <w:p w14:paraId="651BB8AE">
            <w:pPr>
              <w:numPr>
                <w:ilvl w:val="0"/>
                <w:numId w:val="0"/>
              </w:numPr>
              <w:jc w:val="left"/>
              <w:rPr>
                <w:rFonts w:hint="default" w:hAnsi="Times New Roman" w:cs="Times New Roman"/>
                <w:color w:val="auto"/>
                <w:highlight w:val="none"/>
                <w:lang w:val="en-US" w:eastAsia="zh-CN"/>
              </w:rPr>
            </w:pPr>
            <w:r>
              <w:rPr>
                <w:rFonts w:hint="eastAsia" w:ascii="宋体" w:hAnsi="Times New Roman" w:eastAsia="宋体" w:cs="Times New Roman"/>
                <w:color w:val="auto"/>
                <w:highlight w:val="none"/>
                <w:lang w:val="en-US" w:eastAsia="zh-CN"/>
              </w:rPr>
              <w:t>②</w:t>
            </w:r>
            <w:r>
              <w:rPr>
                <w:rFonts w:hint="eastAsia" w:cs="Times New Roman"/>
                <w:color w:val="auto"/>
                <w:highlight w:val="none"/>
                <w:lang w:val="en-US" w:eastAsia="zh-CN"/>
              </w:rPr>
              <w:t>保密</w:t>
            </w:r>
            <w:r>
              <w:rPr>
                <w:rFonts w:hint="eastAsia" w:hAnsi="Times New Roman" w:cs="Times New Roman"/>
                <w:color w:val="auto"/>
                <w:highlight w:val="none"/>
                <w:lang w:val="en-US" w:eastAsia="zh-CN"/>
              </w:rPr>
              <w:t>承诺</w:t>
            </w:r>
            <w:r>
              <w:rPr>
                <w:rFonts w:hint="eastAsia" w:ascii="宋体" w:hAnsi="Times New Roman" w:eastAsia="宋体" w:cs="Times New Roman"/>
                <w:color w:val="auto"/>
                <w:highlight w:val="none"/>
                <w:lang w:val="en-US" w:eastAsia="zh-CN"/>
              </w:rPr>
              <w:t>:每完全满足一个评审标准得1分，</w:t>
            </w:r>
            <w:r>
              <w:rPr>
                <w:rFonts w:hint="eastAsia"/>
                <w:lang w:val="en-US" w:eastAsia="zh-CN"/>
              </w:rPr>
              <w:t>不完全满足一个评审标准得0-1分，</w:t>
            </w:r>
            <w:r>
              <w:rPr>
                <w:rFonts w:hint="eastAsia" w:ascii="宋体" w:hAnsi="Times New Roman" w:eastAsia="宋体" w:cs="Times New Roman"/>
                <w:color w:val="auto"/>
                <w:highlight w:val="none"/>
                <w:lang w:val="en-US" w:eastAsia="zh-CN"/>
              </w:rPr>
              <w:t>满分3分；</w:t>
            </w:r>
          </w:p>
        </w:tc>
        <w:tc>
          <w:tcPr>
            <w:tcW w:w="870" w:type="dxa"/>
            <w:noWrap w:val="0"/>
            <w:vAlign w:val="center"/>
          </w:tcPr>
          <w:p w14:paraId="138720F3">
            <w:pPr>
              <w:spacing w:line="360" w:lineRule="auto"/>
              <w:jc w:val="center"/>
              <w:rPr>
                <w:rFonts w:hint="eastAsia" w:hAnsi="宋体" w:eastAsia="宋体" w:cs="宋体"/>
                <w:color w:val="auto"/>
                <w:szCs w:val="24"/>
                <w:highlight w:val="none"/>
                <w:lang w:val="en-US" w:eastAsia="zh-CN"/>
              </w:rPr>
            </w:pPr>
            <w:r>
              <w:rPr>
                <w:rFonts w:hint="eastAsia" w:hAnsi="宋体" w:cs="宋体"/>
                <w:color w:val="auto"/>
                <w:szCs w:val="24"/>
                <w:highlight w:val="none"/>
                <w:lang w:val="en-US" w:eastAsia="zh-CN"/>
              </w:rPr>
              <w:t>6分</w:t>
            </w:r>
          </w:p>
        </w:tc>
      </w:tr>
      <w:tr w14:paraId="75B3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656" w:type="dxa"/>
            <w:noWrap w:val="0"/>
            <w:vAlign w:val="center"/>
          </w:tcPr>
          <w:p w14:paraId="0B7E9E5A">
            <w:pPr>
              <w:spacing w:line="320" w:lineRule="exact"/>
              <w:ind w:right="113"/>
              <w:jc w:val="center"/>
              <w:rPr>
                <w:rFonts w:hint="eastAsia" w:hAnsi="宋体" w:cs="宋体"/>
                <w:color w:val="auto"/>
                <w:szCs w:val="24"/>
                <w:highlight w:val="none"/>
              </w:rPr>
            </w:pPr>
            <w:r>
              <w:rPr>
                <w:rFonts w:hint="eastAsia" w:hAnsi="宋体" w:cs="宋体"/>
                <w:color w:val="auto"/>
                <w:szCs w:val="24"/>
                <w:highlight w:val="none"/>
              </w:rPr>
              <w:t>业绩</w:t>
            </w:r>
          </w:p>
        </w:tc>
        <w:tc>
          <w:tcPr>
            <w:tcW w:w="6880" w:type="dxa"/>
            <w:noWrap w:val="0"/>
            <w:vAlign w:val="center"/>
          </w:tcPr>
          <w:p w14:paraId="2BD4ACC7">
            <w:pPr>
              <w:pStyle w:val="33"/>
              <w:jc w:val="both"/>
              <w:rPr>
                <w:rFonts w:hint="eastAsia" w:ascii="宋体" w:hAnsi="宋体"/>
                <w:color w:val="auto"/>
                <w:szCs w:val="22"/>
                <w:highlight w:val="none"/>
              </w:rPr>
            </w:pPr>
            <w:r>
              <w:rPr>
                <w:rFonts w:hint="eastAsia" w:ascii="宋体" w:hAnsi="宋体"/>
                <w:color w:val="auto"/>
                <w:szCs w:val="22"/>
                <w:highlight w:val="none"/>
              </w:rPr>
              <w:t>提供</w:t>
            </w:r>
            <w:r>
              <w:rPr>
                <w:rFonts w:hint="eastAsia" w:ascii="宋体" w:hAnsi="宋体"/>
                <w:color w:val="auto"/>
                <w:szCs w:val="22"/>
                <w:highlight w:val="none"/>
                <w:lang w:val="en-US" w:eastAsia="zh-CN"/>
              </w:rPr>
              <w:t>2022年11月以后</w:t>
            </w:r>
            <w:r>
              <w:rPr>
                <w:rFonts w:hint="eastAsia" w:ascii="宋体" w:hAnsi="宋体"/>
                <w:color w:val="auto"/>
                <w:szCs w:val="22"/>
                <w:highlight w:val="none"/>
                <w:lang w:eastAsia="zh-CN"/>
              </w:rPr>
              <w:t>类似</w:t>
            </w:r>
            <w:r>
              <w:rPr>
                <w:rFonts w:hint="eastAsia" w:ascii="宋体" w:hAnsi="宋体"/>
                <w:color w:val="auto"/>
                <w:szCs w:val="22"/>
                <w:highlight w:val="none"/>
                <w:lang w:val="en-US" w:eastAsia="zh-CN"/>
              </w:rPr>
              <w:t>本</w:t>
            </w:r>
            <w:r>
              <w:rPr>
                <w:rFonts w:hint="eastAsia" w:ascii="宋体" w:hAnsi="宋体"/>
                <w:color w:val="auto"/>
                <w:szCs w:val="22"/>
                <w:highlight w:val="none"/>
              </w:rPr>
              <w:t>项目业绩，每提供一份计</w:t>
            </w:r>
            <w:r>
              <w:rPr>
                <w:rFonts w:hint="eastAsia" w:ascii="宋体" w:hAnsi="宋体"/>
                <w:color w:val="auto"/>
                <w:szCs w:val="22"/>
                <w:highlight w:val="none"/>
                <w:lang w:val="en-US" w:eastAsia="zh-CN"/>
              </w:rPr>
              <w:t>2</w:t>
            </w:r>
            <w:r>
              <w:rPr>
                <w:rFonts w:hint="eastAsia" w:ascii="宋体" w:hAnsi="宋体"/>
                <w:color w:val="auto"/>
                <w:szCs w:val="22"/>
                <w:highlight w:val="none"/>
              </w:rPr>
              <w:t>分，满分</w:t>
            </w:r>
            <w:r>
              <w:rPr>
                <w:rFonts w:hint="eastAsia" w:ascii="宋体" w:hAnsi="宋体"/>
                <w:color w:val="auto"/>
                <w:szCs w:val="22"/>
                <w:highlight w:val="none"/>
                <w:lang w:val="en-US" w:eastAsia="zh-CN"/>
              </w:rPr>
              <w:t>8</w:t>
            </w:r>
            <w:r>
              <w:rPr>
                <w:rFonts w:hint="eastAsia" w:ascii="宋体" w:hAnsi="宋体"/>
                <w:color w:val="auto"/>
                <w:szCs w:val="22"/>
                <w:highlight w:val="none"/>
              </w:rPr>
              <w:t>分（业绩以合同复印件</w:t>
            </w:r>
            <w:r>
              <w:rPr>
                <w:rFonts w:hint="eastAsia" w:ascii="宋体" w:hAnsi="宋体"/>
                <w:color w:val="auto"/>
                <w:szCs w:val="22"/>
                <w:highlight w:val="none"/>
                <w:lang w:eastAsia="zh-CN"/>
              </w:rPr>
              <w:t>或中标通知书</w:t>
            </w:r>
            <w:r>
              <w:rPr>
                <w:rFonts w:hint="eastAsia" w:ascii="宋体" w:hAnsi="宋体"/>
                <w:color w:val="auto"/>
                <w:szCs w:val="22"/>
                <w:highlight w:val="none"/>
              </w:rPr>
              <w:t>为依据）。</w:t>
            </w:r>
          </w:p>
        </w:tc>
        <w:tc>
          <w:tcPr>
            <w:tcW w:w="870" w:type="dxa"/>
            <w:noWrap w:val="0"/>
            <w:vAlign w:val="center"/>
          </w:tcPr>
          <w:p w14:paraId="4F77CF1F">
            <w:pPr>
              <w:spacing w:line="360" w:lineRule="auto"/>
              <w:jc w:val="center"/>
              <w:rPr>
                <w:rFonts w:hint="eastAsia" w:hAnsi="宋体" w:cs="宋体"/>
                <w:color w:val="auto"/>
                <w:szCs w:val="24"/>
                <w:highlight w:val="none"/>
              </w:rPr>
            </w:pPr>
            <w:r>
              <w:rPr>
                <w:rFonts w:hint="eastAsia" w:hAnsi="宋体" w:cs="宋体"/>
                <w:color w:val="auto"/>
                <w:szCs w:val="24"/>
                <w:highlight w:val="none"/>
                <w:lang w:val="en-US" w:eastAsia="zh-CN"/>
              </w:rPr>
              <w:t>8</w:t>
            </w:r>
            <w:r>
              <w:rPr>
                <w:rFonts w:hint="eastAsia" w:hAnsi="宋体" w:cs="宋体"/>
                <w:color w:val="auto"/>
                <w:szCs w:val="24"/>
                <w:highlight w:val="none"/>
              </w:rPr>
              <w:t>分</w:t>
            </w:r>
          </w:p>
        </w:tc>
      </w:tr>
    </w:tbl>
    <w:p w14:paraId="731BAF4E">
      <w:pPr>
        <w:spacing w:line="360" w:lineRule="auto"/>
        <w:ind w:firstLine="480" w:firstLineChars="200"/>
        <w:jc w:val="left"/>
        <w:rPr>
          <w:rFonts w:hint="eastAsia" w:hAnsi="宋体" w:cs="宋体"/>
          <w:color w:val="auto"/>
          <w:szCs w:val="24"/>
          <w:highlight w:val="none"/>
        </w:rPr>
      </w:pPr>
    </w:p>
    <w:p w14:paraId="5EC46EA0">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17ED681C">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6CF88400">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14:paraId="6605DA74">
      <w:pPr>
        <w:pStyle w:val="17"/>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14:paraId="19E0BB71">
      <w:pPr>
        <w:pStyle w:val="2"/>
        <w:jc w:val="center"/>
        <w:rPr>
          <w:rFonts w:ascii="宋体" w:eastAsia="宋体" w:cs="宋体"/>
          <w:bCs/>
          <w:color w:val="auto"/>
          <w:sz w:val="36"/>
          <w:szCs w:val="36"/>
          <w:highlight w:val="none"/>
        </w:rPr>
      </w:pPr>
      <w:bookmarkStart w:id="103" w:name="_Toc10029"/>
      <w:bookmarkStart w:id="104" w:name="_Toc2724"/>
      <w:bookmarkStart w:id="105" w:name="_Toc8788"/>
      <w:r>
        <w:rPr>
          <w:rFonts w:hint="eastAsia" w:ascii="宋体" w:eastAsia="宋体" w:cs="宋体"/>
          <w:bCs/>
          <w:color w:val="auto"/>
          <w:sz w:val="36"/>
          <w:szCs w:val="36"/>
          <w:highlight w:val="none"/>
        </w:rPr>
        <w:t>第四章  合同条款及格式</w:t>
      </w:r>
      <w:bookmarkEnd w:id="73"/>
      <w:bookmarkEnd w:id="74"/>
      <w:bookmarkEnd w:id="75"/>
      <w:bookmarkEnd w:id="103"/>
      <w:bookmarkEnd w:id="104"/>
      <w:bookmarkEnd w:id="105"/>
    </w:p>
    <w:p w14:paraId="0D96DCE0">
      <w:pPr>
        <w:tabs>
          <w:tab w:val="left" w:pos="210"/>
          <w:tab w:val="left" w:pos="525"/>
        </w:tabs>
        <w:spacing w:line="360" w:lineRule="auto"/>
        <w:jc w:val="center"/>
        <w:outlineLvl w:val="1"/>
        <w:rPr>
          <w:rFonts w:hAnsi="宋体" w:cs="宋体"/>
          <w:color w:val="auto"/>
          <w:sz w:val="32"/>
          <w:szCs w:val="32"/>
          <w:highlight w:val="none"/>
        </w:rPr>
      </w:pPr>
      <w:bookmarkStart w:id="106" w:name="_Toc24218"/>
      <w:bookmarkStart w:id="107" w:name="_Toc20005"/>
      <w:bookmarkStart w:id="108" w:name="_Toc3424"/>
      <w:bookmarkStart w:id="109" w:name="_Toc23705"/>
      <w:bookmarkStart w:id="110" w:name="_Toc32476"/>
      <w:bookmarkStart w:id="111" w:name="_Toc26300"/>
      <w:r>
        <w:rPr>
          <w:rFonts w:hint="eastAsia" w:hAnsi="宋体" w:cs="宋体"/>
          <w:b/>
          <w:bCs/>
          <w:color w:val="auto"/>
          <w:sz w:val="32"/>
          <w:szCs w:val="32"/>
          <w:highlight w:val="none"/>
        </w:rPr>
        <w:t>合同前附表</w:t>
      </w:r>
      <w:bookmarkEnd w:id="106"/>
      <w:bookmarkEnd w:id="107"/>
      <w:bookmarkEnd w:id="108"/>
      <w:bookmarkEnd w:id="109"/>
      <w:bookmarkEnd w:id="110"/>
      <w:bookmarkEnd w:id="111"/>
    </w:p>
    <w:p w14:paraId="2EE7DBEE">
      <w:pPr>
        <w:rPr>
          <w:rFonts w:hAnsi="宋体" w:cs="宋体"/>
          <w:color w:val="auto"/>
          <w:highlight w:val="none"/>
        </w:rPr>
      </w:pPr>
    </w:p>
    <w:p w14:paraId="4E694429">
      <w:pPr>
        <w:rPr>
          <w:rFonts w:hAnsi="宋体" w:cs="宋体"/>
          <w:color w:val="auto"/>
          <w:szCs w:val="24"/>
          <w:highlight w:val="none"/>
        </w:rPr>
      </w:pPr>
      <w:r>
        <w:rPr>
          <w:rFonts w:hint="eastAsia" w:hAnsi="宋体" w:cs="宋体"/>
          <w:color w:val="auto"/>
          <w:szCs w:val="24"/>
          <w:highlight w:val="none"/>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2"/>
        <w:gridCol w:w="8440"/>
      </w:tblGrid>
      <w:tr w14:paraId="4A4E6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39D10E41">
            <w:pPr>
              <w:spacing w:line="360" w:lineRule="auto"/>
              <w:jc w:val="center"/>
              <w:rPr>
                <w:rFonts w:hAnsi="宋体" w:cs="宋体"/>
                <w:color w:val="auto"/>
                <w:sz w:val="24"/>
                <w:szCs w:val="24"/>
                <w:highlight w:val="none"/>
              </w:rPr>
            </w:pPr>
            <w:r>
              <w:rPr>
                <w:rFonts w:hint="eastAsia" w:hAnsi="宋体" w:cs="宋体"/>
                <w:color w:val="auto"/>
                <w:sz w:val="24"/>
                <w:szCs w:val="24"/>
                <w:highlight w:val="none"/>
              </w:rPr>
              <w:t>条款号</w:t>
            </w:r>
          </w:p>
        </w:tc>
        <w:tc>
          <w:tcPr>
            <w:tcW w:w="8440" w:type="dxa"/>
            <w:vAlign w:val="center"/>
          </w:tcPr>
          <w:p w14:paraId="6D820D71">
            <w:pPr>
              <w:spacing w:line="360" w:lineRule="auto"/>
              <w:jc w:val="center"/>
              <w:rPr>
                <w:rFonts w:hAnsi="宋体" w:cs="宋体"/>
                <w:color w:val="auto"/>
                <w:sz w:val="24"/>
                <w:szCs w:val="24"/>
                <w:highlight w:val="none"/>
              </w:rPr>
            </w:pPr>
            <w:r>
              <w:rPr>
                <w:rFonts w:hint="eastAsia" w:hAnsi="宋体" w:cs="宋体"/>
                <w:color w:val="auto"/>
                <w:sz w:val="24"/>
                <w:szCs w:val="24"/>
                <w:highlight w:val="none"/>
              </w:rPr>
              <w:t>内      容</w:t>
            </w:r>
          </w:p>
        </w:tc>
      </w:tr>
      <w:tr w14:paraId="64367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0733E02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1</w:t>
            </w:r>
          </w:p>
        </w:tc>
        <w:tc>
          <w:tcPr>
            <w:tcW w:w="8440" w:type="dxa"/>
            <w:vAlign w:val="center"/>
          </w:tcPr>
          <w:p w14:paraId="00E1A089">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采购人名称：</w:t>
            </w:r>
            <w:r>
              <w:rPr>
                <w:rFonts w:hint="eastAsia" w:hAnsi="宋体" w:cs="宋体"/>
                <w:color w:val="auto"/>
                <w:sz w:val="24"/>
                <w:szCs w:val="24"/>
                <w:highlight w:val="none"/>
                <w:lang w:eastAsia="zh-CN"/>
              </w:rPr>
              <w:t>西安开放大学</w:t>
            </w:r>
          </w:p>
          <w:p w14:paraId="3EAD98BD">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地      址：</w:t>
            </w:r>
            <w:r>
              <w:rPr>
                <w:rFonts w:hint="eastAsia" w:ascii="宋体" w:hAnsi="宋体" w:eastAsia="宋体" w:cs="宋体"/>
                <w:i w:val="0"/>
                <w:iCs w:val="0"/>
                <w:caps w:val="0"/>
                <w:color w:val="333333"/>
                <w:spacing w:val="0"/>
                <w:sz w:val="24"/>
                <w:szCs w:val="24"/>
                <w:highlight w:val="none"/>
                <w:shd w:val="clear" w:fill="FFFFFF"/>
              </w:rPr>
              <w:t>西安市碑林区金花南路11号</w:t>
            </w:r>
          </w:p>
          <w:p w14:paraId="6FEFBDF5">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项目名称：</w:t>
            </w:r>
            <w:r>
              <w:rPr>
                <w:rFonts w:hint="eastAsia" w:hAnsi="宋体" w:cs="宋体"/>
                <w:color w:val="auto"/>
                <w:sz w:val="24"/>
                <w:szCs w:val="24"/>
                <w:highlight w:val="none"/>
                <w:lang w:eastAsia="zh-CN"/>
              </w:rPr>
              <w:t>2025年秋季学期期末考试考场租赁项目(三次)</w:t>
            </w:r>
          </w:p>
        </w:tc>
      </w:tr>
      <w:tr w14:paraId="09F57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7AB75D65">
            <w:pPr>
              <w:spacing w:line="360" w:lineRule="auto"/>
              <w:jc w:val="center"/>
              <w:rPr>
                <w:rFonts w:hAnsi="宋体" w:cs="宋体"/>
                <w:color w:val="auto"/>
                <w:sz w:val="24"/>
                <w:szCs w:val="24"/>
                <w:highlight w:val="none"/>
              </w:rPr>
            </w:pPr>
            <w:r>
              <w:rPr>
                <w:rFonts w:hint="eastAsia" w:hAnsi="宋体" w:cs="宋体"/>
                <w:color w:val="auto"/>
                <w:sz w:val="24"/>
                <w:szCs w:val="24"/>
                <w:highlight w:val="none"/>
              </w:rPr>
              <w:t>2</w:t>
            </w:r>
          </w:p>
        </w:tc>
        <w:tc>
          <w:tcPr>
            <w:tcW w:w="8440" w:type="dxa"/>
            <w:vAlign w:val="center"/>
          </w:tcPr>
          <w:p w14:paraId="1659747D">
            <w:pPr>
              <w:spacing w:line="360" w:lineRule="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项目实施地点：</w:t>
            </w:r>
            <w:r>
              <w:rPr>
                <w:rFonts w:hint="eastAsia" w:hAnsi="宋体" w:cs="宋体"/>
                <w:color w:val="auto"/>
                <w:sz w:val="24"/>
                <w:szCs w:val="24"/>
                <w:highlight w:val="none"/>
                <w:lang w:val="en-US" w:eastAsia="zh-CN"/>
              </w:rPr>
              <w:t>采购人指定地点</w:t>
            </w:r>
          </w:p>
        </w:tc>
      </w:tr>
      <w:tr w14:paraId="36714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11C8B01E">
            <w:pPr>
              <w:spacing w:line="360" w:lineRule="auto"/>
              <w:jc w:val="center"/>
              <w:rPr>
                <w:rFonts w:hAnsi="宋体" w:cs="宋体"/>
                <w:color w:val="auto"/>
                <w:sz w:val="24"/>
                <w:szCs w:val="24"/>
                <w:highlight w:val="none"/>
              </w:rPr>
            </w:pPr>
            <w:r>
              <w:rPr>
                <w:rFonts w:hint="eastAsia" w:hAnsi="宋体" w:cs="宋体"/>
                <w:color w:val="auto"/>
                <w:sz w:val="24"/>
                <w:szCs w:val="24"/>
                <w:highlight w:val="none"/>
              </w:rPr>
              <w:t>3</w:t>
            </w:r>
          </w:p>
        </w:tc>
        <w:tc>
          <w:tcPr>
            <w:tcW w:w="8440" w:type="dxa"/>
            <w:vAlign w:val="center"/>
          </w:tcPr>
          <w:p w14:paraId="47587777">
            <w:pPr>
              <w:pStyle w:val="7"/>
              <w:ind w:firstLine="0" w:firstLineChars="0"/>
              <w:rPr>
                <w:rFonts w:hint="default" w:hAnsi="宋体" w:eastAsia="宋体" w:cs="宋体"/>
                <w:color w:val="auto"/>
                <w:sz w:val="24"/>
                <w:szCs w:val="24"/>
                <w:highlight w:val="none"/>
                <w:lang w:val="en-US" w:eastAsia="zh-CN"/>
              </w:rPr>
            </w:pPr>
            <w:r>
              <w:rPr>
                <w:rFonts w:hint="eastAsia" w:ascii="宋体" w:hAnsi="宋体" w:cs="宋体"/>
                <w:color w:val="auto"/>
                <w:sz w:val="24"/>
                <w:szCs w:val="24"/>
                <w:highlight w:val="none"/>
              </w:rPr>
              <w:t>服务期限：自2026年1月17日起至2026年1月18日止。（考试前一天需联系考场考试布置事宜）</w:t>
            </w:r>
          </w:p>
        </w:tc>
      </w:tr>
      <w:tr w14:paraId="18592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6DE16B3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4</w:t>
            </w:r>
          </w:p>
        </w:tc>
        <w:tc>
          <w:tcPr>
            <w:tcW w:w="8440" w:type="dxa"/>
            <w:vAlign w:val="center"/>
          </w:tcPr>
          <w:p w14:paraId="29E529C3">
            <w:pPr>
              <w:spacing w:line="360" w:lineRule="auto"/>
              <w:rPr>
                <w:rFonts w:hAnsi="宋体" w:cs="宋体"/>
                <w:b/>
                <w:color w:val="auto"/>
                <w:sz w:val="24"/>
                <w:szCs w:val="24"/>
                <w:highlight w:val="none"/>
              </w:rPr>
            </w:pPr>
            <w:r>
              <w:rPr>
                <w:rFonts w:hint="eastAsia" w:hAnsi="宋体" w:cs="宋体"/>
                <w:b/>
                <w:color w:val="auto"/>
                <w:sz w:val="24"/>
                <w:szCs w:val="24"/>
                <w:highlight w:val="none"/>
              </w:rPr>
              <w:t>付款：</w:t>
            </w:r>
          </w:p>
          <w:p w14:paraId="46AB17D5">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1.合同总价即成交价，不受市场价变化或实际工作量变化的影响。供应商应在磋商报价表中标明完成本次磋商所要求的全部服务的所有费用。</w:t>
            </w:r>
          </w:p>
          <w:p w14:paraId="510D78AB">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2.付款方式和程序：</w:t>
            </w:r>
          </w:p>
          <w:p w14:paraId="2CF7540B">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2.1由采购人负责结算，在付款前，供应商必须开具全额发票给采购人（附详细清单）。</w:t>
            </w:r>
          </w:p>
          <w:p w14:paraId="6415326A">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2.2付款方式：</w:t>
            </w:r>
          </w:p>
          <w:p w14:paraId="41C1E3A4">
            <w:pPr>
              <w:spacing w:line="360" w:lineRule="auto"/>
              <w:ind w:firstLine="482" w:firstLineChars="200"/>
              <w:rPr>
                <w:rFonts w:hint="eastAsia" w:hAnsi="宋体" w:eastAsia="宋体" w:cs="宋体"/>
                <w:b/>
                <w:color w:val="auto"/>
                <w:sz w:val="24"/>
                <w:szCs w:val="24"/>
                <w:highlight w:val="none"/>
                <w:lang w:eastAsia="zh-CN"/>
              </w:rPr>
            </w:pPr>
            <w:r>
              <w:rPr>
                <w:rFonts w:hint="eastAsia" w:hAnsi="宋体" w:cs="宋体"/>
                <w:b/>
                <w:color w:val="auto"/>
                <w:sz w:val="24"/>
                <w:szCs w:val="24"/>
                <w:highlight w:val="none"/>
                <w:lang w:eastAsia="zh-CN"/>
              </w:rPr>
              <w:t>考试前，经学校招标领导小组对所有考点进行场地验收合格，考试顺利进行，考试结束后，根据实际使用数量据实结算。注：乙方应按要求向甲方开具等额的发票。（</w:t>
            </w:r>
            <w:r>
              <w:rPr>
                <w:rFonts w:hint="eastAsia" w:hAnsi="宋体" w:cs="宋体"/>
                <w:b/>
                <w:color w:val="auto"/>
                <w:sz w:val="24"/>
                <w:szCs w:val="24"/>
                <w:highlight w:val="none"/>
                <w:lang w:val="en-US" w:eastAsia="zh-CN"/>
              </w:rPr>
              <w:t>具体以合同签订为准</w:t>
            </w:r>
            <w:r>
              <w:rPr>
                <w:rFonts w:hint="eastAsia" w:hAnsi="宋体" w:cs="宋体"/>
                <w:b/>
                <w:color w:val="auto"/>
                <w:sz w:val="24"/>
                <w:szCs w:val="24"/>
                <w:highlight w:val="none"/>
                <w:lang w:eastAsia="zh-CN"/>
              </w:rPr>
              <w:t>）。</w:t>
            </w:r>
          </w:p>
          <w:p w14:paraId="11B0A4F9">
            <w:pPr>
              <w:spacing w:line="360" w:lineRule="auto"/>
              <w:ind w:firstLine="482" w:firstLineChars="200"/>
              <w:rPr>
                <w:rFonts w:hAnsi="宋体" w:cs="宋体"/>
                <w:color w:val="auto"/>
                <w:sz w:val="24"/>
                <w:szCs w:val="24"/>
                <w:highlight w:val="none"/>
              </w:rPr>
            </w:pPr>
            <w:r>
              <w:rPr>
                <w:rFonts w:hint="eastAsia" w:hAnsi="宋体" w:cs="宋体"/>
                <w:b/>
                <w:color w:val="auto"/>
                <w:sz w:val="24"/>
                <w:szCs w:val="24"/>
                <w:highlight w:val="none"/>
              </w:rPr>
              <w:t>2.3支付方式：银行转账</w:t>
            </w:r>
          </w:p>
        </w:tc>
      </w:tr>
      <w:tr w14:paraId="3119D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662BED75">
            <w:pPr>
              <w:spacing w:line="360" w:lineRule="auto"/>
              <w:jc w:val="center"/>
              <w:rPr>
                <w:rFonts w:hAnsi="宋体" w:cs="宋体"/>
                <w:color w:val="auto"/>
                <w:sz w:val="24"/>
                <w:szCs w:val="24"/>
                <w:highlight w:val="none"/>
              </w:rPr>
            </w:pPr>
            <w:r>
              <w:rPr>
                <w:rFonts w:hint="eastAsia" w:hAnsi="宋体" w:cs="宋体"/>
                <w:color w:val="auto"/>
                <w:sz w:val="24"/>
                <w:szCs w:val="24"/>
                <w:highlight w:val="none"/>
              </w:rPr>
              <w:t>5</w:t>
            </w:r>
          </w:p>
        </w:tc>
        <w:tc>
          <w:tcPr>
            <w:tcW w:w="8440" w:type="dxa"/>
            <w:vAlign w:val="center"/>
          </w:tcPr>
          <w:p w14:paraId="586F8D59">
            <w:pPr>
              <w:spacing w:line="360" w:lineRule="auto"/>
              <w:rPr>
                <w:rFonts w:hAnsi="宋体" w:cs="宋体"/>
                <w:b/>
                <w:color w:val="auto"/>
                <w:sz w:val="24"/>
                <w:szCs w:val="24"/>
                <w:highlight w:val="none"/>
              </w:rPr>
            </w:pPr>
            <w:r>
              <w:rPr>
                <w:rFonts w:hint="eastAsia" w:hAnsi="宋体" w:cs="宋体"/>
                <w:b/>
                <w:color w:val="auto"/>
                <w:sz w:val="24"/>
                <w:szCs w:val="24"/>
                <w:highlight w:val="none"/>
              </w:rPr>
              <w:t>服务支持：</w:t>
            </w:r>
          </w:p>
          <w:p w14:paraId="7A8D0994">
            <w:pPr>
              <w:spacing w:line="360" w:lineRule="auto"/>
              <w:ind w:firstLine="480" w:firstLineChars="200"/>
              <w:jc w:val="left"/>
              <w:rPr>
                <w:rFonts w:hAnsi="宋体" w:cs="宋体"/>
                <w:color w:val="auto"/>
                <w:sz w:val="24"/>
                <w:szCs w:val="24"/>
                <w:highlight w:val="none"/>
              </w:rPr>
            </w:pPr>
            <w:r>
              <w:rPr>
                <w:rFonts w:hint="eastAsia" w:hAnsi="宋体" w:cs="宋体"/>
                <w:bCs/>
                <w:color w:val="auto"/>
                <w:sz w:val="24"/>
                <w:szCs w:val="24"/>
                <w:highlight w:val="none"/>
              </w:rPr>
              <w:t>供应商在项目实施过程中，质量保障人员、资源不足或者执行不力，给项目质量带来的风险超出采购人认定的允许范围时，采购人可终止本项目的合作并进行索赔。</w:t>
            </w:r>
          </w:p>
        </w:tc>
      </w:tr>
      <w:tr w14:paraId="49B1E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39AFE4BE">
            <w:pPr>
              <w:spacing w:line="360" w:lineRule="auto"/>
              <w:jc w:val="center"/>
              <w:rPr>
                <w:rFonts w:hAnsi="宋体" w:cs="宋体"/>
                <w:color w:val="auto"/>
                <w:sz w:val="24"/>
                <w:szCs w:val="24"/>
                <w:highlight w:val="none"/>
              </w:rPr>
            </w:pPr>
            <w:r>
              <w:rPr>
                <w:rFonts w:hint="eastAsia" w:hAnsi="宋体" w:cs="宋体"/>
                <w:color w:val="auto"/>
                <w:sz w:val="24"/>
                <w:szCs w:val="24"/>
                <w:highlight w:val="none"/>
              </w:rPr>
              <w:t>6</w:t>
            </w:r>
          </w:p>
        </w:tc>
        <w:tc>
          <w:tcPr>
            <w:tcW w:w="8440" w:type="dxa"/>
            <w:vAlign w:val="center"/>
          </w:tcPr>
          <w:p w14:paraId="78A5FEB6">
            <w:pPr>
              <w:spacing w:line="360" w:lineRule="auto"/>
              <w:rPr>
                <w:rFonts w:hAnsi="宋体" w:cs="宋体"/>
                <w:b/>
                <w:color w:val="auto"/>
                <w:sz w:val="24"/>
                <w:szCs w:val="24"/>
                <w:highlight w:val="none"/>
              </w:rPr>
            </w:pPr>
            <w:r>
              <w:rPr>
                <w:rFonts w:hint="eastAsia" w:hAnsi="宋体" w:cs="宋体"/>
                <w:b/>
                <w:color w:val="auto"/>
                <w:sz w:val="24"/>
                <w:szCs w:val="24"/>
                <w:highlight w:val="none"/>
              </w:rPr>
              <w:t>知识产权、专利权：</w:t>
            </w:r>
          </w:p>
          <w:p w14:paraId="22F1EA32">
            <w:pPr>
              <w:tabs>
                <w:tab w:val="left" w:pos="498"/>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供应商应对所提供的文稿及图像、影像材料，已取得合法知识产权或其使用权，供应商应保证所提供的服务不会出现因第三方提出侵犯其版权、商标权或其他知识产权而引发法律或经济纠纷，否则由供应商负责解决并承担全部责任；如因此影响到采购人的正常使用，采购人有权单方解除本合同，供应商应无条件向采购人退回已收取的全部合同价款。</w:t>
            </w:r>
          </w:p>
        </w:tc>
      </w:tr>
      <w:tr w14:paraId="6C2BB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0" w:hRule="atLeast"/>
        </w:trPr>
        <w:tc>
          <w:tcPr>
            <w:tcW w:w="912" w:type="dxa"/>
            <w:vAlign w:val="center"/>
          </w:tcPr>
          <w:p w14:paraId="60AE8281">
            <w:pPr>
              <w:spacing w:line="360" w:lineRule="auto"/>
              <w:jc w:val="center"/>
              <w:rPr>
                <w:rFonts w:hAnsi="宋体" w:cs="宋体"/>
                <w:color w:val="auto"/>
                <w:sz w:val="24"/>
                <w:szCs w:val="24"/>
                <w:highlight w:val="none"/>
              </w:rPr>
            </w:pPr>
            <w:r>
              <w:rPr>
                <w:rFonts w:hint="eastAsia" w:hAnsi="宋体" w:cs="宋体"/>
                <w:color w:val="auto"/>
                <w:sz w:val="24"/>
                <w:szCs w:val="24"/>
                <w:highlight w:val="none"/>
              </w:rPr>
              <w:t>7</w:t>
            </w:r>
          </w:p>
        </w:tc>
        <w:tc>
          <w:tcPr>
            <w:tcW w:w="8440" w:type="dxa"/>
            <w:vAlign w:val="center"/>
          </w:tcPr>
          <w:p w14:paraId="11773FC4">
            <w:pPr>
              <w:spacing w:line="360" w:lineRule="auto"/>
              <w:rPr>
                <w:rFonts w:hAnsi="宋体" w:cs="宋体"/>
                <w:b/>
                <w:color w:val="auto"/>
                <w:sz w:val="24"/>
                <w:szCs w:val="24"/>
                <w:highlight w:val="none"/>
              </w:rPr>
            </w:pPr>
            <w:r>
              <w:rPr>
                <w:rFonts w:hint="eastAsia" w:hAnsi="宋体" w:cs="宋体"/>
                <w:b/>
                <w:color w:val="auto"/>
                <w:sz w:val="24"/>
                <w:szCs w:val="24"/>
                <w:highlight w:val="none"/>
              </w:rPr>
              <w:t>违约责任：</w:t>
            </w:r>
          </w:p>
          <w:p w14:paraId="2A4CCDA7">
            <w:pPr>
              <w:tabs>
                <w:tab w:val="left" w:pos="152"/>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1、按《中华人民共和国民法典》中的相关条款执行。</w:t>
            </w:r>
          </w:p>
          <w:p w14:paraId="2D2956D6">
            <w:pPr>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tc>
      </w:tr>
      <w:tr w14:paraId="53635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79B70F9E">
            <w:pPr>
              <w:spacing w:line="360" w:lineRule="auto"/>
              <w:jc w:val="center"/>
              <w:rPr>
                <w:rFonts w:hAnsi="宋体" w:cs="宋体"/>
                <w:color w:val="auto"/>
                <w:sz w:val="24"/>
                <w:szCs w:val="24"/>
                <w:highlight w:val="none"/>
              </w:rPr>
            </w:pPr>
            <w:r>
              <w:rPr>
                <w:rFonts w:hint="eastAsia" w:hAnsi="宋体" w:cs="宋体"/>
                <w:color w:val="auto"/>
                <w:sz w:val="24"/>
                <w:szCs w:val="24"/>
                <w:highlight w:val="none"/>
              </w:rPr>
              <w:t>8</w:t>
            </w:r>
          </w:p>
        </w:tc>
        <w:tc>
          <w:tcPr>
            <w:tcW w:w="8440" w:type="dxa"/>
            <w:vAlign w:val="center"/>
          </w:tcPr>
          <w:p w14:paraId="5D893A92">
            <w:pPr>
              <w:spacing w:line="360" w:lineRule="auto"/>
              <w:rPr>
                <w:rFonts w:hAnsi="宋体" w:cs="宋体"/>
                <w:b/>
                <w:color w:val="auto"/>
                <w:sz w:val="24"/>
                <w:szCs w:val="24"/>
                <w:highlight w:val="none"/>
              </w:rPr>
            </w:pPr>
            <w:r>
              <w:rPr>
                <w:rFonts w:hint="eastAsia" w:hAnsi="宋体" w:cs="宋体"/>
                <w:b/>
                <w:color w:val="auto"/>
                <w:sz w:val="24"/>
                <w:szCs w:val="24"/>
                <w:highlight w:val="none"/>
              </w:rPr>
              <w:t>政府采购合同：</w:t>
            </w:r>
          </w:p>
          <w:p w14:paraId="0CDBB62B">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政府采购合同适用《中华人民共和国民法典》。采购人和供应商之间的权利和义务，应当按照平等、自愿的原则以合同方式约定。</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采购人与中标、成交供应商应当在中标、成交通知书发出之日起二十五日内，按照采购文件确定的事项签订政府采购合同。</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530A308C">
            <w:pPr>
              <w:pStyle w:val="12"/>
              <w:spacing w:line="360" w:lineRule="auto"/>
              <w:ind w:firstLine="480" w:firstLineChars="200"/>
              <w:rPr>
                <w:rFonts w:hAnsi="宋体" w:cs="宋体"/>
                <w:color w:val="auto"/>
                <w:kern w:val="0"/>
                <w:sz w:val="24"/>
                <w:szCs w:val="24"/>
                <w:highlight w:val="none"/>
              </w:rPr>
            </w:pPr>
            <w:r>
              <w:rPr>
                <w:rFonts w:hint="eastAsia" w:hAnsi="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政府采购合同的双方当事人不得擅自变更、中止或者终止合同。</w:t>
            </w:r>
            <w:r>
              <w:rPr>
                <w:rFonts w:hint="eastAsia" w:hAnsi="宋体" w:cs="宋体"/>
                <w:color w:val="auto"/>
                <w:sz w:val="24"/>
                <w:szCs w:val="24"/>
                <w:highlight w:val="none"/>
              </w:rPr>
              <w:br w:type="textWrapping"/>
            </w:r>
            <w:r>
              <w:rPr>
                <w:rFonts w:hint="eastAsia" w:hAnsi="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05C4EB0C">
      <w:pPr>
        <w:rPr>
          <w:rFonts w:hAnsi="宋体" w:cs="宋体"/>
          <w:color w:val="auto"/>
          <w:sz w:val="32"/>
          <w:highlight w:val="none"/>
        </w:rPr>
      </w:pPr>
      <w:bookmarkStart w:id="112" w:name="_Toc423973075"/>
      <w:bookmarkStart w:id="113" w:name="_Toc19246"/>
      <w:bookmarkStart w:id="114" w:name="_Toc389582037"/>
      <w:bookmarkStart w:id="115" w:name="_Toc4679"/>
      <w:bookmarkStart w:id="116" w:name="_Toc29888"/>
      <w:bookmarkStart w:id="117" w:name="_Toc26595"/>
      <w:bookmarkStart w:id="118" w:name="_Toc8333"/>
      <w:bookmarkStart w:id="119" w:name="_Toc31520"/>
      <w:bookmarkStart w:id="120" w:name="_Toc19199"/>
      <w:r>
        <w:rPr>
          <w:rFonts w:hint="eastAsia" w:hAnsi="宋体" w:cs="宋体"/>
          <w:b/>
          <w:bCs/>
          <w:color w:val="auto"/>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797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492C682F">
            <w:pPr>
              <w:jc w:val="center"/>
              <w:rPr>
                <w:rFonts w:hAnsi="宋体" w:cs="宋体"/>
                <w:b/>
                <w:color w:val="auto"/>
                <w:sz w:val="30"/>
                <w:szCs w:val="30"/>
                <w:highlight w:val="none"/>
              </w:rPr>
            </w:pPr>
            <w:r>
              <w:rPr>
                <w:rFonts w:hint="eastAsia" w:hAnsi="宋体" w:cs="宋体"/>
                <w:b/>
                <w:color w:val="auto"/>
                <w:sz w:val="30"/>
                <w:szCs w:val="30"/>
                <w:highlight w:val="none"/>
              </w:rPr>
              <w:t>竞争性磋商采购</w:t>
            </w:r>
          </w:p>
        </w:tc>
      </w:tr>
    </w:tbl>
    <w:p w14:paraId="47EAF4FA">
      <w:pPr>
        <w:outlineLvl w:val="1"/>
        <w:rPr>
          <w:rFonts w:hAnsi="宋体" w:cs="宋体"/>
          <w:b/>
          <w:color w:val="auto"/>
          <w:sz w:val="32"/>
          <w:szCs w:val="32"/>
          <w:highlight w:val="none"/>
        </w:rPr>
      </w:pPr>
      <w:bookmarkStart w:id="121" w:name="_Toc18120"/>
      <w:bookmarkStart w:id="122" w:name="_Toc7874"/>
      <w:bookmarkStart w:id="123" w:name="_Toc5216"/>
      <w:bookmarkStart w:id="124" w:name="_Toc22328"/>
      <w:bookmarkStart w:id="125" w:name="_Toc1362"/>
      <w:bookmarkStart w:id="126" w:name="_Toc24004"/>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121"/>
      <w:bookmarkEnd w:id="122"/>
      <w:bookmarkEnd w:id="123"/>
      <w:bookmarkEnd w:id="124"/>
      <w:bookmarkEnd w:id="125"/>
      <w:bookmarkEnd w:id="126"/>
      <w:r>
        <w:rPr>
          <w:rFonts w:hint="eastAsia" w:hAnsi="宋体" w:cs="宋体"/>
          <w:b/>
          <w:color w:val="auto"/>
          <w:sz w:val="32"/>
          <w:szCs w:val="32"/>
          <w:highlight w:val="none"/>
        </w:rPr>
        <w:t xml:space="preserve">                  </w:t>
      </w:r>
    </w:p>
    <w:p w14:paraId="21ECFC90">
      <w:pPr>
        <w:rPr>
          <w:rFonts w:hAnsi="宋体" w:cs="宋体"/>
          <w:b/>
          <w:color w:val="auto"/>
          <w:sz w:val="32"/>
          <w:szCs w:val="32"/>
          <w:highlight w:val="none"/>
        </w:rPr>
      </w:pPr>
      <w:r>
        <w:rPr>
          <w:rFonts w:hint="eastAsia" w:hAnsi="宋体" w:cs="宋体"/>
          <w:b/>
          <w:color w:val="auto"/>
          <w:sz w:val="32"/>
          <w:szCs w:val="32"/>
          <w:highlight w:val="none"/>
        </w:rPr>
        <w:t xml:space="preserve">          </w:t>
      </w:r>
    </w:p>
    <w:p w14:paraId="36499047">
      <w:pPr>
        <w:jc w:val="center"/>
        <w:rPr>
          <w:rFonts w:hAnsi="宋体" w:cs="宋体"/>
          <w:color w:val="auto"/>
          <w:sz w:val="52"/>
          <w:szCs w:val="52"/>
          <w:highlight w:val="none"/>
        </w:rPr>
      </w:pPr>
    </w:p>
    <w:p w14:paraId="13944681">
      <w:pPr>
        <w:jc w:val="center"/>
        <w:rPr>
          <w:rFonts w:hAnsi="宋体" w:cs="宋体"/>
          <w:color w:val="auto"/>
          <w:sz w:val="52"/>
          <w:szCs w:val="52"/>
          <w:highlight w:val="none"/>
        </w:rPr>
      </w:pPr>
    </w:p>
    <w:p w14:paraId="45FB759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4EE979E1">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1DA02F76">
      <w:pPr>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1EAE1BF8">
      <w:pPr>
        <w:jc w:val="center"/>
        <w:rPr>
          <w:rFonts w:hAnsi="宋体" w:cs="宋体"/>
          <w:color w:val="auto"/>
          <w:sz w:val="30"/>
          <w:szCs w:val="30"/>
          <w:highlight w:val="none"/>
        </w:rPr>
      </w:pPr>
    </w:p>
    <w:p w14:paraId="216C30CE">
      <w:pPr>
        <w:jc w:val="center"/>
        <w:rPr>
          <w:rFonts w:hAnsi="宋体" w:cs="宋体"/>
          <w:color w:val="auto"/>
          <w:sz w:val="30"/>
          <w:szCs w:val="30"/>
          <w:highlight w:val="none"/>
        </w:rPr>
      </w:pPr>
    </w:p>
    <w:p w14:paraId="420EFFC3">
      <w:pPr>
        <w:jc w:val="center"/>
        <w:rPr>
          <w:rFonts w:hAnsi="宋体" w:cs="宋体"/>
          <w:color w:val="auto"/>
          <w:sz w:val="30"/>
          <w:szCs w:val="30"/>
          <w:highlight w:val="none"/>
        </w:rPr>
      </w:pPr>
    </w:p>
    <w:p w14:paraId="761030E7">
      <w:pPr>
        <w:jc w:val="center"/>
        <w:rPr>
          <w:rFonts w:hAnsi="宋体" w:cs="宋体"/>
          <w:color w:val="auto"/>
          <w:sz w:val="30"/>
          <w:szCs w:val="30"/>
          <w:highlight w:val="none"/>
        </w:rPr>
      </w:pPr>
    </w:p>
    <w:p w14:paraId="44958293">
      <w:pPr>
        <w:jc w:val="center"/>
        <w:rPr>
          <w:rFonts w:hAnsi="宋体" w:cs="宋体"/>
          <w:color w:val="auto"/>
          <w:sz w:val="30"/>
          <w:szCs w:val="30"/>
          <w:highlight w:val="none"/>
        </w:rPr>
      </w:pPr>
    </w:p>
    <w:p w14:paraId="41FCB87F">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 </w:t>
      </w:r>
    </w:p>
    <w:p w14:paraId="1C2CADC7">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w:t>
      </w:r>
    </w:p>
    <w:p w14:paraId="754D037C">
      <w:pPr>
        <w:jc w:val="center"/>
        <w:rPr>
          <w:rFonts w:hAnsi="宋体" w:cs="宋体"/>
          <w:color w:val="auto"/>
          <w:sz w:val="30"/>
          <w:szCs w:val="30"/>
          <w:highlight w:val="none"/>
        </w:rPr>
      </w:pPr>
    </w:p>
    <w:p w14:paraId="6E642C87">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48561DFC">
      <w:pPr>
        <w:jc w:val="center"/>
        <w:rPr>
          <w:rFonts w:hAnsi="宋体" w:cs="宋体"/>
          <w:color w:val="auto"/>
          <w:sz w:val="32"/>
          <w:szCs w:val="32"/>
          <w:highlight w:val="none"/>
        </w:rPr>
      </w:pPr>
    </w:p>
    <w:p w14:paraId="5DAB9988">
      <w:pPr>
        <w:spacing w:line="590" w:lineRule="exact"/>
        <w:rPr>
          <w:rFonts w:hAnsi="宋体" w:cs="宋体"/>
          <w:b/>
          <w:color w:val="auto"/>
          <w:sz w:val="36"/>
          <w:szCs w:val="36"/>
          <w:highlight w:val="none"/>
        </w:rPr>
      </w:pPr>
    </w:p>
    <w:p w14:paraId="7C853692">
      <w:pPr>
        <w:jc w:val="center"/>
        <w:outlineLvl w:val="2"/>
        <w:rPr>
          <w:rFonts w:ascii="黑体"/>
          <w:b/>
          <w:color w:val="auto"/>
          <w:sz w:val="36"/>
          <w:szCs w:val="36"/>
          <w:highlight w:val="none"/>
        </w:rPr>
      </w:pPr>
      <w:r>
        <w:rPr>
          <w:rFonts w:hint="eastAsia" w:hAnsi="宋体" w:cs="宋体"/>
          <w:b/>
          <w:color w:val="auto"/>
          <w:szCs w:val="21"/>
          <w:highlight w:val="none"/>
        </w:rPr>
        <w:br w:type="page"/>
      </w:r>
      <w:bookmarkStart w:id="127" w:name="_Toc7965"/>
      <w:bookmarkStart w:id="128" w:name="_Toc20561"/>
      <w:bookmarkStart w:id="129" w:name="_Toc24621"/>
      <w:bookmarkStart w:id="130" w:name="_Toc28398"/>
      <w:r>
        <w:rPr>
          <w:rFonts w:hint="eastAsia" w:ascii="黑体" w:eastAsia="黑体"/>
          <w:b/>
          <w:color w:val="auto"/>
          <w:sz w:val="36"/>
          <w:szCs w:val="36"/>
          <w:highlight w:val="none"/>
        </w:rPr>
        <w:t>协 议 书</w:t>
      </w:r>
      <w:bookmarkEnd w:id="127"/>
      <w:bookmarkEnd w:id="128"/>
      <w:bookmarkEnd w:id="129"/>
      <w:bookmarkEnd w:id="130"/>
    </w:p>
    <w:p w14:paraId="7F85C3BA">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57822419">
      <w:pPr>
        <w:spacing w:line="360" w:lineRule="auto"/>
        <w:rPr>
          <w:rFonts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p>
    <w:p w14:paraId="20720E0E">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根据《中华人民共和国民法典》、《中华人民共和国政府采购法》与项目行业有关的法律法规，以及本项目（</w:t>
      </w:r>
      <w:r>
        <w:rPr>
          <w:rFonts w:hint="eastAsia" w:hAnsi="宋体" w:cs="宋体"/>
          <w:color w:val="auto"/>
          <w:szCs w:val="21"/>
          <w:highlight w:val="none"/>
          <w:lang w:eastAsia="zh-CN"/>
        </w:rPr>
        <w:t>2025年秋季学期期末考试考场租赁项目(三次)</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2025年秋季学期期末考试考场租赁项目</w:t>
      </w:r>
      <w:r>
        <w:rPr>
          <w:rFonts w:hint="eastAsia" w:hAnsi="宋体" w:cs="宋体"/>
          <w:color w:val="auto"/>
          <w:szCs w:val="21"/>
          <w:highlight w:val="none"/>
        </w:rPr>
        <w:t>协商达成一致，确立本合同。</w:t>
      </w:r>
    </w:p>
    <w:p w14:paraId="19CE094D">
      <w:pPr>
        <w:tabs>
          <w:tab w:val="left" w:pos="480"/>
        </w:tabs>
        <w:spacing w:line="360" w:lineRule="auto"/>
        <w:outlineLvl w:val="1"/>
        <w:rPr>
          <w:rFonts w:hAnsi="宋体" w:cs="宋体"/>
          <w:b/>
          <w:color w:val="auto"/>
          <w:szCs w:val="21"/>
          <w:highlight w:val="none"/>
        </w:rPr>
      </w:pPr>
      <w:bookmarkStart w:id="131" w:name="_Toc30883"/>
      <w:bookmarkStart w:id="132" w:name="_Toc7407"/>
      <w:bookmarkStart w:id="133" w:name="_Toc15362"/>
      <w:bookmarkStart w:id="134" w:name="_Toc8841"/>
      <w:bookmarkStart w:id="135" w:name="_Toc12769"/>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131"/>
      <w:bookmarkEnd w:id="132"/>
      <w:bookmarkEnd w:id="133"/>
      <w:bookmarkEnd w:id="134"/>
      <w:bookmarkEnd w:id="13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154F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AC4FCD1">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343ADC2E">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2D70B012">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14:paraId="607A7D68">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37726EC5">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备注</w:t>
            </w:r>
          </w:p>
        </w:tc>
      </w:tr>
      <w:tr w14:paraId="4F0C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6C94F934">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14:paraId="52D06540">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6EDCF594">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4249DA8F">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77230643">
            <w:pPr>
              <w:tabs>
                <w:tab w:val="left" w:pos="480"/>
              </w:tabs>
              <w:spacing w:line="396" w:lineRule="exact"/>
              <w:jc w:val="center"/>
              <w:rPr>
                <w:rFonts w:hAnsi="宋体" w:cs="宋体"/>
                <w:color w:val="auto"/>
                <w:szCs w:val="21"/>
                <w:highlight w:val="none"/>
              </w:rPr>
            </w:pPr>
          </w:p>
        </w:tc>
      </w:tr>
      <w:tr w14:paraId="622D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2D0E6394">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14:paraId="08A225E0">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0FFF6565">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005A0047">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8494EC0">
            <w:pPr>
              <w:tabs>
                <w:tab w:val="left" w:pos="480"/>
              </w:tabs>
              <w:spacing w:line="396" w:lineRule="exact"/>
              <w:jc w:val="center"/>
              <w:rPr>
                <w:rFonts w:hAnsi="宋体" w:cs="宋体"/>
                <w:color w:val="auto"/>
                <w:szCs w:val="21"/>
                <w:highlight w:val="none"/>
              </w:rPr>
            </w:pPr>
          </w:p>
        </w:tc>
      </w:tr>
    </w:tbl>
    <w:p w14:paraId="6D34B8F5">
      <w:pPr>
        <w:tabs>
          <w:tab w:val="left" w:pos="480"/>
        </w:tabs>
        <w:spacing w:line="360" w:lineRule="auto"/>
        <w:outlineLvl w:val="1"/>
        <w:rPr>
          <w:rFonts w:hAnsi="宋体" w:cs="宋体"/>
          <w:b/>
          <w:color w:val="auto"/>
          <w:szCs w:val="21"/>
          <w:highlight w:val="none"/>
        </w:rPr>
      </w:pPr>
      <w:bookmarkStart w:id="136" w:name="_Toc4137"/>
      <w:bookmarkStart w:id="137" w:name="_Toc29331"/>
      <w:bookmarkStart w:id="138" w:name="_Toc3926"/>
      <w:bookmarkStart w:id="139" w:name="_Toc8887"/>
      <w:bookmarkStart w:id="140" w:name="_Toc18749"/>
      <w:r>
        <w:rPr>
          <w:rFonts w:hint="eastAsia" w:hAnsi="宋体" w:cs="宋体"/>
          <w:b/>
          <w:color w:val="auto"/>
          <w:szCs w:val="21"/>
          <w:highlight w:val="none"/>
        </w:rPr>
        <w:t>二、合同价款</w:t>
      </w:r>
      <w:bookmarkEnd w:id="136"/>
      <w:bookmarkEnd w:id="137"/>
      <w:bookmarkEnd w:id="138"/>
      <w:bookmarkEnd w:id="139"/>
      <w:bookmarkEnd w:id="140"/>
    </w:p>
    <w:p w14:paraId="21E4777F">
      <w:pPr>
        <w:tabs>
          <w:tab w:val="left" w:pos="480"/>
        </w:tabs>
        <w:spacing w:line="360" w:lineRule="auto"/>
        <w:ind w:firstLine="480" w:firstLineChars="200"/>
        <w:rPr>
          <w:rFonts w:hAnsi="宋体" w:cs="宋体"/>
          <w:color w:val="auto"/>
          <w:szCs w:val="21"/>
          <w:highlight w:val="none"/>
          <w:u w:val="single"/>
        </w:rPr>
      </w:pPr>
      <w:r>
        <w:rPr>
          <w:rFonts w:hint="eastAsia" w:hAnsi="宋体" w:cs="宋体"/>
          <w:color w:val="auto"/>
          <w:szCs w:val="21"/>
          <w:highlight w:val="none"/>
        </w:rPr>
        <w:t>（一）本合同为总价合同，各项服务的合同总价为其磋商最终报价。</w:t>
      </w:r>
    </w:p>
    <w:p w14:paraId="40BB868D">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（二）合同价包括：</w:t>
      </w:r>
    </w:p>
    <w:p w14:paraId="516BA9AE">
      <w:pPr>
        <w:tabs>
          <w:tab w:val="left" w:pos="480"/>
        </w:tabs>
        <w:spacing w:line="360" w:lineRule="auto"/>
        <w:outlineLvl w:val="1"/>
        <w:rPr>
          <w:rFonts w:hAnsi="宋体" w:cs="宋体"/>
          <w:b/>
          <w:color w:val="auto"/>
          <w:szCs w:val="21"/>
          <w:highlight w:val="none"/>
        </w:rPr>
      </w:pPr>
      <w:bookmarkStart w:id="141" w:name="_Toc9765"/>
      <w:bookmarkStart w:id="142" w:name="_Toc6296"/>
      <w:bookmarkStart w:id="143" w:name="_Toc23247"/>
      <w:bookmarkStart w:id="144" w:name="_Toc28664"/>
      <w:bookmarkStart w:id="145" w:name="_Toc22511"/>
      <w:r>
        <w:rPr>
          <w:rFonts w:hint="eastAsia" w:hAnsi="宋体" w:cs="宋体"/>
          <w:b/>
          <w:color w:val="auto"/>
          <w:szCs w:val="21"/>
          <w:highlight w:val="none"/>
        </w:rPr>
        <w:t>三、款项结算</w:t>
      </w:r>
      <w:bookmarkEnd w:id="141"/>
      <w:bookmarkEnd w:id="142"/>
      <w:bookmarkEnd w:id="143"/>
      <w:bookmarkEnd w:id="144"/>
      <w:bookmarkEnd w:id="145"/>
    </w:p>
    <w:p w14:paraId="4C5DBA6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详见合同前附表。</w:t>
      </w:r>
    </w:p>
    <w:p w14:paraId="164769F8">
      <w:pPr>
        <w:tabs>
          <w:tab w:val="left" w:pos="480"/>
        </w:tabs>
        <w:spacing w:line="360" w:lineRule="auto"/>
        <w:outlineLvl w:val="1"/>
        <w:rPr>
          <w:rFonts w:hAnsi="宋体" w:cs="宋体"/>
          <w:color w:val="auto"/>
          <w:szCs w:val="21"/>
          <w:highlight w:val="none"/>
        </w:rPr>
      </w:pPr>
      <w:bookmarkStart w:id="146" w:name="_Toc21110"/>
      <w:bookmarkStart w:id="147" w:name="_Toc21171"/>
      <w:bookmarkStart w:id="148" w:name="_Toc9555"/>
      <w:bookmarkStart w:id="149" w:name="_Toc24406"/>
      <w:bookmarkStart w:id="150" w:name="_Toc21714"/>
      <w:r>
        <w:rPr>
          <w:rFonts w:hint="eastAsia" w:hAnsi="宋体" w:cs="宋体"/>
          <w:b/>
          <w:color w:val="auto"/>
          <w:szCs w:val="21"/>
          <w:highlight w:val="none"/>
        </w:rPr>
        <w:t>四、服务条件：</w:t>
      </w:r>
      <w:bookmarkEnd w:id="146"/>
      <w:bookmarkEnd w:id="147"/>
      <w:bookmarkEnd w:id="148"/>
      <w:bookmarkEnd w:id="149"/>
      <w:bookmarkEnd w:id="150"/>
    </w:p>
    <w:p w14:paraId="4DD51BF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（一）服务地点：甲方指定地点。</w:t>
      </w:r>
    </w:p>
    <w:p w14:paraId="7B0F417D">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（二）服务期限：</w:t>
      </w:r>
    </w:p>
    <w:p w14:paraId="723A253D">
      <w:pPr>
        <w:tabs>
          <w:tab w:val="left" w:pos="480"/>
        </w:tabs>
        <w:spacing w:line="360" w:lineRule="auto"/>
        <w:outlineLvl w:val="1"/>
        <w:rPr>
          <w:rFonts w:hAnsi="宋体" w:cs="宋体"/>
          <w:b/>
          <w:color w:val="auto"/>
          <w:szCs w:val="21"/>
          <w:highlight w:val="none"/>
        </w:rPr>
      </w:pPr>
      <w:bookmarkStart w:id="151" w:name="_Toc32459"/>
      <w:bookmarkStart w:id="152" w:name="_Toc27382"/>
      <w:bookmarkStart w:id="153" w:name="_Toc15947"/>
      <w:bookmarkStart w:id="154" w:name="_Toc7966"/>
      <w:bookmarkStart w:id="155" w:name="_Toc15118"/>
      <w:r>
        <w:rPr>
          <w:rFonts w:hint="eastAsia" w:hAnsi="宋体" w:cs="宋体"/>
          <w:b/>
          <w:color w:val="auto"/>
          <w:szCs w:val="21"/>
          <w:highlight w:val="none"/>
        </w:rPr>
        <w:t>五、质量保证</w:t>
      </w:r>
      <w:bookmarkEnd w:id="151"/>
      <w:bookmarkEnd w:id="152"/>
      <w:bookmarkEnd w:id="153"/>
      <w:bookmarkEnd w:id="154"/>
      <w:bookmarkEnd w:id="155"/>
    </w:p>
    <w:p w14:paraId="1D4D8E46">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1.乙方所提供货物和服务保证技术指标符合要求、质量性能可靠、必须符合国家相关法律法规的要求。</w:t>
      </w:r>
    </w:p>
    <w:p w14:paraId="04D6317C">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2、成交单位应当保证其具有完成本项目所要求的货物和服务所必须具备的专业设备和服务能力。</w:t>
      </w:r>
    </w:p>
    <w:p w14:paraId="59925376">
      <w:pPr>
        <w:tabs>
          <w:tab w:val="left" w:pos="480"/>
        </w:tabs>
        <w:spacing w:line="360" w:lineRule="auto"/>
        <w:outlineLvl w:val="1"/>
        <w:rPr>
          <w:rFonts w:hAnsi="宋体" w:cs="宋体"/>
          <w:b/>
          <w:color w:val="auto"/>
          <w:szCs w:val="21"/>
          <w:highlight w:val="none"/>
        </w:rPr>
      </w:pPr>
      <w:bookmarkStart w:id="156" w:name="_Toc13959"/>
      <w:bookmarkStart w:id="157" w:name="_Toc9903"/>
      <w:bookmarkStart w:id="158" w:name="_Toc12558"/>
      <w:bookmarkStart w:id="159" w:name="_Toc23868"/>
      <w:bookmarkStart w:id="160" w:name="_Toc21314"/>
      <w:r>
        <w:rPr>
          <w:rFonts w:hint="eastAsia" w:hAnsi="宋体" w:cs="宋体"/>
          <w:b/>
          <w:color w:val="auto"/>
          <w:szCs w:val="21"/>
          <w:highlight w:val="none"/>
        </w:rPr>
        <w:t>六、技术与服务</w:t>
      </w:r>
      <w:bookmarkEnd w:id="156"/>
      <w:bookmarkEnd w:id="157"/>
      <w:bookmarkEnd w:id="158"/>
      <w:bookmarkEnd w:id="159"/>
      <w:bookmarkEnd w:id="160"/>
    </w:p>
    <w:p w14:paraId="076F31C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（一）技术资料：</w:t>
      </w:r>
    </w:p>
    <w:p w14:paraId="6EE0982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技术资料：</w:t>
      </w:r>
    </w:p>
    <w:p w14:paraId="7767594F">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成交供应商应随同服务提供相应的中文技术文件。</w:t>
      </w:r>
    </w:p>
    <w:p w14:paraId="437382FC">
      <w:pPr>
        <w:tabs>
          <w:tab w:val="left" w:pos="480"/>
        </w:tabs>
        <w:spacing w:line="360" w:lineRule="auto"/>
        <w:ind w:firstLine="480" w:firstLineChars="200"/>
        <w:rPr>
          <w:color w:val="auto"/>
          <w:highlight w:val="none"/>
        </w:rPr>
      </w:pPr>
      <w:r>
        <w:rPr>
          <w:rFonts w:hint="eastAsia" w:hAnsi="宋体" w:cs="宋体"/>
          <w:color w:val="auto"/>
          <w:szCs w:val="21"/>
          <w:highlight w:val="none"/>
        </w:rPr>
        <w:t>（二）服务承诺：以竞争性磋商响应文件、澄清表（函）、合同和随货物的相关文件为准。</w:t>
      </w:r>
    </w:p>
    <w:p w14:paraId="596FA042">
      <w:pPr>
        <w:tabs>
          <w:tab w:val="left" w:pos="480"/>
        </w:tabs>
        <w:spacing w:line="360" w:lineRule="auto"/>
        <w:outlineLvl w:val="1"/>
        <w:rPr>
          <w:rFonts w:hAnsi="宋体" w:cs="宋体"/>
          <w:b/>
          <w:color w:val="auto"/>
          <w:szCs w:val="21"/>
          <w:highlight w:val="none"/>
        </w:rPr>
      </w:pPr>
      <w:bookmarkStart w:id="161" w:name="_Toc12975"/>
      <w:bookmarkStart w:id="162" w:name="_Toc28855"/>
      <w:bookmarkStart w:id="163" w:name="_Toc22161"/>
      <w:bookmarkStart w:id="164" w:name="_Toc13572"/>
      <w:bookmarkStart w:id="165" w:name="_Toc14409"/>
      <w:r>
        <w:rPr>
          <w:rFonts w:hint="eastAsia" w:hAnsi="宋体" w:cs="宋体"/>
          <w:b/>
          <w:color w:val="auto"/>
          <w:szCs w:val="21"/>
          <w:highlight w:val="none"/>
        </w:rPr>
        <w:t>七、验收</w:t>
      </w:r>
      <w:bookmarkEnd w:id="161"/>
      <w:bookmarkEnd w:id="162"/>
      <w:bookmarkEnd w:id="163"/>
      <w:bookmarkEnd w:id="164"/>
      <w:bookmarkEnd w:id="165"/>
    </w:p>
    <w:p w14:paraId="3044430A">
      <w:pPr>
        <w:spacing w:line="360" w:lineRule="auto"/>
        <w:ind w:firstLine="480" w:firstLineChars="200"/>
        <w:rPr>
          <w:color w:val="auto"/>
          <w:highlight w:val="none"/>
        </w:rPr>
      </w:pPr>
      <w:r>
        <w:rPr>
          <w:rFonts w:hint="eastAsia"/>
          <w:color w:val="auto"/>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0885CE7F">
      <w:pPr>
        <w:spacing w:line="360" w:lineRule="auto"/>
        <w:ind w:firstLine="480" w:firstLineChars="200"/>
        <w:rPr>
          <w:color w:val="auto"/>
          <w:highlight w:val="none"/>
        </w:rPr>
      </w:pPr>
      <w:r>
        <w:rPr>
          <w:rFonts w:hint="eastAsia"/>
          <w:color w:val="auto"/>
          <w:highlight w:val="none"/>
        </w:rPr>
        <w:t>2、若发现乙方有弄虚作假的，及在项目实施阶段故意或随意夸大服务，本合同解除，乙方赔偿甲方相应的损失。</w:t>
      </w:r>
    </w:p>
    <w:p w14:paraId="6BED75BF">
      <w:pPr>
        <w:spacing w:line="360" w:lineRule="auto"/>
        <w:ind w:firstLine="480" w:firstLineChars="200"/>
        <w:rPr>
          <w:color w:val="auto"/>
          <w:highlight w:val="none"/>
        </w:rPr>
      </w:pPr>
      <w:r>
        <w:rPr>
          <w:rFonts w:hint="eastAsia"/>
          <w:color w:val="auto"/>
          <w:highlight w:val="none"/>
        </w:rPr>
        <w:t>3、验收标准：按磋商文件、磋商响应文件及磋商记录表等技术指标进行逐项验收。各项指标均应符合验收标准及要求。</w:t>
      </w:r>
    </w:p>
    <w:p w14:paraId="5F8A3E31">
      <w:pPr>
        <w:tabs>
          <w:tab w:val="left" w:pos="480"/>
        </w:tabs>
        <w:spacing w:line="360" w:lineRule="auto"/>
        <w:outlineLvl w:val="1"/>
        <w:rPr>
          <w:rFonts w:hAnsi="宋体" w:cs="宋体"/>
          <w:b/>
          <w:color w:val="auto"/>
          <w:szCs w:val="21"/>
          <w:highlight w:val="none"/>
        </w:rPr>
      </w:pPr>
      <w:bookmarkStart w:id="166" w:name="_Toc20026"/>
      <w:bookmarkStart w:id="167" w:name="_Toc31076"/>
      <w:bookmarkStart w:id="168" w:name="_Toc9858"/>
      <w:bookmarkStart w:id="169" w:name="_Toc30681"/>
      <w:bookmarkStart w:id="170" w:name="_Toc7598"/>
      <w:r>
        <w:rPr>
          <w:rFonts w:hint="eastAsia" w:hAnsi="宋体" w:cs="宋体"/>
          <w:b/>
          <w:color w:val="auto"/>
          <w:szCs w:val="21"/>
          <w:highlight w:val="none"/>
        </w:rPr>
        <w:t>八、违约责任</w:t>
      </w:r>
      <w:bookmarkEnd w:id="166"/>
      <w:bookmarkEnd w:id="167"/>
      <w:bookmarkEnd w:id="168"/>
      <w:bookmarkEnd w:id="169"/>
      <w:bookmarkEnd w:id="170"/>
    </w:p>
    <w:p w14:paraId="440A976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00B0C04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p w14:paraId="0E3FFD64">
      <w:pPr>
        <w:tabs>
          <w:tab w:val="left" w:pos="480"/>
        </w:tabs>
        <w:spacing w:line="360" w:lineRule="auto"/>
        <w:outlineLvl w:val="1"/>
        <w:rPr>
          <w:rFonts w:hAnsi="宋体" w:cs="宋体"/>
          <w:b/>
          <w:color w:val="auto"/>
          <w:szCs w:val="21"/>
          <w:highlight w:val="none"/>
        </w:rPr>
      </w:pPr>
      <w:bookmarkStart w:id="171" w:name="_Toc29958"/>
      <w:bookmarkStart w:id="172" w:name="_Toc30630"/>
      <w:bookmarkStart w:id="173" w:name="_Toc13662"/>
      <w:bookmarkStart w:id="174" w:name="_Toc15856"/>
      <w:bookmarkStart w:id="175" w:name="_Toc27523"/>
      <w:r>
        <w:rPr>
          <w:rFonts w:hint="eastAsia" w:hAnsi="宋体" w:cs="宋体"/>
          <w:b/>
          <w:color w:val="auto"/>
          <w:szCs w:val="21"/>
          <w:highlight w:val="none"/>
        </w:rPr>
        <w:t>九、合同争议解决的方式</w:t>
      </w:r>
      <w:bookmarkEnd w:id="171"/>
      <w:bookmarkEnd w:id="172"/>
      <w:bookmarkEnd w:id="173"/>
      <w:bookmarkEnd w:id="174"/>
      <w:bookmarkEnd w:id="175"/>
    </w:p>
    <w:p w14:paraId="7FDF16E3">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68BC9C2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64C239B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79D65BD1">
      <w:pPr>
        <w:tabs>
          <w:tab w:val="left" w:pos="480"/>
        </w:tabs>
        <w:spacing w:line="360" w:lineRule="auto"/>
        <w:outlineLvl w:val="1"/>
        <w:rPr>
          <w:rFonts w:hAnsi="宋体" w:cs="宋体"/>
          <w:b/>
          <w:color w:val="auto"/>
          <w:szCs w:val="21"/>
          <w:highlight w:val="none"/>
        </w:rPr>
      </w:pPr>
      <w:bookmarkStart w:id="176" w:name="_Toc18389"/>
      <w:bookmarkStart w:id="177" w:name="_Toc25612"/>
      <w:bookmarkStart w:id="178" w:name="_Toc11478"/>
      <w:bookmarkStart w:id="179" w:name="_Toc2858"/>
      <w:bookmarkStart w:id="180" w:name="_Toc7342"/>
      <w:r>
        <w:rPr>
          <w:rFonts w:hint="eastAsia" w:hAnsi="宋体" w:cs="宋体"/>
          <w:b/>
          <w:color w:val="auto"/>
          <w:szCs w:val="21"/>
          <w:highlight w:val="none"/>
        </w:rPr>
        <w:t>十、合同生效</w:t>
      </w:r>
      <w:bookmarkEnd w:id="176"/>
      <w:bookmarkEnd w:id="177"/>
      <w:bookmarkEnd w:id="178"/>
      <w:bookmarkEnd w:id="179"/>
      <w:bookmarkEnd w:id="180"/>
    </w:p>
    <w:p w14:paraId="675BD1D1">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2B0B2468">
      <w:pPr>
        <w:tabs>
          <w:tab w:val="left" w:pos="480"/>
        </w:tabs>
        <w:spacing w:line="360" w:lineRule="auto"/>
        <w:outlineLvl w:val="1"/>
        <w:rPr>
          <w:rFonts w:hAnsi="宋体" w:cs="宋体"/>
          <w:b/>
          <w:color w:val="auto"/>
          <w:szCs w:val="21"/>
          <w:highlight w:val="none"/>
        </w:rPr>
      </w:pPr>
      <w:bookmarkStart w:id="181" w:name="_Toc31909"/>
      <w:bookmarkStart w:id="182" w:name="_Toc823"/>
      <w:bookmarkStart w:id="183" w:name="_Toc21232"/>
      <w:bookmarkStart w:id="184" w:name="_Toc18381"/>
      <w:bookmarkStart w:id="185" w:name="_Toc18225"/>
      <w:r>
        <w:rPr>
          <w:rFonts w:hint="eastAsia" w:hAnsi="宋体" w:cs="宋体"/>
          <w:b/>
          <w:color w:val="auto"/>
          <w:szCs w:val="21"/>
          <w:highlight w:val="none"/>
        </w:rPr>
        <w:t>十一、其他事项</w:t>
      </w:r>
      <w:bookmarkEnd w:id="181"/>
      <w:bookmarkEnd w:id="182"/>
      <w:bookmarkEnd w:id="183"/>
      <w:bookmarkEnd w:id="184"/>
      <w:bookmarkEnd w:id="185"/>
    </w:p>
    <w:p w14:paraId="078E179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14:paraId="2E43235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6D048181">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3DAB1880">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06476A5C">
      <w:pPr>
        <w:spacing w:line="360" w:lineRule="auto"/>
        <w:ind w:firstLine="420"/>
        <w:rPr>
          <w:color w:val="auto"/>
          <w:szCs w:val="24"/>
          <w:highlight w:val="none"/>
        </w:rPr>
      </w:pPr>
      <w:r>
        <w:rPr>
          <w:rFonts w:hint="eastAsia" w:hAnsi="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0AB40D70">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7D35479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甲  方：（盖章）                          乙  方：（盖章）</w:t>
      </w:r>
    </w:p>
    <w:p w14:paraId="047B529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单位名称：                                单位名称：</w:t>
      </w:r>
    </w:p>
    <w:p w14:paraId="38894B1F">
      <w:pPr>
        <w:tabs>
          <w:tab w:val="left" w:pos="480"/>
        </w:tabs>
        <w:spacing w:line="360" w:lineRule="auto"/>
        <w:ind w:left="6720" w:leftChars="200" w:hanging="6240" w:hangingChars="2600"/>
        <w:rPr>
          <w:rFonts w:hAnsi="宋体" w:cs="宋体"/>
          <w:color w:val="auto"/>
          <w:szCs w:val="21"/>
          <w:highlight w:val="none"/>
        </w:rPr>
      </w:pPr>
      <w:r>
        <w:rPr>
          <w:rFonts w:hint="eastAsia" w:hAnsi="宋体" w:cs="宋体"/>
          <w:color w:val="auto"/>
          <w:szCs w:val="21"/>
          <w:highlight w:val="none"/>
        </w:rPr>
        <w:t>地  址：                                  地  址：</w:t>
      </w:r>
    </w:p>
    <w:p w14:paraId="3AD7ABC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法定代表人                                法定代表人</w:t>
      </w:r>
    </w:p>
    <w:p w14:paraId="64063FD8">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02EC1BFF">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                                          开户银行：</w:t>
      </w:r>
    </w:p>
    <w:p w14:paraId="0EB8A979">
      <w:pPr>
        <w:tabs>
          <w:tab w:val="left" w:pos="480"/>
        </w:tabs>
        <w:spacing w:line="360" w:lineRule="auto"/>
        <w:ind w:firstLine="5520" w:firstLineChars="2300"/>
        <w:rPr>
          <w:rFonts w:hAnsi="宋体" w:cs="宋体"/>
          <w:color w:val="auto"/>
          <w:szCs w:val="21"/>
          <w:highlight w:val="none"/>
        </w:rPr>
      </w:pPr>
      <w:r>
        <w:rPr>
          <w:rFonts w:hint="eastAsia" w:hAnsi="宋体" w:cs="宋体"/>
          <w:color w:val="auto"/>
          <w:szCs w:val="21"/>
          <w:highlight w:val="none"/>
        </w:rPr>
        <w:t xml:space="preserve">账  号：       </w:t>
      </w:r>
    </w:p>
    <w:p w14:paraId="4A81A8C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联系电话：                                联系电话：</w:t>
      </w:r>
    </w:p>
    <w:p w14:paraId="1435EA0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签订日期：     年    月      日           签订日期：     年    月   日</w:t>
      </w:r>
    </w:p>
    <w:p w14:paraId="148EF0B5">
      <w:pPr>
        <w:rPr>
          <w:color w:val="auto"/>
          <w:highlight w:val="none"/>
        </w:rPr>
      </w:pPr>
    </w:p>
    <w:p w14:paraId="22CB0AB1">
      <w:pPr>
        <w:pStyle w:val="2"/>
        <w:bidi w:val="0"/>
        <w:jc w:val="center"/>
        <w:rPr>
          <w:rFonts w:ascii="宋体" w:eastAsia="宋体" w:cs="宋体"/>
          <w:bCs/>
          <w:color w:val="auto"/>
          <w:sz w:val="36"/>
          <w:szCs w:val="36"/>
          <w:highlight w:val="none"/>
        </w:rPr>
      </w:pPr>
      <w:r>
        <w:rPr>
          <w:rFonts w:hint="eastAsia" w:ascii="宋体" w:eastAsia="宋体" w:cs="宋体"/>
          <w:b w:val="0"/>
          <w:color w:val="auto"/>
          <w:szCs w:val="21"/>
          <w:highlight w:val="none"/>
        </w:rPr>
        <w:br w:type="page"/>
      </w:r>
      <w:bookmarkStart w:id="186" w:name="_Toc4254"/>
      <w:bookmarkStart w:id="187" w:name="_Toc1119"/>
      <w:bookmarkStart w:id="188" w:name="_Toc8072"/>
      <w:r>
        <w:rPr>
          <w:rFonts w:hint="eastAsia" w:ascii="宋体" w:eastAsia="宋体" w:cs="宋体"/>
          <w:bCs/>
          <w:color w:val="auto"/>
          <w:sz w:val="36"/>
          <w:szCs w:val="36"/>
          <w:highlight w:val="none"/>
        </w:rPr>
        <w:t xml:space="preserve">第五章 </w:t>
      </w:r>
      <w:bookmarkEnd w:id="112"/>
      <w:bookmarkEnd w:id="113"/>
      <w:bookmarkEnd w:id="114"/>
      <w:bookmarkEnd w:id="115"/>
      <w:bookmarkEnd w:id="116"/>
      <w:bookmarkEnd w:id="117"/>
      <w:bookmarkEnd w:id="118"/>
      <w:bookmarkEnd w:id="119"/>
      <w:bookmarkEnd w:id="120"/>
      <w:r>
        <w:rPr>
          <w:rFonts w:hint="eastAsia" w:ascii="宋体" w:eastAsia="宋体" w:cs="宋体"/>
          <w:bCs/>
          <w:color w:val="auto"/>
          <w:sz w:val="36"/>
          <w:szCs w:val="36"/>
          <w:highlight w:val="none"/>
        </w:rPr>
        <w:t xml:space="preserve"> 磋商内容及技术要求</w:t>
      </w:r>
      <w:bookmarkEnd w:id="186"/>
      <w:bookmarkEnd w:id="187"/>
      <w:bookmarkEnd w:id="188"/>
    </w:p>
    <w:bookmarkEnd w:id="72"/>
    <w:p w14:paraId="459AB6B9">
      <w:pPr>
        <w:spacing w:line="360" w:lineRule="auto"/>
        <w:ind w:firstLine="420"/>
        <w:rPr>
          <w:rFonts w:hint="eastAsia" w:hAnsi="宋体"/>
          <w:color w:val="auto"/>
          <w:szCs w:val="24"/>
          <w:highlight w:val="none"/>
        </w:rPr>
      </w:pPr>
      <w:bookmarkStart w:id="189" w:name="_Toc5084"/>
      <w:bookmarkStart w:id="190" w:name="_Toc6373"/>
      <w:bookmarkStart w:id="191" w:name="_Toc16389"/>
      <w:bookmarkStart w:id="192" w:name="_Toc403077646"/>
      <w:bookmarkStart w:id="193" w:name="_Toc423973079"/>
      <w:bookmarkStart w:id="194" w:name="_Toc363474025"/>
      <w:r>
        <w:rPr>
          <w:rFonts w:hint="eastAsia" w:hAnsi="宋体"/>
          <w:color w:val="auto"/>
          <w:szCs w:val="24"/>
          <w:highlight w:val="none"/>
        </w:rPr>
        <w:t>一 、项目概况</w:t>
      </w:r>
    </w:p>
    <w:p w14:paraId="0597D5BA">
      <w:pPr>
        <w:spacing w:line="360" w:lineRule="auto"/>
        <w:ind w:firstLine="420"/>
        <w:rPr>
          <w:rFonts w:hint="eastAsia" w:hAnsi="宋体"/>
          <w:color w:val="auto"/>
          <w:szCs w:val="24"/>
          <w:highlight w:val="none"/>
        </w:rPr>
      </w:pPr>
      <w:r>
        <w:rPr>
          <w:rFonts w:hint="eastAsia" w:hAnsi="宋体"/>
          <w:color w:val="auto"/>
          <w:szCs w:val="24"/>
          <w:highlight w:val="none"/>
        </w:rPr>
        <w:t>根据国家开放大学2025年秋季学期期末考试工作安排，纸笔考试将于2026年1月17日-18日进行，预计期末考试需考场86间（650元/间/天），该项目预算资金11.18万元。为了进一步提高我校考试组织与管理的标准化和规范化，积极落实从严治考相关要求，经学校研究，现拟定依托代理公司统一为我校直属办学单位租赁考试场地。</w:t>
      </w:r>
    </w:p>
    <w:p w14:paraId="07AD007F">
      <w:pPr>
        <w:spacing w:line="360" w:lineRule="auto"/>
        <w:ind w:firstLine="420"/>
        <w:rPr>
          <w:rFonts w:hint="eastAsia" w:hAnsi="宋体"/>
          <w:color w:val="auto"/>
          <w:szCs w:val="24"/>
          <w:highlight w:val="none"/>
        </w:rPr>
      </w:pPr>
      <w:r>
        <w:rPr>
          <w:rFonts w:hint="eastAsia" w:hAnsi="宋体"/>
          <w:color w:val="auto"/>
          <w:szCs w:val="24"/>
          <w:highlight w:val="none"/>
        </w:rPr>
        <w:t>二、 服务内容</w:t>
      </w:r>
    </w:p>
    <w:p w14:paraId="1538A18F">
      <w:pPr>
        <w:spacing w:line="360" w:lineRule="auto"/>
        <w:ind w:firstLine="420"/>
        <w:rPr>
          <w:rFonts w:hint="eastAsia" w:hAnsi="宋体"/>
          <w:color w:val="auto"/>
          <w:szCs w:val="24"/>
          <w:highlight w:val="none"/>
        </w:rPr>
      </w:pPr>
      <w:r>
        <w:rPr>
          <w:rFonts w:hint="eastAsia" w:hAnsi="宋体"/>
          <w:color w:val="auto"/>
          <w:szCs w:val="24"/>
          <w:highlight w:val="none"/>
        </w:rPr>
        <w:t>（一）考点：</w:t>
      </w:r>
    </w:p>
    <w:p w14:paraId="7A90ED62">
      <w:pPr>
        <w:spacing w:line="360" w:lineRule="auto"/>
        <w:ind w:firstLine="420"/>
        <w:rPr>
          <w:rFonts w:hint="eastAsia" w:hAnsi="宋体"/>
          <w:color w:val="auto"/>
          <w:szCs w:val="24"/>
          <w:highlight w:val="none"/>
        </w:rPr>
      </w:pPr>
      <w:r>
        <w:rPr>
          <w:rFonts w:hint="eastAsia" w:hAnsi="宋体"/>
          <w:color w:val="auto"/>
          <w:szCs w:val="24"/>
          <w:highlight w:val="none"/>
        </w:rPr>
        <w:t>1.考点要求地理位置交通便利，标识醒目，便于查找，考点环境良好，周围无噪音污染。</w:t>
      </w:r>
    </w:p>
    <w:p w14:paraId="0637764C">
      <w:pPr>
        <w:spacing w:line="360" w:lineRule="auto"/>
        <w:ind w:firstLine="420"/>
        <w:rPr>
          <w:rFonts w:hint="eastAsia" w:hAnsi="宋体"/>
          <w:color w:val="auto"/>
          <w:szCs w:val="24"/>
          <w:highlight w:val="none"/>
        </w:rPr>
      </w:pPr>
      <w:r>
        <w:rPr>
          <w:rFonts w:hint="eastAsia" w:hAnsi="宋体"/>
          <w:color w:val="auto"/>
          <w:szCs w:val="24"/>
          <w:highlight w:val="none"/>
        </w:rPr>
        <w:t>2.考点内可供学生提供饮水区、休息区以及便利干净的洗手间等公共设施。</w:t>
      </w:r>
    </w:p>
    <w:p w14:paraId="7DC99688">
      <w:pPr>
        <w:spacing w:line="360" w:lineRule="auto"/>
        <w:ind w:firstLine="420"/>
        <w:rPr>
          <w:rFonts w:hint="eastAsia" w:hAnsi="宋体"/>
          <w:color w:val="auto"/>
          <w:szCs w:val="24"/>
          <w:highlight w:val="none"/>
        </w:rPr>
      </w:pPr>
      <w:r>
        <w:rPr>
          <w:rFonts w:hint="eastAsia" w:hAnsi="宋体"/>
          <w:color w:val="auto"/>
          <w:szCs w:val="24"/>
          <w:highlight w:val="none"/>
        </w:rPr>
        <w:t>3.考点内部，可以确保封闭管理，仅有一个入口在考试期间引导学生有序入场，其他入口，考试期间能够全程封闭管理。考场外围考试期间具备设置警戒线的条件。</w:t>
      </w:r>
    </w:p>
    <w:p w14:paraId="7C8DC64A">
      <w:pPr>
        <w:spacing w:line="360" w:lineRule="auto"/>
        <w:ind w:firstLine="420"/>
        <w:rPr>
          <w:rFonts w:hint="eastAsia" w:hAnsi="宋体"/>
          <w:color w:val="auto"/>
          <w:szCs w:val="24"/>
          <w:highlight w:val="none"/>
        </w:rPr>
      </w:pPr>
      <w:r>
        <w:rPr>
          <w:rFonts w:hint="eastAsia" w:hAnsi="宋体"/>
          <w:color w:val="auto"/>
          <w:szCs w:val="24"/>
          <w:highlight w:val="none"/>
        </w:rPr>
        <w:t>4.每个考点指定一位联系人，与采购人考点考务人员进行对接，处理考试过程中相关问题。</w:t>
      </w:r>
    </w:p>
    <w:p w14:paraId="342B3690">
      <w:pPr>
        <w:spacing w:line="360" w:lineRule="auto"/>
        <w:ind w:firstLine="420"/>
        <w:rPr>
          <w:rFonts w:hint="eastAsia" w:hAnsi="宋体"/>
          <w:color w:val="auto"/>
          <w:szCs w:val="24"/>
          <w:highlight w:val="none"/>
        </w:rPr>
      </w:pPr>
      <w:r>
        <w:rPr>
          <w:rFonts w:hint="eastAsia" w:hAnsi="宋体"/>
          <w:color w:val="auto"/>
          <w:szCs w:val="24"/>
          <w:highlight w:val="none"/>
        </w:rPr>
        <w:t>5.考试前一天下午，各考点考务工作人员需到考点去布置考场，召开考务培训会，场地租赁费用包含在考试两天的费用当中，不在额外支付费用。</w:t>
      </w:r>
    </w:p>
    <w:p w14:paraId="23E26D4F">
      <w:pPr>
        <w:spacing w:line="360" w:lineRule="auto"/>
        <w:ind w:firstLine="420"/>
        <w:rPr>
          <w:rFonts w:hint="eastAsia" w:hAnsi="宋体"/>
          <w:color w:val="auto"/>
          <w:szCs w:val="24"/>
          <w:highlight w:val="none"/>
        </w:rPr>
      </w:pPr>
      <w:r>
        <w:rPr>
          <w:rFonts w:hint="eastAsia" w:hAnsi="宋体"/>
          <w:color w:val="auto"/>
          <w:szCs w:val="24"/>
          <w:highlight w:val="none"/>
        </w:rPr>
        <w:t>（二）考场：</w:t>
      </w:r>
    </w:p>
    <w:p w14:paraId="6FE3C5E3">
      <w:pPr>
        <w:spacing w:line="360" w:lineRule="auto"/>
        <w:ind w:firstLine="420"/>
        <w:rPr>
          <w:rFonts w:hint="eastAsia" w:hAnsi="宋体"/>
          <w:color w:val="auto"/>
          <w:szCs w:val="24"/>
          <w:highlight w:val="none"/>
        </w:rPr>
      </w:pPr>
      <w:r>
        <w:rPr>
          <w:rFonts w:hint="eastAsia" w:hAnsi="宋体"/>
          <w:color w:val="auto"/>
          <w:szCs w:val="24"/>
          <w:highlight w:val="none"/>
        </w:rPr>
        <w:t>1.考场的桌椅应符合成人考试的特点，每个考场容纳考生人数30人；考生座位须单人、单桌、单行排列，前后左右间距满足80公分以上；</w:t>
      </w:r>
    </w:p>
    <w:p w14:paraId="27D60B5B">
      <w:pPr>
        <w:spacing w:line="360" w:lineRule="auto"/>
        <w:ind w:firstLine="420"/>
        <w:rPr>
          <w:rFonts w:hint="eastAsia" w:hAnsi="宋体"/>
          <w:color w:val="auto"/>
          <w:szCs w:val="24"/>
          <w:highlight w:val="none"/>
        </w:rPr>
      </w:pPr>
      <w:r>
        <w:rPr>
          <w:rFonts w:hint="eastAsia" w:hAnsi="宋体"/>
          <w:color w:val="auto"/>
          <w:szCs w:val="24"/>
          <w:highlight w:val="none"/>
        </w:rPr>
        <w:t>2.考场采光、通风良好，有保暖和降温设备，安全设施齐备等基本条件，满足考试要求。</w:t>
      </w:r>
    </w:p>
    <w:p w14:paraId="069E9F69">
      <w:pPr>
        <w:spacing w:line="360" w:lineRule="auto"/>
        <w:ind w:firstLine="420"/>
        <w:rPr>
          <w:rFonts w:hint="eastAsia" w:hAnsi="宋体"/>
          <w:color w:val="auto"/>
          <w:szCs w:val="24"/>
          <w:highlight w:val="none"/>
        </w:rPr>
      </w:pPr>
      <w:r>
        <w:rPr>
          <w:rFonts w:hint="eastAsia" w:hAnsi="宋体"/>
          <w:color w:val="auto"/>
          <w:szCs w:val="24"/>
          <w:highlight w:val="none"/>
        </w:rPr>
        <w:t>3.每个考场确保有前后门，考试期间前门打开，后门关闭。考试期间若有特殊情况，打开前后门，确保学生安全疏散。</w:t>
      </w:r>
    </w:p>
    <w:p w14:paraId="4A952AE2">
      <w:pPr>
        <w:spacing w:line="360" w:lineRule="auto"/>
        <w:ind w:firstLine="420"/>
        <w:rPr>
          <w:rFonts w:hint="eastAsia" w:hAnsi="宋体"/>
          <w:color w:val="auto"/>
          <w:szCs w:val="24"/>
          <w:highlight w:val="none"/>
        </w:rPr>
      </w:pPr>
      <w:r>
        <w:rPr>
          <w:rFonts w:hint="eastAsia" w:hAnsi="宋体"/>
          <w:color w:val="auto"/>
          <w:szCs w:val="24"/>
          <w:highlight w:val="none"/>
        </w:rPr>
        <w:t>4.每个考场要设有物品存放处，手机袋悬挂处。</w:t>
      </w:r>
    </w:p>
    <w:p w14:paraId="12773312">
      <w:pPr>
        <w:spacing w:line="360" w:lineRule="auto"/>
        <w:ind w:firstLine="420"/>
        <w:rPr>
          <w:rFonts w:hint="eastAsia" w:hAnsi="宋体"/>
          <w:color w:val="auto"/>
          <w:szCs w:val="24"/>
          <w:highlight w:val="none"/>
        </w:rPr>
      </w:pPr>
      <w:r>
        <w:rPr>
          <w:rFonts w:hint="eastAsia" w:hAnsi="宋体"/>
          <w:color w:val="auto"/>
          <w:szCs w:val="24"/>
          <w:highlight w:val="none"/>
        </w:rPr>
        <w:t>（三）保密室：</w:t>
      </w:r>
    </w:p>
    <w:p w14:paraId="3E6ABC5D">
      <w:pPr>
        <w:spacing w:line="360" w:lineRule="auto"/>
        <w:ind w:firstLine="420"/>
        <w:rPr>
          <w:rFonts w:hint="eastAsia" w:hAnsi="宋体"/>
          <w:color w:val="auto"/>
          <w:szCs w:val="24"/>
          <w:highlight w:val="none"/>
        </w:rPr>
      </w:pPr>
      <w:r>
        <w:rPr>
          <w:rFonts w:hint="eastAsia" w:hAnsi="宋体"/>
          <w:color w:val="auto"/>
          <w:szCs w:val="24"/>
          <w:highlight w:val="none"/>
        </w:rPr>
        <w:t>1.房间是钢混 (或者砖混)结构，具备防盗、防火、防潮、防鼠等功能，配备铁门、铁窗、铁皮保密柜。</w:t>
      </w:r>
    </w:p>
    <w:p w14:paraId="69037FE1">
      <w:pPr>
        <w:spacing w:line="360" w:lineRule="auto"/>
        <w:ind w:firstLine="420"/>
        <w:rPr>
          <w:rFonts w:hint="eastAsia" w:hAnsi="宋体"/>
          <w:color w:val="auto"/>
          <w:szCs w:val="24"/>
          <w:highlight w:val="none"/>
        </w:rPr>
      </w:pPr>
      <w:r>
        <w:rPr>
          <w:rFonts w:hint="eastAsia" w:hAnsi="宋体"/>
          <w:color w:val="auto"/>
          <w:szCs w:val="24"/>
          <w:highlight w:val="none"/>
        </w:rPr>
        <w:t>2.保密室和保密柜配备双锁。</w:t>
      </w:r>
    </w:p>
    <w:p w14:paraId="672567BA">
      <w:pPr>
        <w:spacing w:line="360" w:lineRule="auto"/>
        <w:ind w:firstLine="420"/>
        <w:rPr>
          <w:rFonts w:hint="eastAsia" w:hAnsi="宋体"/>
          <w:color w:val="auto"/>
          <w:szCs w:val="24"/>
          <w:highlight w:val="none"/>
        </w:rPr>
      </w:pPr>
      <w:r>
        <w:rPr>
          <w:rFonts w:hint="eastAsia" w:hAnsi="宋体"/>
          <w:color w:val="auto"/>
          <w:szCs w:val="24"/>
          <w:highlight w:val="none"/>
        </w:rPr>
        <w:t>3.保密室具有监控设备，监控画面要清晰，且考试期间的监控画面要完整保存，待考试结束，考点考务负责人进行复制备存。</w:t>
      </w:r>
    </w:p>
    <w:p w14:paraId="6E5FBDE3">
      <w:pPr>
        <w:spacing w:line="360" w:lineRule="auto"/>
        <w:ind w:firstLine="420"/>
        <w:rPr>
          <w:rFonts w:hint="eastAsia" w:hAnsi="宋体"/>
          <w:color w:val="auto"/>
          <w:szCs w:val="24"/>
          <w:highlight w:val="none"/>
        </w:rPr>
      </w:pPr>
      <w:r>
        <w:rPr>
          <w:rFonts w:hint="eastAsia" w:hAnsi="宋体"/>
          <w:color w:val="auto"/>
          <w:szCs w:val="24"/>
          <w:highlight w:val="none"/>
        </w:rPr>
        <w:t>（四）考务管理办公室：</w:t>
      </w:r>
    </w:p>
    <w:p w14:paraId="0207FCA6">
      <w:pPr>
        <w:spacing w:line="360" w:lineRule="auto"/>
        <w:ind w:firstLine="420"/>
        <w:rPr>
          <w:rFonts w:hint="eastAsia" w:hAnsi="宋体"/>
          <w:color w:val="auto"/>
          <w:szCs w:val="24"/>
          <w:highlight w:val="none"/>
        </w:rPr>
      </w:pPr>
      <w:r>
        <w:rPr>
          <w:rFonts w:hint="eastAsia" w:hAnsi="宋体"/>
          <w:color w:val="auto"/>
          <w:szCs w:val="24"/>
          <w:highlight w:val="none"/>
        </w:rPr>
        <w:t>1.根据考点考场数量，提供可以满足考务人员办公的会议室、多功能厅或者礼堂。考场数小于20，场地面积不少于40平方米；考场数21-50之间，场地面积不少于80平方米；考场数51-100之间，场地面积不少于100平方米；考场数100以上场地面积不少于150平方米。</w:t>
      </w:r>
    </w:p>
    <w:p w14:paraId="48A1ABC9">
      <w:pPr>
        <w:spacing w:line="360" w:lineRule="auto"/>
        <w:ind w:firstLine="420"/>
        <w:rPr>
          <w:rFonts w:hint="eastAsia" w:hAnsi="宋体"/>
          <w:color w:val="auto"/>
          <w:szCs w:val="24"/>
          <w:highlight w:val="none"/>
        </w:rPr>
      </w:pPr>
      <w:r>
        <w:rPr>
          <w:rFonts w:hint="eastAsia" w:hAnsi="宋体"/>
          <w:color w:val="auto"/>
          <w:szCs w:val="24"/>
          <w:highlight w:val="none"/>
        </w:rPr>
        <w:t>2.考务管理办公室考务管理办公室采光、通风良好，有保暖和降温设备，饮水，安全设施齐备等基本条件，同时配备桌椅满足办公需求。</w:t>
      </w:r>
    </w:p>
    <w:p w14:paraId="0766835D">
      <w:pPr>
        <w:spacing w:line="360" w:lineRule="auto"/>
        <w:ind w:firstLine="420"/>
        <w:rPr>
          <w:rFonts w:hint="eastAsia" w:hAnsi="宋体"/>
          <w:color w:val="auto"/>
          <w:szCs w:val="24"/>
          <w:highlight w:val="none"/>
        </w:rPr>
      </w:pPr>
      <w:r>
        <w:rPr>
          <w:rFonts w:hint="eastAsia" w:hAnsi="宋体"/>
          <w:color w:val="auto"/>
          <w:szCs w:val="24"/>
          <w:highlight w:val="none"/>
        </w:rPr>
        <w:t>3.考务办公室具备多媒体设备，可以进行考务、监考人员培训需求。</w:t>
      </w:r>
    </w:p>
    <w:p w14:paraId="033897A2">
      <w:pPr>
        <w:spacing w:line="360" w:lineRule="auto"/>
        <w:ind w:firstLine="420"/>
        <w:rPr>
          <w:rFonts w:hint="eastAsia" w:hAnsi="宋体"/>
          <w:color w:val="auto"/>
          <w:szCs w:val="24"/>
          <w:highlight w:val="none"/>
        </w:rPr>
      </w:pPr>
      <w:r>
        <w:rPr>
          <w:rFonts w:hint="eastAsia" w:hAnsi="宋体"/>
          <w:color w:val="auto"/>
          <w:szCs w:val="24"/>
          <w:highlight w:val="none"/>
        </w:rPr>
        <w:t>三、 技术要求</w:t>
      </w:r>
    </w:p>
    <w:p w14:paraId="119EC927">
      <w:pPr>
        <w:spacing w:line="360" w:lineRule="auto"/>
        <w:ind w:firstLine="420"/>
        <w:rPr>
          <w:rFonts w:hint="eastAsia" w:hAnsi="宋体"/>
          <w:color w:val="auto"/>
          <w:szCs w:val="24"/>
          <w:highlight w:val="none"/>
        </w:rPr>
      </w:pPr>
      <w:r>
        <w:rPr>
          <w:rFonts w:hint="eastAsia" w:hAnsi="宋体"/>
          <w:color w:val="auto"/>
          <w:szCs w:val="24"/>
          <w:highlight w:val="none"/>
        </w:rPr>
        <w:t>考试期间保证考场内部电源正常，有线无线网络正常，考试期间有技术人员全程维护网络，解决网络故障。</w:t>
      </w:r>
    </w:p>
    <w:p w14:paraId="274A635B">
      <w:pPr>
        <w:spacing w:line="360" w:lineRule="auto"/>
        <w:ind w:firstLine="420"/>
        <w:rPr>
          <w:rFonts w:hint="eastAsia" w:hAnsi="宋体"/>
          <w:color w:val="auto"/>
          <w:szCs w:val="24"/>
          <w:highlight w:val="none"/>
        </w:rPr>
      </w:pPr>
      <w:r>
        <w:rPr>
          <w:rFonts w:hint="eastAsia" w:hAnsi="宋体"/>
          <w:color w:val="auto"/>
          <w:szCs w:val="24"/>
          <w:highlight w:val="none"/>
        </w:rPr>
        <w:t>四、服务要求</w:t>
      </w:r>
    </w:p>
    <w:p w14:paraId="7F1CED6A">
      <w:pPr>
        <w:spacing w:line="360" w:lineRule="auto"/>
        <w:ind w:firstLine="420"/>
        <w:rPr>
          <w:rFonts w:hint="eastAsia" w:hAnsi="宋体"/>
          <w:color w:val="auto"/>
          <w:szCs w:val="24"/>
          <w:highlight w:val="none"/>
        </w:rPr>
      </w:pPr>
      <w:r>
        <w:rPr>
          <w:rFonts w:hint="eastAsia" w:hAnsi="宋体"/>
          <w:color w:val="auto"/>
          <w:szCs w:val="24"/>
          <w:highlight w:val="none"/>
        </w:rPr>
        <w:t>1.每个考点至少配备1-2名医护人员（根据考点考场数，最大考场超过50个，配备2名医护人员）。</w:t>
      </w:r>
    </w:p>
    <w:p w14:paraId="4A0A8FDA">
      <w:pPr>
        <w:spacing w:line="360" w:lineRule="auto"/>
        <w:ind w:firstLine="420"/>
        <w:rPr>
          <w:rFonts w:hint="eastAsia" w:hAnsi="宋体"/>
          <w:color w:val="auto"/>
          <w:szCs w:val="24"/>
          <w:highlight w:val="none"/>
        </w:rPr>
      </w:pPr>
      <w:r>
        <w:rPr>
          <w:rFonts w:hint="eastAsia" w:hAnsi="宋体"/>
          <w:color w:val="auto"/>
          <w:szCs w:val="24"/>
          <w:highlight w:val="none"/>
        </w:rPr>
        <w:t>2.考点大门口配备安保人员2-4名，维持学生入场秩序，同时做好门禁管理，考试期间与考试无关人员禁止入内。</w:t>
      </w:r>
    </w:p>
    <w:p w14:paraId="2506CCE2">
      <w:pPr>
        <w:spacing w:line="360" w:lineRule="auto"/>
        <w:ind w:firstLine="420"/>
        <w:rPr>
          <w:rFonts w:hint="eastAsia" w:hAnsi="宋体"/>
          <w:color w:val="auto"/>
          <w:szCs w:val="24"/>
          <w:highlight w:val="none"/>
        </w:rPr>
      </w:pPr>
      <w:r>
        <w:rPr>
          <w:rFonts w:hint="eastAsia" w:hAnsi="宋体"/>
          <w:color w:val="auto"/>
          <w:szCs w:val="24"/>
          <w:highlight w:val="none"/>
        </w:rPr>
        <w:t>3.考点配备水电工1名，确保考场内水电的正常使用。</w:t>
      </w:r>
    </w:p>
    <w:p w14:paraId="364BAEF3">
      <w:pPr>
        <w:spacing w:line="360" w:lineRule="auto"/>
        <w:ind w:firstLine="420"/>
        <w:rPr>
          <w:rFonts w:hint="eastAsia" w:hAnsi="宋体"/>
          <w:color w:val="auto"/>
          <w:szCs w:val="24"/>
          <w:highlight w:val="none"/>
        </w:rPr>
      </w:pPr>
      <w:r>
        <w:rPr>
          <w:rFonts w:hint="eastAsia" w:hAnsi="宋体"/>
          <w:color w:val="auto"/>
          <w:szCs w:val="24"/>
          <w:highlight w:val="none"/>
        </w:rPr>
        <w:t>五、商务要求</w:t>
      </w:r>
    </w:p>
    <w:p w14:paraId="3A186CF4">
      <w:pPr>
        <w:spacing w:line="360" w:lineRule="auto"/>
        <w:ind w:firstLine="420"/>
        <w:rPr>
          <w:rFonts w:hint="eastAsia" w:hAnsi="宋体"/>
          <w:color w:val="auto"/>
          <w:szCs w:val="24"/>
          <w:highlight w:val="none"/>
        </w:rPr>
      </w:pPr>
      <w:r>
        <w:rPr>
          <w:rFonts w:hint="eastAsia" w:hAnsi="宋体"/>
          <w:color w:val="auto"/>
          <w:szCs w:val="24"/>
          <w:highlight w:val="none"/>
        </w:rPr>
        <w:t>1.服务期限</w:t>
      </w:r>
    </w:p>
    <w:p w14:paraId="0CD62B45">
      <w:pPr>
        <w:spacing w:line="360" w:lineRule="auto"/>
        <w:ind w:firstLine="420"/>
        <w:rPr>
          <w:rFonts w:hint="eastAsia" w:hAnsi="宋体"/>
          <w:color w:val="auto"/>
          <w:szCs w:val="24"/>
          <w:highlight w:val="none"/>
        </w:rPr>
      </w:pPr>
      <w:r>
        <w:rPr>
          <w:rFonts w:hint="eastAsia" w:hAnsi="宋体"/>
          <w:color w:val="auto"/>
          <w:szCs w:val="24"/>
          <w:highlight w:val="none"/>
        </w:rPr>
        <w:t>自2026年1月17日起至2026年1月18日止。（考试前一天需联系考场考试布置事宜）</w:t>
      </w:r>
    </w:p>
    <w:p w14:paraId="4BA25553">
      <w:pPr>
        <w:spacing w:line="360" w:lineRule="auto"/>
        <w:ind w:firstLine="420"/>
        <w:rPr>
          <w:rFonts w:hint="eastAsia" w:hAnsi="宋体"/>
          <w:color w:val="auto"/>
          <w:szCs w:val="24"/>
          <w:highlight w:val="none"/>
        </w:rPr>
      </w:pPr>
      <w:r>
        <w:rPr>
          <w:rFonts w:hint="eastAsia" w:hAnsi="宋体"/>
          <w:color w:val="auto"/>
          <w:szCs w:val="24"/>
          <w:highlight w:val="none"/>
        </w:rPr>
        <w:t>2.款项结算</w:t>
      </w:r>
    </w:p>
    <w:p w14:paraId="327949B6">
      <w:pPr>
        <w:spacing w:line="360" w:lineRule="auto"/>
        <w:ind w:firstLine="420"/>
        <w:rPr>
          <w:rFonts w:hint="eastAsia" w:hAnsi="宋体"/>
          <w:color w:val="auto"/>
          <w:szCs w:val="24"/>
          <w:highlight w:val="none"/>
        </w:rPr>
      </w:pPr>
      <w:r>
        <w:rPr>
          <w:rFonts w:hint="eastAsia" w:hAnsi="宋体"/>
          <w:color w:val="auto"/>
          <w:szCs w:val="24"/>
          <w:highlight w:val="none"/>
        </w:rPr>
        <w:t>考试前，经学校招标领导小组对所有考点进行场地验收合格，考试顺利进行，考试结束后，根据实际使用数量据实结算。</w:t>
      </w:r>
    </w:p>
    <w:p w14:paraId="5DF53252">
      <w:pPr>
        <w:spacing w:line="360" w:lineRule="auto"/>
        <w:ind w:firstLine="420"/>
        <w:rPr>
          <w:rStyle w:val="29"/>
          <w:rFonts w:hint="eastAsia" w:ascii="宋体" w:eastAsia="宋体" w:cs="宋体"/>
          <w:color w:val="auto"/>
          <w:sz w:val="36"/>
          <w:szCs w:val="21"/>
          <w:highlight w:val="none"/>
        </w:rPr>
      </w:pPr>
      <w:r>
        <w:rPr>
          <w:rFonts w:hint="eastAsia" w:hAnsi="宋体"/>
          <w:color w:val="auto"/>
          <w:szCs w:val="24"/>
          <w:highlight w:val="none"/>
        </w:rPr>
        <w:t>注：乙方应按要求向甲方开具等额的发票。</w:t>
      </w:r>
    </w:p>
    <w:p w14:paraId="3EFE53BE">
      <w:pPr>
        <w:rPr>
          <w:rStyle w:val="29"/>
          <w:rFonts w:hint="eastAsia" w:ascii="宋体" w:eastAsia="宋体" w:cs="宋体"/>
          <w:color w:val="auto"/>
          <w:sz w:val="36"/>
          <w:szCs w:val="21"/>
          <w:highlight w:val="none"/>
        </w:rPr>
      </w:pPr>
      <w:r>
        <w:rPr>
          <w:rStyle w:val="29"/>
          <w:rFonts w:hint="eastAsia" w:ascii="宋体" w:eastAsia="宋体" w:cs="宋体"/>
          <w:color w:val="auto"/>
          <w:sz w:val="36"/>
          <w:szCs w:val="21"/>
          <w:highlight w:val="none"/>
        </w:rPr>
        <w:br w:type="page"/>
      </w:r>
    </w:p>
    <w:p w14:paraId="48AAE642">
      <w:pPr>
        <w:jc w:val="both"/>
        <w:rPr>
          <w:rStyle w:val="29"/>
          <w:rFonts w:hint="eastAsia" w:ascii="宋体" w:eastAsia="宋体" w:cs="宋体"/>
          <w:color w:val="auto"/>
          <w:sz w:val="36"/>
          <w:szCs w:val="21"/>
          <w:highlight w:val="none"/>
        </w:rPr>
      </w:pPr>
    </w:p>
    <w:p w14:paraId="14E82413">
      <w:pPr>
        <w:pStyle w:val="2"/>
        <w:bidi w:val="0"/>
        <w:jc w:val="center"/>
        <w:rPr>
          <w:rFonts w:hAnsi="宋体" w:cs="宋体"/>
          <w:bCs/>
          <w:color w:val="auto"/>
          <w:kern w:val="2"/>
          <w:sz w:val="36"/>
          <w:szCs w:val="36"/>
          <w:highlight w:val="none"/>
        </w:rPr>
      </w:pPr>
      <w:r>
        <w:rPr>
          <w:rStyle w:val="29"/>
          <w:rFonts w:hint="eastAsia" w:ascii="宋体" w:eastAsia="宋体" w:cs="宋体"/>
          <w:b/>
          <w:color w:val="auto"/>
          <w:sz w:val="36"/>
          <w:szCs w:val="21"/>
          <w:highlight w:val="none"/>
        </w:rPr>
        <w:t>第六章  竞争性磋商响应文件格式</w:t>
      </w:r>
      <w:bookmarkEnd w:id="189"/>
      <w:bookmarkEnd w:id="190"/>
      <w:bookmarkEnd w:id="191"/>
      <w:bookmarkEnd w:id="192"/>
      <w:bookmarkEnd w:id="193"/>
      <w:bookmarkEnd w:id="194"/>
    </w:p>
    <w:p w14:paraId="08AEE616">
      <w:pPr>
        <w:rPr>
          <w:rFonts w:hAnsi="宋体" w:cs="宋体"/>
          <w:color w:val="auto"/>
          <w:highlight w:val="none"/>
        </w:rPr>
      </w:pPr>
    </w:p>
    <w:p w14:paraId="7D17862D">
      <w:pPr>
        <w:rPr>
          <w:rFonts w:hAnsi="宋体" w:cs="宋体"/>
          <w:color w:val="auto"/>
          <w:highlight w:val="none"/>
        </w:rPr>
      </w:pPr>
    </w:p>
    <w:p w14:paraId="36E9E7DB">
      <w:pPr>
        <w:tabs>
          <w:tab w:val="center" w:pos="4649"/>
        </w:tabs>
        <w:jc w:val="left"/>
        <w:rPr>
          <w:rFonts w:hAnsi="宋体" w:cs="宋体"/>
          <w:b/>
          <w:color w:val="auto"/>
          <w:sz w:val="32"/>
          <w:szCs w:val="32"/>
          <w:highlight w:val="none"/>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SXZCZB2025-ZCCS-1127（三次）</w:t>
      </w:r>
      <w:r>
        <w:rPr>
          <w:rFonts w:hint="eastAsia" w:hAnsi="宋体" w:cs="宋体"/>
          <w:b/>
          <w:bCs/>
          <w:color w:val="auto"/>
          <w:sz w:val="32"/>
          <w:szCs w:val="32"/>
          <w:highlight w:val="none"/>
          <w:lang w:eastAsia="zh-CN"/>
        </w:rPr>
        <w:tab/>
      </w:r>
      <w:r>
        <w:rPr>
          <w:rFonts w:hint="eastAsia" w:hAnsi="宋体" w:cs="宋体"/>
          <w:b/>
          <w:bCs/>
          <w:color w:val="auto"/>
          <w:sz w:val="32"/>
          <w:szCs w:val="32"/>
          <w:highlight w:val="none"/>
        </w:rPr>
        <w:t xml:space="preserve">    </w:t>
      </w:r>
      <w:r>
        <w:rPr>
          <w:rFonts w:hint="eastAsia" w:hAnsi="宋体" w:cs="宋体"/>
          <w:b/>
          <w:bCs/>
          <w:color w:val="auto"/>
          <w:sz w:val="32"/>
          <w:szCs w:val="32"/>
          <w:highlight w:val="none"/>
        </w:rPr>
        <w:tab/>
      </w:r>
      <w:r>
        <w:rPr>
          <w:rFonts w:hint="eastAsia" w:hAnsi="宋体" w:cs="宋体"/>
          <w:b/>
          <w:color w:val="auto"/>
          <w:sz w:val="32"/>
          <w:szCs w:val="32"/>
          <w:highlight w:val="none"/>
        </w:rPr>
        <w:t>（正本或副本）</w:t>
      </w:r>
    </w:p>
    <w:p w14:paraId="63F7E24C">
      <w:pPr>
        <w:jc w:val="right"/>
        <w:rPr>
          <w:rFonts w:hAnsi="宋体" w:cs="宋体"/>
          <w:b/>
          <w:color w:val="auto"/>
          <w:sz w:val="32"/>
          <w:szCs w:val="32"/>
          <w:highlight w:val="none"/>
        </w:rPr>
      </w:pPr>
    </w:p>
    <w:p w14:paraId="5E1E1F74">
      <w:pPr>
        <w:jc w:val="right"/>
        <w:rPr>
          <w:rFonts w:hAnsi="宋体" w:cs="宋体"/>
          <w:b/>
          <w:color w:val="auto"/>
          <w:sz w:val="32"/>
          <w:szCs w:val="32"/>
          <w:highlight w:val="none"/>
        </w:rPr>
      </w:pPr>
    </w:p>
    <w:p w14:paraId="72C42B6A">
      <w:pPr>
        <w:jc w:val="right"/>
        <w:rPr>
          <w:rFonts w:hAnsi="宋体" w:cs="宋体"/>
          <w:b/>
          <w:color w:val="auto"/>
          <w:sz w:val="32"/>
          <w:szCs w:val="32"/>
          <w:highlight w:val="none"/>
        </w:rPr>
      </w:pPr>
    </w:p>
    <w:p w14:paraId="062660E2">
      <w:pPr>
        <w:pStyle w:val="9"/>
        <w:rPr>
          <w:color w:val="auto"/>
          <w:highlight w:val="none"/>
        </w:rPr>
      </w:pPr>
    </w:p>
    <w:p w14:paraId="3F25E062">
      <w:pPr>
        <w:jc w:val="center"/>
        <w:rPr>
          <w:rFonts w:hint="eastAsia" w:hAnsi="宋体" w:eastAsia="宋体" w:cs="宋体"/>
          <w:b/>
          <w:bCs/>
          <w:color w:val="auto"/>
          <w:sz w:val="44"/>
          <w:szCs w:val="32"/>
          <w:highlight w:val="none"/>
          <w:lang w:eastAsia="zh-CN"/>
        </w:rPr>
      </w:pPr>
      <w:r>
        <w:rPr>
          <w:rFonts w:hint="eastAsia"/>
          <w:b/>
          <w:bCs/>
          <w:color w:val="auto"/>
          <w:sz w:val="44"/>
          <w:szCs w:val="44"/>
          <w:highlight w:val="none"/>
          <w:lang w:eastAsia="zh-CN"/>
        </w:rPr>
        <w:t>2025年秋季学期期末考试考场租赁项目(三次)</w:t>
      </w:r>
    </w:p>
    <w:p w14:paraId="72EB0D83">
      <w:pPr>
        <w:rPr>
          <w:rFonts w:hAnsi="宋体" w:cs="宋体"/>
          <w:color w:val="auto"/>
          <w:highlight w:val="none"/>
        </w:rPr>
      </w:pPr>
    </w:p>
    <w:p w14:paraId="7EE540D9">
      <w:pPr>
        <w:jc w:val="center"/>
        <w:rPr>
          <w:rFonts w:hint="eastAsia" w:hAnsi="宋体" w:cs="宋体"/>
          <w:b/>
          <w:color w:val="auto"/>
          <w:sz w:val="56"/>
          <w:szCs w:val="56"/>
          <w:highlight w:val="none"/>
        </w:rPr>
      </w:pPr>
    </w:p>
    <w:p w14:paraId="1EDE7A2A">
      <w:pPr>
        <w:jc w:val="center"/>
        <w:rPr>
          <w:rFonts w:hint="eastAsia" w:hAnsi="宋体" w:cs="宋体"/>
          <w:b/>
          <w:color w:val="auto"/>
          <w:sz w:val="56"/>
          <w:szCs w:val="56"/>
          <w:highlight w:val="none"/>
        </w:rPr>
      </w:pPr>
    </w:p>
    <w:p w14:paraId="293CF0FE">
      <w:pPr>
        <w:jc w:val="center"/>
        <w:rPr>
          <w:rFonts w:hAnsi="宋体" w:cs="宋体"/>
          <w:b/>
          <w:color w:val="auto"/>
          <w:sz w:val="56"/>
          <w:szCs w:val="56"/>
          <w:highlight w:val="none"/>
        </w:rPr>
      </w:pPr>
      <w:r>
        <w:rPr>
          <w:rFonts w:hint="eastAsia" w:hAnsi="宋体" w:cs="宋体"/>
          <w:b/>
          <w:color w:val="auto"/>
          <w:sz w:val="56"/>
          <w:szCs w:val="56"/>
          <w:highlight w:val="none"/>
        </w:rPr>
        <w:t>竞争性磋商响应文件</w:t>
      </w:r>
    </w:p>
    <w:p w14:paraId="43A5A89E">
      <w:pPr>
        <w:jc w:val="center"/>
        <w:rPr>
          <w:rFonts w:hAnsi="宋体" w:cs="宋体"/>
          <w:b/>
          <w:color w:val="auto"/>
          <w:sz w:val="36"/>
          <w:szCs w:val="36"/>
          <w:highlight w:val="none"/>
        </w:rPr>
      </w:pPr>
    </w:p>
    <w:p w14:paraId="2D2A8A3E">
      <w:pPr>
        <w:rPr>
          <w:rFonts w:hAnsi="宋体" w:cs="宋体"/>
          <w:b/>
          <w:color w:val="auto"/>
          <w:sz w:val="36"/>
          <w:szCs w:val="36"/>
          <w:highlight w:val="none"/>
        </w:rPr>
      </w:pPr>
    </w:p>
    <w:p w14:paraId="34CA3C1D">
      <w:pPr>
        <w:pStyle w:val="9"/>
        <w:rPr>
          <w:color w:val="auto"/>
          <w:highlight w:val="none"/>
        </w:rPr>
      </w:pPr>
    </w:p>
    <w:p w14:paraId="44BED6EE">
      <w:pPr>
        <w:rPr>
          <w:rFonts w:hAnsi="宋体" w:cs="宋体"/>
          <w:b/>
          <w:color w:val="auto"/>
          <w:sz w:val="36"/>
          <w:szCs w:val="36"/>
          <w:highlight w:val="none"/>
        </w:rPr>
      </w:pPr>
    </w:p>
    <w:p w14:paraId="0E888A3C">
      <w:pPr>
        <w:tabs>
          <w:tab w:val="center" w:pos="5346"/>
        </w:tabs>
        <w:spacing w:line="48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14:paraId="76308B8C">
      <w:pPr>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6"/>
          <w:szCs w:val="36"/>
          <w:highlight w:val="none"/>
        </w:rPr>
        <w:br w:type="page"/>
      </w:r>
      <w:bookmarkStart w:id="195" w:name="_Toc344572156"/>
    </w:p>
    <w:p w14:paraId="3B72E3C8">
      <w:pPr>
        <w:jc w:val="center"/>
        <w:rPr>
          <w:rFonts w:hAnsi="宋体" w:cs="宋体"/>
          <w:b/>
          <w:color w:val="auto"/>
          <w:sz w:val="44"/>
          <w:highlight w:val="none"/>
        </w:rPr>
      </w:pPr>
      <w:r>
        <w:rPr>
          <w:rFonts w:hint="eastAsia" w:hAnsi="宋体" w:cs="宋体"/>
          <w:b/>
          <w:color w:val="auto"/>
          <w:sz w:val="44"/>
          <w:highlight w:val="none"/>
        </w:rPr>
        <w:t>目  录</w:t>
      </w:r>
    </w:p>
    <w:p w14:paraId="762DCA7C">
      <w:pPr>
        <w:pStyle w:val="9"/>
        <w:rPr>
          <w:color w:val="auto"/>
          <w:highlight w:val="none"/>
        </w:rPr>
      </w:pPr>
    </w:p>
    <w:p w14:paraId="42CC8211">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一、磋商响应函</w:t>
      </w:r>
    </w:p>
    <w:p w14:paraId="2F307D5F">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二、磋商报价表</w:t>
      </w:r>
    </w:p>
    <w:p w14:paraId="602A8D76">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三、磋商方案说明书</w:t>
      </w:r>
    </w:p>
    <w:p w14:paraId="6AC05C78">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四、商务条款偏离表</w:t>
      </w:r>
    </w:p>
    <w:p w14:paraId="5BD5CC80">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五、陕西省政府采购供应商拒绝政府采购领域商业贿赂承诺书</w:t>
      </w:r>
    </w:p>
    <w:p w14:paraId="61E7654C">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六、特定资格证明文件</w:t>
      </w:r>
    </w:p>
    <w:p w14:paraId="411ED838">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七、其他</w:t>
      </w:r>
    </w:p>
    <w:p w14:paraId="5965F3AD">
      <w:pPr>
        <w:pStyle w:val="7"/>
        <w:spacing w:line="360" w:lineRule="auto"/>
        <w:rPr>
          <w:rFonts w:ascii="宋体" w:hAnsi="宋体" w:cs="宋体"/>
          <w:color w:val="auto"/>
          <w:highlight w:val="none"/>
        </w:rPr>
      </w:pPr>
    </w:p>
    <w:p w14:paraId="27721838">
      <w:pPr>
        <w:pStyle w:val="7"/>
        <w:spacing w:line="360" w:lineRule="auto"/>
        <w:rPr>
          <w:rFonts w:ascii="宋体" w:hAnsi="宋体" w:cs="宋体"/>
          <w:color w:val="auto"/>
          <w:highlight w:val="none"/>
        </w:rPr>
      </w:pPr>
    </w:p>
    <w:p w14:paraId="0E47E5B3">
      <w:pPr>
        <w:pStyle w:val="7"/>
        <w:ind w:firstLine="880"/>
        <w:rPr>
          <w:rFonts w:ascii="宋体" w:hAnsi="宋体" w:cs="宋体"/>
          <w:bCs/>
          <w:color w:val="auto"/>
          <w:sz w:val="44"/>
          <w:highlight w:val="none"/>
        </w:rPr>
      </w:pPr>
    </w:p>
    <w:p w14:paraId="084ADBD1">
      <w:pPr>
        <w:pStyle w:val="7"/>
        <w:ind w:firstLine="880"/>
        <w:rPr>
          <w:rFonts w:ascii="宋体" w:hAnsi="宋体" w:cs="宋体"/>
          <w:bCs/>
          <w:color w:val="auto"/>
          <w:sz w:val="44"/>
          <w:highlight w:val="none"/>
        </w:rPr>
      </w:pPr>
    </w:p>
    <w:bookmarkEnd w:id="195"/>
    <w:p w14:paraId="05B49FAE">
      <w:pPr>
        <w:pStyle w:val="9"/>
        <w:rPr>
          <w:color w:val="auto"/>
          <w:highlight w:val="none"/>
        </w:rPr>
      </w:pPr>
      <w:bookmarkStart w:id="196" w:name="_Toc363474027"/>
      <w:bookmarkStart w:id="197" w:name="_Toc403077648"/>
      <w:bookmarkStart w:id="198" w:name="_Toc204524343"/>
    </w:p>
    <w:p w14:paraId="64F9A953">
      <w:pPr>
        <w:pStyle w:val="9"/>
        <w:rPr>
          <w:color w:val="auto"/>
          <w:highlight w:val="none"/>
        </w:rPr>
      </w:pPr>
    </w:p>
    <w:p w14:paraId="03ED777C">
      <w:pPr>
        <w:pStyle w:val="9"/>
        <w:rPr>
          <w:color w:val="auto"/>
          <w:highlight w:val="none"/>
        </w:rPr>
      </w:pPr>
    </w:p>
    <w:p w14:paraId="7C66CADD">
      <w:pPr>
        <w:spacing w:line="520" w:lineRule="exact"/>
        <w:jc w:val="center"/>
        <w:outlineLvl w:val="1"/>
        <w:rPr>
          <w:rFonts w:hAnsi="宋体" w:cs="宋体"/>
          <w:b/>
          <w:color w:val="auto"/>
          <w:sz w:val="32"/>
          <w:szCs w:val="32"/>
          <w:highlight w:val="none"/>
        </w:rPr>
      </w:pPr>
      <w:r>
        <w:rPr>
          <w:rFonts w:hint="eastAsia" w:hAnsi="宋体" w:cs="宋体"/>
          <w:b/>
          <w:color w:val="auto"/>
          <w:sz w:val="32"/>
          <w:szCs w:val="32"/>
          <w:highlight w:val="none"/>
        </w:rPr>
        <w:br w:type="page"/>
      </w:r>
      <w:bookmarkStart w:id="199" w:name="_Toc16320"/>
      <w:bookmarkStart w:id="200" w:name="_Toc6128"/>
      <w:bookmarkStart w:id="201" w:name="_Toc4367"/>
      <w:bookmarkStart w:id="202" w:name="_Toc15762"/>
      <w:bookmarkStart w:id="203" w:name="_Toc28508"/>
      <w:bookmarkStart w:id="204" w:name="_Toc32002"/>
      <w:r>
        <w:rPr>
          <w:rFonts w:hint="eastAsia" w:hAnsi="宋体" w:cs="宋体"/>
          <w:b/>
          <w:color w:val="auto"/>
          <w:sz w:val="32"/>
          <w:szCs w:val="32"/>
          <w:highlight w:val="none"/>
        </w:rPr>
        <w:t>一、磋商</w:t>
      </w:r>
      <w:bookmarkEnd w:id="196"/>
      <w:bookmarkEnd w:id="197"/>
      <w:r>
        <w:rPr>
          <w:rFonts w:hint="eastAsia" w:hAnsi="宋体" w:cs="宋体"/>
          <w:b/>
          <w:color w:val="auto"/>
          <w:sz w:val="32"/>
          <w:szCs w:val="32"/>
          <w:highlight w:val="none"/>
        </w:rPr>
        <w:t>响应函</w:t>
      </w:r>
      <w:bookmarkEnd w:id="199"/>
      <w:bookmarkEnd w:id="200"/>
      <w:bookmarkEnd w:id="201"/>
      <w:bookmarkEnd w:id="202"/>
      <w:bookmarkEnd w:id="203"/>
      <w:bookmarkEnd w:id="204"/>
    </w:p>
    <w:p w14:paraId="7358DDD0">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陕西至诚项目管理集团有限公司</w:t>
      </w:r>
    </w:p>
    <w:p w14:paraId="1DC2F214">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 xml:space="preserve"> 提交竞争性磋商响应文件正本壹份、副本一式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w:t>
      </w:r>
    </w:p>
    <w:p w14:paraId="1CE3120D">
      <w:pP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14:paraId="7258BD91">
      <w:pPr>
        <w:numPr>
          <w:ilvl w:val="0"/>
          <w:numId w:val="5"/>
        </w:numP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磋商报价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14:paraId="1946B8A9">
      <w:pPr>
        <w:numPr>
          <w:ilvl w:val="0"/>
          <w:numId w:val="5"/>
        </w:num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14:paraId="11E93745">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14:paraId="5D883411">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14:paraId="6FF0F967">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5）同意提供贵方可能另外要求的与本磋商有关的任何证据和资料。 </w:t>
      </w:r>
    </w:p>
    <w:p w14:paraId="0FA303F6">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6）我们同意，如果成交，向陕西至诚项目管理集团有限公司交纳招标代理服务费。</w:t>
      </w:r>
    </w:p>
    <w:p w14:paraId="5244FEAE">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7）与本磋商有关的一切正式往来通讯为：</w:t>
      </w:r>
    </w:p>
    <w:p w14:paraId="2968D0CB">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14:paraId="00B75CDC">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14:paraId="5EF29524">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14:paraId="295CDA9F">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14:paraId="0BA4AD62">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14:paraId="069DFDD2">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供应商法定代表人</w:t>
      </w:r>
      <w:r>
        <w:rPr>
          <w:rFonts w:hint="eastAsia" w:hAnsi="宋体" w:cs="宋体"/>
          <w:color w:val="auto"/>
          <w:spacing w:val="4"/>
          <w:highlight w:val="none"/>
        </w:rPr>
        <w:t>/被授权人</w:t>
      </w:r>
      <w:r>
        <w:rPr>
          <w:rFonts w:hint="eastAsia" w:hAnsi="宋体" w:cs="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79C440CD">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14:paraId="7AAE27A8">
      <w:pPr>
        <w:pStyle w:val="3"/>
        <w:spacing w:beforeLines="100" w:line="360" w:lineRule="auto"/>
        <w:jc w:val="center"/>
        <w:rPr>
          <w:rFonts w:ascii="宋体" w:hAnsi="宋体" w:cs="宋体"/>
          <w:bCs w:val="0"/>
          <w:color w:val="auto"/>
          <w:sz w:val="32"/>
          <w:highlight w:val="none"/>
        </w:rPr>
      </w:pPr>
      <w:r>
        <w:rPr>
          <w:rFonts w:hint="eastAsia" w:ascii="宋体" w:hAnsi="宋体" w:cs="宋体"/>
          <w:color w:val="auto"/>
          <w:highlight w:val="none"/>
        </w:rPr>
        <w:br w:type="page"/>
      </w:r>
      <w:bookmarkStart w:id="205" w:name="_Toc363474030"/>
      <w:bookmarkStart w:id="206" w:name="_Toc28910"/>
      <w:bookmarkStart w:id="207" w:name="_Toc13482"/>
      <w:bookmarkStart w:id="208" w:name="_Toc732"/>
      <w:bookmarkStart w:id="209" w:name="_Toc403077651"/>
      <w:bookmarkStart w:id="210" w:name="_Toc17800"/>
      <w:bookmarkStart w:id="211" w:name="_Toc9730"/>
      <w:bookmarkStart w:id="212" w:name="_Toc27989"/>
      <w:r>
        <w:rPr>
          <w:rFonts w:hint="eastAsia" w:ascii="宋体" w:hAnsi="宋体" w:cs="宋体"/>
          <w:bCs w:val="0"/>
          <w:color w:val="auto"/>
          <w:sz w:val="32"/>
          <w:highlight w:val="none"/>
        </w:rPr>
        <w:t>二、磋商报价表</w:t>
      </w:r>
      <w:bookmarkEnd w:id="205"/>
      <w:bookmarkEnd w:id="206"/>
      <w:bookmarkEnd w:id="207"/>
      <w:bookmarkEnd w:id="208"/>
      <w:bookmarkEnd w:id="209"/>
      <w:bookmarkEnd w:id="210"/>
      <w:bookmarkEnd w:id="211"/>
      <w:bookmarkEnd w:id="212"/>
    </w:p>
    <w:p w14:paraId="3AE77140">
      <w:pPr>
        <w:spacing w:line="360" w:lineRule="auto"/>
        <w:jc w:val="center"/>
        <w:outlineLvl w:val="1"/>
        <w:rPr>
          <w:rFonts w:hAnsi="宋体" w:cs="宋体"/>
          <w:color w:val="auto"/>
          <w:szCs w:val="24"/>
          <w:highlight w:val="none"/>
        </w:rPr>
      </w:pPr>
      <w:bookmarkStart w:id="213" w:name="_Toc1405"/>
      <w:bookmarkStart w:id="214" w:name="_Toc29008"/>
      <w:bookmarkStart w:id="215" w:name="_Toc12732"/>
      <w:bookmarkStart w:id="216" w:name="_Toc7982"/>
      <w:bookmarkStart w:id="217" w:name="_Toc32277"/>
      <w:bookmarkStart w:id="218" w:name="_Toc11518"/>
      <w:r>
        <w:rPr>
          <w:rFonts w:hint="eastAsia" w:hAnsi="宋体" w:cs="宋体"/>
          <w:color w:val="auto"/>
          <w:szCs w:val="24"/>
          <w:highlight w:val="none"/>
        </w:rPr>
        <w:t>2.1报价一览表</w:t>
      </w:r>
      <w:bookmarkEnd w:id="213"/>
      <w:bookmarkEnd w:id="214"/>
      <w:bookmarkEnd w:id="215"/>
      <w:bookmarkEnd w:id="216"/>
      <w:bookmarkEnd w:id="217"/>
      <w:bookmarkEnd w:id="218"/>
    </w:p>
    <w:p w14:paraId="20160511">
      <w:pPr>
        <w:spacing w:line="360" w:lineRule="auto"/>
        <w:jc w:val="center"/>
        <w:rPr>
          <w:rFonts w:hAnsi="宋体" w:cs="宋体"/>
          <w:color w:val="auto"/>
          <w:szCs w:val="24"/>
          <w:highlight w:val="none"/>
        </w:rPr>
      </w:pPr>
    </w:p>
    <w:p w14:paraId="3D3C023F">
      <w:pPr>
        <w:jc w:val="left"/>
        <w:rPr>
          <w:rFonts w:hAnsi="宋体" w:cs="宋体"/>
          <w:color w:val="auto"/>
          <w:highlight w:val="none"/>
        </w:rPr>
      </w:pPr>
      <w:r>
        <w:rPr>
          <w:rFonts w:hint="eastAsia" w:hAnsi="宋体" w:cs="宋体"/>
          <w:color w:val="auto"/>
          <w:highlight w:val="none"/>
        </w:rPr>
        <w:t xml:space="preserve">项目名称：                                                 </w:t>
      </w:r>
    </w:p>
    <w:p w14:paraId="0FA606BF">
      <w:pPr>
        <w:jc w:val="left"/>
        <w:rPr>
          <w:rFonts w:hAnsi="宋体" w:cs="宋体"/>
          <w:color w:val="auto"/>
          <w:highlight w:val="none"/>
        </w:rPr>
      </w:pPr>
      <w:r>
        <w:rPr>
          <w:rFonts w:hint="eastAsia" w:hAnsi="宋体" w:cs="宋体"/>
          <w:color w:val="auto"/>
          <w:highlight w:val="none"/>
        </w:rPr>
        <w:t xml:space="preserve">项目编号：                                               </w:t>
      </w:r>
    </w:p>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2081"/>
        <w:gridCol w:w="2081"/>
        <w:gridCol w:w="2249"/>
        <w:gridCol w:w="1175"/>
      </w:tblGrid>
      <w:tr w14:paraId="33A1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009" w:type="pct"/>
            <w:vAlign w:val="center"/>
          </w:tcPr>
          <w:p w14:paraId="20078BBE">
            <w:pPr>
              <w:jc w:val="center"/>
              <w:rPr>
                <w:rFonts w:hAnsi="宋体" w:cs="宋体"/>
                <w:color w:val="auto"/>
                <w:szCs w:val="24"/>
                <w:highlight w:val="none"/>
              </w:rPr>
            </w:pPr>
            <w:r>
              <w:rPr>
                <w:rFonts w:hint="eastAsia" w:hAnsi="宋体" w:cs="宋体"/>
                <w:color w:val="auto"/>
                <w:szCs w:val="24"/>
                <w:highlight w:val="none"/>
              </w:rPr>
              <w:t>磋商总报价（元）</w:t>
            </w:r>
          </w:p>
        </w:tc>
        <w:tc>
          <w:tcPr>
            <w:tcW w:w="1095" w:type="pct"/>
            <w:vAlign w:val="center"/>
          </w:tcPr>
          <w:p w14:paraId="73ACFB70">
            <w:pPr>
              <w:jc w:val="center"/>
              <w:rPr>
                <w:rFonts w:hint="eastAsia" w:hAnsi="宋体" w:eastAsia="宋体" w:cs="宋体"/>
                <w:color w:val="auto"/>
                <w:szCs w:val="24"/>
                <w:highlight w:val="none"/>
                <w:lang w:val="en-US" w:eastAsia="zh-CN"/>
              </w:rPr>
            </w:pPr>
            <w:r>
              <w:rPr>
                <w:rFonts w:hint="eastAsia" w:hAnsi="宋体" w:cs="宋体"/>
                <w:color w:val="auto"/>
                <w:szCs w:val="24"/>
                <w:highlight w:val="none"/>
                <w:lang w:val="en-US" w:eastAsia="zh-CN"/>
              </w:rPr>
              <w:t>单价（元/间/天）</w:t>
            </w:r>
          </w:p>
        </w:tc>
        <w:tc>
          <w:tcPr>
            <w:tcW w:w="1095" w:type="pct"/>
            <w:vAlign w:val="center"/>
          </w:tcPr>
          <w:p w14:paraId="7E5C6F06">
            <w:pPr>
              <w:jc w:val="center"/>
              <w:rPr>
                <w:rFonts w:hAnsi="宋体" w:cs="宋体"/>
                <w:color w:val="auto"/>
                <w:szCs w:val="24"/>
                <w:highlight w:val="none"/>
              </w:rPr>
            </w:pPr>
            <w:r>
              <w:rPr>
                <w:rFonts w:hint="eastAsia" w:hAnsi="宋体" w:cs="宋体"/>
                <w:color w:val="auto"/>
                <w:szCs w:val="24"/>
                <w:highlight w:val="none"/>
              </w:rPr>
              <w:t>服务期限</w:t>
            </w:r>
          </w:p>
        </w:tc>
        <w:tc>
          <w:tcPr>
            <w:tcW w:w="1183" w:type="pct"/>
            <w:vAlign w:val="center"/>
          </w:tcPr>
          <w:p w14:paraId="3367390B">
            <w:pPr>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项目负责人</w:t>
            </w:r>
          </w:p>
        </w:tc>
        <w:tc>
          <w:tcPr>
            <w:tcW w:w="615" w:type="pct"/>
            <w:vAlign w:val="center"/>
          </w:tcPr>
          <w:p w14:paraId="68F80F6D">
            <w:pPr>
              <w:jc w:val="center"/>
              <w:rPr>
                <w:rFonts w:hAnsi="宋体" w:cs="宋体"/>
                <w:color w:val="auto"/>
                <w:szCs w:val="24"/>
                <w:highlight w:val="none"/>
              </w:rPr>
            </w:pPr>
            <w:r>
              <w:rPr>
                <w:rFonts w:hint="eastAsia" w:hAnsi="宋体" w:cs="宋体"/>
                <w:color w:val="auto"/>
                <w:szCs w:val="24"/>
                <w:highlight w:val="none"/>
              </w:rPr>
              <w:t>备注</w:t>
            </w:r>
          </w:p>
        </w:tc>
      </w:tr>
      <w:tr w14:paraId="551A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009" w:type="pct"/>
            <w:vAlign w:val="center"/>
          </w:tcPr>
          <w:p w14:paraId="5B61E835">
            <w:pPr>
              <w:jc w:val="center"/>
              <w:rPr>
                <w:rFonts w:hAnsi="宋体" w:cs="宋体"/>
                <w:color w:val="auto"/>
                <w:szCs w:val="24"/>
                <w:highlight w:val="none"/>
              </w:rPr>
            </w:pPr>
          </w:p>
        </w:tc>
        <w:tc>
          <w:tcPr>
            <w:tcW w:w="1095" w:type="pct"/>
            <w:vAlign w:val="center"/>
          </w:tcPr>
          <w:p w14:paraId="35290648">
            <w:pPr>
              <w:jc w:val="center"/>
              <w:rPr>
                <w:rFonts w:hAnsi="宋体" w:cs="宋体"/>
                <w:color w:val="auto"/>
                <w:szCs w:val="24"/>
                <w:highlight w:val="none"/>
              </w:rPr>
            </w:pPr>
          </w:p>
        </w:tc>
        <w:tc>
          <w:tcPr>
            <w:tcW w:w="1095" w:type="pct"/>
            <w:vAlign w:val="center"/>
          </w:tcPr>
          <w:p w14:paraId="66A24609">
            <w:pPr>
              <w:jc w:val="center"/>
              <w:rPr>
                <w:rFonts w:hAnsi="宋体" w:cs="宋体"/>
                <w:color w:val="auto"/>
                <w:szCs w:val="24"/>
                <w:highlight w:val="none"/>
              </w:rPr>
            </w:pPr>
          </w:p>
        </w:tc>
        <w:tc>
          <w:tcPr>
            <w:tcW w:w="1183" w:type="pct"/>
            <w:vAlign w:val="center"/>
          </w:tcPr>
          <w:p w14:paraId="2C2FFBAC">
            <w:pPr>
              <w:jc w:val="center"/>
              <w:rPr>
                <w:rFonts w:hAnsi="宋体" w:cs="宋体"/>
                <w:color w:val="auto"/>
                <w:szCs w:val="24"/>
                <w:highlight w:val="none"/>
              </w:rPr>
            </w:pPr>
          </w:p>
        </w:tc>
        <w:tc>
          <w:tcPr>
            <w:tcW w:w="615" w:type="pct"/>
            <w:vAlign w:val="center"/>
          </w:tcPr>
          <w:p w14:paraId="48B6139B">
            <w:pPr>
              <w:jc w:val="center"/>
              <w:rPr>
                <w:rFonts w:hAnsi="宋体" w:cs="宋体"/>
                <w:color w:val="auto"/>
                <w:szCs w:val="24"/>
                <w:highlight w:val="none"/>
              </w:rPr>
            </w:pPr>
          </w:p>
        </w:tc>
      </w:tr>
      <w:tr w14:paraId="5CFA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5"/>
            <w:vAlign w:val="center"/>
          </w:tcPr>
          <w:p w14:paraId="7A65A1FD">
            <w:pPr>
              <w:jc w:val="both"/>
              <w:rPr>
                <w:rFonts w:hint="eastAsia" w:hAnsi="宋体" w:cs="宋体"/>
                <w:color w:val="auto"/>
                <w:szCs w:val="24"/>
                <w:highlight w:val="none"/>
              </w:rPr>
            </w:pPr>
            <w:r>
              <w:rPr>
                <w:rFonts w:hint="eastAsia" w:hAnsi="宋体" w:cs="宋体"/>
                <w:color w:val="auto"/>
                <w:szCs w:val="24"/>
                <w:highlight w:val="none"/>
              </w:rPr>
              <w:t>磋商报价（大写）：                             （小写：￥       ）</w:t>
            </w:r>
          </w:p>
        </w:tc>
      </w:tr>
      <w:tr w14:paraId="549A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5"/>
            <w:vAlign w:val="center"/>
          </w:tcPr>
          <w:p w14:paraId="3E2EC61C">
            <w:pPr>
              <w:rPr>
                <w:rFonts w:hint="eastAsia" w:hAnsi="宋体" w:cs="宋体"/>
                <w:color w:val="auto"/>
                <w:szCs w:val="24"/>
                <w:highlight w:val="none"/>
              </w:rPr>
            </w:pPr>
            <w:r>
              <w:rPr>
                <w:rFonts w:hint="eastAsia" w:hAnsi="宋体" w:cs="宋体"/>
                <w:color w:val="auto"/>
                <w:szCs w:val="24"/>
                <w:highlight w:val="none"/>
              </w:rPr>
              <w:t>备注：表内报价内容以元为单位，保留小数点后（</w:t>
            </w:r>
            <w:r>
              <w:rPr>
                <w:rFonts w:hint="eastAsia" w:hAnsi="宋体" w:cs="宋体"/>
                <w:b/>
                <w:color w:val="auto"/>
                <w:szCs w:val="24"/>
                <w:highlight w:val="none"/>
              </w:rPr>
              <w:t>两位</w:t>
            </w:r>
            <w:r>
              <w:rPr>
                <w:rFonts w:hint="eastAsia" w:hAnsi="宋体" w:cs="宋体"/>
                <w:color w:val="auto"/>
                <w:szCs w:val="24"/>
                <w:highlight w:val="none"/>
              </w:rPr>
              <w:t>）。</w:t>
            </w:r>
          </w:p>
        </w:tc>
      </w:tr>
    </w:tbl>
    <w:p w14:paraId="5354B533">
      <w:pPr>
        <w:rPr>
          <w:rFonts w:hAnsi="宋体" w:cs="宋体"/>
          <w:color w:val="auto"/>
          <w:szCs w:val="24"/>
          <w:highlight w:val="none"/>
        </w:rPr>
      </w:pPr>
    </w:p>
    <w:p w14:paraId="451C1FD4">
      <w:pPr>
        <w:rPr>
          <w:rFonts w:hAnsi="宋体" w:cs="宋体"/>
          <w:color w:val="auto"/>
          <w:szCs w:val="24"/>
          <w:highlight w:val="none"/>
        </w:rPr>
      </w:pPr>
    </w:p>
    <w:p w14:paraId="053A75B0">
      <w:pPr>
        <w:rPr>
          <w:rFonts w:hAnsi="宋体" w:cs="宋体"/>
          <w:color w:val="auto"/>
          <w:szCs w:val="24"/>
          <w:highlight w:val="none"/>
        </w:rPr>
      </w:pPr>
    </w:p>
    <w:p w14:paraId="197AB1B2">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104372CA">
      <w:pPr>
        <w:spacing w:line="280" w:lineRule="exact"/>
        <w:ind w:right="617" w:rightChars="257"/>
        <w:jc w:val="left"/>
        <w:rPr>
          <w:rFonts w:hAnsi="宋体" w:cs="宋体"/>
          <w:color w:val="auto"/>
          <w:szCs w:val="24"/>
          <w:highlight w:val="none"/>
        </w:rPr>
      </w:pPr>
    </w:p>
    <w:p w14:paraId="3AC16E3F">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66E1C347">
      <w:pPr>
        <w:spacing w:line="280" w:lineRule="exact"/>
        <w:ind w:right="617" w:rightChars="257"/>
        <w:jc w:val="left"/>
        <w:rPr>
          <w:rFonts w:hAnsi="宋体" w:cs="宋体"/>
          <w:color w:val="auto"/>
          <w:szCs w:val="24"/>
          <w:highlight w:val="none"/>
        </w:rPr>
      </w:pPr>
    </w:p>
    <w:p w14:paraId="6D5197A1">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021F2EEC">
      <w:pPr>
        <w:jc w:val="center"/>
        <w:rPr>
          <w:rFonts w:hAnsi="宋体" w:cs="宋体"/>
          <w:color w:val="auto"/>
          <w:szCs w:val="24"/>
          <w:highlight w:val="none"/>
        </w:rPr>
      </w:pPr>
    </w:p>
    <w:p w14:paraId="53F9932D">
      <w:pPr>
        <w:spacing w:beforeLines="50" w:afterLines="50" w:line="400" w:lineRule="atLeast"/>
        <w:rPr>
          <w:rFonts w:hAnsi="宋体" w:cs="宋体"/>
          <w:color w:val="auto"/>
          <w:szCs w:val="24"/>
          <w:highlight w:val="none"/>
          <w:u w:val="singl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2551A14E">
      <w:pPr>
        <w:jc w:val="center"/>
        <w:rPr>
          <w:rFonts w:hAnsi="宋体" w:cs="宋体"/>
          <w:b/>
          <w:color w:val="auto"/>
          <w:sz w:val="30"/>
          <w:szCs w:val="30"/>
          <w:highlight w:val="none"/>
        </w:rPr>
      </w:pPr>
    </w:p>
    <w:p w14:paraId="5F01E80E">
      <w:pPr>
        <w:jc w:val="center"/>
        <w:outlineLvl w:val="1"/>
        <w:rPr>
          <w:rFonts w:hAnsi="宋体" w:cs="宋体"/>
          <w:b/>
          <w:color w:val="auto"/>
          <w:sz w:val="30"/>
          <w:szCs w:val="30"/>
          <w:highlight w:val="none"/>
        </w:rPr>
      </w:pPr>
      <w:r>
        <w:rPr>
          <w:rFonts w:hint="eastAsia" w:hAnsi="宋体" w:cs="宋体"/>
          <w:b/>
          <w:color w:val="auto"/>
          <w:sz w:val="30"/>
          <w:szCs w:val="30"/>
          <w:highlight w:val="none"/>
        </w:rPr>
        <w:br w:type="page"/>
      </w:r>
      <w:bookmarkStart w:id="219" w:name="_Toc8370"/>
      <w:bookmarkStart w:id="220" w:name="_Toc19127"/>
      <w:bookmarkStart w:id="221" w:name="_Toc11197"/>
      <w:bookmarkStart w:id="222" w:name="_Toc9220"/>
      <w:bookmarkStart w:id="223" w:name="_Toc9760"/>
      <w:bookmarkStart w:id="224" w:name="_Toc8017"/>
      <w:r>
        <w:rPr>
          <w:rFonts w:hint="eastAsia" w:hAnsi="宋体" w:cs="宋体"/>
          <w:b/>
          <w:color w:val="auto"/>
          <w:sz w:val="30"/>
          <w:szCs w:val="30"/>
          <w:highlight w:val="none"/>
        </w:rPr>
        <w:t>2.2分项报价表</w:t>
      </w:r>
      <w:bookmarkEnd w:id="219"/>
      <w:bookmarkEnd w:id="220"/>
      <w:bookmarkEnd w:id="221"/>
      <w:bookmarkEnd w:id="222"/>
      <w:bookmarkEnd w:id="223"/>
      <w:bookmarkEnd w:id="224"/>
    </w:p>
    <w:p w14:paraId="67FB5F59">
      <w:pPr>
        <w:pStyle w:val="9"/>
        <w:rPr>
          <w:color w:val="auto"/>
          <w:highlight w:val="none"/>
        </w:rPr>
      </w:pPr>
    </w:p>
    <w:p w14:paraId="1A1B3A14">
      <w:pPr>
        <w:pStyle w:val="9"/>
        <w:rPr>
          <w:color w:val="auto"/>
          <w:highlight w:val="none"/>
        </w:rPr>
      </w:pPr>
      <w:r>
        <w:rPr>
          <w:rFonts w:hint="eastAsia"/>
          <w:color w:val="auto"/>
          <w:highlight w:val="none"/>
        </w:rPr>
        <w:t>供应商自行拟定格式，用于说明磋商报价各报价的组成。</w:t>
      </w:r>
    </w:p>
    <w:p w14:paraId="1901C21F">
      <w:pPr>
        <w:pStyle w:val="9"/>
        <w:rPr>
          <w:color w:val="auto"/>
          <w:highlight w:val="none"/>
        </w:rPr>
      </w:pPr>
    </w:p>
    <w:p w14:paraId="398D94F2">
      <w:pPr>
        <w:ind w:firstLine="420"/>
        <w:rPr>
          <w:rFonts w:hAnsi="宋体" w:cs="宋体"/>
          <w:color w:val="auto"/>
          <w:highlight w:val="none"/>
        </w:rPr>
      </w:pPr>
    </w:p>
    <w:p w14:paraId="4D66DD41">
      <w:pPr>
        <w:pStyle w:val="9"/>
        <w:rPr>
          <w:color w:val="auto"/>
          <w:highlight w:val="none"/>
        </w:rPr>
      </w:pPr>
    </w:p>
    <w:p w14:paraId="715B26AB">
      <w:pPr>
        <w:rPr>
          <w:rFonts w:hAnsi="宋体" w:cs="宋体"/>
          <w:color w:val="auto"/>
          <w:highlight w:val="none"/>
        </w:rPr>
      </w:pPr>
    </w:p>
    <w:bookmarkEnd w:id="198"/>
    <w:p w14:paraId="381C5A43">
      <w:pPr>
        <w:jc w:val="center"/>
        <w:outlineLvl w:val="1"/>
        <w:rPr>
          <w:rFonts w:hAnsi="宋体" w:cs="宋体"/>
          <w:color w:val="auto"/>
          <w:sz w:val="32"/>
          <w:szCs w:val="32"/>
          <w:highlight w:val="none"/>
        </w:rPr>
      </w:pPr>
      <w:bookmarkStart w:id="225" w:name="_Toc344572163"/>
      <w:r>
        <w:rPr>
          <w:rFonts w:hint="eastAsia" w:hAnsi="宋体" w:cs="宋体"/>
          <w:color w:val="auto"/>
          <w:sz w:val="32"/>
          <w:szCs w:val="32"/>
          <w:highlight w:val="none"/>
        </w:rPr>
        <w:br w:type="page"/>
      </w:r>
      <w:bookmarkStart w:id="226" w:name="_Toc5944"/>
      <w:bookmarkStart w:id="227" w:name="_Toc24936"/>
      <w:bookmarkStart w:id="228" w:name="_Toc32541"/>
      <w:bookmarkStart w:id="229" w:name="_Toc3628"/>
      <w:bookmarkStart w:id="230" w:name="_Toc32126"/>
      <w:bookmarkStart w:id="231" w:name="_Toc24059"/>
      <w:r>
        <w:rPr>
          <w:rFonts w:hint="eastAsia" w:hAnsi="宋体" w:cs="宋体"/>
          <w:b/>
          <w:bCs/>
          <w:color w:val="auto"/>
          <w:sz w:val="32"/>
          <w:szCs w:val="32"/>
          <w:highlight w:val="none"/>
        </w:rPr>
        <w:t>三、磋商方案说明书</w:t>
      </w:r>
      <w:bookmarkEnd w:id="226"/>
      <w:bookmarkEnd w:id="227"/>
      <w:bookmarkEnd w:id="228"/>
      <w:bookmarkEnd w:id="229"/>
      <w:bookmarkEnd w:id="230"/>
      <w:bookmarkEnd w:id="231"/>
    </w:p>
    <w:p w14:paraId="08F062F2">
      <w:pPr>
        <w:spacing w:after="120" w:line="440" w:lineRule="exact"/>
        <w:rPr>
          <w:rFonts w:hAnsi="宋体" w:cs="宋体"/>
          <w:color w:val="auto"/>
          <w:szCs w:val="24"/>
          <w:highlight w:val="none"/>
        </w:rPr>
      </w:pPr>
      <w:r>
        <w:rPr>
          <w:rFonts w:hint="eastAsia" w:hAnsi="宋体" w:cs="宋体"/>
          <w:color w:val="auto"/>
          <w:szCs w:val="24"/>
          <w:highlight w:val="none"/>
        </w:rPr>
        <w:t>项目名称：</w:t>
      </w:r>
    </w:p>
    <w:p w14:paraId="1B48A45B">
      <w:pPr>
        <w:tabs>
          <w:tab w:val="left" w:pos="1800"/>
        </w:tabs>
        <w:spacing w:after="120" w:line="440" w:lineRule="exact"/>
        <w:rPr>
          <w:rFonts w:hAnsi="宋体" w:cs="宋体"/>
          <w:color w:val="auto"/>
          <w:szCs w:val="24"/>
          <w:highlight w:val="none"/>
        </w:rPr>
      </w:pPr>
      <w:r>
        <w:rPr>
          <w:rFonts w:hint="eastAsia" w:hAnsi="宋体" w:cs="宋体"/>
          <w:color w:val="auto"/>
          <w:szCs w:val="24"/>
          <w:highlight w:val="none"/>
        </w:rPr>
        <w:t>项目编号：</w:t>
      </w:r>
    </w:p>
    <w:p w14:paraId="0BB65073">
      <w:pPr>
        <w:spacing w:line="480" w:lineRule="auto"/>
        <w:ind w:firstLine="480" w:firstLineChars="200"/>
        <w:rPr>
          <w:rFonts w:hAnsi="宋体" w:cs="宋体"/>
          <w:b/>
          <w:bCs/>
          <w:color w:val="auto"/>
          <w:szCs w:val="24"/>
          <w:highlight w:val="none"/>
        </w:rPr>
      </w:pPr>
      <w:r>
        <w:rPr>
          <w:rFonts w:hint="eastAsia" w:hAnsi="宋体" w:cs="宋体"/>
          <w:color w:val="auto"/>
          <w:szCs w:val="24"/>
          <w:highlight w:val="none"/>
        </w:rPr>
        <w:t>按照磋商文件的要求编制的磋商方案说明书</w:t>
      </w:r>
      <w:r>
        <w:rPr>
          <w:rFonts w:hint="eastAsia" w:hAnsi="宋体" w:cs="宋体"/>
          <w:b/>
          <w:bCs/>
          <w:color w:val="auto"/>
          <w:szCs w:val="24"/>
          <w:highlight w:val="none"/>
        </w:rPr>
        <w:t>（可参照第三章评审办法进行响应）。</w:t>
      </w:r>
    </w:p>
    <w:p w14:paraId="34BA22AA">
      <w:pPr>
        <w:pStyle w:val="9"/>
        <w:rPr>
          <w:color w:val="auto"/>
          <w:highlight w:val="none"/>
        </w:rPr>
      </w:pPr>
    </w:p>
    <w:p w14:paraId="1EB4F81A">
      <w:pPr>
        <w:pStyle w:val="9"/>
        <w:rPr>
          <w:color w:val="auto"/>
          <w:highlight w:val="none"/>
        </w:rPr>
      </w:pPr>
    </w:p>
    <w:p w14:paraId="06355C59">
      <w:pPr>
        <w:rPr>
          <w:rFonts w:hAnsi="宋体" w:cs="宋体"/>
          <w:color w:val="auto"/>
          <w:highlight w:val="none"/>
        </w:rPr>
      </w:pPr>
    </w:p>
    <w:p w14:paraId="6ACF0681">
      <w:pPr>
        <w:pStyle w:val="9"/>
        <w:rPr>
          <w:color w:val="auto"/>
          <w:highlight w:val="none"/>
        </w:rPr>
      </w:pPr>
    </w:p>
    <w:p w14:paraId="2D8E0BD8">
      <w:pPr>
        <w:spacing w:line="480" w:lineRule="auto"/>
        <w:ind w:left="3725" w:leftChars="1552"/>
        <w:rPr>
          <w:rFonts w:hAnsi="宋体" w:cs="宋体"/>
          <w:color w:val="auto"/>
          <w:szCs w:val="24"/>
          <w:highlight w:val="none"/>
        </w:rPr>
      </w:pPr>
      <w:r>
        <w:rPr>
          <w:rFonts w:hint="eastAsia" w:hAnsi="宋体" w:cs="宋体"/>
          <w:color w:val="auto"/>
          <w:szCs w:val="24"/>
          <w:highlight w:val="none"/>
        </w:rPr>
        <w:t>法定代表人/被授权人签字或盖章：</w:t>
      </w:r>
    </w:p>
    <w:p w14:paraId="359FE5F3">
      <w:pPr>
        <w:spacing w:line="480" w:lineRule="auto"/>
        <w:ind w:left="3725" w:leftChars="1552"/>
        <w:rPr>
          <w:rFonts w:hAnsi="宋体" w:cs="宋体"/>
          <w:color w:val="auto"/>
          <w:szCs w:val="24"/>
          <w:highlight w:val="none"/>
        </w:rPr>
      </w:pPr>
    </w:p>
    <w:p w14:paraId="1145930F">
      <w:pPr>
        <w:spacing w:line="480" w:lineRule="auto"/>
        <w:ind w:left="3725" w:leftChars="1552"/>
        <w:rPr>
          <w:rFonts w:hAnsi="宋体" w:cs="宋体"/>
          <w:color w:val="auto"/>
          <w:szCs w:val="24"/>
          <w:highlight w:val="none"/>
        </w:rPr>
      </w:pPr>
      <w:r>
        <w:rPr>
          <w:rFonts w:hint="eastAsia" w:hAnsi="宋体" w:cs="宋体"/>
          <w:color w:val="auto"/>
          <w:szCs w:val="24"/>
          <w:highlight w:val="none"/>
        </w:rPr>
        <w:t>公      章：</w:t>
      </w:r>
    </w:p>
    <w:p w14:paraId="6DBE421A">
      <w:pPr>
        <w:spacing w:line="480" w:lineRule="auto"/>
        <w:ind w:left="3725" w:leftChars="1552" w:firstLine="5668" w:firstLineChars="2362"/>
        <w:rPr>
          <w:rFonts w:hAnsi="宋体" w:cs="宋体"/>
          <w:color w:val="auto"/>
          <w:szCs w:val="24"/>
          <w:highlight w:val="none"/>
        </w:rPr>
      </w:pPr>
    </w:p>
    <w:p w14:paraId="49832F10">
      <w:pPr>
        <w:spacing w:line="480" w:lineRule="auto"/>
        <w:ind w:left="3725" w:leftChars="1552"/>
        <w:rPr>
          <w:rFonts w:hAnsi="宋体" w:cs="宋体"/>
          <w:color w:val="auto"/>
          <w:szCs w:val="24"/>
          <w:highlight w:val="none"/>
        </w:rPr>
      </w:pPr>
      <w:r>
        <w:rPr>
          <w:rFonts w:hint="eastAsia" w:hAnsi="宋体" w:cs="宋体"/>
          <w:color w:val="auto"/>
          <w:szCs w:val="24"/>
          <w:highlight w:val="none"/>
        </w:rPr>
        <w:t>日      期：</w:t>
      </w:r>
    </w:p>
    <w:p w14:paraId="3F4CF617">
      <w:pPr>
        <w:spacing w:after="120" w:line="480" w:lineRule="auto"/>
        <w:rPr>
          <w:rFonts w:hAnsi="宋体" w:cs="宋体"/>
          <w:b/>
          <w:color w:val="auto"/>
          <w:szCs w:val="24"/>
          <w:highlight w:val="none"/>
        </w:rPr>
      </w:pPr>
    </w:p>
    <w:p w14:paraId="56CCA9FD">
      <w:pPr>
        <w:spacing w:after="120"/>
        <w:rPr>
          <w:rFonts w:hAnsi="宋体" w:cs="宋体"/>
          <w:b/>
          <w:color w:val="auto"/>
          <w:szCs w:val="24"/>
          <w:highlight w:val="none"/>
        </w:rPr>
      </w:pPr>
    </w:p>
    <w:p w14:paraId="73596140">
      <w:pPr>
        <w:spacing w:after="120"/>
        <w:rPr>
          <w:rFonts w:hAnsi="宋体" w:cs="宋体"/>
          <w:b/>
          <w:color w:val="auto"/>
          <w:szCs w:val="24"/>
          <w:highlight w:val="none"/>
        </w:rPr>
      </w:pPr>
    </w:p>
    <w:p w14:paraId="77897FAD">
      <w:pPr>
        <w:spacing w:after="120"/>
        <w:rPr>
          <w:rFonts w:hAnsi="宋体" w:cs="宋体"/>
          <w:b/>
          <w:color w:val="auto"/>
          <w:szCs w:val="24"/>
          <w:highlight w:val="none"/>
        </w:rPr>
      </w:pPr>
    </w:p>
    <w:p w14:paraId="3700C2C8">
      <w:pPr>
        <w:rPr>
          <w:rFonts w:hAnsi="宋体" w:cs="宋体"/>
          <w:b/>
          <w:color w:val="auto"/>
          <w:szCs w:val="24"/>
          <w:highlight w:val="none"/>
        </w:rPr>
      </w:pPr>
      <w:r>
        <w:rPr>
          <w:rFonts w:hint="eastAsia" w:hAnsi="宋体" w:cs="宋体"/>
          <w:b/>
          <w:color w:val="auto"/>
          <w:szCs w:val="24"/>
          <w:highlight w:val="none"/>
        </w:rPr>
        <w:br w:type="page"/>
      </w:r>
      <w:bookmarkStart w:id="232" w:name="_Toc21284"/>
      <w:bookmarkStart w:id="233" w:name="_Toc1379"/>
      <w:bookmarkStart w:id="234" w:name="_Toc2621"/>
      <w:bookmarkStart w:id="235" w:name="_Toc23455"/>
      <w:bookmarkStart w:id="236" w:name="_Toc9218"/>
      <w:bookmarkStart w:id="237" w:name="_Toc8845"/>
      <w:bookmarkStart w:id="238" w:name="_Toc15265"/>
      <w:bookmarkStart w:id="239" w:name="_Toc5662"/>
    </w:p>
    <w:p w14:paraId="671989FC">
      <w:pPr>
        <w:spacing w:line="360" w:lineRule="auto"/>
        <w:rPr>
          <w:rFonts w:hAnsi="宋体" w:cs="宋体"/>
          <w:b/>
          <w:bCs/>
          <w:color w:val="auto"/>
          <w:sz w:val="30"/>
          <w:szCs w:val="30"/>
          <w:highlight w:val="none"/>
        </w:rPr>
      </w:pPr>
      <w:bookmarkStart w:id="240" w:name="_Toc3626"/>
      <w:bookmarkStart w:id="241" w:name="_Toc4503"/>
      <w:bookmarkStart w:id="242" w:name="_Toc31151"/>
      <w:r>
        <w:rPr>
          <w:rFonts w:hint="eastAsia" w:hAnsi="宋体" w:cs="宋体"/>
          <w:b/>
          <w:bCs/>
          <w:color w:val="auto"/>
          <w:sz w:val="30"/>
          <w:szCs w:val="30"/>
          <w:highlight w:val="none"/>
        </w:rPr>
        <w:t>附件1：</w:t>
      </w:r>
    </w:p>
    <w:p w14:paraId="441729AA">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22"/>
        <w:tblW w:w="0" w:type="auto"/>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14:paraId="1A1880C7">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56A371">
            <w:pPr>
              <w:pStyle w:val="34"/>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7F34AB1">
            <w:pPr>
              <w:pStyle w:val="34"/>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7E30BB8">
            <w:pPr>
              <w:pStyle w:val="34"/>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91F8F0E">
            <w:pPr>
              <w:pStyle w:val="34"/>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7A7D15">
            <w:pPr>
              <w:pStyle w:val="34"/>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C5AEAAA">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14:paraId="16C6CF99">
            <w:pPr>
              <w:pStyle w:val="34"/>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3B93CA0">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14:paraId="556EEC52">
            <w:pPr>
              <w:pStyle w:val="34"/>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FC9FBEF">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14:paraId="3AA78110">
            <w:pPr>
              <w:pStyle w:val="34"/>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4A32A7E">
            <w:pPr>
              <w:pStyle w:val="34"/>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EF1AE9F">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14:paraId="3CF1C757">
            <w:pPr>
              <w:pStyle w:val="34"/>
              <w:spacing w:line="360" w:lineRule="auto"/>
              <w:ind w:left="0" w:leftChars="0"/>
              <w:rPr>
                <w:rFonts w:hAnsi="宋体" w:cs="宋体"/>
                <w:b/>
                <w:bCs/>
                <w:color w:val="auto"/>
                <w:highlight w:val="none"/>
              </w:rPr>
            </w:pPr>
            <w:r>
              <w:rPr>
                <w:rFonts w:hint="eastAsia" w:hAnsi="宋体" w:cs="宋体"/>
                <w:b/>
                <w:bCs/>
                <w:color w:val="auto"/>
                <w:highlight w:val="none"/>
              </w:rPr>
              <w:t>情况</w:t>
            </w:r>
          </w:p>
        </w:tc>
      </w:tr>
      <w:tr w14:paraId="463B5CA4">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7BCE6D3">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A7BC99E">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15172E1">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8CEDB39">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A045577">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A08BC3D">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2A4DDAA">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B68C5AC">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21B69CD">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0CA2087">
            <w:pPr>
              <w:pStyle w:val="34"/>
              <w:spacing w:line="360" w:lineRule="auto"/>
              <w:ind w:left="0" w:leftChars="0" w:firstLine="480" w:firstLineChars="200"/>
              <w:jc w:val="both"/>
              <w:rPr>
                <w:rFonts w:hAnsi="宋体" w:cs="宋体"/>
                <w:color w:val="auto"/>
                <w:highlight w:val="none"/>
              </w:rPr>
            </w:pPr>
          </w:p>
        </w:tc>
      </w:tr>
      <w:tr w14:paraId="5A120459">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D9FEE20">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3B73361">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665D8AB">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29D7A7D">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C255D52">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3AAA8E7">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7A8DF5BD">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38C13FB">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23875FA">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A74681D">
            <w:pPr>
              <w:pStyle w:val="34"/>
              <w:spacing w:line="360" w:lineRule="auto"/>
              <w:ind w:left="0" w:leftChars="0" w:firstLine="480" w:firstLineChars="200"/>
              <w:jc w:val="both"/>
              <w:rPr>
                <w:rFonts w:hAnsi="宋体" w:cs="宋体"/>
                <w:color w:val="auto"/>
                <w:highlight w:val="none"/>
              </w:rPr>
            </w:pPr>
          </w:p>
        </w:tc>
      </w:tr>
      <w:tr w14:paraId="2642A04D">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75EAF50">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86EA69F">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F3A024">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3B48148">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47C537B">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7DF0C56">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66D8E9F0">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61FB74B">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AE25DDD">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36B2654">
            <w:pPr>
              <w:pStyle w:val="34"/>
              <w:spacing w:line="360" w:lineRule="auto"/>
              <w:ind w:left="0" w:leftChars="0" w:firstLine="480" w:firstLineChars="200"/>
              <w:jc w:val="both"/>
              <w:rPr>
                <w:rFonts w:hAnsi="宋体" w:cs="宋体"/>
                <w:color w:val="auto"/>
                <w:highlight w:val="none"/>
              </w:rPr>
            </w:pPr>
          </w:p>
        </w:tc>
      </w:tr>
      <w:tr w14:paraId="1C96056A">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AA2A942">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D54D861">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32B50F7">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BC96DA0">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A2E8328">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3D0DA1C">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1D22C023">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0567BE1">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6ED3B91">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5A00A0A">
            <w:pPr>
              <w:pStyle w:val="34"/>
              <w:spacing w:line="360" w:lineRule="auto"/>
              <w:ind w:left="0" w:leftChars="0" w:firstLine="480" w:firstLineChars="200"/>
              <w:jc w:val="both"/>
              <w:rPr>
                <w:rFonts w:hAnsi="宋体" w:cs="宋体"/>
                <w:color w:val="auto"/>
                <w:highlight w:val="none"/>
              </w:rPr>
            </w:pPr>
          </w:p>
        </w:tc>
      </w:tr>
      <w:tr w14:paraId="106C79D1">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0B99DCA">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DDC37E9">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E6A39E0">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78958A4">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FB53732">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A75FF39">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6E89410">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8F5F887">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734D64C">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10FA423">
            <w:pPr>
              <w:pStyle w:val="34"/>
              <w:spacing w:line="360" w:lineRule="auto"/>
              <w:ind w:left="0" w:leftChars="0" w:firstLine="480" w:firstLineChars="200"/>
              <w:jc w:val="both"/>
              <w:rPr>
                <w:rFonts w:hAnsi="宋体" w:cs="宋体"/>
                <w:color w:val="auto"/>
                <w:highlight w:val="none"/>
              </w:rPr>
            </w:pPr>
          </w:p>
        </w:tc>
      </w:tr>
      <w:tr w14:paraId="33F8CC92">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B42C3F9">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D2C413D">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86C4616">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F692134">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0B7B1B4">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07E5EBE">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0CAC5213">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AD4348F">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566FFD1">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D8AEC4">
            <w:pPr>
              <w:pStyle w:val="34"/>
              <w:spacing w:line="360" w:lineRule="auto"/>
              <w:ind w:left="0" w:leftChars="0" w:firstLine="480" w:firstLineChars="200"/>
              <w:jc w:val="both"/>
              <w:rPr>
                <w:rFonts w:hAnsi="宋体" w:cs="宋体"/>
                <w:color w:val="auto"/>
                <w:highlight w:val="none"/>
              </w:rPr>
            </w:pPr>
          </w:p>
        </w:tc>
      </w:tr>
    </w:tbl>
    <w:p w14:paraId="1EA7BA40">
      <w:pPr>
        <w:rPr>
          <w:rFonts w:hint="eastAsia" w:hAnsi="宋体" w:cs="宋体"/>
          <w:b/>
          <w:bCs/>
          <w:color w:val="auto"/>
          <w:sz w:val="32"/>
          <w:szCs w:val="32"/>
          <w:highlight w:val="none"/>
        </w:rPr>
      </w:pPr>
    </w:p>
    <w:p w14:paraId="74BC28B8">
      <w:pPr>
        <w:rPr>
          <w:rFonts w:hint="eastAsia" w:hAnsi="宋体" w:cs="宋体"/>
          <w:b/>
          <w:bCs/>
          <w:color w:val="auto"/>
          <w:sz w:val="32"/>
          <w:szCs w:val="32"/>
          <w:highlight w:val="none"/>
        </w:rPr>
      </w:pPr>
      <w:r>
        <w:rPr>
          <w:rFonts w:hint="eastAsia" w:hAnsi="宋体" w:cs="宋体"/>
          <w:b/>
          <w:bCs/>
          <w:color w:val="auto"/>
          <w:sz w:val="32"/>
          <w:szCs w:val="32"/>
          <w:highlight w:val="none"/>
        </w:rPr>
        <w:br w:type="page"/>
      </w:r>
    </w:p>
    <w:p w14:paraId="0D2D5F99">
      <w:pPr>
        <w:ind w:firstLine="161" w:firstLineChars="50"/>
        <w:jc w:val="center"/>
        <w:outlineLvl w:val="1"/>
        <w:rPr>
          <w:rFonts w:hAnsi="宋体" w:cs="宋体"/>
          <w:color w:val="auto"/>
          <w:sz w:val="32"/>
          <w:szCs w:val="32"/>
          <w:highlight w:val="none"/>
        </w:rPr>
      </w:pPr>
      <w:r>
        <w:rPr>
          <w:rFonts w:hint="eastAsia" w:hAnsi="宋体" w:cs="宋体"/>
          <w:b/>
          <w:bCs/>
          <w:color w:val="auto"/>
          <w:sz w:val="32"/>
          <w:szCs w:val="32"/>
          <w:highlight w:val="none"/>
        </w:rPr>
        <w:t>四、</w:t>
      </w:r>
      <w:bookmarkEnd w:id="232"/>
      <w:bookmarkEnd w:id="233"/>
      <w:bookmarkEnd w:id="234"/>
      <w:bookmarkEnd w:id="235"/>
      <w:bookmarkEnd w:id="236"/>
      <w:r>
        <w:rPr>
          <w:rFonts w:hint="eastAsia" w:hAnsi="宋体" w:cs="宋体"/>
          <w:b/>
          <w:bCs/>
          <w:color w:val="auto"/>
          <w:sz w:val="32"/>
          <w:szCs w:val="32"/>
          <w:highlight w:val="none"/>
        </w:rPr>
        <w:t>商务条款偏离表</w:t>
      </w:r>
      <w:bookmarkEnd w:id="237"/>
      <w:bookmarkEnd w:id="238"/>
      <w:bookmarkEnd w:id="239"/>
      <w:bookmarkEnd w:id="240"/>
      <w:bookmarkEnd w:id="241"/>
      <w:bookmarkEnd w:id="242"/>
    </w:p>
    <w:p w14:paraId="4C32DDC5">
      <w:pPr>
        <w:pStyle w:val="19"/>
        <w:widowControl w:val="0"/>
        <w:spacing w:before="0" w:beforeAutospacing="0" w:after="0" w:afterAutospacing="0"/>
        <w:jc w:val="both"/>
        <w:rPr>
          <w:rFonts w:cs="宋体"/>
          <w:color w:val="auto"/>
          <w:highlight w:val="none"/>
        </w:rPr>
      </w:pPr>
    </w:p>
    <w:p w14:paraId="5D17EB1A">
      <w:pPr>
        <w:pStyle w:val="19"/>
        <w:widowControl w:val="0"/>
        <w:spacing w:beforeLines="50" w:beforeAutospacing="0" w:afterLines="50" w:afterAutospacing="0"/>
        <w:rPr>
          <w:rFonts w:cs="宋体"/>
          <w:color w:val="auto"/>
          <w:highlight w:val="none"/>
        </w:rPr>
      </w:pPr>
      <w:r>
        <w:rPr>
          <w:rFonts w:hint="eastAsia" w:cs="宋体"/>
          <w:color w:val="auto"/>
          <w:highlight w:val="none"/>
        </w:rPr>
        <w:t>项目编号：</w:t>
      </w:r>
    </w:p>
    <w:p w14:paraId="700A9A22">
      <w:pPr>
        <w:pStyle w:val="19"/>
        <w:widowControl w:val="0"/>
        <w:spacing w:beforeLines="50" w:beforeAutospacing="0" w:afterLines="50" w:afterAutospacing="0"/>
        <w:rPr>
          <w:rFonts w:cs="宋体"/>
          <w:color w:val="auto"/>
          <w:highlight w:val="none"/>
          <w:u w:val="single"/>
        </w:rPr>
      </w:pPr>
      <w:r>
        <w:rPr>
          <w:rFonts w:hint="eastAsia" w:cs="宋体"/>
          <w:color w:val="auto"/>
          <w:highlight w:val="none"/>
        </w:rPr>
        <w:t>项目名称：</w:t>
      </w:r>
    </w:p>
    <w:p w14:paraId="24591292">
      <w:pPr>
        <w:pStyle w:val="19"/>
        <w:widowControl w:val="0"/>
        <w:spacing w:before="0" w:beforeAutospacing="0" w:after="0" w:afterAutospacing="0"/>
        <w:ind w:firstLine="480" w:firstLineChars="200"/>
        <w:jc w:val="center"/>
        <w:rPr>
          <w:rFonts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2D25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FDA6670">
            <w:pPr>
              <w:pStyle w:val="19"/>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142FF89D">
            <w:pPr>
              <w:pStyle w:val="19"/>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1C5CAA26">
            <w:pPr>
              <w:pStyle w:val="19"/>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0848831E">
            <w:pPr>
              <w:pStyle w:val="19"/>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57F2A86B">
            <w:pPr>
              <w:pStyle w:val="19"/>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659C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E1ED058">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167E5A0">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CAE888C">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DAF721A">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08CCBCD">
            <w:pPr>
              <w:pStyle w:val="19"/>
              <w:widowControl w:val="0"/>
              <w:spacing w:before="0" w:beforeAutospacing="0" w:after="0" w:afterAutospacing="0"/>
              <w:ind w:firstLine="480" w:firstLineChars="200"/>
              <w:jc w:val="center"/>
              <w:rPr>
                <w:rFonts w:cs="宋体"/>
                <w:color w:val="auto"/>
                <w:highlight w:val="none"/>
              </w:rPr>
            </w:pPr>
          </w:p>
        </w:tc>
      </w:tr>
      <w:tr w14:paraId="12F2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C26BA28">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C7A505C">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8DBDACB">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C17CFEA">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958C652">
            <w:pPr>
              <w:pStyle w:val="19"/>
              <w:widowControl w:val="0"/>
              <w:spacing w:before="0" w:beforeAutospacing="0" w:after="0" w:afterAutospacing="0"/>
              <w:ind w:firstLine="480" w:firstLineChars="200"/>
              <w:jc w:val="center"/>
              <w:rPr>
                <w:rFonts w:cs="宋体"/>
                <w:color w:val="auto"/>
                <w:highlight w:val="none"/>
              </w:rPr>
            </w:pPr>
          </w:p>
        </w:tc>
      </w:tr>
      <w:tr w14:paraId="1862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69D29DC3">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17D17E2">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7BDC8EC">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BA6EE0C">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938FF5B">
            <w:pPr>
              <w:pStyle w:val="19"/>
              <w:widowControl w:val="0"/>
              <w:spacing w:before="0" w:beforeAutospacing="0" w:after="0" w:afterAutospacing="0"/>
              <w:ind w:firstLine="480" w:firstLineChars="200"/>
              <w:jc w:val="center"/>
              <w:rPr>
                <w:rFonts w:cs="宋体"/>
                <w:color w:val="auto"/>
                <w:highlight w:val="none"/>
              </w:rPr>
            </w:pPr>
          </w:p>
        </w:tc>
      </w:tr>
      <w:tr w14:paraId="7E7D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11AA94A">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6F781B3">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41009B9E">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7A1F252">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60569EB">
            <w:pPr>
              <w:pStyle w:val="19"/>
              <w:widowControl w:val="0"/>
              <w:spacing w:before="0" w:beforeAutospacing="0" w:after="0" w:afterAutospacing="0"/>
              <w:ind w:firstLine="480" w:firstLineChars="200"/>
              <w:jc w:val="center"/>
              <w:rPr>
                <w:rFonts w:cs="宋体"/>
                <w:color w:val="auto"/>
                <w:highlight w:val="none"/>
              </w:rPr>
            </w:pPr>
          </w:p>
        </w:tc>
      </w:tr>
      <w:tr w14:paraId="2E11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4CF002B">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F9F0BEC">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7D4ECE7">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A73A67">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23E49C8">
            <w:pPr>
              <w:pStyle w:val="19"/>
              <w:widowControl w:val="0"/>
              <w:spacing w:before="0" w:beforeAutospacing="0" w:after="0" w:afterAutospacing="0"/>
              <w:ind w:firstLine="480" w:firstLineChars="200"/>
              <w:jc w:val="center"/>
              <w:rPr>
                <w:rFonts w:cs="宋体"/>
                <w:color w:val="auto"/>
                <w:highlight w:val="none"/>
              </w:rPr>
            </w:pPr>
          </w:p>
        </w:tc>
      </w:tr>
      <w:tr w14:paraId="0881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63853D0">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43D4652">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DE6D10B">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85E2E1F">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6625C77">
            <w:pPr>
              <w:pStyle w:val="19"/>
              <w:widowControl w:val="0"/>
              <w:spacing w:before="0" w:beforeAutospacing="0" w:after="0" w:afterAutospacing="0"/>
              <w:ind w:firstLine="480" w:firstLineChars="200"/>
              <w:jc w:val="center"/>
              <w:rPr>
                <w:rFonts w:cs="宋体"/>
                <w:color w:val="auto"/>
                <w:highlight w:val="none"/>
              </w:rPr>
            </w:pPr>
          </w:p>
        </w:tc>
      </w:tr>
      <w:tr w14:paraId="1433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4DA16E6">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8E50C75">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92C08A7">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46CA302">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133501A">
            <w:pPr>
              <w:pStyle w:val="19"/>
              <w:widowControl w:val="0"/>
              <w:spacing w:before="0" w:beforeAutospacing="0" w:after="0" w:afterAutospacing="0"/>
              <w:ind w:firstLine="480" w:firstLineChars="200"/>
              <w:jc w:val="center"/>
              <w:rPr>
                <w:rFonts w:cs="宋体"/>
                <w:color w:val="auto"/>
                <w:highlight w:val="none"/>
              </w:rPr>
            </w:pPr>
          </w:p>
        </w:tc>
      </w:tr>
    </w:tbl>
    <w:p w14:paraId="5D1BEDEF">
      <w:pPr>
        <w:pStyle w:val="19"/>
        <w:widowControl w:val="0"/>
        <w:spacing w:before="0" w:beforeAutospacing="0" w:after="0" w:afterAutospacing="0"/>
        <w:rPr>
          <w:rFonts w:cs="宋体"/>
          <w:color w:val="auto"/>
          <w:highlight w:val="none"/>
        </w:rPr>
      </w:pPr>
      <w:r>
        <w:rPr>
          <w:rFonts w:hint="eastAsia" w:cs="宋体"/>
          <w:color w:val="auto"/>
          <w:highlight w:val="none"/>
        </w:rPr>
        <w:t>说明：</w:t>
      </w:r>
    </w:p>
    <w:p w14:paraId="7303093C">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1.参照第四章合同条款要求内容进行响应。</w:t>
      </w:r>
    </w:p>
    <w:p w14:paraId="7EDA6300">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3D6AB789">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2.供应商必须据实填写，不得虚假响应，否则将取消其磋商或成交资格，并按有关规定进行处罚。</w:t>
      </w:r>
    </w:p>
    <w:p w14:paraId="63F86E0A">
      <w:pPr>
        <w:pStyle w:val="19"/>
        <w:widowControl w:val="0"/>
        <w:spacing w:before="0" w:beforeAutospacing="0" w:after="0" w:afterAutospacing="0"/>
        <w:ind w:firstLine="480" w:firstLineChars="200"/>
        <w:jc w:val="center"/>
        <w:rPr>
          <w:rFonts w:cs="宋体"/>
          <w:color w:val="auto"/>
          <w:highlight w:val="none"/>
        </w:rPr>
      </w:pPr>
    </w:p>
    <w:p w14:paraId="40713BE5">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77E5D595">
      <w:pPr>
        <w:pStyle w:val="19"/>
        <w:widowControl w:val="0"/>
        <w:spacing w:before="0" w:beforeAutospacing="0" w:after="0" w:afterAutospacing="0"/>
        <w:ind w:firstLine="480" w:firstLineChars="200"/>
        <w:jc w:val="center"/>
        <w:rPr>
          <w:rFonts w:cs="宋体"/>
          <w:color w:val="auto"/>
          <w:highlight w:val="none"/>
        </w:rPr>
      </w:pPr>
    </w:p>
    <w:p w14:paraId="56F753D2">
      <w:pPr>
        <w:spacing w:line="400" w:lineRule="exact"/>
        <w:ind w:firstLine="480" w:firstLineChars="200"/>
        <w:rPr>
          <w:rFonts w:hAnsi="宋体" w:cs="宋体"/>
          <w:color w:val="auto"/>
          <w:szCs w:val="24"/>
          <w:highlight w:val="none"/>
        </w:rPr>
      </w:pPr>
      <w:r>
        <w:rPr>
          <w:rFonts w:hint="eastAsia" w:hAnsi="宋体" w:cs="宋体"/>
          <w:color w:val="auto"/>
          <w:highlight w:val="none"/>
        </w:rPr>
        <w:t xml:space="preserve">法定代表人或委托代理人：              （签字或盖章） </w:t>
      </w:r>
    </w:p>
    <w:p w14:paraId="5D751933">
      <w:pPr>
        <w:spacing w:line="360" w:lineRule="auto"/>
        <w:ind w:left="600" w:leftChars="250"/>
        <w:rPr>
          <w:rFonts w:hAnsi="宋体" w:cs="宋体"/>
          <w:b/>
          <w:bCs/>
          <w:color w:val="auto"/>
          <w:sz w:val="28"/>
          <w:szCs w:val="28"/>
          <w:highlight w:val="none"/>
        </w:rPr>
      </w:pPr>
    </w:p>
    <w:p w14:paraId="6F3AC890">
      <w:pPr>
        <w:spacing w:line="440" w:lineRule="exact"/>
        <w:ind w:left="3725" w:leftChars="1552"/>
        <w:rPr>
          <w:rFonts w:hAnsi="宋体" w:cs="宋体"/>
          <w:color w:val="auto"/>
          <w:szCs w:val="24"/>
          <w:highlight w:val="none"/>
        </w:rPr>
      </w:pPr>
    </w:p>
    <w:p w14:paraId="63448BA0">
      <w:pPr>
        <w:spacing w:line="440" w:lineRule="exact"/>
        <w:ind w:left="3725" w:leftChars="1552"/>
        <w:rPr>
          <w:rFonts w:hAnsi="宋体" w:cs="宋体"/>
          <w:color w:val="auto"/>
          <w:szCs w:val="24"/>
          <w:highlight w:val="none"/>
        </w:rPr>
      </w:pPr>
    </w:p>
    <w:p w14:paraId="276B9528">
      <w:pPr>
        <w:spacing w:line="440" w:lineRule="exact"/>
        <w:ind w:left="3725" w:leftChars="1552"/>
        <w:rPr>
          <w:rFonts w:hAnsi="宋体" w:cs="宋体"/>
          <w:color w:val="auto"/>
          <w:szCs w:val="24"/>
          <w:highlight w:val="none"/>
        </w:rPr>
      </w:pPr>
    </w:p>
    <w:bookmarkEnd w:id="225"/>
    <w:p w14:paraId="23D0662F">
      <w:pPr>
        <w:spacing w:line="360" w:lineRule="auto"/>
        <w:jc w:val="center"/>
        <w:outlineLvl w:val="1"/>
        <w:rPr>
          <w:rFonts w:hAnsi="宋体" w:cs="宋体"/>
          <w:b/>
          <w:bCs/>
          <w:color w:val="auto"/>
          <w:sz w:val="30"/>
          <w:szCs w:val="30"/>
          <w:highlight w:val="none"/>
        </w:rPr>
      </w:pPr>
      <w:bookmarkStart w:id="243" w:name="_Toc363474033"/>
      <w:bookmarkStart w:id="244" w:name="_Toc403077656"/>
      <w:r>
        <w:rPr>
          <w:rFonts w:hint="eastAsia" w:hAnsi="宋体" w:cs="宋体"/>
          <w:b/>
          <w:bCs/>
          <w:color w:val="auto"/>
          <w:sz w:val="30"/>
          <w:szCs w:val="30"/>
          <w:highlight w:val="none"/>
        </w:rPr>
        <w:br w:type="page"/>
      </w:r>
      <w:bookmarkStart w:id="245" w:name="_Toc3253"/>
      <w:bookmarkStart w:id="246" w:name="_Toc11212"/>
      <w:bookmarkStart w:id="247" w:name="_Toc3386"/>
      <w:bookmarkStart w:id="248" w:name="_Toc27470"/>
      <w:bookmarkStart w:id="249" w:name="_Toc7544"/>
      <w:bookmarkStart w:id="250" w:name="_Toc1542"/>
      <w:r>
        <w:rPr>
          <w:rFonts w:hint="eastAsia" w:hAnsi="宋体" w:cs="宋体"/>
          <w:b/>
          <w:bCs/>
          <w:color w:val="auto"/>
          <w:sz w:val="30"/>
          <w:szCs w:val="30"/>
          <w:highlight w:val="none"/>
        </w:rPr>
        <w:t>五、陕西省政府采购供应商拒绝政府采购领域商业贿赂承诺书</w:t>
      </w:r>
      <w:bookmarkEnd w:id="243"/>
      <w:bookmarkEnd w:id="244"/>
      <w:bookmarkEnd w:id="245"/>
      <w:bookmarkEnd w:id="246"/>
      <w:bookmarkEnd w:id="247"/>
      <w:bookmarkEnd w:id="248"/>
      <w:bookmarkEnd w:id="249"/>
      <w:bookmarkEnd w:id="250"/>
    </w:p>
    <w:p w14:paraId="7013CD16">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14:paraId="783A0E0F">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14:paraId="3514E198">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14:paraId="5DDF08C6">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14:paraId="3FB00980">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4、不采取“围标、陪标”等商业欺诈手段获得政府采购订单。</w:t>
      </w:r>
    </w:p>
    <w:p w14:paraId="1ACF820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14:paraId="16D5EFF5">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14:paraId="1C65FD1A">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7、不与采购人、采购代理机构政府采购评审专家或其他供应商恶意串通，进行质疑和投诉，维护政府采购市场秩序。</w:t>
      </w:r>
    </w:p>
    <w:p w14:paraId="188DD78B">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14:paraId="06D1DE02">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14:paraId="3802EDF2">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14:paraId="228856FD">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全权代表（签字）：</w:t>
      </w:r>
    </w:p>
    <w:p w14:paraId="2EDEF57B">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14:paraId="258E5F3D">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14:paraId="614EC1D7">
      <w:pPr>
        <w:spacing w:line="600" w:lineRule="exact"/>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14:paraId="740A8533">
      <w:pPr>
        <w:spacing w:line="600" w:lineRule="exact"/>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14:paraId="36980D2B">
      <w:pPr>
        <w:jc w:val="center"/>
        <w:outlineLvl w:val="1"/>
        <w:rPr>
          <w:rFonts w:hAnsi="宋体" w:cs="宋体"/>
          <w:color w:val="auto"/>
          <w:highlight w:val="none"/>
          <w:shd w:val="clear" w:color="auto" w:fill="FFFFFF"/>
        </w:rPr>
      </w:pPr>
      <w:bookmarkStart w:id="251" w:name="_Toc363474034"/>
      <w:bookmarkStart w:id="252" w:name="_Toc403077657"/>
      <w:r>
        <w:rPr>
          <w:rFonts w:hint="eastAsia" w:hAnsi="宋体" w:cs="宋体"/>
          <w:b/>
          <w:bCs/>
          <w:color w:val="auto"/>
          <w:sz w:val="30"/>
          <w:szCs w:val="30"/>
          <w:highlight w:val="none"/>
        </w:rPr>
        <w:br w:type="page"/>
      </w:r>
      <w:bookmarkStart w:id="253" w:name="_Toc7842"/>
      <w:bookmarkStart w:id="254" w:name="_Toc6273"/>
      <w:bookmarkStart w:id="255" w:name="_Toc29285"/>
      <w:bookmarkStart w:id="256" w:name="_Toc13983"/>
      <w:bookmarkStart w:id="257" w:name="_Toc6077"/>
      <w:bookmarkStart w:id="258" w:name="_Toc32016"/>
      <w:r>
        <w:rPr>
          <w:rFonts w:hint="eastAsia" w:hAnsi="宋体" w:cs="宋体"/>
          <w:b/>
          <w:bCs/>
          <w:color w:val="auto"/>
          <w:sz w:val="30"/>
          <w:szCs w:val="30"/>
          <w:highlight w:val="none"/>
        </w:rPr>
        <w:t>六、特定资格证明文件</w:t>
      </w:r>
      <w:bookmarkEnd w:id="251"/>
      <w:bookmarkEnd w:id="252"/>
      <w:bookmarkEnd w:id="253"/>
      <w:bookmarkEnd w:id="254"/>
      <w:bookmarkEnd w:id="255"/>
      <w:bookmarkEnd w:id="256"/>
      <w:bookmarkEnd w:id="257"/>
      <w:bookmarkEnd w:id="258"/>
    </w:p>
    <w:p w14:paraId="5F46E15B">
      <w:pPr>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（1）提供合格有效的法人或者其他组织的营业执照等证明文件，自然人的身份证明；</w:t>
      </w:r>
    </w:p>
    <w:p w14:paraId="2B455FAE">
      <w:pPr>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（2）提供法定代表人授权书（附法定代表人、被授权人身份证复印件），法定代表人直接参加的，须提供法定代表人身份证明及身份证复印件；</w:t>
      </w:r>
    </w:p>
    <w:p w14:paraId="4E0C8949">
      <w:pPr>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财务状况：提供2024年度经审计的财务审计报告，内容至少包括资产负债表、利润表、现金流量表及附注（成立时间至提交响应文件截止时间不足一年的可提供成立后任意时段的资产负债表）或磋商时间前六个月内银行出具的资信证明；</w:t>
      </w:r>
    </w:p>
    <w:p w14:paraId="6C7A7C11">
      <w:pPr>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（4）税收缴纳证明：提供2025年01月01日至今已缴存的至少一个月的纳税证明或完税证明，依法免税的单位应提供相关证明材料；</w:t>
      </w:r>
    </w:p>
    <w:p w14:paraId="74D846BD">
      <w:pPr>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（5）社会保障资金缴纳证明：提供2025年01月01日至今已缴存的至少一个月的社会保障资金缴存单据或社保机构开具的社会保险参保缴费情况证明，依法不需要缴纳社会保障资金的单位应提供相关证明材料；</w:t>
      </w:r>
    </w:p>
    <w:p w14:paraId="4F0F94AB">
      <w:pPr>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（6）供应商通过“信用中国”网站(www.creditchina.gov.cn)、中国政府采购网(www.ccgp.gov.cn)等查询相关主体信用记录；</w:t>
      </w:r>
    </w:p>
    <w:p w14:paraId="11736063">
      <w:pPr>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（7）参加政府采购活动前3年内，在经营活动中没有重大违法记录的书面声明；</w:t>
      </w:r>
    </w:p>
    <w:p w14:paraId="38C48D24">
      <w:pPr>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（8）提供具有履行合同所必需的设备和专业技术能力的书面承诺；</w:t>
      </w:r>
    </w:p>
    <w:p w14:paraId="20040498">
      <w:pPr>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（9）中小企业声明函：本项目为专门面向中小企业采购（提供中小企业声明函或监狱企业的证明文件或残疾人福利性单位声明函）；</w:t>
      </w:r>
    </w:p>
    <w:p w14:paraId="22340866">
      <w:pPr>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（10）本项目不接受联合体磋商（提供承诺书）。</w:t>
      </w:r>
    </w:p>
    <w:p w14:paraId="285DEDC6">
      <w:pPr>
        <w:spacing w:line="560" w:lineRule="exact"/>
        <w:rPr>
          <w:rFonts w:hAnsi="宋体" w:cs="宋体"/>
          <w:b/>
          <w:bCs/>
          <w:color w:val="auto"/>
          <w:sz w:val="28"/>
          <w:szCs w:val="28"/>
          <w:highlight w:val="none"/>
        </w:rPr>
      </w:pPr>
      <w:r>
        <w:rPr>
          <w:rFonts w:hint="eastAsia" w:hAnsi="宋体" w:cs="宋体"/>
          <w:b/>
          <w:bCs/>
          <w:color w:val="auto"/>
          <w:sz w:val="28"/>
          <w:szCs w:val="28"/>
          <w:highlight w:val="none"/>
        </w:rPr>
        <w:t>后附相关格式：</w:t>
      </w:r>
    </w:p>
    <w:p w14:paraId="363FD0DE">
      <w:pPr>
        <w:jc w:val="center"/>
        <w:outlineLvl w:val="1"/>
        <w:rPr>
          <w:rFonts w:hAnsi="宋体" w:cs="宋体"/>
          <w:b/>
          <w:bCs/>
          <w:color w:val="auto"/>
          <w:sz w:val="30"/>
          <w:szCs w:val="30"/>
          <w:highlight w:val="none"/>
        </w:rPr>
      </w:pPr>
      <w:r>
        <w:rPr>
          <w:rFonts w:hint="eastAsia" w:hAnsi="宋体" w:cs="宋体"/>
          <w:color w:val="auto"/>
          <w:szCs w:val="24"/>
          <w:highlight w:val="none"/>
        </w:rPr>
        <w:br w:type="page"/>
      </w:r>
      <w:bookmarkStart w:id="259" w:name="_Toc22315"/>
      <w:bookmarkStart w:id="260" w:name="_Toc23859"/>
      <w:bookmarkStart w:id="261" w:name="_Toc12717"/>
      <w:bookmarkStart w:id="262" w:name="_Toc24739"/>
      <w:bookmarkStart w:id="263" w:name="_Toc6853"/>
      <w:bookmarkStart w:id="264" w:name="_Toc19114"/>
      <w:r>
        <w:rPr>
          <w:rFonts w:hint="eastAsia" w:hAnsi="宋体" w:cs="宋体"/>
          <w:b/>
          <w:bCs/>
          <w:color w:val="auto"/>
          <w:sz w:val="30"/>
          <w:szCs w:val="30"/>
          <w:highlight w:val="none"/>
        </w:rPr>
        <w:t>七、其它</w:t>
      </w:r>
      <w:bookmarkEnd w:id="259"/>
      <w:bookmarkEnd w:id="260"/>
      <w:bookmarkEnd w:id="261"/>
      <w:bookmarkEnd w:id="262"/>
      <w:bookmarkEnd w:id="263"/>
      <w:bookmarkEnd w:id="264"/>
    </w:p>
    <w:p w14:paraId="36C58BA2">
      <w:pPr>
        <w:pStyle w:val="9"/>
        <w:ind w:left="0" w:leftChars="0" w:firstLine="0" w:firstLineChars="0"/>
        <w:rPr>
          <w:color w:val="auto"/>
          <w:highlight w:val="none"/>
        </w:rPr>
      </w:pPr>
      <w:r>
        <w:rPr>
          <w:rFonts w:hint="eastAsia"/>
          <w:color w:val="auto"/>
          <w:highlight w:val="none"/>
        </w:rPr>
        <w:t>1、依据竞争性磋商文件要求，供应商认为有必要说明的其他内容</w:t>
      </w:r>
    </w:p>
    <w:p w14:paraId="1698E33A">
      <w:pPr>
        <w:pStyle w:val="9"/>
        <w:ind w:left="0" w:leftChars="0" w:firstLine="0" w:firstLineChars="0"/>
        <w:rPr>
          <w:color w:val="auto"/>
          <w:highlight w:val="none"/>
        </w:rPr>
      </w:pPr>
      <w:r>
        <w:rPr>
          <w:rFonts w:hint="eastAsia"/>
          <w:color w:val="auto"/>
          <w:highlight w:val="none"/>
        </w:rPr>
        <w:t>2、其他可以证明供应商实力的文件。</w:t>
      </w:r>
    </w:p>
    <w:p w14:paraId="1BEE8721">
      <w:pPr>
        <w:spacing w:beforeLines="50" w:afterLines="50" w:line="500" w:lineRule="exact"/>
        <w:outlineLvl w:val="2"/>
        <w:rPr>
          <w:rFonts w:hAnsi="宋体" w:cs="宋体"/>
          <w:b/>
          <w:color w:val="auto"/>
          <w:sz w:val="28"/>
          <w:szCs w:val="28"/>
          <w:highlight w:val="none"/>
        </w:rPr>
      </w:pPr>
      <w:r>
        <w:rPr>
          <w:rFonts w:hint="eastAsia" w:hAnsi="宋体" w:cs="宋体"/>
          <w:color w:val="auto"/>
          <w:szCs w:val="24"/>
          <w:highlight w:val="none"/>
        </w:rPr>
        <w:br w:type="page"/>
      </w:r>
      <w:bookmarkStart w:id="265" w:name="_Toc6055"/>
      <w:bookmarkStart w:id="266" w:name="_Toc29387"/>
      <w:bookmarkStart w:id="267" w:name="_Toc17513"/>
      <w:bookmarkStart w:id="268" w:name="_Toc25119"/>
      <w:bookmarkStart w:id="269" w:name="_Toc13906"/>
      <w:r>
        <w:rPr>
          <w:rFonts w:hint="eastAsia" w:hAnsi="宋体" w:cs="宋体"/>
          <w:b/>
          <w:color w:val="auto"/>
          <w:sz w:val="28"/>
          <w:szCs w:val="28"/>
          <w:highlight w:val="none"/>
        </w:rPr>
        <w:t>附件1：法定代表人身份证明/法定代表人授权书</w:t>
      </w:r>
      <w:bookmarkEnd w:id="265"/>
      <w:bookmarkEnd w:id="266"/>
      <w:bookmarkEnd w:id="267"/>
      <w:bookmarkEnd w:id="268"/>
      <w:bookmarkEnd w:id="269"/>
    </w:p>
    <w:p w14:paraId="07CAE2D0">
      <w:pPr>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14:paraId="4811E887">
      <w:pPr>
        <w:keepNext/>
        <w:spacing w:beforeLines="100"/>
        <w:jc w:val="center"/>
        <w:rPr>
          <w:rFonts w:hint="eastAsia" w:hAnsi="宋体" w:cs="宋体"/>
          <w:b/>
          <w:bCs/>
          <w:color w:val="auto"/>
          <w:sz w:val="32"/>
          <w:szCs w:val="32"/>
          <w:highlight w:val="none"/>
        </w:rPr>
      </w:pPr>
      <w:r>
        <w:rPr>
          <w:rFonts w:hint="eastAsia" w:hAnsi="宋体" w:cs="宋体"/>
          <w:b/>
          <w:bCs/>
          <w:color w:val="auto"/>
          <w:sz w:val="32"/>
          <w:szCs w:val="32"/>
          <w:highlight w:val="none"/>
        </w:rPr>
        <w:t>法定代表人身份证明</w:t>
      </w:r>
    </w:p>
    <w:p w14:paraId="253FD2F7">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3D07850B">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776EF721">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64F3DE33">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2BD02B12">
      <w:pPr>
        <w:autoSpaceDE w:val="0"/>
        <w:autoSpaceDN w:val="0"/>
        <w:adjustRightInd w:val="0"/>
        <w:snapToGrid w:val="0"/>
        <w:spacing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232CC2E6">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 xml:space="preserve"> 年龄：</w:t>
      </w:r>
      <w:r>
        <w:rPr>
          <w:rFonts w:hint="eastAsia" w:hAnsi="宋体" w:cs="宋体"/>
          <w:color w:val="auto"/>
          <w:highlight w:val="none"/>
          <w:u w:val="single"/>
        </w:rPr>
        <w:t xml:space="preserve">  </w:t>
      </w:r>
      <w:r>
        <w:rPr>
          <w:rFonts w:hint="eastAsia" w:hAnsi="宋体" w:cs="宋体"/>
          <w:color w:val="auto"/>
          <w:highlight w:val="none"/>
        </w:rPr>
        <w:t xml:space="preserve"> 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65CD5A6C">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特此证明。</w:t>
      </w:r>
    </w:p>
    <w:p w14:paraId="5F16B987">
      <w:pPr>
        <w:autoSpaceDE w:val="0"/>
        <w:autoSpaceDN w:val="0"/>
        <w:adjustRightInd w:val="0"/>
        <w:snapToGrid w:val="0"/>
        <w:spacing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1561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0450D4C2">
            <w:pPr>
              <w:snapToGrid w:val="0"/>
              <w:spacing w:line="480" w:lineRule="auto"/>
              <w:jc w:val="center"/>
              <w:rPr>
                <w:rFonts w:hAnsi="宋体" w:cs="宋体"/>
                <w:color w:val="auto"/>
                <w:szCs w:val="21"/>
                <w:highlight w:val="none"/>
              </w:rPr>
            </w:pPr>
          </w:p>
          <w:p w14:paraId="3A12EBC4">
            <w:pPr>
              <w:snapToGrid w:val="0"/>
              <w:spacing w:line="480" w:lineRule="auto"/>
              <w:jc w:val="center"/>
              <w:rPr>
                <w:rFonts w:hAnsi="宋体" w:cs="宋体"/>
                <w:color w:val="auto"/>
                <w:szCs w:val="21"/>
                <w:highlight w:val="none"/>
              </w:rPr>
            </w:pPr>
          </w:p>
          <w:p w14:paraId="6866F1BE">
            <w:pPr>
              <w:autoSpaceDE w:val="0"/>
              <w:autoSpaceDN w:val="0"/>
              <w:adjustRightInd w:val="0"/>
              <w:snapToGrid w:val="0"/>
              <w:spacing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14:paraId="39AAA444">
            <w:pPr>
              <w:pStyle w:val="9"/>
              <w:ind w:left="0" w:leftChars="0" w:firstLine="0" w:firstLineChars="0"/>
              <w:jc w:val="center"/>
              <w:rPr>
                <w:color w:val="auto"/>
                <w:highlight w:val="none"/>
              </w:rPr>
            </w:pPr>
            <w:r>
              <w:rPr>
                <w:rFonts w:hint="eastAsia"/>
                <w:color w:val="auto"/>
                <w:highlight w:val="none"/>
              </w:rPr>
              <w:t>（正反面）</w:t>
            </w:r>
          </w:p>
          <w:p w14:paraId="7815F163">
            <w:pPr>
              <w:snapToGrid w:val="0"/>
              <w:spacing w:line="480" w:lineRule="auto"/>
              <w:jc w:val="center"/>
              <w:rPr>
                <w:rFonts w:hAnsi="宋体" w:cs="宋体"/>
                <w:color w:val="auto"/>
                <w:szCs w:val="21"/>
                <w:highlight w:val="none"/>
              </w:rPr>
            </w:pPr>
          </w:p>
          <w:p w14:paraId="6F0672B2">
            <w:pPr>
              <w:snapToGrid w:val="0"/>
              <w:spacing w:line="480" w:lineRule="auto"/>
              <w:jc w:val="center"/>
              <w:rPr>
                <w:rFonts w:hAnsi="宋体" w:cs="宋体"/>
                <w:color w:val="auto"/>
                <w:szCs w:val="21"/>
                <w:highlight w:val="none"/>
              </w:rPr>
            </w:pPr>
          </w:p>
        </w:tc>
      </w:tr>
    </w:tbl>
    <w:p w14:paraId="37A09E40">
      <w:pPr>
        <w:snapToGrid w:val="0"/>
        <w:spacing w:line="480" w:lineRule="auto"/>
        <w:rPr>
          <w:rFonts w:hAnsi="宋体" w:cs="宋体"/>
          <w:color w:val="auto"/>
          <w:szCs w:val="21"/>
          <w:highlight w:val="none"/>
        </w:rPr>
      </w:pPr>
    </w:p>
    <w:p w14:paraId="18511572">
      <w:pPr>
        <w:snapToGrid w:val="0"/>
        <w:rPr>
          <w:rFonts w:hAnsi="宋体" w:cs="宋体"/>
          <w:color w:val="auto"/>
          <w:szCs w:val="21"/>
          <w:highlight w:val="none"/>
        </w:rPr>
      </w:pPr>
    </w:p>
    <w:p w14:paraId="0333F524">
      <w:pPr>
        <w:snapToGrid w:val="0"/>
        <w:rPr>
          <w:rFonts w:hAnsi="宋体" w:cs="宋体"/>
          <w:color w:val="auto"/>
          <w:szCs w:val="21"/>
          <w:highlight w:val="none"/>
        </w:rPr>
      </w:pPr>
    </w:p>
    <w:p w14:paraId="6875BA24">
      <w:pPr>
        <w:snapToGrid w:val="0"/>
        <w:rPr>
          <w:rFonts w:hAnsi="宋体" w:cs="宋体"/>
          <w:color w:val="auto"/>
          <w:szCs w:val="21"/>
          <w:highlight w:val="none"/>
        </w:rPr>
      </w:pPr>
    </w:p>
    <w:p w14:paraId="743C0807">
      <w:pPr>
        <w:snapToGrid w:val="0"/>
        <w:rPr>
          <w:rFonts w:hAnsi="宋体" w:cs="宋体"/>
          <w:color w:val="auto"/>
          <w:szCs w:val="21"/>
          <w:highlight w:val="none"/>
        </w:rPr>
      </w:pPr>
    </w:p>
    <w:p w14:paraId="212E6F63">
      <w:pPr>
        <w:adjustRightInd w:val="0"/>
        <w:snapToGrid w:val="0"/>
        <w:spacing w:line="360" w:lineRule="auto"/>
        <w:rPr>
          <w:rFonts w:hAnsi="宋体" w:cs="宋体"/>
          <w:color w:val="auto"/>
          <w:highlight w:val="none"/>
        </w:rPr>
      </w:pPr>
    </w:p>
    <w:p w14:paraId="52C020C9">
      <w:pPr>
        <w:adjustRightInd w:val="0"/>
        <w:snapToGrid w:val="0"/>
        <w:spacing w:line="360" w:lineRule="auto"/>
        <w:ind w:right="420"/>
        <w:rPr>
          <w:rFonts w:hAnsi="宋体" w:cs="宋体"/>
          <w:color w:val="auto"/>
          <w:highlight w:val="none"/>
        </w:rPr>
      </w:pPr>
    </w:p>
    <w:p w14:paraId="7F94E4ED">
      <w:pPr>
        <w:adjustRightInd w:val="0"/>
        <w:snapToGrid w:val="0"/>
        <w:spacing w:line="360" w:lineRule="auto"/>
        <w:ind w:right="420"/>
        <w:rPr>
          <w:rFonts w:hAnsi="宋体" w:cs="宋体"/>
          <w:color w:val="auto"/>
          <w:highlight w:val="none"/>
        </w:rPr>
      </w:pPr>
    </w:p>
    <w:p w14:paraId="1B74C7B7">
      <w:pPr>
        <w:adjustRightInd w:val="0"/>
        <w:snapToGrid w:val="0"/>
        <w:spacing w:line="360" w:lineRule="auto"/>
        <w:ind w:right="420"/>
        <w:rPr>
          <w:rFonts w:hAnsi="宋体" w:cs="宋体"/>
          <w:color w:val="auto"/>
          <w:highlight w:val="none"/>
        </w:rPr>
      </w:pPr>
    </w:p>
    <w:p w14:paraId="42C7D616">
      <w:pPr>
        <w:adjustRightInd w:val="0"/>
        <w:snapToGrid w:val="0"/>
        <w:spacing w:line="360" w:lineRule="auto"/>
        <w:ind w:right="420"/>
        <w:rPr>
          <w:rFonts w:hAnsi="宋体" w:cs="宋体"/>
          <w:color w:val="auto"/>
          <w:highlight w:val="none"/>
        </w:rPr>
      </w:pPr>
    </w:p>
    <w:p w14:paraId="67FF5EC1">
      <w:pP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14:paraId="13474BAF">
      <w:pP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14:paraId="33B7B39E">
      <w:pPr>
        <w:pStyle w:val="9"/>
        <w:rPr>
          <w:color w:val="auto"/>
          <w:highlight w:val="none"/>
        </w:rPr>
      </w:pPr>
    </w:p>
    <w:p w14:paraId="7B5B954E">
      <w:pPr>
        <w:spacing w:line="360" w:lineRule="auto"/>
        <w:jc w:val="left"/>
        <w:rPr>
          <w:rFonts w:hAnsi="宋体" w:cs="宋体"/>
          <w:color w:val="auto"/>
          <w:spacing w:val="4"/>
          <w:szCs w:val="24"/>
          <w:highlight w:val="none"/>
        </w:rPr>
      </w:pPr>
    </w:p>
    <w:p w14:paraId="507D78A9">
      <w:pPr>
        <w:keepNext/>
        <w:spacing w:beforeLines="100"/>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14:paraId="69DA8D44">
      <w:pPr>
        <w:spacing w:line="500" w:lineRule="exact"/>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陕西至诚项目管理集团有限公司 </w:t>
      </w:r>
    </w:p>
    <w:p w14:paraId="78F13DFF">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项目的磋商、签约等具体工作，并签署全部有关的文件、协议及合同。</w:t>
      </w:r>
    </w:p>
    <w:p w14:paraId="2143C3A1">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14:paraId="1DB84E06">
      <w:pPr>
        <w:spacing w:line="500" w:lineRule="exact"/>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14:paraId="2FA17A35">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14:paraId="5CFCF326">
      <w:pPr>
        <w:spacing w:line="360" w:lineRule="auto"/>
        <w:ind w:firstLine="496" w:firstLineChars="200"/>
        <w:jc w:val="left"/>
        <w:rPr>
          <w:rFonts w:hAnsi="宋体" w:cs="宋体"/>
          <w:color w:val="auto"/>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3C7DBE8F">
        <w:tblPrEx>
          <w:tblCellMar>
            <w:top w:w="0" w:type="dxa"/>
            <w:left w:w="108" w:type="dxa"/>
            <w:bottom w:w="0" w:type="dxa"/>
            <w:right w:w="108" w:type="dxa"/>
          </w:tblCellMar>
        </w:tblPrEx>
        <w:trPr>
          <w:trHeight w:val="600" w:hRule="atLeast"/>
        </w:trPr>
        <w:tc>
          <w:tcPr>
            <w:tcW w:w="4200" w:type="dxa"/>
          </w:tcPr>
          <w:p w14:paraId="38D4E467">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14:paraId="483B6806">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14:paraId="7E1B09CF">
        <w:tblPrEx>
          <w:tblCellMar>
            <w:top w:w="0" w:type="dxa"/>
            <w:left w:w="108" w:type="dxa"/>
            <w:bottom w:w="0" w:type="dxa"/>
            <w:right w:w="108" w:type="dxa"/>
          </w:tblCellMar>
        </w:tblPrEx>
        <w:trPr>
          <w:trHeight w:val="600" w:hRule="atLeast"/>
        </w:trPr>
        <w:tc>
          <w:tcPr>
            <w:tcW w:w="4200" w:type="dxa"/>
          </w:tcPr>
          <w:p w14:paraId="2873705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14:paraId="0B560321">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14:paraId="3B71DB16">
        <w:tblPrEx>
          <w:tblCellMar>
            <w:top w:w="0" w:type="dxa"/>
            <w:left w:w="108" w:type="dxa"/>
            <w:bottom w:w="0" w:type="dxa"/>
            <w:right w:w="108" w:type="dxa"/>
          </w:tblCellMar>
        </w:tblPrEx>
        <w:trPr>
          <w:trHeight w:val="600" w:hRule="atLeast"/>
        </w:trPr>
        <w:tc>
          <w:tcPr>
            <w:tcW w:w="4200" w:type="dxa"/>
          </w:tcPr>
          <w:p w14:paraId="0C4848D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c>
          <w:tcPr>
            <w:tcW w:w="3990" w:type="dxa"/>
          </w:tcPr>
          <w:p w14:paraId="3B50FEF5">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r>
      <w:tr w14:paraId="2BE81074">
        <w:tblPrEx>
          <w:tblCellMar>
            <w:top w:w="0" w:type="dxa"/>
            <w:left w:w="108" w:type="dxa"/>
            <w:bottom w:w="0" w:type="dxa"/>
            <w:right w:w="108" w:type="dxa"/>
          </w:tblCellMar>
        </w:tblPrEx>
        <w:trPr>
          <w:trHeight w:val="600" w:hRule="atLeast"/>
        </w:trPr>
        <w:tc>
          <w:tcPr>
            <w:tcW w:w="4200" w:type="dxa"/>
          </w:tcPr>
          <w:p w14:paraId="7D026792">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14:paraId="64CAE55E">
            <w:pPr>
              <w:spacing w:line="360" w:lineRule="auto"/>
              <w:jc w:val="left"/>
              <w:rPr>
                <w:rFonts w:hAnsi="宋体" w:cs="宋体"/>
                <w:color w:val="auto"/>
                <w:spacing w:val="4"/>
                <w:szCs w:val="24"/>
                <w:highlight w:val="none"/>
              </w:rPr>
            </w:pPr>
          </w:p>
        </w:tc>
      </w:tr>
    </w:tbl>
    <w:p w14:paraId="5588F0E9">
      <w:pP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14:paraId="74616362">
      <w:pPr>
        <w:spacing w:line="360" w:lineRule="auto"/>
        <w:rPr>
          <w:rFonts w:hAnsi="宋体" w:cs="宋体"/>
          <w:color w:val="auto"/>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04DC5034">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27EA0410">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14:paraId="1627108C">
            <w:pP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1D90CC33">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14:paraId="78056994">
            <w:pP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14:paraId="537F5AD9">
      <w:pPr>
        <w:spacing w:line="360" w:lineRule="auto"/>
        <w:ind w:firstLine="510"/>
        <w:rPr>
          <w:rFonts w:hAnsi="宋体" w:cs="宋体"/>
          <w:color w:val="auto"/>
          <w:spacing w:val="4"/>
          <w:szCs w:val="24"/>
          <w:highlight w:val="none"/>
        </w:rPr>
      </w:pPr>
    </w:p>
    <w:p w14:paraId="09863492">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14:paraId="6A045419">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日期：</w:t>
      </w:r>
    </w:p>
    <w:p w14:paraId="34E5B5FD">
      <w:pPr>
        <w:rPr>
          <w:rFonts w:hAnsi="宋体" w:cs="宋体"/>
          <w:color w:val="auto"/>
          <w:spacing w:val="4"/>
          <w:szCs w:val="30"/>
          <w:highlight w:val="none"/>
        </w:rPr>
      </w:pPr>
      <w:r>
        <w:rPr>
          <w:rFonts w:hint="eastAsia" w:hAnsi="宋体" w:cs="宋体"/>
          <w:b/>
          <w:color w:val="auto"/>
          <w:sz w:val="28"/>
          <w:szCs w:val="28"/>
          <w:highlight w:val="none"/>
        </w:rPr>
        <w:br w:type="page"/>
      </w:r>
      <w:bookmarkStart w:id="270" w:name="_Toc11767"/>
      <w:bookmarkStart w:id="271" w:name="_Toc17295"/>
    </w:p>
    <w:p w14:paraId="0C8796D0">
      <w:pPr>
        <w:widowControl/>
        <w:spacing w:line="360" w:lineRule="auto"/>
        <w:ind w:left="1" w:firstLine="281" w:firstLineChars="100"/>
        <w:rPr>
          <w:rFonts w:hAnsi="宋体" w:cs="宋体"/>
          <w:b/>
          <w:color w:val="auto"/>
          <w:sz w:val="28"/>
          <w:szCs w:val="28"/>
          <w:highlight w:val="none"/>
        </w:rPr>
      </w:pPr>
    </w:p>
    <w:p w14:paraId="0E094EBD">
      <w:pPr>
        <w:widowControl/>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参加政府采购活动前3年内在经营活动中没有重大违法记录的书面声明</w:t>
      </w:r>
    </w:p>
    <w:p w14:paraId="5E29B8F3">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6C3A92FC">
      <w:pPr>
        <w:pStyle w:val="19"/>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5BC43F4A">
      <w:pPr>
        <w:pStyle w:val="19"/>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11045DBC">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6F767034">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如有不实，我方将无条件地退出本项目的采购活动，并遵照《</w:t>
      </w:r>
      <w:r>
        <w:rPr>
          <w:rFonts w:hint="eastAsia" w:hAnsi="宋体" w:cs="宋体"/>
          <w:color w:val="auto"/>
          <w:szCs w:val="21"/>
          <w:highlight w:val="none"/>
        </w:rPr>
        <w:t>中华人民共和国</w:t>
      </w:r>
      <w:r>
        <w:rPr>
          <w:rFonts w:hint="eastAsia" w:cs="宋体"/>
          <w:color w:val="auto"/>
          <w:highlight w:val="none"/>
          <w:shd w:val="clear" w:color="auto" w:fill="FFFFFF"/>
        </w:rPr>
        <w:t xml:space="preserve">政府采购法》有关“提供虚假材料的规定”接受处罚。 </w:t>
      </w:r>
    </w:p>
    <w:p w14:paraId="6837BCF0">
      <w:pPr>
        <w:pStyle w:val="19"/>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423A522F">
      <w:pPr>
        <w:pStyle w:val="19"/>
        <w:wordWrap w:val="0"/>
        <w:spacing w:beforeAutospacing="0" w:afterAutospacing="0" w:line="560" w:lineRule="exact"/>
        <w:ind w:firstLine="420"/>
        <w:rPr>
          <w:rFonts w:cs="宋体"/>
          <w:color w:val="auto"/>
          <w:highlight w:val="none"/>
          <w:shd w:val="clear" w:color="auto" w:fill="FFFFFF"/>
        </w:rPr>
      </w:pPr>
    </w:p>
    <w:p w14:paraId="6257DB42">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7BDC65C7">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AE4BF82">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87E6EDD">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14:paraId="346A1C4D">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具有履行本合同所必需的设备和专业技术能力的书面声明</w:t>
      </w:r>
    </w:p>
    <w:p w14:paraId="25EC5F77">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2E774495">
      <w:pPr>
        <w:rPr>
          <w:color w:val="auto"/>
          <w:highlight w:val="none"/>
        </w:rPr>
      </w:pPr>
    </w:p>
    <w:p w14:paraId="7485F267">
      <w:pPr>
        <w:pStyle w:val="12"/>
        <w:adjustRightInd w:val="0"/>
        <w:snapToGrid w:val="0"/>
        <w:spacing w:line="720" w:lineRule="exact"/>
        <w:jc w:val="center"/>
        <w:rPr>
          <w:rFonts w:hAnsi="宋体" w:cs="宋体"/>
          <w:b/>
          <w:color w:val="auto"/>
          <w:sz w:val="28"/>
          <w:szCs w:val="28"/>
          <w:highlight w:val="none"/>
        </w:rPr>
      </w:pPr>
    </w:p>
    <w:p w14:paraId="08BE7EF8">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    ：</w:t>
      </w:r>
    </w:p>
    <w:p w14:paraId="37B721ED">
      <w:pPr>
        <w:pStyle w:val="12"/>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2D5467B3">
      <w:pPr>
        <w:pStyle w:val="12"/>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574C2A83">
      <w:pPr>
        <w:pStyle w:val="12"/>
        <w:adjustRightInd w:val="0"/>
        <w:snapToGrid w:val="0"/>
        <w:spacing w:line="720" w:lineRule="exact"/>
        <w:rPr>
          <w:rFonts w:hAnsi="宋体" w:cs="宋体"/>
          <w:color w:val="auto"/>
          <w:spacing w:val="4"/>
          <w:sz w:val="24"/>
          <w:szCs w:val="24"/>
          <w:highlight w:val="none"/>
        </w:rPr>
      </w:pPr>
    </w:p>
    <w:p w14:paraId="65EE614E">
      <w:pPr>
        <w:pStyle w:val="12"/>
        <w:adjustRightInd w:val="0"/>
        <w:snapToGrid w:val="0"/>
        <w:spacing w:line="720" w:lineRule="exact"/>
        <w:rPr>
          <w:rFonts w:hAnsi="宋体" w:cs="宋体"/>
          <w:color w:val="auto"/>
          <w:spacing w:val="4"/>
          <w:sz w:val="24"/>
          <w:szCs w:val="24"/>
          <w:highlight w:val="none"/>
        </w:rPr>
      </w:pPr>
    </w:p>
    <w:p w14:paraId="0CAEF10F">
      <w:pPr>
        <w:pStyle w:val="12"/>
        <w:adjustRightInd w:val="0"/>
        <w:snapToGrid w:val="0"/>
        <w:spacing w:line="720" w:lineRule="exact"/>
        <w:rPr>
          <w:rFonts w:hAnsi="宋体" w:cs="宋体"/>
          <w:color w:val="auto"/>
          <w:spacing w:val="4"/>
          <w:sz w:val="24"/>
          <w:szCs w:val="24"/>
          <w:highlight w:val="none"/>
        </w:rPr>
      </w:pPr>
    </w:p>
    <w:p w14:paraId="5A093D3A">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71D4F33B">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4B703F0A">
      <w:pPr>
        <w:rPr>
          <w:rFonts w:hAnsi="宋体" w:cs="宋体"/>
          <w:color w:val="auto"/>
          <w:spacing w:val="4"/>
          <w:szCs w:val="30"/>
          <w:highlight w:val="none"/>
        </w:rPr>
      </w:pPr>
      <w:r>
        <w:rPr>
          <w:rFonts w:hint="eastAsia" w:hAnsi="宋体" w:cs="宋体"/>
          <w:color w:val="auto"/>
          <w:spacing w:val="4"/>
          <w:szCs w:val="30"/>
          <w:highlight w:val="none"/>
        </w:rPr>
        <w:br w:type="page"/>
      </w:r>
    </w:p>
    <w:p w14:paraId="0616C1EB">
      <w:pPr>
        <w:spacing w:before="100" w:beforeAutospacing="1" w:afterLines="50" w:line="360" w:lineRule="auto"/>
        <w:jc w:val="left"/>
        <w:outlineLvl w:val="2"/>
        <w:rPr>
          <w:rFonts w:hAnsi="宋体" w:cs="宋体"/>
          <w:b/>
          <w:color w:val="auto"/>
          <w:sz w:val="28"/>
          <w:szCs w:val="28"/>
          <w:highlight w:val="none"/>
        </w:rPr>
      </w:pPr>
      <w:bookmarkStart w:id="272" w:name="_Toc2812"/>
      <w:bookmarkStart w:id="273" w:name="_Toc32573"/>
      <w:bookmarkStart w:id="274" w:name="_Toc29482"/>
      <w:r>
        <w:rPr>
          <w:rFonts w:hint="eastAsia" w:hAnsi="宋体" w:cs="宋体"/>
          <w:b/>
          <w:color w:val="auto"/>
          <w:sz w:val="28"/>
          <w:szCs w:val="28"/>
          <w:highlight w:val="none"/>
        </w:rPr>
        <w:t>附件2：中小企业声明函</w:t>
      </w:r>
      <w:bookmarkEnd w:id="270"/>
      <w:bookmarkEnd w:id="271"/>
      <w:bookmarkEnd w:id="272"/>
      <w:bookmarkEnd w:id="273"/>
      <w:bookmarkEnd w:id="274"/>
      <w:bookmarkStart w:id="275" w:name="_Toc13836"/>
    </w:p>
    <w:p w14:paraId="3D957637">
      <w:pPr>
        <w:spacing w:beforeLines="50"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167E2C84">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3FDB7793">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15A5268C">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61A8775">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14:paraId="1867B112">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08ED887E">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710720B1">
      <w:pPr>
        <w:tabs>
          <w:tab w:val="left" w:pos="1620"/>
          <w:tab w:val="left" w:pos="1800"/>
        </w:tabs>
        <w:spacing w:line="500" w:lineRule="exact"/>
        <w:rPr>
          <w:rFonts w:hAnsi="宋体" w:cs="宋体"/>
          <w:color w:val="auto"/>
          <w:szCs w:val="24"/>
          <w:highlight w:val="none"/>
        </w:rPr>
      </w:pPr>
    </w:p>
    <w:p w14:paraId="3D112AE4">
      <w:pPr>
        <w:tabs>
          <w:tab w:val="left" w:pos="1620"/>
          <w:tab w:val="left" w:pos="1800"/>
        </w:tabs>
        <w:spacing w:line="500" w:lineRule="exact"/>
        <w:rPr>
          <w:rFonts w:hAnsi="宋体" w:cs="宋体"/>
          <w:color w:val="auto"/>
          <w:szCs w:val="24"/>
          <w:highlight w:val="none"/>
        </w:rPr>
      </w:pPr>
    </w:p>
    <w:p w14:paraId="612DDAA9">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企业名称（盖章）：</w:t>
      </w:r>
    </w:p>
    <w:p w14:paraId="14493DC8">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日期：</w:t>
      </w:r>
    </w:p>
    <w:p w14:paraId="0B97B38E">
      <w:pPr>
        <w:rPr>
          <w:rFonts w:hAnsi="宋体" w:cs="宋体"/>
          <w:b/>
          <w:color w:val="auto"/>
          <w:sz w:val="28"/>
          <w:szCs w:val="28"/>
          <w:highlight w:val="none"/>
        </w:rPr>
      </w:pPr>
      <w:r>
        <w:rPr>
          <w:rFonts w:hint="eastAsia" w:hAnsi="宋体" w:cs="宋体"/>
          <w:b/>
          <w:color w:val="auto"/>
          <w:sz w:val="28"/>
          <w:szCs w:val="28"/>
          <w:highlight w:val="none"/>
        </w:rPr>
        <w:br w:type="page"/>
      </w:r>
    </w:p>
    <w:p w14:paraId="4E66AF46">
      <w:pPr>
        <w:pStyle w:val="35"/>
        <w:spacing w:line="400" w:lineRule="exact"/>
        <w:rPr>
          <w:rFonts w:hAnsi="宋体" w:cs="宋体"/>
          <w:b/>
          <w:bCs/>
          <w:color w:val="auto"/>
          <w:spacing w:val="6"/>
          <w:sz w:val="30"/>
          <w:szCs w:val="30"/>
          <w:highlight w:val="none"/>
        </w:rPr>
      </w:pPr>
      <w:bookmarkStart w:id="276" w:name="_Toc13530"/>
      <w:bookmarkStart w:id="277" w:name="_Toc10758"/>
      <w:bookmarkStart w:id="278" w:name="_Toc8863"/>
      <w:bookmarkStart w:id="279" w:name="_Toc12704"/>
      <w:bookmarkStart w:id="280" w:name="_Toc5964"/>
      <w:r>
        <w:rPr>
          <w:rFonts w:hint="eastAsia" w:hAnsi="宋体" w:cs="宋体"/>
          <w:b/>
          <w:color w:val="auto"/>
          <w:sz w:val="28"/>
          <w:szCs w:val="28"/>
          <w:highlight w:val="none"/>
        </w:rPr>
        <w:t>附件3：</w:t>
      </w:r>
      <w:bookmarkEnd w:id="275"/>
      <w:bookmarkEnd w:id="276"/>
      <w:bookmarkEnd w:id="277"/>
      <w:bookmarkEnd w:id="278"/>
      <w:bookmarkEnd w:id="279"/>
      <w:bookmarkEnd w:id="280"/>
      <w:bookmarkStart w:id="281" w:name="_Toc22425"/>
      <w:bookmarkStart w:id="282" w:name="_Toc27124"/>
      <w:bookmarkStart w:id="283" w:name="_Toc11235"/>
      <w:bookmarkStart w:id="284" w:name="_Toc11066"/>
      <w:bookmarkStart w:id="285" w:name="_Toc29025"/>
      <w:r>
        <w:rPr>
          <w:rFonts w:hint="eastAsia" w:hAnsi="宋体" w:cs="宋体"/>
          <w:b/>
          <w:bCs/>
          <w:color w:val="auto"/>
          <w:spacing w:val="6"/>
          <w:sz w:val="30"/>
          <w:szCs w:val="30"/>
          <w:highlight w:val="none"/>
        </w:rPr>
        <w:t>残疾人福利性单位声明函（如有）</w:t>
      </w:r>
      <w:bookmarkEnd w:id="281"/>
      <w:bookmarkEnd w:id="282"/>
      <w:bookmarkEnd w:id="283"/>
      <w:bookmarkEnd w:id="284"/>
      <w:bookmarkEnd w:id="285"/>
    </w:p>
    <w:p w14:paraId="02055D0C">
      <w:pPr>
        <w:spacing w:line="588" w:lineRule="exact"/>
        <w:jc w:val="center"/>
        <w:rPr>
          <w:rFonts w:hint="eastAsia" w:hAnsi="宋体" w:cs="宋体"/>
          <w:b/>
          <w:color w:val="auto"/>
          <w:spacing w:val="6"/>
          <w:sz w:val="32"/>
          <w:szCs w:val="32"/>
          <w:highlight w:val="none"/>
        </w:rPr>
      </w:pPr>
      <w:bookmarkStart w:id="286" w:name="OLE_LINK14"/>
      <w:bookmarkStart w:id="287" w:name="OLE_LINK13"/>
    </w:p>
    <w:p w14:paraId="1EFB084A">
      <w:pPr>
        <w:spacing w:line="588" w:lineRule="exact"/>
        <w:jc w:val="center"/>
        <w:rPr>
          <w:rFonts w:hAnsi="宋体" w:cs="宋体"/>
          <w:b/>
          <w:color w:val="auto"/>
          <w:spacing w:val="6"/>
          <w:sz w:val="32"/>
          <w:szCs w:val="32"/>
          <w:highlight w:val="none"/>
        </w:rPr>
      </w:pPr>
      <w:r>
        <w:rPr>
          <w:rFonts w:hint="eastAsia" w:hAnsi="宋体" w:cs="宋体"/>
          <w:b/>
          <w:color w:val="auto"/>
          <w:spacing w:val="6"/>
          <w:sz w:val="32"/>
          <w:szCs w:val="32"/>
          <w:highlight w:val="none"/>
        </w:rPr>
        <w:t>残疾人福利性单位声明函</w:t>
      </w:r>
    </w:p>
    <w:bookmarkEnd w:id="286"/>
    <w:bookmarkEnd w:id="287"/>
    <w:p w14:paraId="1F0BADA3">
      <w:pPr>
        <w:spacing w:line="588" w:lineRule="exact"/>
        <w:rPr>
          <w:rFonts w:hAnsi="宋体" w:cs="宋体"/>
          <w:b/>
          <w:color w:val="auto"/>
          <w:spacing w:val="6"/>
          <w:sz w:val="30"/>
          <w:szCs w:val="30"/>
          <w:highlight w:val="none"/>
        </w:rPr>
      </w:pPr>
    </w:p>
    <w:p w14:paraId="2703DBB3">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741077">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14:paraId="474FFA2B">
      <w:pPr>
        <w:spacing w:line="588" w:lineRule="exact"/>
        <w:ind w:firstLine="504" w:firstLineChars="200"/>
        <w:rPr>
          <w:rFonts w:hAnsi="宋体" w:cs="宋体"/>
          <w:color w:val="auto"/>
          <w:spacing w:val="6"/>
          <w:szCs w:val="24"/>
          <w:highlight w:val="none"/>
        </w:rPr>
      </w:pPr>
    </w:p>
    <w:p w14:paraId="3DEBBFF5">
      <w:pPr>
        <w:spacing w:line="588" w:lineRule="exact"/>
        <w:ind w:firstLine="504" w:firstLineChars="200"/>
        <w:rPr>
          <w:rFonts w:hAnsi="宋体" w:cs="宋体"/>
          <w:color w:val="auto"/>
          <w:spacing w:val="6"/>
          <w:szCs w:val="24"/>
          <w:highlight w:val="none"/>
        </w:rPr>
      </w:pPr>
    </w:p>
    <w:p w14:paraId="6098C2E6">
      <w:pPr>
        <w:spacing w:line="588" w:lineRule="exact"/>
        <w:ind w:firstLine="504" w:firstLineChars="200"/>
        <w:rPr>
          <w:rFonts w:hAnsi="宋体" w:cs="宋体"/>
          <w:color w:val="auto"/>
          <w:spacing w:val="6"/>
          <w:szCs w:val="24"/>
          <w:highlight w:val="none"/>
        </w:rPr>
      </w:pPr>
    </w:p>
    <w:p w14:paraId="6A03AD8F">
      <w:pPr>
        <w:spacing w:line="588" w:lineRule="exact"/>
        <w:ind w:firstLine="504" w:firstLineChars="200"/>
        <w:rPr>
          <w:rFonts w:hAnsi="宋体" w:cs="宋体"/>
          <w:color w:val="auto"/>
          <w:spacing w:val="6"/>
          <w:szCs w:val="24"/>
          <w:highlight w:val="none"/>
        </w:rPr>
      </w:pPr>
    </w:p>
    <w:p w14:paraId="3C2EF0B1">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14:paraId="4261E32D">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14:paraId="633F2B20">
      <w:pPr>
        <w:spacing w:line="360" w:lineRule="auto"/>
        <w:outlineLvl w:val="2"/>
        <w:rPr>
          <w:rFonts w:hAnsi="宋体" w:cs="宋体"/>
          <w:b/>
          <w:color w:val="auto"/>
          <w:sz w:val="28"/>
          <w:szCs w:val="28"/>
          <w:highlight w:val="none"/>
        </w:rPr>
      </w:pPr>
      <w:r>
        <w:rPr>
          <w:rFonts w:hint="eastAsia" w:hAnsi="宋体" w:cs="宋体"/>
          <w:color w:val="auto"/>
          <w:highlight w:val="none"/>
        </w:rPr>
        <w:br w:type="page"/>
      </w:r>
      <w:bookmarkStart w:id="288" w:name="_Toc19526"/>
      <w:bookmarkStart w:id="289" w:name="_Toc29109"/>
      <w:bookmarkStart w:id="290" w:name="_Toc23160"/>
      <w:bookmarkStart w:id="291" w:name="_Toc2119"/>
      <w:bookmarkStart w:id="292" w:name="_Toc2139"/>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hAnsi="宋体" w:cs="宋体"/>
          <w:b/>
          <w:color w:val="auto"/>
          <w:sz w:val="28"/>
          <w:szCs w:val="28"/>
          <w:highlight w:val="none"/>
        </w:rPr>
        <w:t>：质疑函范本</w:t>
      </w:r>
      <w:bookmarkEnd w:id="288"/>
      <w:bookmarkEnd w:id="289"/>
      <w:bookmarkEnd w:id="290"/>
      <w:bookmarkEnd w:id="291"/>
      <w:bookmarkEnd w:id="292"/>
    </w:p>
    <w:p w14:paraId="5583868E">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7EE32C10">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095D2E36">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03555EEB">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6D0A0550">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86EC29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143559C3">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0702F125">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6F9188C0">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16FCA54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661986FF">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4CB198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3F2D74DB">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410D5AA9">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4F32752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785AF87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7FCB2266">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336948F4">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58EB9F36">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7D54741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04A13E9D">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396740FD">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74F59BD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735DFB84">
      <w:pPr>
        <w:rPr>
          <w:rFonts w:hAnsi="宋体" w:cs="宋体"/>
          <w:color w:val="auto"/>
          <w:szCs w:val="24"/>
          <w:highlight w:val="none"/>
        </w:rPr>
      </w:pPr>
      <w:r>
        <w:rPr>
          <w:rFonts w:hint="eastAsia" w:hAnsi="宋体" w:cs="宋体"/>
          <w:color w:val="auto"/>
          <w:szCs w:val="24"/>
          <w:highlight w:val="none"/>
        </w:rPr>
        <w:t xml:space="preserve">签字(签章)：                   公章：                      </w:t>
      </w:r>
    </w:p>
    <w:p w14:paraId="41EE4101">
      <w:pPr>
        <w:rPr>
          <w:rFonts w:hAnsi="宋体" w:cs="宋体"/>
          <w:color w:val="auto"/>
          <w:szCs w:val="24"/>
          <w:highlight w:val="none"/>
        </w:rPr>
      </w:pPr>
      <w:r>
        <w:rPr>
          <w:rFonts w:hint="eastAsia" w:hAnsi="宋体" w:cs="宋体"/>
          <w:color w:val="auto"/>
          <w:szCs w:val="24"/>
          <w:highlight w:val="none"/>
        </w:rPr>
        <w:t xml:space="preserve">日期：    </w:t>
      </w:r>
    </w:p>
    <w:p w14:paraId="229B1861">
      <w:pPr>
        <w:jc w:val="center"/>
        <w:rPr>
          <w:rFonts w:hAnsi="宋体" w:cs="宋体"/>
          <w:b/>
          <w:color w:val="auto"/>
          <w:sz w:val="44"/>
          <w:szCs w:val="44"/>
          <w:highlight w:val="none"/>
        </w:rPr>
      </w:pPr>
    </w:p>
    <w:p w14:paraId="2EEB77E5">
      <w:pPr>
        <w:jc w:val="center"/>
        <w:rPr>
          <w:rFonts w:hAnsi="宋体" w:cs="宋体"/>
          <w:b/>
          <w:color w:val="auto"/>
          <w:sz w:val="44"/>
          <w:szCs w:val="44"/>
          <w:highlight w:val="none"/>
        </w:rPr>
      </w:pPr>
    </w:p>
    <w:p w14:paraId="58B6BC10">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399C22F7">
      <w:pPr>
        <w:rPr>
          <w:rFonts w:hAnsi="宋体" w:cs="宋体"/>
          <w:color w:val="auto"/>
          <w:szCs w:val="24"/>
          <w:highlight w:val="none"/>
        </w:rPr>
      </w:pPr>
      <w:r>
        <w:rPr>
          <w:rFonts w:hint="eastAsia" w:hAnsi="宋体" w:cs="宋体"/>
          <w:color w:val="auto"/>
          <w:szCs w:val="24"/>
          <w:highlight w:val="none"/>
        </w:rPr>
        <w:t>一、投诉相关主体基本情况</w:t>
      </w:r>
    </w:p>
    <w:p w14:paraId="4F16A05F">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42A72C9C">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4A5BB01">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78ACA63D">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37F76986">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15DBDBB">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78DB5F72">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AC5A766">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10778FB">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18A5E20">
      <w:pPr>
        <w:rPr>
          <w:rFonts w:hAnsi="宋体" w:cs="宋体"/>
          <w:color w:val="auto"/>
          <w:szCs w:val="24"/>
          <w:highlight w:val="none"/>
        </w:rPr>
      </w:pPr>
      <w:r>
        <w:rPr>
          <w:rFonts w:hint="eastAsia" w:hAnsi="宋体" w:cs="宋体"/>
          <w:color w:val="auto"/>
          <w:szCs w:val="24"/>
          <w:highlight w:val="none"/>
        </w:rPr>
        <w:t>被投诉人2</w:t>
      </w:r>
    </w:p>
    <w:p w14:paraId="72D3716F">
      <w:pPr>
        <w:rPr>
          <w:rFonts w:hAnsi="宋体" w:cs="宋体"/>
          <w:color w:val="auto"/>
          <w:szCs w:val="24"/>
          <w:highlight w:val="none"/>
          <w:u w:val="dotted"/>
        </w:rPr>
      </w:pPr>
      <w:r>
        <w:rPr>
          <w:rFonts w:hint="eastAsia" w:hAnsi="宋体" w:cs="宋体"/>
          <w:color w:val="auto"/>
          <w:szCs w:val="24"/>
          <w:highlight w:val="none"/>
        </w:rPr>
        <w:t>……</w:t>
      </w:r>
    </w:p>
    <w:p w14:paraId="6D6ED1A2">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BD99F6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1719FFF">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44A9694">
      <w:pPr>
        <w:rPr>
          <w:rFonts w:hAnsi="宋体" w:cs="宋体"/>
          <w:color w:val="auto"/>
          <w:szCs w:val="24"/>
          <w:highlight w:val="none"/>
        </w:rPr>
      </w:pPr>
      <w:r>
        <w:rPr>
          <w:rFonts w:hint="eastAsia" w:hAnsi="宋体" w:cs="宋体"/>
          <w:color w:val="auto"/>
          <w:szCs w:val="24"/>
          <w:highlight w:val="none"/>
        </w:rPr>
        <w:t>二、投诉项目基本情况</w:t>
      </w:r>
    </w:p>
    <w:p w14:paraId="562258C5">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73B87F6E">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06CDD1B">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0FDA375">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4A452BF4">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282425EE">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4A2FAD2D">
      <w:pPr>
        <w:rPr>
          <w:rFonts w:hAnsi="宋体" w:cs="宋体"/>
          <w:color w:val="auto"/>
          <w:szCs w:val="24"/>
          <w:highlight w:val="none"/>
        </w:rPr>
      </w:pPr>
      <w:r>
        <w:rPr>
          <w:rFonts w:hint="eastAsia" w:hAnsi="宋体" w:cs="宋体"/>
          <w:color w:val="auto"/>
          <w:szCs w:val="24"/>
          <w:highlight w:val="none"/>
        </w:rPr>
        <w:t>三、质疑基本情况</w:t>
      </w:r>
    </w:p>
    <w:p w14:paraId="5258452F">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69BDBA0B">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3931D8A">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17CB2B5D">
      <w:pPr>
        <w:rPr>
          <w:rFonts w:hAnsi="宋体" w:cs="宋体"/>
          <w:color w:val="auto"/>
          <w:szCs w:val="24"/>
          <w:highlight w:val="none"/>
        </w:rPr>
      </w:pPr>
      <w:r>
        <w:rPr>
          <w:rFonts w:hint="eastAsia" w:hAnsi="宋体" w:cs="宋体"/>
          <w:color w:val="auto"/>
          <w:szCs w:val="24"/>
          <w:highlight w:val="none"/>
        </w:rPr>
        <w:t>四、投诉事项具体内容</w:t>
      </w:r>
    </w:p>
    <w:p w14:paraId="1F1260A9">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2FB3213A">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6BA1D692">
      <w:pPr>
        <w:rPr>
          <w:rFonts w:hAnsi="宋体" w:cs="宋体"/>
          <w:color w:val="auto"/>
          <w:szCs w:val="24"/>
          <w:highlight w:val="none"/>
          <w:u w:val="dotted"/>
        </w:rPr>
      </w:pPr>
      <w:r>
        <w:rPr>
          <w:rFonts w:hint="eastAsia" w:hAnsi="宋体" w:cs="宋体"/>
          <w:color w:val="auto"/>
          <w:szCs w:val="24"/>
          <w:highlight w:val="none"/>
          <w:u w:val="dotted"/>
        </w:rPr>
        <w:t xml:space="preserve">                                                      </w:t>
      </w:r>
    </w:p>
    <w:p w14:paraId="00111EA2">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0118D05B">
      <w:pPr>
        <w:rPr>
          <w:rFonts w:hAnsi="宋体" w:cs="宋体"/>
          <w:color w:val="auto"/>
          <w:szCs w:val="24"/>
          <w:highlight w:val="none"/>
          <w:u w:val="dotted"/>
        </w:rPr>
      </w:pPr>
      <w:r>
        <w:rPr>
          <w:rFonts w:hint="eastAsia" w:hAnsi="宋体" w:cs="宋体"/>
          <w:color w:val="auto"/>
          <w:szCs w:val="24"/>
          <w:highlight w:val="none"/>
          <w:u w:val="dotted"/>
        </w:rPr>
        <w:t xml:space="preserve">                                                      </w:t>
      </w:r>
    </w:p>
    <w:p w14:paraId="14A39ACB">
      <w:pPr>
        <w:rPr>
          <w:rFonts w:hAnsi="宋体" w:cs="宋体"/>
          <w:color w:val="auto"/>
          <w:szCs w:val="24"/>
          <w:highlight w:val="none"/>
        </w:rPr>
      </w:pPr>
      <w:r>
        <w:rPr>
          <w:rFonts w:hint="eastAsia" w:hAnsi="宋体" w:cs="宋体"/>
          <w:color w:val="auto"/>
          <w:szCs w:val="24"/>
          <w:highlight w:val="none"/>
        </w:rPr>
        <w:t>投诉事项2</w:t>
      </w:r>
    </w:p>
    <w:p w14:paraId="44A4B3C0">
      <w:pPr>
        <w:rPr>
          <w:rFonts w:hAnsi="宋体" w:cs="宋体"/>
          <w:color w:val="auto"/>
          <w:szCs w:val="24"/>
          <w:highlight w:val="none"/>
          <w:u w:val="dotted"/>
        </w:rPr>
      </w:pPr>
      <w:r>
        <w:rPr>
          <w:rFonts w:hint="eastAsia" w:hAnsi="宋体" w:cs="宋体"/>
          <w:color w:val="auto"/>
          <w:szCs w:val="24"/>
          <w:highlight w:val="none"/>
        </w:rPr>
        <w:t>……</w:t>
      </w:r>
    </w:p>
    <w:p w14:paraId="50E20E2E">
      <w:pPr>
        <w:rPr>
          <w:rFonts w:hAnsi="宋体" w:cs="宋体"/>
          <w:color w:val="auto"/>
          <w:szCs w:val="24"/>
          <w:highlight w:val="none"/>
        </w:rPr>
      </w:pPr>
      <w:r>
        <w:rPr>
          <w:rFonts w:hint="eastAsia" w:hAnsi="宋体" w:cs="宋体"/>
          <w:color w:val="auto"/>
          <w:szCs w:val="24"/>
          <w:highlight w:val="none"/>
        </w:rPr>
        <w:t>五、与投诉事项相关的投诉请求</w:t>
      </w:r>
    </w:p>
    <w:p w14:paraId="27E844DA">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6E2BED9A">
      <w:pPr>
        <w:rPr>
          <w:rFonts w:hAnsi="宋体" w:cs="宋体"/>
          <w:color w:val="auto"/>
          <w:szCs w:val="24"/>
          <w:highlight w:val="none"/>
          <w:u w:val="single"/>
        </w:rPr>
      </w:pPr>
      <w:r>
        <w:rPr>
          <w:rFonts w:hint="eastAsia" w:hAnsi="宋体" w:cs="宋体"/>
          <w:color w:val="auto"/>
          <w:szCs w:val="24"/>
          <w:highlight w:val="none"/>
        </w:rPr>
        <w:t xml:space="preserve">                                                                                                    </w:t>
      </w:r>
    </w:p>
    <w:p w14:paraId="3452F380">
      <w:pPr>
        <w:rPr>
          <w:rFonts w:hAnsi="宋体" w:cs="宋体"/>
          <w:color w:val="auto"/>
          <w:szCs w:val="24"/>
          <w:highlight w:val="none"/>
        </w:rPr>
      </w:pPr>
      <w:r>
        <w:rPr>
          <w:rFonts w:hint="eastAsia" w:hAnsi="宋体" w:cs="宋体"/>
          <w:color w:val="auto"/>
          <w:szCs w:val="24"/>
          <w:highlight w:val="none"/>
        </w:rPr>
        <w:t xml:space="preserve">签字(签章)：                   公章：                      </w:t>
      </w:r>
    </w:p>
    <w:p w14:paraId="6E9879CE">
      <w:pPr>
        <w:rPr>
          <w:rFonts w:hAnsi="宋体" w:cs="宋体"/>
          <w:color w:val="auto"/>
          <w:sz w:val="21"/>
          <w:szCs w:val="21"/>
          <w:highlight w:val="none"/>
        </w:rPr>
      </w:pPr>
      <w:r>
        <w:rPr>
          <w:rFonts w:hint="eastAsia" w:hAnsi="宋体" w:cs="宋体"/>
          <w:color w:val="auto"/>
          <w:szCs w:val="24"/>
          <w:highlight w:val="none"/>
        </w:rPr>
        <w:t xml:space="preserve">日期：    </w:t>
      </w:r>
      <w:r>
        <w:rPr>
          <w:rFonts w:hint="eastAsia" w:hAnsi="宋体" w:cs="宋体"/>
          <w:color w:val="auto"/>
          <w:sz w:val="21"/>
          <w:szCs w:val="21"/>
          <w:highlight w:val="none"/>
        </w:rPr>
        <w:t xml:space="preserve">                  </w:t>
      </w:r>
    </w:p>
    <w:p w14:paraId="6FEA7763">
      <w:pPr>
        <w:spacing w:line="360" w:lineRule="auto"/>
        <w:rPr>
          <w:rFonts w:hAnsi="宋体" w:cs="宋体"/>
          <w:color w:val="auto"/>
          <w:szCs w:val="24"/>
          <w:highlight w:val="none"/>
        </w:rPr>
      </w:pPr>
      <w:r>
        <w:rPr>
          <w:rFonts w:hint="eastAsia" w:hAnsi="宋体" w:cs="宋体"/>
          <w:color w:val="auto"/>
          <w:szCs w:val="24"/>
          <w:highlight w:val="none"/>
        </w:rPr>
        <w:t xml:space="preserve">                                </w:t>
      </w:r>
    </w:p>
    <w:p w14:paraId="28937600">
      <w:pPr>
        <w:tabs>
          <w:tab w:val="left" w:pos="7839"/>
        </w:tabs>
        <w:rPr>
          <w:color w:val="auto"/>
          <w:highlight w:val="none"/>
        </w:rPr>
      </w:pPr>
      <w:r>
        <w:rPr>
          <w:rFonts w:hint="eastAsia" w:hAnsi="宋体" w:cs="宋体"/>
          <w:color w:val="auto"/>
          <w:szCs w:val="24"/>
          <w:highlight w:val="none"/>
        </w:rPr>
        <w:tab/>
      </w:r>
    </w:p>
    <w:sectPr>
      <w:footerReference r:id="rId11" w:type="first"/>
      <w:footerReference r:id="rId10" w:type="default"/>
      <w:pgSz w:w="11906" w:h="16838"/>
      <w:pgMar w:top="1361" w:right="1304" w:bottom="1361" w:left="130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695D">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B93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4026">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CAE58">
    <w:pPr>
      <w:pStyle w:val="14"/>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019B0">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45BF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B45BF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DFFA166">
    <w:pPr>
      <w:pStyle w:val="14"/>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6E85">
    <w:pPr>
      <w:pStyle w:val="1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2EBEE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602EBEE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F7C0F">
    <w:pPr>
      <w:spacing w:line="500" w:lineRule="exact"/>
      <w:ind w:left="1530" w:hanging="1530" w:hangingChars="850"/>
      <w:jc w:val="left"/>
      <w:rPr>
        <w:rFonts w:hint="default" w:hAnsi="宋体" w:cs="宋体"/>
        <w:sz w:val="24"/>
        <w:szCs w:val="24"/>
        <w:lang w:val="en-US"/>
      </w:rPr>
    </w:pPr>
    <w:r>
      <w:rPr>
        <w:rFonts w:hint="eastAsia" w:hAnsi="宋体"/>
        <w:bCs/>
        <w:sz w:val="18"/>
        <w:szCs w:val="18"/>
        <w:u w:val="single"/>
        <w:lang w:val="en-US" w:eastAsia="zh-CN"/>
      </w:rPr>
      <w:t>2025年秋季学期期末考试考场租赁项目(三次)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C9FA">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FB3C6">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6EEE3"/>
    <w:multiLevelType w:val="singleLevel"/>
    <w:tmpl w:val="8636EEE3"/>
    <w:lvl w:ilvl="0" w:tentative="0">
      <w:start w:val="1"/>
      <w:numFmt w:val="decimal"/>
      <w:suff w:val="nothing"/>
      <w:lvlText w:val="%1、"/>
      <w:lvlJc w:val="left"/>
    </w:lvl>
  </w:abstractNum>
  <w:abstractNum w:abstractNumId="1">
    <w:nsid w:val="CCC7A2A6"/>
    <w:multiLevelType w:val="singleLevel"/>
    <w:tmpl w:val="CCC7A2A6"/>
    <w:lvl w:ilvl="0" w:tentative="0">
      <w:start w:val="1"/>
      <w:numFmt w:val="decimal"/>
      <w:suff w:val="nothing"/>
      <w:lvlText w:val="%1、"/>
      <w:lvlJc w:val="left"/>
    </w:lvl>
  </w:abstractNum>
  <w:abstractNum w:abstractNumId="2">
    <w:nsid w:val="3345DCC0"/>
    <w:multiLevelType w:val="singleLevel"/>
    <w:tmpl w:val="3345DCC0"/>
    <w:lvl w:ilvl="0" w:tentative="0">
      <w:start w:val="1"/>
      <w:numFmt w:val="decimal"/>
      <w:suff w:val="nothing"/>
      <w:lvlText w:val="%1）"/>
      <w:lvlJc w:val="left"/>
    </w:lvl>
  </w:abstractNum>
  <w:abstractNum w:abstractNumId="3">
    <w:nsid w:val="590049E8"/>
    <w:multiLevelType w:val="singleLevel"/>
    <w:tmpl w:val="590049E8"/>
    <w:lvl w:ilvl="0" w:tentative="0">
      <w:start w:val="30"/>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422DA9"/>
    <w:rsid w:val="00137253"/>
    <w:rsid w:val="001C7382"/>
    <w:rsid w:val="00284B06"/>
    <w:rsid w:val="0032060D"/>
    <w:rsid w:val="00422DA9"/>
    <w:rsid w:val="004A55FA"/>
    <w:rsid w:val="005A3987"/>
    <w:rsid w:val="006016AC"/>
    <w:rsid w:val="006256E1"/>
    <w:rsid w:val="0067163E"/>
    <w:rsid w:val="006C638F"/>
    <w:rsid w:val="00860B56"/>
    <w:rsid w:val="009444C8"/>
    <w:rsid w:val="009E22A4"/>
    <w:rsid w:val="00A646B2"/>
    <w:rsid w:val="00AB4B87"/>
    <w:rsid w:val="00C07800"/>
    <w:rsid w:val="00CA3F42"/>
    <w:rsid w:val="00E60A9C"/>
    <w:rsid w:val="00F42018"/>
    <w:rsid w:val="01491172"/>
    <w:rsid w:val="018F50BC"/>
    <w:rsid w:val="026512DC"/>
    <w:rsid w:val="02B84C3A"/>
    <w:rsid w:val="02EA0A37"/>
    <w:rsid w:val="03542EE5"/>
    <w:rsid w:val="038A4972"/>
    <w:rsid w:val="03D14C3B"/>
    <w:rsid w:val="04711A99"/>
    <w:rsid w:val="051E0804"/>
    <w:rsid w:val="054F4610"/>
    <w:rsid w:val="056F2E0E"/>
    <w:rsid w:val="05B80C59"/>
    <w:rsid w:val="05DA68EB"/>
    <w:rsid w:val="064767BD"/>
    <w:rsid w:val="06E72E78"/>
    <w:rsid w:val="0714287C"/>
    <w:rsid w:val="074A3B33"/>
    <w:rsid w:val="07EC2E3C"/>
    <w:rsid w:val="08337AC1"/>
    <w:rsid w:val="08A317E7"/>
    <w:rsid w:val="099E253A"/>
    <w:rsid w:val="09D21BBD"/>
    <w:rsid w:val="09EC3229"/>
    <w:rsid w:val="0A52691C"/>
    <w:rsid w:val="0A7B73F3"/>
    <w:rsid w:val="0AE0655C"/>
    <w:rsid w:val="0B2608DC"/>
    <w:rsid w:val="0B75056B"/>
    <w:rsid w:val="0BE31B98"/>
    <w:rsid w:val="0C4F1BEB"/>
    <w:rsid w:val="0C580AA0"/>
    <w:rsid w:val="0DCD7E5B"/>
    <w:rsid w:val="0DEE77BA"/>
    <w:rsid w:val="0EC42C1D"/>
    <w:rsid w:val="0EEC43BD"/>
    <w:rsid w:val="0FB71F81"/>
    <w:rsid w:val="0FC71E5B"/>
    <w:rsid w:val="0FCB77DB"/>
    <w:rsid w:val="0FD83CA6"/>
    <w:rsid w:val="108274B3"/>
    <w:rsid w:val="10BD35C7"/>
    <w:rsid w:val="10C03B1A"/>
    <w:rsid w:val="110A4333"/>
    <w:rsid w:val="110E5D15"/>
    <w:rsid w:val="11933EF1"/>
    <w:rsid w:val="11D915D0"/>
    <w:rsid w:val="124E6541"/>
    <w:rsid w:val="12521A10"/>
    <w:rsid w:val="125735A8"/>
    <w:rsid w:val="13055EFC"/>
    <w:rsid w:val="13723236"/>
    <w:rsid w:val="14011A1D"/>
    <w:rsid w:val="1408016B"/>
    <w:rsid w:val="141D6E41"/>
    <w:rsid w:val="14FF19C2"/>
    <w:rsid w:val="169C2587"/>
    <w:rsid w:val="16D004E2"/>
    <w:rsid w:val="16D34E48"/>
    <w:rsid w:val="17381DE3"/>
    <w:rsid w:val="175400B6"/>
    <w:rsid w:val="17E77172"/>
    <w:rsid w:val="18243F2C"/>
    <w:rsid w:val="18624A54"/>
    <w:rsid w:val="19F1107F"/>
    <w:rsid w:val="1A6A586E"/>
    <w:rsid w:val="1A7840BB"/>
    <w:rsid w:val="1A7F74B5"/>
    <w:rsid w:val="1AB77E2C"/>
    <w:rsid w:val="1AE56119"/>
    <w:rsid w:val="1AE61761"/>
    <w:rsid w:val="1B917B2A"/>
    <w:rsid w:val="1BAA7357"/>
    <w:rsid w:val="1BAE4D2B"/>
    <w:rsid w:val="1BF20D44"/>
    <w:rsid w:val="1BF70EFF"/>
    <w:rsid w:val="1C135CE2"/>
    <w:rsid w:val="1D6C4D32"/>
    <w:rsid w:val="1D8C396C"/>
    <w:rsid w:val="1E47352A"/>
    <w:rsid w:val="1E474499"/>
    <w:rsid w:val="1E616F4E"/>
    <w:rsid w:val="1E7D10B6"/>
    <w:rsid w:val="1E9329DA"/>
    <w:rsid w:val="1F126C7C"/>
    <w:rsid w:val="1FB1325C"/>
    <w:rsid w:val="1FB72D74"/>
    <w:rsid w:val="1FEB742A"/>
    <w:rsid w:val="20530343"/>
    <w:rsid w:val="20531852"/>
    <w:rsid w:val="209348EA"/>
    <w:rsid w:val="21210A4D"/>
    <w:rsid w:val="22E5228B"/>
    <w:rsid w:val="23605E63"/>
    <w:rsid w:val="237F1D35"/>
    <w:rsid w:val="23AA4AC7"/>
    <w:rsid w:val="23AC19CC"/>
    <w:rsid w:val="23B4085A"/>
    <w:rsid w:val="23CB036B"/>
    <w:rsid w:val="245416F5"/>
    <w:rsid w:val="246102B6"/>
    <w:rsid w:val="24767174"/>
    <w:rsid w:val="24D93136"/>
    <w:rsid w:val="251C46BF"/>
    <w:rsid w:val="255B2E26"/>
    <w:rsid w:val="258C4C14"/>
    <w:rsid w:val="25E76599"/>
    <w:rsid w:val="25F413E1"/>
    <w:rsid w:val="26450D58"/>
    <w:rsid w:val="2683064A"/>
    <w:rsid w:val="272C1927"/>
    <w:rsid w:val="281E2746"/>
    <w:rsid w:val="289A5B44"/>
    <w:rsid w:val="28C0686E"/>
    <w:rsid w:val="29086411"/>
    <w:rsid w:val="297C0475"/>
    <w:rsid w:val="29842A7C"/>
    <w:rsid w:val="29E01C20"/>
    <w:rsid w:val="29E55A22"/>
    <w:rsid w:val="2AF552B4"/>
    <w:rsid w:val="2B372839"/>
    <w:rsid w:val="2BB60EE7"/>
    <w:rsid w:val="2BCA6741"/>
    <w:rsid w:val="2BE608F9"/>
    <w:rsid w:val="2BF043F9"/>
    <w:rsid w:val="2C0E0D23"/>
    <w:rsid w:val="2CE837DD"/>
    <w:rsid w:val="2CEA709A"/>
    <w:rsid w:val="2CFC5020"/>
    <w:rsid w:val="2D713318"/>
    <w:rsid w:val="2DA83DCF"/>
    <w:rsid w:val="2E027F15"/>
    <w:rsid w:val="2EBB4D79"/>
    <w:rsid w:val="2F02634B"/>
    <w:rsid w:val="2F0B779C"/>
    <w:rsid w:val="2FA84FEB"/>
    <w:rsid w:val="2FFD0E93"/>
    <w:rsid w:val="301001E1"/>
    <w:rsid w:val="3045283A"/>
    <w:rsid w:val="305F38FB"/>
    <w:rsid w:val="30B3406E"/>
    <w:rsid w:val="30BD4AC6"/>
    <w:rsid w:val="30E43FCF"/>
    <w:rsid w:val="31C81974"/>
    <w:rsid w:val="31CF685F"/>
    <w:rsid w:val="3231334B"/>
    <w:rsid w:val="32E24249"/>
    <w:rsid w:val="331040BE"/>
    <w:rsid w:val="333E1EEE"/>
    <w:rsid w:val="34C06933"/>
    <w:rsid w:val="355C5974"/>
    <w:rsid w:val="358723B5"/>
    <w:rsid w:val="359C6A8A"/>
    <w:rsid w:val="361433DA"/>
    <w:rsid w:val="36586B29"/>
    <w:rsid w:val="36745C27"/>
    <w:rsid w:val="371A4A20"/>
    <w:rsid w:val="37662F7D"/>
    <w:rsid w:val="38325D99"/>
    <w:rsid w:val="38757915"/>
    <w:rsid w:val="388F3421"/>
    <w:rsid w:val="39D553AA"/>
    <w:rsid w:val="3A064C79"/>
    <w:rsid w:val="3A8C2B51"/>
    <w:rsid w:val="3AD061AD"/>
    <w:rsid w:val="3AF06488"/>
    <w:rsid w:val="3B4F0A10"/>
    <w:rsid w:val="3B50782C"/>
    <w:rsid w:val="3B663A4F"/>
    <w:rsid w:val="3BB014AF"/>
    <w:rsid w:val="3BE21884"/>
    <w:rsid w:val="3C7B1945"/>
    <w:rsid w:val="3C7C5AFB"/>
    <w:rsid w:val="3C7D53DE"/>
    <w:rsid w:val="3D4E699A"/>
    <w:rsid w:val="3DBB5CCD"/>
    <w:rsid w:val="3DBC7D3F"/>
    <w:rsid w:val="3E4F1453"/>
    <w:rsid w:val="3E7C700F"/>
    <w:rsid w:val="3F790A1F"/>
    <w:rsid w:val="406B590C"/>
    <w:rsid w:val="40E65973"/>
    <w:rsid w:val="40F435A8"/>
    <w:rsid w:val="418F1570"/>
    <w:rsid w:val="41984EBF"/>
    <w:rsid w:val="41F842F0"/>
    <w:rsid w:val="42377DAE"/>
    <w:rsid w:val="42755200"/>
    <w:rsid w:val="429D651C"/>
    <w:rsid w:val="42B37C55"/>
    <w:rsid w:val="42F00D2B"/>
    <w:rsid w:val="430B7CC0"/>
    <w:rsid w:val="43305EF3"/>
    <w:rsid w:val="43454AA3"/>
    <w:rsid w:val="44BC2C73"/>
    <w:rsid w:val="45A81449"/>
    <w:rsid w:val="45B147A1"/>
    <w:rsid w:val="45D148E1"/>
    <w:rsid w:val="476B1624"/>
    <w:rsid w:val="477E6905"/>
    <w:rsid w:val="47BA5602"/>
    <w:rsid w:val="47CB7BCD"/>
    <w:rsid w:val="48315A41"/>
    <w:rsid w:val="48723E9C"/>
    <w:rsid w:val="48A948A9"/>
    <w:rsid w:val="48F344FE"/>
    <w:rsid w:val="493C511F"/>
    <w:rsid w:val="496B79EC"/>
    <w:rsid w:val="49BD79B3"/>
    <w:rsid w:val="49C64593"/>
    <w:rsid w:val="49C82C57"/>
    <w:rsid w:val="4A02381D"/>
    <w:rsid w:val="4A1C0EB1"/>
    <w:rsid w:val="4A5E47CC"/>
    <w:rsid w:val="4AAC2C6F"/>
    <w:rsid w:val="4B3504B0"/>
    <w:rsid w:val="4B9C1A50"/>
    <w:rsid w:val="4BAD77B9"/>
    <w:rsid w:val="4C966BC0"/>
    <w:rsid w:val="4CBF2477"/>
    <w:rsid w:val="4D135FB2"/>
    <w:rsid w:val="4D1E03A6"/>
    <w:rsid w:val="4D3038E5"/>
    <w:rsid w:val="4D307788"/>
    <w:rsid w:val="4D477799"/>
    <w:rsid w:val="4D596375"/>
    <w:rsid w:val="4DEB6377"/>
    <w:rsid w:val="4DED6593"/>
    <w:rsid w:val="4E6F0D56"/>
    <w:rsid w:val="4E7E7EDA"/>
    <w:rsid w:val="4EA053B3"/>
    <w:rsid w:val="4EAC406A"/>
    <w:rsid w:val="4ED62B87"/>
    <w:rsid w:val="4F0B353D"/>
    <w:rsid w:val="4F0D5377"/>
    <w:rsid w:val="4F195165"/>
    <w:rsid w:val="50121437"/>
    <w:rsid w:val="50132763"/>
    <w:rsid w:val="509203B3"/>
    <w:rsid w:val="50DF5A3C"/>
    <w:rsid w:val="511E6A63"/>
    <w:rsid w:val="521F0CE5"/>
    <w:rsid w:val="522D23CF"/>
    <w:rsid w:val="52326C6A"/>
    <w:rsid w:val="526037D7"/>
    <w:rsid w:val="528D20F2"/>
    <w:rsid w:val="52927B75"/>
    <w:rsid w:val="52A6120D"/>
    <w:rsid w:val="52C11C7B"/>
    <w:rsid w:val="52D970E6"/>
    <w:rsid w:val="535661BA"/>
    <w:rsid w:val="5391176E"/>
    <w:rsid w:val="54201323"/>
    <w:rsid w:val="54414F42"/>
    <w:rsid w:val="5498635F"/>
    <w:rsid w:val="5527328A"/>
    <w:rsid w:val="5562118F"/>
    <w:rsid w:val="55801A9A"/>
    <w:rsid w:val="55973D10"/>
    <w:rsid w:val="56A705AA"/>
    <w:rsid w:val="56E23696"/>
    <w:rsid w:val="572052E3"/>
    <w:rsid w:val="582F6BEF"/>
    <w:rsid w:val="58415BC6"/>
    <w:rsid w:val="585F62DF"/>
    <w:rsid w:val="58BD1B3B"/>
    <w:rsid w:val="590A2C81"/>
    <w:rsid w:val="59361347"/>
    <w:rsid w:val="593908DE"/>
    <w:rsid w:val="59402032"/>
    <w:rsid w:val="594068A2"/>
    <w:rsid w:val="59875AED"/>
    <w:rsid w:val="598A113A"/>
    <w:rsid w:val="59A66EED"/>
    <w:rsid w:val="59EF5441"/>
    <w:rsid w:val="5A4E220C"/>
    <w:rsid w:val="5AF150AF"/>
    <w:rsid w:val="5AF96577"/>
    <w:rsid w:val="5B1727FC"/>
    <w:rsid w:val="5B467BB2"/>
    <w:rsid w:val="5BDA3200"/>
    <w:rsid w:val="5C06474A"/>
    <w:rsid w:val="5C6849B0"/>
    <w:rsid w:val="5D500F29"/>
    <w:rsid w:val="5D5905FD"/>
    <w:rsid w:val="5D822C5A"/>
    <w:rsid w:val="5D93740B"/>
    <w:rsid w:val="5DD46E27"/>
    <w:rsid w:val="5E1D506F"/>
    <w:rsid w:val="5E421FD0"/>
    <w:rsid w:val="5E6A32E8"/>
    <w:rsid w:val="5E7A79CF"/>
    <w:rsid w:val="5EAA2796"/>
    <w:rsid w:val="5ED0632D"/>
    <w:rsid w:val="5ED51AA0"/>
    <w:rsid w:val="5F1C7961"/>
    <w:rsid w:val="5F864151"/>
    <w:rsid w:val="60032A91"/>
    <w:rsid w:val="60637039"/>
    <w:rsid w:val="60C74A21"/>
    <w:rsid w:val="60FB5696"/>
    <w:rsid w:val="61195669"/>
    <w:rsid w:val="61397DAE"/>
    <w:rsid w:val="615472F6"/>
    <w:rsid w:val="61B50D1E"/>
    <w:rsid w:val="62037CDB"/>
    <w:rsid w:val="62595B4D"/>
    <w:rsid w:val="62AE5E99"/>
    <w:rsid w:val="62D278F4"/>
    <w:rsid w:val="62DB5C00"/>
    <w:rsid w:val="633F11E7"/>
    <w:rsid w:val="638A1AF5"/>
    <w:rsid w:val="64A936CA"/>
    <w:rsid w:val="64CA4AE0"/>
    <w:rsid w:val="64DE46F5"/>
    <w:rsid w:val="652E32C1"/>
    <w:rsid w:val="665B3698"/>
    <w:rsid w:val="665D1ED0"/>
    <w:rsid w:val="66DC6D4D"/>
    <w:rsid w:val="679A4547"/>
    <w:rsid w:val="679B47E6"/>
    <w:rsid w:val="67B04461"/>
    <w:rsid w:val="682C6065"/>
    <w:rsid w:val="68776D2D"/>
    <w:rsid w:val="68A6624A"/>
    <w:rsid w:val="68E646F7"/>
    <w:rsid w:val="690D798C"/>
    <w:rsid w:val="69D4240D"/>
    <w:rsid w:val="69DE533E"/>
    <w:rsid w:val="69E9326E"/>
    <w:rsid w:val="6AC02E25"/>
    <w:rsid w:val="6AE60DFE"/>
    <w:rsid w:val="6AEA6BBE"/>
    <w:rsid w:val="6B005D17"/>
    <w:rsid w:val="6B7F174D"/>
    <w:rsid w:val="6BB67B6C"/>
    <w:rsid w:val="6C9F6852"/>
    <w:rsid w:val="6CCF5389"/>
    <w:rsid w:val="6CD52274"/>
    <w:rsid w:val="6D9914F3"/>
    <w:rsid w:val="6E237E7E"/>
    <w:rsid w:val="6E573888"/>
    <w:rsid w:val="6E960558"/>
    <w:rsid w:val="6F386134"/>
    <w:rsid w:val="6F944668"/>
    <w:rsid w:val="6F995F63"/>
    <w:rsid w:val="70406237"/>
    <w:rsid w:val="70C5413D"/>
    <w:rsid w:val="70FE3161"/>
    <w:rsid w:val="71B051CD"/>
    <w:rsid w:val="71BC1928"/>
    <w:rsid w:val="7213266A"/>
    <w:rsid w:val="723E1DBC"/>
    <w:rsid w:val="73610D05"/>
    <w:rsid w:val="73C72DDD"/>
    <w:rsid w:val="73D96AEE"/>
    <w:rsid w:val="740C6EC3"/>
    <w:rsid w:val="7436299A"/>
    <w:rsid w:val="74393A30"/>
    <w:rsid w:val="74C552BF"/>
    <w:rsid w:val="74F97939"/>
    <w:rsid w:val="75102D70"/>
    <w:rsid w:val="76047015"/>
    <w:rsid w:val="76214E9E"/>
    <w:rsid w:val="767B20DE"/>
    <w:rsid w:val="76E06023"/>
    <w:rsid w:val="770171FE"/>
    <w:rsid w:val="772C33D8"/>
    <w:rsid w:val="772E7BF1"/>
    <w:rsid w:val="773B2F52"/>
    <w:rsid w:val="77D649A3"/>
    <w:rsid w:val="77EC6F14"/>
    <w:rsid w:val="784B5870"/>
    <w:rsid w:val="790068CB"/>
    <w:rsid w:val="790A0471"/>
    <w:rsid w:val="79144124"/>
    <w:rsid w:val="79B7342D"/>
    <w:rsid w:val="79E26DE7"/>
    <w:rsid w:val="7A005CD4"/>
    <w:rsid w:val="7A5B0EAD"/>
    <w:rsid w:val="7B3F7B7E"/>
    <w:rsid w:val="7B5D576D"/>
    <w:rsid w:val="7B630CA7"/>
    <w:rsid w:val="7BCA1E1C"/>
    <w:rsid w:val="7C08295D"/>
    <w:rsid w:val="7C853459"/>
    <w:rsid w:val="7CDC740A"/>
    <w:rsid w:val="7D7F7E70"/>
    <w:rsid w:val="7DE537E2"/>
    <w:rsid w:val="7E0724A9"/>
    <w:rsid w:val="7E2D16FC"/>
    <w:rsid w:val="7EF02F3D"/>
    <w:rsid w:val="7F0B6033"/>
    <w:rsid w:val="7F425B38"/>
    <w:rsid w:val="7FD8234F"/>
    <w:rsid w:val="7FFD67A9"/>
    <w:rsid w:val="BEFD3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9"/>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next w:val="1"/>
    <w:unhideWhenUsed/>
    <w:qFormat/>
    <w:uiPriority w:val="9"/>
    <w:pPr>
      <w:keepNext/>
      <w:keepLines/>
      <w:spacing w:line="415" w:lineRule="auto"/>
      <w:outlineLvl w:val="2"/>
    </w:pPr>
    <w:rPr>
      <w:rFonts w:ascii="Times New Roman" w:hAnsi="Times New Roman" w:eastAsia="宋体" w:cstheme="minorBidi"/>
      <w:b/>
      <w:bCs/>
      <w:kern w:val="2"/>
      <w:sz w:val="28"/>
      <w:szCs w:val="32"/>
      <w:lang w:val="en-US" w:eastAsia="zh-CN" w:bidi="ar-SA"/>
    </w:rPr>
  </w:style>
  <w:style w:type="paragraph" w:styleId="5">
    <w:name w:val="heading 4"/>
    <w:basedOn w:val="1"/>
    <w:next w:val="1"/>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Calibri"/>
      <w:kern w:val="2"/>
      <w:sz w:val="21"/>
      <w:szCs w:val="24"/>
    </w:rPr>
  </w:style>
  <w:style w:type="paragraph" w:styleId="8">
    <w:name w:val="Body Text 3"/>
    <w:basedOn w:val="1"/>
    <w:qFormat/>
    <w:uiPriority w:val="0"/>
    <w:pPr>
      <w:jc w:val="center"/>
    </w:pPr>
    <w:rPr>
      <w:rFonts w:ascii="Times New Roman"/>
      <w:b/>
      <w:spacing w:val="-20"/>
      <w:w w:val="110"/>
      <w:kern w:val="2"/>
      <w:sz w:val="52"/>
    </w:rPr>
  </w:style>
  <w:style w:type="paragraph" w:styleId="9">
    <w:name w:val="Body Text"/>
    <w:basedOn w:val="1"/>
    <w:qFormat/>
    <w:uiPriority w:val="0"/>
    <w:pPr>
      <w:spacing w:line="520" w:lineRule="exact"/>
      <w:ind w:firstLine="480" w:firstLineChars="200"/>
    </w:pPr>
    <w:rPr>
      <w:rFonts w:hAnsi="宋体" w:cs="宋体"/>
      <w:kern w:val="2"/>
      <w:szCs w:val="24"/>
    </w:rPr>
  </w:style>
  <w:style w:type="paragraph" w:styleId="10">
    <w:name w:val="Body Text Indent"/>
    <w:basedOn w:val="1"/>
    <w:next w:val="9"/>
    <w:qFormat/>
    <w:uiPriority w:val="99"/>
    <w:pPr>
      <w:spacing w:afterLines="50" w:line="360" w:lineRule="exact"/>
      <w:ind w:firstLine="480" w:firstLineChars="200"/>
    </w:pPr>
    <w:rPr>
      <w:rFonts w:hAnsi="宋体"/>
      <w:szCs w:val="24"/>
    </w:rPr>
  </w:style>
  <w:style w:type="paragraph" w:styleId="11">
    <w:name w:val="toc 3"/>
    <w:basedOn w:val="1"/>
    <w:next w:val="1"/>
    <w:qFormat/>
    <w:uiPriority w:val="0"/>
    <w:pPr>
      <w:ind w:left="840" w:leftChars="400"/>
    </w:pPr>
  </w:style>
  <w:style w:type="paragraph" w:styleId="12">
    <w:name w:val="Plain Text"/>
    <w:basedOn w:val="1"/>
    <w:qFormat/>
    <w:uiPriority w:val="0"/>
    <w:rPr>
      <w:rFonts w:hAnsi="Courier New"/>
      <w:kern w:val="2"/>
      <w:sz w:val="21"/>
    </w:rPr>
  </w:style>
  <w:style w:type="paragraph" w:styleId="13">
    <w:name w:val="Balloon Text"/>
    <w:basedOn w:val="1"/>
    <w:link w:val="39"/>
    <w:qFormat/>
    <w:uiPriority w:val="0"/>
    <w:rPr>
      <w:sz w:val="18"/>
      <w:szCs w:val="18"/>
    </w:rPr>
  </w:style>
  <w:style w:type="paragraph" w:styleId="14">
    <w:name w:val="footer"/>
    <w:basedOn w:val="1"/>
    <w:qFormat/>
    <w:uiPriority w:val="99"/>
    <w:pPr>
      <w:tabs>
        <w:tab w:val="center" w:pos="4153"/>
        <w:tab w:val="right" w:pos="8306"/>
      </w:tabs>
      <w:snapToGrid w:val="0"/>
      <w:jc w:val="left"/>
    </w:pPr>
    <w:rPr>
      <w:rFonts w:ascii="Calibri"/>
      <w:kern w:val="2"/>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6">
    <w:name w:val="toc 1"/>
    <w:basedOn w:val="1"/>
    <w:next w:val="1"/>
    <w:unhideWhenUsed/>
    <w:qFormat/>
    <w:uiPriority w:val="39"/>
  </w:style>
  <w:style w:type="paragraph" w:styleId="17">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8">
    <w:name w:val="toc 2"/>
    <w:basedOn w:val="1"/>
    <w:next w:val="1"/>
    <w:unhideWhenUsed/>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hAnsi="宋体"/>
      <w:szCs w:val="24"/>
    </w:rPr>
  </w:style>
  <w:style w:type="paragraph" w:styleId="20">
    <w:name w:val="Body Text First Indent"/>
    <w:basedOn w:val="9"/>
    <w:unhideWhenUsed/>
    <w:qFormat/>
    <w:uiPriority w:val="99"/>
    <w:pPr>
      <w:ind w:firstLine="420" w:firstLineChars="100"/>
    </w:pPr>
  </w:style>
  <w:style w:type="paragraph" w:styleId="21">
    <w:name w:val="Body Text First Indent 2"/>
    <w:basedOn w:val="10"/>
    <w:next w:val="1"/>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qFormat/>
    <w:uiPriority w:val="0"/>
    <w:rPr>
      <w:color w:val="0000FF"/>
      <w:u w:val="single"/>
    </w:rPr>
  </w:style>
  <w:style w:type="paragraph" w:customStyle="1" w:styleId="2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1"/>
    <w:qFormat/>
    <w:uiPriority w:val="0"/>
    <w:pPr>
      <w:widowControl w:val="0"/>
      <w:adjustRightInd w:val="0"/>
      <w:spacing w:line="315" w:lineRule="atLeast"/>
      <w:textAlignment w:val="baseline"/>
    </w:pPr>
    <w:rPr>
      <w:rFonts w:ascii="宋体" w:hAnsi="Calibri" w:eastAsia="宋体" w:cs="Times New Roman"/>
      <w:color w:val="FF0000"/>
      <w:sz w:val="24"/>
      <w:lang w:val="en-US" w:eastAsia="zh-CN" w:bidi="ar-SA"/>
    </w:rPr>
  </w:style>
  <w:style w:type="character" w:customStyle="1" w:styleId="29">
    <w:name w:val="标题 1 Char"/>
    <w:link w:val="2"/>
    <w:qFormat/>
    <w:uiPriority w:val="0"/>
    <w:rPr>
      <w:rFonts w:ascii="仿宋_GB2312" w:hAnsi="宋体" w:eastAsia="仿宋_GB2312"/>
      <w:b/>
      <w:kern w:val="2"/>
      <w:sz w:val="32"/>
    </w:rPr>
  </w:style>
  <w:style w:type="paragraph" w:customStyle="1" w:styleId="30">
    <w:name w:val="MessageHeader"/>
    <w:basedOn w:val="1"/>
    <w:next w:val="31"/>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1">
    <w:name w:val="BodyText"/>
    <w:basedOn w:val="1"/>
    <w:next w:val="1"/>
    <w:qFormat/>
    <w:uiPriority w:val="0"/>
    <w:pPr>
      <w:jc w:val="center"/>
      <w:textAlignment w:val="baseline"/>
    </w:pPr>
  </w:style>
  <w:style w:type="paragraph" w:customStyle="1" w:styleId="32">
    <w:name w:val="列出段落1"/>
    <w:basedOn w:val="1"/>
    <w:qFormat/>
    <w:uiPriority w:val="34"/>
    <w:pPr>
      <w:ind w:firstLine="420" w:firstLineChars="200"/>
    </w:pPr>
  </w:style>
  <w:style w:type="paragraph" w:customStyle="1" w:styleId="3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4">
    <w:name w:val="表格文字中"/>
    <w:basedOn w:val="1"/>
    <w:qFormat/>
    <w:uiPriority w:val="0"/>
    <w:pPr>
      <w:adjustRightInd w:val="0"/>
      <w:snapToGrid w:val="0"/>
      <w:ind w:left="22" w:leftChars="8"/>
      <w:jc w:val="center"/>
    </w:pPr>
    <w:rPr>
      <w:szCs w:val="24"/>
    </w:rPr>
  </w:style>
  <w:style w:type="paragraph" w:customStyle="1" w:styleId="35">
    <w:name w:val="Char1"/>
    <w:basedOn w:val="1"/>
    <w:qFormat/>
    <w:uiPriority w:val="0"/>
    <w:pPr>
      <w:tabs>
        <w:tab w:val="left" w:pos="360"/>
      </w:tabs>
      <w:ind w:left="360" w:hanging="360" w:hangingChars="200"/>
    </w:pPr>
    <w:rPr>
      <w:szCs w:val="24"/>
    </w:rPr>
  </w:style>
  <w:style w:type="paragraph" w:customStyle="1" w:styleId="36">
    <w:name w:val="列出段落11"/>
    <w:basedOn w:val="1"/>
    <w:qFormat/>
    <w:uiPriority w:val="34"/>
    <w:pPr>
      <w:ind w:firstLine="420" w:firstLineChars="200"/>
    </w:pPr>
    <w:rPr>
      <w:rFonts w:ascii="Calibri" w:hAnsi="Calibri"/>
      <w:szCs w:val="22"/>
    </w:rPr>
  </w:style>
  <w:style w:type="paragraph" w:customStyle="1" w:styleId="37">
    <w:name w:val="列表段落1"/>
    <w:basedOn w:val="1"/>
    <w:qFormat/>
    <w:uiPriority w:val="99"/>
    <w:pPr>
      <w:ind w:firstLine="420" w:firstLineChars="200"/>
    </w:pPr>
  </w:style>
  <w:style w:type="paragraph" w:customStyle="1" w:styleId="38">
    <w:name w:val="Table Paragraph"/>
    <w:basedOn w:val="1"/>
    <w:qFormat/>
    <w:uiPriority w:val="1"/>
    <w:pPr>
      <w:autoSpaceDE w:val="0"/>
      <w:autoSpaceDN w:val="0"/>
      <w:jc w:val="left"/>
    </w:pPr>
    <w:rPr>
      <w:rFonts w:hAnsi="宋体" w:cs="宋体"/>
      <w:sz w:val="22"/>
      <w:szCs w:val="22"/>
      <w:lang w:val="zh-CN"/>
    </w:rPr>
  </w:style>
  <w:style w:type="character" w:customStyle="1" w:styleId="39">
    <w:name w:val="批注框文本 Char"/>
    <w:basedOn w:val="24"/>
    <w:link w:val="13"/>
    <w:qFormat/>
    <w:uiPriority w:val="0"/>
    <w:rPr>
      <w:rFonts w:ascii="宋体"/>
      <w:sz w:val="18"/>
      <w:szCs w:val="18"/>
    </w:rPr>
  </w:style>
  <w:style w:type="paragraph" w:customStyle="1" w:styleId="40">
    <w:name w:val="样式1"/>
    <w:basedOn w:val="1"/>
    <w:qFormat/>
    <w:uiPriority w:val="0"/>
    <w:pPr>
      <w:spacing w:line="560" w:lineRule="exact"/>
      <w:ind w:firstLine="560" w:firstLineChars="200"/>
    </w:pPr>
    <w:rPr>
      <w:rFonts w:ascii="仿宋_GB2312" w:hAnsi="宋体" w:eastAsia="仿宋_GB2312"/>
      <w:color w:val="000000"/>
      <w:sz w:val="28"/>
      <w:szCs w:val="28"/>
    </w:rPr>
  </w:style>
  <w:style w:type="paragraph" w:customStyle="1" w:styleId="41">
    <w:name w:val="表"/>
    <w:basedOn w:val="1"/>
    <w:next w:val="1"/>
    <w:qFormat/>
    <w:uiPriority w:val="0"/>
    <w:pPr>
      <w:spacing w:line="240" w:lineRule="auto"/>
      <w:ind w:firstLine="0" w:firstLineChars="0"/>
      <w:jc w:val="center"/>
    </w:pPr>
    <w:rPr>
      <w:rFonts w:ascii="Times New Roman" w:hAnsi="Times New Roman"/>
      <w:b/>
      <w:sz w:val="24"/>
    </w:rPr>
  </w:style>
  <w:style w:type="paragraph" w:customStyle="1" w:styleId="42">
    <w:name w:val="null3"/>
    <w:hidden/>
    <w:qFormat/>
    <w:uiPriority w:val="0"/>
    <w:rPr>
      <w:rFonts w:hint="eastAsia" w:asciiTheme="minorHAnsi" w:hAnsiTheme="minorHAnsi" w:eastAsiaTheme="minorEastAsia" w:cstheme="minorBidi"/>
      <w:lang w:val="en-US" w:eastAsia="zh-Hans"/>
    </w:rPr>
  </w:style>
  <w:style w:type="paragraph" w:customStyle="1" w:styleId="43">
    <w:name w:val="BodyText1I2"/>
    <w:basedOn w:val="44"/>
    <w:qFormat/>
    <w:uiPriority w:val="0"/>
    <w:pPr>
      <w:ind w:firstLine="0"/>
    </w:pPr>
  </w:style>
  <w:style w:type="paragraph" w:customStyle="1" w:styleId="44">
    <w:name w:val="BodyTextIndent"/>
    <w:basedOn w:val="1"/>
    <w:qFormat/>
    <w:uiPriority w:val="0"/>
    <w:pPr>
      <w:widowControl/>
      <w:ind w:firstLine="652" w:firstLineChars="233"/>
      <w:textAlignment w:val="baseline"/>
    </w:pPr>
    <w:rPr>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3304</Words>
  <Characters>3844</Characters>
  <Lines>245</Lines>
  <Paragraphs>69</Paragraphs>
  <TotalTime>0</TotalTime>
  <ScaleCrop>false</ScaleCrop>
  <LinksUpToDate>false</LinksUpToDate>
  <CharactersWithSpaces>3928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都市阳光～王馨悦</cp:lastModifiedBy>
  <cp:lastPrinted>2025-09-02T09:23:00Z</cp:lastPrinted>
  <dcterms:modified xsi:type="dcterms:W3CDTF">2026-01-05T02:44:18Z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6A6B474C0BBC4D69854B6007E9167E54_13</vt:lpwstr>
  </property>
  <property fmtid="{D5CDD505-2E9C-101B-9397-08002B2CF9AE}" pid="4" name="KSOTemplateDocerSaveRecord">
    <vt:lpwstr>eyJoZGlkIjoiNGQyMDY1MDc0ZDAwNmY1YjA1ZDA1ZjM4N2YwMGRhMmUiLCJ1c2VySWQiOiI1OTI1NjQzNTQifQ==</vt:lpwstr>
  </property>
</Properties>
</file>