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CF67F">
      <w:pPr>
        <w:widowControl/>
        <w:spacing w:line="180" w:lineRule="atLeast"/>
        <w:rPr>
          <w:rFonts w:hint="eastAsia" w:ascii="宋体" w:hAnsi="宋体" w:eastAsia="宋体" w:cs="宋体"/>
          <w:b/>
          <w:kern w:val="0"/>
          <w:sz w:val="32"/>
          <w:szCs w:val="28"/>
          <w:highlight w:val="none"/>
        </w:rPr>
      </w:pPr>
      <w:bookmarkStart w:id="0" w:name="_Toc26093"/>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3787140</wp:posOffset>
                </wp:positionH>
                <wp:positionV relativeFrom="paragraph">
                  <wp:posOffset>182880</wp:posOffset>
                </wp:positionV>
                <wp:extent cx="1284605" cy="414655"/>
                <wp:effectExtent l="4445" t="4445" r="6350" b="19050"/>
                <wp:wrapNone/>
                <wp:docPr id="10" name="文本框 10"/>
                <wp:cNvGraphicFramePr/>
                <a:graphic xmlns:a="http://schemas.openxmlformats.org/drawingml/2006/main">
                  <a:graphicData uri="http://schemas.microsoft.com/office/word/2010/wordprocessingShape">
                    <wps:wsp>
                      <wps:cNvSpPr txBox="1"/>
                      <wps:spPr>
                        <a:xfrm>
                          <a:off x="1096645" y="974090"/>
                          <a:ext cx="1284605" cy="414655"/>
                        </a:xfrm>
                        <a:prstGeom prst="rect">
                          <a:avLst/>
                        </a:prstGeom>
                        <a:solidFill>
                          <a:srgbClr val="FFFFFF"/>
                        </a:solidFill>
                        <a:ln w="6350">
                          <a:solidFill>
                            <a:prstClr val="black"/>
                          </a:solidFill>
                        </a:ln>
                        <a:effectLst/>
                      </wps:spPr>
                      <wps:txbx>
                        <w:txbxContent>
                          <w:p w14:paraId="21DD56ED">
                            <w:pPr>
                              <w:rPr>
                                <w:b/>
                                <w:bCs/>
                                <w:sz w:val="28"/>
                                <w:szCs w:val="28"/>
                              </w:rPr>
                            </w:pPr>
                            <w:r>
                              <w:rPr>
                                <w:rFonts w:hint="eastAsia"/>
                                <w:b/>
                                <w:bCs/>
                                <w:sz w:val="28"/>
                                <w:szCs w:val="28"/>
                              </w:rPr>
                              <w:t>政府采购项目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2pt;margin-top:14.4pt;height:32.65pt;width:101.15pt;z-index:251662336;mso-width-relative:page;mso-height-relative:page;" fillcolor="#FFFFFF" filled="t" stroked="t" coordsize="21600,21600" o:gfxdata="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vR+xtcAAAAJAQAADwAAAAAAAAABACAAAAAiAAAAZHJzL2Rvd25yZXYueG1sUEsB&#10;AhQAFAAAAAgAh07iQFoEW0NoAgAA0gQAAA4AAAAAAAAAAQAgAAAAJgEAAGRycy9lMm9Eb2MueG1s&#10;UEsFBgAAAAAGAAYAWQEAAAAGAAAAAA==&#10;">
                <v:fill on="t" focussize="0,0"/>
                <v:stroke weight="0.5pt" color="#000000" joinstyle="round"/>
                <v:imagedata o:title=""/>
                <o:lock v:ext="edit" aspectratio="f"/>
                <v:textbox>
                  <w:txbxContent>
                    <w:p w14:paraId="21DD56ED">
                      <w:pPr>
                        <w:rPr>
                          <w:b/>
                          <w:bCs/>
                          <w:sz w:val="28"/>
                          <w:szCs w:val="28"/>
                        </w:rPr>
                      </w:pPr>
                      <w:r>
                        <w:rPr>
                          <w:rFonts w:hint="eastAsia"/>
                          <w:b/>
                          <w:bCs/>
                          <w:sz w:val="28"/>
                          <w:szCs w:val="28"/>
                        </w:rPr>
                        <w:t>政府采购项目</w:t>
                      </w:r>
                    </w:p>
                  </w:txbxContent>
                </v:textbox>
              </v:shape>
            </w:pict>
          </mc:Fallback>
        </mc:AlternateContent>
      </w:r>
    </w:p>
    <w:p w14:paraId="0F326245">
      <w:pPr>
        <w:widowControl/>
        <w:spacing w:line="180" w:lineRule="atLeast"/>
        <w:rPr>
          <w:rFonts w:hint="eastAsia" w:ascii="宋体" w:hAnsi="宋体" w:eastAsia="宋体" w:cs="宋体"/>
          <w:b/>
          <w:kern w:val="0"/>
          <w:sz w:val="32"/>
          <w:szCs w:val="28"/>
          <w:highlight w:val="none"/>
        </w:rPr>
      </w:pPr>
    </w:p>
    <w:p w14:paraId="30F013F6">
      <w:pPr>
        <w:widowControl/>
        <w:spacing w:line="180" w:lineRule="atLeast"/>
        <w:rPr>
          <w:rFonts w:hint="eastAsia" w:ascii="宋体" w:hAnsi="宋体" w:eastAsia="宋体" w:cs="宋体"/>
          <w:b/>
          <w:color w:val="FF0000"/>
          <w:kern w:val="0"/>
          <w:sz w:val="28"/>
          <w:szCs w:val="24"/>
          <w:highlight w:val="none"/>
          <w:lang w:val="en-US" w:eastAsia="zh-CN"/>
        </w:rPr>
      </w:pPr>
      <w:r>
        <w:rPr>
          <w:rFonts w:hint="eastAsia" w:ascii="宋体" w:hAnsi="宋体" w:eastAsia="宋体" w:cs="宋体"/>
          <w:b/>
          <w:kern w:val="0"/>
          <w:sz w:val="28"/>
          <w:szCs w:val="24"/>
          <w:highlight w:val="none"/>
        </w:rPr>
        <w:t>项目编号：</w:t>
      </w:r>
      <w:r>
        <w:rPr>
          <w:rFonts w:hint="eastAsia" w:ascii="宋体" w:hAnsi="宋体" w:eastAsia="宋体" w:cs="宋体"/>
          <w:b/>
          <w:kern w:val="0"/>
          <w:sz w:val="28"/>
          <w:szCs w:val="24"/>
          <w:highlight w:val="none"/>
          <w:lang w:eastAsia="zh-CN"/>
        </w:rPr>
        <w:t>SXLH2025(031)CG</w:t>
      </w:r>
    </w:p>
    <w:p w14:paraId="51ECC212">
      <w:pPr>
        <w:widowControl/>
        <w:spacing w:line="180" w:lineRule="atLeast"/>
        <w:ind w:left="179" w:hanging="179" w:hangingChars="56"/>
        <w:rPr>
          <w:rFonts w:hint="eastAsia" w:ascii="宋体" w:hAnsi="宋体" w:eastAsia="宋体" w:cs="宋体"/>
          <w:bCs/>
          <w:kern w:val="0"/>
          <w:sz w:val="32"/>
          <w:szCs w:val="28"/>
          <w:highlight w:val="none"/>
        </w:rPr>
      </w:pPr>
    </w:p>
    <w:p w14:paraId="3099952A">
      <w:pPr>
        <w:rPr>
          <w:rFonts w:hint="eastAsia" w:ascii="宋体" w:hAnsi="宋体" w:eastAsia="宋体" w:cs="宋体"/>
          <w:highlight w:val="none"/>
        </w:rPr>
      </w:pPr>
    </w:p>
    <w:p w14:paraId="0F18B422">
      <w:pPr>
        <w:pStyle w:val="13"/>
        <w:rPr>
          <w:rFonts w:hint="eastAsia" w:ascii="宋体" w:hAnsi="宋体" w:eastAsia="宋体" w:cs="宋体"/>
          <w:highlight w:val="none"/>
        </w:rPr>
      </w:pPr>
    </w:p>
    <w:p w14:paraId="0A8BED5E">
      <w:pPr>
        <w:numPr>
          <w:ilvl w:val="3"/>
          <w:numId w:val="0"/>
        </w:numPr>
        <w:rPr>
          <w:rFonts w:hint="eastAsia" w:ascii="宋体" w:hAnsi="宋体" w:eastAsia="宋体" w:cs="宋体"/>
          <w:highlight w:val="none"/>
        </w:rPr>
      </w:pPr>
    </w:p>
    <w:p w14:paraId="04F8EE71">
      <w:pPr>
        <w:pStyle w:val="36"/>
        <w:ind w:left="0" w:leftChars="0" w:firstLine="0" w:firstLineChars="0"/>
        <w:jc w:val="center"/>
        <w:rPr>
          <w:rFonts w:hint="eastAsia" w:ascii="宋体" w:hAnsi="宋体" w:eastAsia="宋体" w:cs="宋体"/>
          <w:b/>
          <w:bCs/>
          <w:kern w:val="2"/>
          <w:sz w:val="36"/>
          <w:szCs w:val="36"/>
          <w:highlight w:val="none"/>
          <w:lang w:val="en-US" w:eastAsia="zh-CN" w:bidi="ar-SA"/>
        </w:rPr>
      </w:pPr>
    </w:p>
    <w:p w14:paraId="772A00C5">
      <w:pPr>
        <w:jc w:val="center"/>
        <w:rPr>
          <w:rFonts w:hint="eastAsia" w:ascii="宋体" w:hAnsi="宋体" w:eastAsia="宋体" w:cs="宋体"/>
          <w:b/>
          <w:color w:val="000000" w:themeColor="text1"/>
          <w:kern w:val="0"/>
          <w:sz w:val="40"/>
          <w:szCs w:val="40"/>
          <w:highlight w:val="none"/>
          <w:lang w:eastAsia="zh-CN"/>
          <w14:textFill>
            <w14:solidFill>
              <w14:schemeClr w14:val="tx1"/>
            </w14:solidFill>
          </w14:textFill>
        </w:rPr>
      </w:pPr>
      <w:r>
        <w:rPr>
          <w:rFonts w:hint="eastAsia" w:ascii="宋体" w:hAnsi="宋体" w:eastAsia="宋体" w:cs="宋体"/>
          <w:b/>
          <w:color w:val="000000" w:themeColor="text1"/>
          <w:kern w:val="0"/>
          <w:sz w:val="40"/>
          <w:szCs w:val="40"/>
          <w:highlight w:val="none"/>
          <w:lang w:eastAsia="zh-CN"/>
          <w14:textFill>
            <w14:solidFill>
              <w14:schemeClr w14:val="tx1"/>
            </w14:solidFill>
          </w14:textFill>
        </w:rPr>
        <w:t>千阳县民政局适老化改造项目</w:t>
      </w:r>
    </w:p>
    <w:p w14:paraId="2BE80AA2">
      <w:pPr>
        <w:jc w:val="center"/>
        <w:rPr>
          <w:rFonts w:hint="eastAsia" w:ascii="宋体" w:hAnsi="宋体" w:eastAsia="宋体" w:cs="宋体"/>
          <w:b/>
          <w:bCs/>
          <w:sz w:val="52"/>
          <w:szCs w:val="52"/>
          <w:highlight w:val="none"/>
        </w:rPr>
      </w:pPr>
    </w:p>
    <w:p w14:paraId="7F2A1A23">
      <w:pPr>
        <w:jc w:val="center"/>
        <w:rPr>
          <w:rFonts w:hint="eastAsia" w:ascii="宋体" w:hAnsi="宋体" w:eastAsia="宋体" w:cs="宋体"/>
          <w:b/>
          <w:bCs/>
          <w:sz w:val="48"/>
          <w:szCs w:val="48"/>
          <w:highlight w:val="none"/>
        </w:rPr>
      </w:pPr>
    </w:p>
    <w:p w14:paraId="2F67743D">
      <w:pPr>
        <w:jc w:val="center"/>
        <w:rPr>
          <w:rFonts w:hint="eastAsia" w:ascii="宋体" w:hAnsi="宋体" w:eastAsia="宋体" w:cs="宋体"/>
          <w:b/>
          <w:bCs/>
          <w:sz w:val="48"/>
          <w:szCs w:val="48"/>
          <w:highlight w:val="none"/>
        </w:rPr>
      </w:pPr>
    </w:p>
    <w:p w14:paraId="0851F3A5">
      <w:pPr>
        <w:jc w:val="center"/>
        <w:rPr>
          <w:rFonts w:hint="eastAsia" w:ascii="宋体" w:hAnsi="宋体" w:eastAsia="宋体" w:cs="宋体"/>
          <w:b/>
          <w:bCs/>
          <w:sz w:val="48"/>
          <w:szCs w:val="48"/>
          <w:highlight w:val="none"/>
        </w:rPr>
      </w:pPr>
    </w:p>
    <w:p w14:paraId="2AEAB074">
      <w:pPr>
        <w:jc w:val="center"/>
        <w:rPr>
          <w:rFonts w:hint="eastAsia" w:ascii="宋体" w:hAnsi="宋体" w:eastAsia="宋体" w:cs="宋体"/>
          <w:b/>
          <w:bCs/>
          <w:sz w:val="48"/>
          <w:szCs w:val="48"/>
          <w:highlight w:val="none"/>
        </w:rPr>
      </w:pPr>
      <w:r>
        <w:rPr>
          <w:rFonts w:hint="eastAsia" w:ascii="宋体" w:hAnsi="宋体" w:eastAsia="宋体" w:cs="宋体"/>
          <w:b/>
          <w:bCs/>
          <w:sz w:val="48"/>
          <w:szCs w:val="48"/>
          <w:highlight w:val="none"/>
        </w:rPr>
        <w:t>竞争性磋商文件</w:t>
      </w:r>
    </w:p>
    <w:p w14:paraId="0D25E2BE">
      <w:pPr>
        <w:jc w:val="both"/>
        <w:rPr>
          <w:rFonts w:hint="eastAsia" w:ascii="宋体" w:hAnsi="宋体" w:eastAsia="宋体" w:cs="宋体"/>
          <w:b/>
          <w:bCs/>
          <w:sz w:val="52"/>
          <w:szCs w:val="52"/>
          <w:highlight w:val="none"/>
        </w:rPr>
      </w:pPr>
    </w:p>
    <w:p w14:paraId="7F028C1A">
      <w:pPr>
        <w:jc w:val="both"/>
        <w:rPr>
          <w:rFonts w:hint="eastAsia" w:ascii="宋体" w:hAnsi="宋体" w:eastAsia="宋体" w:cs="宋体"/>
          <w:b/>
          <w:bCs/>
          <w:sz w:val="52"/>
          <w:szCs w:val="52"/>
          <w:highlight w:val="none"/>
        </w:rPr>
      </w:pPr>
    </w:p>
    <w:p w14:paraId="13D00FBF">
      <w:pPr>
        <w:jc w:val="both"/>
        <w:rPr>
          <w:rFonts w:hint="eastAsia" w:ascii="宋体" w:hAnsi="宋体" w:eastAsia="宋体" w:cs="宋体"/>
          <w:b/>
          <w:bCs/>
          <w:sz w:val="52"/>
          <w:szCs w:val="52"/>
          <w:highlight w:val="none"/>
        </w:rPr>
      </w:pPr>
    </w:p>
    <w:p w14:paraId="642862B5">
      <w:pPr>
        <w:jc w:val="both"/>
        <w:rPr>
          <w:rFonts w:hint="eastAsia" w:ascii="宋体" w:hAnsi="宋体" w:eastAsia="宋体" w:cs="宋体"/>
          <w:b/>
          <w:bCs/>
          <w:sz w:val="52"/>
          <w:szCs w:val="52"/>
          <w:highlight w:val="none"/>
        </w:rPr>
      </w:pPr>
    </w:p>
    <w:p w14:paraId="0416C773">
      <w:pPr>
        <w:keepNext w:val="0"/>
        <w:keepLines w:val="0"/>
        <w:pageBreakBefore w:val="0"/>
        <w:widowControl w:val="0"/>
        <w:kinsoku/>
        <w:wordWrap/>
        <w:overflowPunct/>
        <w:topLinePunct w:val="0"/>
        <w:autoSpaceDE/>
        <w:autoSpaceDN/>
        <w:bidi w:val="0"/>
        <w:adjustRightInd/>
        <w:snapToGrid/>
        <w:spacing w:line="480" w:lineRule="auto"/>
        <w:ind w:firstLine="1968" w:firstLineChars="700"/>
        <w:textAlignment w:val="auto"/>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采 购 人：</w:t>
      </w:r>
      <w:r>
        <w:rPr>
          <w:rFonts w:hint="eastAsia" w:ascii="宋体" w:hAnsi="宋体" w:eastAsia="宋体" w:cs="宋体"/>
          <w:b/>
          <w:color w:val="000000" w:themeColor="text1"/>
          <w:kern w:val="0"/>
          <w:sz w:val="28"/>
          <w:szCs w:val="28"/>
          <w:highlight w:val="none"/>
          <w:lang w:eastAsia="zh-CN"/>
          <w14:textFill>
            <w14:solidFill>
              <w14:schemeClr w14:val="tx1"/>
            </w14:solidFill>
          </w14:textFill>
        </w:rPr>
        <w:t>千阳县民政局</w:t>
      </w:r>
    </w:p>
    <w:p w14:paraId="7CDEC6C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themeColor="text1"/>
          <w:kern w:val="0"/>
          <w:sz w:val="28"/>
          <w:szCs w:val="28"/>
          <w:highlight w:val="none"/>
          <w14:textFill>
            <w14:solidFill>
              <w14:schemeClr w14:val="tx1"/>
            </w14:solidFill>
          </w14:textFill>
        </w:rPr>
      </w:pPr>
    </w:p>
    <w:p w14:paraId="612E61F5">
      <w:pPr>
        <w:keepNext w:val="0"/>
        <w:keepLines w:val="0"/>
        <w:pageBreakBefore w:val="0"/>
        <w:widowControl w:val="0"/>
        <w:kinsoku/>
        <w:wordWrap/>
        <w:overflowPunct/>
        <w:topLinePunct w:val="0"/>
        <w:autoSpaceDE/>
        <w:autoSpaceDN/>
        <w:bidi w:val="0"/>
        <w:adjustRightInd/>
        <w:snapToGrid/>
        <w:spacing w:line="480" w:lineRule="auto"/>
        <w:ind w:firstLine="1968" w:firstLineChars="700"/>
        <w:textAlignment w:val="auto"/>
        <w:rPr>
          <w:rFonts w:hint="eastAsia" w:ascii="宋体" w:hAnsi="宋体" w:eastAsia="宋体" w:cs="宋体"/>
          <w:b/>
          <w:color w:val="000000" w:themeColor="text1"/>
          <w:kern w:val="0"/>
          <w:sz w:val="28"/>
          <w:szCs w:val="28"/>
          <w:highlight w:val="none"/>
          <w:lang w:eastAsia="zh-CN"/>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代理机构：</w:t>
      </w:r>
      <w:r>
        <w:rPr>
          <w:rFonts w:hint="eastAsia" w:ascii="宋体" w:hAnsi="宋体" w:eastAsia="宋体" w:cs="宋体"/>
          <w:b/>
          <w:color w:val="000000" w:themeColor="text1"/>
          <w:kern w:val="0"/>
          <w:sz w:val="28"/>
          <w:szCs w:val="28"/>
          <w:highlight w:val="none"/>
          <w:lang w:eastAsia="zh-CN"/>
          <w14:textFill>
            <w14:solidFill>
              <w14:schemeClr w14:val="tx1"/>
            </w14:solidFill>
          </w14:textFill>
        </w:rPr>
        <w:t>陕西龙恒项目管理有限公司</w:t>
      </w:r>
    </w:p>
    <w:p w14:paraId="6A6F65A8">
      <w:pPr>
        <w:keepNext w:val="0"/>
        <w:keepLines w:val="0"/>
        <w:pageBreakBefore w:val="0"/>
        <w:widowControl w:val="0"/>
        <w:tabs>
          <w:tab w:val="left" w:pos="8572"/>
        </w:tabs>
        <w:kinsoku/>
        <w:wordWrap/>
        <w:overflowPunct/>
        <w:topLinePunct w:val="0"/>
        <w:autoSpaceDE/>
        <w:autoSpaceDN/>
        <w:bidi w:val="0"/>
        <w:adjustRightInd/>
        <w:snapToGrid/>
        <w:spacing w:line="480" w:lineRule="auto"/>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ab/>
      </w:r>
    </w:p>
    <w:p w14:paraId="2DB4BCAC">
      <w:pPr>
        <w:keepNext w:val="0"/>
        <w:keepLines w:val="0"/>
        <w:pageBreakBefore w:val="0"/>
        <w:widowControl w:val="0"/>
        <w:kinsoku/>
        <w:wordWrap/>
        <w:overflowPunct/>
        <w:topLinePunct w:val="0"/>
        <w:autoSpaceDE/>
        <w:autoSpaceDN/>
        <w:bidi w:val="0"/>
        <w:adjustRightInd/>
        <w:snapToGrid/>
        <w:spacing w:line="480" w:lineRule="auto"/>
        <w:ind w:firstLine="1968" w:firstLineChars="700"/>
        <w:textAlignment w:val="auto"/>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时    间：二零二</w:t>
      </w:r>
      <w:r>
        <w:rPr>
          <w:rFonts w:hint="eastAsia" w:ascii="宋体" w:hAnsi="宋体" w:eastAsia="宋体" w:cs="宋体"/>
          <w:b/>
          <w:color w:val="auto"/>
          <w:kern w:val="0"/>
          <w:sz w:val="28"/>
          <w:szCs w:val="28"/>
          <w:highlight w:val="none"/>
          <w:lang w:val="en-US" w:eastAsia="zh-CN"/>
        </w:rPr>
        <w:t>六</w:t>
      </w:r>
      <w:r>
        <w:rPr>
          <w:rFonts w:hint="eastAsia" w:ascii="宋体" w:hAnsi="宋体" w:eastAsia="宋体" w:cs="宋体"/>
          <w:b/>
          <w:color w:val="auto"/>
          <w:kern w:val="0"/>
          <w:sz w:val="28"/>
          <w:szCs w:val="28"/>
          <w:highlight w:val="none"/>
        </w:rPr>
        <w:t>年</w:t>
      </w:r>
      <w:r>
        <w:rPr>
          <w:rFonts w:hint="eastAsia" w:ascii="宋体" w:hAnsi="宋体" w:eastAsia="宋体" w:cs="宋体"/>
          <w:b/>
          <w:color w:val="auto"/>
          <w:kern w:val="0"/>
          <w:sz w:val="28"/>
          <w:szCs w:val="28"/>
          <w:highlight w:val="none"/>
          <w:lang w:val="en-US" w:eastAsia="zh-CN"/>
        </w:rPr>
        <w:t>一月</w:t>
      </w:r>
    </w:p>
    <w:p w14:paraId="498CE067">
      <w:pPr>
        <w:keepNext w:val="0"/>
        <w:keepLines w:val="0"/>
        <w:pageBreakBefore w:val="0"/>
        <w:widowControl w:val="0"/>
        <w:kinsoku/>
        <w:wordWrap/>
        <w:overflowPunct/>
        <w:topLinePunct w:val="0"/>
        <w:autoSpaceDE/>
        <w:autoSpaceDN/>
        <w:bidi w:val="0"/>
        <w:adjustRightInd/>
        <w:snapToGrid/>
        <w:spacing w:line="480" w:lineRule="auto"/>
        <w:ind w:firstLine="1968" w:firstLineChars="700"/>
        <w:textAlignment w:val="auto"/>
        <w:rPr>
          <w:rFonts w:hint="eastAsia" w:ascii="宋体" w:hAnsi="宋体" w:eastAsia="宋体" w:cs="宋体"/>
          <w:b/>
          <w:color w:val="auto"/>
          <w:kern w:val="0"/>
          <w:sz w:val="28"/>
          <w:szCs w:val="28"/>
          <w:highlight w:val="none"/>
          <w:lang w:val="en-US" w:eastAsia="zh-CN"/>
        </w:rPr>
      </w:pPr>
    </w:p>
    <w:p w14:paraId="29DA5CE4">
      <w:pPr>
        <w:keepNext w:val="0"/>
        <w:keepLines w:val="0"/>
        <w:pageBreakBefore w:val="0"/>
        <w:widowControl w:val="0"/>
        <w:kinsoku/>
        <w:wordWrap/>
        <w:overflowPunct/>
        <w:topLinePunct w:val="0"/>
        <w:autoSpaceDE/>
        <w:autoSpaceDN/>
        <w:bidi w:val="0"/>
        <w:adjustRightInd/>
        <w:snapToGrid/>
        <w:spacing w:line="480" w:lineRule="auto"/>
        <w:ind w:firstLine="1968" w:firstLineChars="700"/>
        <w:textAlignment w:val="auto"/>
        <w:rPr>
          <w:rFonts w:hint="eastAsia" w:ascii="宋体" w:hAnsi="宋体" w:eastAsia="宋体" w:cs="宋体"/>
          <w:b/>
          <w:color w:val="auto"/>
          <w:kern w:val="0"/>
          <w:sz w:val="28"/>
          <w:szCs w:val="28"/>
          <w:highlight w:val="none"/>
          <w:lang w:val="en-US" w:eastAsia="zh-CN"/>
        </w:rPr>
        <w:sectPr>
          <w:headerReference r:id="rId4" w:type="first"/>
          <w:footerReference r:id="rId6" w:type="first"/>
          <w:headerReference r:id="rId3" w:type="default"/>
          <w:footerReference r:id="rId5" w:type="default"/>
          <w:pgSz w:w="11907" w:h="16840"/>
          <w:pgMar w:top="1440" w:right="1701" w:bottom="1440" w:left="1701" w:header="935" w:footer="771" w:gutter="567"/>
          <w:pgNumType w:fmt="decimal" w:chapStyle="1" w:chapSep="hyphen"/>
          <w:cols w:space="0" w:num="1"/>
          <w:rtlGutter w:val="0"/>
          <w:docGrid w:linePitch="312" w:charSpace="0"/>
        </w:sectPr>
      </w:pPr>
    </w:p>
    <w:sdt>
      <w:sdtPr>
        <w:rPr>
          <w:rFonts w:hint="eastAsia" w:ascii="宋体" w:hAnsi="宋体" w:eastAsia="宋体" w:cs="宋体"/>
          <w:b/>
          <w:bCs/>
          <w:sz w:val="28"/>
          <w:szCs w:val="36"/>
          <w:highlight w:val="none"/>
        </w:rPr>
        <w:id w:val="-1846540779"/>
        <w15:color w:val="DBDBDB"/>
        <w:docPartObj>
          <w:docPartGallery w:val="Table of Contents"/>
          <w:docPartUnique/>
        </w:docPartObj>
      </w:sdtPr>
      <w:sdtEndPr>
        <w:rPr>
          <w:rFonts w:hint="eastAsia" w:ascii="宋体" w:hAnsi="宋体" w:eastAsia="宋体" w:cs="宋体"/>
          <w:b/>
          <w:bCs/>
          <w:sz w:val="52"/>
          <w:szCs w:val="52"/>
          <w:highlight w:val="none"/>
        </w:rPr>
      </w:sdtEndPr>
      <w:sdtContent>
        <w:p w14:paraId="059FF51D">
          <w:pPr>
            <w:jc w:val="center"/>
            <w:rPr>
              <w:rFonts w:hint="eastAsia" w:ascii="宋体" w:hAnsi="宋体" w:eastAsia="宋体" w:cs="宋体"/>
              <w:b/>
              <w:bCs/>
              <w:color w:val="000000" w:themeColor="text1"/>
              <w:kern w:val="0"/>
              <w:sz w:val="48"/>
              <w:szCs w:val="48"/>
              <w:highlight w:val="none"/>
              <w14:textFill>
                <w14:solidFill>
                  <w14:schemeClr w14:val="tx1"/>
                </w14:solidFill>
              </w14:textFill>
            </w:rPr>
          </w:pPr>
          <w:r>
            <w:rPr>
              <w:rFonts w:hint="eastAsia" w:ascii="宋体" w:hAnsi="宋体" w:eastAsia="宋体" w:cs="宋体"/>
              <w:b/>
              <w:bCs/>
              <w:color w:val="000000" w:themeColor="text1"/>
              <w:kern w:val="0"/>
              <w:sz w:val="48"/>
              <w:szCs w:val="48"/>
              <w:highlight w:val="none"/>
              <w14:textFill>
                <w14:solidFill>
                  <w14:schemeClr w14:val="tx1"/>
                </w14:solidFill>
              </w14:textFill>
            </w:rPr>
            <w:t>目  录</w:t>
          </w:r>
          <w:bookmarkStart w:id="120" w:name="_GoBack"/>
          <w:bookmarkEnd w:id="120"/>
        </w:p>
        <w:p w14:paraId="63FF9437">
          <w:pPr>
            <w:spacing w:line="720" w:lineRule="auto"/>
            <w:jc w:val="center"/>
            <w:rPr>
              <w:rFonts w:hint="eastAsia" w:ascii="宋体" w:hAnsi="宋体" w:eastAsia="宋体" w:cs="宋体"/>
              <w:szCs w:val="24"/>
              <w:highlight w:val="none"/>
            </w:rPr>
          </w:pPr>
        </w:p>
        <w:p w14:paraId="3A416B87">
          <w:pPr>
            <w:pStyle w:val="24"/>
            <w:tabs>
              <w:tab w:val="right" w:leader="dot" w:pos="9746"/>
            </w:tabs>
            <w:spacing w:line="480" w:lineRule="auto"/>
            <w:rPr>
              <w:b/>
              <w:bCs/>
              <w:sz w:val="32"/>
              <w:szCs w:val="40"/>
            </w:rPr>
          </w:pPr>
          <w:r>
            <w:rPr>
              <w:rFonts w:hint="eastAsia" w:ascii="宋体" w:hAnsi="宋体" w:eastAsia="宋体" w:cs="宋体"/>
              <w:b/>
              <w:bCs/>
              <w:color w:val="000000" w:themeColor="text1"/>
              <w:sz w:val="48"/>
              <w:szCs w:val="48"/>
              <w:highlight w:val="none"/>
              <w14:textFill>
                <w14:solidFill>
                  <w14:schemeClr w14:val="tx1"/>
                </w14:solidFill>
              </w14:textFill>
            </w:rPr>
            <w:fldChar w:fldCharType="begin"/>
          </w:r>
          <w:r>
            <w:rPr>
              <w:rFonts w:hint="eastAsia" w:ascii="宋体" w:hAnsi="宋体" w:eastAsia="宋体" w:cs="宋体"/>
              <w:b/>
              <w:bCs/>
              <w:color w:val="000000" w:themeColor="text1"/>
              <w:sz w:val="48"/>
              <w:szCs w:val="48"/>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48"/>
              <w:szCs w:val="48"/>
              <w:highlight w:val="none"/>
              <w14:textFill>
                <w14:solidFill>
                  <w14:schemeClr w14:val="tx1"/>
                </w14:solidFill>
              </w14:textFill>
            </w:rPr>
            <w:fldChar w:fldCharType="separate"/>
          </w:r>
          <w:r>
            <w:rPr>
              <w:rFonts w:hint="eastAsia" w:ascii="宋体" w:hAnsi="宋体" w:eastAsia="宋体" w:cs="宋体"/>
              <w:b/>
              <w:bCs/>
              <w:color w:val="000000" w:themeColor="text1"/>
              <w:sz w:val="32"/>
              <w:szCs w:val="48"/>
              <w:highlight w:val="none"/>
              <w14:textFill>
                <w14:solidFill>
                  <w14:schemeClr w14:val="tx1"/>
                </w14:solidFill>
              </w14:textFill>
            </w:rPr>
            <w:fldChar w:fldCharType="begin"/>
          </w:r>
          <w:r>
            <w:rPr>
              <w:rFonts w:hint="eastAsia" w:ascii="宋体" w:hAnsi="宋体" w:eastAsia="宋体" w:cs="宋体"/>
              <w:b/>
              <w:bCs/>
              <w:sz w:val="32"/>
              <w:szCs w:val="48"/>
              <w:highlight w:val="none"/>
            </w:rPr>
            <w:instrText xml:space="preserve"> HYPERLINK \l _Toc5306 </w:instrText>
          </w:r>
          <w:r>
            <w:rPr>
              <w:rFonts w:hint="eastAsia" w:ascii="宋体" w:hAnsi="宋体" w:eastAsia="宋体" w:cs="宋体"/>
              <w:b/>
              <w:bCs/>
              <w:sz w:val="32"/>
              <w:szCs w:val="48"/>
              <w:highlight w:val="none"/>
            </w:rPr>
            <w:fldChar w:fldCharType="separate"/>
          </w:r>
          <w:r>
            <w:rPr>
              <w:rFonts w:hint="eastAsia" w:ascii="宋体" w:hAnsi="宋体" w:eastAsia="宋体" w:cs="宋体"/>
              <w:b/>
              <w:bCs/>
              <w:kern w:val="0"/>
              <w:sz w:val="32"/>
              <w:szCs w:val="52"/>
              <w:highlight w:val="none"/>
            </w:rPr>
            <w:t>第一章 竞争性磋商公告</w:t>
          </w:r>
          <w:r>
            <w:rPr>
              <w:b/>
              <w:bCs/>
              <w:sz w:val="32"/>
              <w:szCs w:val="40"/>
            </w:rPr>
            <w:tab/>
          </w:r>
          <w:r>
            <w:rPr>
              <w:b/>
              <w:bCs/>
              <w:sz w:val="32"/>
              <w:szCs w:val="40"/>
            </w:rPr>
            <w:fldChar w:fldCharType="begin"/>
          </w:r>
          <w:r>
            <w:rPr>
              <w:b/>
              <w:bCs/>
              <w:sz w:val="32"/>
              <w:szCs w:val="40"/>
            </w:rPr>
            <w:instrText xml:space="preserve"> PAGEREF _Toc5306 \h </w:instrText>
          </w:r>
          <w:r>
            <w:rPr>
              <w:b/>
              <w:bCs/>
              <w:sz w:val="32"/>
              <w:szCs w:val="40"/>
            </w:rPr>
            <w:fldChar w:fldCharType="separate"/>
          </w:r>
          <w:r>
            <w:rPr>
              <w:b/>
              <w:bCs/>
              <w:sz w:val="32"/>
              <w:szCs w:val="40"/>
            </w:rPr>
            <w:t>1</w:t>
          </w:r>
          <w:r>
            <w:rPr>
              <w:b/>
              <w:bCs/>
              <w:sz w:val="32"/>
              <w:szCs w:val="40"/>
            </w:rPr>
            <w:fldChar w:fldCharType="end"/>
          </w:r>
          <w:r>
            <w:rPr>
              <w:rFonts w:hint="eastAsia" w:ascii="宋体" w:hAnsi="宋体" w:eastAsia="宋体" w:cs="宋体"/>
              <w:b/>
              <w:bCs/>
              <w:color w:val="000000" w:themeColor="text1"/>
              <w:sz w:val="32"/>
              <w:szCs w:val="48"/>
              <w:highlight w:val="none"/>
              <w14:textFill>
                <w14:solidFill>
                  <w14:schemeClr w14:val="tx1"/>
                </w14:solidFill>
              </w14:textFill>
            </w:rPr>
            <w:fldChar w:fldCharType="end"/>
          </w:r>
        </w:p>
        <w:p w14:paraId="010190D1">
          <w:pPr>
            <w:pStyle w:val="24"/>
            <w:tabs>
              <w:tab w:val="right" w:leader="dot" w:pos="9746"/>
            </w:tabs>
            <w:spacing w:line="480" w:lineRule="auto"/>
            <w:rPr>
              <w:b/>
              <w:bCs/>
              <w:sz w:val="32"/>
              <w:szCs w:val="40"/>
            </w:rPr>
          </w:pPr>
          <w:r>
            <w:rPr>
              <w:rFonts w:hint="eastAsia" w:ascii="宋体" w:hAnsi="宋体" w:eastAsia="宋体" w:cs="宋体"/>
              <w:b/>
              <w:bCs/>
              <w:color w:val="000000" w:themeColor="text1"/>
              <w:sz w:val="32"/>
              <w:szCs w:val="48"/>
              <w:highlight w:val="none"/>
              <w14:textFill>
                <w14:solidFill>
                  <w14:schemeClr w14:val="tx1"/>
                </w14:solidFill>
              </w14:textFill>
            </w:rPr>
            <w:fldChar w:fldCharType="begin"/>
          </w:r>
          <w:r>
            <w:rPr>
              <w:rFonts w:hint="eastAsia" w:ascii="宋体" w:hAnsi="宋体" w:eastAsia="宋体" w:cs="宋体"/>
              <w:b/>
              <w:bCs/>
              <w:sz w:val="32"/>
              <w:szCs w:val="48"/>
              <w:highlight w:val="none"/>
            </w:rPr>
            <w:instrText xml:space="preserve"> HYPERLINK \l _Toc16524 </w:instrText>
          </w:r>
          <w:r>
            <w:rPr>
              <w:rFonts w:hint="eastAsia" w:ascii="宋体" w:hAnsi="宋体" w:eastAsia="宋体" w:cs="宋体"/>
              <w:b/>
              <w:bCs/>
              <w:sz w:val="32"/>
              <w:szCs w:val="48"/>
              <w:highlight w:val="none"/>
            </w:rPr>
            <w:fldChar w:fldCharType="separate"/>
          </w:r>
          <w:r>
            <w:rPr>
              <w:rFonts w:hint="eastAsia" w:ascii="宋体" w:hAnsi="宋体" w:eastAsia="宋体" w:cs="宋体"/>
              <w:b/>
              <w:bCs/>
              <w:kern w:val="0"/>
              <w:sz w:val="32"/>
              <w:szCs w:val="52"/>
              <w:highlight w:val="none"/>
            </w:rPr>
            <w:t>第二章 供应商须知</w:t>
          </w:r>
          <w:r>
            <w:rPr>
              <w:b/>
              <w:bCs/>
              <w:sz w:val="32"/>
              <w:szCs w:val="40"/>
            </w:rPr>
            <w:tab/>
          </w:r>
          <w:r>
            <w:rPr>
              <w:b/>
              <w:bCs/>
              <w:sz w:val="32"/>
              <w:szCs w:val="40"/>
            </w:rPr>
            <w:fldChar w:fldCharType="begin"/>
          </w:r>
          <w:r>
            <w:rPr>
              <w:b/>
              <w:bCs/>
              <w:sz w:val="32"/>
              <w:szCs w:val="40"/>
            </w:rPr>
            <w:instrText xml:space="preserve"> PAGEREF _Toc16524 \h </w:instrText>
          </w:r>
          <w:r>
            <w:rPr>
              <w:b/>
              <w:bCs/>
              <w:sz w:val="32"/>
              <w:szCs w:val="40"/>
            </w:rPr>
            <w:fldChar w:fldCharType="separate"/>
          </w:r>
          <w:r>
            <w:rPr>
              <w:b/>
              <w:bCs/>
              <w:sz w:val="32"/>
              <w:szCs w:val="40"/>
            </w:rPr>
            <w:t>6</w:t>
          </w:r>
          <w:r>
            <w:rPr>
              <w:b/>
              <w:bCs/>
              <w:sz w:val="32"/>
              <w:szCs w:val="40"/>
            </w:rPr>
            <w:fldChar w:fldCharType="end"/>
          </w:r>
          <w:r>
            <w:rPr>
              <w:rFonts w:hint="eastAsia" w:ascii="宋体" w:hAnsi="宋体" w:eastAsia="宋体" w:cs="宋体"/>
              <w:b/>
              <w:bCs/>
              <w:color w:val="000000" w:themeColor="text1"/>
              <w:sz w:val="32"/>
              <w:szCs w:val="48"/>
              <w:highlight w:val="none"/>
              <w14:textFill>
                <w14:solidFill>
                  <w14:schemeClr w14:val="tx1"/>
                </w14:solidFill>
              </w14:textFill>
            </w:rPr>
            <w:fldChar w:fldCharType="end"/>
          </w:r>
        </w:p>
        <w:p w14:paraId="11E1AC27">
          <w:pPr>
            <w:pStyle w:val="24"/>
            <w:tabs>
              <w:tab w:val="right" w:leader="dot" w:pos="9746"/>
            </w:tabs>
            <w:spacing w:line="480" w:lineRule="auto"/>
            <w:rPr>
              <w:b/>
              <w:bCs/>
              <w:sz w:val="32"/>
              <w:szCs w:val="40"/>
            </w:rPr>
          </w:pPr>
          <w:r>
            <w:rPr>
              <w:rFonts w:hint="eastAsia" w:ascii="宋体" w:hAnsi="宋体" w:eastAsia="宋体" w:cs="宋体"/>
              <w:b/>
              <w:bCs/>
              <w:color w:val="000000" w:themeColor="text1"/>
              <w:sz w:val="32"/>
              <w:szCs w:val="48"/>
              <w:highlight w:val="none"/>
              <w14:textFill>
                <w14:solidFill>
                  <w14:schemeClr w14:val="tx1"/>
                </w14:solidFill>
              </w14:textFill>
            </w:rPr>
            <w:fldChar w:fldCharType="begin"/>
          </w:r>
          <w:r>
            <w:rPr>
              <w:rFonts w:hint="eastAsia" w:ascii="宋体" w:hAnsi="宋体" w:eastAsia="宋体" w:cs="宋体"/>
              <w:b/>
              <w:bCs/>
              <w:sz w:val="32"/>
              <w:szCs w:val="48"/>
              <w:highlight w:val="none"/>
            </w:rPr>
            <w:instrText xml:space="preserve"> HYPERLINK \l _Toc29363 </w:instrText>
          </w:r>
          <w:r>
            <w:rPr>
              <w:rFonts w:hint="eastAsia" w:ascii="宋体" w:hAnsi="宋体" w:eastAsia="宋体" w:cs="宋体"/>
              <w:b/>
              <w:bCs/>
              <w:sz w:val="32"/>
              <w:szCs w:val="48"/>
              <w:highlight w:val="none"/>
            </w:rPr>
            <w:fldChar w:fldCharType="separate"/>
          </w:r>
          <w:r>
            <w:rPr>
              <w:rFonts w:hint="eastAsia" w:ascii="宋体" w:hAnsi="宋体" w:eastAsia="宋体" w:cs="宋体"/>
              <w:b/>
              <w:bCs/>
              <w:kern w:val="2"/>
              <w:sz w:val="32"/>
              <w:szCs w:val="52"/>
              <w:highlight w:val="none"/>
              <w:lang w:val="en-US" w:eastAsia="zh-CN" w:bidi="ar-SA"/>
            </w:rPr>
            <w:t xml:space="preserve">第三章 </w:t>
          </w:r>
          <w:r>
            <w:rPr>
              <w:rFonts w:hint="eastAsia" w:ascii="宋体" w:hAnsi="宋体" w:eastAsia="宋体" w:cs="宋体"/>
              <w:b/>
              <w:bCs/>
              <w:kern w:val="0"/>
              <w:sz w:val="32"/>
              <w:szCs w:val="52"/>
              <w:highlight w:val="none"/>
              <w:lang w:val="en-US" w:eastAsia="zh-CN"/>
            </w:rPr>
            <w:t>采购内容及要求</w:t>
          </w:r>
          <w:r>
            <w:rPr>
              <w:b/>
              <w:bCs/>
              <w:sz w:val="32"/>
              <w:szCs w:val="40"/>
            </w:rPr>
            <w:tab/>
          </w:r>
          <w:r>
            <w:rPr>
              <w:b/>
              <w:bCs/>
              <w:sz w:val="32"/>
              <w:szCs w:val="40"/>
            </w:rPr>
            <w:fldChar w:fldCharType="begin"/>
          </w:r>
          <w:r>
            <w:rPr>
              <w:b/>
              <w:bCs/>
              <w:sz w:val="32"/>
              <w:szCs w:val="40"/>
            </w:rPr>
            <w:instrText xml:space="preserve"> PAGEREF _Toc29363 \h </w:instrText>
          </w:r>
          <w:r>
            <w:rPr>
              <w:b/>
              <w:bCs/>
              <w:sz w:val="32"/>
              <w:szCs w:val="40"/>
            </w:rPr>
            <w:fldChar w:fldCharType="separate"/>
          </w:r>
          <w:r>
            <w:rPr>
              <w:b/>
              <w:bCs/>
              <w:sz w:val="32"/>
              <w:szCs w:val="40"/>
            </w:rPr>
            <w:t>28</w:t>
          </w:r>
          <w:r>
            <w:rPr>
              <w:b/>
              <w:bCs/>
              <w:sz w:val="32"/>
              <w:szCs w:val="40"/>
            </w:rPr>
            <w:fldChar w:fldCharType="end"/>
          </w:r>
          <w:r>
            <w:rPr>
              <w:rFonts w:hint="eastAsia" w:ascii="宋体" w:hAnsi="宋体" w:eastAsia="宋体" w:cs="宋体"/>
              <w:b/>
              <w:bCs/>
              <w:color w:val="000000" w:themeColor="text1"/>
              <w:sz w:val="32"/>
              <w:szCs w:val="48"/>
              <w:highlight w:val="none"/>
              <w14:textFill>
                <w14:solidFill>
                  <w14:schemeClr w14:val="tx1"/>
                </w14:solidFill>
              </w14:textFill>
            </w:rPr>
            <w:fldChar w:fldCharType="end"/>
          </w:r>
        </w:p>
        <w:p w14:paraId="235A95AD">
          <w:pPr>
            <w:pStyle w:val="24"/>
            <w:tabs>
              <w:tab w:val="right" w:leader="dot" w:pos="9746"/>
            </w:tabs>
            <w:spacing w:line="480" w:lineRule="auto"/>
            <w:rPr>
              <w:b/>
              <w:bCs/>
              <w:sz w:val="32"/>
              <w:szCs w:val="40"/>
            </w:rPr>
          </w:pPr>
          <w:r>
            <w:rPr>
              <w:rFonts w:hint="eastAsia" w:ascii="宋体" w:hAnsi="宋体" w:eastAsia="宋体" w:cs="宋体"/>
              <w:b/>
              <w:bCs/>
              <w:color w:val="000000" w:themeColor="text1"/>
              <w:sz w:val="32"/>
              <w:szCs w:val="48"/>
              <w:highlight w:val="none"/>
              <w14:textFill>
                <w14:solidFill>
                  <w14:schemeClr w14:val="tx1"/>
                </w14:solidFill>
              </w14:textFill>
            </w:rPr>
            <w:fldChar w:fldCharType="begin"/>
          </w:r>
          <w:r>
            <w:rPr>
              <w:rFonts w:hint="eastAsia" w:ascii="宋体" w:hAnsi="宋体" w:eastAsia="宋体" w:cs="宋体"/>
              <w:b/>
              <w:bCs/>
              <w:sz w:val="32"/>
              <w:szCs w:val="48"/>
              <w:highlight w:val="none"/>
            </w:rPr>
            <w:instrText xml:space="preserve"> HYPERLINK \l _Toc24474 </w:instrText>
          </w:r>
          <w:r>
            <w:rPr>
              <w:rFonts w:hint="eastAsia" w:ascii="宋体" w:hAnsi="宋体" w:eastAsia="宋体" w:cs="宋体"/>
              <w:b/>
              <w:bCs/>
              <w:sz w:val="32"/>
              <w:szCs w:val="48"/>
              <w:highlight w:val="none"/>
            </w:rPr>
            <w:fldChar w:fldCharType="separate"/>
          </w:r>
          <w:r>
            <w:rPr>
              <w:rFonts w:hint="eastAsia" w:ascii="宋体" w:hAnsi="宋体" w:eastAsia="宋体" w:cs="宋体"/>
              <w:b/>
              <w:bCs/>
              <w:sz w:val="32"/>
              <w:szCs w:val="48"/>
              <w:highlight w:val="none"/>
            </w:rPr>
            <w:t>第四章</w:t>
          </w:r>
          <w:r>
            <w:rPr>
              <w:rFonts w:hint="eastAsia" w:ascii="宋体" w:hAnsi="宋体" w:eastAsia="宋体" w:cs="宋体"/>
              <w:b/>
              <w:bCs/>
              <w:kern w:val="0"/>
              <w:sz w:val="32"/>
              <w:szCs w:val="52"/>
              <w:highlight w:val="none"/>
            </w:rPr>
            <w:t xml:space="preserve">  </w:t>
          </w:r>
          <w:r>
            <w:rPr>
              <w:rFonts w:hint="eastAsia" w:ascii="宋体" w:hAnsi="宋体" w:eastAsia="宋体" w:cs="宋体"/>
              <w:b/>
              <w:bCs/>
              <w:sz w:val="32"/>
              <w:szCs w:val="48"/>
              <w:highlight w:val="none"/>
            </w:rPr>
            <w:t>合同主要条款及格式</w:t>
          </w:r>
          <w:r>
            <w:rPr>
              <w:b/>
              <w:bCs/>
              <w:sz w:val="32"/>
              <w:szCs w:val="40"/>
            </w:rPr>
            <w:tab/>
          </w:r>
          <w:r>
            <w:rPr>
              <w:b/>
              <w:bCs/>
              <w:sz w:val="32"/>
              <w:szCs w:val="40"/>
            </w:rPr>
            <w:fldChar w:fldCharType="begin"/>
          </w:r>
          <w:r>
            <w:rPr>
              <w:b/>
              <w:bCs/>
              <w:sz w:val="32"/>
              <w:szCs w:val="40"/>
            </w:rPr>
            <w:instrText xml:space="preserve"> PAGEREF _Toc24474 \h </w:instrText>
          </w:r>
          <w:r>
            <w:rPr>
              <w:b/>
              <w:bCs/>
              <w:sz w:val="32"/>
              <w:szCs w:val="40"/>
            </w:rPr>
            <w:fldChar w:fldCharType="separate"/>
          </w:r>
          <w:r>
            <w:rPr>
              <w:b/>
              <w:bCs/>
              <w:sz w:val="32"/>
              <w:szCs w:val="40"/>
            </w:rPr>
            <w:t>34</w:t>
          </w:r>
          <w:r>
            <w:rPr>
              <w:b/>
              <w:bCs/>
              <w:sz w:val="32"/>
              <w:szCs w:val="40"/>
            </w:rPr>
            <w:fldChar w:fldCharType="end"/>
          </w:r>
          <w:r>
            <w:rPr>
              <w:rFonts w:hint="eastAsia" w:ascii="宋体" w:hAnsi="宋体" w:eastAsia="宋体" w:cs="宋体"/>
              <w:b/>
              <w:bCs/>
              <w:color w:val="000000" w:themeColor="text1"/>
              <w:sz w:val="32"/>
              <w:szCs w:val="48"/>
              <w:highlight w:val="none"/>
              <w14:textFill>
                <w14:solidFill>
                  <w14:schemeClr w14:val="tx1"/>
                </w14:solidFill>
              </w14:textFill>
            </w:rPr>
            <w:fldChar w:fldCharType="end"/>
          </w:r>
        </w:p>
        <w:p w14:paraId="2E401084">
          <w:pPr>
            <w:pStyle w:val="24"/>
            <w:tabs>
              <w:tab w:val="right" w:leader="dot" w:pos="9746"/>
            </w:tabs>
            <w:spacing w:line="480" w:lineRule="auto"/>
            <w:rPr>
              <w:b/>
              <w:bCs/>
              <w:sz w:val="32"/>
              <w:szCs w:val="40"/>
            </w:rPr>
          </w:pPr>
          <w:r>
            <w:rPr>
              <w:rFonts w:hint="eastAsia" w:ascii="宋体" w:hAnsi="宋体" w:eastAsia="宋体" w:cs="宋体"/>
              <w:b/>
              <w:bCs/>
              <w:color w:val="000000" w:themeColor="text1"/>
              <w:sz w:val="32"/>
              <w:szCs w:val="48"/>
              <w:highlight w:val="none"/>
              <w14:textFill>
                <w14:solidFill>
                  <w14:schemeClr w14:val="tx1"/>
                </w14:solidFill>
              </w14:textFill>
            </w:rPr>
            <w:fldChar w:fldCharType="begin"/>
          </w:r>
          <w:r>
            <w:rPr>
              <w:rFonts w:hint="eastAsia" w:ascii="宋体" w:hAnsi="宋体" w:eastAsia="宋体" w:cs="宋体"/>
              <w:b/>
              <w:bCs/>
              <w:sz w:val="32"/>
              <w:szCs w:val="48"/>
              <w:highlight w:val="none"/>
            </w:rPr>
            <w:instrText xml:space="preserve"> HYPERLINK \l _Toc25147 </w:instrText>
          </w:r>
          <w:r>
            <w:rPr>
              <w:rFonts w:hint="eastAsia" w:ascii="宋体" w:hAnsi="宋体" w:eastAsia="宋体" w:cs="宋体"/>
              <w:b/>
              <w:bCs/>
              <w:sz w:val="32"/>
              <w:szCs w:val="48"/>
              <w:highlight w:val="none"/>
            </w:rPr>
            <w:fldChar w:fldCharType="separate"/>
          </w:r>
          <w:r>
            <w:rPr>
              <w:rFonts w:hint="eastAsia"/>
              <w:b/>
              <w:bCs/>
              <w:sz w:val="32"/>
              <w:szCs w:val="40"/>
              <w:highlight w:val="none"/>
            </w:rPr>
            <w:t>第五章 响应文件格式</w:t>
          </w:r>
          <w:r>
            <w:rPr>
              <w:b/>
              <w:bCs/>
              <w:sz w:val="32"/>
              <w:szCs w:val="40"/>
            </w:rPr>
            <w:tab/>
          </w:r>
          <w:r>
            <w:rPr>
              <w:b/>
              <w:bCs/>
              <w:sz w:val="32"/>
              <w:szCs w:val="40"/>
            </w:rPr>
            <w:fldChar w:fldCharType="begin"/>
          </w:r>
          <w:r>
            <w:rPr>
              <w:b/>
              <w:bCs/>
              <w:sz w:val="32"/>
              <w:szCs w:val="40"/>
            </w:rPr>
            <w:instrText xml:space="preserve"> PAGEREF _Toc25147 \h </w:instrText>
          </w:r>
          <w:r>
            <w:rPr>
              <w:b/>
              <w:bCs/>
              <w:sz w:val="32"/>
              <w:szCs w:val="40"/>
            </w:rPr>
            <w:fldChar w:fldCharType="separate"/>
          </w:r>
          <w:r>
            <w:rPr>
              <w:b/>
              <w:bCs/>
              <w:sz w:val="32"/>
              <w:szCs w:val="40"/>
            </w:rPr>
            <w:t>38</w:t>
          </w:r>
          <w:r>
            <w:rPr>
              <w:b/>
              <w:bCs/>
              <w:sz w:val="32"/>
              <w:szCs w:val="40"/>
            </w:rPr>
            <w:fldChar w:fldCharType="end"/>
          </w:r>
          <w:r>
            <w:rPr>
              <w:rFonts w:hint="eastAsia" w:ascii="宋体" w:hAnsi="宋体" w:eastAsia="宋体" w:cs="宋体"/>
              <w:b/>
              <w:bCs/>
              <w:color w:val="000000" w:themeColor="text1"/>
              <w:sz w:val="32"/>
              <w:szCs w:val="48"/>
              <w:highlight w:val="none"/>
              <w14:textFill>
                <w14:solidFill>
                  <w14:schemeClr w14:val="tx1"/>
                </w14:solidFill>
              </w14:textFill>
            </w:rPr>
            <w:fldChar w:fldCharType="end"/>
          </w:r>
        </w:p>
        <w:p w14:paraId="6638C6BF">
          <w:pPr>
            <w:pStyle w:val="24"/>
            <w:tabs>
              <w:tab w:val="right" w:leader="dot" w:pos="9170"/>
            </w:tabs>
            <w:spacing w:line="480" w:lineRule="auto"/>
            <w:rPr>
              <w:rFonts w:hint="eastAsia" w:ascii="宋体" w:hAnsi="宋体" w:eastAsia="宋体" w:cs="宋体"/>
              <w:b/>
              <w:bCs/>
              <w:sz w:val="52"/>
              <w:szCs w:val="52"/>
              <w:highlight w:val="none"/>
            </w:rPr>
          </w:pPr>
          <w:r>
            <w:rPr>
              <w:rFonts w:hint="eastAsia" w:ascii="宋体" w:hAnsi="宋体" w:eastAsia="宋体" w:cs="宋体"/>
              <w:b/>
              <w:bCs/>
              <w:color w:val="000000" w:themeColor="text1"/>
              <w:sz w:val="32"/>
              <w:szCs w:val="48"/>
              <w:highlight w:val="none"/>
              <w14:textFill>
                <w14:solidFill>
                  <w14:schemeClr w14:val="tx1"/>
                </w14:solidFill>
              </w14:textFill>
            </w:rPr>
            <w:fldChar w:fldCharType="end"/>
          </w:r>
        </w:p>
      </w:sdtContent>
    </w:sdt>
    <w:p w14:paraId="6F7F9A26">
      <w:pPr>
        <w:widowControl/>
        <w:shd w:val="clear" w:color="auto" w:fill="FFFFFF"/>
        <w:spacing w:line="500" w:lineRule="exact"/>
        <w:jc w:val="center"/>
        <w:rPr>
          <w:rFonts w:hint="eastAsia" w:ascii="宋体" w:hAnsi="宋体" w:eastAsia="宋体" w:cs="宋体"/>
          <w:b/>
          <w:bCs/>
          <w:color w:val="000000" w:themeColor="text1"/>
          <w:kern w:val="0"/>
          <w:sz w:val="36"/>
          <w:szCs w:val="36"/>
          <w:highlight w:val="none"/>
          <w14:textFill>
            <w14:solidFill>
              <w14:schemeClr w14:val="tx1"/>
            </w14:solidFill>
          </w14:textFill>
        </w:rPr>
        <w:sectPr>
          <w:headerReference r:id="rId7" w:type="default"/>
          <w:pgSz w:w="11906" w:h="16839"/>
          <w:pgMar w:top="1440" w:right="1080" w:bottom="1440" w:left="1080" w:header="829" w:footer="794" w:gutter="0"/>
          <w:cols w:space="720" w:num="1"/>
        </w:sectPr>
      </w:pPr>
    </w:p>
    <w:p w14:paraId="2680C3B4">
      <w:pPr>
        <w:widowControl/>
        <w:shd w:val="clear" w:color="auto" w:fill="FFFFFF"/>
        <w:spacing w:line="500" w:lineRule="exact"/>
        <w:jc w:val="center"/>
        <w:outlineLvl w:val="0"/>
        <w:rPr>
          <w:rFonts w:hint="eastAsia" w:asciiTheme="majorEastAsia" w:hAnsiTheme="majorEastAsia" w:eastAsiaTheme="majorEastAsia" w:cstheme="majorEastAsia"/>
          <w:b/>
          <w:bCs/>
          <w:sz w:val="24"/>
          <w:szCs w:val="24"/>
          <w:highlight w:val="none"/>
        </w:rPr>
      </w:pPr>
      <w:bookmarkStart w:id="1" w:name="_Toc5306"/>
      <w:r>
        <w:rPr>
          <w:rFonts w:hint="eastAsia" w:ascii="宋体" w:hAnsi="宋体" w:eastAsia="宋体" w:cs="宋体"/>
          <w:b/>
          <w:bCs/>
          <w:color w:val="000000" w:themeColor="text1"/>
          <w:kern w:val="0"/>
          <w:sz w:val="36"/>
          <w:szCs w:val="36"/>
          <w:highlight w:val="none"/>
          <w14:textFill>
            <w14:solidFill>
              <w14:schemeClr w14:val="tx1"/>
            </w14:solidFill>
          </w14:textFill>
        </w:rPr>
        <w:t>第一章</w:t>
      </w:r>
      <w:bookmarkEnd w:id="0"/>
      <w:r>
        <w:rPr>
          <w:rFonts w:hint="eastAsia" w:ascii="宋体" w:hAnsi="宋体" w:eastAsia="宋体" w:cs="宋体"/>
          <w:b/>
          <w:bCs/>
          <w:color w:val="000000" w:themeColor="text1"/>
          <w:kern w:val="0"/>
          <w:sz w:val="36"/>
          <w:szCs w:val="36"/>
          <w:highlight w:val="none"/>
          <w14:textFill>
            <w14:solidFill>
              <w14:schemeClr w14:val="tx1"/>
            </w14:solidFill>
          </w14:textFill>
        </w:rPr>
        <w:t xml:space="preserve"> </w:t>
      </w:r>
      <w:bookmarkStart w:id="2" w:name="OLE_LINK1"/>
      <w:r>
        <w:rPr>
          <w:rFonts w:hint="eastAsia" w:ascii="宋体" w:hAnsi="宋体" w:eastAsia="宋体" w:cs="宋体"/>
          <w:b/>
          <w:bCs/>
          <w:color w:val="000000" w:themeColor="text1"/>
          <w:kern w:val="0"/>
          <w:sz w:val="36"/>
          <w:szCs w:val="36"/>
          <w:highlight w:val="none"/>
          <w14:textFill>
            <w14:solidFill>
              <w14:schemeClr w14:val="tx1"/>
            </w14:solidFill>
          </w14:textFill>
        </w:rPr>
        <w:t>竞争性磋商公告</w:t>
      </w:r>
      <w:bookmarkEnd w:id="1"/>
      <w:bookmarkEnd w:id="2"/>
      <w:bookmarkStart w:id="3" w:name="_Toc31306"/>
      <w:bookmarkStart w:id="4" w:name="_Toc28093"/>
      <w:bookmarkStart w:id="5" w:name="_Toc458617730"/>
      <w:bookmarkStart w:id="6" w:name="_Toc4911"/>
      <w:bookmarkStart w:id="7" w:name="_Toc458617453"/>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7377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14:paraId="32318CD1">
            <w:pPr>
              <w:widowControl/>
              <w:wordWrap w:val="0"/>
              <w:spacing w:line="560" w:lineRule="exact"/>
              <w:jc w:val="left"/>
              <w:rPr>
                <w:rFonts w:hint="eastAsia" w:asciiTheme="majorEastAsia" w:hAnsiTheme="majorEastAsia" w:eastAsiaTheme="majorEastAsia" w:cstheme="majorEastAsia"/>
                <w:sz w:val="24"/>
                <w:szCs w:val="24"/>
                <w:highlight w:val="none"/>
              </w:rPr>
            </w:pPr>
            <w:r>
              <w:rPr>
                <w:rStyle w:val="40"/>
                <w:rFonts w:hint="eastAsia" w:asciiTheme="majorEastAsia" w:hAnsiTheme="majorEastAsia" w:eastAsiaTheme="majorEastAsia" w:cstheme="majorEastAsia"/>
                <w:sz w:val="24"/>
                <w:szCs w:val="24"/>
                <w:highlight w:val="none"/>
                <w:shd w:val="clear" w:color="auto" w:fill="FFFFFF"/>
              </w:rPr>
              <w:t>项目概况</w:t>
            </w:r>
          </w:p>
          <w:p w14:paraId="49ED9BC8">
            <w:pPr>
              <w:pStyle w:val="32"/>
              <w:widowControl/>
              <w:wordWrap w:val="0"/>
              <w:spacing w:line="560" w:lineRule="exact"/>
              <w:ind w:firstLine="480"/>
              <w:jc w:val="both"/>
              <w:rPr>
                <w:rStyle w:val="40"/>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eastAsia="zh-CN"/>
              </w:rPr>
              <w:t>千阳县民政局适老化改造项目</w:t>
            </w:r>
            <w:r>
              <w:rPr>
                <w:rFonts w:hint="eastAsia" w:asciiTheme="majorEastAsia" w:hAnsiTheme="majorEastAsia" w:eastAsiaTheme="majorEastAsia" w:cstheme="majorEastAsia"/>
                <w:sz w:val="24"/>
                <w:szCs w:val="24"/>
                <w:highlight w:val="none"/>
                <w:shd w:val="clear" w:color="auto" w:fill="FFFFFF"/>
              </w:rPr>
              <w:t>采购项目的潜在供应商应在</w:t>
            </w:r>
            <w:r>
              <w:rPr>
                <w:rFonts w:hint="eastAsia" w:ascii="宋体" w:hAnsi="宋体" w:eastAsia="宋体" w:cs="宋体"/>
                <w:color w:val="000000" w:themeColor="text1"/>
                <w:szCs w:val="24"/>
                <w:highlight w:val="none"/>
                <w:lang w:eastAsia="zh-CN"/>
                <w14:textFill>
                  <w14:solidFill>
                    <w14:schemeClr w14:val="tx1"/>
                  </w14:solidFill>
                </w14:textFill>
              </w:rPr>
              <w:t>宝鸡市金台区行政大道海棠风尚1603室</w:t>
            </w:r>
            <w:r>
              <w:rPr>
                <w:rFonts w:hint="eastAsia" w:asciiTheme="majorEastAsia" w:hAnsiTheme="majorEastAsia" w:eastAsiaTheme="majorEastAsia" w:cstheme="majorEastAsia"/>
                <w:sz w:val="24"/>
                <w:szCs w:val="24"/>
                <w:highlight w:val="none"/>
                <w:shd w:val="clear" w:color="auto" w:fill="FFFFFF"/>
              </w:rPr>
              <w:t>获取采购文件，并于202</w:t>
            </w:r>
            <w:r>
              <w:rPr>
                <w:rFonts w:hint="eastAsia" w:asciiTheme="majorEastAsia" w:hAnsiTheme="majorEastAsia" w:eastAsiaTheme="majorEastAsia" w:cstheme="majorEastAsia"/>
                <w:sz w:val="24"/>
                <w:szCs w:val="24"/>
                <w:highlight w:val="none"/>
                <w:shd w:val="clear" w:color="auto" w:fill="FFFFFF"/>
                <w:lang w:val="en-US" w:eastAsia="zh-CN"/>
              </w:rPr>
              <w:t>6</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01</w:t>
            </w:r>
            <w:r>
              <w:rPr>
                <w:rFonts w:hint="eastAsia" w:asciiTheme="majorEastAsia" w:hAnsiTheme="majorEastAsia" w:eastAsiaTheme="majorEastAsia" w:cstheme="majorEastAsia"/>
                <w:sz w:val="24"/>
                <w:szCs w:val="24"/>
                <w:highlight w:val="none"/>
                <w:shd w:val="clear" w:color="auto" w:fill="FFFFFF"/>
              </w:rPr>
              <w:t>月</w:t>
            </w:r>
            <w:r>
              <w:rPr>
                <w:rFonts w:hint="eastAsia" w:asciiTheme="majorEastAsia" w:hAnsiTheme="majorEastAsia" w:eastAsiaTheme="majorEastAsia" w:cstheme="majorEastAsia"/>
                <w:sz w:val="24"/>
                <w:szCs w:val="24"/>
                <w:highlight w:val="none"/>
                <w:shd w:val="clear" w:color="auto" w:fill="FFFFFF"/>
                <w:lang w:val="en-US" w:eastAsia="zh-CN"/>
              </w:rPr>
              <w:t>15</w:t>
            </w:r>
            <w:r>
              <w:rPr>
                <w:rFonts w:hint="eastAsia" w:asciiTheme="majorEastAsia" w:hAnsiTheme="majorEastAsia" w:eastAsiaTheme="majorEastAsia" w:cstheme="majorEastAsia"/>
                <w:sz w:val="24"/>
                <w:szCs w:val="24"/>
                <w:highlight w:val="none"/>
                <w:shd w:val="clear" w:color="auto" w:fill="FFFFFF"/>
              </w:rPr>
              <w:t>日</w:t>
            </w:r>
            <w:r>
              <w:rPr>
                <w:rFonts w:hint="eastAsia" w:asciiTheme="majorEastAsia" w:hAnsiTheme="majorEastAsia" w:eastAsiaTheme="majorEastAsia" w:cstheme="majorEastAsia"/>
                <w:sz w:val="24"/>
                <w:szCs w:val="24"/>
                <w:highlight w:val="none"/>
                <w:shd w:val="clear" w:color="auto" w:fill="FFFFFF"/>
                <w:lang w:val="en-US" w:eastAsia="zh-CN"/>
              </w:rPr>
              <w:t>14</w:t>
            </w:r>
            <w:r>
              <w:rPr>
                <w:rFonts w:hint="eastAsia" w:asciiTheme="majorEastAsia" w:hAnsiTheme="majorEastAsia" w:eastAsiaTheme="majorEastAsia" w:cstheme="majorEastAsia"/>
                <w:sz w:val="24"/>
                <w:szCs w:val="24"/>
                <w:highlight w:val="none"/>
                <w:shd w:val="clear" w:color="auto" w:fill="FFFFFF"/>
              </w:rPr>
              <w:t>时</w:t>
            </w:r>
            <w:r>
              <w:rPr>
                <w:rFonts w:hint="eastAsia" w:asciiTheme="majorEastAsia" w:hAnsiTheme="majorEastAsia" w:eastAsiaTheme="majorEastAsia" w:cstheme="majorEastAsia"/>
                <w:sz w:val="24"/>
                <w:szCs w:val="24"/>
                <w:highlight w:val="none"/>
                <w:shd w:val="clear" w:color="auto" w:fill="FFFFFF"/>
                <w:lang w:val="en-US" w:eastAsia="zh-CN"/>
              </w:rPr>
              <w:t>30</w:t>
            </w:r>
            <w:r>
              <w:rPr>
                <w:rFonts w:hint="eastAsia" w:asciiTheme="majorEastAsia" w:hAnsiTheme="majorEastAsia" w:eastAsiaTheme="majorEastAsia" w:cstheme="majorEastAsia"/>
                <w:sz w:val="24"/>
                <w:szCs w:val="24"/>
                <w:highlight w:val="none"/>
                <w:shd w:val="clear" w:color="auto" w:fill="FFFFFF"/>
              </w:rPr>
              <w:t>分（北京时间）前提交响应文件。</w:t>
            </w:r>
          </w:p>
        </w:tc>
      </w:tr>
    </w:tbl>
    <w:p w14:paraId="53A43D25">
      <w:pPr>
        <w:widowControl/>
        <w:numPr>
          <w:ilvl w:val="3"/>
          <w:numId w:val="0"/>
        </w:numPr>
        <w:wordWrap w:val="0"/>
        <w:spacing w:line="560" w:lineRule="exact"/>
        <w:jc w:val="left"/>
        <w:rPr>
          <w:rFonts w:hint="eastAsia" w:asciiTheme="majorEastAsia" w:hAnsiTheme="majorEastAsia" w:eastAsiaTheme="majorEastAsia" w:cstheme="majorEastAsia"/>
          <w:sz w:val="24"/>
          <w:szCs w:val="24"/>
          <w:highlight w:val="none"/>
        </w:rPr>
      </w:pPr>
      <w:r>
        <w:rPr>
          <w:rStyle w:val="40"/>
          <w:rFonts w:hint="eastAsia" w:asciiTheme="majorEastAsia" w:hAnsiTheme="majorEastAsia" w:eastAsiaTheme="majorEastAsia" w:cstheme="majorEastAsia"/>
          <w:sz w:val="24"/>
          <w:szCs w:val="24"/>
          <w:highlight w:val="none"/>
          <w:shd w:val="clear" w:color="auto" w:fill="FFFFFF"/>
        </w:rPr>
        <w:t>一、项目基本情况</w:t>
      </w:r>
    </w:p>
    <w:p w14:paraId="1C68EC47">
      <w:pPr>
        <w:pStyle w:val="32"/>
        <w:widowControl/>
        <w:wordWrap w:val="0"/>
        <w:spacing w:line="560" w:lineRule="exact"/>
        <w:ind w:firstLine="480" w:firstLineChars="200"/>
        <w:jc w:val="both"/>
        <w:rPr>
          <w:rStyle w:val="40"/>
          <w:rFonts w:hint="eastAsia" w:asciiTheme="majorEastAsia" w:hAnsiTheme="majorEastAsia" w:eastAsiaTheme="majorEastAsia" w:cstheme="majorEastAsia"/>
          <w:b w:val="0"/>
          <w:bCs w:val="0"/>
          <w:sz w:val="24"/>
          <w:szCs w:val="24"/>
          <w:highlight w:val="none"/>
          <w:shd w:val="clear" w:color="auto" w:fill="FFFFFF"/>
          <w:lang w:eastAsia="zh-CN"/>
        </w:rPr>
      </w:pPr>
      <w:r>
        <w:rPr>
          <w:rStyle w:val="40"/>
          <w:rFonts w:hint="eastAsia" w:asciiTheme="majorEastAsia" w:hAnsiTheme="majorEastAsia" w:eastAsiaTheme="majorEastAsia" w:cstheme="majorEastAsia"/>
          <w:b w:val="0"/>
          <w:bCs w:val="0"/>
          <w:sz w:val="24"/>
          <w:szCs w:val="24"/>
          <w:highlight w:val="none"/>
          <w:shd w:val="clear" w:color="auto" w:fill="FFFFFF"/>
        </w:rPr>
        <w:t>项目编号：</w:t>
      </w:r>
      <w:r>
        <w:rPr>
          <w:rStyle w:val="40"/>
          <w:rFonts w:hint="eastAsia" w:asciiTheme="majorEastAsia" w:hAnsiTheme="majorEastAsia" w:eastAsiaTheme="majorEastAsia" w:cstheme="majorEastAsia"/>
          <w:b w:val="0"/>
          <w:bCs w:val="0"/>
          <w:sz w:val="24"/>
          <w:szCs w:val="24"/>
          <w:highlight w:val="none"/>
          <w:shd w:val="clear" w:color="auto" w:fill="FFFFFF"/>
          <w:lang w:eastAsia="zh-CN"/>
        </w:rPr>
        <w:t>SXLH2025(031)CG</w:t>
      </w:r>
    </w:p>
    <w:p w14:paraId="2CCA2838">
      <w:pPr>
        <w:pStyle w:val="32"/>
        <w:widowControl/>
        <w:wordWrap w:val="0"/>
        <w:spacing w:line="560" w:lineRule="exact"/>
        <w:ind w:firstLine="480" w:firstLineChars="200"/>
        <w:jc w:val="both"/>
        <w:rPr>
          <w:rStyle w:val="40"/>
          <w:rFonts w:hint="eastAsia" w:asciiTheme="majorEastAsia" w:hAnsiTheme="majorEastAsia" w:eastAsiaTheme="majorEastAsia" w:cstheme="majorEastAsia"/>
          <w:b w:val="0"/>
          <w:bCs w:val="0"/>
          <w:sz w:val="24"/>
          <w:szCs w:val="24"/>
          <w:highlight w:val="none"/>
          <w:shd w:val="clear" w:color="auto" w:fill="FFFFFF"/>
          <w:lang w:eastAsia="zh-CN"/>
        </w:rPr>
      </w:pPr>
      <w:r>
        <w:rPr>
          <w:rStyle w:val="40"/>
          <w:rFonts w:hint="eastAsia" w:asciiTheme="majorEastAsia" w:hAnsiTheme="majorEastAsia" w:eastAsiaTheme="majorEastAsia" w:cstheme="majorEastAsia"/>
          <w:b w:val="0"/>
          <w:bCs w:val="0"/>
          <w:sz w:val="24"/>
          <w:szCs w:val="24"/>
          <w:highlight w:val="none"/>
          <w:shd w:val="clear" w:color="auto" w:fill="FFFFFF"/>
        </w:rPr>
        <w:t>项目名称：</w:t>
      </w:r>
      <w:r>
        <w:rPr>
          <w:rStyle w:val="40"/>
          <w:rFonts w:hint="eastAsia" w:asciiTheme="majorEastAsia" w:hAnsiTheme="majorEastAsia" w:eastAsiaTheme="majorEastAsia" w:cstheme="majorEastAsia"/>
          <w:b w:val="0"/>
          <w:bCs w:val="0"/>
          <w:sz w:val="24"/>
          <w:szCs w:val="24"/>
          <w:highlight w:val="none"/>
          <w:shd w:val="clear" w:color="auto" w:fill="FFFFFF"/>
          <w:lang w:eastAsia="zh-CN"/>
        </w:rPr>
        <w:t>千阳县民政局适老化改造项目</w:t>
      </w:r>
    </w:p>
    <w:p w14:paraId="4020DC05">
      <w:pPr>
        <w:pStyle w:val="32"/>
        <w:widowControl/>
        <w:wordWrap w:val="0"/>
        <w:spacing w:line="560" w:lineRule="exact"/>
        <w:ind w:firstLine="480" w:firstLineChars="200"/>
        <w:jc w:val="both"/>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rPr>
        <w:t>采购方式：竞争性磋商</w:t>
      </w:r>
    </w:p>
    <w:p w14:paraId="7E45FE33">
      <w:pPr>
        <w:pStyle w:val="32"/>
        <w:widowControl/>
        <w:wordWrap w:val="0"/>
        <w:spacing w:line="560" w:lineRule="exact"/>
        <w:ind w:firstLine="480" w:firstLineChars="200"/>
        <w:jc w:val="both"/>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rPr>
        <w:t>预算金额：</w:t>
      </w: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140</w:t>
      </w:r>
      <w:r>
        <w:rPr>
          <w:rStyle w:val="40"/>
          <w:rFonts w:hint="eastAsia" w:asciiTheme="majorEastAsia" w:hAnsiTheme="majorEastAsia" w:eastAsiaTheme="majorEastAsia" w:cstheme="majorEastAsia"/>
          <w:b w:val="0"/>
          <w:bCs w:val="0"/>
          <w:sz w:val="24"/>
          <w:szCs w:val="24"/>
          <w:highlight w:val="none"/>
          <w:shd w:val="clear" w:color="auto" w:fill="FFFFFF"/>
        </w:rPr>
        <w:t>,000.00元</w:t>
      </w:r>
    </w:p>
    <w:p w14:paraId="4F0BDA9F">
      <w:pPr>
        <w:pStyle w:val="32"/>
        <w:widowControl/>
        <w:wordWrap w:val="0"/>
        <w:spacing w:line="560" w:lineRule="exact"/>
        <w:ind w:firstLine="480" w:firstLineChars="200"/>
        <w:jc w:val="both"/>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rPr>
        <w:t>采购需求：</w:t>
      </w:r>
    </w:p>
    <w:p w14:paraId="48CE32E6">
      <w:pPr>
        <w:pStyle w:val="32"/>
        <w:widowControl/>
        <w:wordWrap w:val="0"/>
        <w:spacing w:line="560" w:lineRule="exact"/>
        <w:ind w:firstLine="480" w:firstLineChars="200"/>
        <w:jc w:val="both"/>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rPr>
        <w:t>合同包1(</w:t>
      </w:r>
      <w:r>
        <w:rPr>
          <w:rStyle w:val="40"/>
          <w:rFonts w:hint="eastAsia" w:asciiTheme="majorEastAsia" w:hAnsiTheme="majorEastAsia" w:eastAsiaTheme="majorEastAsia" w:cstheme="majorEastAsia"/>
          <w:b w:val="0"/>
          <w:bCs w:val="0"/>
          <w:sz w:val="24"/>
          <w:szCs w:val="24"/>
          <w:highlight w:val="none"/>
          <w:shd w:val="clear" w:color="auto" w:fill="FFFFFF"/>
          <w:lang w:eastAsia="zh-CN"/>
        </w:rPr>
        <w:t>千阳县民政局适老化改造项目</w:t>
      </w:r>
      <w:r>
        <w:rPr>
          <w:rStyle w:val="40"/>
          <w:rFonts w:hint="eastAsia" w:asciiTheme="majorEastAsia" w:hAnsiTheme="majorEastAsia" w:eastAsiaTheme="majorEastAsia" w:cstheme="majorEastAsia"/>
          <w:b w:val="0"/>
          <w:bCs w:val="0"/>
          <w:sz w:val="24"/>
          <w:szCs w:val="24"/>
          <w:highlight w:val="none"/>
          <w:shd w:val="clear" w:color="auto" w:fill="FFFFFF"/>
        </w:rPr>
        <w:t>):</w:t>
      </w:r>
    </w:p>
    <w:p w14:paraId="396E829C">
      <w:pPr>
        <w:pStyle w:val="32"/>
        <w:widowControl/>
        <w:wordWrap w:val="0"/>
        <w:spacing w:line="560" w:lineRule="exact"/>
        <w:ind w:firstLine="480" w:firstLineChars="200"/>
        <w:jc w:val="both"/>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rPr>
        <w:t>合同包预算金额：</w:t>
      </w: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140</w:t>
      </w:r>
      <w:r>
        <w:rPr>
          <w:rStyle w:val="40"/>
          <w:rFonts w:hint="eastAsia" w:asciiTheme="majorEastAsia" w:hAnsiTheme="majorEastAsia" w:eastAsiaTheme="majorEastAsia" w:cstheme="majorEastAsia"/>
          <w:b w:val="0"/>
          <w:bCs w:val="0"/>
          <w:sz w:val="24"/>
          <w:szCs w:val="24"/>
          <w:highlight w:val="none"/>
          <w:shd w:val="clear" w:color="auto" w:fill="FFFFFF"/>
        </w:rPr>
        <w:t>,000.00元</w:t>
      </w:r>
    </w:p>
    <w:p w14:paraId="00FE0EB1">
      <w:pPr>
        <w:pStyle w:val="32"/>
        <w:widowControl/>
        <w:wordWrap w:val="0"/>
        <w:spacing w:line="560" w:lineRule="exact"/>
        <w:ind w:firstLine="480" w:firstLineChars="200"/>
        <w:jc w:val="both"/>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rPr>
        <w:t>合同包</w:t>
      </w: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最高限价</w:t>
      </w:r>
      <w:r>
        <w:rPr>
          <w:rStyle w:val="40"/>
          <w:rFonts w:hint="eastAsia" w:asciiTheme="majorEastAsia" w:hAnsiTheme="majorEastAsia" w:eastAsiaTheme="majorEastAsia" w:cstheme="majorEastAsia"/>
          <w:b w:val="0"/>
          <w:bCs w:val="0"/>
          <w:sz w:val="24"/>
          <w:szCs w:val="24"/>
          <w:highlight w:val="none"/>
          <w:shd w:val="clear" w:color="auto" w:fill="FFFFFF"/>
        </w:rPr>
        <w:t>：</w:t>
      </w: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140</w:t>
      </w:r>
      <w:r>
        <w:rPr>
          <w:rStyle w:val="40"/>
          <w:rFonts w:hint="eastAsia" w:asciiTheme="majorEastAsia" w:hAnsiTheme="majorEastAsia" w:eastAsiaTheme="majorEastAsia" w:cstheme="majorEastAsia"/>
          <w:b w:val="0"/>
          <w:bCs w:val="0"/>
          <w:sz w:val="24"/>
          <w:szCs w:val="24"/>
          <w:highlight w:val="none"/>
          <w:shd w:val="clear" w:color="auto" w:fill="FFFFFF"/>
        </w:rPr>
        <w:t>,000.00元</w:t>
      </w:r>
    </w:p>
    <w:tbl>
      <w:tblPr>
        <w:tblStyle w:val="37"/>
        <w:tblW w:w="921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9"/>
        <w:gridCol w:w="1524"/>
        <w:gridCol w:w="2223"/>
        <w:gridCol w:w="1136"/>
        <w:gridCol w:w="1872"/>
        <w:gridCol w:w="1631"/>
      </w:tblGrid>
      <w:tr w14:paraId="321B50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49" w:hRule="atLeast"/>
          <w:tblHeader/>
          <w:jc w:val="center"/>
        </w:trPr>
        <w:tc>
          <w:tcPr>
            <w:tcW w:w="8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378AE5">
            <w:pPr>
              <w:pStyle w:val="32"/>
              <w:keepNext w:val="0"/>
              <w:keepLines w:val="0"/>
              <w:pageBreakBefore w:val="0"/>
              <w:widowControl/>
              <w:kinsoku/>
              <w:wordWrap w:val="0"/>
              <w:overflowPunct/>
              <w:topLinePunct w:val="0"/>
              <w:autoSpaceDE/>
              <w:autoSpaceDN/>
              <w:bidi w:val="0"/>
              <w:adjustRightInd/>
              <w:snapToGrid/>
              <w:spacing w:line="240" w:lineRule="auto"/>
              <w:jc w:val="center"/>
              <w:textAlignment w:val="auto"/>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品目号</w:t>
            </w:r>
          </w:p>
        </w:tc>
        <w:tc>
          <w:tcPr>
            <w:tcW w:w="15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1F9C28">
            <w:pPr>
              <w:pStyle w:val="32"/>
              <w:keepNext w:val="0"/>
              <w:keepLines w:val="0"/>
              <w:pageBreakBefore w:val="0"/>
              <w:widowControl/>
              <w:kinsoku/>
              <w:wordWrap w:val="0"/>
              <w:overflowPunct/>
              <w:topLinePunct w:val="0"/>
              <w:autoSpaceDE/>
              <w:autoSpaceDN/>
              <w:bidi w:val="0"/>
              <w:adjustRightInd/>
              <w:snapToGrid/>
              <w:spacing w:line="240" w:lineRule="auto"/>
              <w:jc w:val="center"/>
              <w:textAlignment w:val="auto"/>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品目名称</w:t>
            </w:r>
          </w:p>
        </w:tc>
        <w:tc>
          <w:tcPr>
            <w:tcW w:w="22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BFD477">
            <w:pPr>
              <w:pStyle w:val="32"/>
              <w:keepNext w:val="0"/>
              <w:keepLines w:val="0"/>
              <w:pageBreakBefore w:val="0"/>
              <w:widowControl/>
              <w:kinsoku/>
              <w:wordWrap w:val="0"/>
              <w:overflowPunct/>
              <w:topLinePunct w:val="0"/>
              <w:autoSpaceDE/>
              <w:autoSpaceDN/>
              <w:bidi w:val="0"/>
              <w:adjustRightInd/>
              <w:snapToGrid/>
              <w:spacing w:line="240" w:lineRule="auto"/>
              <w:jc w:val="center"/>
              <w:textAlignment w:val="auto"/>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采购标的</w:t>
            </w:r>
          </w:p>
        </w:tc>
        <w:tc>
          <w:tcPr>
            <w:tcW w:w="11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A91540">
            <w:pPr>
              <w:pStyle w:val="32"/>
              <w:keepNext w:val="0"/>
              <w:keepLines w:val="0"/>
              <w:pageBreakBefore w:val="0"/>
              <w:widowControl/>
              <w:kinsoku/>
              <w:wordWrap w:val="0"/>
              <w:overflowPunct/>
              <w:topLinePunct w:val="0"/>
              <w:autoSpaceDE/>
              <w:autoSpaceDN/>
              <w:bidi w:val="0"/>
              <w:adjustRightInd/>
              <w:snapToGrid/>
              <w:spacing w:line="240" w:lineRule="auto"/>
              <w:jc w:val="center"/>
              <w:textAlignment w:val="auto"/>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pP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数量</w:t>
            </w:r>
          </w:p>
          <w:p w14:paraId="5F3F23EC">
            <w:pPr>
              <w:pStyle w:val="32"/>
              <w:keepNext w:val="0"/>
              <w:keepLines w:val="0"/>
              <w:pageBreakBefore w:val="0"/>
              <w:widowControl/>
              <w:kinsoku/>
              <w:wordWrap w:val="0"/>
              <w:overflowPunct/>
              <w:topLinePunct w:val="0"/>
              <w:autoSpaceDE/>
              <w:autoSpaceDN/>
              <w:bidi w:val="0"/>
              <w:adjustRightInd/>
              <w:snapToGrid/>
              <w:spacing w:line="240" w:lineRule="auto"/>
              <w:jc w:val="center"/>
              <w:textAlignment w:val="auto"/>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（单位）</w:t>
            </w:r>
          </w:p>
        </w:tc>
        <w:tc>
          <w:tcPr>
            <w:tcW w:w="18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3E59F8">
            <w:pPr>
              <w:pStyle w:val="32"/>
              <w:keepNext w:val="0"/>
              <w:keepLines w:val="0"/>
              <w:pageBreakBefore w:val="0"/>
              <w:widowControl/>
              <w:kinsoku/>
              <w:wordWrap w:val="0"/>
              <w:overflowPunct/>
              <w:topLinePunct w:val="0"/>
              <w:autoSpaceDE/>
              <w:autoSpaceDN/>
              <w:bidi w:val="0"/>
              <w:adjustRightInd/>
              <w:snapToGrid/>
              <w:spacing w:line="240" w:lineRule="auto"/>
              <w:jc w:val="center"/>
              <w:textAlignment w:val="auto"/>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技术规格、参数及要求</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D1B78B">
            <w:pPr>
              <w:pStyle w:val="32"/>
              <w:keepNext w:val="0"/>
              <w:keepLines w:val="0"/>
              <w:pageBreakBefore w:val="0"/>
              <w:widowControl/>
              <w:kinsoku/>
              <w:wordWrap w:val="0"/>
              <w:overflowPunct/>
              <w:topLinePunct w:val="0"/>
              <w:autoSpaceDE/>
              <w:autoSpaceDN/>
              <w:bidi w:val="0"/>
              <w:adjustRightInd/>
              <w:snapToGrid/>
              <w:spacing w:line="240" w:lineRule="auto"/>
              <w:jc w:val="center"/>
              <w:textAlignment w:val="auto"/>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品目预算(元)</w:t>
            </w:r>
          </w:p>
        </w:tc>
      </w:tr>
      <w:tr w14:paraId="25FB03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6" w:hRule="atLeast"/>
          <w:jc w:val="center"/>
        </w:trPr>
        <w:tc>
          <w:tcPr>
            <w:tcW w:w="8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0DD35C">
            <w:pPr>
              <w:pStyle w:val="32"/>
              <w:keepNext w:val="0"/>
              <w:keepLines w:val="0"/>
              <w:pageBreakBefore w:val="0"/>
              <w:widowControl/>
              <w:kinsoku/>
              <w:wordWrap w:val="0"/>
              <w:overflowPunct/>
              <w:topLinePunct w:val="0"/>
              <w:autoSpaceDE/>
              <w:autoSpaceDN/>
              <w:bidi w:val="0"/>
              <w:adjustRightInd/>
              <w:snapToGrid/>
              <w:spacing w:line="240" w:lineRule="auto"/>
              <w:jc w:val="center"/>
              <w:textAlignment w:val="auto"/>
              <w:rPr>
                <w:rStyle w:val="40"/>
                <w:rFonts w:hint="default" w:asciiTheme="majorEastAsia" w:hAnsiTheme="majorEastAsia" w:eastAsiaTheme="majorEastAsia" w:cstheme="majorEastAsia"/>
                <w:b w:val="0"/>
                <w:bCs w:val="0"/>
                <w:sz w:val="24"/>
                <w:szCs w:val="24"/>
                <w:highlight w:val="none"/>
                <w:shd w:val="clear" w:color="auto" w:fill="FFFFFF"/>
                <w:lang w:val="en-US"/>
              </w:rPr>
            </w:pP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1-1</w:t>
            </w:r>
          </w:p>
        </w:tc>
        <w:tc>
          <w:tcPr>
            <w:tcW w:w="15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64397B">
            <w:pPr>
              <w:pStyle w:val="32"/>
              <w:keepNext w:val="0"/>
              <w:keepLines w:val="0"/>
              <w:pageBreakBefore w:val="0"/>
              <w:widowControl/>
              <w:kinsoku/>
              <w:wordWrap w:val="0"/>
              <w:overflowPunct/>
              <w:topLinePunct w:val="0"/>
              <w:autoSpaceDE/>
              <w:autoSpaceDN/>
              <w:bidi w:val="0"/>
              <w:adjustRightInd/>
              <w:snapToGrid/>
              <w:spacing w:line="240" w:lineRule="auto"/>
              <w:jc w:val="center"/>
              <w:textAlignment w:val="auto"/>
              <w:rPr>
                <w:rStyle w:val="40"/>
                <w:rFonts w:hint="default" w:asciiTheme="majorEastAsia" w:hAnsiTheme="majorEastAsia" w:eastAsiaTheme="majorEastAsia" w:cstheme="majorEastAsia"/>
                <w:b w:val="0"/>
                <w:bCs w:val="0"/>
                <w:sz w:val="24"/>
                <w:szCs w:val="24"/>
                <w:highlight w:val="none"/>
                <w:shd w:val="clear" w:color="auto" w:fill="FFFFFF"/>
                <w:lang w:val="en-US" w:eastAsia="zh-CN"/>
              </w:rPr>
            </w:pP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房屋附属设施施工</w:t>
            </w:r>
          </w:p>
        </w:tc>
        <w:tc>
          <w:tcPr>
            <w:tcW w:w="22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F42314">
            <w:pPr>
              <w:pStyle w:val="32"/>
              <w:keepNext w:val="0"/>
              <w:keepLines w:val="0"/>
              <w:pageBreakBefore w:val="0"/>
              <w:widowControl/>
              <w:kinsoku/>
              <w:wordWrap w:val="0"/>
              <w:overflowPunct/>
              <w:topLinePunct w:val="0"/>
              <w:autoSpaceDE/>
              <w:autoSpaceDN/>
              <w:bidi w:val="0"/>
              <w:adjustRightInd/>
              <w:snapToGrid/>
              <w:spacing w:line="240" w:lineRule="auto"/>
              <w:jc w:val="center"/>
              <w:textAlignment w:val="auto"/>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lang w:eastAsia="zh-CN"/>
              </w:rPr>
              <w:t>千阳县民政局适老化改造项目</w:t>
            </w:r>
          </w:p>
        </w:tc>
        <w:tc>
          <w:tcPr>
            <w:tcW w:w="11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4A8308">
            <w:pPr>
              <w:pStyle w:val="32"/>
              <w:keepNext w:val="0"/>
              <w:keepLines w:val="0"/>
              <w:pageBreakBefore w:val="0"/>
              <w:widowControl/>
              <w:kinsoku/>
              <w:wordWrap w:val="0"/>
              <w:overflowPunct/>
              <w:topLinePunct w:val="0"/>
              <w:autoSpaceDE/>
              <w:autoSpaceDN/>
              <w:bidi w:val="0"/>
              <w:adjustRightInd/>
              <w:snapToGrid/>
              <w:spacing w:line="240" w:lineRule="auto"/>
              <w:jc w:val="center"/>
              <w:textAlignment w:val="auto"/>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1(项)</w:t>
            </w:r>
          </w:p>
        </w:tc>
        <w:tc>
          <w:tcPr>
            <w:tcW w:w="18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0478CA">
            <w:pPr>
              <w:pStyle w:val="32"/>
              <w:keepNext w:val="0"/>
              <w:keepLines w:val="0"/>
              <w:pageBreakBefore w:val="0"/>
              <w:widowControl/>
              <w:kinsoku/>
              <w:wordWrap w:val="0"/>
              <w:overflowPunct/>
              <w:topLinePunct w:val="0"/>
              <w:autoSpaceDE/>
              <w:autoSpaceDN/>
              <w:bidi w:val="0"/>
              <w:adjustRightInd/>
              <w:snapToGrid/>
              <w:spacing w:line="240" w:lineRule="auto"/>
              <w:jc w:val="center"/>
              <w:textAlignment w:val="auto"/>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详见采购文件</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63FB44">
            <w:pPr>
              <w:pStyle w:val="32"/>
              <w:keepNext w:val="0"/>
              <w:keepLines w:val="0"/>
              <w:pageBreakBefore w:val="0"/>
              <w:widowControl/>
              <w:kinsoku/>
              <w:wordWrap w:val="0"/>
              <w:overflowPunct/>
              <w:topLinePunct w:val="0"/>
              <w:autoSpaceDE/>
              <w:autoSpaceDN/>
              <w:bidi w:val="0"/>
              <w:adjustRightInd/>
              <w:snapToGrid/>
              <w:spacing w:line="240" w:lineRule="auto"/>
              <w:jc w:val="center"/>
              <w:textAlignment w:val="auto"/>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140</w:t>
            </w:r>
            <w:r>
              <w:rPr>
                <w:rStyle w:val="40"/>
                <w:rFonts w:hint="eastAsia" w:asciiTheme="majorEastAsia" w:hAnsiTheme="majorEastAsia" w:eastAsiaTheme="majorEastAsia" w:cstheme="majorEastAsia"/>
                <w:b w:val="0"/>
                <w:bCs w:val="0"/>
                <w:sz w:val="24"/>
                <w:szCs w:val="24"/>
                <w:highlight w:val="none"/>
                <w:shd w:val="clear" w:color="auto" w:fill="FFFFFF"/>
              </w:rPr>
              <w:t>000.00</w:t>
            </w:r>
          </w:p>
        </w:tc>
      </w:tr>
    </w:tbl>
    <w:p w14:paraId="6F0B9859">
      <w:pPr>
        <w:pStyle w:val="32"/>
        <w:widowControl/>
        <w:wordWrap w:val="0"/>
        <w:spacing w:line="560" w:lineRule="exact"/>
        <w:ind w:firstLine="480" w:firstLineChars="200"/>
        <w:jc w:val="both"/>
        <w:rPr>
          <w:rStyle w:val="40"/>
          <w:rFonts w:hint="eastAsia" w:asciiTheme="majorEastAsia" w:hAnsiTheme="majorEastAsia" w:eastAsiaTheme="majorEastAsia" w:cstheme="majorEastAsia"/>
          <w:b w:val="0"/>
          <w:bCs w:val="0"/>
          <w:sz w:val="24"/>
          <w:szCs w:val="24"/>
          <w:highlight w:val="none"/>
          <w:shd w:val="clear" w:color="auto" w:fill="FFFFFF"/>
        </w:rPr>
      </w:pPr>
      <w:r>
        <w:rPr>
          <w:rStyle w:val="40"/>
          <w:rFonts w:hint="eastAsia" w:asciiTheme="majorEastAsia" w:hAnsiTheme="majorEastAsia" w:eastAsiaTheme="majorEastAsia" w:cstheme="majorEastAsia"/>
          <w:b w:val="0"/>
          <w:bCs w:val="0"/>
          <w:sz w:val="24"/>
          <w:szCs w:val="24"/>
          <w:highlight w:val="none"/>
          <w:shd w:val="clear" w:color="auto" w:fill="FFFFFF"/>
        </w:rPr>
        <w:t>本合同包</w:t>
      </w: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不</w:t>
      </w:r>
      <w:r>
        <w:rPr>
          <w:rStyle w:val="40"/>
          <w:rFonts w:hint="eastAsia" w:asciiTheme="majorEastAsia" w:hAnsiTheme="majorEastAsia" w:eastAsiaTheme="majorEastAsia" w:cstheme="majorEastAsia"/>
          <w:b w:val="0"/>
          <w:bCs w:val="0"/>
          <w:sz w:val="24"/>
          <w:szCs w:val="24"/>
          <w:highlight w:val="none"/>
          <w:shd w:val="clear" w:color="auto" w:fill="FFFFFF"/>
        </w:rPr>
        <w:t>接受联合体投标</w:t>
      </w:r>
    </w:p>
    <w:p w14:paraId="33EA35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pPr>
      <w:r>
        <w:rPr>
          <w:rStyle w:val="40"/>
          <w:rFonts w:hint="eastAsia" w:asciiTheme="majorEastAsia" w:hAnsiTheme="majorEastAsia" w:eastAsiaTheme="majorEastAsia" w:cstheme="majorEastAsia"/>
          <w:b w:val="0"/>
          <w:bCs w:val="0"/>
          <w:sz w:val="24"/>
          <w:szCs w:val="24"/>
          <w:highlight w:val="none"/>
          <w:shd w:val="clear" w:color="auto" w:fill="FFFFFF"/>
        </w:rPr>
        <w:t>合同履行期限：自签订合同之日起30日历天</w:t>
      </w:r>
      <w:r>
        <w:rPr>
          <w:rStyle w:val="40"/>
          <w:rFonts w:hint="eastAsia" w:asciiTheme="majorEastAsia" w:hAnsiTheme="majorEastAsia" w:eastAsiaTheme="majorEastAsia" w:cstheme="majorEastAsia"/>
          <w:b w:val="0"/>
          <w:bCs w:val="0"/>
          <w:sz w:val="24"/>
          <w:szCs w:val="24"/>
          <w:highlight w:val="none"/>
          <w:shd w:val="clear" w:color="auto" w:fill="FFFFFF"/>
          <w:lang w:val="en-US" w:eastAsia="zh-CN"/>
        </w:rPr>
        <w:t>（具体服务起止日期可随合同签订时间相应顺延）</w:t>
      </w:r>
    </w:p>
    <w:p w14:paraId="4B160D78">
      <w:pPr>
        <w:pStyle w:val="32"/>
        <w:widowControl/>
        <w:wordWrap w:val="0"/>
        <w:spacing w:line="560" w:lineRule="exact"/>
        <w:jc w:val="both"/>
        <w:rPr>
          <w:rFonts w:hint="eastAsia" w:asciiTheme="majorEastAsia" w:hAnsiTheme="majorEastAsia" w:eastAsiaTheme="majorEastAsia" w:cstheme="majorEastAsia"/>
          <w:sz w:val="24"/>
          <w:szCs w:val="24"/>
          <w:highlight w:val="none"/>
        </w:rPr>
      </w:pPr>
      <w:r>
        <w:rPr>
          <w:rStyle w:val="40"/>
          <w:rFonts w:hint="eastAsia" w:asciiTheme="majorEastAsia" w:hAnsiTheme="majorEastAsia" w:eastAsiaTheme="majorEastAsia" w:cstheme="majorEastAsia"/>
          <w:sz w:val="24"/>
          <w:szCs w:val="24"/>
          <w:highlight w:val="none"/>
          <w:shd w:val="clear" w:color="auto" w:fill="FFFFFF"/>
        </w:rPr>
        <w:t>二、申请人的资格要求：</w:t>
      </w:r>
    </w:p>
    <w:p w14:paraId="0A45E7C2">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rPr>
        <w:t>1.满足《中华人民共和国政府采购法》第二十二条规定;</w:t>
      </w:r>
    </w:p>
    <w:p w14:paraId="59A54525">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2.落实政府采购政策需满足的资格要求：</w:t>
      </w:r>
    </w:p>
    <w:p w14:paraId="12E6FB89">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合同包1(</w:t>
      </w:r>
      <w:r>
        <w:rPr>
          <w:rFonts w:hint="eastAsia" w:asciiTheme="majorEastAsia" w:hAnsiTheme="majorEastAsia" w:eastAsiaTheme="majorEastAsia" w:cstheme="majorEastAsia"/>
          <w:sz w:val="24"/>
          <w:szCs w:val="24"/>
          <w:highlight w:val="none"/>
          <w:shd w:val="clear" w:color="auto" w:fill="FFFFFF"/>
          <w:lang w:eastAsia="zh-CN"/>
        </w:rPr>
        <w:t>千阳县民政局适老化改造项目</w:t>
      </w:r>
      <w:r>
        <w:rPr>
          <w:rFonts w:hint="eastAsia" w:asciiTheme="majorEastAsia" w:hAnsiTheme="majorEastAsia" w:eastAsiaTheme="majorEastAsia" w:cstheme="majorEastAsia"/>
          <w:sz w:val="24"/>
          <w:szCs w:val="24"/>
          <w:highlight w:val="none"/>
          <w:shd w:val="clear" w:color="auto" w:fill="FFFFFF"/>
        </w:rPr>
        <w:t>)落实政府采购政策需满足的资格要求如下:</w:t>
      </w:r>
    </w:p>
    <w:p w14:paraId="7F83D367">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（1）《财政部、司法部关于政府采购支持监狱企业发展有关问题的通知》（财库[2014]68号）；</w:t>
      </w:r>
    </w:p>
    <w:p w14:paraId="23D545A8">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（2）《三部门联合发布关于促进残疾人就业政府采购政策的通知》（财库[2017]141号）；</w:t>
      </w:r>
    </w:p>
    <w:p w14:paraId="0138A558">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（3）《政府采购促进中小企业发展管理办法》（财库[2020]46号）；</w:t>
      </w:r>
    </w:p>
    <w:p w14:paraId="31B8FB95">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（4）《关于进一步加大政府采购支持中小企业力度的通知》（财库〔2022〕19号）；</w:t>
      </w:r>
    </w:p>
    <w:p w14:paraId="07487462">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（5）宝鸡市财政局关于中、省《进一步加大政府采购支持中小企业力度的通知》落实措施的通知（宝市财办采（2022）9号）；</w:t>
      </w:r>
    </w:p>
    <w:p w14:paraId="2DD724E5">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（6）《陕西省财政厅关于落实政府采购支持中小企业政策有关事项的通知》（陕财办采函〔2022〕10号）；</w:t>
      </w:r>
    </w:p>
    <w:p w14:paraId="3438A8A6">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（7）关于印发环境标志产品政府采购品目清单的通知（财库〔2019〕18号）；</w:t>
      </w:r>
    </w:p>
    <w:p w14:paraId="137ABF82">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（8）关于印发节能产品政府采购品目清单的通知（财库〔2019〕19号）；</w:t>
      </w:r>
    </w:p>
    <w:p w14:paraId="6FEC5FD2">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（9）《国务院办公厅关于建立政府强制采购节能产品制度的通知》（国办发[2007]51号）；</w:t>
      </w:r>
    </w:p>
    <w:p w14:paraId="5E548D05">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（10）《财政部发展改革委生态环境部市场监管总局关于调整优化节能产品、环境标志产品政府采购执行机制的通知》（财库[2019]9号）；</w:t>
      </w:r>
    </w:p>
    <w:p w14:paraId="64245E87">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（11）《关于发布参与实施政府采购节能产品、环境标志产品认证机构名录的公告》—2019年第16号；</w:t>
      </w:r>
    </w:p>
    <w:p w14:paraId="52BCF234">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（12）《关于运用政府采购政策支持乡村产业振兴的通知》（财库〔2021〕19号）；</w:t>
      </w:r>
    </w:p>
    <w:p w14:paraId="66383D46">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（13）陕西省财政厅关于印发《陕西省中小企业政府采购信用融资办法》（陕财办采[2018]23号）；</w:t>
      </w:r>
    </w:p>
    <w:p w14:paraId="0CEA34BB">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（14）《陕西省财政厅关于加快推进我省中小企业政府采购信用融资工作的通知》（陕财办采〔2020〕15号）；</w:t>
      </w:r>
    </w:p>
    <w:p w14:paraId="0B189A7A">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（15）《陕西省财政厅关于进一步优化政府采购营商环境有关事项的通知》（陕财办采〔2023〕4号）；</w:t>
      </w:r>
    </w:p>
    <w:p w14:paraId="31A4A9EA">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（16）《关于进一步落实政府采购支持中小企业相关政策的通知》(陕财办采(2023)3号)；</w:t>
      </w:r>
    </w:p>
    <w:p w14:paraId="74ECA550">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kern w:val="0"/>
          <w:sz w:val="24"/>
          <w:szCs w:val="24"/>
          <w:highlight w:val="none"/>
          <w:shd w:val="clear" w:color="auto" w:fill="FFFFFF"/>
          <w:lang w:val="en-US" w:eastAsia="zh-Hans" w:bidi="ar-SA"/>
        </w:rPr>
      </w:pPr>
      <w:r>
        <w:rPr>
          <w:rFonts w:hint="eastAsia" w:asciiTheme="majorEastAsia" w:hAnsiTheme="majorEastAsia" w:eastAsiaTheme="majorEastAsia" w:cstheme="majorEastAsia"/>
          <w:kern w:val="0"/>
          <w:sz w:val="24"/>
          <w:szCs w:val="24"/>
          <w:highlight w:val="none"/>
          <w:shd w:val="clear" w:color="auto" w:fill="FFFFFF"/>
          <w:lang w:val="en-US" w:eastAsia="zh-Hans" w:bidi="ar-SA"/>
        </w:rPr>
        <w:t>（17）其他需要落实的政府采购政策。</w:t>
      </w:r>
    </w:p>
    <w:p w14:paraId="01E61726">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3.本项目的特定资格要求：</w:t>
      </w:r>
    </w:p>
    <w:p w14:paraId="28DD1E5C">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合同包1(</w:t>
      </w:r>
      <w:r>
        <w:rPr>
          <w:rFonts w:hint="eastAsia" w:asciiTheme="majorEastAsia" w:hAnsiTheme="majorEastAsia" w:eastAsiaTheme="majorEastAsia" w:cstheme="majorEastAsia"/>
          <w:sz w:val="24"/>
          <w:szCs w:val="24"/>
          <w:highlight w:val="none"/>
          <w:shd w:val="clear" w:color="auto" w:fill="FFFFFF"/>
          <w:lang w:eastAsia="zh-CN"/>
        </w:rPr>
        <w:t>千阳县民政局适老化改造项目</w:t>
      </w:r>
      <w:r>
        <w:rPr>
          <w:rFonts w:hint="eastAsia" w:asciiTheme="majorEastAsia" w:hAnsiTheme="majorEastAsia" w:eastAsiaTheme="majorEastAsia" w:cstheme="majorEastAsia"/>
          <w:sz w:val="24"/>
          <w:szCs w:val="24"/>
          <w:highlight w:val="none"/>
          <w:shd w:val="clear" w:color="auto" w:fill="FFFFFF"/>
        </w:rPr>
        <w:t>)特定资格要求如下:</w:t>
      </w:r>
    </w:p>
    <w:p w14:paraId="0C6C9009">
      <w:pPr>
        <w:pStyle w:val="32"/>
        <w:widowControl/>
        <w:numPr>
          <w:ilvl w:val="0"/>
          <w:numId w:val="0"/>
        </w:numPr>
        <w:wordWrap w:val="0"/>
        <w:spacing w:line="560" w:lineRule="exact"/>
        <w:ind w:firstLine="480" w:firstLineChars="200"/>
        <w:jc w:val="both"/>
        <w:rPr>
          <w:rFonts w:hint="eastAsia"/>
          <w:highlight w:val="none"/>
        </w:rPr>
      </w:pPr>
      <w:r>
        <w:rPr>
          <w:rFonts w:hint="eastAsia" w:asciiTheme="majorEastAsia" w:hAnsiTheme="majorEastAsia" w:eastAsiaTheme="majorEastAsia" w:cstheme="majorEastAsia"/>
          <w:sz w:val="24"/>
          <w:szCs w:val="24"/>
          <w:highlight w:val="none"/>
          <w:shd w:val="clear" w:color="auto" w:fill="FFFFFF"/>
          <w:lang w:val="en-US" w:eastAsia="zh-CN"/>
        </w:rPr>
        <w:t>1）</w:t>
      </w:r>
      <w:r>
        <w:rPr>
          <w:rFonts w:hint="eastAsia" w:asciiTheme="majorEastAsia" w:hAnsiTheme="majorEastAsia" w:eastAsiaTheme="majorEastAsia" w:cstheme="majorEastAsia"/>
          <w:sz w:val="24"/>
          <w:szCs w:val="24"/>
          <w:highlight w:val="none"/>
          <w:shd w:val="clear" w:color="auto" w:fill="FFFFFF"/>
        </w:rPr>
        <w:t>营业执照等主体资格证明文件：供应商应为具有独立承担民事责任能力的企业法人、事业法人、其他组织或自然人，企业法人须提供统一社会信用代码的营业执照、事业单位须提供事业单位法人证、组织机构代码证等证明文件、其他组织应提供合法证明文件、自然人参与的提供其身份证；</w:t>
      </w:r>
    </w:p>
    <w:p w14:paraId="446A88AE">
      <w:pPr>
        <w:pStyle w:val="32"/>
        <w:widowControl/>
        <w:numPr>
          <w:ilvl w:val="0"/>
          <w:numId w:val="0"/>
        </w:numPr>
        <w:wordWrap w:val="0"/>
        <w:spacing w:line="560" w:lineRule="exact"/>
        <w:ind w:firstLine="480" w:firstLineChars="200"/>
        <w:jc w:val="both"/>
        <w:rPr>
          <w:rFonts w:hint="eastAsia" w:eastAsiaTheme="majorEastAsia"/>
          <w:highlight w:val="none"/>
          <w:lang w:eastAsia="zh-CN"/>
        </w:rPr>
      </w:pPr>
      <w:r>
        <w:rPr>
          <w:rFonts w:hint="eastAsia" w:asciiTheme="majorEastAsia" w:hAnsiTheme="majorEastAsia" w:eastAsiaTheme="majorEastAsia" w:cstheme="majorEastAsia"/>
          <w:sz w:val="24"/>
          <w:szCs w:val="24"/>
          <w:highlight w:val="none"/>
          <w:shd w:val="clear" w:color="auto" w:fill="FFFFFF"/>
        </w:rPr>
        <w:t>2）财务状况报告：</w:t>
      </w:r>
      <w:r>
        <w:rPr>
          <w:rFonts w:hint="eastAsia" w:asciiTheme="majorEastAsia" w:hAnsiTheme="majorEastAsia" w:eastAsiaTheme="majorEastAsia" w:cstheme="majorEastAsia"/>
          <w:sz w:val="24"/>
          <w:szCs w:val="24"/>
          <w:highlight w:val="none"/>
          <w:shd w:val="clear" w:color="auto" w:fill="FFFFFF"/>
          <w:lang w:eastAsia="zh-CN"/>
        </w:rPr>
        <w:t>供应商须提供2024年度的财务审计报告（至少包括资产负债表和利润表，成立时间至提交响应文件截止时间不足一年的可提供成立后任意时段的资产负债表）或开标前六个月内其基本账户开户银行出具的资信证明。其他组织和自然人提供开标前六个月内银行出具的资信证明；</w:t>
      </w:r>
    </w:p>
    <w:p w14:paraId="308F19A6">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lang w:eastAsia="zh-CN"/>
        </w:rPr>
      </w:pPr>
      <w:r>
        <w:rPr>
          <w:rFonts w:hint="eastAsia" w:asciiTheme="majorEastAsia" w:hAnsiTheme="majorEastAsia" w:eastAsiaTheme="majorEastAsia" w:cstheme="majorEastAsia"/>
          <w:sz w:val="24"/>
          <w:szCs w:val="24"/>
          <w:highlight w:val="none"/>
          <w:shd w:val="clear" w:color="auto" w:fill="FFFFFF"/>
          <w:lang w:val="en-US" w:eastAsia="zh-CN"/>
        </w:rPr>
        <w:t>3</w:t>
      </w:r>
      <w:r>
        <w:rPr>
          <w:rFonts w:hint="eastAsia" w:asciiTheme="majorEastAsia" w:hAnsiTheme="majorEastAsia" w:eastAsiaTheme="majorEastAsia" w:cstheme="majorEastAsia"/>
          <w:sz w:val="24"/>
          <w:szCs w:val="24"/>
          <w:highlight w:val="none"/>
          <w:shd w:val="clear" w:color="auto" w:fill="FFFFFF"/>
        </w:rPr>
        <w:t>）社保缴纳证明：提供202</w:t>
      </w: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1月至今</w:t>
      </w:r>
      <w:r>
        <w:rPr>
          <w:rFonts w:hint="eastAsia" w:asciiTheme="majorEastAsia" w:hAnsiTheme="majorEastAsia" w:eastAsiaTheme="majorEastAsia" w:cstheme="majorEastAsia"/>
          <w:sz w:val="24"/>
          <w:szCs w:val="24"/>
          <w:highlight w:val="none"/>
          <w:shd w:val="clear" w:color="auto" w:fill="FFFFFF"/>
        </w:rPr>
        <w:t>已缴存的至少</w:t>
      </w:r>
      <w:r>
        <w:rPr>
          <w:rFonts w:hint="eastAsia" w:asciiTheme="majorEastAsia" w:hAnsiTheme="majorEastAsia" w:eastAsiaTheme="majorEastAsia" w:cstheme="majorEastAsia"/>
          <w:sz w:val="24"/>
          <w:szCs w:val="24"/>
          <w:highlight w:val="none"/>
          <w:shd w:val="clear" w:color="auto" w:fill="FFFFFF"/>
          <w:lang w:val="en-US" w:eastAsia="zh-CN"/>
        </w:rPr>
        <w:t>连续</w:t>
      </w:r>
      <w:r>
        <w:rPr>
          <w:rFonts w:hint="eastAsia" w:asciiTheme="majorEastAsia" w:hAnsiTheme="majorEastAsia" w:eastAsiaTheme="majorEastAsia" w:cstheme="majorEastAsia"/>
          <w:sz w:val="24"/>
          <w:szCs w:val="24"/>
          <w:highlight w:val="none"/>
          <w:shd w:val="clear" w:color="auto" w:fill="FFFFFF"/>
        </w:rPr>
        <w:t>六个月的社会保障资金缴存单据或社保机构开具的社会保险参保缴费情况证明，依法不需要缴纳社会保障资金的单位应提供相关证明材料；</w:t>
      </w:r>
    </w:p>
    <w:p w14:paraId="19D6C2AC">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4</w:t>
      </w:r>
      <w:r>
        <w:rPr>
          <w:rFonts w:hint="eastAsia" w:asciiTheme="majorEastAsia" w:hAnsiTheme="majorEastAsia" w:eastAsiaTheme="majorEastAsia" w:cstheme="majorEastAsia"/>
          <w:sz w:val="24"/>
          <w:szCs w:val="24"/>
          <w:highlight w:val="none"/>
          <w:shd w:val="clear" w:color="auto" w:fill="FFFFFF"/>
        </w:rPr>
        <w:t>）税收缴纳证明：提供202</w:t>
      </w: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1月至今</w:t>
      </w:r>
      <w:r>
        <w:rPr>
          <w:rFonts w:hint="eastAsia" w:asciiTheme="majorEastAsia" w:hAnsiTheme="majorEastAsia" w:eastAsiaTheme="majorEastAsia" w:cstheme="majorEastAsia"/>
          <w:sz w:val="24"/>
          <w:szCs w:val="24"/>
          <w:highlight w:val="none"/>
          <w:shd w:val="clear" w:color="auto" w:fill="FFFFFF"/>
        </w:rPr>
        <w:t>已缴存的至少</w:t>
      </w:r>
      <w:r>
        <w:rPr>
          <w:rFonts w:hint="eastAsia" w:asciiTheme="majorEastAsia" w:hAnsiTheme="majorEastAsia" w:eastAsiaTheme="majorEastAsia" w:cstheme="majorEastAsia"/>
          <w:sz w:val="24"/>
          <w:szCs w:val="24"/>
          <w:highlight w:val="none"/>
          <w:shd w:val="clear" w:color="auto" w:fill="FFFFFF"/>
          <w:lang w:val="en-US" w:eastAsia="zh-CN"/>
        </w:rPr>
        <w:t>连续</w:t>
      </w:r>
      <w:r>
        <w:rPr>
          <w:rFonts w:hint="eastAsia" w:asciiTheme="majorEastAsia" w:hAnsiTheme="majorEastAsia" w:eastAsiaTheme="majorEastAsia" w:cstheme="majorEastAsia"/>
          <w:sz w:val="24"/>
          <w:szCs w:val="24"/>
          <w:highlight w:val="none"/>
          <w:shd w:val="clear" w:color="auto" w:fill="FFFFFF"/>
        </w:rPr>
        <w:t>六个月的纳税证明或完税证明，依法免税的单位应提供相关证明材料</w:t>
      </w:r>
      <w:r>
        <w:rPr>
          <w:rFonts w:hint="eastAsia" w:asciiTheme="majorEastAsia" w:hAnsiTheme="majorEastAsia" w:eastAsiaTheme="majorEastAsia" w:cstheme="majorEastAsia"/>
          <w:sz w:val="24"/>
          <w:szCs w:val="24"/>
          <w:highlight w:val="none"/>
          <w:shd w:val="clear" w:color="auto" w:fill="FFFFFF"/>
          <w:lang w:val="en-US" w:eastAsia="zh-CN"/>
        </w:rPr>
        <w:t>；</w:t>
      </w:r>
    </w:p>
    <w:p w14:paraId="3E28BD6E">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）信用记录：</w:t>
      </w:r>
      <w:r>
        <w:rPr>
          <w:rFonts w:hint="eastAsia" w:asciiTheme="majorEastAsia" w:hAnsiTheme="majorEastAsia" w:eastAsiaTheme="majorEastAsia" w:cstheme="majorEastAsia"/>
          <w:sz w:val="24"/>
          <w:szCs w:val="24"/>
          <w:highlight w:val="none"/>
          <w:shd w:val="clear" w:color="auto" w:fill="FFFFFF"/>
          <w:lang w:val="en-US" w:eastAsia="zh-CN"/>
        </w:rPr>
        <w:t>供应商未被列入“信用中国”网站(www.creditchina.gov.cn)“失信被执行人和重大税收违法失信主体；未被列入“中国政府采购网”(www.ccgp.gov.cn)“政府采购严重违法失信行为信息记录”</w:t>
      </w:r>
      <w:r>
        <w:rPr>
          <w:rFonts w:hint="eastAsia" w:asciiTheme="majorEastAsia" w:hAnsiTheme="majorEastAsia" w:eastAsiaTheme="majorEastAsia" w:cstheme="majorEastAsia"/>
          <w:sz w:val="24"/>
          <w:szCs w:val="24"/>
          <w:highlight w:val="none"/>
          <w:shd w:val="clear" w:color="auto" w:fill="FFFFFF"/>
        </w:rPr>
        <w:t>；</w:t>
      </w:r>
    </w:p>
    <w:p w14:paraId="1F00472F">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6</w:t>
      </w:r>
      <w:r>
        <w:rPr>
          <w:rFonts w:hint="eastAsia" w:asciiTheme="majorEastAsia" w:hAnsiTheme="majorEastAsia" w:eastAsiaTheme="majorEastAsia" w:cstheme="majorEastAsia"/>
          <w:sz w:val="24"/>
          <w:szCs w:val="24"/>
          <w:highlight w:val="none"/>
          <w:shd w:val="clear" w:color="auto" w:fill="FFFFFF"/>
        </w:rPr>
        <w:t>）控股管理关系：单位负责人为同一人或者存在直接控股、管理关系的不同供应商，不得参加同一合同项下的政府采购活动（提供书面承诺</w:t>
      </w:r>
      <w:r>
        <w:rPr>
          <w:rFonts w:hint="eastAsia" w:asciiTheme="majorEastAsia" w:hAnsiTheme="majorEastAsia" w:eastAsiaTheme="majorEastAsia" w:cstheme="majorEastAsia"/>
          <w:sz w:val="24"/>
          <w:szCs w:val="24"/>
          <w:highlight w:val="none"/>
          <w:shd w:val="clear" w:color="auto" w:fill="FFFFFF"/>
          <w:lang w:eastAsia="zh-CN"/>
        </w:rPr>
        <w:t>）</w:t>
      </w:r>
      <w:r>
        <w:rPr>
          <w:rFonts w:hint="eastAsia" w:asciiTheme="majorEastAsia" w:hAnsiTheme="majorEastAsia" w:eastAsiaTheme="majorEastAsia" w:cstheme="majorEastAsia"/>
          <w:sz w:val="24"/>
          <w:szCs w:val="24"/>
          <w:highlight w:val="none"/>
          <w:shd w:val="clear" w:color="auto" w:fill="FFFFFF"/>
        </w:rPr>
        <w:t>；</w:t>
      </w:r>
    </w:p>
    <w:p w14:paraId="1BAE4FF2">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7</w:t>
      </w:r>
      <w:r>
        <w:rPr>
          <w:rFonts w:hint="eastAsia" w:asciiTheme="majorEastAsia" w:hAnsiTheme="majorEastAsia" w:eastAsiaTheme="majorEastAsia" w:cstheme="majorEastAsia"/>
          <w:sz w:val="24"/>
          <w:szCs w:val="24"/>
          <w:highlight w:val="none"/>
          <w:shd w:val="clear" w:color="auto" w:fill="FFFFFF"/>
        </w:rPr>
        <w:t>）书面声明：参加政府采购活动前3年内在经营活动中没有重大违法记录的书面声明；</w:t>
      </w:r>
    </w:p>
    <w:p w14:paraId="0656D791">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8</w:t>
      </w:r>
      <w:r>
        <w:rPr>
          <w:rFonts w:hint="eastAsia" w:asciiTheme="majorEastAsia" w:hAnsiTheme="majorEastAsia" w:eastAsiaTheme="majorEastAsia" w:cstheme="majorEastAsia"/>
          <w:sz w:val="24"/>
          <w:szCs w:val="24"/>
          <w:highlight w:val="none"/>
          <w:shd w:val="clear" w:color="auto" w:fill="FFFFFF"/>
        </w:rPr>
        <w:t>）法定代表人授权委托书：法定代表人参加投标的，须出具</w:t>
      </w:r>
      <w:r>
        <w:rPr>
          <w:rFonts w:hint="eastAsia" w:asciiTheme="majorEastAsia" w:hAnsiTheme="majorEastAsia" w:eastAsiaTheme="majorEastAsia" w:cstheme="majorEastAsia"/>
          <w:sz w:val="24"/>
          <w:szCs w:val="24"/>
          <w:highlight w:val="none"/>
          <w:shd w:val="clear" w:color="auto" w:fill="FFFFFF"/>
          <w:lang w:val="en-US" w:eastAsia="zh-CN"/>
        </w:rPr>
        <w:t>法定代表人资格证明书及</w:t>
      </w:r>
      <w:r>
        <w:rPr>
          <w:rFonts w:hint="eastAsia" w:asciiTheme="majorEastAsia" w:hAnsiTheme="majorEastAsia" w:eastAsiaTheme="majorEastAsia" w:cstheme="majorEastAsia"/>
          <w:sz w:val="24"/>
          <w:szCs w:val="24"/>
          <w:highlight w:val="none"/>
          <w:shd w:val="clear" w:color="auto" w:fill="FFFFFF"/>
        </w:rPr>
        <w:t>法定代表人身份证</w:t>
      </w:r>
      <w:r>
        <w:rPr>
          <w:rFonts w:hint="eastAsia" w:asciiTheme="majorEastAsia" w:hAnsiTheme="majorEastAsia" w:eastAsiaTheme="majorEastAsia" w:cstheme="majorEastAsia"/>
          <w:sz w:val="24"/>
          <w:szCs w:val="24"/>
          <w:highlight w:val="none"/>
          <w:shd w:val="clear" w:color="auto" w:fill="FFFFFF"/>
          <w:lang w:val="en-US" w:eastAsia="zh-CN"/>
        </w:rPr>
        <w:t>原件</w:t>
      </w:r>
      <w:r>
        <w:rPr>
          <w:rFonts w:hint="eastAsia" w:asciiTheme="majorEastAsia" w:hAnsiTheme="majorEastAsia" w:eastAsiaTheme="majorEastAsia" w:cstheme="majorEastAsia"/>
          <w:sz w:val="24"/>
          <w:szCs w:val="24"/>
          <w:highlight w:val="none"/>
          <w:shd w:val="clear" w:color="auto" w:fill="FFFFFF"/>
        </w:rPr>
        <w:t>，并与营业执照上信息一致</w:t>
      </w:r>
      <w:r>
        <w:rPr>
          <w:rFonts w:hint="eastAsia" w:asciiTheme="majorEastAsia" w:hAnsiTheme="majorEastAsia" w:eastAsiaTheme="majorEastAsia" w:cstheme="majorEastAsia"/>
          <w:sz w:val="24"/>
          <w:szCs w:val="24"/>
          <w:highlight w:val="none"/>
          <w:shd w:val="clear" w:color="auto" w:fill="FFFFFF"/>
          <w:lang w:eastAsia="zh-CN"/>
        </w:rPr>
        <w:t>；</w:t>
      </w:r>
      <w:r>
        <w:rPr>
          <w:rFonts w:hint="eastAsia" w:asciiTheme="majorEastAsia" w:hAnsiTheme="majorEastAsia" w:eastAsiaTheme="majorEastAsia" w:cstheme="majorEastAsia"/>
          <w:sz w:val="24"/>
          <w:szCs w:val="24"/>
          <w:highlight w:val="none"/>
          <w:shd w:val="clear" w:color="auto" w:fill="FFFFFF"/>
        </w:rPr>
        <w:t>授权代表参加投标的须出具法定代表人</w:t>
      </w:r>
      <w:r>
        <w:rPr>
          <w:rFonts w:hint="eastAsia" w:asciiTheme="majorEastAsia" w:hAnsiTheme="majorEastAsia" w:eastAsiaTheme="majorEastAsia" w:cstheme="majorEastAsia"/>
          <w:sz w:val="24"/>
          <w:szCs w:val="24"/>
          <w:highlight w:val="none"/>
          <w:shd w:val="clear" w:color="auto" w:fill="FFFFFF"/>
          <w:lang w:val="en-US" w:eastAsia="zh-CN"/>
        </w:rPr>
        <w:t>授权委托书</w:t>
      </w:r>
      <w:r>
        <w:rPr>
          <w:rFonts w:hint="eastAsia" w:asciiTheme="majorEastAsia" w:hAnsiTheme="majorEastAsia" w:eastAsiaTheme="majorEastAsia" w:cstheme="majorEastAsia"/>
          <w:sz w:val="24"/>
          <w:szCs w:val="24"/>
          <w:highlight w:val="none"/>
          <w:shd w:val="clear" w:color="auto" w:fill="FFFFFF"/>
        </w:rPr>
        <w:t>、授权代表身份证</w:t>
      </w:r>
      <w:r>
        <w:rPr>
          <w:rFonts w:hint="eastAsia" w:asciiTheme="majorEastAsia" w:hAnsiTheme="majorEastAsia" w:eastAsiaTheme="majorEastAsia" w:cstheme="majorEastAsia"/>
          <w:sz w:val="24"/>
          <w:szCs w:val="24"/>
          <w:highlight w:val="none"/>
          <w:shd w:val="clear" w:color="auto" w:fill="FFFFFF"/>
          <w:lang w:val="en-US" w:eastAsia="zh-CN"/>
        </w:rPr>
        <w:t>原件</w:t>
      </w:r>
      <w:r>
        <w:rPr>
          <w:rFonts w:hint="eastAsia" w:asciiTheme="majorEastAsia" w:hAnsiTheme="majorEastAsia" w:eastAsiaTheme="majorEastAsia" w:cstheme="majorEastAsia"/>
          <w:sz w:val="24"/>
          <w:szCs w:val="24"/>
          <w:highlight w:val="none"/>
          <w:shd w:val="clear" w:color="auto" w:fill="FFFFFF"/>
        </w:rPr>
        <w:t>；</w:t>
      </w:r>
    </w:p>
    <w:p w14:paraId="5C63148A">
      <w:pPr>
        <w:pStyle w:val="32"/>
        <w:widowControl/>
        <w:wordWrap w:val="0"/>
        <w:spacing w:line="560" w:lineRule="exact"/>
        <w:ind w:firstLine="480" w:firstLineChars="20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9</w:t>
      </w:r>
      <w:r>
        <w:rPr>
          <w:rFonts w:hint="eastAsia" w:asciiTheme="majorEastAsia" w:hAnsiTheme="majorEastAsia" w:eastAsiaTheme="majorEastAsia" w:cstheme="majorEastAsia"/>
          <w:sz w:val="24"/>
          <w:szCs w:val="24"/>
          <w:highlight w:val="none"/>
          <w:shd w:val="clear" w:color="auto" w:fill="FFFFFF"/>
        </w:rPr>
        <w:t>）履行合同所必须的证明资料：具有履行合同所必需的设备和专业技术能力证明资料</w:t>
      </w:r>
      <w:r>
        <w:rPr>
          <w:rFonts w:hint="eastAsia" w:asciiTheme="majorEastAsia" w:hAnsiTheme="majorEastAsia" w:eastAsiaTheme="majorEastAsia" w:cstheme="majorEastAsia"/>
          <w:color w:val="auto"/>
          <w:sz w:val="24"/>
          <w:szCs w:val="24"/>
          <w:highlight w:val="none"/>
          <w:shd w:val="clear" w:color="auto" w:fill="FFFFFF"/>
          <w:lang w:val="en-US" w:eastAsia="zh-CN"/>
        </w:rPr>
        <w:t>（提供书面承诺）；</w:t>
      </w:r>
    </w:p>
    <w:p w14:paraId="7A6F8CD0">
      <w:pPr>
        <w:pStyle w:val="143"/>
        <w:pageBreakBefore w:val="0"/>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r>
        <w:rPr>
          <w:rFonts w:hint="eastAsia" w:cs="宋体"/>
          <w:color w:val="000000"/>
          <w:kern w:val="0"/>
          <w:sz w:val="24"/>
          <w:szCs w:val="24"/>
          <w:highlight w:val="none"/>
          <w:lang w:val="en-US" w:eastAsia="zh-CN" w:bidi="ar-SA"/>
        </w:rPr>
        <w:t>0</w:t>
      </w:r>
      <w:r>
        <w:rPr>
          <w:rFonts w:hint="eastAsia" w:ascii="宋体" w:hAnsi="宋体" w:eastAsia="宋体" w:cs="宋体"/>
          <w:color w:val="000000"/>
          <w:kern w:val="0"/>
          <w:sz w:val="24"/>
          <w:szCs w:val="24"/>
          <w:highlight w:val="none"/>
          <w:lang w:val="en-US" w:eastAsia="zh-CN" w:bidi="ar-SA"/>
        </w:rPr>
        <w:t>）专门面向中小企业声明函：本项目专门面向中小企业采购，供应商须为中小企业，并提供声明函。</w:t>
      </w:r>
    </w:p>
    <w:p w14:paraId="6BE5501A">
      <w:pPr>
        <w:pStyle w:val="32"/>
        <w:widowControl/>
        <w:wordWrap w:val="0"/>
        <w:spacing w:line="560" w:lineRule="exact"/>
        <w:jc w:val="both"/>
        <w:rPr>
          <w:rFonts w:hint="eastAsia" w:asciiTheme="majorEastAsia" w:hAnsiTheme="majorEastAsia" w:eastAsiaTheme="majorEastAsia" w:cstheme="majorEastAsia"/>
          <w:sz w:val="24"/>
          <w:szCs w:val="24"/>
          <w:highlight w:val="none"/>
        </w:rPr>
      </w:pPr>
      <w:r>
        <w:rPr>
          <w:rStyle w:val="40"/>
          <w:rFonts w:hint="eastAsia" w:asciiTheme="majorEastAsia" w:hAnsiTheme="majorEastAsia" w:eastAsiaTheme="majorEastAsia" w:cstheme="majorEastAsia"/>
          <w:sz w:val="24"/>
          <w:szCs w:val="24"/>
          <w:highlight w:val="none"/>
          <w:shd w:val="clear" w:color="auto" w:fill="FFFFFF"/>
        </w:rPr>
        <w:t>三、获取采购文件</w:t>
      </w:r>
    </w:p>
    <w:p w14:paraId="55C32B69">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时间：202</w:t>
      </w:r>
      <w:r>
        <w:rPr>
          <w:rFonts w:hint="eastAsia" w:asciiTheme="majorEastAsia" w:hAnsiTheme="majorEastAsia" w:eastAsiaTheme="majorEastAsia" w:cstheme="majorEastAsia"/>
          <w:sz w:val="24"/>
          <w:szCs w:val="24"/>
          <w:highlight w:val="none"/>
          <w:shd w:val="clear" w:color="auto" w:fill="FFFFFF"/>
          <w:lang w:val="en-US" w:eastAsia="zh-CN"/>
        </w:rPr>
        <w:t>6</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01</w:t>
      </w:r>
      <w:r>
        <w:rPr>
          <w:rFonts w:hint="eastAsia" w:asciiTheme="majorEastAsia" w:hAnsiTheme="majorEastAsia" w:eastAsiaTheme="majorEastAsia" w:cstheme="majorEastAsia"/>
          <w:sz w:val="24"/>
          <w:szCs w:val="24"/>
          <w:highlight w:val="none"/>
          <w:shd w:val="clear" w:color="auto" w:fill="FFFFFF"/>
        </w:rPr>
        <w:t>月</w:t>
      </w:r>
      <w:r>
        <w:rPr>
          <w:rFonts w:hint="eastAsia" w:asciiTheme="majorEastAsia" w:hAnsiTheme="majorEastAsia" w:eastAsiaTheme="majorEastAsia" w:cstheme="majorEastAsia"/>
          <w:sz w:val="24"/>
          <w:szCs w:val="24"/>
          <w:highlight w:val="none"/>
          <w:shd w:val="clear" w:color="auto" w:fill="FFFFFF"/>
          <w:lang w:val="en-US" w:eastAsia="zh-CN"/>
        </w:rPr>
        <w:t>05</w:t>
      </w:r>
      <w:r>
        <w:rPr>
          <w:rFonts w:hint="eastAsia" w:asciiTheme="majorEastAsia" w:hAnsiTheme="majorEastAsia" w:eastAsiaTheme="majorEastAsia" w:cstheme="majorEastAsia"/>
          <w:sz w:val="24"/>
          <w:szCs w:val="24"/>
          <w:highlight w:val="none"/>
          <w:shd w:val="clear" w:color="auto" w:fill="FFFFFF"/>
        </w:rPr>
        <w:t>日至202</w:t>
      </w:r>
      <w:r>
        <w:rPr>
          <w:rFonts w:hint="eastAsia" w:asciiTheme="majorEastAsia" w:hAnsiTheme="majorEastAsia" w:eastAsiaTheme="majorEastAsia" w:cstheme="majorEastAsia"/>
          <w:sz w:val="24"/>
          <w:szCs w:val="24"/>
          <w:highlight w:val="none"/>
          <w:shd w:val="clear" w:color="auto" w:fill="FFFFFF"/>
          <w:lang w:val="en-US" w:eastAsia="zh-CN"/>
        </w:rPr>
        <w:t>6</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01</w:t>
      </w:r>
      <w:r>
        <w:rPr>
          <w:rFonts w:hint="eastAsia" w:asciiTheme="majorEastAsia" w:hAnsiTheme="majorEastAsia" w:eastAsiaTheme="majorEastAsia" w:cstheme="majorEastAsia"/>
          <w:sz w:val="24"/>
          <w:szCs w:val="24"/>
          <w:highlight w:val="none"/>
          <w:shd w:val="clear" w:color="auto" w:fill="FFFFFF"/>
        </w:rPr>
        <w:t>月</w:t>
      </w:r>
      <w:r>
        <w:rPr>
          <w:rFonts w:hint="eastAsia" w:asciiTheme="majorEastAsia" w:hAnsiTheme="majorEastAsia" w:eastAsiaTheme="majorEastAsia" w:cstheme="majorEastAsia"/>
          <w:sz w:val="24"/>
          <w:szCs w:val="24"/>
          <w:highlight w:val="none"/>
          <w:shd w:val="clear" w:color="auto" w:fill="FFFFFF"/>
          <w:lang w:val="en-US" w:eastAsia="zh-CN"/>
        </w:rPr>
        <w:t>09</w:t>
      </w:r>
      <w:r>
        <w:rPr>
          <w:rFonts w:hint="eastAsia" w:asciiTheme="majorEastAsia" w:hAnsiTheme="majorEastAsia" w:eastAsiaTheme="majorEastAsia" w:cstheme="majorEastAsia"/>
          <w:sz w:val="24"/>
          <w:szCs w:val="24"/>
          <w:highlight w:val="none"/>
          <w:shd w:val="clear" w:color="auto" w:fill="FFFFFF"/>
        </w:rPr>
        <w:t>日，每天上午09:00:00至12:00:00，下午14:00:00至17:00:00（北京时间）</w:t>
      </w:r>
    </w:p>
    <w:p w14:paraId="06290218">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途径：</w:t>
      </w:r>
      <w:r>
        <w:rPr>
          <w:rFonts w:hint="eastAsia" w:ascii="宋体" w:hAnsi="宋体" w:eastAsia="宋体" w:cs="宋体"/>
          <w:color w:val="000000" w:themeColor="text1"/>
          <w:szCs w:val="24"/>
          <w:highlight w:val="none"/>
          <w:lang w:eastAsia="zh-CN"/>
          <w14:textFill>
            <w14:solidFill>
              <w14:schemeClr w14:val="tx1"/>
            </w14:solidFill>
          </w14:textFill>
        </w:rPr>
        <w:t>宝鸡市金台区行政大道海棠风尚1603室</w:t>
      </w:r>
    </w:p>
    <w:p w14:paraId="2CD9B8FB">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方式：</w:t>
      </w:r>
      <w:r>
        <w:rPr>
          <w:rFonts w:hint="eastAsia" w:asciiTheme="majorEastAsia" w:hAnsiTheme="majorEastAsia" w:eastAsiaTheme="majorEastAsia" w:cstheme="majorEastAsia"/>
          <w:sz w:val="24"/>
          <w:szCs w:val="24"/>
          <w:highlight w:val="none"/>
          <w:shd w:val="clear" w:color="auto" w:fill="FFFFFF"/>
          <w:lang w:val="en-US" w:eastAsia="zh-CN"/>
        </w:rPr>
        <w:t>现场</w:t>
      </w:r>
      <w:r>
        <w:rPr>
          <w:rFonts w:hint="eastAsia" w:asciiTheme="majorEastAsia" w:hAnsiTheme="majorEastAsia" w:eastAsiaTheme="majorEastAsia" w:cstheme="majorEastAsia"/>
          <w:sz w:val="24"/>
          <w:szCs w:val="24"/>
          <w:highlight w:val="none"/>
          <w:shd w:val="clear" w:color="auto" w:fill="FFFFFF"/>
        </w:rPr>
        <w:t>获取</w:t>
      </w:r>
    </w:p>
    <w:p w14:paraId="7E4F8152">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售价：0元</w:t>
      </w:r>
    </w:p>
    <w:p w14:paraId="02E48EF2">
      <w:pPr>
        <w:widowControl/>
        <w:numPr>
          <w:ilvl w:val="3"/>
          <w:numId w:val="0"/>
        </w:numPr>
        <w:wordWrap w:val="0"/>
        <w:spacing w:line="560" w:lineRule="exact"/>
        <w:jc w:val="left"/>
        <w:rPr>
          <w:rFonts w:hint="eastAsia" w:asciiTheme="majorEastAsia" w:hAnsiTheme="majorEastAsia" w:eastAsiaTheme="majorEastAsia" w:cstheme="majorEastAsia"/>
          <w:sz w:val="24"/>
          <w:szCs w:val="24"/>
          <w:highlight w:val="none"/>
        </w:rPr>
      </w:pPr>
      <w:r>
        <w:rPr>
          <w:rStyle w:val="40"/>
          <w:rFonts w:hint="eastAsia" w:asciiTheme="majorEastAsia" w:hAnsiTheme="majorEastAsia" w:eastAsiaTheme="majorEastAsia" w:cstheme="majorEastAsia"/>
          <w:sz w:val="24"/>
          <w:szCs w:val="24"/>
          <w:highlight w:val="none"/>
          <w:shd w:val="clear" w:color="auto" w:fill="FFFFFF"/>
        </w:rPr>
        <w:t>四、响应文件提交</w:t>
      </w:r>
    </w:p>
    <w:p w14:paraId="7952E4DD">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截止时间：202</w:t>
      </w:r>
      <w:r>
        <w:rPr>
          <w:rFonts w:hint="eastAsia" w:asciiTheme="majorEastAsia" w:hAnsiTheme="majorEastAsia" w:eastAsiaTheme="majorEastAsia" w:cstheme="majorEastAsia"/>
          <w:sz w:val="24"/>
          <w:szCs w:val="24"/>
          <w:highlight w:val="none"/>
          <w:shd w:val="clear" w:color="auto" w:fill="FFFFFF"/>
          <w:lang w:val="en-US" w:eastAsia="zh-CN"/>
        </w:rPr>
        <w:t>6</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01</w:t>
      </w:r>
      <w:r>
        <w:rPr>
          <w:rFonts w:hint="eastAsia" w:asciiTheme="majorEastAsia" w:hAnsiTheme="majorEastAsia" w:eastAsiaTheme="majorEastAsia" w:cstheme="majorEastAsia"/>
          <w:sz w:val="24"/>
          <w:szCs w:val="24"/>
          <w:highlight w:val="none"/>
          <w:shd w:val="clear" w:color="auto" w:fill="FFFFFF"/>
        </w:rPr>
        <w:t>月</w:t>
      </w:r>
      <w:r>
        <w:rPr>
          <w:rFonts w:hint="eastAsia" w:asciiTheme="majorEastAsia" w:hAnsiTheme="majorEastAsia" w:eastAsiaTheme="majorEastAsia" w:cstheme="majorEastAsia"/>
          <w:sz w:val="24"/>
          <w:szCs w:val="24"/>
          <w:highlight w:val="none"/>
          <w:shd w:val="clear" w:color="auto" w:fill="FFFFFF"/>
          <w:lang w:val="en-US" w:eastAsia="zh-CN"/>
        </w:rPr>
        <w:t>15</w:t>
      </w:r>
      <w:r>
        <w:rPr>
          <w:rFonts w:hint="eastAsia" w:asciiTheme="majorEastAsia" w:hAnsiTheme="majorEastAsia" w:eastAsiaTheme="majorEastAsia" w:cstheme="majorEastAsia"/>
          <w:sz w:val="24"/>
          <w:szCs w:val="24"/>
          <w:highlight w:val="none"/>
          <w:shd w:val="clear" w:color="auto" w:fill="FFFFFF"/>
        </w:rPr>
        <w:t>日</w:t>
      </w:r>
      <w:r>
        <w:rPr>
          <w:rFonts w:hint="eastAsia" w:asciiTheme="majorEastAsia" w:hAnsiTheme="majorEastAsia" w:eastAsiaTheme="majorEastAsia" w:cstheme="majorEastAsia"/>
          <w:sz w:val="24"/>
          <w:szCs w:val="24"/>
          <w:highlight w:val="none"/>
          <w:shd w:val="clear" w:color="auto" w:fill="FFFFFF"/>
          <w:lang w:val="en-US" w:eastAsia="zh-CN"/>
        </w:rPr>
        <w:t>14</w:t>
      </w:r>
      <w:r>
        <w:rPr>
          <w:rFonts w:hint="eastAsia" w:asciiTheme="majorEastAsia" w:hAnsiTheme="majorEastAsia" w:eastAsiaTheme="majorEastAsia" w:cstheme="majorEastAsia"/>
          <w:sz w:val="24"/>
          <w:szCs w:val="24"/>
          <w:highlight w:val="none"/>
          <w:shd w:val="clear" w:color="auto" w:fill="FFFFFF"/>
        </w:rPr>
        <w:t>时</w:t>
      </w:r>
      <w:r>
        <w:rPr>
          <w:rFonts w:hint="eastAsia" w:asciiTheme="majorEastAsia" w:hAnsiTheme="majorEastAsia" w:eastAsiaTheme="majorEastAsia" w:cstheme="majorEastAsia"/>
          <w:sz w:val="24"/>
          <w:szCs w:val="24"/>
          <w:highlight w:val="none"/>
          <w:shd w:val="clear" w:color="auto" w:fill="FFFFFF"/>
          <w:lang w:val="en-US" w:eastAsia="zh-CN"/>
        </w:rPr>
        <w:t>30</w:t>
      </w:r>
      <w:r>
        <w:rPr>
          <w:rFonts w:hint="eastAsia" w:asciiTheme="majorEastAsia" w:hAnsiTheme="majorEastAsia" w:eastAsiaTheme="majorEastAsia" w:cstheme="majorEastAsia"/>
          <w:sz w:val="24"/>
          <w:szCs w:val="24"/>
          <w:highlight w:val="none"/>
          <w:shd w:val="clear" w:color="auto" w:fill="FFFFFF"/>
        </w:rPr>
        <w:t>分00秒（北京时间）</w:t>
      </w:r>
    </w:p>
    <w:p w14:paraId="0275988B">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rPr>
        <w:t>地点：</w:t>
      </w:r>
      <w:r>
        <w:rPr>
          <w:rFonts w:hint="eastAsia" w:asciiTheme="majorEastAsia" w:hAnsiTheme="majorEastAsia" w:eastAsiaTheme="majorEastAsia" w:cstheme="majorEastAsia"/>
          <w:sz w:val="24"/>
          <w:szCs w:val="24"/>
          <w:highlight w:val="none"/>
          <w:shd w:val="clear" w:color="auto" w:fill="FFFFFF"/>
          <w:lang w:eastAsia="zh-CN"/>
        </w:rPr>
        <w:t>千阳县住建局综合服务楼二楼</w:t>
      </w:r>
    </w:p>
    <w:p w14:paraId="7CD15268">
      <w:pPr>
        <w:widowControl/>
        <w:numPr>
          <w:ilvl w:val="3"/>
          <w:numId w:val="0"/>
        </w:numPr>
        <w:wordWrap w:val="0"/>
        <w:spacing w:line="560" w:lineRule="exact"/>
        <w:jc w:val="left"/>
        <w:rPr>
          <w:rFonts w:hint="eastAsia" w:asciiTheme="majorEastAsia" w:hAnsiTheme="majorEastAsia" w:eastAsiaTheme="majorEastAsia" w:cstheme="majorEastAsia"/>
          <w:sz w:val="24"/>
          <w:szCs w:val="24"/>
          <w:highlight w:val="none"/>
        </w:rPr>
      </w:pPr>
      <w:r>
        <w:rPr>
          <w:rStyle w:val="40"/>
          <w:rFonts w:hint="eastAsia" w:asciiTheme="majorEastAsia" w:hAnsiTheme="majorEastAsia" w:eastAsiaTheme="majorEastAsia" w:cstheme="majorEastAsia"/>
          <w:sz w:val="24"/>
          <w:szCs w:val="24"/>
          <w:highlight w:val="none"/>
          <w:shd w:val="clear" w:color="auto" w:fill="FFFFFF"/>
        </w:rPr>
        <w:t>五、开启</w:t>
      </w:r>
    </w:p>
    <w:p w14:paraId="6E7C75F3">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时间：202</w:t>
      </w:r>
      <w:r>
        <w:rPr>
          <w:rFonts w:hint="eastAsia" w:asciiTheme="majorEastAsia" w:hAnsiTheme="majorEastAsia" w:eastAsiaTheme="majorEastAsia" w:cstheme="majorEastAsia"/>
          <w:sz w:val="24"/>
          <w:szCs w:val="24"/>
          <w:highlight w:val="none"/>
          <w:shd w:val="clear" w:color="auto" w:fill="FFFFFF"/>
          <w:lang w:val="en-US" w:eastAsia="zh-CN"/>
        </w:rPr>
        <w:t>6</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01</w:t>
      </w:r>
      <w:r>
        <w:rPr>
          <w:rFonts w:hint="eastAsia" w:asciiTheme="majorEastAsia" w:hAnsiTheme="majorEastAsia" w:eastAsiaTheme="majorEastAsia" w:cstheme="majorEastAsia"/>
          <w:sz w:val="24"/>
          <w:szCs w:val="24"/>
          <w:highlight w:val="none"/>
          <w:shd w:val="clear" w:color="auto" w:fill="FFFFFF"/>
        </w:rPr>
        <w:t>月</w:t>
      </w:r>
      <w:r>
        <w:rPr>
          <w:rFonts w:hint="eastAsia" w:asciiTheme="majorEastAsia" w:hAnsiTheme="majorEastAsia" w:eastAsiaTheme="majorEastAsia" w:cstheme="majorEastAsia"/>
          <w:sz w:val="24"/>
          <w:szCs w:val="24"/>
          <w:highlight w:val="none"/>
          <w:shd w:val="clear" w:color="auto" w:fill="FFFFFF"/>
          <w:lang w:val="en-US" w:eastAsia="zh-CN"/>
        </w:rPr>
        <w:t>15</w:t>
      </w:r>
      <w:r>
        <w:rPr>
          <w:rFonts w:hint="eastAsia" w:asciiTheme="majorEastAsia" w:hAnsiTheme="majorEastAsia" w:eastAsiaTheme="majorEastAsia" w:cstheme="majorEastAsia"/>
          <w:sz w:val="24"/>
          <w:szCs w:val="24"/>
          <w:highlight w:val="none"/>
          <w:shd w:val="clear" w:color="auto" w:fill="FFFFFF"/>
        </w:rPr>
        <w:t>日</w:t>
      </w:r>
      <w:r>
        <w:rPr>
          <w:rFonts w:hint="eastAsia" w:asciiTheme="majorEastAsia" w:hAnsiTheme="majorEastAsia" w:eastAsiaTheme="majorEastAsia" w:cstheme="majorEastAsia"/>
          <w:sz w:val="24"/>
          <w:szCs w:val="24"/>
          <w:highlight w:val="none"/>
          <w:shd w:val="clear" w:color="auto" w:fill="FFFFFF"/>
          <w:lang w:val="en-US" w:eastAsia="zh-CN"/>
        </w:rPr>
        <w:t>14</w:t>
      </w:r>
      <w:r>
        <w:rPr>
          <w:rFonts w:hint="eastAsia" w:asciiTheme="majorEastAsia" w:hAnsiTheme="majorEastAsia" w:eastAsiaTheme="majorEastAsia" w:cstheme="majorEastAsia"/>
          <w:sz w:val="24"/>
          <w:szCs w:val="24"/>
          <w:highlight w:val="none"/>
          <w:shd w:val="clear" w:color="auto" w:fill="FFFFFF"/>
        </w:rPr>
        <w:t>时</w:t>
      </w:r>
      <w:r>
        <w:rPr>
          <w:rFonts w:hint="eastAsia" w:asciiTheme="majorEastAsia" w:hAnsiTheme="majorEastAsia" w:eastAsiaTheme="majorEastAsia" w:cstheme="majorEastAsia"/>
          <w:sz w:val="24"/>
          <w:szCs w:val="24"/>
          <w:highlight w:val="none"/>
          <w:shd w:val="clear" w:color="auto" w:fill="FFFFFF"/>
          <w:lang w:val="en-US" w:eastAsia="zh-CN"/>
        </w:rPr>
        <w:t>30</w:t>
      </w:r>
      <w:r>
        <w:rPr>
          <w:rFonts w:hint="eastAsia" w:asciiTheme="majorEastAsia" w:hAnsiTheme="majorEastAsia" w:eastAsiaTheme="majorEastAsia" w:cstheme="majorEastAsia"/>
          <w:sz w:val="24"/>
          <w:szCs w:val="24"/>
          <w:highlight w:val="none"/>
          <w:shd w:val="clear" w:color="auto" w:fill="FFFFFF"/>
        </w:rPr>
        <w:t>分00秒（北京时间）</w:t>
      </w:r>
    </w:p>
    <w:p w14:paraId="523392FA">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rPr>
        <w:t>地点：</w:t>
      </w:r>
      <w:r>
        <w:rPr>
          <w:rFonts w:hint="eastAsia" w:asciiTheme="majorEastAsia" w:hAnsiTheme="majorEastAsia" w:eastAsiaTheme="majorEastAsia" w:cstheme="majorEastAsia"/>
          <w:sz w:val="24"/>
          <w:szCs w:val="24"/>
          <w:highlight w:val="none"/>
          <w:shd w:val="clear" w:color="auto" w:fill="FFFFFF"/>
          <w:lang w:eastAsia="zh-CN"/>
        </w:rPr>
        <w:t>千阳县住建局综合服务楼二楼</w:t>
      </w:r>
    </w:p>
    <w:p w14:paraId="460A13F7">
      <w:pPr>
        <w:widowControl/>
        <w:numPr>
          <w:ilvl w:val="3"/>
          <w:numId w:val="0"/>
        </w:numPr>
        <w:wordWrap w:val="0"/>
        <w:spacing w:line="560" w:lineRule="exact"/>
        <w:jc w:val="left"/>
        <w:rPr>
          <w:rFonts w:hint="eastAsia" w:asciiTheme="majorEastAsia" w:hAnsiTheme="majorEastAsia" w:eastAsiaTheme="majorEastAsia" w:cstheme="majorEastAsia"/>
          <w:sz w:val="24"/>
          <w:szCs w:val="24"/>
          <w:highlight w:val="none"/>
        </w:rPr>
      </w:pPr>
      <w:r>
        <w:rPr>
          <w:rStyle w:val="40"/>
          <w:rFonts w:hint="eastAsia" w:asciiTheme="majorEastAsia" w:hAnsiTheme="majorEastAsia" w:eastAsiaTheme="majorEastAsia" w:cstheme="majorEastAsia"/>
          <w:sz w:val="24"/>
          <w:szCs w:val="24"/>
          <w:highlight w:val="none"/>
          <w:shd w:val="clear" w:color="auto" w:fill="FFFFFF"/>
        </w:rPr>
        <w:t>六、公告期限</w:t>
      </w:r>
    </w:p>
    <w:p w14:paraId="61502B48">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自本公告发布之日起3个工作日。</w:t>
      </w:r>
    </w:p>
    <w:p w14:paraId="6DAFF368">
      <w:pPr>
        <w:widowControl/>
        <w:numPr>
          <w:ilvl w:val="3"/>
          <w:numId w:val="0"/>
        </w:numPr>
        <w:wordWrap w:val="0"/>
        <w:spacing w:line="560" w:lineRule="exact"/>
        <w:jc w:val="left"/>
        <w:rPr>
          <w:rFonts w:hint="eastAsia" w:asciiTheme="majorEastAsia" w:hAnsiTheme="majorEastAsia" w:eastAsiaTheme="majorEastAsia" w:cstheme="majorEastAsia"/>
          <w:sz w:val="24"/>
          <w:szCs w:val="24"/>
          <w:highlight w:val="none"/>
        </w:rPr>
      </w:pPr>
      <w:r>
        <w:rPr>
          <w:rStyle w:val="40"/>
          <w:rFonts w:hint="eastAsia" w:asciiTheme="majorEastAsia" w:hAnsiTheme="majorEastAsia" w:eastAsiaTheme="majorEastAsia" w:cstheme="majorEastAsia"/>
          <w:sz w:val="24"/>
          <w:szCs w:val="24"/>
          <w:highlight w:val="none"/>
          <w:shd w:val="clear" w:color="auto" w:fill="FFFFFF"/>
        </w:rPr>
        <w:t>七、其他补充事宜</w:t>
      </w:r>
    </w:p>
    <w:p w14:paraId="153B4F70">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1、本次竞争性磋商公告在《陕西省政府采购网》发布；</w:t>
      </w:r>
    </w:p>
    <w:p w14:paraId="6FBE969C">
      <w:pPr>
        <w:pStyle w:val="142"/>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2、请供应商按照陕西省财政厅关于政府采购供应商注册登记有关事项的通知中的要求，通过陕西省政府采购网(http://www.ccgp-shaanxi.gov.cn/)注册登记加入陕西省政府采购供应商库;</w:t>
      </w:r>
    </w:p>
    <w:p w14:paraId="19CD2208">
      <w:pPr>
        <w:widowControl/>
        <w:numPr>
          <w:ilvl w:val="3"/>
          <w:numId w:val="0"/>
        </w:numPr>
        <w:wordWrap w:val="0"/>
        <w:spacing w:line="56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、获取竞争性磋商文件</w:t>
      </w:r>
      <w:r>
        <w:rPr>
          <w:rFonts w:hint="eastAsia" w:ascii="宋体" w:hAnsi="宋体" w:eastAsia="宋体" w:cs="宋体"/>
          <w:sz w:val="24"/>
          <w:szCs w:val="24"/>
          <w:highlight w:val="none"/>
          <w:lang w:val="en-US" w:eastAsia="zh-CN"/>
        </w:rPr>
        <w:t>方式</w:t>
      </w:r>
      <w:r>
        <w:rPr>
          <w:rFonts w:hint="eastAsia" w:ascii="宋体" w:hAnsi="宋体" w:eastAsia="宋体" w:cs="宋体"/>
          <w:sz w:val="24"/>
          <w:szCs w:val="24"/>
          <w:highlight w:val="none"/>
        </w:rPr>
        <w:t>：获取文件请于</w:t>
      </w:r>
      <w:r>
        <w:rPr>
          <w:rFonts w:hint="eastAsia" w:asciiTheme="majorEastAsia" w:hAnsiTheme="majorEastAsia" w:eastAsiaTheme="majorEastAsia" w:cstheme="majorEastAsia"/>
          <w:sz w:val="24"/>
          <w:szCs w:val="24"/>
          <w:highlight w:val="none"/>
          <w:shd w:val="clear" w:color="auto" w:fill="FFFFFF"/>
        </w:rPr>
        <w:t>202</w:t>
      </w:r>
      <w:r>
        <w:rPr>
          <w:rFonts w:hint="eastAsia" w:asciiTheme="majorEastAsia" w:hAnsiTheme="majorEastAsia" w:eastAsiaTheme="majorEastAsia" w:cstheme="majorEastAsia"/>
          <w:sz w:val="24"/>
          <w:szCs w:val="24"/>
          <w:highlight w:val="none"/>
          <w:shd w:val="clear" w:color="auto" w:fill="FFFFFF"/>
          <w:lang w:val="en-US" w:eastAsia="zh-CN"/>
        </w:rPr>
        <w:t>6</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01</w:t>
      </w:r>
      <w:r>
        <w:rPr>
          <w:rFonts w:hint="eastAsia" w:asciiTheme="majorEastAsia" w:hAnsiTheme="majorEastAsia" w:eastAsiaTheme="majorEastAsia" w:cstheme="majorEastAsia"/>
          <w:sz w:val="24"/>
          <w:szCs w:val="24"/>
          <w:highlight w:val="none"/>
          <w:shd w:val="clear" w:color="auto" w:fill="FFFFFF"/>
        </w:rPr>
        <w:t>月</w:t>
      </w:r>
      <w:r>
        <w:rPr>
          <w:rFonts w:hint="eastAsia" w:asciiTheme="majorEastAsia" w:hAnsiTheme="majorEastAsia" w:eastAsiaTheme="majorEastAsia" w:cstheme="majorEastAsia"/>
          <w:sz w:val="24"/>
          <w:szCs w:val="24"/>
          <w:highlight w:val="none"/>
          <w:shd w:val="clear" w:color="auto" w:fill="FFFFFF"/>
          <w:lang w:val="en-US" w:eastAsia="zh-CN"/>
        </w:rPr>
        <w:t>05</w:t>
      </w:r>
      <w:r>
        <w:rPr>
          <w:rFonts w:hint="eastAsia" w:asciiTheme="majorEastAsia" w:hAnsiTheme="majorEastAsia" w:eastAsiaTheme="majorEastAsia" w:cstheme="majorEastAsia"/>
          <w:sz w:val="24"/>
          <w:szCs w:val="24"/>
          <w:highlight w:val="none"/>
          <w:shd w:val="clear" w:color="auto" w:fill="FFFFFF"/>
        </w:rPr>
        <w:t>日至202</w:t>
      </w:r>
      <w:r>
        <w:rPr>
          <w:rFonts w:hint="eastAsia" w:asciiTheme="majorEastAsia" w:hAnsiTheme="majorEastAsia" w:eastAsiaTheme="majorEastAsia" w:cstheme="majorEastAsia"/>
          <w:sz w:val="24"/>
          <w:szCs w:val="24"/>
          <w:highlight w:val="none"/>
          <w:shd w:val="clear" w:color="auto" w:fill="FFFFFF"/>
          <w:lang w:val="en-US" w:eastAsia="zh-CN"/>
        </w:rPr>
        <w:t>6</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01</w:t>
      </w:r>
      <w:r>
        <w:rPr>
          <w:rFonts w:hint="eastAsia" w:asciiTheme="majorEastAsia" w:hAnsiTheme="majorEastAsia" w:eastAsiaTheme="majorEastAsia" w:cstheme="majorEastAsia"/>
          <w:sz w:val="24"/>
          <w:szCs w:val="24"/>
          <w:highlight w:val="none"/>
          <w:shd w:val="clear" w:color="auto" w:fill="FFFFFF"/>
        </w:rPr>
        <w:t>月</w:t>
      </w:r>
      <w:r>
        <w:rPr>
          <w:rFonts w:hint="eastAsia" w:asciiTheme="majorEastAsia" w:hAnsiTheme="majorEastAsia" w:eastAsiaTheme="majorEastAsia" w:cstheme="majorEastAsia"/>
          <w:sz w:val="24"/>
          <w:szCs w:val="24"/>
          <w:highlight w:val="none"/>
          <w:shd w:val="clear" w:color="auto" w:fill="FFFFFF"/>
          <w:lang w:val="en-US" w:eastAsia="zh-CN"/>
        </w:rPr>
        <w:t>09</w:t>
      </w:r>
      <w:r>
        <w:rPr>
          <w:rFonts w:hint="eastAsia" w:ascii="宋体" w:hAnsi="宋体" w:eastAsia="宋体" w:cs="宋体"/>
          <w:sz w:val="24"/>
          <w:szCs w:val="24"/>
          <w:highlight w:val="none"/>
        </w:rPr>
        <w:t>日上午09:00时至12:00时，下午14:00时至17:00时(节假除外)，由委托人携带法定代表人授权委托书和被授权人有效身份证件(法定代表人直接获取时，须出示法定代表人身份证明和法定代表人有效身份证件)在</w:t>
      </w:r>
      <w:r>
        <w:rPr>
          <w:rFonts w:hint="eastAsia" w:asciiTheme="majorEastAsia" w:hAnsiTheme="majorEastAsia" w:eastAsiaTheme="majorEastAsia" w:cstheme="majorEastAsia"/>
          <w:sz w:val="24"/>
          <w:szCs w:val="24"/>
          <w:highlight w:val="none"/>
          <w:shd w:val="clear" w:color="auto" w:fill="FFFFFF"/>
          <w:lang w:eastAsia="zh-CN"/>
        </w:rPr>
        <w:t>宝鸡市金台区行政大道海棠风尚1603室</w:t>
      </w:r>
      <w:r>
        <w:rPr>
          <w:rFonts w:hint="eastAsia" w:ascii="宋体" w:hAnsi="宋体" w:eastAsia="宋体" w:cs="宋体"/>
          <w:sz w:val="24"/>
          <w:szCs w:val="24"/>
          <w:highlight w:val="none"/>
          <w:lang w:val="en-US" w:eastAsia="zh-CN"/>
        </w:rPr>
        <w:t>获取竞争性磋商文件。</w:t>
      </w:r>
    </w:p>
    <w:p w14:paraId="0215B0B4">
      <w:pPr>
        <w:widowControl/>
        <w:numPr>
          <w:ilvl w:val="3"/>
          <w:numId w:val="0"/>
        </w:numPr>
        <w:wordWrap w:val="0"/>
        <w:spacing w:line="560" w:lineRule="exact"/>
        <w:ind w:firstLine="482" w:firstLineChars="200"/>
        <w:jc w:val="left"/>
        <w:rPr>
          <w:rFonts w:hint="eastAsia" w:asciiTheme="majorEastAsia" w:hAnsiTheme="majorEastAsia" w:eastAsiaTheme="majorEastAsia" w:cstheme="majorEastAsia"/>
          <w:sz w:val="24"/>
          <w:szCs w:val="24"/>
          <w:highlight w:val="none"/>
        </w:rPr>
      </w:pPr>
      <w:r>
        <w:rPr>
          <w:rStyle w:val="40"/>
          <w:rFonts w:hint="eastAsia" w:asciiTheme="majorEastAsia" w:hAnsiTheme="majorEastAsia" w:eastAsiaTheme="majorEastAsia" w:cstheme="majorEastAsia"/>
          <w:sz w:val="24"/>
          <w:szCs w:val="24"/>
          <w:highlight w:val="none"/>
          <w:shd w:val="clear" w:color="auto" w:fill="FFFFFF"/>
        </w:rPr>
        <w:t>八、对本次招标提出询问，请按以下方式联系。</w:t>
      </w:r>
    </w:p>
    <w:p w14:paraId="6FBBC287">
      <w:pPr>
        <w:widowControl/>
        <w:wordWrap w:val="0"/>
        <w:spacing w:line="560" w:lineRule="exact"/>
        <w:ind w:firstLine="480" w:firstLineChars="20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1.采购人信息</w:t>
      </w:r>
    </w:p>
    <w:p w14:paraId="4DA25C5F">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shd w:val="clear" w:color="auto" w:fill="FFFFFF"/>
        </w:rPr>
        <w:t>名称：</w:t>
      </w:r>
      <w:r>
        <w:rPr>
          <w:rFonts w:hint="eastAsia" w:asciiTheme="majorEastAsia" w:hAnsiTheme="majorEastAsia" w:eastAsiaTheme="majorEastAsia" w:cstheme="majorEastAsia"/>
          <w:sz w:val="24"/>
          <w:szCs w:val="24"/>
          <w:highlight w:val="none"/>
          <w:shd w:val="clear" w:color="auto" w:fill="FFFFFF"/>
          <w:lang w:eastAsia="zh-CN"/>
        </w:rPr>
        <w:t>千阳县民政局</w:t>
      </w:r>
    </w:p>
    <w:p w14:paraId="750990D0">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shd w:val="clear" w:color="auto" w:fill="FFFFFF"/>
          <w:lang w:eastAsia="zh-CN"/>
        </w:rPr>
      </w:pPr>
      <w:r>
        <w:rPr>
          <w:rFonts w:hint="eastAsia" w:asciiTheme="majorEastAsia" w:hAnsiTheme="majorEastAsia" w:eastAsiaTheme="majorEastAsia" w:cstheme="majorEastAsia"/>
          <w:sz w:val="24"/>
          <w:szCs w:val="24"/>
          <w:highlight w:val="none"/>
          <w:shd w:val="clear" w:color="auto" w:fill="FFFFFF"/>
        </w:rPr>
        <w:t>地址：</w:t>
      </w:r>
      <w:r>
        <w:rPr>
          <w:rFonts w:hint="eastAsia" w:asciiTheme="majorEastAsia" w:hAnsiTheme="majorEastAsia" w:eastAsiaTheme="majorEastAsia" w:cstheme="majorEastAsia"/>
          <w:sz w:val="24"/>
          <w:szCs w:val="24"/>
          <w:highlight w:val="none"/>
          <w:shd w:val="clear" w:color="auto" w:fill="FFFFFF"/>
          <w:lang w:eastAsia="zh-CN"/>
        </w:rPr>
        <w:t>千阳县宝平路68号</w:t>
      </w:r>
    </w:p>
    <w:p w14:paraId="51F361C9">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rPr>
        <w:t>联系方式</w:t>
      </w:r>
      <w:r>
        <w:rPr>
          <w:rFonts w:hint="eastAsia" w:asciiTheme="majorEastAsia" w:hAnsiTheme="majorEastAsia" w:eastAsiaTheme="majorEastAsia" w:cstheme="majorEastAsia"/>
          <w:sz w:val="24"/>
          <w:szCs w:val="24"/>
          <w:highlight w:val="none"/>
          <w:shd w:val="clear" w:color="auto" w:fill="FFFFFF"/>
          <w:lang w:eastAsia="zh-CN"/>
        </w:rPr>
        <w:t>：</w:t>
      </w:r>
      <w:r>
        <w:rPr>
          <w:rFonts w:hint="eastAsia" w:asciiTheme="majorEastAsia" w:hAnsiTheme="majorEastAsia" w:eastAsiaTheme="majorEastAsia" w:cstheme="majorEastAsia"/>
          <w:sz w:val="24"/>
          <w:szCs w:val="24"/>
          <w:highlight w:val="none"/>
          <w:shd w:val="clear" w:color="auto" w:fill="FFFFFF"/>
          <w:lang w:val="en-US" w:eastAsia="zh-CN"/>
        </w:rPr>
        <w:t>0917-4230258</w:t>
      </w:r>
    </w:p>
    <w:p w14:paraId="530FCB98">
      <w:pPr>
        <w:widowControl/>
        <w:wordWrap w:val="0"/>
        <w:spacing w:line="560" w:lineRule="exact"/>
        <w:ind w:firstLine="480" w:firstLineChars="20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2.采购代理机构信息</w:t>
      </w:r>
    </w:p>
    <w:p w14:paraId="7CACD51A">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shd w:val="clear" w:color="auto" w:fill="FFFFFF"/>
        </w:rPr>
        <w:t>名称：</w:t>
      </w:r>
      <w:r>
        <w:rPr>
          <w:rFonts w:hint="eastAsia" w:asciiTheme="majorEastAsia" w:hAnsiTheme="majorEastAsia" w:eastAsiaTheme="majorEastAsia" w:cstheme="majorEastAsia"/>
          <w:sz w:val="24"/>
          <w:szCs w:val="24"/>
          <w:highlight w:val="none"/>
          <w:shd w:val="clear" w:color="auto" w:fill="FFFFFF"/>
          <w:lang w:eastAsia="zh-CN"/>
        </w:rPr>
        <w:t>陕西龙恒项目管理有限公司</w:t>
      </w:r>
    </w:p>
    <w:p w14:paraId="6524E2C3">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shd w:val="clear" w:color="auto" w:fill="FFFFFF"/>
        </w:rPr>
        <w:t>地址：</w:t>
      </w:r>
      <w:r>
        <w:rPr>
          <w:rFonts w:hint="eastAsia" w:asciiTheme="majorEastAsia" w:hAnsiTheme="majorEastAsia" w:eastAsiaTheme="majorEastAsia" w:cstheme="majorEastAsia"/>
          <w:sz w:val="24"/>
          <w:szCs w:val="24"/>
          <w:highlight w:val="none"/>
          <w:shd w:val="clear" w:color="auto" w:fill="FFFFFF"/>
          <w:lang w:eastAsia="zh-CN"/>
        </w:rPr>
        <w:t>宝鸡市金台区行政大道海棠风尚1603室</w:t>
      </w:r>
    </w:p>
    <w:p w14:paraId="1620C0B0">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shd w:val="clear" w:color="auto" w:fill="FFFFFF"/>
        </w:rPr>
        <w:t>联系方式：</w:t>
      </w:r>
      <w:r>
        <w:rPr>
          <w:rFonts w:hint="eastAsia" w:asciiTheme="majorEastAsia" w:hAnsiTheme="majorEastAsia" w:eastAsiaTheme="majorEastAsia" w:cstheme="majorEastAsia"/>
          <w:sz w:val="24"/>
          <w:szCs w:val="24"/>
          <w:highlight w:val="none"/>
          <w:shd w:val="clear" w:color="auto" w:fill="FFFFFF"/>
          <w:lang w:val="en-US" w:eastAsia="zh-CN"/>
        </w:rPr>
        <w:t>13892428159</w:t>
      </w:r>
    </w:p>
    <w:p w14:paraId="4194AB54">
      <w:pPr>
        <w:widowControl/>
        <w:wordWrap w:val="0"/>
        <w:spacing w:line="560" w:lineRule="exact"/>
        <w:ind w:firstLine="480" w:firstLineChars="20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shd w:val="clear" w:color="auto" w:fill="FFFFFF"/>
        </w:rPr>
        <w:t>3.项目联系方式</w:t>
      </w:r>
    </w:p>
    <w:p w14:paraId="26B464D2">
      <w:pPr>
        <w:pStyle w:val="32"/>
        <w:widowControl/>
        <w:wordWrap w:val="0"/>
        <w:spacing w:line="560" w:lineRule="exact"/>
        <w:ind w:firstLine="480"/>
        <w:jc w:val="both"/>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shd w:val="clear" w:color="auto" w:fill="FFFFFF"/>
        </w:rPr>
        <w:t>项目联系人：</w:t>
      </w:r>
      <w:r>
        <w:rPr>
          <w:rFonts w:hint="eastAsia" w:asciiTheme="majorEastAsia" w:hAnsiTheme="majorEastAsia" w:eastAsiaTheme="majorEastAsia" w:cstheme="majorEastAsia"/>
          <w:sz w:val="24"/>
          <w:szCs w:val="24"/>
          <w:highlight w:val="none"/>
          <w:shd w:val="clear" w:color="auto" w:fill="FFFFFF"/>
          <w:lang w:eastAsia="zh-CN"/>
        </w:rPr>
        <w:t>魏瑞</w:t>
      </w:r>
    </w:p>
    <w:p w14:paraId="50558CB7">
      <w:pPr>
        <w:pStyle w:val="32"/>
        <w:widowControl/>
        <w:wordWrap w:val="0"/>
        <w:spacing w:line="560" w:lineRule="exact"/>
        <w:ind w:firstLine="480"/>
        <w:jc w:val="both"/>
        <w:rPr>
          <w:rFonts w:hint="eastAsia" w:asciiTheme="majorEastAsia" w:hAnsiTheme="majorEastAsia" w:eastAsiaTheme="majorEastAsia" w:cstheme="majorEastAsia"/>
          <w:color w:val="333333"/>
          <w:sz w:val="24"/>
          <w:szCs w:val="24"/>
          <w:highlight w:val="none"/>
          <w:shd w:val="clear" w:color="auto" w:fill="FFFFFF"/>
          <w:lang w:eastAsia="zh-CN"/>
        </w:rPr>
      </w:pPr>
      <w:r>
        <w:rPr>
          <w:rFonts w:hint="eastAsia" w:asciiTheme="majorEastAsia" w:hAnsiTheme="majorEastAsia" w:eastAsiaTheme="majorEastAsia" w:cstheme="majorEastAsia"/>
          <w:sz w:val="24"/>
          <w:szCs w:val="24"/>
          <w:highlight w:val="none"/>
          <w:shd w:val="clear" w:color="auto" w:fill="FFFFFF"/>
        </w:rPr>
        <w:t>电话：</w:t>
      </w:r>
      <w:r>
        <w:rPr>
          <w:rFonts w:hint="eastAsia" w:asciiTheme="majorEastAsia" w:hAnsiTheme="majorEastAsia" w:eastAsiaTheme="majorEastAsia" w:cstheme="majorEastAsia"/>
          <w:sz w:val="24"/>
          <w:szCs w:val="24"/>
          <w:highlight w:val="none"/>
          <w:shd w:val="clear" w:color="auto" w:fill="FFFFFF"/>
          <w:lang w:eastAsia="zh-CN"/>
        </w:rPr>
        <w:t>13892428159</w:t>
      </w:r>
    </w:p>
    <w:p w14:paraId="58CA6319">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05919A4E">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206D9BF0">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4CA591A0">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3EFB3BA4">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67908A71">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66E38810">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57F91241">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489F3C09">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706ED6AB">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1749443F">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539AFDB0">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6C157BE3">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0EC5331E">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27663EF2">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412EAA29">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27F4804F">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3A7B7E69">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50A57824">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230F2B36">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10FC9880">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58112191">
      <w:pPr>
        <w:rPr>
          <w:rFonts w:hint="eastAsia" w:asciiTheme="majorEastAsia" w:hAnsiTheme="majorEastAsia" w:eastAsiaTheme="majorEastAsia" w:cstheme="majorEastAsia"/>
          <w:color w:val="000000" w:themeColor="text1"/>
          <w:sz w:val="24"/>
          <w:szCs w:val="24"/>
          <w:highlight w:val="none"/>
          <w:shd w:val="clear" w:color="auto" w:fill="FFFFFF"/>
          <w:lang w:eastAsia="zh-CN"/>
          <w14:textFill>
            <w14:solidFill>
              <w14:schemeClr w14:val="tx1"/>
            </w14:solidFill>
          </w14:textFill>
        </w:rPr>
      </w:pPr>
    </w:p>
    <w:p w14:paraId="289C7ABA">
      <w:pPr>
        <w:spacing w:line="360" w:lineRule="auto"/>
        <w:jc w:val="center"/>
        <w:outlineLvl w:val="0"/>
        <w:rPr>
          <w:rFonts w:hint="eastAsia" w:ascii="宋体" w:hAnsi="宋体" w:eastAsia="宋体" w:cs="宋体"/>
          <w:b/>
          <w:bCs/>
          <w:color w:val="000000" w:themeColor="text1"/>
          <w:kern w:val="0"/>
          <w:sz w:val="36"/>
          <w:szCs w:val="36"/>
          <w:highlight w:val="none"/>
          <w14:textFill>
            <w14:solidFill>
              <w14:schemeClr w14:val="tx1"/>
            </w14:solidFill>
          </w14:textFill>
        </w:rPr>
      </w:pPr>
      <w:bookmarkStart w:id="8" w:name="_Toc16524"/>
      <w:r>
        <w:rPr>
          <w:rFonts w:hint="eastAsia" w:ascii="宋体" w:hAnsi="宋体" w:eastAsia="宋体" w:cs="宋体"/>
          <w:b/>
          <w:bCs/>
          <w:color w:val="000000" w:themeColor="text1"/>
          <w:kern w:val="0"/>
          <w:sz w:val="36"/>
          <w:szCs w:val="36"/>
          <w:highlight w:val="none"/>
          <w14:textFill>
            <w14:solidFill>
              <w14:schemeClr w14:val="tx1"/>
            </w14:solidFill>
          </w14:textFill>
        </w:rPr>
        <w:t>第二章 供应商须知</w:t>
      </w:r>
      <w:bookmarkEnd w:id="3"/>
      <w:bookmarkEnd w:id="4"/>
      <w:bookmarkEnd w:id="5"/>
      <w:bookmarkEnd w:id="6"/>
      <w:bookmarkEnd w:id="7"/>
      <w:bookmarkEnd w:id="8"/>
      <w:bookmarkStart w:id="9" w:name="_Toc458617454"/>
      <w:bookmarkStart w:id="10" w:name="_Toc458617731"/>
      <w:bookmarkStart w:id="11" w:name="_Toc8707"/>
    </w:p>
    <w:p w14:paraId="26B26519">
      <w:pPr>
        <w:spacing w:line="360" w:lineRule="auto"/>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一、供应商须知前附表</w:t>
      </w:r>
      <w:bookmarkEnd w:id="9"/>
      <w:bookmarkEnd w:id="10"/>
      <w:bookmarkEnd w:id="11"/>
    </w:p>
    <w:tbl>
      <w:tblPr>
        <w:tblStyle w:val="37"/>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48"/>
        <w:gridCol w:w="6110"/>
      </w:tblGrid>
      <w:tr w14:paraId="51DE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9" w:type="dxa"/>
            <w:vAlign w:val="center"/>
          </w:tcPr>
          <w:p w14:paraId="7EB8ED7B">
            <w:pPr>
              <w:spacing w:line="500" w:lineRule="exact"/>
              <w:jc w:val="center"/>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序号</w:t>
            </w:r>
          </w:p>
        </w:tc>
        <w:tc>
          <w:tcPr>
            <w:tcW w:w="1948" w:type="dxa"/>
            <w:vAlign w:val="center"/>
          </w:tcPr>
          <w:p w14:paraId="70DB554F">
            <w:pPr>
              <w:spacing w:line="500" w:lineRule="exact"/>
              <w:jc w:val="center"/>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条款名称</w:t>
            </w:r>
          </w:p>
        </w:tc>
        <w:tc>
          <w:tcPr>
            <w:tcW w:w="6110" w:type="dxa"/>
            <w:vAlign w:val="center"/>
          </w:tcPr>
          <w:p w14:paraId="5C88067B">
            <w:pPr>
              <w:spacing w:line="500" w:lineRule="exact"/>
              <w:ind w:firstLine="2168" w:firstLineChars="900"/>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说明和要求</w:t>
            </w:r>
          </w:p>
        </w:tc>
      </w:tr>
      <w:tr w14:paraId="79CF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dxa"/>
            <w:vAlign w:val="center"/>
          </w:tcPr>
          <w:p w14:paraId="1EE12281">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p>
        </w:tc>
        <w:tc>
          <w:tcPr>
            <w:tcW w:w="1948" w:type="dxa"/>
            <w:vAlign w:val="center"/>
          </w:tcPr>
          <w:p w14:paraId="25C14C7E">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采购人</w:t>
            </w:r>
          </w:p>
        </w:tc>
        <w:tc>
          <w:tcPr>
            <w:tcW w:w="6110" w:type="dxa"/>
            <w:vAlign w:val="center"/>
          </w:tcPr>
          <w:p w14:paraId="5CA1F921">
            <w:pPr>
              <w:spacing w:line="500" w:lineRule="exac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名    称：</w:t>
            </w:r>
            <w:r>
              <w:rPr>
                <w:rFonts w:hint="eastAsia" w:ascii="宋体" w:hAnsi="宋体" w:eastAsia="宋体" w:cs="宋体"/>
                <w:color w:val="000000" w:themeColor="text1"/>
                <w:szCs w:val="24"/>
                <w:highlight w:val="none"/>
                <w:lang w:eastAsia="zh-CN"/>
                <w14:textFill>
                  <w14:solidFill>
                    <w14:schemeClr w14:val="tx1"/>
                  </w14:solidFill>
                </w14:textFill>
              </w:rPr>
              <w:t>千阳县民政局</w:t>
            </w:r>
          </w:p>
          <w:p w14:paraId="2F0F96EF">
            <w:pPr>
              <w:spacing w:line="500" w:lineRule="exac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地   </w:t>
            </w: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址：</w:t>
            </w:r>
            <w:r>
              <w:rPr>
                <w:rFonts w:hint="eastAsia" w:ascii="宋体" w:hAnsi="宋体" w:eastAsia="宋体" w:cs="宋体"/>
                <w:color w:val="000000" w:themeColor="text1"/>
                <w:szCs w:val="24"/>
                <w:highlight w:val="none"/>
                <w:lang w:eastAsia="zh-CN"/>
                <w14:textFill>
                  <w14:solidFill>
                    <w14:schemeClr w14:val="tx1"/>
                  </w14:solidFill>
                </w14:textFill>
              </w:rPr>
              <w:t>千阳县宝平路68号</w:t>
            </w:r>
          </w:p>
          <w:p w14:paraId="125B0A00">
            <w:pPr>
              <w:spacing w:line="50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r>
              <w:rPr>
                <w:rFonts w:hint="eastAsia" w:ascii="宋体" w:hAnsi="宋体" w:eastAsia="宋体" w:cs="宋体"/>
                <w:color w:val="000000" w:themeColor="text1"/>
                <w:szCs w:val="24"/>
                <w:highlight w:val="none"/>
                <w:lang w:val="en-US" w:eastAsia="zh-CN"/>
                <w14:textFill>
                  <w14:solidFill>
                    <w14:schemeClr w14:val="tx1"/>
                  </w14:solidFill>
                </w14:textFill>
              </w:rPr>
              <w:t>武李阳</w:t>
            </w:r>
          </w:p>
          <w:p w14:paraId="4142E73E">
            <w:pPr>
              <w:spacing w:line="500" w:lineRule="exact"/>
              <w:rPr>
                <w:rFonts w:hint="default" w:ascii="宋体" w:hAnsi="宋体" w:eastAsia="宋体" w:cs="宋体"/>
                <w:color w:val="000000" w:themeColor="text1"/>
                <w:szCs w:val="24"/>
                <w:highlight w:val="none"/>
                <w:lang w:val="en-US"/>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联系方式：</w:t>
            </w:r>
            <w:r>
              <w:rPr>
                <w:rFonts w:hint="eastAsia" w:asciiTheme="majorEastAsia" w:hAnsiTheme="majorEastAsia" w:eastAsiaTheme="majorEastAsia" w:cstheme="majorEastAsia"/>
                <w:sz w:val="24"/>
                <w:szCs w:val="24"/>
                <w:highlight w:val="none"/>
                <w:shd w:val="clear" w:color="auto" w:fill="FFFFFF"/>
                <w:lang w:val="en-US" w:eastAsia="zh-CN"/>
              </w:rPr>
              <w:t>0917-4230258</w:t>
            </w: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p>
        </w:tc>
      </w:tr>
      <w:tr w14:paraId="6552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659" w:type="dxa"/>
            <w:vAlign w:val="center"/>
          </w:tcPr>
          <w:p w14:paraId="6973B7D8">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p>
        </w:tc>
        <w:tc>
          <w:tcPr>
            <w:tcW w:w="1948" w:type="dxa"/>
            <w:vAlign w:val="center"/>
          </w:tcPr>
          <w:p w14:paraId="4460FEA7">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采购代理机构</w:t>
            </w:r>
          </w:p>
        </w:tc>
        <w:tc>
          <w:tcPr>
            <w:tcW w:w="6110" w:type="dxa"/>
            <w:vAlign w:val="center"/>
          </w:tcPr>
          <w:p w14:paraId="75A25616">
            <w:pPr>
              <w:spacing w:line="500" w:lineRule="exac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名称：</w:t>
            </w:r>
            <w:r>
              <w:rPr>
                <w:rFonts w:hint="eastAsia" w:ascii="宋体" w:hAnsi="宋体" w:eastAsia="宋体" w:cs="宋体"/>
                <w:color w:val="000000" w:themeColor="text1"/>
                <w:szCs w:val="24"/>
                <w:highlight w:val="none"/>
                <w:lang w:eastAsia="zh-CN"/>
                <w14:textFill>
                  <w14:solidFill>
                    <w14:schemeClr w14:val="tx1"/>
                  </w14:solidFill>
                </w14:textFill>
              </w:rPr>
              <w:t>陕西龙恒项目管理有限公司</w:t>
            </w:r>
          </w:p>
          <w:p w14:paraId="325EDC1F">
            <w:pPr>
              <w:spacing w:line="500" w:lineRule="exac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地址：</w:t>
            </w:r>
            <w:r>
              <w:rPr>
                <w:rFonts w:hint="eastAsia" w:ascii="宋体" w:hAnsi="宋体" w:eastAsia="宋体" w:cs="宋体"/>
                <w:color w:val="000000" w:themeColor="text1"/>
                <w:szCs w:val="24"/>
                <w:highlight w:val="none"/>
                <w:lang w:eastAsia="zh-CN"/>
                <w14:textFill>
                  <w14:solidFill>
                    <w14:schemeClr w14:val="tx1"/>
                  </w14:solidFill>
                </w14:textFill>
              </w:rPr>
              <w:t>宝鸡市金台区行政大道海棠风尚1603室</w:t>
            </w:r>
          </w:p>
          <w:p w14:paraId="1E15E6FC">
            <w:pPr>
              <w:spacing w:line="500" w:lineRule="exact"/>
              <w:rPr>
                <w:rFonts w:hint="default" w:ascii="宋体" w:hAnsi="宋体" w:eastAsia="宋体" w:cs="宋体"/>
                <w:b/>
                <w:color w:val="000000" w:themeColor="text1"/>
                <w:szCs w:val="24"/>
                <w:highlight w:val="none"/>
                <w:u w:val="wavyHeavy" w:color="FF0000"/>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r>
              <w:rPr>
                <w:rFonts w:hint="eastAsia" w:ascii="宋体" w:hAnsi="宋体" w:eastAsia="宋体" w:cs="宋体"/>
                <w:color w:val="000000" w:themeColor="text1"/>
                <w:szCs w:val="24"/>
                <w:highlight w:val="none"/>
                <w:lang w:val="en-US" w:eastAsia="zh-CN"/>
                <w14:textFill>
                  <w14:solidFill>
                    <w14:schemeClr w14:val="tx1"/>
                  </w14:solidFill>
                </w14:textFill>
              </w:rPr>
              <w:t>魏瑞</w:t>
            </w:r>
          </w:p>
          <w:p w14:paraId="2A6277A3">
            <w:pPr>
              <w:spacing w:line="500" w:lineRule="exac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联系方式：</w:t>
            </w:r>
            <w:r>
              <w:rPr>
                <w:rFonts w:hint="eastAsia" w:ascii="宋体" w:hAnsi="宋体" w:eastAsia="宋体" w:cs="宋体"/>
                <w:color w:val="000000" w:themeColor="text1"/>
                <w:szCs w:val="24"/>
                <w:highlight w:val="none"/>
                <w:lang w:eastAsia="zh-CN"/>
                <w14:textFill>
                  <w14:solidFill>
                    <w14:schemeClr w14:val="tx1"/>
                  </w14:solidFill>
                </w14:textFill>
              </w:rPr>
              <w:t>13892428159</w:t>
            </w:r>
          </w:p>
        </w:tc>
      </w:tr>
      <w:tr w14:paraId="17C8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59" w:type="dxa"/>
            <w:vAlign w:val="center"/>
          </w:tcPr>
          <w:p w14:paraId="51C5B1DA">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w:t>
            </w:r>
          </w:p>
        </w:tc>
        <w:tc>
          <w:tcPr>
            <w:tcW w:w="1948" w:type="dxa"/>
            <w:vAlign w:val="center"/>
          </w:tcPr>
          <w:p w14:paraId="2AB78C71">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监督管理机构</w:t>
            </w:r>
          </w:p>
        </w:tc>
        <w:tc>
          <w:tcPr>
            <w:tcW w:w="6110" w:type="dxa"/>
            <w:vAlign w:val="center"/>
          </w:tcPr>
          <w:p w14:paraId="3322FFE9">
            <w:pPr>
              <w:spacing w:line="50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千阳县财政局    </w:t>
            </w:r>
          </w:p>
        </w:tc>
      </w:tr>
      <w:tr w14:paraId="7810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59" w:type="dxa"/>
            <w:vAlign w:val="center"/>
          </w:tcPr>
          <w:p w14:paraId="35187FEA">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p>
        </w:tc>
        <w:tc>
          <w:tcPr>
            <w:tcW w:w="1948" w:type="dxa"/>
            <w:vAlign w:val="center"/>
          </w:tcPr>
          <w:p w14:paraId="4AEC4C12">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项目名称</w:t>
            </w:r>
          </w:p>
        </w:tc>
        <w:tc>
          <w:tcPr>
            <w:tcW w:w="6110" w:type="dxa"/>
            <w:vAlign w:val="center"/>
          </w:tcPr>
          <w:p w14:paraId="7FDE45DB">
            <w:pPr>
              <w:spacing w:line="50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sz w:val="24"/>
                <w:szCs w:val="24"/>
                <w:highlight w:val="none"/>
                <w:lang w:eastAsia="zh-CN"/>
              </w:rPr>
              <w:t>千阳县民政局适老化改造项目</w:t>
            </w:r>
          </w:p>
        </w:tc>
      </w:tr>
      <w:tr w14:paraId="61DC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dxa"/>
            <w:vAlign w:val="center"/>
          </w:tcPr>
          <w:p w14:paraId="257A22E6">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w:t>
            </w:r>
          </w:p>
        </w:tc>
        <w:tc>
          <w:tcPr>
            <w:tcW w:w="1948" w:type="dxa"/>
            <w:vAlign w:val="center"/>
          </w:tcPr>
          <w:p w14:paraId="6AAC5D93">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项目编号</w:t>
            </w:r>
          </w:p>
        </w:tc>
        <w:tc>
          <w:tcPr>
            <w:tcW w:w="6110" w:type="dxa"/>
            <w:vAlign w:val="center"/>
          </w:tcPr>
          <w:p w14:paraId="4BF9DBA5">
            <w:pPr>
              <w:widowControl/>
              <w:spacing w:line="50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SXLH2025(031)CG</w:t>
            </w:r>
          </w:p>
        </w:tc>
      </w:tr>
      <w:tr w14:paraId="28EB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59" w:type="dxa"/>
            <w:vAlign w:val="center"/>
          </w:tcPr>
          <w:p w14:paraId="64C03886">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w:t>
            </w:r>
          </w:p>
        </w:tc>
        <w:tc>
          <w:tcPr>
            <w:tcW w:w="1948" w:type="dxa"/>
            <w:vAlign w:val="center"/>
          </w:tcPr>
          <w:p w14:paraId="39A5E33E">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资金性质</w:t>
            </w:r>
          </w:p>
        </w:tc>
        <w:tc>
          <w:tcPr>
            <w:tcW w:w="6110" w:type="dxa"/>
            <w:vAlign w:val="center"/>
          </w:tcPr>
          <w:p w14:paraId="55092CDF">
            <w:pPr>
              <w:spacing w:line="5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szCs w:val="24"/>
                <w:highlight w:val="none"/>
              </w:rPr>
              <w:t>财政资金</w:t>
            </w:r>
          </w:p>
        </w:tc>
      </w:tr>
      <w:tr w14:paraId="0315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59" w:type="dxa"/>
            <w:vAlign w:val="center"/>
          </w:tcPr>
          <w:p w14:paraId="163A8A84">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7</w:t>
            </w:r>
          </w:p>
        </w:tc>
        <w:tc>
          <w:tcPr>
            <w:tcW w:w="1948" w:type="dxa"/>
            <w:vAlign w:val="center"/>
          </w:tcPr>
          <w:p w14:paraId="7D44397B">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项目最高限价</w:t>
            </w:r>
          </w:p>
        </w:tc>
        <w:tc>
          <w:tcPr>
            <w:tcW w:w="6110" w:type="dxa"/>
            <w:vAlign w:val="center"/>
          </w:tcPr>
          <w:p w14:paraId="1D16A901">
            <w:pPr>
              <w:keepNext w:val="0"/>
              <w:keepLines w:val="0"/>
              <w:pageBreakBefore w:val="0"/>
              <w:wordWrap/>
              <w:topLinePunct w:val="0"/>
              <w:autoSpaceDE/>
              <w:autoSpaceDN/>
              <w:bidi w:val="0"/>
              <w:spacing w:line="360" w:lineRule="auto"/>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szCs w:val="24"/>
                <w:highlight w:val="none"/>
                <w:shd w:val="clear"/>
                <w:lang w:val="en-US" w:eastAsia="zh-CN"/>
              </w:rPr>
              <w:t>140000.00</w:t>
            </w:r>
            <w:r>
              <w:rPr>
                <w:rFonts w:hint="eastAsia" w:ascii="宋体" w:hAnsi="宋体" w:eastAsia="宋体" w:cs="宋体"/>
                <w:szCs w:val="24"/>
                <w:highlight w:val="none"/>
              </w:rPr>
              <w:t>元</w:t>
            </w:r>
            <w:r>
              <w:rPr>
                <w:rFonts w:hint="eastAsia" w:ascii="宋体" w:hAnsi="宋体" w:eastAsia="宋体" w:cs="宋体"/>
                <w:szCs w:val="24"/>
                <w:highlight w:val="none"/>
                <w:lang w:eastAsia="zh-CN"/>
              </w:rPr>
              <w:t>，</w:t>
            </w:r>
            <w:r>
              <w:rPr>
                <w:rFonts w:hint="eastAsia" w:ascii="宋体" w:hAnsi="宋体" w:eastAsia="宋体" w:cs="宋体"/>
                <w:color w:val="000000" w:themeColor="text1"/>
                <w:szCs w:val="24"/>
                <w:highlight w:val="none"/>
                <w14:textFill>
                  <w14:solidFill>
                    <w14:schemeClr w14:val="tx1"/>
                  </w14:solidFill>
                </w14:textFill>
              </w:rPr>
              <w:t>超出项目最高限价为无效报价，按废标处理。</w:t>
            </w:r>
          </w:p>
        </w:tc>
      </w:tr>
      <w:tr w14:paraId="7DB0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659" w:type="dxa"/>
            <w:vAlign w:val="center"/>
          </w:tcPr>
          <w:p w14:paraId="6B3B8AA0">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8</w:t>
            </w:r>
          </w:p>
        </w:tc>
        <w:tc>
          <w:tcPr>
            <w:tcW w:w="1948" w:type="dxa"/>
            <w:vAlign w:val="center"/>
          </w:tcPr>
          <w:p w14:paraId="1B7526BC">
            <w:pPr>
              <w:spacing w:line="5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项目用途</w:t>
            </w:r>
          </w:p>
        </w:tc>
        <w:tc>
          <w:tcPr>
            <w:tcW w:w="6110" w:type="dxa"/>
            <w:shd w:val="clear" w:color="auto" w:fill="auto"/>
            <w:vAlign w:val="center"/>
          </w:tcPr>
          <w:p w14:paraId="51218468">
            <w:pPr>
              <w:spacing w:line="360" w:lineRule="auto"/>
              <w:ind w:firstLine="480" w:firstLineChars="20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Cs w:val="24"/>
                <w:highlight w:val="none"/>
                <w14:textFill>
                  <w14:solidFill>
                    <w14:schemeClr w14:val="tx1"/>
                  </w14:solidFill>
                </w14:textFill>
              </w:rPr>
              <w:t>本次改造项目坚持以人民为中心的发展思想，按照自愿、安全、便利、经济的原则。主要以“室内行走便利、如厕洗澡安全、厨房操作方便、居家环境改善、只能安全监护、辅助器具适配”为主要目标，对纳入分散供养特困人员范围的高龄、失能、残疾老年人家庭实施居家适老化改造。有条件的县区可以将改造对象范围逐步扩大到城乡低保对象中的高龄、失能、留守、空巢、残疾老年人家庭和计划生育特殊家庭等</w:t>
            </w:r>
            <w:r>
              <w:rPr>
                <w:rFonts w:hint="eastAsia" w:ascii="宋体" w:hAnsi="宋体" w:eastAsia="宋体" w:cs="宋体"/>
                <w:b w:val="0"/>
                <w:bCs w:val="0"/>
                <w:color w:val="000000" w:themeColor="text1"/>
                <w:szCs w:val="24"/>
                <w:highlight w:val="none"/>
                <w:lang w:eastAsia="zh-CN"/>
                <w14:textFill>
                  <w14:solidFill>
                    <w14:schemeClr w14:val="tx1"/>
                  </w14:solidFill>
                </w14:textFill>
              </w:rPr>
              <w:t>。</w:t>
            </w:r>
          </w:p>
        </w:tc>
      </w:tr>
      <w:tr w14:paraId="0741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59" w:type="dxa"/>
            <w:vAlign w:val="center"/>
          </w:tcPr>
          <w:p w14:paraId="3EEA999E">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9</w:t>
            </w:r>
          </w:p>
        </w:tc>
        <w:tc>
          <w:tcPr>
            <w:tcW w:w="1948" w:type="dxa"/>
            <w:vAlign w:val="center"/>
          </w:tcPr>
          <w:p w14:paraId="1923AC0F">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采购内容和要求</w:t>
            </w:r>
          </w:p>
        </w:tc>
        <w:tc>
          <w:tcPr>
            <w:tcW w:w="6110" w:type="dxa"/>
            <w:shd w:val="clear" w:color="auto" w:fill="auto"/>
            <w:vAlign w:val="center"/>
          </w:tcPr>
          <w:p w14:paraId="3AFE6918">
            <w:pPr>
              <w:spacing w:line="360" w:lineRule="auto"/>
              <w:ind w:firstLine="480" w:firstLineChars="20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Cs w:val="24"/>
                <w:highlight w:val="none"/>
                <w14:textFill>
                  <w14:solidFill>
                    <w14:schemeClr w14:val="tx1"/>
                  </w14:solidFill>
                </w14:textFill>
              </w:rPr>
              <w:t>特殊困难老年人家庭适老化改造要聚集老年人安全、健康等功能性需求、选择适配性产品、组成不同场景居家环境的产品服务包，包括地面。墙体、居室、厨房间、卫生间等施工改造服务，围绕施工改造、设施配置、老年用品配置等方面，按照老年人家庭适老化项目和老年用品配置科学组织实施。</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（详见采购内容及要求）</w:t>
            </w:r>
          </w:p>
        </w:tc>
      </w:tr>
      <w:tr w14:paraId="16A9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59" w:type="dxa"/>
            <w:vAlign w:val="center"/>
          </w:tcPr>
          <w:p w14:paraId="14FB7B18">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10</w:t>
            </w:r>
          </w:p>
        </w:tc>
        <w:tc>
          <w:tcPr>
            <w:tcW w:w="1948" w:type="dxa"/>
            <w:vAlign w:val="center"/>
          </w:tcPr>
          <w:p w14:paraId="7FD4D711">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w:t>
            </w:r>
          </w:p>
        </w:tc>
        <w:tc>
          <w:tcPr>
            <w:tcW w:w="6110" w:type="dxa"/>
            <w:vAlign w:val="center"/>
          </w:tcPr>
          <w:p w14:paraId="1C18CF4A">
            <w:pPr>
              <w:spacing w:line="500" w:lineRule="exact"/>
              <w:rPr>
                <w:rFonts w:hint="eastAsia" w:ascii="宋体" w:hAnsi="宋体" w:eastAsia="宋体" w:cs="宋体"/>
                <w:color w:val="auto"/>
                <w:kern w:val="2"/>
                <w:sz w:val="24"/>
                <w:szCs w:val="22"/>
                <w:highlight w:val="none"/>
                <w:shd w:val="clear" w:color="auto" w:fill="FFFFFF"/>
                <w:lang w:val="en-US" w:eastAsia="zh-CN" w:bidi="ar-SA"/>
              </w:rPr>
            </w:pPr>
            <w:r>
              <w:rPr>
                <w:rFonts w:hint="eastAsia" w:ascii="宋体" w:hAnsi="宋体" w:eastAsia="宋体" w:cs="宋体"/>
                <w:color w:val="auto"/>
                <w:kern w:val="2"/>
                <w:sz w:val="24"/>
                <w:szCs w:val="22"/>
                <w:highlight w:val="none"/>
                <w:shd w:val="clear" w:color="auto" w:fill="FFFFFF"/>
                <w:lang w:val="en-US" w:eastAsia="zh-CN" w:bidi="ar-SA"/>
              </w:rPr>
              <w:t>符合本次竞争性磋商所规定的资格条件，从</w:t>
            </w:r>
            <w:r>
              <w:rPr>
                <w:rFonts w:hint="eastAsia" w:ascii="宋体" w:hAnsi="宋体" w:eastAsia="宋体" w:cs="宋体"/>
                <w:color w:val="000000" w:themeColor="text1"/>
                <w:szCs w:val="24"/>
                <w:highlight w:val="none"/>
                <w:lang w:eastAsia="zh-CN"/>
                <w14:textFill>
                  <w14:solidFill>
                    <w14:schemeClr w14:val="tx1"/>
                  </w14:solidFill>
                </w14:textFill>
              </w:rPr>
              <w:t>陕西龙恒项目管理有限公司</w:t>
            </w:r>
            <w:r>
              <w:rPr>
                <w:rFonts w:hint="eastAsia" w:ascii="宋体" w:hAnsi="宋体" w:eastAsia="宋体" w:cs="宋体"/>
                <w:color w:val="000000" w:themeColor="text1"/>
                <w:szCs w:val="24"/>
                <w:highlight w:val="none"/>
                <w:lang w:val="en-US" w:eastAsia="zh-CN"/>
                <w14:textFill>
                  <w14:solidFill>
                    <w14:schemeClr w14:val="tx1"/>
                  </w14:solidFill>
                </w14:textFill>
              </w:rPr>
              <w:t>获取文件</w:t>
            </w:r>
            <w:r>
              <w:rPr>
                <w:rFonts w:hint="eastAsia" w:ascii="宋体" w:hAnsi="宋体" w:eastAsia="宋体" w:cs="宋体"/>
                <w:color w:val="auto"/>
                <w:kern w:val="2"/>
                <w:sz w:val="24"/>
                <w:szCs w:val="22"/>
                <w:highlight w:val="none"/>
                <w:shd w:val="clear" w:color="auto" w:fill="FFFFFF"/>
                <w:lang w:val="en-US" w:eastAsia="zh-CN" w:bidi="ar-SA"/>
              </w:rPr>
              <w:t>，并自愿参加磋商活动的供应商。</w:t>
            </w:r>
          </w:p>
        </w:tc>
      </w:tr>
      <w:tr w14:paraId="51F2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trPr>
        <w:tc>
          <w:tcPr>
            <w:tcW w:w="659" w:type="dxa"/>
            <w:vAlign w:val="center"/>
          </w:tcPr>
          <w:p w14:paraId="46104085">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11</w:t>
            </w:r>
          </w:p>
        </w:tc>
        <w:tc>
          <w:tcPr>
            <w:tcW w:w="1948" w:type="dxa"/>
            <w:vAlign w:val="center"/>
          </w:tcPr>
          <w:p w14:paraId="7408DD49">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供应商资格要求</w:t>
            </w:r>
          </w:p>
        </w:tc>
        <w:tc>
          <w:tcPr>
            <w:tcW w:w="6110" w:type="dxa"/>
            <w:vAlign w:val="center"/>
          </w:tcPr>
          <w:p w14:paraId="75912A36">
            <w:pPr>
              <w:pStyle w:val="32"/>
              <w:widowControl/>
              <w:numPr>
                <w:ilvl w:val="0"/>
                <w:numId w:val="0"/>
              </w:numPr>
              <w:wordWrap w:val="0"/>
              <w:spacing w:line="560" w:lineRule="exact"/>
              <w:ind w:firstLine="480" w:firstLineChars="200"/>
              <w:jc w:val="both"/>
              <w:rPr>
                <w:rFonts w:hint="eastAsia"/>
                <w:highlight w:val="none"/>
              </w:rPr>
            </w:pPr>
            <w:r>
              <w:rPr>
                <w:rFonts w:hint="eastAsia" w:asciiTheme="majorEastAsia" w:hAnsiTheme="majorEastAsia" w:eastAsiaTheme="majorEastAsia" w:cstheme="majorEastAsia"/>
                <w:sz w:val="24"/>
                <w:szCs w:val="24"/>
                <w:highlight w:val="none"/>
                <w:shd w:val="clear" w:color="auto" w:fill="FFFFFF"/>
                <w:lang w:val="en-US" w:eastAsia="zh-CN"/>
              </w:rPr>
              <w:t>1）</w:t>
            </w:r>
            <w:r>
              <w:rPr>
                <w:rFonts w:hint="eastAsia" w:asciiTheme="majorEastAsia" w:hAnsiTheme="majorEastAsia" w:eastAsiaTheme="majorEastAsia" w:cstheme="majorEastAsia"/>
                <w:sz w:val="24"/>
                <w:szCs w:val="24"/>
                <w:highlight w:val="none"/>
                <w:shd w:val="clear" w:color="auto" w:fill="FFFFFF"/>
              </w:rPr>
              <w:t>营业执照等主体资格证明文件：供应商应为具有独立承担民事责任能力的企业法人、事业法人、其他组织或自然人，企业法人须提供统一社会信用代码的营业执照、事业单位须提供事业单位法人证、组织机构代码证等证明文件、其他组织应提供合法证明文件、自然人参与的提供其身份证；</w:t>
            </w:r>
          </w:p>
          <w:p w14:paraId="12CEBAA6">
            <w:pPr>
              <w:pStyle w:val="32"/>
              <w:widowControl/>
              <w:numPr>
                <w:ilvl w:val="0"/>
                <w:numId w:val="0"/>
              </w:numPr>
              <w:wordWrap w:val="0"/>
              <w:spacing w:line="560" w:lineRule="exact"/>
              <w:ind w:firstLine="480" w:firstLineChars="200"/>
              <w:jc w:val="both"/>
              <w:rPr>
                <w:rFonts w:hint="eastAsia" w:eastAsiaTheme="majorEastAsia"/>
                <w:highlight w:val="none"/>
                <w:lang w:eastAsia="zh-CN"/>
              </w:rPr>
            </w:pPr>
            <w:r>
              <w:rPr>
                <w:rFonts w:hint="eastAsia" w:asciiTheme="majorEastAsia" w:hAnsiTheme="majorEastAsia" w:eastAsiaTheme="majorEastAsia" w:cstheme="majorEastAsia"/>
                <w:sz w:val="24"/>
                <w:szCs w:val="24"/>
                <w:highlight w:val="none"/>
                <w:shd w:val="clear" w:color="auto" w:fill="FFFFFF"/>
              </w:rPr>
              <w:t>2）财务状况报告：</w:t>
            </w:r>
            <w:r>
              <w:rPr>
                <w:rFonts w:hint="eastAsia" w:asciiTheme="majorEastAsia" w:hAnsiTheme="majorEastAsia" w:eastAsiaTheme="majorEastAsia" w:cstheme="majorEastAsia"/>
                <w:sz w:val="24"/>
                <w:szCs w:val="24"/>
                <w:highlight w:val="none"/>
                <w:shd w:val="clear" w:color="auto" w:fill="FFFFFF"/>
                <w:lang w:eastAsia="zh-CN"/>
              </w:rPr>
              <w:t>供应商须提供2024年度的财务审计报告（至少包括资产负债表和利润表，成立时间至提交响应文件截止时间不足一年的可提供成立后任意时段的资产负债表）或开标前六个月内其基本账户开户银行出具的资信证明。其他组织和自然人提供开标前六个月内银行出具的资信证明；</w:t>
            </w:r>
          </w:p>
          <w:p w14:paraId="7086684A">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lang w:eastAsia="zh-CN"/>
              </w:rPr>
            </w:pPr>
            <w:r>
              <w:rPr>
                <w:rFonts w:hint="eastAsia" w:asciiTheme="majorEastAsia" w:hAnsiTheme="majorEastAsia" w:eastAsiaTheme="majorEastAsia" w:cstheme="majorEastAsia"/>
                <w:sz w:val="24"/>
                <w:szCs w:val="24"/>
                <w:highlight w:val="none"/>
                <w:shd w:val="clear" w:color="auto" w:fill="FFFFFF"/>
                <w:lang w:val="en-US" w:eastAsia="zh-CN"/>
              </w:rPr>
              <w:t>3</w:t>
            </w:r>
            <w:r>
              <w:rPr>
                <w:rFonts w:hint="eastAsia" w:asciiTheme="majorEastAsia" w:hAnsiTheme="majorEastAsia" w:eastAsiaTheme="majorEastAsia" w:cstheme="majorEastAsia"/>
                <w:sz w:val="24"/>
                <w:szCs w:val="24"/>
                <w:highlight w:val="none"/>
                <w:shd w:val="clear" w:color="auto" w:fill="FFFFFF"/>
              </w:rPr>
              <w:t>）社保缴纳证明：提供202</w:t>
            </w: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1月至今</w:t>
            </w:r>
            <w:r>
              <w:rPr>
                <w:rFonts w:hint="eastAsia" w:asciiTheme="majorEastAsia" w:hAnsiTheme="majorEastAsia" w:eastAsiaTheme="majorEastAsia" w:cstheme="majorEastAsia"/>
                <w:sz w:val="24"/>
                <w:szCs w:val="24"/>
                <w:highlight w:val="none"/>
                <w:shd w:val="clear" w:color="auto" w:fill="FFFFFF"/>
              </w:rPr>
              <w:t>已缴存的至少</w:t>
            </w:r>
            <w:r>
              <w:rPr>
                <w:rFonts w:hint="eastAsia" w:asciiTheme="majorEastAsia" w:hAnsiTheme="majorEastAsia" w:eastAsiaTheme="majorEastAsia" w:cstheme="majorEastAsia"/>
                <w:sz w:val="24"/>
                <w:szCs w:val="24"/>
                <w:highlight w:val="none"/>
                <w:shd w:val="clear" w:color="auto" w:fill="FFFFFF"/>
                <w:lang w:val="en-US" w:eastAsia="zh-CN"/>
              </w:rPr>
              <w:t>连续</w:t>
            </w:r>
            <w:r>
              <w:rPr>
                <w:rFonts w:hint="eastAsia" w:asciiTheme="majorEastAsia" w:hAnsiTheme="majorEastAsia" w:eastAsiaTheme="majorEastAsia" w:cstheme="majorEastAsia"/>
                <w:sz w:val="24"/>
                <w:szCs w:val="24"/>
                <w:highlight w:val="none"/>
                <w:shd w:val="clear" w:color="auto" w:fill="FFFFFF"/>
              </w:rPr>
              <w:t>六个月的社会保障资金缴存单据或社保机构开具的社会保险参保缴费情况证明，依法不需要缴纳社会保障资金的单位应提供相关证明材料；</w:t>
            </w:r>
          </w:p>
          <w:p w14:paraId="34E95B35">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4</w:t>
            </w:r>
            <w:r>
              <w:rPr>
                <w:rFonts w:hint="eastAsia" w:asciiTheme="majorEastAsia" w:hAnsiTheme="majorEastAsia" w:eastAsiaTheme="majorEastAsia" w:cstheme="majorEastAsia"/>
                <w:sz w:val="24"/>
                <w:szCs w:val="24"/>
                <w:highlight w:val="none"/>
                <w:shd w:val="clear" w:color="auto" w:fill="FFFFFF"/>
              </w:rPr>
              <w:t>）税收缴纳证明：提供202</w:t>
            </w: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1月至今</w:t>
            </w:r>
            <w:r>
              <w:rPr>
                <w:rFonts w:hint="eastAsia" w:asciiTheme="majorEastAsia" w:hAnsiTheme="majorEastAsia" w:eastAsiaTheme="majorEastAsia" w:cstheme="majorEastAsia"/>
                <w:sz w:val="24"/>
                <w:szCs w:val="24"/>
                <w:highlight w:val="none"/>
                <w:shd w:val="clear" w:color="auto" w:fill="FFFFFF"/>
              </w:rPr>
              <w:t>已缴存的至少</w:t>
            </w:r>
            <w:r>
              <w:rPr>
                <w:rFonts w:hint="eastAsia" w:asciiTheme="majorEastAsia" w:hAnsiTheme="majorEastAsia" w:eastAsiaTheme="majorEastAsia" w:cstheme="majorEastAsia"/>
                <w:sz w:val="24"/>
                <w:szCs w:val="24"/>
                <w:highlight w:val="none"/>
                <w:shd w:val="clear" w:color="auto" w:fill="FFFFFF"/>
                <w:lang w:val="en-US" w:eastAsia="zh-CN"/>
              </w:rPr>
              <w:t>连续</w:t>
            </w:r>
            <w:r>
              <w:rPr>
                <w:rFonts w:hint="eastAsia" w:asciiTheme="majorEastAsia" w:hAnsiTheme="majorEastAsia" w:eastAsiaTheme="majorEastAsia" w:cstheme="majorEastAsia"/>
                <w:sz w:val="24"/>
                <w:szCs w:val="24"/>
                <w:highlight w:val="none"/>
                <w:shd w:val="clear" w:color="auto" w:fill="FFFFFF"/>
              </w:rPr>
              <w:t>六个月的纳税证明或完税证明，依法免税的单位应提供相关证明材料</w:t>
            </w:r>
            <w:r>
              <w:rPr>
                <w:rFonts w:hint="eastAsia" w:asciiTheme="majorEastAsia" w:hAnsiTheme="majorEastAsia" w:eastAsiaTheme="majorEastAsia" w:cstheme="majorEastAsia"/>
                <w:sz w:val="24"/>
                <w:szCs w:val="24"/>
                <w:highlight w:val="none"/>
                <w:shd w:val="clear" w:color="auto" w:fill="FFFFFF"/>
                <w:lang w:val="en-US" w:eastAsia="zh-CN"/>
              </w:rPr>
              <w:t>；</w:t>
            </w:r>
          </w:p>
          <w:p w14:paraId="03C65567">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）信用记录：</w:t>
            </w:r>
            <w:r>
              <w:rPr>
                <w:rFonts w:hint="eastAsia" w:asciiTheme="majorEastAsia" w:hAnsiTheme="majorEastAsia" w:eastAsiaTheme="majorEastAsia" w:cstheme="majorEastAsia"/>
                <w:sz w:val="24"/>
                <w:szCs w:val="24"/>
                <w:highlight w:val="none"/>
                <w:shd w:val="clear" w:color="auto" w:fill="FFFFFF"/>
                <w:lang w:val="en-US" w:eastAsia="zh-CN"/>
              </w:rPr>
              <w:t>供应商未被列入“信用中国”网站(www.creditchina.gov.cn)“失信被执行人和重大税收违法失信主体；未被列入“中国政府采购网”(www.ccgp.gov.cn)“政府采购严重违法失信行为信息记录”</w:t>
            </w:r>
            <w:r>
              <w:rPr>
                <w:rFonts w:hint="eastAsia" w:asciiTheme="majorEastAsia" w:hAnsiTheme="majorEastAsia" w:eastAsiaTheme="majorEastAsia" w:cstheme="majorEastAsia"/>
                <w:sz w:val="24"/>
                <w:szCs w:val="24"/>
                <w:highlight w:val="none"/>
                <w:shd w:val="clear" w:color="auto" w:fill="FFFFFF"/>
              </w:rPr>
              <w:t>；</w:t>
            </w:r>
          </w:p>
          <w:p w14:paraId="163C8C35">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6</w:t>
            </w:r>
            <w:r>
              <w:rPr>
                <w:rFonts w:hint="eastAsia" w:asciiTheme="majorEastAsia" w:hAnsiTheme="majorEastAsia" w:eastAsiaTheme="majorEastAsia" w:cstheme="majorEastAsia"/>
                <w:sz w:val="24"/>
                <w:szCs w:val="24"/>
                <w:highlight w:val="none"/>
                <w:shd w:val="clear" w:color="auto" w:fill="FFFFFF"/>
              </w:rPr>
              <w:t>）控股管理关系：单位负责人为同一人或者存在直接控股、管理关系的不同供应商，不得参加同一合同项下的政府采购活动（提供书面承诺</w:t>
            </w:r>
            <w:r>
              <w:rPr>
                <w:rFonts w:hint="eastAsia" w:asciiTheme="majorEastAsia" w:hAnsiTheme="majorEastAsia" w:eastAsiaTheme="majorEastAsia" w:cstheme="majorEastAsia"/>
                <w:sz w:val="24"/>
                <w:szCs w:val="24"/>
                <w:highlight w:val="none"/>
                <w:shd w:val="clear" w:color="auto" w:fill="FFFFFF"/>
                <w:lang w:eastAsia="zh-CN"/>
              </w:rPr>
              <w:t>）</w:t>
            </w:r>
            <w:r>
              <w:rPr>
                <w:rFonts w:hint="eastAsia" w:asciiTheme="majorEastAsia" w:hAnsiTheme="majorEastAsia" w:eastAsiaTheme="majorEastAsia" w:cstheme="majorEastAsia"/>
                <w:sz w:val="24"/>
                <w:szCs w:val="24"/>
                <w:highlight w:val="none"/>
                <w:shd w:val="clear" w:color="auto" w:fill="FFFFFF"/>
              </w:rPr>
              <w:t>；</w:t>
            </w:r>
          </w:p>
          <w:p w14:paraId="035B90B2">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7</w:t>
            </w:r>
            <w:r>
              <w:rPr>
                <w:rFonts w:hint="eastAsia" w:asciiTheme="majorEastAsia" w:hAnsiTheme="majorEastAsia" w:eastAsiaTheme="majorEastAsia" w:cstheme="majorEastAsia"/>
                <w:sz w:val="24"/>
                <w:szCs w:val="24"/>
                <w:highlight w:val="none"/>
                <w:shd w:val="clear" w:color="auto" w:fill="FFFFFF"/>
              </w:rPr>
              <w:t>）书面声明：参加政府采购活动前3年内在经营活动中没有重大违法记录的书面声明；</w:t>
            </w:r>
          </w:p>
          <w:p w14:paraId="79A31DC9">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8</w:t>
            </w:r>
            <w:r>
              <w:rPr>
                <w:rFonts w:hint="eastAsia" w:asciiTheme="majorEastAsia" w:hAnsiTheme="majorEastAsia" w:eastAsiaTheme="majorEastAsia" w:cstheme="majorEastAsia"/>
                <w:sz w:val="24"/>
                <w:szCs w:val="24"/>
                <w:highlight w:val="none"/>
                <w:shd w:val="clear" w:color="auto" w:fill="FFFFFF"/>
              </w:rPr>
              <w:t>）法定代表人授权委托书：法定代表人参加投标的，须出具</w:t>
            </w:r>
            <w:r>
              <w:rPr>
                <w:rFonts w:hint="eastAsia" w:asciiTheme="majorEastAsia" w:hAnsiTheme="majorEastAsia" w:eastAsiaTheme="majorEastAsia" w:cstheme="majorEastAsia"/>
                <w:sz w:val="24"/>
                <w:szCs w:val="24"/>
                <w:highlight w:val="none"/>
                <w:shd w:val="clear" w:color="auto" w:fill="FFFFFF"/>
                <w:lang w:val="en-US" w:eastAsia="zh-CN"/>
              </w:rPr>
              <w:t>法定代表人资格证明书及</w:t>
            </w:r>
            <w:r>
              <w:rPr>
                <w:rFonts w:hint="eastAsia" w:asciiTheme="majorEastAsia" w:hAnsiTheme="majorEastAsia" w:eastAsiaTheme="majorEastAsia" w:cstheme="majorEastAsia"/>
                <w:sz w:val="24"/>
                <w:szCs w:val="24"/>
                <w:highlight w:val="none"/>
                <w:shd w:val="clear" w:color="auto" w:fill="FFFFFF"/>
              </w:rPr>
              <w:t>法定代表人身份证</w:t>
            </w:r>
            <w:r>
              <w:rPr>
                <w:rFonts w:hint="eastAsia" w:asciiTheme="majorEastAsia" w:hAnsiTheme="majorEastAsia" w:eastAsiaTheme="majorEastAsia" w:cstheme="majorEastAsia"/>
                <w:sz w:val="24"/>
                <w:szCs w:val="24"/>
                <w:highlight w:val="none"/>
                <w:shd w:val="clear" w:color="auto" w:fill="FFFFFF"/>
                <w:lang w:val="en-US" w:eastAsia="zh-CN"/>
              </w:rPr>
              <w:t>原件</w:t>
            </w:r>
            <w:r>
              <w:rPr>
                <w:rFonts w:hint="eastAsia" w:asciiTheme="majorEastAsia" w:hAnsiTheme="majorEastAsia" w:eastAsiaTheme="majorEastAsia" w:cstheme="majorEastAsia"/>
                <w:sz w:val="24"/>
                <w:szCs w:val="24"/>
                <w:highlight w:val="none"/>
                <w:shd w:val="clear" w:color="auto" w:fill="FFFFFF"/>
              </w:rPr>
              <w:t>，并与营业执照上信息一致</w:t>
            </w:r>
            <w:r>
              <w:rPr>
                <w:rFonts w:hint="eastAsia" w:asciiTheme="majorEastAsia" w:hAnsiTheme="majorEastAsia" w:eastAsiaTheme="majorEastAsia" w:cstheme="majorEastAsia"/>
                <w:sz w:val="24"/>
                <w:szCs w:val="24"/>
                <w:highlight w:val="none"/>
                <w:shd w:val="clear" w:color="auto" w:fill="FFFFFF"/>
                <w:lang w:eastAsia="zh-CN"/>
              </w:rPr>
              <w:t>；</w:t>
            </w:r>
            <w:r>
              <w:rPr>
                <w:rFonts w:hint="eastAsia" w:asciiTheme="majorEastAsia" w:hAnsiTheme="majorEastAsia" w:eastAsiaTheme="majorEastAsia" w:cstheme="majorEastAsia"/>
                <w:sz w:val="24"/>
                <w:szCs w:val="24"/>
                <w:highlight w:val="none"/>
                <w:shd w:val="clear" w:color="auto" w:fill="FFFFFF"/>
              </w:rPr>
              <w:t>授权代表参加投标的须出具法定代表人</w:t>
            </w:r>
            <w:r>
              <w:rPr>
                <w:rFonts w:hint="eastAsia" w:asciiTheme="majorEastAsia" w:hAnsiTheme="majorEastAsia" w:eastAsiaTheme="majorEastAsia" w:cstheme="majorEastAsia"/>
                <w:sz w:val="24"/>
                <w:szCs w:val="24"/>
                <w:highlight w:val="none"/>
                <w:shd w:val="clear" w:color="auto" w:fill="FFFFFF"/>
                <w:lang w:val="en-US" w:eastAsia="zh-CN"/>
              </w:rPr>
              <w:t>授权委托书</w:t>
            </w:r>
            <w:r>
              <w:rPr>
                <w:rFonts w:hint="eastAsia" w:asciiTheme="majorEastAsia" w:hAnsiTheme="majorEastAsia" w:eastAsiaTheme="majorEastAsia" w:cstheme="majorEastAsia"/>
                <w:sz w:val="24"/>
                <w:szCs w:val="24"/>
                <w:highlight w:val="none"/>
                <w:shd w:val="clear" w:color="auto" w:fill="FFFFFF"/>
              </w:rPr>
              <w:t>、授权代表身份证</w:t>
            </w:r>
            <w:r>
              <w:rPr>
                <w:rFonts w:hint="eastAsia" w:asciiTheme="majorEastAsia" w:hAnsiTheme="majorEastAsia" w:eastAsiaTheme="majorEastAsia" w:cstheme="majorEastAsia"/>
                <w:sz w:val="24"/>
                <w:szCs w:val="24"/>
                <w:highlight w:val="none"/>
                <w:shd w:val="clear" w:color="auto" w:fill="FFFFFF"/>
                <w:lang w:val="en-US" w:eastAsia="zh-CN"/>
              </w:rPr>
              <w:t>原件</w:t>
            </w:r>
            <w:r>
              <w:rPr>
                <w:rFonts w:hint="eastAsia" w:asciiTheme="majorEastAsia" w:hAnsiTheme="majorEastAsia" w:eastAsiaTheme="majorEastAsia" w:cstheme="majorEastAsia"/>
                <w:sz w:val="24"/>
                <w:szCs w:val="24"/>
                <w:highlight w:val="none"/>
                <w:shd w:val="clear" w:color="auto" w:fill="FFFFFF"/>
              </w:rPr>
              <w:t>；</w:t>
            </w:r>
          </w:p>
          <w:p w14:paraId="45B33313">
            <w:pPr>
              <w:pStyle w:val="32"/>
              <w:widowControl/>
              <w:wordWrap w:val="0"/>
              <w:spacing w:line="560" w:lineRule="exact"/>
              <w:ind w:firstLine="480" w:firstLineChars="20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9</w:t>
            </w:r>
            <w:r>
              <w:rPr>
                <w:rFonts w:hint="eastAsia" w:asciiTheme="majorEastAsia" w:hAnsiTheme="majorEastAsia" w:eastAsiaTheme="majorEastAsia" w:cstheme="majorEastAsia"/>
                <w:sz w:val="24"/>
                <w:szCs w:val="24"/>
                <w:highlight w:val="none"/>
                <w:shd w:val="clear" w:color="auto" w:fill="FFFFFF"/>
              </w:rPr>
              <w:t>）履行合同所必须的证明资料：具有履行合同所必需的设备和专业技术能力证明资料</w:t>
            </w:r>
            <w:r>
              <w:rPr>
                <w:rFonts w:hint="eastAsia" w:asciiTheme="majorEastAsia" w:hAnsiTheme="majorEastAsia" w:eastAsiaTheme="majorEastAsia" w:cstheme="majorEastAsia"/>
                <w:color w:val="auto"/>
                <w:sz w:val="24"/>
                <w:szCs w:val="24"/>
                <w:highlight w:val="none"/>
                <w:shd w:val="clear" w:color="auto" w:fill="FFFFFF"/>
                <w:lang w:val="en-US" w:eastAsia="zh-CN"/>
              </w:rPr>
              <w:t>（提供书面承诺）；</w:t>
            </w:r>
          </w:p>
          <w:p w14:paraId="061C6AD9">
            <w:pPr>
              <w:pStyle w:val="143"/>
              <w:pageBreakBefore w:val="0"/>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kern w:val="0"/>
                <w:sz w:val="24"/>
                <w:szCs w:val="24"/>
                <w:highlight w:val="none"/>
                <w:lang w:val="en-US" w:eastAsia="zh-CN" w:bidi="ar-SA"/>
              </w:rPr>
              <w:t>1</w:t>
            </w:r>
            <w:r>
              <w:rPr>
                <w:rFonts w:hint="eastAsia" w:cs="宋体"/>
                <w:color w:val="000000"/>
                <w:kern w:val="0"/>
                <w:sz w:val="24"/>
                <w:szCs w:val="24"/>
                <w:highlight w:val="none"/>
                <w:lang w:val="en-US" w:eastAsia="zh-CN" w:bidi="ar-SA"/>
              </w:rPr>
              <w:t>0</w:t>
            </w:r>
            <w:r>
              <w:rPr>
                <w:rFonts w:hint="eastAsia" w:ascii="宋体" w:hAnsi="宋体" w:eastAsia="宋体" w:cs="宋体"/>
                <w:color w:val="000000"/>
                <w:kern w:val="0"/>
                <w:sz w:val="24"/>
                <w:szCs w:val="24"/>
                <w:highlight w:val="none"/>
                <w:lang w:val="en-US" w:eastAsia="zh-CN" w:bidi="ar-SA"/>
              </w:rPr>
              <w:t>）专门面向中小企业声明函：本项目专门面向中小企业采购，供应商须为中小企业，并提供声明函。</w:t>
            </w:r>
          </w:p>
        </w:tc>
      </w:tr>
      <w:tr w14:paraId="7A0E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59" w:type="dxa"/>
            <w:vAlign w:val="center"/>
          </w:tcPr>
          <w:p w14:paraId="4C67ACCE">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12</w:t>
            </w:r>
          </w:p>
        </w:tc>
        <w:tc>
          <w:tcPr>
            <w:tcW w:w="1948" w:type="dxa"/>
            <w:vAlign w:val="center"/>
          </w:tcPr>
          <w:p w14:paraId="77492797">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工期</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质保期、质量标准</w:t>
            </w:r>
            <w:r>
              <w:rPr>
                <w:rFonts w:hint="eastAsia" w:ascii="宋体" w:hAnsi="宋体" w:eastAsia="宋体" w:cs="宋体"/>
                <w:color w:val="000000" w:themeColor="text1"/>
                <w:szCs w:val="24"/>
                <w:highlight w:val="none"/>
                <w14:textFill>
                  <w14:solidFill>
                    <w14:schemeClr w14:val="tx1"/>
                  </w14:solidFill>
                </w14:textFill>
              </w:rPr>
              <w:t>及地点</w:t>
            </w:r>
          </w:p>
        </w:tc>
        <w:tc>
          <w:tcPr>
            <w:tcW w:w="6110" w:type="dxa"/>
            <w:vAlign w:val="center"/>
          </w:tcPr>
          <w:p w14:paraId="1B9C5B43">
            <w:pPr>
              <w:spacing w:line="500" w:lineRule="exact"/>
              <w:rPr>
                <w:rFonts w:hint="eastAsia" w:ascii="宋体" w:hAnsi="宋体" w:eastAsia="宋体" w:cs="宋体"/>
                <w:szCs w:val="24"/>
                <w:highlight w:val="none"/>
                <w:lang w:val="en-US" w:eastAsia="zh-CN"/>
              </w:rPr>
            </w:pPr>
            <w:r>
              <w:rPr>
                <w:rFonts w:hint="eastAsia" w:ascii="宋体" w:hAnsi="宋体" w:eastAsia="宋体" w:cs="宋体"/>
                <w:color w:val="000000" w:themeColor="text1"/>
                <w:szCs w:val="24"/>
                <w:highlight w:val="none"/>
                <w:lang w:eastAsia="zh-CN"/>
                <w14:textFill>
                  <w14:solidFill>
                    <w14:schemeClr w14:val="tx1"/>
                  </w14:solidFill>
                </w14:textFill>
              </w:rPr>
              <w:t>工期</w:t>
            </w:r>
            <w:r>
              <w:rPr>
                <w:rFonts w:hint="eastAsia" w:ascii="宋体" w:hAnsi="宋体" w:eastAsia="宋体" w:cs="宋体"/>
                <w:color w:val="000000" w:themeColor="text1"/>
                <w:szCs w:val="24"/>
                <w:highlight w:val="none"/>
                <w14:textFill>
                  <w14:solidFill>
                    <w14:schemeClr w14:val="tx1"/>
                  </w14:solidFill>
                </w14:textFill>
              </w:rPr>
              <w:t>：</w:t>
            </w:r>
            <w:r>
              <w:rPr>
                <w:rStyle w:val="40"/>
                <w:rFonts w:hint="eastAsia" w:ascii="宋体" w:hAnsi="宋体" w:eastAsia="宋体" w:cs="宋体"/>
                <w:b w:val="0"/>
                <w:bCs w:val="0"/>
                <w:szCs w:val="24"/>
                <w:highlight w:val="none"/>
                <w:shd w:val="clear" w:color="auto" w:fill="FFFFFF"/>
              </w:rPr>
              <w:t>自签订合同之日起</w:t>
            </w:r>
            <w:r>
              <w:rPr>
                <w:rStyle w:val="40"/>
                <w:rFonts w:hint="eastAsia" w:ascii="宋体" w:hAnsi="宋体" w:eastAsia="宋体" w:cs="宋体"/>
                <w:b w:val="0"/>
                <w:bCs w:val="0"/>
                <w:szCs w:val="24"/>
                <w:highlight w:val="none"/>
                <w:shd w:val="clear" w:color="auto" w:fill="FFFFFF"/>
                <w:lang w:val="en-US" w:eastAsia="zh-CN"/>
              </w:rPr>
              <w:t>30</w:t>
            </w:r>
            <w:r>
              <w:rPr>
                <w:rStyle w:val="40"/>
                <w:rFonts w:hint="eastAsia" w:ascii="宋体" w:hAnsi="宋体" w:eastAsia="宋体" w:cs="宋体"/>
                <w:b w:val="0"/>
                <w:bCs w:val="0"/>
                <w:szCs w:val="24"/>
                <w:highlight w:val="none"/>
                <w:shd w:val="clear" w:color="auto" w:fill="FFFFFF"/>
              </w:rPr>
              <w:t>日历天</w:t>
            </w:r>
          </w:p>
          <w:p w14:paraId="56CF2D99">
            <w:pPr>
              <w:spacing w:line="5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szCs w:val="24"/>
                <w:highlight w:val="none"/>
              </w:rPr>
              <w:t>质量</w:t>
            </w:r>
            <w:r>
              <w:rPr>
                <w:rFonts w:hint="eastAsia" w:ascii="宋体" w:hAnsi="宋体" w:eastAsia="宋体" w:cs="宋体"/>
                <w:szCs w:val="24"/>
                <w:highlight w:val="none"/>
                <w:lang w:val="en-US" w:eastAsia="zh-CN"/>
              </w:rPr>
              <w:t>标准</w:t>
            </w:r>
            <w:r>
              <w:rPr>
                <w:rFonts w:hint="eastAsia" w:ascii="宋体" w:hAnsi="宋体" w:eastAsia="宋体" w:cs="宋体"/>
                <w:szCs w:val="24"/>
                <w:highlight w:val="none"/>
              </w:rPr>
              <w:t>：</w:t>
            </w:r>
            <w:r>
              <w:rPr>
                <w:rFonts w:hint="eastAsia" w:ascii="宋体" w:hAnsi="宋体" w:eastAsia="宋体" w:cs="宋体"/>
                <w:color w:val="000000" w:themeColor="text1"/>
                <w:szCs w:val="24"/>
                <w:highlight w:val="none"/>
                <w:lang w:val="en-US" w:eastAsia="zh-CN"/>
                <w14:textFill>
                  <w14:solidFill>
                    <w14:schemeClr w14:val="tx1"/>
                  </w14:solidFill>
                </w14:textFill>
              </w:rPr>
              <w:t>达到国家规定的</w:t>
            </w:r>
            <w:r>
              <w:rPr>
                <w:rFonts w:hint="eastAsia" w:ascii="宋体" w:hAnsi="宋体" w:eastAsia="宋体" w:cs="宋体"/>
                <w:color w:val="000000" w:themeColor="text1"/>
                <w:szCs w:val="24"/>
                <w:highlight w:val="none"/>
                <w14:textFill>
                  <w14:solidFill>
                    <w14:schemeClr w14:val="tx1"/>
                  </w14:solidFill>
                </w14:textFill>
              </w:rPr>
              <w:t>合格</w:t>
            </w:r>
            <w:r>
              <w:rPr>
                <w:rFonts w:hint="eastAsia" w:ascii="宋体" w:hAnsi="宋体" w:eastAsia="宋体" w:cs="宋体"/>
                <w:color w:val="000000" w:themeColor="text1"/>
                <w:szCs w:val="24"/>
                <w:highlight w:val="none"/>
                <w:lang w:val="en-US" w:eastAsia="zh-CN"/>
                <w14:textFill>
                  <w14:solidFill>
                    <w14:schemeClr w14:val="tx1"/>
                  </w14:solidFill>
                </w14:textFill>
              </w:rPr>
              <w:t>标准</w:t>
            </w:r>
          </w:p>
          <w:p w14:paraId="6CD5C42C">
            <w:pPr>
              <w:spacing w:line="50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质保期：项目验收合格后起1年</w:t>
            </w:r>
          </w:p>
          <w:p w14:paraId="40E354E9">
            <w:pPr>
              <w:spacing w:line="5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地  点：</w:t>
            </w:r>
            <w:r>
              <w:rPr>
                <w:rFonts w:hint="eastAsia" w:ascii="宋体" w:hAnsi="宋体" w:eastAsia="宋体" w:cs="宋体"/>
                <w:color w:val="000000" w:themeColor="text1"/>
                <w:szCs w:val="24"/>
                <w:highlight w:val="none"/>
                <w:shd w:val="clear"/>
                <w:lang w:val="en-US" w:eastAsia="zh-CN"/>
                <w14:textFill>
                  <w14:solidFill>
                    <w14:schemeClr w14:val="tx1"/>
                  </w14:solidFill>
                </w14:textFill>
              </w:rPr>
              <w:t>采购人指定地点</w:t>
            </w:r>
          </w:p>
        </w:tc>
      </w:tr>
      <w:tr w14:paraId="3119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E705D5D">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13</w:t>
            </w:r>
          </w:p>
        </w:tc>
        <w:tc>
          <w:tcPr>
            <w:tcW w:w="1948" w:type="dxa"/>
            <w:vAlign w:val="center"/>
          </w:tcPr>
          <w:p w14:paraId="77004932">
            <w:pPr>
              <w:spacing w:line="500" w:lineRule="exact"/>
              <w:jc w:val="center"/>
              <w:rPr>
                <w:rFonts w:hint="eastAsia" w:ascii="宋体" w:hAnsi="宋体" w:eastAsia="宋体" w:cs="宋体"/>
                <w:color w:val="000000" w:themeColor="text1"/>
                <w:szCs w:val="24"/>
                <w:highlight w:val="none"/>
                <w:u w:val="wavyHeavy" w:color="5B9BD5" w:themeColor="accent1"/>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竞争性磋商文件获取</w:t>
            </w:r>
          </w:p>
        </w:tc>
        <w:tc>
          <w:tcPr>
            <w:tcW w:w="6110" w:type="dxa"/>
            <w:vAlign w:val="center"/>
          </w:tcPr>
          <w:p w14:paraId="25AE64CA">
            <w:pPr>
              <w:pStyle w:val="13"/>
              <w:spacing w:line="500" w:lineRule="exact"/>
              <w:rPr>
                <w:rFonts w:hint="eastAsia" w:ascii="宋体" w:hAnsi="宋体" w:eastAsia="宋体" w:cs="宋体"/>
                <w:szCs w:val="24"/>
                <w:highlight w:val="none"/>
              </w:rPr>
            </w:pPr>
            <w:r>
              <w:rPr>
                <w:rFonts w:hint="eastAsia" w:ascii="宋体" w:hAnsi="宋体" w:eastAsia="宋体" w:cs="宋体"/>
                <w:szCs w:val="24"/>
                <w:highlight w:val="none"/>
              </w:rPr>
              <w:t>获取时间：20</w:t>
            </w:r>
            <w:r>
              <w:rPr>
                <w:rFonts w:hint="eastAsia" w:ascii="宋体" w:hAnsi="宋体" w:eastAsia="宋体" w:cs="宋体"/>
                <w:szCs w:val="24"/>
                <w:highlight w:val="none"/>
                <w:lang w:val="en-US" w:eastAsia="zh-CN"/>
              </w:rPr>
              <w:t>26</w:t>
            </w:r>
            <w:r>
              <w:rPr>
                <w:rFonts w:hint="eastAsia" w:ascii="宋体" w:hAnsi="宋体" w:eastAsia="宋体" w:cs="宋体"/>
                <w:szCs w:val="24"/>
                <w:highlight w:val="none"/>
              </w:rPr>
              <w:t>年</w:t>
            </w:r>
            <w:r>
              <w:rPr>
                <w:rFonts w:hint="eastAsia" w:ascii="宋体" w:hAnsi="宋体" w:eastAsia="宋体" w:cs="宋体"/>
                <w:szCs w:val="24"/>
                <w:highlight w:val="none"/>
                <w:lang w:val="en-US" w:eastAsia="zh-CN"/>
              </w:rPr>
              <w:t>01</w:t>
            </w:r>
            <w:r>
              <w:rPr>
                <w:rFonts w:hint="eastAsia" w:ascii="宋体" w:hAnsi="宋体" w:eastAsia="宋体" w:cs="宋体"/>
                <w:szCs w:val="24"/>
                <w:highlight w:val="none"/>
              </w:rPr>
              <w:t>月</w:t>
            </w:r>
            <w:r>
              <w:rPr>
                <w:rFonts w:hint="eastAsia" w:ascii="宋体" w:hAnsi="宋体" w:eastAsia="宋体" w:cs="宋体"/>
                <w:szCs w:val="24"/>
                <w:highlight w:val="none"/>
                <w:lang w:val="en-US" w:eastAsia="zh-CN"/>
              </w:rPr>
              <w:t>05</w:t>
            </w:r>
            <w:r>
              <w:rPr>
                <w:rFonts w:hint="eastAsia" w:ascii="宋体" w:hAnsi="宋体" w:eastAsia="宋体" w:cs="宋体"/>
                <w:szCs w:val="24"/>
                <w:highlight w:val="none"/>
              </w:rPr>
              <w:t>日至202</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t>年</w:t>
            </w:r>
            <w:r>
              <w:rPr>
                <w:rFonts w:hint="eastAsia" w:ascii="宋体" w:hAnsi="宋体" w:eastAsia="宋体" w:cs="宋体"/>
                <w:szCs w:val="24"/>
                <w:highlight w:val="none"/>
                <w:lang w:val="en-US" w:eastAsia="zh-CN"/>
              </w:rPr>
              <w:t>01</w:t>
            </w:r>
            <w:r>
              <w:rPr>
                <w:rFonts w:hint="eastAsia" w:ascii="宋体" w:hAnsi="宋体" w:eastAsia="宋体" w:cs="宋体"/>
                <w:szCs w:val="24"/>
                <w:highlight w:val="none"/>
              </w:rPr>
              <w:t>月</w:t>
            </w:r>
            <w:r>
              <w:rPr>
                <w:rFonts w:hint="eastAsia" w:ascii="宋体" w:hAnsi="宋体" w:eastAsia="宋体" w:cs="宋体"/>
                <w:szCs w:val="24"/>
                <w:highlight w:val="none"/>
                <w:lang w:val="en-US" w:eastAsia="zh-CN"/>
              </w:rPr>
              <w:t>09</w:t>
            </w:r>
            <w:r>
              <w:rPr>
                <w:rFonts w:hint="eastAsia" w:ascii="宋体" w:hAnsi="宋体" w:eastAsia="宋体" w:cs="宋体"/>
                <w:szCs w:val="24"/>
                <w:highlight w:val="none"/>
              </w:rPr>
              <w:t>日（北京时间</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节假日除外</w:t>
            </w:r>
            <w:r>
              <w:rPr>
                <w:rFonts w:hint="eastAsia" w:ascii="宋体" w:hAnsi="宋体" w:eastAsia="宋体" w:cs="宋体"/>
                <w:szCs w:val="24"/>
                <w:highlight w:val="none"/>
              </w:rPr>
              <w:t>）</w:t>
            </w:r>
          </w:p>
          <w:p w14:paraId="1F7450C3">
            <w:pPr>
              <w:pStyle w:val="13"/>
              <w:spacing w:line="50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获取</w:t>
            </w:r>
            <w:r>
              <w:rPr>
                <w:rFonts w:hint="eastAsia" w:ascii="宋体" w:hAnsi="宋体" w:eastAsia="宋体" w:cs="宋体"/>
                <w:color w:val="000000" w:themeColor="text1"/>
                <w:szCs w:val="24"/>
                <w:highlight w:val="none"/>
                <w:lang w:val="en-US" w:eastAsia="zh-CN"/>
                <w14:textFill>
                  <w14:solidFill>
                    <w14:schemeClr w14:val="tx1"/>
                  </w14:solidFill>
                </w14:textFill>
              </w:rPr>
              <w:t>地点</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eastAsia="zh-CN"/>
                <w14:textFill>
                  <w14:solidFill>
                    <w14:schemeClr w14:val="tx1"/>
                  </w14:solidFill>
                </w14:textFill>
              </w:rPr>
              <w:t>宝鸡市金台区行政大道海棠风尚1603室</w:t>
            </w:r>
          </w:p>
        </w:tc>
      </w:tr>
      <w:tr w14:paraId="3A02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59" w:type="dxa"/>
            <w:vAlign w:val="center"/>
          </w:tcPr>
          <w:p w14:paraId="12BAB59A">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14</w:t>
            </w:r>
          </w:p>
        </w:tc>
        <w:tc>
          <w:tcPr>
            <w:tcW w:w="1948" w:type="dxa"/>
            <w:vAlign w:val="center"/>
          </w:tcPr>
          <w:p w14:paraId="4B6BAECC">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联合体投标</w:t>
            </w:r>
          </w:p>
        </w:tc>
        <w:tc>
          <w:tcPr>
            <w:tcW w:w="6110" w:type="dxa"/>
            <w:vAlign w:val="center"/>
          </w:tcPr>
          <w:p w14:paraId="3EE3C3EE">
            <w:pPr>
              <w:spacing w:line="5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不接受</w:t>
            </w:r>
          </w:p>
        </w:tc>
      </w:tr>
      <w:tr w14:paraId="7C03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59" w:type="dxa"/>
            <w:vAlign w:val="center"/>
          </w:tcPr>
          <w:p w14:paraId="3C8D9B7E">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15</w:t>
            </w:r>
          </w:p>
        </w:tc>
        <w:tc>
          <w:tcPr>
            <w:tcW w:w="1948" w:type="dxa"/>
            <w:vAlign w:val="center"/>
          </w:tcPr>
          <w:p w14:paraId="566718D4">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现场勘查</w:t>
            </w:r>
          </w:p>
        </w:tc>
        <w:tc>
          <w:tcPr>
            <w:tcW w:w="6110" w:type="dxa"/>
            <w:vAlign w:val="center"/>
          </w:tcPr>
          <w:p w14:paraId="4EAB0F3B">
            <w:pPr>
              <w:spacing w:line="50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不组织</w:t>
            </w:r>
          </w:p>
        </w:tc>
      </w:tr>
      <w:tr w14:paraId="0919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8495FBF">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16</w:t>
            </w:r>
          </w:p>
        </w:tc>
        <w:tc>
          <w:tcPr>
            <w:tcW w:w="1948" w:type="dxa"/>
            <w:vAlign w:val="center"/>
          </w:tcPr>
          <w:p w14:paraId="671D34D6">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供应商对竞争性磋商文件提出质疑的时间</w:t>
            </w:r>
          </w:p>
        </w:tc>
        <w:tc>
          <w:tcPr>
            <w:tcW w:w="6110" w:type="dxa"/>
            <w:vAlign w:val="center"/>
          </w:tcPr>
          <w:p w14:paraId="0739593D">
            <w:pPr>
              <w:spacing w:line="5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供应商认为竞争性磋商文件使自己的权益受到损害的，在收到竞争性磋商文件之日起七个工作日内以书面形式向采购代理机构提出质疑，逾期提出的无效，因此带来的一切不利后果由供应商自负。</w:t>
            </w:r>
          </w:p>
        </w:tc>
      </w:tr>
      <w:tr w14:paraId="1B0A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AD92046">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17</w:t>
            </w:r>
          </w:p>
        </w:tc>
        <w:tc>
          <w:tcPr>
            <w:tcW w:w="1948" w:type="dxa"/>
            <w:vAlign w:val="center"/>
          </w:tcPr>
          <w:p w14:paraId="7C601AA2">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构成竞争性磋商文件的其他文件</w:t>
            </w:r>
          </w:p>
        </w:tc>
        <w:tc>
          <w:tcPr>
            <w:tcW w:w="6110" w:type="dxa"/>
            <w:vAlign w:val="center"/>
          </w:tcPr>
          <w:p w14:paraId="09CF23D0">
            <w:pPr>
              <w:spacing w:line="5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竞争性磋商文件的澄清、修改书及有关补充通知为竞争性磋商文件的有效组成部分。</w:t>
            </w:r>
          </w:p>
        </w:tc>
      </w:tr>
      <w:tr w14:paraId="7C78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659" w:type="dxa"/>
            <w:vAlign w:val="center"/>
          </w:tcPr>
          <w:p w14:paraId="45AC5AC4">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18</w:t>
            </w:r>
          </w:p>
        </w:tc>
        <w:tc>
          <w:tcPr>
            <w:tcW w:w="1948" w:type="dxa"/>
            <w:vAlign w:val="center"/>
          </w:tcPr>
          <w:p w14:paraId="2D3A0738">
            <w:pPr>
              <w:pStyle w:val="57"/>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响应文件提交截止时间、开标时间和地点</w:t>
            </w:r>
          </w:p>
        </w:tc>
        <w:tc>
          <w:tcPr>
            <w:tcW w:w="6110" w:type="dxa"/>
            <w:vAlign w:val="center"/>
          </w:tcPr>
          <w:p w14:paraId="56CF2D44">
            <w:pPr>
              <w:pStyle w:val="57"/>
              <w:shd w:val="clear"/>
              <w:spacing w:line="500" w:lineRule="exact"/>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1、响应文件提交截止时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shd w:val="clear"/>
                <w:lang w:val="en-US" w:eastAsia="zh-CN"/>
              </w:rPr>
              <w:t>01</w:t>
            </w:r>
            <w:r>
              <w:rPr>
                <w:rFonts w:hint="eastAsia" w:ascii="宋体" w:hAnsi="宋体" w:eastAsia="宋体" w:cs="宋体"/>
                <w:sz w:val="24"/>
                <w:szCs w:val="24"/>
                <w:highlight w:val="none"/>
                <w:shd w:val="clear"/>
                <w:lang w:eastAsia="zh-CN"/>
              </w:rPr>
              <w:t>月</w:t>
            </w:r>
            <w:r>
              <w:rPr>
                <w:rFonts w:hint="eastAsia" w:ascii="宋体" w:hAnsi="宋体" w:eastAsia="宋体" w:cs="宋体"/>
                <w:sz w:val="24"/>
                <w:szCs w:val="24"/>
                <w:highlight w:val="none"/>
                <w:shd w:val="clear"/>
                <w:lang w:val="en-US" w:eastAsia="zh-CN"/>
              </w:rPr>
              <w:t>15</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前</w:t>
            </w:r>
          </w:p>
          <w:p w14:paraId="234559DD">
            <w:pPr>
              <w:pStyle w:val="57"/>
              <w:shd w:val="clea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2、开标时间：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shd w:val="clear"/>
                <w:lang w:val="en-US" w:eastAsia="zh-CN"/>
              </w:rPr>
              <w:t>01</w:t>
            </w:r>
            <w:r>
              <w:rPr>
                <w:rFonts w:hint="eastAsia" w:ascii="宋体" w:hAnsi="宋体" w:eastAsia="宋体" w:cs="宋体"/>
                <w:sz w:val="24"/>
                <w:szCs w:val="24"/>
                <w:highlight w:val="none"/>
                <w:shd w:val="clear"/>
                <w:lang w:eastAsia="zh-CN"/>
              </w:rPr>
              <w:t>月</w:t>
            </w:r>
            <w:r>
              <w:rPr>
                <w:rFonts w:hint="eastAsia" w:ascii="宋体" w:hAnsi="宋体" w:eastAsia="宋体" w:cs="宋体"/>
                <w:sz w:val="24"/>
                <w:szCs w:val="24"/>
                <w:highlight w:val="none"/>
                <w:shd w:val="clear"/>
                <w:lang w:val="en-US" w:eastAsia="zh-CN"/>
              </w:rPr>
              <w:t>15</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整</w:t>
            </w:r>
          </w:p>
          <w:p w14:paraId="572CB414">
            <w:pPr>
              <w:pStyle w:val="57"/>
              <w:spacing w:line="5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rPr>
              <w:t>3、开标地点：</w:t>
            </w:r>
            <w:r>
              <w:rPr>
                <w:rFonts w:hint="eastAsia" w:ascii="宋体" w:hAnsi="宋体" w:eastAsia="宋体" w:cs="宋体"/>
                <w:sz w:val="24"/>
                <w:szCs w:val="24"/>
                <w:highlight w:val="none"/>
                <w:lang w:val="en-US" w:eastAsia="zh-CN"/>
              </w:rPr>
              <w:t>千阳县住建局综合服务楼二楼</w:t>
            </w:r>
          </w:p>
        </w:tc>
      </w:tr>
      <w:tr w14:paraId="54F9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59" w:type="dxa"/>
            <w:vAlign w:val="center"/>
          </w:tcPr>
          <w:p w14:paraId="1F94AAB5">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19</w:t>
            </w:r>
          </w:p>
        </w:tc>
        <w:tc>
          <w:tcPr>
            <w:tcW w:w="1948" w:type="dxa"/>
            <w:vAlign w:val="center"/>
          </w:tcPr>
          <w:p w14:paraId="7C365FDF">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投标有效期</w:t>
            </w:r>
          </w:p>
        </w:tc>
        <w:tc>
          <w:tcPr>
            <w:tcW w:w="6110" w:type="dxa"/>
            <w:vAlign w:val="center"/>
          </w:tcPr>
          <w:p w14:paraId="6BB36C58">
            <w:pPr>
              <w:spacing w:line="5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自提交响应文件的截止之日起90日历天</w:t>
            </w:r>
          </w:p>
        </w:tc>
      </w:tr>
      <w:tr w14:paraId="580F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59" w:type="dxa"/>
            <w:vAlign w:val="center"/>
          </w:tcPr>
          <w:p w14:paraId="05D77251">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r>
              <w:rPr>
                <w:rFonts w:hint="eastAsia" w:ascii="宋体" w:hAnsi="宋体" w:eastAsia="宋体" w:cs="宋体"/>
                <w:color w:val="000000" w:themeColor="text1"/>
                <w:szCs w:val="24"/>
                <w:highlight w:val="none"/>
                <w:lang w:val="en-US" w:eastAsia="zh-CN"/>
                <w14:textFill>
                  <w14:solidFill>
                    <w14:schemeClr w14:val="tx1"/>
                  </w14:solidFill>
                </w14:textFill>
              </w:rPr>
              <w:t>0</w:t>
            </w:r>
          </w:p>
        </w:tc>
        <w:tc>
          <w:tcPr>
            <w:tcW w:w="1948" w:type="dxa"/>
            <w:vAlign w:val="center"/>
          </w:tcPr>
          <w:p w14:paraId="42FEB7C5">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备选投标方案</w:t>
            </w:r>
          </w:p>
          <w:p w14:paraId="250B05A2">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和报价</w:t>
            </w:r>
          </w:p>
        </w:tc>
        <w:tc>
          <w:tcPr>
            <w:tcW w:w="6110" w:type="dxa"/>
            <w:vAlign w:val="center"/>
          </w:tcPr>
          <w:p w14:paraId="26B5BC37">
            <w:pPr>
              <w:tabs>
                <w:tab w:val="left" w:pos="7013"/>
              </w:tabs>
              <w:spacing w:line="5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不接受备选投标方案和多个报价。</w:t>
            </w:r>
          </w:p>
        </w:tc>
      </w:tr>
      <w:tr w14:paraId="1EE5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7F0BDBD">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r>
              <w:rPr>
                <w:rFonts w:hint="eastAsia" w:ascii="宋体" w:hAnsi="宋体" w:eastAsia="宋体" w:cs="宋体"/>
                <w:color w:val="000000" w:themeColor="text1"/>
                <w:szCs w:val="24"/>
                <w:highlight w:val="none"/>
                <w:lang w:val="en-US" w:eastAsia="zh-CN"/>
                <w14:textFill>
                  <w14:solidFill>
                    <w14:schemeClr w14:val="tx1"/>
                  </w14:solidFill>
                </w14:textFill>
              </w:rPr>
              <w:t>1</w:t>
            </w:r>
          </w:p>
        </w:tc>
        <w:tc>
          <w:tcPr>
            <w:tcW w:w="1948" w:type="dxa"/>
            <w:vAlign w:val="center"/>
          </w:tcPr>
          <w:p w14:paraId="64C295CF">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盖章签字</w:t>
            </w:r>
          </w:p>
        </w:tc>
        <w:tc>
          <w:tcPr>
            <w:tcW w:w="6110" w:type="dxa"/>
            <w:vAlign w:val="center"/>
          </w:tcPr>
          <w:p w14:paraId="5CA5E0A8">
            <w:pPr>
              <w:tabs>
                <w:tab w:val="left" w:pos="7013"/>
              </w:tabs>
              <w:spacing w:line="5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供应商必须按照竞争性磋商文件的规定和要求</w:t>
            </w:r>
            <w:bookmarkStart w:id="12" w:name="OLE_LINK5"/>
            <w:r>
              <w:rPr>
                <w:rFonts w:hint="eastAsia" w:ascii="宋体" w:hAnsi="宋体" w:eastAsia="宋体" w:cs="宋体"/>
                <w:color w:val="000000" w:themeColor="text1"/>
                <w:szCs w:val="24"/>
                <w:highlight w:val="none"/>
                <w14:textFill>
                  <w14:solidFill>
                    <w14:schemeClr w14:val="tx1"/>
                  </w14:solidFill>
                </w14:textFill>
              </w:rPr>
              <w:t>由法定代表人或被授权人签字（或盖章），并加盖供应商公章。</w:t>
            </w:r>
            <w:bookmarkEnd w:id="12"/>
          </w:p>
        </w:tc>
      </w:tr>
      <w:tr w14:paraId="761F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59" w:type="dxa"/>
            <w:vAlign w:val="center"/>
          </w:tcPr>
          <w:p w14:paraId="38419C7B">
            <w:pPr>
              <w:spacing w:line="50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r>
              <w:rPr>
                <w:rFonts w:hint="eastAsia" w:ascii="宋体" w:hAnsi="宋体" w:eastAsia="宋体" w:cs="宋体"/>
                <w:color w:val="000000" w:themeColor="text1"/>
                <w:szCs w:val="24"/>
                <w:highlight w:val="none"/>
                <w:lang w:val="en-US" w:eastAsia="zh-CN"/>
                <w14:textFill>
                  <w14:solidFill>
                    <w14:schemeClr w14:val="tx1"/>
                  </w14:solidFill>
                </w14:textFill>
              </w:rPr>
              <w:t>2</w:t>
            </w:r>
          </w:p>
        </w:tc>
        <w:tc>
          <w:tcPr>
            <w:tcW w:w="1948" w:type="dxa"/>
            <w:vAlign w:val="center"/>
          </w:tcPr>
          <w:p w14:paraId="3155EF6D">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评标办法及标准</w:t>
            </w:r>
          </w:p>
        </w:tc>
        <w:tc>
          <w:tcPr>
            <w:tcW w:w="6110" w:type="dxa"/>
            <w:vAlign w:val="center"/>
          </w:tcPr>
          <w:p w14:paraId="1BF6334C">
            <w:pPr>
              <w:pStyle w:val="57"/>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详见竞争性磋商文件</w:t>
            </w:r>
          </w:p>
        </w:tc>
      </w:tr>
      <w:tr w14:paraId="57C4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59" w:type="dxa"/>
            <w:vAlign w:val="center"/>
          </w:tcPr>
          <w:p w14:paraId="4022C262">
            <w:pPr>
              <w:spacing w:line="500" w:lineRule="exact"/>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23</w:t>
            </w:r>
          </w:p>
        </w:tc>
        <w:tc>
          <w:tcPr>
            <w:tcW w:w="1948" w:type="dxa"/>
            <w:vAlign w:val="center"/>
          </w:tcPr>
          <w:p w14:paraId="7A394C31">
            <w:pPr>
              <w:spacing w:line="56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sz w:val="24"/>
                <w:highlight w:val="none"/>
                <w:lang w:val="en-US" w:eastAsia="zh-CN"/>
              </w:rPr>
              <w:t>所属行业</w:t>
            </w:r>
          </w:p>
        </w:tc>
        <w:tc>
          <w:tcPr>
            <w:tcW w:w="6110" w:type="dxa"/>
            <w:vAlign w:val="center"/>
          </w:tcPr>
          <w:p w14:paraId="1B1F702E">
            <w:pPr>
              <w:pStyle w:val="13"/>
              <w:spacing w:line="56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建筑业</w:t>
            </w:r>
          </w:p>
        </w:tc>
      </w:tr>
      <w:tr w14:paraId="0098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659" w:type="dxa"/>
            <w:vAlign w:val="center"/>
          </w:tcPr>
          <w:p w14:paraId="64F10DA7">
            <w:pPr>
              <w:spacing w:line="500" w:lineRule="exact"/>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r>
              <w:rPr>
                <w:rFonts w:hint="eastAsia" w:ascii="宋体" w:hAnsi="宋体" w:eastAsia="宋体" w:cs="宋体"/>
                <w:color w:val="000000" w:themeColor="text1"/>
                <w:szCs w:val="24"/>
                <w:highlight w:val="none"/>
                <w:lang w:val="en-US" w:eastAsia="zh-CN"/>
                <w14:textFill>
                  <w14:solidFill>
                    <w14:schemeClr w14:val="tx1"/>
                  </w14:solidFill>
                </w14:textFill>
              </w:rPr>
              <w:t>4</w:t>
            </w:r>
          </w:p>
        </w:tc>
        <w:tc>
          <w:tcPr>
            <w:tcW w:w="1948" w:type="dxa"/>
            <w:vAlign w:val="center"/>
          </w:tcPr>
          <w:p w14:paraId="684AEBB4">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招标代理服务费</w:t>
            </w:r>
          </w:p>
        </w:tc>
        <w:tc>
          <w:tcPr>
            <w:tcW w:w="6110" w:type="dxa"/>
            <w:vAlign w:val="center"/>
          </w:tcPr>
          <w:p w14:paraId="37722E8F">
            <w:pPr>
              <w:pStyle w:val="1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
                <w:bCs/>
                <w:color w:val="auto"/>
                <w:sz w:val="24"/>
                <w:szCs w:val="24"/>
                <w:highlight w:val="none"/>
                <w:u w:val="single"/>
              </w:rPr>
              <w:t>代理费</w:t>
            </w:r>
            <w:r>
              <w:rPr>
                <w:rFonts w:hint="eastAsia" w:ascii="宋体" w:hAnsi="宋体" w:eastAsia="宋体" w:cs="宋体"/>
                <w:b/>
                <w:bCs/>
                <w:color w:val="auto"/>
                <w:sz w:val="24"/>
                <w:szCs w:val="24"/>
                <w:highlight w:val="none"/>
                <w:u w:val="single"/>
                <w:lang w:val="en-US" w:eastAsia="zh-CN"/>
              </w:rPr>
              <w:t>以包干价人民币3000收取，</w:t>
            </w:r>
            <w:r>
              <w:rPr>
                <w:rFonts w:hint="eastAsia" w:ascii="新宋体" w:hAnsi="新宋体" w:eastAsia="新宋体" w:cs="新宋体"/>
                <w:b/>
                <w:color w:val="auto"/>
                <w:sz w:val="24"/>
                <w:highlight w:val="none"/>
                <w:u w:val="single"/>
              </w:rPr>
              <w:t>由成交单位支付招标代理服务费</w:t>
            </w:r>
            <w:r>
              <w:rPr>
                <w:rFonts w:hint="eastAsia" w:ascii="宋体" w:hAnsi="宋体" w:eastAsia="宋体" w:cs="宋体"/>
                <w:b/>
                <w:bCs/>
                <w:color w:val="auto"/>
                <w:sz w:val="24"/>
                <w:szCs w:val="24"/>
                <w:highlight w:val="none"/>
                <w:u w:val="single"/>
                <w:lang w:eastAsia="zh-CN"/>
              </w:rPr>
              <w:t>。</w:t>
            </w:r>
          </w:p>
          <w:p w14:paraId="68F7D2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2、此费用各供应商应充分考虑在磋商报价内，采购人不在为此支付任何费用，且必须保证本次项目的服务质量。</w:t>
            </w:r>
          </w:p>
        </w:tc>
      </w:tr>
      <w:tr w14:paraId="52C9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659" w:type="dxa"/>
            <w:vAlign w:val="center"/>
          </w:tcPr>
          <w:p w14:paraId="25D45BCA">
            <w:pPr>
              <w:spacing w:line="500" w:lineRule="exact"/>
              <w:jc w:val="center"/>
              <w:rPr>
                <w:rFonts w:hint="default" w:ascii="宋体" w:hAnsi="宋体" w:eastAsia="宋体" w:cs="宋体"/>
                <w:color w:val="000000" w:themeColor="text1"/>
                <w:szCs w:val="24"/>
                <w:highlight w:val="none"/>
                <w:lang w:val="en-US" w:eastAsia="zh-CN"/>
                <w14:textFill>
                  <w14:solidFill>
                    <w14:schemeClr w14:val="tx1"/>
                  </w14:solidFill>
                </w14:textFill>
              </w:rPr>
            </w:pPr>
            <w:bookmarkStart w:id="13" w:name="_Toc4919"/>
            <w:r>
              <w:rPr>
                <w:rFonts w:hint="eastAsia" w:ascii="宋体" w:hAnsi="宋体" w:eastAsia="宋体" w:cs="宋体"/>
                <w:color w:val="000000" w:themeColor="text1"/>
                <w:szCs w:val="24"/>
                <w:highlight w:val="none"/>
                <w:lang w:val="en-US" w:eastAsia="zh-CN"/>
                <w14:textFill>
                  <w14:solidFill>
                    <w14:schemeClr w14:val="tx1"/>
                  </w14:solidFill>
                </w14:textFill>
              </w:rPr>
              <w:t>25</w:t>
            </w:r>
          </w:p>
        </w:tc>
        <w:tc>
          <w:tcPr>
            <w:tcW w:w="1948" w:type="dxa"/>
            <w:vAlign w:val="center"/>
          </w:tcPr>
          <w:p w14:paraId="19271B91">
            <w:pPr>
              <w:spacing w:line="5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其它事项</w:t>
            </w:r>
          </w:p>
        </w:tc>
        <w:tc>
          <w:tcPr>
            <w:tcW w:w="6110" w:type="dxa"/>
            <w:vAlign w:val="center"/>
          </w:tcPr>
          <w:p w14:paraId="6DFA54AB">
            <w:pPr>
              <w:spacing w:line="5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成交供应商与采购人在成交通知书发出</w:t>
            </w:r>
            <w:r>
              <w:rPr>
                <w:rFonts w:hint="eastAsia" w:ascii="宋体" w:hAnsi="宋体" w:eastAsia="宋体" w:cs="宋体"/>
                <w:color w:val="000000" w:themeColor="text1"/>
                <w:szCs w:val="24"/>
                <w:highlight w:val="none"/>
                <w:lang w:val="en-US" w:eastAsia="zh-CN"/>
                <w14:textFill>
                  <w14:solidFill>
                    <w14:schemeClr w14:val="tx1"/>
                  </w14:solidFill>
                </w14:textFill>
              </w:rPr>
              <w:t>25</w:t>
            </w:r>
            <w:r>
              <w:rPr>
                <w:rFonts w:hint="eastAsia" w:ascii="宋体" w:hAnsi="宋体" w:eastAsia="宋体" w:cs="宋体"/>
                <w:color w:val="000000" w:themeColor="text1"/>
                <w:szCs w:val="24"/>
                <w:highlight w:val="none"/>
                <w14:textFill>
                  <w14:solidFill>
                    <w14:schemeClr w14:val="tx1"/>
                  </w14:solidFill>
                </w14:textFill>
              </w:rPr>
              <w:t>天内签订合同，不及时签订视为自动放弃。非经采购人同意，本项目不允许成交后另行转包或者分包。成交</w:t>
            </w:r>
            <w:r>
              <w:rPr>
                <w:rFonts w:hint="eastAsia" w:ascii="宋体" w:hAnsi="宋体" w:eastAsia="宋体" w:cs="宋体"/>
                <w:color w:val="000000" w:themeColor="text1"/>
                <w:kern w:val="0"/>
                <w:szCs w:val="24"/>
                <w:highlight w:val="none"/>
                <w14:textFill>
                  <w14:solidFill>
                    <w14:schemeClr w14:val="tx1"/>
                  </w14:solidFill>
                </w14:textFill>
              </w:rPr>
              <w:t>人无正当理由不得放弃</w:t>
            </w:r>
            <w:r>
              <w:rPr>
                <w:rFonts w:hint="eastAsia" w:ascii="宋体" w:hAnsi="宋体" w:eastAsia="宋体" w:cs="宋体"/>
                <w:color w:val="000000" w:themeColor="text1"/>
                <w:szCs w:val="24"/>
                <w:highlight w:val="none"/>
                <w14:textFill>
                  <w14:solidFill>
                    <w14:schemeClr w14:val="tx1"/>
                  </w14:solidFill>
                </w14:textFill>
              </w:rPr>
              <w:t>成交</w:t>
            </w:r>
            <w:r>
              <w:rPr>
                <w:rFonts w:hint="eastAsia" w:ascii="宋体" w:hAnsi="宋体" w:eastAsia="宋体" w:cs="宋体"/>
                <w:color w:val="000000" w:themeColor="text1"/>
                <w:kern w:val="0"/>
                <w:szCs w:val="24"/>
                <w:highlight w:val="none"/>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因自身原因拒绝签订政府采购合同的或者未按合同约定进行履约的，成交人不得参加对该项目重新开展的采购活动。</w:t>
            </w:r>
          </w:p>
        </w:tc>
      </w:tr>
    </w:tbl>
    <w:p w14:paraId="7EEAB58C">
      <w:pPr>
        <w:keepNext w:val="0"/>
        <w:keepLines w:val="0"/>
        <w:pageBreakBefore w:val="0"/>
        <w:wordWrap/>
        <w:topLinePunct w:val="0"/>
        <w:autoSpaceDE/>
        <w:autoSpaceDN/>
        <w:bidi w:val="0"/>
        <w:spacing w:line="360" w:lineRule="auto"/>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二、项目说明</w:t>
      </w:r>
      <w:bookmarkEnd w:id="13"/>
    </w:p>
    <w:p w14:paraId="06112495">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1、本项目说明详见供应商须知前附表。</w:t>
      </w:r>
      <w:bookmarkStart w:id="14" w:name="_Toc458617732"/>
      <w:bookmarkStart w:id="15" w:name="_Toc458617455"/>
    </w:p>
    <w:p w14:paraId="7AF091C3">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2、本项目按照《中华人民共和国政府采购法》等有关法律、行政法规和部门规章，通过竞争性磋商方式择优选定</w:t>
      </w:r>
      <w:r>
        <w:rPr>
          <w:rFonts w:hint="eastAsia" w:ascii="宋体" w:hAnsi="宋体" w:eastAsia="宋体" w:cs="宋体"/>
          <w:color w:val="000000" w:themeColor="text1"/>
          <w:kern w:val="0"/>
          <w:szCs w:val="24"/>
          <w:highlight w:val="none"/>
          <w:lang w:eastAsia="zh-CN"/>
          <w14:textFill>
            <w14:solidFill>
              <w14:schemeClr w14:val="tx1"/>
            </w14:solidFill>
          </w14:textFill>
        </w:rPr>
        <w:t>成交人</w:t>
      </w:r>
      <w:r>
        <w:rPr>
          <w:rFonts w:hint="eastAsia" w:ascii="宋体" w:hAnsi="宋体" w:eastAsia="宋体" w:cs="宋体"/>
          <w:color w:val="000000" w:themeColor="text1"/>
          <w:kern w:val="0"/>
          <w:szCs w:val="24"/>
          <w:highlight w:val="none"/>
          <w14:textFill>
            <w14:solidFill>
              <w14:schemeClr w14:val="tx1"/>
            </w14:solidFill>
          </w14:textFill>
        </w:rPr>
        <w:t>。</w:t>
      </w:r>
    </w:p>
    <w:bookmarkEnd w:id="14"/>
    <w:bookmarkEnd w:id="15"/>
    <w:p w14:paraId="14C3553A">
      <w:pPr>
        <w:keepNext w:val="0"/>
        <w:keepLines w:val="0"/>
        <w:pageBreakBefore w:val="0"/>
        <w:wordWrap/>
        <w:topLinePunct w:val="0"/>
        <w:autoSpaceDE/>
        <w:autoSpaceDN/>
        <w:bidi w:val="0"/>
        <w:spacing w:line="360" w:lineRule="auto"/>
        <w:textAlignment w:val="auto"/>
        <w:rPr>
          <w:rFonts w:hint="eastAsia" w:ascii="宋体" w:hAnsi="宋体" w:eastAsia="宋体" w:cs="宋体"/>
          <w:color w:val="000000" w:themeColor="text1"/>
          <w:kern w:val="0"/>
          <w:sz w:val="28"/>
          <w:szCs w:val="28"/>
          <w:highlight w:val="none"/>
          <w14:textFill>
            <w14:solidFill>
              <w14:schemeClr w14:val="tx1"/>
            </w14:solidFill>
          </w14:textFill>
        </w:rPr>
      </w:pPr>
      <w:bookmarkStart w:id="16" w:name="_Toc15666"/>
      <w:bookmarkStart w:id="17" w:name="_Toc458617456"/>
      <w:bookmarkStart w:id="18" w:name="_Toc458617733"/>
      <w:r>
        <w:rPr>
          <w:rFonts w:hint="eastAsia" w:ascii="宋体" w:hAnsi="宋体" w:eastAsia="宋体" w:cs="宋体"/>
          <w:color w:val="000000" w:themeColor="text1"/>
          <w:kern w:val="0"/>
          <w:sz w:val="28"/>
          <w:szCs w:val="28"/>
          <w:highlight w:val="none"/>
          <w14:textFill>
            <w14:solidFill>
              <w14:schemeClr w14:val="tx1"/>
            </w14:solidFill>
          </w14:textFill>
        </w:rPr>
        <w:t>三、</w:t>
      </w:r>
      <w:bookmarkEnd w:id="16"/>
      <w:bookmarkEnd w:id="17"/>
      <w:bookmarkEnd w:id="18"/>
      <w:r>
        <w:rPr>
          <w:rFonts w:hint="eastAsia" w:ascii="宋体" w:hAnsi="宋体" w:eastAsia="宋体" w:cs="宋体"/>
          <w:color w:val="000000" w:themeColor="text1"/>
          <w:kern w:val="0"/>
          <w:sz w:val="28"/>
          <w:szCs w:val="28"/>
          <w:highlight w:val="none"/>
          <w14:textFill>
            <w14:solidFill>
              <w14:schemeClr w14:val="tx1"/>
            </w14:solidFill>
          </w14:textFill>
        </w:rPr>
        <w:t>竞争性磋商文件</w:t>
      </w:r>
    </w:p>
    <w:p w14:paraId="696F5FF2">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1、竞争性磋商文件获取：供应商须经过正常渠道获取竞争性磋商文件，否则将作为无效投标处理。</w:t>
      </w:r>
    </w:p>
    <w:p w14:paraId="766F8428">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2、竞争性磋商文件的组成：包括目录中所列的前</w:t>
      </w:r>
      <w:r>
        <w:rPr>
          <w:rFonts w:hint="eastAsia" w:ascii="宋体" w:hAnsi="宋体" w:eastAsia="宋体" w:cs="宋体"/>
          <w:color w:val="000000" w:themeColor="text1"/>
          <w:szCs w:val="24"/>
          <w:highlight w:val="none"/>
          <w:lang w:val="en-US" w:eastAsia="zh-CN"/>
          <w14:textFill>
            <w14:solidFill>
              <w14:schemeClr w14:val="tx1"/>
            </w14:solidFill>
          </w14:textFill>
        </w:rPr>
        <w:t>五</w:t>
      </w:r>
      <w:r>
        <w:rPr>
          <w:rFonts w:hint="eastAsia" w:ascii="宋体" w:hAnsi="宋体" w:eastAsia="宋体" w:cs="宋体"/>
          <w:color w:val="000000" w:themeColor="text1"/>
          <w:szCs w:val="24"/>
          <w:highlight w:val="none"/>
          <w14:textFill>
            <w14:solidFill>
              <w14:schemeClr w14:val="tx1"/>
            </w14:solidFill>
          </w14:textFill>
        </w:rPr>
        <w:t>章。</w:t>
      </w:r>
    </w:p>
    <w:p w14:paraId="150AF55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000000" w:themeColor="text1"/>
          <w:szCs w:val="24"/>
          <w:highlight w:val="none"/>
          <w14:textFill>
            <w14:solidFill>
              <w14:schemeClr w14:val="tx1"/>
            </w14:solidFill>
          </w14:textFill>
        </w:rPr>
        <w:t>2-1、竞争性磋商文件获取方式</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详见</w:t>
      </w:r>
      <w:r>
        <w:rPr>
          <w:rFonts w:hint="eastAsia" w:ascii="宋体" w:hAnsi="宋体" w:eastAsia="宋体" w:cs="宋体"/>
          <w:color w:val="auto"/>
          <w:szCs w:val="24"/>
          <w:highlight w:val="none"/>
        </w:rPr>
        <w:t>供应商须知前附表。</w:t>
      </w:r>
    </w:p>
    <w:p w14:paraId="52D19AF9">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3、供应商应认真审阅和充分理解竞争性磋商文件所有的事项、格式、条款和规范要求等，在响应文件中对竞争性磋商文件的各方面都做出实质性的响应，按照竞争性磋商文件的要求提交全部资料。</w:t>
      </w:r>
    </w:p>
    <w:p w14:paraId="1A0EC317">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4、竞争性磋商文件的澄清或修改：</w:t>
      </w:r>
    </w:p>
    <w:p w14:paraId="57285296">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bookmarkStart w:id="19" w:name="_Toc458617734"/>
      <w:bookmarkStart w:id="20" w:name="_Toc458617457"/>
      <w:r>
        <w:rPr>
          <w:rFonts w:hint="eastAsia" w:ascii="宋体" w:hAnsi="宋体" w:eastAsia="宋体" w:cs="宋体"/>
          <w:color w:val="000000" w:themeColor="text1"/>
          <w:szCs w:val="24"/>
          <w:highlight w:val="none"/>
          <w14:textFill>
            <w14:solidFill>
              <w14:schemeClr w14:val="tx1"/>
            </w14:solidFill>
          </w14:textFill>
        </w:rPr>
        <w:t>4-1、提交首次响应文件截止之日前，采购代理机构对已发出的竞争性磋商文件进行必要的澄清或者修改，澄清或者修改的内容作为竞争性磋商文件的组成部分。澄清或者修改的内容可能影响响应文件编制的，采购代理机构应当在提交首次响应文件截止时间至少5日前，以书面形式通知所有获取竞争性磋商文件的供应商；不足5日的，应当顺延提交首次响应文件截止时间。</w:t>
      </w:r>
    </w:p>
    <w:p w14:paraId="53F86DE4">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14:paraId="3223342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5、供应商若对竞争性磋商文件有任何疑问，可以以书面形式向采购代理机构提出询问。</w:t>
      </w:r>
    </w:p>
    <w:p w14:paraId="65CF11CB">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6、供应商认为竞争性磋商文件使自己的权益受到损害的，在收到竞争性磋商文件之日</w:t>
      </w:r>
      <w:r>
        <w:rPr>
          <w:rFonts w:hint="eastAsia" w:ascii="宋体" w:hAnsi="宋体" w:eastAsia="宋体" w:cs="宋体"/>
          <w:color w:val="000000" w:themeColor="text1"/>
          <w:kern w:val="0"/>
          <w:szCs w:val="24"/>
          <w:highlight w:val="none"/>
          <w14:textFill>
            <w14:solidFill>
              <w14:schemeClr w14:val="tx1"/>
            </w14:solidFill>
          </w14:textFill>
        </w:rPr>
        <w:t>起七个工作日内</w:t>
      </w:r>
      <w:r>
        <w:rPr>
          <w:rFonts w:hint="eastAsia" w:ascii="宋体" w:hAnsi="宋体" w:eastAsia="宋体" w:cs="宋体"/>
          <w:color w:val="000000" w:themeColor="text1"/>
          <w:szCs w:val="24"/>
          <w:highlight w:val="none"/>
          <w14:textFill>
            <w14:solidFill>
              <w14:schemeClr w14:val="tx1"/>
            </w14:solidFill>
          </w14:textFill>
        </w:rPr>
        <w:t>以书面形式向采购代理机构提出质疑，逾期提出的无效，</w:t>
      </w:r>
      <w:bookmarkStart w:id="21" w:name="OLE_LINK6"/>
      <w:r>
        <w:rPr>
          <w:rFonts w:hint="eastAsia" w:ascii="宋体" w:hAnsi="宋体" w:eastAsia="宋体" w:cs="宋体"/>
          <w:color w:val="000000" w:themeColor="text1"/>
          <w:szCs w:val="24"/>
          <w:highlight w:val="none"/>
          <w14:textFill>
            <w14:solidFill>
              <w14:schemeClr w14:val="tx1"/>
            </w14:solidFill>
          </w14:textFill>
        </w:rPr>
        <w:t>因此带来的一切不利后果由供应商自负。</w:t>
      </w:r>
      <w:bookmarkEnd w:id="21"/>
    </w:p>
    <w:p w14:paraId="7AD2D964">
      <w:pPr>
        <w:keepNext w:val="0"/>
        <w:keepLines w:val="0"/>
        <w:pageBreakBefore w:val="0"/>
        <w:kinsoku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7、在投标截止时间前，根据采购工作进展实际情况，采购人可酌情延长提交响应文件的截止时间，若延长将另行以书面形式通知各供应商并在原信息发布媒体上发布变更公告。</w:t>
      </w:r>
      <w:bookmarkStart w:id="22" w:name="OLE_LINK7"/>
      <w:r>
        <w:rPr>
          <w:rFonts w:hint="eastAsia" w:ascii="宋体" w:hAnsi="宋体" w:eastAsia="宋体" w:cs="宋体"/>
          <w:color w:val="000000" w:themeColor="text1"/>
          <w:szCs w:val="24"/>
          <w:highlight w:val="none"/>
          <w14:textFill>
            <w14:solidFill>
              <w14:schemeClr w14:val="tx1"/>
            </w14:solidFill>
          </w14:textFill>
        </w:rPr>
        <w:t>采购代理机构和供应商的权利和义务将受到新的截止期的约束。</w:t>
      </w:r>
    </w:p>
    <w:bookmarkEnd w:id="22"/>
    <w:p w14:paraId="7103A22D">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w:t>
      </w:r>
      <w:r>
        <w:rPr>
          <w:rFonts w:hint="eastAsia" w:ascii="宋体" w:hAnsi="宋体" w:eastAsia="宋体" w:cs="宋体"/>
          <w:color w:val="000000" w:themeColor="text1"/>
          <w:szCs w:val="24"/>
          <w:highlight w:val="none"/>
          <w14:textFill>
            <w14:solidFill>
              <w14:schemeClr w14:val="tx1"/>
            </w14:solidFill>
          </w14:textFill>
        </w:rPr>
        <w:t>、竞争性磋商文件的解释权归采购代理机构，如发现竞争性磋商文件内容与现行法律法规不相符的情况，以现行法律法规为准。</w:t>
      </w:r>
    </w:p>
    <w:p w14:paraId="4A39D208">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9</w:t>
      </w:r>
      <w:r>
        <w:rPr>
          <w:rFonts w:hint="eastAsia" w:ascii="宋体" w:hAnsi="宋体" w:eastAsia="宋体" w:cs="宋体"/>
          <w:color w:val="000000" w:themeColor="text1"/>
          <w:szCs w:val="24"/>
          <w:highlight w:val="none"/>
          <w14:textFill>
            <w14:solidFill>
              <w14:schemeClr w14:val="tx1"/>
            </w14:solidFill>
          </w14:textFill>
        </w:rPr>
        <w:t>、现场勘查：见须知前附表。</w:t>
      </w:r>
    </w:p>
    <w:p w14:paraId="7D49E986">
      <w:pPr>
        <w:keepNext w:val="0"/>
        <w:keepLines w:val="0"/>
        <w:pageBreakBefore w:val="0"/>
        <w:wordWrap/>
        <w:topLinePunct w:val="0"/>
        <w:autoSpaceDE/>
        <w:autoSpaceDN/>
        <w:bidi w:val="0"/>
        <w:spacing w:line="360" w:lineRule="auto"/>
        <w:textAlignment w:val="auto"/>
        <w:rPr>
          <w:rFonts w:hint="eastAsia" w:ascii="宋体" w:hAnsi="宋体" w:eastAsia="宋体" w:cs="宋体"/>
          <w:color w:val="000000" w:themeColor="text1"/>
          <w:kern w:val="0"/>
          <w:sz w:val="28"/>
          <w:szCs w:val="28"/>
          <w:highlight w:val="none"/>
          <w14:textFill>
            <w14:solidFill>
              <w14:schemeClr w14:val="tx1"/>
            </w14:solidFill>
          </w14:textFill>
        </w:rPr>
      </w:pPr>
      <w:bookmarkStart w:id="23" w:name="_Toc25197"/>
      <w:r>
        <w:rPr>
          <w:rFonts w:hint="eastAsia" w:ascii="宋体" w:hAnsi="宋体" w:eastAsia="宋体" w:cs="宋体"/>
          <w:color w:val="000000" w:themeColor="text1"/>
          <w:kern w:val="0"/>
          <w:sz w:val="28"/>
          <w:szCs w:val="28"/>
          <w:highlight w:val="none"/>
          <w14:textFill>
            <w14:solidFill>
              <w14:schemeClr w14:val="tx1"/>
            </w14:solidFill>
          </w14:textFill>
        </w:rPr>
        <w:t>四、</w:t>
      </w:r>
      <w:bookmarkEnd w:id="19"/>
      <w:bookmarkEnd w:id="20"/>
      <w:bookmarkEnd w:id="23"/>
      <w:r>
        <w:rPr>
          <w:rFonts w:hint="eastAsia" w:ascii="宋体" w:hAnsi="宋体" w:eastAsia="宋体" w:cs="宋体"/>
          <w:color w:val="000000" w:themeColor="text1"/>
          <w:kern w:val="0"/>
          <w:sz w:val="28"/>
          <w:szCs w:val="28"/>
          <w:highlight w:val="none"/>
          <w14:textFill>
            <w14:solidFill>
              <w14:schemeClr w14:val="tx1"/>
            </w14:solidFill>
          </w14:textFill>
        </w:rPr>
        <w:t>响应文件</w:t>
      </w:r>
    </w:p>
    <w:p w14:paraId="766E9DD5">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1、供应商资格条件：</w:t>
      </w:r>
    </w:p>
    <w:p w14:paraId="46469999">
      <w:pPr>
        <w:pStyle w:val="32"/>
        <w:widowControl/>
        <w:numPr>
          <w:ilvl w:val="0"/>
          <w:numId w:val="0"/>
        </w:numPr>
        <w:wordWrap w:val="0"/>
        <w:spacing w:line="560" w:lineRule="exact"/>
        <w:ind w:firstLine="480" w:firstLineChars="200"/>
        <w:jc w:val="both"/>
        <w:rPr>
          <w:rFonts w:hint="eastAsia"/>
          <w:highlight w:val="none"/>
        </w:rPr>
      </w:pPr>
      <w:r>
        <w:rPr>
          <w:rFonts w:hint="eastAsia" w:asciiTheme="majorEastAsia" w:hAnsiTheme="majorEastAsia" w:eastAsiaTheme="majorEastAsia" w:cstheme="majorEastAsia"/>
          <w:sz w:val="24"/>
          <w:szCs w:val="24"/>
          <w:highlight w:val="none"/>
          <w:shd w:val="clear" w:color="auto" w:fill="FFFFFF"/>
          <w:lang w:val="en-US" w:eastAsia="zh-CN"/>
        </w:rPr>
        <w:t>1）</w:t>
      </w:r>
      <w:r>
        <w:rPr>
          <w:rFonts w:hint="eastAsia" w:asciiTheme="majorEastAsia" w:hAnsiTheme="majorEastAsia" w:eastAsiaTheme="majorEastAsia" w:cstheme="majorEastAsia"/>
          <w:sz w:val="24"/>
          <w:szCs w:val="24"/>
          <w:highlight w:val="none"/>
          <w:shd w:val="clear" w:color="auto" w:fill="FFFFFF"/>
        </w:rPr>
        <w:t>营业执照等主体资格证明文件：供应商应为具有独立承担民事责任能力的企业法人、事业法人、其他组织或自然人，企业法人须提供统一社会信用代码的营业执照、事业单位须提供事业单位法人证、组织机构代码证等证明文件、其他组织应提供合法证明文件、自然人参与的提供其身份证；</w:t>
      </w:r>
    </w:p>
    <w:p w14:paraId="6921568D">
      <w:pPr>
        <w:pStyle w:val="32"/>
        <w:widowControl/>
        <w:numPr>
          <w:ilvl w:val="0"/>
          <w:numId w:val="0"/>
        </w:numPr>
        <w:wordWrap w:val="0"/>
        <w:spacing w:line="560" w:lineRule="exact"/>
        <w:ind w:firstLine="480" w:firstLineChars="200"/>
        <w:jc w:val="both"/>
        <w:rPr>
          <w:rFonts w:hint="eastAsia" w:eastAsiaTheme="majorEastAsia"/>
          <w:highlight w:val="none"/>
          <w:lang w:eastAsia="zh-CN"/>
        </w:rPr>
      </w:pPr>
      <w:r>
        <w:rPr>
          <w:rFonts w:hint="eastAsia" w:asciiTheme="majorEastAsia" w:hAnsiTheme="majorEastAsia" w:eastAsiaTheme="majorEastAsia" w:cstheme="majorEastAsia"/>
          <w:sz w:val="24"/>
          <w:szCs w:val="24"/>
          <w:highlight w:val="none"/>
          <w:shd w:val="clear" w:color="auto" w:fill="FFFFFF"/>
        </w:rPr>
        <w:t>2）财务状况报告：</w:t>
      </w:r>
      <w:r>
        <w:rPr>
          <w:rFonts w:hint="eastAsia" w:asciiTheme="majorEastAsia" w:hAnsiTheme="majorEastAsia" w:eastAsiaTheme="majorEastAsia" w:cstheme="majorEastAsia"/>
          <w:sz w:val="24"/>
          <w:szCs w:val="24"/>
          <w:highlight w:val="none"/>
          <w:shd w:val="clear" w:color="auto" w:fill="FFFFFF"/>
          <w:lang w:eastAsia="zh-CN"/>
        </w:rPr>
        <w:t>供应商须提供2024年度的财务审计报告（至少包括资产负债表和利润表，成立时间至提交响应文件截止时间不足一年的可提供成立后任意时段的资产负债表）或开标前六个月内其基本账户开户银行出具的资信证明。其他组织和自然人提供开标前六个月内银行出具的资信证明；</w:t>
      </w:r>
    </w:p>
    <w:p w14:paraId="02B77110">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lang w:eastAsia="zh-CN"/>
        </w:rPr>
      </w:pPr>
      <w:r>
        <w:rPr>
          <w:rFonts w:hint="eastAsia" w:asciiTheme="majorEastAsia" w:hAnsiTheme="majorEastAsia" w:eastAsiaTheme="majorEastAsia" w:cstheme="majorEastAsia"/>
          <w:sz w:val="24"/>
          <w:szCs w:val="24"/>
          <w:highlight w:val="none"/>
          <w:shd w:val="clear" w:color="auto" w:fill="FFFFFF"/>
          <w:lang w:val="en-US" w:eastAsia="zh-CN"/>
        </w:rPr>
        <w:t>3</w:t>
      </w:r>
      <w:r>
        <w:rPr>
          <w:rFonts w:hint="eastAsia" w:asciiTheme="majorEastAsia" w:hAnsiTheme="majorEastAsia" w:eastAsiaTheme="majorEastAsia" w:cstheme="majorEastAsia"/>
          <w:sz w:val="24"/>
          <w:szCs w:val="24"/>
          <w:highlight w:val="none"/>
          <w:shd w:val="clear" w:color="auto" w:fill="FFFFFF"/>
        </w:rPr>
        <w:t>）社保缴纳证明：提供202</w:t>
      </w: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1月至今</w:t>
      </w:r>
      <w:r>
        <w:rPr>
          <w:rFonts w:hint="eastAsia" w:asciiTheme="majorEastAsia" w:hAnsiTheme="majorEastAsia" w:eastAsiaTheme="majorEastAsia" w:cstheme="majorEastAsia"/>
          <w:sz w:val="24"/>
          <w:szCs w:val="24"/>
          <w:highlight w:val="none"/>
          <w:shd w:val="clear" w:color="auto" w:fill="FFFFFF"/>
        </w:rPr>
        <w:t>已缴存的至少</w:t>
      </w:r>
      <w:r>
        <w:rPr>
          <w:rFonts w:hint="eastAsia" w:asciiTheme="majorEastAsia" w:hAnsiTheme="majorEastAsia" w:eastAsiaTheme="majorEastAsia" w:cstheme="majorEastAsia"/>
          <w:sz w:val="24"/>
          <w:szCs w:val="24"/>
          <w:highlight w:val="none"/>
          <w:shd w:val="clear" w:color="auto" w:fill="FFFFFF"/>
          <w:lang w:val="en-US" w:eastAsia="zh-CN"/>
        </w:rPr>
        <w:t>连续</w:t>
      </w:r>
      <w:r>
        <w:rPr>
          <w:rFonts w:hint="eastAsia" w:asciiTheme="majorEastAsia" w:hAnsiTheme="majorEastAsia" w:eastAsiaTheme="majorEastAsia" w:cstheme="majorEastAsia"/>
          <w:sz w:val="24"/>
          <w:szCs w:val="24"/>
          <w:highlight w:val="none"/>
          <w:shd w:val="clear" w:color="auto" w:fill="FFFFFF"/>
        </w:rPr>
        <w:t>六个月的社会保障资金缴存单据或社保机构开具的社会保险参保缴费情况证明，依法不需要缴纳社会保障资金的单位应提供相关证明材料；</w:t>
      </w:r>
    </w:p>
    <w:p w14:paraId="22D70AD4">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4</w:t>
      </w:r>
      <w:r>
        <w:rPr>
          <w:rFonts w:hint="eastAsia" w:asciiTheme="majorEastAsia" w:hAnsiTheme="majorEastAsia" w:eastAsiaTheme="majorEastAsia" w:cstheme="majorEastAsia"/>
          <w:sz w:val="24"/>
          <w:szCs w:val="24"/>
          <w:highlight w:val="none"/>
          <w:shd w:val="clear" w:color="auto" w:fill="FFFFFF"/>
        </w:rPr>
        <w:t>）税收缴纳证明：提供202</w:t>
      </w: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1月至今</w:t>
      </w:r>
      <w:r>
        <w:rPr>
          <w:rFonts w:hint="eastAsia" w:asciiTheme="majorEastAsia" w:hAnsiTheme="majorEastAsia" w:eastAsiaTheme="majorEastAsia" w:cstheme="majorEastAsia"/>
          <w:sz w:val="24"/>
          <w:szCs w:val="24"/>
          <w:highlight w:val="none"/>
          <w:shd w:val="clear" w:color="auto" w:fill="FFFFFF"/>
        </w:rPr>
        <w:t>已缴存的至少</w:t>
      </w:r>
      <w:r>
        <w:rPr>
          <w:rFonts w:hint="eastAsia" w:asciiTheme="majorEastAsia" w:hAnsiTheme="majorEastAsia" w:eastAsiaTheme="majorEastAsia" w:cstheme="majorEastAsia"/>
          <w:sz w:val="24"/>
          <w:szCs w:val="24"/>
          <w:highlight w:val="none"/>
          <w:shd w:val="clear" w:color="auto" w:fill="FFFFFF"/>
          <w:lang w:val="en-US" w:eastAsia="zh-CN"/>
        </w:rPr>
        <w:t>连续</w:t>
      </w:r>
      <w:r>
        <w:rPr>
          <w:rFonts w:hint="eastAsia" w:asciiTheme="majorEastAsia" w:hAnsiTheme="majorEastAsia" w:eastAsiaTheme="majorEastAsia" w:cstheme="majorEastAsia"/>
          <w:sz w:val="24"/>
          <w:szCs w:val="24"/>
          <w:highlight w:val="none"/>
          <w:shd w:val="clear" w:color="auto" w:fill="FFFFFF"/>
        </w:rPr>
        <w:t>六个月的纳税证明或完税证明，依法免税的单位应提供相关证明材料</w:t>
      </w:r>
      <w:r>
        <w:rPr>
          <w:rFonts w:hint="eastAsia" w:asciiTheme="majorEastAsia" w:hAnsiTheme="majorEastAsia" w:eastAsiaTheme="majorEastAsia" w:cstheme="majorEastAsia"/>
          <w:sz w:val="24"/>
          <w:szCs w:val="24"/>
          <w:highlight w:val="none"/>
          <w:shd w:val="clear" w:color="auto" w:fill="FFFFFF"/>
          <w:lang w:val="en-US" w:eastAsia="zh-CN"/>
        </w:rPr>
        <w:t>；</w:t>
      </w:r>
    </w:p>
    <w:p w14:paraId="1E441F3D">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）信用记录：</w:t>
      </w:r>
      <w:r>
        <w:rPr>
          <w:rFonts w:hint="eastAsia" w:asciiTheme="majorEastAsia" w:hAnsiTheme="majorEastAsia" w:eastAsiaTheme="majorEastAsia" w:cstheme="majorEastAsia"/>
          <w:sz w:val="24"/>
          <w:szCs w:val="24"/>
          <w:highlight w:val="none"/>
          <w:shd w:val="clear" w:color="auto" w:fill="FFFFFF"/>
          <w:lang w:val="en-US" w:eastAsia="zh-CN"/>
        </w:rPr>
        <w:t>供应商未被列入“信用中国”网站(www.creditchina.gov.cn)“失信被执行人和重大税收违法失信主体；未被列入“中国政府采购网”(www.ccgp.gov.cn)“政府采购严重违法失信行为信息记录”</w:t>
      </w:r>
      <w:r>
        <w:rPr>
          <w:rFonts w:hint="eastAsia" w:asciiTheme="majorEastAsia" w:hAnsiTheme="majorEastAsia" w:eastAsiaTheme="majorEastAsia" w:cstheme="majorEastAsia"/>
          <w:sz w:val="24"/>
          <w:szCs w:val="24"/>
          <w:highlight w:val="none"/>
          <w:shd w:val="clear" w:color="auto" w:fill="FFFFFF"/>
        </w:rPr>
        <w:t>；</w:t>
      </w:r>
    </w:p>
    <w:p w14:paraId="4E7EED27">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6</w:t>
      </w:r>
      <w:r>
        <w:rPr>
          <w:rFonts w:hint="eastAsia" w:asciiTheme="majorEastAsia" w:hAnsiTheme="majorEastAsia" w:eastAsiaTheme="majorEastAsia" w:cstheme="majorEastAsia"/>
          <w:sz w:val="24"/>
          <w:szCs w:val="24"/>
          <w:highlight w:val="none"/>
          <w:shd w:val="clear" w:color="auto" w:fill="FFFFFF"/>
        </w:rPr>
        <w:t>）控股管理关系：单位负责人为同一人或者存在直接控股、管理关系的不同供应商，不得参加同一合同项下的政府采购活动（提供书面承诺</w:t>
      </w:r>
      <w:r>
        <w:rPr>
          <w:rFonts w:hint="eastAsia" w:asciiTheme="majorEastAsia" w:hAnsiTheme="majorEastAsia" w:eastAsiaTheme="majorEastAsia" w:cstheme="majorEastAsia"/>
          <w:sz w:val="24"/>
          <w:szCs w:val="24"/>
          <w:highlight w:val="none"/>
          <w:shd w:val="clear" w:color="auto" w:fill="FFFFFF"/>
          <w:lang w:eastAsia="zh-CN"/>
        </w:rPr>
        <w:t>）</w:t>
      </w:r>
      <w:r>
        <w:rPr>
          <w:rFonts w:hint="eastAsia" w:asciiTheme="majorEastAsia" w:hAnsiTheme="majorEastAsia" w:eastAsiaTheme="majorEastAsia" w:cstheme="majorEastAsia"/>
          <w:sz w:val="24"/>
          <w:szCs w:val="24"/>
          <w:highlight w:val="none"/>
          <w:shd w:val="clear" w:color="auto" w:fill="FFFFFF"/>
        </w:rPr>
        <w:t>；</w:t>
      </w:r>
    </w:p>
    <w:p w14:paraId="0A260CE0">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7</w:t>
      </w:r>
      <w:r>
        <w:rPr>
          <w:rFonts w:hint="eastAsia" w:asciiTheme="majorEastAsia" w:hAnsiTheme="majorEastAsia" w:eastAsiaTheme="majorEastAsia" w:cstheme="majorEastAsia"/>
          <w:sz w:val="24"/>
          <w:szCs w:val="24"/>
          <w:highlight w:val="none"/>
          <w:shd w:val="clear" w:color="auto" w:fill="FFFFFF"/>
        </w:rPr>
        <w:t>）书面声明：参加政府采购活动前3年内在经营活动中没有重大违法记录的书面声明；</w:t>
      </w:r>
    </w:p>
    <w:p w14:paraId="029468E9">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8</w:t>
      </w:r>
      <w:r>
        <w:rPr>
          <w:rFonts w:hint="eastAsia" w:asciiTheme="majorEastAsia" w:hAnsiTheme="majorEastAsia" w:eastAsiaTheme="majorEastAsia" w:cstheme="majorEastAsia"/>
          <w:sz w:val="24"/>
          <w:szCs w:val="24"/>
          <w:highlight w:val="none"/>
          <w:shd w:val="clear" w:color="auto" w:fill="FFFFFF"/>
        </w:rPr>
        <w:t>）法定代表人授权委托书：法定代表人参加投标的，须出具</w:t>
      </w:r>
      <w:r>
        <w:rPr>
          <w:rFonts w:hint="eastAsia" w:asciiTheme="majorEastAsia" w:hAnsiTheme="majorEastAsia" w:eastAsiaTheme="majorEastAsia" w:cstheme="majorEastAsia"/>
          <w:sz w:val="24"/>
          <w:szCs w:val="24"/>
          <w:highlight w:val="none"/>
          <w:shd w:val="clear" w:color="auto" w:fill="FFFFFF"/>
          <w:lang w:val="en-US" w:eastAsia="zh-CN"/>
        </w:rPr>
        <w:t>法定代表人资格证明书及</w:t>
      </w:r>
      <w:r>
        <w:rPr>
          <w:rFonts w:hint="eastAsia" w:asciiTheme="majorEastAsia" w:hAnsiTheme="majorEastAsia" w:eastAsiaTheme="majorEastAsia" w:cstheme="majorEastAsia"/>
          <w:sz w:val="24"/>
          <w:szCs w:val="24"/>
          <w:highlight w:val="none"/>
          <w:shd w:val="clear" w:color="auto" w:fill="FFFFFF"/>
        </w:rPr>
        <w:t>法定代表人身份证</w:t>
      </w:r>
      <w:r>
        <w:rPr>
          <w:rFonts w:hint="eastAsia" w:asciiTheme="majorEastAsia" w:hAnsiTheme="majorEastAsia" w:eastAsiaTheme="majorEastAsia" w:cstheme="majorEastAsia"/>
          <w:sz w:val="24"/>
          <w:szCs w:val="24"/>
          <w:highlight w:val="none"/>
          <w:shd w:val="clear" w:color="auto" w:fill="FFFFFF"/>
          <w:lang w:val="en-US" w:eastAsia="zh-CN"/>
        </w:rPr>
        <w:t>原件</w:t>
      </w:r>
      <w:r>
        <w:rPr>
          <w:rFonts w:hint="eastAsia" w:asciiTheme="majorEastAsia" w:hAnsiTheme="majorEastAsia" w:eastAsiaTheme="majorEastAsia" w:cstheme="majorEastAsia"/>
          <w:sz w:val="24"/>
          <w:szCs w:val="24"/>
          <w:highlight w:val="none"/>
          <w:shd w:val="clear" w:color="auto" w:fill="FFFFFF"/>
        </w:rPr>
        <w:t>，并与营业执照上信息一致</w:t>
      </w:r>
      <w:r>
        <w:rPr>
          <w:rFonts w:hint="eastAsia" w:asciiTheme="majorEastAsia" w:hAnsiTheme="majorEastAsia" w:eastAsiaTheme="majorEastAsia" w:cstheme="majorEastAsia"/>
          <w:sz w:val="24"/>
          <w:szCs w:val="24"/>
          <w:highlight w:val="none"/>
          <w:shd w:val="clear" w:color="auto" w:fill="FFFFFF"/>
          <w:lang w:eastAsia="zh-CN"/>
        </w:rPr>
        <w:t>；</w:t>
      </w:r>
      <w:r>
        <w:rPr>
          <w:rFonts w:hint="eastAsia" w:asciiTheme="majorEastAsia" w:hAnsiTheme="majorEastAsia" w:eastAsiaTheme="majorEastAsia" w:cstheme="majorEastAsia"/>
          <w:sz w:val="24"/>
          <w:szCs w:val="24"/>
          <w:highlight w:val="none"/>
          <w:shd w:val="clear" w:color="auto" w:fill="FFFFFF"/>
        </w:rPr>
        <w:t>授权代表参加投标的须出具法定代表人</w:t>
      </w:r>
      <w:r>
        <w:rPr>
          <w:rFonts w:hint="eastAsia" w:asciiTheme="majorEastAsia" w:hAnsiTheme="majorEastAsia" w:eastAsiaTheme="majorEastAsia" w:cstheme="majorEastAsia"/>
          <w:sz w:val="24"/>
          <w:szCs w:val="24"/>
          <w:highlight w:val="none"/>
          <w:shd w:val="clear" w:color="auto" w:fill="FFFFFF"/>
          <w:lang w:val="en-US" w:eastAsia="zh-CN"/>
        </w:rPr>
        <w:t>授权委托书</w:t>
      </w:r>
      <w:r>
        <w:rPr>
          <w:rFonts w:hint="eastAsia" w:asciiTheme="majorEastAsia" w:hAnsiTheme="majorEastAsia" w:eastAsiaTheme="majorEastAsia" w:cstheme="majorEastAsia"/>
          <w:sz w:val="24"/>
          <w:szCs w:val="24"/>
          <w:highlight w:val="none"/>
          <w:shd w:val="clear" w:color="auto" w:fill="FFFFFF"/>
        </w:rPr>
        <w:t>、授权代表身份证</w:t>
      </w:r>
      <w:r>
        <w:rPr>
          <w:rFonts w:hint="eastAsia" w:asciiTheme="majorEastAsia" w:hAnsiTheme="majorEastAsia" w:eastAsiaTheme="majorEastAsia" w:cstheme="majorEastAsia"/>
          <w:sz w:val="24"/>
          <w:szCs w:val="24"/>
          <w:highlight w:val="none"/>
          <w:shd w:val="clear" w:color="auto" w:fill="FFFFFF"/>
          <w:lang w:val="en-US" w:eastAsia="zh-CN"/>
        </w:rPr>
        <w:t>原件</w:t>
      </w:r>
      <w:r>
        <w:rPr>
          <w:rFonts w:hint="eastAsia" w:asciiTheme="majorEastAsia" w:hAnsiTheme="majorEastAsia" w:eastAsiaTheme="majorEastAsia" w:cstheme="majorEastAsia"/>
          <w:sz w:val="24"/>
          <w:szCs w:val="24"/>
          <w:highlight w:val="none"/>
          <w:shd w:val="clear" w:color="auto" w:fill="FFFFFF"/>
        </w:rPr>
        <w:t>；</w:t>
      </w:r>
    </w:p>
    <w:p w14:paraId="26F57576">
      <w:pPr>
        <w:pStyle w:val="32"/>
        <w:widowControl/>
        <w:wordWrap w:val="0"/>
        <w:spacing w:line="560" w:lineRule="exact"/>
        <w:ind w:firstLine="480" w:firstLineChars="20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9</w:t>
      </w:r>
      <w:r>
        <w:rPr>
          <w:rFonts w:hint="eastAsia" w:asciiTheme="majorEastAsia" w:hAnsiTheme="majorEastAsia" w:eastAsiaTheme="majorEastAsia" w:cstheme="majorEastAsia"/>
          <w:sz w:val="24"/>
          <w:szCs w:val="24"/>
          <w:highlight w:val="none"/>
          <w:shd w:val="clear" w:color="auto" w:fill="FFFFFF"/>
        </w:rPr>
        <w:t>）履行合同所必须的证明资料：具有履行合同所必需的设备和专业技术能力证明资料</w:t>
      </w:r>
      <w:r>
        <w:rPr>
          <w:rFonts w:hint="eastAsia" w:asciiTheme="majorEastAsia" w:hAnsiTheme="majorEastAsia" w:eastAsiaTheme="majorEastAsia" w:cstheme="majorEastAsia"/>
          <w:color w:val="auto"/>
          <w:sz w:val="24"/>
          <w:szCs w:val="24"/>
          <w:highlight w:val="none"/>
          <w:shd w:val="clear" w:color="auto" w:fill="FFFFFF"/>
          <w:lang w:val="en-US" w:eastAsia="zh-CN"/>
        </w:rPr>
        <w:t>（提供书面承诺）；</w:t>
      </w:r>
    </w:p>
    <w:p w14:paraId="661A0AD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r>
        <w:rPr>
          <w:rFonts w:hint="eastAsia" w:cs="宋体"/>
          <w:color w:val="000000"/>
          <w:kern w:val="0"/>
          <w:sz w:val="24"/>
          <w:szCs w:val="24"/>
          <w:highlight w:val="none"/>
          <w:lang w:val="en-US" w:eastAsia="zh-CN" w:bidi="ar-SA"/>
        </w:rPr>
        <w:t>0</w:t>
      </w:r>
      <w:r>
        <w:rPr>
          <w:rFonts w:hint="eastAsia" w:ascii="宋体" w:hAnsi="宋体" w:eastAsia="宋体" w:cs="宋体"/>
          <w:color w:val="000000"/>
          <w:kern w:val="0"/>
          <w:sz w:val="24"/>
          <w:szCs w:val="24"/>
          <w:highlight w:val="none"/>
          <w:lang w:val="en-US" w:eastAsia="zh-CN" w:bidi="ar-SA"/>
        </w:rPr>
        <w:t>）专门面向中小企业声明函：本项目专门面向中小企业采购，供应商须为中小企业，并提供声明函。</w:t>
      </w:r>
    </w:p>
    <w:p w14:paraId="1B55BDAF">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2、合格供应商</w:t>
      </w:r>
    </w:p>
    <w:p w14:paraId="6C93A1A3">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符合《中华人民共和国政府采购法》</w:t>
      </w:r>
      <w:bookmarkStart w:id="24" w:name="OLE_LINK8"/>
      <w:r>
        <w:rPr>
          <w:rFonts w:hint="eastAsia" w:ascii="宋体" w:hAnsi="宋体" w:eastAsia="宋体" w:cs="宋体"/>
          <w:color w:val="000000" w:themeColor="text1"/>
          <w:szCs w:val="24"/>
          <w:highlight w:val="none"/>
          <w14:textFill>
            <w14:solidFill>
              <w14:schemeClr w14:val="tx1"/>
            </w14:solidFill>
          </w14:textFill>
        </w:rPr>
        <w:t>及其实施条例等有关法律法规的规定</w:t>
      </w:r>
      <w:bookmarkEnd w:id="24"/>
      <w:r>
        <w:rPr>
          <w:rFonts w:hint="eastAsia" w:ascii="宋体" w:hAnsi="宋体" w:eastAsia="宋体" w:cs="宋体"/>
          <w:color w:val="000000" w:themeColor="text1"/>
          <w:szCs w:val="24"/>
          <w:highlight w:val="none"/>
          <w14:textFill>
            <w14:solidFill>
              <w14:schemeClr w14:val="tx1"/>
            </w14:solidFill>
          </w14:textFill>
        </w:rPr>
        <w:t>并满足本项目资格条件。不符合上述规定的供应商，投标无效。</w:t>
      </w:r>
    </w:p>
    <w:p w14:paraId="15F7A1D9">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3、响应文件的组成 </w:t>
      </w:r>
    </w:p>
    <w:p w14:paraId="3664099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（1）封面</w:t>
      </w:r>
    </w:p>
    <w:p w14:paraId="16E13974">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（2）资格证明文件</w:t>
      </w:r>
    </w:p>
    <w:p w14:paraId="3EAD5378">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（3）符合性证明文件</w:t>
      </w:r>
    </w:p>
    <w:p w14:paraId="727AC101">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（4）响应方案</w:t>
      </w:r>
    </w:p>
    <w:p w14:paraId="19A666A6">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附件一：《中小企业声明函》</w:t>
      </w:r>
    </w:p>
    <w:p w14:paraId="420AC2F3">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附件二：《残疾人福利性单位声明函》</w:t>
      </w:r>
    </w:p>
    <w:p w14:paraId="036FF861">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附件三：《监狱企业证明材料》</w:t>
      </w:r>
    </w:p>
    <w:p w14:paraId="0639980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磋商</w:t>
      </w:r>
      <w:r>
        <w:rPr>
          <w:rFonts w:hint="eastAsia" w:ascii="宋体" w:hAnsi="宋体" w:eastAsia="宋体" w:cs="宋体"/>
          <w:color w:val="000000" w:themeColor="text1"/>
          <w:szCs w:val="24"/>
          <w:highlight w:val="none"/>
          <w14:textFill>
            <w14:solidFill>
              <w14:schemeClr w14:val="tx1"/>
            </w14:solidFill>
          </w14:textFill>
        </w:rPr>
        <w:t>响应文件编写说明</w:t>
      </w:r>
    </w:p>
    <w:p w14:paraId="70831654">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4-1、</w:t>
      </w:r>
      <w:r>
        <w:rPr>
          <w:rFonts w:hint="eastAsia" w:ascii="宋体" w:hAnsi="宋体" w:eastAsia="宋体" w:cs="宋体"/>
          <w:color w:val="000000" w:themeColor="text1"/>
          <w:szCs w:val="24"/>
          <w:highlight w:val="none"/>
          <w:lang w:val="en-US" w:eastAsia="zh-CN"/>
          <w14:textFill>
            <w14:solidFill>
              <w14:schemeClr w14:val="tx1"/>
            </w14:solidFill>
          </w14:textFill>
        </w:rPr>
        <w:t>磋商</w:t>
      </w:r>
      <w:r>
        <w:rPr>
          <w:rFonts w:hint="eastAsia" w:ascii="宋体" w:hAnsi="宋体" w:eastAsia="宋体" w:cs="宋体"/>
          <w:color w:val="000000" w:themeColor="text1"/>
          <w:szCs w:val="24"/>
          <w:highlight w:val="none"/>
          <w14:textFill>
            <w14:solidFill>
              <w14:schemeClr w14:val="tx1"/>
            </w14:solidFill>
          </w14:textFill>
        </w:rPr>
        <w:t>响应文件</w:t>
      </w:r>
    </w:p>
    <w:p w14:paraId="6B8BE5DB">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1）、供应商应当按照竞争性磋商文件要求，依法真实编制磋商响应文件，并对其提交的磋商响应文件的真实性、合法性承担法律责任。</w:t>
      </w:r>
    </w:p>
    <w:p w14:paraId="7C6A2C58">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2）、磋商响应文件应使用 A4 纸打印或使用不褪色蓝（黑）墨水书写；按序编制目录</w:t>
      </w:r>
      <w:r>
        <w:rPr>
          <w:rFonts w:hint="eastAsia" w:ascii="宋体" w:hAnsi="宋体" w:eastAsia="宋体" w:cs="宋体"/>
          <w:color w:val="000000" w:themeColor="text1"/>
          <w:szCs w:val="24"/>
          <w:highlight w:val="none"/>
          <w:lang w:val="en-US" w:eastAsia="zh-CN"/>
          <w14:textFill>
            <w14:solidFill>
              <w14:schemeClr w14:val="tx1"/>
            </w14:solidFill>
          </w14:textFill>
        </w:rPr>
        <w:t>及连续页码</w:t>
      </w:r>
      <w:r>
        <w:rPr>
          <w:rFonts w:hint="eastAsia" w:ascii="宋体" w:hAnsi="宋体" w:eastAsia="宋体" w:cs="宋体"/>
          <w:color w:val="000000" w:themeColor="text1"/>
          <w:szCs w:val="24"/>
          <w:highlight w:val="none"/>
          <w14:textFill>
            <w14:solidFill>
              <w14:schemeClr w14:val="tx1"/>
            </w14:solidFill>
          </w14:textFill>
        </w:rPr>
        <w:t>，磋商响应文件全部加盖骑缝章且胶装不得采用活页装订，正本一份、副本二份，电子标书一份</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word及签章版PDF</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，各自胶装成册，并在封面标明“正本”/“副本”字样。</w:t>
      </w:r>
    </w:p>
    <w:p w14:paraId="515F9544">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3）、所有磋商响应文件的任何行间插字、涂改和增删，须由法定代表人或被授权人在改动处旁签字方为有效。</w:t>
      </w:r>
    </w:p>
    <w:p w14:paraId="2E649F95">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4）、供应商须在磋商响应文件中指定页面的落款处、相关证明文件及资料上由法定代表人或被授权人签名或盖章。</w:t>
      </w:r>
    </w:p>
    <w:p w14:paraId="516732E0">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供应商在提交磋商响应文件截止时间前，可以对所提交的磋商响应文件进行补充、修改或者撤回，并书面通知代理机构。补充、修改的内容作为磋商响应文件的组成部分。补充、修改的内容与磋商响应文件不一致的，以补充、修改的内容为准。</w:t>
      </w:r>
    </w:p>
    <w:p w14:paraId="298A0D39">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6）、磋商报价为供应商在响应文件中提出的各项费用的总和。包含完成本项目的人力成本、设备成本、管理费、利润、税金等费用。采购人不再单独支付其他任何费用。磋商货币：人民币。</w:t>
      </w:r>
    </w:p>
    <w:p w14:paraId="36F7F523">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7）、磋商响应文件的正本和电子标书密封在一个标袋</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所有</w:t>
      </w:r>
      <w:r>
        <w:rPr>
          <w:rFonts w:hint="eastAsia" w:ascii="宋体" w:hAnsi="宋体" w:eastAsia="宋体" w:cs="宋体"/>
          <w:color w:val="000000" w:themeColor="text1"/>
          <w:szCs w:val="24"/>
          <w:highlight w:val="none"/>
          <w14:textFill>
            <w14:solidFill>
              <w14:schemeClr w14:val="tx1"/>
            </w14:solidFill>
          </w14:textFill>
        </w:rPr>
        <w:t>副本密封在一个标袋，封袋不得有破损，加贴封条，并在封线处加盖公章及法人章（骑缝章），密封必须完整，未密封（密封不完整）的磋商响应文件采购代理机构不予签收。磋商响应文件封袋正面标识式样见其他磋商响应文件格式。</w:t>
      </w:r>
    </w:p>
    <w:p w14:paraId="5DDCB5D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134620</wp:posOffset>
                </wp:positionH>
                <wp:positionV relativeFrom="paragraph">
                  <wp:posOffset>276860</wp:posOffset>
                </wp:positionV>
                <wp:extent cx="5401945" cy="2562225"/>
                <wp:effectExtent l="19050" t="19050" r="27305" b="28575"/>
                <wp:wrapNone/>
                <wp:docPr id="3" name="文本框 3"/>
                <wp:cNvGraphicFramePr/>
                <a:graphic xmlns:a="http://schemas.openxmlformats.org/drawingml/2006/main">
                  <a:graphicData uri="http://schemas.microsoft.com/office/word/2010/wordprocessingShape">
                    <wps:wsp>
                      <wps:cNvSpPr txBox="1"/>
                      <wps:spPr>
                        <a:xfrm>
                          <a:off x="0" y="0"/>
                          <a:ext cx="5401945" cy="2562225"/>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14:paraId="484FCA0D">
                            <w:pPr>
                              <w:spacing w:line="440" w:lineRule="exact"/>
                              <w:rPr>
                                <w:rFonts w:hint="eastAsia" w:ascii="宋体" w:hAnsi="宋体" w:eastAsiaTheme="minorEastAsia"/>
                                <w:sz w:val="24"/>
                                <w:lang w:eastAsia="zh-CN"/>
                              </w:rPr>
                            </w:pPr>
                            <w:r>
                              <w:rPr>
                                <w:rFonts w:hint="eastAsia" w:ascii="宋体" w:hAnsi="宋体"/>
                                <w:sz w:val="24"/>
                              </w:rPr>
                              <w:t>致：</w:t>
                            </w:r>
                            <w:r>
                              <w:rPr>
                                <w:rFonts w:hint="eastAsia" w:ascii="宋体" w:hAnsi="宋体"/>
                                <w:sz w:val="24"/>
                                <w:lang w:eastAsia="zh-CN"/>
                              </w:rPr>
                              <w:t>陕西龙恒项目管理有限公司</w:t>
                            </w:r>
                          </w:p>
                          <w:p w14:paraId="5B3622AE">
                            <w:pPr>
                              <w:spacing w:line="440" w:lineRule="exact"/>
                              <w:rPr>
                                <w:rFonts w:ascii="宋体" w:hAnsi="宋体"/>
                                <w:sz w:val="24"/>
                              </w:rPr>
                            </w:pPr>
                            <w:r>
                              <w:rPr>
                                <w:rFonts w:hint="eastAsia" w:ascii="宋体" w:hAnsi="宋体"/>
                                <w:sz w:val="24"/>
                              </w:rPr>
                              <w:t>项目编号：</w:t>
                            </w:r>
                            <w:r>
                              <w:rPr>
                                <w:rFonts w:hint="eastAsia" w:ascii="宋体" w:hAnsi="宋体"/>
                                <w:sz w:val="24"/>
                                <w:lang w:eastAsia="zh-CN"/>
                              </w:rPr>
                              <w:t>SXLH2025(031)CG</w:t>
                            </w:r>
                          </w:p>
                          <w:p w14:paraId="5EB94496">
                            <w:pPr>
                              <w:spacing w:line="440" w:lineRule="exact"/>
                              <w:rPr>
                                <w:rFonts w:ascii="宋体" w:hAnsi="宋体"/>
                                <w:sz w:val="24"/>
                              </w:rPr>
                            </w:pPr>
                            <w:r>
                              <w:rPr>
                                <w:rFonts w:hint="eastAsia" w:ascii="宋体" w:hAnsi="宋体"/>
                                <w:sz w:val="24"/>
                              </w:rPr>
                              <w:t>项目名称：</w:t>
                            </w:r>
                            <w:r>
                              <w:rPr>
                                <w:rFonts w:hint="eastAsia" w:ascii="宋体" w:hAnsi="宋体"/>
                                <w:sz w:val="24"/>
                                <w:lang w:eastAsia="zh-CN"/>
                              </w:rPr>
                              <w:t>千阳县民政局适老化改造项目</w:t>
                            </w:r>
                          </w:p>
                          <w:p w14:paraId="594EB634">
                            <w:pPr>
                              <w:spacing w:line="440" w:lineRule="exact"/>
                              <w:jc w:val="center"/>
                              <w:rPr>
                                <w:rFonts w:ascii="宋体" w:hAnsi="宋体"/>
                                <w:sz w:val="24"/>
                              </w:rPr>
                            </w:pPr>
                          </w:p>
                          <w:p w14:paraId="5F0AEC86">
                            <w:pPr>
                              <w:spacing w:line="440" w:lineRule="exact"/>
                              <w:jc w:val="center"/>
                              <w:rPr>
                                <w:rFonts w:ascii="宋体" w:hAnsi="宋体"/>
                                <w:sz w:val="24"/>
                              </w:rPr>
                            </w:pPr>
                            <w:r>
                              <w:rPr>
                                <w:rFonts w:hint="eastAsia" w:ascii="宋体" w:hAnsi="宋体"/>
                                <w:sz w:val="24"/>
                              </w:rPr>
                              <w:t>磋商响应文件（正本/副本）</w:t>
                            </w:r>
                          </w:p>
                          <w:p w14:paraId="068CCB1A">
                            <w:pPr>
                              <w:spacing w:line="440" w:lineRule="exact"/>
                              <w:jc w:val="center"/>
                              <w:rPr>
                                <w:rFonts w:ascii="宋体" w:hAnsi="宋体"/>
                                <w:sz w:val="24"/>
                              </w:rPr>
                            </w:pPr>
                            <w:r>
                              <w:rPr>
                                <w:rFonts w:hint="eastAsia" w:ascii="宋体" w:hAnsi="宋体"/>
                                <w:sz w:val="24"/>
                              </w:rPr>
                              <w:t>（磋商时启封）</w:t>
                            </w:r>
                          </w:p>
                          <w:p w14:paraId="4F606808">
                            <w:pPr>
                              <w:spacing w:line="440" w:lineRule="exact"/>
                              <w:rPr>
                                <w:rFonts w:ascii="宋体" w:hAnsi="宋体"/>
                                <w:sz w:val="24"/>
                              </w:rPr>
                            </w:pPr>
                            <w:r>
                              <w:rPr>
                                <w:rFonts w:hint="eastAsia" w:ascii="宋体" w:hAnsi="宋体"/>
                                <w:sz w:val="24"/>
                              </w:rPr>
                              <w:t>供应商名称：（公章）</w:t>
                            </w:r>
                          </w:p>
                          <w:p w14:paraId="298245DC">
                            <w:pPr>
                              <w:spacing w:line="440" w:lineRule="exact"/>
                              <w:rPr>
                                <w:rFonts w:ascii="宋体" w:hAnsi="宋体"/>
                                <w:sz w:val="24"/>
                              </w:rPr>
                            </w:pPr>
                            <w:r>
                              <w:rPr>
                                <w:rFonts w:hint="eastAsia" w:ascii="宋体" w:hAnsi="宋体"/>
                                <w:sz w:val="24"/>
                              </w:rPr>
                              <w:t>通讯地址：                            邮编：</w:t>
                            </w:r>
                          </w:p>
                        </w:txbxContent>
                      </wps:txbx>
                      <wps:bodyPr upright="1"/>
                    </wps:wsp>
                  </a:graphicData>
                </a:graphic>
              </wp:anchor>
            </w:drawing>
          </mc:Choice>
          <mc:Fallback>
            <w:pict>
              <v:shape id="_x0000_s1026" o:spid="_x0000_s1026" o:spt="202" type="#_x0000_t202" style="position:absolute;left:0pt;margin-left:10.6pt;margin-top:21.8pt;height:201.75pt;width:425.35pt;z-index:251663360;mso-width-relative:page;mso-height-relative:page;" fillcolor="#FFFFFF" filled="t" stroked="t" coordsize="21600,21600" o:gfxdata="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de9X2AAAAAkBAAAPAAAAAAAA&#10;AAEAIAAAACIAAABkcnMvZG93bnJldi54bWxQSwECFAAUAAAACACHTuJAIowLzRICAABGBAAADgAA&#10;AAAAAAABACAAAAAnAQAAZHJzL2Uyb0RvYy54bWxQSwUGAAAAAAYABgBZAQAAqwUAAAAA&#10;">
                <v:fill on="t" focussize="0,0"/>
                <v:stroke weight="3pt" color="#000000" linestyle="thinThin" joinstyle="miter"/>
                <v:imagedata o:title=""/>
                <o:lock v:ext="edit" aspectratio="f"/>
                <v:textbox>
                  <w:txbxContent>
                    <w:p w14:paraId="484FCA0D">
                      <w:pPr>
                        <w:spacing w:line="440" w:lineRule="exact"/>
                        <w:rPr>
                          <w:rFonts w:hint="eastAsia" w:ascii="宋体" w:hAnsi="宋体" w:eastAsiaTheme="minorEastAsia"/>
                          <w:sz w:val="24"/>
                          <w:lang w:eastAsia="zh-CN"/>
                        </w:rPr>
                      </w:pPr>
                      <w:r>
                        <w:rPr>
                          <w:rFonts w:hint="eastAsia" w:ascii="宋体" w:hAnsi="宋体"/>
                          <w:sz w:val="24"/>
                        </w:rPr>
                        <w:t>致：</w:t>
                      </w:r>
                      <w:r>
                        <w:rPr>
                          <w:rFonts w:hint="eastAsia" w:ascii="宋体" w:hAnsi="宋体"/>
                          <w:sz w:val="24"/>
                          <w:lang w:eastAsia="zh-CN"/>
                        </w:rPr>
                        <w:t>陕西龙恒项目管理有限公司</w:t>
                      </w:r>
                    </w:p>
                    <w:p w14:paraId="5B3622AE">
                      <w:pPr>
                        <w:spacing w:line="440" w:lineRule="exact"/>
                        <w:rPr>
                          <w:rFonts w:ascii="宋体" w:hAnsi="宋体"/>
                          <w:sz w:val="24"/>
                        </w:rPr>
                      </w:pPr>
                      <w:r>
                        <w:rPr>
                          <w:rFonts w:hint="eastAsia" w:ascii="宋体" w:hAnsi="宋体"/>
                          <w:sz w:val="24"/>
                        </w:rPr>
                        <w:t>项目编号：</w:t>
                      </w:r>
                      <w:r>
                        <w:rPr>
                          <w:rFonts w:hint="eastAsia" w:ascii="宋体" w:hAnsi="宋体"/>
                          <w:sz w:val="24"/>
                          <w:lang w:eastAsia="zh-CN"/>
                        </w:rPr>
                        <w:t>SXLH2025(031)CG</w:t>
                      </w:r>
                    </w:p>
                    <w:p w14:paraId="5EB94496">
                      <w:pPr>
                        <w:spacing w:line="440" w:lineRule="exact"/>
                        <w:rPr>
                          <w:rFonts w:ascii="宋体" w:hAnsi="宋体"/>
                          <w:sz w:val="24"/>
                        </w:rPr>
                      </w:pPr>
                      <w:r>
                        <w:rPr>
                          <w:rFonts w:hint="eastAsia" w:ascii="宋体" w:hAnsi="宋体"/>
                          <w:sz w:val="24"/>
                        </w:rPr>
                        <w:t>项目名称：</w:t>
                      </w:r>
                      <w:r>
                        <w:rPr>
                          <w:rFonts w:hint="eastAsia" w:ascii="宋体" w:hAnsi="宋体"/>
                          <w:sz w:val="24"/>
                          <w:lang w:eastAsia="zh-CN"/>
                        </w:rPr>
                        <w:t>千阳县民政局适老化改造项目</w:t>
                      </w:r>
                    </w:p>
                    <w:p w14:paraId="594EB634">
                      <w:pPr>
                        <w:spacing w:line="440" w:lineRule="exact"/>
                        <w:jc w:val="center"/>
                        <w:rPr>
                          <w:rFonts w:ascii="宋体" w:hAnsi="宋体"/>
                          <w:sz w:val="24"/>
                        </w:rPr>
                      </w:pPr>
                    </w:p>
                    <w:p w14:paraId="5F0AEC86">
                      <w:pPr>
                        <w:spacing w:line="440" w:lineRule="exact"/>
                        <w:jc w:val="center"/>
                        <w:rPr>
                          <w:rFonts w:ascii="宋体" w:hAnsi="宋体"/>
                          <w:sz w:val="24"/>
                        </w:rPr>
                      </w:pPr>
                      <w:r>
                        <w:rPr>
                          <w:rFonts w:hint="eastAsia" w:ascii="宋体" w:hAnsi="宋体"/>
                          <w:sz w:val="24"/>
                        </w:rPr>
                        <w:t>磋商响应文件（正本/副本）</w:t>
                      </w:r>
                    </w:p>
                    <w:p w14:paraId="068CCB1A">
                      <w:pPr>
                        <w:spacing w:line="440" w:lineRule="exact"/>
                        <w:jc w:val="center"/>
                        <w:rPr>
                          <w:rFonts w:ascii="宋体" w:hAnsi="宋体"/>
                          <w:sz w:val="24"/>
                        </w:rPr>
                      </w:pPr>
                      <w:r>
                        <w:rPr>
                          <w:rFonts w:hint="eastAsia" w:ascii="宋体" w:hAnsi="宋体"/>
                          <w:sz w:val="24"/>
                        </w:rPr>
                        <w:t>（磋商时启封）</w:t>
                      </w:r>
                    </w:p>
                    <w:p w14:paraId="4F606808">
                      <w:pPr>
                        <w:spacing w:line="440" w:lineRule="exact"/>
                        <w:rPr>
                          <w:rFonts w:ascii="宋体" w:hAnsi="宋体"/>
                          <w:sz w:val="24"/>
                        </w:rPr>
                      </w:pPr>
                      <w:r>
                        <w:rPr>
                          <w:rFonts w:hint="eastAsia" w:ascii="宋体" w:hAnsi="宋体"/>
                          <w:sz w:val="24"/>
                        </w:rPr>
                        <w:t>供应商名称：（公章）</w:t>
                      </w:r>
                    </w:p>
                    <w:p w14:paraId="298245DC">
                      <w:pPr>
                        <w:spacing w:line="440" w:lineRule="exact"/>
                        <w:rPr>
                          <w:rFonts w:ascii="宋体" w:hAnsi="宋体"/>
                          <w:sz w:val="24"/>
                        </w:rPr>
                      </w:pPr>
                      <w:r>
                        <w:rPr>
                          <w:rFonts w:hint="eastAsia" w:ascii="宋体" w:hAnsi="宋体"/>
                          <w:sz w:val="24"/>
                        </w:rPr>
                        <w:t>通讯地址：                            邮编：</w:t>
                      </w:r>
                    </w:p>
                  </w:txbxContent>
                </v:textbox>
              </v:shape>
            </w:pict>
          </mc:Fallback>
        </mc:AlternateContent>
      </w:r>
      <w:r>
        <w:rPr>
          <w:rFonts w:hint="eastAsia" w:ascii="宋体" w:hAnsi="宋体" w:eastAsia="宋体" w:cs="宋体"/>
          <w:color w:val="000000" w:themeColor="text1"/>
          <w:szCs w:val="24"/>
          <w:highlight w:val="none"/>
          <w:lang w:val="en-US" w:eastAsia="zh-CN"/>
          <w14:textFill>
            <w14:solidFill>
              <w14:schemeClr w14:val="tx1"/>
            </w14:solidFill>
          </w14:textFill>
        </w:rPr>
        <w:t>其他磋商响应文件格式</w:t>
      </w:r>
    </w:p>
    <w:p w14:paraId="075E844A">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p>
    <w:p w14:paraId="7A75221B">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p>
    <w:p w14:paraId="350BD972">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p>
    <w:p w14:paraId="13FAF5C4">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p>
    <w:p w14:paraId="45024B87">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p>
    <w:p w14:paraId="6EC4F6EB">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p>
    <w:p w14:paraId="453E4AFA">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p>
    <w:p w14:paraId="4116141A">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p>
    <w:p w14:paraId="3E8CFB5B">
      <w:pPr>
        <w:keepNext w:val="0"/>
        <w:keepLines w:val="0"/>
        <w:pageBreakBefore w:val="0"/>
        <w:wordWrap/>
        <w:topLinePunct w:val="0"/>
        <w:autoSpaceDE/>
        <w:autoSpaceDN/>
        <w:bidi w:val="0"/>
        <w:spacing w:line="360" w:lineRule="auto"/>
        <w:textAlignment w:val="auto"/>
        <w:rPr>
          <w:rFonts w:hint="eastAsia" w:ascii="宋体" w:hAnsi="宋体" w:eastAsia="宋体" w:cs="宋体"/>
          <w:color w:val="000000" w:themeColor="text1"/>
          <w:szCs w:val="24"/>
          <w:highlight w:val="none"/>
          <w14:textFill>
            <w14:solidFill>
              <w14:schemeClr w14:val="tx1"/>
            </w14:solidFill>
          </w14:textFill>
        </w:rPr>
      </w:pPr>
    </w:p>
    <w:p w14:paraId="5AFFBA0F">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2</w:t>
      </w:r>
      <w:r>
        <w:rPr>
          <w:rFonts w:hint="eastAsia" w:ascii="宋体" w:hAnsi="宋体" w:eastAsia="宋体" w:cs="宋体"/>
          <w:color w:val="000000" w:themeColor="text1"/>
          <w:szCs w:val="24"/>
          <w:highlight w:val="none"/>
          <w14:textFill>
            <w14:solidFill>
              <w14:schemeClr w14:val="tx1"/>
            </w14:solidFill>
          </w14:textFill>
        </w:rPr>
        <w:t>、响应文件的语言及计量单位</w:t>
      </w:r>
    </w:p>
    <w:p w14:paraId="6D7F77E7">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1、招标活动的所有文件、资料、函电文字均使用简体中文，确需提交用其他语言形成的资料，必须翻译成简体中文。对不同文字文本响应文件的解释发生异议时，以简体中文文本为准。</w:t>
      </w:r>
    </w:p>
    <w:p w14:paraId="7BD4E438">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2、响应文件的计量单位应使用中华人民共和国法定计量单位，但竞争性磋商文件另有规定的除外。</w:t>
      </w:r>
    </w:p>
    <w:p w14:paraId="4AC24ACD">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eastAsia" w:ascii="宋体" w:hAnsi="宋体" w:eastAsia="宋体" w:cs="宋体"/>
          <w:color w:val="000000" w:themeColor="text1"/>
          <w:szCs w:val="24"/>
          <w:highlight w:val="none"/>
          <w14:textFill>
            <w14:solidFill>
              <w14:schemeClr w14:val="tx1"/>
            </w14:solidFill>
          </w14:textFill>
        </w:rPr>
        <w:t>、响应文件的有效期</w:t>
      </w:r>
    </w:p>
    <w:p w14:paraId="43BF01B3">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1.投标有效期（含授权有效期）自提交响应文件截止之日起90日历天。供应商投标有效期短于竞争性磋商文件规定的投标有效期，按无效投标处理。成交供应商的投标有效期自动延长至合同执行完毕。</w:t>
      </w:r>
    </w:p>
    <w:p w14:paraId="2216A450">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2.在投标有效期内，供应商不得要求撤销或修改其响应文件。</w:t>
      </w:r>
    </w:p>
    <w:p w14:paraId="3B58609A">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3.特殊情况下，在原投标有效期期满之前，采购人可要求供应商延长投标有效期。供应商拒绝延长的，其投标失效。供应商同意延长的，不得修改响应文件的实质性内容。</w:t>
      </w:r>
    </w:p>
    <w:p w14:paraId="1CFBAD57">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、响应文件的提交</w:t>
      </w:r>
    </w:p>
    <w:p w14:paraId="14D5692A">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供应商可于本章供应商须知前附表第18项规定的磋商响应文件提交截止时间前递交磋商响应文件</w:t>
      </w:r>
      <w:r>
        <w:rPr>
          <w:rFonts w:hint="eastAsia" w:ascii="宋体" w:hAnsi="宋体" w:eastAsia="宋体" w:cs="宋体"/>
          <w:color w:val="000000" w:themeColor="text1"/>
          <w:szCs w:val="24"/>
          <w:highlight w:val="none"/>
          <w:lang w:eastAsia="zh-CN"/>
          <w14:textFill>
            <w14:solidFill>
              <w14:schemeClr w14:val="tx1"/>
            </w14:solidFill>
          </w14:textFill>
        </w:rPr>
        <w:t>。</w:t>
      </w:r>
    </w:p>
    <w:p w14:paraId="3922A3D7">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5</w:t>
      </w:r>
      <w:r>
        <w:rPr>
          <w:rFonts w:hint="eastAsia" w:ascii="宋体" w:hAnsi="宋体" w:eastAsia="宋体" w:cs="宋体"/>
          <w:color w:val="000000" w:themeColor="text1"/>
          <w:szCs w:val="24"/>
          <w:highlight w:val="none"/>
          <w14:textFill>
            <w14:solidFill>
              <w14:schemeClr w14:val="tx1"/>
            </w14:solidFill>
          </w14:textFill>
        </w:rPr>
        <w:t>、响应文件的撤回、补充和修改</w:t>
      </w:r>
    </w:p>
    <w:p w14:paraId="68C90C41">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供应商在递交响应文件后，且在提交响应文件截止时间前，可以对所提交的响应文件进行撤回、补充或修改。</w:t>
      </w:r>
    </w:p>
    <w:p w14:paraId="05DD0109">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6</w:t>
      </w:r>
      <w:r>
        <w:rPr>
          <w:rFonts w:hint="eastAsia" w:ascii="宋体" w:hAnsi="宋体" w:eastAsia="宋体" w:cs="宋体"/>
          <w:color w:val="000000" w:themeColor="text1"/>
          <w:szCs w:val="24"/>
          <w:highlight w:val="none"/>
          <w14:textFill>
            <w14:solidFill>
              <w14:schemeClr w14:val="tx1"/>
            </w14:solidFill>
          </w14:textFill>
        </w:rPr>
        <w:t>、磋商报价</w:t>
      </w:r>
    </w:p>
    <w:p w14:paraId="13C4D6D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1）本次招标项目最高限价为：</w:t>
      </w:r>
      <w:r>
        <w:rPr>
          <w:rFonts w:hint="eastAsia" w:ascii="宋体" w:hAnsi="宋体" w:eastAsia="宋体" w:cs="宋体"/>
          <w:color w:val="000000" w:themeColor="text1"/>
          <w:szCs w:val="24"/>
          <w:highlight w:val="none"/>
          <w:lang w:val="en-US" w:eastAsia="zh-CN"/>
          <w14:textFill>
            <w14:solidFill>
              <w14:schemeClr w14:val="tx1"/>
            </w14:solidFill>
          </w14:textFill>
        </w:rPr>
        <w:t>140000.00</w:t>
      </w:r>
      <w:r>
        <w:rPr>
          <w:rFonts w:hint="eastAsia" w:ascii="宋体" w:hAnsi="宋体" w:eastAsia="宋体" w:cs="宋体"/>
          <w:color w:val="000000" w:themeColor="text1"/>
          <w:szCs w:val="24"/>
          <w:highlight w:val="none"/>
          <w14:textFill>
            <w14:solidFill>
              <w14:schemeClr w14:val="tx1"/>
            </w14:solidFill>
          </w14:textFill>
        </w:rPr>
        <w:t>元，超出项目最高限价为无效报价，按废标处理。</w:t>
      </w:r>
    </w:p>
    <w:p w14:paraId="03DAA76F">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2）磋商报价中均采用人民币表示，磋商报价为供应商在响应文件中提出的各项费用的总和。除非采购人对竞争性磋商文件予以修改，供应商应按采购人提供的</w:t>
      </w:r>
      <w:r>
        <w:rPr>
          <w:rFonts w:hint="eastAsia" w:ascii="宋体" w:hAnsi="宋体" w:eastAsia="宋体" w:cs="宋体"/>
          <w:color w:val="000000" w:themeColor="text1"/>
          <w:szCs w:val="24"/>
          <w:highlight w:val="none"/>
          <w:lang w:val="en-US" w:eastAsia="zh-CN"/>
          <w14:textFill>
            <w14:solidFill>
              <w14:schemeClr w14:val="tx1"/>
            </w14:solidFill>
          </w14:textFill>
        </w:rPr>
        <w:t>采购内容</w:t>
      </w:r>
      <w:r>
        <w:rPr>
          <w:rFonts w:hint="eastAsia" w:ascii="宋体" w:hAnsi="宋体" w:eastAsia="宋体" w:cs="宋体"/>
          <w:color w:val="000000" w:themeColor="text1"/>
          <w:szCs w:val="24"/>
          <w:highlight w:val="none"/>
          <w14:textFill>
            <w14:solidFill>
              <w14:schemeClr w14:val="tx1"/>
            </w14:solidFill>
          </w14:textFill>
        </w:rPr>
        <w:t>清单填报单价和合价，每一项目只允许有一个报价。任何有选择的报价将不予接受。供应商未填单价或合价的项目，将视为该项费用已包括在其他有价款的单价或合价内，采购人将不予支付其价款。</w:t>
      </w:r>
    </w:p>
    <w:p w14:paraId="2303F7EB">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eastAsia" w:ascii="宋体" w:hAnsi="宋体" w:eastAsia="宋体" w:cs="宋体"/>
          <w:color w:val="000000" w:themeColor="text1"/>
          <w:szCs w:val="24"/>
          <w:highlight w:val="none"/>
          <w14:textFill>
            <w14:solidFill>
              <w14:schemeClr w14:val="tx1"/>
            </w14:solidFill>
          </w14:textFill>
        </w:rPr>
        <w:t>供应商必须全面考虑各影响报价因素，认真计算可能发生的各相关费用（包含完成本项目的人力成本、设备成本、管理费、利润、税金等费用）并计入磋商报价内，在项目实施过程中甲方不再另付任何费用。</w:t>
      </w:r>
    </w:p>
    <w:p w14:paraId="4E4DAF29">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w:t>
      </w:r>
      <w:r>
        <w:rPr>
          <w:rFonts w:hint="eastAsia" w:ascii="宋体" w:hAnsi="宋体" w:eastAsia="宋体" w:cs="宋体"/>
          <w:color w:val="000000" w:themeColor="text1"/>
          <w:szCs w:val="24"/>
          <w:highlight w:val="none"/>
          <w14:textFill>
            <w14:solidFill>
              <w14:schemeClr w14:val="tx1"/>
            </w14:solidFill>
          </w14:textFill>
        </w:rPr>
        <w:t>供应商须对《采购内容及要求》中的全部费用明细按要求进行完整报价，采购代理机构拒绝只对部分费用明细进行报价的磋商。供应商应在竞争性磋商响应文件中的分项报价表（如有）上标明对本次采购拟提供项目的单价和总价。任何有选择的报价将不予接受，工程、货物或服务只允许有一个报价。</w:t>
      </w:r>
    </w:p>
    <w:p w14:paraId="2D70FDC5">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w:t>
      </w:r>
      <w:r>
        <w:rPr>
          <w:rFonts w:hint="eastAsia" w:ascii="宋体" w:hAnsi="宋体" w:eastAsia="宋体" w:cs="宋体"/>
          <w:color w:val="000000" w:themeColor="text1"/>
          <w:szCs w:val="24"/>
          <w:highlight w:val="none"/>
          <w14:textFill>
            <w14:solidFill>
              <w14:schemeClr w14:val="tx1"/>
            </w14:solidFill>
          </w14:textFill>
        </w:rPr>
        <w:t>磋商小组认为供应商的报价明显低于其他通过符合性审查供应商的报价，有可能影响质量或者不能诚信履约的，应当要求其在评标现场合理的时间内提供书面说明，必要时提交相关证明材料；供应商不能证明其报价合理性的，磋商小组应当将其作为无效投标处理。</w:t>
      </w:r>
    </w:p>
    <w:p w14:paraId="0B9A22E9">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w:t>
      </w:r>
      <w:r>
        <w:rPr>
          <w:rFonts w:hint="eastAsia" w:ascii="宋体" w:hAnsi="宋体" w:eastAsia="宋体" w:cs="宋体"/>
          <w:color w:val="000000" w:themeColor="text1"/>
          <w:szCs w:val="24"/>
          <w:highlight w:val="none"/>
          <w14:textFill>
            <w14:solidFill>
              <w14:schemeClr w14:val="tx1"/>
            </w14:solidFill>
          </w14:textFill>
        </w:rPr>
        <w:t>结算调整幅度：本项目采用竞争性磋商方式采购，需进行二次报价，结算时将按最终报价与首次报价的差距同比例调整，</w:t>
      </w:r>
      <w:r>
        <w:rPr>
          <w:rFonts w:hint="eastAsia" w:ascii="宋体" w:hAnsi="宋体" w:eastAsia="宋体" w:cs="宋体"/>
          <w:color w:val="000000" w:themeColor="text1"/>
          <w:szCs w:val="24"/>
          <w:highlight w:val="none"/>
          <w:lang w:val="en-US" w:eastAsia="zh-CN"/>
          <w14:textFill>
            <w14:solidFill>
              <w14:schemeClr w14:val="tx1"/>
            </w14:solidFill>
          </w14:textFill>
        </w:rPr>
        <w:t>价格</w:t>
      </w:r>
      <w:r>
        <w:rPr>
          <w:rFonts w:hint="eastAsia" w:ascii="宋体" w:hAnsi="宋体" w:eastAsia="宋体" w:cs="宋体"/>
          <w:color w:val="000000" w:themeColor="text1"/>
          <w:szCs w:val="24"/>
          <w:highlight w:val="none"/>
          <w14:textFill>
            <w14:solidFill>
              <w14:schemeClr w14:val="tx1"/>
            </w14:solidFill>
          </w14:textFill>
        </w:rPr>
        <w:t>浮动后质量等级不得变更。</w:t>
      </w:r>
    </w:p>
    <w:p w14:paraId="26A6A84B">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最终报价</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二次</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=本项目实施过程中的所有费用。最终报价</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二次</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不得高于首次报价，否则按废标处理</w:t>
      </w:r>
      <w:r>
        <w:rPr>
          <w:rFonts w:hint="eastAsia" w:ascii="宋体" w:hAnsi="宋体" w:eastAsia="宋体" w:cs="宋体"/>
          <w:color w:val="000000" w:themeColor="text1"/>
          <w:szCs w:val="24"/>
          <w:highlight w:val="none"/>
          <w:lang w:eastAsia="zh-CN"/>
          <w14:textFill>
            <w14:solidFill>
              <w14:schemeClr w14:val="tx1"/>
            </w14:solidFill>
          </w14:textFill>
        </w:rPr>
        <w:t>。</w:t>
      </w:r>
    </w:p>
    <w:p w14:paraId="5183B66F">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本次竞争性磋商非一次性报价。</w:t>
      </w:r>
    </w:p>
    <w:p w14:paraId="4586EDC3">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-7、</w:t>
      </w:r>
      <w:r>
        <w:rPr>
          <w:rFonts w:hint="eastAsia" w:ascii="宋体" w:hAnsi="宋体" w:eastAsia="宋体" w:cs="宋体"/>
          <w:color w:val="000000" w:themeColor="text1"/>
          <w:szCs w:val="24"/>
          <w:highlight w:val="none"/>
          <w14:textFill>
            <w14:solidFill>
              <w14:schemeClr w14:val="tx1"/>
            </w14:solidFill>
          </w14:textFill>
        </w:rPr>
        <w:t>磋商报价货币应为人民币。</w:t>
      </w:r>
    </w:p>
    <w:p w14:paraId="054A0AB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8</w:t>
      </w:r>
      <w:r>
        <w:rPr>
          <w:rFonts w:hint="eastAsia" w:ascii="宋体" w:hAnsi="宋体" w:eastAsia="宋体" w:cs="宋体"/>
          <w:color w:val="000000" w:themeColor="text1"/>
          <w:szCs w:val="24"/>
          <w:highlight w:val="none"/>
          <w14:textFill>
            <w14:solidFill>
              <w14:schemeClr w14:val="tx1"/>
            </w14:solidFill>
          </w14:textFill>
        </w:rPr>
        <w:t>、供应商提交响应文件时，出现下列情况之一的，其响应文件将被拒绝接收：</w:t>
      </w:r>
    </w:p>
    <w:p w14:paraId="0E144BA2">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1、误投的；</w:t>
      </w:r>
    </w:p>
    <w:p w14:paraId="595D5563">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2、逾期提交响应文件的。</w:t>
      </w:r>
    </w:p>
    <w:p w14:paraId="13CAE622">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3、未在磋商文件规定时间签到的</w:t>
      </w:r>
      <w:r>
        <w:rPr>
          <w:rFonts w:hint="eastAsia" w:ascii="宋体" w:hAnsi="宋体" w:eastAsia="宋体" w:cs="宋体"/>
          <w:color w:val="000000" w:themeColor="text1"/>
          <w:szCs w:val="24"/>
          <w:highlight w:val="none"/>
          <w:lang w:val="en-US" w:eastAsia="zh-CN"/>
          <w14:textFill>
            <w14:solidFill>
              <w14:schemeClr w14:val="tx1"/>
            </w14:solidFill>
          </w14:textFill>
        </w:rPr>
        <w:t>；</w:t>
      </w:r>
    </w:p>
    <w:p w14:paraId="783A9C8D">
      <w:pPr>
        <w:keepNext w:val="0"/>
        <w:keepLines w:val="0"/>
        <w:pageBreakBefore w:val="0"/>
        <w:wordWrap/>
        <w:topLinePunct w:val="0"/>
        <w:autoSpaceDE/>
        <w:autoSpaceDN/>
        <w:bidi w:val="0"/>
        <w:spacing w:line="360" w:lineRule="auto"/>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宋体"/>
          <w:color w:val="000000" w:themeColor="text1"/>
          <w:kern w:val="0"/>
          <w:sz w:val="28"/>
          <w:szCs w:val="28"/>
          <w:highlight w:val="none"/>
          <w14:textFill>
            <w14:solidFill>
              <w14:schemeClr w14:val="tx1"/>
            </w14:solidFill>
          </w14:textFill>
        </w:rPr>
        <w:t>、投标</w:t>
      </w:r>
    </w:p>
    <w:p w14:paraId="4DCF36FD">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供应商应在供应商须知前附表规定的投标截止时间前递交竞争性</w:t>
      </w:r>
      <w:r>
        <w:rPr>
          <w:rFonts w:hint="eastAsia" w:ascii="宋体" w:hAnsi="宋体" w:eastAsia="宋体" w:cs="宋体"/>
          <w:color w:val="000000" w:themeColor="text1"/>
          <w:szCs w:val="24"/>
          <w:highlight w:val="none"/>
          <w:lang w:val="en-US" w:eastAsia="zh-CN"/>
          <w14:textFill>
            <w14:solidFill>
              <w14:schemeClr w14:val="tx1"/>
            </w14:solidFill>
          </w14:textFill>
        </w:rPr>
        <w:t>磋商</w:t>
      </w:r>
      <w:r>
        <w:rPr>
          <w:rFonts w:hint="eastAsia" w:ascii="宋体" w:hAnsi="宋体" w:eastAsia="宋体" w:cs="宋体"/>
          <w:color w:val="000000" w:themeColor="text1"/>
          <w:szCs w:val="24"/>
          <w:highlight w:val="none"/>
          <w14:textFill>
            <w14:solidFill>
              <w14:schemeClr w14:val="tx1"/>
            </w14:solidFill>
          </w14:textFill>
        </w:rPr>
        <w:t>响应文件，递交时间即为签收凭证时间。供应商未在投标截止时间前递交竞争性</w:t>
      </w:r>
      <w:r>
        <w:rPr>
          <w:rFonts w:hint="eastAsia" w:ascii="宋体" w:hAnsi="宋体" w:eastAsia="宋体" w:cs="宋体"/>
          <w:color w:val="000000" w:themeColor="text1"/>
          <w:szCs w:val="24"/>
          <w:highlight w:val="none"/>
          <w:lang w:val="en-US" w:eastAsia="zh-CN"/>
          <w14:textFill>
            <w14:solidFill>
              <w14:schemeClr w14:val="tx1"/>
            </w14:solidFill>
          </w14:textFill>
        </w:rPr>
        <w:t>磋商</w:t>
      </w:r>
      <w:r>
        <w:rPr>
          <w:rFonts w:hint="eastAsia" w:ascii="宋体" w:hAnsi="宋体" w:eastAsia="宋体" w:cs="宋体"/>
          <w:color w:val="000000" w:themeColor="text1"/>
          <w:szCs w:val="24"/>
          <w:highlight w:val="none"/>
          <w14:textFill>
            <w14:solidFill>
              <w14:schemeClr w14:val="tx1"/>
            </w14:solidFill>
          </w14:textFill>
        </w:rPr>
        <w:t>响应文件的，视为逾期送达，采购人及采购代理机构将拒绝接收。</w:t>
      </w:r>
    </w:p>
    <w:p w14:paraId="71F80A92">
      <w:pPr>
        <w:keepNext w:val="0"/>
        <w:keepLines w:val="0"/>
        <w:pageBreakBefore w:val="0"/>
        <w:wordWrap/>
        <w:topLinePunct w:val="0"/>
        <w:autoSpaceDE/>
        <w:autoSpaceDN/>
        <w:bidi w:val="0"/>
        <w:spacing w:line="360" w:lineRule="auto"/>
        <w:textAlignment w:val="auto"/>
        <w:rPr>
          <w:rFonts w:hint="eastAsia" w:ascii="宋体" w:hAnsi="宋体" w:eastAsia="宋体" w:cs="宋体"/>
          <w:color w:val="000000" w:themeColor="text1"/>
          <w:kern w:val="0"/>
          <w:sz w:val="28"/>
          <w:szCs w:val="28"/>
          <w:highlight w:val="none"/>
          <w14:textFill>
            <w14:solidFill>
              <w14:schemeClr w14:val="tx1"/>
            </w14:solidFill>
          </w14:textFill>
        </w:rPr>
      </w:pPr>
      <w:bookmarkStart w:id="25" w:name="_Toc12278"/>
      <w:bookmarkStart w:id="26" w:name="_Toc458617459"/>
      <w:bookmarkStart w:id="27" w:name="_Toc458617736"/>
      <w:r>
        <w:rPr>
          <w:rFonts w:hint="eastAsia" w:ascii="宋体" w:hAnsi="宋体" w:eastAsia="宋体" w:cs="宋体"/>
          <w:color w:val="000000" w:themeColor="text1"/>
          <w:kern w:val="0"/>
          <w:sz w:val="28"/>
          <w:szCs w:val="28"/>
          <w:highlight w:val="none"/>
          <w14:textFill>
            <w14:solidFill>
              <w14:schemeClr w14:val="tx1"/>
            </w14:solidFill>
          </w14:textFill>
        </w:rPr>
        <w:t>六、</w:t>
      </w:r>
      <w:bookmarkEnd w:id="25"/>
      <w:bookmarkEnd w:id="26"/>
      <w:bookmarkEnd w:id="27"/>
      <w:r>
        <w:rPr>
          <w:rFonts w:hint="eastAsia" w:ascii="宋体" w:hAnsi="宋体" w:eastAsia="宋体" w:cs="宋体"/>
          <w:color w:val="000000" w:themeColor="text1"/>
          <w:kern w:val="0"/>
          <w:sz w:val="28"/>
          <w:szCs w:val="28"/>
          <w:highlight w:val="none"/>
          <w14:textFill>
            <w14:solidFill>
              <w14:schemeClr w14:val="tx1"/>
            </w14:solidFill>
          </w14:textFill>
        </w:rPr>
        <w:t>开标、评标和定标</w:t>
      </w:r>
    </w:p>
    <w:p w14:paraId="181ABD2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1、开标：</w:t>
      </w:r>
    </w:p>
    <w:p w14:paraId="4007827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1.1开标时间和地点</w:t>
      </w:r>
    </w:p>
    <w:p w14:paraId="131380C5">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eastAsia="zh-CN"/>
          <w14:textFill>
            <w14:solidFill>
              <w14:schemeClr w14:val="tx1"/>
            </w14:solidFill>
          </w14:textFill>
        </w:rPr>
        <w:t>采购人在供应商须知前附表第18项规定的投标截止时间及地点公开开标，并邀请所有供应商的法定代表人或其被授权人准时参加。</w:t>
      </w:r>
    </w:p>
    <w:p w14:paraId="0AD652BA">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1.2开标程序</w:t>
      </w:r>
    </w:p>
    <w:p w14:paraId="43840673">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1）供应商入场；</w:t>
      </w:r>
    </w:p>
    <w:p w14:paraId="7440D81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2）宣布磋商项目名称及磋商响应文件递交截止时间，并宣布磋商会开始；</w:t>
      </w:r>
    </w:p>
    <w:p w14:paraId="1D34A78B">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3）宣布磋商会议纪律；</w:t>
      </w:r>
    </w:p>
    <w:p w14:paraId="0DC13F78">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（4）介绍参加磋商会议的监督部门、采购人及有关领导；</w:t>
      </w:r>
    </w:p>
    <w:p w14:paraId="24116971">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（5）介绍参加磋商会议工作人员名单；</w:t>
      </w:r>
    </w:p>
    <w:p w14:paraId="74FB72A2">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（6）介绍供应商到会情况；</w:t>
      </w:r>
    </w:p>
    <w:p w14:paraId="7C7FE5E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（7）查验各供应商资格（法定代表人授权委托书、身份证复印件及身份证原件，审查不通过，该供应商不进入下阶段评审）；</w:t>
      </w:r>
    </w:p>
    <w:p w14:paraId="65CFAC99">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（8）查验磋商响应文件的密封情况（由监督部门和供应商</w:t>
      </w:r>
      <w:r>
        <w:rPr>
          <w:rFonts w:hint="eastAsia" w:ascii="宋体" w:hAnsi="宋体" w:eastAsia="宋体" w:cs="宋体"/>
          <w:sz w:val="24"/>
          <w:szCs w:val="24"/>
          <w:highlight w:val="none"/>
        </w:rPr>
        <w:t>被授权人</w:t>
      </w:r>
      <w:r>
        <w:rPr>
          <w:rFonts w:hint="eastAsia" w:ascii="宋体" w:hAnsi="宋体" w:eastAsia="宋体" w:cs="宋体"/>
          <w:color w:val="000000" w:themeColor="text1"/>
          <w:szCs w:val="24"/>
          <w:highlight w:val="none"/>
          <w:lang w:val="en-US" w:eastAsia="zh-CN"/>
          <w14:textFill>
            <w14:solidFill>
              <w14:schemeClr w14:val="tx1"/>
            </w14:solidFill>
          </w14:textFill>
        </w:rPr>
        <w:t>共同查验），密封查验不通过，该供应商不进入下一步开标程序；</w:t>
      </w:r>
    </w:p>
    <w:p w14:paraId="11261846">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（9）开启磋商响应文件；</w:t>
      </w:r>
    </w:p>
    <w:p w14:paraId="19815514">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（10）磋商响应文件资格性审查、符合性审查；</w:t>
      </w:r>
    </w:p>
    <w:p w14:paraId="67B40E96">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（11）磋商；</w:t>
      </w:r>
    </w:p>
    <w:p w14:paraId="08C87AD7">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（12）二次报价；</w:t>
      </w:r>
    </w:p>
    <w:p w14:paraId="738F5A32">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（13）供应商退场；</w:t>
      </w:r>
    </w:p>
    <w:p w14:paraId="12FCAF56">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（14）评审阶段；</w:t>
      </w:r>
    </w:p>
    <w:p w14:paraId="1EA01A37">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（15）磋商会议结束。</w:t>
      </w:r>
    </w:p>
    <w:p w14:paraId="7E6F7B51">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2、评标</w:t>
      </w:r>
    </w:p>
    <w:p w14:paraId="47866E1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2-1、磋商小组</w:t>
      </w:r>
    </w:p>
    <w:p w14:paraId="4BEB6008">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（1）采购代理机构根据《中华人民共和国政府采购法》及其实施条例、《政府采购竞争性磋商采购方式管理暂行办法》（财库〔2014〕214号）等规定，依法组建</w:t>
      </w:r>
      <w:r>
        <w:rPr>
          <w:rFonts w:hint="eastAsia" w:ascii="宋体" w:hAnsi="宋体" w:eastAsia="宋体" w:cs="宋体"/>
          <w:color w:val="000000" w:themeColor="text1"/>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Cs w:val="24"/>
          <w:highlight w:val="none"/>
          <w14:textFill>
            <w14:solidFill>
              <w14:schemeClr w14:val="tx1"/>
            </w14:solidFill>
          </w14:textFill>
        </w:rPr>
        <w:t>。</w:t>
      </w:r>
    </w:p>
    <w:p w14:paraId="084EC019">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（2）采购人派代表进入评标室时，须向采购代理机构出具授权函。</w:t>
      </w:r>
    </w:p>
    <w:p w14:paraId="09D1C785">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（3）磋商小组成员应推荐一名评审专家担任评审组长，并由评审组长牵头组织该项目评审工作，采购人代表不得担任评审组长。</w:t>
      </w:r>
    </w:p>
    <w:p w14:paraId="146A1580">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（4）磋商小组成员不得参加开标活动。</w:t>
      </w:r>
    </w:p>
    <w:p w14:paraId="26A858B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（5）磋商小组成员应当遵守并履行下列职责义务：</w:t>
      </w:r>
    </w:p>
    <w:p w14:paraId="1605983B">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a、遵纪守法，客观、公正、认真负责地履行职责，根据竞争性磋商文件规定的评标程序、评标方法和评标标准审查响应文件；</w:t>
      </w:r>
    </w:p>
    <w:p w14:paraId="0D9DACBB">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b、符合性审查、评价响应文件是否符合竞争性磋商文件的商务、技术等实质性要求；</w:t>
      </w:r>
    </w:p>
    <w:p w14:paraId="4169D4A2">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c、要求供应商对响应文件有关事项作出澄清或者说明；</w:t>
      </w:r>
    </w:p>
    <w:p w14:paraId="4634CF4B">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d、对响应文件进行比较和评价；</w:t>
      </w:r>
    </w:p>
    <w:p w14:paraId="2D599359">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e、确定成交候选人名单，以及根据采购人委托直接确定成交人；</w:t>
      </w:r>
    </w:p>
    <w:p w14:paraId="79AE83E3">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f、向采购人、采购代理机构或者有关部门报告评标中发现的违法行为； </w:t>
      </w:r>
    </w:p>
    <w:p w14:paraId="1FF265D7">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g、对评标过程及各供应商的商业机密予以保密；</w:t>
      </w:r>
    </w:p>
    <w:p w14:paraId="6917A8B7">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h、配合采购人、采购代理机构答复各供应商提出的质疑；</w:t>
      </w:r>
    </w:p>
    <w:p w14:paraId="0CE2F825">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i、配合各部门的投诉处理和监督检查工作。</w:t>
      </w:r>
    </w:p>
    <w:p w14:paraId="507EF52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2-2、在政府采购活动中，采购人员及相关人员（包括磋商小组）与供应商有下列利害关系之一的，应当回避：</w:t>
      </w:r>
    </w:p>
    <w:p w14:paraId="0D10AFE6">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（1）参加采购活动前3年内与供应商存在劳动关系；</w:t>
      </w:r>
    </w:p>
    <w:p w14:paraId="60E12542">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（2）参加采购活动前3年内担任供应商的董事、监事；</w:t>
      </w:r>
    </w:p>
    <w:p w14:paraId="79E96FA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（3）参加采购活动前3年内是供应商的控股股东或者实际控制人；</w:t>
      </w:r>
    </w:p>
    <w:p w14:paraId="52137462">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（4）与供应商的法定代表人或者负责人有夫妻、直系血亲、三代以内旁系血亲或者近姻亲关系；</w:t>
      </w:r>
    </w:p>
    <w:p w14:paraId="4E6129C1">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（5）与供应商有其他可能影响政府采购活动公平、公正进行的关系。</w:t>
      </w:r>
    </w:p>
    <w:p w14:paraId="0A999E57">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2-3、评标原则：坚持公平、公正、科学、择优原则，禁止不正当竞争。</w:t>
      </w:r>
    </w:p>
    <w:p w14:paraId="15FCF211">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2-4、评标办法：本次招标采用综合评分法（详见本节评分标准）。</w:t>
      </w:r>
    </w:p>
    <w:p w14:paraId="4B37F2F8">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2-5、评标工作程序：资格审查、符合性审查、最后报价、澄清、评价（详评）、推荐中标候选人的工作程序进行评标。</w:t>
      </w:r>
    </w:p>
    <w:p w14:paraId="1B5B8D7D">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2-5-1、响应文件资格审查：</w:t>
      </w:r>
    </w:p>
    <w:p w14:paraId="1A455731">
      <w:pPr>
        <w:pStyle w:val="32"/>
        <w:widowControl/>
        <w:numPr>
          <w:ilvl w:val="0"/>
          <w:numId w:val="0"/>
        </w:numPr>
        <w:wordWrap w:val="0"/>
        <w:spacing w:line="560" w:lineRule="exact"/>
        <w:ind w:firstLine="480" w:firstLineChars="200"/>
        <w:jc w:val="both"/>
        <w:rPr>
          <w:rFonts w:hint="eastAsia"/>
          <w:highlight w:val="none"/>
        </w:rPr>
      </w:pPr>
      <w:r>
        <w:rPr>
          <w:rFonts w:hint="eastAsia" w:asciiTheme="majorEastAsia" w:hAnsiTheme="majorEastAsia" w:eastAsiaTheme="majorEastAsia" w:cstheme="majorEastAsia"/>
          <w:sz w:val="24"/>
          <w:szCs w:val="24"/>
          <w:highlight w:val="none"/>
          <w:shd w:val="clear" w:color="auto" w:fill="FFFFFF"/>
          <w:lang w:val="en-US" w:eastAsia="zh-CN"/>
        </w:rPr>
        <w:t>1）</w:t>
      </w:r>
      <w:r>
        <w:rPr>
          <w:rFonts w:hint="eastAsia" w:asciiTheme="majorEastAsia" w:hAnsiTheme="majorEastAsia" w:eastAsiaTheme="majorEastAsia" w:cstheme="majorEastAsia"/>
          <w:sz w:val="24"/>
          <w:szCs w:val="24"/>
          <w:highlight w:val="none"/>
          <w:shd w:val="clear" w:color="auto" w:fill="FFFFFF"/>
        </w:rPr>
        <w:t>营业执照等主体资格证明文件：供应商应为具有独立承担民事责任能力的企业法人、事业法人、其他组织或自然人，企业法人须提供统一社会信用代码的营业执照、事业单位须提供事业单位法人证、组织机构代码证等证明文件、其他组织应提供合法证明文件、自然人参与的提供其身份证；</w:t>
      </w:r>
    </w:p>
    <w:p w14:paraId="21DE2627">
      <w:pPr>
        <w:pStyle w:val="32"/>
        <w:widowControl/>
        <w:numPr>
          <w:ilvl w:val="0"/>
          <w:numId w:val="0"/>
        </w:numPr>
        <w:wordWrap w:val="0"/>
        <w:spacing w:line="560" w:lineRule="exact"/>
        <w:ind w:firstLine="480" w:firstLineChars="200"/>
        <w:jc w:val="both"/>
        <w:rPr>
          <w:rFonts w:hint="eastAsia" w:eastAsiaTheme="majorEastAsia"/>
          <w:highlight w:val="none"/>
          <w:lang w:eastAsia="zh-CN"/>
        </w:rPr>
      </w:pPr>
      <w:r>
        <w:rPr>
          <w:rFonts w:hint="eastAsia" w:asciiTheme="majorEastAsia" w:hAnsiTheme="majorEastAsia" w:eastAsiaTheme="majorEastAsia" w:cstheme="majorEastAsia"/>
          <w:sz w:val="24"/>
          <w:szCs w:val="24"/>
          <w:highlight w:val="none"/>
          <w:shd w:val="clear" w:color="auto" w:fill="FFFFFF"/>
        </w:rPr>
        <w:t>2）财务状况报告：</w:t>
      </w:r>
      <w:r>
        <w:rPr>
          <w:rFonts w:hint="eastAsia" w:asciiTheme="majorEastAsia" w:hAnsiTheme="majorEastAsia" w:eastAsiaTheme="majorEastAsia" w:cstheme="majorEastAsia"/>
          <w:sz w:val="24"/>
          <w:szCs w:val="24"/>
          <w:highlight w:val="none"/>
          <w:shd w:val="clear" w:color="auto" w:fill="FFFFFF"/>
          <w:lang w:eastAsia="zh-CN"/>
        </w:rPr>
        <w:t>供应商须提供2024年度的财务审计报告（至少包括资产负债表和利润表，成立时间至提交响应文件截止时间不足一年的可提供成立后任意时段的资产负债表）或开标前六个月内其基本账户开户银行出具的资信证明。其他组织和自然人提供开标前六个月内银行出具的资信证明；</w:t>
      </w:r>
    </w:p>
    <w:p w14:paraId="227D0DA2">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lang w:eastAsia="zh-CN"/>
        </w:rPr>
      </w:pPr>
      <w:r>
        <w:rPr>
          <w:rFonts w:hint="eastAsia" w:asciiTheme="majorEastAsia" w:hAnsiTheme="majorEastAsia" w:eastAsiaTheme="majorEastAsia" w:cstheme="majorEastAsia"/>
          <w:sz w:val="24"/>
          <w:szCs w:val="24"/>
          <w:highlight w:val="none"/>
          <w:shd w:val="clear" w:color="auto" w:fill="FFFFFF"/>
          <w:lang w:val="en-US" w:eastAsia="zh-CN"/>
        </w:rPr>
        <w:t>3</w:t>
      </w:r>
      <w:r>
        <w:rPr>
          <w:rFonts w:hint="eastAsia" w:asciiTheme="majorEastAsia" w:hAnsiTheme="majorEastAsia" w:eastAsiaTheme="majorEastAsia" w:cstheme="majorEastAsia"/>
          <w:sz w:val="24"/>
          <w:szCs w:val="24"/>
          <w:highlight w:val="none"/>
          <w:shd w:val="clear" w:color="auto" w:fill="FFFFFF"/>
        </w:rPr>
        <w:t>）社保缴纳证明：提供202</w:t>
      </w: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1月至今</w:t>
      </w:r>
      <w:r>
        <w:rPr>
          <w:rFonts w:hint="eastAsia" w:asciiTheme="majorEastAsia" w:hAnsiTheme="majorEastAsia" w:eastAsiaTheme="majorEastAsia" w:cstheme="majorEastAsia"/>
          <w:sz w:val="24"/>
          <w:szCs w:val="24"/>
          <w:highlight w:val="none"/>
          <w:shd w:val="clear" w:color="auto" w:fill="FFFFFF"/>
        </w:rPr>
        <w:t>已缴存的至少</w:t>
      </w:r>
      <w:r>
        <w:rPr>
          <w:rFonts w:hint="eastAsia" w:asciiTheme="majorEastAsia" w:hAnsiTheme="majorEastAsia" w:eastAsiaTheme="majorEastAsia" w:cstheme="majorEastAsia"/>
          <w:sz w:val="24"/>
          <w:szCs w:val="24"/>
          <w:highlight w:val="none"/>
          <w:shd w:val="clear" w:color="auto" w:fill="FFFFFF"/>
          <w:lang w:val="en-US" w:eastAsia="zh-CN"/>
        </w:rPr>
        <w:t>连续</w:t>
      </w:r>
      <w:r>
        <w:rPr>
          <w:rFonts w:hint="eastAsia" w:asciiTheme="majorEastAsia" w:hAnsiTheme="majorEastAsia" w:eastAsiaTheme="majorEastAsia" w:cstheme="majorEastAsia"/>
          <w:sz w:val="24"/>
          <w:szCs w:val="24"/>
          <w:highlight w:val="none"/>
          <w:shd w:val="clear" w:color="auto" w:fill="FFFFFF"/>
        </w:rPr>
        <w:t>六个月的社会保障资金缴存单据或社保机构开具的社会保险参保缴费情况证明，依法不需要缴纳社会保障资金的单位应提供相关证明材料；</w:t>
      </w:r>
    </w:p>
    <w:p w14:paraId="0E8BB682">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4</w:t>
      </w:r>
      <w:r>
        <w:rPr>
          <w:rFonts w:hint="eastAsia" w:asciiTheme="majorEastAsia" w:hAnsiTheme="majorEastAsia" w:eastAsiaTheme="majorEastAsia" w:cstheme="majorEastAsia"/>
          <w:sz w:val="24"/>
          <w:szCs w:val="24"/>
          <w:highlight w:val="none"/>
          <w:shd w:val="clear" w:color="auto" w:fill="FFFFFF"/>
        </w:rPr>
        <w:t>）税收缴纳证明：提供202</w:t>
      </w: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1月至今</w:t>
      </w:r>
      <w:r>
        <w:rPr>
          <w:rFonts w:hint="eastAsia" w:asciiTheme="majorEastAsia" w:hAnsiTheme="majorEastAsia" w:eastAsiaTheme="majorEastAsia" w:cstheme="majorEastAsia"/>
          <w:sz w:val="24"/>
          <w:szCs w:val="24"/>
          <w:highlight w:val="none"/>
          <w:shd w:val="clear" w:color="auto" w:fill="FFFFFF"/>
        </w:rPr>
        <w:t>已缴存的至少</w:t>
      </w:r>
      <w:r>
        <w:rPr>
          <w:rFonts w:hint="eastAsia" w:asciiTheme="majorEastAsia" w:hAnsiTheme="majorEastAsia" w:eastAsiaTheme="majorEastAsia" w:cstheme="majorEastAsia"/>
          <w:sz w:val="24"/>
          <w:szCs w:val="24"/>
          <w:highlight w:val="none"/>
          <w:shd w:val="clear" w:color="auto" w:fill="FFFFFF"/>
          <w:lang w:val="en-US" w:eastAsia="zh-CN"/>
        </w:rPr>
        <w:t>连续</w:t>
      </w:r>
      <w:r>
        <w:rPr>
          <w:rFonts w:hint="eastAsia" w:asciiTheme="majorEastAsia" w:hAnsiTheme="majorEastAsia" w:eastAsiaTheme="majorEastAsia" w:cstheme="majorEastAsia"/>
          <w:sz w:val="24"/>
          <w:szCs w:val="24"/>
          <w:highlight w:val="none"/>
          <w:shd w:val="clear" w:color="auto" w:fill="FFFFFF"/>
        </w:rPr>
        <w:t>六个月的纳税证明或完税证明，依法免税的单位应提供相关证明材料</w:t>
      </w:r>
      <w:r>
        <w:rPr>
          <w:rFonts w:hint="eastAsia" w:asciiTheme="majorEastAsia" w:hAnsiTheme="majorEastAsia" w:eastAsiaTheme="majorEastAsia" w:cstheme="majorEastAsia"/>
          <w:sz w:val="24"/>
          <w:szCs w:val="24"/>
          <w:highlight w:val="none"/>
          <w:shd w:val="clear" w:color="auto" w:fill="FFFFFF"/>
          <w:lang w:val="en-US" w:eastAsia="zh-CN"/>
        </w:rPr>
        <w:t>；</w:t>
      </w:r>
    </w:p>
    <w:p w14:paraId="502F5A37">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）信用记录：</w:t>
      </w:r>
      <w:r>
        <w:rPr>
          <w:rFonts w:hint="eastAsia" w:asciiTheme="majorEastAsia" w:hAnsiTheme="majorEastAsia" w:eastAsiaTheme="majorEastAsia" w:cstheme="majorEastAsia"/>
          <w:sz w:val="24"/>
          <w:szCs w:val="24"/>
          <w:highlight w:val="none"/>
          <w:shd w:val="clear" w:color="auto" w:fill="FFFFFF"/>
          <w:lang w:val="en-US" w:eastAsia="zh-CN"/>
        </w:rPr>
        <w:t>供应商未被列入“信用中国”网站(www.creditchina.gov.cn)“失信被执行人和重大税收违法失信主体；未被列入“中国政府采购网”(www.ccgp.gov.cn)“政府采购严重违法失信行为信息记录”</w:t>
      </w:r>
      <w:r>
        <w:rPr>
          <w:rFonts w:hint="eastAsia" w:asciiTheme="majorEastAsia" w:hAnsiTheme="majorEastAsia" w:eastAsiaTheme="majorEastAsia" w:cstheme="majorEastAsia"/>
          <w:sz w:val="24"/>
          <w:szCs w:val="24"/>
          <w:highlight w:val="none"/>
          <w:shd w:val="clear" w:color="auto" w:fill="FFFFFF"/>
        </w:rPr>
        <w:t>；</w:t>
      </w:r>
    </w:p>
    <w:p w14:paraId="0450138F">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6</w:t>
      </w:r>
      <w:r>
        <w:rPr>
          <w:rFonts w:hint="eastAsia" w:asciiTheme="majorEastAsia" w:hAnsiTheme="majorEastAsia" w:eastAsiaTheme="majorEastAsia" w:cstheme="majorEastAsia"/>
          <w:sz w:val="24"/>
          <w:szCs w:val="24"/>
          <w:highlight w:val="none"/>
          <w:shd w:val="clear" w:color="auto" w:fill="FFFFFF"/>
        </w:rPr>
        <w:t>）控股管理关系：单位负责人为同一人或者存在直接控股、管理关系的不同供应商，不得参加同一合同项下的政府采购活动（提供书面承诺</w:t>
      </w:r>
      <w:r>
        <w:rPr>
          <w:rFonts w:hint="eastAsia" w:asciiTheme="majorEastAsia" w:hAnsiTheme="majorEastAsia" w:eastAsiaTheme="majorEastAsia" w:cstheme="majorEastAsia"/>
          <w:sz w:val="24"/>
          <w:szCs w:val="24"/>
          <w:highlight w:val="none"/>
          <w:shd w:val="clear" w:color="auto" w:fill="FFFFFF"/>
          <w:lang w:eastAsia="zh-CN"/>
        </w:rPr>
        <w:t>）</w:t>
      </w:r>
      <w:r>
        <w:rPr>
          <w:rFonts w:hint="eastAsia" w:asciiTheme="majorEastAsia" w:hAnsiTheme="majorEastAsia" w:eastAsiaTheme="majorEastAsia" w:cstheme="majorEastAsia"/>
          <w:sz w:val="24"/>
          <w:szCs w:val="24"/>
          <w:highlight w:val="none"/>
          <w:shd w:val="clear" w:color="auto" w:fill="FFFFFF"/>
        </w:rPr>
        <w:t>；</w:t>
      </w:r>
    </w:p>
    <w:p w14:paraId="690CCEF3">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7</w:t>
      </w:r>
      <w:r>
        <w:rPr>
          <w:rFonts w:hint="eastAsia" w:asciiTheme="majorEastAsia" w:hAnsiTheme="majorEastAsia" w:eastAsiaTheme="majorEastAsia" w:cstheme="majorEastAsia"/>
          <w:sz w:val="24"/>
          <w:szCs w:val="24"/>
          <w:highlight w:val="none"/>
          <w:shd w:val="clear" w:color="auto" w:fill="FFFFFF"/>
        </w:rPr>
        <w:t>）书面声明：参加政府采购活动前3年内在经营活动中没有重大违法记录的书面声明；</w:t>
      </w:r>
    </w:p>
    <w:p w14:paraId="6246857B">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8</w:t>
      </w:r>
      <w:r>
        <w:rPr>
          <w:rFonts w:hint="eastAsia" w:asciiTheme="majorEastAsia" w:hAnsiTheme="majorEastAsia" w:eastAsiaTheme="majorEastAsia" w:cstheme="majorEastAsia"/>
          <w:sz w:val="24"/>
          <w:szCs w:val="24"/>
          <w:highlight w:val="none"/>
          <w:shd w:val="clear" w:color="auto" w:fill="FFFFFF"/>
        </w:rPr>
        <w:t>）法定代表人授权委托书：法定代表人参加投标的，须出具</w:t>
      </w:r>
      <w:r>
        <w:rPr>
          <w:rFonts w:hint="eastAsia" w:asciiTheme="majorEastAsia" w:hAnsiTheme="majorEastAsia" w:eastAsiaTheme="majorEastAsia" w:cstheme="majorEastAsia"/>
          <w:sz w:val="24"/>
          <w:szCs w:val="24"/>
          <w:highlight w:val="none"/>
          <w:shd w:val="clear" w:color="auto" w:fill="FFFFFF"/>
          <w:lang w:val="en-US" w:eastAsia="zh-CN"/>
        </w:rPr>
        <w:t>法定代表人资格证明书及</w:t>
      </w:r>
      <w:r>
        <w:rPr>
          <w:rFonts w:hint="eastAsia" w:asciiTheme="majorEastAsia" w:hAnsiTheme="majorEastAsia" w:eastAsiaTheme="majorEastAsia" w:cstheme="majorEastAsia"/>
          <w:sz w:val="24"/>
          <w:szCs w:val="24"/>
          <w:highlight w:val="none"/>
          <w:shd w:val="clear" w:color="auto" w:fill="FFFFFF"/>
        </w:rPr>
        <w:t>法定代表人身份证</w:t>
      </w:r>
      <w:r>
        <w:rPr>
          <w:rFonts w:hint="eastAsia" w:asciiTheme="majorEastAsia" w:hAnsiTheme="majorEastAsia" w:eastAsiaTheme="majorEastAsia" w:cstheme="majorEastAsia"/>
          <w:sz w:val="24"/>
          <w:szCs w:val="24"/>
          <w:highlight w:val="none"/>
          <w:shd w:val="clear" w:color="auto" w:fill="FFFFFF"/>
          <w:lang w:val="en-US" w:eastAsia="zh-CN"/>
        </w:rPr>
        <w:t>原件</w:t>
      </w:r>
      <w:r>
        <w:rPr>
          <w:rFonts w:hint="eastAsia" w:asciiTheme="majorEastAsia" w:hAnsiTheme="majorEastAsia" w:eastAsiaTheme="majorEastAsia" w:cstheme="majorEastAsia"/>
          <w:sz w:val="24"/>
          <w:szCs w:val="24"/>
          <w:highlight w:val="none"/>
          <w:shd w:val="clear" w:color="auto" w:fill="FFFFFF"/>
        </w:rPr>
        <w:t>，并与营业执照上信息一致</w:t>
      </w:r>
      <w:r>
        <w:rPr>
          <w:rFonts w:hint="eastAsia" w:asciiTheme="majorEastAsia" w:hAnsiTheme="majorEastAsia" w:eastAsiaTheme="majorEastAsia" w:cstheme="majorEastAsia"/>
          <w:sz w:val="24"/>
          <w:szCs w:val="24"/>
          <w:highlight w:val="none"/>
          <w:shd w:val="clear" w:color="auto" w:fill="FFFFFF"/>
          <w:lang w:eastAsia="zh-CN"/>
        </w:rPr>
        <w:t>；</w:t>
      </w:r>
      <w:r>
        <w:rPr>
          <w:rFonts w:hint="eastAsia" w:asciiTheme="majorEastAsia" w:hAnsiTheme="majorEastAsia" w:eastAsiaTheme="majorEastAsia" w:cstheme="majorEastAsia"/>
          <w:sz w:val="24"/>
          <w:szCs w:val="24"/>
          <w:highlight w:val="none"/>
          <w:shd w:val="clear" w:color="auto" w:fill="FFFFFF"/>
        </w:rPr>
        <w:t>授权代表参加投标的须出具法定代表人</w:t>
      </w:r>
      <w:r>
        <w:rPr>
          <w:rFonts w:hint="eastAsia" w:asciiTheme="majorEastAsia" w:hAnsiTheme="majorEastAsia" w:eastAsiaTheme="majorEastAsia" w:cstheme="majorEastAsia"/>
          <w:sz w:val="24"/>
          <w:szCs w:val="24"/>
          <w:highlight w:val="none"/>
          <w:shd w:val="clear" w:color="auto" w:fill="FFFFFF"/>
          <w:lang w:val="en-US" w:eastAsia="zh-CN"/>
        </w:rPr>
        <w:t>授权委托书</w:t>
      </w:r>
      <w:r>
        <w:rPr>
          <w:rFonts w:hint="eastAsia" w:asciiTheme="majorEastAsia" w:hAnsiTheme="majorEastAsia" w:eastAsiaTheme="majorEastAsia" w:cstheme="majorEastAsia"/>
          <w:sz w:val="24"/>
          <w:szCs w:val="24"/>
          <w:highlight w:val="none"/>
          <w:shd w:val="clear" w:color="auto" w:fill="FFFFFF"/>
        </w:rPr>
        <w:t>、授权代表身份证</w:t>
      </w:r>
      <w:r>
        <w:rPr>
          <w:rFonts w:hint="eastAsia" w:asciiTheme="majorEastAsia" w:hAnsiTheme="majorEastAsia" w:eastAsiaTheme="majorEastAsia" w:cstheme="majorEastAsia"/>
          <w:sz w:val="24"/>
          <w:szCs w:val="24"/>
          <w:highlight w:val="none"/>
          <w:shd w:val="clear" w:color="auto" w:fill="FFFFFF"/>
          <w:lang w:val="en-US" w:eastAsia="zh-CN"/>
        </w:rPr>
        <w:t>原件</w:t>
      </w:r>
      <w:r>
        <w:rPr>
          <w:rFonts w:hint="eastAsia" w:asciiTheme="majorEastAsia" w:hAnsiTheme="majorEastAsia" w:eastAsiaTheme="majorEastAsia" w:cstheme="majorEastAsia"/>
          <w:sz w:val="24"/>
          <w:szCs w:val="24"/>
          <w:highlight w:val="none"/>
          <w:shd w:val="clear" w:color="auto" w:fill="FFFFFF"/>
        </w:rPr>
        <w:t>；</w:t>
      </w:r>
    </w:p>
    <w:p w14:paraId="682F729D">
      <w:pPr>
        <w:pStyle w:val="32"/>
        <w:widowControl/>
        <w:wordWrap w:val="0"/>
        <w:spacing w:line="560" w:lineRule="exact"/>
        <w:ind w:firstLine="480" w:firstLineChars="20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9</w:t>
      </w:r>
      <w:r>
        <w:rPr>
          <w:rFonts w:hint="eastAsia" w:asciiTheme="majorEastAsia" w:hAnsiTheme="majorEastAsia" w:eastAsiaTheme="majorEastAsia" w:cstheme="majorEastAsia"/>
          <w:sz w:val="24"/>
          <w:szCs w:val="24"/>
          <w:highlight w:val="none"/>
          <w:shd w:val="clear" w:color="auto" w:fill="FFFFFF"/>
        </w:rPr>
        <w:t>）履行合同所必须的证明资料：具有履行合同所必需的设备和专业技术能力证明资料</w:t>
      </w:r>
      <w:r>
        <w:rPr>
          <w:rFonts w:hint="eastAsia" w:asciiTheme="majorEastAsia" w:hAnsiTheme="majorEastAsia" w:eastAsiaTheme="majorEastAsia" w:cstheme="majorEastAsia"/>
          <w:color w:val="auto"/>
          <w:sz w:val="24"/>
          <w:szCs w:val="24"/>
          <w:highlight w:val="none"/>
          <w:shd w:val="clear" w:color="auto" w:fill="FFFFFF"/>
          <w:lang w:val="en-US" w:eastAsia="zh-CN"/>
        </w:rPr>
        <w:t>（提供书面承诺）；</w:t>
      </w:r>
    </w:p>
    <w:p w14:paraId="76E729E4">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r>
        <w:rPr>
          <w:rFonts w:hint="eastAsia" w:cs="宋体"/>
          <w:color w:val="000000"/>
          <w:kern w:val="0"/>
          <w:sz w:val="24"/>
          <w:szCs w:val="24"/>
          <w:highlight w:val="none"/>
          <w:lang w:val="en-US" w:eastAsia="zh-CN" w:bidi="ar-SA"/>
        </w:rPr>
        <w:t>0</w:t>
      </w:r>
      <w:r>
        <w:rPr>
          <w:rFonts w:hint="eastAsia" w:ascii="宋体" w:hAnsi="宋体" w:eastAsia="宋体" w:cs="宋体"/>
          <w:color w:val="000000"/>
          <w:kern w:val="0"/>
          <w:sz w:val="24"/>
          <w:szCs w:val="24"/>
          <w:highlight w:val="none"/>
          <w:lang w:val="en-US" w:eastAsia="zh-CN" w:bidi="ar-SA"/>
        </w:rPr>
        <w:t>）专门面向中小企业声明函：本项目专门面向中小企业采购，供应商须为中小企业，并提供声明函。</w:t>
      </w:r>
    </w:p>
    <w:p w14:paraId="26E1A61A">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2-5-2、响应文件符合性审查</w:t>
      </w:r>
    </w:p>
    <w:p w14:paraId="71C35769">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小组对资格性审查合格的响应文件有效性、完整性和对竞争性磋商文件的响应程度进行审查，以确定其是否对竞争性磋商文件实质性内容作出响应（采购人可根据具体项目的情况对实质性要求作特别的具体规定）。符合性审查按下表进行：</w:t>
      </w:r>
    </w:p>
    <w:tbl>
      <w:tblPr>
        <w:tblStyle w:val="37"/>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027"/>
        <w:gridCol w:w="2417"/>
        <w:gridCol w:w="5514"/>
      </w:tblGrid>
      <w:tr w14:paraId="0D4C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1" w:type="dxa"/>
            <w:vAlign w:val="center"/>
          </w:tcPr>
          <w:p w14:paraId="5300ABD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sz w:val="22"/>
                <w:highlight w:val="none"/>
              </w:rPr>
            </w:pPr>
            <w:r>
              <w:rPr>
                <w:rFonts w:hint="eastAsia" w:ascii="宋体" w:hAnsi="宋体" w:eastAsia="宋体" w:cs="宋体"/>
                <w:b/>
                <w:sz w:val="22"/>
                <w:highlight w:val="none"/>
              </w:rPr>
              <w:t>序号</w:t>
            </w:r>
          </w:p>
        </w:tc>
        <w:tc>
          <w:tcPr>
            <w:tcW w:w="3444" w:type="dxa"/>
            <w:gridSpan w:val="2"/>
            <w:vAlign w:val="center"/>
          </w:tcPr>
          <w:p w14:paraId="5CFFC7BC">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sz w:val="22"/>
                <w:highlight w:val="none"/>
              </w:rPr>
            </w:pPr>
            <w:r>
              <w:rPr>
                <w:rFonts w:hint="eastAsia" w:ascii="宋体" w:hAnsi="宋体" w:eastAsia="宋体" w:cs="宋体"/>
                <w:b/>
                <w:sz w:val="22"/>
                <w:highlight w:val="none"/>
              </w:rPr>
              <w:t>审查因素</w:t>
            </w:r>
          </w:p>
        </w:tc>
        <w:tc>
          <w:tcPr>
            <w:tcW w:w="5514" w:type="dxa"/>
            <w:vAlign w:val="center"/>
          </w:tcPr>
          <w:p w14:paraId="71870BED">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sz w:val="22"/>
                <w:highlight w:val="none"/>
              </w:rPr>
            </w:pPr>
            <w:r>
              <w:rPr>
                <w:rFonts w:hint="eastAsia" w:ascii="宋体" w:hAnsi="宋体" w:eastAsia="宋体" w:cs="宋体"/>
                <w:b/>
                <w:sz w:val="22"/>
                <w:highlight w:val="none"/>
              </w:rPr>
              <w:t>审查标准</w:t>
            </w:r>
          </w:p>
        </w:tc>
      </w:tr>
      <w:tr w14:paraId="0D8F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21" w:type="dxa"/>
            <w:vMerge w:val="restart"/>
            <w:vAlign w:val="center"/>
          </w:tcPr>
          <w:p w14:paraId="4B43FEA3">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2"/>
                <w:highlight w:val="none"/>
              </w:rPr>
            </w:pPr>
            <w:r>
              <w:rPr>
                <w:rFonts w:hint="eastAsia" w:ascii="宋体" w:hAnsi="宋体" w:eastAsia="宋体" w:cs="宋体"/>
                <w:sz w:val="22"/>
                <w:highlight w:val="none"/>
              </w:rPr>
              <w:t>1</w:t>
            </w:r>
          </w:p>
        </w:tc>
        <w:tc>
          <w:tcPr>
            <w:tcW w:w="1027" w:type="dxa"/>
            <w:vMerge w:val="restart"/>
            <w:vAlign w:val="center"/>
          </w:tcPr>
          <w:p w14:paraId="460FFE0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2"/>
                <w:highlight w:val="none"/>
              </w:rPr>
            </w:pPr>
            <w:r>
              <w:rPr>
                <w:rFonts w:hint="eastAsia" w:ascii="宋体" w:hAnsi="宋体" w:eastAsia="宋体" w:cs="宋体"/>
                <w:sz w:val="22"/>
                <w:highlight w:val="none"/>
              </w:rPr>
              <w:t>有效性、完整性审查</w:t>
            </w:r>
          </w:p>
        </w:tc>
        <w:tc>
          <w:tcPr>
            <w:tcW w:w="2417" w:type="dxa"/>
            <w:vAlign w:val="center"/>
          </w:tcPr>
          <w:p w14:paraId="758FFDB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2"/>
                <w:highlight w:val="none"/>
              </w:rPr>
            </w:pPr>
            <w:r>
              <w:rPr>
                <w:rFonts w:hint="eastAsia" w:ascii="宋体" w:hAnsi="宋体" w:eastAsia="宋体" w:cs="宋体"/>
                <w:sz w:val="22"/>
                <w:highlight w:val="none"/>
              </w:rPr>
              <w:t>响应文件的签署、盖章</w:t>
            </w:r>
          </w:p>
        </w:tc>
        <w:tc>
          <w:tcPr>
            <w:tcW w:w="5514" w:type="dxa"/>
            <w:vAlign w:val="center"/>
          </w:tcPr>
          <w:p w14:paraId="03FCC1E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r>
              <w:rPr>
                <w:rFonts w:hint="eastAsia" w:ascii="宋体" w:hAnsi="宋体" w:eastAsia="宋体" w:cs="宋体"/>
                <w:sz w:val="22"/>
                <w:highlight w:val="none"/>
              </w:rPr>
              <w:t>响应文件上法定代表人或其授权代理人的签字（或盖章）齐全，且单位盖章齐全，符合竞争性磋商文件要求。</w:t>
            </w:r>
          </w:p>
        </w:tc>
      </w:tr>
      <w:tr w14:paraId="0170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821" w:type="dxa"/>
            <w:vMerge w:val="continue"/>
          </w:tcPr>
          <w:p w14:paraId="7DFC9784">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p>
        </w:tc>
        <w:tc>
          <w:tcPr>
            <w:tcW w:w="1027" w:type="dxa"/>
            <w:vMerge w:val="continue"/>
          </w:tcPr>
          <w:p w14:paraId="600B5D0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p>
        </w:tc>
        <w:tc>
          <w:tcPr>
            <w:tcW w:w="2417" w:type="dxa"/>
            <w:vAlign w:val="center"/>
          </w:tcPr>
          <w:p w14:paraId="574F10A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2"/>
                <w:highlight w:val="none"/>
              </w:rPr>
            </w:pPr>
            <w:r>
              <w:rPr>
                <w:rFonts w:hint="eastAsia" w:ascii="宋体" w:hAnsi="宋体" w:eastAsia="宋体" w:cs="宋体"/>
                <w:sz w:val="22"/>
                <w:highlight w:val="none"/>
              </w:rPr>
              <w:t>响应文件格式</w:t>
            </w:r>
          </w:p>
        </w:tc>
        <w:tc>
          <w:tcPr>
            <w:tcW w:w="5514" w:type="dxa"/>
            <w:vAlign w:val="center"/>
          </w:tcPr>
          <w:p w14:paraId="6014E5A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r>
              <w:rPr>
                <w:rFonts w:hint="eastAsia" w:ascii="宋体" w:hAnsi="宋体" w:eastAsia="宋体" w:cs="宋体"/>
                <w:sz w:val="22"/>
                <w:highlight w:val="none"/>
              </w:rPr>
              <w:t>符合竞争性磋商文件第五章“响应文件格式”要求</w:t>
            </w:r>
          </w:p>
        </w:tc>
      </w:tr>
      <w:tr w14:paraId="081E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821" w:type="dxa"/>
            <w:vMerge w:val="continue"/>
          </w:tcPr>
          <w:p w14:paraId="2BC6BFC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p>
        </w:tc>
        <w:tc>
          <w:tcPr>
            <w:tcW w:w="1027" w:type="dxa"/>
            <w:vMerge w:val="continue"/>
          </w:tcPr>
          <w:p w14:paraId="6AAA786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p>
        </w:tc>
        <w:tc>
          <w:tcPr>
            <w:tcW w:w="2417" w:type="dxa"/>
            <w:vAlign w:val="center"/>
          </w:tcPr>
          <w:p w14:paraId="3A809D4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2"/>
                <w:highlight w:val="none"/>
              </w:rPr>
            </w:pPr>
            <w:r>
              <w:rPr>
                <w:rFonts w:hint="eastAsia" w:ascii="宋体" w:hAnsi="宋体" w:eastAsia="宋体" w:cs="宋体"/>
                <w:sz w:val="22"/>
                <w:highlight w:val="none"/>
              </w:rPr>
              <w:t>响应文件递交</w:t>
            </w:r>
          </w:p>
        </w:tc>
        <w:tc>
          <w:tcPr>
            <w:tcW w:w="5514" w:type="dxa"/>
            <w:vAlign w:val="center"/>
          </w:tcPr>
          <w:p w14:paraId="13FA889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r>
              <w:rPr>
                <w:rFonts w:hint="eastAsia" w:ascii="宋体" w:hAnsi="宋体" w:eastAsia="宋体" w:cs="宋体"/>
                <w:sz w:val="22"/>
                <w:highlight w:val="none"/>
              </w:rPr>
              <w:t>符合“供应商须知前附表”规定要求</w:t>
            </w:r>
          </w:p>
        </w:tc>
      </w:tr>
      <w:tr w14:paraId="5366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21" w:type="dxa"/>
            <w:vMerge w:val="continue"/>
          </w:tcPr>
          <w:p w14:paraId="70BC83D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p>
        </w:tc>
        <w:tc>
          <w:tcPr>
            <w:tcW w:w="1027" w:type="dxa"/>
            <w:vMerge w:val="continue"/>
          </w:tcPr>
          <w:p w14:paraId="101F0A64">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p>
        </w:tc>
        <w:tc>
          <w:tcPr>
            <w:tcW w:w="2417" w:type="dxa"/>
            <w:vAlign w:val="center"/>
          </w:tcPr>
          <w:p w14:paraId="0B16F58A">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2"/>
                <w:highlight w:val="none"/>
              </w:rPr>
            </w:pPr>
            <w:r>
              <w:rPr>
                <w:rFonts w:hint="eastAsia" w:ascii="宋体" w:hAnsi="宋体" w:eastAsia="宋体" w:cs="宋体"/>
                <w:sz w:val="22"/>
                <w:highlight w:val="none"/>
              </w:rPr>
              <w:t>报价</w:t>
            </w:r>
          </w:p>
        </w:tc>
        <w:tc>
          <w:tcPr>
            <w:tcW w:w="5514" w:type="dxa"/>
            <w:vAlign w:val="center"/>
          </w:tcPr>
          <w:p w14:paraId="3083F37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r>
              <w:rPr>
                <w:rFonts w:hint="eastAsia" w:ascii="宋体" w:hAnsi="宋体" w:eastAsia="宋体" w:cs="宋体"/>
                <w:sz w:val="22"/>
                <w:highlight w:val="none"/>
              </w:rPr>
              <w:t>报价未超过最高限价</w:t>
            </w:r>
          </w:p>
        </w:tc>
      </w:tr>
      <w:tr w14:paraId="1B92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21" w:type="dxa"/>
            <w:vMerge w:val="continue"/>
          </w:tcPr>
          <w:p w14:paraId="4C0B7A1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p>
        </w:tc>
        <w:tc>
          <w:tcPr>
            <w:tcW w:w="1027" w:type="dxa"/>
            <w:vMerge w:val="continue"/>
          </w:tcPr>
          <w:p w14:paraId="5C1E32F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p>
        </w:tc>
        <w:tc>
          <w:tcPr>
            <w:tcW w:w="2417" w:type="dxa"/>
            <w:vAlign w:val="center"/>
          </w:tcPr>
          <w:p w14:paraId="4BAADB8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2"/>
                <w:highlight w:val="none"/>
              </w:rPr>
            </w:pPr>
            <w:r>
              <w:rPr>
                <w:rFonts w:hint="eastAsia" w:ascii="宋体" w:hAnsi="宋体" w:eastAsia="宋体" w:cs="宋体"/>
                <w:sz w:val="22"/>
                <w:highlight w:val="none"/>
              </w:rPr>
              <w:t>响应文件内容</w:t>
            </w:r>
          </w:p>
        </w:tc>
        <w:tc>
          <w:tcPr>
            <w:tcW w:w="5514" w:type="dxa"/>
            <w:vAlign w:val="center"/>
          </w:tcPr>
          <w:p w14:paraId="061F6300">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r>
              <w:rPr>
                <w:rFonts w:hint="eastAsia" w:ascii="宋体" w:hAnsi="宋体" w:eastAsia="宋体" w:cs="宋体"/>
                <w:sz w:val="22"/>
                <w:highlight w:val="none"/>
              </w:rPr>
              <w:t>响应文件内容齐全完整、无遗漏</w:t>
            </w:r>
          </w:p>
        </w:tc>
      </w:tr>
      <w:tr w14:paraId="0B66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trPr>
        <w:tc>
          <w:tcPr>
            <w:tcW w:w="821" w:type="dxa"/>
            <w:vMerge w:val="restart"/>
            <w:vAlign w:val="center"/>
          </w:tcPr>
          <w:p w14:paraId="49DF4C5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2"/>
                <w:highlight w:val="none"/>
              </w:rPr>
            </w:pPr>
            <w:r>
              <w:rPr>
                <w:rFonts w:hint="eastAsia" w:ascii="宋体" w:hAnsi="宋体" w:eastAsia="宋体" w:cs="宋体"/>
                <w:sz w:val="22"/>
                <w:highlight w:val="none"/>
              </w:rPr>
              <w:t>2</w:t>
            </w:r>
          </w:p>
        </w:tc>
        <w:tc>
          <w:tcPr>
            <w:tcW w:w="1027" w:type="dxa"/>
            <w:vMerge w:val="restart"/>
            <w:vAlign w:val="center"/>
          </w:tcPr>
          <w:p w14:paraId="274E4B4A">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2"/>
                <w:highlight w:val="none"/>
              </w:rPr>
            </w:pPr>
            <w:r>
              <w:rPr>
                <w:rFonts w:hint="eastAsia" w:ascii="宋体" w:hAnsi="宋体" w:eastAsia="宋体" w:cs="宋体"/>
                <w:sz w:val="22"/>
                <w:highlight w:val="none"/>
              </w:rPr>
              <w:t>响应文件的响应程度审查</w:t>
            </w:r>
          </w:p>
        </w:tc>
        <w:tc>
          <w:tcPr>
            <w:tcW w:w="2417" w:type="dxa"/>
            <w:vAlign w:val="center"/>
          </w:tcPr>
          <w:p w14:paraId="272A0AD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宋体" w:hAnsi="宋体" w:eastAsia="宋体" w:cs="宋体"/>
                <w:sz w:val="22"/>
                <w:highlight w:val="none"/>
                <w:lang w:val="en-US" w:eastAsia="zh-CN"/>
              </w:rPr>
            </w:pPr>
            <w:r>
              <w:rPr>
                <w:rFonts w:hint="eastAsia" w:ascii="宋体" w:hAnsi="宋体" w:eastAsia="宋体" w:cs="宋体"/>
                <w:sz w:val="22"/>
                <w:highlight w:val="none"/>
                <w:lang w:eastAsia="zh-CN"/>
              </w:rPr>
              <w:t>工期、</w:t>
            </w:r>
            <w:r>
              <w:rPr>
                <w:rFonts w:hint="eastAsia" w:ascii="宋体" w:hAnsi="宋体" w:eastAsia="宋体" w:cs="宋体"/>
                <w:sz w:val="22"/>
                <w:highlight w:val="none"/>
                <w:lang w:val="en-US" w:eastAsia="zh-CN"/>
              </w:rPr>
              <w:t>质保期</w:t>
            </w:r>
          </w:p>
        </w:tc>
        <w:tc>
          <w:tcPr>
            <w:tcW w:w="5514" w:type="dxa"/>
            <w:vAlign w:val="center"/>
          </w:tcPr>
          <w:p w14:paraId="28B15B6A">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sz w:val="22"/>
                <w:highlight w:val="none"/>
                <w:lang w:val="en-US" w:eastAsia="zh-CN"/>
              </w:rPr>
            </w:pPr>
            <w:r>
              <w:rPr>
                <w:rFonts w:hint="eastAsia" w:ascii="宋体" w:hAnsi="宋体" w:eastAsia="宋体" w:cs="宋体"/>
                <w:sz w:val="22"/>
                <w:highlight w:val="none"/>
              </w:rPr>
              <w:t>满足竞争性磋商文件要求的</w:t>
            </w:r>
            <w:r>
              <w:rPr>
                <w:rFonts w:hint="eastAsia" w:ascii="宋体" w:hAnsi="宋体" w:eastAsia="宋体" w:cs="宋体"/>
                <w:sz w:val="22"/>
                <w:highlight w:val="none"/>
                <w:lang w:eastAsia="zh-CN"/>
              </w:rPr>
              <w:t>工期、</w:t>
            </w:r>
            <w:r>
              <w:rPr>
                <w:rFonts w:hint="eastAsia" w:ascii="宋体" w:hAnsi="宋体" w:eastAsia="宋体" w:cs="宋体"/>
                <w:sz w:val="22"/>
                <w:highlight w:val="none"/>
                <w:lang w:val="en-US" w:eastAsia="zh-CN"/>
              </w:rPr>
              <w:t>质保期</w:t>
            </w:r>
          </w:p>
        </w:tc>
      </w:tr>
      <w:tr w14:paraId="4DB4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821" w:type="dxa"/>
            <w:vMerge w:val="continue"/>
          </w:tcPr>
          <w:p w14:paraId="66D3DA90">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p>
        </w:tc>
        <w:tc>
          <w:tcPr>
            <w:tcW w:w="1027" w:type="dxa"/>
            <w:vMerge w:val="continue"/>
          </w:tcPr>
          <w:p w14:paraId="1C7C4AA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p>
        </w:tc>
        <w:tc>
          <w:tcPr>
            <w:tcW w:w="2417" w:type="dxa"/>
            <w:vAlign w:val="center"/>
          </w:tcPr>
          <w:p w14:paraId="6B747CAF">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2"/>
                <w:highlight w:val="none"/>
                <w:lang w:val="en-US" w:eastAsia="zh-CN" w:bidi="ar"/>
              </w:rPr>
            </w:pPr>
            <w:r>
              <w:rPr>
                <w:rFonts w:hint="eastAsia" w:ascii="宋体" w:hAnsi="宋体" w:eastAsia="宋体" w:cs="宋体"/>
                <w:sz w:val="22"/>
                <w:highlight w:val="none"/>
                <w:lang w:bidi="ar"/>
              </w:rPr>
              <w:t>质量</w:t>
            </w:r>
            <w:r>
              <w:rPr>
                <w:rFonts w:hint="eastAsia" w:ascii="宋体" w:hAnsi="宋体" w:eastAsia="宋体" w:cs="宋体"/>
                <w:sz w:val="22"/>
                <w:highlight w:val="none"/>
                <w:lang w:val="en-US" w:eastAsia="zh-CN" w:bidi="ar"/>
              </w:rPr>
              <w:t>标准</w:t>
            </w:r>
          </w:p>
        </w:tc>
        <w:tc>
          <w:tcPr>
            <w:tcW w:w="5514" w:type="dxa"/>
            <w:vAlign w:val="center"/>
          </w:tcPr>
          <w:p w14:paraId="1DDEB693">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r>
              <w:rPr>
                <w:rFonts w:hint="eastAsia" w:ascii="宋体" w:hAnsi="宋体" w:eastAsia="宋体" w:cs="宋体"/>
                <w:sz w:val="22"/>
                <w:highlight w:val="none"/>
              </w:rPr>
              <w:t>满足竞争性磋商文件要求的质量标准</w:t>
            </w:r>
          </w:p>
        </w:tc>
      </w:tr>
      <w:tr w14:paraId="5297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821" w:type="dxa"/>
            <w:vMerge w:val="continue"/>
          </w:tcPr>
          <w:p w14:paraId="462A316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p>
        </w:tc>
        <w:tc>
          <w:tcPr>
            <w:tcW w:w="1027" w:type="dxa"/>
            <w:vMerge w:val="continue"/>
          </w:tcPr>
          <w:p w14:paraId="7DD8EFF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p>
        </w:tc>
        <w:tc>
          <w:tcPr>
            <w:tcW w:w="2417" w:type="dxa"/>
            <w:vAlign w:val="center"/>
          </w:tcPr>
          <w:p w14:paraId="2E7418D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2"/>
                <w:highlight w:val="none"/>
                <w:lang w:bidi="ar"/>
              </w:rPr>
            </w:pPr>
            <w:r>
              <w:rPr>
                <w:rFonts w:hint="eastAsia" w:ascii="宋体" w:hAnsi="宋体" w:eastAsia="宋体" w:cs="宋体"/>
                <w:sz w:val="22"/>
                <w:highlight w:val="none"/>
                <w:lang w:bidi="ar"/>
              </w:rPr>
              <w:t>投标有效期</w:t>
            </w:r>
          </w:p>
        </w:tc>
        <w:tc>
          <w:tcPr>
            <w:tcW w:w="5514" w:type="dxa"/>
            <w:vAlign w:val="center"/>
          </w:tcPr>
          <w:p w14:paraId="6C330821">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highlight w:val="none"/>
              </w:rPr>
            </w:pPr>
            <w:r>
              <w:rPr>
                <w:rFonts w:hint="eastAsia" w:ascii="宋体" w:hAnsi="宋体" w:eastAsia="宋体" w:cs="宋体"/>
                <w:sz w:val="22"/>
                <w:highlight w:val="none"/>
                <w:lang w:bidi="ar"/>
              </w:rPr>
              <w:t>满足</w:t>
            </w:r>
            <w:r>
              <w:rPr>
                <w:rFonts w:hint="eastAsia" w:ascii="宋体" w:hAnsi="宋体" w:eastAsia="宋体" w:cs="宋体"/>
                <w:sz w:val="22"/>
                <w:highlight w:val="none"/>
              </w:rPr>
              <w:t>竞争性磋商文件</w:t>
            </w:r>
            <w:r>
              <w:rPr>
                <w:rFonts w:hint="eastAsia" w:ascii="宋体" w:hAnsi="宋体" w:eastAsia="宋体" w:cs="宋体"/>
                <w:sz w:val="22"/>
                <w:highlight w:val="none"/>
                <w:lang w:bidi="ar"/>
              </w:rPr>
              <w:t>规定的投标有效期</w:t>
            </w:r>
          </w:p>
        </w:tc>
      </w:tr>
    </w:tbl>
    <w:p w14:paraId="495EEEF2">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2-5-3、最后报价</w:t>
      </w:r>
    </w:p>
    <w:p w14:paraId="6F971B56">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1、磋商小组要求实质性响应的供应商在规定时间内提交最后报价，最后报价是供应商响应文件的有效组成部分。</w:t>
      </w:r>
    </w:p>
    <w:p w14:paraId="42DDD45F">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2、最后报价在磋商现场线上提交，各供应商在提交最后报价时应加盖供应商红色公章。</w:t>
      </w:r>
    </w:p>
    <w:p w14:paraId="2CC9CA04">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2-5-4、响应文件的澄清：</w:t>
      </w:r>
    </w:p>
    <w:p w14:paraId="5836D2CD">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在评标期间,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被授权人签字。供应商的澄清、说明或者补正不得超出响应文件的范围或者改变响应文件的实质性内容。</w:t>
      </w:r>
    </w:p>
    <w:p w14:paraId="45712911">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（2）书写错误的评审标准：</w:t>
      </w:r>
    </w:p>
    <w:p w14:paraId="2FE3AC8F">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磋商小组在评标过程中，发现响应文件出现下列情况之一者，按以下原则修正：</w:t>
      </w:r>
    </w:p>
    <w:p w14:paraId="290488F9">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w:t>
      </w:r>
      <w:r>
        <w:rPr>
          <w:rFonts w:hint="eastAsia" w:ascii="宋体" w:hAnsi="宋体" w:eastAsia="宋体" w:cs="宋体"/>
          <w:color w:val="000000" w:themeColor="text1"/>
          <w:szCs w:val="24"/>
          <w:highlight w:val="none"/>
          <w14:textFill>
            <w14:solidFill>
              <w14:schemeClr w14:val="tx1"/>
            </w14:solidFill>
          </w14:textFill>
        </w:rPr>
        <w:t>响应文件有关内容与“第一次磋商报价表”不一致的，以“第一次磋商报价表”为准</w:t>
      </w:r>
      <w:r>
        <w:rPr>
          <w:rFonts w:hint="eastAsia" w:ascii="宋体" w:hAnsi="宋体" w:eastAsia="宋体" w:cs="宋体"/>
          <w:color w:val="000000" w:themeColor="text1"/>
          <w:highlight w:val="none"/>
          <w14:textFill>
            <w14:solidFill>
              <w14:schemeClr w14:val="tx1"/>
            </w14:solidFill>
          </w14:textFill>
        </w:rPr>
        <w:t>；</w:t>
      </w:r>
    </w:p>
    <w:p w14:paraId="67B95BA1">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b、</w:t>
      </w:r>
      <w:r>
        <w:rPr>
          <w:rFonts w:hint="eastAsia" w:ascii="宋体" w:hAnsi="宋体" w:eastAsia="宋体" w:cs="宋体"/>
          <w:color w:val="000000" w:themeColor="text1"/>
          <w:szCs w:val="24"/>
          <w:highlight w:val="none"/>
          <w14:textFill>
            <w14:solidFill>
              <w14:schemeClr w14:val="tx1"/>
            </w14:solidFill>
          </w14:textFill>
        </w:rPr>
        <w:t>大写金额与小写金额不一致的，以大写金额为准</w:t>
      </w:r>
      <w:r>
        <w:rPr>
          <w:rFonts w:hint="eastAsia" w:ascii="宋体" w:hAnsi="宋体" w:eastAsia="宋体" w:cs="宋体"/>
          <w:color w:val="000000" w:themeColor="text1"/>
          <w:highlight w:val="none"/>
          <w14:textFill>
            <w14:solidFill>
              <w14:schemeClr w14:val="tx1"/>
            </w14:solidFill>
          </w14:textFill>
        </w:rPr>
        <w:t>；</w:t>
      </w:r>
    </w:p>
    <w:p w14:paraId="2C70D654">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c、单价金额小数点或者百分比有明显错位的，以“第一次磋商报价表”的总价为准，并修改单价；</w:t>
      </w:r>
    </w:p>
    <w:p w14:paraId="6C6118D2">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d、总价金额与按</w:t>
      </w:r>
      <w:r>
        <w:rPr>
          <w:rFonts w:hint="eastAsia" w:ascii="宋体" w:hAnsi="宋体" w:eastAsia="宋体" w:cs="宋体"/>
          <w:color w:val="000000" w:themeColor="text1"/>
          <w:szCs w:val="24"/>
          <w:highlight w:val="none"/>
          <w14:textFill>
            <w14:solidFill>
              <w14:schemeClr w14:val="tx1"/>
            </w14:solidFill>
          </w14:textFill>
        </w:rPr>
        <w:t>单价汇总金额不一致的，以单价乘以数量的计算结果为准</w:t>
      </w:r>
      <w:r>
        <w:rPr>
          <w:rFonts w:hint="eastAsia" w:ascii="宋体" w:hAnsi="宋体" w:eastAsia="宋体" w:cs="宋体"/>
          <w:color w:val="000000" w:themeColor="text1"/>
          <w:highlight w:val="none"/>
          <w14:textFill>
            <w14:solidFill>
              <w14:schemeClr w14:val="tx1"/>
            </w14:solidFill>
          </w14:textFill>
        </w:rPr>
        <w:t>；</w:t>
      </w:r>
    </w:p>
    <w:p w14:paraId="605CDEA0">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e、</w:t>
      </w:r>
      <w:r>
        <w:rPr>
          <w:rFonts w:hint="eastAsia" w:ascii="宋体" w:hAnsi="宋体" w:eastAsia="宋体" w:cs="宋体"/>
          <w:color w:val="000000" w:themeColor="text1"/>
          <w:szCs w:val="24"/>
          <w:highlight w:val="none"/>
          <w14:textFill>
            <w14:solidFill>
              <w14:schemeClr w14:val="tx1"/>
            </w14:solidFill>
          </w14:textFill>
        </w:rPr>
        <w:t>响应文件图表与文字不符时，以文字为准</w:t>
      </w:r>
      <w:r>
        <w:rPr>
          <w:rFonts w:hint="eastAsia" w:ascii="宋体" w:hAnsi="宋体" w:eastAsia="宋体" w:cs="宋体"/>
          <w:color w:val="000000" w:themeColor="text1"/>
          <w:highlight w:val="none"/>
          <w14:textFill>
            <w14:solidFill>
              <w14:schemeClr w14:val="tx1"/>
            </w14:solidFill>
          </w14:textFill>
        </w:rPr>
        <w:t>；</w:t>
      </w:r>
    </w:p>
    <w:p w14:paraId="7280D836">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f、响应文件正本与副本不符时，以正本为准；</w:t>
      </w:r>
    </w:p>
    <w:p w14:paraId="446D94A8">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g、对不同文字文本响应文件的解释发生异议的，以中文文本为准；</w:t>
      </w:r>
    </w:p>
    <w:p w14:paraId="1AA399B3">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h、</w:t>
      </w:r>
      <w:r>
        <w:rPr>
          <w:rFonts w:hint="eastAsia" w:ascii="宋体" w:hAnsi="宋体" w:eastAsia="宋体" w:cs="宋体"/>
          <w:color w:val="000000" w:themeColor="text1"/>
          <w:szCs w:val="24"/>
          <w:highlight w:val="none"/>
          <w14:textFill>
            <w14:solidFill>
              <w14:schemeClr w14:val="tx1"/>
            </w14:solidFill>
          </w14:textFill>
        </w:rPr>
        <w:t>多处内容交叉不符时，以评标委员会评审结果为准。</w:t>
      </w:r>
    </w:p>
    <w:p w14:paraId="622390F8">
      <w:pPr>
        <w:keepNext w:val="0"/>
        <w:keepLines w:val="0"/>
        <w:pageBreakBefore w:val="0"/>
        <w:wordWrap/>
        <w:topLinePunct w:val="0"/>
        <w:autoSpaceDE/>
        <w:autoSpaceDN/>
        <w:bidi w:val="0"/>
        <w:spacing w:line="360" w:lineRule="auto"/>
        <w:ind w:left="0" w:leftChars="0" w:firstLine="482" w:firstLineChars="200"/>
        <w:textAlignment w:val="auto"/>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注：按上述方法修正的内容（其中，同时出现上述a至d两种以上不一致的，按上述规定的顺序修正），经供应商确认后产生约束力，供应商不确认的，其投标无效。</w:t>
      </w:r>
    </w:p>
    <w:p w14:paraId="30D9B8C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磋商小组认为供应商的报价明显低于其他通过符合性审查供应商的报价，有可能影响产品/服务质量或者不能诚信履约的，应当要求其在评标现场合理的时间内提供书面说明，必要时提交相关证明材料；供应商不能证明其报价合理性的，磋商小组应当将其作为无效投标处理。</w:t>
      </w:r>
    </w:p>
    <w:p w14:paraId="7BEE4504">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2-5-5、评价（详评）：</w:t>
      </w:r>
    </w:p>
    <w:p w14:paraId="6403101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（1）磋商小组评审响应文件符合性只根据响应文件本身的内容，而不寻求其他外部证据。</w:t>
      </w:r>
    </w:p>
    <w:p w14:paraId="74D67D57">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评标采取逐项分步评审方式，每一步评审不符合者，不进入下一步评审，全部评审合格的供应商进行最后的综合评审和打分，按最后得分由高向低排序，推荐中标候选人。</w:t>
      </w:r>
    </w:p>
    <w:p w14:paraId="50BFF4E2">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（3）其他需说明的情况：</w:t>
      </w:r>
    </w:p>
    <w:p w14:paraId="5FB83E90">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a、对于响应文件中不构成实质性偏差的小的不正规、不一致或不规则，采购人可以接受，但这种接受不能损害或影响任何供应商的相对排序；</w:t>
      </w:r>
    </w:p>
    <w:p w14:paraId="1D4F717B">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b、最低报价不是中标的唯一条件；</w:t>
      </w:r>
    </w:p>
    <w:p w14:paraId="04966C89">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c、如果投标实质上没有响应竞争性磋商文件的要求，其投标将被拒绝，供应商不得通过修正或撤消不合要求的偏离或保留从而使其投标成为实质上响应的投标；</w:t>
      </w:r>
    </w:p>
    <w:p w14:paraId="3AD0F32C">
      <w:pPr>
        <w:keepNext w:val="0"/>
        <w:keepLines w:val="0"/>
        <w:pageBreakBefore w:val="0"/>
        <w:wordWrap/>
        <w:overflowPunct w:val="0"/>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d、</w:t>
      </w:r>
      <w:r>
        <w:rPr>
          <w:rFonts w:hint="eastAsia" w:ascii="宋体" w:hAnsi="宋体" w:eastAsia="宋体" w:cs="宋体"/>
          <w:color w:val="000000" w:themeColor="text1"/>
          <w:szCs w:val="24"/>
          <w:highlight w:val="none"/>
          <w14:textFill>
            <w14:solidFill>
              <w14:schemeClr w14:val="tx1"/>
            </w14:solidFill>
          </w14:textFill>
        </w:rPr>
        <w:t>无论投标的结果如何，投标期间一切费用自理。</w:t>
      </w:r>
    </w:p>
    <w:p w14:paraId="3B6225B1">
      <w:pPr>
        <w:keepNext w:val="0"/>
        <w:keepLines w:val="0"/>
        <w:pageBreakBefore w:val="0"/>
        <w:wordWrap/>
        <w:topLinePunct w:val="0"/>
        <w:autoSpaceDE/>
        <w:autoSpaceDN/>
        <w:bidi w:val="0"/>
        <w:spacing w:line="360" w:lineRule="auto"/>
        <w:ind w:left="0" w:leftChars="0" w:firstLine="482"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2-6、评分标准：</w:t>
      </w:r>
    </w:p>
    <w:tbl>
      <w:tblPr>
        <w:tblStyle w:val="37"/>
        <w:tblpPr w:leftFromText="180" w:rightFromText="180" w:vertAnchor="text" w:horzAnchor="page" w:tblpX="1622" w:tblpY="305"/>
        <w:tblOverlap w:val="never"/>
        <w:tblW w:w="50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870"/>
        <w:gridCol w:w="886"/>
        <w:gridCol w:w="899"/>
        <w:gridCol w:w="5748"/>
        <w:gridCol w:w="729"/>
      </w:tblGrid>
      <w:tr w14:paraId="6B5E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505" w:type="pct"/>
            <w:tcBorders>
              <w:top w:val="single" w:color="auto" w:sz="4" w:space="0"/>
              <w:left w:val="single" w:color="auto" w:sz="4" w:space="0"/>
              <w:bottom w:val="single" w:color="auto" w:sz="4" w:space="0"/>
              <w:right w:val="single" w:color="auto" w:sz="4" w:space="0"/>
            </w:tcBorders>
            <w:noWrap w:val="0"/>
            <w:vAlign w:val="center"/>
          </w:tcPr>
          <w:p w14:paraId="1665698E">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评标</w:t>
            </w:r>
          </w:p>
          <w:p w14:paraId="0F6D9F1A">
            <w:pPr>
              <w:spacing w:line="400" w:lineRule="exact"/>
              <w:jc w:val="center"/>
              <w:rPr>
                <w:rFonts w:ascii="宋体" w:hAnsi="宋体" w:eastAsia="宋体" w:cs="宋体"/>
                <w:b/>
                <w:bCs/>
                <w:color w:val="000000"/>
                <w:kern w:val="0"/>
                <w:szCs w:val="24"/>
                <w:highlight w:val="none"/>
              </w:rPr>
            </w:pPr>
            <w:r>
              <w:rPr>
                <w:rFonts w:hint="eastAsia" w:ascii="宋体" w:hAnsi="宋体" w:eastAsia="宋体" w:cs="宋体"/>
                <w:color w:val="000000"/>
                <w:szCs w:val="24"/>
                <w:highlight w:val="none"/>
              </w:rPr>
              <w:t>内容</w:t>
            </w:r>
          </w:p>
        </w:tc>
        <w:tc>
          <w:tcPr>
            <w:tcW w:w="428" w:type="pct"/>
            <w:tcBorders>
              <w:top w:val="single" w:color="auto" w:sz="4" w:space="0"/>
              <w:left w:val="single" w:color="auto" w:sz="4" w:space="0"/>
              <w:bottom w:val="single" w:color="auto" w:sz="4" w:space="0"/>
              <w:right w:val="single" w:color="auto" w:sz="4" w:space="0"/>
            </w:tcBorders>
            <w:noWrap w:val="0"/>
            <w:vAlign w:val="center"/>
          </w:tcPr>
          <w:p w14:paraId="7CDF70A0">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价格</w:t>
            </w:r>
          </w:p>
          <w:p w14:paraId="16FE30E1">
            <w:pPr>
              <w:spacing w:line="400" w:lineRule="exact"/>
              <w:jc w:val="center"/>
              <w:rPr>
                <w:rFonts w:ascii="宋体" w:hAnsi="宋体" w:eastAsia="宋体" w:cs="宋体"/>
                <w:b/>
                <w:bCs/>
                <w:color w:val="000000"/>
                <w:szCs w:val="24"/>
                <w:highlight w:val="none"/>
              </w:rPr>
            </w:pPr>
            <w:r>
              <w:rPr>
                <w:rFonts w:hint="eastAsia" w:ascii="宋体" w:hAnsi="宋体" w:eastAsia="宋体" w:cs="宋体"/>
                <w:color w:val="000000"/>
                <w:szCs w:val="24"/>
                <w:highlight w:val="none"/>
              </w:rPr>
              <w:t>权值</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619A220B">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分值</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18DCA774">
            <w:pPr>
              <w:spacing w:line="400" w:lineRule="exact"/>
              <w:jc w:val="center"/>
              <w:rPr>
                <w:rFonts w:ascii="宋体" w:hAnsi="宋体" w:eastAsia="宋体" w:cs="宋体"/>
                <w:b/>
                <w:bCs/>
                <w:color w:val="000000"/>
                <w:szCs w:val="24"/>
                <w:highlight w:val="none"/>
              </w:rPr>
            </w:pPr>
            <w:r>
              <w:rPr>
                <w:rFonts w:hint="eastAsia" w:ascii="宋体" w:hAnsi="宋体" w:eastAsia="宋体" w:cs="宋体"/>
                <w:color w:val="000000"/>
                <w:szCs w:val="24"/>
                <w:highlight w:val="none"/>
              </w:rPr>
              <w:t>评审明细</w:t>
            </w:r>
          </w:p>
        </w:tc>
        <w:tc>
          <w:tcPr>
            <w:tcW w:w="2828" w:type="pct"/>
            <w:tcBorders>
              <w:top w:val="single" w:color="auto" w:sz="4" w:space="0"/>
              <w:left w:val="single" w:color="auto" w:sz="4" w:space="0"/>
              <w:bottom w:val="single" w:color="auto" w:sz="4" w:space="0"/>
              <w:right w:val="single" w:color="auto" w:sz="4" w:space="0"/>
            </w:tcBorders>
            <w:noWrap w:val="0"/>
            <w:vAlign w:val="center"/>
          </w:tcPr>
          <w:p w14:paraId="164CA82A">
            <w:pPr>
              <w:spacing w:line="400" w:lineRule="exact"/>
              <w:jc w:val="center"/>
              <w:rPr>
                <w:rFonts w:ascii="宋体" w:hAnsi="宋体" w:eastAsia="宋体" w:cs="宋体"/>
                <w:b/>
                <w:bCs/>
                <w:color w:val="000000"/>
                <w:szCs w:val="24"/>
                <w:highlight w:val="none"/>
              </w:rPr>
            </w:pPr>
            <w:r>
              <w:rPr>
                <w:rFonts w:hint="eastAsia" w:ascii="宋体" w:hAnsi="宋体" w:eastAsia="宋体" w:cs="宋体"/>
                <w:color w:val="000000"/>
                <w:szCs w:val="24"/>
                <w:highlight w:val="none"/>
              </w:rPr>
              <w:t>评标原则与标准</w:t>
            </w:r>
          </w:p>
        </w:tc>
        <w:tc>
          <w:tcPr>
            <w:tcW w:w="358" w:type="pct"/>
            <w:vMerge w:val="restart"/>
            <w:tcBorders>
              <w:top w:val="single" w:color="auto" w:sz="4" w:space="0"/>
              <w:left w:val="single" w:color="auto" w:sz="4" w:space="0"/>
              <w:right w:val="single" w:color="auto" w:sz="4" w:space="0"/>
            </w:tcBorders>
            <w:noWrap w:val="0"/>
            <w:vAlign w:val="center"/>
          </w:tcPr>
          <w:p w14:paraId="6AB7EE7F">
            <w:pPr>
              <w:rPr>
                <w:rFonts w:ascii="宋体" w:hAnsi="宋体" w:eastAsia="宋体" w:cs="宋体"/>
                <w:color w:val="000000"/>
                <w:szCs w:val="24"/>
                <w:highlight w:val="none"/>
              </w:rPr>
            </w:pPr>
          </w:p>
          <w:p w14:paraId="201BEB1D">
            <w:pPr>
              <w:pStyle w:val="13"/>
              <w:rPr>
                <w:rFonts w:ascii="宋体" w:hAnsi="宋体" w:eastAsia="宋体" w:cs="宋体"/>
                <w:color w:val="000000"/>
                <w:szCs w:val="24"/>
                <w:highlight w:val="none"/>
              </w:rPr>
            </w:pPr>
          </w:p>
          <w:p w14:paraId="692BF9AF">
            <w:pPr>
              <w:rPr>
                <w:rFonts w:ascii="宋体" w:hAnsi="宋体" w:eastAsia="宋体" w:cs="宋体"/>
                <w:color w:val="000000"/>
                <w:szCs w:val="24"/>
                <w:highlight w:val="none"/>
              </w:rPr>
            </w:pPr>
          </w:p>
          <w:p w14:paraId="3042956F">
            <w:pPr>
              <w:pStyle w:val="13"/>
              <w:rPr>
                <w:rFonts w:ascii="宋体" w:hAnsi="宋体" w:eastAsia="宋体" w:cs="宋体"/>
                <w:color w:val="000000"/>
                <w:szCs w:val="24"/>
                <w:highlight w:val="none"/>
              </w:rPr>
            </w:pPr>
          </w:p>
          <w:p w14:paraId="166BE5CF">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根</w:t>
            </w:r>
          </w:p>
          <w:p w14:paraId="52437700">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据</w:t>
            </w:r>
          </w:p>
          <w:p w14:paraId="51AB4713">
            <w:pP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磋</w:t>
            </w:r>
          </w:p>
          <w:p w14:paraId="1592B2A0">
            <w:pP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商</w:t>
            </w:r>
          </w:p>
          <w:p w14:paraId="2A26E2AF">
            <w:pP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响</w:t>
            </w:r>
          </w:p>
          <w:p w14:paraId="4DC1309C">
            <w:pP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应</w:t>
            </w:r>
          </w:p>
          <w:p w14:paraId="16D23DF4">
            <w:pPr>
              <w:rPr>
                <w:rFonts w:ascii="宋体" w:hAnsi="宋体" w:eastAsia="宋体" w:cs="宋体"/>
                <w:color w:val="000000"/>
                <w:szCs w:val="24"/>
                <w:highlight w:val="none"/>
              </w:rPr>
            </w:pPr>
            <w:r>
              <w:rPr>
                <w:rFonts w:hint="eastAsia" w:ascii="宋体" w:hAnsi="宋体" w:eastAsia="宋体" w:cs="宋体"/>
                <w:color w:val="000000"/>
                <w:szCs w:val="24"/>
                <w:highlight w:val="none"/>
              </w:rPr>
              <w:t>文</w:t>
            </w:r>
          </w:p>
          <w:p w14:paraId="26119CCB">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件</w:t>
            </w:r>
          </w:p>
          <w:p w14:paraId="5A2BE1E4">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的</w:t>
            </w:r>
          </w:p>
          <w:p w14:paraId="347FAC5B">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响</w:t>
            </w:r>
          </w:p>
          <w:p w14:paraId="18DD216A">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应</w:t>
            </w:r>
          </w:p>
          <w:p w14:paraId="20D6C224">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程 度</w:t>
            </w:r>
          </w:p>
          <w:p w14:paraId="3D4220CB">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按</w:t>
            </w:r>
          </w:p>
          <w:p w14:paraId="4BA89ADC">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差</w:t>
            </w:r>
          </w:p>
          <w:p w14:paraId="15D3E03D">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别</w:t>
            </w:r>
          </w:p>
          <w:p w14:paraId="25149BD9">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计</w:t>
            </w:r>
          </w:p>
          <w:p w14:paraId="5B3FCD22">
            <w:pPr>
              <w:jc w:val="both"/>
              <w:rPr>
                <w:rFonts w:ascii="宋体" w:hAnsi="宋体" w:eastAsia="宋体" w:cs="宋体"/>
                <w:color w:val="000000"/>
                <w:szCs w:val="24"/>
                <w:highlight w:val="none"/>
              </w:rPr>
            </w:pPr>
            <w:r>
              <w:rPr>
                <w:rFonts w:hint="eastAsia" w:ascii="宋体" w:hAnsi="宋体" w:eastAsia="宋体" w:cs="宋体"/>
                <w:color w:val="000000"/>
                <w:szCs w:val="24"/>
                <w:highlight w:val="none"/>
              </w:rPr>
              <w:t>分</w:t>
            </w:r>
          </w:p>
        </w:tc>
      </w:tr>
      <w:tr w14:paraId="27E5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6" w:hRule="atLeast"/>
        </w:trPr>
        <w:tc>
          <w:tcPr>
            <w:tcW w:w="505" w:type="pct"/>
            <w:tcBorders>
              <w:top w:val="single" w:color="auto" w:sz="4" w:space="0"/>
              <w:left w:val="single" w:color="auto" w:sz="4" w:space="0"/>
              <w:bottom w:val="single" w:color="auto" w:sz="4" w:space="0"/>
              <w:right w:val="single" w:color="auto" w:sz="4" w:space="0"/>
            </w:tcBorders>
            <w:noWrap w:val="0"/>
            <w:vAlign w:val="center"/>
          </w:tcPr>
          <w:p w14:paraId="55589E3E">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报价评审</w:t>
            </w:r>
          </w:p>
        </w:tc>
        <w:tc>
          <w:tcPr>
            <w:tcW w:w="428" w:type="pct"/>
            <w:tcBorders>
              <w:top w:val="single" w:color="auto" w:sz="4" w:space="0"/>
              <w:left w:val="single" w:color="auto" w:sz="4" w:space="0"/>
              <w:bottom w:val="single" w:color="auto" w:sz="4" w:space="0"/>
              <w:right w:val="single" w:color="auto" w:sz="4" w:space="0"/>
            </w:tcBorders>
            <w:noWrap w:val="0"/>
            <w:vAlign w:val="center"/>
          </w:tcPr>
          <w:p w14:paraId="568F7039">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lang w:val="en-US" w:eastAsia="zh-CN"/>
              </w:rPr>
              <w:t>30</w:t>
            </w:r>
            <w:r>
              <w:rPr>
                <w:rFonts w:hint="eastAsia" w:ascii="宋体" w:hAnsi="宋体" w:eastAsia="宋体" w:cs="宋体"/>
                <w:color w:val="000000"/>
                <w:szCs w:val="24"/>
                <w:highlight w:val="none"/>
              </w:rPr>
              <w:t>%</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1D061A4D">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lang w:val="en-US" w:eastAsia="zh-CN"/>
              </w:rPr>
              <w:t>30</w:t>
            </w:r>
            <w:r>
              <w:rPr>
                <w:rFonts w:hint="eastAsia" w:ascii="宋体" w:hAnsi="宋体" w:eastAsia="宋体" w:cs="宋体"/>
                <w:color w:val="000000"/>
                <w:szCs w:val="24"/>
                <w:highlight w:val="none"/>
              </w:rPr>
              <w:t>分</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6F33A0A3">
            <w:pPr>
              <w:spacing w:line="400" w:lineRule="exact"/>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报价</w:t>
            </w:r>
          </w:p>
          <w:p w14:paraId="27D19309">
            <w:pPr>
              <w:spacing w:line="400" w:lineRule="exact"/>
              <w:jc w:val="center"/>
              <w:rPr>
                <w:rFonts w:hint="eastAsia" w:ascii="宋体" w:hAnsi="宋体" w:eastAsia="宋体" w:cs="宋体"/>
                <w:color w:val="000000"/>
                <w:szCs w:val="24"/>
                <w:highlight w:val="none"/>
              </w:rPr>
            </w:pPr>
          </w:p>
        </w:tc>
        <w:tc>
          <w:tcPr>
            <w:tcW w:w="2828" w:type="pct"/>
            <w:tcBorders>
              <w:top w:val="single" w:color="auto" w:sz="4" w:space="0"/>
              <w:left w:val="single" w:color="auto" w:sz="4" w:space="0"/>
              <w:bottom w:val="single" w:color="auto" w:sz="4" w:space="0"/>
              <w:right w:val="single" w:color="auto" w:sz="4" w:space="0"/>
            </w:tcBorders>
            <w:noWrap w:val="0"/>
            <w:vAlign w:val="center"/>
          </w:tcPr>
          <w:p w14:paraId="406E4DEC">
            <w:pPr>
              <w:spacing w:line="400" w:lineRule="exact"/>
              <w:rPr>
                <w:rFonts w:ascii="宋体" w:hAnsi="宋体" w:eastAsia="宋体" w:cs="宋体"/>
                <w:color w:val="000000"/>
                <w:szCs w:val="24"/>
                <w:highlight w:val="none"/>
              </w:rPr>
            </w:pPr>
            <w:r>
              <w:rPr>
                <w:rFonts w:hint="eastAsia" w:ascii="宋体" w:hAnsi="宋体" w:eastAsia="宋体" w:cs="宋体"/>
                <w:color w:val="000000"/>
                <w:szCs w:val="24"/>
                <w:highlight w:val="none"/>
              </w:rPr>
              <w:t>按照《中华人民共和国政府采购法》及《中华人民共和国政府采购法实施条例》的有关规定：价格分采用低价优先法计算，即满足竞争性磋商文件要求且最后报价最低的供应商的价格为磋商基准价，其价格分为满分。其他供应商的价格分统一按照下列公式计算：</w:t>
            </w:r>
          </w:p>
          <w:p w14:paraId="076E1835">
            <w:pPr>
              <w:spacing w:line="400" w:lineRule="exact"/>
              <w:rPr>
                <w:rFonts w:hint="eastAsia" w:ascii="宋体" w:hAnsi="宋体" w:eastAsia="宋体" w:cs="宋体"/>
                <w:color w:val="000000"/>
                <w:szCs w:val="24"/>
                <w:highlight w:val="none"/>
                <w:shd w:val="clear" w:color="auto" w:fill="auto"/>
              </w:rPr>
            </w:pPr>
            <w:r>
              <w:rPr>
                <w:rFonts w:hint="eastAsia" w:ascii="宋体" w:hAnsi="宋体" w:eastAsia="宋体" w:cs="宋体"/>
                <w:color w:val="000000"/>
                <w:szCs w:val="24"/>
                <w:highlight w:val="none"/>
              </w:rPr>
              <w:t>磋商报价得分=（磋商基准价/最终磋商报价）</w:t>
            </w:r>
            <w:r>
              <w:rPr>
                <w:rFonts w:hint="eastAsia" w:ascii="宋体" w:hAnsi="宋体" w:eastAsia="宋体" w:cs="宋体"/>
                <w:color w:val="000000"/>
                <w:szCs w:val="24"/>
                <w:highlight w:val="none"/>
                <w:shd w:val="clear" w:color="auto" w:fill="auto"/>
              </w:rPr>
              <w:t>×价格权值（即</w:t>
            </w:r>
            <w:r>
              <w:rPr>
                <w:rFonts w:hint="eastAsia" w:ascii="宋体" w:hAnsi="宋体" w:eastAsia="宋体" w:cs="宋体"/>
                <w:color w:val="000000"/>
                <w:szCs w:val="24"/>
                <w:highlight w:val="none"/>
                <w:shd w:val="clear" w:color="auto" w:fill="auto"/>
                <w:lang w:val="en-US" w:eastAsia="zh-CN"/>
              </w:rPr>
              <w:t>30</w:t>
            </w:r>
            <w:r>
              <w:rPr>
                <w:rFonts w:hint="eastAsia" w:ascii="宋体" w:hAnsi="宋体" w:eastAsia="宋体" w:cs="宋体"/>
                <w:color w:val="000000"/>
                <w:szCs w:val="24"/>
                <w:highlight w:val="none"/>
                <w:shd w:val="clear" w:color="auto" w:fill="auto"/>
              </w:rPr>
              <w:t>%）×100</w:t>
            </w:r>
          </w:p>
          <w:p w14:paraId="6B8A3333">
            <w:pPr>
              <w:spacing w:line="400" w:lineRule="exact"/>
              <w:rPr>
                <w:rFonts w:hint="eastAsia" w:ascii="宋体" w:hAnsi="宋体" w:eastAsia="宋体" w:cs="宋体"/>
                <w:color w:val="000000"/>
                <w:szCs w:val="24"/>
                <w:highlight w:val="none"/>
                <w:shd w:val="clear" w:color="auto" w:fill="auto"/>
              </w:rPr>
            </w:pPr>
            <w:r>
              <w:rPr>
                <w:rFonts w:hint="eastAsia" w:ascii="宋体" w:hAnsi="宋体" w:eastAsia="宋体" w:cs="宋体"/>
                <w:b/>
                <w:bCs/>
                <w:sz w:val="24"/>
                <w:szCs w:val="24"/>
                <w:highlight w:val="none"/>
              </w:rPr>
              <w:t>本项目专门面向中小企业采购，</w:t>
            </w:r>
            <w:r>
              <w:rPr>
                <w:rFonts w:hint="eastAsia" w:ascii="宋体" w:hAnsi="宋体" w:eastAsia="宋体" w:cs="宋体"/>
                <w:b/>
                <w:bCs/>
                <w:sz w:val="24"/>
                <w:szCs w:val="24"/>
                <w:highlight w:val="none"/>
                <w:lang w:val="en-US" w:eastAsia="zh-CN"/>
              </w:rPr>
              <w:t>故</w:t>
            </w:r>
            <w:r>
              <w:rPr>
                <w:rFonts w:hint="eastAsia" w:ascii="宋体" w:hAnsi="宋体" w:eastAsia="宋体" w:cs="宋体"/>
                <w:b/>
                <w:bCs/>
                <w:sz w:val="24"/>
                <w:szCs w:val="24"/>
                <w:highlight w:val="none"/>
              </w:rPr>
              <w:t>不享受价格扣除优惠政策</w:t>
            </w:r>
            <w:r>
              <w:rPr>
                <w:rFonts w:hint="eastAsia" w:ascii="宋体" w:hAnsi="宋体" w:eastAsia="宋体" w:cs="宋体"/>
                <w:b/>
                <w:bCs/>
                <w:sz w:val="24"/>
                <w:szCs w:val="24"/>
                <w:highlight w:val="none"/>
                <w:lang w:eastAsia="zh-CN"/>
              </w:rPr>
              <w:t>。</w:t>
            </w:r>
          </w:p>
        </w:tc>
        <w:tc>
          <w:tcPr>
            <w:tcW w:w="358" w:type="pct"/>
            <w:vMerge w:val="continue"/>
            <w:tcBorders>
              <w:left w:val="single" w:color="auto" w:sz="4" w:space="0"/>
              <w:right w:val="single" w:color="auto" w:sz="4" w:space="0"/>
            </w:tcBorders>
            <w:noWrap w:val="0"/>
            <w:vAlign w:val="center"/>
          </w:tcPr>
          <w:p w14:paraId="2EC6F8D3">
            <w:pPr>
              <w:widowControl/>
              <w:jc w:val="left"/>
              <w:rPr>
                <w:rFonts w:ascii="宋体" w:hAnsi="宋体" w:eastAsia="宋体" w:cs="宋体"/>
                <w:color w:val="000000"/>
                <w:szCs w:val="24"/>
                <w:highlight w:val="none"/>
              </w:rPr>
            </w:pPr>
          </w:p>
        </w:tc>
      </w:tr>
      <w:tr w14:paraId="1B4C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5" w:hRule="atLeast"/>
        </w:trPr>
        <w:tc>
          <w:tcPr>
            <w:tcW w:w="505" w:type="pct"/>
            <w:vMerge w:val="restart"/>
            <w:tcBorders>
              <w:top w:val="single" w:color="auto" w:sz="4" w:space="0"/>
              <w:left w:val="single" w:color="auto" w:sz="4" w:space="0"/>
              <w:right w:val="single" w:color="auto" w:sz="4" w:space="0"/>
            </w:tcBorders>
            <w:noWrap w:val="0"/>
            <w:vAlign w:val="center"/>
          </w:tcPr>
          <w:p w14:paraId="3A2F9F73">
            <w:pPr>
              <w:spacing w:line="400" w:lineRule="exact"/>
              <w:jc w:val="center"/>
              <w:rPr>
                <w:rFonts w:hint="default"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技术</w:t>
            </w:r>
          </w:p>
          <w:p w14:paraId="447DD0D9">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lang w:eastAsia="zh-CN"/>
              </w:rPr>
              <w:t>方案</w:t>
            </w:r>
          </w:p>
        </w:tc>
        <w:tc>
          <w:tcPr>
            <w:tcW w:w="428" w:type="pct"/>
            <w:tcBorders>
              <w:top w:val="single" w:color="auto" w:sz="4" w:space="0"/>
              <w:left w:val="single" w:color="auto" w:sz="4" w:space="0"/>
              <w:right w:val="single" w:color="auto" w:sz="4" w:space="0"/>
            </w:tcBorders>
            <w:noWrap w:val="0"/>
            <w:vAlign w:val="center"/>
          </w:tcPr>
          <w:p w14:paraId="57A423C9">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lang w:val="en-US" w:eastAsia="zh-CN"/>
              </w:rPr>
              <w:t>40</w:t>
            </w:r>
            <w:r>
              <w:rPr>
                <w:rFonts w:hint="eastAsia" w:ascii="宋体" w:hAnsi="宋体" w:eastAsia="宋体" w:cs="宋体"/>
                <w:color w:val="000000"/>
                <w:szCs w:val="24"/>
                <w:highlight w:val="none"/>
              </w:rPr>
              <w:t>%</w:t>
            </w:r>
          </w:p>
        </w:tc>
        <w:tc>
          <w:tcPr>
            <w:tcW w:w="436" w:type="pct"/>
            <w:tcBorders>
              <w:top w:val="single" w:color="auto" w:sz="4" w:space="0"/>
              <w:left w:val="single" w:color="auto" w:sz="4" w:space="0"/>
              <w:right w:val="single" w:color="auto" w:sz="4" w:space="0"/>
            </w:tcBorders>
            <w:noWrap w:val="0"/>
            <w:vAlign w:val="center"/>
          </w:tcPr>
          <w:p w14:paraId="188BE89D">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lang w:val="en-US" w:eastAsia="zh-CN"/>
              </w:rPr>
              <w:t>40</w:t>
            </w:r>
            <w:r>
              <w:rPr>
                <w:rFonts w:hint="eastAsia" w:ascii="宋体" w:hAnsi="宋体" w:eastAsia="宋体" w:cs="宋体"/>
                <w:color w:val="000000"/>
                <w:szCs w:val="24"/>
                <w:highlight w:val="none"/>
              </w:rPr>
              <w:t>分</w:t>
            </w:r>
          </w:p>
        </w:tc>
        <w:tc>
          <w:tcPr>
            <w:tcW w:w="442" w:type="pct"/>
            <w:tcBorders>
              <w:top w:val="single" w:color="auto" w:sz="4" w:space="0"/>
              <w:left w:val="single" w:color="auto" w:sz="4" w:space="0"/>
              <w:right w:val="single" w:color="auto" w:sz="4" w:space="0"/>
            </w:tcBorders>
            <w:noWrap w:val="0"/>
            <w:vAlign w:val="center"/>
          </w:tcPr>
          <w:p w14:paraId="642D2775">
            <w:pPr>
              <w:spacing w:line="400" w:lineRule="exact"/>
              <w:jc w:val="center"/>
              <w:rPr>
                <w:rFonts w:hint="eastAsia" w:ascii="宋体" w:hAnsi="宋体" w:eastAsia="宋体" w:cs="宋体"/>
                <w:color w:val="000000"/>
                <w:szCs w:val="24"/>
                <w:highlight w:val="none"/>
                <w:lang w:val="en-US" w:eastAsia="zh-CN"/>
              </w:rPr>
            </w:pPr>
          </w:p>
          <w:p w14:paraId="75BF99AE">
            <w:pPr>
              <w:snapToGrid w:val="0"/>
              <w:spacing w:line="320" w:lineRule="exact"/>
              <w:jc w:val="center"/>
              <w:rPr>
                <w:rFonts w:ascii="宋体" w:hAnsi="宋体" w:eastAsia="宋体" w:cs="宋体"/>
                <w:color w:val="000000"/>
                <w:szCs w:val="24"/>
                <w:highlight w:val="none"/>
              </w:rPr>
            </w:pPr>
            <w:r>
              <w:rPr>
                <w:rFonts w:hint="eastAsia" w:ascii="宋体" w:hAnsi="宋体" w:eastAsia="宋体" w:cs="宋体"/>
                <w:color w:val="auto"/>
                <w:sz w:val="24"/>
                <w:szCs w:val="24"/>
                <w:highlight w:val="none"/>
                <w:lang w:val="zh-CN"/>
              </w:rPr>
              <w:t>项目实施方案</w:t>
            </w:r>
          </w:p>
        </w:tc>
        <w:tc>
          <w:tcPr>
            <w:tcW w:w="2828" w:type="pct"/>
            <w:tcBorders>
              <w:top w:val="single" w:color="auto" w:sz="4" w:space="0"/>
              <w:left w:val="single" w:color="auto" w:sz="4" w:space="0"/>
              <w:bottom w:val="single" w:color="auto" w:sz="4" w:space="0"/>
              <w:right w:val="single" w:color="auto" w:sz="4" w:space="0"/>
            </w:tcBorders>
            <w:noWrap w:val="0"/>
            <w:vAlign w:val="center"/>
          </w:tcPr>
          <w:p w14:paraId="163B46DD">
            <w:pPr>
              <w:pStyle w:val="144"/>
              <w:spacing w:before="200" w:line="357" w:lineRule="auto"/>
              <w:ind w:left="104" w:right="97" w:firstLine="18"/>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供应商提供的适老化改造实施方案针对本项目重点、难点分析了解透彻，有非常完整的应对措施及相关的合理化建议，得(6-10分];适老化改造实施方案针对本项目重点、难点分析了解比较清楚，有较为完整的应对措施及相关的合理化建议得(3-6 分];适老化改造实施方案针对本项目重点、难点分析了解清楚，有应对措施及相关的合理化建议，得(0-3 分]。</w:t>
            </w:r>
          </w:p>
          <w:p w14:paraId="35F0FFDE">
            <w:pPr>
              <w:pStyle w:val="144"/>
              <w:spacing w:before="216" w:line="351" w:lineRule="auto"/>
              <w:ind w:left="104" w:right="97" w:firstLine="3"/>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2、方案总体思路清晰、合理、可操作性强、可执行程度强，且能很好推动项目实施并提供相关的产品品质保证证明材料，得(6-10分]:方案总体思路明确、可行，附有产品安装调试措施，确保产品的整体性能得(</w:t>
            </w:r>
            <w:r>
              <w:rPr>
                <w:rFonts w:hint="eastAsia"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-6 分]:方案总体思路不明确，缺失安装调试措施，无法保证整体性能，得(0-</w:t>
            </w:r>
            <w:r>
              <w:rPr>
                <w:rFonts w:hint="eastAsia"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分]。</w:t>
            </w:r>
          </w:p>
          <w:p w14:paraId="2D5A1E61">
            <w:pPr>
              <w:pStyle w:val="144"/>
              <w:spacing w:before="200" w:line="357" w:lineRule="auto"/>
              <w:ind w:left="104" w:right="97" w:firstLine="18"/>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3、针对本项目提供的项目进度计划和工期目标</w:t>
            </w:r>
            <w:r>
              <w:rPr>
                <w:rFonts w:hint="eastAsia"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项目进度计划和工期目标科学、合理、可行，满足采购人需求</w:t>
            </w:r>
            <w:r>
              <w:rPr>
                <w:rFonts w:hint="eastAsia"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得(6-10分]</w:t>
            </w:r>
            <w:r>
              <w:rPr>
                <w:rFonts w:hint="eastAsia"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项目进度计划和工期目标科学、合理性一般、可行性一般得(</w:t>
            </w:r>
            <w:r>
              <w:rPr>
                <w:rFonts w:hint="eastAsia"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-6分]</w:t>
            </w:r>
            <w:r>
              <w:rPr>
                <w:rFonts w:hint="eastAsia"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项目进度计划和工期目标安排不合理、不能按要求完成施工计划得(0-2分]。</w:t>
            </w:r>
          </w:p>
          <w:p w14:paraId="4E9BC725">
            <w:pPr>
              <w:pStyle w:val="144"/>
              <w:spacing w:before="200" w:line="357" w:lineRule="auto"/>
              <w:ind w:left="104" w:right="97" w:firstLine="18"/>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2"/>
                <w:sz w:val="24"/>
                <w:szCs w:val="24"/>
                <w:highlight w:val="none"/>
                <w:lang w:val="en-US" w:eastAsia="zh-CN" w:bidi="ar-SA"/>
              </w:rPr>
              <w:t>4、拟投入本项目主要机具、设备和劳动力配置情况，拟投入的主要机具、设备和劳动力充足、能满足项目需要得(6-10分]:拟投入的主要机具、设备和劳动力较充分、基本满足项目需要得(2-6分];拟投入的主要机具、设备和劳动力不充足、不能满足项目需要得(0-2分]。</w:t>
            </w:r>
          </w:p>
        </w:tc>
        <w:tc>
          <w:tcPr>
            <w:tcW w:w="358" w:type="pct"/>
            <w:vMerge w:val="continue"/>
            <w:tcBorders>
              <w:left w:val="single" w:color="auto" w:sz="4" w:space="0"/>
              <w:right w:val="single" w:color="auto" w:sz="4" w:space="0"/>
            </w:tcBorders>
            <w:noWrap w:val="0"/>
            <w:vAlign w:val="center"/>
          </w:tcPr>
          <w:p w14:paraId="73E2B25B">
            <w:pPr>
              <w:widowControl/>
              <w:jc w:val="left"/>
              <w:rPr>
                <w:rFonts w:ascii="宋体" w:hAnsi="宋体" w:eastAsia="宋体" w:cs="宋体"/>
                <w:color w:val="000000"/>
                <w:szCs w:val="24"/>
                <w:highlight w:val="none"/>
              </w:rPr>
            </w:pPr>
          </w:p>
        </w:tc>
      </w:tr>
      <w:tr w14:paraId="58F3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trPr>
        <w:tc>
          <w:tcPr>
            <w:tcW w:w="505" w:type="pct"/>
            <w:vMerge w:val="continue"/>
            <w:tcBorders>
              <w:left w:val="single" w:color="auto" w:sz="4" w:space="0"/>
              <w:right w:val="single" w:color="auto" w:sz="4" w:space="0"/>
            </w:tcBorders>
            <w:noWrap w:val="0"/>
            <w:vAlign w:val="center"/>
          </w:tcPr>
          <w:p w14:paraId="34F29ED6">
            <w:pPr>
              <w:spacing w:line="400" w:lineRule="exact"/>
              <w:jc w:val="center"/>
              <w:rPr>
                <w:rFonts w:ascii="宋体" w:hAnsi="宋体" w:eastAsia="宋体" w:cs="宋体"/>
                <w:color w:val="000000"/>
                <w:szCs w:val="24"/>
                <w:highlight w:val="none"/>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028E66D4">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lang w:val="en-US" w:eastAsia="zh-CN"/>
              </w:rPr>
              <w:t>10</w:t>
            </w:r>
            <w:r>
              <w:rPr>
                <w:rFonts w:hint="eastAsia" w:ascii="宋体" w:hAnsi="宋体" w:eastAsia="宋体" w:cs="宋体"/>
                <w:color w:val="000000"/>
                <w:szCs w:val="24"/>
                <w:highlight w:val="none"/>
              </w:rPr>
              <w:t>%</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76087860">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lang w:val="en-US" w:eastAsia="zh-CN"/>
              </w:rPr>
              <w:t>10</w:t>
            </w:r>
            <w:r>
              <w:rPr>
                <w:rFonts w:hint="eastAsia" w:ascii="宋体" w:hAnsi="宋体" w:eastAsia="宋体" w:cs="宋体"/>
                <w:color w:val="000000"/>
                <w:szCs w:val="24"/>
                <w:highlight w:val="none"/>
              </w:rPr>
              <w:t>分</w:t>
            </w:r>
          </w:p>
        </w:tc>
        <w:tc>
          <w:tcPr>
            <w:tcW w:w="442" w:type="pct"/>
            <w:tcBorders>
              <w:top w:val="single" w:color="auto" w:sz="4" w:space="0"/>
              <w:left w:val="single" w:color="auto" w:sz="4" w:space="0"/>
              <w:bottom w:val="single" w:color="auto" w:sz="4" w:space="0"/>
              <w:right w:val="single" w:color="auto" w:sz="4" w:space="0"/>
            </w:tcBorders>
            <w:noWrap w:val="0"/>
            <w:vAlign w:val="top"/>
          </w:tcPr>
          <w:p w14:paraId="4D25EDC0">
            <w:pPr>
              <w:spacing w:line="400" w:lineRule="exact"/>
              <w:jc w:val="center"/>
              <w:rPr>
                <w:rFonts w:ascii="宋体" w:hAnsi="宋体" w:eastAsia="宋体" w:cs="宋体"/>
                <w:color w:val="000000"/>
                <w:szCs w:val="24"/>
                <w:highlight w:val="none"/>
              </w:rPr>
            </w:pPr>
          </w:p>
          <w:p w14:paraId="2AD83F63">
            <w:pPr>
              <w:spacing w:line="400" w:lineRule="exact"/>
              <w:jc w:val="center"/>
              <w:rPr>
                <w:rFonts w:ascii="宋体" w:hAnsi="宋体" w:eastAsia="宋体" w:cs="宋体"/>
                <w:color w:val="000000"/>
                <w:szCs w:val="24"/>
                <w:highlight w:val="none"/>
              </w:rPr>
            </w:pPr>
          </w:p>
          <w:p w14:paraId="35C99C21">
            <w:pPr>
              <w:spacing w:line="400" w:lineRule="exact"/>
              <w:jc w:val="both"/>
              <w:rPr>
                <w:rFonts w:ascii="宋体" w:hAnsi="宋体" w:eastAsia="宋体" w:cs="宋体"/>
                <w:color w:val="000000"/>
                <w:szCs w:val="24"/>
                <w:highlight w:val="none"/>
              </w:rPr>
            </w:pPr>
          </w:p>
          <w:p w14:paraId="58DD9159">
            <w:pPr>
              <w:spacing w:line="400" w:lineRule="exact"/>
              <w:jc w:val="center"/>
              <w:rPr>
                <w:rFonts w:ascii="宋体" w:hAnsi="宋体" w:eastAsia="宋体" w:cs="宋体"/>
                <w:color w:val="000000"/>
                <w:szCs w:val="24"/>
                <w:highlight w:val="none"/>
              </w:rPr>
            </w:pP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val="en-US" w:eastAsia="zh-CN"/>
              </w:rPr>
              <w:t xml:space="preserve"> </w:t>
            </w:r>
          </w:p>
        </w:tc>
        <w:tc>
          <w:tcPr>
            <w:tcW w:w="2828" w:type="pct"/>
            <w:tcBorders>
              <w:top w:val="single" w:color="auto" w:sz="4" w:space="0"/>
              <w:left w:val="single" w:color="auto" w:sz="4" w:space="0"/>
              <w:bottom w:val="single" w:color="auto" w:sz="4" w:space="0"/>
              <w:right w:val="single" w:color="auto" w:sz="4" w:space="0"/>
            </w:tcBorders>
            <w:noWrap w:val="0"/>
            <w:vAlign w:val="top"/>
          </w:tcPr>
          <w:p w14:paraId="1A04C662">
            <w:pPr>
              <w:pStyle w:val="144"/>
              <w:spacing w:before="200" w:line="240" w:lineRule="auto"/>
              <w:ind w:left="104" w:right="97" w:firstLine="18"/>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售后服务方案包括故障响应时间、保修服务措施、配件供应措施、定期巡检计划、故障应急预案、培训计划等，根据方案的专业性、全面性、科学性等进行综合评审： </w:t>
            </w:r>
          </w:p>
          <w:p w14:paraId="36B56208">
            <w:pPr>
              <w:pStyle w:val="144"/>
              <w:spacing w:before="200" w:line="240" w:lineRule="auto"/>
              <w:ind w:left="104" w:right="97" w:firstLine="18"/>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1、内容完整详实，能够针对项目服务要求而细化制定且优于服务要求的得(6-10分]； </w:t>
            </w:r>
          </w:p>
          <w:p w14:paraId="74930616">
            <w:pPr>
              <w:pStyle w:val="144"/>
              <w:spacing w:before="200" w:line="240" w:lineRule="auto"/>
              <w:ind w:left="104" w:right="97" w:firstLine="18"/>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2、内容较完整，能够满足项目服务要求得(2-6分]；</w:t>
            </w:r>
          </w:p>
          <w:p w14:paraId="45829B38">
            <w:pPr>
              <w:pStyle w:val="144"/>
              <w:spacing w:before="200" w:line="240" w:lineRule="auto"/>
              <w:ind w:left="104" w:right="97" w:firstLine="18"/>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3、内容笼统不完善的得(0-2分]；</w:t>
            </w:r>
          </w:p>
          <w:p w14:paraId="01CC7F52">
            <w:pPr>
              <w:pStyle w:val="144"/>
              <w:spacing w:before="200" w:line="240" w:lineRule="auto"/>
              <w:ind w:left="104" w:right="97" w:firstLine="18"/>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未提供不得分。</w:t>
            </w:r>
          </w:p>
        </w:tc>
        <w:tc>
          <w:tcPr>
            <w:tcW w:w="358" w:type="pct"/>
            <w:vMerge w:val="continue"/>
            <w:tcBorders>
              <w:left w:val="single" w:color="auto" w:sz="4" w:space="0"/>
              <w:right w:val="single" w:color="auto" w:sz="4" w:space="0"/>
            </w:tcBorders>
            <w:noWrap w:val="0"/>
            <w:vAlign w:val="center"/>
          </w:tcPr>
          <w:p w14:paraId="70586CA4">
            <w:pPr>
              <w:widowControl/>
              <w:jc w:val="left"/>
              <w:rPr>
                <w:rFonts w:ascii="宋体" w:hAnsi="宋体" w:eastAsia="宋体" w:cs="宋体"/>
                <w:color w:val="000000"/>
                <w:szCs w:val="24"/>
                <w:highlight w:val="none"/>
              </w:rPr>
            </w:pPr>
          </w:p>
        </w:tc>
      </w:tr>
      <w:tr w14:paraId="4944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05" w:type="pct"/>
            <w:vMerge w:val="continue"/>
            <w:tcBorders>
              <w:left w:val="single" w:color="auto" w:sz="4" w:space="0"/>
              <w:right w:val="single" w:color="auto" w:sz="4" w:space="0"/>
            </w:tcBorders>
            <w:noWrap w:val="0"/>
            <w:vAlign w:val="center"/>
          </w:tcPr>
          <w:p w14:paraId="58D9FCDA">
            <w:pPr>
              <w:spacing w:line="400" w:lineRule="exact"/>
              <w:jc w:val="center"/>
              <w:rPr>
                <w:rFonts w:ascii="宋体" w:hAnsi="宋体" w:eastAsia="宋体" w:cs="宋体"/>
                <w:color w:val="000000"/>
                <w:szCs w:val="24"/>
                <w:highlight w:val="none"/>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27F367A8">
            <w:pPr>
              <w:spacing w:line="480" w:lineRule="exact"/>
              <w:jc w:val="center"/>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10</w:t>
            </w:r>
            <w:r>
              <w:rPr>
                <w:rFonts w:hint="eastAsia" w:ascii="宋体" w:hAnsi="宋体" w:eastAsia="宋体" w:cs="宋体"/>
                <w:color w:val="000000"/>
                <w:szCs w:val="24"/>
                <w:highlight w:val="none"/>
              </w:rPr>
              <w:t>%</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07EEEBB9">
            <w:pPr>
              <w:spacing w:line="480" w:lineRule="exact"/>
              <w:jc w:val="center"/>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10</w:t>
            </w:r>
            <w:r>
              <w:rPr>
                <w:rFonts w:hint="eastAsia" w:ascii="宋体" w:hAnsi="宋体" w:eastAsia="宋体" w:cs="宋体"/>
                <w:color w:val="000000"/>
                <w:szCs w:val="24"/>
                <w:highlight w:val="none"/>
              </w:rPr>
              <w:t>分</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778BFF9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000000"/>
                <w:szCs w:val="24"/>
                <w:highlight w:val="none"/>
                <w:lang w:val="zh-CN"/>
              </w:rPr>
              <w:t>质量保障</w:t>
            </w:r>
          </w:p>
        </w:tc>
        <w:tc>
          <w:tcPr>
            <w:tcW w:w="2828" w:type="pct"/>
            <w:tcBorders>
              <w:top w:val="single" w:color="auto" w:sz="4" w:space="0"/>
              <w:left w:val="single" w:color="auto" w:sz="4" w:space="0"/>
              <w:bottom w:val="single" w:color="auto" w:sz="4" w:space="0"/>
              <w:right w:val="single" w:color="auto" w:sz="4" w:space="0"/>
            </w:tcBorders>
            <w:noWrap w:val="0"/>
            <w:vAlign w:val="center"/>
          </w:tcPr>
          <w:p w14:paraId="2FD25B1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szCs w:val="24"/>
                <w:highlight w:val="none"/>
                <w:lang w:val="en-US" w:eastAsia="zh-CN"/>
              </w:rPr>
            </w:pPr>
            <w:r>
              <w:rPr>
                <w:rFonts w:hint="eastAsia" w:ascii="宋体" w:hAnsi="宋体" w:eastAsia="宋体" w:cs="宋体"/>
                <w:color w:val="000000"/>
                <w:szCs w:val="24"/>
                <w:highlight w:val="none"/>
              </w:rPr>
              <w:t>质量管理组织方面，针对本项目设置的质量保证管理组织措施，结构科学、严谨、完整，符合相关规范及地方法规要求,按其</w:t>
            </w:r>
            <w:r>
              <w:rPr>
                <w:rFonts w:hint="eastAsia" w:ascii="宋体" w:hAnsi="宋体" w:eastAsia="宋体" w:cs="宋体"/>
                <w:sz w:val="24"/>
                <w:szCs w:val="24"/>
                <w:highlight w:val="none"/>
                <w:lang w:val="en-US" w:eastAsia="zh-CN"/>
              </w:rPr>
              <w:t>响应程度得</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10分：</w:t>
            </w:r>
          </w:p>
          <w:p w14:paraId="4E2739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Cs w:val="24"/>
                <w:highlight w:val="none"/>
                <w:lang w:val="en-US" w:eastAsia="zh-CN"/>
              </w:rPr>
              <w:t>1、</w:t>
            </w:r>
            <w:r>
              <w:rPr>
                <w:rFonts w:hint="eastAsia" w:ascii="宋体" w:hAnsi="宋体" w:eastAsia="宋体" w:cs="宋体"/>
                <w:color w:val="000000"/>
                <w:szCs w:val="24"/>
                <w:highlight w:val="none"/>
                <w:lang w:val="zh-CN"/>
              </w:rPr>
              <w:t>质量保障</w:t>
            </w:r>
            <w:r>
              <w:rPr>
                <w:rFonts w:hint="eastAsia" w:ascii="宋体" w:hAnsi="宋体" w:eastAsia="宋体" w:cs="宋体"/>
                <w:color w:val="000000"/>
                <w:sz w:val="24"/>
                <w:szCs w:val="24"/>
                <w:highlight w:val="none"/>
                <w:lang w:val="en-US" w:eastAsia="zh-CN"/>
              </w:rPr>
              <w:t>可行</w:t>
            </w:r>
            <w:r>
              <w:rPr>
                <w:rFonts w:hint="eastAsia" w:ascii="宋体" w:hAnsi="宋体" w:eastAsia="宋体" w:cs="宋体"/>
                <w:color w:val="000000"/>
                <w:sz w:val="24"/>
                <w:szCs w:val="24"/>
                <w:highlight w:val="none"/>
              </w:rPr>
              <w:t>，针对性</w:t>
            </w:r>
            <w:r>
              <w:rPr>
                <w:rFonts w:hint="eastAsia" w:ascii="宋体" w:hAnsi="宋体" w:eastAsia="宋体" w:cs="宋体"/>
                <w:color w:val="000000"/>
                <w:sz w:val="24"/>
                <w:szCs w:val="24"/>
                <w:highlight w:val="none"/>
                <w:lang w:val="en-US" w:eastAsia="zh-CN"/>
              </w:rPr>
              <w:t>强得</w:t>
            </w:r>
            <w:r>
              <w:rPr>
                <w:rFonts w:hint="eastAsia" w:ascii="宋体" w:hAnsi="宋体" w:eastAsia="宋体" w:cs="宋体"/>
                <w:color w:val="000000"/>
                <w:szCs w:val="24"/>
                <w:highlight w:val="none"/>
                <w:lang w:val="en-US" w:eastAsia="zh-CN"/>
              </w:rPr>
              <w:t>(6-10分]</w:t>
            </w:r>
            <w:r>
              <w:rPr>
                <w:rFonts w:hint="eastAsia" w:ascii="宋体" w:hAnsi="宋体" w:eastAsia="宋体" w:cs="宋体"/>
                <w:color w:val="000000"/>
                <w:sz w:val="24"/>
                <w:szCs w:val="24"/>
                <w:highlight w:val="none"/>
              </w:rPr>
              <w:t>；</w:t>
            </w:r>
          </w:p>
          <w:p w14:paraId="24023E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Cs w:val="24"/>
                <w:highlight w:val="none"/>
                <w:lang w:val="en-US" w:eastAsia="zh-CN"/>
              </w:rPr>
              <w:t>2、</w:t>
            </w:r>
            <w:r>
              <w:rPr>
                <w:rFonts w:hint="eastAsia" w:ascii="宋体" w:hAnsi="宋体" w:eastAsia="宋体" w:cs="宋体"/>
                <w:color w:val="000000"/>
                <w:szCs w:val="24"/>
                <w:highlight w:val="none"/>
                <w:lang w:val="zh-CN"/>
              </w:rPr>
              <w:t>质量保障</w:t>
            </w:r>
            <w:r>
              <w:rPr>
                <w:rFonts w:hint="eastAsia" w:ascii="宋体" w:hAnsi="宋体" w:eastAsia="宋体" w:cs="宋体"/>
                <w:color w:val="000000"/>
                <w:sz w:val="24"/>
                <w:szCs w:val="24"/>
                <w:highlight w:val="none"/>
                <w:lang w:val="en-US" w:eastAsia="zh-CN"/>
              </w:rPr>
              <w:t>较为可行</w:t>
            </w:r>
            <w:r>
              <w:rPr>
                <w:rFonts w:hint="eastAsia" w:ascii="宋体" w:hAnsi="宋体" w:eastAsia="宋体" w:cs="宋体"/>
                <w:color w:val="000000"/>
                <w:sz w:val="24"/>
                <w:szCs w:val="24"/>
                <w:highlight w:val="none"/>
              </w:rPr>
              <w:t>，针对性</w:t>
            </w:r>
            <w:r>
              <w:rPr>
                <w:rFonts w:hint="eastAsia" w:ascii="宋体" w:hAnsi="宋体" w:eastAsia="宋体" w:cs="宋体"/>
                <w:color w:val="000000"/>
                <w:sz w:val="24"/>
                <w:szCs w:val="24"/>
                <w:highlight w:val="none"/>
                <w:lang w:val="en-US" w:eastAsia="zh-CN"/>
              </w:rPr>
              <w:t>较强得</w:t>
            </w:r>
            <w:r>
              <w:rPr>
                <w:rFonts w:hint="eastAsia" w:ascii="宋体" w:hAnsi="宋体" w:eastAsia="宋体" w:cs="宋体"/>
                <w:color w:val="000000"/>
                <w:szCs w:val="24"/>
                <w:highlight w:val="none"/>
                <w:lang w:val="en-US" w:eastAsia="zh-CN"/>
              </w:rPr>
              <w:t>(2-6分]</w:t>
            </w:r>
            <w:r>
              <w:rPr>
                <w:rFonts w:hint="eastAsia" w:ascii="宋体" w:hAnsi="宋体" w:eastAsia="宋体" w:cs="宋体"/>
                <w:color w:val="000000"/>
                <w:sz w:val="24"/>
                <w:szCs w:val="24"/>
                <w:highlight w:val="none"/>
                <w:lang w:eastAsia="zh-CN"/>
              </w:rPr>
              <w:t>。</w:t>
            </w:r>
          </w:p>
          <w:p w14:paraId="0D390A6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Cs w:val="24"/>
                <w:highlight w:val="none"/>
                <w:lang w:val="zh-CN"/>
              </w:rPr>
              <w:t>质量保障</w:t>
            </w:r>
            <w:r>
              <w:rPr>
                <w:rFonts w:hint="eastAsia" w:ascii="宋体" w:hAnsi="宋体" w:eastAsia="宋体" w:cs="宋体"/>
                <w:color w:val="000000"/>
                <w:sz w:val="24"/>
                <w:szCs w:val="24"/>
                <w:highlight w:val="none"/>
                <w:lang w:val="en-US" w:eastAsia="zh-CN"/>
              </w:rPr>
              <w:t>基本可行</w:t>
            </w:r>
            <w:r>
              <w:rPr>
                <w:rFonts w:hint="eastAsia" w:ascii="宋体" w:hAnsi="宋体" w:eastAsia="宋体" w:cs="宋体"/>
                <w:color w:val="000000"/>
                <w:sz w:val="24"/>
                <w:szCs w:val="24"/>
                <w:highlight w:val="none"/>
              </w:rPr>
              <w:t>，针对性</w:t>
            </w:r>
            <w:r>
              <w:rPr>
                <w:rFonts w:hint="eastAsia" w:ascii="宋体" w:hAnsi="宋体" w:eastAsia="宋体" w:cs="宋体"/>
                <w:color w:val="000000"/>
                <w:sz w:val="24"/>
                <w:szCs w:val="24"/>
                <w:highlight w:val="none"/>
                <w:lang w:val="en-US" w:eastAsia="zh-CN"/>
              </w:rPr>
              <w:t>一般得</w:t>
            </w:r>
            <w:r>
              <w:rPr>
                <w:rFonts w:hint="eastAsia" w:ascii="宋体" w:hAnsi="宋体" w:eastAsia="宋体" w:cs="宋体"/>
                <w:color w:val="auto"/>
                <w:sz w:val="24"/>
                <w:szCs w:val="24"/>
                <w:highlight w:val="none"/>
                <w:lang w:val="en-US" w:eastAsia="zh-CN"/>
              </w:rPr>
              <w:t>(0-2分]</w:t>
            </w:r>
            <w:r>
              <w:rPr>
                <w:rFonts w:hint="eastAsia" w:ascii="宋体" w:hAnsi="宋体" w:eastAsia="宋体" w:cs="宋体"/>
                <w:color w:val="000000"/>
                <w:sz w:val="24"/>
                <w:szCs w:val="24"/>
                <w:highlight w:val="none"/>
                <w:lang w:eastAsia="zh-CN"/>
              </w:rPr>
              <w:t>。</w:t>
            </w:r>
          </w:p>
        </w:tc>
        <w:tc>
          <w:tcPr>
            <w:tcW w:w="358" w:type="pct"/>
            <w:vMerge w:val="continue"/>
            <w:tcBorders>
              <w:left w:val="single" w:color="auto" w:sz="4" w:space="0"/>
              <w:right w:val="single" w:color="auto" w:sz="4" w:space="0"/>
            </w:tcBorders>
            <w:noWrap w:val="0"/>
            <w:vAlign w:val="center"/>
          </w:tcPr>
          <w:p w14:paraId="2460B851">
            <w:pPr>
              <w:widowControl/>
              <w:jc w:val="left"/>
              <w:rPr>
                <w:rFonts w:ascii="宋体" w:hAnsi="宋体" w:eastAsia="宋体" w:cs="宋体"/>
                <w:color w:val="000000"/>
                <w:szCs w:val="24"/>
                <w:highlight w:val="none"/>
              </w:rPr>
            </w:pPr>
          </w:p>
        </w:tc>
      </w:tr>
      <w:tr w14:paraId="6C74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505" w:type="pct"/>
            <w:vMerge w:val="continue"/>
            <w:tcBorders>
              <w:left w:val="single" w:color="auto" w:sz="4" w:space="0"/>
              <w:right w:val="single" w:color="auto" w:sz="4" w:space="0"/>
            </w:tcBorders>
            <w:noWrap w:val="0"/>
            <w:vAlign w:val="center"/>
          </w:tcPr>
          <w:p w14:paraId="04359E39">
            <w:pPr>
              <w:spacing w:line="400" w:lineRule="exact"/>
              <w:jc w:val="center"/>
              <w:rPr>
                <w:rFonts w:ascii="宋体" w:hAnsi="宋体" w:eastAsia="宋体" w:cs="宋体"/>
                <w:color w:val="000000"/>
                <w:szCs w:val="24"/>
                <w:highlight w:val="none"/>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721F1BD5">
            <w:pPr>
              <w:spacing w:line="480" w:lineRule="exact"/>
              <w:jc w:val="center"/>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rPr>
              <w:t>%</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3F4C7D66">
            <w:pPr>
              <w:spacing w:line="480" w:lineRule="exact"/>
              <w:jc w:val="center"/>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rPr>
              <w:t>分</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1592465B">
            <w:pPr>
              <w:spacing w:line="400" w:lineRule="exact"/>
              <w:jc w:val="center"/>
              <w:rPr>
                <w:rFonts w:hint="eastAsia" w:ascii="宋体" w:hAnsi="宋体" w:eastAsia="宋体" w:cs="宋体"/>
                <w:color w:val="000000"/>
                <w:szCs w:val="24"/>
                <w:highlight w:val="none"/>
                <w:lang w:val="zh-CN"/>
              </w:rPr>
            </w:pPr>
            <w:r>
              <w:rPr>
                <w:rFonts w:hint="eastAsia" w:ascii="宋体" w:hAnsi="宋体" w:eastAsia="宋体" w:cs="宋体"/>
                <w:b w:val="0"/>
                <w:bCs w:val="0"/>
                <w:sz w:val="24"/>
                <w:szCs w:val="24"/>
                <w:highlight w:val="none"/>
                <w:lang w:val="en-US" w:eastAsia="zh-CN"/>
              </w:rPr>
              <w:t>服务承诺及保证</w:t>
            </w:r>
          </w:p>
        </w:tc>
        <w:tc>
          <w:tcPr>
            <w:tcW w:w="2828" w:type="pct"/>
            <w:tcBorders>
              <w:top w:val="single" w:color="auto" w:sz="4" w:space="0"/>
              <w:left w:val="single" w:color="auto" w:sz="4" w:space="0"/>
              <w:bottom w:val="single" w:color="auto" w:sz="4" w:space="0"/>
              <w:right w:val="single" w:color="auto" w:sz="4" w:space="0"/>
            </w:tcBorders>
            <w:noWrap w:val="0"/>
            <w:vAlign w:val="center"/>
          </w:tcPr>
          <w:p w14:paraId="022C1E85">
            <w:pPr>
              <w:spacing w:line="400" w:lineRule="exact"/>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lang w:val="en-US" w:eastAsia="zh-CN"/>
              </w:rPr>
              <w:t>对能够完成本项目工作的服务承诺，按其响应程度得0</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rPr>
              <w:t>分</w:t>
            </w:r>
            <w:r>
              <w:rPr>
                <w:rFonts w:hint="eastAsia" w:ascii="宋体" w:hAnsi="宋体" w:eastAsia="宋体" w:cs="宋体"/>
                <w:color w:val="000000"/>
                <w:szCs w:val="24"/>
                <w:highlight w:val="none"/>
                <w:lang w:eastAsia="zh-CN"/>
              </w:rPr>
              <w:t>：</w:t>
            </w:r>
          </w:p>
          <w:p w14:paraId="0346E6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b w:val="0"/>
                <w:bCs w:val="0"/>
                <w:sz w:val="24"/>
                <w:szCs w:val="24"/>
                <w:highlight w:val="none"/>
                <w:lang w:val="en-US" w:eastAsia="zh-CN"/>
              </w:rPr>
              <w:t>1、服务承诺内容详尽、描述清晰，承诺完整，全面详细</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得</w:t>
            </w:r>
            <w:r>
              <w:rPr>
                <w:rFonts w:hint="eastAsia" w:ascii="宋体" w:hAnsi="宋体" w:eastAsia="宋体" w:cs="宋体"/>
                <w:color w:val="000000"/>
                <w:szCs w:val="24"/>
                <w:highlight w:val="none"/>
                <w:lang w:val="en-US" w:eastAsia="zh-CN"/>
              </w:rPr>
              <w:t>(2-5分]</w:t>
            </w:r>
            <w:r>
              <w:rPr>
                <w:rFonts w:hint="eastAsia" w:ascii="宋体" w:hAnsi="宋体" w:eastAsia="宋体" w:cs="宋体"/>
                <w:color w:val="000000"/>
                <w:sz w:val="24"/>
                <w:szCs w:val="24"/>
                <w:highlight w:val="none"/>
              </w:rPr>
              <w:t>；</w:t>
            </w:r>
          </w:p>
          <w:p w14:paraId="754ADE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Cs w:val="24"/>
                <w:highlight w:val="none"/>
                <w:lang w:val="zh-CN"/>
              </w:rPr>
            </w:pPr>
            <w:r>
              <w:rPr>
                <w:rFonts w:hint="eastAsia" w:ascii="宋体" w:hAnsi="宋体" w:eastAsia="宋体" w:cs="宋体"/>
                <w:b w:val="0"/>
                <w:bCs w:val="0"/>
                <w:sz w:val="24"/>
                <w:szCs w:val="24"/>
                <w:highlight w:val="none"/>
                <w:lang w:val="en-US" w:eastAsia="zh-CN"/>
              </w:rPr>
              <w:t>2、服务承诺内容不详尽、描述不清晰，承诺不完整，</w:t>
            </w:r>
            <w:r>
              <w:rPr>
                <w:rFonts w:hint="eastAsia" w:ascii="宋体" w:hAnsi="宋体" w:eastAsia="宋体" w:cs="宋体"/>
                <w:color w:val="000000"/>
                <w:sz w:val="24"/>
                <w:szCs w:val="24"/>
                <w:highlight w:val="none"/>
                <w:lang w:val="en-US" w:eastAsia="zh-CN"/>
              </w:rPr>
              <w:t>得</w:t>
            </w:r>
            <w:r>
              <w:rPr>
                <w:rFonts w:hint="eastAsia" w:ascii="宋体" w:hAnsi="宋体" w:eastAsia="宋体" w:cs="宋体"/>
                <w:color w:val="auto"/>
                <w:sz w:val="24"/>
                <w:szCs w:val="24"/>
                <w:highlight w:val="none"/>
                <w:lang w:val="en-US" w:eastAsia="zh-CN"/>
              </w:rPr>
              <w:t>(0-2分]</w:t>
            </w:r>
            <w:r>
              <w:rPr>
                <w:rFonts w:hint="eastAsia" w:ascii="宋体" w:hAnsi="宋体" w:eastAsia="宋体" w:cs="宋体"/>
                <w:color w:val="000000"/>
                <w:sz w:val="24"/>
                <w:szCs w:val="24"/>
                <w:highlight w:val="none"/>
                <w:lang w:eastAsia="zh-CN"/>
              </w:rPr>
              <w:t>。</w:t>
            </w:r>
          </w:p>
        </w:tc>
        <w:tc>
          <w:tcPr>
            <w:tcW w:w="358" w:type="pct"/>
            <w:vMerge w:val="continue"/>
            <w:tcBorders>
              <w:left w:val="single" w:color="auto" w:sz="4" w:space="0"/>
              <w:right w:val="single" w:color="auto" w:sz="4" w:space="0"/>
            </w:tcBorders>
            <w:noWrap w:val="0"/>
            <w:vAlign w:val="center"/>
          </w:tcPr>
          <w:p w14:paraId="6C10AF09">
            <w:pPr>
              <w:widowControl/>
              <w:jc w:val="left"/>
              <w:rPr>
                <w:rFonts w:ascii="宋体" w:hAnsi="宋体" w:eastAsia="宋体" w:cs="宋体"/>
                <w:color w:val="000000"/>
                <w:szCs w:val="24"/>
                <w:highlight w:val="none"/>
              </w:rPr>
            </w:pPr>
          </w:p>
        </w:tc>
      </w:tr>
      <w:tr w14:paraId="6664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505" w:type="pct"/>
            <w:vMerge w:val="continue"/>
            <w:tcBorders>
              <w:left w:val="single" w:color="auto" w:sz="4" w:space="0"/>
              <w:bottom w:val="single" w:color="auto" w:sz="4" w:space="0"/>
              <w:right w:val="single" w:color="auto" w:sz="4" w:space="0"/>
            </w:tcBorders>
            <w:noWrap w:val="0"/>
            <w:vAlign w:val="center"/>
          </w:tcPr>
          <w:p w14:paraId="481E2A68">
            <w:pPr>
              <w:spacing w:line="400" w:lineRule="exact"/>
              <w:jc w:val="center"/>
              <w:rPr>
                <w:rFonts w:ascii="宋体" w:hAnsi="宋体" w:eastAsia="宋体" w:cs="宋体"/>
                <w:color w:val="000000"/>
                <w:szCs w:val="24"/>
                <w:highlight w:val="none"/>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46C4DB7B">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rPr>
              <w:t>%</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08861B0E">
            <w:pPr>
              <w:spacing w:line="48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rPr>
              <w:t>分</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48AB311C">
            <w:pPr>
              <w:spacing w:line="400" w:lineRule="exact"/>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类似业绩</w:t>
            </w:r>
          </w:p>
        </w:tc>
        <w:tc>
          <w:tcPr>
            <w:tcW w:w="2828" w:type="pct"/>
            <w:tcBorders>
              <w:top w:val="single" w:color="auto" w:sz="4" w:space="0"/>
              <w:left w:val="single" w:color="auto" w:sz="4" w:space="0"/>
              <w:bottom w:val="single" w:color="auto" w:sz="4" w:space="0"/>
              <w:right w:val="single" w:color="auto" w:sz="4" w:space="0"/>
            </w:tcBorders>
            <w:noWrap w:val="0"/>
            <w:vAlign w:val="center"/>
          </w:tcPr>
          <w:p w14:paraId="7D643AE2">
            <w:pPr>
              <w:spacing w:line="400" w:lineRule="exact"/>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rPr>
              <w:t>供应商</w:t>
            </w:r>
            <w:r>
              <w:rPr>
                <w:rFonts w:hint="eastAsia" w:ascii="宋体" w:hAnsi="宋体" w:eastAsia="宋体" w:cs="宋体"/>
                <w:color w:val="000000"/>
                <w:szCs w:val="24"/>
                <w:highlight w:val="none"/>
                <w:lang w:val="zh-CN"/>
              </w:rPr>
              <w:t>近三年（202</w:t>
            </w:r>
            <w:r>
              <w:rPr>
                <w:rFonts w:hint="eastAsia" w:ascii="宋体" w:hAnsi="宋体" w:eastAsia="宋体" w:cs="宋体"/>
                <w:color w:val="000000"/>
                <w:szCs w:val="24"/>
                <w:highlight w:val="none"/>
                <w:lang w:val="en-US" w:eastAsia="zh-CN"/>
              </w:rPr>
              <w:t>3</w:t>
            </w:r>
            <w:r>
              <w:rPr>
                <w:rFonts w:hint="eastAsia" w:ascii="宋体" w:hAnsi="宋体" w:eastAsia="宋体" w:cs="宋体"/>
                <w:color w:val="000000"/>
                <w:szCs w:val="24"/>
                <w:highlight w:val="none"/>
                <w:lang w:val="zh-CN"/>
              </w:rPr>
              <w:t>年</w:t>
            </w:r>
            <w:r>
              <w:rPr>
                <w:rFonts w:hint="eastAsia" w:ascii="宋体" w:hAnsi="宋体" w:eastAsia="宋体" w:cs="宋体"/>
                <w:color w:val="000000"/>
                <w:szCs w:val="24"/>
                <w:highlight w:val="none"/>
                <w:lang w:val="en-US" w:eastAsia="zh-CN"/>
              </w:rPr>
              <w:t>1</w:t>
            </w:r>
            <w:r>
              <w:rPr>
                <w:rFonts w:hint="eastAsia" w:ascii="宋体" w:hAnsi="宋体" w:eastAsia="宋体" w:cs="宋体"/>
                <w:color w:val="000000"/>
                <w:szCs w:val="24"/>
                <w:highlight w:val="none"/>
                <w:lang w:val="zh-CN"/>
              </w:rPr>
              <w:t>月-至今）类似业绩证明材料,每提供</w:t>
            </w:r>
            <w:r>
              <w:rPr>
                <w:rFonts w:hint="eastAsia" w:ascii="宋体" w:hAnsi="宋体" w:eastAsia="宋体" w:cs="宋体"/>
                <w:color w:val="000000"/>
                <w:szCs w:val="24"/>
                <w:highlight w:val="none"/>
                <w:lang w:val="en-US" w:eastAsia="zh-CN"/>
              </w:rPr>
              <w:t>1</w:t>
            </w:r>
            <w:r>
              <w:rPr>
                <w:rFonts w:hint="eastAsia" w:ascii="宋体" w:hAnsi="宋体" w:eastAsia="宋体" w:cs="宋体"/>
                <w:color w:val="000000"/>
                <w:szCs w:val="24"/>
                <w:highlight w:val="none"/>
                <w:lang w:val="zh-CN"/>
              </w:rPr>
              <w:t>项得</w:t>
            </w:r>
            <w:r>
              <w:rPr>
                <w:rFonts w:hint="eastAsia" w:ascii="宋体" w:hAnsi="宋体" w:eastAsia="宋体" w:cs="宋体"/>
                <w:color w:val="000000"/>
                <w:szCs w:val="24"/>
                <w:highlight w:val="none"/>
                <w:lang w:val="en-US" w:eastAsia="zh-CN"/>
              </w:rPr>
              <w:t>1</w:t>
            </w:r>
            <w:r>
              <w:rPr>
                <w:rFonts w:hint="eastAsia" w:ascii="宋体" w:hAnsi="宋体" w:eastAsia="宋体" w:cs="宋体"/>
                <w:color w:val="000000"/>
                <w:szCs w:val="24"/>
                <w:highlight w:val="none"/>
                <w:lang w:val="zh-CN"/>
              </w:rPr>
              <w:t>分，满分</w:t>
            </w: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lang w:val="zh-CN"/>
              </w:rPr>
              <w:t>分。</w:t>
            </w:r>
          </w:p>
          <w:p w14:paraId="456BA42C">
            <w:pPr>
              <w:spacing w:line="400" w:lineRule="exact"/>
              <w:rPr>
                <w:highlight w:val="none"/>
                <w:lang w:val="zh-CN"/>
              </w:rPr>
            </w:pPr>
            <w:r>
              <w:rPr>
                <w:rFonts w:hint="eastAsia" w:ascii="宋体" w:hAnsi="宋体" w:eastAsia="宋体" w:cs="宋体"/>
                <w:b/>
                <w:bCs/>
                <w:color w:val="000000"/>
                <w:szCs w:val="24"/>
                <w:highlight w:val="none"/>
                <w:lang w:val="zh-CN"/>
              </w:rPr>
              <w:t>注：需</w:t>
            </w:r>
            <w:r>
              <w:rPr>
                <w:rFonts w:hint="eastAsia" w:ascii="宋体" w:hAnsi="宋体" w:eastAsia="宋体" w:cs="宋体"/>
                <w:b/>
                <w:bCs/>
                <w:color w:val="000000"/>
                <w:szCs w:val="24"/>
                <w:highlight w:val="none"/>
                <w:lang w:val="en-US" w:eastAsia="zh-CN"/>
              </w:rPr>
              <w:t>提供</w:t>
            </w:r>
            <w:r>
              <w:rPr>
                <w:rFonts w:hint="eastAsia" w:ascii="宋体" w:hAnsi="宋体" w:eastAsia="宋体" w:cs="宋体"/>
                <w:b/>
                <w:bCs/>
                <w:color w:val="000000"/>
                <w:szCs w:val="24"/>
                <w:highlight w:val="none"/>
                <w:lang w:val="zh-CN"/>
              </w:rPr>
              <w:t>合同</w:t>
            </w:r>
            <w:r>
              <w:rPr>
                <w:rFonts w:hint="eastAsia" w:ascii="宋体" w:hAnsi="宋体" w:eastAsia="宋体" w:cs="宋体"/>
                <w:b/>
                <w:bCs/>
                <w:color w:val="000000"/>
                <w:szCs w:val="24"/>
                <w:highlight w:val="none"/>
                <w:lang w:val="en-US" w:eastAsia="zh-CN"/>
              </w:rPr>
              <w:t>或</w:t>
            </w:r>
            <w:r>
              <w:rPr>
                <w:rFonts w:hint="eastAsia" w:ascii="宋体" w:hAnsi="宋体" w:eastAsia="宋体" w:cs="宋体"/>
                <w:b/>
                <w:bCs/>
                <w:color w:val="000000"/>
                <w:szCs w:val="24"/>
                <w:highlight w:val="none"/>
                <w:lang w:val="zh-CN"/>
              </w:rPr>
              <w:t>中标通知书扫描件并加盖单位公章，否则不得分。</w:t>
            </w:r>
          </w:p>
        </w:tc>
        <w:tc>
          <w:tcPr>
            <w:tcW w:w="358" w:type="pct"/>
            <w:vMerge w:val="continue"/>
            <w:tcBorders>
              <w:left w:val="single" w:color="auto" w:sz="4" w:space="0"/>
              <w:bottom w:val="single" w:color="auto" w:sz="4" w:space="0"/>
              <w:right w:val="single" w:color="auto" w:sz="4" w:space="0"/>
            </w:tcBorders>
            <w:noWrap w:val="0"/>
            <w:vAlign w:val="center"/>
          </w:tcPr>
          <w:p w14:paraId="2E13D688">
            <w:pPr>
              <w:widowControl/>
              <w:jc w:val="left"/>
              <w:rPr>
                <w:rFonts w:ascii="宋体" w:hAnsi="宋体" w:eastAsia="宋体" w:cs="宋体"/>
                <w:color w:val="000000"/>
                <w:szCs w:val="24"/>
                <w:highlight w:val="none"/>
              </w:rPr>
            </w:pPr>
          </w:p>
        </w:tc>
      </w:tr>
      <w:tr w14:paraId="56CA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atLeast"/>
        </w:trPr>
        <w:tc>
          <w:tcPr>
            <w:tcW w:w="505" w:type="pct"/>
            <w:tcBorders>
              <w:top w:val="single" w:color="auto" w:sz="4" w:space="0"/>
              <w:left w:val="single" w:color="auto" w:sz="4" w:space="0"/>
              <w:bottom w:val="single" w:color="auto" w:sz="4" w:space="0"/>
              <w:right w:val="single" w:color="auto" w:sz="4" w:space="0"/>
            </w:tcBorders>
            <w:noWrap w:val="0"/>
            <w:vAlign w:val="center"/>
          </w:tcPr>
          <w:p w14:paraId="49E86959">
            <w:pPr>
              <w:spacing w:line="320" w:lineRule="exact"/>
              <w:rPr>
                <w:rFonts w:ascii="宋体" w:hAnsi="宋体" w:eastAsia="宋体" w:cs="宋体"/>
                <w:color w:val="000000"/>
                <w:szCs w:val="24"/>
                <w:highlight w:val="none"/>
              </w:rPr>
            </w:pPr>
            <w:r>
              <w:rPr>
                <w:rFonts w:hint="eastAsia" w:ascii="宋体" w:hAnsi="宋体" w:eastAsia="宋体" w:cs="宋体"/>
                <w:b/>
                <w:bCs/>
                <w:color w:val="000000"/>
                <w:szCs w:val="24"/>
                <w:highlight w:val="none"/>
              </w:rPr>
              <w:t>备注</w:t>
            </w:r>
          </w:p>
        </w:tc>
        <w:tc>
          <w:tcPr>
            <w:tcW w:w="4494" w:type="pct"/>
            <w:gridSpan w:val="5"/>
            <w:tcBorders>
              <w:top w:val="single" w:color="auto" w:sz="4" w:space="0"/>
              <w:left w:val="single" w:color="auto" w:sz="4" w:space="0"/>
              <w:bottom w:val="single" w:color="auto" w:sz="4" w:space="0"/>
              <w:right w:val="single" w:color="auto" w:sz="4" w:space="0"/>
            </w:tcBorders>
            <w:noWrap w:val="0"/>
            <w:vAlign w:val="top"/>
          </w:tcPr>
          <w:p w14:paraId="3663ECF5">
            <w:pPr>
              <w:spacing w:line="400" w:lineRule="exact"/>
              <w:rPr>
                <w:rFonts w:ascii="宋体" w:hAnsi="宋体" w:eastAsia="宋体" w:cs="宋体"/>
                <w:color w:val="000000"/>
                <w:szCs w:val="24"/>
                <w:highlight w:val="none"/>
              </w:rPr>
            </w:pPr>
            <w:r>
              <w:rPr>
                <w:rFonts w:hint="eastAsia" w:ascii="宋体" w:hAnsi="宋体" w:eastAsia="宋体" w:cs="宋体"/>
                <w:color w:val="000000"/>
                <w:szCs w:val="24"/>
                <w:highlight w:val="none"/>
              </w:rPr>
              <w:t>1、各评委独立打分。</w:t>
            </w:r>
          </w:p>
          <w:p w14:paraId="030D8716">
            <w:pPr>
              <w:spacing w:line="400" w:lineRule="exact"/>
              <w:rPr>
                <w:rFonts w:ascii="宋体" w:hAnsi="宋体" w:eastAsia="宋体" w:cs="宋体"/>
                <w:color w:val="000000"/>
                <w:szCs w:val="24"/>
                <w:highlight w:val="none"/>
              </w:rPr>
            </w:pPr>
            <w:r>
              <w:rPr>
                <w:rFonts w:hint="eastAsia" w:ascii="宋体" w:hAnsi="宋体" w:eastAsia="宋体" w:cs="宋体"/>
                <w:color w:val="000000"/>
                <w:szCs w:val="24"/>
                <w:highlight w:val="none"/>
              </w:rPr>
              <w:t>2、评委打分超过得分界限或未按本表规定赋分时，该评委的打分作废，不计入汇总分。</w:t>
            </w:r>
          </w:p>
          <w:p w14:paraId="255F4D72">
            <w:pPr>
              <w:spacing w:line="400" w:lineRule="exact"/>
              <w:rPr>
                <w:rFonts w:ascii="宋体" w:hAnsi="宋体" w:eastAsia="宋体" w:cs="宋体"/>
                <w:color w:val="000000"/>
                <w:szCs w:val="24"/>
                <w:highlight w:val="none"/>
              </w:rPr>
            </w:pPr>
            <w:r>
              <w:rPr>
                <w:rFonts w:hint="eastAsia" w:ascii="宋体" w:hAnsi="宋体" w:eastAsia="宋体" w:cs="宋体"/>
                <w:color w:val="000000"/>
                <w:szCs w:val="24"/>
                <w:highlight w:val="none"/>
              </w:rPr>
              <w:t>3、若出现综合得分并列时，比较价格得分，此分项得分高者排序在前；若价格得分仍相同，比较技术得分，此分项得分高者排序在前；若技术得分仍相同，则由全体</w:t>
            </w:r>
            <w:r>
              <w:rPr>
                <w:rFonts w:hint="eastAsia" w:ascii="宋体" w:hAnsi="宋体" w:eastAsia="宋体" w:cs="宋体"/>
                <w:bCs/>
                <w:color w:val="000000"/>
                <w:szCs w:val="24"/>
                <w:highlight w:val="none"/>
              </w:rPr>
              <w:t>磋商小组</w:t>
            </w:r>
            <w:r>
              <w:rPr>
                <w:rFonts w:hint="eastAsia" w:ascii="宋体" w:hAnsi="宋体" w:eastAsia="宋体" w:cs="宋体"/>
                <w:color w:val="000000"/>
                <w:szCs w:val="24"/>
                <w:highlight w:val="none"/>
              </w:rPr>
              <w:t>成员无记名投票，得票高者排序在前。</w:t>
            </w:r>
          </w:p>
          <w:p w14:paraId="44CB4DAE">
            <w:pPr>
              <w:spacing w:line="400" w:lineRule="exact"/>
              <w:rPr>
                <w:rFonts w:ascii="宋体" w:hAnsi="宋体" w:eastAsia="宋体" w:cs="宋体"/>
                <w:color w:val="000000"/>
                <w:szCs w:val="24"/>
                <w:highlight w:val="none"/>
              </w:rPr>
            </w:pPr>
            <w:r>
              <w:rPr>
                <w:rFonts w:hint="eastAsia" w:ascii="宋体" w:hAnsi="宋体" w:eastAsia="宋体" w:cs="宋体"/>
                <w:color w:val="000000"/>
                <w:szCs w:val="24"/>
                <w:highlight w:val="none"/>
              </w:rPr>
              <w:t>4、各种计算采用插入法，数字均保留两位小数，第三位“四舍五入”。</w:t>
            </w:r>
          </w:p>
          <w:p w14:paraId="271F5A5C">
            <w:pPr>
              <w:spacing w:line="400" w:lineRule="exact"/>
              <w:rPr>
                <w:rFonts w:ascii="宋体" w:hAnsi="宋体" w:eastAsia="宋体" w:cs="宋体"/>
                <w:color w:val="000000"/>
                <w:szCs w:val="24"/>
                <w:highlight w:val="none"/>
              </w:rPr>
            </w:pPr>
            <w:r>
              <w:rPr>
                <w:rFonts w:hint="eastAsia" w:ascii="宋体" w:hAnsi="宋体" w:eastAsia="宋体" w:cs="宋体"/>
                <w:color w:val="000000"/>
                <w:szCs w:val="24"/>
                <w:highlight w:val="none"/>
              </w:rPr>
              <w:t>5、评标过程中，若出现特殊情况时，由</w:t>
            </w:r>
            <w:r>
              <w:rPr>
                <w:rFonts w:hint="eastAsia" w:ascii="宋体" w:hAnsi="宋体" w:eastAsia="宋体" w:cs="宋体"/>
                <w:bCs/>
                <w:color w:val="000000"/>
                <w:szCs w:val="24"/>
                <w:highlight w:val="none"/>
              </w:rPr>
              <w:t>磋商小组</w:t>
            </w:r>
            <w:r>
              <w:rPr>
                <w:rFonts w:hint="eastAsia" w:ascii="宋体" w:hAnsi="宋体" w:eastAsia="宋体" w:cs="宋体"/>
                <w:color w:val="000000"/>
                <w:szCs w:val="24"/>
                <w:highlight w:val="none"/>
              </w:rPr>
              <w:t>决定暂停评标，并提出具体处理意见。</w:t>
            </w:r>
          </w:p>
          <w:p w14:paraId="335885F2">
            <w:pPr>
              <w:spacing w:line="400" w:lineRule="exact"/>
              <w:rPr>
                <w:rFonts w:ascii="宋体" w:hAnsi="宋体" w:eastAsia="宋体" w:cs="宋体"/>
                <w:color w:val="000000"/>
                <w:szCs w:val="24"/>
                <w:highlight w:val="none"/>
              </w:rPr>
            </w:pPr>
            <w:r>
              <w:rPr>
                <w:rFonts w:hint="eastAsia" w:ascii="宋体" w:hAnsi="宋体" w:eastAsia="宋体" w:cs="宋体"/>
                <w:b/>
                <w:bCs/>
                <w:color w:val="000000"/>
                <w:szCs w:val="24"/>
                <w:highlight w:val="none"/>
              </w:rPr>
              <w:t>注：以上评分项需要提供的资料，有就得分，无则不得分，提供虚假资料者按无效标处理。</w:t>
            </w:r>
          </w:p>
        </w:tc>
      </w:tr>
    </w:tbl>
    <w:p w14:paraId="02EAF6D3">
      <w:pPr>
        <w:keepNext w:val="0"/>
        <w:keepLines w:val="0"/>
        <w:pageBreakBefore w:val="0"/>
        <w:wordWrap/>
        <w:topLinePunct w:val="0"/>
        <w:autoSpaceDE/>
        <w:autoSpaceDN/>
        <w:bidi w:val="0"/>
        <w:spacing w:line="360" w:lineRule="auto"/>
        <w:ind w:left="0" w:leftChars="0" w:firstLine="482" w:firstLineChars="200"/>
        <w:textAlignment w:val="auto"/>
        <w:rPr>
          <w:rFonts w:hint="eastAsia" w:ascii="宋体" w:hAnsi="宋体" w:eastAsia="宋体" w:cs="宋体"/>
          <w:b/>
          <w:bCs/>
          <w:color w:val="000000" w:themeColor="text1"/>
          <w:szCs w:val="24"/>
          <w:highlight w:val="none"/>
          <w14:textFill>
            <w14:solidFill>
              <w14:schemeClr w14:val="tx1"/>
            </w14:solidFill>
          </w14:textFill>
        </w:rPr>
      </w:pPr>
    </w:p>
    <w:p w14:paraId="3A20419B">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注：</w:t>
      </w:r>
      <w:r>
        <w:rPr>
          <w:rFonts w:hint="eastAsia" w:ascii="宋体" w:hAnsi="宋体" w:eastAsia="宋体" w:cs="宋体"/>
          <w:b/>
          <w:bCs/>
          <w:color w:val="000000" w:themeColor="text1"/>
          <w:szCs w:val="24"/>
          <w:highlight w:val="none"/>
          <w14:textFill>
            <w14:solidFill>
              <w14:schemeClr w14:val="tx1"/>
            </w14:solidFill>
          </w14:textFill>
        </w:rPr>
        <w:t>特殊情况处理</w:t>
      </w:r>
      <w:r>
        <w:rPr>
          <w:rFonts w:hint="eastAsia" w:ascii="宋体" w:hAnsi="宋体" w:eastAsia="宋体" w:cs="宋体"/>
          <w:color w:val="000000" w:themeColor="text1"/>
          <w:szCs w:val="24"/>
          <w:highlight w:val="none"/>
          <w14:textFill>
            <w14:solidFill>
              <w14:schemeClr w14:val="tx1"/>
            </w14:solidFill>
          </w14:textFill>
        </w:rPr>
        <w:t>：</w:t>
      </w:r>
    </w:p>
    <w:p w14:paraId="02919E9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a、当供应商某评分项出现未报、漏报或零报价时，该分项得零分，并不参与投标报价分的计算。</w:t>
      </w:r>
    </w:p>
    <w:p w14:paraId="191801E3">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b、若出现综合得分相同时，投标报价得分高者为第一中标候选人，若投标报价得分相同，技术得分高者为第一中标候选人，若上述两项得分相同，则由全体评标委员会成员无记名投票，得票高者为第一中标候选人。</w:t>
      </w:r>
    </w:p>
    <w:p w14:paraId="447A41F6">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c、评标过程中，若出现本评标方法以外的特殊情况时，将暂停评标，待评委商榷后再进行复会。</w:t>
      </w:r>
    </w:p>
    <w:p w14:paraId="5FC3D68A">
      <w:pPr>
        <w:keepNext w:val="0"/>
        <w:keepLines w:val="0"/>
        <w:pageBreakBefore w:val="0"/>
        <w:wordWrap/>
        <w:topLinePunct w:val="0"/>
        <w:autoSpaceDE/>
        <w:autoSpaceDN/>
        <w:bidi w:val="0"/>
        <w:spacing w:line="360" w:lineRule="auto"/>
        <w:ind w:left="0" w:leftChars="0" w:firstLine="482" w:firstLineChars="200"/>
        <w:textAlignment w:val="auto"/>
        <w:rPr>
          <w:rFonts w:hint="eastAsia"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2-7、政府采购政策评分标准（本项目为专门面向中小企业采购项目，不享受价格扣除优惠政策）</w:t>
      </w:r>
    </w:p>
    <w:p w14:paraId="1B49667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b w:val="0"/>
          <w:bCs w:val="0"/>
          <w:color w:val="000000" w:themeColor="text1"/>
          <w:szCs w:val="24"/>
          <w:highlight w:val="none"/>
          <w14:textFill>
            <w14:solidFill>
              <w14:schemeClr w14:val="tx1"/>
            </w14:solidFill>
          </w14:textFill>
        </w:rPr>
      </w:pPr>
      <w:r>
        <w:rPr>
          <w:rFonts w:hint="eastAsia" w:ascii="宋体" w:hAnsi="宋体" w:eastAsia="宋体" w:cs="宋体"/>
          <w:b w:val="0"/>
          <w:bCs w:val="0"/>
          <w:color w:val="000000" w:themeColor="text1"/>
          <w:szCs w:val="24"/>
          <w:highlight w:val="none"/>
          <w14:textFill>
            <w14:solidFill>
              <w14:schemeClr w14:val="tx1"/>
            </w14:solidFill>
          </w14:textFill>
        </w:rPr>
        <w:t>2-7-1小微企业的政策</w:t>
      </w:r>
    </w:p>
    <w:p w14:paraId="229D228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b w:val="0"/>
          <w:bCs w:val="0"/>
          <w:color w:val="000000" w:themeColor="text1"/>
          <w:szCs w:val="24"/>
          <w:highlight w:val="none"/>
          <w14:textFill>
            <w14:solidFill>
              <w14:schemeClr w14:val="tx1"/>
            </w14:solidFill>
          </w14:textFill>
        </w:rPr>
      </w:pPr>
      <w:r>
        <w:rPr>
          <w:rFonts w:hint="eastAsia" w:ascii="宋体" w:hAnsi="宋体" w:eastAsia="宋体" w:cs="宋体"/>
          <w:b w:val="0"/>
          <w:bCs w:val="0"/>
          <w:color w:val="000000" w:themeColor="text1"/>
          <w:szCs w:val="24"/>
          <w:highlight w:val="none"/>
          <w14:textFill>
            <w14:solidFill>
              <w14:schemeClr w14:val="tx1"/>
            </w14:solidFill>
          </w14:textFill>
        </w:rPr>
        <w:t>根据财政部、工信部《政府采购促进中小企业发展管理办法》（财库〔2020〕46号）、《关于进一步加大政府采购支持中小企业力度的通知》（财库〔2022〕19号）的规定，对于经主管预算单位统筹后未预留份额专门面向中小企业采购的</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szCs w:val="24"/>
          <w:highlight w:val="none"/>
          <w14:textFill>
            <w14:solidFill>
              <w14:schemeClr w14:val="tx1"/>
            </w14:solidFill>
          </w14:textFill>
        </w:rPr>
        <w:t>类项目，以及预留份额项目中的非预留部分采购包，采购人、采购代理机构应当对符合规定的小微企业报价给予</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Cs w:val="24"/>
          <w:highlight w:val="none"/>
          <w14:textFill>
            <w14:solidFill>
              <w14:schemeClr w14:val="tx1"/>
            </w14:solidFill>
          </w14:textFill>
        </w:rPr>
        <w:t>%的扣除，用扣除后的价格参加评审。</w:t>
      </w:r>
    </w:p>
    <w:p w14:paraId="578278AF">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b w:val="0"/>
          <w:bCs w:val="0"/>
          <w:color w:val="000000" w:themeColor="text1"/>
          <w:szCs w:val="24"/>
          <w:highlight w:val="none"/>
          <w14:textFill>
            <w14:solidFill>
              <w14:schemeClr w14:val="tx1"/>
            </w14:solidFill>
          </w14:textFill>
        </w:rPr>
      </w:pPr>
      <w:r>
        <w:rPr>
          <w:rFonts w:hint="eastAsia" w:ascii="宋体" w:hAnsi="宋体" w:eastAsia="宋体" w:cs="宋体"/>
          <w:b w:val="0"/>
          <w:bCs w:val="0"/>
          <w:color w:val="000000" w:themeColor="text1"/>
          <w:szCs w:val="24"/>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1171C69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b w:val="0"/>
          <w:bCs w:val="0"/>
          <w:color w:val="000000" w:themeColor="text1"/>
          <w:szCs w:val="24"/>
          <w:highlight w:val="none"/>
          <w14:textFill>
            <w14:solidFill>
              <w14:schemeClr w14:val="tx1"/>
            </w14:solidFill>
          </w14:textFill>
        </w:rPr>
      </w:pPr>
      <w:r>
        <w:rPr>
          <w:rFonts w:hint="eastAsia" w:ascii="宋体" w:hAnsi="宋体" w:eastAsia="宋体" w:cs="宋体"/>
          <w:b w:val="0"/>
          <w:bCs w:val="0"/>
          <w:color w:val="000000" w:themeColor="text1"/>
          <w:szCs w:val="24"/>
          <w:highlight w:val="none"/>
          <w14:textFill>
            <w14:solidFill>
              <w14:schemeClr w14:val="tx1"/>
            </w14:solidFill>
          </w14:textFill>
        </w:rPr>
        <w:t>以上均用扣除后的价格参与评审。中小型和微型企业按照《工业和信息化部、国家统计局、国家发展和改革委员会、财政部关于印发&lt;中小企业划型标准规定&gt;的通知》（工信部联合企业【2011】300号）规定执行。</w:t>
      </w:r>
    </w:p>
    <w:p w14:paraId="78A0499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b w:val="0"/>
          <w:bCs w:val="0"/>
          <w:color w:val="000000" w:themeColor="text1"/>
          <w:szCs w:val="24"/>
          <w:highlight w:val="none"/>
          <w14:textFill>
            <w14:solidFill>
              <w14:schemeClr w14:val="tx1"/>
            </w14:solidFill>
          </w14:textFill>
        </w:rPr>
      </w:pPr>
      <w:r>
        <w:rPr>
          <w:rFonts w:hint="eastAsia" w:ascii="宋体" w:hAnsi="宋体" w:eastAsia="宋体" w:cs="宋体"/>
          <w:b w:val="0"/>
          <w:bCs w:val="0"/>
          <w:color w:val="000000" w:themeColor="text1"/>
          <w:szCs w:val="24"/>
          <w:highlight w:val="none"/>
          <w14:textFill>
            <w14:solidFill>
              <w14:schemeClr w14:val="tx1"/>
            </w14:solidFill>
          </w14:textFill>
        </w:rPr>
        <w:t>2-7-2监狱企业的政策</w:t>
      </w:r>
    </w:p>
    <w:p w14:paraId="1222B759">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b w:val="0"/>
          <w:bCs w:val="0"/>
          <w:color w:val="000000" w:themeColor="text1"/>
          <w:szCs w:val="24"/>
          <w:highlight w:val="none"/>
          <w14:textFill>
            <w14:solidFill>
              <w14:schemeClr w14:val="tx1"/>
            </w14:solidFill>
          </w14:textFill>
        </w:rPr>
      </w:pPr>
      <w:r>
        <w:rPr>
          <w:rFonts w:hint="eastAsia" w:ascii="宋体" w:hAnsi="宋体" w:eastAsia="宋体" w:cs="宋体"/>
          <w:b w:val="0"/>
          <w:bCs w:val="0"/>
          <w:color w:val="000000" w:themeColor="text1"/>
          <w:szCs w:val="24"/>
          <w:highlight w:val="none"/>
          <w14:textFill>
            <w14:solidFill>
              <w14:schemeClr w14:val="tx1"/>
            </w14:solidFill>
          </w14:textFill>
        </w:rPr>
        <w:t>根据《财政部、司法部关于政府采购支持监狱企业发展有关问题的通知》（财库〔2014〕68号）规定，在政府采购活动中，监狱企业视同中小型、微型企业，享受预留份额、评审中价格扣除等政府采购促进中小企业发展的政府采购政策。</w:t>
      </w:r>
    </w:p>
    <w:p w14:paraId="0221DD7D">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b w:val="0"/>
          <w:bCs w:val="0"/>
          <w:color w:val="000000" w:themeColor="text1"/>
          <w:szCs w:val="24"/>
          <w:highlight w:val="none"/>
          <w14:textFill>
            <w14:solidFill>
              <w14:schemeClr w14:val="tx1"/>
            </w14:solidFill>
          </w14:textFill>
        </w:rPr>
      </w:pPr>
      <w:r>
        <w:rPr>
          <w:rFonts w:hint="eastAsia" w:ascii="宋体" w:hAnsi="宋体" w:eastAsia="宋体" w:cs="宋体"/>
          <w:b w:val="0"/>
          <w:bCs w:val="0"/>
          <w:color w:val="000000" w:themeColor="text1"/>
          <w:szCs w:val="24"/>
          <w:highlight w:val="none"/>
          <w14:textFill>
            <w14:solidFill>
              <w14:schemeClr w14:val="tx1"/>
            </w14:solidFill>
          </w14:textFill>
        </w:rPr>
        <w:t>2-7-3残疾人福利性单位的政策</w:t>
      </w:r>
    </w:p>
    <w:p w14:paraId="381447B8">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b w:val="0"/>
          <w:bCs w:val="0"/>
          <w:color w:val="FF0000"/>
          <w:szCs w:val="24"/>
          <w:highlight w:val="none"/>
          <w:lang w:eastAsia="zh-CN"/>
        </w:rPr>
      </w:pPr>
      <w:r>
        <w:rPr>
          <w:rFonts w:hint="eastAsia" w:ascii="宋体" w:hAnsi="宋体" w:eastAsia="宋体" w:cs="宋体"/>
          <w:b w:val="0"/>
          <w:bCs w:val="0"/>
          <w:color w:val="000000" w:themeColor="text1"/>
          <w:szCs w:val="24"/>
          <w:highlight w:val="none"/>
          <w14:textFill>
            <w14:solidFill>
              <w14:schemeClr w14:val="tx1"/>
            </w14:solidFill>
          </w14:textFill>
        </w:rPr>
        <w:t>根据财政部、民政部、中国残疾人联合会《三部门联合发布关于促进残疾人就业政府采购政策的通知》（财库[2017]141 号）要求，在政府采购活动中，残疾人福利性单位视同中小型、微型企业，享受预留份额、评审中价格扣除等促进中小企业发展的政府采购政策。</w:t>
      </w:r>
    </w:p>
    <w:p w14:paraId="4CD35A79">
      <w:pPr>
        <w:keepNext w:val="0"/>
        <w:keepLines w:val="0"/>
        <w:pageBreakBefore w:val="0"/>
        <w:wordWrap/>
        <w:topLinePunct w:val="0"/>
        <w:autoSpaceDE/>
        <w:autoSpaceDN/>
        <w:bidi w:val="0"/>
        <w:spacing w:line="360" w:lineRule="auto"/>
        <w:ind w:left="0" w:leftChars="0" w:firstLine="482" w:firstLineChars="200"/>
        <w:textAlignment w:val="auto"/>
        <w:rPr>
          <w:rFonts w:hint="eastAsia"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2-7-</w:t>
      </w:r>
      <w:r>
        <w:rPr>
          <w:rFonts w:hint="eastAsia" w:ascii="宋体" w:hAnsi="宋体" w:eastAsia="宋体" w:cs="宋体"/>
          <w:b/>
          <w:bCs/>
          <w:color w:val="000000" w:themeColor="text1"/>
          <w:szCs w:val="24"/>
          <w:highlight w:val="none"/>
          <w:lang w:val="en-US" w:eastAsia="zh-CN"/>
          <w14:textFill>
            <w14:solidFill>
              <w14:schemeClr w14:val="tx1"/>
            </w14:solidFill>
          </w14:textFill>
        </w:rPr>
        <w:t>4</w:t>
      </w:r>
      <w:r>
        <w:rPr>
          <w:rFonts w:hint="eastAsia" w:ascii="宋体" w:hAnsi="宋体" w:eastAsia="宋体" w:cs="宋体"/>
          <w:b/>
          <w:bCs/>
          <w:color w:val="000000" w:themeColor="text1"/>
          <w:szCs w:val="24"/>
          <w:highlight w:val="none"/>
          <w14:textFill>
            <w14:solidFill>
              <w14:schemeClr w14:val="tx1"/>
            </w14:solidFill>
          </w14:textFill>
        </w:rPr>
        <w:t>本项目是否专门面向中小企业项目：是。</w:t>
      </w:r>
    </w:p>
    <w:p w14:paraId="2F917AC0">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b w:val="0"/>
          <w:bCs w:val="0"/>
          <w:color w:val="000000" w:themeColor="text1"/>
          <w:szCs w:val="24"/>
          <w:highlight w:val="none"/>
          <w14:textFill>
            <w14:solidFill>
              <w14:schemeClr w14:val="tx1"/>
            </w14:solidFill>
          </w14:textFill>
        </w:rPr>
      </w:pPr>
      <w:r>
        <w:rPr>
          <w:rFonts w:hint="eastAsia" w:ascii="宋体" w:hAnsi="宋体" w:eastAsia="宋体" w:cs="宋体"/>
          <w:b w:val="0"/>
          <w:bCs w:val="0"/>
          <w:color w:val="000000" w:themeColor="text1"/>
          <w:szCs w:val="24"/>
          <w:highlight w:val="none"/>
          <w14:textFill>
            <w14:solidFill>
              <w14:schemeClr w14:val="tx1"/>
            </w14:solidFill>
          </w14:textFill>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E3E9C4A">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3、定标</w:t>
      </w:r>
    </w:p>
    <w:p w14:paraId="0C5E18A6">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3-1、定标程序</w:t>
      </w:r>
    </w:p>
    <w:p w14:paraId="66ECA85C">
      <w:pPr>
        <w:keepNext w:val="0"/>
        <w:keepLines w:val="0"/>
        <w:pageBreakBefore w:val="0"/>
        <w:numPr>
          <w:ilvl w:val="0"/>
          <w:numId w:val="2"/>
        </w:numPr>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磋商小组依据评标办法，经过资格性审查、符合性审查、澄清、比较与评价等程序后，在最大限度满足竞争性磋商文件实质性要求前提下进行综合评审，以评标总得分最高到低的顺序推荐3名以上中标候选人，并编写</w:t>
      </w:r>
      <w:bookmarkStart w:id="28" w:name="OLE_LINK4"/>
      <w:r>
        <w:rPr>
          <w:rFonts w:hint="eastAsia" w:ascii="宋体" w:hAnsi="宋体" w:eastAsia="宋体" w:cs="宋体"/>
          <w:color w:val="000000" w:themeColor="text1"/>
          <w:szCs w:val="24"/>
          <w:highlight w:val="none"/>
          <w14:textFill>
            <w14:solidFill>
              <w14:schemeClr w14:val="tx1"/>
            </w14:solidFill>
          </w14:textFill>
        </w:rPr>
        <w:t>评标</w:t>
      </w:r>
      <w:bookmarkEnd w:id="28"/>
      <w:r>
        <w:rPr>
          <w:rFonts w:hint="eastAsia" w:ascii="宋体" w:hAnsi="宋体" w:eastAsia="宋体" w:cs="宋体"/>
          <w:color w:val="000000" w:themeColor="text1"/>
          <w:szCs w:val="24"/>
          <w:highlight w:val="none"/>
          <w14:textFill>
            <w14:solidFill>
              <w14:schemeClr w14:val="tx1"/>
            </w14:solidFill>
          </w14:textFill>
        </w:rPr>
        <w:t>报告。</w:t>
      </w:r>
    </w:p>
    <w:p w14:paraId="7944DC12">
      <w:pPr>
        <w:keepNext w:val="0"/>
        <w:keepLines w:val="0"/>
        <w:pageBreakBefore w:val="0"/>
        <w:numPr>
          <w:ilvl w:val="0"/>
          <w:numId w:val="2"/>
        </w:numPr>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bookmarkStart w:id="29" w:name="OLE_LINK18"/>
      <w:r>
        <w:rPr>
          <w:rFonts w:hint="eastAsia" w:ascii="宋体" w:hAnsi="宋体" w:eastAsia="宋体" w:cs="宋体"/>
          <w:color w:val="000000" w:themeColor="text1"/>
          <w:szCs w:val="24"/>
          <w:highlight w:val="none"/>
          <w14:textFill>
            <w14:solidFill>
              <w14:schemeClr w14:val="tx1"/>
            </w14:solidFill>
          </w14:textFill>
        </w:rPr>
        <w:t>磋商小组应当在评标报告上签字，对自己的评审意见承担法律责任。磋商小组</w:t>
      </w:r>
      <w:r>
        <w:rPr>
          <w:rFonts w:hint="eastAsia" w:ascii="宋体" w:hAnsi="宋体" w:eastAsia="宋体" w:cs="宋体"/>
          <w:color w:val="000000" w:themeColor="text1"/>
          <w:highlight w:val="none"/>
          <w14:textFill>
            <w14:solidFill>
              <w14:schemeClr w14:val="tx1"/>
            </w14:solidFill>
          </w14:textFill>
        </w:rPr>
        <w:t>成员对需要共同认定的事项存在争议的，应当按照少数服从多数的原则作出结论。持不同意见的磋商小组成员应当在评标报告上签署不同意见及理由，否则视为同意评标报告。</w:t>
      </w:r>
    </w:p>
    <w:bookmarkEnd w:id="29"/>
    <w:p w14:paraId="3EFE8768">
      <w:pPr>
        <w:keepNext w:val="0"/>
        <w:keepLines w:val="0"/>
        <w:pageBreakBefore w:val="0"/>
        <w:numPr>
          <w:ilvl w:val="0"/>
          <w:numId w:val="2"/>
        </w:numPr>
        <w:wordWrap/>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采购代理机构应当自评审结束之日起2个工作日内将评标报告送交采购人。采购人在收到评审报告5个工作日内，从评审报告推荐的成交候选人中，按顺序确定成交人。成交候选人并列的，磋商报价得分高者成为</w:t>
      </w:r>
      <w:r>
        <w:rPr>
          <w:rFonts w:hint="eastAsia" w:ascii="宋体" w:hAnsi="宋体" w:eastAsia="宋体" w:cs="宋体"/>
          <w:color w:val="000000" w:themeColor="text1"/>
          <w:szCs w:val="24"/>
          <w:highlight w:val="none"/>
          <w:lang w:eastAsia="zh-CN"/>
          <w14:textFill>
            <w14:solidFill>
              <w14:schemeClr w14:val="tx1"/>
            </w14:solidFill>
          </w14:textFill>
        </w:rPr>
        <w:t>成交人</w:t>
      </w:r>
      <w:r>
        <w:rPr>
          <w:rFonts w:hint="eastAsia" w:ascii="宋体" w:hAnsi="宋体" w:eastAsia="宋体" w:cs="宋体"/>
          <w:color w:val="000000" w:themeColor="text1"/>
          <w:szCs w:val="24"/>
          <w:highlight w:val="none"/>
          <w14:textFill>
            <w14:solidFill>
              <w14:schemeClr w14:val="tx1"/>
            </w14:solidFill>
          </w14:textFill>
        </w:rPr>
        <w:t>，若投标报价得分相同，技术得分高者成为成交人。确定结果后，采购人向采购代理机构出具《定标复函》。采购人逾期未按评标报告推荐的中标候选人顺序确定成交人，又不能说明合法理由的，视同按评标报告推荐的顺序确定排名第一的成交候选人为成交人。</w:t>
      </w:r>
    </w:p>
    <w:p w14:paraId="6A6B2DAD">
      <w:pPr>
        <w:keepNext w:val="0"/>
        <w:keepLines w:val="0"/>
        <w:pageBreakBefore w:val="0"/>
        <w:numPr>
          <w:ilvl w:val="0"/>
          <w:numId w:val="2"/>
        </w:numPr>
        <w:wordWrap/>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采购代理机构接到采购人的《定标复函》后，在2个工作日内，将成交结果在陕西省政府采购网上进行公告。公告发布1个工作日，其他供应商若有异议，按《</w:t>
      </w:r>
      <w:r>
        <w:rPr>
          <w:rFonts w:hint="eastAsia" w:ascii="宋体" w:hAnsi="宋体" w:eastAsia="宋体" w:cs="宋体"/>
          <w:color w:val="000000" w:themeColor="text1"/>
          <w:szCs w:val="24"/>
          <w:highlight w:val="none"/>
          <w:lang w:val="en-US" w:eastAsia="zh-CN"/>
          <w14:textFill>
            <w14:solidFill>
              <w14:schemeClr w14:val="tx1"/>
            </w14:solidFill>
          </w14:textFill>
        </w:rPr>
        <w:t>中华人民共和国</w:t>
      </w:r>
      <w:r>
        <w:rPr>
          <w:rFonts w:hint="eastAsia" w:ascii="宋体" w:hAnsi="宋体" w:eastAsia="宋体" w:cs="宋体"/>
          <w:color w:val="000000" w:themeColor="text1"/>
          <w:szCs w:val="24"/>
          <w:highlight w:val="none"/>
          <w14:textFill>
            <w14:solidFill>
              <w14:schemeClr w14:val="tx1"/>
            </w14:solidFill>
          </w14:textFill>
        </w:rPr>
        <w:t>政府采购法》第52条执行。</w:t>
      </w:r>
    </w:p>
    <w:p w14:paraId="4F485160">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3-2、成交人确定后，采购人和采购代理机构对未成交原因不作任何解释，响应文件不予退还（含纸质及电子版文件）。</w:t>
      </w:r>
    </w:p>
    <w:p w14:paraId="30C2A08F">
      <w:pPr>
        <w:keepNext w:val="0"/>
        <w:keepLines w:val="0"/>
        <w:pageBreakBefore w:val="0"/>
        <w:wordWrap/>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color w:val="000000" w:themeColor="text1"/>
          <w:szCs w:val="24"/>
          <w:highlight w:val="none"/>
          <w14:textFill>
            <w14:solidFill>
              <w14:schemeClr w14:val="tx1"/>
            </w14:solidFill>
          </w14:textFill>
        </w:rPr>
      </w:pPr>
      <w:bookmarkStart w:id="30" w:name="_Toc458617461"/>
      <w:bookmarkStart w:id="31" w:name="_Toc458617738"/>
      <w:r>
        <w:rPr>
          <w:rFonts w:hint="eastAsia" w:ascii="宋体" w:hAnsi="宋体" w:eastAsia="宋体" w:cs="宋体"/>
          <w:b/>
          <w:color w:val="000000" w:themeColor="text1"/>
          <w:szCs w:val="24"/>
          <w:highlight w:val="none"/>
          <w14:textFill>
            <w14:solidFill>
              <w14:schemeClr w14:val="tx1"/>
            </w14:solidFill>
          </w14:textFill>
        </w:rPr>
        <w:t>4、投标无效的情形：</w:t>
      </w:r>
    </w:p>
    <w:p w14:paraId="15000071">
      <w:pPr>
        <w:keepNext w:val="0"/>
        <w:keepLines w:val="0"/>
        <w:pageBreakBefore w:val="0"/>
        <w:wordWrap/>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4-1、未按照竞争性磋商文件的规定提交磋商保证金的；</w:t>
      </w:r>
    </w:p>
    <w:p w14:paraId="0682063B">
      <w:pPr>
        <w:keepNext w:val="0"/>
        <w:keepLines w:val="0"/>
        <w:pageBreakBefore w:val="0"/>
        <w:wordWrap/>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4-2、响应文件未按竞争性磋商文件要求签署、盖章的；</w:t>
      </w:r>
    </w:p>
    <w:p w14:paraId="4884A8D0">
      <w:pPr>
        <w:keepNext w:val="0"/>
        <w:keepLines w:val="0"/>
        <w:pageBreakBefore w:val="0"/>
        <w:wordWrap/>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4-3、不具备竞争性磋商文件中规定的资格要求的；</w:t>
      </w:r>
    </w:p>
    <w:p w14:paraId="46D53AFD">
      <w:pPr>
        <w:keepNext w:val="0"/>
        <w:keepLines w:val="0"/>
        <w:pageBreakBefore w:val="0"/>
        <w:wordWrap/>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4-4、报价超过竞争性磋商文件中规定的最高限价的；</w:t>
      </w:r>
    </w:p>
    <w:p w14:paraId="34555B31">
      <w:pPr>
        <w:keepNext w:val="0"/>
        <w:keepLines w:val="0"/>
        <w:pageBreakBefore w:val="0"/>
        <w:wordWrap/>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4-5、响应文件含有采购人不能接受的附加条件的；</w:t>
      </w:r>
    </w:p>
    <w:p w14:paraId="78311DB2">
      <w:pPr>
        <w:keepNext w:val="0"/>
        <w:keepLines w:val="0"/>
        <w:pageBreakBefore w:val="0"/>
        <w:wordWrap/>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4-6、</w:t>
      </w:r>
      <w:r>
        <w:rPr>
          <w:rFonts w:hint="eastAsia" w:ascii="宋体" w:hAnsi="宋体" w:eastAsia="宋体" w:cs="宋体"/>
          <w:color w:val="000000" w:themeColor="text1"/>
          <w:kern w:val="0"/>
          <w:szCs w:val="24"/>
          <w:highlight w:val="none"/>
          <w14:textFill>
            <w14:solidFill>
              <w14:schemeClr w14:val="tx1"/>
            </w14:solidFill>
          </w14:textFill>
        </w:rPr>
        <w:t>提供虚假材料谋取中标的；</w:t>
      </w:r>
    </w:p>
    <w:p w14:paraId="1284DE20">
      <w:pPr>
        <w:keepNext w:val="0"/>
        <w:keepLines w:val="0"/>
        <w:pageBreakBefore w:val="0"/>
        <w:wordWrap/>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4-7、采取不正当手段诋毁、排挤其他供应商的；</w:t>
      </w:r>
    </w:p>
    <w:p w14:paraId="1079B0DF">
      <w:pPr>
        <w:keepNext w:val="0"/>
        <w:keepLines w:val="0"/>
        <w:pageBreakBefore w:val="0"/>
        <w:wordWrap/>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4-8、</w:t>
      </w:r>
      <w:r>
        <w:rPr>
          <w:rFonts w:hint="eastAsia" w:ascii="宋体" w:hAnsi="宋体" w:eastAsia="宋体" w:cs="宋体"/>
          <w:color w:val="000000" w:themeColor="text1"/>
          <w:szCs w:val="24"/>
          <w:highlight w:val="none"/>
          <w14:textFill>
            <w14:solidFill>
              <w14:schemeClr w14:val="tx1"/>
            </w14:solidFill>
          </w14:textFill>
        </w:rPr>
        <w:t>法律、法规和竞争性磋商文件规定的其他无效情形。</w:t>
      </w:r>
    </w:p>
    <w:p w14:paraId="52D224D6">
      <w:pPr>
        <w:keepNext w:val="0"/>
        <w:keepLines w:val="0"/>
        <w:pageBreakBefore w:val="0"/>
        <w:wordWrap/>
        <w:topLinePunct w:val="0"/>
        <w:autoSpaceDE/>
        <w:autoSpaceDN/>
        <w:bidi w:val="0"/>
        <w:spacing w:line="360" w:lineRule="auto"/>
        <w:ind w:left="0" w:leftChars="0" w:firstLine="482" w:firstLineChars="200"/>
        <w:textAlignment w:val="auto"/>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5、成交通知</w:t>
      </w:r>
      <w:bookmarkEnd w:id="30"/>
      <w:bookmarkEnd w:id="31"/>
      <w:r>
        <w:rPr>
          <w:rFonts w:hint="eastAsia" w:ascii="宋体" w:hAnsi="宋体" w:eastAsia="宋体" w:cs="宋体"/>
          <w:b/>
          <w:color w:val="000000" w:themeColor="text1"/>
          <w:szCs w:val="24"/>
          <w:highlight w:val="none"/>
          <w14:textFill>
            <w14:solidFill>
              <w14:schemeClr w14:val="tx1"/>
            </w14:solidFill>
          </w14:textFill>
        </w:rPr>
        <w:t>书</w:t>
      </w:r>
    </w:p>
    <w:p w14:paraId="732491FD">
      <w:pPr>
        <w:keepNext w:val="0"/>
        <w:keepLines w:val="0"/>
        <w:pageBreakBefore w:val="0"/>
        <w:wordWrap/>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5-1、成交通知书将在成交结果公告发布的同时由采购代理机构发出。</w:t>
      </w:r>
    </w:p>
    <w:p w14:paraId="521CABB4">
      <w:pPr>
        <w:keepNext w:val="0"/>
        <w:keepLines w:val="0"/>
        <w:pageBreakBefore w:val="0"/>
        <w:wordWrap/>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5-2、成交人应在接到采购代理机构通知之日起七日内领取成交通知书。</w:t>
      </w:r>
      <w:bookmarkStart w:id="32" w:name="_Toc458617739"/>
      <w:bookmarkStart w:id="33" w:name="_Toc458617790"/>
      <w:bookmarkStart w:id="34" w:name="_Toc458617462"/>
    </w:p>
    <w:p w14:paraId="0171F3E6">
      <w:pPr>
        <w:keepNext w:val="0"/>
        <w:keepLines w:val="0"/>
        <w:pageBreakBefore w:val="0"/>
        <w:wordWrap/>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5-3、</w:t>
      </w:r>
      <w:r>
        <w:rPr>
          <w:rFonts w:hint="eastAsia" w:ascii="宋体" w:hAnsi="宋体" w:eastAsia="宋体" w:cs="宋体"/>
          <w:color w:val="000000" w:themeColor="text1"/>
          <w:kern w:val="0"/>
          <w:szCs w:val="24"/>
          <w:highlight w:val="none"/>
          <w14:textFill>
            <w14:solidFill>
              <w14:schemeClr w14:val="tx1"/>
            </w14:solidFill>
          </w14:textFill>
        </w:rPr>
        <w:t>成交通知书发出后，采购人不得违法改变成交结果，成交人无正当理由不得放弃成交。</w:t>
      </w:r>
    </w:p>
    <w:p w14:paraId="2C5A7B7C">
      <w:pPr>
        <w:keepNext w:val="0"/>
        <w:keepLines w:val="0"/>
        <w:pageBreakBefore w:val="0"/>
        <w:wordWrap/>
        <w:topLinePunct w:val="0"/>
        <w:autoSpaceDE/>
        <w:autoSpaceDN/>
        <w:bidi w:val="0"/>
        <w:spacing w:line="360" w:lineRule="auto"/>
        <w:textAlignment w:val="auto"/>
        <w:rPr>
          <w:rFonts w:hint="eastAsia" w:ascii="宋体" w:hAnsi="宋体" w:eastAsia="宋体" w:cs="宋体"/>
          <w:color w:val="000000" w:themeColor="text1"/>
          <w:kern w:val="0"/>
          <w:sz w:val="28"/>
          <w:szCs w:val="28"/>
          <w:highlight w:val="none"/>
          <w14:textFill>
            <w14:solidFill>
              <w14:schemeClr w14:val="tx1"/>
            </w14:solidFill>
          </w14:textFill>
        </w:rPr>
      </w:pPr>
      <w:bookmarkStart w:id="35" w:name="_Toc21188"/>
      <w:r>
        <w:rPr>
          <w:rFonts w:hint="eastAsia" w:ascii="宋体" w:hAnsi="宋体" w:eastAsia="宋体" w:cs="宋体"/>
          <w:color w:val="000000" w:themeColor="text1"/>
          <w:kern w:val="0"/>
          <w:sz w:val="28"/>
          <w:szCs w:val="28"/>
          <w:highlight w:val="none"/>
          <w14:textFill>
            <w14:solidFill>
              <w14:schemeClr w14:val="tx1"/>
            </w14:solidFill>
          </w14:textFill>
        </w:rPr>
        <w:t>八、合同</w:t>
      </w:r>
      <w:bookmarkEnd w:id="32"/>
      <w:bookmarkEnd w:id="33"/>
      <w:bookmarkEnd w:id="34"/>
      <w:bookmarkEnd w:id="35"/>
    </w:p>
    <w:p w14:paraId="5DA90289">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bookmarkStart w:id="36" w:name="_Toc458617740"/>
      <w:bookmarkStart w:id="37" w:name="_Toc458617463"/>
      <w:r>
        <w:rPr>
          <w:rFonts w:hint="eastAsia" w:ascii="宋体" w:hAnsi="宋体" w:eastAsia="宋体" w:cs="宋体"/>
          <w:color w:val="000000" w:themeColor="text1"/>
          <w:szCs w:val="24"/>
          <w:highlight w:val="none"/>
          <w14:textFill>
            <w14:solidFill>
              <w14:schemeClr w14:val="tx1"/>
            </w14:solidFill>
          </w14:textFill>
        </w:rPr>
        <w:t>1、成交人在收到成交通知书后</w:t>
      </w:r>
      <w:r>
        <w:rPr>
          <w:rFonts w:hint="eastAsia" w:ascii="宋体" w:hAnsi="宋体" w:eastAsia="宋体" w:cs="宋体"/>
          <w:color w:val="000000" w:themeColor="text1"/>
          <w:szCs w:val="24"/>
          <w:highlight w:val="none"/>
          <w:lang w:val="en-US" w:eastAsia="zh-CN"/>
          <w14:textFill>
            <w14:solidFill>
              <w14:schemeClr w14:val="tx1"/>
            </w14:solidFill>
          </w14:textFill>
        </w:rPr>
        <w:t>25</w:t>
      </w:r>
      <w:r>
        <w:rPr>
          <w:rFonts w:hint="eastAsia" w:ascii="宋体" w:hAnsi="宋体" w:eastAsia="宋体" w:cs="宋体"/>
          <w:color w:val="000000" w:themeColor="text1"/>
          <w:szCs w:val="24"/>
          <w:highlight w:val="none"/>
          <w14:textFill>
            <w14:solidFill>
              <w14:schemeClr w14:val="tx1"/>
            </w14:solidFill>
          </w14:textFill>
        </w:rPr>
        <w:t>日内，应按竞争性磋商文件的要求与采购人签订合同。</w:t>
      </w:r>
    </w:p>
    <w:p w14:paraId="17AB5621">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成交人因自身原因不按规定与采购人签订合同或者拒绝与采购人签订合同的，则采购人将废除授标。给采购人造成损失的，还应当予以赔偿，并依法承担相应法律责任。同时，采购人可以按照评审报告推荐的中标候选人名单排序，确定下一候选人为</w:t>
      </w:r>
      <w:r>
        <w:rPr>
          <w:rFonts w:hint="eastAsia" w:ascii="宋体" w:hAnsi="宋体" w:eastAsia="宋体" w:cs="宋体"/>
          <w:color w:val="000000" w:themeColor="text1"/>
          <w:szCs w:val="24"/>
          <w:highlight w:val="none"/>
          <w:lang w:eastAsia="zh-CN"/>
          <w14:textFill>
            <w14:solidFill>
              <w14:schemeClr w14:val="tx1"/>
            </w14:solidFill>
          </w14:textFill>
        </w:rPr>
        <w:t>成交人</w:t>
      </w:r>
      <w:r>
        <w:rPr>
          <w:rFonts w:hint="eastAsia" w:ascii="宋体" w:hAnsi="宋体" w:eastAsia="宋体" w:cs="宋体"/>
          <w:color w:val="000000" w:themeColor="text1"/>
          <w:szCs w:val="24"/>
          <w:highlight w:val="none"/>
          <w14:textFill>
            <w14:solidFill>
              <w14:schemeClr w14:val="tx1"/>
            </w14:solidFill>
          </w14:textFill>
        </w:rPr>
        <w:t>，以此类推，也可以重新开展政府采购活动。因自身原因拒绝签订政府采购合同的或者未按合同约定进行履约的，</w:t>
      </w:r>
      <w:r>
        <w:rPr>
          <w:rFonts w:hint="eastAsia" w:ascii="宋体" w:hAnsi="宋体" w:eastAsia="宋体" w:cs="宋体"/>
          <w:color w:val="000000" w:themeColor="text1"/>
          <w:szCs w:val="24"/>
          <w:highlight w:val="none"/>
          <w:lang w:eastAsia="zh-CN"/>
          <w14:textFill>
            <w14:solidFill>
              <w14:schemeClr w14:val="tx1"/>
            </w14:solidFill>
          </w14:textFill>
        </w:rPr>
        <w:t>成交人</w:t>
      </w:r>
      <w:r>
        <w:rPr>
          <w:rFonts w:hint="eastAsia" w:ascii="宋体" w:hAnsi="宋体" w:eastAsia="宋体" w:cs="宋体"/>
          <w:color w:val="000000" w:themeColor="text1"/>
          <w:szCs w:val="24"/>
          <w:highlight w:val="none"/>
          <w14:textFill>
            <w14:solidFill>
              <w14:schemeClr w14:val="tx1"/>
            </w14:solidFill>
          </w14:textFill>
        </w:rPr>
        <w:t>不得参加对该项目重新开展的招标活动。</w:t>
      </w:r>
    </w:p>
    <w:p w14:paraId="6790F4FF">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3、成交通知书将是合同的重要组成部分。竞争性磋商文件、</w:t>
      </w:r>
      <w:r>
        <w:rPr>
          <w:rFonts w:hint="eastAsia" w:ascii="宋体" w:hAnsi="宋体" w:eastAsia="宋体" w:cs="宋体"/>
          <w:color w:val="000000" w:themeColor="text1"/>
          <w:szCs w:val="24"/>
          <w:highlight w:val="none"/>
          <w:lang w:eastAsia="zh-CN"/>
          <w14:textFill>
            <w14:solidFill>
              <w14:schemeClr w14:val="tx1"/>
            </w14:solidFill>
          </w14:textFill>
        </w:rPr>
        <w:t>成交人</w:t>
      </w:r>
      <w:r>
        <w:rPr>
          <w:rFonts w:hint="eastAsia" w:ascii="宋体" w:hAnsi="宋体" w:eastAsia="宋体" w:cs="宋体"/>
          <w:color w:val="000000" w:themeColor="text1"/>
          <w:szCs w:val="24"/>
          <w:highlight w:val="none"/>
          <w14:textFill>
            <w14:solidFill>
              <w14:schemeClr w14:val="tx1"/>
            </w14:solidFill>
          </w14:textFill>
        </w:rPr>
        <w:t>的响应文件及评议过程中有关的澄清文件均作为合同附件。</w:t>
      </w:r>
    </w:p>
    <w:p w14:paraId="53C019E8">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成交后，成交人应按照合同约定履行义务，完成招标项目的采购要求，经采购人同意，成交人可以依法采取分包方式履行合同。分包部分为成交项目的部分非主体、非关键性工作。接受分包的供应商应当具备相应的资格条件，并不得再次分包。分包履行的，</w:t>
      </w:r>
      <w:r>
        <w:rPr>
          <w:rFonts w:hint="eastAsia" w:ascii="宋体" w:hAnsi="宋体" w:eastAsia="宋体" w:cs="宋体"/>
          <w:color w:val="000000" w:themeColor="text1"/>
          <w:szCs w:val="24"/>
          <w:highlight w:val="none"/>
          <w:lang w:eastAsia="zh-CN"/>
          <w14:textFill>
            <w14:solidFill>
              <w14:schemeClr w14:val="tx1"/>
            </w14:solidFill>
          </w14:textFill>
        </w:rPr>
        <w:t>成交人</w:t>
      </w:r>
      <w:r>
        <w:rPr>
          <w:rFonts w:hint="eastAsia" w:ascii="宋体" w:hAnsi="宋体" w:eastAsia="宋体" w:cs="宋体"/>
          <w:color w:val="000000" w:themeColor="text1"/>
          <w:szCs w:val="24"/>
          <w:highlight w:val="none"/>
          <w14:textFill>
            <w14:solidFill>
              <w14:schemeClr w14:val="tx1"/>
            </w14:solidFill>
          </w14:textFill>
        </w:rPr>
        <w:t>就采购项目和分包项目向采购人负责，分包供应商就分包项目承担责任。中小企业根据《政府采购促进中小企业发展管理办法》（财库〔2020〕46号）规定的政策获取政府采购合同后，小型、微型企业不得分包或转包给大型、中型企业，中型企业不得分包或转包给大型企业。</w:t>
      </w:r>
    </w:p>
    <w:p w14:paraId="7156E08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5、所签订的合同不得对竞争性磋商文件确定的事项和</w:t>
      </w:r>
      <w:r>
        <w:rPr>
          <w:rFonts w:hint="eastAsia" w:ascii="宋体" w:hAnsi="宋体" w:eastAsia="宋体" w:cs="宋体"/>
          <w:color w:val="000000" w:themeColor="text1"/>
          <w:szCs w:val="24"/>
          <w:highlight w:val="none"/>
          <w:lang w:eastAsia="zh-CN"/>
          <w14:textFill>
            <w14:solidFill>
              <w14:schemeClr w14:val="tx1"/>
            </w14:solidFill>
          </w14:textFill>
        </w:rPr>
        <w:t>成交人</w:t>
      </w:r>
      <w:r>
        <w:rPr>
          <w:rFonts w:hint="eastAsia" w:ascii="宋体" w:hAnsi="宋体" w:eastAsia="宋体" w:cs="宋体"/>
          <w:color w:val="000000" w:themeColor="text1"/>
          <w:szCs w:val="24"/>
          <w:highlight w:val="none"/>
          <w14:textFill>
            <w14:solidFill>
              <w14:schemeClr w14:val="tx1"/>
            </w14:solidFill>
          </w14:textFill>
        </w:rPr>
        <w:t>响应文件作实质性修改。</w:t>
      </w:r>
    </w:p>
    <w:p w14:paraId="2271FED9">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6、采购人需追加与合同标的相同的货物、工程或服务的，在不改变合同其他条款的前提下，可以与</w:t>
      </w:r>
      <w:r>
        <w:rPr>
          <w:rFonts w:hint="eastAsia" w:ascii="宋体" w:hAnsi="宋体" w:eastAsia="宋体" w:cs="宋体"/>
          <w:color w:val="000000" w:themeColor="text1"/>
          <w:szCs w:val="24"/>
          <w:highlight w:val="none"/>
          <w:lang w:eastAsia="zh-CN"/>
          <w14:textFill>
            <w14:solidFill>
              <w14:schemeClr w14:val="tx1"/>
            </w14:solidFill>
          </w14:textFill>
        </w:rPr>
        <w:t>成交人</w:t>
      </w:r>
      <w:r>
        <w:rPr>
          <w:rFonts w:hint="eastAsia" w:ascii="宋体" w:hAnsi="宋体" w:eastAsia="宋体" w:cs="宋体"/>
          <w:color w:val="000000" w:themeColor="text1"/>
          <w:szCs w:val="24"/>
          <w:highlight w:val="none"/>
          <w14:textFill>
            <w14:solidFill>
              <w14:schemeClr w14:val="tx1"/>
            </w14:solidFill>
          </w14:textFill>
        </w:rPr>
        <w:t>协商签订补充合同，但所有补充合同的采购金额不得超过原合同采购金额的百分之十。</w:t>
      </w:r>
    </w:p>
    <w:p w14:paraId="1B275E86">
      <w:pPr>
        <w:keepNext w:val="0"/>
        <w:keepLines w:val="0"/>
        <w:pageBreakBefore w:val="0"/>
        <w:wordWrap/>
        <w:topLinePunct w:val="0"/>
        <w:autoSpaceDE/>
        <w:autoSpaceDN/>
        <w:bidi w:val="0"/>
        <w:spacing w:line="360" w:lineRule="auto"/>
        <w:textAlignment w:val="auto"/>
        <w:rPr>
          <w:rFonts w:hint="eastAsia" w:ascii="宋体" w:hAnsi="宋体" w:eastAsia="宋体" w:cs="宋体"/>
          <w:color w:val="000000" w:themeColor="text1"/>
          <w:kern w:val="0"/>
          <w:sz w:val="28"/>
          <w:szCs w:val="28"/>
          <w:highlight w:val="none"/>
          <w14:textFill>
            <w14:solidFill>
              <w14:schemeClr w14:val="tx1"/>
            </w14:solidFill>
          </w14:textFill>
        </w:rPr>
      </w:pPr>
      <w:bookmarkStart w:id="38" w:name="_Toc3780"/>
      <w:r>
        <w:rPr>
          <w:rFonts w:hint="eastAsia" w:ascii="宋体" w:hAnsi="宋体" w:eastAsia="宋体" w:cs="宋体"/>
          <w:color w:val="000000" w:themeColor="text1"/>
          <w:kern w:val="0"/>
          <w:sz w:val="28"/>
          <w:szCs w:val="28"/>
          <w:highlight w:val="none"/>
          <w14:textFill>
            <w14:solidFill>
              <w14:schemeClr w14:val="tx1"/>
            </w14:solidFill>
          </w14:textFill>
        </w:rPr>
        <w:t>九、合同的履约验收</w:t>
      </w:r>
      <w:bookmarkEnd w:id="38"/>
    </w:p>
    <w:p w14:paraId="153263F4">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采购人应按照政府采购合同约定的技术、服务、安全标准组织对供应商每一项技术、服务、安全标准的履约情况进行验收，并出具验收书。</w:t>
      </w:r>
    </w:p>
    <w:bookmarkEnd w:id="36"/>
    <w:bookmarkEnd w:id="37"/>
    <w:p w14:paraId="326B4F34">
      <w:pPr>
        <w:keepNext w:val="0"/>
        <w:keepLines w:val="0"/>
        <w:pageBreakBefore w:val="0"/>
        <w:wordWrap/>
        <w:topLinePunct w:val="0"/>
        <w:autoSpaceDE/>
        <w:autoSpaceDN/>
        <w:bidi w:val="0"/>
        <w:spacing w:line="360" w:lineRule="auto"/>
        <w:textAlignment w:val="auto"/>
        <w:rPr>
          <w:rFonts w:hint="eastAsia" w:ascii="宋体" w:hAnsi="宋体" w:eastAsia="宋体" w:cs="宋体"/>
          <w:color w:val="000000" w:themeColor="text1"/>
          <w:kern w:val="0"/>
          <w:sz w:val="28"/>
          <w:szCs w:val="28"/>
          <w:highlight w:val="none"/>
          <w14:textFill>
            <w14:solidFill>
              <w14:schemeClr w14:val="tx1"/>
            </w14:solidFill>
          </w14:textFill>
        </w:rPr>
      </w:pPr>
      <w:bookmarkStart w:id="39" w:name="_Toc30842"/>
      <w:bookmarkStart w:id="40" w:name="_Toc20000"/>
      <w:bookmarkStart w:id="41" w:name="_Toc458617742"/>
      <w:bookmarkStart w:id="42" w:name="_Toc458617465"/>
      <w:r>
        <w:rPr>
          <w:rFonts w:hint="eastAsia" w:ascii="宋体" w:hAnsi="宋体" w:eastAsia="宋体" w:cs="宋体"/>
          <w:color w:val="000000" w:themeColor="text1"/>
          <w:kern w:val="0"/>
          <w:sz w:val="28"/>
          <w:szCs w:val="28"/>
          <w:highlight w:val="none"/>
          <w14:textFill>
            <w14:solidFill>
              <w14:schemeClr w14:val="tx1"/>
            </w14:solidFill>
          </w14:textFill>
        </w:rPr>
        <w:t>十、重新组织采购活动</w:t>
      </w:r>
      <w:bookmarkEnd w:id="39"/>
      <w:bookmarkEnd w:id="40"/>
    </w:p>
    <w:p w14:paraId="62D6F51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如果发生下列情况之一，采购人和采购代理机构将按《</w:t>
      </w:r>
      <w:r>
        <w:rPr>
          <w:rFonts w:hint="eastAsia" w:ascii="宋体" w:hAnsi="宋体" w:eastAsia="宋体" w:cs="宋体"/>
          <w:color w:val="000000" w:themeColor="text1"/>
          <w:szCs w:val="24"/>
          <w:highlight w:val="none"/>
          <w:lang w:val="en-US" w:eastAsia="zh-CN"/>
          <w14:textFill>
            <w14:solidFill>
              <w14:schemeClr w14:val="tx1"/>
            </w14:solidFill>
          </w14:textFill>
        </w:rPr>
        <w:t>中华人民共和国</w:t>
      </w:r>
      <w:r>
        <w:rPr>
          <w:rFonts w:hint="eastAsia" w:ascii="宋体" w:hAnsi="宋体" w:eastAsia="宋体" w:cs="宋体"/>
          <w:color w:val="000000" w:themeColor="text1"/>
          <w:szCs w:val="24"/>
          <w:highlight w:val="none"/>
          <w14:textFill>
            <w14:solidFill>
              <w14:schemeClr w14:val="tx1"/>
            </w14:solidFill>
          </w14:textFill>
        </w:rPr>
        <w:t>政府采购法》、《政府采购货物和服务招标投标管理办法》（财政部第87号）等有关规定重新组织采购活动：</w:t>
      </w:r>
    </w:p>
    <w:p w14:paraId="72136102">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（1）因重大变故，采购任务取消的；</w:t>
      </w:r>
    </w:p>
    <w:p w14:paraId="682CC43F">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（2）竞争性磋商文件存在不合理条款或者招标程序不符合规定的；</w:t>
      </w:r>
    </w:p>
    <w:p w14:paraId="1B2A3DD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（3）出现影响采购公正的违法、违规行为的；</w:t>
      </w:r>
    </w:p>
    <w:p w14:paraId="62C8C1F5">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（4）投标截止后供应商不足3家或者通过资格审查或符合性审查的供应商不足3家的；</w:t>
      </w:r>
    </w:p>
    <w:p w14:paraId="0992ABE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（5）所有供应商的报价均超出最高限价，采购人不能支付的。</w:t>
      </w:r>
    </w:p>
    <w:p w14:paraId="5789B26B">
      <w:pPr>
        <w:keepNext w:val="0"/>
        <w:keepLines w:val="0"/>
        <w:pageBreakBefore w:val="0"/>
        <w:wordWrap/>
        <w:topLinePunct w:val="0"/>
        <w:autoSpaceDE/>
        <w:autoSpaceDN/>
        <w:bidi w:val="0"/>
        <w:spacing w:line="360" w:lineRule="auto"/>
        <w:textAlignment w:val="auto"/>
        <w:rPr>
          <w:rFonts w:hint="eastAsia" w:ascii="宋体" w:hAnsi="宋体" w:eastAsia="宋体" w:cs="宋体"/>
          <w:color w:val="000000" w:themeColor="text1"/>
          <w:kern w:val="0"/>
          <w:sz w:val="28"/>
          <w:szCs w:val="28"/>
          <w:highlight w:val="none"/>
          <w14:textFill>
            <w14:solidFill>
              <w14:schemeClr w14:val="tx1"/>
            </w14:solidFill>
          </w14:textFill>
        </w:rPr>
      </w:pPr>
      <w:bookmarkStart w:id="43" w:name="_Toc28121"/>
      <w:r>
        <w:rPr>
          <w:rFonts w:hint="eastAsia" w:ascii="宋体" w:hAnsi="宋体" w:eastAsia="宋体" w:cs="宋体"/>
          <w:color w:val="000000" w:themeColor="text1"/>
          <w:kern w:val="0"/>
          <w:sz w:val="28"/>
          <w:szCs w:val="28"/>
          <w:highlight w:val="none"/>
          <w14:textFill>
            <w14:solidFill>
              <w14:schemeClr w14:val="tx1"/>
            </w14:solidFill>
          </w14:textFill>
        </w:rPr>
        <w:t>十一、</w:t>
      </w:r>
      <w:bookmarkEnd w:id="41"/>
      <w:bookmarkEnd w:id="42"/>
      <w:bookmarkStart w:id="44" w:name="_Toc458617743"/>
      <w:bookmarkStart w:id="45" w:name="_Toc458617466"/>
      <w:r>
        <w:rPr>
          <w:rFonts w:hint="eastAsia" w:ascii="宋体" w:hAnsi="宋体" w:eastAsia="宋体" w:cs="宋体"/>
          <w:color w:val="000000" w:themeColor="text1"/>
          <w:kern w:val="0"/>
          <w:sz w:val="28"/>
          <w:szCs w:val="28"/>
          <w:highlight w:val="none"/>
          <w14:textFill>
            <w14:solidFill>
              <w14:schemeClr w14:val="tx1"/>
            </w14:solidFill>
          </w14:textFill>
        </w:rPr>
        <w:t>询问、质疑与投诉</w:t>
      </w:r>
      <w:bookmarkEnd w:id="43"/>
    </w:p>
    <w:p w14:paraId="2B12415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bookmarkStart w:id="46" w:name="_Toc26443"/>
      <w:r>
        <w:rPr>
          <w:rFonts w:hint="eastAsia" w:ascii="宋体" w:hAnsi="宋体" w:eastAsia="宋体" w:cs="宋体"/>
          <w:color w:val="000000" w:themeColor="text1"/>
          <w:szCs w:val="24"/>
          <w:highlight w:val="none"/>
          <w14:textFill>
            <w14:solidFill>
              <w14:schemeClr w14:val="tx1"/>
            </w14:solidFill>
          </w14:textFill>
        </w:rPr>
        <w:t>1.询问</w:t>
      </w:r>
    </w:p>
    <w:p w14:paraId="5489C75F">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供应商对政府采购活动事项有疑问的，可以向采购代理机构或采购人提出询问。采购代理机构或采购人将在3个工作日内对供应商依法提出的询问作出答复。</w:t>
      </w:r>
    </w:p>
    <w:p w14:paraId="7EF201C1">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供应商提出的询问超出采购人对采购代理机构委托授权范围的，采购代理机构将告知供应商向采购人提出。</w:t>
      </w:r>
    </w:p>
    <w:p w14:paraId="2EE067EF">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2.质疑和投诉</w:t>
      </w:r>
    </w:p>
    <w:p w14:paraId="532984E0">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认为竞争性磋商文件、招标过程使自身的合法权益受到损害，可以在知道或者应当知道其自身权益收到损害之日起七个工作日，以书面形式（纸质版加盖公章）向采购代理机构或采购人提出质疑。供应商认为中标结果使自身的合法权益受到损害，可以在开标后7日内前，以书面形式（纸质版加盖公章）向采购代理机构或采购人提出质疑。</w:t>
      </w:r>
    </w:p>
    <w:p w14:paraId="594C0426">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2.1、质疑书应当包括以下主要内容：被质疑项目名称、项目编号、标段、招标公告/中标公告发布时间、质疑事项、证据材料、法律依据（具体条款）、质疑人有效联系方式等。</w:t>
      </w:r>
    </w:p>
    <w:p w14:paraId="244D45D7">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2.2、质疑书应当由法定代表人签字并加盖公章，公章不得以合同章或其他印章代替。质疑人可以</w:t>
      </w:r>
      <w:r>
        <w:rPr>
          <w:rFonts w:hint="eastAsia" w:ascii="宋体" w:hAnsi="宋体" w:eastAsia="宋体" w:cs="宋体"/>
          <w:color w:val="000000" w:themeColor="text1"/>
          <w:szCs w:val="24"/>
          <w:highlight w:val="none"/>
          <w:lang w:eastAsia="zh-CN"/>
          <w14:textFill>
            <w14:solidFill>
              <w14:schemeClr w14:val="tx1"/>
            </w14:solidFill>
          </w14:textFill>
        </w:rPr>
        <w:t>被授权人</w:t>
      </w:r>
      <w:r>
        <w:rPr>
          <w:rFonts w:hint="eastAsia" w:ascii="宋体" w:hAnsi="宋体" w:eastAsia="宋体" w:cs="宋体"/>
          <w:color w:val="000000" w:themeColor="text1"/>
          <w:szCs w:val="24"/>
          <w:highlight w:val="none"/>
          <w14:textFill>
            <w14:solidFill>
              <w14:schemeClr w14:val="tx1"/>
            </w14:solidFill>
          </w14:textFill>
        </w:rPr>
        <w:t>办理质疑事项，代理人办理质疑事项时，除提交质疑书外，还应当提交质疑人的授权委托书及代理人的有效身份证明，授权委托书应当载明委托代理的具体权限和事项。</w:t>
      </w:r>
    </w:p>
    <w:p w14:paraId="1675643D">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2.3.有下列情形之一的，属于无效质疑，采购代理机构和采购人不予受理：</w:t>
      </w:r>
    </w:p>
    <w:p w14:paraId="0E4BD581">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（1）质疑人不是参与本次政府采购项目的供应商/供应商或潜在供应商/供应商；</w:t>
      </w:r>
    </w:p>
    <w:p w14:paraId="5201D1E3">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（2）质疑人与质疑事项不存在利害关系的；</w:t>
      </w:r>
    </w:p>
    <w:p w14:paraId="4AD648F2">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（3）未在法定期限内提出质疑的；</w:t>
      </w:r>
    </w:p>
    <w:p w14:paraId="5D046C6F">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（4）质疑未以书面形式提出，或质疑书主要内容构成不完整的；</w:t>
      </w:r>
    </w:p>
    <w:p w14:paraId="0A3D55C4">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（5）质疑书没有合法有效的签字、盖章或授权的；</w:t>
      </w:r>
    </w:p>
    <w:p w14:paraId="7710FA36">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（6）以非法手段取得证据、材料的；</w:t>
      </w:r>
    </w:p>
    <w:p w14:paraId="582DB5C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（7）质疑答复后，同一质疑人就同一事项再次提出质疑的；</w:t>
      </w:r>
    </w:p>
    <w:p w14:paraId="560D120D">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（8）不符合法律、法规、规章和监管机构规定的其他条件的。</w:t>
      </w:r>
    </w:p>
    <w:p w14:paraId="0B8AA79C">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2.4、采购代理机构或采购人将在收到书面质疑后7个工作日内做出答复，并以书面形式通知质疑人和其他有关供应商。</w:t>
      </w:r>
    </w:p>
    <w:p w14:paraId="627E3CF2">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2.5、质疑人对采购代理机构或采购人的答复不满意，以及采购代理机构或采购人未在规定时间内做出答复的，可以在答复期满后15个工作日内按照《政府采购质疑和投诉办法》（财政部94号令）相关规定向政府采购监管机构提出投诉。供应商投诉的事项不得超出已质疑事项的范围。</w:t>
      </w:r>
    </w:p>
    <w:p w14:paraId="1945BE31">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2.6、对捏造事实、提供虚假材料进行质疑、投诉的行为予以严肃处理：</w:t>
      </w:r>
    </w:p>
    <w:p w14:paraId="20CB21C0">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依据《政府采购质疑和投诉办法》（财政部94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7C84EA6E">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2.7、对捏造事实诬告陷害他人、诽谤他人的法律适用：</w:t>
      </w:r>
    </w:p>
    <w:p w14:paraId="4ECE7E30">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《中华人民共和国刑法》第243条【诬告陷害罪】捏造事实诬告陷害他人，意图使他人受刑事追究，情节严重的，处三年以下有期徒刑、拘役或者管制；造成严重后果的，处三年以上十年以下有期徒刑。</w:t>
      </w:r>
    </w:p>
    <w:p w14:paraId="58A7EE40">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《中华人民共和国刑法》第246条【侮辱罪、诽谤罪】以暴力或者其他方法公然侮辱他人或者捏造事实诽谤他人，情节严重的，处三年以下有期徒刑、拘役、管制或者剥夺政治权利。</w:t>
      </w:r>
    </w:p>
    <w:p w14:paraId="120121C7">
      <w:pPr>
        <w:keepNext w:val="0"/>
        <w:keepLines w:val="0"/>
        <w:pageBreakBefore w:val="0"/>
        <w:wordWrap/>
        <w:topLinePunct w:val="0"/>
        <w:autoSpaceDE/>
        <w:autoSpaceDN/>
        <w:bidi w:val="0"/>
        <w:spacing w:line="360" w:lineRule="auto"/>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十二、拒绝商业贿赂</w:t>
      </w:r>
      <w:bookmarkEnd w:id="44"/>
      <w:bookmarkEnd w:id="45"/>
      <w:bookmarkEnd w:id="46"/>
    </w:p>
    <w:p w14:paraId="2E97EEBD">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1、遵照陕西省财政厅的规定，采购人、采购代理机构、供应商和评审专家在招投标活动中，都要签订相应的《拒绝政府采购领域商业贿赂承诺书》，并对违反承诺的行为承担全部责任。</w:t>
      </w:r>
    </w:p>
    <w:p w14:paraId="6D5DBA4B">
      <w:pPr>
        <w:keepNext w:val="0"/>
        <w:keepLines w:val="0"/>
        <w:pageBreakBefore w:val="0"/>
        <w:wordWrap/>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2、供应商必须填写《拒绝政府采购领域商业贿赂承诺书》并附在响应文件中，同时应保证响应文件正、副本中一致。</w:t>
      </w:r>
    </w:p>
    <w:p w14:paraId="4063437E">
      <w:pPr>
        <w:rPr>
          <w:rFonts w:hint="eastAsia" w:ascii="宋体" w:hAnsi="宋体" w:eastAsia="宋体" w:cs="宋体"/>
          <w:sz w:val="32"/>
          <w:szCs w:val="32"/>
          <w:highlight w:val="none"/>
        </w:rPr>
      </w:pPr>
      <w:bookmarkStart w:id="47" w:name="_Toc458617746"/>
      <w:bookmarkStart w:id="48" w:name="_Toc458617469"/>
      <w:r>
        <w:rPr>
          <w:rFonts w:hint="eastAsia" w:ascii="宋体" w:hAnsi="宋体" w:eastAsia="宋体" w:cs="宋体"/>
          <w:sz w:val="32"/>
          <w:szCs w:val="32"/>
          <w:highlight w:val="none"/>
        </w:rPr>
        <w:br w:type="page"/>
      </w:r>
      <w:bookmarkEnd w:id="47"/>
      <w:bookmarkEnd w:id="48"/>
      <w:bookmarkStart w:id="49" w:name="_Toc24534"/>
      <w:bookmarkStart w:id="50" w:name="_Toc382"/>
      <w:bookmarkStart w:id="51" w:name="_Toc13213"/>
    </w:p>
    <w:p w14:paraId="6BE64ADB">
      <w:pPr>
        <w:numPr>
          <w:ilvl w:val="0"/>
          <w:numId w:val="0"/>
        </w:numPr>
        <w:tabs>
          <w:tab w:val="left" w:pos="1245"/>
        </w:tabs>
        <w:jc w:val="center"/>
        <w:outlineLvl w:val="0"/>
        <w:rPr>
          <w:rFonts w:hint="default" w:ascii="宋体" w:hAnsi="宋体" w:eastAsia="宋体" w:cs="宋体"/>
          <w:b/>
          <w:color w:val="000000"/>
          <w:sz w:val="40"/>
          <w:szCs w:val="40"/>
          <w:highlight w:val="none"/>
          <w:lang w:val="en-US" w:eastAsia="zh-CN"/>
        </w:rPr>
      </w:pPr>
      <w:bookmarkStart w:id="52" w:name="_Toc29363"/>
      <w:r>
        <w:rPr>
          <w:rFonts w:hint="eastAsia" w:ascii="宋体" w:hAnsi="宋体" w:eastAsia="宋体" w:cs="宋体"/>
          <w:b/>
          <w:color w:val="000000"/>
          <w:kern w:val="2"/>
          <w:sz w:val="36"/>
          <w:szCs w:val="36"/>
          <w:highlight w:val="none"/>
          <w:lang w:val="en-US" w:eastAsia="zh-CN" w:bidi="ar-SA"/>
        </w:rPr>
        <w:t xml:space="preserve">第三章 </w:t>
      </w:r>
      <w:r>
        <w:rPr>
          <w:rFonts w:hint="eastAsia" w:ascii="宋体" w:hAnsi="宋体" w:eastAsia="宋体" w:cs="宋体"/>
          <w:b/>
          <w:bCs/>
          <w:color w:val="000000" w:themeColor="text1"/>
          <w:kern w:val="0"/>
          <w:sz w:val="36"/>
          <w:szCs w:val="36"/>
          <w:highlight w:val="none"/>
          <w:lang w:val="en-US" w:eastAsia="zh-CN"/>
          <w14:textFill>
            <w14:solidFill>
              <w14:schemeClr w14:val="tx1"/>
            </w14:solidFill>
          </w14:textFill>
        </w:rPr>
        <w:t>采购内容及要求</w:t>
      </w:r>
      <w:bookmarkEnd w:id="52"/>
    </w:p>
    <w:bookmarkEnd w:id="49"/>
    <w:bookmarkEnd w:id="50"/>
    <w:bookmarkEnd w:id="51"/>
    <w:p w14:paraId="02C5ACD4">
      <w:pPr>
        <w:spacing w:line="360" w:lineRule="auto"/>
        <w:rPr>
          <w:rFonts w:hint="eastAsia" w:ascii="宋体" w:hAnsi="宋体" w:eastAsia="宋体" w:cs="宋体"/>
          <w:b/>
          <w:bCs/>
          <w:color w:val="000000" w:themeColor="text1"/>
          <w:szCs w:val="24"/>
          <w:highlight w:val="none"/>
          <w:lang w:val="en-US" w:eastAsia="zh-CN"/>
          <w14:textFill>
            <w14:solidFill>
              <w14:schemeClr w14:val="tx1"/>
            </w14:solidFill>
          </w14:textFill>
        </w:rPr>
      </w:pPr>
      <w:bookmarkStart w:id="53" w:name="_Toc458617747"/>
      <w:bookmarkStart w:id="54" w:name="_Toc458617470"/>
      <w:bookmarkStart w:id="55" w:name="_Toc16393"/>
    </w:p>
    <w:p w14:paraId="2D673C96">
      <w:pPr>
        <w:spacing w:line="360" w:lineRule="auto"/>
        <w:rPr>
          <w:rFonts w:hint="eastAsia"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Cs w:val="24"/>
          <w:highlight w:val="none"/>
          <w14:textFill>
            <w14:solidFill>
              <w14:schemeClr w14:val="tx1"/>
            </w14:solidFill>
          </w14:textFill>
        </w:rPr>
        <w:t>采购项目概况</w:t>
      </w:r>
    </w:p>
    <w:p w14:paraId="57D6C3B3">
      <w:pPr>
        <w:spacing w:line="360" w:lineRule="auto"/>
        <w:ind w:firstLine="480" w:firstLineChars="200"/>
        <w:rPr>
          <w:rFonts w:hint="eastAsia" w:ascii="宋体" w:hAnsi="宋体" w:eastAsia="宋体" w:cs="宋体"/>
          <w:b w:val="0"/>
          <w:bCs w:val="0"/>
          <w:color w:val="000000" w:themeColor="text1"/>
          <w:szCs w:val="24"/>
          <w:highlight w:val="none"/>
          <w:lang w:eastAsia="zh-CN"/>
          <w14:textFill>
            <w14:solidFill>
              <w14:schemeClr w14:val="tx1"/>
            </w14:solidFill>
          </w14:textFill>
        </w:rPr>
      </w:pPr>
      <w:r>
        <w:rPr>
          <w:rFonts w:hint="eastAsia" w:ascii="宋体" w:hAnsi="宋体" w:eastAsia="宋体" w:cs="宋体"/>
          <w:b w:val="0"/>
          <w:bCs w:val="0"/>
          <w:color w:val="000000" w:themeColor="text1"/>
          <w:szCs w:val="24"/>
          <w:highlight w:val="none"/>
          <w14:textFill>
            <w14:solidFill>
              <w14:schemeClr w14:val="tx1"/>
            </w14:solidFill>
          </w14:textFill>
        </w:rPr>
        <w:t>本次改造项目坚持以人民为中心的发展思想，按照自愿、安全、便利、经济的原则。主要以“室内行走便利、如厕洗澡安全、厨房操作方便、居家环境改善、只能安全监护、辅助器具适配”为主要目标，对纳入分散供养特困人员范围的高龄、失能、残疾老年人家庭实施居家适老化改造。有条件的县区可以将改造对象范围逐步扩大到城乡低保对象中的高龄、失能、留守、空巢、残疾老年人家庭和计划生育特殊家庭等</w:t>
      </w:r>
      <w:r>
        <w:rPr>
          <w:rFonts w:hint="eastAsia" w:ascii="宋体" w:hAnsi="宋体" w:eastAsia="宋体" w:cs="宋体"/>
          <w:b w:val="0"/>
          <w:bCs w:val="0"/>
          <w:color w:val="000000" w:themeColor="text1"/>
          <w:szCs w:val="24"/>
          <w:highlight w:val="none"/>
          <w:lang w:eastAsia="zh-CN"/>
          <w14:textFill>
            <w14:solidFill>
              <w14:schemeClr w14:val="tx1"/>
            </w14:solidFill>
          </w14:textFill>
        </w:rPr>
        <w:t>。</w:t>
      </w:r>
    </w:p>
    <w:p w14:paraId="7E412FD6">
      <w:pPr>
        <w:spacing w:line="360" w:lineRule="auto"/>
        <w:ind w:firstLine="480" w:firstLineChars="200"/>
        <w:rPr>
          <w:rFonts w:hint="eastAsia" w:ascii="宋体" w:hAnsi="宋体" w:eastAsia="宋体" w:cs="宋体"/>
          <w:b w:val="0"/>
          <w:bCs w:val="0"/>
          <w:color w:val="000000" w:themeColor="text1"/>
          <w:szCs w:val="24"/>
          <w:highlight w:val="none"/>
          <w14:textFill>
            <w14:solidFill>
              <w14:schemeClr w14:val="tx1"/>
            </w14:solidFill>
          </w14:textFill>
        </w:rPr>
      </w:pPr>
      <w:r>
        <w:rPr>
          <w:rFonts w:hint="eastAsia" w:ascii="宋体" w:hAnsi="宋体" w:eastAsia="宋体" w:cs="宋体"/>
          <w:b w:val="0"/>
          <w:bCs w:val="0"/>
          <w:color w:val="000000" w:themeColor="text1"/>
          <w:szCs w:val="24"/>
          <w:highlight w:val="none"/>
          <w14:textFill>
            <w14:solidFill>
              <w14:schemeClr w14:val="tx1"/>
            </w14:solidFill>
          </w14:textFill>
        </w:rPr>
        <w:t>改造内容为:特殊困难老年人家庭适老化改造要聚集老年人安全、健康等功能性需求、选择适配性产品、组成不同场景居家环境的产品服务包，包括地面。墙体、居室、厨房间、卫生间等施工改造服务，围绕施工改造、设施配置、老年用品配置等方面，按照老年人家庭适老化项目和老年用品配置科学组织实施。</w:t>
      </w:r>
    </w:p>
    <w:p w14:paraId="4702D09C">
      <w:pPr>
        <w:spacing w:line="360" w:lineRule="auto"/>
        <w:ind w:firstLine="480" w:firstLineChars="200"/>
        <w:rPr>
          <w:rFonts w:hint="eastAsia" w:ascii="宋体" w:hAnsi="宋体" w:eastAsia="宋体" w:cs="宋体"/>
          <w:b w:val="0"/>
          <w:bCs w:val="0"/>
          <w:color w:val="000000" w:themeColor="text1"/>
          <w:szCs w:val="24"/>
          <w:highlight w:val="none"/>
          <w14:textFill>
            <w14:solidFill>
              <w14:schemeClr w14:val="tx1"/>
            </w14:solidFill>
          </w14:textFill>
        </w:rPr>
      </w:pPr>
      <w:r>
        <w:rPr>
          <w:rFonts w:hint="eastAsia" w:ascii="宋体" w:hAnsi="宋体" w:eastAsia="宋体" w:cs="宋体"/>
          <w:b w:val="0"/>
          <w:bCs w:val="0"/>
          <w:color w:val="000000" w:themeColor="text1"/>
          <w:szCs w:val="24"/>
          <w:highlight w:val="none"/>
          <w14:textFill>
            <w14:solidFill>
              <w14:schemeClr w14:val="tx1"/>
            </w14:solidFill>
          </w14:textFill>
        </w:rPr>
        <w:t>适老化改造计划</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50</w:t>
      </w:r>
      <w:r>
        <w:rPr>
          <w:rFonts w:hint="eastAsia" w:ascii="宋体" w:hAnsi="宋体" w:eastAsia="宋体" w:cs="宋体"/>
          <w:b w:val="0"/>
          <w:bCs w:val="0"/>
          <w:color w:val="000000" w:themeColor="text1"/>
          <w:szCs w:val="24"/>
          <w:highlight w:val="none"/>
          <w14:textFill>
            <w14:solidFill>
              <w14:schemeClr w14:val="tx1"/>
            </w14:solidFill>
          </w14:textFill>
        </w:rPr>
        <w:t>户，其中农村家庭</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30</w:t>
      </w:r>
      <w:r>
        <w:rPr>
          <w:rFonts w:hint="eastAsia" w:ascii="宋体" w:hAnsi="宋体" w:eastAsia="宋体" w:cs="宋体"/>
          <w:b w:val="0"/>
          <w:bCs w:val="0"/>
          <w:color w:val="000000" w:themeColor="text1"/>
          <w:szCs w:val="24"/>
          <w:highlight w:val="none"/>
          <w14:textFill>
            <w14:solidFill>
              <w14:schemeClr w14:val="tx1"/>
            </w14:solidFill>
          </w14:textFill>
        </w:rPr>
        <w:t>户，城镇家庭</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20</w:t>
      </w:r>
      <w:r>
        <w:rPr>
          <w:rFonts w:hint="eastAsia" w:ascii="宋体" w:hAnsi="宋体" w:eastAsia="宋体" w:cs="宋体"/>
          <w:b w:val="0"/>
          <w:bCs w:val="0"/>
          <w:color w:val="000000" w:themeColor="text1"/>
          <w:szCs w:val="24"/>
          <w:highlight w:val="none"/>
          <w14:textFill>
            <w14:solidFill>
              <w14:schemeClr w14:val="tx1"/>
            </w14:solidFill>
          </w14:textFill>
        </w:rPr>
        <w:t>户(具体以实际服务户数为准)，农村家庭改造按每户2000元</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补贴标准</w:t>
      </w:r>
      <w:r>
        <w:rPr>
          <w:rFonts w:hint="eastAsia" w:ascii="宋体" w:hAnsi="宋体" w:eastAsia="宋体" w:cs="宋体"/>
          <w:b w:val="0"/>
          <w:bCs w:val="0"/>
          <w:color w:val="000000" w:themeColor="text1"/>
          <w:szCs w:val="24"/>
          <w:highlight w:val="none"/>
          <w14:textFill>
            <w14:solidFill>
              <w14:schemeClr w14:val="tx1"/>
            </w14:solidFill>
          </w14:textFill>
        </w:rPr>
        <w:t>标准实施，城镇家庭改造按每户4000元</w:t>
      </w:r>
      <w:r>
        <w:rPr>
          <w:rFonts w:hint="eastAsia" w:ascii="宋体" w:hAnsi="宋体" w:eastAsia="宋体" w:cs="宋体"/>
          <w:b w:val="0"/>
          <w:bCs w:val="0"/>
          <w:color w:val="000000" w:themeColor="text1"/>
          <w:szCs w:val="24"/>
          <w:highlight w:val="none"/>
          <w:lang w:val="en-US" w:eastAsia="zh-CN"/>
          <w14:textFill>
            <w14:solidFill>
              <w14:schemeClr w14:val="tx1"/>
            </w14:solidFill>
          </w14:textFill>
        </w:rPr>
        <w:t>补贴标准</w:t>
      </w:r>
      <w:r>
        <w:rPr>
          <w:rFonts w:hint="eastAsia" w:ascii="宋体" w:hAnsi="宋体" w:eastAsia="宋体" w:cs="宋体"/>
          <w:b w:val="0"/>
          <w:bCs w:val="0"/>
          <w:color w:val="000000" w:themeColor="text1"/>
          <w:szCs w:val="24"/>
          <w:highlight w:val="none"/>
          <w14:textFill>
            <w14:solidFill>
              <w14:schemeClr w14:val="tx1"/>
            </w14:solidFill>
          </w14:textFill>
        </w:rPr>
        <w:t>实施。</w:t>
      </w:r>
    </w:p>
    <w:p w14:paraId="70393B6C">
      <w:pPr>
        <w:spacing w:line="360" w:lineRule="auto"/>
        <w:ind w:firstLine="480" w:firstLineChars="200"/>
        <w:rPr>
          <w:rFonts w:hint="eastAsia" w:ascii="宋体" w:hAnsi="宋体" w:eastAsia="宋体" w:cs="宋体"/>
          <w:b w:val="0"/>
          <w:bCs w:val="0"/>
          <w:color w:val="000000" w:themeColor="text1"/>
          <w:szCs w:val="24"/>
          <w:highlight w:val="none"/>
          <w14:textFill>
            <w14:solidFill>
              <w14:schemeClr w14:val="tx1"/>
            </w14:solidFill>
          </w14:textFill>
        </w:rPr>
      </w:pPr>
    </w:p>
    <w:p w14:paraId="26B96E88">
      <w:pPr>
        <w:jc w:val="left"/>
        <w:rPr>
          <w:rFonts w:hint="eastAsia" w:ascii="宋体" w:hAnsi="宋体" w:eastAsia="宋体" w:cs="宋体"/>
          <w:b/>
          <w:bCs/>
          <w:color w:val="000000" w:themeColor="text1"/>
          <w:szCs w:val="24"/>
          <w:highlight w:val="none"/>
          <w14:textFill>
            <w14:solidFill>
              <w14:schemeClr w14:val="tx1"/>
            </w14:solidFill>
          </w14:textFill>
        </w:rPr>
      </w:pPr>
    </w:p>
    <w:p w14:paraId="76AE0CB1">
      <w:pPr>
        <w:jc w:val="left"/>
        <w:rPr>
          <w:rFonts w:hint="eastAsia" w:ascii="宋体" w:hAnsi="宋体" w:eastAsia="宋体" w:cs="宋体"/>
          <w:b/>
          <w:bCs/>
          <w:color w:val="000000" w:themeColor="text1"/>
          <w:szCs w:val="24"/>
          <w:highlight w:val="none"/>
          <w14:textFill>
            <w14:solidFill>
              <w14:schemeClr w14:val="tx1"/>
            </w14:solidFill>
          </w14:textFill>
        </w:rPr>
      </w:pPr>
    </w:p>
    <w:p w14:paraId="3F328B9A">
      <w:pPr>
        <w:jc w:val="left"/>
        <w:rPr>
          <w:rFonts w:hint="eastAsia" w:ascii="宋体" w:hAnsi="宋体" w:eastAsia="宋体" w:cs="宋体"/>
          <w:b/>
          <w:bCs/>
          <w:color w:val="000000" w:themeColor="text1"/>
          <w:szCs w:val="24"/>
          <w:highlight w:val="none"/>
          <w14:textFill>
            <w14:solidFill>
              <w14:schemeClr w14:val="tx1"/>
            </w14:solidFill>
          </w14:textFill>
        </w:rPr>
      </w:pPr>
    </w:p>
    <w:p w14:paraId="67528BE9">
      <w:pPr>
        <w:jc w:val="left"/>
        <w:rPr>
          <w:rFonts w:hint="eastAsia" w:ascii="宋体" w:hAnsi="宋体" w:eastAsia="宋体" w:cs="宋体"/>
          <w:b/>
          <w:bCs/>
          <w:color w:val="000000" w:themeColor="text1"/>
          <w:szCs w:val="24"/>
          <w:highlight w:val="none"/>
          <w14:textFill>
            <w14:solidFill>
              <w14:schemeClr w14:val="tx1"/>
            </w14:solidFill>
          </w14:textFill>
        </w:rPr>
      </w:pPr>
    </w:p>
    <w:p w14:paraId="30908E12">
      <w:pPr>
        <w:jc w:val="left"/>
        <w:rPr>
          <w:rFonts w:hint="eastAsia" w:ascii="宋体" w:hAnsi="宋体" w:eastAsia="宋体" w:cs="宋体"/>
          <w:b/>
          <w:bCs/>
          <w:color w:val="000000" w:themeColor="text1"/>
          <w:szCs w:val="24"/>
          <w:highlight w:val="none"/>
          <w14:textFill>
            <w14:solidFill>
              <w14:schemeClr w14:val="tx1"/>
            </w14:solidFill>
          </w14:textFill>
        </w:rPr>
      </w:pPr>
    </w:p>
    <w:p w14:paraId="6CD3588A">
      <w:pPr>
        <w:jc w:val="left"/>
        <w:rPr>
          <w:rFonts w:hint="eastAsia" w:ascii="宋体" w:hAnsi="宋体" w:eastAsia="宋体" w:cs="宋体"/>
          <w:b/>
          <w:bCs/>
          <w:color w:val="000000" w:themeColor="text1"/>
          <w:szCs w:val="24"/>
          <w:highlight w:val="none"/>
          <w14:textFill>
            <w14:solidFill>
              <w14:schemeClr w14:val="tx1"/>
            </w14:solidFill>
          </w14:textFill>
        </w:rPr>
      </w:pPr>
    </w:p>
    <w:p w14:paraId="3DB8871E">
      <w:pPr>
        <w:jc w:val="left"/>
        <w:rPr>
          <w:rFonts w:hint="eastAsia" w:ascii="宋体" w:hAnsi="宋体" w:eastAsia="宋体" w:cs="宋体"/>
          <w:b/>
          <w:bCs/>
          <w:color w:val="000000" w:themeColor="text1"/>
          <w:szCs w:val="24"/>
          <w:highlight w:val="none"/>
          <w14:textFill>
            <w14:solidFill>
              <w14:schemeClr w14:val="tx1"/>
            </w14:solidFill>
          </w14:textFill>
        </w:rPr>
      </w:pPr>
    </w:p>
    <w:p w14:paraId="0A8213ED">
      <w:pPr>
        <w:jc w:val="left"/>
        <w:rPr>
          <w:rFonts w:hint="eastAsia" w:ascii="宋体" w:hAnsi="宋体" w:eastAsia="宋体" w:cs="宋体"/>
          <w:b/>
          <w:bCs/>
          <w:color w:val="000000" w:themeColor="text1"/>
          <w:szCs w:val="24"/>
          <w:highlight w:val="none"/>
          <w14:textFill>
            <w14:solidFill>
              <w14:schemeClr w14:val="tx1"/>
            </w14:solidFill>
          </w14:textFill>
        </w:rPr>
      </w:pPr>
    </w:p>
    <w:p w14:paraId="68094179">
      <w:pPr>
        <w:jc w:val="left"/>
        <w:rPr>
          <w:rFonts w:hint="eastAsia" w:ascii="宋体" w:hAnsi="宋体" w:eastAsia="宋体" w:cs="宋体"/>
          <w:b/>
          <w:bCs/>
          <w:color w:val="000000" w:themeColor="text1"/>
          <w:szCs w:val="24"/>
          <w:highlight w:val="none"/>
          <w14:textFill>
            <w14:solidFill>
              <w14:schemeClr w14:val="tx1"/>
            </w14:solidFill>
          </w14:textFill>
        </w:rPr>
      </w:pPr>
    </w:p>
    <w:p w14:paraId="7CEE49B4">
      <w:pPr>
        <w:jc w:val="left"/>
        <w:rPr>
          <w:rFonts w:hint="eastAsia" w:ascii="宋体" w:hAnsi="宋体" w:eastAsia="宋体" w:cs="宋体"/>
          <w:b/>
          <w:bCs/>
          <w:color w:val="000000" w:themeColor="text1"/>
          <w:szCs w:val="24"/>
          <w:highlight w:val="none"/>
          <w14:textFill>
            <w14:solidFill>
              <w14:schemeClr w14:val="tx1"/>
            </w14:solidFill>
          </w14:textFill>
        </w:rPr>
      </w:pPr>
    </w:p>
    <w:p w14:paraId="7A7F8CE5">
      <w:pPr>
        <w:jc w:val="left"/>
        <w:rPr>
          <w:rFonts w:hint="eastAsia" w:ascii="宋体" w:hAnsi="宋体" w:eastAsia="宋体" w:cs="宋体"/>
          <w:b/>
          <w:bCs/>
          <w:color w:val="000000" w:themeColor="text1"/>
          <w:szCs w:val="24"/>
          <w:highlight w:val="none"/>
          <w14:textFill>
            <w14:solidFill>
              <w14:schemeClr w14:val="tx1"/>
            </w14:solidFill>
          </w14:textFill>
        </w:rPr>
      </w:pPr>
    </w:p>
    <w:p w14:paraId="36A49F6E">
      <w:pPr>
        <w:jc w:val="left"/>
        <w:rPr>
          <w:rFonts w:hint="eastAsia" w:ascii="宋体" w:hAnsi="宋体" w:eastAsia="宋体" w:cs="宋体"/>
          <w:b/>
          <w:bCs/>
          <w:color w:val="000000" w:themeColor="text1"/>
          <w:szCs w:val="24"/>
          <w:highlight w:val="none"/>
          <w14:textFill>
            <w14:solidFill>
              <w14:schemeClr w14:val="tx1"/>
            </w14:solidFill>
          </w14:textFill>
        </w:rPr>
      </w:pPr>
    </w:p>
    <w:p w14:paraId="7B2C0255">
      <w:pPr>
        <w:jc w:val="left"/>
        <w:rPr>
          <w:rFonts w:hint="eastAsia" w:ascii="宋体" w:hAnsi="宋体" w:eastAsia="宋体" w:cs="宋体"/>
          <w:b/>
          <w:bCs/>
          <w:color w:val="000000" w:themeColor="text1"/>
          <w:szCs w:val="24"/>
          <w:highlight w:val="none"/>
          <w14:textFill>
            <w14:solidFill>
              <w14:schemeClr w14:val="tx1"/>
            </w14:solidFill>
          </w14:textFill>
        </w:rPr>
      </w:pPr>
    </w:p>
    <w:p w14:paraId="269339B2">
      <w:pPr>
        <w:jc w:val="left"/>
        <w:rPr>
          <w:rFonts w:hint="eastAsia" w:ascii="宋体" w:hAnsi="宋体" w:eastAsia="宋体" w:cs="宋体"/>
          <w:b/>
          <w:bCs/>
          <w:color w:val="000000" w:themeColor="text1"/>
          <w:szCs w:val="24"/>
          <w:highlight w:val="none"/>
          <w14:textFill>
            <w14:solidFill>
              <w14:schemeClr w14:val="tx1"/>
            </w14:solidFill>
          </w14:textFill>
        </w:rPr>
      </w:pPr>
    </w:p>
    <w:p w14:paraId="44A82901">
      <w:pPr>
        <w:jc w:val="left"/>
        <w:rPr>
          <w:rFonts w:hint="eastAsia" w:ascii="宋体" w:hAnsi="宋体" w:eastAsia="宋体" w:cs="宋体"/>
          <w:b/>
          <w:bCs/>
          <w:color w:val="000000" w:themeColor="text1"/>
          <w:szCs w:val="24"/>
          <w:highlight w:val="none"/>
          <w14:textFill>
            <w14:solidFill>
              <w14:schemeClr w14:val="tx1"/>
            </w14:solidFill>
          </w14:textFill>
        </w:rPr>
      </w:pPr>
    </w:p>
    <w:p w14:paraId="46BF1E9C">
      <w:pPr>
        <w:jc w:val="left"/>
        <w:rPr>
          <w:rFonts w:hint="eastAsia" w:ascii="宋体" w:hAnsi="宋体" w:eastAsia="宋体" w:cs="宋体"/>
          <w:b/>
          <w:bCs/>
          <w:color w:val="000000" w:themeColor="text1"/>
          <w:szCs w:val="24"/>
          <w:highlight w:val="none"/>
          <w14:textFill>
            <w14:solidFill>
              <w14:schemeClr w14:val="tx1"/>
            </w14:solidFill>
          </w14:textFill>
        </w:rPr>
      </w:pPr>
    </w:p>
    <w:p w14:paraId="2364E804">
      <w:pPr>
        <w:jc w:val="left"/>
        <w:rPr>
          <w:rFonts w:hint="eastAsia" w:ascii="宋体" w:hAnsi="宋体" w:eastAsia="宋体" w:cs="宋体"/>
          <w:b/>
          <w:bCs/>
          <w:color w:val="000000" w:themeColor="text1"/>
          <w:szCs w:val="24"/>
          <w:highlight w:val="none"/>
          <w14:textFill>
            <w14:solidFill>
              <w14:schemeClr w14:val="tx1"/>
            </w14:solidFill>
          </w14:textFill>
        </w:rPr>
      </w:pPr>
    </w:p>
    <w:p w14:paraId="1DBD5C5B">
      <w:pPr>
        <w:jc w:val="left"/>
        <w:rPr>
          <w:rFonts w:hint="eastAsia" w:ascii="宋体" w:hAnsi="宋体" w:eastAsia="宋体" w:cs="宋体"/>
          <w:b/>
          <w:bCs/>
          <w:color w:val="000000" w:themeColor="text1"/>
          <w:szCs w:val="24"/>
          <w:highlight w:val="none"/>
          <w14:textFill>
            <w14:solidFill>
              <w14:schemeClr w14:val="tx1"/>
            </w14:solidFill>
          </w14:textFill>
        </w:rPr>
      </w:pPr>
    </w:p>
    <w:p w14:paraId="29897F6D">
      <w:pPr>
        <w:jc w:val="left"/>
        <w:rPr>
          <w:rFonts w:hint="eastAsia" w:ascii="宋体" w:hAnsi="宋体" w:eastAsia="宋体" w:cs="宋体"/>
          <w:b/>
          <w:bCs/>
          <w:color w:val="000000" w:themeColor="text1"/>
          <w:szCs w:val="24"/>
          <w:highlight w:val="none"/>
          <w14:textFill>
            <w14:solidFill>
              <w14:schemeClr w14:val="tx1"/>
            </w14:solidFill>
          </w14:textFill>
        </w:rPr>
      </w:pPr>
    </w:p>
    <w:p w14:paraId="2972BA79">
      <w:pPr>
        <w:jc w:val="left"/>
        <w:rPr>
          <w:rFonts w:hint="eastAsia" w:ascii="宋体" w:hAnsi="宋体" w:eastAsia="宋体" w:cs="宋体"/>
          <w:b/>
          <w:bCs/>
          <w:color w:val="000000" w:themeColor="text1"/>
          <w:szCs w:val="24"/>
          <w:highlight w:val="none"/>
          <w14:textFill>
            <w14:solidFill>
              <w14:schemeClr w14:val="tx1"/>
            </w14:solidFill>
          </w14:textFill>
        </w:rPr>
      </w:pPr>
    </w:p>
    <w:p w14:paraId="432A7C67">
      <w:pPr>
        <w:jc w:val="left"/>
        <w:rPr>
          <w:rFonts w:hint="eastAsia" w:ascii="宋体" w:hAnsi="宋体" w:eastAsia="宋体" w:cs="宋体"/>
          <w:b/>
          <w:bCs/>
          <w:color w:val="000000" w:themeColor="text1"/>
          <w:szCs w:val="24"/>
          <w:highlight w:val="none"/>
          <w14:textFill>
            <w14:solidFill>
              <w14:schemeClr w14:val="tx1"/>
            </w14:solidFill>
          </w14:textFill>
        </w:rPr>
      </w:pPr>
    </w:p>
    <w:p w14:paraId="477BA59E">
      <w:pPr>
        <w:jc w:val="left"/>
        <w:rPr>
          <w:rFonts w:hint="eastAsia" w:ascii="宋体" w:hAnsi="宋体" w:eastAsia="宋体" w:cs="宋体"/>
          <w:b/>
          <w:bCs/>
          <w:color w:val="000000" w:themeColor="text1"/>
          <w:szCs w:val="24"/>
          <w:highlight w:val="none"/>
          <w14:textFill>
            <w14:solidFill>
              <w14:schemeClr w14:val="tx1"/>
            </w14:solidFill>
          </w14:textFill>
        </w:rPr>
      </w:pPr>
    </w:p>
    <w:p w14:paraId="28234F8C">
      <w:pPr>
        <w:jc w:val="left"/>
        <w:rPr>
          <w:rFonts w:hint="eastAsia" w:ascii="宋体" w:hAnsi="宋体" w:eastAsia="宋体" w:cs="宋体"/>
          <w:b/>
          <w:bCs/>
          <w:color w:val="000000" w:themeColor="text1"/>
          <w:szCs w:val="24"/>
          <w:highlight w:val="none"/>
          <w14:textFill>
            <w14:solidFill>
              <w14:schemeClr w14:val="tx1"/>
            </w14:solidFill>
          </w14:textFill>
        </w:rPr>
      </w:pPr>
    </w:p>
    <w:p w14:paraId="6497A3E7">
      <w:pPr>
        <w:jc w:val="left"/>
        <w:rPr>
          <w:rFonts w:hint="eastAsia" w:ascii="宋体" w:hAnsi="宋体" w:eastAsia="宋体" w:cs="宋体"/>
          <w:b/>
          <w:bCs/>
          <w:szCs w:val="24"/>
          <w:highlight w:val="none"/>
          <w:lang w:eastAsia="zh-CN"/>
        </w:rPr>
      </w:pPr>
      <w:r>
        <w:rPr>
          <w:rFonts w:hint="eastAsia" w:ascii="宋体" w:hAnsi="宋体" w:eastAsia="宋体" w:cs="宋体"/>
          <w:b/>
          <w:bCs/>
          <w:color w:val="000000" w:themeColor="text1"/>
          <w:szCs w:val="24"/>
          <w:highlight w:val="none"/>
          <w14:textFill>
            <w14:solidFill>
              <w14:schemeClr w14:val="tx1"/>
            </w14:solidFill>
          </w14:textFill>
        </w:rPr>
        <w:t>二、</w:t>
      </w:r>
      <w:r>
        <w:rPr>
          <w:rFonts w:hint="eastAsia" w:ascii="宋体" w:hAnsi="宋体" w:eastAsia="宋体" w:cs="宋体"/>
          <w:b/>
          <w:bCs/>
          <w:szCs w:val="24"/>
          <w:highlight w:val="none"/>
          <w:lang w:val="en-US" w:eastAsia="zh-CN"/>
        </w:rPr>
        <w:t>采购清单</w:t>
      </w:r>
    </w:p>
    <w:p w14:paraId="5B7F7519">
      <w:pPr>
        <w:pStyle w:val="13"/>
        <w:spacing w:before="215" w:line="219" w:lineRule="auto"/>
        <w:ind w:left="1102" w:firstLine="681" w:firstLineChars="300"/>
        <w:rPr>
          <w:sz w:val="28"/>
          <w:szCs w:val="28"/>
          <w:highlight w:val="none"/>
        </w:rPr>
      </w:pPr>
      <w:r>
        <w:rPr>
          <w:b/>
          <w:bCs/>
          <w:spacing w:val="-27"/>
          <w:sz w:val="28"/>
          <w:szCs w:val="28"/>
          <w:highlight w:val="none"/>
        </w:rPr>
        <w:t>特殊困难老年人家庭适老化改造项目和老年用品配置推荐清单</w:t>
      </w:r>
    </w:p>
    <w:p w14:paraId="18936A6E">
      <w:pPr>
        <w:spacing w:line="121" w:lineRule="exact"/>
        <w:rPr>
          <w:highlight w:val="none"/>
        </w:rPr>
      </w:pPr>
    </w:p>
    <w:tbl>
      <w:tblPr>
        <w:tblStyle w:val="145"/>
        <w:tblW w:w="9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428"/>
        <w:gridCol w:w="1403"/>
        <w:gridCol w:w="4728"/>
        <w:gridCol w:w="1149"/>
      </w:tblGrid>
      <w:tr w14:paraId="399D7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630" w:type="dxa"/>
            <w:vAlign w:val="top"/>
          </w:tcPr>
          <w:p w14:paraId="5C2B986A">
            <w:pPr>
              <w:spacing w:line="395" w:lineRule="auto"/>
              <w:rPr>
                <w:rFonts w:hint="eastAsia" w:asciiTheme="majorEastAsia" w:hAnsiTheme="majorEastAsia" w:eastAsiaTheme="majorEastAsia" w:cstheme="majorEastAsia"/>
                <w:sz w:val="21"/>
                <w:highlight w:val="none"/>
              </w:rPr>
            </w:pPr>
          </w:p>
          <w:p w14:paraId="19369CE0">
            <w:pPr>
              <w:pStyle w:val="144"/>
              <w:spacing w:before="65" w:line="229" w:lineRule="auto"/>
              <w:ind w:left="95"/>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7"/>
                <w:sz w:val="20"/>
                <w:szCs w:val="20"/>
                <w:highlight w:val="none"/>
              </w:rPr>
              <w:t>序号</w:t>
            </w:r>
          </w:p>
        </w:tc>
        <w:tc>
          <w:tcPr>
            <w:tcW w:w="1428" w:type="dxa"/>
            <w:vAlign w:val="top"/>
          </w:tcPr>
          <w:p w14:paraId="09C87ACD">
            <w:pPr>
              <w:spacing w:line="394" w:lineRule="auto"/>
              <w:rPr>
                <w:rFonts w:hint="eastAsia" w:asciiTheme="majorEastAsia" w:hAnsiTheme="majorEastAsia" w:eastAsiaTheme="majorEastAsia" w:cstheme="majorEastAsia"/>
                <w:sz w:val="21"/>
                <w:highlight w:val="none"/>
              </w:rPr>
            </w:pPr>
          </w:p>
          <w:p w14:paraId="11D8DAD6">
            <w:pPr>
              <w:pStyle w:val="144"/>
              <w:spacing w:before="65" w:line="228" w:lineRule="auto"/>
              <w:ind w:left="513"/>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0"/>
                <w:sz w:val="20"/>
                <w:szCs w:val="20"/>
                <w:highlight w:val="none"/>
              </w:rPr>
              <w:t>类别</w:t>
            </w:r>
          </w:p>
        </w:tc>
        <w:tc>
          <w:tcPr>
            <w:tcW w:w="1403" w:type="dxa"/>
            <w:vAlign w:val="top"/>
          </w:tcPr>
          <w:p w14:paraId="0ACA34F8">
            <w:pPr>
              <w:spacing w:line="400" w:lineRule="auto"/>
              <w:rPr>
                <w:rFonts w:hint="eastAsia" w:asciiTheme="majorEastAsia" w:hAnsiTheme="majorEastAsia" w:eastAsiaTheme="majorEastAsia" w:cstheme="majorEastAsia"/>
                <w:sz w:val="21"/>
                <w:highlight w:val="none"/>
              </w:rPr>
            </w:pPr>
          </w:p>
          <w:p w14:paraId="1FF5CF1D">
            <w:pPr>
              <w:pStyle w:val="144"/>
              <w:spacing w:before="65" w:line="228" w:lineRule="auto"/>
              <w:ind w:left="27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项</w:t>
            </w:r>
            <w:r>
              <w:rPr>
                <w:rFonts w:hint="eastAsia" w:asciiTheme="majorEastAsia" w:hAnsiTheme="majorEastAsia" w:eastAsiaTheme="majorEastAsia" w:cstheme="majorEastAsia"/>
                <w:spacing w:val="-32"/>
                <w:sz w:val="20"/>
                <w:szCs w:val="20"/>
                <w:highlight w:val="none"/>
              </w:rPr>
              <w:t xml:space="preserve"> </w:t>
            </w:r>
            <w:r>
              <w:rPr>
                <w:rFonts w:hint="eastAsia" w:asciiTheme="majorEastAsia" w:hAnsiTheme="majorEastAsia" w:eastAsiaTheme="majorEastAsia" w:cstheme="majorEastAsia"/>
                <w:spacing w:val="3"/>
                <w:sz w:val="20"/>
                <w:szCs w:val="20"/>
                <w:highlight w:val="none"/>
              </w:rPr>
              <w:t>目名称</w:t>
            </w:r>
          </w:p>
        </w:tc>
        <w:tc>
          <w:tcPr>
            <w:tcW w:w="4728" w:type="dxa"/>
            <w:vAlign w:val="top"/>
          </w:tcPr>
          <w:p w14:paraId="7FA59ED0">
            <w:pPr>
              <w:spacing w:line="394" w:lineRule="auto"/>
              <w:rPr>
                <w:rFonts w:hint="eastAsia" w:asciiTheme="majorEastAsia" w:hAnsiTheme="majorEastAsia" w:eastAsiaTheme="majorEastAsia" w:cstheme="majorEastAsia"/>
                <w:sz w:val="21"/>
                <w:highlight w:val="none"/>
              </w:rPr>
            </w:pPr>
          </w:p>
          <w:p w14:paraId="5E898992">
            <w:pPr>
              <w:pStyle w:val="144"/>
              <w:spacing w:before="65" w:line="228" w:lineRule="auto"/>
              <w:ind w:left="1973"/>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20"/>
                <w:sz w:val="20"/>
                <w:szCs w:val="20"/>
                <w:highlight w:val="none"/>
              </w:rPr>
              <w:t>具体内容</w:t>
            </w:r>
          </w:p>
        </w:tc>
        <w:tc>
          <w:tcPr>
            <w:tcW w:w="1149" w:type="dxa"/>
            <w:vAlign w:val="top"/>
          </w:tcPr>
          <w:p w14:paraId="1A40B8A6">
            <w:pPr>
              <w:spacing w:line="394" w:lineRule="auto"/>
              <w:rPr>
                <w:rFonts w:hint="eastAsia" w:asciiTheme="majorEastAsia" w:hAnsiTheme="majorEastAsia" w:eastAsiaTheme="majorEastAsia" w:cstheme="majorEastAsia"/>
                <w:sz w:val="21"/>
                <w:highlight w:val="none"/>
              </w:rPr>
            </w:pPr>
          </w:p>
          <w:p w14:paraId="14CB7DB1">
            <w:pPr>
              <w:pStyle w:val="144"/>
              <w:spacing w:before="65" w:line="228" w:lineRule="auto"/>
              <w:ind w:left="178"/>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6"/>
                <w:sz w:val="20"/>
                <w:szCs w:val="20"/>
                <w:highlight w:val="none"/>
              </w:rPr>
              <w:t>项目类型</w:t>
            </w:r>
          </w:p>
        </w:tc>
      </w:tr>
      <w:tr w14:paraId="2A796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630" w:type="dxa"/>
            <w:vAlign w:val="top"/>
          </w:tcPr>
          <w:p w14:paraId="6386F3D5">
            <w:pPr>
              <w:spacing w:line="398" w:lineRule="auto"/>
              <w:rPr>
                <w:rFonts w:hint="eastAsia" w:asciiTheme="majorEastAsia" w:hAnsiTheme="majorEastAsia" w:eastAsiaTheme="majorEastAsia" w:cstheme="majorEastAsia"/>
                <w:sz w:val="21"/>
                <w:highlight w:val="none"/>
              </w:rPr>
            </w:pPr>
          </w:p>
          <w:p w14:paraId="50EEDC52">
            <w:pPr>
              <w:pStyle w:val="144"/>
              <w:spacing w:before="65" w:line="270" w:lineRule="exact"/>
              <w:ind w:left="289"/>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1</w:t>
            </w:r>
          </w:p>
        </w:tc>
        <w:tc>
          <w:tcPr>
            <w:tcW w:w="1428" w:type="dxa"/>
            <w:vMerge w:val="restart"/>
            <w:tcBorders>
              <w:bottom w:val="nil"/>
            </w:tcBorders>
            <w:vAlign w:val="top"/>
          </w:tcPr>
          <w:p w14:paraId="7E3CF68D">
            <w:pPr>
              <w:spacing w:line="261" w:lineRule="auto"/>
              <w:rPr>
                <w:rFonts w:hint="eastAsia" w:asciiTheme="majorEastAsia" w:hAnsiTheme="majorEastAsia" w:eastAsiaTheme="majorEastAsia" w:cstheme="majorEastAsia"/>
                <w:sz w:val="21"/>
                <w:highlight w:val="none"/>
              </w:rPr>
            </w:pPr>
          </w:p>
          <w:p w14:paraId="04D79319">
            <w:pPr>
              <w:spacing w:line="261" w:lineRule="auto"/>
              <w:rPr>
                <w:rFonts w:hint="eastAsia" w:asciiTheme="majorEastAsia" w:hAnsiTheme="majorEastAsia" w:eastAsiaTheme="majorEastAsia" w:cstheme="majorEastAsia"/>
                <w:sz w:val="21"/>
                <w:highlight w:val="none"/>
              </w:rPr>
            </w:pPr>
          </w:p>
          <w:p w14:paraId="0698940A">
            <w:pPr>
              <w:spacing w:line="262" w:lineRule="auto"/>
              <w:rPr>
                <w:rFonts w:hint="eastAsia" w:asciiTheme="majorEastAsia" w:hAnsiTheme="majorEastAsia" w:eastAsiaTheme="majorEastAsia" w:cstheme="majorEastAsia"/>
                <w:sz w:val="21"/>
                <w:highlight w:val="none"/>
              </w:rPr>
            </w:pPr>
          </w:p>
          <w:p w14:paraId="0E74F48E">
            <w:pPr>
              <w:spacing w:line="262" w:lineRule="auto"/>
              <w:rPr>
                <w:rFonts w:hint="eastAsia" w:asciiTheme="majorEastAsia" w:hAnsiTheme="majorEastAsia" w:eastAsiaTheme="majorEastAsia" w:cstheme="majorEastAsia"/>
                <w:sz w:val="21"/>
                <w:highlight w:val="none"/>
              </w:rPr>
            </w:pPr>
          </w:p>
          <w:p w14:paraId="39252935">
            <w:pPr>
              <w:spacing w:line="262" w:lineRule="auto"/>
              <w:rPr>
                <w:rFonts w:hint="eastAsia" w:asciiTheme="majorEastAsia" w:hAnsiTheme="majorEastAsia" w:eastAsiaTheme="majorEastAsia" w:cstheme="majorEastAsia"/>
                <w:sz w:val="21"/>
                <w:highlight w:val="none"/>
              </w:rPr>
            </w:pPr>
          </w:p>
          <w:p w14:paraId="6C67D6AC">
            <w:pPr>
              <w:spacing w:line="262" w:lineRule="auto"/>
              <w:rPr>
                <w:rFonts w:hint="eastAsia" w:asciiTheme="majorEastAsia" w:hAnsiTheme="majorEastAsia" w:eastAsiaTheme="majorEastAsia" w:cstheme="majorEastAsia"/>
                <w:sz w:val="21"/>
                <w:highlight w:val="none"/>
              </w:rPr>
            </w:pPr>
          </w:p>
          <w:p w14:paraId="1EB7EF69">
            <w:pPr>
              <w:spacing w:line="262" w:lineRule="auto"/>
              <w:rPr>
                <w:rFonts w:hint="eastAsia" w:asciiTheme="majorEastAsia" w:hAnsiTheme="majorEastAsia" w:eastAsiaTheme="majorEastAsia" w:cstheme="majorEastAsia"/>
                <w:sz w:val="21"/>
                <w:highlight w:val="none"/>
              </w:rPr>
            </w:pPr>
          </w:p>
          <w:p w14:paraId="0A4ED87D">
            <w:pPr>
              <w:spacing w:line="262" w:lineRule="auto"/>
              <w:rPr>
                <w:rFonts w:hint="eastAsia" w:asciiTheme="majorEastAsia" w:hAnsiTheme="majorEastAsia" w:eastAsiaTheme="majorEastAsia" w:cstheme="majorEastAsia"/>
                <w:sz w:val="21"/>
                <w:highlight w:val="none"/>
              </w:rPr>
            </w:pPr>
          </w:p>
          <w:p w14:paraId="2D5D0B44">
            <w:pPr>
              <w:pStyle w:val="144"/>
              <w:spacing w:before="65" w:line="228" w:lineRule="auto"/>
              <w:ind w:left="142"/>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
                <w:sz w:val="20"/>
                <w:szCs w:val="20"/>
                <w:highlight w:val="none"/>
              </w:rPr>
              <w:t>(一)地面改造</w:t>
            </w:r>
          </w:p>
        </w:tc>
        <w:tc>
          <w:tcPr>
            <w:tcW w:w="1403" w:type="dxa"/>
            <w:vAlign w:val="top"/>
          </w:tcPr>
          <w:p w14:paraId="21140846">
            <w:pPr>
              <w:spacing w:line="399" w:lineRule="auto"/>
              <w:rPr>
                <w:rFonts w:hint="eastAsia" w:asciiTheme="majorEastAsia" w:hAnsiTheme="majorEastAsia" w:eastAsiaTheme="majorEastAsia" w:cstheme="majorEastAsia"/>
                <w:sz w:val="21"/>
                <w:highlight w:val="none"/>
              </w:rPr>
            </w:pPr>
          </w:p>
          <w:p w14:paraId="789C4F14">
            <w:pPr>
              <w:pStyle w:val="144"/>
              <w:spacing w:before="65" w:line="228" w:lineRule="auto"/>
              <w:ind w:left="318"/>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4"/>
                <w:sz w:val="20"/>
                <w:szCs w:val="20"/>
                <w:highlight w:val="none"/>
              </w:rPr>
              <w:t>防滑处理</w:t>
            </w:r>
          </w:p>
        </w:tc>
        <w:tc>
          <w:tcPr>
            <w:tcW w:w="4728" w:type="dxa"/>
            <w:vAlign w:val="top"/>
          </w:tcPr>
          <w:p w14:paraId="726E0352">
            <w:pPr>
              <w:spacing w:line="244" w:lineRule="auto"/>
              <w:rPr>
                <w:rFonts w:hint="eastAsia" w:asciiTheme="majorEastAsia" w:hAnsiTheme="majorEastAsia" w:eastAsiaTheme="majorEastAsia" w:cstheme="majorEastAsia"/>
                <w:sz w:val="21"/>
                <w:highlight w:val="none"/>
              </w:rPr>
            </w:pPr>
          </w:p>
          <w:p w14:paraId="34385B0F">
            <w:pPr>
              <w:pStyle w:val="144"/>
              <w:spacing w:before="65" w:line="289" w:lineRule="auto"/>
              <w:ind w:left="124" w:right="73" w:hanging="14"/>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4"/>
                <w:sz w:val="20"/>
                <w:szCs w:val="20"/>
                <w:highlight w:val="none"/>
                <w:lang w:val="en-US" w:eastAsia="zh-CN"/>
              </w:rPr>
              <w:t>在卫生间、厨房、卧室等区域，铺设防滑砖或者防滑地胶，避免老年人滑倒、提高安全性。</w:t>
            </w:r>
          </w:p>
        </w:tc>
        <w:tc>
          <w:tcPr>
            <w:tcW w:w="1149" w:type="dxa"/>
            <w:vAlign w:val="top"/>
          </w:tcPr>
          <w:p w14:paraId="52C395C2">
            <w:pPr>
              <w:spacing w:line="399" w:lineRule="auto"/>
              <w:rPr>
                <w:rFonts w:hint="eastAsia" w:asciiTheme="majorEastAsia" w:hAnsiTheme="majorEastAsia" w:eastAsiaTheme="majorEastAsia" w:cstheme="majorEastAsia"/>
                <w:sz w:val="21"/>
                <w:highlight w:val="none"/>
              </w:rPr>
            </w:pPr>
          </w:p>
          <w:p w14:paraId="79AF114C">
            <w:pPr>
              <w:pStyle w:val="144"/>
              <w:spacing w:before="65" w:line="233" w:lineRule="auto"/>
              <w:ind w:left="386"/>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4"/>
                <w:sz w:val="20"/>
                <w:szCs w:val="20"/>
                <w:highlight w:val="none"/>
              </w:rPr>
              <w:t>基础</w:t>
            </w:r>
          </w:p>
        </w:tc>
      </w:tr>
      <w:tr w14:paraId="39AE8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630" w:type="dxa"/>
            <w:vAlign w:val="top"/>
          </w:tcPr>
          <w:p w14:paraId="2D0E4251">
            <w:pPr>
              <w:spacing w:line="301" w:lineRule="auto"/>
              <w:rPr>
                <w:rFonts w:hint="eastAsia" w:asciiTheme="majorEastAsia" w:hAnsiTheme="majorEastAsia" w:eastAsiaTheme="majorEastAsia" w:cstheme="majorEastAsia"/>
                <w:sz w:val="21"/>
                <w:highlight w:val="none"/>
              </w:rPr>
            </w:pPr>
          </w:p>
          <w:p w14:paraId="6204F8A4">
            <w:pPr>
              <w:spacing w:line="302" w:lineRule="auto"/>
              <w:rPr>
                <w:rFonts w:hint="eastAsia" w:asciiTheme="majorEastAsia" w:hAnsiTheme="majorEastAsia" w:eastAsiaTheme="majorEastAsia" w:cstheme="majorEastAsia"/>
                <w:sz w:val="21"/>
                <w:highlight w:val="none"/>
              </w:rPr>
            </w:pPr>
          </w:p>
          <w:p w14:paraId="7348DF6E">
            <w:pPr>
              <w:pStyle w:val="144"/>
              <w:spacing w:before="65" w:line="270" w:lineRule="exact"/>
              <w:ind w:left="276"/>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2</w:t>
            </w:r>
          </w:p>
        </w:tc>
        <w:tc>
          <w:tcPr>
            <w:tcW w:w="1428" w:type="dxa"/>
            <w:vMerge w:val="continue"/>
            <w:tcBorders>
              <w:top w:val="nil"/>
              <w:bottom w:val="nil"/>
            </w:tcBorders>
            <w:vAlign w:val="top"/>
          </w:tcPr>
          <w:p w14:paraId="4CC43406">
            <w:pPr>
              <w:rPr>
                <w:rFonts w:hint="eastAsia" w:asciiTheme="majorEastAsia" w:hAnsiTheme="majorEastAsia" w:eastAsiaTheme="majorEastAsia" w:cstheme="majorEastAsia"/>
                <w:sz w:val="21"/>
                <w:highlight w:val="none"/>
              </w:rPr>
            </w:pPr>
          </w:p>
        </w:tc>
        <w:tc>
          <w:tcPr>
            <w:tcW w:w="1403" w:type="dxa"/>
            <w:vAlign w:val="top"/>
          </w:tcPr>
          <w:p w14:paraId="08654472">
            <w:pPr>
              <w:spacing w:line="393" w:lineRule="auto"/>
              <w:rPr>
                <w:rFonts w:hint="eastAsia" w:asciiTheme="majorEastAsia" w:hAnsiTheme="majorEastAsia" w:eastAsiaTheme="majorEastAsia" w:cstheme="majorEastAsia"/>
                <w:sz w:val="21"/>
                <w:highlight w:val="none"/>
              </w:rPr>
            </w:pPr>
          </w:p>
          <w:p w14:paraId="0BB67BCB">
            <w:pPr>
              <w:pStyle w:val="144"/>
              <w:spacing w:before="65" w:line="228" w:lineRule="auto"/>
              <w:ind w:left="311"/>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5"/>
                <w:sz w:val="20"/>
                <w:szCs w:val="20"/>
                <w:highlight w:val="none"/>
              </w:rPr>
              <w:t>高差处理</w:t>
            </w:r>
          </w:p>
        </w:tc>
        <w:tc>
          <w:tcPr>
            <w:tcW w:w="4728" w:type="dxa"/>
            <w:vAlign w:val="top"/>
          </w:tcPr>
          <w:p w14:paraId="5FA49852">
            <w:pPr>
              <w:pStyle w:val="144"/>
              <w:spacing w:before="305" w:line="289" w:lineRule="auto"/>
              <w:ind w:left="11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21"/>
                <w:sz w:val="20"/>
                <w:szCs w:val="20"/>
                <w:highlight w:val="none"/>
              </w:rPr>
              <w:t>铺设水泥坡道或者加设橡胶等材质的可移动式坡</w:t>
            </w:r>
            <w:r>
              <w:rPr>
                <w:rFonts w:hint="eastAsia" w:asciiTheme="majorEastAsia" w:hAnsiTheme="majorEastAsia" w:eastAsiaTheme="majorEastAsia" w:cstheme="majorEastAsia"/>
                <w:spacing w:val="14"/>
                <w:sz w:val="20"/>
                <w:szCs w:val="20"/>
                <w:highlight w:val="none"/>
              </w:rPr>
              <w:t>道，保证路面平滑、无高差障碍，方便轮椅进出。</w:t>
            </w:r>
          </w:p>
        </w:tc>
        <w:tc>
          <w:tcPr>
            <w:tcW w:w="1149" w:type="dxa"/>
            <w:vAlign w:val="top"/>
          </w:tcPr>
          <w:p w14:paraId="4797E0A3">
            <w:pPr>
              <w:spacing w:line="393" w:lineRule="auto"/>
              <w:rPr>
                <w:rFonts w:hint="eastAsia" w:asciiTheme="majorEastAsia" w:hAnsiTheme="majorEastAsia" w:eastAsiaTheme="majorEastAsia" w:cstheme="majorEastAsia"/>
                <w:sz w:val="21"/>
                <w:highlight w:val="none"/>
              </w:rPr>
            </w:pPr>
          </w:p>
          <w:p w14:paraId="487C93F8">
            <w:pPr>
              <w:pStyle w:val="144"/>
              <w:spacing w:before="65" w:line="233" w:lineRule="auto"/>
              <w:ind w:left="386"/>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4"/>
                <w:sz w:val="20"/>
                <w:szCs w:val="20"/>
                <w:highlight w:val="none"/>
              </w:rPr>
              <w:t>基础</w:t>
            </w:r>
          </w:p>
        </w:tc>
      </w:tr>
      <w:tr w14:paraId="16DD4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30" w:type="dxa"/>
            <w:vAlign w:val="top"/>
          </w:tcPr>
          <w:p w14:paraId="57FBBC17">
            <w:pPr>
              <w:spacing w:line="395" w:lineRule="auto"/>
              <w:rPr>
                <w:rFonts w:hint="eastAsia" w:asciiTheme="majorEastAsia" w:hAnsiTheme="majorEastAsia" w:eastAsiaTheme="majorEastAsia" w:cstheme="majorEastAsia"/>
                <w:sz w:val="21"/>
                <w:highlight w:val="none"/>
              </w:rPr>
            </w:pPr>
          </w:p>
          <w:p w14:paraId="4B32DFC0">
            <w:pPr>
              <w:pStyle w:val="144"/>
              <w:spacing w:before="65" w:line="268" w:lineRule="exact"/>
              <w:ind w:left="27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3</w:t>
            </w:r>
          </w:p>
        </w:tc>
        <w:tc>
          <w:tcPr>
            <w:tcW w:w="1428" w:type="dxa"/>
            <w:vMerge w:val="continue"/>
            <w:tcBorders>
              <w:top w:val="nil"/>
              <w:bottom w:val="nil"/>
            </w:tcBorders>
            <w:vAlign w:val="top"/>
          </w:tcPr>
          <w:p w14:paraId="207ED263">
            <w:pPr>
              <w:rPr>
                <w:rFonts w:hint="eastAsia" w:asciiTheme="majorEastAsia" w:hAnsiTheme="majorEastAsia" w:eastAsiaTheme="majorEastAsia" w:cstheme="majorEastAsia"/>
                <w:sz w:val="21"/>
                <w:highlight w:val="none"/>
              </w:rPr>
            </w:pPr>
          </w:p>
        </w:tc>
        <w:tc>
          <w:tcPr>
            <w:tcW w:w="1403" w:type="dxa"/>
            <w:vAlign w:val="top"/>
          </w:tcPr>
          <w:p w14:paraId="2D4BC2FD">
            <w:pPr>
              <w:spacing w:line="395" w:lineRule="auto"/>
              <w:rPr>
                <w:rFonts w:hint="eastAsia" w:asciiTheme="majorEastAsia" w:hAnsiTheme="majorEastAsia" w:eastAsiaTheme="majorEastAsia" w:cstheme="majorEastAsia"/>
                <w:sz w:val="21"/>
                <w:highlight w:val="none"/>
              </w:rPr>
            </w:pPr>
          </w:p>
          <w:p w14:paraId="7EAE217C">
            <w:pPr>
              <w:pStyle w:val="144"/>
              <w:spacing w:before="65" w:line="229" w:lineRule="auto"/>
              <w:ind w:left="304"/>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7"/>
                <w:sz w:val="20"/>
                <w:szCs w:val="20"/>
                <w:highlight w:val="none"/>
              </w:rPr>
              <w:t>平整硬化</w:t>
            </w:r>
          </w:p>
        </w:tc>
        <w:tc>
          <w:tcPr>
            <w:tcW w:w="4728" w:type="dxa"/>
            <w:vAlign w:val="top"/>
          </w:tcPr>
          <w:p w14:paraId="20BB2476">
            <w:pPr>
              <w:spacing w:line="395" w:lineRule="auto"/>
              <w:rPr>
                <w:rFonts w:hint="eastAsia" w:asciiTheme="majorEastAsia" w:hAnsiTheme="majorEastAsia" w:eastAsiaTheme="majorEastAsia" w:cstheme="majorEastAsia"/>
                <w:sz w:val="21"/>
                <w:highlight w:val="none"/>
              </w:rPr>
            </w:pPr>
          </w:p>
          <w:p w14:paraId="2E6B539E">
            <w:pPr>
              <w:pStyle w:val="144"/>
              <w:spacing w:before="65" w:line="228" w:lineRule="auto"/>
              <w:jc w:val="right"/>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4"/>
                <w:sz w:val="20"/>
                <w:szCs w:val="20"/>
                <w:highlight w:val="none"/>
              </w:rPr>
              <w:t>对地面进行平整硬化，方便轮椅通过，降低风险。</w:t>
            </w:r>
          </w:p>
        </w:tc>
        <w:tc>
          <w:tcPr>
            <w:tcW w:w="1149" w:type="dxa"/>
            <w:vAlign w:val="top"/>
          </w:tcPr>
          <w:p w14:paraId="13695772">
            <w:pPr>
              <w:spacing w:line="395" w:lineRule="auto"/>
              <w:rPr>
                <w:rFonts w:hint="eastAsia" w:asciiTheme="majorEastAsia" w:hAnsiTheme="majorEastAsia" w:eastAsiaTheme="majorEastAsia" w:cstheme="majorEastAsia"/>
                <w:sz w:val="21"/>
                <w:highlight w:val="none"/>
              </w:rPr>
            </w:pPr>
          </w:p>
          <w:p w14:paraId="20892BC0">
            <w:pPr>
              <w:pStyle w:val="144"/>
              <w:spacing w:before="65" w:line="231" w:lineRule="auto"/>
              <w:ind w:left="38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r>
      <w:tr w14:paraId="7D3E9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30" w:type="dxa"/>
            <w:vAlign w:val="top"/>
          </w:tcPr>
          <w:p w14:paraId="6589A1CE">
            <w:pPr>
              <w:spacing w:line="394" w:lineRule="auto"/>
              <w:rPr>
                <w:rFonts w:hint="eastAsia" w:asciiTheme="majorEastAsia" w:hAnsiTheme="majorEastAsia" w:eastAsiaTheme="majorEastAsia" w:cstheme="majorEastAsia"/>
                <w:sz w:val="21"/>
                <w:highlight w:val="none"/>
              </w:rPr>
            </w:pPr>
          </w:p>
          <w:p w14:paraId="03C68559">
            <w:pPr>
              <w:pStyle w:val="144"/>
              <w:spacing w:before="65" w:line="270" w:lineRule="exact"/>
              <w:ind w:left="272"/>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4</w:t>
            </w:r>
          </w:p>
        </w:tc>
        <w:tc>
          <w:tcPr>
            <w:tcW w:w="1428" w:type="dxa"/>
            <w:vMerge w:val="continue"/>
            <w:tcBorders>
              <w:top w:val="nil"/>
            </w:tcBorders>
            <w:vAlign w:val="top"/>
          </w:tcPr>
          <w:p w14:paraId="42749FF4">
            <w:pPr>
              <w:rPr>
                <w:rFonts w:hint="eastAsia" w:asciiTheme="majorEastAsia" w:hAnsiTheme="majorEastAsia" w:eastAsiaTheme="majorEastAsia" w:cstheme="majorEastAsia"/>
                <w:sz w:val="21"/>
                <w:highlight w:val="none"/>
              </w:rPr>
            </w:pPr>
          </w:p>
        </w:tc>
        <w:tc>
          <w:tcPr>
            <w:tcW w:w="1403" w:type="dxa"/>
            <w:vAlign w:val="top"/>
          </w:tcPr>
          <w:p w14:paraId="2D699E35">
            <w:pPr>
              <w:spacing w:line="394" w:lineRule="auto"/>
              <w:rPr>
                <w:rFonts w:hint="eastAsia" w:asciiTheme="majorEastAsia" w:hAnsiTheme="majorEastAsia" w:eastAsiaTheme="majorEastAsia" w:cstheme="majorEastAsia"/>
                <w:sz w:val="21"/>
                <w:highlight w:val="none"/>
              </w:rPr>
            </w:pPr>
          </w:p>
          <w:p w14:paraId="3706D905">
            <w:pPr>
              <w:pStyle w:val="144"/>
              <w:spacing w:before="65" w:line="228" w:lineRule="auto"/>
              <w:ind w:left="309"/>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6"/>
                <w:sz w:val="20"/>
                <w:szCs w:val="20"/>
                <w:highlight w:val="none"/>
              </w:rPr>
              <w:t>安装扶手</w:t>
            </w:r>
          </w:p>
        </w:tc>
        <w:tc>
          <w:tcPr>
            <w:tcW w:w="4728" w:type="dxa"/>
            <w:vAlign w:val="top"/>
          </w:tcPr>
          <w:p w14:paraId="377FE162">
            <w:pPr>
              <w:spacing w:line="393" w:lineRule="auto"/>
              <w:rPr>
                <w:rFonts w:hint="eastAsia" w:asciiTheme="majorEastAsia" w:hAnsiTheme="majorEastAsia" w:eastAsiaTheme="majorEastAsia" w:cstheme="majorEastAsia"/>
                <w:sz w:val="21"/>
                <w:highlight w:val="none"/>
              </w:rPr>
            </w:pPr>
          </w:p>
          <w:p w14:paraId="63D40832">
            <w:pPr>
              <w:pStyle w:val="144"/>
              <w:spacing w:before="65" w:line="228" w:lineRule="auto"/>
              <w:ind w:left="11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9"/>
                <w:sz w:val="20"/>
                <w:szCs w:val="20"/>
                <w:highlight w:val="none"/>
              </w:rPr>
              <w:t>在高差变化处安装扶手，辅助老年人通过。</w:t>
            </w:r>
          </w:p>
        </w:tc>
        <w:tc>
          <w:tcPr>
            <w:tcW w:w="1149" w:type="dxa"/>
            <w:vAlign w:val="top"/>
          </w:tcPr>
          <w:p w14:paraId="26324BC2">
            <w:pPr>
              <w:spacing w:line="394" w:lineRule="auto"/>
              <w:rPr>
                <w:rFonts w:hint="eastAsia" w:asciiTheme="majorEastAsia" w:hAnsiTheme="majorEastAsia" w:eastAsiaTheme="majorEastAsia" w:cstheme="majorEastAsia"/>
                <w:sz w:val="21"/>
                <w:highlight w:val="none"/>
              </w:rPr>
            </w:pPr>
          </w:p>
          <w:p w14:paraId="00661E1C">
            <w:pPr>
              <w:pStyle w:val="144"/>
              <w:spacing w:before="65" w:line="231" w:lineRule="auto"/>
              <w:ind w:left="38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r>
      <w:tr w14:paraId="06AB5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630" w:type="dxa"/>
            <w:vAlign w:val="top"/>
          </w:tcPr>
          <w:p w14:paraId="2C9A3BEB">
            <w:pPr>
              <w:spacing w:line="400" w:lineRule="auto"/>
              <w:rPr>
                <w:rFonts w:hint="eastAsia" w:asciiTheme="majorEastAsia" w:hAnsiTheme="majorEastAsia" w:eastAsiaTheme="majorEastAsia" w:cstheme="majorEastAsia"/>
                <w:sz w:val="21"/>
                <w:highlight w:val="none"/>
              </w:rPr>
            </w:pPr>
          </w:p>
          <w:p w14:paraId="04CA367B">
            <w:pPr>
              <w:pStyle w:val="144"/>
              <w:spacing w:before="65" w:line="269" w:lineRule="exact"/>
              <w:ind w:left="27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5</w:t>
            </w:r>
          </w:p>
        </w:tc>
        <w:tc>
          <w:tcPr>
            <w:tcW w:w="1428" w:type="dxa"/>
            <w:vMerge w:val="restart"/>
            <w:tcBorders>
              <w:bottom w:val="nil"/>
            </w:tcBorders>
            <w:vAlign w:val="top"/>
          </w:tcPr>
          <w:p w14:paraId="378B58E8">
            <w:pPr>
              <w:spacing w:line="242" w:lineRule="auto"/>
              <w:rPr>
                <w:rFonts w:hint="eastAsia" w:asciiTheme="majorEastAsia" w:hAnsiTheme="majorEastAsia" w:eastAsiaTheme="majorEastAsia" w:cstheme="majorEastAsia"/>
                <w:sz w:val="21"/>
                <w:highlight w:val="none"/>
              </w:rPr>
            </w:pPr>
          </w:p>
          <w:p w14:paraId="4B4ED40C">
            <w:pPr>
              <w:spacing w:line="242" w:lineRule="auto"/>
              <w:rPr>
                <w:rFonts w:hint="eastAsia" w:asciiTheme="majorEastAsia" w:hAnsiTheme="majorEastAsia" w:eastAsiaTheme="majorEastAsia" w:cstheme="majorEastAsia"/>
                <w:sz w:val="21"/>
                <w:highlight w:val="none"/>
              </w:rPr>
            </w:pPr>
          </w:p>
          <w:p w14:paraId="1BF7769B">
            <w:pPr>
              <w:spacing w:line="242" w:lineRule="auto"/>
              <w:rPr>
                <w:rFonts w:hint="eastAsia" w:asciiTheme="majorEastAsia" w:hAnsiTheme="majorEastAsia" w:eastAsiaTheme="majorEastAsia" w:cstheme="majorEastAsia"/>
                <w:sz w:val="21"/>
                <w:highlight w:val="none"/>
              </w:rPr>
            </w:pPr>
          </w:p>
          <w:p w14:paraId="36A35E0E">
            <w:pPr>
              <w:spacing w:line="242" w:lineRule="auto"/>
              <w:rPr>
                <w:rFonts w:hint="eastAsia" w:asciiTheme="majorEastAsia" w:hAnsiTheme="majorEastAsia" w:eastAsiaTheme="majorEastAsia" w:cstheme="majorEastAsia"/>
                <w:sz w:val="21"/>
                <w:highlight w:val="none"/>
              </w:rPr>
            </w:pPr>
          </w:p>
          <w:p w14:paraId="03E5E9CB">
            <w:pPr>
              <w:spacing w:line="242" w:lineRule="auto"/>
              <w:rPr>
                <w:rFonts w:hint="eastAsia" w:asciiTheme="majorEastAsia" w:hAnsiTheme="majorEastAsia" w:eastAsiaTheme="majorEastAsia" w:cstheme="majorEastAsia"/>
                <w:sz w:val="21"/>
                <w:highlight w:val="none"/>
              </w:rPr>
            </w:pPr>
          </w:p>
          <w:p w14:paraId="3DBB4D00">
            <w:pPr>
              <w:spacing w:line="242" w:lineRule="auto"/>
              <w:rPr>
                <w:rFonts w:hint="eastAsia" w:asciiTheme="majorEastAsia" w:hAnsiTheme="majorEastAsia" w:eastAsiaTheme="majorEastAsia" w:cstheme="majorEastAsia"/>
                <w:sz w:val="21"/>
                <w:highlight w:val="none"/>
              </w:rPr>
            </w:pPr>
          </w:p>
          <w:p w14:paraId="3EDBFFB4">
            <w:pPr>
              <w:spacing w:line="242" w:lineRule="auto"/>
              <w:rPr>
                <w:rFonts w:hint="eastAsia" w:asciiTheme="majorEastAsia" w:hAnsiTheme="majorEastAsia" w:eastAsiaTheme="majorEastAsia" w:cstheme="majorEastAsia"/>
                <w:sz w:val="21"/>
                <w:highlight w:val="none"/>
              </w:rPr>
            </w:pPr>
          </w:p>
          <w:p w14:paraId="63DF9DA5">
            <w:pPr>
              <w:spacing w:line="242" w:lineRule="auto"/>
              <w:rPr>
                <w:rFonts w:hint="eastAsia" w:asciiTheme="majorEastAsia" w:hAnsiTheme="majorEastAsia" w:eastAsiaTheme="majorEastAsia" w:cstheme="majorEastAsia"/>
                <w:sz w:val="21"/>
                <w:highlight w:val="none"/>
              </w:rPr>
            </w:pPr>
          </w:p>
          <w:p w14:paraId="7398A8D4">
            <w:pPr>
              <w:spacing w:line="242" w:lineRule="auto"/>
              <w:rPr>
                <w:rFonts w:hint="eastAsia" w:asciiTheme="majorEastAsia" w:hAnsiTheme="majorEastAsia" w:eastAsiaTheme="majorEastAsia" w:cstheme="majorEastAsia"/>
                <w:sz w:val="21"/>
                <w:highlight w:val="none"/>
              </w:rPr>
            </w:pPr>
          </w:p>
          <w:p w14:paraId="4DF3BC55">
            <w:pPr>
              <w:spacing w:line="243" w:lineRule="auto"/>
              <w:rPr>
                <w:rFonts w:hint="eastAsia" w:asciiTheme="majorEastAsia" w:hAnsiTheme="majorEastAsia" w:eastAsiaTheme="majorEastAsia" w:cstheme="majorEastAsia"/>
                <w:sz w:val="21"/>
                <w:highlight w:val="none"/>
              </w:rPr>
            </w:pPr>
          </w:p>
          <w:p w14:paraId="4F8C4170">
            <w:pPr>
              <w:spacing w:line="243" w:lineRule="auto"/>
              <w:rPr>
                <w:rFonts w:hint="eastAsia" w:asciiTheme="majorEastAsia" w:hAnsiTheme="majorEastAsia" w:eastAsiaTheme="majorEastAsia" w:cstheme="majorEastAsia"/>
                <w:sz w:val="21"/>
                <w:highlight w:val="none"/>
              </w:rPr>
            </w:pPr>
          </w:p>
          <w:p w14:paraId="3432DE97">
            <w:pPr>
              <w:pStyle w:val="144"/>
              <w:spacing w:before="65" w:line="228" w:lineRule="auto"/>
              <w:ind w:left="24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z w:val="20"/>
                <w:szCs w:val="20"/>
                <w:highlight w:val="none"/>
              </w:rPr>
              <w:t>(二)门改造</w:t>
            </w:r>
          </w:p>
        </w:tc>
        <w:tc>
          <w:tcPr>
            <w:tcW w:w="1403" w:type="dxa"/>
            <w:vAlign w:val="top"/>
          </w:tcPr>
          <w:p w14:paraId="1FCEF779">
            <w:pPr>
              <w:spacing w:line="400" w:lineRule="auto"/>
              <w:rPr>
                <w:rFonts w:hint="eastAsia" w:asciiTheme="majorEastAsia" w:hAnsiTheme="majorEastAsia" w:eastAsiaTheme="majorEastAsia" w:cstheme="majorEastAsia"/>
                <w:sz w:val="21"/>
                <w:highlight w:val="none"/>
              </w:rPr>
            </w:pPr>
          </w:p>
          <w:p w14:paraId="2C5AEB4C">
            <w:pPr>
              <w:pStyle w:val="144"/>
              <w:spacing w:before="65" w:line="228" w:lineRule="auto"/>
              <w:ind w:left="329"/>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
                <w:sz w:val="20"/>
                <w:szCs w:val="20"/>
                <w:highlight w:val="none"/>
              </w:rPr>
              <w:t>门槛移除</w:t>
            </w:r>
          </w:p>
        </w:tc>
        <w:tc>
          <w:tcPr>
            <w:tcW w:w="4728" w:type="dxa"/>
            <w:vAlign w:val="top"/>
          </w:tcPr>
          <w:p w14:paraId="4E092D4F">
            <w:pPr>
              <w:spacing w:line="246" w:lineRule="auto"/>
              <w:rPr>
                <w:rFonts w:hint="eastAsia" w:asciiTheme="majorEastAsia" w:hAnsiTheme="majorEastAsia" w:eastAsiaTheme="majorEastAsia" w:cstheme="majorEastAsia"/>
                <w:sz w:val="21"/>
                <w:highlight w:val="none"/>
              </w:rPr>
            </w:pPr>
          </w:p>
          <w:p w14:paraId="2634D628">
            <w:pPr>
              <w:pStyle w:val="144"/>
              <w:spacing w:before="65" w:line="291" w:lineRule="auto"/>
              <w:ind w:left="129" w:right="82" w:hanging="1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20"/>
                <w:sz w:val="20"/>
                <w:szCs w:val="20"/>
                <w:highlight w:val="none"/>
              </w:rPr>
              <w:t>移除门槛、保证老年人进出无障碍，方便轮椅进</w:t>
            </w:r>
            <w:r>
              <w:rPr>
                <w:rFonts w:hint="eastAsia" w:asciiTheme="majorEastAsia" w:hAnsiTheme="majorEastAsia" w:eastAsiaTheme="majorEastAsia" w:cstheme="majorEastAsia"/>
                <w:spacing w:val="-9"/>
                <w:sz w:val="20"/>
                <w:szCs w:val="20"/>
                <w:highlight w:val="none"/>
              </w:rPr>
              <w:t>出。</w:t>
            </w:r>
          </w:p>
        </w:tc>
        <w:tc>
          <w:tcPr>
            <w:tcW w:w="1149" w:type="dxa"/>
            <w:vAlign w:val="top"/>
          </w:tcPr>
          <w:p w14:paraId="55F7C649">
            <w:pPr>
              <w:spacing w:line="401" w:lineRule="auto"/>
              <w:rPr>
                <w:rFonts w:hint="eastAsia" w:asciiTheme="majorEastAsia" w:hAnsiTheme="majorEastAsia" w:eastAsiaTheme="majorEastAsia" w:cstheme="majorEastAsia"/>
                <w:sz w:val="21"/>
                <w:highlight w:val="none"/>
              </w:rPr>
            </w:pPr>
          </w:p>
          <w:p w14:paraId="0A96286A">
            <w:pPr>
              <w:pStyle w:val="144"/>
              <w:spacing w:before="65" w:line="231" w:lineRule="auto"/>
              <w:ind w:left="38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r>
      <w:tr w14:paraId="62DE4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630" w:type="dxa"/>
            <w:vAlign w:val="top"/>
          </w:tcPr>
          <w:p w14:paraId="052626E3">
            <w:pPr>
              <w:spacing w:line="397" w:lineRule="auto"/>
              <w:rPr>
                <w:rFonts w:hint="eastAsia" w:asciiTheme="majorEastAsia" w:hAnsiTheme="majorEastAsia" w:eastAsiaTheme="majorEastAsia" w:cstheme="majorEastAsia"/>
                <w:sz w:val="21"/>
                <w:highlight w:val="none"/>
              </w:rPr>
            </w:pPr>
          </w:p>
          <w:p w14:paraId="49777E42">
            <w:pPr>
              <w:pStyle w:val="144"/>
              <w:spacing w:before="65" w:line="269" w:lineRule="exact"/>
              <w:ind w:left="275"/>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6</w:t>
            </w:r>
          </w:p>
        </w:tc>
        <w:tc>
          <w:tcPr>
            <w:tcW w:w="1428" w:type="dxa"/>
            <w:vMerge w:val="continue"/>
            <w:tcBorders>
              <w:top w:val="nil"/>
              <w:bottom w:val="nil"/>
            </w:tcBorders>
            <w:vAlign w:val="top"/>
          </w:tcPr>
          <w:p w14:paraId="179FBB44">
            <w:pPr>
              <w:rPr>
                <w:rFonts w:hint="eastAsia" w:asciiTheme="majorEastAsia" w:hAnsiTheme="majorEastAsia" w:eastAsiaTheme="majorEastAsia" w:cstheme="majorEastAsia"/>
                <w:sz w:val="21"/>
                <w:highlight w:val="none"/>
              </w:rPr>
            </w:pPr>
          </w:p>
        </w:tc>
        <w:tc>
          <w:tcPr>
            <w:tcW w:w="1403" w:type="dxa"/>
            <w:vAlign w:val="top"/>
          </w:tcPr>
          <w:p w14:paraId="5626C0FC">
            <w:pPr>
              <w:pStyle w:val="144"/>
              <w:spacing w:before="254" w:line="229" w:lineRule="auto"/>
              <w:ind w:left="40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7"/>
                <w:sz w:val="20"/>
                <w:szCs w:val="20"/>
                <w:highlight w:val="none"/>
              </w:rPr>
              <w:t>平开门</w:t>
            </w:r>
          </w:p>
          <w:p w14:paraId="41FD577C">
            <w:pPr>
              <w:pStyle w:val="144"/>
              <w:spacing w:before="171" w:line="228" w:lineRule="auto"/>
              <w:ind w:left="20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6"/>
                <w:sz w:val="20"/>
                <w:szCs w:val="20"/>
                <w:highlight w:val="none"/>
              </w:rPr>
              <w:t>改为推拉门</w:t>
            </w:r>
          </w:p>
        </w:tc>
        <w:tc>
          <w:tcPr>
            <w:tcW w:w="4728" w:type="dxa"/>
            <w:vAlign w:val="top"/>
          </w:tcPr>
          <w:p w14:paraId="685C0FE2">
            <w:pPr>
              <w:spacing w:line="397" w:lineRule="auto"/>
              <w:rPr>
                <w:rFonts w:hint="eastAsia" w:asciiTheme="majorEastAsia" w:hAnsiTheme="majorEastAsia" w:eastAsiaTheme="majorEastAsia" w:cstheme="majorEastAsia"/>
                <w:sz w:val="21"/>
                <w:highlight w:val="none"/>
              </w:rPr>
            </w:pPr>
          </w:p>
          <w:p w14:paraId="4BE570D8">
            <w:pPr>
              <w:pStyle w:val="144"/>
              <w:spacing w:before="65" w:line="228" w:lineRule="auto"/>
              <w:ind w:left="112"/>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9"/>
                <w:sz w:val="20"/>
                <w:szCs w:val="20"/>
                <w:highlight w:val="none"/>
              </w:rPr>
              <w:t>方便开启、增加通行宽度和辅助操作空间。</w:t>
            </w:r>
          </w:p>
        </w:tc>
        <w:tc>
          <w:tcPr>
            <w:tcW w:w="1149" w:type="dxa"/>
            <w:vAlign w:val="top"/>
          </w:tcPr>
          <w:p w14:paraId="393B3E17">
            <w:pPr>
              <w:spacing w:line="398" w:lineRule="auto"/>
              <w:rPr>
                <w:rFonts w:hint="eastAsia" w:asciiTheme="majorEastAsia" w:hAnsiTheme="majorEastAsia" w:eastAsiaTheme="majorEastAsia" w:cstheme="majorEastAsia"/>
                <w:sz w:val="21"/>
                <w:highlight w:val="none"/>
              </w:rPr>
            </w:pPr>
          </w:p>
          <w:p w14:paraId="4D83B503">
            <w:pPr>
              <w:pStyle w:val="144"/>
              <w:spacing w:before="65" w:line="231" w:lineRule="auto"/>
              <w:ind w:left="38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r>
      <w:tr w14:paraId="565A2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630" w:type="dxa"/>
            <w:vAlign w:val="top"/>
          </w:tcPr>
          <w:p w14:paraId="06EBC11F">
            <w:pPr>
              <w:spacing w:line="397" w:lineRule="auto"/>
              <w:rPr>
                <w:rFonts w:hint="eastAsia" w:asciiTheme="majorEastAsia" w:hAnsiTheme="majorEastAsia" w:eastAsiaTheme="majorEastAsia" w:cstheme="majorEastAsia"/>
                <w:sz w:val="21"/>
                <w:highlight w:val="none"/>
              </w:rPr>
            </w:pPr>
          </w:p>
          <w:p w14:paraId="61E44F9F">
            <w:pPr>
              <w:pStyle w:val="144"/>
              <w:spacing w:before="65" w:line="268" w:lineRule="exact"/>
              <w:ind w:left="278"/>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7</w:t>
            </w:r>
          </w:p>
        </w:tc>
        <w:tc>
          <w:tcPr>
            <w:tcW w:w="1428" w:type="dxa"/>
            <w:vMerge w:val="continue"/>
            <w:tcBorders>
              <w:top w:val="nil"/>
              <w:bottom w:val="nil"/>
            </w:tcBorders>
            <w:vAlign w:val="top"/>
          </w:tcPr>
          <w:p w14:paraId="29C41535">
            <w:pPr>
              <w:rPr>
                <w:rFonts w:hint="eastAsia" w:asciiTheme="majorEastAsia" w:hAnsiTheme="majorEastAsia" w:eastAsiaTheme="majorEastAsia" w:cstheme="majorEastAsia"/>
                <w:sz w:val="21"/>
                <w:highlight w:val="none"/>
              </w:rPr>
            </w:pPr>
          </w:p>
        </w:tc>
        <w:tc>
          <w:tcPr>
            <w:tcW w:w="1403" w:type="dxa"/>
            <w:vAlign w:val="top"/>
          </w:tcPr>
          <w:p w14:paraId="2A1D6940">
            <w:pPr>
              <w:spacing w:line="397" w:lineRule="auto"/>
              <w:rPr>
                <w:rFonts w:hint="eastAsia" w:asciiTheme="majorEastAsia" w:hAnsiTheme="majorEastAsia" w:eastAsiaTheme="majorEastAsia" w:cstheme="majorEastAsia"/>
                <w:sz w:val="21"/>
                <w:highlight w:val="none"/>
              </w:rPr>
            </w:pPr>
          </w:p>
          <w:p w14:paraId="2C367828">
            <w:pPr>
              <w:pStyle w:val="144"/>
              <w:spacing w:before="65" w:line="228" w:lineRule="auto"/>
              <w:ind w:left="306"/>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7"/>
                <w:sz w:val="20"/>
                <w:szCs w:val="20"/>
                <w:highlight w:val="none"/>
              </w:rPr>
              <w:t>房门拓宽</w:t>
            </w:r>
          </w:p>
        </w:tc>
        <w:tc>
          <w:tcPr>
            <w:tcW w:w="4728" w:type="dxa"/>
            <w:vAlign w:val="top"/>
          </w:tcPr>
          <w:p w14:paraId="5F3BD3CA">
            <w:pPr>
              <w:spacing w:line="243" w:lineRule="auto"/>
              <w:rPr>
                <w:rFonts w:hint="eastAsia" w:asciiTheme="majorEastAsia" w:hAnsiTheme="majorEastAsia" w:eastAsiaTheme="majorEastAsia" w:cstheme="majorEastAsia"/>
                <w:sz w:val="21"/>
                <w:highlight w:val="none"/>
              </w:rPr>
            </w:pPr>
          </w:p>
          <w:p w14:paraId="489DB4FC">
            <w:pPr>
              <w:pStyle w:val="144"/>
              <w:spacing w:before="65" w:line="289" w:lineRule="auto"/>
              <w:ind w:left="112" w:right="82" w:hanging="2"/>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21"/>
                <w:sz w:val="20"/>
                <w:szCs w:val="20"/>
                <w:highlight w:val="none"/>
              </w:rPr>
              <w:t>对卫生间、厨房等空间较窄的门洞进行拓宽，改</w:t>
            </w:r>
            <w:r>
              <w:rPr>
                <w:rFonts w:hint="eastAsia" w:asciiTheme="majorEastAsia" w:hAnsiTheme="majorEastAsia" w:eastAsiaTheme="majorEastAsia" w:cstheme="majorEastAsia"/>
                <w:spacing w:val="18"/>
                <w:sz w:val="20"/>
                <w:szCs w:val="20"/>
                <w:highlight w:val="none"/>
              </w:rPr>
              <w:t>善通过性，方便轮椅进出。</w:t>
            </w:r>
          </w:p>
        </w:tc>
        <w:tc>
          <w:tcPr>
            <w:tcW w:w="1149" w:type="dxa"/>
            <w:vAlign w:val="top"/>
          </w:tcPr>
          <w:p w14:paraId="742A380C">
            <w:pPr>
              <w:spacing w:line="397" w:lineRule="auto"/>
              <w:rPr>
                <w:rFonts w:hint="eastAsia" w:asciiTheme="majorEastAsia" w:hAnsiTheme="majorEastAsia" w:eastAsiaTheme="majorEastAsia" w:cstheme="majorEastAsia"/>
                <w:sz w:val="21"/>
                <w:highlight w:val="none"/>
              </w:rPr>
            </w:pPr>
          </w:p>
          <w:p w14:paraId="7455E329">
            <w:pPr>
              <w:pStyle w:val="144"/>
              <w:spacing w:before="65" w:line="231" w:lineRule="auto"/>
              <w:ind w:left="38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r>
      <w:tr w14:paraId="564CE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8" w:hRule="atLeast"/>
        </w:trPr>
        <w:tc>
          <w:tcPr>
            <w:tcW w:w="630" w:type="dxa"/>
            <w:vAlign w:val="top"/>
          </w:tcPr>
          <w:p w14:paraId="12B1F6A1">
            <w:pPr>
              <w:spacing w:line="398" w:lineRule="auto"/>
              <w:rPr>
                <w:rFonts w:hint="eastAsia" w:asciiTheme="majorEastAsia" w:hAnsiTheme="majorEastAsia" w:eastAsiaTheme="majorEastAsia" w:cstheme="majorEastAsia"/>
                <w:sz w:val="21"/>
                <w:highlight w:val="none"/>
              </w:rPr>
            </w:pPr>
          </w:p>
          <w:p w14:paraId="0B92BF4F">
            <w:pPr>
              <w:pStyle w:val="144"/>
              <w:spacing w:before="65" w:line="268" w:lineRule="exact"/>
              <w:ind w:left="274"/>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8</w:t>
            </w:r>
          </w:p>
        </w:tc>
        <w:tc>
          <w:tcPr>
            <w:tcW w:w="1428" w:type="dxa"/>
            <w:vMerge w:val="continue"/>
            <w:tcBorders>
              <w:top w:val="nil"/>
              <w:bottom w:val="nil"/>
            </w:tcBorders>
            <w:vAlign w:val="top"/>
          </w:tcPr>
          <w:p w14:paraId="30597042">
            <w:pPr>
              <w:rPr>
                <w:rFonts w:hint="eastAsia" w:asciiTheme="majorEastAsia" w:hAnsiTheme="majorEastAsia" w:eastAsiaTheme="majorEastAsia" w:cstheme="majorEastAsia"/>
                <w:sz w:val="21"/>
                <w:highlight w:val="none"/>
              </w:rPr>
            </w:pPr>
          </w:p>
        </w:tc>
        <w:tc>
          <w:tcPr>
            <w:tcW w:w="1403" w:type="dxa"/>
            <w:vAlign w:val="top"/>
          </w:tcPr>
          <w:p w14:paraId="0D6C3DDB">
            <w:pPr>
              <w:pStyle w:val="144"/>
              <w:spacing w:before="254" w:line="389" w:lineRule="auto"/>
              <w:ind w:left="305" w:right="296" w:firstLine="6"/>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5"/>
                <w:sz w:val="20"/>
                <w:szCs w:val="20"/>
                <w:highlight w:val="none"/>
              </w:rPr>
              <w:t>下压式门</w:t>
            </w:r>
            <w:r>
              <w:rPr>
                <w:rFonts w:hint="eastAsia" w:asciiTheme="majorEastAsia" w:hAnsiTheme="majorEastAsia" w:eastAsiaTheme="majorEastAsia" w:cstheme="majorEastAsia"/>
                <w:spacing w:val="7"/>
                <w:sz w:val="20"/>
                <w:szCs w:val="20"/>
                <w:highlight w:val="none"/>
              </w:rPr>
              <w:t>把手改造</w:t>
            </w:r>
          </w:p>
        </w:tc>
        <w:tc>
          <w:tcPr>
            <w:tcW w:w="4728" w:type="dxa"/>
            <w:vAlign w:val="top"/>
          </w:tcPr>
          <w:p w14:paraId="1048451F">
            <w:pPr>
              <w:spacing w:line="244" w:lineRule="auto"/>
              <w:rPr>
                <w:rFonts w:hint="eastAsia" w:asciiTheme="majorEastAsia" w:hAnsiTheme="majorEastAsia" w:eastAsiaTheme="majorEastAsia" w:cstheme="majorEastAsia"/>
                <w:sz w:val="21"/>
                <w:highlight w:val="none"/>
              </w:rPr>
            </w:pPr>
          </w:p>
          <w:p w14:paraId="207CCD91">
            <w:pPr>
              <w:pStyle w:val="144"/>
              <w:spacing w:before="65" w:line="289" w:lineRule="auto"/>
              <w:ind w:left="112" w:right="82"/>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20"/>
                <w:sz w:val="20"/>
                <w:szCs w:val="20"/>
                <w:highlight w:val="none"/>
              </w:rPr>
              <w:t>可用单手手掌或者手指轻松操作，增加摩擦力和</w:t>
            </w:r>
            <w:r>
              <w:rPr>
                <w:rFonts w:hint="eastAsia" w:asciiTheme="majorEastAsia" w:hAnsiTheme="majorEastAsia" w:eastAsiaTheme="majorEastAsia" w:cstheme="majorEastAsia"/>
                <w:spacing w:val="18"/>
                <w:sz w:val="20"/>
                <w:szCs w:val="20"/>
                <w:highlight w:val="none"/>
              </w:rPr>
              <w:t>稳定性，方便老年人开门。</w:t>
            </w:r>
          </w:p>
        </w:tc>
        <w:tc>
          <w:tcPr>
            <w:tcW w:w="1149" w:type="dxa"/>
            <w:vAlign w:val="top"/>
          </w:tcPr>
          <w:p w14:paraId="69C94982">
            <w:pPr>
              <w:spacing w:line="398" w:lineRule="auto"/>
              <w:rPr>
                <w:rFonts w:hint="eastAsia" w:asciiTheme="majorEastAsia" w:hAnsiTheme="majorEastAsia" w:eastAsiaTheme="majorEastAsia" w:cstheme="majorEastAsia"/>
                <w:sz w:val="21"/>
                <w:highlight w:val="none"/>
              </w:rPr>
            </w:pPr>
          </w:p>
          <w:p w14:paraId="398AAA75">
            <w:pPr>
              <w:pStyle w:val="144"/>
              <w:spacing w:before="65" w:line="231" w:lineRule="auto"/>
              <w:ind w:left="38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r>
      <w:tr w14:paraId="1184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630" w:type="dxa"/>
            <w:vAlign w:val="top"/>
          </w:tcPr>
          <w:p w14:paraId="0EF2193B">
            <w:pPr>
              <w:spacing w:line="397" w:lineRule="auto"/>
              <w:rPr>
                <w:rFonts w:hint="eastAsia" w:asciiTheme="majorEastAsia" w:hAnsiTheme="majorEastAsia" w:eastAsiaTheme="majorEastAsia" w:cstheme="majorEastAsia"/>
                <w:sz w:val="21"/>
                <w:highlight w:val="none"/>
              </w:rPr>
            </w:pPr>
          </w:p>
          <w:p w14:paraId="57B36E0A">
            <w:pPr>
              <w:pStyle w:val="144"/>
              <w:spacing w:before="65" w:line="268" w:lineRule="exact"/>
              <w:ind w:left="274"/>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9</w:t>
            </w:r>
          </w:p>
        </w:tc>
        <w:tc>
          <w:tcPr>
            <w:tcW w:w="1428" w:type="dxa"/>
            <w:vMerge w:val="continue"/>
            <w:tcBorders>
              <w:top w:val="nil"/>
            </w:tcBorders>
            <w:vAlign w:val="top"/>
          </w:tcPr>
          <w:p w14:paraId="496384CD">
            <w:pPr>
              <w:rPr>
                <w:rFonts w:hint="eastAsia" w:asciiTheme="majorEastAsia" w:hAnsiTheme="majorEastAsia" w:eastAsiaTheme="majorEastAsia" w:cstheme="majorEastAsia"/>
                <w:sz w:val="21"/>
                <w:highlight w:val="none"/>
              </w:rPr>
            </w:pPr>
          </w:p>
        </w:tc>
        <w:tc>
          <w:tcPr>
            <w:tcW w:w="1403" w:type="dxa"/>
            <w:vAlign w:val="top"/>
          </w:tcPr>
          <w:p w14:paraId="481F1AAA">
            <w:pPr>
              <w:pStyle w:val="144"/>
              <w:spacing w:before="252" w:line="392" w:lineRule="auto"/>
              <w:ind w:left="304" w:right="226" w:hanging="10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z w:val="20"/>
                <w:szCs w:val="20"/>
                <w:highlight w:val="none"/>
              </w:rPr>
              <w:t>安装闪光、</w:t>
            </w:r>
            <w:r>
              <w:rPr>
                <w:rFonts w:hint="eastAsia" w:asciiTheme="majorEastAsia" w:hAnsiTheme="majorEastAsia" w:eastAsiaTheme="majorEastAsia" w:cstheme="majorEastAsia"/>
                <w:spacing w:val="7"/>
                <w:sz w:val="20"/>
                <w:szCs w:val="20"/>
                <w:highlight w:val="none"/>
              </w:rPr>
              <w:t>振动门铃</w:t>
            </w:r>
          </w:p>
        </w:tc>
        <w:tc>
          <w:tcPr>
            <w:tcW w:w="4728" w:type="dxa"/>
            <w:vAlign w:val="top"/>
          </w:tcPr>
          <w:p w14:paraId="04E5A7F7">
            <w:pPr>
              <w:spacing w:line="396" w:lineRule="auto"/>
              <w:rPr>
                <w:rFonts w:hint="eastAsia" w:asciiTheme="majorEastAsia" w:hAnsiTheme="majorEastAsia" w:eastAsiaTheme="majorEastAsia" w:cstheme="majorEastAsia"/>
                <w:sz w:val="21"/>
                <w:highlight w:val="none"/>
              </w:rPr>
            </w:pPr>
          </w:p>
          <w:p w14:paraId="69FF356A">
            <w:pPr>
              <w:pStyle w:val="144"/>
              <w:spacing w:before="65" w:line="227" w:lineRule="auto"/>
              <w:ind w:left="111"/>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8"/>
                <w:sz w:val="20"/>
                <w:szCs w:val="20"/>
                <w:highlight w:val="none"/>
              </w:rPr>
              <w:t>供听力、视力障碍老年人使用。</w:t>
            </w:r>
          </w:p>
        </w:tc>
        <w:tc>
          <w:tcPr>
            <w:tcW w:w="1149" w:type="dxa"/>
            <w:vAlign w:val="top"/>
          </w:tcPr>
          <w:p w14:paraId="1D944EDB">
            <w:pPr>
              <w:spacing w:line="397" w:lineRule="auto"/>
              <w:rPr>
                <w:rFonts w:hint="eastAsia" w:asciiTheme="majorEastAsia" w:hAnsiTheme="majorEastAsia" w:eastAsiaTheme="majorEastAsia" w:cstheme="majorEastAsia"/>
                <w:sz w:val="21"/>
                <w:highlight w:val="none"/>
              </w:rPr>
            </w:pPr>
          </w:p>
          <w:p w14:paraId="73CB80A9">
            <w:pPr>
              <w:pStyle w:val="144"/>
              <w:spacing w:before="65" w:line="231" w:lineRule="auto"/>
              <w:ind w:left="38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r>
      <w:tr w14:paraId="2DBD6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630" w:type="dxa"/>
            <w:vAlign w:val="top"/>
          </w:tcPr>
          <w:p w14:paraId="29E18461">
            <w:pPr>
              <w:spacing w:line="402" w:lineRule="auto"/>
              <w:rPr>
                <w:rFonts w:hint="eastAsia" w:asciiTheme="majorEastAsia" w:hAnsiTheme="majorEastAsia" w:eastAsiaTheme="majorEastAsia" w:cstheme="majorEastAsia"/>
                <w:sz w:val="21"/>
                <w:highlight w:val="none"/>
              </w:rPr>
            </w:pPr>
          </w:p>
          <w:p w14:paraId="7F576FD1">
            <w:pPr>
              <w:pStyle w:val="144"/>
              <w:spacing w:before="65" w:line="269" w:lineRule="exact"/>
              <w:ind w:left="236"/>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7"/>
                <w:position w:val="1"/>
                <w:sz w:val="20"/>
                <w:szCs w:val="20"/>
                <w:highlight w:val="none"/>
              </w:rPr>
              <w:t>10</w:t>
            </w:r>
          </w:p>
        </w:tc>
        <w:tc>
          <w:tcPr>
            <w:tcW w:w="1428" w:type="dxa"/>
            <w:vAlign w:val="top"/>
          </w:tcPr>
          <w:p w14:paraId="22F4007A">
            <w:pPr>
              <w:spacing w:line="402" w:lineRule="auto"/>
              <w:rPr>
                <w:rFonts w:hint="eastAsia" w:asciiTheme="majorEastAsia" w:hAnsiTheme="majorEastAsia" w:eastAsiaTheme="majorEastAsia" w:cstheme="majorEastAsia"/>
                <w:sz w:val="21"/>
                <w:highlight w:val="none"/>
              </w:rPr>
            </w:pPr>
          </w:p>
          <w:p w14:paraId="266EF1A6">
            <w:pPr>
              <w:pStyle w:val="144"/>
              <w:spacing w:before="65" w:line="228" w:lineRule="auto"/>
              <w:ind w:left="142"/>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
                <w:sz w:val="20"/>
                <w:szCs w:val="20"/>
                <w:highlight w:val="none"/>
              </w:rPr>
              <w:t>(三)卧室改造</w:t>
            </w:r>
          </w:p>
        </w:tc>
        <w:tc>
          <w:tcPr>
            <w:tcW w:w="1403" w:type="dxa"/>
            <w:vAlign w:val="top"/>
          </w:tcPr>
          <w:p w14:paraId="27CF05E6">
            <w:pPr>
              <w:spacing w:line="402" w:lineRule="auto"/>
              <w:rPr>
                <w:rFonts w:hint="eastAsia" w:asciiTheme="majorEastAsia" w:hAnsiTheme="majorEastAsia" w:eastAsiaTheme="majorEastAsia" w:cstheme="majorEastAsia"/>
                <w:sz w:val="21"/>
                <w:highlight w:val="none"/>
              </w:rPr>
            </w:pPr>
          </w:p>
          <w:p w14:paraId="7F175674">
            <w:pPr>
              <w:pStyle w:val="144"/>
              <w:spacing w:before="65" w:line="228" w:lineRule="auto"/>
              <w:ind w:left="199"/>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8"/>
                <w:sz w:val="20"/>
                <w:szCs w:val="20"/>
                <w:highlight w:val="none"/>
              </w:rPr>
              <w:t>配置护理床</w:t>
            </w:r>
          </w:p>
        </w:tc>
        <w:tc>
          <w:tcPr>
            <w:tcW w:w="4728" w:type="dxa"/>
            <w:vAlign w:val="top"/>
          </w:tcPr>
          <w:p w14:paraId="2680A933">
            <w:pPr>
              <w:spacing w:line="248" w:lineRule="auto"/>
              <w:rPr>
                <w:rFonts w:hint="eastAsia" w:asciiTheme="majorEastAsia" w:hAnsiTheme="majorEastAsia" w:eastAsiaTheme="majorEastAsia" w:cstheme="majorEastAsia"/>
                <w:sz w:val="21"/>
                <w:highlight w:val="none"/>
              </w:rPr>
            </w:pPr>
          </w:p>
          <w:p w14:paraId="572BCDFF">
            <w:pPr>
              <w:pStyle w:val="144"/>
              <w:spacing w:before="65" w:line="289" w:lineRule="auto"/>
              <w:ind w:left="112" w:right="82" w:firstLine="3"/>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20"/>
                <w:sz w:val="20"/>
                <w:szCs w:val="20"/>
                <w:highlight w:val="none"/>
              </w:rPr>
              <w:t>帮助失能老年人完成起身、侧翻、上下床、吃饭</w:t>
            </w:r>
            <w:r>
              <w:rPr>
                <w:rFonts w:hint="eastAsia" w:asciiTheme="majorEastAsia" w:hAnsiTheme="majorEastAsia" w:eastAsiaTheme="majorEastAsia" w:cstheme="majorEastAsia"/>
                <w:spacing w:val="18"/>
                <w:sz w:val="20"/>
                <w:szCs w:val="20"/>
                <w:highlight w:val="none"/>
              </w:rPr>
              <w:t>和辅助喂食、处理排泄物等。</w:t>
            </w:r>
          </w:p>
        </w:tc>
        <w:tc>
          <w:tcPr>
            <w:tcW w:w="1149" w:type="dxa"/>
            <w:vAlign w:val="top"/>
          </w:tcPr>
          <w:p w14:paraId="646EB580">
            <w:pPr>
              <w:spacing w:line="403" w:lineRule="auto"/>
              <w:rPr>
                <w:rFonts w:hint="eastAsia" w:asciiTheme="majorEastAsia" w:hAnsiTheme="majorEastAsia" w:eastAsiaTheme="majorEastAsia" w:cstheme="majorEastAsia"/>
                <w:sz w:val="21"/>
                <w:highlight w:val="none"/>
              </w:rPr>
            </w:pPr>
          </w:p>
          <w:p w14:paraId="0EEABBE4">
            <w:pPr>
              <w:pStyle w:val="144"/>
              <w:spacing w:before="65" w:line="231" w:lineRule="auto"/>
              <w:ind w:left="38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r>
    </w:tbl>
    <w:p w14:paraId="26EC3785">
      <w:pPr>
        <w:spacing w:line="219" w:lineRule="auto"/>
        <w:rPr>
          <w:sz w:val="18"/>
          <w:szCs w:val="18"/>
          <w:highlight w:val="none"/>
        </w:rPr>
        <w:sectPr>
          <w:footerReference r:id="rId8" w:type="default"/>
          <w:pgSz w:w="11906" w:h="16839"/>
          <w:pgMar w:top="1440" w:right="1080" w:bottom="1440" w:left="1080" w:header="829" w:footer="794" w:gutter="0"/>
          <w:pgNumType w:fmt="decimal" w:start="1"/>
          <w:cols w:space="720" w:num="1"/>
        </w:sectPr>
      </w:pPr>
    </w:p>
    <w:p w14:paraId="34E90EEC">
      <w:pPr>
        <w:spacing w:line="192" w:lineRule="exact"/>
        <w:rPr>
          <w:highlight w:val="none"/>
        </w:rPr>
      </w:pPr>
    </w:p>
    <w:tbl>
      <w:tblPr>
        <w:tblStyle w:val="145"/>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1465"/>
        <w:gridCol w:w="1439"/>
        <w:gridCol w:w="4848"/>
        <w:gridCol w:w="1179"/>
      </w:tblGrid>
      <w:tr w14:paraId="32A94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47" w:type="dxa"/>
            <w:vAlign w:val="top"/>
          </w:tcPr>
          <w:p w14:paraId="25529109">
            <w:pPr>
              <w:spacing w:line="396" w:lineRule="auto"/>
              <w:rPr>
                <w:rFonts w:ascii="Arial"/>
                <w:sz w:val="21"/>
                <w:highlight w:val="none"/>
              </w:rPr>
            </w:pPr>
          </w:p>
          <w:p w14:paraId="7C00A853">
            <w:pPr>
              <w:pStyle w:val="144"/>
              <w:spacing w:before="65" w:line="270" w:lineRule="exact"/>
              <w:ind w:left="236"/>
              <w:rPr>
                <w:sz w:val="20"/>
                <w:szCs w:val="20"/>
                <w:highlight w:val="none"/>
              </w:rPr>
            </w:pPr>
            <w:r>
              <w:rPr>
                <w:spacing w:val="-7"/>
                <w:position w:val="1"/>
                <w:sz w:val="20"/>
                <w:szCs w:val="20"/>
                <w:highlight w:val="none"/>
              </w:rPr>
              <w:t>11</w:t>
            </w:r>
          </w:p>
        </w:tc>
        <w:tc>
          <w:tcPr>
            <w:tcW w:w="1465" w:type="dxa"/>
            <w:vMerge w:val="restart"/>
            <w:tcBorders>
              <w:bottom w:val="nil"/>
            </w:tcBorders>
            <w:vAlign w:val="top"/>
          </w:tcPr>
          <w:p w14:paraId="4B1B102B">
            <w:pPr>
              <w:rPr>
                <w:rFonts w:ascii="Arial"/>
                <w:sz w:val="21"/>
                <w:highlight w:val="none"/>
              </w:rPr>
            </w:pPr>
          </w:p>
        </w:tc>
        <w:tc>
          <w:tcPr>
            <w:tcW w:w="1439" w:type="dxa"/>
            <w:vAlign w:val="top"/>
          </w:tcPr>
          <w:p w14:paraId="236ABD23">
            <w:pPr>
              <w:rPr>
                <w:rFonts w:ascii="Arial"/>
                <w:sz w:val="21"/>
                <w:highlight w:val="none"/>
              </w:rPr>
            </w:pPr>
          </w:p>
          <w:p w14:paraId="196C6CCE">
            <w:pPr>
              <w:pStyle w:val="144"/>
              <w:spacing w:before="65" w:line="228" w:lineRule="auto"/>
              <w:ind w:left="98"/>
              <w:rPr>
                <w:sz w:val="20"/>
                <w:szCs w:val="20"/>
                <w:highlight w:val="none"/>
              </w:rPr>
            </w:pPr>
            <w:r>
              <w:rPr>
                <w:spacing w:val="7"/>
                <w:sz w:val="20"/>
                <w:szCs w:val="20"/>
                <w:highlight w:val="none"/>
              </w:rPr>
              <w:t>安装床边护栏</w:t>
            </w:r>
          </w:p>
          <w:p w14:paraId="21BFC7A7">
            <w:pPr>
              <w:pStyle w:val="144"/>
              <w:spacing w:before="64" w:line="228" w:lineRule="auto"/>
              <w:ind w:left="445"/>
              <w:rPr>
                <w:sz w:val="20"/>
                <w:szCs w:val="20"/>
                <w:highlight w:val="none"/>
              </w:rPr>
            </w:pPr>
            <w:r>
              <w:rPr>
                <w:spacing w:val="-4"/>
                <w:sz w:val="20"/>
                <w:szCs w:val="20"/>
                <w:highlight w:val="none"/>
              </w:rPr>
              <w:t>(抓杆)</w:t>
            </w:r>
          </w:p>
        </w:tc>
        <w:tc>
          <w:tcPr>
            <w:tcW w:w="4848" w:type="dxa"/>
            <w:vAlign w:val="top"/>
          </w:tcPr>
          <w:p w14:paraId="667EAD82">
            <w:pPr>
              <w:spacing w:line="241" w:lineRule="auto"/>
              <w:rPr>
                <w:rFonts w:ascii="Arial"/>
                <w:sz w:val="21"/>
                <w:highlight w:val="none"/>
              </w:rPr>
            </w:pPr>
          </w:p>
          <w:p w14:paraId="02344E85">
            <w:pPr>
              <w:pStyle w:val="144"/>
              <w:spacing w:before="65" w:line="289" w:lineRule="auto"/>
              <w:ind w:left="111" w:right="82" w:firstLine="1"/>
              <w:rPr>
                <w:sz w:val="20"/>
                <w:szCs w:val="20"/>
                <w:highlight w:val="none"/>
              </w:rPr>
            </w:pPr>
            <w:r>
              <w:rPr>
                <w:spacing w:val="18"/>
                <w:sz w:val="20"/>
                <w:szCs w:val="20"/>
                <w:highlight w:val="none"/>
              </w:rPr>
              <w:t>辅助老年人起身、上下床，</w:t>
            </w:r>
            <w:r>
              <w:rPr>
                <w:spacing w:val="-40"/>
                <w:sz w:val="20"/>
                <w:szCs w:val="20"/>
                <w:highlight w:val="none"/>
              </w:rPr>
              <w:t xml:space="preserve"> </w:t>
            </w:r>
            <w:r>
              <w:rPr>
                <w:spacing w:val="18"/>
                <w:sz w:val="20"/>
                <w:szCs w:val="20"/>
                <w:highlight w:val="none"/>
              </w:rPr>
              <w:t>防止翻身滚下床，保证老年人睡眠和活动安全。</w:t>
            </w:r>
          </w:p>
        </w:tc>
        <w:tc>
          <w:tcPr>
            <w:tcW w:w="1179" w:type="dxa"/>
            <w:vAlign w:val="top"/>
          </w:tcPr>
          <w:p w14:paraId="7F4E14C9">
            <w:pPr>
              <w:spacing w:line="301" w:lineRule="auto"/>
              <w:rPr>
                <w:rFonts w:ascii="Arial"/>
                <w:sz w:val="21"/>
                <w:highlight w:val="none"/>
              </w:rPr>
            </w:pPr>
          </w:p>
          <w:p w14:paraId="6D198135">
            <w:pPr>
              <w:spacing w:line="302" w:lineRule="auto"/>
              <w:rPr>
                <w:rFonts w:ascii="Arial"/>
                <w:sz w:val="21"/>
                <w:highlight w:val="none"/>
              </w:rPr>
            </w:pPr>
          </w:p>
          <w:p w14:paraId="25D7D09B">
            <w:pPr>
              <w:pStyle w:val="144"/>
              <w:spacing w:before="65" w:line="233" w:lineRule="auto"/>
              <w:ind w:left="386"/>
              <w:rPr>
                <w:sz w:val="20"/>
                <w:szCs w:val="20"/>
                <w:highlight w:val="none"/>
              </w:rPr>
            </w:pPr>
            <w:r>
              <w:rPr>
                <w:spacing w:val="4"/>
                <w:sz w:val="20"/>
                <w:szCs w:val="20"/>
                <w:highlight w:val="none"/>
              </w:rPr>
              <w:t>基础</w:t>
            </w:r>
          </w:p>
        </w:tc>
      </w:tr>
      <w:tr w14:paraId="03BD5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647" w:type="dxa"/>
            <w:vAlign w:val="top"/>
          </w:tcPr>
          <w:p w14:paraId="3625E7F7">
            <w:pPr>
              <w:spacing w:line="392" w:lineRule="auto"/>
              <w:rPr>
                <w:rFonts w:ascii="Arial"/>
                <w:sz w:val="21"/>
                <w:highlight w:val="none"/>
              </w:rPr>
            </w:pPr>
          </w:p>
          <w:p w14:paraId="69EE87A8">
            <w:pPr>
              <w:pStyle w:val="144"/>
              <w:spacing w:before="65" w:line="270" w:lineRule="exact"/>
              <w:ind w:left="236"/>
              <w:rPr>
                <w:sz w:val="20"/>
                <w:szCs w:val="20"/>
                <w:highlight w:val="none"/>
              </w:rPr>
            </w:pPr>
            <w:r>
              <w:rPr>
                <w:spacing w:val="-7"/>
                <w:position w:val="1"/>
                <w:sz w:val="20"/>
                <w:szCs w:val="20"/>
                <w:highlight w:val="none"/>
              </w:rPr>
              <w:t>12</w:t>
            </w:r>
          </w:p>
        </w:tc>
        <w:tc>
          <w:tcPr>
            <w:tcW w:w="1465" w:type="dxa"/>
            <w:vMerge w:val="continue"/>
            <w:tcBorders>
              <w:top w:val="nil"/>
            </w:tcBorders>
            <w:vAlign w:val="top"/>
          </w:tcPr>
          <w:p w14:paraId="5BB2755C">
            <w:pPr>
              <w:rPr>
                <w:rFonts w:ascii="Arial"/>
                <w:sz w:val="21"/>
                <w:highlight w:val="none"/>
              </w:rPr>
            </w:pPr>
          </w:p>
        </w:tc>
        <w:tc>
          <w:tcPr>
            <w:tcW w:w="1439" w:type="dxa"/>
            <w:vAlign w:val="top"/>
          </w:tcPr>
          <w:p w14:paraId="7200BE3E">
            <w:pPr>
              <w:pStyle w:val="144"/>
              <w:spacing w:before="304" w:line="231" w:lineRule="auto"/>
              <w:ind w:left="514"/>
              <w:rPr>
                <w:sz w:val="20"/>
                <w:szCs w:val="20"/>
                <w:highlight w:val="none"/>
              </w:rPr>
            </w:pPr>
            <w:r>
              <w:rPr>
                <w:spacing w:val="4"/>
                <w:sz w:val="20"/>
                <w:szCs w:val="20"/>
                <w:highlight w:val="none"/>
              </w:rPr>
              <w:t>配置</w:t>
            </w:r>
          </w:p>
          <w:p w14:paraId="08AB9568">
            <w:pPr>
              <w:pStyle w:val="144"/>
              <w:spacing w:before="61" w:line="228" w:lineRule="auto"/>
              <w:ind w:left="318"/>
              <w:rPr>
                <w:sz w:val="20"/>
                <w:szCs w:val="20"/>
                <w:highlight w:val="none"/>
              </w:rPr>
            </w:pPr>
            <w:r>
              <w:rPr>
                <w:spacing w:val="4"/>
                <w:sz w:val="20"/>
                <w:szCs w:val="20"/>
                <w:highlight w:val="none"/>
              </w:rPr>
              <w:t>防压疮垫</w:t>
            </w:r>
          </w:p>
        </w:tc>
        <w:tc>
          <w:tcPr>
            <w:tcW w:w="4848" w:type="dxa"/>
            <w:vAlign w:val="top"/>
          </w:tcPr>
          <w:p w14:paraId="644E1C5A">
            <w:pPr>
              <w:pStyle w:val="144"/>
              <w:spacing w:before="304" w:line="289" w:lineRule="auto"/>
              <w:ind w:left="110" w:right="305"/>
              <w:rPr>
                <w:sz w:val="20"/>
                <w:szCs w:val="20"/>
                <w:highlight w:val="none"/>
              </w:rPr>
            </w:pPr>
            <w:r>
              <w:rPr>
                <w:spacing w:val="20"/>
                <w:sz w:val="20"/>
                <w:szCs w:val="20"/>
                <w:highlight w:val="none"/>
              </w:rPr>
              <w:t>避免长期乘坐轮椅或外床的老年人发生严重压</w:t>
            </w:r>
            <w:r>
              <w:rPr>
                <w:spacing w:val="19"/>
                <w:sz w:val="20"/>
                <w:szCs w:val="20"/>
                <w:highlight w:val="none"/>
              </w:rPr>
              <w:t>疮，包括防压疮坐垫、靠垫或床垫等。</w:t>
            </w:r>
          </w:p>
        </w:tc>
        <w:tc>
          <w:tcPr>
            <w:tcW w:w="1179" w:type="dxa"/>
            <w:vAlign w:val="top"/>
          </w:tcPr>
          <w:p w14:paraId="56A62A53">
            <w:pPr>
              <w:spacing w:line="392" w:lineRule="auto"/>
              <w:rPr>
                <w:rFonts w:ascii="Arial"/>
                <w:sz w:val="21"/>
                <w:highlight w:val="none"/>
              </w:rPr>
            </w:pPr>
          </w:p>
          <w:p w14:paraId="5E999E23">
            <w:pPr>
              <w:pStyle w:val="144"/>
              <w:spacing w:before="65" w:line="231" w:lineRule="auto"/>
              <w:ind w:left="387"/>
              <w:rPr>
                <w:sz w:val="20"/>
                <w:szCs w:val="20"/>
                <w:highlight w:val="none"/>
              </w:rPr>
            </w:pPr>
            <w:r>
              <w:rPr>
                <w:spacing w:val="3"/>
                <w:sz w:val="20"/>
                <w:szCs w:val="20"/>
                <w:highlight w:val="none"/>
              </w:rPr>
              <w:t>可选</w:t>
            </w:r>
          </w:p>
        </w:tc>
      </w:tr>
      <w:tr w14:paraId="427AE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47" w:type="dxa"/>
            <w:vAlign w:val="top"/>
          </w:tcPr>
          <w:p w14:paraId="1DB42976">
            <w:pPr>
              <w:spacing w:line="296" w:lineRule="auto"/>
              <w:rPr>
                <w:rFonts w:ascii="Arial"/>
                <w:sz w:val="21"/>
                <w:highlight w:val="none"/>
              </w:rPr>
            </w:pPr>
          </w:p>
          <w:p w14:paraId="6C73378D">
            <w:pPr>
              <w:spacing w:line="297" w:lineRule="auto"/>
              <w:rPr>
                <w:rFonts w:ascii="Arial"/>
                <w:sz w:val="21"/>
                <w:highlight w:val="none"/>
              </w:rPr>
            </w:pPr>
          </w:p>
          <w:p w14:paraId="2FAC50D6">
            <w:pPr>
              <w:pStyle w:val="144"/>
              <w:spacing w:before="65" w:line="269" w:lineRule="exact"/>
              <w:ind w:left="236"/>
              <w:rPr>
                <w:sz w:val="20"/>
                <w:szCs w:val="20"/>
                <w:highlight w:val="none"/>
              </w:rPr>
            </w:pPr>
            <w:r>
              <w:rPr>
                <w:spacing w:val="-7"/>
                <w:position w:val="1"/>
                <w:sz w:val="20"/>
                <w:szCs w:val="20"/>
                <w:highlight w:val="none"/>
              </w:rPr>
              <w:t>13</w:t>
            </w:r>
          </w:p>
        </w:tc>
        <w:tc>
          <w:tcPr>
            <w:tcW w:w="1465" w:type="dxa"/>
            <w:vMerge w:val="restart"/>
            <w:tcBorders>
              <w:bottom w:val="nil"/>
            </w:tcBorders>
            <w:vAlign w:val="top"/>
          </w:tcPr>
          <w:p w14:paraId="5A69FD2C">
            <w:pPr>
              <w:spacing w:line="317" w:lineRule="auto"/>
              <w:rPr>
                <w:rFonts w:ascii="Arial"/>
                <w:sz w:val="21"/>
                <w:highlight w:val="none"/>
              </w:rPr>
            </w:pPr>
          </w:p>
          <w:p w14:paraId="7F629B60">
            <w:pPr>
              <w:spacing w:line="317" w:lineRule="auto"/>
              <w:rPr>
                <w:rFonts w:ascii="Arial"/>
                <w:sz w:val="21"/>
                <w:highlight w:val="none"/>
              </w:rPr>
            </w:pPr>
          </w:p>
          <w:p w14:paraId="2544A399">
            <w:pPr>
              <w:spacing w:line="317" w:lineRule="auto"/>
              <w:rPr>
                <w:rFonts w:ascii="Arial"/>
                <w:sz w:val="21"/>
                <w:highlight w:val="none"/>
              </w:rPr>
            </w:pPr>
          </w:p>
          <w:p w14:paraId="57242C94">
            <w:pPr>
              <w:pStyle w:val="144"/>
              <w:spacing w:before="65" w:line="389" w:lineRule="auto"/>
              <w:ind w:left="319" w:right="103" w:hanging="177"/>
              <w:rPr>
                <w:sz w:val="20"/>
                <w:szCs w:val="20"/>
                <w:highlight w:val="none"/>
              </w:rPr>
            </w:pPr>
            <w:r>
              <w:rPr>
                <w:spacing w:val="1"/>
                <w:sz w:val="20"/>
                <w:szCs w:val="20"/>
                <w:highlight w:val="none"/>
              </w:rPr>
              <w:t>(四)如厕洗浴</w:t>
            </w:r>
            <w:r>
              <w:rPr>
                <w:spacing w:val="6"/>
                <w:sz w:val="20"/>
                <w:szCs w:val="20"/>
                <w:highlight w:val="none"/>
              </w:rPr>
              <w:t>设备改造</w:t>
            </w:r>
          </w:p>
        </w:tc>
        <w:tc>
          <w:tcPr>
            <w:tcW w:w="1439" w:type="dxa"/>
            <w:vAlign w:val="top"/>
          </w:tcPr>
          <w:p w14:paraId="0FB7800F">
            <w:pPr>
              <w:spacing w:line="297" w:lineRule="auto"/>
              <w:rPr>
                <w:rFonts w:ascii="Arial"/>
                <w:sz w:val="21"/>
                <w:highlight w:val="none"/>
              </w:rPr>
            </w:pPr>
          </w:p>
          <w:p w14:paraId="4717D8B6">
            <w:pPr>
              <w:spacing w:line="297" w:lineRule="auto"/>
              <w:rPr>
                <w:rFonts w:ascii="Arial"/>
                <w:sz w:val="21"/>
                <w:highlight w:val="none"/>
              </w:rPr>
            </w:pPr>
          </w:p>
          <w:p w14:paraId="2018313D">
            <w:pPr>
              <w:pStyle w:val="144"/>
              <w:spacing w:before="65" w:line="228" w:lineRule="auto"/>
              <w:ind w:left="309"/>
              <w:rPr>
                <w:sz w:val="20"/>
                <w:szCs w:val="20"/>
                <w:highlight w:val="none"/>
              </w:rPr>
            </w:pPr>
            <w:r>
              <w:rPr>
                <w:spacing w:val="6"/>
                <w:sz w:val="20"/>
                <w:szCs w:val="20"/>
                <w:highlight w:val="none"/>
              </w:rPr>
              <w:t>安装扶手</w:t>
            </w:r>
          </w:p>
        </w:tc>
        <w:tc>
          <w:tcPr>
            <w:tcW w:w="4848" w:type="dxa"/>
            <w:vAlign w:val="top"/>
          </w:tcPr>
          <w:p w14:paraId="5063F722">
            <w:pPr>
              <w:spacing w:line="283" w:lineRule="auto"/>
              <w:rPr>
                <w:rFonts w:ascii="Arial"/>
                <w:sz w:val="21"/>
                <w:highlight w:val="none"/>
              </w:rPr>
            </w:pPr>
          </w:p>
          <w:p w14:paraId="3CCC1935">
            <w:pPr>
              <w:pStyle w:val="144"/>
              <w:spacing w:before="65" w:line="289" w:lineRule="auto"/>
              <w:ind w:left="110"/>
              <w:jc w:val="both"/>
              <w:rPr>
                <w:sz w:val="20"/>
                <w:szCs w:val="20"/>
                <w:highlight w:val="none"/>
              </w:rPr>
            </w:pPr>
            <w:r>
              <w:rPr>
                <w:spacing w:val="14"/>
                <w:sz w:val="20"/>
                <w:szCs w:val="20"/>
                <w:highlight w:val="none"/>
              </w:rPr>
              <w:t>在如厕区或者洗浴区安装扶手，辅助老年人起身、站立、转身和坐下</w:t>
            </w:r>
            <w:r>
              <w:rPr>
                <w:spacing w:val="-57"/>
                <w:sz w:val="20"/>
                <w:szCs w:val="20"/>
                <w:highlight w:val="none"/>
              </w:rPr>
              <w:t xml:space="preserve"> </w:t>
            </w:r>
            <w:r>
              <w:rPr>
                <w:spacing w:val="14"/>
                <w:sz w:val="20"/>
                <w:szCs w:val="20"/>
                <w:highlight w:val="none"/>
              </w:rPr>
              <w:t>。包括一字形扶手、U</w:t>
            </w:r>
            <w:r>
              <w:rPr>
                <w:spacing w:val="-26"/>
                <w:sz w:val="20"/>
                <w:szCs w:val="20"/>
                <w:highlight w:val="none"/>
              </w:rPr>
              <w:t xml:space="preserve"> </w:t>
            </w:r>
            <w:r>
              <w:rPr>
                <w:spacing w:val="14"/>
                <w:sz w:val="20"/>
                <w:szCs w:val="20"/>
                <w:highlight w:val="none"/>
              </w:rPr>
              <w:t>形扶</w:t>
            </w:r>
            <w:r>
              <w:rPr>
                <w:spacing w:val="13"/>
                <w:sz w:val="20"/>
                <w:szCs w:val="20"/>
                <w:highlight w:val="none"/>
              </w:rPr>
              <w:t>手、</w:t>
            </w:r>
            <w:r>
              <w:rPr>
                <w:sz w:val="20"/>
                <w:szCs w:val="20"/>
                <w:highlight w:val="none"/>
              </w:rPr>
              <w:t xml:space="preserve"> </w:t>
            </w:r>
            <w:r>
              <w:rPr>
                <w:spacing w:val="5"/>
                <w:sz w:val="20"/>
                <w:szCs w:val="20"/>
                <w:highlight w:val="none"/>
              </w:rPr>
              <w:t>L</w:t>
            </w:r>
            <w:r>
              <w:rPr>
                <w:spacing w:val="-23"/>
                <w:sz w:val="20"/>
                <w:szCs w:val="20"/>
                <w:highlight w:val="none"/>
              </w:rPr>
              <w:t xml:space="preserve"> </w:t>
            </w:r>
            <w:r>
              <w:rPr>
                <w:spacing w:val="5"/>
                <w:sz w:val="20"/>
                <w:szCs w:val="20"/>
                <w:highlight w:val="none"/>
              </w:rPr>
              <w:t>形扶手、135</w:t>
            </w:r>
            <w:r>
              <w:rPr>
                <w:spacing w:val="55"/>
                <w:sz w:val="20"/>
                <w:szCs w:val="20"/>
                <w:highlight w:val="none"/>
              </w:rPr>
              <w:t xml:space="preserve"> </w:t>
            </w:r>
            <w:r>
              <w:rPr>
                <w:spacing w:val="5"/>
                <w:sz w:val="20"/>
                <w:szCs w:val="20"/>
                <w:highlight w:val="none"/>
              </w:rPr>
              <w:t>°挟手、T</w:t>
            </w:r>
            <w:r>
              <w:rPr>
                <w:spacing w:val="-29"/>
                <w:sz w:val="20"/>
                <w:szCs w:val="20"/>
                <w:highlight w:val="none"/>
              </w:rPr>
              <w:t xml:space="preserve"> </w:t>
            </w:r>
            <w:r>
              <w:rPr>
                <w:spacing w:val="5"/>
                <w:sz w:val="20"/>
                <w:szCs w:val="20"/>
                <w:highlight w:val="none"/>
              </w:rPr>
              <w:t>形扶手或者助力扶手等。</w:t>
            </w:r>
          </w:p>
        </w:tc>
        <w:tc>
          <w:tcPr>
            <w:tcW w:w="1179" w:type="dxa"/>
            <w:vAlign w:val="top"/>
          </w:tcPr>
          <w:p w14:paraId="3023C0EB">
            <w:pPr>
              <w:spacing w:line="297" w:lineRule="auto"/>
              <w:rPr>
                <w:rFonts w:ascii="Arial"/>
                <w:sz w:val="21"/>
                <w:highlight w:val="none"/>
              </w:rPr>
            </w:pPr>
          </w:p>
          <w:p w14:paraId="7FCB8D26">
            <w:pPr>
              <w:spacing w:line="297" w:lineRule="auto"/>
              <w:rPr>
                <w:rFonts w:ascii="Arial"/>
                <w:sz w:val="21"/>
                <w:highlight w:val="none"/>
              </w:rPr>
            </w:pPr>
          </w:p>
          <w:p w14:paraId="4D609E53">
            <w:pPr>
              <w:pStyle w:val="144"/>
              <w:spacing w:before="65" w:line="233" w:lineRule="auto"/>
              <w:ind w:left="386"/>
              <w:rPr>
                <w:sz w:val="20"/>
                <w:szCs w:val="20"/>
                <w:highlight w:val="none"/>
              </w:rPr>
            </w:pPr>
            <w:r>
              <w:rPr>
                <w:spacing w:val="4"/>
                <w:sz w:val="20"/>
                <w:szCs w:val="20"/>
                <w:highlight w:val="none"/>
              </w:rPr>
              <w:t>基础</w:t>
            </w:r>
          </w:p>
        </w:tc>
      </w:tr>
      <w:tr w14:paraId="3C44E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47" w:type="dxa"/>
            <w:vAlign w:val="top"/>
          </w:tcPr>
          <w:p w14:paraId="63EF2B92">
            <w:pPr>
              <w:spacing w:line="394" w:lineRule="auto"/>
              <w:rPr>
                <w:rFonts w:ascii="Arial"/>
                <w:sz w:val="21"/>
                <w:highlight w:val="none"/>
              </w:rPr>
            </w:pPr>
          </w:p>
          <w:p w14:paraId="19221C34">
            <w:pPr>
              <w:pStyle w:val="144"/>
              <w:spacing w:before="65" w:line="270" w:lineRule="exact"/>
              <w:ind w:left="236"/>
              <w:rPr>
                <w:sz w:val="20"/>
                <w:szCs w:val="20"/>
                <w:highlight w:val="none"/>
              </w:rPr>
            </w:pPr>
            <w:r>
              <w:rPr>
                <w:spacing w:val="-7"/>
                <w:position w:val="1"/>
                <w:sz w:val="20"/>
                <w:szCs w:val="20"/>
                <w:highlight w:val="none"/>
              </w:rPr>
              <w:t>14</w:t>
            </w:r>
          </w:p>
        </w:tc>
        <w:tc>
          <w:tcPr>
            <w:tcW w:w="1465" w:type="dxa"/>
            <w:vMerge w:val="continue"/>
            <w:tcBorders>
              <w:top w:val="nil"/>
            </w:tcBorders>
            <w:vAlign w:val="top"/>
          </w:tcPr>
          <w:p w14:paraId="0760E305">
            <w:pPr>
              <w:rPr>
                <w:rFonts w:ascii="Arial"/>
                <w:sz w:val="21"/>
                <w:highlight w:val="none"/>
              </w:rPr>
            </w:pPr>
          </w:p>
        </w:tc>
        <w:tc>
          <w:tcPr>
            <w:tcW w:w="1439" w:type="dxa"/>
            <w:vAlign w:val="top"/>
          </w:tcPr>
          <w:p w14:paraId="411FFA39">
            <w:pPr>
              <w:rPr>
                <w:rFonts w:ascii="Arial"/>
                <w:sz w:val="21"/>
                <w:highlight w:val="none"/>
              </w:rPr>
            </w:pPr>
          </w:p>
          <w:p w14:paraId="1CB66F2B">
            <w:pPr>
              <w:pStyle w:val="144"/>
              <w:spacing w:before="65" w:line="289" w:lineRule="auto"/>
              <w:ind w:right="296" w:firstLine="214" w:firstLineChars="100"/>
              <w:rPr>
                <w:sz w:val="20"/>
                <w:szCs w:val="20"/>
                <w:highlight w:val="none"/>
              </w:rPr>
            </w:pPr>
            <w:r>
              <w:rPr>
                <w:spacing w:val="7"/>
                <w:sz w:val="20"/>
                <w:szCs w:val="20"/>
                <w:highlight w:val="none"/>
              </w:rPr>
              <w:t>蹲便器</w:t>
            </w:r>
            <w:r>
              <w:rPr>
                <w:spacing w:val="5"/>
                <w:sz w:val="20"/>
                <w:szCs w:val="20"/>
                <w:highlight w:val="none"/>
              </w:rPr>
              <w:t>改坐便器</w:t>
            </w:r>
          </w:p>
        </w:tc>
        <w:tc>
          <w:tcPr>
            <w:tcW w:w="4848" w:type="dxa"/>
            <w:vAlign w:val="top"/>
          </w:tcPr>
          <w:p w14:paraId="1C8D7EC7">
            <w:pPr>
              <w:rPr>
                <w:rFonts w:ascii="Arial"/>
                <w:sz w:val="21"/>
                <w:highlight w:val="none"/>
              </w:rPr>
            </w:pPr>
          </w:p>
          <w:p w14:paraId="41FB55B4">
            <w:pPr>
              <w:pStyle w:val="144"/>
              <w:spacing w:before="65" w:line="289" w:lineRule="auto"/>
              <w:ind w:left="111" w:right="82"/>
              <w:rPr>
                <w:sz w:val="20"/>
                <w:szCs w:val="20"/>
                <w:highlight w:val="none"/>
              </w:rPr>
            </w:pPr>
            <w:r>
              <w:rPr>
                <w:spacing w:val="21"/>
                <w:sz w:val="20"/>
                <w:szCs w:val="20"/>
                <w:highlight w:val="none"/>
              </w:rPr>
              <w:t>减轻蹲姿造成的腿部压力，避免老年人如则</w:t>
            </w:r>
            <w:r>
              <w:rPr>
                <w:spacing w:val="20"/>
                <w:sz w:val="20"/>
                <w:szCs w:val="20"/>
                <w:highlight w:val="none"/>
              </w:rPr>
              <w:t>时摔</w:t>
            </w:r>
            <w:r>
              <w:rPr>
                <w:spacing w:val="18"/>
                <w:sz w:val="20"/>
                <w:szCs w:val="20"/>
                <w:highlight w:val="none"/>
              </w:rPr>
              <w:t>倒，方便乘轮椅老年人使用。</w:t>
            </w:r>
          </w:p>
        </w:tc>
        <w:tc>
          <w:tcPr>
            <w:tcW w:w="1179" w:type="dxa"/>
            <w:vAlign w:val="top"/>
          </w:tcPr>
          <w:p w14:paraId="0FD2FCBC">
            <w:pPr>
              <w:spacing w:line="394" w:lineRule="auto"/>
              <w:rPr>
                <w:rFonts w:ascii="Arial"/>
                <w:sz w:val="21"/>
                <w:highlight w:val="none"/>
              </w:rPr>
            </w:pPr>
          </w:p>
          <w:p w14:paraId="28798E54">
            <w:pPr>
              <w:pStyle w:val="144"/>
              <w:spacing w:before="65" w:line="231" w:lineRule="auto"/>
              <w:ind w:left="387"/>
              <w:rPr>
                <w:sz w:val="20"/>
                <w:szCs w:val="20"/>
                <w:highlight w:val="none"/>
              </w:rPr>
            </w:pPr>
            <w:r>
              <w:rPr>
                <w:spacing w:val="3"/>
                <w:sz w:val="20"/>
                <w:szCs w:val="20"/>
                <w:highlight w:val="none"/>
              </w:rPr>
              <w:t>可选</w:t>
            </w:r>
          </w:p>
        </w:tc>
      </w:tr>
      <w:tr w14:paraId="75A8F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47" w:type="dxa"/>
            <w:vAlign w:val="top"/>
          </w:tcPr>
          <w:p w14:paraId="01CF9603">
            <w:pPr>
              <w:spacing w:line="397" w:lineRule="auto"/>
              <w:rPr>
                <w:rFonts w:ascii="Arial"/>
                <w:sz w:val="21"/>
                <w:highlight w:val="none"/>
              </w:rPr>
            </w:pPr>
          </w:p>
          <w:p w14:paraId="4D5979E3">
            <w:pPr>
              <w:pStyle w:val="144"/>
              <w:spacing w:before="65" w:line="269" w:lineRule="exact"/>
              <w:ind w:left="236"/>
              <w:rPr>
                <w:sz w:val="20"/>
                <w:szCs w:val="20"/>
                <w:highlight w:val="none"/>
              </w:rPr>
            </w:pPr>
            <w:r>
              <w:rPr>
                <w:spacing w:val="-7"/>
                <w:position w:val="1"/>
                <w:sz w:val="20"/>
                <w:szCs w:val="20"/>
                <w:highlight w:val="none"/>
              </w:rPr>
              <w:t>15</w:t>
            </w:r>
          </w:p>
        </w:tc>
        <w:tc>
          <w:tcPr>
            <w:tcW w:w="1465" w:type="dxa"/>
            <w:vMerge w:val="restart"/>
            <w:tcBorders>
              <w:bottom w:val="nil"/>
            </w:tcBorders>
            <w:vAlign w:val="top"/>
          </w:tcPr>
          <w:p w14:paraId="20635F11">
            <w:pPr>
              <w:spacing w:line="264" w:lineRule="auto"/>
              <w:rPr>
                <w:rFonts w:ascii="Arial"/>
                <w:sz w:val="21"/>
                <w:highlight w:val="none"/>
              </w:rPr>
            </w:pPr>
          </w:p>
          <w:p w14:paraId="3BD5D901">
            <w:pPr>
              <w:spacing w:line="264" w:lineRule="auto"/>
              <w:rPr>
                <w:rFonts w:ascii="Arial"/>
                <w:sz w:val="21"/>
                <w:highlight w:val="none"/>
              </w:rPr>
            </w:pPr>
          </w:p>
          <w:p w14:paraId="299912C2">
            <w:pPr>
              <w:spacing w:line="264" w:lineRule="auto"/>
              <w:rPr>
                <w:rFonts w:ascii="Arial"/>
                <w:sz w:val="21"/>
                <w:highlight w:val="none"/>
              </w:rPr>
            </w:pPr>
          </w:p>
          <w:p w14:paraId="1D2E7479">
            <w:pPr>
              <w:spacing w:line="264" w:lineRule="auto"/>
              <w:rPr>
                <w:rFonts w:ascii="Arial"/>
                <w:sz w:val="21"/>
                <w:highlight w:val="none"/>
              </w:rPr>
            </w:pPr>
          </w:p>
          <w:p w14:paraId="05DE3BD3">
            <w:pPr>
              <w:spacing w:line="265" w:lineRule="auto"/>
              <w:rPr>
                <w:rFonts w:ascii="Arial"/>
                <w:sz w:val="21"/>
                <w:highlight w:val="none"/>
              </w:rPr>
            </w:pPr>
          </w:p>
          <w:p w14:paraId="57ABD8F5">
            <w:pPr>
              <w:pStyle w:val="144"/>
              <w:spacing w:before="65" w:line="391" w:lineRule="auto"/>
              <w:ind w:left="319" w:right="103" w:hanging="177"/>
              <w:rPr>
                <w:sz w:val="20"/>
                <w:szCs w:val="20"/>
                <w:highlight w:val="none"/>
              </w:rPr>
            </w:pPr>
            <w:r>
              <w:rPr>
                <w:spacing w:val="1"/>
                <w:sz w:val="20"/>
                <w:szCs w:val="20"/>
                <w:highlight w:val="none"/>
              </w:rPr>
              <w:t>(四)如厕洗浴</w:t>
            </w:r>
            <w:r>
              <w:rPr>
                <w:spacing w:val="6"/>
                <w:sz w:val="20"/>
                <w:szCs w:val="20"/>
                <w:highlight w:val="none"/>
              </w:rPr>
              <w:t>设备改造</w:t>
            </w:r>
          </w:p>
        </w:tc>
        <w:tc>
          <w:tcPr>
            <w:tcW w:w="1439" w:type="dxa"/>
            <w:vAlign w:val="top"/>
          </w:tcPr>
          <w:p w14:paraId="27148F1B">
            <w:pPr>
              <w:spacing w:line="397" w:lineRule="auto"/>
              <w:rPr>
                <w:rFonts w:ascii="Arial"/>
                <w:sz w:val="21"/>
                <w:highlight w:val="none"/>
              </w:rPr>
            </w:pPr>
          </w:p>
          <w:p w14:paraId="157AD36E">
            <w:pPr>
              <w:pStyle w:val="144"/>
              <w:spacing w:before="65" w:line="228" w:lineRule="auto"/>
              <w:ind w:left="202"/>
              <w:rPr>
                <w:sz w:val="20"/>
                <w:szCs w:val="20"/>
                <w:highlight w:val="none"/>
              </w:rPr>
            </w:pPr>
            <w:r>
              <w:rPr>
                <w:spacing w:val="7"/>
                <w:sz w:val="20"/>
                <w:szCs w:val="20"/>
                <w:highlight w:val="none"/>
              </w:rPr>
              <w:t>水龙头改造</w:t>
            </w:r>
          </w:p>
        </w:tc>
        <w:tc>
          <w:tcPr>
            <w:tcW w:w="4848" w:type="dxa"/>
            <w:vAlign w:val="top"/>
          </w:tcPr>
          <w:p w14:paraId="09C17720">
            <w:pPr>
              <w:spacing w:line="397" w:lineRule="auto"/>
              <w:rPr>
                <w:rFonts w:ascii="Arial"/>
                <w:sz w:val="21"/>
                <w:highlight w:val="none"/>
              </w:rPr>
            </w:pPr>
          </w:p>
          <w:p w14:paraId="3BFC27BE">
            <w:pPr>
              <w:pStyle w:val="144"/>
              <w:spacing w:before="65" w:line="227" w:lineRule="auto"/>
              <w:jc w:val="right"/>
              <w:rPr>
                <w:sz w:val="20"/>
                <w:szCs w:val="20"/>
                <w:highlight w:val="none"/>
              </w:rPr>
            </w:pPr>
            <w:r>
              <w:rPr>
                <w:spacing w:val="14"/>
                <w:sz w:val="20"/>
                <w:szCs w:val="20"/>
                <w:highlight w:val="none"/>
              </w:rPr>
              <w:t>采用拔杆式或感应水龙头，方便老年人开关水阀。</w:t>
            </w:r>
          </w:p>
        </w:tc>
        <w:tc>
          <w:tcPr>
            <w:tcW w:w="1179" w:type="dxa"/>
            <w:vAlign w:val="top"/>
          </w:tcPr>
          <w:p w14:paraId="6E8294CE">
            <w:pPr>
              <w:spacing w:line="398" w:lineRule="auto"/>
              <w:rPr>
                <w:rFonts w:ascii="Arial"/>
                <w:sz w:val="21"/>
                <w:highlight w:val="none"/>
              </w:rPr>
            </w:pPr>
          </w:p>
          <w:p w14:paraId="01AE5B2B">
            <w:pPr>
              <w:pStyle w:val="144"/>
              <w:spacing w:before="65" w:line="231" w:lineRule="auto"/>
              <w:ind w:left="387"/>
              <w:rPr>
                <w:sz w:val="20"/>
                <w:szCs w:val="20"/>
                <w:highlight w:val="none"/>
              </w:rPr>
            </w:pPr>
            <w:r>
              <w:rPr>
                <w:spacing w:val="3"/>
                <w:sz w:val="20"/>
                <w:szCs w:val="20"/>
                <w:highlight w:val="none"/>
              </w:rPr>
              <w:t>可选</w:t>
            </w:r>
          </w:p>
        </w:tc>
      </w:tr>
      <w:tr w14:paraId="45CD6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647" w:type="dxa"/>
            <w:vAlign w:val="top"/>
          </w:tcPr>
          <w:p w14:paraId="3DE717D3">
            <w:pPr>
              <w:spacing w:line="394" w:lineRule="auto"/>
              <w:rPr>
                <w:rFonts w:ascii="Arial"/>
                <w:sz w:val="21"/>
                <w:highlight w:val="none"/>
              </w:rPr>
            </w:pPr>
          </w:p>
          <w:p w14:paraId="1D9CE4A8">
            <w:pPr>
              <w:pStyle w:val="144"/>
              <w:spacing w:before="65" w:line="269" w:lineRule="exact"/>
              <w:ind w:left="236"/>
              <w:rPr>
                <w:sz w:val="20"/>
                <w:szCs w:val="20"/>
                <w:highlight w:val="none"/>
              </w:rPr>
            </w:pPr>
            <w:r>
              <w:rPr>
                <w:spacing w:val="-7"/>
                <w:position w:val="1"/>
                <w:sz w:val="20"/>
                <w:szCs w:val="20"/>
                <w:highlight w:val="none"/>
              </w:rPr>
              <w:t>16</w:t>
            </w:r>
          </w:p>
        </w:tc>
        <w:tc>
          <w:tcPr>
            <w:tcW w:w="1465" w:type="dxa"/>
            <w:vMerge w:val="continue"/>
            <w:tcBorders>
              <w:top w:val="nil"/>
              <w:bottom w:val="nil"/>
            </w:tcBorders>
            <w:vAlign w:val="top"/>
          </w:tcPr>
          <w:p w14:paraId="15966332">
            <w:pPr>
              <w:rPr>
                <w:rFonts w:ascii="Arial"/>
                <w:sz w:val="21"/>
                <w:highlight w:val="none"/>
              </w:rPr>
            </w:pPr>
          </w:p>
        </w:tc>
        <w:tc>
          <w:tcPr>
            <w:tcW w:w="1439" w:type="dxa"/>
            <w:vAlign w:val="top"/>
          </w:tcPr>
          <w:p w14:paraId="2CF0E8D2">
            <w:pPr>
              <w:pStyle w:val="144"/>
              <w:spacing w:before="305" w:line="293" w:lineRule="auto"/>
              <w:ind w:left="618" w:right="35" w:hanging="575"/>
              <w:rPr>
                <w:sz w:val="20"/>
                <w:szCs w:val="20"/>
                <w:highlight w:val="none"/>
              </w:rPr>
            </w:pPr>
            <w:r>
              <w:rPr>
                <w:spacing w:val="7"/>
                <w:sz w:val="20"/>
                <w:szCs w:val="20"/>
                <w:highlight w:val="none"/>
              </w:rPr>
              <w:t>浴缸/淋浴房改</w:t>
            </w:r>
            <w:r>
              <w:rPr>
                <w:spacing w:val="1"/>
                <w:sz w:val="20"/>
                <w:szCs w:val="20"/>
                <w:highlight w:val="none"/>
              </w:rPr>
              <w:t>造</w:t>
            </w:r>
          </w:p>
        </w:tc>
        <w:tc>
          <w:tcPr>
            <w:tcW w:w="4848" w:type="dxa"/>
            <w:vAlign w:val="top"/>
          </w:tcPr>
          <w:p w14:paraId="7890442F">
            <w:pPr>
              <w:rPr>
                <w:rFonts w:ascii="Arial"/>
                <w:sz w:val="21"/>
                <w:highlight w:val="none"/>
              </w:rPr>
            </w:pPr>
          </w:p>
          <w:p w14:paraId="28077B55">
            <w:pPr>
              <w:pStyle w:val="144"/>
              <w:spacing w:before="65" w:line="289" w:lineRule="auto"/>
              <w:ind w:left="127" w:right="72" w:hanging="16"/>
              <w:rPr>
                <w:sz w:val="20"/>
                <w:szCs w:val="20"/>
                <w:highlight w:val="none"/>
              </w:rPr>
            </w:pPr>
            <w:r>
              <w:rPr>
                <w:spacing w:val="16"/>
                <w:sz w:val="20"/>
                <w:szCs w:val="20"/>
                <w:highlight w:val="none"/>
              </w:rPr>
              <w:t>拆除浴缸/淋浴房，更换浴帘、浴杆，增加</w:t>
            </w:r>
            <w:r>
              <w:rPr>
                <w:spacing w:val="15"/>
                <w:sz w:val="20"/>
                <w:szCs w:val="20"/>
                <w:highlight w:val="none"/>
              </w:rPr>
              <w:t>淋浴空</w:t>
            </w:r>
            <w:r>
              <w:rPr>
                <w:spacing w:val="18"/>
                <w:sz w:val="20"/>
                <w:szCs w:val="20"/>
                <w:highlight w:val="none"/>
              </w:rPr>
              <w:t>间，方便照护人员辅助老年人洗浴。</w:t>
            </w:r>
          </w:p>
        </w:tc>
        <w:tc>
          <w:tcPr>
            <w:tcW w:w="1179" w:type="dxa"/>
            <w:vAlign w:val="top"/>
          </w:tcPr>
          <w:p w14:paraId="332D25FA">
            <w:pPr>
              <w:spacing w:line="395" w:lineRule="auto"/>
              <w:rPr>
                <w:rFonts w:ascii="Arial"/>
                <w:sz w:val="21"/>
                <w:highlight w:val="none"/>
              </w:rPr>
            </w:pPr>
          </w:p>
          <w:p w14:paraId="32764527">
            <w:pPr>
              <w:pStyle w:val="144"/>
              <w:spacing w:before="65" w:line="231" w:lineRule="auto"/>
              <w:ind w:left="387"/>
              <w:rPr>
                <w:sz w:val="20"/>
                <w:szCs w:val="20"/>
                <w:highlight w:val="none"/>
              </w:rPr>
            </w:pPr>
            <w:r>
              <w:rPr>
                <w:spacing w:val="3"/>
                <w:sz w:val="20"/>
                <w:szCs w:val="20"/>
                <w:highlight w:val="none"/>
              </w:rPr>
              <w:t>可选</w:t>
            </w:r>
          </w:p>
        </w:tc>
      </w:tr>
      <w:tr w14:paraId="3E5A3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647" w:type="dxa"/>
            <w:vAlign w:val="top"/>
          </w:tcPr>
          <w:p w14:paraId="5ECDA0A4">
            <w:pPr>
              <w:spacing w:line="396" w:lineRule="auto"/>
              <w:rPr>
                <w:rFonts w:ascii="Arial"/>
                <w:sz w:val="21"/>
                <w:highlight w:val="none"/>
              </w:rPr>
            </w:pPr>
          </w:p>
          <w:p w14:paraId="26A72B07">
            <w:pPr>
              <w:pStyle w:val="144"/>
              <w:spacing w:before="65" w:line="269" w:lineRule="exact"/>
              <w:ind w:left="236"/>
              <w:rPr>
                <w:sz w:val="20"/>
                <w:szCs w:val="20"/>
                <w:highlight w:val="none"/>
              </w:rPr>
            </w:pPr>
            <w:r>
              <w:rPr>
                <w:spacing w:val="-7"/>
                <w:position w:val="1"/>
                <w:sz w:val="20"/>
                <w:szCs w:val="20"/>
                <w:highlight w:val="none"/>
              </w:rPr>
              <w:t>17</w:t>
            </w:r>
          </w:p>
        </w:tc>
        <w:tc>
          <w:tcPr>
            <w:tcW w:w="1465" w:type="dxa"/>
            <w:vMerge w:val="continue"/>
            <w:tcBorders>
              <w:top w:val="nil"/>
            </w:tcBorders>
            <w:vAlign w:val="top"/>
          </w:tcPr>
          <w:p w14:paraId="2660B5BF">
            <w:pPr>
              <w:rPr>
                <w:rFonts w:ascii="Arial"/>
                <w:sz w:val="21"/>
                <w:highlight w:val="none"/>
              </w:rPr>
            </w:pPr>
          </w:p>
        </w:tc>
        <w:tc>
          <w:tcPr>
            <w:tcW w:w="1439" w:type="dxa"/>
            <w:vAlign w:val="top"/>
          </w:tcPr>
          <w:p w14:paraId="19D90B11">
            <w:pPr>
              <w:spacing w:line="397" w:lineRule="auto"/>
              <w:rPr>
                <w:rFonts w:ascii="Arial"/>
                <w:sz w:val="21"/>
                <w:highlight w:val="none"/>
              </w:rPr>
            </w:pPr>
          </w:p>
          <w:p w14:paraId="1028F791">
            <w:pPr>
              <w:pStyle w:val="144"/>
              <w:spacing w:before="65" w:line="226" w:lineRule="auto"/>
              <w:ind w:left="199"/>
              <w:rPr>
                <w:sz w:val="20"/>
                <w:szCs w:val="20"/>
                <w:highlight w:val="none"/>
              </w:rPr>
            </w:pPr>
            <w:r>
              <w:rPr>
                <w:spacing w:val="8"/>
                <w:sz w:val="20"/>
                <w:szCs w:val="20"/>
                <w:highlight w:val="none"/>
              </w:rPr>
              <w:t>配置淋浴椅</w:t>
            </w:r>
          </w:p>
        </w:tc>
        <w:tc>
          <w:tcPr>
            <w:tcW w:w="4848" w:type="dxa"/>
            <w:vAlign w:val="top"/>
          </w:tcPr>
          <w:p w14:paraId="2CD59DCB">
            <w:pPr>
              <w:spacing w:line="396" w:lineRule="auto"/>
              <w:rPr>
                <w:rFonts w:ascii="Arial"/>
                <w:sz w:val="21"/>
                <w:highlight w:val="none"/>
              </w:rPr>
            </w:pPr>
          </w:p>
          <w:p w14:paraId="66B0E500">
            <w:pPr>
              <w:pStyle w:val="144"/>
              <w:spacing w:before="65" w:line="228" w:lineRule="auto"/>
              <w:jc w:val="right"/>
              <w:rPr>
                <w:sz w:val="20"/>
                <w:szCs w:val="20"/>
                <w:highlight w:val="none"/>
              </w:rPr>
            </w:pPr>
            <w:r>
              <w:rPr>
                <w:spacing w:val="14"/>
                <w:sz w:val="20"/>
                <w:szCs w:val="20"/>
                <w:highlight w:val="none"/>
              </w:rPr>
              <w:t>辅助老年人洗澡用，避免老年人滑倒，提高安性。</w:t>
            </w:r>
          </w:p>
        </w:tc>
        <w:tc>
          <w:tcPr>
            <w:tcW w:w="1179" w:type="dxa"/>
            <w:vAlign w:val="top"/>
          </w:tcPr>
          <w:p w14:paraId="18E3694D">
            <w:pPr>
              <w:spacing w:line="397" w:lineRule="auto"/>
              <w:rPr>
                <w:rFonts w:ascii="Arial"/>
                <w:sz w:val="21"/>
                <w:highlight w:val="none"/>
              </w:rPr>
            </w:pPr>
          </w:p>
          <w:p w14:paraId="4510F7F0">
            <w:pPr>
              <w:pStyle w:val="144"/>
              <w:spacing w:before="65" w:line="233" w:lineRule="auto"/>
              <w:ind w:left="386"/>
              <w:rPr>
                <w:sz w:val="20"/>
                <w:szCs w:val="20"/>
                <w:highlight w:val="none"/>
              </w:rPr>
            </w:pPr>
            <w:r>
              <w:rPr>
                <w:spacing w:val="4"/>
                <w:sz w:val="20"/>
                <w:szCs w:val="20"/>
                <w:highlight w:val="none"/>
              </w:rPr>
              <w:t>基础</w:t>
            </w:r>
          </w:p>
        </w:tc>
      </w:tr>
      <w:tr w14:paraId="4752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47" w:type="dxa"/>
            <w:vAlign w:val="top"/>
          </w:tcPr>
          <w:p w14:paraId="71ED895C">
            <w:pPr>
              <w:spacing w:line="400" w:lineRule="auto"/>
              <w:rPr>
                <w:rFonts w:ascii="Arial"/>
                <w:sz w:val="21"/>
                <w:highlight w:val="none"/>
              </w:rPr>
            </w:pPr>
          </w:p>
          <w:p w14:paraId="39928ABA">
            <w:pPr>
              <w:pStyle w:val="144"/>
              <w:spacing w:before="65" w:line="268" w:lineRule="exact"/>
              <w:ind w:left="236"/>
              <w:rPr>
                <w:sz w:val="20"/>
                <w:szCs w:val="20"/>
                <w:highlight w:val="none"/>
              </w:rPr>
            </w:pPr>
            <w:r>
              <w:rPr>
                <w:spacing w:val="-7"/>
                <w:position w:val="1"/>
                <w:sz w:val="20"/>
                <w:szCs w:val="20"/>
                <w:highlight w:val="none"/>
              </w:rPr>
              <w:t>18</w:t>
            </w:r>
          </w:p>
        </w:tc>
        <w:tc>
          <w:tcPr>
            <w:tcW w:w="1465" w:type="dxa"/>
            <w:vMerge w:val="restart"/>
            <w:tcBorders>
              <w:bottom w:val="nil"/>
            </w:tcBorders>
            <w:vAlign w:val="top"/>
          </w:tcPr>
          <w:p w14:paraId="04702D6C">
            <w:pPr>
              <w:spacing w:line="241" w:lineRule="auto"/>
              <w:rPr>
                <w:rFonts w:ascii="Arial"/>
                <w:sz w:val="21"/>
                <w:highlight w:val="none"/>
              </w:rPr>
            </w:pPr>
          </w:p>
          <w:p w14:paraId="5B556532">
            <w:pPr>
              <w:spacing w:line="241" w:lineRule="auto"/>
              <w:rPr>
                <w:rFonts w:ascii="Arial"/>
                <w:sz w:val="21"/>
                <w:highlight w:val="none"/>
              </w:rPr>
            </w:pPr>
          </w:p>
          <w:p w14:paraId="2DD123D7">
            <w:pPr>
              <w:spacing w:line="241" w:lineRule="auto"/>
              <w:rPr>
                <w:rFonts w:ascii="Arial"/>
                <w:sz w:val="21"/>
                <w:highlight w:val="none"/>
              </w:rPr>
            </w:pPr>
          </w:p>
          <w:p w14:paraId="10EEE342">
            <w:pPr>
              <w:spacing w:line="242" w:lineRule="auto"/>
              <w:rPr>
                <w:rFonts w:ascii="Arial"/>
                <w:sz w:val="21"/>
                <w:highlight w:val="none"/>
              </w:rPr>
            </w:pPr>
          </w:p>
          <w:p w14:paraId="6583ADB3">
            <w:pPr>
              <w:pStyle w:val="144"/>
              <w:spacing w:before="65" w:line="228" w:lineRule="auto"/>
              <w:ind w:left="109"/>
              <w:rPr>
                <w:sz w:val="20"/>
                <w:szCs w:val="20"/>
                <w:highlight w:val="none"/>
              </w:rPr>
            </w:pPr>
            <w:r>
              <w:rPr>
                <w:rFonts w:hint="eastAsia"/>
                <w:spacing w:val="7"/>
                <w:sz w:val="20"/>
                <w:szCs w:val="20"/>
                <w:highlight w:val="none"/>
                <w:lang w:eastAsia="zh-CN"/>
              </w:rPr>
              <w:t>（</w:t>
            </w:r>
            <w:r>
              <w:rPr>
                <w:rFonts w:hint="eastAsia"/>
                <w:spacing w:val="7"/>
                <w:sz w:val="20"/>
                <w:szCs w:val="20"/>
                <w:highlight w:val="none"/>
                <w:lang w:val="en-US" w:eastAsia="zh-CN"/>
              </w:rPr>
              <w:t>五</w:t>
            </w:r>
            <w:r>
              <w:rPr>
                <w:rFonts w:hint="eastAsia"/>
                <w:spacing w:val="7"/>
                <w:sz w:val="20"/>
                <w:szCs w:val="20"/>
                <w:highlight w:val="none"/>
                <w:lang w:eastAsia="zh-CN"/>
              </w:rPr>
              <w:t>）</w:t>
            </w:r>
            <w:r>
              <w:rPr>
                <w:spacing w:val="7"/>
                <w:sz w:val="20"/>
                <w:szCs w:val="20"/>
                <w:highlight w:val="none"/>
              </w:rPr>
              <w:t>厨房设备改造</w:t>
            </w:r>
          </w:p>
        </w:tc>
        <w:tc>
          <w:tcPr>
            <w:tcW w:w="1439" w:type="dxa"/>
            <w:vAlign w:val="top"/>
          </w:tcPr>
          <w:p w14:paraId="48108B74">
            <w:pPr>
              <w:spacing w:line="399" w:lineRule="auto"/>
              <w:rPr>
                <w:rFonts w:ascii="Arial"/>
                <w:sz w:val="21"/>
                <w:highlight w:val="none"/>
              </w:rPr>
            </w:pPr>
          </w:p>
          <w:p w14:paraId="49D16338">
            <w:pPr>
              <w:pStyle w:val="144"/>
              <w:spacing w:before="65" w:line="228" w:lineRule="auto"/>
              <w:ind w:left="321"/>
              <w:rPr>
                <w:sz w:val="20"/>
                <w:szCs w:val="20"/>
                <w:highlight w:val="none"/>
              </w:rPr>
            </w:pPr>
            <w:r>
              <w:rPr>
                <w:spacing w:val="3"/>
                <w:sz w:val="20"/>
                <w:szCs w:val="20"/>
                <w:highlight w:val="none"/>
              </w:rPr>
              <w:t>台面改造</w:t>
            </w:r>
          </w:p>
        </w:tc>
        <w:tc>
          <w:tcPr>
            <w:tcW w:w="4848" w:type="dxa"/>
            <w:vAlign w:val="top"/>
          </w:tcPr>
          <w:p w14:paraId="7E208BFA">
            <w:pPr>
              <w:pStyle w:val="144"/>
              <w:spacing w:before="156" w:line="289" w:lineRule="auto"/>
              <w:ind w:left="112" w:right="82" w:firstLine="15"/>
              <w:jc w:val="both"/>
              <w:rPr>
                <w:sz w:val="20"/>
                <w:szCs w:val="20"/>
                <w:highlight w:val="none"/>
              </w:rPr>
            </w:pPr>
            <w:r>
              <w:rPr>
                <w:spacing w:val="20"/>
                <w:sz w:val="20"/>
                <w:szCs w:val="20"/>
                <w:highlight w:val="none"/>
              </w:rPr>
              <w:t>降低操作台、灶台、洗菜池高度或者在其下方留出容膝空间，方便乘轮椅或者体型矮小老年人操</w:t>
            </w:r>
            <w:r>
              <w:rPr>
                <w:sz w:val="20"/>
                <w:szCs w:val="20"/>
                <w:highlight w:val="none"/>
              </w:rPr>
              <w:t>作。</w:t>
            </w:r>
          </w:p>
        </w:tc>
        <w:tc>
          <w:tcPr>
            <w:tcW w:w="1179" w:type="dxa"/>
            <w:vAlign w:val="top"/>
          </w:tcPr>
          <w:p w14:paraId="11598CA8">
            <w:pPr>
              <w:spacing w:line="400" w:lineRule="auto"/>
              <w:rPr>
                <w:rFonts w:ascii="Arial"/>
                <w:sz w:val="21"/>
                <w:highlight w:val="none"/>
              </w:rPr>
            </w:pPr>
          </w:p>
          <w:p w14:paraId="4E1C213A">
            <w:pPr>
              <w:pStyle w:val="144"/>
              <w:spacing w:before="65" w:line="231" w:lineRule="auto"/>
              <w:ind w:left="387"/>
              <w:rPr>
                <w:sz w:val="20"/>
                <w:szCs w:val="20"/>
                <w:highlight w:val="none"/>
              </w:rPr>
            </w:pPr>
            <w:r>
              <w:rPr>
                <w:spacing w:val="3"/>
                <w:sz w:val="20"/>
                <w:szCs w:val="20"/>
                <w:highlight w:val="none"/>
              </w:rPr>
              <w:t>可选</w:t>
            </w:r>
          </w:p>
        </w:tc>
      </w:tr>
      <w:tr w14:paraId="38A28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647" w:type="dxa"/>
            <w:vAlign w:val="top"/>
          </w:tcPr>
          <w:p w14:paraId="39CB1A3E">
            <w:pPr>
              <w:spacing w:line="397" w:lineRule="auto"/>
              <w:rPr>
                <w:rFonts w:ascii="Arial"/>
                <w:sz w:val="21"/>
                <w:highlight w:val="none"/>
              </w:rPr>
            </w:pPr>
          </w:p>
          <w:p w14:paraId="2920CC67">
            <w:pPr>
              <w:pStyle w:val="144"/>
              <w:spacing w:before="65" w:line="268" w:lineRule="exact"/>
              <w:ind w:left="236"/>
              <w:rPr>
                <w:sz w:val="20"/>
                <w:szCs w:val="20"/>
                <w:highlight w:val="none"/>
              </w:rPr>
            </w:pPr>
            <w:r>
              <w:rPr>
                <w:spacing w:val="-7"/>
                <w:position w:val="1"/>
                <w:sz w:val="20"/>
                <w:szCs w:val="20"/>
                <w:highlight w:val="none"/>
              </w:rPr>
              <w:t>19</w:t>
            </w:r>
          </w:p>
        </w:tc>
        <w:tc>
          <w:tcPr>
            <w:tcW w:w="1465" w:type="dxa"/>
            <w:vMerge w:val="continue"/>
            <w:tcBorders>
              <w:top w:val="nil"/>
            </w:tcBorders>
            <w:vAlign w:val="top"/>
          </w:tcPr>
          <w:p w14:paraId="39F3CDA8">
            <w:pPr>
              <w:rPr>
                <w:rFonts w:ascii="Arial"/>
                <w:sz w:val="21"/>
                <w:highlight w:val="none"/>
              </w:rPr>
            </w:pPr>
          </w:p>
        </w:tc>
        <w:tc>
          <w:tcPr>
            <w:tcW w:w="1439" w:type="dxa"/>
            <w:vAlign w:val="top"/>
          </w:tcPr>
          <w:p w14:paraId="0EF6F936">
            <w:pPr>
              <w:spacing w:line="396" w:lineRule="auto"/>
              <w:rPr>
                <w:rFonts w:ascii="Arial"/>
                <w:sz w:val="21"/>
                <w:highlight w:val="none"/>
              </w:rPr>
            </w:pPr>
          </w:p>
          <w:p w14:paraId="785815E0">
            <w:pPr>
              <w:pStyle w:val="144"/>
              <w:spacing w:before="65" w:line="228" w:lineRule="auto"/>
              <w:ind w:left="199"/>
              <w:rPr>
                <w:sz w:val="20"/>
                <w:szCs w:val="20"/>
                <w:highlight w:val="none"/>
              </w:rPr>
            </w:pPr>
            <w:r>
              <w:rPr>
                <w:spacing w:val="8"/>
                <w:sz w:val="20"/>
                <w:szCs w:val="20"/>
                <w:highlight w:val="none"/>
              </w:rPr>
              <w:t>加设中部柜</w:t>
            </w:r>
          </w:p>
        </w:tc>
        <w:tc>
          <w:tcPr>
            <w:tcW w:w="4848" w:type="dxa"/>
            <w:vAlign w:val="top"/>
          </w:tcPr>
          <w:p w14:paraId="596E8311">
            <w:pPr>
              <w:spacing w:line="242" w:lineRule="auto"/>
              <w:rPr>
                <w:rFonts w:ascii="Arial"/>
                <w:sz w:val="21"/>
                <w:highlight w:val="none"/>
              </w:rPr>
            </w:pPr>
          </w:p>
          <w:p w14:paraId="3AAAE54F">
            <w:pPr>
              <w:pStyle w:val="144"/>
              <w:spacing w:before="66" w:line="289" w:lineRule="auto"/>
              <w:ind w:left="111" w:right="82" w:hanging="1"/>
              <w:rPr>
                <w:sz w:val="20"/>
                <w:szCs w:val="20"/>
                <w:highlight w:val="none"/>
              </w:rPr>
            </w:pPr>
            <w:r>
              <w:rPr>
                <w:spacing w:val="18"/>
                <w:sz w:val="20"/>
                <w:szCs w:val="20"/>
                <w:highlight w:val="none"/>
              </w:rPr>
              <w:t>在吊柜下方设置开散式中部柜、</w:t>
            </w:r>
            <w:r>
              <w:rPr>
                <w:spacing w:val="-38"/>
                <w:sz w:val="20"/>
                <w:szCs w:val="20"/>
                <w:highlight w:val="none"/>
              </w:rPr>
              <w:t xml:space="preserve"> </w:t>
            </w:r>
            <w:r>
              <w:rPr>
                <w:spacing w:val="18"/>
                <w:sz w:val="20"/>
                <w:szCs w:val="20"/>
                <w:highlight w:val="none"/>
              </w:rPr>
              <w:t>中部架，方便老</w:t>
            </w:r>
            <w:r>
              <w:rPr>
                <w:spacing w:val="15"/>
                <w:sz w:val="20"/>
                <w:szCs w:val="20"/>
                <w:highlight w:val="none"/>
              </w:rPr>
              <w:t>年人取放物品。</w:t>
            </w:r>
          </w:p>
        </w:tc>
        <w:tc>
          <w:tcPr>
            <w:tcW w:w="1179" w:type="dxa"/>
            <w:vAlign w:val="top"/>
          </w:tcPr>
          <w:p w14:paraId="23F54A89">
            <w:pPr>
              <w:spacing w:line="397" w:lineRule="auto"/>
              <w:rPr>
                <w:rFonts w:ascii="Arial"/>
                <w:sz w:val="21"/>
                <w:highlight w:val="none"/>
              </w:rPr>
            </w:pPr>
          </w:p>
          <w:p w14:paraId="15829FF7">
            <w:pPr>
              <w:pStyle w:val="144"/>
              <w:spacing w:before="65" w:line="231" w:lineRule="auto"/>
              <w:ind w:left="387"/>
              <w:rPr>
                <w:sz w:val="20"/>
                <w:szCs w:val="20"/>
                <w:highlight w:val="none"/>
              </w:rPr>
            </w:pPr>
            <w:r>
              <w:rPr>
                <w:spacing w:val="3"/>
                <w:sz w:val="20"/>
                <w:szCs w:val="20"/>
                <w:highlight w:val="none"/>
              </w:rPr>
              <w:t>可选</w:t>
            </w:r>
          </w:p>
        </w:tc>
      </w:tr>
      <w:tr w14:paraId="47518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47" w:type="dxa"/>
            <w:vAlign w:val="top"/>
          </w:tcPr>
          <w:p w14:paraId="2C154DD6">
            <w:pPr>
              <w:spacing w:line="402" w:lineRule="auto"/>
              <w:rPr>
                <w:rFonts w:ascii="Arial"/>
                <w:sz w:val="21"/>
                <w:highlight w:val="none"/>
              </w:rPr>
            </w:pPr>
          </w:p>
          <w:p w14:paraId="7DB00B09">
            <w:pPr>
              <w:pStyle w:val="144"/>
              <w:spacing w:before="65" w:line="269" w:lineRule="exact"/>
              <w:ind w:left="223"/>
              <w:rPr>
                <w:sz w:val="20"/>
                <w:szCs w:val="20"/>
                <w:highlight w:val="none"/>
              </w:rPr>
            </w:pPr>
            <w:r>
              <w:rPr>
                <w:spacing w:val="-1"/>
                <w:position w:val="1"/>
                <w:sz w:val="20"/>
                <w:szCs w:val="20"/>
                <w:highlight w:val="none"/>
              </w:rPr>
              <w:t>20</w:t>
            </w:r>
          </w:p>
        </w:tc>
        <w:tc>
          <w:tcPr>
            <w:tcW w:w="1465" w:type="dxa"/>
            <w:vMerge w:val="restart"/>
            <w:tcBorders>
              <w:bottom w:val="nil"/>
            </w:tcBorders>
            <w:vAlign w:val="top"/>
          </w:tcPr>
          <w:p w14:paraId="69CBD2C2">
            <w:pPr>
              <w:spacing w:line="241" w:lineRule="auto"/>
              <w:rPr>
                <w:rFonts w:ascii="Arial"/>
                <w:sz w:val="21"/>
                <w:highlight w:val="none"/>
              </w:rPr>
            </w:pPr>
          </w:p>
          <w:p w14:paraId="22637DB0">
            <w:pPr>
              <w:spacing w:line="242" w:lineRule="auto"/>
              <w:rPr>
                <w:rFonts w:ascii="Arial"/>
                <w:sz w:val="21"/>
                <w:highlight w:val="none"/>
              </w:rPr>
            </w:pPr>
          </w:p>
          <w:p w14:paraId="5726272B">
            <w:pPr>
              <w:spacing w:line="242" w:lineRule="auto"/>
              <w:rPr>
                <w:rFonts w:ascii="Arial"/>
                <w:sz w:val="21"/>
                <w:highlight w:val="none"/>
              </w:rPr>
            </w:pPr>
          </w:p>
          <w:p w14:paraId="5FAD968D">
            <w:pPr>
              <w:spacing w:line="242" w:lineRule="auto"/>
              <w:rPr>
                <w:rFonts w:ascii="Arial"/>
                <w:sz w:val="21"/>
                <w:highlight w:val="none"/>
              </w:rPr>
            </w:pPr>
          </w:p>
          <w:p w14:paraId="060E0B95">
            <w:pPr>
              <w:pStyle w:val="144"/>
              <w:spacing w:before="65" w:line="228" w:lineRule="auto"/>
              <w:ind w:left="105"/>
              <w:rPr>
                <w:sz w:val="20"/>
                <w:szCs w:val="20"/>
                <w:highlight w:val="none"/>
              </w:rPr>
            </w:pPr>
            <w:r>
              <w:rPr>
                <w:rFonts w:hint="eastAsia"/>
                <w:spacing w:val="8"/>
                <w:sz w:val="20"/>
                <w:szCs w:val="20"/>
                <w:highlight w:val="none"/>
                <w:lang w:eastAsia="zh-CN"/>
              </w:rPr>
              <w:t>（</w:t>
            </w:r>
            <w:r>
              <w:rPr>
                <w:rFonts w:hint="eastAsia"/>
                <w:spacing w:val="8"/>
                <w:sz w:val="20"/>
                <w:szCs w:val="20"/>
                <w:highlight w:val="none"/>
                <w:lang w:val="en-US" w:eastAsia="zh-CN"/>
              </w:rPr>
              <w:t>六</w:t>
            </w:r>
            <w:r>
              <w:rPr>
                <w:rFonts w:hint="eastAsia"/>
                <w:spacing w:val="8"/>
                <w:sz w:val="20"/>
                <w:szCs w:val="20"/>
                <w:highlight w:val="none"/>
                <w:lang w:eastAsia="zh-CN"/>
              </w:rPr>
              <w:t>）</w:t>
            </w:r>
            <w:r>
              <w:rPr>
                <w:spacing w:val="8"/>
                <w:sz w:val="20"/>
                <w:szCs w:val="20"/>
                <w:highlight w:val="none"/>
              </w:rPr>
              <w:t>物理环境改造</w:t>
            </w:r>
          </w:p>
        </w:tc>
        <w:tc>
          <w:tcPr>
            <w:tcW w:w="1439" w:type="dxa"/>
            <w:vAlign w:val="top"/>
          </w:tcPr>
          <w:p w14:paraId="01D83055">
            <w:pPr>
              <w:spacing w:line="247" w:lineRule="auto"/>
              <w:rPr>
                <w:rFonts w:ascii="Arial"/>
                <w:sz w:val="21"/>
                <w:highlight w:val="none"/>
              </w:rPr>
            </w:pPr>
          </w:p>
          <w:p w14:paraId="6013FCEE">
            <w:pPr>
              <w:pStyle w:val="144"/>
              <w:spacing w:before="65" w:line="290" w:lineRule="auto"/>
              <w:ind w:left="306" w:right="296" w:firstLine="3"/>
              <w:rPr>
                <w:sz w:val="20"/>
                <w:szCs w:val="20"/>
                <w:highlight w:val="none"/>
              </w:rPr>
            </w:pPr>
            <w:r>
              <w:rPr>
                <w:spacing w:val="6"/>
                <w:sz w:val="20"/>
                <w:szCs w:val="20"/>
                <w:highlight w:val="none"/>
              </w:rPr>
              <w:t>安装自动</w:t>
            </w:r>
            <w:r>
              <w:rPr>
                <w:spacing w:val="7"/>
                <w:sz w:val="20"/>
                <w:szCs w:val="20"/>
                <w:highlight w:val="none"/>
              </w:rPr>
              <w:t>感应灯具</w:t>
            </w:r>
          </w:p>
        </w:tc>
        <w:tc>
          <w:tcPr>
            <w:tcW w:w="4848" w:type="dxa"/>
            <w:vAlign w:val="top"/>
          </w:tcPr>
          <w:p w14:paraId="08E47F69">
            <w:pPr>
              <w:spacing w:line="248" w:lineRule="auto"/>
              <w:rPr>
                <w:rFonts w:ascii="Arial"/>
                <w:sz w:val="21"/>
                <w:highlight w:val="none"/>
              </w:rPr>
            </w:pPr>
          </w:p>
          <w:p w14:paraId="2B1A6869">
            <w:pPr>
              <w:pStyle w:val="144"/>
              <w:spacing w:before="65" w:line="289" w:lineRule="auto"/>
              <w:ind w:left="113" w:right="13" w:firstLine="2"/>
              <w:rPr>
                <w:sz w:val="20"/>
                <w:szCs w:val="20"/>
                <w:highlight w:val="none"/>
              </w:rPr>
            </w:pPr>
            <w:r>
              <w:rPr>
                <w:spacing w:val="13"/>
                <w:sz w:val="20"/>
                <w:szCs w:val="20"/>
                <w:highlight w:val="none"/>
              </w:rPr>
              <w:t>安装感应便携灯、避免直射光源、强刺激性光源，</w:t>
            </w:r>
            <w:r>
              <w:rPr>
                <w:spacing w:val="18"/>
                <w:sz w:val="20"/>
                <w:szCs w:val="20"/>
                <w:highlight w:val="none"/>
              </w:rPr>
              <w:t>人走灯灭，辅助老年人起夜使用。</w:t>
            </w:r>
          </w:p>
        </w:tc>
        <w:tc>
          <w:tcPr>
            <w:tcW w:w="1179" w:type="dxa"/>
            <w:vAlign w:val="top"/>
          </w:tcPr>
          <w:p w14:paraId="12D913D2">
            <w:pPr>
              <w:spacing w:line="403" w:lineRule="auto"/>
              <w:rPr>
                <w:rFonts w:ascii="Arial"/>
                <w:sz w:val="21"/>
                <w:highlight w:val="none"/>
              </w:rPr>
            </w:pPr>
          </w:p>
          <w:p w14:paraId="6D03DFFF">
            <w:pPr>
              <w:pStyle w:val="144"/>
              <w:spacing w:before="65" w:line="231" w:lineRule="auto"/>
              <w:ind w:left="387"/>
              <w:rPr>
                <w:sz w:val="20"/>
                <w:szCs w:val="20"/>
                <w:highlight w:val="none"/>
              </w:rPr>
            </w:pPr>
            <w:r>
              <w:rPr>
                <w:spacing w:val="3"/>
                <w:sz w:val="20"/>
                <w:szCs w:val="20"/>
                <w:highlight w:val="none"/>
              </w:rPr>
              <w:t>可选</w:t>
            </w:r>
          </w:p>
        </w:tc>
      </w:tr>
      <w:tr w14:paraId="4FDF4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47" w:type="dxa"/>
            <w:vAlign w:val="top"/>
          </w:tcPr>
          <w:p w14:paraId="448B4FF9">
            <w:pPr>
              <w:spacing w:line="397" w:lineRule="auto"/>
              <w:rPr>
                <w:rFonts w:ascii="Arial"/>
                <w:sz w:val="21"/>
                <w:highlight w:val="none"/>
              </w:rPr>
            </w:pPr>
          </w:p>
          <w:p w14:paraId="14FA9208">
            <w:pPr>
              <w:pStyle w:val="144"/>
              <w:spacing w:before="65" w:line="270" w:lineRule="exact"/>
              <w:ind w:left="223"/>
              <w:rPr>
                <w:sz w:val="20"/>
                <w:szCs w:val="20"/>
                <w:highlight w:val="none"/>
              </w:rPr>
            </w:pPr>
            <w:r>
              <w:rPr>
                <w:spacing w:val="-1"/>
                <w:position w:val="1"/>
                <w:sz w:val="20"/>
                <w:szCs w:val="20"/>
                <w:highlight w:val="none"/>
              </w:rPr>
              <w:t>21</w:t>
            </w:r>
          </w:p>
        </w:tc>
        <w:tc>
          <w:tcPr>
            <w:tcW w:w="1465" w:type="dxa"/>
            <w:vMerge w:val="continue"/>
            <w:tcBorders>
              <w:top w:val="nil"/>
            </w:tcBorders>
            <w:vAlign w:val="top"/>
          </w:tcPr>
          <w:p w14:paraId="4A8CBD1E">
            <w:pPr>
              <w:rPr>
                <w:rFonts w:ascii="Arial"/>
                <w:sz w:val="21"/>
                <w:highlight w:val="none"/>
              </w:rPr>
            </w:pPr>
          </w:p>
        </w:tc>
        <w:tc>
          <w:tcPr>
            <w:tcW w:w="1439" w:type="dxa"/>
            <w:vAlign w:val="top"/>
          </w:tcPr>
          <w:p w14:paraId="45AACA1A">
            <w:pPr>
              <w:spacing w:line="243" w:lineRule="auto"/>
              <w:rPr>
                <w:rFonts w:ascii="Arial"/>
                <w:sz w:val="21"/>
                <w:highlight w:val="none"/>
              </w:rPr>
            </w:pPr>
          </w:p>
          <w:p w14:paraId="1A69C650">
            <w:pPr>
              <w:pStyle w:val="144"/>
              <w:spacing w:before="65" w:line="289" w:lineRule="auto"/>
              <w:ind w:left="199" w:right="191" w:firstLine="130"/>
              <w:rPr>
                <w:sz w:val="20"/>
                <w:szCs w:val="20"/>
                <w:highlight w:val="none"/>
              </w:rPr>
            </w:pPr>
            <w:r>
              <w:rPr>
                <w:spacing w:val="1"/>
                <w:sz w:val="20"/>
                <w:szCs w:val="20"/>
                <w:highlight w:val="none"/>
              </w:rPr>
              <w:t>电源插座</w:t>
            </w:r>
            <w:r>
              <w:rPr>
                <w:spacing w:val="8"/>
                <w:sz w:val="20"/>
                <w:szCs w:val="20"/>
                <w:highlight w:val="none"/>
              </w:rPr>
              <w:t>及开关改造</w:t>
            </w:r>
          </w:p>
        </w:tc>
        <w:tc>
          <w:tcPr>
            <w:tcW w:w="4848" w:type="dxa"/>
            <w:vAlign w:val="top"/>
          </w:tcPr>
          <w:p w14:paraId="1AAFA539">
            <w:pPr>
              <w:spacing w:line="243" w:lineRule="auto"/>
              <w:rPr>
                <w:rFonts w:ascii="Arial"/>
                <w:sz w:val="21"/>
                <w:highlight w:val="none"/>
              </w:rPr>
            </w:pPr>
          </w:p>
          <w:p w14:paraId="0CE930DC">
            <w:pPr>
              <w:pStyle w:val="144"/>
              <w:spacing w:before="65" w:line="289" w:lineRule="auto"/>
              <w:ind w:left="111" w:right="20" w:hanging="1"/>
              <w:rPr>
                <w:sz w:val="20"/>
                <w:szCs w:val="20"/>
                <w:highlight w:val="none"/>
              </w:rPr>
            </w:pPr>
            <w:r>
              <w:rPr>
                <w:spacing w:val="18"/>
                <w:sz w:val="20"/>
                <w:szCs w:val="20"/>
                <w:highlight w:val="none"/>
              </w:rPr>
              <w:t>视情进行高/低位改造、避免老年人下蹲或弯腰，方便老年人插拔电源和使用开关。</w:t>
            </w:r>
          </w:p>
        </w:tc>
        <w:tc>
          <w:tcPr>
            <w:tcW w:w="1179" w:type="dxa"/>
            <w:vAlign w:val="top"/>
          </w:tcPr>
          <w:p w14:paraId="0F066584">
            <w:pPr>
              <w:spacing w:line="397" w:lineRule="auto"/>
              <w:rPr>
                <w:rFonts w:ascii="Arial"/>
                <w:sz w:val="21"/>
                <w:highlight w:val="none"/>
              </w:rPr>
            </w:pPr>
          </w:p>
          <w:p w14:paraId="3D2CD3E2">
            <w:pPr>
              <w:pStyle w:val="144"/>
              <w:spacing w:before="65" w:line="231" w:lineRule="auto"/>
              <w:ind w:left="387"/>
              <w:rPr>
                <w:sz w:val="20"/>
                <w:szCs w:val="20"/>
                <w:highlight w:val="none"/>
              </w:rPr>
            </w:pPr>
            <w:r>
              <w:rPr>
                <w:spacing w:val="3"/>
                <w:sz w:val="20"/>
                <w:szCs w:val="20"/>
                <w:highlight w:val="none"/>
              </w:rPr>
              <w:t>可选</w:t>
            </w:r>
          </w:p>
        </w:tc>
      </w:tr>
    </w:tbl>
    <w:p w14:paraId="1DF9F789">
      <w:pPr>
        <w:spacing w:line="274" w:lineRule="auto"/>
        <w:rPr>
          <w:rFonts w:ascii="Arial"/>
          <w:sz w:val="21"/>
          <w:highlight w:val="none"/>
        </w:rPr>
      </w:pPr>
    </w:p>
    <w:p w14:paraId="19DECC41">
      <w:pPr>
        <w:spacing w:line="274" w:lineRule="auto"/>
        <w:rPr>
          <w:rFonts w:ascii="Arial"/>
          <w:sz w:val="21"/>
          <w:highlight w:val="none"/>
        </w:rPr>
      </w:pPr>
    </w:p>
    <w:p w14:paraId="2C1A73AB">
      <w:pPr>
        <w:spacing w:line="274" w:lineRule="auto"/>
        <w:rPr>
          <w:rFonts w:ascii="Arial"/>
          <w:sz w:val="21"/>
          <w:highlight w:val="none"/>
        </w:rPr>
      </w:pPr>
    </w:p>
    <w:p w14:paraId="195C93D7">
      <w:pPr>
        <w:spacing w:line="219" w:lineRule="auto"/>
        <w:rPr>
          <w:sz w:val="18"/>
          <w:szCs w:val="18"/>
          <w:highlight w:val="none"/>
        </w:rPr>
        <w:sectPr>
          <w:pgSz w:w="11906" w:h="16839"/>
          <w:pgMar w:top="1701" w:right="920" w:bottom="1701" w:left="1416" w:header="829" w:footer="0" w:gutter="0"/>
          <w:pgNumType w:fmt="decimal"/>
          <w:cols w:space="720" w:num="1"/>
        </w:sectPr>
      </w:pPr>
    </w:p>
    <w:p w14:paraId="0A57C073">
      <w:pPr>
        <w:spacing w:line="192" w:lineRule="exact"/>
        <w:rPr>
          <w:highlight w:val="none"/>
        </w:rPr>
      </w:pPr>
    </w:p>
    <w:tbl>
      <w:tblPr>
        <w:tblStyle w:val="145"/>
        <w:tblW w:w="95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463"/>
        <w:gridCol w:w="1437"/>
        <w:gridCol w:w="4840"/>
        <w:gridCol w:w="1177"/>
      </w:tblGrid>
      <w:tr w14:paraId="74028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646" w:type="dxa"/>
            <w:vAlign w:val="top"/>
          </w:tcPr>
          <w:p w14:paraId="3BF14316">
            <w:pPr>
              <w:spacing w:line="298" w:lineRule="auto"/>
              <w:rPr>
                <w:rFonts w:ascii="Arial"/>
                <w:sz w:val="21"/>
                <w:highlight w:val="none"/>
              </w:rPr>
            </w:pPr>
          </w:p>
          <w:p w14:paraId="11567DAA">
            <w:pPr>
              <w:spacing w:line="298" w:lineRule="auto"/>
              <w:rPr>
                <w:rFonts w:ascii="Arial"/>
                <w:sz w:val="21"/>
                <w:highlight w:val="none"/>
              </w:rPr>
            </w:pPr>
          </w:p>
          <w:p w14:paraId="221243A4">
            <w:pPr>
              <w:pStyle w:val="144"/>
              <w:spacing w:before="65" w:line="270" w:lineRule="exact"/>
              <w:ind w:left="223"/>
              <w:rPr>
                <w:sz w:val="20"/>
                <w:szCs w:val="20"/>
                <w:highlight w:val="none"/>
              </w:rPr>
            </w:pPr>
            <w:r>
              <w:rPr>
                <w:spacing w:val="-1"/>
                <w:position w:val="1"/>
                <w:sz w:val="20"/>
                <w:szCs w:val="20"/>
                <w:highlight w:val="none"/>
              </w:rPr>
              <w:t>22</w:t>
            </w:r>
          </w:p>
        </w:tc>
        <w:tc>
          <w:tcPr>
            <w:tcW w:w="1463" w:type="dxa"/>
            <w:vMerge w:val="restart"/>
            <w:tcBorders>
              <w:bottom w:val="nil"/>
            </w:tcBorders>
            <w:vAlign w:val="top"/>
          </w:tcPr>
          <w:p w14:paraId="7BFFEEA1">
            <w:pPr>
              <w:spacing w:line="318" w:lineRule="auto"/>
              <w:rPr>
                <w:rFonts w:ascii="Arial"/>
                <w:sz w:val="21"/>
                <w:highlight w:val="none"/>
              </w:rPr>
            </w:pPr>
          </w:p>
          <w:p w14:paraId="51E3327A">
            <w:pPr>
              <w:spacing w:line="318" w:lineRule="auto"/>
              <w:rPr>
                <w:rFonts w:ascii="Arial"/>
                <w:sz w:val="21"/>
                <w:highlight w:val="none"/>
              </w:rPr>
            </w:pPr>
          </w:p>
          <w:p w14:paraId="0EF49305">
            <w:pPr>
              <w:spacing w:line="318" w:lineRule="auto"/>
              <w:rPr>
                <w:rFonts w:ascii="Arial"/>
                <w:sz w:val="21"/>
                <w:highlight w:val="none"/>
              </w:rPr>
            </w:pPr>
          </w:p>
          <w:p w14:paraId="07B51318">
            <w:pPr>
              <w:pStyle w:val="144"/>
              <w:spacing w:before="65" w:line="389" w:lineRule="auto"/>
              <w:ind w:left="532" w:right="7" w:hanging="513"/>
              <w:rPr>
                <w:sz w:val="20"/>
                <w:szCs w:val="20"/>
                <w:highlight w:val="none"/>
              </w:rPr>
            </w:pPr>
            <w:r>
              <w:rPr>
                <w:spacing w:val="4"/>
                <w:sz w:val="20"/>
                <w:szCs w:val="20"/>
                <w:highlight w:val="none"/>
              </w:rPr>
              <w:t>（六）物理环境</w:t>
            </w:r>
            <w:r>
              <w:rPr>
                <w:spacing w:val="1"/>
                <w:sz w:val="20"/>
                <w:szCs w:val="20"/>
                <w:highlight w:val="none"/>
              </w:rPr>
              <w:t>改造</w:t>
            </w:r>
          </w:p>
        </w:tc>
        <w:tc>
          <w:tcPr>
            <w:tcW w:w="1437" w:type="dxa"/>
            <w:vAlign w:val="top"/>
          </w:tcPr>
          <w:p w14:paraId="1053FFD3">
            <w:pPr>
              <w:spacing w:line="441" w:lineRule="auto"/>
              <w:rPr>
                <w:rFonts w:ascii="Arial"/>
                <w:sz w:val="21"/>
                <w:highlight w:val="none"/>
              </w:rPr>
            </w:pPr>
          </w:p>
          <w:p w14:paraId="5DC16E15">
            <w:pPr>
              <w:pStyle w:val="144"/>
              <w:spacing w:before="65" w:line="227" w:lineRule="auto"/>
              <w:ind w:left="45"/>
              <w:rPr>
                <w:sz w:val="20"/>
                <w:szCs w:val="20"/>
                <w:highlight w:val="none"/>
              </w:rPr>
            </w:pPr>
            <w:r>
              <w:rPr>
                <w:spacing w:val="7"/>
                <w:sz w:val="20"/>
                <w:szCs w:val="20"/>
                <w:highlight w:val="none"/>
              </w:rPr>
              <w:t>安装防撞护角/</w:t>
            </w:r>
            <w:r>
              <w:rPr>
                <w:sz w:val="20"/>
                <w:szCs w:val="20"/>
                <w:highlight w:val="none"/>
              </w:rPr>
              <w:t>防撞条、提示标识</w:t>
            </w:r>
          </w:p>
        </w:tc>
        <w:tc>
          <w:tcPr>
            <w:tcW w:w="4840" w:type="dxa"/>
            <w:vAlign w:val="top"/>
          </w:tcPr>
          <w:p w14:paraId="148A8D58">
            <w:pPr>
              <w:spacing w:line="286" w:lineRule="auto"/>
              <w:rPr>
                <w:rFonts w:ascii="Arial"/>
                <w:sz w:val="21"/>
                <w:highlight w:val="none"/>
              </w:rPr>
            </w:pPr>
          </w:p>
          <w:p w14:paraId="5DC0A5E5">
            <w:pPr>
              <w:pStyle w:val="144"/>
              <w:spacing w:before="65" w:line="289" w:lineRule="auto"/>
              <w:ind w:left="112" w:right="82" w:hanging="2"/>
              <w:jc w:val="both"/>
              <w:rPr>
                <w:sz w:val="20"/>
                <w:szCs w:val="20"/>
                <w:highlight w:val="none"/>
              </w:rPr>
            </w:pPr>
            <w:r>
              <w:rPr>
                <w:spacing w:val="21"/>
                <w:sz w:val="20"/>
                <w:szCs w:val="20"/>
                <w:highlight w:val="none"/>
              </w:rPr>
              <w:t>在家具尖角或墙角安装防撞护角或者防撞条，避</w:t>
            </w:r>
            <w:r>
              <w:rPr>
                <w:spacing w:val="20"/>
                <w:sz w:val="20"/>
                <w:szCs w:val="20"/>
                <w:highlight w:val="none"/>
              </w:rPr>
              <w:t>免老年人磕碰划伤，必要时粘贴防滑条、警示条</w:t>
            </w:r>
            <w:r>
              <w:rPr>
                <w:spacing w:val="19"/>
                <w:sz w:val="20"/>
                <w:szCs w:val="20"/>
                <w:highlight w:val="none"/>
              </w:rPr>
              <w:t>等符合相关标准和老年人认知特点的提示标识。</w:t>
            </w:r>
          </w:p>
        </w:tc>
        <w:tc>
          <w:tcPr>
            <w:tcW w:w="1177" w:type="dxa"/>
            <w:vAlign w:val="top"/>
          </w:tcPr>
          <w:p w14:paraId="3A214331">
            <w:pPr>
              <w:spacing w:line="298" w:lineRule="auto"/>
              <w:rPr>
                <w:rFonts w:ascii="Arial"/>
                <w:sz w:val="21"/>
                <w:highlight w:val="none"/>
              </w:rPr>
            </w:pPr>
          </w:p>
          <w:p w14:paraId="32145C82">
            <w:pPr>
              <w:spacing w:line="298" w:lineRule="auto"/>
              <w:rPr>
                <w:rFonts w:ascii="Arial"/>
                <w:sz w:val="21"/>
                <w:highlight w:val="none"/>
              </w:rPr>
            </w:pPr>
          </w:p>
          <w:p w14:paraId="2B8D7B89">
            <w:pPr>
              <w:pStyle w:val="144"/>
              <w:spacing w:before="65" w:line="231" w:lineRule="auto"/>
              <w:ind w:left="387"/>
              <w:rPr>
                <w:sz w:val="20"/>
                <w:szCs w:val="20"/>
                <w:highlight w:val="none"/>
              </w:rPr>
            </w:pPr>
            <w:r>
              <w:rPr>
                <w:spacing w:val="3"/>
                <w:sz w:val="20"/>
                <w:szCs w:val="20"/>
                <w:highlight w:val="none"/>
              </w:rPr>
              <w:t>可选</w:t>
            </w:r>
          </w:p>
        </w:tc>
      </w:tr>
      <w:tr w14:paraId="258CE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46" w:type="dxa"/>
            <w:vAlign w:val="top"/>
          </w:tcPr>
          <w:p w14:paraId="4EB49185">
            <w:pPr>
              <w:spacing w:line="393" w:lineRule="auto"/>
              <w:rPr>
                <w:rFonts w:ascii="Arial"/>
                <w:sz w:val="21"/>
                <w:highlight w:val="none"/>
              </w:rPr>
            </w:pPr>
          </w:p>
          <w:p w14:paraId="10B8554A">
            <w:pPr>
              <w:pStyle w:val="144"/>
              <w:spacing w:before="65" w:line="269" w:lineRule="exact"/>
              <w:ind w:left="223"/>
              <w:rPr>
                <w:sz w:val="20"/>
                <w:szCs w:val="20"/>
                <w:highlight w:val="none"/>
              </w:rPr>
            </w:pPr>
            <w:r>
              <w:rPr>
                <w:spacing w:val="-1"/>
                <w:position w:val="1"/>
                <w:sz w:val="20"/>
                <w:szCs w:val="20"/>
                <w:highlight w:val="none"/>
              </w:rPr>
              <w:t>23</w:t>
            </w:r>
          </w:p>
        </w:tc>
        <w:tc>
          <w:tcPr>
            <w:tcW w:w="1463" w:type="dxa"/>
            <w:vMerge w:val="continue"/>
            <w:tcBorders>
              <w:top w:val="nil"/>
            </w:tcBorders>
            <w:vAlign w:val="top"/>
          </w:tcPr>
          <w:p w14:paraId="37062254">
            <w:pPr>
              <w:rPr>
                <w:rFonts w:ascii="Arial"/>
                <w:sz w:val="21"/>
                <w:highlight w:val="none"/>
              </w:rPr>
            </w:pPr>
          </w:p>
        </w:tc>
        <w:tc>
          <w:tcPr>
            <w:tcW w:w="1437" w:type="dxa"/>
            <w:vAlign w:val="top"/>
          </w:tcPr>
          <w:p w14:paraId="046E720F">
            <w:pPr>
              <w:spacing w:line="394" w:lineRule="auto"/>
              <w:rPr>
                <w:rFonts w:ascii="Arial"/>
                <w:sz w:val="21"/>
                <w:highlight w:val="none"/>
              </w:rPr>
            </w:pPr>
          </w:p>
          <w:p w14:paraId="1DB79ADA">
            <w:pPr>
              <w:pStyle w:val="144"/>
              <w:spacing w:before="65" w:line="228" w:lineRule="auto"/>
              <w:ind w:left="94"/>
              <w:rPr>
                <w:sz w:val="20"/>
                <w:szCs w:val="20"/>
                <w:highlight w:val="none"/>
              </w:rPr>
            </w:pPr>
            <w:r>
              <w:rPr>
                <w:spacing w:val="8"/>
                <w:sz w:val="20"/>
                <w:szCs w:val="20"/>
                <w:highlight w:val="none"/>
              </w:rPr>
              <w:t>适老家具配置</w:t>
            </w:r>
          </w:p>
        </w:tc>
        <w:tc>
          <w:tcPr>
            <w:tcW w:w="4840" w:type="dxa"/>
            <w:vAlign w:val="top"/>
          </w:tcPr>
          <w:p w14:paraId="6A1D296D">
            <w:pPr>
              <w:spacing w:line="393" w:lineRule="auto"/>
              <w:rPr>
                <w:rFonts w:ascii="Arial"/>
                <w:sz w:val="21"/>
                <w:highlight w:val="none"/>
              </w:rPr>
            </w:pPr>
          </w:p>
          <w:p w14:paraId="753DC7F4">
            <w:pPr>
              <w:pStyle w:val="144"/>
              <w:spacing w:before="65" w:line="228" w:lineRule="auto"/>
              <w:ind w:left="134"/>
              <w:rPr>
                <w:sz w:val="20"/>
                <w:szCs w:val="20"/>
                <w:highlight w:val="none"/>
              </w:rPr>
            </w:pPr>
            <w:r>
              <w:rPr>
                <w:spacing w:val="15"/>
                <w:sz w:val="20"/>
                <w:szCs w:val="20"/>
                <w:highlight w:val="none"/>
              </w:rPr>
              <w:t>比如换鞋凳、适老椅、</w:t>
            </w:r>
            <w:r>
              <w:rPr>
                <w:spacing w:val="-36"/>
                <w:sz w:val="20"/>
                <w:szCs w:val="20"/>
                <w:highlight w:val="none"/>
              </w:rPr>
              <w:t xml:space="preserve"> </w:t>
            </w:r>
            <w:r>
              <w:rPr>
                <w:spacing w:val="15"/>
                <w:sz w:val="20"/>
                <w:szCs w:val="20"/>
                <w:highlight w:val="none"/>
              </w:rPr>
              <w:t>电动升降晾衣架等。</w:t>
            </w:r>
          </w:p>
        </w:tc>
        <w:tc>
          <w:tcPr>
            <w:tcW w:w="1177" w:type="dxa"/>
            <w:vAlign w:val="top"/>
          </w:tcPr>
          <w:p w14:paraId="34E217E1">
            <w:pPr>
              <w:spacing w:line="394" w:lineRule="auto"/>
              <w:rPr>
                <w:rFonts w:ascii="Arial"/>
                <w:sz w:val="21"/>
                <w:highlight w:val="none"/>
              </w:rPr>
            </w:pPr>
          </w:p>
          <w:p w14:paraId="38A957ED">
            <w:pPr>
              <w:pStyle w:val="144"/>
              <w:spacing w:before="65" w:line="231" w:lineRule="auto"/>
              <w:ind w:left="387"/>
              <w:rPr>
                <w:sz w:val="20"/>
                <w:szCs w:val="20"/>
                <w:highlight w:val="none"/>
              </w:rPr>
            </w:pPr>
            <w:r>
              <w:rPr>
                <w:spacing w:val="3"/>
                <w:sz w:val="20"/>
                <w:szCs w:val="20"/>
                <w:highlight w:val="none"/>
              </w:rPr>
              <w:t>可选</w:t>
            </w:r>
          </w:p>
        </w:tc>
      </w:tr>
      <w:tr w14:paraId="6F4B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646" w:type="dxa"/>
            <w:vAlign w:val="top"/>
          </w:tcPr>
          <w:p w14:paraId="2B552F08">
            <w:pPr>
              <w:spacing w:line="425" w:lineRule="auto"/>
              <w:rPr>
                <w:rFonts w:ascii="Arial"/>
                <w:sz w:val="21"/>
                <w:highlight w:val="none"/>
              </w:rPr>
            </w:pPr>
          </w:p>
          <w:p w14:paraId="656FA1BA">
            <w:pPr>
              <w:pStyle w:val="144"/>
              <w:spacing w:before="65" w:line="270" w:lineRule="exact"/>
              <w:ind w:left="223"/>
              <w:rPr>
                <w:sz w:val="20"/>
                <w:szCs w:val="20"/>
                <w:highlight w:val="none"/>
              </w:rPr>
            </w:pPr>
            <w:r>
              <w:rPr>
                <w:spacing w:val="-1"/>
                <w:position w:val="1"/>
                <w:sz w:val="20"/>
                <w:szCs w:val="20"/>
                <w:highlight w:val="none"/>
              </w:rPr>
              <w:t>24</w:t>
            </w:r>
          </w:p>
        </w:tc>
        <w:tc>
          <w:tcPr>
            <w:tcW w:w="1463" w:type="dxa"/>
            <w:vMerge w:val="restart"/>
            <w:tcBorders>
              <w:bottom w:val="nil"/>
            </w:tcBorders>
            <w:vAlign w:val="top"/>
          </w:tcPr>
          <w:p w14:paraId="151EA68C">
            <w:pPr>
              <w:spacing w:line="246" w:lineRule="auto"/>
              <w:rPr>
                <w:rFonts w:ascii="Arial"/>
                <w:sz w:val="21"/>
                <w:highlight w:val="none"/>
              </w:rPr>
            </w:pPr>
          </w:p>
          <w:p w14:paraId="7DFF0B19">
            <w:pPr>
              <w:spacing w:line="247" w:lineRule="auto"/>
              <w:rPr>
                <w:rFonts w:ascii="Arial"/>
                <w:sz w:val="21"/>
                <w:highlight w:val="none"/>
              </w:rPr>
            </w:pPr>
          </w:p>
          <w:p w14:paraId="752FCBA4">
            <w:pPr>
              <w:spacing w:line="247" w:lineRule="auto"/>
              <w:rPr>
                <w:rFonts w:ascii="Arial"/>
                <w:sz w:val="21"/>
                <w:highlight w:val="none"/>
              </w:rPr>
            </w:pPr>
          </w:p>
          <w:p w14:paraId="05F40750">
            <w:pPr>
              <w:spacing w:line="247" w:lineRule="auto"/>
              <w:rPr>
                <w:rFonts w:ascii="Arial"/>
                <w:sz w:val="21"/>
                <w:highlight w:val="none"/>
              </w:rPr>
            </w:pPr>
          </w:p>
          <w:p w14:paraId="063D9A8E">
            <w:pPr>
              <w:spacing w:line="247" w:lineRule="auto"/>
              <w:rPr>
                <w:rFonts w:ascii="Arial"/>
                <w:sz w:val="21"/>
                <w:highlight w:val="none"/>
              </w:rPr>
            </w:pPr>
          </w:p>
          <w:p w14:paraId="4EC8788D">
            <w:pPr>
              <w:spacing w:line="247" w:lineRule="auto"/>
              <w:rPr>
                <w:rFonts w:ascii="Arial"/>
                <w:sz w:val="21"/>
                <w:highlight w:val="none"/>
              </w:rPr>
            </w:pPr>
          </w:p>
          <w:p w14:paraId="79EBE740">
            <w:pPr>
              <w:spacing w:line="247" w:lineRule="auto"/>
              <w:rPr>
                <w:rFonts w:ascii="Arial"/>
                <w:sz w:val="21"/>
                <w:highlight w:val="none"/>
              </w:rPr>
            </w:pPr>
          </w:p>
          <w:p w14:paraId="3611F3EF">
            <w:pPr>
              <w:spacing w:line="247" w:lineRule="auto"/>
              <w:rPr>
                <w:rFonts w:ascii="Arial"/>
                <w:sz w:val="21"/>
                <w:highlight w:val="none"/>
              </w:rPr>
            </w:pPr>
          </w:p>
          <w:p w14:paraId="46E635F5">
            <w:pPr>
              <w:spacing w:line="247" w:lineRule="auto"/>
              <w:rPr>
                <w:rFonts w:ascii="Arial"/>
                <w:sz w:val="21"/>
                <w:highlight w:val="none"/>
              </w:rPr>
            </w:pPr>
          </w:p>
          <w:p w14:paraId="7ED469AA">
            <w:pPr>
              <w:spacing w:line="247" w:lineRule="auto"/>
              <w:rPr>
                <w:rFonts w:ascii="Arial"/>
                <w:sz w:val="21"/>
                <w:highlight w:val="none"/>
              </w:rPr>
            </w:pPr>
          </w:p>
          <w:p w14:paraId="44C4A8AF">
            <w:pPr>
              <w:spacing w:line="247" w:lineRule="auto"/>
              <w:rPr>
                <w:rFonts w:ascii="Arial"/>
                <w:sz w:val="21"/>
                <w:highlight w:val="none"/>
              </w:rPr>
            </w:pPr>
          </w:p>
          <w:p w14:paraId="0337C9B2">
            <w:pPr>
              <w:spacing w:line="247" w:lineRule="auto"/>
              <w:rPr>
                <w:rFonts w:ascii="Arial"/>
                <w:sz w:val="21"/>
                <w:highlight w:val="none"/>
              </w:rPr>
            </w:pPr>
          </w:p>
          <w:p w14:paraId="60AA08F5">
            <w:pPr>
              <w:spacing w:line="247" w:lineRule="auto"/>
              <w:rPr>
                <w:rFonts w:ascii="Arial"/>
                <w:sz w:val="21"/>
                <w:highlight w:val="none"/>
              </w:rPr>
            </w:pPr>
          </w:p>
          <w:p w14:paraId="237B426B">
            <w:pPr>
              <w:spacing w:line="247" w:lineRule="auto"/>
              <w:rPr>
                <w:rFonts w:ascii="Arial"/>
                <w:sz w:val="21"/>
                <w:highlight w:val="none"/>
              </w:rPr>
            </w:pPr>
          </w:p>
          <w:p w14:paraId="60CA9B01">
            <w:pPr>
              <w:spacing w:line="247" w:lineRule="auto"/>
              <w:rPr>
                <w:rFonts w:ascii="Arial"/>
                <w:sz w:val="21"/>
                <w:highlight w:val="none"/>
              </w:rPr>
            </w:pPr>
          </w:p>
          <w:p w14:paraId="3DC68FED">
            <w:pPr>
              <w:spacing w:line="247" w:lineRule="auto"/>
              <w:rPr>
                <w:rFonts w:ascii="Arial"/>
                <w:sz w:val="21"/>
                <w:highlight w:val="none"/>
              </w:rPr>
            </w:pPr>
          </w:p>
          <w:p w14:paraId="3D17D7D0">
            <w:pPr>
              <w:pStyle w:val="144"/>
              <w:spacing w:before="65" w:line="393" w:lineRule="auto"/>
              <w:ind w:left="525" w:right="103" w:hanging="383"/>
              <w:rPr>
                <w:sz w:val="20"/>
                <w:szCs w:val="20"/>
                <w:highlight w:val="none"/>
              </w:rPr>
            </w:pPr>
            <w:r>
              <w:rPr>
                <w:spacing w:val="1"/>
                <w:sz w:val="20"/>
                <w:szCs w:val="20"/>
                <w:highlight w:val="none"/>
              </w:rPr>
              <w:t>(七)老年用品</w:t>
            </w:r>
            <w:r>
              <w:rPr>
                <w:spacing w:val="4"/>
                <w:sz w:val="20"/>
                <w:szCs w:val="20"/>
                <w:highlight w:val="none"/>
              </w:rPr>
              <w:t>配置</w:t>
            </w:r>
          </w:p>
        </w:tc>
        <w:tc>
          <w:tcPr>
            <w:tcW w:w="1437" w:type="dxa"/>
            <w:vAlign w:val="top"/>
          </w:tcPr>
          <w:p w14:paraId="7A3D0950">
            <w:pPr>
              <w:spacing w:line="425" w:lineRule="auto"/>
              <w:rPr>
                <w:rFonts w:ascii="Arial"/>
                <w:sz w:val="21"/>
                <w:highlight w:val="none"/>
              </w:rPr>
            </w:pPr>
          </w:p>
          <w:p w14:paraId="1D20340A">
            <w:pPr>
              <w:pStyle w:val="144"/>
              <w:spacing w:before="65" w:line="228" w:lineRule="auto"/>
              <w:ind w:left="514"/>
              <w:rPr>
                <w:sz w:val="20"/>
                <w:szCs w:val="20"/>
                <w:highlight w:val="none"/>
              </w:rPr>
            </w:pPr>
            <w:r>
              <w:rPr>
                <w:spacing w:val="4"/>
                <w:sz w:val="20"/>
                <w:szCs w:val="20"/>
                <w:highlight w:val="none"/>
              </w:rPr>
              <w:t>手杖</w:t>
            </w:r>
          </w:p>
        </w:tc>
        <w:tc>
          <w:tcPr>
            <w:tcW w:w="4840" w:type="dxa"/>
            <w:vAlign w:val="top"/>
          </w:tcPr>
          <w:p w14:paraId="4EA743CD">
            <w:pPr>
              <w:spacing w:line="271" w:lineRule="auto"/>
              <w:rPr>
                <w:rFonts w:ascii="Arial"/>
                <w:sz w:val="21"/>
                <w:highlight w:val="none"/>
              </w:rPr>
            </w:pPr>
          </w:p>
          <w:p w14:paraId="0B56A47E">
            <w:pPr>
              <w:pStyle w:val="144"/>
              <w:spacing w:before="65" w:line="289" w:lineRule="auto"/>
              <w:ind w:left="112" w:right="72"/>
              <w:rPr>
                <w:sz w:val="20"/>
                <w:szCs w:val="20"/>
                <w:highlight w:val="none"/>
              </w:rPr>
            </w:pPr>
            <w:r>
              <w:rPr>
                <w:spacing w:val="13"/>
                <w:sz w:val="20"/>
                <w:szCs w:val="20"/>
                <w:highlight w:val="none"/>
              </w:rPr>
              <w:t>辅助老年人平稳站立和行走，包含三脚或四脚手</w:t>
            </w:r>
            <w:r>
              <w:rPr>
                <w:spacing w:val="14"/>
                <w:sz w:val="20"/>
                <w:szCs w:val="20"/>
                <w:highlight w:val="none"/>
              </w:rPr>
              <w:t>杖、凳拐等。</w:t>
            </w:r>
          </w:p>
        </w:tc>
        <w:tc>
          <w:tcPr>
            <w:tcW w:w="1177" w:type="dxa"/>
            <w:vAlign w:val="top"/>
          </w:tcPr>
          <w:p w14:paraId="2676967C">
            <w:pPr>
              <w:spacing w:line="426" w:lineRule="auto"/>
              <w:rPr>
                <w:rFonts w:ascii="Arial"/>
                <w:sz w:val="21"/>
                <w:highlight w:val="none"/>
              </w:rPr>
            </w:pPr>
          </w:p>
          <w:p w14:paraId="3D92D239">
            <w:pPr>
              <w:pStyle w:val="144"/>
              <w:spacing w:before="65" w:line="233" w:lineRule="auto"/>
              <w:ind w:left="386"/>
              <w:rPr>
                <w:sz w:val="20"/>
                <w:szCs w:val="20"/>
                <w:highlight w:val="none"/>
              </w:rPr>
            </w:pPr>
            <w:r>
              <w:rPr>
                <w:spacing w:val="4"/>
                <w:sz w:val="20"/>
                <w:szCs w:val="20"/>
                <w:highlight w:val="none"/>
              </w:rPr>
              <w:t>基础</w:t>
            </w:r>
          </w:p>
        </w:tc>
      </w:tr>
      <w:tr w14:paraId="59D69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646" w:type="dxa"/>
            <w:vAlign w:val="top"/>
          </w:tcPr>
          <w:p w14:paraId="6D9D9E55">
            <w:pPr>
              <w:spacing w:line="421" w:lineRule="auto"/>
              <w:rPr>
                <w:rFonts w:ascii="Arial"/>
                <w:sz w:val="21"/>
                <w:highlight w:val="none"/>
              </w:rPr>
            </w:pPr>
          </w:p>
          <w:p w14:paraId="182DD186">
            <w:pPr>
              <w:pStyle w:val="144"/>
              <w:spacing w:before="65" w:line="268" w:lineRule="exact"/>
              <w:ind w:left="223"/>
              <w:rPr>
                <w:sz w:val="20"/>
                <w:szCs w:val="20"/>
                <w:highlight w:val="none"/>
              </w:rPr>
            </w:pPr>
            <w:r>
              <w:rPr>
                <w:spacing w:val="-1"/>
                <w:position w:val="1"/>
                <w:sz w:val="20"/>
                <w:szCs w:val="20"/>
                <w:highlight w:val="none"/>
              </w:rPr>
              <w:t>25</w:t>
            </w:r>
          </w:p>
        </w:tc>
        <w:tc>
          <w:tcPr>
            <w:tcW w:w="1463" w:type="dxa"/>
            <w:vMerge w:val="continue"/>
            <w:tcBorders>
              <w:top w:val="nil"/>
              <w:bottom w:val="nil"/>
            </w:tcBorders>
            <w:vAlign w:val="top"/>
          </w:tcPr>
          <w:p w14:paraId="4C61877C">
            <w:pPr>
              <w:rPr>
                <w:rFonts w:ascii="Arial"/>
                <w:sz w:val="21"/>
                <w:highlight w:val="none"/>
              </w:rPr>
            </w:pPr>
          </w:p>
        </w:tc>
        <w:tc>
          <w:tcPr>
            <w:tcW w:w="1437" w:type="dxa"/>
            <w:vAlign w:val="top"/>
          </w:tcPr>
          <w:p w14:paraId="6104315A">
            <w:pPr>
              <w:spacing w:line="421" w:lineRule="auto"/>
              <w:rPr>
                <w:rFonts w:ascii="Arial"/>
                <w:sz w:val="21"/>
                <w:highlight w:val="none"/>
              </w:rPr>
            </w:pPr>
          </w:p>
          <w:p w14:paraId="0573AE43">
            <w:pPr>
              <w:pStyle w:val="144"/>
              <w:spacing w:before="65" w:line="228" w:lineRule="auto"/>
              <w:ind w:left="147"/>
              <w:rPr>
                <w:sz w:val="20"/>
                <w:szCs w:val="20"/>
                <w:highlight w:val="none"/>
              </w:rPr>
            </w:pPr>
            <w:r>
              <w:rPr>
                <w:spacing w:val="7"/>
                <w:sz w:val="20"/>
                <w:szCs w:val="20"/>
                <w:highlight w:val="none"/>
              </w:rPr>
              <w:t>轮椅/助行器</w:t>
            </w:r>
          </w:p>
        </w:tc>
        <w:tc>
          <w:tcPr>
            <w:tcW w:w="4840" w:type="dxa"/>
            <w:vAlign w:val="top"/>
          </w:tcPr>
          <w:p w14:paraId="20EB63E7">
            <w:pPr>
              <w:spacing w:line="266" w:lineRule="auto"/>
              <w:rPr>
                <w:rFonts w:ascii="Arial"/>
                <w:sz w:val="21"/>
                <w:highlight w:val="none"/>
              </w:rPr>
            </w:pPr>
          </w:p>
          <w:p w14:paraId="04FB32AC">
            <w:pPr>
              <w:pStyle w:val="144"/>
              <w:spacing w:before="65" w:line="289" w:lineRule="auto"/>
              <w:ind w:left="111" w:right="20" w:firstLine="1"/>
              <w:rPr>
                <w:sz w:val="20"/>
                <w:szCs w:val="20"/>
                <w:highlight w:val="none"/>
              </w:rPr>
            </w:pPr>
            <w:r>
              <w:rPr>
                <w:spacing w:val="18"/>
                <w:sz w:val="20"/>
                <w:szCs w:val="20"/>
                <w:highlight w:val="none"/>
              </w:rPr>
              <w:t>辅助家人、照护人员推行/帮助老年人站立行走，</w:t>
            </w:r>
            <w:r>
              <w:rPr>
                <w:spacing w:val="17"/>
                <w:sz w:val="20"/>
                <w:szCs w:val="20"/>
                <w:highlight w:val="none"/>
              </w:rPr>
              <w:t>扩大老年人活动空间。</w:t>
            </w:r>
          </w:p>
        </w:tc>
        <w:tc>
          <w:tcPr>
            <w:tcW w:w="1177" w:type="dxa"/>
            <w:vAlign w:val="top"/>
          </w:tcPr>
          <w:p w14:paraId="7E317DDE">
            <w:pPr>
              <w:spacing w:line="421" w:lineRule="auto"/>
              <w:rPr>
                <w:rFonts w:ascii="Arial"/>
                <w:sz w:val="21"/>
                <w:highlight w:val="none"/>
              </w:rPr>
            </w:pPr>
          </w:p>
          <w:p w14:paraId="2E0F4E2B">
            <w:pPr>
              <w:pStyle w:val="144"/>
              <w:spacing w:before="65" w:line="231" w:lineRule="auto"/>
              <w:ind w:left="387"/>
              <w:rPr>
                <w:sz w:val="20"/>
                <w:szCs w:val="20"/>
                <w:highlight w:val="none"/>
              </w:rPr>
            </w:pPr>
            <w:r>
              <w:rPr>
                <w:spacing w:val="3"/>
                <w:sz w:val="20"/>
                <w:szCs w:val="20"/>
                <w:highlight w:val="none"/>
              </w:rPr>
              <w:t>可选</w:t>
            </w:r>
          </w:p>
        </w:tc>
      </w:tr>
      <w:tr w14:paraId="3A4F3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646" w:type="dxa"/>
            <w:vAlign w:val="top"/>
          </w:tcPr>
          <w:p w14:paraId="0AE9C47B">
            <w:pPr>
              <w:spacing w:line="423" w:lineRule="auto"/>
              <w:rPr>
                <w:rFonts w:ascii="Arial"/>
                <w:sz w:val="21"/>
                <w:highlight w:val="none"/>
              </w:rPr>
            </w:pPr>
          </w:p>
          <w:p w14:paraId="28BB08C9">
            <w:pPr>
              <w:pStyle w:val="144"/>
              <w:spacing w:before="65" w:line="269" w:lineRule="exact"/>
              <w:ind w:left="223"/>
              <w:rPr>
                <w:sz w:val="20"/>
                <w:szCs w:val="20"/>
                <w:highlight w:val="none"/>
              </w:rPr>
            </w:pPr>
            <w:r>
              <w:rPr>
                <w:spacing w:val="-1"/>
                <w:position w:val="1"/>
                <w:sz w:val="20"/>
                <w:szCs w:val="20"/>
                <w:highlight w:val="none"/>
              </w:rPr>
              <w:t>26</w:t>
            </w:r>
          </w:p>
        </w:tc>
        <w:tc>
          <w:tcPr>
            <w:tcW w:w="1463" w:type="dxa"/>
            <w:vMerge w:val="continue"/>
            <w:tcBorders>
              <w:top w:val="nil"/>
              <w:bottom w:val="nil"/>
            </w:tcBorders>
            <w:vAlign w:val="top"/>
          </w:tcPr>
          <w:p w14:paraId="2B58C2F3">
            <w:pPr>
              <w:rPr>
                <w:rFonts w:ascii="Arial"/>
                <w:sz w:val="21"/>
                <w:highlight w:val="none"/>
              </w:rPr>
            </w:pPr>
          </w:p>
        </w:tc>
        <w:tc>
          <w:tcPr>
            <w:tcW w:w="1437" w:type="dxa"/>
            <w:vAlign w:val="top"/>
          </w:tcPr>
          <w:p w14:paraId="702ACD3F">
            <w:pPr>
              <w:spacing w:line="424" w:lineRule="auto"/>
              <w:rPr>
                <w:rFonts w:ascii="Arial"/>
                <w:sz w:val="21"/>
                <w:highlight w:val="none"/>
              </w:rPr>
            </w:pPr>
          </w:p>
          <w:p w14:paraId="3D1F4700">
            <w:pPr>
              <w:pStyle w:val="144"/>
              <w:spacing w:before="65" w:line="228" w:lineRule="auto"/>
              <w:ind w:left="305"/>
              <w:rPr>
                <w:sz w:val="20"/>
                <w:szCs w:val="20"/>
                <w:highlight w:val="none"/>
              </w:rPr>
            </w:pPr>
            <w:r>
              <w:rPr>
                <w:spacing w:val="7"/>
                <w:sz w:val="20"/>
                <w:szCs w:val="20"/>
                <w:highlight w:val="none"/>
              </w:rPr>
              <w:t>放大装置</w:t>
            </w:r>
          </w:p>
        </w:tc>
        <w:tc>
          <w:tcPr>
            <w:tcW w:w="4840" w:type="dxa"/>
            <w:vAlign w:val="top"/>
          </w:tcPr>
          <w:p w14:paraId="2C65D5E4">
            <w:pPr>
              <w:spacing w:line="268" w:lineRule="auto"/>
              <w:rPr>
                <w:rFonts w:ascii="Arial"/>
                <w:sz w:val="21"/>
                <w:highlight w:val="none"/>
              </w:rPr>
            </w:pPr>
          </w:p>
          <w:p w14:paraId="431AE2C6">
            <w:pPr>
              <w:pStyle w:val="144"/>
              <w:spacing w:before="65" w:line="290" w:lineRule="auto"/>
              <w:ind w:left="112" w:right="72" w:hanging="1"/>
              <w:rPr>
                <w:sz w:val="20"/>
                <w:szCs w:val="20"/>
                <w:highlight w:val="none"/>
              </w:rPr>
            </w:pPr>
            <w:r>
              <w:rPr>
                <w:spacing w:val="16"/>
                <w:sz w:val="20"/>
                <w:szCs w:val="20"/>
                <w:highlight w:val="none"/>
              </w:rPr>
              <w:t>运用光学/电子原理进行影像放大，方便老</w:t>
            </w:r>
            <w:r>
              <w:rPr>
                <w:spacing w:val="15"/>
                <w:sz w:val="20"/>
                <w:szCs w:val="20"/>
                <w:highlight w:val="none"/>
              </w:rPr>
              <w:t>年人使</w:t>
            </w:r>
            <w:r>
              <w:rPr>
                <w:spacing w:val="-1"/>
                <w:sz w:val="20"/>
                <w:szCs w:val="20"/>
                <w:highlight w:val="none"/>
              </w:rPr>
              <w:t>用。</w:t>
            </w:r>
          </w:p>
        </w:tc>
        <w:tc>
          <w:tcPr>
            <w:tcW w:w="1177" w:type="dxa"/>
            <w:vAlign w:val="top"/>
          </w:tcPr>
          <w:p w14:paraId="3FA2E585">
            <w:pPr>
              <w:spacing w:line="423" w:lineRule="auto"/>
              <w:rPr>
                <w:rFonts w:ascii="Arial"/>
                <w:sz w:val="21"/>
                <w:highlight w:val="none"/>
              </w:rPr>
            </w:pPr>
          </w:p>
          <w:p w14:paraId="2E43DD98">
            <w:pPr>
              <w:pStyle w:val="144"/>
              <w:spacing w:before="65" w:line="231" w:lineRule="auto"/>
              <w:ind w:left="387"/>
              <w:rPr>
                <w:sz w:val="20"/>
                <w:szCs w:val="20"/>
                <w:highlight w:val="none"/>
              </w:rPr>
            </w:pPr>
            <w:r>
              <w:rPr>
                <w:spacing w:val="3"/>
                <w:sz w:val="20"/>
                <w:szCs w:val="20"/>
                <w:highlight w:val="none"/>
              </w:rPr>
              <w:t>可选</w:t>
            </w:r>
          </w:p>
        </w:tc>
      </w:tr>
      <w:tr w14:paraId="22BBE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646" w:type="dxa"/>
            <w:vAlign w:val="top"/>
          </w:tcPr>
          <w:p w14:paraId="533D5E0E">
            <w:pPr>
              <w:spacing w:line="422" w:lineRule="auto"/>
              <w:rPr>
                <w:rFonts w:ascii="Arial"/>
                <w:sz w:val="21"/>
                <w:highlight w:val="none"/>
              </w:rPr>
            </w:pPr>
          </w:p>
          <w:p w14:paraId="410B8761">
            <w:pPr>
              <w:pStyle w:val="144"/>
              <w:spacing w:before="65" w:line="269" w:lineRule="exact"/>
              <w:ind w:left="223"/>
              <w:rPr>
                <w:sz w:val="20"/>
                <w:szCs w:val="20"/>
                <w:highlight w:val="none"/>
              </w:rPr>
            </w:pPr>
            <w:r>
              <w:rPr>
                <w:spacing w:val="-1"/>
                <w:position w:val="1"/>
                <w:sz w:val="20"/>
                <w:szCs w:val="20"/>
                <w:highlight w:val="none"/>
              </w:rPr>
              <w:t>27</w:t>
            </w:r>
          </w:p>
        </w:tc>
        <w:tc>
          <w:tcPr>
            <w:tcW w:w="1463" w:type="dxa"/>
            <w:vMerge w:val="continue"/>
            <w:tcBorders>
              <w:top w:val="nil"/>
              <w:bottom w:val="nil"/>
            </w:tcBorders>
            <w:vAlign w:val="top"/>
          </w:tcPr>
          <w:p w14:paraId="22A35705">
            <w:pPr>
              <w:rPr>
                <w:rFonts w:ascii="Arial"/>
                <w:sz w:val="21"/>
                <w:highlight w:val="none"/>
              </w:rPr>
            </w:pPr>
          </w:p>
        </w:tc>
        <w:tc>
          <w:tcPr>
            <w:tcW w:w="1437" w:type="dxa"/>
            <w:vAlign w:val="top"/>
          </w:tcPr>
          <w:p w14:paraId="047CCD42">
            <w:pPr>
              <w:spacing w:line="289" w:lineRule="auto"/>
              <w:rPr>
                <w:rFonts w:ascii="Arial"/>
                <w:sz w:val="21"/>
                <w:highlight w:val="none"/>
              </w:rPr>
            </w:pPr>
          </w:p>
          <w:p w14:paraId="3E226418">
            <w:pPr>
              <w:spacing w:line="289" w:lineRule="auto"/>
              <w:rPr>
                <w:rFonts w:ascii="Arial"/>
                <w:sz w:val="21"/>
                <w:highlight w:val="none"/>
              </w:rPr>
            </w:pPr>
          </w:p>
          <w:p w14:paraId="282C3C85">
            <w:pPr>
              <w:pStyle w:val="144"/>
              <w:spacing w:before="65" w:line="228" w:lineRule="auto"/>
              <w:ind w:left="408"/>
              <w:rPr>
                <w:sz w:val="20"/>
                <w:szCs w:val="20"/>
                <w:highlight w:val="none"/>
              </w:rPr>
            </w:pPr>
            <w:r>
              <w:rPr>
                <w:spacing w:val="6"/>
                <w:sz w:val="20"/>
                <w:szCs w:val="20"/>
                <w:highlight w:val="none"/>
              </w:rPr>
              <w:t>助听器</w:t>
            </w:r>
          </w:p>
        </w:tc>
        <w:tc>
          <w:tcPr>
            <w:tcW w:w="4840" w:type="dxa"/>
            <w:vAlign w:val="top"/>
          </w:tcPr>
          <w:p w14:paraId="430B22B0">
            <w:pPr>
              <w:pStyle w:val="144"/>
              <w:spacing w:before="178" w:line="289" w:lineRule="auto"/>
              <w:ind w:left="111" w:right="82" w:firstLine="4"/>
              <w:jc w:val="both"/>
              <w:rPr>
                <w:sz w:val="20"/>
                <w:szCs w:val="20"/>
                <w:highlight w:val="none"/>
              </w:rPr>
            </w:pPr>
            <w:r>
              <w:rPr>
                <w:spacing w:val="20"/>
                <w:sz w:val="20"/>
                <w:szCs w:val="20"/>
                <w:highlight w:val="none"/>
              </w:rPr>
              <w:t>帮助老年人听清声音来源，增加与周围的交流，</w:t>
            </w:r>
            <w:r>
              <w:rPr>
                <w:spacing w:val="21"/>
                <w:sz w:val="20"/>
                <w:szCs w:val="20"/>
                <w:highlight w:val="none"/>
              </w:rPr>
              <w:t>包括盒式助听器、耳内助听器、耳背助听器</w:t>
            </w:r>
            <w:r>
              <w:rPr>
                <w:spacing w:val="20"/>
                <w:sz w:val="20"/>
                <w:szCs w:val="20"/>
                <w:highlight w:val="none"/>
              </w:rPr>
              <w:t>、骨</w:t>
            </w:r>
            <w:r>
              <w:rPr>
                <w:spacing w:val="14"/>
                <w:sz w:val="20"/>
                <w:szCs w:val="20"/>
                <w:highlight w:val="none"/>
              </w:rPr>
              <w:t>导助听器等。</w:t>
            </w:r>
          </w:p>
        </w:tc>
        <w:tc>
          <w:tcPr>
            <w:tcW w:w="1177" w:type="dxa"/>
            <w:vAlign w:val="top"/>
          </w:tcPr>
          <w:p w14:paraId="4E248D91">
            <w:pPr>
              <w:spacing w:line="316" w:lineRule="auto"/>
              <w:rPr>
                <w:rFonts w:ascii="Arial"/>
                <w:sz w:val="21"/>
                <w:highlight w:val="none"/>
              </w:rPr>
            </w:pPr>
          </w:p>
          <w:p w14:paraId="0553E9DD">
            <w:pPr>
              <w:spacing w:line="317" w:lineRule="auto"/>
              <w:rPr>
                <w:rFonts w:ascii="Arial"/>
                <w:sz w:val="21"/>
                <w:highlight w:val="none"/>
              </w:rPr>
            </w:pPr>
          </w:p>
          <w:p w14:paraId="1CE91762">
            <w:pPr>
              <w:pStyle w:val="144"/>
              <w:spacing w:before="65" w:line="231" w:lineRule="auto"/>
              <w:ind w:left="387"/>
              <w:rPr>
                <w:sz w:val="20"/>
                <w:szCs w:val="20"/>
                <w:highlight w:val="none"/>
              </w:rPr>
            </w:pPr>
            <w:r>
              <w:rPr>
                <w:spacing w:val="3"/>
                <w:sz w:val="20"/>
                <w:szCs w:val="20"/>
                <w:highlight w:val="none"/>
              </w:rPr>
              <w:t>可选</w:t>
            </w:r>
          </w:p>
        </w:tc>
      </w:tr>
      <w:tr w14:paraId="07A12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646" w:type="dxa"/>
            <w:vAlign w:val="top"/>
          </w:tcPr>
          <w:p w14:paraId="6B7978BC">
            <w:pPr>
              <w:spacing w:line="423" w:lineRule="auto"/>
              <w:rPr>
                <w:rFonts w:ascii="Arial"/>
                <w:sz w:val="21"/>
                <w:highlight w:val="none"/>
              </w:rPr>
            </w:pPr>
          </w:p>
          <w:p w14:paraId="6A046352">
            <w:pPr>
              <w:pStyle w:val="144"/>
              <w:spacing w:before="65" w:line="268" w:lineRule="exact"/>
              <w:ind w:left="223"/>
              <w:rPr>
                <w:sz w:val="20"/>
                <w:szCs w:val="20"/>
                <w:highlight w:val="none"/>
              </w:rPr>
            </w:pPr>
            <w:r>
              <w:rPr>
                <w:spacing w:val="-1"/>
                <w:position w:val="1"/>
                <w:sz w:val="20"/>
                <w:szCs w:val="20"/>
                <w:highlight w:val="none"/>
              </w:rPr>
              <w:t>28</w:t>
            </w:r>
          </w:p>
        </w:tc>
        <w:tc>
          <w:tcPr>
            <w:tcW w:w="1463" w:type="dxa"/>
            <w:vMerge w:val="continue"/>
            <w:tcBorders>
              <w:top w:val="nil"/>
              <w:bottom w:val="nil"/>
            </w:tcBorders>
            <w:vAlign w:val="top"/>
          </w:tcPr>
          <w:p w14:paraId="78E90587">
            <w:pPr>
              <w:rPr>
                <w:rFonts w:ascii="Arial"/>
                <w:sz w:val="21"/>
                <w:highlight w:val="none"/>
              </w:rPr>
            </w:pPr>
          </w:p>
        </w:tc>
        <w:tc>
          <w:tcPr>
            <w:tcW w:w="1437" w:type="dxa"/>
            <w:vAlign w:val="top"/>
          </w:tcPr>
          <w:p w14:paraId="5201D6F2">
            <w:pPr>
              <w:spacing w:line="423" w:lineRule="auto"/>
              <w:rPr>
                <w:rFonts w:ascii="Arial"/>
                <w:sz w:val="21"/>
                <w:highlight w:val="none"/>
              </w:rPr>
            </w:pPr>
          </w:p>
          <w:p w14:paraId="69D54594">
            <w:pPr>
              <w:pStyle w:val="144"/>
              <w:spacing w:before="65" w:line="228" w:lineRule="auto"/>
              <w:ind w:left="128"/>
              <w:rPr>
                <w:sz w:val="20"/>
                <w:szCs w:val="20"/>
                <w:highlight w:val="none"/>
              </w:rPr>
            </w:pPr>
            <w:r>
              <w:rPr>
                <w:spacing w:val="2"/>
                <w:sz w:val="20"/>
                <w:szCs w:val="20"/>
                <w:highlight w:val="none"/>
              </w:rPr>
              <w:t>自助进食器具</w:t>
            </w:r>
          </w:p>
        </w:tc>
        <w:tc>
          <w:tcPr>
            <w:tcW w:w="4840" w:type="dxa"/>
            <w:vAlign w:val="top"/>
          </w:tcPr>
          <w:p w14:paraId="2D52CB9C">
            <w:pPr>
              <w:spacing w:line="268" w:lineRule="auto"/>
              <w:rPr>
                <w:rFonts w:ascii="Arial"/>
                <w:sz w:val="21"/>
                <w:highlight w:val="none"/>
              </w:rPr>
            </w:pPr>
          </w:p>
          <w:p w14:paraId="66679FAF">
            <w:pPr>
              <w:pStyle w:val="144"/>
              <w:spacing w:before="65" w:line="289" w:lineRule="auto"/>
              <w:ind w:left="148" w:right="72" w:hanging="35"/>
              <w:rPr>
                <w:sz w:val="20"/>
                <w:szCs w:val="20"/>
                <w:highlight w:val="none"/>
              </w:rPr>
            </w:pPr>
            <w:r>
              <w:rPr>
                <w:spacing w:val="12"/>
                <w:sz w:val="20"/>
                <w:szCs w:val="20"/>
                <w:highlight w:val="none"/>
              </w:rPr>
              <w:t>辅助老年人进食，包括防洒碗(盘)、助食弯柄勺</w:t>
            </w:r>
            <w:r>
              <w:rPr>
                <w:spacing w:val="6"/>
                <w:sz w:val="20"/>
                <w:szCs w:val="20"/>
                <w:highlight w:val="none"/>
              </w:rPr>
              <w:t>(叉)/饮水杯(壶)等</w:t>
            </w:r>
            <w:r>
              <w:rPr>
                <w:spacing w:val="30"/>
                <w:sz w:val="20"/>
                <w:szCs w:val="20"/>
                <w:highlight w:val="none"/>
              </w:rPr>
              <w:t xml:space="preserve"> </w:t>
            </w:r>
            <w:r>
              <w:rPr>
                <w:spacing w:val="6"/>
                <w:sz w:val="20"/>
                <w:szCs w:val="20"/>
                <w:highlight w:val="none"/>
              </w:rPr>
              <w:t>。</w:t>
            </w:r>
          </w:p>
        </w:tc>
        <w:tc>
          <w:tcPr>
            <w:tcW w:w="1177" w:type="dxa"/>
            <w:vAlign w:val="top"/>
          </w:tcPr>
          <w:p w14:paraId="60107655">
            <w:pPr>
              <w:spacing w:line="423" w:lineRule="auto"/>
              <w:rPr>
                <w:rFonts w:ascii="Arial"/>
                <w:sz w:val="21"/>
                <w:highlight w:val="none"/>
              </w:rPr>
            </w:pPr>
          </w:p>
          <w:p w14:paraId="42D6912F">
            <w:pPr>
              <w:pStyle w:val="144"/>
              <w:spacing w:before="65" w:line="231" w:lineRule="auto"/>
              <w:ind w:left="387"/>
              <w:rPr>
                <w:sz w:val="20"/>
                <w:szCs w:val="20"/>
                <w:highlight w:val="none"/>
              </w:rPr>
            </w:pPr>
            <w:r>
              <w:rPr>
                <w:spacing w:val="3"/>
                <w:sz w:val="20"/>
                <w:szCs w:val="20"/>
                <w:highlight w:val="none"/>
              </w:rPr>
              <w:t>可选</w:t>
            </w:r>
          </w:p>
        </w:tc>
      </w:tr>
      <w:tr w14:paraId="40369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646" w:type="dxa"/>
            <w:vAlign w:val="top"/>
          </w:tcPr>
          <w:p w14:paraId="06E1193E">
            <w:pPr>
              <w:spacing w:line="425" w:lineRule="auto"/>
              <w:rPr>
                <w:rFonts w:ascii="Arial"/>
                <w:sz w:val="21"/>
                <w:highlight w:val="none"/>
              </w:rPr>
            </w:pPr>
          </w:p>
          <w:p w14:paraId="1A596B2B">
            <w:pPr>
              <w:pStyle w:val="144"/>
              <w:spacing w:before="65" w:line="269" w:lineRule="exact"/>
              <w:ind w:left="223"/>
              <w:rPr>
                <w:sz w:val="20"/>
                <w:szCs w:val="20"/>
                <w:highlight w:val="none"/>
              </w:rPr>
            </w:pPr>
            <w:r>
              <w:rPr>
                <w:spacing w:val="-1"/>
                <w:position w:val="1"/>
                <w:sz w:val="20"/>
                <w:szCs w:val="20"/>
                <w:highlight w:val="none"/>
              </w:rPr>
              <w:t>29</w:t>
            </w:r>
          </w:p>
        </w:tc>
        <w:tc>
          <w:tcPr>
            <w:tcW w:w="1463" w:type="dxa"/>
            <w:vMerge w:val="continue"/>
            <w:tcBorders>
              <w:top w:val="nil"/>
              <w:bottom w:val="nil"/>
            </w:tcBorders>
            <w:vAlign w:val="top"/>
          </w:tcPr>
          <w:p w14:paraId="2B0B0343">
            <w:pPr>
              <w:rPr>
                <w:rFonts w:ascii="Arial"/>
                <w:sz w:val="21"/>
                <w:highlight w:val="none"/>
              </w:rPr>
            </w:pPr>
          </w:p>
        </w:tc>
        <w:tc>
          <w:tcPr>
            <w:tcW w:w="1437" w:type="dxa"/>
            <w:vAlign w:val="top"/>
          </w:tcPr>
          <w:p w14:paraId="501B2B6F">
            <w:pPr>
              <w:spacing w:line="290" w:lineRule="auto"/>
              <w:rPr>
                <w:rFonts w:ascii="Arial"/>
                <w:sz w:val="21"/>
                <w:highlight w:val="none"/>
              </w:rPr>
            </w:pPr>
          </w:p>
          <w:p w14:paraId="4E04FD8F">
            <w:pPr>
              <w:spacing w:line="291" w:lineRule="auto"/>
              <w:rPr>
                <w:rFonts w:ascii="Arial"/>
                <w:sz w:val="21"/>
                <w:highlight w:val="none"/>
              </w:rPr>
            </w:pPr>
          </w:p>
          <w:p w14:paraId="6899FBC1">
            <w:pPr>
              <w:pStyle w:val="144"/>
              <w:spacing w:before="65" w:line="228" w:lineRule="auto"/>
              <w:ind w:left="213"/>
              <w:rPr>
                <w:sz w:val="20"/>
                <w:szCs w:val="20"/>
                <w:highlight w:val="none"/>
              </w:rPr>
            </w:pPr>
            <w:r>
              <w:rPr>
                <w:spacing w:val="5"/>
                <w:sz w:val="20"/>
                <w:szCs w:val="20"/>
                <w:highlight w:val="none"/>
              </w:rPr>
              <w:t>防走失装置</w:t>
            </w:r>
          </w:p>
        </w:tc>
        <w:tc>
          <w:tcPr>
            <w:tcW w:w="4840" w:type="dxa"/>
            <w:vAlign w:val="top"/>
          </w:tcPr>
          <w:p w14:paraId="68F17A9A">
            <w:pPr>
              <w:pStyle w:val="144"/>
              <w:spacing w:before="181" w:line="227" w:lineRule="auto"/>
              <w:ind w:left="113"/>
              <w:rPr>
                <w:sz w:val="20"/>
                <w:szCs w:val="20"/>
                <w:highlight w:val="none"/>
              </w:rPr>
            </w:pPr>
            <w:r>
              <w:rPr>
                <w:spacing w:val="20"/>
                <w:sz w:val="20"/>
                <w:szCs w:val="20"/>
                <w:highlight w:val="none"/>
              </w:rPr>
              <w:t>用于监测失智老年人或其他精神障碍老年人定</w:t>
            </w:r>
            <w:r>
              <w:rPr>
                <w:spacing w:val="19"/>
                <w:sz w:val="20"/>
                <w:szCs w:val="20"/>
                <w:highlight w:val="none"/>
              </w:rPr>
              <w:t>位，避免老年人走失</w:t>
            </w:r>
            <w:r>
              <w:rPr>
                <w:spacing w:val="-60"/>
                <w:sz w:val="20"/>
                <w:szCs w:val="20"/>
                <w:highlight w:val="none"/>
              </w:rPr>
              <w:t xml:space="preserve"> </w:t>
            </w:r>
            <w:r>
              <w:rPr>
                <w:spacing w:val="19"/>
                <w:sz w:val="20"/>
                <w:szCs w:val="20"/>
                <w:highlight w:val="none"/>
              </w:rPr>
              <w:t>。包括防走失手环、防走失</w:t>
            </w:r>
            <w:r>
              <w:rPr>
                <w:spacing w:val="11"/>
                <w:sz w:val="20"/>
                <w:szCs w:val="20"/>
                <w:highlight w:val="none"/>
              </w:rPr>
              <w:t>胸卡等。</w:t>
            </w:r>
          </w:p>
        </w:tc>
        <w:tc>
          <w:tcPr>
            <w:tcW w:w="1177" w:type="dxa"/>
            <w:vAlign w:val="top"/>
          </w:tcPr>
          <w:p w14:paraId="14860508">
            <w:pPr>
              <w:spacing w:line="317" w:lineRule="auto"/>
              <w:rPr>
                <w:rFonts w:ascii="Arial"/>
                <w:sz w:val="21"/>
                <w:highlight w:val="none"/>
              </w:rPr>
            </w:pPr>
          </w:p>
          <w:p w14:paraId="013A5A58">
            <w:pPr>
              <w:spacing w:line="318" w:lineRule="auto"/>
              <w:rPr>
                <w:rFonts w:ascii="Arial"/>
                <w:sz w:val="21"/>
                <w:highlight w:val="none"/>
              </w:rPr>
            </w:pPr>
          </w:p>
          <w:p w14:paraId="362C682F">
            <w:pPr>
              <w:pStyle w:val="144"/>
              <w:spacing w:before="65" w:line="233" w:lineRule="auto"/>
              <w:ind w:left="386"/>
              <w:rPr>
                <w:sz w:val="20"/>
                <w:szCs w:val="20"/>
                <w:highlight w:val="none"/>
              </w:rPr>
            </w:pPr>
            <w:r>
              <w:rPr>
                <w:spacing w:val="4"/>
                <w:sz w:val="20"/>
                <w:szCs w:val="20"/>
                <w:highlight w:val="none"/>
              </w:rPr>
              <w:t>基础</w:t>
            </w:r>
          </w:p>
        </w:tc>
      </w:tr>
      <w:tr w14:paraId="34E3B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646" w:type="dxa"/>
            <w:vAlign w:val="top"/>
          </w:tcPr>
          <w:p w14:paraId="21E5B093">
            <w:pPr>
              <w:spacing w:line="297" w:lineRule="auto"/>
              <w:rPr>
                <w:rFonts w:ascii="Arial"/>
                <w:sz w:val="21"/>
                <w:highlight w:val="none"/>
              </w:rPr>
            </w:pPr>
          </w:p>
          <w:p w14:paraId="65B247FA">
            <w:pPr>
              <w:spacing w:line="298" w:lineRule="auto"/>
              <w:rPr>
                <w:rFonts w:ascii="Arial"/>
                <w:sz w:val="21"/>
                <w:highlight w:val="none"/>
              </w:rPr>
            </w:pPr>
          </w:p>
          <w:p w14:paraId="566598FB">
            <w:pPr>
              <w:pStyle w:val="144"/>
              <w:spacing w:before="65" w:line="268" w:lineRule="exact"/>
              <w:ind w:left="225"/>
              <w:rPr>
                <w:sz w:val="20"/>
                <w:szCs w:val="20"/>
                <w:highlight w:val="none"/>
              </w:rPr>
            </w:pPr>
            <w:r>
              <w:rPr>
                <w:spacing w:val="-2"/>
                <w:position w:val="1"/>
                <w:sz w:val="20"/>
                <w:szCs w:val="20"/>
                <w:highlight w:val="none"/>
              </w:rPr>
              <w:t>30</w:t>
            </w:r>
          </w:p>
        </w:tc>
        <w:tc>
          <w:tcPr>
            <w:tcW w:w="1463" w:type="dxa"/>
            <w:vMerge w:val="continue"/>
            <w:tcBorders>
              <w:top w:val="nil"/>
            </w:tcBorders>
            <w:vAlign w:val="top"/>
          </w:tcPr>
          <w:p w14:paraId="090D0AA0">
            <w:pPr>
              <w:rPr>
                <w:rFonts w:ascii="Arial"/>
                <w:sz w:val="21"/>
                <w:highlight w:val="none"/>
              </w:rPr>
            </w:pPr>
          </w:p>
        </w:tc>
        <w:tc>
          <w:tcPr>
            <w:tcW w:w="1437" w:type="dxa"/>
            <w:vAlign w:val="top"/>
          </w:tcPr>
          <w:p w14:paraId="35AC651E">
            <w:pPr>
              <w:spacing w:line="297" w:lineRule="auto"/>
              <w:rPr>
                <w:rFonts w:ascii="Arial"/>
                <w:sz w:val="21"/>
                <w:highlight w:val="none"/>
              </w:rPr>
            </w:pPr>
          </w:p>
          <w:p w14:paraId="5B84A51A">
            <w:pPr>
              <w:spacing w:line="298" w:lineRule="auto"/>
              <w:rPr>
                <w:rFonts w:ascii="Arial"/>
                <w:sz w:val="21"/>
                <w:highlight w:val="none"/>
              </w:rPr>
            </w:pPr>
          </w:p>
          <w:p w14:paraId="29D30965">
            <w:pPr>
              <w:pStyle w:val="144"/>
              <w:spacing w:before="65" w:line="228" w:lineRule="auto"/>
              <w:ind w:left="98"/>
              <w:rPr>
                <w:sz w:val="20"/>
                <w:szCs w:val="20"/>
                <w:highlight w:val="none"/>
              </w:rPr>
            </w:pPr>
            <w:r>
              <w:rPr>
                <w:spacing w:val="7"/>
                <w:sz w:val="20"/>
                <w:szCs w:val="20"/>
                <w:highlight w:val="none"/>
              </w:rPr>
              <w:t>安全监控装置</w:t>
            </w:r>
          </w:p>
        </w:tc>
        <w:tc>
          <w:tcPr>
            <w:tcW w:w="4840" w:type="dxa"/>
            <w:vAlign w:val="top"/>
          </w:tcPr>
          <w:p w14:paraId="4B901D3B">
            <w:pPr>
              <w:pStyle w:val="144"/>
              <w:spacing w:before="194" w:line="289" w:lineRule="auto"/>
              <w:ind w:left="110" w:right="82"/>
              <w:jc w:val="both"/>
              <w:rPr>
                <w:sz w:val="20"/>
                <w:szCs w:val="20"/>
                <w:highlight w:val="none"/>
              </w:rPr>
            </w:pPr>
            <w:r>
              <w:rPr>
                <w:spacing w:val="21"/>
                <w:sz w:val="20"/>
                <w:szCs w:val="20"/>
                <w:highlight w:val="none"/>
              </w:rPr>
              <w:t>佩戴于人体或安装在居家环境中，用于监测老年</w:t>
            </w:r>
            <w:r>
              <w:rPr>
                <w:spacing w:val="19"/>
                <w:sz w:val="20"/>
                <w:szCs w:val="20"/>
                <w:highlight w:val="none"/>
              </w:rPr>
              <w:t>人动作或者居室环境，发生险情时及时报警</w:t>
            </w:r>
            <w:r>
              <w:rPr>
                <w:spacing w:val="-60"/>
                <w:sz w:val="20"/>
                <w:szCs w:val="20"/>
                <w:highlight w:val="none"/>
              </w:rPr>
              <w:t xml:space="preserve"> </w:t>
            </w:r>
            <w:r>
              <w:rPr>
                <w:spacing w:val="19"/>
                <w:sz w:val="20"/>
                <w:szCs w:val="20"/>
                <w:highlight w:val="none"/>
              </w:rPr>
              <w:t>。包</w:t>
            </w:r>
            <w:r>
              <w:rPr>
                <w:spacing w:val="20"/>
                <w:sz w:val="20"/>
                <w:szCs w:val="20"/>
                <w:highlight w:val="none"/>
              </w:rPr>
              <w:t>括红外探测器、紧急呼叫器、烟雾/煤气泄露/溢</w:t>
            </w:r>
            <w:r>
              <w:rPr>
                <w:spacing w:val="14"/>
                <w:sz w:val="20"/>
                <w:szCs w:val="20"/>
                <w:highlight w:val="none"/>
              </w:rPr>
              <w:t>水报警器等。</w:t>
            </w:r>
          </w:p>
        </w:tc>
        <w:tc>
          <w:tcPr>
            <w:tcW w:w="1177" w:type="dxa"/>
            <w:vAlign w:val="top"/>
          </w:tcPr>
          <w:p w14:paraId="16B880CE">
            <w:pPr>
              <w:spacing w:line="297" w:lineRule="auto"/>
              <w:rPr>
                <w:rFonts w:ascii="Arial"/>
                <w:sz w:val="21"/>
                <w:highlight w:val="none"/>
              </w:rPr>
            </w:pPr>
          </w:p>
          <w:p w14:paraId="120B0EA3">
            <w:pPr>
              <w:spacing w:line="298" w:lineRule="auto"/>
              <w:rPr>
                <w:rFonts w:ascii="Arial"/>
                <w:sz w:val="21"/>
                <w:highlight w:val="none"/>
              </w:rPr>
            </w:pPr>
          </w:p>
          <w:p w14:paraId="0B6AC37D">
            <w:pPr>
              <w:pStyle w:val="144"/>
              <w:spacing w:before="65" w:line="231" w:lineRule="auto"/>
              <w:ind w:left="387"/>
              <w:rPr>
                <w:sz w:val="20"/>
                <w:szCs w:val="20"/>
                <w:highlight w:val="none"/>
              </w:rPr>
            </w:pPr>
            <w:r>
              <w:rPr>
                <w:spacing w:val="3"/>
                <w:sz w:val="20"/>
                <w:szCs w:val="20"/>
                <w:highlight w:val="none"/>
              </w:rPr>
              <w:t>可选</w:t>
            </w:r>
          </w:p>
        </w:tc>
      </w:tr>
    </w:tbl>
    <w:p w14:paraId="5C2EF451">
      <w:pPr>
        <w:spacing w:line="263" w:lineRule="auto"/>
        <w:rPr>
          <w:rFonts w:ascii="Arial"/>
          <w:sz w:val="21"/>
          <w:highlight w:val="none"/>
        </w:rPr>
      </w:pPr>
    </w:p>
    <w:p w14:paraId="579F39D9">
      <w:pPr>
        <w:spacing w:line="263" w:lineRule="auto"/>
        <w:ind w:firstLine="442" w:firstLineChars="200"/>
        <w:rPr>
          <w:rFonts w:hint="eastAsia" w:ascii="Arial"/>
          <w:b/>
          <w:bCs/>
          <w:sz w:val="22"/>
          <w:szCs w:val="24"/>
          <w:highlight w:val="none"/>
        </w:rPr>
      </w:pPr>
      <w:r>
        <w:rPr>
          <w:rFonts w:hint="eastAsia" w:ascii="Arial"/>
          <w:b/>
          <w:bCs/>
          <w:sz w:val="22"/>
          <w:szCs w:val="24"/>
          <w:highlight w:val="none"/>
        </w:rPr>
        <w:t>清单所列项目分为基础类和可选类，基础类项目是政府对特殊困难老年人家庭予以补助支持的改造项目和老年用品，是改造和配置的基本内容;可选类项目是根据老年人家庭意愿，供自主付费购买的适老化改造项目和老年用品。</w:t>
      </w:r>
    </w:p>
    <w:p w14:paraId="54C3D958">
      <w:pPr>
        <w:spacing w:line="263" w:lineRule="auto"/>
        <w:rPr>
          <w:rFonts w:ascii="Arial"/>
          <w:sz w:val="21"/>
          <w:highlight w:val="none"/>
        </w:rPr>
      </w:pPr>
    </w:p>
    <w:p w14:paraId="61B19C78">
      <w:pPr>
        <w:spacing w:line="263" w:lineRule="auto"/>
        <w:rPr>
          <w:rFonts w:ascii="Arial"/>
          <w:sz w:val="21"/>
          <w:highlight w:val="none"/>
        </w:rPr>
      </w:pPr>
    </w:p>
    <w:p w14:paraId="43D0F684">
      <w:pPr>
        <w:spacing w:line="263" w:lineRule="auto"/>
        <w:rPr>
          <w:rFonts w:ascii="Arial"/>
          <w:sz w:val="21"/>
          <w:highlight w:val="none"/>
        </w:rPr>
      </w:pPr>
    </w:p>
    <w:p w14:paraId="63595074">
      <w:pPr>
        <w:spacing w:line="219" w:lineRule="auto"/>
        <w:rPr>
          <w:sz w:val="18"/>
          <w:szCs w:val="18"/>
          <w:highlight w:val="none"/>
        </w:rPr>
        <w:sectPr>
          <w:pgSz w:w="11906" w:h="16839"/>
          <w:pgMar w:top="1224" w:right="920" w:bottom="1417" w:left="1416" w:header="829" w:footer="0" w:gutter="0"/>
          <w:pgNumType w:fmt="decimal"/>
          <w:cols w:space="720" w:num="1"/>
        </w:sectPr>
      </w:pPr>
    </w:p>
    <w:p w14:paraId="7509003E">
      <w:pPr>
        <w:pStyle w:val="13"/>
        <w:spacing w:before="91" w:line="220" w:lineRule="auto"/>
        <w:ind w:left="1366"/>
        <w:rPr>
          <w:sz w:val="28"/>
          <w:szCs w:val="28"/>
          <w:highlight w:val="none"/>
        </w:rPr>
      </w:pPr>
      <w:bookmarkStart w:id="56" w:name="bookmark37"/>
      <w:bookmarkEnd w:id="56"/>
      <w:r>
        <w:rPr>
          <w:b/>
          <w:bCs/>
          <w:spacing w:val="5"/>
          <w:sz w:val="28"/>
          <w:szCs w:val="28"/>
          <w:highlight w:val="none"/>
        </w:rPr>
        <w:t>特殊困难老年人家庭适老化改造主要产品参考目录</w:t>
      </w:r>
    </w:p>
    <w:p w14:paraId="22173914">
      <w:pPr>
        <w:spacing w:before="38"/>
        <w:rPr>
          <w:highlight w:val="none"/>
        </w:rPr>
      </w:pPr>
    </w:p>
    <w:tbl>
      <w:tblPr>
        <w:tblStyle w:val="145"/>
        <w:tblW w:w="969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6216"/>
        <w:gridCol w:w="1444"/>
      </w:tblGrid>
      <w:tr w14:paraId="33152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039" w:type="dxa"/>
            <w:vAlign w:val="top"/>
          </w:tcPr>
          <w:p w14:paraId="78BD2C12">
            <w:pPr>
              <w:pStyle w:val="144"/>
              <w:spacing w:before="215" w:line="228" w:lineRule="auto"/>
              <w:ind w:left="537"/>
              <w:rPr>
                <w:sz w:val="20"/>
                <w:szCs w:val="20"/>
                <w:highlight w:val="none"/>
              </w:rPr>
            </w:pPr>
            <w:r>
              <w:rPr>
                <w:spacing w:val="7"/>
                <w:sz w:val="20"/>
                <w:szCs w:val="20"/>
                <w:highlight w:val="none"/>
              </w:rPr>
              <w:t>产品名称</w:t>
            </w:r>
          </w:p>
        </w:tc>
        <w:tc>
          <w:tcPr>
            <w:tcW w:w="6216" w:type="dxa"/>
            <w:vAlign w:val="top"/>
          </w:tcPr>
          <w:p w14:paraId="5C9FA396">
            <w:pPr>
              <w:pStyle w:val="144"/>
              <w:spacing w:before="215" w:line="228" w:lineRule="auto"/>
              <w:ind w:left="2179"/>
              <w:rPr>
                <w:sz w:val="20"/>
                <w:szCs w:val="20"/>
                <w:highlight w:val="none"/>
              </w:rPr>
            </w:pPr>
            <w:r>
              <w:rPr>
                <w:spacing w:val="8"/>
                <w:sz w:val="20"/>
                <w:szCs w:val="20"/>
                <w:highlight w:val="none"/>
              </w:rPr>
              <w:t>参数规格及要求</w:t>
            </w:r>
          </w:p>
        </w:tc>
        <w:tc>
          <w:tcPr>
            <w:tcW w:w="1444" w:type="dxa"/>
            <w:vAlign w:val="top"/>
          </w:tcPr>
          <w:p w14:paraId="5FE7ACC9">
            <w:pPr>
              <w:pStyle w:val="144"/>
              <w:spacing w:before="215" w:line="227" w:lineRule="auto"/>
              <w:ind w:left="261"/>
              <w:rPr>
                <w:sz w:val="20"/>
                <w:szCs w:val="20"/>
                <w:highlight w:val="none"/>
              </w:rPr>
            </w:pPr>
            <w:r>
              <w:rPr>
                <w:spacing w:val="7"/>
                <w:sz w:val="20"/>
                <w:szCs w:val="20"/>
                <w:highlight w:val="none"/>
              </w:rPr>
              <w:t>推荐品牌</w:t>
            </w:r>
          </w:p>
        </w:tc>
      </w:tr>
      <w:tr w14:paraId="0621E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2039" w:type="dxa"/>
            <w:vAlign w:val="top"/>
          </w:tcPr>
          <w:p w14:paraId="597417E9">
            <w:pPr>
              <w:spacing w:line="332" w:lineRule="auto"/>
              <w:rPr>
                <w:rFonts w:ascii="Arial"/>
                <w:sz w:val="21"/>
                <w:highlight w:val="none"/>
              </w:rPr>
            </w:pPr>
          </w:p>
          <w:p w14:paraId="3645C1D4">
            <w:pPr>
              <w:spacing w:line="333" w:lineRule="auto"/>
              <w:rPr>
                <w:rFonts w:ascii="Arial"/>
                <w:sz w:val="21"/>
                <w:highlight w:val="none"/>
              </w:rPr>
            </w:pPr>
          </w:p>
          <w:p w14:paraId="6EC1D4EA">
            <w:pPr>
              <w:pStyle w:val="144"/>
              <w:spacing w:before="65" w:line="228" w:lineRule="auto"/>
              <w:ind w:left="540"/>
              <w:rPr>
                <w:sz w:val="20"/>
                <w:szCs w:val="20"/>
                <w:highlight w:val="none"/>
              </w:rPr>
            </w:pPr>
            <w:r>
              <w:rPr>
                <w:spacing w:val="6"/>
                <w:sz w:val="20"/>
                <w:szCs w:val="20"/>
                <w:highlight w:val="none"/>
              </w:rPr>
              <w:t>各类扶手</w:t>
            </w:r>
          </w:p>
        </w:tc>
        <w:tc>
          <w:tcPr>
            <w:tcW w:w="6216" w:type="dxa"/>
            <w:vAlign w:val="top"/>
          </w:tcPr>
          <w:p w14:paraId="670ADC57">
            <w:pPr>
              <w:pStyle w:val="144"/>
              <w:spacing w:before="103" w:line="388" w:lineRule="auto"/>
              <w:ind w:left="111" w:right="36" w:hanging="2"/>
              <w:jc w:val="both"/>
              <w:rPr>
                <w:sz w:val="20"/>
                <w:szCs w:val="20"/>
                <w:highlight w:val="none"/>
              </w:rPr>
            </w:pPr>
            <w:r>
              <w:rPr>
                <w:spacing w:val="7"/>
                <w:sz w:val="20"/>
                <w:szCs w:val="20"/>
                <w:highlight w:val="none"/>
              </w:rPr>
              <w:t>扶手应符合残联无障碍标准，颜色建议黄色，扶手外层为抗菌尼龙材质、直径为</w:t>
            </w:r>
            <w:r>
              <w:rPr>
                <w:spacing w:val="-34"/>
                <w:sz w:val="20"/>
                <w:szCs w:val="20"/>
                <w:highlight w:val="none"/>
              </w:rPr>
              <w:t xml:space="preserve"> </w:t>
            </w:r>
            <w:r>
              <w:rPr>
                <w:rFonts w:ascii="Times New Roman" w:hAnsi="Times New Roman" w:eastAsia="Times New Roman" w:cs="Times New Roman"/>
                <w:spacing w:val="7"/>
                <w:sz w:val="20"/>
                <w:szCs w:val="20"/>
                <w:highlight w:val="none"/>
              </w:rPr>
              <w:t>35</w:t>
            </w:r>
            <w:r>
              <w:rPr>
                <w:rFonts w:ascii="Times New Roman" w:hAnsi="Times New Roman" w:eastAsia="Times New Roman" w:cs="Times New Roman"/>
                <w:sz w:val="20"/>
                <w:szCs w:val="20"/>
                <w:highlight w:val="none"/>
              </w:rPr>
              <w:t>mm</w:t>
            </w:r>
            <w:r>
              <w:rPr>
                <w:rFonts w:ascii="Times New Roman" w:hAnsi="Times New Roman" w:eastAsia="Times New Roman" w:cs="Times New Roman"/>
                <w:spacing w:val="7"/>
                <w:sz w:val="20"/>
                <w:szCs w:val="20"/>
                <w:highlight w:val="none"/>
              </w:rPr>
              <w:t>,</w:t>
            </w:r>
            <w:r>
              <w:rPr>
                <w:rFonts w:ascii="Times New Roman" w:hAnsi="Times New Roman" w:eastAsia="Times New Roman" w:cs="Times New Roman"/>
                <w:spacing w:val="20"/>
                <w:sz w:val="20"/>
                <w:szCs w:val="20"/>
                <w:highlight w:val="none"/>
              </w:rPr>
              <w:t xml:space="preserve">  </w:t>
            </w:r>
            <w:r>
              <w:rPr>
                <w:spacing w:val="7"/>
                <w:sz w:val="20"/>
                <w:szCs w:val="20"/>
                <w:highlight w:val="none"/>
              </w:rPr>
              <w:t xml:space="preserve">内衬不锈钢钢管直径 </w:t>
            </w:r>
            <w:r>
              <w:rPr>
                <w:rFonts w:ascii="Times New Roman" w:hAnsi="Times New Roman" w:eastAsia="Times New Roman" w:cs="Times New Roman"/>
                <w:spacing w:val="7"/>
                <w:sz w:val="20"/>
                <w:szCs w:val="20"/>
                <w:highlight w:val="none"/>
              </w:rPr>
              <w:t>28</w:t>
            </w:r>
            <w:r>
              <w:rPr>
                <w:rFonts w:ascii="Times New Roman" w:hAnsi="Times New Roman" w:eastAsia="Times New Roman" w:cs="Times New Roman"/>
                <w:sz w:val="20"/>
                <w:szCs w:val="20"/>
                <w:highlight w:val="none"/>
              </w:rPr>
              <w:t>mm</w:t>
            </w:r>
            <w:r>
              <w:rPr>
                <w:rFonts w:ascii="Times New Roman" w:hAnsi="Times New Roman" w:eastAsia="Times New Roman" w:cs="Times New Roman"/>
                <w:spacing w:val="17"/>
                <w:w w:val="101"/>
                <w:sz w:val="20"/>
                <w:szCs w:val="20"/>
                <w:highlight w:val="none"/>
              </w:rPr>
              <w:t xml:space="preserve"> </w:t>
            </w:r>
            <w:r>
              <w:rPr>
                <w:spacing w:val="7"/>
                <w:sz w:val="20"/>
                <w:szCs w:val="20"/>
                <w:highlight w:val="none"/>
              </w:rPr>
              <w:t>复合</w:t>
            </w:r>
            <w:r>
              <w:rPr>
                <w:spacing w:val="8"/>
                <w:sz w:val="20"/>
                <w:szCs w:val="20"/>
                <w:highlight w:val="none"/>
              </w:rPr>
              <w:t>而成</w:t>
            </w:r>
            <w:r>
              <w:rPr>
                <w:spacing w:val="-31"/>
                <w:sz w:val="20"/>
                <w:szCs w:val="20"/>
                <w:highlight w:val="none"/>
              </w:rPr>
              <w:t xml:space="preserve"> </w:t>
            </w:r>
            <w:r>
              <w:rPr>
                <w:rFonts w:ascii="Times New Roman" w:hAnsi="Times New Roman" w:eastAsia="Times New Roman" w:cs="Times New Roman"/>
                <w:spacing w:val="8"/>
                <w:sz w:val="20"/>
                <w:szCs w:val="20"/>
                <w:highlight w:val="none"/>
              </w:rPr>
              <w:t>0.5</w:t>
            </w:r>
            <w:r>
              <w:rPr>
                <w:rFonts w:ascii="Times New Roman" w:hAnsi="Times New Roman" w:eastAsia="Times New Roman" w:cs="Times New Roman"/>
                <w:sz w:val="20"/>
                <w:szCs w:val="20"/>
                <w:highlight w:val="none"/>
              </w:rPr>
              <w:t>mm</w:t>
            </w:r>
            <w:r>
              <w:rPr>
                <w:rFonts w:ascii="Times New Roman" w:hAnsi="Times New Roman" w:eastAsia="Times New Roman" w:cs="Times New Roman"/>
                <w:spacing w:val="17"/>
                <w:sz w:val="20"/>
                <w:szCs w:val="20"/>
                <w:highlight w:val="none"/>
              </w:rPr>
              <w:t xml:space="preserve"> </w:t>
            </w:r>
            <w:r>
              <w:rPr>
                <w:spacing w:val="8"/>
                <w:sz w:val="20"/>
                <w:szCs w:val="20"/>
                <w:highlight w:val="none"/>
              </w:rPr>
              <w:t>厚防滑浮点设计，抓握更牢固。扶手承重</w:t>
            </w:r>
            <w:r>
              <w:rPr>
                <w:spacing w:val="4"/>
                <w:sz w:val="20"/>
                <w:szCs w:val="20"/>
                <w:highlight w:val="none"/>
              </w:rPr>
              <w:t>力</w:t>
            </w:r>
            <w:r>
              <w:rPr>
                <w:rFonts w:ascii="Times New Roman" w:hAnsi="Times New Roman" w:eastAsia="Times New Roman" w:cs="Times New Roman"/>
                <w:spacing w:val="4"/>
                <w:sz w:val="20"/>
                <w:szCs w:val="20"/>
                <w:highlight w:val="none"/>
              </w:rPr>
              <w:t>&gt;200</w:t>
            </w:r>
            <w:r>
              <w:rPr>
                <w:rFonts w:ascii="Times New Roman" w:hAnsi="Times New Roman" w:eastAsia="Times New Roman" w:cs="Times New Roman"/>
                <w:sz w:val="20"/>
                <w:szCs w:val="20"/>
                <w:highlight w:val="none"/>
              </w:rPr>
              <w:t>kg</w:t>
            </w:r>
            <w:r>
              <w:rPr>
                <w:spacing w:val="4"/>
                <w:sz w:val="20"/>
                <w:szCs w:val="20"/>
                <w:highlight w:val="none"/>
              </w:rPr>
              <w:t>。</w:t>
            </w:r>
          </w:p>
        </w:tc>
        <w:tc>
          <w:tcPr>
            <w:tcW w:w="1444" w:type="dxa"/>
            <w:vAlign w:val="top"/>
          </w:tcPr>
          <w:p w14:paraId="36A26429">
            <w:pPr>
              <w:spacing w:line="332" w:lineRule="auto"/>
              <w:rPr>
                <w:rFonts w:ascii="Arial"/>
                <w:sz w:val="21"/>
                <w:highlight w:val="none"/>
              </w:rPr>
            </w:pPr>
          </w:p>
          <w:p w14:paraId="6B5F4E30">
            <w:pPr>
              <w:spacing w:line="333" w:lineRule="auto"/>
              <w:rPr>
                <w:rFonts w:ascii="Arial"/>
                <w:sz w:val="21"/>
                <w:highlight w:val="none"/>
              </w:rPr>
            </w:pPr>
          </w:p>
          <w:p w14:paraId="362C8C42">
            <w:pPr>
              <w:pStyle w:val="144"/>
              <w:spacing w:before="65" w:line="228" w:lineRule="auto"/>
              <w:ind w:left="282"/>
              <w:rPr>
                <w:sz w:val="20"/>
                <w:szCs w:val="20"/>
                <w:highlight w:val="none"/>
              </w:rPr>
            </w:pPr>
            <w:r>
              <w:rPr>
                <w:spacing w:val="2"/>
                <w:sz w:val="20"/>
                <w:szCs w:val="20"/>
                <w:highlight w:val="none"/>
              </w:rPr>
              <w:t>国产品牌</w:t>
            </w:r>
          </w:p>
        </w:tc>
      </w:tr>
      <w:tr w14:paraId="17234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039" w:type="dxa"/>
            <w:vAlign w:val="top"/>
          </w:tcPr>
          <w:p w14:paraId="62013C97">
            <w:pPr>
              <w:spacing w:line="456" w:lineRule="auto"/>
              <w:rPr>
                <w:rFonts w:ascii="Arial"/>
                <w:sz w:val="21"/>
                <w:highlight w:val="none"/>
              </w:rPr>
            </w:pPr>
          </w:p>
          <w:p w14:paraId="71590897">
            <w:pPr>
              <w:pStyle w:val="144"/>
              <w:spacing w:before="65" w:line="228" w:lineRule="auto"/>
              <w:ind w:left="550"/>
              <w:rPr>
                <w:sz w:val="20"/>
                <w:szCs w:val="20"/>
                <w:highlight w:val="none"/>
              </w:rPr>
            </w:pPr>
            <w:r>
              <w:rPr>
                <w:spacing w:val="4"/>
                <w:sz w:val="20"/>
                <w:szCs w:val="20"/>
                <w:highlight w:val="none"/>
              </w:rPr>
              <w:t>防滑地胶</w:t>
            </w:r>
          </w:p>
          <w:p w14:paraId="589C2FC2">
            <w:pPr>
              <w:pStyle w:val="144"/>
              <w:spacing w:before="176" w:line="228" w:lineRule="auto"/>
              <w:ind w:left="260"/>
              <w:rPr>
                <w:sz w:val="20"/>
                <w:szCs w:val="20"/>
                <w:highlight w:val="none"/>
              </w:rPr>
            </w:pPr>
            <w:r>
              <w:rPr>
                <w:spacing w:val="3"/>
                <w:sz w:val="20"/>
                <w:szCs w:val="20"/>
                <w:highlight w:val="none"/>
              </w:rPr>
              <w:t>(卫生间、厨房)</w:t>
            </w:r>
          </w:p>
        </w:tc>
        <w:tc>
          <w:tcPr>
            <w:tcW w:w="6216" w:type="dxa"/>
            <w:vAlign w:val="top"/>
          </w:tcPr>
          <w:p w14:paraId="68DDA3A2">
            <w:pPr>
              <w:pStyle w:val="144"/>
              <w:spacing w:before="104" w:line="353" w:lineRule="auto"/>
              <w:ind w:left="111" w:firstLine="2"/>
              <w:jc w:val="both"/>
              <w:rPr>
                <w:rFonts w:ascii="Times New Roman" w:hAnsi="Times New Roman" w:eastAsia="Times New Roman" w:cs="Times New Roman"/>
                <w:sz w:val="20"/>
                <w:szCs w:val="20"/>
                <w:highlight w:val="none"/>
              </w:rPr>
            </w:pPr>
            <w:r>
              <w:rPr>
                <w:spacing w:val="8"/>
                <w:sz w:val="20"/>
                <w:szCs w:val="20"/>
                <w:highlight w:val="none"/>
              </w:rPr>
              <w:t>建议采用</w:t>
            </w:r>
            <w:r>
              <w:rPr>
                <w:rFonts w:ascii="Times New Roman" w:hAnsi="Times New Roman" w:eastAsia="Times New Roman" w:cs="Times New Roman"/>
                <w:sz w:val="20"/>
                <w:szCs w:val="20"/>
                <w:highlight w:val="none"/>
              </w:rPr>
              <w:t>PVC</w:t>
            </w:r>
            <w:r>
              <w:rPr>
                <w:rFonts w:ascii="Times New Roman" w:hAnsi="Times New Roman" w:eastAsia="Times New Roman" w:cs="Times New Roman"/>
                <w:spacing w:val="8"/>
                <w:sz w:val="20"/>
                <w:szCs w:val="20"/>
                <w:highlight w:val="none"/>
              </w:rPr>
              <w:t xml:space="preserve"> </w:t>
            </w:r>
            <w:r>
              <w:rPr>
                <w:spacing w:val="8"/>
                <w:sz w:val="20"/>
                <w:szCs w:val="20"/>
                <w:highlight w:val="none"/>
              </w:rPr>
              <w:t>材质地板，抗菌防霉易清洗。卫浴间、厨房等</w:t>
            </w:r>
            <w:r>
              <w:rPr>
                <w:spacing w:val="6"/>
                <w:sz w:val="20"/>
                <w:szCs w:val="20"/>
                <w:highlight w:val="none"/>
              </w:rPr>
              <w:t>较湿滑地方应采用防湿滑系数为</w:t>
            </w:r>
            <w:r>
              <w:rPr>
                <w:rFonts w:ascii="Times New Roman" w:hAnsi="Times New Roman" w:eastAsia="Times New Roman" w:cs="Times New Roman"/>
                <w:spacing w:val="6"/>
                <w:sz w:val="20"/>
                <w:szCs w:val="20"/>
                <w:highlight w:val="none"/>
              </w:rPr>
              <w:t>&gt;R10</w:t>
            </w:r>
            <w:r>
              <w:rPr>
                <w:spacing w:val="6"/>
                <w:sz w:val="20"/>
                <w:szCs w:val="20"/>
                <w:highlight w:val="none"/>
              </w:rPr>
              <w:t>地板，其他处防湿滑系</w:t>
            </w:r>
            <w:r>
              <w:rPr>
                <w:spacing w:val="5"/>
                <w:sz w:val="20"/>
                <w:szCs w:val="20"/>
                <w:highlight w:val="none"/>
              </w:rPr>
              <w:t>数为</w:t>
            </w:r>
            <w:r>
              <w:rPr>
                <w:rFonts w:ascii="Times New Roman" w:hAnsi="Times New Roman" w:eastAsia="Times New Roman" w:cs="Times New Roman"/>
                <w:spacing w:val="5"/>
                <w:sz w:val="20"/>
                <w:szCs w:val="20"/>
                <w:highlight w:val="none"/>
              </w:rPr>
              <w:t>&gt;R9</w:t>
            </w:r>
            <w:r>
              <w:rPr>
                <w:rFonts w:ascii="Times New Roman" w:hAnsi="Times New Roman" w:eastAsia="Times New Roman" w:cs="Times New Roman"/>
                <w:spacing w:val="-23"/>
                <w:sz w:val="20"/>
                <w:szCs w:val="20"/>
                <w:highlight w:val="none"/>
              </w:rPr>
              <w:t xml:space="preserve"> </w:t>
            </w:r>
            <w:r>
              <w:rPr>
                <w:spacing w:val="5"/>
                <w:sz w:val="20"/>
                <w:szCs w:val="20"/>
                <w:highlight w:val="none"/>
              </w:rPr>
              <w:t>、厚度</w:t>
            </w:r>
            <w:r>
              <w:rPr>
                <w:rFonts w:ascii="Times New Roman" w:hAnsi="Times New Roman" w:eastAsia="Times New Roman" w:cs="Times New Roman"/>
                <w:spacing w:val="5"/>
                <w:sz w:val="20"/>
                <w:szCs w:val="20"/>
                <w:highlight w:val="none"/>
              </w:rPr>
              <w:t>&gt;2</w:t>
            </w:r>
            <w:r>
              <w:rPr>
                <w:rFonts w:ascii="Times New Roman" w:hAnsi="Times New Roman" w:eastAsia="Times New Roman" w:cs="Times New Roman"/>
                <w:sz w:val="20"/>
                <w:szCs w:val="20"/>
                <w:highlight w:val="none"/>
              </w:rPr>
              <w:t>mm</w:t>
            </w:r>
            <w:r>
              <w:rPr>
                <w:rFonts w:ascii="Times New Roman" w:hAnsi="Times New Roman" w:eastAsia="Times New Roman" w:cs="Times New Roman"/>
                <w:spacing w:val="-18"/>
                <w:sz w:val="20"/>
                <w:szCs w:val="20"/>
                <w:highlight w:val="none"/>
              </w:rPr>
              <w:t xml:space="preserve"> </w:t>
            </w:r>
            <w:r>
              <w:rPr>
                <w:spacing w:val="5"/>
                <w:sz w:val="20"/>
                <w:szCs w:val="20"/>
                <w:highlight w:val="none"/>
              </w:rPr>
              <w:t xml:space="preserve">。 </w:t>
            </w:r>
            <w:r>
              <w:rPr>
                <w:rFonts w:ascii="Times New Roman" w:hAnsi="Times New Roman" w:eastAsia="Times New Roman" w:cs="Times New Roman"/>
                <w:spacing w:val="5"/>
                <w:sz w:val="20"/>
                <w:szCs w:val="20"/>
                <w:highlight w:val="none"/>
              </w:rPr>
              <w:t>(</w:t>
            </w:r>
            <w:r>
              <w:rPr>
                <w:spacing w:val="5"/>
                <w:sz w:val="20"/>
                <w:szCs w:val="20"/>
                <w:highlight w:val="none"/>
              </w:rPr>
              <w:t>德国标准</w:t>
            </w:r>
            <w:r>
              <w:rPr>
                <w:spacing w:val="-41"/>
                <w:sz w:val="20"/>
                <w:szCs w:val="20"/>
                <w:highlight w:val="none"/>
              </w:rPr>
              <w:t xml:space="preserve"> </w:t>
            </w:r>
            <w:r>
              <w:rPr>
                <w:rFonts w:ascii="Times New Roman" w:hAnsi="Times New Roman" w:eastAsia="Times New Roman" w:cs="Times New Roman"/>
                <w:sz w:val="20"/>
                <w:szCs w:val="20"/>
                <w:highlight w:val="none"/>
              </w:rPr>
              <w:t>D</w:t>
            </w:r>
            <w:r>
              <w:rPr>
                <w:rFonts w:ascii="Times New Roman" w:hAnsi="Times New Roman" w:eastAsia="Times New Roman" w:cs="Times New Roman"/>
                <w:spacing w:val="5"/>
                <w:sz w:val="20"/>
                <w:szCs w:val="20"/>
                <w:highlight w:val="none"/>
              </w:rPr>
              <w:t xml:space="preserve"> </w:t>
            </w:r>
            <w:r>
              <w:rPr>
                <w:rFonts w:ascii="Times New Roman" w:hAnsi="Times New Roman" w:eastAsia="Times New Roman" w:cs="Times New Roman"/>
                <w:sz w:val="20"/>
                <w:szCs w:val="20"/>
                <w:highlight w:val="none"/>
              </w:rPr>
              <w:t>IS</w:t>
            </w:r>
            <w:r>
              <w:rPr>
                <w:rFonts w:ascii="Times New Roman" w:hAnsi="Times New Roman" w:eastAsia="Times New Roman" w:cs="Times New Roman"/>
                <w:spacing w:val="5"/>
                <w:sz w:val="20"/>
                <w:szCs w:val="20"/>
                <w:highlight w:val="none"/>
              </w:rPr>
              <w:t xml:space="preserve">51130 </w:t>
            </w:r>
            <w:r>
              <w:rPr>
                <w:spacing w:val="5"/>
                <w:sz w:val="20"/>
                <w:szCs w:val="20"/>
                <w:highlight w:val="none"/>
              </w:rPr>
              <w:t>测试</w:t>
            </w:r>
            <w:r>
              <w:rPr>
                <w:rFonts w:ascii="Times New Roman" w:hAnsi="Times New Roman" w:eastAsia="Times New Roman" w:cs="Times New Roman"/>
                <w:spacing w:val="5"/>
                <w:sz w:val="20"/>
                <w:szCs w:val="20"/>
                <w:highlight w:val="none"/>
              </w:rPr>
              <w:t>)</w:t>
            </w:r>
          </w:p>
        </w:tc>
        <w:tc>
          <w:tcPr>
            <w:tcW w:w="1444" w:type="dxa"/>
            <w:vAlign w:val="top"/>
          </w:tcPr>
          <w:p w14:paraId="50BE69CF">
            <w:pPr>
              <w:spacing w:line="456" w:lineRule="auto"/>
              <w:rPr>
                <w:rFonts w:ascii="Arial"/>
                <w:sz w:val="21"/>
                <w:highlight w:val="none"/>
              </w:rPr>
            </w:pPr>
          </w:p>
          <w:p w14:paraId="608F1D58">
            <w:pPr>
              <w:pStyle w:val="144"/>
              <w:spacing w:before="65" w:line="228" w:lineRule="auto"/>
              <w:ind w:left="282"/>
              <w:rPr>
                <w:sz w:val="20"/>
                <w:szCs w:val="20"/>
                <w:highlight w:val="none"/>
              </w:rPr>
            </w:pPr>
            <w:r>
              <w:rPr>
                <w:spacing w:val="2"/>
                <w:sz w:val="20"/>
                <w:szCs w:val="20"/>
                <w:highlight w:val="none"/>
              </w:rPr>
              <w:t>国产品牌</w:t>
            </w:r>
          </w:p>
        </w:tc>
      </w:tr>
      <w:tr w14:paraId="6CE8B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2039" w:type="dxa"/>
            <w:vAlign w:val="top"/>
          </w:tcPr>
          <w:p w14:paraId="619BB424">
            <w:pPr>
              <w:spacing w:line="341" w:lineRule="auto"/>
              <w:rPr>
                <w:rFonts w:ascii="Arial"/>
                <w:sz w:val="21"/>
                <w:highlight w:val="none"/>
              </w:rPr>
            </w:pPr>
          </w:p>
          <w:p w14:paraId="7F2D0CA3">
            <w:pPr>
              <w:pStyle w:val="144"/>
              <w:spacing w:before="65" w:line="228" w:lineRule="auto"/>
              <w:ind w:left="436"/>
              <w:rPr>
                <w:sz w:val="20"/>
                <w:szCs w:val="20"/>
                <w:highlight w:val="none"/>
              </w:rPr>
            </w:pPr>
            <w:r>
              <w:rPr>
                <w:spacing w:val="7"/>
                <w:sz w:val="20"/>
                <w:szCs w:val="20"/>
                <w:highlight w:val="none"/>
              </w:rPr>
              <w:t>无障碍斜坡</w:t>
            </w:r>
          </w:p>
        </w:tc>
        <w:tc>
          <w:tcPr>
            <w:tcW w:w="6216" w:type="dxa"/>
            <w:vAlign w:val="top"/>
          </w:tcPr>
          <w:p w14:paraId="381256B9">
            <w:pPr>
              <w:pStyle w:val="144"/>
              <w:spacing w:before="198" w:line="378" w:lineRule="auto"/>
              <w:ind w:left="113" w:right="15" w:hanging="2"/>
              <w:rPr>
                <w:sz w:val="20"/>
                <w:szCs w:val="20"/>
                <w:highlight w:val="none"/>
              </w:rPr>
            </w:pPr>
            <w:r>
              <w:rPr>
                <w:spacing w:val="10"/>
                <w:sz w:val="20"/>
                <w:szCs w:val="20"/>
                <w:highlight w:val="none"/>
              </w:rPr>
              <w:t>材质：</w:t>
            </w:r>
            <w:r>
              <w:rPr>
                <w:rFonts w:ascii="Times New Roman" w:hAnsi="Times New Roman" w:eastAsia="Times New Roman" w:cs="Times New Roman"/>
                <w:sz w:val="20"/>
                <w:szCs w:val="20"/>
                <w:highlight w:val="none"/>
              </w:rPr>
              <w:t>PELD</w:t>
            </w:r>
            <w:r>
              <w:rPr>
                <w:spacing w:val="10"/>
                <w:sz w:val="20"/>
                <w:szCs w:val="20"/>
                <w:highlight w:val="none"/>
              </w:rPr>
              <w:t>及</w:t>
            </w:r>
            <w:r>
              <w:rPr>
                <w:rFonts w:ascii="Times New Roman" w:hAnsi="Times New Roman" w:eastAsia="Times New Roman" w:cs="Times New Roman"/>
                <w:sz w:val="20"/>
                <w:szCs w:val="20"/>
                <w:highlight w:val="none"/>
              </w:rPr>
              <w:t>PEHD</w:t>
            </w:r>
            <w:r>
              <w:rPr>
                <w:rFonts w:ascii="Times New Roman" w:hAnsi="Times New Roman" w:eastAsia="Times New Roman" w:cs="Times New Roman"/>
                <w:spacing w:val="29"/>
                <w:sz w:val="20"/>
                <w:szCs w:val="20"/>
                <w:highlight w:val="none"/>
              </w:rPr>
              <w:t xml:space="preserve"> </w:t>
            </w:r>
            <w:r>
              <w:rPr>
                <w:spacing w:val="10"/>
                <w:sz w:val="20"/>
                <w:szCs w:val="20"/>
                <w:highlight w:val="none"/>
              </w:rPr>
              <w:t>混合材料。性能：表面防滑设计、安全</w:t>
            </w:r>
            <w:r>
              <w:rPr>
                <w:spacing w:val="9"/>
                <w:sz w:val="20"/>
                <w:szCs w:val="20"/>
                <w:highlight w:val="none"/>
              </w:rPr>
              <w:t>性强。规格：可根据实际情况灵活进行裁剪拼接，组装简单。</w:t>
            </w:r>
          </w:p>
        </w:tc>
        <w:tc>
          <w:tcPr>
            <w:tcW w:w="1444" w:type="dxa"/>
            <w:vAlign w:val="top"/>
          </w:tcPr>
          <w:p w14:paraId="0C27BC03">
            <w:pPr>
              <w:spacing w:line="341" w:lineRule="auto"/>
              <w:rPr>
                <w:rFonts w:ascii="Arial"/>
                <w:sz w:val="21"/>
                <w:highlight w:val="none"/>
              </w:rPr>
            </w:pPr>
          </w:p>
          <w:p w14:paraId="40AB53D9">
            <w:pPr>
              <w:pStyle w:val="144"/>
              <w:spacing w:before="65" w:line="228" w:lineRule="auto"/>
              <w:ind w:left="282"/>
              <w:rPr>
                <w:sz w:val="20"/>
                <w:szCs w:val="20"/>
                <w:highlight w:val="none"/>
              </w:rPr>
            </w:pPr>
            <w:r>
              <w:rPr>
                <w:spacing w:val="2"/>
                <w:sz w:val="20"/>
                <w:szCs w:val="20"/>
                <w:highlight w:val="none"/>
              </w:rPr>
              <w:t>国产品牌</w:t>
            </w:r>
          </w:p>
        </w:tc>
      </w:tr>
      <w:tr w14:paraId="3FD87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039" w:type="dxa"/>
            <w:vAlign w:val="top"/>
          </w:tcPr>
          <w:p w14:paraId="1438130F">
            <w:pPr>
              <w:pStyle w:val="144"/>
              <w:spacing w:before="212" w:line="228" w:lineRule="auto"/>
              <w:ind w:left="538"/>
              <w:rPr>
                <w:sz w:val="20"/>
                <w:szCs w:val="20"/>
                <w:highlight w:val="none"/>
              </w:rPr>
            </w:pPr>
            <w:r>
              <w:rPr>
                <w:spacing w:val="7"/>
                <w:sz w:val="20"/>
                <w:szCs w:val="20"/>
                <w:highlight w:val="none"/>
              </w:rPr>
              <w:t>感应夜灯</w:t>
            </w:r>
          </w:p>
        </w:tc>
        <w:tc>
          <w:tcPr>
            <w:tcW w:w="6216" w:type="dxa"/>
            <w:vAlign w:val="top"/>
          </w:tcPr>
          <w:p w14:paraId="4087CF35">
            <w:pPr>
              <w:pStyle w:val="144"/>
              <w:spacing w:before="212" w:line="227" w:lineRule="auto"/>
              <w:ind w:left="110"/>
              <w:rPr>
                <w:sz w:val="20"/>
                <w:szCs w:val="20"/>
                <w:highlight w:val="none"/>
              </w:rPr>
            </w:pPr>
            <w:r>
              <w:rPr>
                <w:spacing w:val="9"/>
                <w:sz w:val="20"/>
                <w:szCs w:val="20"/>
                <w:highlight w:val="none"/>
              </w:rPr>
              <w:t>采用红外线感应装置，</w:t>
            </w:r>
            <w:r>
              <w:rPr>
                <w:rFonts w:ascii="Times New Roman" w:hAnsi="Times New Roman" w:eastAsia="Times New Roman" w:cs="Times New Roman"/>
                <w:sz w:val="20"/>
                <w:szCs w:val="20"/>
                <w:highlight w:val="none"/>
              </w:rPr>
              <w:t>LED</w:t>
            </w:r>
            <w:r>
              <w:rPr>
                <w:rFonts w:ascii="Times New Roman" w:hAnsi="Times New Roman" w:eastAsia="Times New Roman" w:cs="Times New Roman"/>
                <w:spacing w:val="9"/>
                <w:sz w:val="20"/>
                <w:szCs w:val="20"/>
                <w:highlight w:val="none"/>
              </w:rPr>
              <w:t xml:space="preserve"> </w:t>
            </w:r>
            <w:r>
              <w:rPr>
                <w:spacing w:val="9"/>
                <w:sz w:val="20"/>
                <w:szCs w:val="20"/>
                <w:highlight w:val="none"/>
              </w:rPr>
              <w:t>节能灯泡。</w:t>
            </w:r>
          </w:p>
        </w:tc>
        <w:tc>
          <w:tcPr>
            <w:tcW w:w="1444" w:type="dxa"/>
            <w:vAlign w:val="top"/>
          </w:tcPr>
          <w:p w14:paraId="39A1D6B7">
            <w:pPr>
              <w:pStyle w:val="144"/>
              <w:spacing w:before="212" w:line="228" w:lineRule="auto"/>
              <w:ind w:left="282"/>
              <w:rPr>
                <w:sz w:val="20"/>
                <w:szCs w:val="20"/>
                <w:highlight w:val="none"/>
              </w:rPr>
            </w:pPr>
            <w:r>
              <w:rPr>
                <w:spacing w:val="2"/>
                <w:sz w:val="20"/>
                <w:szCs w:val="20"/>
                <w:highlight w:val="none"/>
              </w:rPr>
              <w:t>国产品牌</w:t>
            </w:r>
          </w:p>
        </w:tc>
      </w:tr>
      <w:tr w14:paraId="32007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2039" w:type="dxa"/>
            <w:vAlign w:val="top"/>
          </w:tcPr>
          <w:p w14:paraId="7EC7F477">
            <w:pPr>
              <w:spacing w:line="291" w:lineRule="auto"/>
              <w:rPr>
                <w:rFonts w:ascii="Arial"/>
                <w:sz w:val="21"/>
                <w:highlight w:val="none"/>
              </w:rPr>
            </w:pPr>
          </w:p>
          <w:p w14:paraId="10C562E2">
            <w:pPr>
              <w:pStyle w:val="144"/>
              <w:spacing w:before="65" w:line="228" w:lineRule="auto"/>
              <w:ind w:left="644"/>
              <w:rPr>
                <w:sz w:val="20"/>
                <w:szCs w:val="20"/>
                <w:highlight w:val="none"/>
              </w:rPr>
            </w:pPr>
            <w:r>
              <w:rPr>
                <w:spacing w:val="6"/>
                <w:sz w:val="20"/>
                <w:szCs w:val="20"/>
                <w:highlight w:val="none"/>
              </w:rPr>
              <w:t>坐便器</w:t>
            </w:r>
          </w:p>
        </w:tc>
        <w:tc>
          <w:tcPr>
            <w:tcW w:w="6216" w:type="dxa"/>
            <w:vAlign w:val="top"/>
          </w:tcPr>
          <w:p w14:paraId="3AD348F4">
            <w:pPr>
              <w:pStyle w:val="144"/>
              <w:spacing w:before="147" w:line="354" w:lineRule="auto"/>
              <w:ind w:left="114"/>
              <w:rPr>
                <w:sz w:val="20"/>
                <w:szCs w:val="20"/>
                <w:highlight w:val="none"/>
              </w:rPr>
            </w:pPr>
            <w:r>
              <w:rPr>
                <w:spacing w:val="6"/>
                <w:sz w:val="20"/>
                <w:szCs w:val="20"/>
                <w:highlight w:val="none"/>
              </w:rPr>
              <w:t>建议使用连体坐便器，用水量</w:t>
            </w:r>
            <w:r>
              <w:rPr>
                <w:rFonts w:ascii="Times New Roman" w:hAnsi="Times New Roman" w:eastAsia="Times New Roman" w:cs="Times New Roman"/>
                <w:spacing w:val="6"/>
                <w:sz w:val="20"/>
                <w:szCs w:val="20"/>
                <w:highlight w:val="none"/>
              </w:rPr>
              <w:t>&lt;6L</w:t>
            </w:r>
            <w:r>
              <w:rPr>
                <w:rFonts w:hint="eastAsia" w:ascii="Times New Roman" w:hAnsi="Times New Roman" w:eastAsia="宋体" w:cs="Times New Roman"/>
                <w:spacing w:val="6"/>
                <w:sz w:val="20"/>
                <w:szCs w:val="20"/>
                <w:highlight w:val="none"/>
                <w:lang w:eastAsia="zh-CN"/>
              </w:rPr>
              <w:t>，</w:t>
            </w:r>
            <w:r>
              <w:rPr>
                <w:rFonts w:ascii="Times New Roman" w:hAnsi="Times New Roman" w:eastAsia="Times New Roman" w:cs="Times New Roman"/>
                <w:sz w:val="20"/>
                <w:szCs w:val="20"/>
                <w:highlight w:val="none"/>
              </w:rPr>
              <w:t>PP</w:t>
            </w:r>
            <w:r>
              <w:rPr>
                <w:spacing w:val="6"/>
                <w:sz w:val="20"/>
                <w:szCs w:val="20"/>
                <w:highlight w:val="none"/>
              </w:rPr>
              <w:t>缓降阻尼盖板，釉面洁</w:t>
            </w:r>
            <w:r>
              <w:rPr>
                <w:spacing w:val="8"/>
                <w:sz w:val="20"/>
                <w:szCs w:val="20"/>
                <w:highlight w:val="none"/>
              </w:rPr>
              <w:t>净平滑，排污管道内壁施釉且孔径</w:t>
            </w:r>
            <w:r>
              <w:rPr>
                <w:rFonts w:ascii="Times New Roman" w:hAnsi="Times New Roman" w:eastAsia="Times New Roman" w:cs="Times New Roman"/>
                <w:spacing w:val="8"/>
                <w:sz w:val="20"/>
                <w:szCs w:val="20"/>
                <w:highlight w:val="none"/>
              </w:rPr>
              <w:t>&gt;50</w:t>
            </w:r>
            <w:r>
              <w:rPr>
                <w:rFonts w:ascii="Times New Roman" w:hAnsi="Times New Roman" w:eastAsia="Times New Roman" w:cs="Times New Roman"/>
                <w:sz w:val="20"/>
                <w:szCs w:val="20"/>
                <w:highlight w:val="none"/>
              </w:rPr>
              <w:t>mm</w:t>
            </w:r>
            <w:r>
              <w:rPr>
                <w:rFonts w:ascii="Times New Roman" w:hAnsi="Times New Roman" w:eastAsia="Times New Roman" w:cs="Times New Roman"/>
                <w:spacing w:val="-24"/>
                <w:sz w:val="20"/>
                <w:szCs w:val="20"/>
                <w:highlight w:val="none"/>
              </w:rPr>
              <w:t xml:space="preserve"> </w:t>
            </w:r>
            <w:r>
              <w:rPr>
                <w:spacing w:val="8"/>
                <w:sz w:val="20"/>
                <w:szCs w:val="20"/>
                <w:highlight w:val="none"/>
              </w:rPr>
              <w:t>、防止</w:t>
            </w:r>
            <w:r>
              <w:rPr>
                <w:spacing w:val="7"/>
                <w:sz w:val="20"/>
                <w:szCs w:val="20"/>
                <w:highlight w:val="none"/>
              </w:rPr>
              <w:t>堵塞。</w:t>
            </w:r>
          </w:p>
        </w:tc>
        <w:tc>
          <w:tcPr>
            <w:tcW w:w="1444" w:type="dxa"/>
            <w:vAlign w:val="top"/>
          </w:tcPr>
          <w:p w14:paraId="4E32DA64">
            <w:pPr>
              <w:spacing w:line="291" w:lineRule="auto"/>
              <w:rPr>
                <w:rFonts w:ascii="Arial"/>
                <w:sz w:val="21"/>
                <w:highlight w:val="none"/>
              </w:rPr>
            </w:pPr>
          </w:p>
          <w:p w14:paraId="0F447023">
            <w:pPr>
              <w:pStyle w:val="144"/>
              <w:spacing w:before="65" w:line="228" w:lineRule="auto"/>
              <w:ind w:left="282"/>
              <w:rPr>
                <w:sz w:val="20"/>
                <w:szCs w:val="20"/>
                <w:highlight w:val="none"/>
              </w:rPr>
            </w:pPr>
            <w:r>
              <w:rPr>
                <w:spacing w:val="2"/>
                <w:sz w:val="20"/>
                <w:szCs w:val="20"/>
                <w:highlight w:val="none"/>
              </w:rPr>
              <w:t>国产品牌</w:t>
            </w:r>
          </w:p>
        </w:tc>
      </w:tr>
      <w:tr w14:paraId="05F1E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039" w:type="dxa"/>
            <w:vAlign w:val="top"/>
          </w:tcPr>
          <w:p w14:paraId="754ABC92">
            <w:pPr>
              <w:pStyle w:val="144"/>
              <w:spacing w:before="144" w:line="228" w:lineRule="auto"/>
              <w:ind w:left="433"/>
              <w:rPr>
                <w:sz w:val="20"/>
                <w:szCs w:val="20"/>
                <w:highlight w:val="none"/>
              </w:rPr>
            </w:pPr>
            <w:r>
              <w:rPr>
                <w:spacing w:val="8"/>
                <w:sz w:val="20"/>
                <w:szCs w:val="20"/>
                <w:highlight w:val="none"/>
              </w:rPr>
              <w:t>抽拉式龙头</w:t>
            </w:r>
          </w:p>
        </w:tc>
        <w:tc>
          <w:tcPr>
            <w:tcW w:w="6216" w:type="dxa"/>
            <w:vAlign w:val="top"/>
          </w:tcPr>
          <w:p w14:paraId="5E528D10">
            <w:pPr>
              <w:pStyle w:val="144"/>
              <w:spacing w:before="144" w:line="228" w:lineRule="auto"/>
              <w:ind w:left="111"/>
              <w:rPr>
                <w:sz w:val="20"/>
                <w:szCs w:val="20"/>
                <w:highlight w:val="none"/>
              </w:rPr>
            </w:pPr>
            <w:r>
              <w:rPr>
                <w:spacing w:val="8"/>
                <w:sz w:val="20"/>
                <w:szCs w:val="20"/>
                <w:highlight w:val="none"/>
              </w:rPr>
              <w:t>产品应符合国家有关标准。</w:t>
            </w:r>
          </w:p>
        </w:tc>
        <w:tc>
          <w:tcPr>
            <w:tcW w:w="1444" w:type="dxa"/>
            <w:vAlign w:val="top"/>
          </w:tcPr>
          <w:p w14:paraId="3421A9AE">
            <w:pPr>
              <w:pStyle w:val="144"/>
              <w:spacing w:before="144" w:line="228" w:lineRule="auto"/>
              <w:ind w:left="282"/>
              <w:rPr>
                <w:sz w:val="20"/>
                <w:szCs w:val="20"/>
                <w:highlight w:val="none"/>
              </w:rPr>
            </w:pPr>
            <w:r>
              <w:rPr>
                <w:spacing w:val="2"/>
                <w:sz w:val="20"/>
                <w:szCs w:val="20"/>
                <w:highlight w:val="none"/>
              </w:rPr>
              <w:t>国产品牌</w:t>
            </w:r>
          </w:p>
        </w:tc>
      </w:tr>
      <w:tr w14:paraId="41F36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2039" w:type="dxa"/>
            <w:vAlign w:val="top"/>
          </w:tcPr>
          <w:p w14:paraId="1DA1584C">
            <w:pPr>
              <w:spacing w:line="293" w:lineRule="auto"/>
              <w:rPr>
                <w:rFonts w:ascii="Arial"/>
                <w:sz w:val="21"/>
                <w:highlight w:val="none"/>
              </w:rPr>
            </w:pPr>
          </w:p>
          <w:p w14:paraId="3D567505">
            <w:pPr>
              <w:spacing w:line="293" w:lineRule="auto"/>
              <w:rPr>
                <w:rFonts w:ascii="Arial"/>
                <w:sz w:val="21"/>
                <w:highlight w:val="none"/>
              </w:rPr>
            </w:pPr>
          </w:p>
          <w:p w14:paraId="055A5245">
            <w:pPr>
              <w:spacing w:line="293" w:lineRule="auto"/>
              <w:rPr>
                <w:rFonts w:ascii="Arial"/>
                <w:sz w:val="21"/>
                <w:highlight w:val="none"/>
              </w:rPr>
            </w:pPr>
          </w:p>
          <w:p w14:paraId="0C2DD885">
            <w:pPr>
              <w:pStyle w:val="144"/>
              <w:spacing w:before="65" w:line="228" w:lineRule="auto"/>
              <w:ind w:left="642"/>
              <w:rPr>
                <w:sz w:val="20"/>
                <w:szCs w:val="20"/>
                <w:highlight w:val="none"/>
              </w:rPr>
            </w:pPr>
            <w:r>
              <w:rPr>
                <w:spacing w:val="7"/>
                <w:sz w:val="20"/>
                <w:szCs w:val="20"/>
                <w:highlight w:val="none"/>
              </w:rPr>
              <w:t>洗澡椅</w:t>
            </w:r>
          </w:p>
        </w:tc>
        <w:tc>
          <w:tcPr>
            <w:tcW w:w="6216" w:type="dxa"/>
            <w:vAlign w:val="top"/>
          </w:tcPr>
          <w:p w14:paraId="3A8FDE44">
            <w:pPr>
              <w:pStyle w:val="144"/>
              <w:spacing w:before="107" w:line="367" w:lineRule="auto"/>
              <w:ind w:left="107" w:firstLine="3"/>
              <w:jc w:val="both"/>
              <w:rPr>
                <w:sz w:val="20"/>
                <w:szCs w:val="20"/>
                <w:highlight w:val="none"/>
              </w:rPr>
            </w:pPr>
            <w:r>
              <w:rPr>
                <w:spacing w:val="5"/>
                <w:sz w:val="20"/>
                <w:szCs w:val="20"/>
                <w:highlight w:val="none"/>
              </w:rPr>
              <w:t>椅架为铝合金材质，座板、背靠板为</w:t>
            </w:r>
            <w:r>
              <w:rPr>
                <w:spacing w:val="-34"/>
                <w:sz w:val="20"/>
                <w:szCs w:val="20"/>
                <w:highlight w:val="none"/>
              </w:rPr>
              <w:t xml:space="preserve"> </w:t>
            </w:r>
            <w:r>
              <w:rPr>
                <w:rFonts w:ascii="Times New Roman" w:hAnsi="Times New Roman" w:eastAsia="Times New Roman" w:cs="Times New Roman"/>
                <w:sz w:val="20"/>
                <w:szCs w:val="20"/>
                <w:highlight w:val="none"/>
              </w:rPr>
              <w:t>PE</w:t>
            </w:r>
            <w:r>
              <w:rPr>
                <w:rFonts w:ascii="Times New Roman" w:hAnsi="Times New Roman" w:eastAsia="Times New Roman" w:cs="Times New Roman"/>
                <w:spacing w:val="15"/>
                <w:w w:val="101"/>
                <w:sz w:val="20"/>
                <w:szCs w:val="20"/>
                <w:highlight w:val="none"/>
              </w:rPr>
              <w:t xml:space="preserve"> </w:t>
            </w:r>
            <w:r>
              <w:rPr>
                <w:spacing w:val="5"/>
                <w:sz w:val="20"/>
                <w:szCs w:val="20"/>
                <w:highlight w:val="none"/>
              </w:rPr>
              <w:t>材质，座面板、坐垫为</w:t>
            </w:r>
            <w:r>
              <w:rPr>
                <w:rFonts w:ascii="Times New Roman" w:hAnsi="Times New Roman" w:eastAsia="Times New Roman" w:cs="Times New Roman"/>
                <w:sz w:val="20"/>
                <w:szCs w:val="20"/>
                <w:highlight w:val="none"/>
              </w:rPr>
              <w:t>EVA</w:t>
            </w:r>
            <w:r>
              <w:rPr>
                <w:rFonts w:ascii="Times New Roman" w:hAnsi="Times New Roman" w:eastAsia="Times New Roman" w:cs="Times New Roman"/>
                <w:spacing w:val="9"/>
                <w:sz w:val="20"/>
                <w:szCs w:val="20"/>
                <w:highlight w:val="none"/>
              </w:rPr>
              <w:t xml:space="preserve"> </w:t>
            </w:r>
            <w:r>
              <w:rPr>
                <w:spacing w:val="9"/>
                <w:sz w:val="20"/>
                <w:szCs w:val="20"/>
                <w:highlight w:val="none"/>
              </w:rPr>
              <w:t>材质，管端管塞、扶手为</w:t>
            </w:r>
            <w:r>
              <w:rPr>
                <w:spacing w:val="-30"/>
                <w:sz w:val="20"/>
                <w:szCs w:val="20"/>
                <w:highlight w:val="none"/>
              </w:rPr>
              <w:t xml:space="preserve"> </w:t>
            </w:r>
            <w:r>
              <w:rPr>
                <w:rFonts w:ascii="Times New Roman" w:hAnsi="Times New Roman" w:eastAsia="Times New Roman" w:cs="Times New Roman"/>
                <w:sz w:val="20"/>
                <w:szCs w:val="20"/>
                <w:highlight w:val="none"/>
              </w:rPr>
              <w:t>PP</w:t>
            </w:r>
            <w:r>
              <w:rPr>
                <w:rFonts w:ascii="Times New Roman" w:hAnsi="Times New Roman" w:eastAsia="Times New Roman" w:cs="Times New Roman"/>
                <w:spacing w:val="9"/>
                <w:sz w:val="20"/>
                <w:szCs w:val="20"/>
                <w:highlight w:val="none"/>
              </w:rPr>
              <w:t xml:space="preserve"> </w:t>
            </w:r>
            <w:r>
              <w:rPr>
                <w:spacing w:val="9"/>
                <w:sz w:val="20"/>
                <w:szCs w:val="20"/>
                <w:highlight w:val="none"/>
              </w:rPr>
              <w:t>材质，底塞为</w:t>
            </w:r>
            <w:r>
              <w:rPr>
                <w:rFonts w:ascii="Times New Roman" w:hAnsi="Times New Roman" w:eastAsia="Times New Roman" w:cs="Times New Roman"/>
                <w:sz w:val="20"/>
                <w:szCs w:val="20"/>
                <w:highlight w:val="none"/>
              </w:rPr>
              <w:t>EOE</w:t>
            </w:r>
            <w:r>
              <w:rPr>
                <w:spacing w:val="9"/>
                <w:sz w:val="20"/>
                <w:szCs w:val="20"/>
                <w:highlight w:val="none"/>
              </w:rPr>
              <w:t>材质，</w:t>
            </w:r>
            <w:r>
              <w:rPr>
                <w:spacing w:val="7"/>
                <w:sz w:val="20"/>
                <w:szCs w:val="20"/>
                <w:highlight w:val="none"/>
              </w:rPr>
              <w:t>连接件为尼龙，座椅高度</w:t>
            </w:r>
            <w:r>
              <w:rPr>
                <w:spacing w:val="-37"/>
                <w:sz w:val="20"/>
                <w:szCs w:val="20"/>
                <w:highlight w:val="none"/>
              </w:rPr>
              <w:t xml:space="preserve"> </w:t>
            </w:r>
            <w:r>
              <w:rPr>
                <w:rFonts w:ascii="Times New Roman" w:hAnsi="Times New Roman" w:eastAsia="Times New Roman" w:cs="Times New Roman"/>
                <w:spacing w:val="7"/>
                <w:sz w:val="20"/>
                <w:szCs w:val="20"/>
                <w:highlight w:val="none"/>
              </w:rPr>
              <w:t xml:space="preserve">3 </w:t>
            </w:r>
            <w:r>
              <w:rPr>
                <w:spacing w:val="7"/>
                <w:sz w:val="20"/>
                <w:szCs w:val="20"/>
                <w:highlight w:val="none"/>
              </w:rPr>
              <w:t>段可调节、座面尺寸</w:t>
            </w:r>
            <w:r>
              <w:rPr>
                <w:spacing w:val="-41"/>
                <w:sz w:val="20"/>
                <w:szCs w:val="20"/>
                <w:highlight w:val="none"/>
              </w:rPr>
              <w:t xml:space="preserve"> </w:t>
            </w:r>
            <w:r>
              <w:rPr>
                <w:rFonts w:ascii="Times New Roman" w:hAnsi="Times New Roman" w:eastAsia="Times New Roman" w:cs="Times New Roman"/>
                <w:spacing w:val="7"/>
                <w:sz w:val="20"/>
                <w:szCs w:val="20"/>
                <w:highlight w:val="none"/>
              </w:rPr>
              <w:t>420</w:t>
            </w:r>
            <w:r>
              <w:rPr>
                <w:rFonts w:ascii="Times New Roman" w:hAnsi="Times New Roman" w:eastAsia="Times New Roman" w:cs="Times New Roman"/>
                <w:spacing w:val="6"/>
                <w:sz w:val="20"/>
                <w:szCs w:val="20"/>
                <w:highlight w:val="none"/>
              </w:rPr>
              <w:t>x360,</w:t>
            </w:r>
            <w:r>
              <w:rPr>
                <w:spacing w:val="6"/>
                <w:sz w:val="20"/>
                <w:szCs w:val="20"/>
                <w:highlight w:val="none"/>
              </w:rPr>
              <w:t>折</w:t>
            </w:r>
            <w:r>
              <w:rPr>
                <w:spacing w:val="3"/>
                <w:sz w:val="20"/>
                <w:szCs w:val="20"/>
                <w:highlight w:val="none"/>
              </w:rPr>
              <w:t xml:space="preserve">叠时可自行站立。扶手可抬起 </w:t>
            </w:r>
            <w:r>
              <w:rPr>
                <w:rFonts w:ascii="Times New Roman" w:hAnsi="Times New Roman" w:eastAsia="Times New Roman" w:cs="Times New Roman"/>
                <w:spacing w:val="3"/>
                <w:sz w:val="20"/>
                <w:szCs w:val="20"/>
                <w:highlight w:val="none"/>
              </w:rPr>
              <w:t>(</w:t>
            </w:r>
            <w:r>
              <w:rPr>
                <w:spacing w:val="3"/>
                <w:sz w:val="20"/>
                <w:szCs w:val="20"/>
                <w:highlight w:val="none"/>
              </w:rPr>
              <w:t>如有</w:t>
            </w:r>
            <w:r>
              <w:rPr>
                <w:rFonts w:ascii="Times New Roman" w:hAnsi="Times New Roman" w:eastAsia="Times New Roman" w:cs="Times New Roman"/>
                <w:spacing w:val="3"/>
                <w:sz w:val="20"/>
                <w:szCs w:val="20"/>
                <w:highlight w:val="none"/>
              </w:rPr>
              <w:t>)</w:t>
            </w:r>
            <w:r>
              <w:rPr>
                <w:spacing w:val="3"/>
                <w:sz w:val="20"/>
                <w:szCs w:val="20"/>
                <w:highlight w:val="none"/>
              </w:rPr>
              <w:t>连接螺丝、垫片均为</w:t>
            </w:r>
            <w:r>
              <w:rPr>
                <w:spacing w:val="-32"/>
                <w:sz w:val="20"/>
                <w:szCs w:val="20"/>
                <w:highlight w:val="none"/>
              </w:rPr>
              <w:t xml:space="preserve"> </w:t>
            </w:r>
            <w:r>
              <w:rPr>
                <w:rFonts w:ascii="Times New Roman" w:hAnsi="Times New Roman" w:eastAsia="Times New Roman" w:cs="Times New Roman"/>
                <w:spacing w:val="3"/>
                <w:sz w:val="20"/>
                <w:szCs w:val="20"/>
                <w:highlight w:val="none"/>
              </w:rPr>
              <w:t>304</w:t>
            </w:r>
            <w:r>
              <w:rPr>
                <w:spacing w:val="8"/>
                <w:sz w:val="20"/>
                <w:szCs w:val="20"/>
                <w:highlight w:val="none"/>
              </w:rPr>
              <w:t>不锈钢材质，承重力</w:t>
            </w:r>
            <w:r>
              <w:rPr>
                <w:rFonts w:ascii="Times New Roman" w:hAnsi="Times New Roman" w:eastAsia="Times New Roman" w:cs="Times New Roman"/>
                <w:spacing w:val="8"/>
                <w:sz w:val="20"/>
                <w:szCs w:val="20"/>
                <w:highlight w:val="none"/>
              </w:rPr>
              <w:t>&gt;100</w:t>
            </w:r>
            <w:r>
              <w:rPr>
                <w:rFonts w:ascii="Times New Roman" w:hAnsi="Times New Roman" w:eastAsia="Times New Roman" w:cs="Times New Roman"/>
                <w:sz w:val="20"/>
                <w:szCs w:val="20"/>
                <w:highlight w:val="none"/>
              </w:rPr>
              <w:t>kg</w:t>
            </w:r>
            <w:r>
              <w:rPr>
                <w:spacing w:val="8"/>
                <w:sz w:val="20"/>
                <w:szCs w:val="20"/>
                <w:highlight w:val="none"/>
              </w:rPr>
              <w:t>。</w:t>
            </w:r>
          </w:p>
        </w:tc>
        <w:tc>
          <w:tcPr>
            <w:tcW w:w="1444" w:type="dxa"/>
            <w:vAlign w:val="top"/>
          </w:tcPr>
          <w:p w14:paraId="2C1C5452">
            <w:pPr>
              <w:spacing w:line="292" w:lineRule="auto"/>
              <w:rPr>
                <w:rFonts w:ascii="Arial"/>
                <w:sz w:val="21"/>
                <w:highlight w:val="none"/>
              </w:rPr>
            </w:pPr>
          </w:p>
          <w:p w14:paraId="2EFBF5AE">
            <w:pPr>
              <w:spacing w:line="293" w:lineRule="auto"/>
              <w:rPr>
                <w:rFonts w:ascii="Arial"/>
                <w:sz w:val="21"/>
                <w:highlight w:val="none"/>
              </w:rPr>
            </w:pPr>
          </w:p>
          <w:p w14:paraId="7CB672E5">
            <w:pPr>
              <w:spacing w:line="293" w:lineRule="auto"/>
              <w:rPr>
                <w:rFonts w:ascii="Arial"/>
                <w:sz w:val="21"/>
                <w:highlight w:val="none"/>
              </w:rPr>
            </w:pPr>
          </w:p>
          <w:p w14:paraId="22E3A804">
            <w:pPr>
              <w:pStyle w:val="144"/>
              <w:spacing w:before="65" w:line="228" w:lineRule="auto"/>
              <w:ind w:left="282"/>
              <w:rPr>
                <w:sz w:val="20"/>
                <w:szCs w:val="20"/>
                <w:highlight w:val="none"/>
              </w:rPr>
            </w:pPr>
            <w:r>
              <w:rPr>
                <w:spacing w:val="2"/>
                <w:sz w:val="20"/>
                <w:szCs w:val="20"/>
                <w:highlight w:val="none"/>
              </w:rPr>
              <w:t>国产品牌</w:t>
            </w:r>
          </w:p>
        </w:tc>
      </w:tr>
      <w:tr w14:paraId="33232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2039" w:type="dxa"/>
            <w:vAlign w:val="top"/>
          </w:tcPr>
          <w:p w14:paraId="4506A2B8">
            <w:pPr>
              <w:pStyle w:val="144"/>
              <w:spacing w:before="204" w:line="228" w:lineRule="auto"/>
              <w:ind w:left="751"/>
              <w:rPr>
                <w:sz w:val="20"/>
                <w:szCs w:val="20"/>
                <w:highlight w:val="none"/>
              </w:rPr>
            </w:pPr>
            <w:r>
              <w:rPr>
                <w:spacing w:val="3"/>
                <w:sz w:val="20"/>
                <w:szCs w:val="20"/>
                <w:highlight w:val="none"/>
              </w:rPr>
              <w:t>水管</w:t>
            </w:r>
          </w:p>
        </w:tc>
        <w:tc>
          <w:tcPr>
            <w:tcW w:w="6216" w:type="dxa"/>
            <w:vAlign w:val="top"/>
          </w:tcPr>
          <w:p w14:paraId="6456D73B">
            <w:pPr>
              <w:pStyle w:val="144"/>
              <w:spacing w:before="204" w:line="228" w:lineRule="auto"/>
              <w:ind w:left="111"/>
              <w:rPr>
                <w:sz w:val="20"/>
                <w:szCs w:val="20"/>
                <w:highlight w:val="none"/>
              </w:rPr>
            </w:pPr>
            <w:r>
              <w:rPr>
                <w:spacing w:val="8"/>
                <w:sz w:val="20"/>
                <w:szCs w:val="20"/>
                <w:highlight w:val="none"/>
              </w:rPr>
              <w:t>产品应符合国家有关标准。</w:t>
            </w:r>
          </w:p>
        </w:tc>
        <w:tc>
          <w:tcPr>
            <w:tcW w:w="1444" w:type="dxa"/>
            <w:vAlign w:val="top"/>
          </w:tcPr>
          <w:p w14:paraId="581CCE49">
            <w:pPr>
              <w:pStyle w:val="144"/>
              <w:spacing w:before="204" w:line="228" w:lineRule="auto"/>
              <w:ind w:left="282"/>
              <w:rPr>
                <w:sz w:val="20"/>
                <w:szCs w:val="20"/>
                <w:highlight w:val="none"/>
              </w:rPr>
            </w:pPr>
            <w:r>
              <w:rPr>
                <w:spacing w:val="2"/>
                <w:sz w:val="20"/>
                <w:szCs w:val="20"/>
                <w:highlight w:val="none"/>
              </w:rPr>
              <w:t>国产品牌</w:t>
            </w:r>
          </w:p>
        </w:tc>
      </w:tr>
      <w:tr w14:paraId="37C08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2039" w:type="dxa"/>
            <w:vAlign w:val="top"/>
          </w:tcPr>
          <w:p w14:paraId="24A2486B">
            <w:pPr>
              <w:spacing w:line="255" w:lineRule="auto"/>
              <w:rPr>
                <w:rFonts w:ascii="Arial"/>
                <w:sz w:val="21"/>
                <w:highlight w:val="none"/>
              </w:rPr>
            </w:pPr>
          </w:p>
          <w:p w14:paraId="1E10AE26">
            <w:pPr>
              <w:pStyle w:val="144"/>
              <w:spacing w:before="65" w:line="228" w:lineRule="auto"/>
              <w:ind w:left="773"/>
              <w:rPr>
                <w:sz w:val="20"/>
                <w:szCs w:val="20"/>
                <w:highlight w:val="none"/>
              </w:rPr>
            </w:pPr>
            <w:r>
              <w:rPr>
                <w:spacing w:val="-8"/>
                <w:sz w:val="20"/>
                <w:szCs w:val="20"/>
                <w:highlight w:val="none"/>
              </w:rPr>
              <w:t>电线</w:t>
            </w:r>
          </w:p>
        </w:tc>
        <w:tc>
          <w:tcPr>
            <w:tcW w:w="6216" w:type="dxa"/>
            <w:vAlign w:val="top"/>
          </w:tcPr>
          <w:p w14:paraId="3D6BAF62">
            <w:pPr>
              <w:pStyle w:val="144"/>
              <w:spacing w:before="109" w:line="337" w:lineRule="auto"/>
              <w:ind w:left="111"/>
              <w:rPr>
                <w:sz w:val="20"/>
                <w:szCs w:val="20"/>
                <w:highlight w:val="none"/>
              </w:rPr>
            </w:pPr>
            <w:r>
              <w:rPr>
                <w:spacing w:val="11"/>
                <w:sz w:val="20"/>
                <w:szCs w:val="20"/>
                <w:highlight w:val="none"/>
              </w:rPr>
              <w:t>产品应符合国家有关标准，线路为明装套管，开关应采用大面</w:t>
            </w:r>
            <w:r>
              <w:rPr>
                <w:spacing w:val="9"/>
                <w:sz w:val="20"/>
                <w:szCs w:val="20"/>
                <w:highlight w:val="none"/>
              </w:rPr>
              <w:t>版且带夜光、灯具应为具备节能</w:t>
            </w:r>
            <w:r>
              <w:rPr>
                <w:spacing w:val="-37"/>
                <w:sz w:val="20"/>
                <w:szCs w:val="20"/>
                <w:highlight w:val="none"/>
              </w:rPr>
              <w:t xml:space="preserve"> </w:t>
            </w:r>
            <w:r>
              <w:rPr>
                <w:rFonts w:ascii="Times New Roman" w:hAnsi="Times New Roman" w:eastAsia="Times New Roman" w:cs="Times New Roman"/>
                <w:sz w:val="20"/>
                <w:szCs w:val="20"/>
                <w:highlight w:val="none"/>
              </w:rPr>
              <w:t>LED</w:t>
            </w:r>
            <w:r>
              <w:rPr>
                <w:rFonts w:ascii="Times New Roman" w:hAnsi="Times New Roman" w:eastAsia="Times New Roman" w:cs="Times New Roman"/>
                <w:spacing w:val="9"/>
                <w:sz w:val="20"/>
                <w:szCs w:val="20"/>
                <w:highlight w:val="none"/>
              </w:rPr>
              <w:t xml:space="preserve"> </w:t>
            </w:r>
            <w:r>
              <w:rPr>
                <w:spacing w:val="9"/>
                <w:sz w:val="20"/>
                <w:szCs w:val="20"/>
                <w:highlight w:val="none"/>
              </w:rPr>
              <w:t>灯泡等要求。</w:t>
            </w:r>
          </w:p>
        </w:tc>
        <w:tc>
          <w:tcPr>
            <w:tcW w:w="1444" w:type="dxa"/>
            <w:vAlign w:val="top"/>
          </w:tcPr>
          <w:p w14:paraId="63ADF255">
            <w:pPr>
              <w:spacing w:line="254" w:lineRule="auto"/>
              <w:rPr>
                <w:rFonts w:ascii="Arial"/>
                <w:sz w:val="21"/>
                <w:highlight w:val="none"/>
              </w:rPr>
            </w:pPr>
          </w:p>
          <w:p w14:paraId="53427791">
            <w:pPr>
              <w:pStyle w:val="144"/>
              <w:spacing w:before="65" w:line="228" w:lineRule="auto"/>
              <w:ind w:left="282"/>
              <w:rPr>
                <w:sz w:val="20"/>
                <w:szCs w:val="20"/>
                <w:highlight w:val="none"/>
              </w:rPr>
            </w:pPr>
            <w:r>
              <w:rPr>
                <w:spacing w:val="2"/>
                <w:sz w:val="20"/>
                <w:szCs w:val="20"/>
                <w:highlight w:val="none"/>
              </w:rPr>
              <w:t>国产品牌</w:t>
            </w:r>
          </w:p>
        </w:tc>
      </w:tr>
      <w:tr w14:paraId="324F9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2039" w:type="dxa"/>
            <w:vAlign w:val="top"/>
          </w:tcPr>
          <w:p w14:paraId="06283808">
            <w:pPr>
              <w:spacing w:line="338" w:lineRule="auto"/>
              <w:rPr>
                <w:rFonts w:ascii="Arial"/>
                <w:sz w:val="21"/>
                <w:highlight w:val="none"/>
              </w:rPr>
            </w:pPr>
          </w:p>
          <w:p w14:paraId="5120E990">
            <w:pPr>
              <w:pStyle w:val="144"/>
              <w:spacing w:before="65" w:line="229" w:lineRule="auto"/>
              <w:ind w:left="538"/>
              <w:rPr>
                <w:sz w:val="20"/>
                <w:szCs w:val="20"/>
                <w:highlight w:val="none"/>
              </w:rPr>
            </w:pPr>
            <w:r>
              <w:rPr>
                <w:spacing w:val="7"/>
                <w:sz w:val="20"/>
                <w:szCs w:val="20"/>
                <w:highlight w:val="none"/>
              </w:rPr>
              <w:t>整体卫浴</w:t>
            </w:r>
          </w:p>
        </w:tc>
        <w:tc>
          <w:tcPr>
            <w:tcW w:w="6216" w:type="dxa"/>
            <w:vAlign w:val="top"/>
          </w:tcPr>
          <w:p w14:paraId="74BDCE41">
            <w:pPr>
              <w:pStyle w:val="144"/>
              <w:spacing w:before="193" w:line="374" w:lineRule="auto"/>
              <w:ind w:left="130" w:hanging="19"/>
              <w:rPr>
                <w:sz w:val="20"/>
                <w:szCs w:val="20"/>
                <w:highlight w:val="none"/>
              </w:rPr>
            </w:pPr>
            <w:r>
              <w:rPr>
                <w:spacing w:val="11"/>
                <w:sz w:val="20"/>
                <w:szCs w:val="20"/>
                <w:highlight w:val="none"/>
              </w:rPr>
              <w:t>应具备如厕、沐浴功能，配置坐便器、手持花洒、洗手盆</w:t>
            </w:r>
            <w:r>
              <w:rPr>
                <w:spacing w:val="10"/>
                <w:sz w:val="20"/>
                <w:szCs w:val="20"/>
                <w:highlight w:val="none"/>
              </w:rPr>
              <w:t>、照</w:t>
            </w:r>
            <w:r>
              <w:rPr>
                <w:spacing w:val="8"/>
                <w:sz w:val="20"/>
                <w:szCs w:val="20"/>
                <w:highlight w:val="none"/>
              </w:rPr>
              <w:t>明、排风、安装扶手、地面防滑等适用于老年人使用。</w:t>
            </w:r>
          </w:p>
        </w:tc>
        <w:tc>
          <w:tcPr>
            <w:tcW w:w="1444" w:type="dxa"/>
            <w:vAlign w:val="top"/>
          </w:tcPr>
          <w:p w14:paraId="06968938">
            <w:pPr>
              <w:spacing w:line="337" w:lineRule="auto"/>
              <w:rPr>
                <w:rFonts w:ascii="Arial"/>
                <w:sz w:val="21"/>
                <w:highlight w:val="none"/>
              </w:rPr>
            </w:pPr>
          </w:p>
          <w:p w14:paraId="33CFE5D3">
            <w:pPr>
              <w:pStyle w:val="144"/>
              <w:spacing w:before="65" w:line="228" w:lineRule="auto"/>
              <w:ind w:left="282"/>
              <w:rPr>
                <w:sz w:val="20"/>
                <w:szCs w:val="20"/>
                <w:highlight w:val="none"/>
              </w:rPr>
            </w:pPr>
            <w:r>
              <w:rPr>
                <w:spacing w:val="2"/>
                <w:sz w:val="20"/>
                <w:szCs w:val="20"/>
                <w:highlight w:val="none"/>
              </w:rPr>
              <w:t>国产品牌</w:t>
            </w:r>
          </w:p>
        </w:tc>
      </w:tr>
      <w:tr w14:paraId="404D1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039" w:type="dxa"/>
            <w:vAlign w:val="top"/>
          </w:tcPr>
          <w:p w14:paraId="5B8595D9">
            <w:pPr>
              <w:pStyle w:val="144"/>
              <w:spacing w:before="264" w:line="229" w:lineRule="auto"/>
              <w:ind w:left="751"/>
              <w:rPr>
                <w:sz w:val="20"/>
                <w:szCs w:val="20"/>
                <w:highlight w:val="none"/>
              </w:rPr>
            </w:pPr>
            <w:r>
              <w:rPr>
                <w:spacing w:val="3"/>
                <w:sz w:val="20"/>
                <w:szCs w:val="20"/>
                <w:highlight w:val="none"/>
              </w:rPr>
              <w:t>备注</w:t>
            </w:r>
          </w:p>
        </w:tc>
        <w:tc>
          <w:tcPr>
            <w:tcW w:w="7660" w:type="dxa"/>
            <w:gridSpan w:val="2"/>
            <w:vAlign w:val="top"/>
          </w:tcPr>
          <w:p w14:paraId="3E3AABA5">
            <w:pPr>
              <w:pStyle w:val="144"/>
              <w:spacing w:before="264" w:line="228" w:lineRule="auto"/>
              <w:ind w:left="2035"/>
              <w:rPr>
                <w:sz w:val="20"/>
                <w:szCs w:val="20"/>
                <w:highlight w:val="none"/>
              </w:rPr>
            </w:pPr>
            <w:r>
              <w:rPr>
                <w:spacing w:val="7"/>
                <w:sz w:val="20"/>
                <w:szCs w:val="20"/>
                <w:highlight w:val="none"/>
              </w:rPr>
              <w:t>以上商品均应符合国家有关标准。</w:t>
            </w:r>
          </w:p>
        </w:tc>
      </w:tr>
    </w:tbl>
    <w:p w14:paraId="5F4017AA">
      <w:pPr>
        <w:spacing w:line="550" w:lineRule="exact"/>
        <w:rPr>
          <w:rFonts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三、商务要求</w:t>
      </w:r>
    </w:p>
    <w:p w14:paraId="0E0A2126">
      <w:pPr>
        <w:spacing w:line="55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1、结算说明：适老化改造：按照成交清单报价结算，每户清单报价合计超过</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农村2000元、城镇4000元</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，按照</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农村2000元、城镇4000元</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结算，不足</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农村2000元、城镇4000元</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，按照实际金额结算，结算总金额不超过成交总价；</w:t>
      </w:r>
    </w:p>
    <w:p w14:paraId="7A4C3214">
      <w:pPr>
        <w:spacing w:line="50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r>
        <w:rPr>
          <w:rFonts w:hint="eastAsia" w:ascii="宋体" w:hAnsi="宋体" w:eastAsia="宋体" w:cs="宋体"/>
          <w:color w:val="000000" w:themeColor="text1"/>
          <w:szCs w:val="24"/>
          <w:highlight w:val="none"/>
          <w:lang w:val="en-US" w:eastAsia="zh-CN"/>
          <w14:textFill>
            <w14:solidFill>
              <w14:schemeClr w14:val="tx1"/>
            </w14:solidFill>
          </w14:textFill>
        </w:rPr>
        <w:t>工期</w:t>
      </w:r>
      <w:r>
        <w:rPr>
          <w:rFonts w:hint="eastAsia" w:ascii="宋体" w:hAnsi="宋体" w:eastAsia="宋体" w:cs="宋体"/>
          <w:color w:val="000000" w:themeColor="text1"/>
          <w:szCs w:val="24"/>
          <w:highlight w:val="none"/>
          <w14:textFill>
            <w14:solidFill>
              <w14:schemeClr w14:val="tx1"/>
            </w14:solidFill>
          </w14:textFill>
        </w:rPr>
        <w:t>：</w:t>
      </w:r>
      <w:r>
        <w:rPr>
          <w:rStyle w:val="40"/>
          <w:rFonts w:hint="eastAsia" w:ascii="宋体" w:hAnsi="宋体" w:eastAsia="宋体" w:cs="宋体"/>
          <w:b w:val="0"/>
          <w:bCs w:val="0"/>
          <w:szCs w:val="24"/>
          <w:highlight w:val="none"/>
          <w:shd w:val="clear" w:color="auto" w:fill="FFFFFF"/>
        </w:rPr>
        <w:t>自签订合同之日起</w:t>
      </w:r>
      <w:r>
        <w:rPr>
          <w:rStyle w:val="40"/>
          <w:rFonts w:hint="eastAsia" w:ascii="宋体" w:hAnsi="宋体" w:eastAsia="宋体" w:cs="宋体"/>
          <w:b w:val="0"/>
          <w:bCs w:val="0"/>
          <w:szCs w:val="24"/>
          <w:highlight w:val="none"/>
          <w:shd w:val="clear" w:color="auto" w:fill="FFFFFF"/>
          <w:lang w:val="en-US" w:eastAsia="zh-CN"/>
        </w:rPr>
        <w:t>30</w:t>
      </w:r>
      <w:r>
        <w:rPr>
          <w:rStyle w:val="40"/>
          <w:rFonts w:hint="eastAsia" w:ascii="宋体" w:hAnsi="宋体" w:eastAsia="宋体" w:cs="宋体"/>
          <w:b w:val="0"/>
          <w:bCs w:val="0"/>
          <w:szCs w:val="24"/>
          <w:highlight w:val="none"/>
          <w:shd w:val="clear" w:color="auto" w:fill="FFFFFF"/>
        </w:rPr>
        <w:t>日历天</w:t>
      </w:r>
    </w:p>
    <w:p w14:paraId="59698805">
      <w:pPr>
        <w:spacing w:line="55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szCs w:val="24"/>
          <w:highlight w:val="none"/>
          <w:shd w:val="clear" w:color="auto" w:fill="FFFFFF"/>
          <w:lang w:val="en-US" w:eastAsia="zh-CN"/>
        </w:rPr>
        <w:t>3</w:t>
      </w:r>
      <w:r>
        <w:rPr>
          <w:rFonts w:hint="eastAsia" w:ascii="宋体" w:hAnsi="宋体" w:eastAsia="宋体" w:cs="宋体"/>
          <w:szCs w:val="24"/>
          <w:highlight w:val="none"/>
          <w:shd w:val="clear" w:color="auto" w:fill="FFFFFF"/>
        </w:rPr>
        <w:t>、质保期：</w:t>
      </w:r>
      <w:r>
        <w:rPr>
          <w:rFonts w:hint="eastAsia" w:ascii="宋体" w:hAnsi="宋体" w:eastAsia="宋体" w:cs="宋体"/>
          <w:color w:val="000000"/>
          <w:szCs w:val="24"/>
          <w:highlight w:val="none"/>
          <w:lang w:bidi="ar"/>
        </w:rPr>
        <w:t>项目验收合格后起1年</w:t>
      </w:r>
    </w:p>
    <w:p w14:paraId="04E13F99">
      <w:pPr>
        <w:spacing w:line="55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、质量标准：</w:t>
      </w:r>
      <w:r>
        <w:rPr>
          <w:rFonts w:hint="eastAsia" w:ascii="宋体" w:hAnsi="宋体" w:eastAsia="宋体" w:cs="宋体"/>
          <w:color w:val="000000" w:themeColor="text1"/>
          <w:szCs w:val="24"/>
          <w:highlight w:val="none"/>
          <w:lang w:val="en-US" w:eastAsia="zh-CN"/>
          <w14:textFill>
            <w14:solidFill>
              <w14:schemeClr w14:val="tx1"/>
            </w14:solidFill>
          </w14:textFill>
        </w:rPr>
        <w:t>达到国家规定的</w:t>
      </w:r>
      <w:r>
        <w:rPr>
          <w:rFonts w:hint="eastAsia" w:ascii="宋体" w:hAnsi="宋体" w:eastAsia="宋体" w:cs="宋体"/>
          <w:color w:val="000000" w:themeColor="text1"/>
          <w:szCs w:val="24"/>
          <w:highlight w:val="none"/>
          <w14:textFill>
            <w14:solidFill>
              <w14:schemeClr w14:val="tx1"/>
            </w14:solidFill>
          </w14:textFill>
        </w:rPr>
        <w:t>合格</w:t>
      </w:r>
      <w:r>
        <w:rPr>
          <w:rFonts w:hint="eastAsia" w:ascii="宋体" w:hAnsi="宋体" w:eastAsia="宋体" w:cs="宋体"/>
          <w:color w:val="000000" w:themeColor="text1"/>
          <w:szCs w:val="24"/>
          <w:highlight w:val="none"/>
          <w:lang w:val="en-US" w:eastAsia="zh-CN"/>
          <w14:textFill>
            <w14:solidFill>
              <w14:schemeClr w14:val="tx1"/>
            </w14:solidFill>
          </w14:textFill>
        </w:rPr>
        <w:t>标准</w:t>
      </w:r>
      <w:r>
        <w:rPr>
          <w:rFonts w:hint="eastAsia" w:ascii="宋体" w:hAnsi="宋体" w:eastAsia="宋体" w:cs="宋体"/>
          <w:color w:val="000000" w:themeColor="text1"/>
          <w:szCs w:val="24"/>
          <w:highlight w:val="none"/>
          <w14:textFill>
            <w14:solidFill>
              <w14:schemeClr w14:val="tx1"/>
            </w14:solidFill>
          </w14:textFill>
        </w:rPr>
        <w:t>。</w:t>
      </w:r>
    </w:p>
    <w:p w14:paraId="71773F78">
      <w:pPr>
        <w:spacing w:line="550" w:lineRule="exact"/>
        <w:ind w:firstLine="48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5、付款方式：</w:t>
      </w:r>
      <w:r>
        <w:rPr>
          <w:rFonts w:hint="eastAsia" w:ascii="宋体" w:hAnsi="宋体" w:eastAsia="宋体" w:cs="宋体"/>
          <w:color w:val="000000" w:themeColor="text1"/>
          <w:szCs w:val="24"/>
          <w:highlight w:val="none"/>
          <w:lang w:val="en-US" w:eastAsia="zh-CN"/>
          <w14:textFill>
            <w14:solidFill>
              <w14:schemeClr w14:val="tx1"/>
            </w14:solidFill>
          </w14:textFill>
        </w:rPr>
        <w:t>项目验收合格后支付合同价款的90%，质保期满后支付剩余10%。</w:t>
      </w:r>
    </w:p>
    <w:p w14:paraId="3DD9B1CD">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bookmarkStart w:id="57" w:name="bookmark20"/>
      <w:bookmarkEnd w:id="57"/>
      <w:bookmarkStart w:id="58" w:name="_Toc129703223"/>
      <w:bookmarkStart w:id="59" w:name="_Toc1636"/>
      <w:bookmarkStart w:id="60" w:name="_Toc13824"/>
    </w:p>
    <w:p w14:paraId="37A51339">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1BF9F1BD">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3845D744">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20A11CCC">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1495BE44">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0F813BE5">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086065DA">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2BA2C7E9">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7AABC399">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685A5A17">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07008D54">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7E9A86FE">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2E28241C">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2ED918F1">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0AFD614E">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38AA4B80">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46EE5099">
      <w:pPr>
        <w:tabs>
          <w:tab w:val="left" w:pos="1080"/>
          <w:tab w:val="left" w:pos="1155"/>
        </w:tabs>
        <w:spacing w:line="52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31EB95DC">
      <w:pPr>
        <w:tabs>
          <w:tab w:val="left" w:pos="1080"/>
          <w:tab w:val="left" w:pos="1155"/>
        </w:tabs>
        <w:spacing w:line="520" w:lineRule="exact"/>
        <w:jc w:val="center"/>
        <w:outlineLvl w:val="0"/>
        <w:rPr>
          <w:rFonts w:ascii="宋体" w:hAnsi="宋体" w:eastAsia="宋体" w:cs="宋体"/>
          <w:b/>
          <w:bCs/>
          <w:color w:val="000000" w:themeColor="text1"/>
          <w:sz w:val="32"/>
          <w:szCs w:val="32"/>
          <w:highlight w:val="none"/>
          <w14:textFill>
            <w14:solidFill>
              <w14:schemeClr w14:val="tx1"/>
            </w14:solidFill>
          </w14:textFill>
        </w:rPr>
      </w:pPr>
      <w:bookmarkStart w:id="61" w:name="_Toc24474"/>
      <w:r>
        <w:rPr>
          <w:rFonts w:hint="eastAsia" w:ascii="宋体" w:hAnsi="宋体" w:eastAsia="宋体" w:cs="宋体"/>
          <w:b/>
          <w:bCs/>
          <w:color w:val="000000" w:themeColor="text1"/>
          <w:sz w:val="32"/>
          <w:szCs w:val="32"/>
          <w:highlight w:val="none"/>
          <w14:textFill>
            <w14:solidFill>
              <w14:schemeClr w14:val="tx1"/>
            </w14:solidFill>
          </w14:textFill>
        </w:rPr>
        <w:t>第四章</w:t>
      </w:r>
      <w:r>
        <w:rPr>
          <w:rFonts w:hint="eastAsia" w:ascii="宋体" w:hAnsi="宋体" w:eastAsia="宋体" w:cs="宋体"/>
          <w:b/>
          <w:bCs/>
          <w:color w:val="000000" w:themeColor="text1"/>
          <w:kern w:val="0"/>
          <w:sz w:val="36"/>
          <w:szCs w:val="36"/>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合同主要条款及格式</w:t>
      </w:r>
      <w:bookmarkEnd w:id="58"/>
      <w:bookmarkEnd w:id="59"/>
      <w:bookmarkEnd w:id="60"/>
      <w:bookmarkEnd w:id="61"/>
    </w:p>
    <w:p w14:paraId="654EB5BC">
      <w:pPr>
        <w:tabs>
          <w:tab w:val="left" w:pos="1080"/>
          <w:tab w:val="left" w:pos="1155"/>
        </w:tabs>
        <w:spacing w:line="560" w:lineRule="exact"/>
        <w:jc w:val="center"/>
        <w:rPr>
          <w:rFonts w:ascii="宋体" w:hAnsi="宋体" w:eastAsia="宋体" w:cs="宋体"/>
          <w:b/>
          <w:bCs/>
          <w:sz w:val="30"/>
          <w:szCs w:val="30"/>
          <w:highlight w:val="none"/>
        </w:rPr>
      </w:pPr>
      <w:r>
        <w:rPr>
          <w:rFonts w:hint="eastAsia" w:ascii="宋体" w:hAnsi="宋体" w:eastAsia="宋体" w:cs="宋体"/>
          <w:b/>
          <w:bCs/>
          <w:sz w:val="30"/>
          <w:szCs w:val="30"/>
          <w:highlight w:val="none"/>
        </w:rPr>
        <w:t>（合同仅供参考，具体以中标后双方协议合同为准。）</w:t>
      </w:r>
    </w:p>
    <w:p w14:paraId="226BA35D">
      <w:pPr>
        <w:spacing w:line="480" w:lineRule="exact"/>
        <w:ind w:firstLine="482" w:firstLineChars="200"/>
        <w:rPr>
          <w:rFonts w:ascii="宋体" w:hAnsi="宋体" w:eastAsia="宋体" w:cs="宋体"/>
          <w:b/>
          <w:szCs w:val="24"/>
          <w:highlight w:val="none"/>
        </w:rPr>
      </w:pPr>
      <w:r>
        <w:rPr>
          <w:rFonts w:hint="eastAsia" w:ascii="宋体" w:hAnsi="宋体" w:eastAsia="宋体" w:cs="宋体"/>
          <w:b/>
          <w:szCs w:val="24"/>
          <w:highlight w:val="none"/>
        </w:rPr>
        <w:t>采购人（全称）：</w:t>
      </w:r>
      <w:r>
        <w:rPr>
          <w:rFonts w:hint="eastAsia" w:ascii="宋体" w:hAnsi="宋体" w:eastAsia="宋体" w:cs="宋体"/>
          <w:b/>
          <w:szCs w:val="24"/>
          <w:highlight w:val="none"/>
          <w:u w:val="single"/>
        </w:rPr>
        <w:t xml:space="preserve">                       </w:t>
      </w:r>
    </w:p>
    <w:p w14:paraId="38645A25">
      <w:pPr>
        <w:spacing w:line="480" w:lineRule="exact"/>
        <w:ind w:firstLine="482" w:firstLineChars="200"/>
        <w:rPr>
          <w:rFonts w:ascii="宋体" w:hAnsi="宋体" w:eastAsia="宋体" w:cs="宋体"/>
          <w:szCs w:val="24"/>
          <w:highlight w:val="none"/>
        </w:rPr>
      </w:pPr>
      <w:r>
        <w:rPr>
          <w:rFonts w:hint="eastAsia" w:ascii="宋体" w:hAnsi="宋体" w:eastAsia="宋体" w:cs="宋体"/>
          <w:b/>
          <w:szCs w:val="24"/>
          <w:highlight w:val="none"/>
        </w:rPr>
        <w:t>供应商（全称）：</w:t>
      </w:r>
      <w:r>
        <w:rPr>
          <w:rFonts w:hint="eastAsia" w:ascii="宋体" w:hAnsi="宋体" w:eastAsia="宋体" w:cs="宋体"/>
          <w:b/>
          <w:szCs w:val="24"/>
          <w:highlight w:val="none"/>
          <w:u w:val="single"/>
        </w:rPr>
        <w:t xml:space="preserve">                       </w:t>
      </w:r>
    </w:p>
    <w:p w14:paraId="0C4CB15B">
      <w:pPr>
        <w:spacing w:line="480" w:lineRule="exact"/>
        <w:ind w:firstLine="480" w:firstLineChars="200"/>
        <w:rPr>
          <w:rFonts w:ascii="宋体" w:hAnsi="宋体" w:eastAsia="宋体" w:cs="宋体"/>
          <w:szCs w:val="24"/>
          <w:highlight w:val="none"/>
          <w:u w:val="single"/>
        </w:rPr>
      </w:pPr>
      <w:r>
        <w:rPr>
          <w:rFonts w:hint="eastAsia" w:ascii="宋体" w:hAnsi="宋体" w:eastAsia="宋体" w:cs="宋体"/>
          <w:szCs w:val="24"/>
          <w:highlight w:val="none"/>
        </w:rPr>
        <w:t>根据《中华人民共和国民法典》及其他有关法律、法规，遵循平等、自愿、公平和诚信的原则，双方就下述项目范围与相关服务事项协商一致，订立本合同。</w:t>
      </w:r>
    </w:p>
    <w:p w14:paraId="227C5FA9">
      <w:pPr>
        <w:spacing w:line="480" w:lineRule="exact"/>
        <w:rPr>
          <w:rFonts w:ascii="宋体" w:hAnsi="宋体" w:eastAsia="宋体" w:cs="宋体"/>
          <w:b/>
          <w:szCs w:val="24"/>
          <w:highlight w:val="none"/>
        </w:rPr>
      </w:pPr>
      <w:r>
        <w:rPr>
          <w:rFonts w:hint="eastAsia" w:ascii="宋体" w:hAnsi="宋体" w:eastAsia="宋体" w:cs="宋体"/>
          <w:b/>
          <w:szCs w:val="24"/>
          <w:highlight w:val="none"/>
        </w:rPr>
        <w:t>一、项目概况</w:t>
      </w:r>
    </w:p>
    <w:p w14:paraId="41CC85B3">
      <w:pPr>
        <w:spacing w:line="560" w:lineRule="exact"/>
        <w:ind w:firstLine="475" w:firstLineChars="198"/>
        <w:rPr>
          <w:rFonts w:ascii="宋体" w:hAnsi="宋体" w:eastAsia="宋体" w:cs="宋体"/>
          <w:color w:val="FF0000"/>
          <w:szCs w:val="24"/>
          <w:highlight w:val="none"/>
          <w:u w:val="single"/>
        </w:rPr>
      </w:pPr>
      <w:r>
        <w:rPr>
          <w:rFonts w:hint="eastAsia" w:ascii="宋体" w:hAnsi="宋体" w:eastAsia="宋体" w:cs="宋体"/>
          <w:szCs w:val="24"/>
          <w:highlight w:val="none"/>
        </w:rPr>
        <w:t>1. 项目名称：</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w:t>
      </w:r>
    </w:p>
    <w:p w14:paraId="31AC95E9">
      <w:pPr>
        <w:spacing w:line="560" w:lineRule="exact"/>
        <w:ind w:firstLine="475" w:firstLineChars="198"/>
        <w:rPr>
          <w:rFonts w:hint="eastAsia" w:ascii="宋体" w:hAnsi="宋体" w:eastAsia="宋体" w:cs="宋体"/>
          <w:szCs w:val="24"/>
          <w:highlight w:val="none"/>
        </w:rPr>
      </w:pPr>
      <w:r>
        <w:rPr>
          <w:rFonts w:hint="eastAsia" w:ascii="宋体" w:hAnsi="宋体" w:eastAsia="宋体" w:cs="宋体"/>
          <w:szCs w:val="24"/>
          <w:highlight w:val="none"/>
        </w:rPr>
        <w:t xml:space="preserve">2. </w:t>
      </w:r>
      <w:r>
        <w:rPr>
          <w:rFonts w:hint="eastAsia" w:ascii="宋体" w:hAnsi="宋体" w:eastAsia="宋体" w:cs="宋体"/>
          <w:szCs w:val="24"/>
          <w:highlight w:val="none"/>
          <w:lang w:val="en-US" w:eastAsia="zh-CN"/>
        </w:rPr>
        <w:t>工期</w:t>
      </w:r>
      <w:r>
        <w:rPr>
          <w:rFonts w:hint="eastAsia" w:ascii="宋体" w:hAnsi="宋体" w:eastAsia="宋体" w:cs="宋体"/>
          <w:szCs w:val="24"/>
          <w:highlight w:val="none"/>
        </w:rPr>
        <w:t>：</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p>
    <w:p w14:paraId="741E0604">
      <w:pPr>
        <w:spacing w:line="560" w:lineRule="exact"/>
        <w:ind w:firstLine="475" w:firstLineChars="198"/>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3. 质保期：</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p>
    <w:p w14:paraId="26E6A4EF">
      <w:pPr>
        <w:spacing w:line="560" w:lineRule="exact"/>
        <w:ind w:firstLine="475" w:firstLineChars="198"/>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质量标准：</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p>
    <w:p w14:paraId="623C6692">
      <w:pPr>
        <w:spacing w:line="560" w:lineRule="exact"/>
        <w:ind w:firstLine="475" w:firstLineChars="198"/>
        <w:rPr>
          <w:rFonts w:ascii="宋体" w:hAnsi="宋体" w:eastAsia="宋体" w:cs="宋体"/>
          <w:szCs w:val="24"/>
          <w:highlight w:val="none"/>
        </w:rPr>
      </w:pP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地点：</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w:t>
      </w:r>
    </w:p>
    <w:p w14:paraId="3F75E7CC">
      <w:pPr>
        <w:spacing w:line="480" w:lineRule="exact"/>
        <w:ind w:firstLine="480" w:firstLineChars="200"/>
        <w:rPr>
          <w:rFonts w:ascii="宋体" w:hAnsi="宋体" w:eastAsia="宋体" w:cs="宋体"/>
          <w:szCs w:val="24"/>
          <w:highlight w:val="none"/>
        </w:rPr>
      </w:pP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采购</w:t>
      </w:r>
      <w:r>
        <w:rPr>
          <w:rFonts w:hint="eastAsia" w:ascii="宋体" w:hAnsi="宋体" w:eastAsia="宋体" w:cs="宋体"/>
          <w:szCs w:val="24"/>
          <w:highlight w:val="none"/>
        </w:rPr>
        <w:t>内容：</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w:t>
      </w:r>
    </w:p>
    <w:p w14:paraId="067D2B83">
      <w:pPr>
        <w:spacing w:line="480" w:lineRule="exact"/>
        <w:rPr>
          <w:rFonts w:ascii="宋体" w:hAnsi="宋体" w:eastAsia="宋体" w:cs="宋体"/>
          <w:b/>
          <w:szCs w:val="24"/>
          <w:highlight w:val="none"/>
        </w:rPr>
      </w:pPr>
      <w:r>
        <w:rPr>
          <w:rFonts w:hint="eastAsia" w:ascii="宋体" w:hAnsi="宋体" w:eastAsia="宋体" w:cs="宋体"/>
          <w:b/>
          <w:szCs w:val="24"/>
          <w:highlight w:val="none"/>
        </w:rPr>
        <w:t>二、组成本合同的文件</w:t>
      </w:r>
    </w:p>
    <w:p w14:paraId="1DC5833C">
      <w:pPr>
        <w:spacing w:line="48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1. 协议书；</w:t>
      </w:r>
    </w:p>
    <w:p w14:paraId="21165C8E">
      <w:pPr>
        <w:spacing w:line="48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2. 成交通知书、磋商文件、磋商响应文件、澄清、磋商补充文件；</w:t>
      </w:r>
    </w:p>
    <w:p w14:paraId="42DE882F">
      <w:pPr>
        <w:spacing w:line="48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3. 相关服务建议书；</w:t>
      </w:r>
    </w:p>
    <w:p w14:paraId="7E64A196">
      <w:pPr>
        <w:spacing w:line="480" w:lineRule="exact"/>
        <w:rPr>
          <w:rFonts w:ascii="宋体" w:hAnsi="宋体" w:eastAsia="宋体" w:cs="宋体"/>
          <w:szCs w:val="24"/>
          <w:highlight w:val="none"/>
        </w:rPr>
      </w:pPr>
      <w:r>
        <w:rPr>
          <w:rFonts w:hint="eastAsia" w:ascii="宋体" w:hAnsi="宋体" w:eastAsia="宋体" w:cs="宋体"/>
          <w:szCs w:val="24"/>
          <w:highlight w:val="none"/>
        </w:rPr>
        <w:t xml:space="preserve">    4. 附录，即：附表内相关服务的范围和内容；</w:t>
      </w:r>
    </w:p>
    <w:p w14:paraId="4B840AE5">
      <w:pPr>
        <w:spacing w:line="48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本合同签订后，双方依法签订的补充协议也是本合同文件的组成部分。</w:t>
      </w:r>
    </w:p>
    <w:p w14:paraId="5EF658F8">
      <w:pPr>
        <w:spacing w:line="480" w:lineRule="exact"/>
        <w:rPr>
          <w:rFonts w:ascii="宋体" w:hAnsi="宋体" w:eastAsia="宋体" w:cs="宋体"/>
          <w:b/>
          <w:szCs w:val="24"/>
          <w:highlight w:val="none"/>
        </w:rPr>
      </w:pPr>
      <w:r>
        <w:rPr>
          <w:rFonts w:hint="eastAsia" w:ascii="宋体" w:hAnsi="宋体" w:eastAsia="宋体" w:cs="宋体"/>
          <w:b/>
          <w:szCs w:val="24"/>
          <w:highlight w:val="none"/>
        </w:rPr>
        <w:t>三、合同金额</w:t>
      </w:r>
    </w:p>
    <w:p w14:paraId="27EA5BE9">
      <w:pPr>
        <w:adjustRightInd w:val="0"/>
        <w:snapToGrid w:val="0"/>
        <w:spacing w:line="48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合同价款形式：</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w:t>
      </w:r>
    </w:p>
    <w:p w14:paraId="687693F0">
      <w:pPr>
        <w:adjustRightInd w:val="0"/>
        <w:snapToGrid w:val="0"/>
        <w:spacing w:line="48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合同金额（大写）：</w:t>
      </w:r>
      <w:r>
        <w:rPr>
          <w:rFonts w:hint="eastAsia" w:ascii="宋体" w:hAnsi="宋体" w:eastAsia="宋体" w:cs="宋体"/>
          <w:szCs w:val="24"/>
          <w:highlight w:val="none"/>
          <w:u w:val="single"/>
        </w:rPr>
        <w:t xml:space="preserve">               （¥        ）</w:t>
      </w:r>
      <w:r>
        <w:rPr>
          <w:rFonts w:hint="eastAsia" w:ascii="宋体" w:hAnsi="宋体" w:eastAsia="宋体" w:cs="宋体"/>
          <w:szCs w:val="24"/>
          <w:highlight w:val="none"/>
        </w:rPr>
        <w:t>。</w:t>
      </w:r>
    </w:p>
    <w:p w14:paraId="7A6CDB86">
      <w:pPr>
        <w:adjustRightInd w:val="0"/>
        <w:snapToGrid w:val="0"/>
        <w:spacing w:line="48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依据对乙方适老化改造的验收情况（甲方对居家上门服务验收情况）据实结算。</w:t>
      </w:r>
    </w:p>
    <w:p w14:paraId="27A0D4EA">
      <w:pPr>
        <w:spacing w:line="48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适老化改造：按照成交清单报价结算，每户清单报价合计超过（农村2000元、城镇4000元），按照（农村2000元、城镇4000元）结算，不足（农村2000元、城镇4000元），按照实际金额结算，结算总金额不超过成交总价；</w:t>
      </w:r>
    </w:p>
    <w:p w14:paraId="2B7EB316">
      <w:pPr>
        <w:spacing w:line="480" w:lineRule="exact"/>
        <w:rPr>
          <w:rFonts w:ascii="宋体" w:hAnsi="宋体" w:eastAsia="宋体" w:cs="宋体"/>
          <w:b/>
          <w:szCs w:val="24"/>
          <w:highlight w:val="none"/>
        </w:rPr>
      </w:pPr>
      <w:r>
        <w:rPr>
          <w:rFonts w:hint="eastAsia" w:ascii="宋体" w:hAnsi="宋体" w:eastAsia="宋体" w:cs="宋体"/>
          <w:b/>
          <w:szCs w:val="24"/>
          <w:highlight w:val="none"/>
        </w:rPr>
        <w:t>四、结算方式</w:t>
      </w:r>
    </w:p>
    <w:p w14:paraId="3AB0357E">
      <w:pPr>
        <w:spacing w:line="480" w:lineRule="exact"/>
        <w:rPr>
          <w:rFonts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1.本项目结算方式：合同总价</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。在付款前，乙方必须开具等额增值税发票金额给甲方。</w:t>
      </w:r>
    </w:p>
    <w:p w14:paraId="4C100454">
      <w:pPr>
        <w:adjustRightInd w:val="0"/>
        <w:snapToGrid w:val="0"/>
        <w:spacing w:line="480" w:lineRule="exact"/>
        <w:ind w:firstLine="480" w:firstLineChars="200"/>
        <w:rPr>
          <w:rFonts w:hint="eastAsia" w:ascii="宋体" w:hAnsi="宋体" w:eastAsia="宋体" w:cs="宋体"/>
          <w:b/>
          <w:bCs/>
          <w:color w:val="000000" w:themeColor="text1"/>
          <w:szCs w:val="24"/>
          <w:highlight w:val="none"/>
          <w:lang w:eastAsia="zh-CN"/>
          <w14:textFill>
            <w14:solidFill>
              <w14:schemeClr w14:val="tx1"/>
            </w14:solidFill>
          </w14:textFill>
        </w:rPr>
      </w:pPr>
      <w:r>
        <w:rPr>
          <w:rFonts w:hint="eastAsia" w:ascii="宋体" w:hAnsi="宋体" w:eastAsia="宋体" w:cs="宋体"/>
          <w:szCs w:val="24"/>
          <w:highlight w:val="none"/>
        </w:rPr>
        <w:t>2.</w:t>
      </w:r>
      <w:r>
        <w:rPr>
          <w:rFonts w:hint="eastAsia" w:ascii="宋体" w:hAnsi="宋体" w:eastAsia="宋体" w:cs="宋体"/>
          <w:szCs w:val="24"/>
          <w:highlight w:val="none"/>
          <w:lang w:eastAsia="zh-CN"/>
        </w:rPr>
        <w:t>付款方式：项目验收合格后支付合同价款的90%，质保期满后支付剩余10%。。</w:t>
      </w:r>
    </w:p>
    <w:p w14:paraId="1C3E0CF7">
      <w:pPr>
        <w:spacing w:line="480" w:lineRule="exact"/>
        <w:rPr>
          <w:rFonts w:ascii="宋体" w:hAnsi="宋体" w:eastAsia="宋体" w:cs="宋体"/>
          <w:b/>
          <w:szCs w:val="24"/>
          <w:highlight w:val="none"/>
        </w:rPr>
      </w:pPr>
      <w:r>
        <w:rPr>
          <w:rFonts w:hint="eastAsia" w:ascii="宋体" w:hAnsi="宋体" w:eastAsia="宋体" w:cs="宋体"/>
          <w:b/>
          <w:szCs w:val="24"/>
          <w:highlight w:val="none"/>
        </w:rPr>
        <w:t>五、双方权利和义务</w:t>
      </w:r>
    </w:p>
    <w:p w14:paraId="1442DAED">
      <w:pPr>
        <w:spacing w:line="48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1.甲方的主要责任和权力</w:t>
      </w:r>
    </w:p>
    <w:p w14:paraId="5FC3801C">
      <w:pPr>
        <w:spacing w:line="48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（1）甲方负责提供所需的相关基础资料及配合其他相关工作；</w:t>
      </w:r>
    </w:p>
    <w:p w14:paraId="5BF8AD3C">
      <w:pPr>
        <w:spacing w:line="48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（2）甲方应根据本合同规定，按期足额将项目经费拨付给乙方；</w:t>
      </w:r>
    </w:p>
    <w:p w14:paraId="620601F8">
      <w:pPr>
        <w:spacing w:line="48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（3）甲方有权审查乙方的工作内容及进度，有权向乙方表达对项目内容的意见和建议，乙方应予以充分考虑；</w:t>
      </w:r>
    </w:p>
    <w:p w14:paraId="641E2A13">
      <w:pPr>
        <w:spacing w:line="48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（4）甲方有权对项目提出成果要求，督促乙方按计划完成项目并提交符合验收标准的成果。</w:t>
      </w:r>
    </w:p>
    <w:p w14:paraId="201CE487">
      <w:pPr>
        <w:spacing w:line="48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2.乙方的主要责任和权力</w:t>
      </w:r>
    </w:p>
    <w:p w14:paraId="1DEC241F">
      <w:pPr>
        <w:spacing w:line="48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（1）乙方应保质保量按期完成任务。</w:t>
      </w:r>
    </w:p>
    <w:p w14:paraId="311B7B55">
      <w:pPr>
        <w:spacing w:line="48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（2）乙方提交的项目成果经验收必须达到相关规范标准。</w:t>
      </w:r>
    </w:p>
    <w:p w14:paraId="33EB1636">
      <w:pPr>
        <w:spacing w:line="48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（3）乙方应正确使用项目经费，对甲方拨付的项目经费实行专款专用。</w:t>
      </w:r>
    </w:p>
    <w:p w14:paraId="17B31F64">
      <w:pPr>
        <w:tabs>
          <w:tab w:val="left" w:pos="840"/>
        </w:tabs>
        <w:spacing w:line="480" w:lineRule="exact"/>
        <w:ind w:firstLine="480" w:firstLineChars="200"/>
        <w:rPr>
          <w:rFonts w:ascii="宋体" w:hAnsi="宋体" w:eastAsia="宋体" w:cs="宋体"/>
          <w:b/>
          <w:szCs w:val="24"/>
          <w:highlight w:val="none"/>
        </w:rPr>
      </w:pPr>
      <w:r>
        <w:rPr>
          <w:rFonts w:hint="eastAsia" w:ascii="宋体" w:hAnsi="宋体" w:eastAsia="宋体" w:cs="宋体"/>
          <w:szCs w:val="24"/>
          <w:highlight w:val="none"/>
        </w:rPr>
        <w:t>（4）乙方应依照合同约定移交所有项目成果。</w:t>
      </w:r>
    </w:p>
    <w:p w14:paraId="56547D70">
      <w:pPr>
        <w:spacing w:line="560" w:lineRule="exact"/>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六、</w:t>
      </w:r>
      <w:r>
        <w:rPr>
          <w:rFonts w:hint="eastAsia" w:ascii="宋体" w:hAnsi="宋体" w:eastAsia="宋体" w:cs="宋体"/>
          <w:b/>
          <w:bCs/>
          <w:color w:val="000000" w:themeColor="text1"/>
          <w:szCs w:val="24"/>
          <w:highlight w:val="none"/>
          <w:lang w:val="zh-CN"/>
          <w14:textFill>
            <w14:solidFill>
              <w14:schemeClr w14:val="tx1"/>
            </w14:solidFill>
          </w14:textFill>
        </w:rPr>
        <w:t>履约保证金</w:t>
      </w:r>
    </w:p>
    <w:p w14:paraId="0F716F4D">
      <w:pPr>
        <w:spacing w:line="560" w:lineRule="exact"/>
        <w:ind w:firstLine="480" w:firstLineChars="200"/>
        <w:rPr>
          <w:rFonts w:ascii="宋体" w:hAnsi="宋体" w:eastAsia="宋体" w:cs="宋体"/>
          <w:b/>
          <w:szCs w:val="24"/>
          <w:highlight w:val="none"/>
        </w:rPr>
      </w:pPr>
      <w:r>
        <w:rPr>
          <w:rFonts w:hint="eastAsia" w:ascii="宋体" w:hAnsi="宋体" w:eastAsia="宋体" w:cs="宋体"/>
          <w:bCs/>
          <w:szCs w:val="24"/>
          <w:highlight w:val="none"/>
        </w:rPr>
        <w:t>具体以甲方双方在签订合同时协商为准，最高不得超过法律法规标准要求。</w:t>
      </w:r>
    </w:p>
    <w:p w14:paraId="3AB4319F">
      <w:pPr>
        <w:spacing w:line="560" w:lineRule="exact"/>
        <w:rPr>
          <w:rFonts w:ascii="宋体" w:hAnsi="宋体" w:eastAsia="宋体" w:cs="宋体"/>
          <w:b/>
          <w:szCs w:val="24"/>
          <w:highlight w:val="none"/>
        </w:rPr>
      </w:pPr>
      <w:r>
        <w:rPr>
          <w:rFonts w:hint="eastAsia" w:ascii="宋体" w:hAnsi="宋体" w:eastAsia="宋体" w:cs="宋体"/>
          <w:b/>
          <w:szCs w:val="24"/>
          <w:highlight w:val="none"/>
        </w:rPr>
        <w:t>七、合同争议的解决</w:t>
      </w:r>
    </w:p>
    <w:p w14:paraId="55B7A70E">
      <w:pPr>
        <w:spacing w:line="560" w:lineRule="exact"/>
        <w:ind w:firstLine="480"/>
        <w:rPr>
          <w:rFonts w:ascii="宋体" w:hAnsi="宋体" w:eastAsia="宋体" w:cs="宋体"/>
          <w:szCs w:val="24"/>
          <w:highlight w:val="none"/>
        </w:rPr>
      </w:pPr>
      <w:r>
        <w:rPr>
          <w:rFonts w:hint="eastAsia" w:ascii="宋体" w:hAnsi="宋体" w:eastAsia="宋体" w:cs="宋体"/>
          <w:szCs w:val="24"/>
          <w:highlight w:val="none"/>
        </w:rPr>
        <w:t>合同执行中发生争议的，当事人双方应协商解决。协商达不成一致时，可提交</w:t>
      </w:r>
      <w:r>
        <w:rPr>
          <w:rFonts w:hint="eastAsia" w:ascii="宋体" w:hAnsi="宋体" w:eastAsia="宋体" w:cs="宋体"/>
          <w:szCs w:val="24"/>
          <w:highlight w:val="none"/>
          <w:lang w:val="en-US" w:eastAsia="zh-CN"/>
        </w:rPr>
        <w:t>宝鸡市</w:t>
      </w:r>
      <w:r>
        <w:rPr>
          <w:rFonts w:hint="eastAsia" w:ascii="宋体" w:hAnsi="宋体" w:eastAsia="宋体" w:cs="宋体"/>
          <w:szCs w:val="24"/>
          <w:highlight w:val="none"/>
        </w:rPr>
        <w:t>仲裁委员会进行仲裁或者向人民法院提请诉讼。</w:t>
      </w:r>
    </w:p>
    <w:p w14:paraId="160E00E1">
      <w:pPr>
        <w:spacing w:line="560" w:lineRule="exact"/>
        <w:rPr>
          <w:rFonts w:ascii="宋体" w:hAnsi="宋体" w:eastAsia="宋体" w:cs="宋体"/>
          <w:b/>
          <w:szCs w:val="24"/>
          <w:highlight w:val="none"/>
        </w:rPr>
      </w:pPr>
      <w:r>
        <w:rPr>
          <w:rFonts w:hint="eastAsia" w:ascii="宋体" w:hAnsi="宋体" w:eastAsia="宋体" w:cs="宋体"/>
          <w:b/>
          <w:szCs w:val="24"/>
          <w:highlight w:val="none"/>
        </w:rPr>
        <w:t>八、协议的生效、变更与解除</w:t>
      </w:r>
    </w:p>
    <w:p w14:paraId="53550ED4">
      <w:pPr>
        <w:spacing w:line="560" w:lineRule="exact"/>
        <w:ind w:firstLine="480"/>
        <w:rPr>
          <w:rFonts w:ascii="宋体" w:hAnsi="宋体" w:eastAsia="宋体" w:cs="宋体"/>
          <w:szCs w:val="24"/>
          <w:highlight w:val="none"/>
        </w:rPr>
      </w:pPr>
      <w:r>
        <w:rPr>
          <w:rFonts w:hint="eastAsia" w:ascii="宋体" w:hAnsi="宋体" w:eastAsia="宋体" w:cs="宋体"/>
          <w:szCs w:val="24"/>
          <w:highlight w:val="none"/>
        </w:rPr>
        <w:t>1.本合同自双方签字盖章之日起生效。</w:t>
      </w:r>
    </w:p>
    <w:p w14:paraId="477464A9">
      <w:pPr>
        <w:spacing w:line="560" w:lineRule="exact"/>
        <w:ind w:firstLine="480"/>
        <w:rPr>
          <w:rFonts w:ascii="宋体" w:hAnsi="宋体" w:eastAsia="宋体" w:cs="宋体"/>
          <w:szCs w:val="24"/>
          <w:highlight w:val="none"/>
        </w:rPr>
      </w:pPr>
      <w:r>
        <w:rPr>
          <w:rFonts w:hint="eastAsia" w:ascii="宋体" w:hAnsi="宋体" w:eastAsia="宋体" w:cs="宋体"/>
          <w:szCs w:val="24"/>
          <w:highlight w:val="none"/>
        </w:rPr>
        <w:t>2.合同双方任何一方提出变更合同或解除合同的要求时，应与另一方协商，获取另一方同意后，签订变更条款或协议，作为本合同的正式附件，方可执行。</w:t>
      </w:r>
    </w:p>
    <w:p w14:paraId="4B7AB890">
      <w:pPr>
        <w:spacing w:line="560" w:lineRule="exact"/>
        <w:ind w:firstLine="480"/>
        <w:rPr>
          <w:rFonts w:ascii="宋体" w:hAnsi="宋体" w:eastAsia="宋体" w:cs="宋体"/>
          <w:szCs w:val="24"/>
          <w:highlight w:val="none"/>
        </w:rPr>
      </w:pPr>
      <w:r>
        <w:rPr>
          <w:rFonts w:hint="eastAsia" w:ascii="宋体" w:hAnsi="宋体" w:eastAsia="宋体" w:cs="宋体"/>
          <w:szCs w:val="24"/>
          <w:highlight w:val="none"/>
        </w:rPr>
        <w:t>3.一方因对方违反合同或由于不可抗力因素，致使合同履行成为不可能或不必要，有权通知另一方解除合同。</w:t>
      </w:r>
    </w:p>
    <w:p w14:paraId="70C17C8C">
      <w:pPr>
        <w:spacing w:line="560" w:lineRule="exact"/>
        <w:ind w:firstLine="480"/>
        <w:rPr>
          <w:rFonts w:ascii="宋体" w:hAnsi="宋体" w:eastAsia="宋体" w:cs="宋体"/>
          <w:szCs w:val="24"/>
          <w:highlight w:val="none"/>
        </w:rPr>
      </w:pPr>
      <w:r>
        <w:rPr>
          <w:rFonts w:hint="eastAsia" w:ascii="宋体" w:hAnsi="宋体" w:eastAsia="宋体" w:cs="宋体"/>
          <w:szCs w:val="24"/>
          <w:highlight w:val="none"/>
        </w:rPr>
        <w:t>4.合同双方任何一方逾期两个月不履行合同规定的义务，对方有权解除合同，并索取赔偿。</w:t>
      </w:r>
    </w:p>
    <w:p w14:paraId="733B6676">
      <w:pPr>
        <w:spacing w:line="560" w:lineRule="exact"/>
        <w:ind w:firstLine="480"/>
        <w:rPr>
          <w:rFonts w:ascii="宋体" w:hAnsi="宋体" w:eastAsia="宋体" w:cs="宋体"/>
          <w:szCs w:val="24"/>
          <w:highlight w:val="none"/>
        </w:rPr>
      </w:pPr>
      <w:r>
        <w:rPr>
          <w:rFonts w:hint="eastAsia" w:ascii="宋体" w:hAnsi="宋体" w:eastAsia="宋体" w:cs="宋体"/>
          <w:szCs w:val="24"/>
          <w:highlight w:val="none"/>
        </w:rPr>
        <w:t>5.变更或解除合同造成的损失由双方协商或按责任原则分别承担。</w:t>
      </w:r>
    </w:p>
    <w:p w14:paraId="552F4917">
      <w:pPr>
        <w:spacing w:line="560" w:lineRule="exact"/>
        <w:rPr>
          <w:rFonts w:ascii="宋体" w:hAnsi="宋体" w:eastAsia="宋体" w:cs="宋体"/>
          <w:b/>
          <w:szCs w:val="24"/>
          <w:highlight w:val="none"/>
        </w:rPr>
      </w:pPr>
      <w:r>
        <w:rPr>
          <w:rFonts w:hint="eastAsia" w:ascii="宋体" w:hAnsi="宋体" w:eastAsia="宋体" w:cs="宋体"/>
          <w:b/>
          <w:szCs w:val="24"/>
          <w:highlight w:val="none"/>
        </w:rPr>
        <w:t>九、不可抗力情况下的免责约定</w:t>
      </w:r>
    </w:p>
    <w:p w14:paraId="7D166C72">
      <w:pPr>
        <w:spacing w:line="560" w:lineRule="exact"/>
        <w:rPr>
          <w:rFonts w:ascii="宋体" w:hAnsi="宋体" w:eastAsia="宋体" w:cs="宋体"/>
          <w:szCs w:val="24"/>
          <w:highlight w:val="none"/>
        </w:rPr>
      </w:pPr>
      <w:r>
        <w:rPr>
          <w:rFonts w:hint="eastAsia" w:ascii="宋体" w:hAnsi="宋体" w:eastAsia="宋体" w:cs="宋体"/>
          <w:szCs w:val="24"/>
          <w:highlight w:val="none"/>
        </w:rPr>
        <w:t xml:space="preserve">    双方约定不可抗力情况指：双方不可预见、不可避免、不可克服的客观情况，但不包括双方的违约或疏忽。这些事件包括但不限于：战争、严重火灾、洪水、台风、地震等。</w:t>
      </w:r>
    </w:p>
    <w:p w14:paraId="7618CCEC">
      <w:pPr>
        <w:spacing w:line="560" w:lineRule="exact"/>
        <w:rPr>
          <w:rFonts w:ascii="宋体" w:hAnsi="宋体" w:eastAsia="宋体" w:cs="宋体"/>
          <w:b/>
          <w:szCs w:val="24"/>
          <w:highlight w:val="none"/>
        </w:rPr>
      </w:pPr>
      <w:r>
        <w:rPr>
          <w:rFonts w:hint="eastAsia" w:ascii="宋体" w:hAnsi="宋体" w:eastAsia="宋体" w:cs="宋体"/>
          <w:b/>
          <w:szCs w:val="24"/>
          <w:highlight w:val="none"/>
        </w:rPr>
        <w:t>十、违约责任</w:t>
      </w:r>
    </w:p>
    <w:p w14:paraId="1050B49C">
      <w:pPr>
        <w:spacing w:line="560" w:lineRule="exact"/>
        <w:rPr>
          <w:rFonts w:ascii="宋体" w:hAnsi="宋体" w:eastAsia="宋体" w:cs="宋体"/>
          <w:szCs w:val="24"/>
          <w:highlight w:val="none"/>
        </w:rPr>
      </w:pPr>
      <w:r>
        <w:rPr>
          <w:rFonts w:hint="eastAsia" w:ascii="宋体" w:hAnsi="宋体" w:eastAsia="宋体" w:cs="宋体"/>
          <w:szCs w:val="24"/>
          <w:highlight w:val="none"/>
        </w:rPr>
        <w:t xml:space="preserve">    依据《中华人民共和国民法典》、《中华人民共和国政府采购法》、《中华人民共和国政府采购法实施条例》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14:paraId="67C97707">
      <w:pPr>
        <w:spacing w:line="560" w:lineRule="exact"/>
        <w:rPr>
          <w:rFonts w:ascii="宋体" w:hAnsi="宋体" w:eastAsia="宋体" w:cs="宋体"/>
          <w:szCs w:val="24"/>
          <w:highlight w:val="none"/>
          <w:u w:val="single"/>
        </w:rPr>
      </w:pPr>
      <w:r>
        <w:rPr>
          <w:rFonts w:hint="eastAsia" w:ascii="宋体" w:hAnsi="宋体" w:eastAsia="宋体" w:cs="宋体"/>
          <w:b/>
          <w:szCs w:val="24"/>
          <w:highlight w:val="none"/>
        </w:rPr>
        <w:t>十一、其他（</w:t>
      </w:r>
      <w:r>
        <w:rPr>
          <w:rFonts w:hint="eastAsia" w:ascii="宋体" w:hAnsi="宋体" w:eastAsia="宋体" w:cs="宋体"/>
          <w:szCs w:val="24"/>
          <w:highlight w:val="none"/>
        </w:rPr>
        <w:t>在合同中具体明确）</w:t>
      </w:r>
      <w:r>
        <w:rPr>
          <w:rFonts w:hint="eastAsia" w:ascii="宋体" w:hAnsi="宋体" w:eastAsia="宋体" w:cs="宋体"/>
          <w:szCs w:val="24"/>
          <w:highlight w:val="none"/>
          <w:u w:val="single"/>
        </w:rPr>
        <w:t xml:space="preserve">                                                                                 </w:t>
      </w:r>
    </w:p>
    <w:p w14:paraId="4024E2E0">
      <w:pPr>
        <w:spacing w:line="560" w:lineRule="exact"/>
        <w:rPr>
          <w:rFonts w:ascii="宋体" w:hAnsi="宋体" w:eastAsia="宋体" w:cs="宋体"/>
          <w:b/>
          <w:szCs w:val="24"/>
          <w:highlight w:val="none"/>
        </w:rPr>
      </w:pPr>
      <w:r>
        <w:rPr>
          <w:rFonts w:hint="eastAsia" w:ascii="宋体" w:hAnsi="宋体" w:eastAsia="宋体" w:cs="宋体"/>
          <w:b/>
          <w:szCs w:val="24"/>
          <w:highlight w:val="none"/>
        </w:rPr>
        <w:t>十二、合同订立</w:t>
      </w:r>
    </w:p>
    <w:p w14:paraId="74CD4F86">
      <w:pPr>
        <w:spacing w:line="56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1. 订立时间：</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月</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日。</w:t>
      </w:r>
    </w:p>
    <w:p w14:paraId="1260CEE8">
      <w:pPr>
        <w:spacing w:line="56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2. 订立地点：</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w:t>
      </w:r>
    </w:p>
    <w:p w14:paraId="52680BE9">
      <w:pPr>
        <w:spacing w:line="56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本合同协议书一式陆份，双方各持叁份，具有同等法律效力；合同协议书经双方代表签字先复印后加盖单位章后即产生法律效力，服务费用结清后失效。双方要恪守信誉，严格履行。</w:t>
      </w:r>
    </w:p>
    <w:p w14:paraId="1E511D94">
      <w:pPr>
        <w:spacing w:line="56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本合同协议书未尽事宜由双方协商解决。</w:t>
      </w:r>
    </w:p>
    <w:p w14:paraId="1EF28CE9">
      <w:pPr>
        <w:spacing w:line="560" w:lineRule="exact"/>
        <w:ind w:firstLine="475" w:firstLineChars="198"/>
        <w:rPr>
          <w:rFonts w:hint="eastAsia" w:ascii="宋体" w:hAnsi="宋体" w:eastAsia="宋体" w:cs="宋体"/>
          <w:szCs w:val="24"/>
          <w:highlight w:val="none"/>
        </w:rPr>
      </w:pPr>
    </w:p>
    <w:p w14:paraId="783A0CE1">
      <w:pPr>
        <w:spacing w:line="560" w:lineRule="exact"/>
        <w:ind w:firstLine="475" w:firstLineChars="198"/>
        <w:rPr>
          <w:rFonts w:hint="eastAsia" w:ascii="宋体" w:hAnsi="宋体" w:eastAsia="宋体" w:cs="宋体"/>
          <w:szCs w:val="24"/>
          <w:highlight w:val="none"/>
        </w:rPr>
      </w:pPr>
    </w:p>
    <w:p w14:paraId="3B5ED9B2">
      <w:pPr>
        <w:spacing w:line="56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采购人：</w:t>
      </w:r>
      <w:r>
        <w:rPr>
          <w:rFonts w:hint="eastAsia" w:ascii="宋体" w:hAnsi="宋体" w:eastAsia="宋体" w:cs="宋体"/>
          <w:szCs w:val="24"/>
          <w:highlight w:val="none"/>
          <w:u w:val="single"/>
        </w:rPr>
        <w:t xml:space="preserve">   （盖章）      </w:t>
      </w:r>
      <w:r>
        <w:rPr>
          <w:rFonts w:hint="eastAsia" w:ascii="宋体" w:hAnsi="宋体" w:eastAsia="宋体" w:cs="宋体"/>
          <w:szCs w:val="24"/>
          <w:highlight w:val="none"/>
        </w:rPr>
        <w:t xml:space="preserve">            </w:t>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供应商：</w:t>
      </w:r>
      <w:r>
        <w:rPr>
          <w:rFonts w:hint="eastAsia" w:ascii="宋体" w:hAnsi="宋体" w:eastAsia="宋体" w:cs="宋体"/>
          <w:szCs w:val="24"/>
          <w:highlight w:val="none"/>
          <w:u w:val="single"/>
        </w:rPr>
        <w:t xml:space="preserve">   （盖章）         </w:t>
      </w:r>
    </w:p>
    <w:p w14:paraId="453C3C24">
      <w:pPr>
        <w:spacing w:line="560" w:lineRule="exact"/>
        <w:ind w:firstLine="475" w:firstLineChars="198"/>
        <w:rPr>
          <w:rFonts w:ascii="宋体" w:hAnsi="宋体" w:eastAsia="宋体" w:cs="宋体"/>
          <w:szCs w:val="24"/>
          <w:highlight w:val="none"/>
          <w:u w:val="single"/>
        </w:rPr>
      </w:pPr>
      <w:r>
        <w:rPr>
          <w:rFonts w:hint="eastAsia" w:ascii="宋体" w:hAnsi="宋体" w:eastAsia="宋体" w:cs="宋体"/>
          <w:szCs w:val="24"/>
          <w:highlight w:val="none"/>
        </w:rPr>
        <w:t xml:space="preserve">地 址：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地  址：</w:t>
      </w:r>
      <w:r>
        <w:rPr>
          <w:rFonts w:hint="eastAsia" w:ascii="宋体" w:hAnsi="宋体" w:eastAsia="宋体" w:cs="宋体"/>
          <w:szCs w:val="24"/>
          <w:highlight w:val="none"/>
          <w:u w:val="single"/>
        </w:rPr>
        <w:t xml:space="preserve">                    </w:t>
      </w:r>
    </w:p>
    <w:p w14:paraId="3C7B680B">
      <w:pPr>
        <w:spacing w:line="56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邮政编码：</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邮政编码：</w:t>
      </w:r>
      <w:r>
        <w:rPr>
          <w:rFonts w:hint="eastAsia" w:ascii="宋体" w:hAnsi="宋体" w:eastAsia="宋体" w:cs="宋体"/>
          <w:szCs w:val="24"/>
          <w:highlight w:val="none"/>
          <w:u w:val="single"/>
        </w:rPr>
        <w:t xml:space="preserve">                  </w:t>
      </w:r>
    </w:p>
    <w:p w14:paraId="248DCE96">
      <w:pPr>
        <w:spacing w:line="56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 xml:space="preserve">法定代表人或其授权            </w:t>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法定代表人或其授权</w:t>
      </w:r>
    </w:p>
    <w:p w14:paraId="16E664D2">
      <w:pPr>
        <w:spacing w:line="56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的代理人：</w:t>
      </w:r>
      <w:r>
        <w:rPr>
          <w:rFonts w:hint="eastAsia" w:ascii="宋体" w:hAnsi="宋体" w:eastAsia="宋体" w:cs="宋体"/>
          <w:szCs w:val="24"/>
          <w:highlight w:val="none"/>
          <w:u w:val="single"/>
        </w:rPr>
        <w:t xml:space="preserve">（签字）        </w:t>
      </w:r>
      <w:r>
        <w:rPr>
          <w:rFonts w:hint="eastAsia" w:ascii="宋体" w:hAnsi="宋体" w:eastAsia="宋体" w:cs="宋体"/>
          <w:szCs w:val="24"/>
          <w:highlight w:val="none"/>
        </w:rPr>
        <w:t xml:space="preserve">     </w:t>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 xml:space="preserve">   的代理人：</w:t>
      </w:r>
      <w:r>
        <w:rPr>
          <w:rFonts w:hint="eastAsia" w:ascii="宋体" w:hAnsi="宋体" w:eastAsia="宋体" w:cs="宋体"/>
          <w:szCs w:val="24"/>
          <w:highlight w:val="none"/>
          <w:u w:val="single"/>
        </w:rPr>
        <w:t xml:space="preserve">（签字）           </w:t>
      </w:r>
    </w:p>
    <w:p w14:paraId="7B091A1B">
      <w:pPr>
        <w:spacing w:line="56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开户银行：</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 xml:space="preserve">   开户银行：</w:t>
      </w:r>
      <w:r>
        <w:rPr>
          <w:rFonts w:hint="eastAsia" w:ascii="宋体" w:hAnsi="宋体" w:eastAsia="宋体" w:cs="宋体"/>
          <w:szCs w:val="24"/>
          <w:highlight w:val="none"/>
          <w:u w:val="single"/>
        </w:rPr>
        <w:t xml:space="preserve">                  </w:t>
      </w:r>
    </w:p>
    <w:p w14:paraId="303FCA2F">
      <w:pPr>
        <w:spacing w:line="56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账号：</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 xml:space="preserve">      </w:t>
      </w:r>
      <w:r>
        <w:rPr>
          <w:rFonts w:hint="eastAsia" w:ascii="宋体" w:hAnsi="宋体" w:eastAsia="宋体" w:cs="宋体"/>
          <w:szCs w:val="24"/>
          <w:highlight w:val="none"/>
        </w:rPr>
        <w:tab/>
      </w:r>
      <w:r>
        <w:rPr>
          <w:rFonts w:hint="eastAsia" w:ascii="宋体" w:hAnsi="宋体" w:eastAsia="宋体" w:cs="宋体"/>
          <w:szCs w:val="24"/>
          <w:highlight w:val="none"/>
        </w:rPr>
        <w:t>账号：</w:t>
      </w:r>
      <w:r>
        <w:rPr>
          <w:rFonts w:hint="eastAsia" w:ascii="宋体" w:hAnsi="宋体" w:eastAsia="宋体" w:cs="宋体"/>
          <w:szCs w:val="24"/>
          <w:highlight w:val="none"/>
          <w:u w:val="single"/>
        </w:rPr>
        <w:t xml:space="preserve">                      </w:t>
      </w:r>
    </w:p>
    <w:p w14:paraId="34561586">
      <w:pPr>
        <w:spacing w:line="56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电话：</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 xml:space="preserve">    电话：</w:t>
      </w:r>
      <w:r>
        <w:rPr>
          <w:rFonts w:hint="eastAsia" w:ascii="宋体" w:hAnsi="宋体" w:eastAsia="宋体" w:cs="宋体"/>
          <w:szCs w:val="24"/>
          <w:highlight w:val="none"/>
          <w:u w:val="single"/>
        </w:rPr>
        <w:t xml:space="preserve">                      </w:t>
      </w:r>
    </w:p>
    <w:p w14:paraId="66652191">
      <w:pPr>
        <w:spacing w:line="560" w:lineRule="exact"/>
        <w:ind w:firstLine="475" w:firstLineChars="198"/>
        <w:rPr>
          <w:rFonts w:ascii="宋体" w:hAnsi="宋体" w:eastAsia="宋体" w:cs="宋体"/>
          <w:szCs w:val="24"/>
          <w:highlight w:val="none"/>
        </w:rPr>
      </w:pPr>
      <w:r>
        <w:rPr>
          <w:rFonts w:hint="eastAsia" w:ascii="宋体" w:hAnsi="宋体" w:eastAsia="宋体" w:cs="宋体"/>
          <w:szCs w:val="24"/>
          <w:highlight w:val="none"/>
        </w:rPr>
        <w:t>传真：</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传真：</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p>
    <w:p w14:paraId="733BB6EE">
      <w:pPr>
        <w:spacing w:line="560" w:lineRule="exact"/>
        <w:ind w:firstLine="475" w:firstLineChars="198"/>
        <w:rPr>
          <w:rFonts w:ascii="宋体" w:hAnsi="宋体" w:eastAsia="宋体" w:cs="宋体"/>
          <w:szCs w:val="24"/>
          <w:highlight w:val="none"/>
          <w:u w:val="single"/>
        </w:rPr>
      </w:pPr>
      <w:r>
        <w:rPr>
          <w:rFonts w:hint="eastAsia" w:ascii="宋体" w:hAnsi="宋体" w:eastAsia="宋体" w:cs="宋体"/>
          <w:szCs w:val="24"/>
          <w:highlight w:val="none"/>
        </w:rPr>
        <w:t>电子邮箱：</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电子邮箱：</w:t>
      </w:r>
      <w:r>
        <w:rPr>
          <w:rFonts w:hint="eastAsia" w:ascii="宋体" w:hAnsi="宋体" w:eastAsia="宋体" w:cs="宋体"/>
          <w:szCs w:val="24"/>
          <w:highlight w:val="none"/>
          <w:u w:val="single"/>
        </w:rPr>
        <w:t xml:space="preserve">                   </w:t>
      </w:r>
    </w:p>
    <w:p w14:paraId="3EC28CC0">
      <w:pPr>
        <w:spacing w:line="560" w:lineRule="exact"/>
        <w:jc w:val="center"/>
        <w:rPr>
          <w:rFonts w:ascii="宋体" w:hAnsi="宋体" w:eastAsia="宋体" w:cs="宋体"/>
          <w:szCs w:val="24"/>
          <w:highlight w:val="none"/>
        </w:rPr>
      </w:pPr>
    </w:p>
    <w:p w14:paraId="11184C36">
      <w:pPr>
        <w:spacing w:line="56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（注：以采购人及供应商最终签署合同为准。）</w:t>
      </w:r>
    </w:p>
    <w:p w14:paraId="56ADFF9C">
      <w:pPr>
        <w:keepNext w:val="0"/>
        <w:keepLines w:val="0"/>
        <w:pageBreakBefore w:val="0"/>
        <w:kinsoku/>
        <w:overflowPunct/>
        <w:topLinePunct w:val="0"/>
        <w:bidi w:val="0"/>
        <w:snapToGrid/>
        <w:spacing w:line="360" w:lineRule="auto"/>
        <w:ind w:right="0" w:rightChars="0"/>
        <w:textAlignment w:val="auto"/>
        <w:outlineLvl w:val="9"/>
        <w:rPr>
          <w:rFonts w:hint="eastAsia" w:ascii="宋体" w:hAnsi="宋体" w:eastAsia="宋体" w:cs="宋体"/>
          <w:sz w:val="24"/>
          <w:highlight w:val="none"/>
        </w:rPr>
      </w:pPr>
    </w:p>
    <w:p w14:paraId="164F9553">
      <w:pPr>
        <w:keepNext w:val="0"/>
        <w:keepLines w:val="0"/>
        <w:pageBreakBefore w:val="0"/>
        <w:widowControl/>
        <w:tabs>
          <w:tab w:val="center" w:pos="4466"/>
          <w:tab w:val="right" w:pos="8479"/>
        </w:tabs>
        <w:kinsoku/>
        <w:overflowPunct/>
        <w:topLinePunct w:val="0"/>
        <w:bidi w:val="0"/>
        <w:snapToGrid/>
        <w:spacing w:line="360" w:lineRule="auto"/>
        <w:ind w:right="0" w:rightChars="0" w:firstLine="480" w:firstLineChars="200"/>
        <w:jc w:val="left"/>
        <w:textAlignment w:val="auto"/>
        <w:rPr>
          <w:rFonts w:hint="eastAsia" w:ascii="宋体" w:hAnsi="宋体" w:eastAsia="宋体" w:cs="宋体"/>
          <w:highlight w:val="none"/>
          <w:lang w:val="zh-CN"/>
        </w:rPr>
      </w:pPr>
    </w:p>
    <w:p w14:paraId="2AA19281">
      <w:pPr>
        <w:rPr>
          <w:rFonts w:hint="eastAsia" w:ascii="宋体" w:hAnsi="宋体" w:eastAsia="宋体" w:cs="宋体"/>
          <w:b/>
          <w:bCs/>
          <w:color w:val="000000" w:themeColor="text1"/>
          <w:kern w:val="0"/>
          <w:sz w:val="36"/>
          <w:szCs w:val="36"/>
          <w:highlight w:val="none"/>
          <w14:textFill>
            <w14:solidFill>
              <w14:schemeClr w14:val="tx1"/>
            </w14:solidFill>
          </w14:textFill>
        </w:rPr>
      </w:pPr>
      <w:r>
        <w:rPr>
          <w:rFonts w:hint="eastAsia" w:ascii="宋体" w:hAnsi="宋体" w:eastAsia="宋体" w:cs="宋体"/>
          <w:b/>
          <w:bCs/>
          <w:color w:val="000000" w:themeColor="text1"/>
          <w:kern w:val="0"/>
          <w:sz w:val="36"/>
          <w:szCs w:val="36"/>
          <w:highlight w:val="none"/>
          <w14:textFill>
            <w14:solidFill>
              <w14:schemeClr w14:val="tx1"/>
            </w14:solidFill>
          </w14:textFill>
        </w:rPr>
        <w:br w:type="page"/>
      </w:r>
    </w:p>
    <w:bookmarkEnd w:id="53"/>
    <w:bookmarkEnd w:id="54"/>
    <w:bookmarkEnd w:id="55"/>
    <w:p w14:paraId="03F35427">
      <w:pPr>
        <w:pStyle w:val="2"/>
        <w:bidi w:val="0"/>
        <w:jc w:val="center"/>
        <w:rPr>
          <w:rFonts w:hint="eastAsia"/>
          <w:highlight w:val="none"/>
        </w:rPr>
      </w:pPr>
      <w:bookmarkStart w:id="62" w:name="_Toc28292"/>
      <w:bookmarkStart w:id="63" w:name="_Toc25147"/>
      <w:r>
        <w:rPr>
          <w:rFonts w:hint="eastAsia"/>
          <w:highlight w:val="none"/>
        </w:rPr>
        <w:t xml:space="preserve">第五章 </w:t>
      </w:r>
      <w:bookmarkStart w:id="64" w:name="_Toc9837"/>
      <w:bookmarkStart w:id="65" w:name="_Toc25636"/>
      <w:r>
        <w:rPr>
          <w:rFonts w:hint="eastAsia"/>
          <w:highlight w:val="none"/>
        </w:rPr>
        <w:t>响应文件格式</w:t>
      </w:r>
      <w:bookmarkEnd w:id="62"/>
      <w:bookmarkEnd w:id="63"/>
      <w:bookmarkEnd w:id="64"/>
      <w:bookmarkEnd w:id="65"/>
    </w:p>
    <w:p w14:paraId="459253AA">
      <w:pPr>
        <w:rPr>
          <w:rFonts w:hint="eastAsia" w:ascii="宋体" w:hAnsi="宋体" w:eastAsia="宋体" w:cs="宋体"/>
          <w:b/>
          <w:bCs/>
          <w:sz w:val="28"/>
          <w:szCs w:val="24"/>
          <w:highlight w:val="none"/>
        </w:rPr>
      </w:pPr>
    </w:p>
    <w:p w14:paraId="2101685D">
      <w:pPr>
        <w:pStyle w:val="13"/>
        <w:rPr>
          <w:rFonts w:hint="eastAsia" w:ascii="宋体" w:hAnsi="宋体" w:eastAsia="宋体" w:cs="宋体"/>
          <w:highlight w:val="none"/>
        </w:rPr>
      </w:pPr>
    </w:p>
    <w:p w14:paraId="5CA22D97">
      <w:pPr>
        <w:rPr>
          <w:rFonts w:hint="eastAsia" w:ascii="宋体" w:hAnsi="宋体" w:eastAsia="宋体" w:cs="宋体"/>
          <w:b/>
          <w:bCs/>
          <w:sz w:val="28"/>
          <w:szCs w:val="24"/>
          <w:highlight w:val="none"/>
        </w:rPr>
      </w:pPr>
      <w:r>
        <w:rPr>
          <w:rFonts w:hint="eastAsia" w:ascii="宋体" w:hAnsi="宋体" w:eastAsia="宋体" w:cs="宋体"/>
          <w:b/>
          <w:bCs/>
          <w:sz w:val="28"/>
          <w:szCs w:val="24"/>
          <w:highlight w:val="none"/>
        </w:rPr>
        <w:t>一、封面</w:t>
      </w:r>
    </w:p>
    <w:p w14:paraId="01A17CCD">
      <w:pPr>
        <w:spacing w:line="360" w:lineRule="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                                 </w:t>
      </w:r>
      <w:r>
        <w:rPr>
          <w:rFonts w:hint="eastAsia" w:ascii="宋体" w:hAnsi="宋体" w:eastAsia="宋体" w:cs="宋体"/>
          <w:b/>
          <w:color w:val="000000" w:themeColor="text1"/>
          <w:sz w:val="36"/>
          <w:szCs w:val="36"/>
          <w:highlight w:val="none"/>
          <w:bdr w:val="single" w:color="auto" w:sz="4" w:space="0"/>
          <w:shd w:val="pct10" w:color="auto" w:fill="FFFFFF"/>
          <w14:textFill>
            <w14:solidFill>
              <w14:schemeClr w14:val="tx1"/>
            </w14:solidFill>
          </w14:textFill>
        </w:rPr>
        <w:t>政府采购项目</w:t>
      </w:r>
    </w:p>
    <w:p w14:paraId="3813B384">
      <w:pPr>
        <w:spacing w:line="360" w:lineRule="auto"/>
        <w:rPr>
          <w:rFonts w:hint="eastAsia" w:ascii="宋体" w:hAnsi="宋体" w:eastAsia="宋体" w:cs="宋体"/>
          <w:color w:val="000000" w:themeColor="text1"/>
          <w:szCs w:val="24"/>
          <w:highlight w:val="none"/>
          <w:u w:val="single"/>
          <w:lang w:val="en-US" w:eastAsia="zh-CN"/>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项目编号:</w:t>
      </w:r>
      <w:r>
        <w:rPr>
          <w:rFonts w:hint="eastAsia" w:ascii="宋体" w:hAnsi="宋体" w:eastAsia="宋体" w:cs="宋体"/>
          <w:b/>
          <w:color w:val="000000" w:themeColor="text1"/>
          <w:sz w:val="36"/>
          <w:szCs w:val="36"/>
          <w:highlight w:val="none"/>
          <w:u w:val="single"/>
          <w:lang w:val="en-US" w:eastAsia="zh-CN"/>
          <w14:textFill>
            <w14:solidFill>
              <w14:schemeClr w14:val="tx1"/>
            </w14:solidFill>
          </w14:textFill>
        </w:rPr>
        <w:t xml:space="preserve">             </w:t>
      </w:r>
    </w:p>
    <w:p w14:paraId="4447D141">
      <w:pPr>
        <w:pStyle w:val="13"/>
        <w:spacing w:line="360" w:lineRule="auto"/>
        <w:rPr>
          <w:rFonts w:hint="eastAsia" w:ascii="宋体" w:hAnsi="宋体" w:eastAsia="宋体" w:cs="宋体"/>
          <w:color w:val="000000" w:themeColor="text1"/>
          <w:highlight w:val="none"/>
          <w14:textFill>
            <w14:solidFill>
              <w14:schemeClr w14:val="tx1"/>
            </w14:solidFill>
          </w14:textFill>
        </w:rPr>
      </w:pPr>
    </w:p>
    <w:p w14:paraId="560B9085">
      <w:pPr>
        <w:pStyle w:val="36"/>
        <w:spacing w:line="480" w:lineRule="auto"/>
        <w:ind w:firstLine="0" w:firstLineChars="0"/>
        <w:jc w:val="center"/>
        <w:rPr>
          <w:rFonts w:hint="eastAsia" w:ascii="宋体" w:hAnsi="宋体" w:eastAsia="宋体" w:cs="宋体"/>
          <w:b/>
          <w:bCs/>
          <w:sz w:val="36"/>
          <w:szCs w:val="36"/>
          <w:highlight w:val="none"/>
          <w:lang w:eastAsia="zh-CN"/>
        </w:rPr>
      </w:pPr>
    </w:p>
    <w:p w14:paraId="3452CCD3">
      <w:pPr>
        <w:pStyle w:val="36"/>
        <w:spacing w:line="480" w:lineRule="auto"/>
        <w:ind w:firstLine="0" w:firstLineChars="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千阳县民政局适老化改造项目</w:t>
      </w:r>
    </w:p>
    <w:p w14:paraId="5BE72DFF">
      <w:pPr>
        <w:pStyle w:val="35"/>
        <w:ind w:firstLine="280"/>
        <w:rPr>
          <w:rFonts w:hint="eastAsia" w:ascii="宋体" w:hAnsi="宋体" w:eastAsia="宋体" w:cs="宋体"/>
          <w:color w:val="000000" w:themeColor="text1"/>
          <w:highlight w:val="none"/>
          <w14:textFill>
            <w14:solidFill>
              <w14:schemeClr w14:val="tx1"/>
            </w14:solidFill>
          </w14:textFill>
        </w:rPr>
      </w:pPr>
    </w:p>
    <w:p w14:paraId="3104C4AF">
      <w:pPr>
        <w:pStyle w:val="36"/>
        <w:ind w:firstLine="640"/>
        <w:rPr>
          <w:rFonts w:hint="eastAsia" w:ascii="宋体" w:hAnsi="宋体" w:eastAsia="宋体" w:cs="宋体"/>
          <w:color w:val="000000" w:themeColor="text1"/>
          <w:highlight w:val="none"/>
          <w14:textFill>
            <w14:solidFill>
              <w14:schemeClr w14:val="tx1"/>
            </w14:solidFill>
          </w14:textFill>
        </w:rPr>
      </w:pPr>
    </w:p>
    <w:p w14:paraId="712E5E83">
      <w:pPr>
        <w:pStyle w:val="36"/>
        <w:ind w:firstLine="640"/>
        <w:rPr>
          <w:rFonts w:hint="eastAsia" w:ascii="宋体" w:hAnsi="宋体" w:eastAsia="宋体" w:cs="宋体"/>
          <w:color w:val="000000" w:themeColor="text1"/>
          <w:highlight w:val="none"/>
          <w14:textFill>
            <w14:solidFill>
              <w14:schemeClr w14:val="tx1"/>
            </w14:solidFill>
          </w14:textFill>
        </w:rPr>
      </w:pPr>
    </w:p>
    <w:p w14:paraId="0FA4FE8D">
      <w:pPr>
        <w:pStyle w:val="36"/>
        <w:ind w:firstLine="640"/>
        <w:rPr>
          <w:rFonts w:hint="eastAsia" w:ascii="宋体" w:hAnsi="宋体" w:eastAsia="宋体" w:cs="宋体"/>
          <w:color w:val="000000" w:themeColor="text1"/>
          <w:highlight w:val="none"/>
          <w14:textFill>
            <w14:solidFill>
              <w14:schemeClr w14:val="tx1"/>
            </w14:solidFill>
          </w14:textFill>
        </w:rPr>
      </w:pPr>
    </w:p>
    <w:p w14:paraId="5331E2F6">
      <w:pPr>
        <w:spacing w:before="156" w:beforeLines="50" w:line="360" w:lineRule="auto"/>
        <w:ind w:right="-998" w:rightChars="-416" w:firstLine="1807" w:firstLineChars="300"/>
        <w:rPr>
          <w:rFonts w:hint="eastAsia" w:ascii="宋体" w:hAnsi="宋体" w:eastAsia="宋体" w:cs="宋体"/>
          <w:b/>
          <w:bCs/>
          <w:color w:val="000000" w:themeColor="text1"/>
          <w:spacing w:val="20"/>
          <w:kern w:val="0"/>
          <w:sz w:val="56"/>
          <w:szCs w:val="56"/>
          <w:highlight w:val="none"/>
          <w14:textFill>
            <w14:solidFill>
              <w14:schemeClr w14:val="tx1"/>
            </w14:solidFill>
          </w14:textFill>
        </w:rPr>
      </w:pPr>
      <w:r>
        <w:rPr>
          <w:rFonts w:hint="eastAsia" w:ascii="宋体" w:hAnsi="宋体" w:eastAsia="宋体" w:cs="宋体"/>
          <w:b/>
          <w:bCs/>
          <w:color w:val="000000" w:themeColor="text1"/>
          <w:spacing w:val="20"/>
          <w:kern w:val="0"/>
          <w:sz w:val="56"/>
          <w:szCs w:val="56"/>
          <w:highlight w:val="none"/>
          <w14:textFill>
            <w14:solidFill>
              <w14:schemeClr w14:val="tx1"/>
            </w14:solidFill>
          </w14:textFill>
        </w:rPr>
        <w:t>竞争性磋商响应文件</w:t>
      </w:r>
    </w:p>
    <w:p w14:paraId="048359EA">
      <w:pPr>
        <w:pStyle w:val="36"/>
        <w:ind w:firstLine="640"/>
        <w:rPr>
          <w:rFonts w:hint="eastAsia" w:ascii="宋体" w:hAnsi="宋体" w:eastAsia="宋体" w:cs="宋体"/>
          <w:color w:val="000000" w:themeColor="text1"/>
          <w:highlight w:val="none"/>
          <w14:textFill>
            <w14:solidFill>
              <w14:schemeClr w14:val="tx1"/>
            </w14:solidFill>
          </w14:textFill>
        </w:rPr>
      </w:pPr>
    </w:p>
    <w:p w14:paraId="14CDD565">
      <w:pPr>
        <w:spacing w:line="480" w:lineRule="auto"/>
        <w:ind w:firstLine="1188" w:firstLineChars="400"/>
        <w:rPr>
          <w:rFonts w:hint="eastAsia" w:ascii="宋体" w:hAnsi="宋体" w:eastAsia="宋体" w:cs="宋体"/>
          <w:b/>
          <w:color w:val="000000" w:themeColor="text1"/>
          <w:spacing w:val="8"/>
          <w:sz w:val="28"/>
          <w:szCs w:val="28"/>
          <w:highlight w:val="none"/>
          <w14:textFill>
            <w14:solidFill>
              <w14:schemeClr w14:val="tx1"/>
            </w14:solidFill>
          </w14:textFill>
        </w:rPr>
      </w:pPr>
    </w:p>
    <w:p w14:paraId="1E49D994">
      <w:pPr>
        <w:numPr>
          <w:ilvl w:val="3"/>
          <w:numId w:val="0"/>
        </w:numPr>
        <w:rPr>
          <w:rFonts w:hint="eastAsia" w:ascii="宋体" w:hAnsi="宋体" w:eastAsia="宋体" w:cs="宋体"/>
          <w:highlight w:val="none"/>
        </w:rPr>
      </w:pPr>
    </w:p>
    <w:p w14:paraId="0069B118">
      <w:pPr>
        <w:rPr>
          <w:rFonts w:hint="eastAsia" w:ascii="宋体" w:hAnsi="宋体" w:eastAsia="宋体" w:cs="宋体"/>
          <w:highlight w:val="none"/>
        </w:rPr>
      </w:pPr>
    </w:p>
    <w:p w14:paraId="6287224C">
      <w:pPr>
        <w:numPr>
          <w:ilvl w:val="3"/>
          <w:numId w:val="0"/>
        </w:numPr>
        <w:rPr>
          <w:rFonts w:hint="eastAsia" w:ascii="宋体" w:hAnsi="宋体" w:eastAsia="宋体" w:cs="宋体"/>
          <w:highlight w:val="none"/>
        </w:rPr>
      </w:pPr>
    </w:p>
    <w:p w14:paraId="2AADECBE">
      <w:pPr>
        <w:spacing w:line="480" w:lineRule="auto"/>
        <w:ind w:firstLine="1485" w:firstLineChars="500"/>
        <w:rPr>
          <w:rFonts w:hint="eastAsia" w:ascii="宋体" w:hAnsi="宋体" w:eastAsia="宋体" w:cs="宋体"/>
          <w:b/>
          <w:color w:val="000000" w:themeColor="text1"/>
          <w:spacing w:val="8"/>
          <w:sz w:val="28"/>
          <w:szCs w:val="28"/>
          <w:highlight w:val="none"/>
          <w14:textFill>
            <w14:solidFill>
              <w14:schemeClr w14:val="tx1"/>
            </w14:solidFill>
          </w14:textFill>
        </w:rPr>
      </w:pPr>
      <w:r>
        <w:rPr>
          <w:rFonts w:hint="eastAsia" w:ascii="宋体" w:hAnsi="宋体" w:eastAsia="宋体" w:cs="宋体"/>
          <w:b/>
          <w:color w:val="000000" w:themeColor="text1"/>
          <w:spacing w:val="8"/>
          <w:sz w:val="28"/>
          <w:szCs w:val="28"/>
          <w:highlight w:val="none"/>
          <w14:textFill>
            <w14:solidFill>
              <w14:schemeClr w14:val="tx1"/>
            </w14:solidFill>
          </w14:textFill>
        </w:rPr>
        <w:t>供应商（公章）：</w:t>
      </w:r>
      <w:r>
        <w:rPr>
          <w:rFonts w:hint="eastAsia" w:ascii="宋体" w:hAnsi="宋体" w:eastAsia="宋体" w:cs="宋体"/>
          <w:b/>
          <w:color w:val="000000" w:themeColor="text1"/>
          <w:spacing w:val="8"/>
          <w:sz w:val="28"/>
          <w:szCs w:val="28"/>
          <w:highlight w:val="none"/>
          <w:u w:val="single"/>
          <w14:textFill>
            <w14:solidFill>
              <w14:schemeClr w14:val="tx1"/>
            </w14:solidFill>
          </w14:textFill>
        </w:rPr>
        <w:t xml:space="preserve">                     </w:t>
      </w:r>
    </w:p>
    <w:p w14:paraId="7D5219CA">
      <w:pPr>
        <w:spacing w:line="480" w:lineRule="auto"/>
        <w:ind w:firstLine="1687" w:firstLineChars="600"/>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间：</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bookmarkStart w:id="66" w:name="_Toc193187097"/>
      <w:bookmarkStart w:id="67" w:name="_Toc169838532"/>
      <w:bookmarkStart w:id="68" w:name="_Toc167590775"/>
      <w:bookmarkStart w:id="69" w:name="_Toc169846776"/>
      <w:bookmarkStart w:id="70" w:name="_Toc193126881"/>
      <w:bookmarkStart w:id="71" w:name="_Toc169846873"/>
      <w:bookmarkStart w:id="72" w:name="_Toc154482479"/>
      <w:bookmarkStart w:id="73" w:name="_Toc170980453"/>
      <w:bookmarkStart w:id="74" w:name="_Toc167591144"/>
      <w:bookmarkStart w:id="75" w:name="_Toc175032437"/>
      <w:bookmarkStart w:id="76" w:name="_Toc188808833"/>
      <w:bookmarkStart w:id="77" w:name="_Toc194663918"/>
      <w:bookmarkStart w:id="78" w:name="_Toc170980552"/>
      <w:bookmarkStart w:id="79" w:name="_Toc167849360"/>
      <w:bookmarkStart w:id="80" w:name="_Toc173549978"/>
      <w:bookmarkStart w:id="81" w:name="_Toc167591492"/>
      <w:bookmarkStart w:id="82" w:name="_Toc167591043"/>
      <w:bookmarkStart w:id="83" w:name="_Toc167591330"/>
      <w:bookmarkStart w:id="84" w:name="_Toc175033592"/>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p>
    <w:p w14:paraId="09EF115D">
      <w:pPr>
        <w:pStyle w:val="13"/>
        <w:rPr>
          <w:rFonts w:hint="eastAsia" w:ascii="宋体" w:hAnsi="宋体" w:eastAsia="宋体" w:cs="宋体"/>
          <w:b/>
          <w:color w:val="000000" w:themeColor="text1"/>
          <w:sz w:val="28"/>
          <w:szCs w:val="28"/>
          <w:highlight w:val="none"/>
          <w:u w:val="single"/>
          <w14:textFill>
            <w14:solidFill>
              <w14:schemeClr w14:val="tx1"/>
            </w14:solidFill>
          </w14:textFill>
        </w:rPr>
      </w:pPr>
    </w:p>
    <w:p w14:paraId="0A2C206E">
      <w:pPr>
        <w:rPr>
          <w:rFonts w:hint="eastAsia" w:ascii="宋体" w:hAnsi="宋体" w:eastAsia="宋体" w:cs="宋体"/>
          <w:bCs/>
          <w:color w:val="000000" w:themeColor="text1"/>
          <w:kern w:val="0"/>
          <w:sz w:val="24"/>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1"/>
          <w:highlight w:val="none"/>
          <w:lang w:val="en-US" w:eastAsia="zh-CN" w:bidi="ar-SA"/>
          <w14:textFill>
            <w14:solidFill>
              <w14:schemeClr w14:val="tx1"/>
            </w14:solidFill>
          </w14:textFill>
        </w:rPr>
        <w:br w:type="page"/>
      </w:r>
    </w:p>
    <w:p w14:paraId="5D5BD5ED">
      <w:pPr>
        <w:numPr>
          <w:ilvl w:val="0"/>
          <w:numId w:val="0"/>
        </w:numPr>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 w:val="24"/>
          <w:szCs w:val="21"/>
          <w:highlight w:val="none"/>
          <w:lang w:val="en-US" w:eastAsia="zh-CN" w:bidi="ar-SA"/>
          <w14:textFill>
            <w14:solidFill>
              <w14:schemeClr w14:val="tx1"/>
            </w14:solidFill>
          </w14:textFill>
        </w:rPr>
        <w:t>二、</w:t>
      </w:r>
      <w:r>
        <w:rPr>
          <w:rFonts w:hint="eastAsia" w:ascii="宋体" w:hAnsi="宋体" w:eastAsia="宋体" w:cs="宋体"/>
          <w:b/>
          <w:bCs/>
          <w:sz w:val="28"/>
          <w:szCs w:val="24"/>
          <w:highlight w:val="none"/>
        </w:rPr>
        <w:t>资格证明文件</w:t>
      </w:r>
    </w:p>
    <w:p w14:paraId="2580348C">
      <w:pPr>
        <w:pStyle w:val="32"/>
        <w:widowControl/>
        <w:numPr>
          <w:ilvl w:val="0"/>
          <w:numId w:val="0"/>
        </w:numPr>
        <w:wordWrap w:val="0"/>
        <w:spacing w:line="560" w:lineRule="exact"/>
        <w:ind w:firstLine="480" w:firstLineChars="200"/>
        <w:jc w:val="both"/>
        <w:rPr>
          <w:rFonts w:hint="eastAsia"/>
          <w:highlight w:val="none"/>
        </w:rPr>
      </w:pPr>
      <w:r>
        <w:rPr>
          <w:rFonts w:hint="eastAsia" w:asciiTheme="majorEastAsia" w:hAnsiTheme="majorEastAsia" w:eastAsiaTheme="majorEastAsia" w:cstheme="majorEastAsia"/>
          <w:sz w:val="24"/>
          <w:szCs w:val="24"/>
          <w:highlight w:val="none"/>
          <w:shd w:val="clear" w:color="auto" w:fill="FFFFFF"/>
          <w:lang w:val="en-US" w:eastAsia="zh-CN"/>
        </w:rPr>
        <w:t>1）</w:t>
      </w:r>
      <w:r>
        <w:rPr>
          <w:rFonts w:hint="eastAsia" w:asciiTheme="majorEastAsia" w:hAnsiTheme="majorEastAsia" w:eastAsiaTheme="majorEastAsia" w:cstheme="majorEastAsia"/>
          <w:sz w:val="24"/>
          <w:szCs w:val="24"/>
          <w:highlight w:val="none"/>
          <w:shd w:val="clear" w:color="auto" w:fill="FFFFFF"/>
        </w:rPr>
        <w:t>营业执照等主体资格证明文件：供应商应为具有独立承担民事责任能力的企业法人、事业法人、其他组织或自然人，企业法人须提供统一社会信用代码的营业执照、事业单位须提供事业单位法人证、组织机构代码证等证明文件、其他组织应提供合法证明文件、自然人参与的提供其身份证；</w:t>
      </w:r>
    </w:p>
    <w:p w14:paraId="4BD24BCF">
      <w:pPr>
        <w:pStyle w:val="32"/>
        <w:widowControl/>
        <w:numPr>
          <w:ilvl w:val="0"/>
          <w:numId w:val="0"/>
        </w:numPr>
        <w:wordWrap w:val="0"/>
        <w:spacing w:line="560" w:lineRule="exact"/>
        <w:ind w:firstLine="480" w:firstLineChars="200"/>
        <w:jc w:val="both"/>
        <w:rPr>
          <w:rFonts w:hint="eastAsia" w:eastAsiaTheme="majorEastAsia"/>
          <w:highlight w:val="none"/>
          <w:lang w:eastAsia="zh-CN"/>
        </w:rPr>
      </w:pPr>
      <w:r>
        <w:rPr>
          <w:rFonts w:hint="eastAsia" w:asciiTheme="majorEastAsia" w:hAnsiTheme="majorEastAsia" w:eastAsiaTheme="majorEastAsia" w:cstheme="majorEastAsia"/>
          <w:sz w:val="24"/>
          <w:szCs w:val="24"/>
          <w:highlight w:val="none"/>
          <w:shd w:val="clear" w:color="auto" w:fill="FFFFFF"/>
        </w:rPr>
        <w:t>2）财务状况报告：</w:t>
      </w:r>
      <w:r>
        <w:rPr>
          <w:rFonts w:hint="eastAsia" w:asciiTheme="majorEastAsia" w:hAnsiTheme="majorEastAsia" w:eastAsiaTheme="majorEastAsia" w:cstheme="majorEastAsia"/>
          <w:sz w:val="24"/>
          <w:szCs w:val="24"/>
          <w:highlight w:val="none"/>
          <w:shd w:val="clear" w:color="auto" w:fill="FFFFFF"/>
          <w:lang w:eastAsia="zh-CN"/>
        </w:rPr>
        <w:t>供应商须提供2024年度的财务审计报告（至少包括资产负债表和利润表，成立时间至提交响应文件截止时间不足一年的可提供成立后任意时段的资产负债表）或开标前六个月内其基本账户开户银行出具的资信证明。其他组织和自然人提供开标前六个月内银行出具的资信证明；</w:t>
      </w:r>
    </w:p>
    <w:p w14:paraId="0215CAB2">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lang w:eastAsia="zh-CN"/>
        </w:rPr>
      </w:pPr>
      <w:r>
        <w:rPr>
          <w:rFonts w:hint="eastAsia" w:asciiTheme="majorEastAsia" w:hAnsiTheme="majorEastAsia" w:eastAsiaTheme="majorEastAsia" w:cstheme="majorEastAsia"/>
          <w:sz w:val="24"/>
          <w:szCs w:val="24"/>
          <w:highlight w:val="none"/>
          <w:shd w:val="clear" w:color="auto" w:fill="FFFFFF"/>
          <w:lang w:val="en-US" w:eastAsia="zh-CN"/>
        </w:rPr>
        <w:t>3</w:t>
      </w:r>
      <w:r>
        <w:rPr>
          <w:rFonts w:hint="eastAsia" w:asciiTheme="majorEastAsia" w:hAnsiTheme="majorEastAsia" w:eastAsiaTheme="majorEastAsia" w:cstheme="majorEastAsia"/>
          <w:sz w:val="24"/>
          <w:szCs w:val="24"/>
          <w:highlight w:val="none"/>
          <w:shd w:val="clear" w:color="auto" w:fill="FFFFFF"/>
        </w:rPr>
        <w:t>）社保缴纳证明：提供202</w:t>
      </w: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1月至今</w:t>
      </w:r>
      <w:r>
        <w:rPr>
          <w:rFonts w:hint="eastAsia" w:asciiTheme="majorEastAsia" w:hAnsiTheme="majorEastAsia" w:eastAsiaTheme="majorEastAsia" w:cstheme="majorEastAsia"/>
          <w:sz w:val="24"/>
          <w:szCs w:val="24"/>
          <w:highlight w:val="none"/>
          <w:shd w:val="clear" w:color="auto" w:fill="FFFFFF"/>
        </w:rPr>
        <w:t>已缴存的至少</w:t>
      </w:r>
      <w:r>
        <w:rPr>
          <w:rFonts w:hint="eastAsia" w:asciiTheme="majorEastAsia" w:hAnsiTheme="majorEastAsia" w:eastAsiaTheme="majorEastAsia" w:cstheme="majorEastAsia"/>
          <w:sz w:val="24"/>
          <w:szCs w:val="24"/>
          <w:highlight w:val="none"/>
          <w:shd w:val="clear" w:color="auto" w:fill="FFFFFF"/>
          <w:lang w:val="en-US" w:eastAsia="zh-CN"/>
        </w:rPr>
        <w:t>连续</w:t>
      </w:r>
      <w:r>
        <w:rPr>
          <w:rFonts w:hint="eastAsia" w:asciiTheme="majorEastAsia" w:hAnsiTheme="majorEastAsia" w:eastAsiaTheme="majorEastAsia" w:cstheme="majorEastAsia"/>
          <w:sz w:val="24"/>
          <w:szCs w:val="24"/>
          <w:highlight w:val="none"/>
          <w:shd w:val="clear" w:color="auto" w:fill="FFFFFF"/>
        </w:rPr>
        <w:t>六个月的社会保障资金缴存单据或社保机构开具的社会保险参保缴费情况证明，依法不需要缴纳社会保障资金的单位应提供相关证明材料；</w:t>
      </w:r>
    </w:p>
    <w:p w14:paraId="198E7B00">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4</w:t>
      </w:r>
      <w:r>
        <w:rPr>
          <w:rFonts w:hint="eastAsia" w:asciiTheme="majorEastAsia" w:hAnsiTheme="majorEastAsia" w:eastAsiaTheme="majorEastAsia" w:cstheme="majorEastAsia"/>
          <w:sz w:val="24"/>
          <w:szCs w:val="24"/>
          <w:highlight w:val="none"/>
          <w:shd w:val="clear" w:color="auto" w:fill="FFFFFF"/>
        </w:rPr>
        <w:t>）税收缴纳证明：提供202</w:t>
      </w: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年</w:t>
      </w:r>
      <w:r>
        <w:rPr>
          <w:rFonts w:hint="eastAsia" w:asciiTheme="majorEastAsia" w:hAnsiTheme="majorEastAsia" w:eastAsiaTheme="majorEastAsia" w:cstheme="majorEastAsia"/>
          <w:sz w:val="24"/>
          <w:szCs w:val="24"/>
          <w:highlight w:val="none"/>
          <w:shd w:val="clear" w:color="auto" w:fill="FFFFFF"/>
          <w:lang w:val="en-US" w:eastAsia="zh-CN"/>
        </w:rPr>
        <w:t>1月至今</w:t>
      </w:r>
      <w:r>
        <w:rPr>
          <w:rFonts w:hint="eastAsia" w:asciiTheme="majorEastAsia" w:hAnsiTheme="majorEastAsia" w:eastAsiaTheme="majorEastAsia" w:cstheme="majorEastAsia"/>
          <w:sz w:val="24"/>
          <w:szCs w:val="24"/>
          <w:highlight w:val="none"/>
          <w:shd w:val="clear" w:color="auto" w:fill="FFFFFF"/>
        </w:rPr>
        <w:t>已缴存的至少</w:t>
      </w:r>
      <w:r>
        <w:rPr>
          <w:rFonts w:hint="eastAsia" w:asciiTheme="majorEastAsia" w:hAnsiTheme="majorEastAsia" w:eastAsiaTheme="majorEastAsia" w:cstheme="majorEastAsia"/>
          <w:sz w:val="24"/>
          <w:szCs w:val="24"/>
          <w:highlight w:val="none"/>
          <w:shd w:val="clear" w:color="auto" w:fill="FFFFFF"/>
          <w:lang w:val="en-US" w:eastAsia="zh-CN"/>
        </w:rPr>
        <w:t>连续</w:t>
      </w:r>
      <w:r>
        <w:rPr>
          <w:rFonts w:hint="eastAsia" w:asciiTheme="majorEastAsia" w:hAnsiTheme="majorEastAsia" w:eastAsiaTheme="majorEastAsia" w:cstheme="majorEastAsia"/>
          <w:sz w:val="24"/>
          <w:szCs w:val="24"/>
          <w:highlight w:val="none"/>
          <w:shd w:val="clear" w:color="auto" w:fill="FFFFFF"/>
        </w:rPr>
        <w:t>六个月的纳税证明或完税证明，依法免税的单位应提供相关证明材料</w:t>
      </w:r>
      <w:r>
        <w:rPr>
          <w:rFonts w:hint="eastAsia" w:asciiTheme="majorEastAsia" w:hAnsiTheme="majorEastAsia" w:eastAsiaTheme="majorEastAsia" w:cstheme="majorEastAsia"/>
          <w:sz w:val="24"/>
          <w:szCs w:val="24"/>
          <w:highlight w:val="none"/>
          <w:shd w:val="clear" w:color="auto" w:fill="FFFFFF"/>
          <w:lang w:val="en-US" w:eastAsia="zh-CN"/>
        </w:rPr>
        <w:t>；</w:t>
      </w:r>
    </w:p>
    <w:p w14:paraId="06466870">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5</w:t>
      </w:r>
      <w:r>
        <w:rPr>
          <w:rFonts w:hint="eastAsia" w:asciiTheme="majorEastAsia" w:hAnsiTheme="majorEastAsia" w:eastAsiaTheme="majorEastAsia" w:cstheme="majorEastAsia"/>
          <w:sz w:val="24"/>
          <w:szCs w:val="24"/>
          <w:highlight w:val="none"/>
          <w:shd w:val="clear" w:color="auto" w:fill="FFFFFF"/>
        </w:rPr>
        <w:t>）信用记录：</w:t>
      </w:r>
      <w:r>
        <w:rPr>
          <w:rFonts w:hint="eastAsia" w:asciiTheme="majorEastAsia" w:hAnsiTheme="majorEastAsia" w:eastAsiaTheme="majorEastAsia" w:cstheme="majorEastAsia"/>
          <w:sz w:val="24"/>
          <w:szCs w:val="24"/>
          <w:highlight w:val="none"/>
          <w:shd w:val="clear" w:color="auto" w:fill="FFFFFF"/>
          <w:lang w:val="en-US" w:eastAsia="zh-CN"/>
        </w:rPr>
        <w:t>供应商未被列入“信用中国”网站(www.creditchina.gov.cn)“失信被执行人和重大税收违法失信主体；未被列入“中国政府采购网”(www.ccgp.gov.cn)“政府采购严重违法失信行为信息记录”</w:t>
      </w:r>
      <w:r>
        <w:rPr>
          <w:rFonts w:hint="eastAsia" w:asciiTheme="majorEastAsia" w:hAnsiTheme="majorEastAsia" w:eastAsiaTheme="majorEastAsia" w:cstheme="majorEastAsia"/>
          <w:sz w:val="24"/>
          <w:szCs w:val="24"/>
          <w:highlight w:val="none"/>
          <w:shd w:val="clear" w:color="auto" w:fill="FFFFFF"/>
        </w:rPr>
        <w:t>；</w:t>
      </w:r>
    </w:p>
    <w:p w14:paraId="4B0EDBA8">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6</w:t>
      </w:r>
      <w:r>
        <w:rPr>
          <w:rFonts w:hint="eastAsia" w:asciiTheme="majorEastAsia" w:hAnsiTheme="majorEastAsia" w:eastAsiaTheme="majorEastAsia" w:cstheme="majorEastAsia"/>
          <w:sz w:val="24"/>
          <w:szCs w:val="24"/>
          <w:highlight w:val="none"/>
          <w:shd w:val="clear" w:color="auto" w:fill="FFFFFF"/>
        </w:rPr>
        <w:t>）控股管理关系：单位负责人为同一人或者存在直接控股、管理关系的不同供应商，不得参加同一合同项下的政府采购活动（提供书面承诺</w:t>
      </w:r>
      <w:r>
        <w:rPr>
          <w:rFonts w:hint="eastAsia" w:asciiTheme="majorEastAsia" w:hAnsiTheme="majorEastAsia" w:eastAsiaTheme="majorEastAsia" w:cstheme="majorEastAsia"/>
          <w:sz w:val="24"/>
          <w:szCs w:val="24"/>
          <w:highlight w:val="none"/>
          <w:shd w:val="clear" w:color="auto" w:fill="FFFFFF"/>
          <w:lang w:eastAsia="zh-CN"/>
        </w:rPr>
        <w:t>）</w:t>
      </w:r>
      <w:r>
        <w:rPr>
          <w:rFonts w:hint="eastAsia" w:asciiTheme="majorEastAsia" w:hAnsiTheme="majorEastAsia" w:eastAsiaTheme="majorEastAsia" w:cstheme="majorEastAsia"/>
          <w:sz w:val="24"/>
          <w:szCs w:val="24"/>
          <w:highlight w:val="none"/>
          <w:shd w:val="clear" w:color="auto" w:fill="FFFFFF"/>
        </w:rPr>
        <w:t>；</w:t>
      </w:r>
    </w:p>
    <w:p w14:paraId="4DC3AE52">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7</w:t>
      </w:r>
      <w:r>
        <w:rPr>
          <w:rFonts w:hint="eastAsia" w:asciiTheme="majorEastAsia" w:hAnsiTheme="majorEastAsia" w:eastAsiaTheme="majorEastAsia" w:cstheme="majorEastAsia"/>
          <w:sz w:val="24"/>
          <w:szCs w:val="24"/>
          <w:highlight w:val="none"/>
          <w:shd w:val="clear" w:color="auto" w:fill="FFFFFF"/>
        </w:rPr>
        <w:t>）书面声明：参加政府采购活动前3年内在经营活动中没有重大违法记录的书面声明；</w:t>
      </w:r>
    </w:p>
    <w:p w14:paraId="1A435540">
      <w:pPr>
        <w:pStyle w:val="32"/>
        <w:widowControl/>
        <w:wordWrap w:val="0"/>
        <w:spacing w:line="560" w:lineRule="exact"/>
        <w:ind w:firstLine="480" w:firstLineChars="200"/>
        <w:jc w:val="both"/>
        <w:rPr>
          <w:rFonts w:hint="eastAsia" w:asciiTheme="majorEastAsia" w:hAnsiTheme="majorEastAsia" w:eastAsiaTheme="majorEastAsia" w:cstheme="majorEastAsia"/>
          <w:sz w:val="24"/>
          <w:szCs w:val="24"/>
          <w:highlight w:val="none"/>
          <w:shd w:val="clear" w:color="auto" w:fill="FFFFFF"/>
        </w:rPr>
      </w:pPr>
      <w:r>
        <w:rPr>
          <w:rFonts w:hint="eastAsia" w:asciiTheme="majorEastAsia" w:hAnsiTheme="majorEastAsia" w:eastAsiaTheme="majorEastAsia" w:cstheme="majorEastAsia"/>
          <w:sz w:val="24"/>
          <w:szCs w:val="24"/>
          <w:highlight w:val="none"/>
          <w:shd w:val="clear" w:color="auto" w:fill="FFFFFF"/>
          <w:lang w:val="en-US" w:eastAsia="zh-CN"/>
        </w:rPr>
        <w:t>8</w:t>
      </w:r>
      <w:r>
        <w:rPr>
          <w:rFonts w:hint="eastAsia" w:asciiTheme="majorEastAsia" w:hAnsiTheme="majorEastAsia" w:eastAsiaTheme="majorEastAsia" w:cstheme="majorEastAsia"/>
          <w:sz w:val="24"/>
          <w:szCs w:val="24"/>
          <w:highlight w:val="none"/>
          <w:shd w:val="clear" w:color="auto" w:fill="FFFFFF"/>
        </w:rPr>
        <w:t>）法定代表人授权委托书：法定代表人参加投标的，须出具</w:t>
      </w:r>
      <w:r>
        <w:rPr>
          <w:rFonts w:hint="eastAsia" w:asciiTheme="majorEastAsia" w:hAnsiTheme="majorEastAsia" w:eastAsiaTheme="majorEastAsia" w:cstheme="majorEastAsia"/>
          <w:sz w:val="24"/>
          <w:szCs w:val="24"/>
          <w:highlight w:val="none"/>
          <w:shd w:val="clear" w:color="auto" w:fill="FFFFFF"/>
          <w:lang w:val="en-US" w:eastAsia="zh-CN"/>
        </w:rPr>
        <w:t>法定代表人资格证明书及</w:t>
      </w:r>
      <w:r>
        <w:rPr>
          <w:rFonts w:hint="eastAsia" w:asciiTheme="majorEastAsia" w:hAnsiTheme="majorEastAsia" w:eastAsiaTheme="majorEastAsia" w:cstheme="majorEastAsia"/>
          <w:sz w:val="24"/>
          <w:szCs w:val="24"/>
          <w:highlight w:val="none"/>
          <w:shd w:val="clear" w:color="auto" w:fill="FFFFFF"/>
        </w:rPr>
        <w:t>法定代表人身份证</w:t>
      </w:r>
      <w:r>
        <w:rPr>
          <w:rFonts w:hint="eastAsia" w:asciiTheme="majorEastAsia" w:hAnsiTheme="majorEastAsia" w:eastAsiaTheme="majorEastAsia" w:cstheme="majorEastAsia"/>
          <w:sz w:val="24"/>
          <w:szCs w:val="24"/>
          <w:highlight w:val="none"/>
          <w:shd w:val="clear" w:color="auto" w:fill="FFFFFF"/>
          <w:lang w:val="en-US" w:eastAsia="zh-CN"/>
        </w:rPr>
        <w:t>原件</w:t>
      </w:r>
      <w:r>
        <w:rPr>
          <w:rFonts w:hint="eastAsia" w:asciiTheme="majorEastAsia" w:hAnsiTheme="majorEastAsia" w:eastAsiaTheme="majorEastAsia" w:cstheme="majorEastAsia"/>
          <w:sz w:val="24"/>
          <w:szCs w:val="24"/>
          <w:highlight w:val="none"/>
          <w:shd w:val="clear" w:color="auto" w:fill="FFFFFF"/>
        </w:rPr>
        <w:t>，并与营业执照上信息一致</w:t>
      </w:r>
      <w:r>
        <w:rPr>
          <w:rFonts w:hint="eastAsia" w:asciiTheme="majorEastAsia" w:hAnsiTheme="majorEastAsia" w:eastAsiaTheme="majorEastAsia" w:cstheme="majorEastAsia"/>
          <w:sz w:val="24"/>
          <w:szCs w:val="24"/>
          <w:highlight w:val="none"/>
          <w:shd w:val="clear" w:color="auto" w:fill="FFFFFF"/>
          <w:lang w:eastAsia="zh-CN"/>
        </w:rPr>
        <w:t>；</w:t>
      </w:r>
      <w:r>
        <w:rPr>
          <w:rFonts w:hint="eastAsia" w:asciiTheme="majorEastAsia" w:hAnsiTheme="majorEastAsia" w:eastAsiaTheme="majorEastAsia" w:cstheme="majorEastAsia"/>
          <w:sz w:val="24"/>
          <w:szCs w:val="24"/>
          <w:highlight w:val="none"/>
          <w:shd w:val="clear" w:color="auto" w:fill="FFFFFF"/>
        </w:rPr>
        <w:t>授权代表参加投标的须出具法定代表人</w:t>
      </w:r>
      <w:r>
        <w:rPr>
          <w:rFonts w:hint="eastAsia" w:asciiTheme="majorEastAsia" w:hAnsiTheme="majorEastAsia" w:eastAsiaTheme="majorEastAsia" w:cstheme="majorEastAsia"/>
          <w:sz w:val="24"/>
          <w:szCs w:val="24"/>
          <w:highlight w:val="none"/>
          <w:shd w:val="clear" w:color="auto" w:fill="FFFFFF"/>
          <w:lang w:val="en-US" w:eastAsia="zh-CN"/>
        </w:rPr>
        <w:t>授权委托书</w:t>
      </w:r>
      <w:r>
        <w:rPr>
          <w:rFonts w:hint="eastAsia" w:asciiTheme="majorEastAsia" w:hAnsiTheme="majorEastAsia" w:eastAsiaTheme="majorEastAsia" w:cstheme="majorEastAsia"/>
          <w:sz w:val="24"/>
          <w:szCs w:val="24"/>
          <w:highlight w:val="none"/>
          <w:shd w:val="clear" w:color="auto" w:fill="FFFFFF"/>
        </w:rPr>
        <w:t>、授权代表身份证</w:t>
      </w:r>
      <w:r>
        <w:rPr>
          <w:rFonts w:hint="eastAsia" w:asciiTheme="majorEastAsia" w:hAnsiTheme="majorEastAsia" w:eastAsiaTheme="majorEastAsia" w:cstheme="majorEastAsia"/>
          <w:sz w:val="24"/>
          <w:szCs w:val="24"/>
          <w:highlight w:val="none"/>
          <w:shd w:val="clear" w:color="auto" w:fill="FFFFFF"/>
          <w:lang w:val="en-US" w:eastAsia="zh-CN"/>
        </w:rPr>
        <w:t>原件</w:t>
      </w:r>
      <w:r>
        <w:rPr>
          <w:rFonts w:hint="eastAsia" w:asciiTheme="majorEastAsia" w:hAnsiTheme="majorEastAsia" w:eastAsiaTheme="majorEastAsia" w:cstheme="majorEastAsia"/>
          <w:sz w:val="24"/>
          <w:szCs w:val="24"/>
          <w:highlight w:val="none"/>
          <w:shd w:val="clear" w:color="auto" w:fill="FFFFFF"/>
        </w:rPr>
        <w:t>；</w:t>
      </w:r>
    </w:p>
    <w:p w14:paraId="03CE083E">
      <w:pPr>
        <w:pStyle w:val="32"/>
        <w:widowControl/>
        <w:wordWrap w:val="0"/>
        <w:spacing w:line="560" w:lineRule="exact"/>
        <w:ind w:firstLine="480" w:firstLineChars="20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sz w:val="24"/>
          <w:szCs w:val="24"/>
          <w:highlight w:val="none"/>
          <w:shd w:val="clear" w:color="auto" w:fill="FFFFFF"/>
          <w:lang w:val="en-US" w:eastAsia="zh-CN"/>
        </w:rPr>
        <w:t>9</w:t>
      </w:r>
      <w:r>
        <w:rPr>
          <w:rFonts w:hint="eastAsia" w:asciiTheme="majorEastAsia" w:hAnsiTheme="majorEastAsia" w:eastAsiaTheme="majorEastAsia" w:cstheme="majorEastAsia"/>
          <w:sz w:val="24"/>
          <w:szCs w:val="24"/>
          <w:highlight w:val="none"/>
          <w:shd w:val="clear" w:color="auto" w:fill="FFFFFF"/>
        </w:rPr>
        <w:t>）履行合同所必须的证明资料：具有履行合同所必需的设备和专业技术能力证明资料</w:t>
      </w:r>
      <w:r>
        <w:rPr>
          <w:rFonts w:hint="eastAsia" w:asciiTheme="majorEastAsia" w:hAnsiTheme="majorEastAsia" w:eastAsiaTheme="majorEastAsia" w:cstheme="majorEastAsia"/>
          <w:color w:val="auto"/>
          <w:sz w:val="24"/>
          <w:szCs w:val="24"/>
          <w:highlight w:val="none"/>
          <w:shd w:val="clear" w:color="auto" w:fill="FFFFFF"/>
          <w:lang w:val="en-US" w:eastAsia="zh-CN"/>
        </w:rPr>
        <w:t>（提供书面承诺）；</w:t>
      </w:r>
    </w:p>
    <w:p w14:paraId="735A198C">
      <w:pPr>
        <w:pStyle w:val="143"/>
        <w:pageBreakBefore w:val="0"/>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r>
        <w:rPr>
          <w:rFonts w:hint="eastAsia" w:cs="宋体"/>
          <w:color w:val="000000"/>
          <w:kern w:val="0"/>
          <w:sz w:val="24"/>
          <w:szCs w:val="24"/>
          <w:highlight w:val="none"/>
          <w:lang w:val="en-US" w:eastAsia="zh-CN" w:bidi="ar-SA"/>
        </w:rPr>
        <w:t>0</w:t>
      </w:r>
      <w:r>
        <w:rPr>
          <w:rFonts w:hint="eastAsia" w:ascii="宋体" w:hAnsi="宋体" w:eastAsia="宋体" w:cs="宋体"/>
          <w:color w:val="000000"/>
          <w:kern w:val="0"/>
          <w:sz w:val="24"/>
          <w:szCs w:val="24"/>
          <w:highlight w:val="none"/>
          <w:lang w:val="en-US" w:eastAsia="zh-CN" w:bidi="ar-SA"/>
        </w:rPr>
        <w:t>）专门面向中小企业声明函：本项目专门面向中小企业采购，供应商须为中小企业，并提供声明函。</w:t>
      </w:r>
    </w:p>
    <w:p w14:paraId="70A282D8">
      <w:pPr>
        <w:rPr>
          <w:rFonts w:hint="eastAsia" w:ascii="宋体" w:hAnsi="宋体" w:eastAsia="宋体" w:cs="宋体"/>
          <w:b/>
          <w:color w:val="000000" w:themeColor="text1"/>
          <w:kern w:val="0"/>
          <w:sz w:val="28"/>
          <w:highlight w:val="none"/>
          <w14:textFill>
            <w14:solidFill>
              <w14:schemeClr w14:val="tx1"/>
            </w14:solidFill>
          </w14:textFill>
        </w:rPr>
      </w:pPr>
      <w:r>
        <w:rPr>
          <w:rFonts w:hint="eastAsia" w:ascii="宋体" w:hAnsi="宋体" w:eastAsia="宋体" w:cs="宋体"/>
          <w:b/>
          <w:color w:val="000000" w:themeColor="text1"/>
          <w:kern w:val="0"/>
          <w:sz w:val="28"/>
          <w:highlight w:val="none"/>
          <w14:textFill>
            <w14:solidFill>
              <w14:schemeClr w14:val="tx1"/>
            </w14:solidFill>
          </w14:textFill>
        </w:rPr>
        <w:br w:type="page"/>
      </w:r>
    </w:p>
    <w:p w14:paraId="7DFE7798">
      <w:pPr>
        <w:spacing w:line="360" w:lineRule="auto"/>
        <w:rPr>
          <w:rFonts w:hint="eastAsia" w:ascii="宋体" w:hAnsi="宋体" w:eastAsia="宋体" w:cs="宋体"/>
          <w:b/>
          <w:color w:val="000000" w:themeColor="text1"/>
          <w:kern w:val="0"/>
          <w:sz w:val="28"/>
          <w:highlight w:val="none"/>
          <w14:textFill>
            <w14:solidFill>
              <w14:schemeClr w14:val="tx1"/>
            </w14:solidFill>
          </w14:textFill>
        </w:rPr>
      </w:pPr>
      <w:r>
        <w:rPr>
          <w:rFonts w:hint="eastAsia" w:ascii="宋体" w:hAnsi="宋体" w:eastAsia="宋体" w:cs="宋体"/>
          <w:b/>
          <w:color w:val="000000" w:themeColor="text1"/>
          <w:kern w:val="0"/>
          <w:sz w:val="28"/>
          <w:highlight w:val="none"/>
          <w14:textFill>
            <w14:solidFill>
              <w14:schemeClr w14:val="tx1"/>
            </w14:solidFill>
          </w14:textFill>
        </w:rPr>
        <w:t>附件：法定代表人资格证明书及法定代表人授权委托书</w:t>
      </w:r>
    </w:p>
    <w:p w14:paraId="713D7553">
      <w:pPr>
        <w:spacing w:line="360" w:lineRule="auto"/>
        <w:rPr>
          <w:rFonts w:hint="eastAsia" w:ascii="宋体" w:hAnsi="宋体" w:eastAsia="宋体" w:cs="宋体"/>
          <w:b/>
          <w:color w:val="000000" w:themeColor="text1"/>
          <w:kern w:val="0"/>
          <w:sz w:val="28"/>
          <w:highlight w:val="none"/>
          <w14:textFill>
            <w14:solidFill>
              <w14:schemeClr w14:val="tx1"/>
            </w14:solidFill>
          </w14:textFill>
        </w:rPr>
      </w:pPr>
      <w:r>
        <w:rPr>
          <w:rFonts w:hint="eastAsia" w:ascii="宋体" w:hAnsi="宋体" w:eastAsia="宋体" w:cs="宋体"/>
          <w:b/>
          <w:color w:val="000000" w:themeColor="text1"/>
          <w:kern w:val="0"/>
          <w:sz w:val="28"/>
          <w:highlight w:val="none"/>
          <w14:textFill>
            <w14:solidFill>
              <w14:schemeClr w14:val="tx1"/>
            </w14:solidFill>
          </w14:textFill>
        </w:rPr>
        <w:t>（法定代表人投标时提供</w:t>
      </w:r>
      <w:r>
        <w:rPr>
          <w:rFonts w:hint="eastAsia" w:ascii="宋体" w:hAnsi="宋体" w:eastAsia="宋体" w:cs="宋体"/>
          <w:b/>
          <w:color w:val="000000" w:themeColor="text1"/>
          <w:kern w:val="0"/>
          <w:sz w:val="28"/>
          <w:highlight w:val="none"/>
          <w:lang w:val="en-US" w:eastAsia="zh-CN"/>
          <w14:textFill>
            <w14:solidFill>
              <w14:schemeClr w14:val="tx1"/>
            </w14:solidFill>
          </w14:textFill>
        </w:rPr>
        <w:t>8</w:t>
      </w:r>
      <w:r>
        <w:rPr>
          <w:rFonts w:hint="eastAsia" w:ascii="宋体" w:hAnsi="宋体" w:eastAsia="宋体" w:cs="宋体"/>
          <w:b/>
          <w:color w:val="000000" w:themeColor="text1"/>
          <w:kern w:val="0"/>
          <w:sz w:val="28"/>
          <w:highlight w:val="none"/>
          <w14:textFill>
            <w14:solidFill>
              <w14:schemeClr w14:val="tx1"/>
            </w14:solidFill>
          </w14:textFill>
        </w:rPr>
        <w:t>-1/被授权人投标时提供</w:t>
      </w:r>
      <w:r>
        <w:rPr>
          <w:rFonts w:hint="eastAsia" w:ascii="宋体" w:hAnsi="宋体" w:eastAsia="宋体" w:cs="宋体"/>
          <w:b/>
          <w:color w:val="000000" w:themeColor="text1"/>
          <w:kern w:val="0"/>
          <w:sz w:val="28"/>
          <w:highlight w:val="none"/>
          <w:lang w:val="en-US" w:eastAsia="zh-CN"/>
          <w14:textFill>
            <w14:solidFill>
              <w14:schemeClr w14:val="tx1"/>
            </w14:solidFill>
          </w14:textFill>
        </w:rPr>
        <w:t>8</w:t>
      </w:r>
      <w:r>
        <w:rPr>
          <w:rFonts w:hint="eastAsia" w:ascii="宋体" w:hAnsi="宋体" w:eastAsia="宋体" w:cs="宋体"/>
          <w:b/>
          <w:color w:val="000000" w:themeColor="text1"/>
          <w:kern w:val="0"/>
          <w:sz w:val="28"/>
          <w:highlight w:val="none"/>
          <w14:textFill>
            <w14:solidFill>
              <w14:schemeClr w14:val="tx1"/>
            </w14:solidFill>
          </w14:textFill>
        </w:rPr>
        <w:t>-1和</w:t>
      </w:r>
      <w:r>
        <w:rPr>
          <w:rFonts w:hint="eastAsia" w:ascii="宋体" w:hAnsi="宋体" w:eastAsia="宋体" w:cs="宋体"/>
          <w:b/>
          <w:color w:val="000000" w:themeColor="text1"/>
          <w:kern w:val="0"/>
          <w:sz w:val="28"/>
          <w:highlight w:val="none"/>
          <w:lang w:val="en-US" w:eastAsia="zh-CN"/>
          <w14:textFill>
            <w14:solidFill>
              <w14:schemeClr w14:val="tx1"/>
            </w14:solidFill>
          </w14:textFill>
        </w:rPr>
        <w:t>8</w:t>
      </w:r>
      <w:r>
        <w:rPr>
          <w:rFonts w:hint="eastAsia" w:ascii="宋体" w:hAnsi="宋体" w:eastAsia="宋体" w:cs="宋体"/>
          <w:b/>
          <w:color w:val="000000" w:themeColor="text1"/>
          <w:kern w:val="0"/>
          <w:sz w:val="28"/>
          <w:highlight w:val="none"/>
          <w14:textFill>
            <w14:solidFill>
              <w14:schemeClr w14:val="tx1"/>
            </w14:solidFill>
          </w14:textFill>
        </w:rPr>
        <w:t>-2）</w:t>
      </w:r>
    </w:p>
    <w:p w14:paraId="47E7A3B7">
      <w:pPr>
        <w:spacing w:line="360" w:lineRule="auto"/>
        <w:ind w:left="240" w:leftChars="100"/>
        <w:jc w:val="center"/>
        <w:rPr>
          <w:rFonts w:hint="eastAsia" w:ascii="宋体" w:hAnsi="宋体" w:eastAsia="宋体" w:cs="宋体"/>
          <w:b/>
          <w:szCs w:val="24"/>
          <w:highlight w:val="none"/>
        </w:rPr>
      </w:pPr>
      <w:r>
        <w:rPr>
          <w:rFonts w:hint="eastAsia" w:ascii="宋体" w:hAnsi="宋体" w:eastAsia="宋体" w:cs="宋体"/>
          <w:b/>
          <w:szCs w:val="24"/>
          <w:highlight w:val="none"/>
          <w:lang w:val="en-US" w:eastAsia="zh-CN"/>
        </w:rPr>
        <w:t>8</w:t>
      </w:r>
      <w:r>
        <w:rPr>
          <w:rFonts w:hint="eastAsia" w:ascii="宋体" w:hAnsi="宋体" w:eastAsia="宋体" w:cs="宋体"/>
          <w:b/>
          <w:szCs w:val="24"/>
          <w:highlight w:val="none"/>
        </w:rPr>
        <w:t>-1、法定代表人资格证明书</w:t>
      </w:r>
    </w:p>
    <w:tbl>
      <w:tblPr>
        <w:tblStyle w:val="3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2140"/>
        <w:gridCol w:w="1540"/>
        <w:gridCol w:w="1380"/>
        <w:gridCol w:w="2140"/>
      </w:tblGrid>
      <w:tr w14:paraId="11B8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720" w:type="dxa"/>
            <w:gridSpan w:val="5"/>
          </w:tcPr>
          <w:p w14:paraId="338D9363">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lang w:eastAsia="zh-CN"/>
              </w:rPr>
            </w:pPr>
            <w:r>
              <w:rPr>
                <w:rFonts w:hint="eastAsia" w:ascii="宋体" w:hAnsi="宋体" w:eastAsia="宋体" w:cs="宋体"/>
                <w:bCs/>
                <w:caps/>
                <w:szCs w:val="24"/>
                <w:highlight w:val="none"/>
              </w:rPr>
              <w:t>致：</w:t>
            </w:r>
            <w:r>
              <w:rPr>
                <w:rFonts w:hint="eastAsia" w:ascii="宋体" w:hAnsi="宋体" w:eastAsia="宋体" w:cs="宋体"/>
                <w:bCs/>
                <w:caps/>
                <w:szCs w:val="24"/>
                <w:highlight w:val="none"/>
                <w:lang w:eastAsia="zh-CN"/>
              </w:rPr>
              <w:t>陕西龙恒项目管理有限公司</w:t>
            </w:r>
          </w:p>
        </w:tc>
      </w:tr>
      <w:tr w14:paraId="5C83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20" w:type="dxa"/>
            <w:vMerge w:val="restart"/>
          </w:tcPr>
          <w:p w14:paraId="5FF49948">
            <w:pPr>
              <w:tabs>
                <w:tab w:val="right" w:leader="dot" w:pos="9022"/>
              </w:tabs>
              <w:autoSpaceDE w:val="0"/>
              <w:autoSpaceDN w:val="0"/>
              <w:adjustRightInd w:val="0"/>
              <w:spacing w:line="480" w:lineRule="exact"/>
              <w:ind w:firstLine="240" w:firstLineChars="100"/>
              <w:jc w:val="left"/>
              <w:rPr>
                <w:rFonts w:hint="eastAsia" w:ascii="宋体" w:hAnsi="宋体" w:eastAsia="宋体" w:cs="宋体"/>
                <w:bCs/>
                <w:caps/>
                <w:szCs w:val="24"/>
                <w:highlight w:val="none"/>
              </w:rPr>
            </w:pPr>
          </w:p>
          <w:p w14:paraId="55A9D3ED">
            <w:pPr>
              <w:tabs>
                <w:tab w:val="right" w:leader="dot" w:pos="9022"/>
              </w:tabs>
              <w:autoSpaceDE w:val="0"/>
              <w:autoSpaceDN w:val="0"/>
              <w:adjustRightInd w:val="0"/>
              <w:spacing w:line="480" w:lineRule="exact"/>
              <w:ind w:firstLine="240" w:firstLineChars="100"/>
              <w:jc w:val="left"/>
              <w:rPr>
                <w:rFonts w:hint="eastAsia" w:ascii="宋体" w:hAnsi="宋体" w:eastAsia="宋体" w:cs="宋体"/>
                <w:bCs/>
                <w:caps/>
                <w:szCs w:val="24"/>
                <w:highlight w:val="none"/>
              </w:rPr>
            </w:pPr>
          </w:p>
          <w:p w14:paraId="548B80BA">
            <w:pPr>
              <w:tabs>
                <w:tab w:val="right" w:leader="dot" w:pos="9022"/>
              </w:tabs>
              <w:autoSpaceDE w:val="0"/>
              <w:autoSpaceDN w:val="0"/>
              <w:adjustRightInd w:val="0"/>
              <w:spacing w:line="480" w:lineRule="exact"/>
              <w:ind w:firstLine="240" w:firstLineChars="100"/>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企</w:t>
            </w:r>
          </w:p>
          <w:p w14:paraId="4A52BED0">
            <w:pPr>
              <w:tabs>
                <w:tab w:val="right" w:leader="dot" w:pos="9022"/>
              </w:tabs>
              <w:autoSpaceDE w:val="0"/>
              <w:autoSpaceDN w:val="0"/>
              <w:adjustRightInd w:val="0"/>
              <w:spacing w:line="480" w:lineRule="exact"/>
              <w:ind w:firstLine="240" w:firstLineChars="100"/>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业</w:t>
            </w:r>
          </w:p>
          <w:p w14:paraId="3CA13BAD">
            <w:pPr>
              <w:tabs>
                <w:tab w:val="right" w:leader="dot" w:pos="9022"/>
              </w:tabs>
              <w:autoSpaceDE w:val="0"/>
              <w:autoSpaceDN w:val="0"/>
              <w:adjustRightInd w:val="0"/>
              <w:spacing w:line="480" w:lineRule="exact"/>
              <w:ind w:firstLine="240" w:firstLineChars="100"/>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情</w:t>
            </w:r>
          </w:p>
          <w:p w14:paraId="7CD577B9">
            <w:pPr>
              <w:tabs>
                <w:tab w:val="right" w:leader="dot" w:pos="9022"/>
              </w:tabs>
              <w:autoSpaceDE w:val="0"/>
              <w:autoSpaceDN w:val="0"/>
              <w:adjustRightInd w:val="0"/>
              <w:spacing w:line="480" w:lineRule="exact"/>
              <w:ind w:firstLine="240" w:firstLineChars="100"/>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况</w:t>
            </w:r>
          </w:p>
          <w:p w14:paraId="01C70FF7">
            <w:pPr>
              <w:tabs>
                <w:tab w:val="right" w:leader="dot" w:pos="9022"/>
              </w:tabs>
              <w:autoSpaceDE w:val="0"/>
              <w:autoSpaceDN w:val="0"/>
              <w:adjustRightInd w:val="0"/>
              <w:spacing w:line="480" w:lineRule="exact"/>
              <w:ind w:firstLine="240" w:firstLineChars="100"/>
              <w:jc w:val="left"/>
              <w:rPr>
                <w:rFonts w:hint="eastAsia" w:ascii="宋体" w:hAnsi="宋体" w:eastAsia="宋体" w:cs="宋体"/>
                <w:bCs/>
                <w:caps/>
                <w:szCs w:val="24"/>
                <w:highlight w:val="none"/>
              </w:rPr>
            </w:pPr>
          </w:p>
        </w:tc>
        <w:tc>
          <w:tcPr>
            <w:tcW w:w="2140" w:type="dxa"/>
            <w:vAlign w:val="center"/>
          </w:tcPr>
          <w:p w14:paraId="4B90EC97">
            <w:pPr>
              <w:tabs>
                <w:tab w:val="right" w:leader="dot" w:pos="9022"/>
              </w:tabs>
              <w:autoSpaceDE w:val="0"/>
              <w:autoSpaceDN w:val="0"/>
              <w:adjustRightInd w:val="0"/>
              <w:spacing w:line="480" w:lineRule="exact"/>
              <w:jc w:val="center"/>
              <w:rPr>
                <w:rFonts w:hint="eastAsia" w:ascii="宋体" w:hAnsi="宋体" w:eastAsia="宋体" w:cs="宋体"/>
                <w:bCs/>
                <w:caps/>
                <w:szCs w:val="24"/>
                <w:highlight w:val="none"/>
              </w:rPr>
            </w:pPr>
            <w:r>
              <w:rPr>
                <w:rFonts w:hint="eastAsia" w:ascii="宋体" w:hAnsi="宋体" w:eastAsia="宋体" w:cs="宋体"/>
                <w:bCs/>
                <w:caps/>
                <w:szCs w:val="24"/>
                <w:highlight w:val="none"/>
              </w:rPr>
              <w:t>企 业 名 称</w:t>
            </w:r>
          </w:p>
        </w:tc>
        <w:tc>
          <w:tcPr>
            <w:tcW w:w="5060" w:type="dxa"/>
            <w:gridSpan w:val="3"/>
          </w:tcPr>
          <w:p w14:paraId="2EA6F650">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r>
      <w:tr w14:paraId="1EFF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20" w:type="dxa"/>
            <w:vMerge w:val="continue"/>
          </w:tcPr>
          <w:p w14:paraId="182905C9">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c>
          <w:tcPr>
            <w:tcW w:w="2140" w:type="dxa"/>
            <w:vAlign w:val="center"/>
          </w:tcPr>
          <w:p w14:paraId="2566BD72">
            <w:pPr>
              <w:tabs>
                <w:tab w:val="right" w:leader="dot" w:pos="9022"/>
              </w:tabs>
              <w:autoSpaceDE w:val="0"/>
              <w:autoSpaceDN w:val="0"/>
              <w:adjustRightInd w:val="0"/>
              <w:spacing w:line="480" w:lineRule="exact"/>
              <w:jc w:val="center"/>
              <w:rPr>
                <w:rFonts w:hint="eastAsia" w:ascii="宋体" w:hAnsi="宋体" w:eastAsia="宋体" w:cs="宋体"/>
                <w:bCs/>
                <w:caps/>
                <w:szCs w:val="24"/>
                <w:highlight w:val="none"/>
              </w:rPr>
            </w:pPr>
            <w:r>
              <w:rPr>
                <w:rFonts w:hint="eastAsia" w:ascii="宋体" w:hAnsi="宋体" w:eastAsia="宋体" w:cs="宋体"/>
                <w:bCs/>
                <w:caps/>
                <w:szCs w:val="24"/>
                <w:highlight w:val="none"/>
              </w:rPr>
              <w:t>法 定 地 址</w:t>
            </w:r>
          </w:p>
        </w:tc>
        <w:tc>
          <w:tcPr>
            <w:tcW w:w="5060" w:type="dxa"/>
            <w:gridSpan w:val="3"/>
          </w:tcPr>
          <w:p w14:paraId="7B4D5265">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r>
      <w:tr w14:paraId="4FFE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20" w:type="dxa"/>
            <w:vMerge w:val="continue"/>
          </w:tcPr>
          <w:p w14:paraId="0F10B812">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c>
          <w:tcPr>
            <w:tcW w:w="2140" w:type="dxa"/>
            <w:vAlign w:val="center"/>
          </w:tcPr>
          <w:p w14:paraId="39164480">
            <w:pPr>
              <w:tabs>
                <w:tab w:val="right" w:leader="dot" w:pos="9022"/>
              </w:tabs>
              <w:autoSpaceDE w:val="0"/>
              <w:autoSpaceDN w:val="0"/>
              <w:adjustRightInd w:val="0"/>
              <w:spacing w:line="480" w:lineRule="exact"/>
              <w:jc w:val="center"/>
              <w:rPr>
                <w:rFonts w:hint="eastAsia" w:ascii="宋体" w:hAnsi="宋体" w:eastAsia="宋体" w:cs="宋体"/>
                <w:bCs/>
                <w:caps/>
                <w:szCs w:val="24"/>
                <w:highlight w:val="none"/>
              </w:rPr>
            </w:pPr>
            <w:r>
              <w:rPr>
                <w:rFonts w:hint="eastAsia" w:ascii="宋体" w:hAnsi="宋体" w:eastAsia="宋体" w:cs="宋体"/>
                <w:bCs/>
                <w:caps/>
                <w:szCs w:val="24"/>
                <w:highlight w:val="none"/>
              </w:rPr>
              <w:t>邮 政 编 码</w:t>
            </w:r>
          </w:p>
        </w:tc>
        <w:tc>
          <w:tcPr>
            <w:tcW w:w="5060" w:type="dxa"/>
            <w:gridSpan w:val="3"/>
          </w:tcPr>
          <w:p w14:paraId="764BF0C5">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r>
      <w:tr w14:paraId="37B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20" w:type="dxa"/>
            <w:vMerge w:val="continue"/>
          </w:tcPr>
          <w:p w14:paraId="0CC47DE8">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c>
          <w:tcPr>
            <w:tcW w:w="2140" w:type="dxa"/>
            <w:vAlign w:val="center"/>
          </w:tcPr>
          <w:p w14:paraId="105EDDD2">
            <w:pPr>
              <w:tabs>
                <w:tab w:val="right" w:leader="dot" w:pos="9022"/>
              </w:tabs>
              <w:autoSpaceDE w:val="0"/>
              <w:autoSpaceDN w:val="0"/>
              <w:adjustRightInd w:val="0"/>
              <w:spacing w:line="480" w:lineRule="exact"/>
              <w:jc w:val="center"/>
              <w:rPr>
                <w:rFonts w:hint="eastAsia" w:ascii="宋体" w:hAnsi="宋体" w:eastAsia="宋体" w:cs="宋体"/>
                <w:bCs/>
                <w:caps/>
                <w:szCs w:val="24"/>
                <w:highlight w:val="none"/>
              </w:rPr>
            </w:pPr>
            <w:r>
              <w:rPr>
                <w:rFonts w:hint="eastAsia" w:ascii="宋体" w:hAnsi="宋体" w:eastAsia="宋体" w:cs="宋体"/>
                <w:bCs/>
                <w:caps/>
                <w:szCs w:val="24"/>
                <w:highlight w:val="none"/>
              </w:rPr>
              <w:t>工商登记机关</w:t>
            </w:r>
          </w:p>
        </w:tc>
        <w:tc>
          <w:tcPr>
            <w:tcW w:w="5060" w:type="dxa"/>
            <w:gridSpan w:val="3"/>
          </w:tcPr>
          <w:p w14:paraId="3790F558">
            <w:pPr>
              <w:tabs>
                <w:tab w:val="right" w:leader="dot" w:pos="9022"/>
              </w:tabs>
              <w:autoSpaceDE w:val="0"/>
              <w:autoSpaceDN w:val="0"/>
              <w:adjustRightInd w:val="0"/>
              <w:spacing w:line="480" w:lineRule="exact"/>
              <w:ind w:firstLine="2400" w:firstLineChars="1000"/>
              <w:jc w:val="left"/>
              <w:rPr>
                <w:rFonts w:hint="eastAsia" w:ascii="宋体" w:hAnsi="宋体" w:eastAsia="宋体" w:cs="宋体"/>
                <w:bCs/>
                <w:caps/>
                <w:szCs w:val="24"/>
                <w:highlight w:val="none"/>
              </w:rPr>
            </w:pPr>
          </w:p>
        </w:tc>
      </w:tr>
      <w:tr w14:paraId="79DD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20" w:type="dxa"/>
            <w:vMerge w:val="continue"/>
          </w:tcPr>
          <w:p w14:paraId="1626D33C">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c>
          <w:tcPr>
            <w:tcW w:w="2140" w:type="dxa"/>
            <w:vMerge w:val="restart"/>
            <w:vAlign w:val="center"/>
          </w:tcPr>
          <w:p w14:paraId="1402C479">
            <w:pPr>
              <w:tabs>
                <w:tab w:val="right" w:leader="dot" w:pos="9022"/>
              </w:tabs>
              <w:autoSpaceDE w:val="0"/>
              <w:autoSpaceDN w:val="0"/>
              <w:adjustRightInd w:val="0"/>
              <w:spacing w:line="480" w:lineRule="exact"/>
              <w:jc w:val="center"/>
              <w:rPr>
                <w:rFonts w:hint="eastAsia" w:ascii="宋体" w:hAnsi="宋体" w:eastAsia="宋体" w:cs="宋体"/>
                <w:bCs/>
                <w:caps/>
                <w:szCs w:val="24"/>
                <w:highlight w:val="none"/>
              </w:rPr>
            </w:pPr>
            <w:r>
              <w:rPr>
                <w:rFonts w:hint="eastAsia" w:ascii="宋体" w:hAnsi="宋体" w:eastAsia="宋体" w:cs="宋体"/>
                <w:bCs/>
                <w:caps/>
                <w:szCs w:val="24"/>
                <w:highlight w:val="none"/>
              </w:rPr>
              <w:t>税务登记机关</w:t>
            </w:r>
          </w:p>
        </w:tc>
        <w:tc>
          <w:tcPr>
            <w:tcW w:w="5060" w:type="dxa"/>
            <w:gridSpan w:val="3"/>
          </w:tcPr>
          <w:p w14:paraId="71882E3F">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r>
      <w:tr w14:paraId="3C02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20" w:type="dxa"/>
            <w:vMerge w:val="continue"/>
          </w:tcPr>
          <w:p w14:paraId="35FEB43F">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c>
          <w:tcPr>
            <w:tcW w:w="2140" w:type="dxa"/>
            <w:vMerge w:val="continue"/>
          </w:tcPr>
          <w:p w14:paraId="308C7106">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c>
          <w:tcPr>
            <w:tcW w:w="5060" w:type="dxa"/>
            <w:gridSpan w:val="3"/>
          </w:tcPr>
          <w:p w14:paraId="3C68225E">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r>
      <w:tr w14:paraId="2F30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1520" w:type="dxa"/>
            <w:vMerge w:val="continue"/>
          </w:tcPr>
          <w:p w14:paraId="2530524F">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c>
          <w:tcPr>
            <w:tcW w:w="2140" w:type="dxa"/>
            <w:vAlign w:val="center"/>
          </w:tcPr>
          <w:p w14:paraId="0130E815">
            <w:pPr>
              <w:tabs>
                <w:tab w:val="right" w:leader="dot" w:pos="9022"/>
              </w:tabs>
              <w:autoSpaceDE w:val="0"/>
              <w:autoSpaceDN w:val="0"/>
              <w:adjustRightInd w:val="0"/>
              <w:spacing w:line="480" w:lineRule="exact"/>
              <w:jc w:val="center"/>
              <w:rPr>
                <w:rFonts w:hint="eastAsia" w:ascii="宋体" w:hAnsi="宋体" w:eastAsia="宋体" w:cs="宋体"/>
                <w:bCs/>
                <w:caps/>
                <w:szCs w:val="24"/>
                <w:highlight w:val="none"/>
              </w:rPr>
            </w:pPr>
            <w:r>
              <w:rPr>
                <w:rFonts w:hint="eastAsia" w:ascii="宋体" w:hAnsi="宋体" w:eastAsia="宋体" w:cs="宋体"/>
                <w:bCs/>
                <w:caps/>
                <w:szCs w:val="24"/>
                <w:highlight w:val="none"/>
              </w:rPr>
              <w:t>机构代码证号</w:t>
            </w:r>
          </w:p>
          <w:p w14:paraId="66E0C9ED">
            <w:pPr>
              <w:tabs>
                <w:tab w:val="right" w:leader="dot" w:pos="9022"/>
              </w:tabs>
              <w:autoSpaceDE w:val="0"/>
              <w:autoSpaceDN w:val="0"/>
              <w:adjustRightInd w:val="0"/>
              <w:spacing w:line="480" w:lineRule="exact"/>
              <w:jc w:val="center"/>
              <w:rPr>
                <w:rFonts w:hint="eastAsia" w:ascii="宋体" w:hAnsi="宋体" w:eastAsia="宋体" w:cs="宋体"/>
                <w:bCs/>
                <w:caps/>
                <w:szCs w:val="24"/>
                <w:highlight w:val="none"/>
              </w:rPr>
            </w:pPr>
            <w:r>
              <w:rPr>
                <w:rFonts w:hint="eastAsia" w:ascii="宋体" w:hAnsi="宋体" w:eastAsia="宋体" w:cs="宋体"/>
                <w:bCs/>
                <w:caps/>
                <w:szCs w:val="24"/>
                <w:highlight w:val="none"/>
              </w:rPr>
              <w:t>（或统一社会信用代码证号）</w:t>
            </w:r>
          </w:p>
        </w:tc>
        <w:tc>
          <w:tcPr>
            <w:tcW w:w="5060" w:type="dxa"/>
            <w:gridSpan w:val="3"/>
          </w:tcPr>
          <w:p w14:paraId="02DE8BEE">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r>
      <w:tr w14:paraId="1F1B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20" w:type="dxa"/>
            <w:vMerge w:val="restart"/>
            <w:vAlign w:val="center"/>
          </w:tcPr>
          <w:p w14:paraId="03033152">
            <w:pPr>
              <w:tabs>
                <w:tab w:val="right" w:leader="dot" w:pos="9022"/>
              </w:tabs>
              <w:autoSpaceDE w:val="0"/>
              <w:autoSpaceDN w:val="0"/>
              <w:adjustRightInd w:val="0"/>
              <w:spacing w:line="480" w:lineRule="exact"/>
              <w:jc w:val="center"/>
              <w:rPr>
                <w:rFonts w:hint="eastAsia" w:ascii="宋体" w:hAnsi="宋体" w:eastAsia="宋体" w:cs="宋体"/>
                <w:bCs/>
                <w:caps/>
                <w:szCs w:val="24"/>
                <w:highlight w:val="none"/>
              </w:rPr>
            </w:pPr>
            <w:r>
              <w:rPr>
                <w:rFonts w:hint="eastAsia" w:ascii="宋体" w:hAnsi="宋体" w:eastAsia="宋体" w:cs="宋体"/>
                <w:bCs/>
                <w:caps/>
                <w:szCs w:val="24"/>
                <w:highlight w:val="none"/>
              </w:rPr>
              <w:t>法定代表人</w:t>
            </w:r>
          </w:p>
        </w:tc>
        <w:tc>
          <w:tcPr>
            <w:tcW w:w="2140" w:type="dxa"/>
          </w:tcPr>
          <w:p w14:paraId="57A718A4">
            <w:pPr>
              <w:tabs>
                <w:tab w:val="right" w:leader="dot" w:pos="9022"/>
              </w:tabs>
              <w:autoSpaceDE w:val="0"/>
              <w:autoSpaceDN w:val="0"/>
              <w:adjustRightInd w:val="0"/>
              <w:spacing w:line="480" w:lineRule="exact"/>
              <w:ind w:firstLine="240" w:firstLineChars="100"/>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姓    名</w:t>
            </w:r>
          </w:p>
        </w:tc>
        <w:tc>
          <w:tcPr>
            <w:tcW w:w="1540" w:type="dxa"/>
          </w:tcPr>
          <w:p w14:paraId="5E0FC0F6">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c>
          <w:tcPr>
            <w:tcW w:w="1380" w:type="dxa"/>
          </w:tcPr>
          <w:p w14:paraId="407BBC20">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性    别</w:t>
            </w:r>
          </w:p>
        </w:tc>
        <w:tc>
          <w:tcPr>
            <w:tcW w:w="2140" w:type="dxa"/>
          </w:tcPr>
          <w:p w14:paraId="46B65103">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r>
      <w:tr w14:paraId="2153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20" w:type="dxa"/>
            <w:vMerge w:val="continue"/>
          </w:tcPr>
          <w:p w14:paraId="154B9EAC">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c>
          <w:tcPr>
            <w:tcW w:w="2140" w:type="dxa"/>
          </w:tcPr>
          <w:p w14:paraId="22A1B830">
            <w:pPr>
              <w:tabs>
                <w:tab w:val="right" w:leader="dot" w:pos="9022"/>
              </w:tabs>
              <w:autoSpaceDE w:val="0"/>
              <w:autoSpaceDN w:val="0"/>
              <w:adjustRightInd w:val="0"/>
              <w:spacing w:line="480" w:lineRule="exact"/>
              <w:ind w:firstLine="240" w:firstLineChars="100"/>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职    务</w:t>
            </w:r>
          </w:p>
        </w:tc>
        <w:tc>
          <w:tcPr>
            <w:tcW w:w="1540" w:type="dxa"/>
          </w:tcPr>
          <w:p w14:paraId="191EE5F6">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c>
          <w:tcPr>
            <w:tcW w:w="1380" w:type="dxa"/>
          </w:tcPr>
          <w:p w14:paraId="12F82F59">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联系电话</w:t>
            </w:r>
          </w:p>
        </w:tc>
        <w:tc>
          <w:tcPr>
            <w:tcW w:w="2140" w:type="dxa"/>
          </w:tcPr>
          <w:p w14:paraId="75C7F974">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r>
      <w:tr w14:paraId="6512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520" w:type="dxa"/>
            <w:vMerge w:val="restart"/>
          </w:tcPr>
          <w:p w14:paraId="7DF24CBB">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p w14:paraId="21540EF1">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p w14:paraId="1B8D377F">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p w14:paraId="4C9841AC">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法定代表人身份证复印件</w:t>
            </w:r>
          </w:p>
        </w:tc>
        <w:tc>
          <w:tcPr>
            <w:tcW w:w="3680" w:type="dxa"/>
            <w:gridSpan w:val="2"/>
            <w:vMerge w:val="restart"/>
            <w:vAlign w:val="center"/>
          </w:tcPr>
          <w:p w14:paraId="2FFB12B2">
            <w:pPr>
              <w:tabs>
                <w:tab w:val="right" w:leader="dot" w:pos="9022"/>
              </w:tabs>
              <w:autoSpaceDE w:val="0"/>
              <w:autoSpaceDN w:val="0"/>
              <w:adjustRightInd w:val="0"/>
              <w:spacing w:line="480" w:lineRule="exact"/>
              <w:jc w:val="center"/>
              <w:rPr>
                <w:rFonts w:hint="eastAsia" w:ascii="宋体" w:hAnsi="宋体" w:eastAsia="宋体" w:cs="宋体"/>
                <w:bCs/>
                <w:caps/>
                <w:szCs w:val="24"/>
                <w:highlight w:val="none"/>
              </w:rPr>
            </w:pPr>
            <w:r>
              <w:rPr>
                <w:rFonts w:hint="eastAsia" w:ascii="宋体" w:hAnsi="宋体" w:eastAsia="宋体" w:cs="宋体"/>
                <w:spacing w:val="-4"/>
                <w:szCs w:val="24"/>
                <w:highlight w:val="none"/>
              </w:rPr>
              <w:t>二代身份证正、反两面</w:t>
            </w:r>
          </w:p>
        </w:tc>
        <w:tc>
          <w:tcPr>
            <w:tcW w:w="3520" w:type="dxa"/>
            <w:gridSpan w:val="2"/>
          </w:tcPr>
          <w:p w14:paraId="238A2CE1">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 xml:space="preserve">   （法定代表人签字或盖章）</w:t>
            </w:r>
          </w:p>
        </w:tc>
      </w:tr>
      <w:tr w14:paraId="0E7F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1520" w:type="dxa"/>
            <w:vMerge w:val="continue"/>
          </w:tcPr>
          <w:p w14:paraId="470F3EE1">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c>
          <w:tcPr>
            <w:tcW w:w="3680" w:type="dxa"/>
            <w:gridSpan w:val="2"/>
            <w:vMerge w:val="continue"/>
          </w:tcPr>
          <w:p w14:paraId="34571B79">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tc>
        <w:tc>
          <w:tcPr>
            <w:tcW w:w="3520" w:type="dxa"/>
            <w:gridSpan w:val="2"/>
          </w:tcPr>
          <w:p w14:paraId="5184D2F2">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p>
          <w:p w14:paraId="24B1BCFB">
            <w:pPr>
              <w:tabs>
                <w:tab w:val="right" w:leader="dot" w:pos="9022"/>
              </w:tabs>
              <w:autoSpaceDE w:val="0"/>
              <w:autoSpaceDN w:val="0"/>
              <w:adjustRightInd w:val="0"/>
              <w:spacing w:line="480" w:lineRule="exact"/>
              <w:ind w:firstLine="120" w:firstLineChars="50"/>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（公章）</w:t>
            </w:r>
          </w:p>
          <w:p w14:paraId="7B284DF0">
            <w:pPr>
              <w:tabs>
                <w:tab w:val="right" w:leader="dot" w:pos="9022"/>
              </w:tabs>
              <w:autoSpaceDE w:val="0"/>
              <w:autoSpaceDN w:val="0"/>
              <w:adjustRightInd w:val="0"/>
              <w:spacing w:line="480" w:lineRule="exact"/>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 xml:space="preserve">   </w:t>
            </w:r>
          </w:p>
          <w:p w14:paraId="308FA7DA">
            <w:pPr>
              <w:tabs>
                <w:tab w:val="right" w:leader="dot" w:pos="9022"/>
              </w:tabs>
              <w:autoSpaceDE w:val="0"/>
              <w:autoSpaceDN w:val="0"/>
              <w:adjustRightInd w:val="0"/>
              <w:spacing w:line="480" w:lineRule="exact"/>
              <w:ind w:firstLine="1440" w:firstLineChars="600"/>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年  月  日</w:t>
            </w:r>
          </w:p>
        </w:tc>
      </w:tr>
      <w:tr w14:paraId="5D74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20" w:type="dxa"/>
          </w:tcPr>
          <w:p w14:paraId="01F052B6">
            <w:pPr>
              <w:tabs>
                <w:tab w:val="right" w:leader="dot" w:pos="9022"/>
              </w:tabs>
              <w:autoSpaceDE w:val="0"/>
              <w:autoSpaceDN w:val="0"/>
              <w:adjustRightInd w:val="0"/>
              <w:spacing w:line="480" w:lineRule="exact"/>
              <w:jc w:val="center"/>
              <w:rPr>
                <w:rFonts w:hint="eastAsia" w:ascii="宋体" w:hAnsi="宋体" w:eastAsia="宋体" w:cs="宋体"/>
                <w:bCs/>
                <w:caps/>
                <w:szCs w:val="24"/>
                <w:highlight w:val="none"/>
              </w:rPr>
            </w:pPr>
            <w:r>
              <w:rPr>
                <w:rFonts w:hint="eastAsia" w:ascii="宋体" w:hAnsi="宋体" w:eastAsia="宋体" w:cs="宋体"/>
                <w:bCs/>
                <w:caps/>
                <w:szCs w:val="24"/>
                <w:highlight w:val="none"/>
              </w:rPr>
              <w:t>磋商有效期</w:t>
            </w:r>
          </w:p>
        </w:tc>
        <w:tc>
          <w:tcPr>
            <w:tcW w:w="7200" w:type="dxa"/>
            <w:gridSpan w:val="4"/>
          </w:tcPr>
          <w:p w14:paraId="540C988A">
            <w:pPr>
              <w:tabs>
                <w:tab w:val="left" w:pos="603"/>
              </w:tabs>
              <w:autoSpaceDE w:val="0"/>
              <w:autoSpaceDN w:val="0"/>
              <w:adjustRightInd w:val="0"/>
              <w:spacing w:line="480" w:lineRule="exact"/>
              <w:jc w:val="left"/>
              <w:rPr>
                <w:rFonts w:hint="eastAsia" w:ascii="宋体" w:hAnsi="宋体" w:eastAsia="宋体" w:cs="宋体"/>
                <w:bCs/>
                <w:caps/>
                <w:szCs w:val="24"/>
                <w:highlight w:val="none"/>
              </w:rPr>
            </w:pPr>
            <w:r>
              <w:rPr>
                <w:rFonts w:hint="eastAsia" w:ascii="宋体" w:hAnsi="宋体" w:eastAsia="宋体" w:cs="宋体"/>
                <w:bCs/>
                <w:caps/>
                <w:szCs w:val="24"/>
                <w:highlight w:val="none"/>
              </w:rPr>
              <w:t>本授权书</w:t>
            </w:r>
            <w:r>
              <w:rPr>
                <w:rFonts w:hint="eastAsia" w:ascii="宋体" w:hAnsi="宋体" w:eastAsia="宋体" w:cs="宋体"/>
                <w:bCs/>
                <w:szCs w:val="24"/>
                <w:highlight w:val="none"/>
              </w:rPr>
              <w:t>自投标截止之日起90日历天</w:t>
            </w:r>
            <w:r>
              <w:rPr>
                <w:rFonts w:hint="eastAsia" w:ascii="宋体" w:hAnsi="宋体" w:eastAsia="宋体" w:cs="宋体"/>
                <w:bCs/>
                <w:caps/>
                <w:szCs w:val="24"/>
                <w:highlight w:val="none"/>
              </w:rPr>
              <w:t>。</w:t>
            </w:r>
          </w:p>
        </w:tc>
      </w:tr>
    </w:tbl>
    <w:p w14:paraId="55FE1908">
      <w:pPr>
        <w:spacing w:line="360" w:lineRule="auto"/>
        <w:ind w:left="240" w:leftChars="1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szCs w:val="24"/>
          <w:highlight w:val="none"/>
          <w:lang w:val="en-US" w:eastAsia="zh-CN"/>
        </w:rPr>
        <w:t>8</w:t>
      </w:r>
      <w:r>
        <w:rPr>
          <w:rFonts w:hint="eastAsia" w:ascii="宋体" w:hAnsi="宋体" w:eastAsia="宋体" w:cs="宋体"/>
          <w:szCs w:val="24"/>
          <w:highlight w:val="none"/>
        </w:rPr>
        <w:t>-2、法定代表人授权委托书</w:t>
      </w:r>
    </w:p>
    <w:p w14:paraId="2E8D9850">
      <w:pPr>
        <w:spacing w:line="360" w:lineRule="auto"/>
        <w:jc w:val="left"/>
        <w:rPr>
          <w:rFonts w:hint="eastAsia" w:ascii="宋体" w:hAnsi="宋体" w:eastAsia="宋体" w:cs="宋体"/>
          <w:szCs w:val="24"/>
          <w:highlight w:val="none"/>
        </w:rPr>
      </w:pPr>
    </w:p>
    <w:p w14:paraId="570B1EF5">
      <w:pPr>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lang w:eastAsia="zh-CN"/>
        </w:rPr>
        <w:t>陕西龙恒项目管理有限公司</w:t>
      </w:r>
      <w:r>
        <w:rPr>
          <w:rFonts w:hint="eastAsia" w:ascii="宋体" w:hAnsi="宋体" w:eastAsia="宋体" w:cs="宋体"/>
          <w:szCs w:val="24"/>
          <w:highlight w:val="none"/>
        </w:rPr>
        <w:t>：</w:t>
      </w:r>
    </w:p>
    <w:p w14:paraId="1B2DF13E">
      <w:pPr>
        <w:widowControl/>
        <w:spacing w:before="100" w:beforeAutospacing="1" w:after="100" w:afterAutospacing="1" w:line="720" w:lineRule="auto"/>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u w:val="single"/>
        </w:rPr>
        <w:t xml:space="preserve">                       </w:t>
      </w:r>
      <w:r>
        <w:rPr>
          <w:rFonts w:hint="eastAsia" w:ascii="宋体" w:hAnsi="宋体" w:eastAsia="宋体" w:cs="宋体"/>
          <w:kern w:val="0"/>
          <w:szCs w:val="24"/>
          <w:highlight w:val="none"/>
        </w:rPr>
        <w:t>（供应商名称）法定代表人</w:t>
      </w:r>
      <w:r>
        <w:rPr>
          <w:rFonts w:hint="eastAsia" w:ascii="宋体" w:hAnsi="宋体" w:eastAsia="宋体" w:cs="宋体"/>
          <w:kern w:val="0"/>
          <w:szCs w:val="24"/>
          <w:highlight w:val="none"/>
          <w:u w:val="single"/>
        </w:rPr>
        <w:t xml:space="preserve">                 </w:t>
      </w:r>
      <w:r>
        <w:rPr>
          <w:rFonts w:hint="eastAsia" w:ascii="宋体" w:hAnsi="宋体" w:eastAsia="宋体" w:cs="宋体"/>
          <w:kern w:val="0"/>
          <w:szCs w:val="24"/>
          <w:highlight w:val="none"/>
        </w:rPr>
        <w:t>授权我公司</w:t>
      </w:r>
      <w:r>
        <w:rPr>
          <w:rFonts w:hint="eastAsia" w:ascii="宋体" w:hAnsi="宋体" w:eastAsia="宋体" w:cs="宋体"/>
          <w:kern w:val="0"/>
          <w:szCs w:val="24"/>
          <w:highlight w:val="none"/>
          <w:u w:val="single"/>
        </w:rPr>
        <w:t xml:space="preserve">                      </w:t>
      </w:r>
      <w:r>
        <w:rPr>
          <w:rFonts w:hint="eastAsia" w:ascii="宋体" w:hAnsi="宋体" w:eastAsia="宋体" w:cs="宋体"/>
          <w:kern w:val="0"/>
          <w:szCs w:val="24"/>
          <w:highlight w:val="none"/>
        </w:rPr>
        <w:t>（职务或职称）</w:t>
      </w:r>
      <w:r>
        <w:rPr>
          <w:rFonts w:hint="eastAsia" w:ascii="宋体" w:hAnsi="宋体" w:eastAsia="宋体" w:cs="宋体"/>
          <w:kern w:val="0"/>
          <w:szCs w:val="24"/>
          <w:highlight w:val="none"/>
          <w:u w:val="single"/>
        </w:rPr>
        <w:t xml:space="preserve">                    </w:t>
      </w:r>
      <w:r>
        <w:rPr>
          <w:rFonts w:hint="eastAsia" w:ascii="宋体" w:hAnsi="宋体" w:eastAsia="宋体" w:cs="宋体"/>
          <w:kern w:val="0"/>
          <w:szCs w:val="24"/>
          <w:highlight w:val="none"/>
        </w:rPr>
        <w:t>（姓名）为我单位本次投标</w:t>
      </w:r>
      <w:r>
        <w:rPr>
          <w:rFonts w:hint="eastAsia" w:ascii="宋体" w:hAnsi="宋体" w:eastAsia="宋体" w:cs="宋体"/>
          <w:kern w:val="0"/>
          <w:szCs w:val="24"/>
          <w:highlight w:val="none"/>
          <w:lang w:val="en-US" w:eastAsia="zh-CN"/>
        </w:rPr>
        <w:t>被授权人</w:t>
      </w:r>
      <w:r>
        <w:rPr>
          <w:rFonts w:hint="eastAsia" w:ascii="宋体" w:hAnsi="宋体" w:eastAsia="宋体" w:cs="宋体"/>
          <w:kern w:val="0"/>
          <w:szCs w:val="24"/>
          <w:highlight w:val="none"/>
        </w:rPr>
        <w:t>，全权处理此次</w:t>
      </w:r>
      <w:r>
        <w:rPr>
          <w:rFonts w:hint="eastAsia" w:ascii="宋体" w:hAnsi="宋体" w:eastAsia="宋体" w:cs="宋体"/>
          <w:kern w:val="0"/>
          <w:szCs w:val="24"/>
          <w:highlight w:val="none"/>
          <w:u w:val="single"/>
        </w:rPr>
        <w:t xml:space="preserve">   (项目名称 ）（项目编号） </w:t>
      </w:r>
      <w:r>
        <w:rPr>
          <w:rFonts w:hint="eastAsia" w:ascii="宋体" w:hAnsi="宋体" w:eastAsia="宋体" w:cs="宋体"/>
          <w:kern w:val="0"/>
          <w:szCs w:val="24"/>
          <w:highlight w:val="none"/>
        </w:rPr>
        <w:t>采购活动的一切事宜。</w:t>
      </w:r>
    </w:p>
    <w:p w14:paraId="685152AA">
      <w:pPr>
        <w:widowControl/>
        <w:spacing w:before="100" w:beforeAutospacing="1" w:after="100" w:afterAutospacing="1" w:line="720" w:lineRule="auto"/>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磋商有效期：本授权书自投标截止之日起90日历天。</w:t>
      </w:r>
    </w:p>
    <w:p w14:paraId="373C50AF">
      <w:pPr>
        <w:spacing w:line="360" w:lineRule="auto"/>
        <w:ind w:firstLine="480"/>
        <w:jc w:val="left"/>
        <w:rPr>
          <w:rFonts w:hint="eastAsia" w:ascii="宋体" w:hAnsi="宋体" w:eastAsia="宋体" w:cs="宋体"/>
          <w:szCs w:val="24"/>
          <w:highlight w:val="none"/>
        </w:rPr>
      </w:pPr>
      <w:r>
        <w:rPr>
          <w:rFonts w:hint="eastAsia" w:ascii="宋体" w:hAnsi="宋体" w:eastAsia="宋体" w:cs="宋体"/>
          <w:szCs w:val="24"/>
          <w:highlight w:val="none"/>
        </w:rPr>
        <w:t>特此授权。</w:t>
      </w:r>
    </w:p>
    <w:p w14:paraId="47CAFCEC">
      <w:pPr>
        <w:spacing w:line="360" w:lineRule="auto"/>
        <w:jc w:val="left"/>
        <w:rPr>
          <w:rFonts w:hint="eastAsia" w:ascii="宋体" w:hAnsi="宋体" w:eastAsia="宋体" w:cs="宋体"/>
          <w:szCs w:val="24"/>
          <w:highlight w:val="none"/>
        </w:rPr>
      </w:pPr>
    </w:p>
    <w:p w14:paraId="20B112F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（附</w:t>
      </w:r>
      <w:r>
        <w:rPr>
          <w:rFonts w:hint="eastAsia" w:ascii="宋体" w:hAnsi="宋体" w:eastAsia="宋体" w:cs="宋体"/>
          <w:kern w:val="0"/>
          <w:szCs w:val="24"/>
          <w:highlight w:val="none"/>
          <w:lang w:val="en-US" w:eastAsia="zh-CN"/>
        </w:rPr>
        <w:t>被授权人</w:t>
      </w:r>
      <w:r>
        <w:rPr>
          <w:rFonts w:hint="eastAsia" w:ascii="宋体" w:hAnsi="宋体" w:eastAsia="宋体" w:cs="宋体"/>
          <w:szCs w:val="24"/>
          <w:highlight w:val="none"/>
        </w:rPr>
        <w:t>身份证明复印件，正、反两面）</w:t>
      </w:r>
    </w:p>
    <w:p w14:paraId="37D30E6A">
      <w:pPr>
        <w:spacing w:line="360" w:lineRule="auto"/>
        <w:jc w:val="left"/>
        <w:rPr>
          <w:rFonts w:hint="eastAsia" w:ascii="宋体" w:hAnsi="宋体" w:eastAsia="宋体" w:cs="宋体"/>
          <w:szCs w:val="24"/>
          <w:highlight w:val="none"/>
        </w:rPr>
      </w:pPr>
    </w:p>
    <w:p w14:paraId="616DFF5D">
      <w:pPr>
        <w:spacing w:line="360" w:lineRule="auto"/>
        <w:jc w:val="left"/>
        <w:rPr>
          <w:rFonts w:hint="eastAsia" w:ascii="宋体" w:hAnsi="宋体" w:eastAsia="宋体" w:cs="宋体"/>
          <w:szCs w:val="24"/>
          <w:highlight w:val="none"/>
        </w:rPr>
      </w:pPr>
    </w:p>
    <w:p w14:paraId="60A6D65C">
      <w:pPr>
        <w:spacing w:line="600" w:lineRule="auto"/>
        <w:ind w:firstLine="3120" w:firstLineChars="1300"/>
        <w:jc w:val="left"/>
        <w:rPr>
          <w:rFonts w:hint="eastAsia" w:ascii="宋体" w:hAnsi="宋体" w:eastAsia="宋体" w:cs="宋体"/>
          <w:szCs w:val="24"/>
          <w:highlight w:val="none"/>
        </w:rPr>
      </w:pPr>
      <w:r>
        <w:rPr>
          <w:rFonts w:hint="eastAsia" w:ascii="宋体" w:hAnsi="宋体" w:eastAsia="宋体" w:cs="宋体"/>
          <w:szCs w:val="24"/>
          <w:highlight w:val="none"/>
        </w:rPr>
        <w:t>供应商名称（公章）：</w:t>
      </w:r>
      <w:r>
        <w:rPr>
          <w:rFonts w:hint="eastAsia" w:ascii="宋体" w:hAnsi="宋体" w:eastAsia="宋体" w:cs="宋体"/>
          <w:szCs w:val="24"/>
          <w:highlight w:val="none"/>
          <w:u w:val="single"/>
        </w:rPr>
        <w:t xml:space="preserve">                    </w:t>
      </w:r>
    </w:p>
    <w:p w14:paraId="27868A2C">
      <w:pPr>
        <w:spacing w:line="600" w:lineRule="auto"/>
        <w:ind w:firstLine="3120" w:firstLineChars="1300"/>
        <w:jc w:val="left"/>
        <w:rPr>
          <w:rFonts w:hint="eastAsia" w:ascii="宋体" w:hAnsi="宋体" w:eastAsia="宋体" w:cs="宋体"/>
          <w:szCs w:val="24"/>
          <w:highlight w:val="none"/>
        </w:rPr>
      </w:pPr>
      <w:r>
        <w:rPr>
          <w:rFonts w:hint="eastAsia" w:ascii="宋体" w:hAnsi="宋体" w:eastAsia="宋体" w:cs="宋体"/>
          <w:szCs w:val="24"/>
          <w:highlight w:val="none"/>
        </w:rPr>
        <w:t>法定代表人签字或盖章：</w:t>
      </w:r>
      <w:r>
        <w:rPr>
          <w:rFonts w:hint="eastAsia" w:ascii="宋体" w:hAnsi="宋体" w:eastAsia="宋体" w:cs="宋体"/>
          <w:szCs w:val="24"/>
          <w:highlight w:val="none"/>
          <w:u w:val="single"/>
        </w:rPr>
        <w:t xml:space="preserve">                  </w:t>
      </w:r>
    </w:p>
    <w:p w14:paraId="1AA0CFA0">
      <w:pPr>
        <w:spacing w:line="600" w:lineRule="auto"/>
        <w:ind w:firstLine="3120" w:firstLineChars="1300"/>
        <w:jc w:val="left"/>
        <w:rPr>
          <w:rFonts w:hint="eastAsia" w:ascii="宋体" w:hAnsi="宋体" w:eastAsia="宋体" w:cs="宋体"/>
          <w:szCs w:val="24"/>
          <w:highlight w:val="none"/>
        </w:rPr>
      </w:pPr>
      <w:r>
        <w:rPr>
          <w:rFonts w:hint="eastAsia" w:ascii="宋体" w:hAnsi="宋体" w:eastAsia="宋体" w:cs="宋体"/>
          <w:szCs w:val="24"/>
          <w:highlight w:val="none"/>
          <w:lang w:eastAsia="zh-CN"/>
        </w:rPr>
        <w:t>被授权人</w:t>
      </w:r>
      <w:r>
        <w:rPr>
          <w:rFonts w:hint="eastAsia" w:ascii="宋体" w:hAnsi="宋体" w:eastAsia="宋体" w:cs="宋体"/>
          <w:szCs w:val="24"/>
          <w:highlight w:val="none"/>
        </w:rPr>
        <w:t>签字：</w:t>
      </w:r>
      <w:r>
        <w:rPr>
          <w:rFonts w:hint="eastAsia" w:ascii="宋体" w:hAnsi="宋体" w:eastAsia="宋体" w:cs="宋体"/>
          <w:szCs w:val="24"/>
          <w:highlight w:val="none"/>
          <w:u w:val="single"/>
        </w:rPr>
        <w:t xml:space="preserve">                        </w:t>
      </w:r>
    </w:p>
    <w:p w14:paraId="11D56429">
      <w:pPr>
        <w:spacing w:line="600" w:lineRule="auto"/>
        <w:ind w:right="324" w:rightChars="135" w:firstLine="4320" w:firstLineChars="1800"/>
        <w:rPr>
          <w:rFonts w:hint="eastAsia" w:ascii="宋体" w:hAnsi="宋体" w:eastAsia="宋体" w:cs="宋体"/>
          <w:szCs w:val="24"/>
          <w:highlight w:val="none"/>
        </w:rPr>
      </w:pPr>
      <w:r>
        <w:rPr>
          <w:rFonts w:hint="eastAsia" w:ascii="宋体" w:hAnsi="宋体" w:eastAsia="宋体" w:cs="宋体"/>
          <w:szCs w:val="24"/>
          <w:highlight w:val="none"/>
        </w:rPr>
        <w:t>年    月    日</w:t>
      </w:r>
      <w:bookmarkStart w:id="85" w:name="_Toc445282614"/>
    </w:p>
    <w:p w14:paraId="16EFCF77">
      <w:pPr>
        <w:spacing w:line="600" w:lineRule="auto"/>
        <w:ind w:right="324" w:rightChars="135" w:firstLine="4320" w:firstLineChars="1800"/>
        <w:rPr>
          <w:rFonts w:hint="eastAsia" w:ascii="宋体" w:hAnsi="宋体" w:eastAsia="宋体" w:cs="宋体"/>
          <w:szCs w:val="24"/>
          <w:highlight w:val="none"/>
        </w:rPr>
      </w:pPr>
    </w:p>
    <w:p w14:paraId="2E8BF849">
      <w:pPr>
        <w:spacing w:line="600" w:lineRule="auto"/>
        <w:ind w:right="324" w:rightChars="135" w:firstLine="4320" w:firstLineChars="1800"/>
        <w:rPr>
          <w:rFonts w:hint="eastAsia" w:ascii="宋体" w:hAnsi="宋体" w:eastAsia="宋体" w:cs="宋体"/>
          <w:szCs w:val="24"/>
          <w:highlight w:val="none"/>
        </w:rPr>
        <w:sectPr>
          <w:headerReference r:id="rId10" w:type="first"/>
          <w:footerReference r:id="rId12" w:type="first"/>
          <w:headerReference r:id="rId9" w:type="default"/>
          <w:footerReference r:id="rId11" w:type="default"/>
          <w:pgSz w:w="11906" w:h="16838"/>
          <w:pgMar w:top="1440" w:right="1701" w:bottom="1136" w:left="1701" w:header="851" w:footer="680" w:gutter="0"/>
          <w:pgNumType w:fmt="decimal" w:chapStyle="1"/>
          <w:cols w:space="720" w:num="1"/>
          <w:rtlGutter w:val="0"/>
          <w:docGrid w:type="lines" w:linePitch="312" w:charSpace="0"/>
        </w:sectPr>
      </w:pPr>
    </w:p>
    <w:bookmarkEnd w:id="85"/>
    <w:p w14:paraId="3E764E7F">
      <w:pPr>
        <w:numPr>
          <w:ilvl w:val="0"/>
          <w:numId w:val="0"/>
        </w:numPr>
        <w:rPr>
          <w:rFonts w:hint="eastAsia" w:ascii="宋体" w:hAnsi="宋体" w:eastAsia="宋体" w:cs="宋体"/>
          <w:b/>
          <w:bCs/>
          <w:sz w:val="28"/>
          <w:szCs w:val="24"/>
          <w:highlight w:val="none"/>
        </w:rPr>
      </w:pPr>
      <w:r>
        <w:rPr>
          <w:rFonts w:hint="eastAsia" w:ascii="宋体" w:hAnsi="宋体" w:eastAsia="宋体" w:cs="宋体"/>
          <w:b/>
          <w:bCs/>
          <w:kern w:val="2"/>
          <w:sz w:val="28"/>
          <w:szCs w:val="24"/>
          <w:highlight w:val="none"/>
          <w:lang w:val="en-US" w:eastAsia="zh-CN" w:bidi="ar-SA"/>
        </w:rPr>
        <w:t>三、</w:t>
      </w:r>
      <w:r>
        <w:rPr>
          <w:rFonts w:hint="eastAsia" w:ascii="宋体" w:hAnsi="宋体" w:eastAsia="宋体" w:cs="宋体"/>
          <w:b/>
          <w:bCs/>
          <w:sz w:val="28"/>
          <w:szCs w:val="24"/>
          <w:highlight w:val="none"/>
        </w:rPr>
        <w:t>符合性证明文件</w:t>
      </w:r>
    </w:p>
    <w:p w14:paraId="6106D5FE">
      <w:pPr>
        <w:pStyle w:val="13"/>
        <w:rPr>
          <w:rFonts w:hint="eastAsia" w:ascii="宋体" w:hAnsi="宋体" w:eastAsia="宋体" w:cs="宋体"/>
          <w:highlight w:val="none"/>
        </w:rPr>
      </w:pP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14:paraId="32381811">
      <w:pPr>
        <w:pStyle w:val="56"/>
        <w:spacing w:line="480" w:lineRule="auto"/>
        <w:ind w:firstLine="0" w:firstLineChars="0"/>
        <w:jc w:val="center"/>
        <w:rPr>
          <w:rFonts w:hint="eastAsia" w:ascii="宋体" w:hAnsi="宋体" w:eastAsia="宋体" w:cs="宋体"/>
          <w:color w:val="000000" w:themeColor="text1"/>
          <w:szCs w:val="21"/>
          <w:highlight w:val="none"/>
          <w14:textFill>
            <w14:solidFill>
              <w14:schemeClr w14:val="tx1"/>
            </w14:solidFill>
          </w14:textFill>
        </w:rPr>
      </w:pPr>
      <w:bookmarkStart w:id="86" w:name="_Toc188808834"/>
      <w:bookmarkStart w:id="87" w:name="_Toc193126882"/>
      <w:bookmarkStart w:id="88" w:name="_Toc193187098"/>
      <w:bookmarkStart w:id="89" w:name="_Toc194663919"/>
      <w:r>
        <w:rPr>
          <w:rFonts w:hint="eastAsia" w:ascii="宋体" w:hAnsi="宋体" w:eastAsia="宋体" w:cs="宋体"/>
          <w:b/>
          <w:color w:val="000000" w:themeColor="text1"/>
          <w:highlight w:val="none"/>
          <w14:textFill>
            <w14:solidFill>
              <w14:schemeClr w14:val="tx1"/>
            </w14:solidFill>
          </w14:textFill>
        </w:rPr>
        <w:t>1.响应函</w:t>
      </w:r>
    </w:p>
    <w:p w14:paraId="48C7563B">
      <w:pPr>
        <w:spacing w:line="480" w:lineRule="auto"/>
        <w:rPr>
          <w:rFonts w:hint="eastAsia" w:ascii="宋体" w:hAnsi="宋体" w:eastAsia="宋体" w:cs="宋体"/>
          <w:b/>
          <w:color w:val="000000" w:themeColor="text1"/>
          <w:szCs w:val="24"/>
          <w:highlight w:val="none"/>
          <w:lang w:eastAsia="zh-CN"/>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致：</w:t>
      </w:r>
      <w:r>
        <w:rPr>
          <w:rFonts w:hint="eastAsia" w:ascii="宋体" w:hAnsi="宋体" w:eastAsia="宋体" w:cs="宋体"/>
          <w:b/>
          <w:color w:val="000000" w:themeColor="text1"/>
          <w:szCs w:val="24"/>
          <w:highlight w:val="none"/>
          <w:lang w:eastAsia="zh-CN"/>
          <w14:textFill>
            <w14:solidFill>
              <w14:schemeClr w14:val="tx1"/>
            </w14:solidFill>
          </w14:textFill>
        </w:rPr>
        <w:t>陕西龙恒项目管理有限公司</w:t>
      </w:r>
    </w:p>
    <w:p w14:paraId="1049B49F">
      <w:pPr>
        <w:spacing w:line="360" w:lineRule="auto"/>
        <w:ind w:firstLine="470" w:firstLineChars="196"/>
        <w:jc w:val="left"/>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根据贵单位</w:t>
      </w:r>
      <w:r>
        <w:rPr>
          <w:rFonts w:hint="eastAsia" w:ascii="宋体" w:hAnsi="宋体" w:eastAsia="宋体" w:cs="宋体"/>
          <w:color w:val="000000" w:themeColor="text1"/>
          <w:szCs w:val="24"/>
          <w:highlight w:val="none"/>
          <w:u w:val="single"/>
          <w14:textFill>
            <w14:solidFill>
              <w14:schemeClr w14:val="tx1"/>
            </w14:solidFill>
          </w14:textFill>
        </w:rPr>
        <w:t>（项目名称）（项目编号）</w:t>
      </w:r>
      <w:r>
        <w:rPr>
          <w:rFonts w:hint="eastAsia" w:ascii="宋体" w:hAnsi="宋体" w:eastAsia="宋体" w:cs="宋体"/>
          <w:color w:val="000000" w:themeColor="text1"/>
          <w:szCs w:val="24"/>
          <w:highlight w:val="none"/>
          <w14:textFill>
            <w14:solidFill>
              <w14:schemeClr w14:val="tx1"/>
            </w14:solidFill>
          </w14:textFill>
        </w:rPr>
        <w:t>的磋商公告，我方代表</w:t>
      </w:r>
      <w:r>
        <w:rPr>
          <w:rFonts w:hint="eastAsia" w:ascii="宋体" w:hAnsi="宋体" w:eastAsia="宋体" w:cs="宋体"/>
          <w:color w:val="000000" w:themeColor="text1"/>
          <w:szCs w:val="24"/>
          <w:highlight w:val="none"/>
          <w:u w:val="single"/>
          <w14:textFill>
            <w14:solidFill>
              <w14:schemeClr w14:val="tx1"/>
            </w14:solidFill>
          </w14:textFill>
        </w:rPr>
        <w:t>（姓名、职务）</w:t>
      </w:r>
      <w:r>
        <w:rPr>
          <w:rFonts w:hint="eastAsia" w:ascii="宋体" w:hAnsi="宋体" w:eastAsia="宋体" w:cs="宋体"/>
          <w:color w:val="000000" w:themeColor="text1"/>
          <w:szCs w:val="24"/>
          <w:highlight w:val="none"/>
          <w14:textFill>
            <w14:solidFill>
              <w14:schemeClr w14:val="tx1"/>
            </w14:solidFill>
          </w14:textFill>
        </w:rPr>
        <w:t>经正式授权并代表</w:t>
      </w:r>
      <w:r>
        <w:rPr>
          <w:rFonts w:hint="eastAsia" w:ascii="宋体" w:hAnsi="宋体" w:eastAsia="宋体" w:cs="宋体"/>
          <w:color w:val="000000" w:themeColor="text1"/>
          <w:szCs w:val="24"/>
          <w:highlight w:val="none"/>
          <w:u w:val="single"/>
          <w14:textFill>
            <w14:solidFill>
              <w14:schemeClr w14:val="tx1"/>
            </w14:solidFill>
          </w14:textFill>
        </w:rPr>
        <w:t>（供应商名称）</w:t>
      </w:r>
      <w:r>
        <w:rPr>
          <w:rFonts w:hint="eastAsia" w:ascii="宋体" w:hAnsi="宋体" w:eastAsia="宋体" w:cs="宋体"/>
          <w:color w:val="000000" w:themeColor="text1"/>
          <w:szCs w:val="24"/>
          <w:highlight w:val="none"/>
          <w14:textFill>
            <w14:solidFill>
              <w14:schemeClr w14:val="tx1"/>
            </w14:solidFill>
          </w14:textFill>
        </w:rPr>
        <w:t>就该项目进行投标。</w:t>
      </w:r>
    </w:p>
    <w:p w14:paraId="7627C2ED">
      <w:pPr>
        <w:spacing w:line="360" w:lineRule="auto"/>
        <w:ind w:firstLine="472" w:firstLineChars="196"/>
        <w:jc w:val="left"/>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在此，我方郑重声明以下诸点，并负法律责任：</w:t>
      </w:r>
    </w:p>
    <w:p w14:paraId="336523B9">
      <w:pPr>
        <w:spacing w:line="360" w:lineRule="auto"/>
        <w:ind w:firstLine="480" w:firstLineChars="200"/>
        <w:jc w:val="lef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zh-CN"/>
          <w14:textFill>
            <w14:solidFill>
              <w14:schemeClr w14:val="tx1"/>
            </w14:solidFill>
          </w14:textFill>
        </w:rPr>
        <w:t>按</w:t>
      </w:r>
      <w:r>
        <w:rPr>
          <w:rFonts w:hint="eastAsia" w:ascii="宋体" w:hAnsi="宋体" w:eastAsia="宋体" w:cs="宋体"/>
          <w:color w:val="000000" w:themeColor="text1"/>
          <w:szCs w:val="24"/>
          <w:highlight w:val="none"/>
          <w:lang w:val="en-US" w:eastAsia="zh-CN"/>
          <w14:textFill>
            <w14:solidFill>
              <w14:schemeClr w14:val="tx1"/>
            </w14:solidFill>
          </w14:textFill>
        </w:rPr>
        <w:t>竞争性磋商</w:t>
      </w:r>
      <w:r>
        <w:rPr>
          <w:rFonts w:hint="eastAsia" w:ascii="宋体" w:hAnsi="宋体" w:eastAsia="宋体" w:cs="宋体"/>
          <w:color w:val="000000" w:themeColor="text1"/>
          <w:szCs w:val="24"/>
          <w:highlight w:val="none"/>
          <w:lang w:val="zh-CN"/>
          <w14:textFill>
            <w14:solidFill>
              <w14:schemeClr w14:val="tx1"/>
            </w14:solidFill>
          </w14:textFill>
        </w:rPr>
        <w:t>文件的规定，我公司的</w:t>
      </w:r>
      <w:r>
        <w:rPr>
          <w:rFonts w:hint="eastAsia" w:ascii="宋体" w:hAnsi="宋体" w:eastAsia="宋体" w:cs="宋体"/>
          <w:color w:val="000000" w:themeColor="text1"/>
          <w:szCs w:val="24"/>
          <w:highlight w:val="none"/>
          <w14:textFill>
            <w14:solidFill>
              <w14:schemeClr w14:val="tx1"/>
            </w14:solidFill>
          </w14:textFill>
        </w:rPr>
        <w:t>磋商</w:t>
      </w:r>
      <w:r>
        <w:rPr>
          <w:rFonts w:hint="eastAsia" w:ascii="宋体" w:hAnsi="宋体" w:eastAsia="宋体" w:cs="宋体"/>
          <w:color w:val="000000" w:themeColor="text1"/>
          <w:szCs w:val="24"/>
          <w:highlight w:val="none"/>
          <w:lang w:val="zh-CN"/>
          <w14:textFill>
            <w14:solidFill>
              <w14:schemeClr w14:val="tx1"/>
            </w14:solidFill>
          </w14:textFill>
        </w:rPr>
        <w:t>总报价为：人民币（大写）：</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元）；</w:t>
      </w:r>
      <w:r>
        <w:rPr>
          <w:rFonts w:hint="eastAsia" w:ascii="宋体" w:hAnsi="宋体" w:eastAsia="宋体" w:cs="宋体"/>
          <w:color w:val="000000" w:themeColor="text1"/>
          <w:szCs w:val="24"/>
          <w:highlight w:val="none"/>
          <w:lang w:val="en-US" w:eastAsia="zh-CN"/>
          <w14:textFill>
            <w14:solidFill>
              <w14:schemeClr w14:val="tx1"/>
            </w14:solidFill>
          </w14:textFill>
        </w:rPr>
        <w:t>工</w:t>
      </w:r>
      <w:r>
        <w:rPr>
          <w:rFonts w:hint="eastAsia" w:ascii="宋体" w:hAnsi="宋体" w:eastAsia="宋体" w:cs="宋体"/>
          <w:color w:val="000000" w:themeColor="text1"/>
          <w:szCs w:val="24"/>
          <w:highlight w:val="none"/>
          <w:lang w:val="zh-CN"/>
          <w14:textFill>
            <w14:solidFill>
              <w14:schemeClr w14:val="tx1"/>
            </w14:solidFill>
          </w14:textFill>
        </w:rPr>
        <w:t>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质保期：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；质量</w:t>
      </w:r>
      <w:r>
        <w:rPr>
          <w:rFonts w:hint="eastAsia" w:ascii="宋体" w:hAnsi="宋体" w:eastAsia="宋体" w:cs="宋体"/>
          <w:color w:val="000000" w:themeColor="text1"/>
          <w:szCs w:val="24"/>
          <w:highlight w:val="none"/>
          <w:lang w:val="en-US" w:eastAsia="zh-CN"/>
          <w14:textFill>
            <w14:solidFill>
              <w14:schemeClr w14:val="tx1"/>
            </w14:solidFill>
          </w14:textFill>
        </w:rPr>
        <w:t>标准</w:t>
      </w: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w:t>
      </w:r>
    </w:p>
    <w:p w14:paraId="3AB40B2F">
      <w:pPr>
        <w:spacing w:line="360" w:lineRule="auto"/>
        <w:ind w:firstLine="470" w:firstLineChars="196"/>
        <w:jc w:val="left"/>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2、我方已详细审查全部竞争性磋商文件，完全理解并同意放弃对这方面有不明及误解质疑的权力。</w:t>
      </w:r>
    </w:p>
    <w:p w14:paraId="2948C425">
      <w:pPr>
        <w:spacing w:line="360" w:lineRule="auto"/>
        <w:ind w:firstLine="470" w:firstLineChars="196"/>
        <w:jc w:val="left"/>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3、我方完全理解并同意竞争性磋商文件中的条款。</w:t>
      </w:r>
    </w:p>
    <w:p w14:paraId="3BA278EB">
      <w:pPr>
        <w:spacing w:line="360" w:lineRule="auto"/>
        <w:ind w:firstLine="470" w:firstLineChars="196"/>
        <w:jc w:val="left"/>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4、我方同意按照要求提供投标有关的一切数据或资料。</w:t>
      </w:r>
    </w:p>
    <w:p w14:paraId="420CA44B">
      <w:pPr>
        <w:spacing w:line="360" w:lineRule="auto"/>
        <w:ind w:firstLine="470" w:firstLineChars="196"/>
        <w:jc w:val="left"/>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5、我方将按竞争性磋商文件的规定履行合同责任和义务。</w:t>
      </w:r>
    </w:p>
    <w:p w14:paraId="0DFAA741">
      <w:pPr>
        <w:spacing w:line="360" w:lineRule="auto"/>
        <w:ind w:firstLine="470" w:firstLineChars="196"/>
        <w:jc w:val="left"/>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6、我方完全理解最低报价不是中标的唯一条件，采购人有权选择质优价廉的服务。</w:t>
      </w:r>
    </w:p>
    <w:p w14:paraId="04B26B1E">
      <w:pPr>
        <w:spacing w:line="360" w:lineRule="auto"/>
        <w:ind w:firstLine="470" w:firstLineChars="196"/>
        <w:jc w:val="left"/>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7、我方同意按竞争性磋商文件规定，遵守贵方有关招标的各项规定。</w:t>
      </w:r>
    </w:p>
    <w:p w14:paraId="0837D192">
      <w:pPr>
        <w:spacing w:line="360" w:lineRule="auto"/>
        <w:ind w:firstLine="470" w:firstLineChars="196"/>
        <w:jc w:val="left"/>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8、若我方中标，我方保证按有关规定向贵方支付</w:t>
      </w:r>
      <w:r>
        <w:rPr>
          <w:rFonts w:hint="eastAsia" w:ascii="宋体" w:hAnsi="宋体" w:eastAsia="宋体" w:cs="宋体"/>
          <w:highlight w:val="none"/>
        </w:rPr>
        <w:t>成交服务费</w:t>
      </w:r>
      <w:r>
        <w:rPr>
          <w:rFonts w:hint="eastAsia" w:ascii="宋体" w:hAnsi="宋体" w:eastAsia="宋体" w:cs="宋体"/>
          <w:color w:val="000000" w:themeColor="text1"/>
          <w:szCs w:val="24"/>
          <w:highlight w:val="none"/>
          <w14:textFill>
            <w14:solidFill>
              <w14:schemeClr w14:val="tx1"/>
            </w14:solidFill>
          </w14:textFill>
        </w:rPr>
        <w:t>。</w:t>
      </w:r>
    </w:p>
    <w:p w14:paraId="3E3CA83F">
      <w:pPr>
        <w:spacing w:line="360" w:lineRule="auto"/>
        <w:ind w:firstLine="470" w:firstLineChars="196"/>
        <w:jc w:val="left"/>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9、投标有效期为自</w:t>
      </w:r>
      <w:r>
        <w:rPr>
          <w:rFonts w:hint="eastAsia" w:ascii="宋体" w:hAnsi="宋体" w:eastAsia="宋体" w:cs="宋体"/>
          <w:kern w:val="0"/>
          <w:szCs w:val="24"/>
          <w:highlight w:val="none"/>
        </w:rPr>
        <w:t>投标截止之日</w:t>
      </w:r>
      <w:r>
        <w:rPr>
          <w:rFonts w:hint="eastAsia" w:ascii="宋体" w:hAnsi="宋体" w:eastAsia="宋体" w:cs="宋体"/>
          <w:color w:val="000000" w:themeColor="text1"/>
          <w:szCs w:val="24"/>
          <w:highlight w:val="none"/>
          <w14:textFill>
            <w14:solidFill>
              <w14:schemeClr w14:val="tx1"/>
            </w14:solidFill>
          </w14:textFill>
        </w:rPr>
        <w:t>起</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日历天。</w:t>
      </w:r>
    </w:p>
    <w:p w14:paraId="473D2272">
      <w:pPr>
        <w:spacing w:line="360" w:lineRule="auto"/>
        <w:ind w:firstLine="470" w:firstLineChars="196"/>
        <w:jc w:val="lef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10、所有关于本项目的函电，请按下列地址联系：</w:t>
      </w:r>
    </w:p>
    <w:p w14:paraId="24F3B42E">
      <w:pPr>
        <w:spacing w:line="360" w:lineRule="auto"/>
        <w:ind w:firstLine="480" w:firstLineChars="200"/>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供应商名称（公章）：</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7518F35C">
      <w:pPr>
        <w:spacing w:line="360" w:lineRule="auto"/>
        <w:ind w:firstLine="480" w:firstLineChars="200"/>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详 细 地 址：</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4A6AC6A4">
      <w:pPr>
        <w:spacing w:line="360" w:lineRule="auto"/>
        <w:ind w:firstLine="480" w:firstLineChars="200"/>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邮 政 编 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686F0B8E">
      <w:pPr>
        <w:spacing w:line="360" w:lineRule="auto"/>
        <w:ind w:firstLine="480" w:firstLineChars="200"/>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话：</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32AA5E0D">
      <w:pPr>
        <w:spacing w:line="360" w:lineRule="auto"/>
        <w:ind w:firstLine="480" w:firstLineChars="200"/>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传       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p>
    <w:p w14:paraId="121A8077">
      <w:pPr>
        <w:spacing w:line="360" w:lineRule="auto"/>
        <w:ind w:firstLine="480" w:firstLineChars="200"/>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电 子 邮 件：</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7EC9D059">
      <w:pPr>
        <w:spacing w:line="360" w:lineRule="auto"/>
        <w:ind w:firstLine="480" w:firstLineChars="200"/>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开 户 银 行：</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4BD9E053">
      <w:pPr>
        <w:spacing w:line="360" w:lineRule="auto"/>
        <w:ind w:firstLine="480" w:firstLineChars="200"/>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帐       号：</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14:textFill>
            <w14:solidFill>
              <w14:schemeClr w14:val="tx1"/>
            </w14:solidFill>
          </w14:textFill>
        </w:rPr>
        <w:br w:type="page"/>
      </w:r>
    </w:p>
    <w:p w14:paraId="04D71398">
      <w:pPr>
        <w:pStyle w:val="56"/>
        <w:spacing w:line="480" w:lineRule="auto"/>
        <w:ind w:firstLine="0" w:firstLine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2.磋商报价表</w:t>
      </w:r>
      <w:bookmarkEnd w:id="86"/>
      <w:bookmarkEnd w:id="87"/>
      <w:bookmarkEnd w:id="88"/>
      <w:bookmarkEnd w:id="89"/>
      <w:bookmarkStart w:id="90" w:name="_Toc233435985"/>
      <w:bookmarkStart w:id="91" w:name="_Toc128557265"/>
      <w:bookmarkStart w:id="92" w:name="_Toc22781"/>
      <w:bookmarkStart w:id="93" w:name="_Toc193187105"/>
      <w:bookmarkStart w:id="94" w:name="_Toc193126889"/>
      <w:bookmarkStart w:id="95" w:name="_Toc188808840"/>
      <w:bookmarkStart w:id="96" w:name="_Toc194663926"/>
    </w:p>
    <w:p w14:paraId="248D3DF4">
      <w:pPr>
        <w:pStyle w:val="56"/>
        <w:spacing w:line="480" w:lineRule="auto"/>
        <w:ind w:firstLine="0" w:firstLineChars="0"/>
        <w:jc w:val="center"/>
        <w:rPr>
          <w:rFonts w:hint="default" w:ascii="宋体" w:hAnsi="宋体" w:eastAsia="宋体" w:cs="宋体"/>
          <w:b/>
          <w:color w:val="000000" w:themeColor="text1"/>
          <w:kern w:val="0"/>
          <w:sz w:val="28"/>
          <w:highlight w:val="none"/>
          <w:lang w:val="en-US" w:eastAsia="zh-CN"/>
          <w14:textFill>
            <w14:solidFill>
              <w14:schemeClr w14:val="tx1"/>
            </w14:solidFill>
          </w14:textFill>
        </w:rPr>
      </w:pPr>
      <w:r>
        <w:rPr>
          <w:rFonts w:hint="eastAsia" w:ascii="宋体" w:hAnsi="宋体" w:eastAsia="宋体" w:cs="宋体"/>
          <w:b/>
          <w:color w:val="000000" w:themeColor="text1"/>
          <w:kern w:val="0"/>
          <w:sz w:val="28"/>
          <w:highlight w:val="none"/>
          <w:lang w:val="en-US" w:eastAsia="zh-CN"/>
          <w14:textFill>
            <w14:solidFill>
              <w14:schemeClr w14:val="tx1"/>
            </w14:solidFill>
          </w14:textFill>
        </w:rPr>
        <w:t>2.1第一次磋商报价表</w:t>
      </w:r>
    </w:p>
    <w:p w14:paraId="4F122E1C">
      <w:pPr>
        <w:spacing w:line="360" w:lineRule="auto"/>
        <w:jc w:val="left"/>
        <w:rPr>
          <w:rFonts w:ascii="宋体" w:hAnsi="宋体"/>
          <w:sz w:val="24"/>
          <w:highlight w:val="none"/>
        </w:rPr>
      </w:pPr>
      <w:r>
        <w:rPr>
          <w:rFonts w:hint="eastAsia" w:ascii="宋体" w:hAnsi="宋体"/>
          <w:sz w:val="24"/>
          <w:highlight w:val="none"/>
        </w:rPr>
        <w:t>项目编号：</w:t>
      </w:r>
      <w:r>
        <w:rPr>
          <w:rFonts w:hint="eastAsia" w:ascii="宋体" w:hAnsi="宋体"/>
          <w:sz w:val="24"/>
          <w:highlight w:val="none"/>
          <w:lang w:eastAsia="zh-CN"/>
        </w:rPr>
        <w:t>SXLH2025(031)CG</w:t>
      </w:r>
    </w:p>
    <w:p w14:paraId="0E6B1481">
      <w:pPr>
        <w:spacing w:line="360" w:lineRule="auto"/>
        <w:jc w:val="left"/>
        <w:rPr>
          <w:rFonts w:hint="eastAsia" w:ascii="宋体" w:hAnsi="宋体"/>
          <w:sz w:val="24"/>
          <w:highlight w:val="none"/>
          <w:lang w:eastAsia="zh-CN"/>
        </w:rPr>
      </w:pPr>
      <w:r>
        <w:rPr>
          <w:rFonts w:hint="eastAsia" w:ascii="宋体" w:hAnsi="宋体"/>
          <w:sz w:val="24"/>
          <w:highlight w:val="none"/>
        </w:rPr>
        <w:t>项目名称：</w:t>
      </w:r>
      <w:r>
        <w:rPr>
          <w:rFonts w:hint="eastAsia" w:ascii="宋体" w:hAnsi="宋体"/>
          <w:sz w:val="24"/>
          <w:highlight w:val="none"/>
          <w:lang w:eastAsia="zh-CN"/>
        </w:rPr>
        <w:t>千阳县民政局适老化改造项目</w:t>
      </w:r>
    </w:p>
    <w:tbl>
      <w:tblPr>
        <w:tblStyle w:val="37"/>
        <w:tblpPr w:leftFromText="180" w:rightFromText="180" w:vertAnchor="text" w:horzAnchor="page" w:tblpX="1679" w:tblpY="388"/>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064"/>
        <w:gridCol w:w="5898"/>
      </w:tblGrid>
      <w:tr w14:paraId="1DE5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59" w:type="dxa"/>
            <w:vAlign w:val="center"/>
          </w:tcPr>
          <w:p w14:paraId="6A83513A">
            <w:pPr>
              <w:spacing w:line="480" w:lineRule="exact"/>
              <w:jc w:val="center"/>
              <w:rPr>
                <w:rFonts w:hint="eastAsia" w:ascii="宋体" w:hAnsi="宋体" w:eastAsia="宋体" w:cs="宋体"/>
                <w:highlight w:val="none"/>
              </w:rPr>
            </w:pPr>
            <w:r>
              <w:rPr>
                <w:rFonts w:hint="eastAsia" w:ascii="宋体" w:hAnsi="宋体" w:eastAsia="宋体" w:cs="宋体"/>
                <w:highlight w:val="none"/>
              </w:rPr>
              <w:t>1</w:t>
            </w:r>
          </w:p>
        </w:tc>
        <w:tc>
          <w:tcPr>
            <w:tcW w:w="2064" w:type="dxa"/>
            <w:vAlign w:val="center"/>
          </w:tcPr>
          <w:p w14:paraId="1F542DC3">
            <w:pPr>
              <w:spacing w:line="480" w:lineRule="exact"/>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898" w:type="dxa"/>
            <w:vAlign w:val="center"/>
          </w:tcPr>
          <w:p w14:paraId="3857A11C">
            <w:pPr>
              <w:spacing w:line="480" w:lineRule="exact"/>
              <w:rPr>
                <w:rFonts w:hint="eastAsia" w:ascii="宋体" w:hAnsi="宋体" w:eastAsia="宋体" w:cs="宋体"/>
                <w:bCs/>
                <w:highlight w:val="none"/>
              </w:rPr>
            </w:pPr>
          </w:p>
        </w:tc>
      </w:tr>
      <w:tr w14:paraId="1262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59" w:type="dxa"/>
            <w:vMerge w:val="restart"/>
            <w:vAlign w:val="center"/>
          </w:tcPr>
          <w:p w14:paraId="6321F3E3">
            <w:pPr>
              <w:spacing w:line="480" w:lineRule="exact"/>
              <w:jc w:val="center"/>
              <w:rPr>
                <w:rFonts w:hint="eastAsia" w:ascii="宋体" w:hAnsi="宋体" w:eastAsia="宋体" w:cs="宋体"/>
                <w:bCs/>
                <w:highlight w:val="none"/>
              </w:rPr>
            </w:pPr>
            <w:r>
              <w:rPr>
                <w:rFonts w:hint="eastAsia" w:ascii="宋体" w:hAnsi="宋体" w:eastAsia="宋体" w:cs="宋体"/>
                <w:highlight w:val="none"/>
              </w:rPr>
              <w:t>2</w:t>
            </w:r>
          </w:p>
        </w:tc>
        <w:tc>
          <w:tcPr>
            <w:tcW w:w="2064" w:type="dxa"/>
            <w:vMerge w:val="restart"/>
            <w:vAlign w:val="center"/>
          </w:tcPr>
          <w:p w14:paraId="48214516">
            <w:pPr>
              <w:spacing w:line="480" w:lineRule="exact"/>
              <w:jc w:val="center"/>
              <w:rPr>
                <w:rFonts w:hint="eastAsia" w:ascii="宋体" w:hAnsi="宋体" w:eastAsia="宋体" w:cs="宋体"/>
                <w:highlight w:val="none"/>
              </w:rPr>
            </w:pPr>
            <w:r>
              <w:rPr>
                <w:rFonts w:hint="eastAsia" w:ascii="宋体" w:hAnsi="宋体" w:eastAsia="宋体" w:cs="宋体"/>
                <w:highlight w:val="none"/>
              </w:rPr>
              <w:t>磋商报价</w:t>
            </w:r>
          </w:p>
          <w:p w14:paraId="2A561131">
            <w:pPr>
              <w:spacing w:line="480" w:lineRule="exact"/>
              <w:jc w:val="center"/>
              <w:rPr>
                <w:rFonts w:hint="eastAsia" w:ascii="宋体" w:hAnsi="宋体" w:eastAsia="宋体" w:cs="宋体"/>
                <w:highlight w:val="none"/>
              </w:rPr>
            </w:pPr>
            <w:r>
              <w:rPr>
                <w:rFonts w:hint="eastAsia" w:ascii="宋体" w:hAnsi="宋体" w:eastAsia="宋体" w:cs="宋体"/>
                <w:highlight w:val="none"/>
              </w:rPr>
              <w:t>（元）</w:t>
            </w:r>
          </w:p>
        </w:tc>
        <w:tc>
          <w:tcPr>
            <w:tcW w:w="5898" w:type="dxa"/>
            <w:vAlign w:val="center"/>
          </w:tcPr>
          <w:p w14:paraId="2B506234">
            <w:pPr>
              <w:spacing w:line="480" w:lineRule="exact"/>
              <w:rPr>
                <w:rFonts w:hint="eastAsia" w:ascii="宋体" w:hAnsi="宋体" w:eastAsia="宋体" w:cs="宋体"/>
                <w:bCs/>
                <w:highlight w:val="none"/>
              </w:rPr>
            </w:pPr>
            <w:r>
              <w:rPr>
                <w:rFonts w:hint="eastAsia" w:ascii="宋体" w:hAnsi="宋体" w:eastAsia="宋体" w:cs="宋体"/>
                <w:bCs/>
                <w:highlight w:val="none"/>
              </w:rPr>
              <w:t>大 写：</w:t>
            </w:r>
          </w:p>
        </w:tc>
      </w:tr>
      <w:tr w14:paraId="3555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59" w:type="dxa"/>
            <w:vMerge w:val="continue"/>
            <w:vAlign w:val="center"/>
          </w:tcPr>
          <w:p w14:paraId="30FBD9D7">
            <w:pPr>
              <w:spacing w:line="480" w:lineRule="exact"/>
              <w:jc w:val="center"/>
              <w:rPr>
                <w:rFonts w:hint="eastAsia" w:ascii="宋体" w:hAnsi="宋体" w:eastAsia="宋体" w:cs="宋体"/>
                <w:bCs/>
                <w:highlight w:val="none"/>
              </w:rPr>
            </w:pPr>
          </w:p>
        </w:tc>
        <w:tc>
          <w:tcPr>
            <w:tcW w:w="2064" w:type="dxa"/>
            <w:vMerge w:val="continue"/>
            <w:vAlign w:val="center"/>
          </w:tcPr>
          <w:p w14:paraId="6D958DDA">
            <w:pPr>
              <w:spacing w:line="480" w:lineRule="exact"/>
              <w:jc w:val="center"/>
              <w:rPr>
                <w:rFonts w:hint="eastAsia" w:ascii="宋体" w:hAnsi="宋体" w:eastAsia="宋体" w:cs="宋体"/>
                <w:bCs/>
                <w:highlight w:val="none"/>
              </w:rPr>
            </w:pPr>
          </w:p>
        </w:tc>
        <w:tc>
          <w:tcPr>
            <w:tcW w:w="5898" w:type="dxa"/>
            <w:vAlign w:val="center"/>
          </w:tcPr>
          <w:p w14:paraId="33379601">
            <w:pPr>
              <w:spacing w:line="480" w:lineRule="exact"/>
              <w:rPr>
                <w:rFonts w:hint="eastAsia" w:ascii="宋体" w:hAnsi="宋体" w:eastAsia="宋体" w:cs="宋体"/>
                <w:bCs/>
                <w:highlight w:val="none"/>
              </w:rPr>
            </w:pPr>
            <w:r>
              <w:rPr>
                <w:rFonts w:hint="eastAsia" w:ascii="宋体" w:hAnsi="宋体" w:eastAsia="宋体" w:cs="宋体"/>
                <w:bCs/>
                <w:highlight w:val="none"/>
              </w:rPr>
              <w:t>小 写：</w:t>
            </w:r>
          </w:p>
        </w:tc>
      </w:tr>
      <w:tr w14:paraId="7045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59" w:type="dxa"/>
            <w:vAlign w:val="center"/>
          </w:tcPr>
          <w:p w14:paraId="3BD4939E">
            <w:pPr>
              <w:spacing w:line="480" w:lineRule="exact"/>
              <w:jc w:val="center"/>
              <w:rPr>
                <w:rFonts w:hint="eastAsia" w:ascii="宋体" w:hAnsi="宋体" w:eastAsia="宋体" w:cs="宋体"/>
                <w:highlight w:val="none"/>
              </w:rPr>
            </w:pPr>
            <w:r>
              <w:rPr>
                <w:rFonts w:hint="eastAsia" w:ascii="宋体" w:hAnsi="宋体" w:eastAsia="宋体" w:cs="宋体"/>
                <w:highlight w:val="none"/>
              </w:rPr>
              <w:t>3</w:t>
            </w:r>
          </w:p>
        </w:tc>
        <w:tc>
          <w:tcPr>
            <w:tcW w:w="2064" w:type="dxa"/>
            <w:vAlign w:val="center"/>
          </w:tcPr>
          <w:p w14:paraId="253DF155">
            <w:pPr>
              <w:spacing w:line="480" w:lineRule="exact"/>
              <w:jc w:val="center"/>
              <w:rPr>
                <w:rFonts w:hint="eastAsia" w:ascii="宋体" w:hAnsi="宋体" w:eastAsia="宋体" w:cs="宋体"/>
                <w:highlight w:val="none"/>
              </w:rPr>
            </w:pPr>
            <w:r>
              <w:rPr>
                <w:rFonts w:hint="eastAsia" w:ascii="宋体" w:hAnsi="宋体" w:eastAsia="宋体" w:cs="宋体"/>
                <w:highlight w:val="none"/>
                <w:lang w:val="en-US" w:eastAsia="zh-CN"/>
              </w:rPr>
              <w:t>工</w:t>
            </w:r>
            <w:r>
              <w:rPr>
                <w:rFonts w:hint="eastAsia" w:ascii="宋体" w:hAnsi="宋体" w:eastAsia="宋体" w:cs="宋体"/>
                <w:highlight w:val="none"/>
              </w:rPr>
              <w:t>期</w:t>
            </w:r>
          </w:p>
        </w:tc>
        <w:tc>
          <w:tcPr>
            <w:tcW w:w="5898" w:type="dxa"/>
            <w:vAlign w:val="center"/>
          </w:tcPr>
          <w:p w14:paraId="20924DE8">
            <w:pPr>
              <w:spacing w:line="480" w:lineRule="exact"/>
              <w:rPr>
                <w:rFonts w:hint="eastAsia" w:ascii="宋体" w:hAnsi="宋体" w:eastAsia="宋体" w:cs="宋体"/>
                <w:highlight w:val="none"/>
              </w:rPr>
            </w:pPr>
          </w:p>
        </w:tc>
      </w:tr>
      <w:tr w14:paraId="71D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59" w:type="dxa"/>
            <w:vAlign w:val="center"/>
          </w:tcPr>
          <w:p w14:paraId="568E9A5B">
            <w:pPr>
              <w:spacing w:line="48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2064" w:type="dxa"/>
            <w:vAlign w:val="center"/>
          </w:tcPr>
          <w:p w14:paraId="26EE50C9">
            <w:pPr>
              <w:spacing w:line="480" w:lineRule="exact"/>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质保期</w:t>
            </w:r>
          </w:p>
        </w:tc>
        <w:tc>
          <w:tcPr>
            <w:tcW w:w="5898" w:type="dxa"/>
            <w:vAlign w:val="center"/>
          </w:tcPr>
          <w:p w14:paraId="6C56556D">
            <w:pPr>
              <w:spacing w:line="480" w:lineRule="exact"/>
              <w:jc w:val="left"/>
              <w:rPr>
                <w:rFonts w:hint="eastAsia" w:ascii="宋体" w:hAnsi="宋体" w:eastAsia="宋体" w:cs="宋体"/>
                <w:highlight w:val="none"/>
                <w:u w:val="single"/>
              </w:rPr>
            </w:pPr>
          </w:p>
        </w:tc>
      </w:tr>
      <w:tr w14:paraId="25B6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59" w:type="dxa"/>
            <w:shd w:val="clear" w:color="auto" w:fill="auto"/>
            <w:vAlign w:val="center"/>
          </w:tcPr>
          <w:p w14:paraId="1A27C680">
            <w:pPr>
              <w:spacing w:line="480" w:lineRule="exact"/>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highlight w:val="none"/>
                <w:lang w:val="en-US" w:eastAsia="zh-CN"/>
              </w:rPr>
              <w:t>5</w:t>
            </w:r>
          </w:p>
        </w:tc>
        <w:tc>
          <w:tcPr>
            <w:tcW w:w="2064" w:type="dxa"/>
            <w:shd w:val="clear" w:color="auto" w:fill="auto"/>
            <w:vAlign w:val="center"/>
          </w:tcPr>
          <w:p w14:paraId="628CC240">
            <w:pPr>
              <w:spacing w:line="480" w:lineRule="exact"/>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highlight w:val="none"/>
              </w:rPr>
              <w:t>质量</w:t>
            </w:r>
            <w:r>
              <w:rPr>
                <w:rFonts w:hint="eastAsia" w:ascii="宋体" w:hAnsi="宋体" w:eastAsia="宋体" w:cs="宋体"/>
                <w:highlight w:val="none"/>
                <w:lang w:val="en-US" w:eastAsia="zh-CN"/>
              </w:rPr>
              <w:t>标准</w:t>
            </w:r>
          </w:p>
        </w:tc>
        <w:tc>
          <w:tcPr>
            <w:tcW w:w="5898" w:type="dxa"/>
            <w:shd w:val="clear" w:color="auto" w:fill="auto"/>
            <w:vAlign w:val="center"/>
          </w:tcPr>
          <w:p w14:paraId="76108FD2">
            <w:pPr>
              <w:spacing w:line="480" w:lineRule="exact"/>
              <w:jc w:val="center"/>
              <w:rPr>
                <w:rFonts w:hint="eastAsia" w:ascii="宋体" w:hAnsi="宋体" w:eastAsia="宋体" w:cs="宋体"/>
                <w:kern w:val="2"/>
                <w:sz w:val="24"/>
                <w:szCs w:val="22"/>
                <w:highlight w:val="none"/>
                <w:lang w:val="en-US" w:eastAsia="zh-CN" w:bidi="ar-SA"/>
              </w:rPr>
            </w:pPr>
          </w:p>
        </w:tc>
      </w:tr>
      <w:tr w14:paraId="0619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59" w:type="dxa"/>
            <w:tcBorders>
              <w:bottom w:val="single" w:color="auto" w:sz="4" w:space="0"/>
            </w:tcBorders>
            <w:vAlign w:val="center"/>
          </w:tcPr>
          <w:p w14:paraId="0A0DA1C2">
            <w:pPr>
              <w:kinsoku w:val="0"/>
              <w:spacing w:line="480" w:lineRule="exact"/>
              <w:jc w:val="center"/>
              <w:rPr>
                <w:rFonts w:hint="eastAsia" w:ascii="宋体" w:hAnsi="宋体" w:eastAsia="宋体" w:cs="宋体"/>
                <w:b/>
                <w:highlight w:val="none"/>
                <w:lang w:eastAsia="zh-CN"/>
              </w:rPr>
            </w:pPr>
            <w:r>
              <w:rPr>
                <w:rFonts w:hint="eastAsia" w:ascii="宋体" w:hAnsi="宋体" w:eastAsia="宋体" w:cs="宋体"/>
                <w:bCs/>
                <w:highlight w:val="none"/>
                <w:lang w:val="en-US" w:eastAsia="zh-CN"/>
              </w:rPr>
              <w:t>6</w:t>
            </w:r>
          </w:p>
        </w:tc>
        <w:tc>
          <w:tcPr>
            <w:tcW w:w="7962" w:type="dxa"/>
            <w:gridSpan w:val="2"/>
            <w:tcBorders>
              <w:bottom w:val="single" w:color="auto" w:sz="4" w:space="0"/>
            </w:tcBorders>
            <w:vAlign w:val="center"/>
          </w:tcPr>
          <w:p w14:paraId="38587E14">
            <w:pPr>
              <w:kinsoku w:val="0"/>
              <w:spacing w:line="480" w:lineRule="exact"/>
              <w:rPr>
                <w:rFonts w:hint="eastAsia" w:ascii="宋体" w:hAnsi="宋体" w:eastAsia="宋体" w:cs="宋体"/>
                <w:highlight w:val="none"/>
              </w:rPr>
            </w:pPr>
            <w:r>
              <w:rPr>
                <w:rFonts w:hint="eastAsia" w:ascii="宋体" w:hAnsi="宋体" w:eastAsia="宋体" w:cs="宋体"/>
                <w:b/>
                <w:highlight w:val="none"/>
              </w:rPr>
              <w:t>备注：精确到小数点后两位，大小写不一致时，以大写为准。</w:t>
            </w:r>
          </w:p>
        </w:tc>
      </w:tr>
    </w:tbl>
    <w:p w14:paraId="6524B961">
      <w:pPr>
        <w:spacing w:line="480" w:lineRule="exact"/>
        <w:rPr>
          <w:rFonts w:ascii="宋体" w:hAnsi="宋体" w:eastAsia="宋体" w:cs="宋体"/>
          <w:bCs/>
          <w:kern w:val="0"/>
          <w:highlight w:val="none"/>
        </w:rPr>
      </w:pPr>
      <w:r>
        <w:rPr>
          <w:rFonts w:hint="eastAsia" w:ascii="宋体" w:hAnsi="宋体" w:eastAsia="宋体" w:cs="宋体"/>
          <w:bCs/>
          <w:kern w:val="0"/>
          <w:highlight w:val="none"/>
        </w:rPr>
        <w:t>注：1、本表价格应按总价填写，同时应保证磋商响应文件的正、副本中仍有此表且一致。</w:t>
      </w:r>
    </w:p>
    <w:p w14:paraId="15D5A999">
      <w:pPr>
        <w:spacing w:line="480" w:lineRule="exact"/>
        <w:ind w:firstLine="480" w:firstLineChars="200"/>
        <w:rPr>
          <w:rFonts w:hint="eastAsia" w:ascii="宋体" w:hAnsi="宋体" w:eastAsia="宋体" w:cs="宋体"/>
          <w:bCs/>
          <w:kern w:val="0"/>
          <w:highlight w:val="none"/>
        </w:rPr>
      </w:pPr>
      <w:r>
        <w:rPr>
          <w:rFonts w:hint="eastAsia" w:ascii="宋体" w:hAnsi="宋体" w:eastAsia="宋体" w:cs="宋体"/>
          <w:bCs/>
          <w:kern w:val="0"/>
          <w:highlight w:val="none"/>
        </w:rPr>
        <w:t>2、报价精确到小数点后两位。</w:t>
      </w:r>
    </w:p>
    <w:p w14:paraId="4FEC5DEB">
      <w:pPr>
        <w:spacing w:line="480" w:lineRule="exact"/>
        <w:rPr>
          <w:rFonts w:hint="eastAsia" w:ascii="宋体" w:hAnsi="宋体" w:eastAsia="宋体" w:cs="宋体"/>
          <w:bCs/>
          <w:kern w:val="0"/>
          <w:highlight w:val="none"/>
        </w:rPr>
      </w:pPr>
    </w:p>
    <w:p w14:paraId="7054DA59">
      <w:pPr>
        <w:spacing w:line="480" w:lineRule="exact"/>
        <w:rPr>
          <w:rFonts w:hint="eastAsia" w:ascii="宋体" w:hAnsi="宋体" w:eastAsia="宋体" w:cs="宋体"/>
          <w:bCs/>
          <w:kern w:val="0"/>
          <w:highlight w:val="none"/>
        </w:rPr>
      </w:pPr>
    </w:p>
    <w:p w14:paraId="1DA09549">
      <w:pPr>
        <w:spacing w:line="480" w:lineRule="exact"/>
        <w:rPr>
          <w:rFonts w:hint="eastAsia" w:ascii="宋体" w:hAnsi="宋体" w:eastAsia="宋体" w:cs="宋体"/>
          <w:bCs/>
          <w:kern w:val="0"/>
          <w:highlight w:val="none"/>
        </w:rPr>
      </w:pPr>
      <w:r>
        <w:rPr>
          <w:rFonts w:hint="eastAsia" w:ascii="宋体" w:hAnsi="宋体" w:eastAsia="宋体" w:cs="宋体"/>
          <w:bCs/>
          <w:kern w:val="0"/>
          <w:highlight w:val="none"/>
        </w:rPr>
        <w:t>供应商名称：</w:t>
      </w:r>
      <w:r>
        <w:rPr>
          <w:rFonts w:hint="eastAsia" w:ascii="宋体" w:hAnsi="宋体" w:eastAsia="宋体" w:cs="宋体"/>
          <w:bCs/>
          <w:kern w:val="0"/>
          <w:highlight w:val="none"/>
          <w:u w:val="single"/>
        </w:rPr>
        <w:t xml:space="preserve">                             </w:t>
      </w:r>
      <w:r>
        <w:rPr>
          <w:rFonts w:hint="eastAsia" w:ascii="宋体" w:hAnsi="宋体" w:eastAsia="宋体" w:cs="宋体"/>
          <w:bCs/>
          <w:kern w:val="0"/>
          <w:highlight w:val="none"/>
        </w:rPr>
        <w:t>（盖章）</w:t>
      </w:r>
    </w:p>
    <w:p w14:paraId="3514FE76">
      <w:pPr>
        <w:spacing w:line="480" w:lineRule="exact"/>
        <w:rPr>
          <w:rFonts w:hint="eastAsia" w:ascii="宋体" w:hAnsi="宋体" w:eastAsia="宋体" w:cs="宋体"/>
          <w:bCs/>
          <w:kern w:val="0"/>
          <w:highlight w:val="none"/>
        </w:rPr>
      </w:pPr>
      <w:r>
        <w:rPr>
          <w:rFonts w:hint="eastAsia" w:ascii="宋体" w:hAnsi="宋体" w:eastAsia="宋体" w:cs="宋体"/>
          <w:bCs/>
          <w:kern w:val="0"/>
          <w:highlight w:val="none"/>
        </w:rPr>
        <w:t>法定代表人或授权代表：</w:t>
      </w:r>
      <w:r>
        <w:rPr>
          <w:rFonts w:hint="eastAsia" w:ascii="宋体" w:hAnsi="宋体" w:eastAsia="宋体" w:cs="宋体"/>
          <w:bCs/>
          <w:kern w:val="0"/>
          <w:highlight w:val="none"/>
          <w:u w:val="single"/>
        </w:rPr>
        <w:t xml:space="preserve">            </w:t>
      </w:r>
      <w:r>
        <w:rPr>
          <w:rFonts w:hint="eastAsia" w:ascii="宋体" w:hAnsi="宋体" w:eastAsia="宋体" w:cs="宋体"/>
          <w:highlight w:val="none"/>
        </w:rPr>
        <w:t>（签字或盖章）</w:t>
      </w:r>
    </w:p>
    <w:p w14:paraId="75B84033">
      <w:pPr>
        <w:spacing w:line="480" w:lineRule="exact"/>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2B09EB0D">
      <w:pPr>
        <w:pStyle w:val="56"/>
        <w:keepNext w:val="0"/>
        <w:keepLines w:val="0"/>
        <w:pageBreakBefore w:val="0"/>
        <w:kinsoku/>
        <w:wordWrap/>
        <w:overflowPunct/>
        <w:topLinePunct w:val="0"/>
        <w:autoSpaceDE/>
        <w:autoSpaceDN/>
        <w:bidi w:val="0"/>
        <w:adjustRightInd/>
        <w:snapToGrid/>
        <w:spacing w:line="300" w:lineRule="atLeast"/>
        <w:ind w:firstLine="0" w:firstLineChars="0"/>
        <w:jc w:val="center"/>
        <w:textAlignment w:val="auto"/>
        <w:rPr>
          <w:rFonts w:hint="eastAsia" w:ascii="宋体" w:hAnsi="宋体" w:eastAsia="宋体" w:cs="宋体"/>
          <w:b/>
          <w:color w:val="000000" w:themeColor="text1"/>
          <w:highlight w:val="none"/>
          <w14:textFill>
            <w14:solidFill>
              <w14:schemeClr w14:val="tx1"/>
            </w14:solidFill>
          </w14:textFill>
        </w:rPr>
      </w:pPr>
    </w:p>
    <w:p w14:paraId="406D8695">
      <w:pPr>
        <w:pStyle w:val="56"/>
        <w:keepNext w:val="0"/>
        <w:keepLines w:val="0"/>
        <w:pageBreakBefore w:val="0"/>
        <w:kinsoku/>
        <w:wordWrap/>
        <w:overflowPunct/>
        <w:topLinePunct w:val="0"/>
        <w:autoSpaceDE/>
        <w:autoSpaceDN/>
        <w:bidi w:val="0"/>
        <w:adjustRightInd/>
        <w:snapToGrid/>
        <w:spacing w:line="300" w:lineRule="atLeast"/>
        <w:ind w:firstLine="0" w:firstLineChars="0"/>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价格</w:t>
      </w:r>
      <w:r>
        <w:rPr>
          <w:rFonts w:hint="eastAsia" w:ascii="宋体" w:hAnsi="宋体" w:eastAsia="宋体" w:cs="宋体"/>
          <w:b/>
          <w:color w:val="000000" w:themeColor="text1"/>
          <w:highlight w:val="none"/>
          <w14:textFill>
            <w14:solidFill>
              <w14:schemeClr w14:val="tx1"/>
            </w14:solidFill>
          </w14:textFill>
        </w:rPr>
        <w:t>表</w:t>
      </w:r>
    </w:p>
    <w:p w14:paraId="4397C9BD">
      <w:pPr>
        <w:spacing w:line="121" w:lineRule="exact"/>
        <w:rPr>
          <w:highlight w:val="none"/>
        </w:rPr>
      </w:pPr>
    </w:p>
    <w:tbl>
      <w:tblPr>
        <w:tblStyle w:val="145"/>
        <w:tblW w:w="87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1075"/>
        <w:gridCol w:w="1055"/>
        <w:gridCol w:w="3560"/>
        <w:gridCol w:w="864"/>
        <w:gridCol w:w="864"/>
        <w:gridCol w:w="864"/>
      </w:tblGrid>
      <w:tr w14:paraId="35F3B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74" w:type="dxa"/>
            <w:vAlign w:val="top"/>
          </w:tcPr>
          <w:p w14:paraId="73ED2A9E">
            <w:pPr>
              <w:spacing w:line="395" w:lineRule="auto"/>
              <w:rPr>
                <w:rFonts w:hint="eastAsia" w:asciiTheme="majorEastAsia" w:hAnsiTheme="majorEastAsia" w:eastAsiaTheme="majorEastAsia" w:cstheme="majorEastAsia"/>
                <w:sz w:val="21"/>
                <w:highlight w:val="none"/>
              </w:rPr>
            </w:pPr>
          </w:p>
          <w:p w14:paraId="35DF5354">
            <w:pPr>
              <w:pStyle w:val="144"/>
              <w:spacing w:before="65" w:line="229" w:lineRule="auto"/>
              <w:ind w:left="95"/>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7"/>
                <w:sz w:val="20"/>
                <w:szCs w:val="20"/>
                <w:highlight w:val="none"/>
              </w:rPr>
              <w:t>序号</w:t>
            </w:r>
          </w:p>
        </w:tc>
        <w:tc>
          <w:tcPr>
            <w:tcW w:w="1075" w:type="dxa"/>
            <w:vAlign w:val="top"/>
          </w:tcPr>
          <w:p w14:paraId="6A403679">
            <w:pPr>
              <w:spacing w:line="394" w:lineRule="auto"/>
              <w:rPr>
                <w:rFonts w:hint="eastAsia" w:asciiTheme="majorEastAsia" w:hAnsiTheme="majorEastAsia" w:eastAsiaTheme="majorEastAsia" w:cstheme="majorEastAsia"/>
                <w:sz w:val="21"/>
                <w:highlight w:val="none"/>
              </w:rPr>
            </w:pPr>
          </w:p>
          <w:p w14:paraId="4575245E">
            <w:pPr>
              <w:pStyle w:val="144"/>
              <w:spacing w:before="65" w:line="228" w:lineRule="auto"/>
              <w:ind w:left="513"/>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0"/>
                <w:sz w:val="20"/>
                <w:szCs w:val="20"/>
                <w:highlight w:val="none"/>
              </w:rPr>
              <w:t>类别</w:t>
            </w:r>
          </w:p>
        </w:tc>
        <w:tc>
          <w:tcPr>
            <w:tcW w:w="1055" w:type="dxa"/>
            <w:vAlign w:val="top"/>
          </w:tcPr>
          <w:p w14:paraId="5CBAA721">
            <w:pPr>
              <w:pStyle w:val="144"/>
              <w:spacing w:before="65" w:line="228" w:lineRule="auto"/>
              <w:rPr>
                <w:rFonts w:hint="eastAsia" w:asciiTheme="majorEastAsia" w:hAnsiTheme="majorEastAsia" w:eastAsiaTheme="majorEastAsia" w:cstheme="majorEastAsia"/>
                <w:spacing w:val="3"/>
                <w:sz w:val="20"/>
                <w:szCs w:val="20"/>
                <w:highlight w:val="none"/>
              </w:rPr>
            </w:pPr>
          </w:p>
          <w:p w14:paraId="68B4F4D7">
            <w:pPr>
              <w:pStyle w:val="144"/>
              <w:spacing w:before="65" w:line="228" w:lineRule="auto"/>
              <w:ind w:firstLine="206" w:firstLineChars="100"/>
              <w:rPr>
                <w:rFonts w:hint="eastAsia" w:asciiTheme="majorEastAsia" w:hAnsiTheme="majorEastAsia" w:eastAsiaTheme="majorEastAsia" w:cstheme="majorEastAsia"/>
                <w:spacing w:val="3"/>
                <w:sz w:val="20"/>
                <w:szCs w:val="20"/>
                <w:highlight w:val="none"/>
              </w:rPr>
            </w:pPr>
            <w:r>
              <w:rPr>
                <w:rFonts w:hint="eastAsia" w:asciiTheme="majorEastAsia" w:hAnsiTheme="majorEastAsia" w:eastAsiaTheme="majorEastAsia" w:cstheme="majorEastAsia"/>
                <w:spacing w:val="3"/>
                <w:sz w:val="20"/>
                <w:szCs w:val="20"/>
                <w:highlight w:val="none"/>
              </w:rPr>
              <w:t>项</w:t>
            </w:r>
            <w:r>
              <w:rPr>
                <w:rFonts w:hint="eastAsia" w:asciiTheme="majorEastAsia" w:hAnsiTheme="majorEastAsia" w:eastAsiaTheme="majorEastAsia" w:cstheme="majorEastAsia"/>
                <w:spacing w:val="-32"/>
                <w:sz w:val="20"/>
                <w:szCs w:val="20"/>
                <w:highlight w:val="none"/>
              </w:rPr>
              <w:t xml:space="preserve"> </w:t>
            </w:r>
            <w:r>
              <w:rPr>
                <w:rFonts w:hint="eastAsia" w:asciiTheme="majorEastAsia" w:hAnsiTheme="majorEastAsia" w:eastAsiaTheme="majorEastAsia" w:cstheme="majorEastAsia"/>
                <w:spacing w:val="3"/>
                <w:sz w:val="20"/>
                <w:szCs w:val="20"/>
                <w:highlight w:val="none"/>
              </w:rPr>
              <w:t>目</w:t>
            </w:r>
          </w:p>
          <w:p w14:paraId="734D91FC">
            <w:pPr>
              <w:pStyle w:val="144"/>
              <w:spacing w:before="65" w:line="228" w:lineRule="auto"/>
              <w:ind w:left="27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名称</w:t>
            </w:r>
          </w:p>
        </w:tc>
        <w:tc>
          <w:tcPr>
            <w:tcW w:w="3560" w:type="dxa"/>
            <w:vAlign w:val="top"/>
          </w:tcPr>
          <w:p w14:paraId="3D4F0E1F">
            <w:pPr>
              <w:spacing w:line="394" w:lineRule="auto"/>
              <w:rPr>
                <w:rFonts w:hint="eastAsia" w:asciiTheme="majorEastAsia" w:hAnsiTheme="majorEastAsia" w:eastAsiaTheme="majorEastAsia" w:cstheme="majorEastAsia"/>
                <w:sz w:val="21"/>
                <w:highlight w:val="none"/>
              </w:rPr>
            </w:pPr>
          </w:p>
          <w:p w14:paraId="1E5FC15B">
            <w:pPr>
              <w:pStyle w:val="144"/>
              <w:spacing w:before="65" w:line="228" w:lineRule="auto"/>
              <w:ind w:firstLine="1200" w:firstLineChars="50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20"/>
                <w:sz w:val="20"/>
                <w:szCs w:val="20"/>
                <w:highlight w:val="none"/>
              </w:rPr>
              <w:t>具体内容</w:t>
            </w:r>
          </w:p>
        </w:tc>
        <w:tc>
          <w:tcPr>
            <w:tcW w:w="864" w:type="dxa"/>
            <w:vAlign w:val="top"/>
          </w:tcPr>
          <w:p w14:paraId="5844CC97">
            <w:pPr>
              <w:pStyle w:val="144"/>
              <w:spacing w:before="65" w:line="228" w:lineRule="auto"/>
              <w:ind w:firstLine="212" w:firstLineChars="100"/>
              <w:rPr>
                <w:rFonts w:hint="eastAsia" w:asciiTheme="majorEastAsia" w:hAnsiTheme="majorEastAsia" w:eastAsiaTheme="majorEastAsia" w:cstheme="majorEastAsia"/>
                <w:spacing w:val="6"/>
                <w:sz w:val="20"/>
                <w:szCs w:val="20"/>
                <w:highlight w:val="none"/>
              </w:rPr>
            </w:pPr>
          </w:p>
          <w:p w14:paraId="12A16C2E">
            <w:pPr>
              <w:pStyle w:val="144"/>
              <w:spacing w:before="65" w:line="228" w:lineRule="auto"/>
              <w:ind w:firstLine="212" w:firstLineChars="100"/>
              <w:rPr>
                <w:rFonts w:hint="eastAsia" w:asciiTheme="majorEastAsia" w:hAnsiTheme="majorEastAsia" w:eastAsiaTheme="majorEastAsia" w:cstheme="majorEastAsia"/>
                <w:spacing w:val="6"/>
                <w:sz w:val="20"/>
                <w:szCs w:val="20"/>
                <w:highlight w:val="none"/>
              </w:rPr>
            </w:pPr>
            <w:r>
              <w:rPr>
                <w:rFonts w:hint="eastAsia" w:asciiTheme="majorEastAsia" w:hAnsiTheme="majorEastAsia" w:eastAsiaTheme="majorEastAsia" w:cstheme="majorEastAsia"/>
                <w:spacing w:val="6"/>
                <w:sz w:val="20"/>
                <w:szCs w:val="20"/>
                <w:highlight w:val="none"/>
              </w:rPr>
              <w:t>项目</w:t>
            </w:r>
          </w:p>
          <w:p w14:paraId="1856487E">
            <w:pPr>
              <w:pStyle w:val="144"/>
              <w:spacing w:before="65" w:line="228" w:lineRule="auto"/>
              <w:ind w:left="178"/>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6"/>
                <w:sz w:val="20"/>
                <w:szCs w:val="20"/>
                <w:highlight w:val="none"/>
              </w:rPr>
              <w:t>类型</w:t>
            </w:r>
          </w:p>
        </w:tc>
        <w:tc>
          <w:tcPr>
            <w:tcW w:w="864" w:type="dxa"/>
            <w:vAlign w:val="top"/>
          </w:tcPr>
          <w:p w14:paraId="102F4161">
            <w:pPr>
              <w:pStyle w:val="144"/>
              <w:spacing w:before="65" w:line="228" w:lineRule="auto"/>
              <w:ind w:left="178"/>
              <w:rPr>
                <w:rFonts w:hint="eastAsia" w:asciiTheme="majorEastAsia" w:hAnsiTheme="majorEastAsia" w:eastAsiaTheme="majorEastAsia" w:cstheme="majorEastAsia"/>
                <w:spacing w:val="21"/>
                <w:sz w:val="20"/>
                <w:szCs w:val="20"/>
                <w:highlight w:val="none"/>
                <w:lang w:val="en-US" w:eastAsia="zh-CN"/>
              </w:rPr>
            </w:pPr>
          </w:p>
          <w:p w14:paraId="50B4B276">
            <w:pPr>
              <w:pStyle w:val="144"/>
              <w:spacing w:before="65" w:line="228" w:lineRule="auto"/>
              <w:ind w:left="178"/>
              <w:jc w:val="center"/>
              <w:rPr>
                <w:rFonts w:hint="eastAsia" w:asciiTheme="majorEastAsia" w:hAnsiTheme="majorEastAsia" w:eastAsiaTheme="majorEastAsia" w:cstheme="majorEastAsia"/>
                <w:spacing w:val="6"/>
                <w:sz w:val="20"/>
                <w:szCs w:val="20"/>
                <w:highlight w:val="none"/>
                <w:lang w:val="en-US" w:eastAsia="zh-CN"/>
              </w:rPr>
            </w:pPr>
            <w:r>
              <w:rPr>
                <w:rFonts w:hint="eastAsia" w:asciiTheme="majorEastAsia" w:hAnsiTheme="majorEastAsia" w:eastAsiaTheme="majorEastAsia" w:cstheme="majorEastAsia"/>
                <w:spacing w:val="21"/>
                <w:sz w:val="20"/>
                <w:szCs w:val="20"/>
                <w:highlight w:val="none"/>
                <w:lang w:val="en-US" w:eastAsia="zh-CN"/>
              </w:rPr>
              <w:t>价格（元）</w:t>
            </w:r>
          </w:p>
        </w:tc>
        <w:tc>
          <w:tcPr>
            <w:tcW w:w="864" w:type="dxa"/>
            <w:vAlign w:val="top"/>
          </w:tcPr>
          <w:p w14:paraId="52EB2E39">
            <w:pPr>
              <w:pStyle w:val="144"/>
              <w:spacing w:before="65" w:line="228" w:lineRule="auto"/>
              <w:ind w:left="178"/>
              <w:rPr>
                <w:rFonts w:hint="eastAsia" w:asciiTheme="majorEastAsia" w:hAnsiTheme="majorEastAsia" w:eastAsiaTheme="majorEastAsia" w:cstheme="majorEastAsia"/>
                <w:spacing w:val="6"/>
                <w:sz w:val="20"/>
                <w:szCs w:val="20"/>
                <w:highlight w:val="none"/>
                <w:lang w:val="en-US" w:eastAsia="zh-CN"/>
              </w:rPr>
            </w:pPr>
          </w:p>
          <w:p w14:paraId="72BE75E7">
            <w:pPr>
              <w:pStyle w:val="144"/>
              <w:spacing w:before="65" w:line="228" w:lineRule="auto"/>
              <w:ind w:left="178"/>
              <w:rPr>
                <w:rFonts w:hint="eastAsia" w:asciiTheme="majorEastAsia" w:hAnsiTheme="majorEastAsia" w:eastAsiaTheme="majorEastAsia" w:cstheme="majorEastAsia"/>
                <w:spacing w:val="6"/>
                <w:sz w:val="20"/>
                <w:szCs w:val="20"/>
                <w:highlight w:val="none"/>
                <w:lang w:val="en-US" w:eastAsia="zh-CN"/>
              </w:rPr>
            </w:pPr>
            <w:r>
              <w:rPr>
                <w:rFonts w:hint="eastAsia" w:asciiTheme="majorEastAsia" w:hAnsiTheme="majorEastAsia" w:eastAsiaTheme="majorEastAsia" w:cstheme="majorEastAsia"/>
                <w:spacing w:val="6"/>
                <w:sz w:val="20"/>
                <w:szCs w:val="20"/>
                <w:highlight w:val="none"/>
                <w:lang w:val="en-US" w:eastAsia="zh-CN"/>
              </w:rPr>
              <w:t>备注</w:t>
            </w:r>
          </w:p>
        </w:tc>
      </w:tr>
      <w:tr w14:paraId="26743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474" w:type="dxa"/>
            <w:vAlign w:val="top"/>
          </w:tcPr>
          <w:p w14:paraId="12656A87">
            <w:pPr>
              <w:spacing w:line="398" w:lineRule="auto"/>
              <w:rPr>
                <w:rFonts w:hint="eastAsia" w:asciiTheme="majorEastAsia" w:hAnsiTheme="majorEastAsia" w:eastAsiaTheme="majorEastAsia" w:cstheme="majorEastAsia"/>
                <w:sz w:val="21"/>
                <w:highlight w:val="none"/>
              </w:rPr>
            </w:pPr>
          </w:p>
          <w:p w14:paraId="4C007EF2">
            <w:pPr>
              <w:pStyle w:val="144"/>
              <w:spacing w:before="65" w:line="270" w:lineRule="exact"/>
              <w:ind w:left="289"/>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1</w:t>
            </w:r>
          </w:p>
        </w:tc>
        <w:tc>
          <w:tcPr>
            <w:tcW w:w="1075" w:type="dxa"/>
            <w:vMerge w:val="restart"/>
            <w:tcBorders>
              <w:bottom w:val="nil"/>
            </w:tcBorders>
            <w:vAlign w:val="top"/>
          </w:tcPr>
          <w:p w14:paraId="701BAB72">
            <w:pPr>
              <w:spacing w:line="261" w:lineRule="auto"/>
              <w:rPr>
                <w:rFonts w:hint="eastAsia" w:asciiTheme="majorEastAsia" w:hAnsiTheme="majorEastAsia" w:eastAsiaTheme="majorEastAsia" w:cstheme="majorEastAsia"/>
                <w:sz w:val="21"/>
                <w:highlight w:val="none"/>
              </w:rPr>
            </w:pPr>
          </w:p>
          <w:p w14:paraId="2789FC09">
            <w:pPr>
              <w:spacing w:line="261" w:lineRule="auto"/>
              <w:rPr>
                <w:rFonts w:hint="eastAsia" w:asciiTheme="majorEastAsia" w:hAnsiTheme="majorEastAsia" w:eastAsiaTheme="majorEastAsia" w:cstheme="majorEastAsia"/>
                <w:sz w:val="21"/>
                <w:highlight w:val="none"/>
              </w:rPr>
            </w:pPr>
          </w:p>
          <w:p w14:paraId="1D7FC988">
            <w:pPr>
              <w:spacing w:line="262" w:lineRule="auto"/>
              <w:rPr>
                <w:rFonts w:hint="eastAsia" w:asciiTheme="majorEastAsia" w:hAnsiTheme="majorEastAsia" w:eastAsiaTheme="majorEastAsia" w:cstheme="majorEastAsia"/>
                <w:sz w:val="21"/>
                <w:highlight w:val="none"/>
              </w:rPr>
            </w:pPr>
          </w:p>
          <w:p w14:paraId="015DDCA5">
            <w:pPr>
              <w:spacing w:line="262" w:lineRule="auto"/>
              <w:rPr>
                <w:rFonts w:hint="eastAsia" w:asciiTheme="majorEastAsia" w:hAnsiTheme="majorEastAsia" w:eastAsiaTheme="majorEastAsia" w:cstheme="majorEastAsia"/>
                <w:sz w:val="21"/>
                <w:highlight w:val="none"/>
              </w:rPr>
            </w:pPr>
          </w:p>
          <w:p w14:paraId="09B894C7">
            <w:pPr>
              <w:spacing w:line="262" w:lineRule="auto"/>
              <w:rPr>
                <w:rFonts w:hint="eastAsia" w:asciiTheme="majorEastAsia" w:hAnsiTheme="majorEastAsia" w:eastAsiaTheme="majorEastAsia" w:cstheme="majorEastAsia"/>
                <w:sz w:val="21"/>
                <w:highlight w:val="none"/>
              </w:rPr>
            </w:pPr>
          </w:p>
          <w:p w14:paraId="376AB47F">
            <w:pPr>
              <w:spacing w:line="262" w:lineRule="auto"/>
              <w:rPr>
                <w:rFonts w:hint="eastAsia" w:asciiTheme="majorEastAsia" w:hAnsiTheme="majorEastAsia" w:eastAsiaTheme="majorEastAsia" w:cstheme="majorEastAsia"/>
                <w:sz w:val="21"/>
                <w:highlight w:val="none"/>
              </w:rPr>
            </w:pPr>
          </w:p>
          <w:p w14:paraId="6F5F063C">
            <w:pPr>
              <w:spacing w:line="262" w:lineRule="auto"/>
              <w:rPr>
                <w:rFonts w:hint="eastAsia" w:asciiTheme="majorEastAsia" w:hAnsiTheme="majorEastAsia" w:eastAsiaTheme="majorEastAsia" w:cstheme="majorEastAsia"/>
                <w:sz w:val="21"/>
                <w:highlight w:val="none"/>
              </w:rPr>
            </w:pPr>
          </w:p>
          <w:p w14:paraId="259C7742">
            <w:pPr>
              <w:spacing w:line="262" w:lineRule="auto"/>
              <w:rPr>
                <w:rFonts w:hint="eastAsia" w:asciiTheme="majorEastAsia" w:hAnsiTheme="majorEastAsia" w:eastAsiaTheme="majorEastAsia" w:cstheme="majorEastAsia"/>
                <w:sz w:val="21"/>
                <w:highlight w:val="none"/>
              </w:rPr>
            </w:pPr>
          </w:p>
          <w:p w14:paraId="140D601D">
            <w:pPr>
              <w:pStyle w:val="144"/>
              <w:spacing w:before="65" w:line="228" w:lineRule="auto"/>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
                <w:sz w:val="20"/>
                <w:szCs w:val="20"/>
                <w:highlight w:val="none"/>
              </w:rPr>
              <w:t>(一)地面改造</w:t>
            </w:r>
          </w:p>
        </w:tc>
        <w:tc>
          <w:tcPr>
            <w:tcW w:w="1055" w:type="dxa"/>
            <w:vAlign w:val="top"/>
          </w:tcPr>
          <w:p w14:paraId="71E4DD9C">
            <w:pPr>
              <w:spacing w:line="399" w:lineRule="auto"/>
              <w:rPr>
                <w:rFonts w:hint="eastAsia" w:asciiTheme="majorEastAsia" w:hAnsiTheme="majorEastAsia" w:eastAsiaTheme="majorEastAsia" w:cstheme="majorEastAsia"/>
                <w:sz w:val="21"/>
                <w:highlight w:val="none"/>
              </w:rPr>
            </w:pPr>
          </w:p>
          <w:p w14:paraId="1EDAFF86">
            <w:pPr>
              <w:pStyle w:val="144"/>
              <w:spacing w:before="65" w:line="228" w:lineRule="auto"/>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4"/>
                <w:sz w:val="20"/>
                <w:szCs w:val="20"/>
                <w:highlight w:val="none"/>
              </w:rPr>
              <w:t>防滑处理</w:t>
            </w:r>
          </w:p>
        </w:tc>
        <w:tc>
          <w:tcPr>
            <w:tcW w:w="3560" w:type="dxa"/>
            <w:vAlign w:val="top"/>
          </w:tcPr>
          <w:p w14:paraId="540B0066">
            <w:pPr>
              <w:spacing w:line="244" w:lineRule="auto"/>
              <w:rPr>
                <w:rFonts w:hint="eastAsia" w:asciiTheme="majorEastAsia" w:hAnsiTheme="majorEastAsia" w:eastAsiaTheme="majorEastAsia" w:cstheme="majorEastAsia"/>
                <w:sz w:val="21"/>
                <w:highlight w:val="none"/>
              </w:rPr>
            </w:pPr>
          </w:p>
          <w:p w14:paraId="38E5405D">
            <w:pPr>
              <w:pStyle w:val="144"/>
              <w:spacing w:before="65" w:line="289" w:lineRule="auto"/>
              <w:ind w:left="124" w:right="73" w:hanging="14"/>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4"/>
                <w:sz w:val="20"/>
                <w:szCs w:val="20"/>
                <w:highlight w:val="none"/>
                <w:lang w:val="en-US" w:eastAsia="zh-CN"/>
              </w:rPr>
              <w:t>在卫生间、厨房、卧室等区域，铺设防滑砖或者防滑地胶，避免老年人滑倒、提高安全性。</w:t>
            </w:r>
          </w:p>
        </w:tc>
        <w:tc>
          <w:tcPr>
            <w:tcW w:w="864" w:type="dxa"/>
            <w:vAlign w:val="top"/>
          </w:tcPr>
          <w:p w14:paraId="1C32F1F8">
            <w:pPr>
              <w:spacing w:line="399" w:lineRule="auto"/>
              <w:rPr>
                <w:rFonts w:hint="eastAsia" w:asciiTheme="majorEastAsia" w:hAnsiTheme="majorEastAsia" w:eastAsiaTheme="majorEastAsia" w:cstheme="majorEastAsia"/>
                <w:sz w:val="21"/>
                <w:highlight w:val="none"/>
              </w:rPr>
            </w:pPr>
          </w:p>
          <w:p w14:paraId="1F6F3434">
            <w:pPr>
              <w:pStyle w:val="144"/>
              <w:spacing w:before="65" w:line="233" w:lineRule="auto"/>
              <w:ind w:firstLine="208" w:firstLineChars="10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4"/>
                <w:sz w:val="20"/>
                <w:szCs w:val="20"/>
                <w:highlight w:val="none"/>
              </w:rPr>
              <w:t>基础</w:t>
            </w:r>
          </w:p>
        </w:tc>
        <w:tc>
          <w:tcPr>
            <w:tcW w:w="864" w:type="dxa"/>
            <w:vAlign w:val="top"/>
          </w:tcPr>
          <w:p w14:paraId="6CB7F858">
            <w:pPr>
              <w:pStyle w:val="144"/>
              <w:spacing w:before="65" w:line="233" w:lineRule="auto"/>
              <w:ind w:left="386"/>
              <w:rPr>
                <w:rFonts w:hint="eastAsia" w:asciiTheme="majorEastAsia" w:hAnsiTheme="majorEastAsia" w:eastAsiaTheme="majorEastAsia" w:cstheme="majorEastAsia"/>
                <w:spacing w:val="4"/>
                <w:sz w:val="20"/>
                <w:szCs w:val="20"/>
                <w:highlight w:val="none"/>
              </w:rPr>
            </w:pPr>
          </w:p>
        </w:tc>
        <w:tc>
          <w:tcPr>
            <w:tcW w:w="864" w:type="dxa"/>
            <w:vAlign w:val="top"/>
          </w:tcPr>
          <w:p w14:paraId="75D5B54E">
            <w:pPr>
              <w:pStyle w:val="144"/>
              <w:spacing w:before="65" w:line="233" w:lineRule="auto"/>
              <w:ind w:left="386"/>
              <w:rPr>
                <w:rFonts w:hint="eastAsia" w:asciiTheme="majorEastAsia" w:hAnsiTheme="majorEastAsia" w:eastAsiaTheme="majorEastAsia" w:cstheme="majorEastAsia"/>
                <w:spacing w:val="4"/>
                <w:sz w:val="20"/>
                <w:szCs w:val="20"/>
                <w:highlight w:val="none"/>
              </w:rPr>
            </w:pPr>
          </w:p>
        </w:tc>
      </w:tr>
      <w:tr w14:paraId="7AA1A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474" w:type="dxa"/>
            <w:vAlign w:val="top"/>
          </w:tcPr>
          <w:p w14:paraId="634DE242">
            <w:pPr>
              <w:spacing w:line="301" w:lineRule="auto"/>
              <w:rPr>
                <w:rFonts w:hint="eastAsia" w:asciiTheme="majorEastAsia" w:hAnsiTheme="majorEastAsia" w:eastAsiaTheme="majorEastAsia" w:cstheme="majorEastAsia"/>
                <w:sz w:val="21"/>
                <w:highlight w:val="none"/>
              </w:rPr>
            </w:pPr>
          </w:p>
          <w:p w14:paraId="023A15EC">
            <w:pPr>
              <w:spacing w:line="302" w:lineRule="auto"/>
              <w:rPr>
                <w:rFonts w:hint="eastAsia" w:asciiTheme="majorEastAsia" w:hAnsiTheme="majorEastAsia" w:eastAsiaTheme="majorEastAsia" w:cstheme="majorEastAsia"/>
                <w:sz w:val="21"/>
                <w:highlight w:val="none"/>
              </w:rPr>
            </w:pPr>
          </w:p>
          <w:p w14:paraId="7B7345CF">
            <w:pPr>
              <w:pStyle w:val="144"/>
              <w:spacing w:before="65" w:line="270" w:lineRule="exact"/>
              <w:ind w:left="276"/>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2</w:t>
            </w:r>
          </w:p>
        </w:tc>
        <w:tc>
          <w:tcPr>
            <w:tcW w:w="1075" w:type="dxa"/>
            <w:vMerge w:val="continue"/>
            <w:tcBorders>
              <w:top w:val="nil"/>
              <w:bottom w:val="nil"/>
            </w:tcBorders>
            <w:vAlign w:val="top"/>
          </w:tcPr>
          <w:p w14:paraId="1D4141EA">
            <w:pPr>
              <w:rPr>
                <w:rFonts w:hint="eastAsia" w:asciiTheme="majorEastAsia" w:hAnsiTheme="majorEastAsia" w:eastAsiaTheme="majorEastAsia" w:cstheme="majorEastAsia"/>
                <w:sz w:val="21"/>
                <w:highlight w:val="none"/>
              </w:rPr>
            </w:pPr>
          </w:p>
        </w:tc>
        <w:tc>
          <w:tcPr>
            <w:tcW w:w="1055" w:type="dxa"/>
            <w:vAlign w:val="top"/>
          </w:tcPr>
          <w:p w14:paraId="266A13E7">
            <w:pPr>
              <w:spacing w:line="393" w:lineRule="auto"/>
              <w:rPr>
                <w:rFonts w:hint="eastAsia" w:asciiTheme="majorEastAsia" w:hAnsiTheme="majorEastAsia" w:eastAsiaTheme="majorEastAsia" w:cstheme="majorEastAsia"/>
                <w:sz w:val="21"/>
                <w:highlight w:val="none"/>
              </w:rPr>
            </w:pPr>
          </w:p>
          <w:p w14:paraId="133A0A72">
            <w:pPr>
              <w:pStyle w:val="144"/>
              <w:spacing w:before="65" w:line="228" w:lineRule="auto"/>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5"/>
                <w:sz w:val="20"/>
                <w:szCs w:val="20"/>
                <w:highlight w:val="none"/>
              </w:rPr>
              <w:t>高差处理</w:t>
            </w:r>
          </w:p>
        </w:tc>
        <w:tc>
          <w:tcPr>
            <w:tcW w:w="3560" w:type="dxa"/>
            <w:vAlign w:val="top"/>
          </w:tcPr>
          <w:p w14:paraId="39F18519">
            <w:pPr>
              <w:pStyle w:val="144"/>
              <w:spacing w:before="305" w:line="289" w:lineRule="auto"/>
              <w:ind w:left="11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21"/>
                <w:sz w:val="20"/>
                <w:szCs w:val="20"/>
                <w:highlight w:val="none"/>
              </w:rPr>
              <w:t>铺设水泥坡道或者加设橡胶等材质的可移动式坡</w:t>
            </w:r>
            <w:r>
              <w:rPr>
                <w:rFonts w:hint="eastAsia" w:asciiTheme="majorEastAsia" w:hAnsiTheme="majorEastAsia" w:eastAsiaTheme="majorEastAsia" w:cstheme="majorEastAsia"/>
                <w:spacing w:val="14"/>
                <w:sz w:val="20"/>
                <w:szCs w:val="20"/>
                <w:highlight w:val="none"/>
              </w:rPr>
              <w:t>道，保证路面平滑、无高差障碍，方便轮椅进出。</w:t>
            </w:r>
          </w:p>
        </w:tc>
        <w:tc>
          <w:tcPr>
            <w:tcW w:w="864" w:type="dxa"/>
            <w:vAlign w:val="top"/>
          </w:tcPr>
          <w:p w14:paraId="2F8FFBCE">
            <w:pPr>
              <w:spacing w:line="393" w:lineRule="auto"/>
              <w:rPr>
                <w:rFonts w:hint="eastAsia" w:asciiTheme="majorEastAsia" w:hAnsiTheme="majorEastAsia" w:eastAsiaTheme="majorEastAsia" w:cstheme="majorEastAsia"/>
                <w:sz w:val="21"/>
                <w:highlight w:val="none"/>
              </w:rPr>
            </w:pPr>
          </w:p>
          <w:p w14:paraId="76020EA2">
            <w:pPr>
              <w:pStyle w:val="144"/>
              <w:spacing w:before="65" w:line="233" w:lineRule="auto"/>
              <w:ind w:firstLine="208" w:firstLineChars="10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4"/>
                <w:sz w:val="20"/>
                <w:szCs w:val="20"/>
                <w:highlight w:val="none"/>
              </w:rPr>
              <w:t>基础</w:t>
            </w:r>
          </w:p>
        </w:tc>
        <w:tc>
          <w:tcPr>
            <w:tcW w:w="864" w:type="dxa"/>
            <w:vAlign w:val="top"/>
          </w:tcPr>
          <w:p w14:paraId="7603A8F7">
            <w:pPr>
              <w:pStyle w:val="144"/>
              <w:spacing w:before="65" w:line="233" w:lineRule="auto"/>
              <w:ind w:left="386"/>
              <w:rPr>
                <w:rFonts w:hint="eastAsia" w:asciiTheme="majorEastAsia" w:hAnsiTheme="majorEastAsia" w:eastAsiaTheme="majorEastAsia" w:cstheme="majorEastAsia"/>
                <w:spacing w:val="4"/>
                <w:sz w:val="20"/>
                <w:szCs w:val="20"/>
                <w:highlight w:val="none"/>
              </w:rPr>
            </w:pPr>
          </w:p>
        </w:tc>
        <w:tc>
          <w:tcPr>
            <w:tcW w:w="864" w:type="dxa"/>
            <w:vAlign w:val="top"/>
          </w:tcPr>
          <w:p w14:paraId="1CBFD76E">
            <w:pPr>
              <w:pStyle w:val="144"/>
              <w:spacing w:before="65" w:line="233" w:lineRule="auto"/>
              <w:ind w:left="386"/>
              <w:rPr>
                <w:rFonts w:hint="eastAsia" w:asciiTheme="majorEastAsia" w:hAnsiTheme="majorEastAsia" w:eastAsiaTheme="majorEastAsia" w:cstheme="majorEastAsia"/>
                <w:spacing w:val="4"/>
                <w:sz w:val="20"/>
                <w:szCs w:val="20"/>
                <w:highlight w:val="none"/>
              </w:rPr>
            </w:pPr>
          </w:p>
        </w:tc>
      </w:tr>
      <w:tr w14:paraId="54865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474" w:type="dxa"/>
            <w:vAlign w:val="top"/>
          </w:tcPr>
          <w:p w14:paraId="787CCB87">
            <w:pPr>
              <w:spacing w:line="395" w:lineRule="auto"/>
              <w:rPr>
                <w:rFonts w:hint="eastAsia" w:asciiTheme="majorEastAsia" w:hAnsiTheme="majorEastAsia" w:eastAsiaTheme="majorEastAsia" w:cstheme="majorEastAsia"/>
                <w:sz w:val="21"/>
                <w:highlight w:val="none"/>
              </w:rPr>
            </w:pPr>
          </w:p>
          <w:p w14:paraId="746FD953">
            <w:pPr>
              <w:pStyle w:val="144"/>
              <w:spacing w:before="65" w:line="268" w:lineRule="exact"/>
              <w:ind w:left="27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3</w:t>
            </w:r>
          </w:p>
        </w:tc>
        <w:tc>
          <w:tcPr>
            <w:tcW w:w="1075" w:type="dxa"/>
            <w:vMerge w:val="continue"/>
            <w:tcBorders>
              <w:top w:val="nil"/>
              <w:bottom w:val="nil"/>
            </w:tcBorders>
            <w:vAlign w:val="top"/>
          </w:tcPr>
          <w:p w14:paraId="36EEB71D">
            <w:pPr>
              <w:rPr>
                <w:rFonts w:hint="eastAsia" w:asciiTheme="majorEastAsia" w:hAnsiTheme="majorEastAsia" w:eastAsiaTheme="majorEastAsia" w:cstheme="majorEastAsia"/>
                <w:sz w:val="21"/>
                <w:highlight w:val="none"/>
              </w:rPr>
            </w:pPr>
          </w:p>
        </w:tc>
        <w:tc>
          <w:tcPr>
            <w:tcW w:w="1055" w:type="dxa"/>
            <w:vAlign w:val="top"/>
          </w:tcPr>
          <w:p w14:paraId="2C5EF786">
            <w:pPr>
              <w:spacing w:line="395" w:lineRule="auto"/>
              <w:rPr>
                <w:rFonts w:hint="eastAsia" w:asciiTheme="majorEastAsia" w:hAnsiTheme="majorEastAsia" w:eastAsiaTheme="majorEastAsia" w:cstheme="majorEastAsia"/>
                <w:sz w:val="21"/>
                <w:highlight w:val="none"/>
              </w:rPr>
            </w:pPr>
          </w:p>
          <w:p w14:paraId="3606EFC7">
            <w:pPr>
              <w:pStyle w:val="144"/>
              <w:spacing w:before="65" w:line="229" w:lineRule="auto"/>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7"/>
                <w:sz w:val="20"/>
                <w:szCs w:val="20"/>
                <w:highlight w:val="none"/>
              </w:rPr>
              <w:t>平整硬化</w:t>
            </w:r>
          </w:p>
        </w:tc>
        <w:tc>
          <w:tcPr>
            <w:tcW w:w="3560" w:type="dxa"/>
            <w:vAlign w:val="top"/>
          </w:tcPr>
          <w:p w14:paraId="1ED728FC">
            <w:pPr>
              <w:pStyle w:val="144"/>
              <w:spacing w:before="65" w:line="228" w:lineRule="auto"/>
              <w:jc w:val="both"/>
              <w:rPr>
                <w:rFonts w:hint="eastAsia" w:asciiTheme="majorEastAsia" w:hAnsiTheme="majorEastAsia" w:eastAsiaTheme="majorEastAsia" w:cstheme="majorEastAsia"/>
                <w:spacing w:val="14"/>
                <w:sz w:val="20"/>
                <w:szCs w:val="20"/>
                <w:highlight w:val="none"/>
              </w:rPr>
            </w:pPr>
          </w:p>
          <w:p w14:paraId="15266878">
            <w:pPr>
              <w:pStyle w:val="144"/>
              <w:spacing w:before="65" w:line="228" w:lineRule="auto"/>
              <w:jc w:val="both"/>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4"/>
                <w:sz w:val="20"/>
                <w:szCs w:val="20"/>
                <w:highlight w:val="none"/>
              </w:rPr>
              <w:t>地面进行平整硬化，方便轮椅通过，降低风险。</w:t>
            </w:r>
          </w:p>
        </w:tc>
        <w:tc>
          <w:tcPr>
            <w:tcW w:w="864" w:type="dxa"/>
            <w:vAlign w:val="top"/>
          </w:tcPr>
          <w:p w14:paraId="1A43108D">
            <w:pPr>
              <w:spacing w:line="395" w:lineRule="auto"/>
              <w:rPr>
                <w:rFonts w:hint="eastAsia" w:asciiTheme="majorEastAsia" w:hAnsiTheme="majorEastAsia" w:eastAsiaTheme="majorEastAsia" w:cstheme="majorEastAsia"/>
                <w:sz w:val="21"/>
                <w:highlight w:val="none"/>
              </w:rPr>
            </w:pPr>
          </w:p>
          <w:p w14:paraId="44A6E5D9">
            <w:pPr>
              <w:pStyle w:val="144"/>
              <w:spacing w:before="65" w:line="231" w:lineRule="auto"/>
              <w:ind w:firstLine="206" w:firstLineChars="10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c>
          <w:tcPr>
            <w:tcW w:w="864" w:type="dxa"/>
            <w:vAlign w:val="top"/>
          </w:tcPr>
          <w:p w14:paraId="6341B79D">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2EA84C94">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2B4D9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474" w:type="dxa"/>
            <w:vAlign w:val="top"/>
          </w:tcPr>
          <w:p w14:paraId="4FE0532F">
            <w:pPr>
              <w:spacing w:line="394" w:lineRule="auto"/>
              <w:rPr>
                <w:rFonts w:hint="eastAsia" w:asciiTheme="majorEastAsia" w:hAnsiTheme="majorEastAsia" w:eastAsiaTheme="majorEastAsia" w:cstheme="majorEastAsia"/>
                <w:sz w:val="21"/>
                <w:highlight w:val="none"/>
              </w:rPr>
            </w:pPr>
          </w:p>
          <w:p w14:paraId="1AB3683A">
            <w:pPr>
              <w:pStyle w:val="144"/>
              <w:spacing w:before="65" w:line="270" w:lineRule="exact"/>
              <w:ind w:left="272"/>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4</w:t>
            </w:r>
          </w:p>
        </w:tc>
        <w:tc>
          <w:tcPr>
            <w:tcW w:w="1075" w:type="dxa"/>
            <w:vMerge w:val="continue"/>
            <w:tcBorders>
              <w:top w:val="nil"/>
            </w:tcBorders>
            <w:vAlign w:val="top"/>
          </w:tcPr>
          <w:p w14:paraId="2F260346">
            <w:pPr>
              <w:rPr>
                <w:rFonts w:hint="eastAsia" w:asciiTheme="majorEastAsia" w:hAnsiTheme="majorEastAsia" w:eastAsiaTheme="majorEastAsia" w:cstheme="majorEastAsia"/>
                <w:sz w:val="21"/>
                <w:highlight w:val="none"/>
              </w:rPr>
            </w:pPr>
          </w:p>
        </w:tc>
        <w:tc>
          <w:tcPr>
            <w:tcW w:w="1055" w:type="dxa"/>
            <w:vAlign w:val="top"/>
          </w:tcPr>
          <w:p w14:paraId="43BE0647">
            <w:pPr>
              <w:spacing w:line="394" w:lineRule="auto"/>
              <w:rPr>
                <w:rFonts w:hint="eastAsia" w:asciiTheme="majorEastAsia" w:hAnsiTheme="majorEastAsia" w:eastAsiaTheme="majorEastAsia" w:cstheme="majorEastAsia"/>
                <w:sz w:val="21"/>
                <w:highlight w:val="none"/>
              </w:rPr>
            </w:pPr>
          </w:p>
          <w:p w14:paraId="2800CA5E">
            <w:pPr>
              <w:pStyle w:val="144"/>
              <w:spacing w:before="65" w:line="228" w:lineRule="auto"/>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6"/>
                <w:sz w:val="20"/>
                <w:szCs w:val="20"/>
                <w:highlight w:val="none"/>
              </w:rPr>
              <w:t>安装扶手</w:t>
            </w:r>
          </w:p>
        </w:tc>
        <w:tc>
          <w:tcPr>
            <w:tcW w:w="3560" w:type="dxa"/>
            <w:vAlign w:val="top"/>
          </w:tcPr>
          <w:p w14:paraId="48551B99">
            <w:pPr>
              <w:spacing w:line="393" w:lineRule="auto"/>
              <w:rPr>
                <w:rFonts w:hint="eastAsia" w:asciiTheme="majorEastAsia" w:hAnsiTheme="majorEastAsia" w:eastAsiaTheme="majorEastAsia" w:cstheme="majorEastAsia"/>
                <w:sz w:val="21"/>
                <w:highlight w:val="none"/>
              </w:rPr>
            </w:pPr>
          </w:p>
          <w:p w14:paraId="54686655">
            <w:pPr>
              <w:pStyle w:val="144"/>
              <w:spacing w:before="65" w:line="228" w:lineRule="auto"/>
              <w:ind w:left="11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9"/>
                <w:sz w:val="20"/>
                <w:szCs w:val="20"/>
                <w:highlight w:val="none"/>
              </w:rPr>
              <w:t>在高差变化处安装扶手，辅助老年人通过。</w:t>
            </w:r>
          </w:p>
        </w:tc>
        <w:tc>
          <w:tcPr>
            <w:tcW w:w="864" w:type="dxa"/>
            <w:vAlign w:val="top"/>
          </w:tcPr>
          <w:p w14:paraId="29B77861">
            <w:pPr>
              <w:spacing w:line="394" w:lineRule="auto"/>
              <w:rPr>
                <w:rFonts w:hint="eastAsia" w:asciiTheme="majorEastAsia" w:hAnsiTheme="majorEastAsia" w:eastAsiaTheme="majorEastAsia" w:cstheme="majorEastAsia"/>
                <w:sz w:val="21"/>
                <w:highlight w:val="none"/>
              </w:rPr>
            </w:pPr>
          </w:p>
          <w:p w14:paraId="762CFEBD">
            <w:pPr>
              <w:pStyle w:val="144"/>
              <w:spacing w:before="65" w:line="231" w:lineRule="auto"/>
              <w:ind w:firstLine="206" w:firstLineChars="10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c>
          <w:tcPr>
            <w:tcW w:w="864" w:type="dxa"/>
            <w:vAlign w:val="top"/>
          </w:tcPr>
          <w:p w14:paraId="2F697871">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3632C94E">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6C709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474" w:type="dxa"/>
            <w:vAlign w:val="top"/>
          </w:tcPr>
          <w:p w14:paraId="0346A7C0">
            <w:pPr>
              <w:spacing w:line="400" w:lineRule="auto"/>
              <w:rPr>
                <w:rFonts w:hint="eastAsia" w:asciiTheme="majorEastAsia" w:hAnsiTheme="majorEastAsia" w:eastAsiaTheme="majorEastAsia" w:cstheme="majorEastAsia"/>
                <w:sz w:val="21"/>
                <w:highlight w:val="none"/>
              </w:rPr>
            </w:pPr>
          </w:p>
          <w:p w14:paraId="65B803B4">
            <w:pPr>
              <w:pStyle w:val="144"/>
              <w:spacing w:before="65" w:line="269" w:lineRule="exact"/>
              <w:ind w:left="27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5</w:t>
            </w:r>
          </w:p>
        </w:tc>
        <w:tc>
          <w:tcPr>
            <w:tcW w:w="1075" w:type="dxa"/>
            <w:vMerge w:val="restart"/>
            <w:tcBorders>
              <w:bottom w:val="nil"/>
            </w:tcBorders>
            <w:vAlign w:val="top"/>
          </w:tcPr>
          <w:p w14:paraId="1AF02C1C">
            <w:pPr>
              <w:spacing w:line="242" w:lineRule="auto"/>
              <w:rPr>
                <w:rFonts w:hint="eastAsia" w:asciiTheme="majorEastAsia" w:hAnsiTheme="majorEastAsia" w:eastAsiaTheme="majorEastAsia" w:cstheme="majorEastAsia"/>
                <w:sz w:val="21"/>
                <w:highlight w:val="none"/>
              </w:rPr>
            </w:pPr>
          </w:p>
          <w:p w14:paraId="38BF1A27">
            <w:pPr>
              <w:spacing w:line="242" w:lineRule="auto"/>
              <w:rPr>
                <w:rFonts w:hint="eastAsia" w:asciiTheme="majorEastAsia" w:hAnsiTheme="majorEastAsia" w:eastAsiaTheme="majorEastAsia" w:cstheme="majorEastAsia"/>
                <w:sz w:val="21"/>
                <w:highlight w:val="none"/>
              </w:rPr>
            </w:pPr>
          </w:p>
          <w:p w14:paraId="60F745F7">
            <w:pPr>
              <w:spacing w:line="242" w:lineRule="auto"/>
              <w:rPr>
                <w:rFonts w:hint="eastAsia" w:asciiTheme="majorEastAsia" w:hAnsiTheme="majorEastAsia" w:eastAsiaTheme="majorEastAsia" w:cstheme="majorEastAsia"/>
                <w:sz w:val="21"/>
                <w:highlight w:val="none"/>
              </w:rPr>
            </w:pPr>
          </w:p>
          <w:p w14:paraId="0FEE51BF">
            <w:pPr>
              <w:spacing w:line="242" w:lineRule="auto"/>
              <w:rPr>
                <w:rFonts w:hint="eastAsia" w:asciiTheme="majorEastAsia" w:hAnsiTheme="majorEastAsia" w:eastAsiaTheme="majorEastAsia" w:cstheme="majorEastAsia"/>
                <w:sz w:val="21"/>
                <w:highlight w:val="none"/>
              </w:rPr>
            </w:pPr>
          </w:p>
          <w:p w14:paraId="034F9FCA">
            <w:pPr>
              <w:spacing w:line="242" w:lineRule="auto"/>
              <w:rPr>
                <w:rFonts w:hint="eastAsia" w:asciiTheme="majorEastAsia" w:hAnsiTheme="majorEastAsia" w:eastAsiaTheme="majorEastAsia" w:cstheme="majorEastAsia"/>
                <w:sz w:val="21"/>
                <w:highlight w:val="none"/>
              </w:rPr>
            </w:pPr>
          </w:p>
          <w:p w14:paraId="3D00EBBD">
            <w:pPr>
              <w:spacing w:line="242" w:lineRule="auto"/>
              <w:rPr>
                <w:rFonts w:hint="eastAsia" w:asciiTheme="majorEastAsia" w:hAnsiTheme="majorEastAsia" w:eastAsiaTheme="majorEastAsia" w:cstheme="majorEastAsia"/>
                <w:sz w:val="21"/>
                <w:highlight w:val="none"/>
              </w:rPr>
            </w:pPr>
          </w:p>
          <w:p w14:paraId="3C5A81C0">
            <w:pPr>
              <w:spacing w:line="242" w:lineRule="auto"/>
              <w:rPr>
                <w:rFonts w:hint="eastAsia" w:asciiTheme="majorEastAsia" w:hAnsiTheme="majorEastAsia" w:eastAsiaTheme="majorEastAsia" w:cstheme="majorEastAsia"/>
                <w:sz w:val="21"/>
                <w:highlight w:val="none"/>
              </w:rPr>
            </w:pPr>
          </w:p>
          <w:p w14:paraId="0FBE3EFE">
            <w:pPr>
              <w:spacing w:line="242" w:lineRule="auto"/>
              <w:rPr>
                <w:rFonts w:hint="eastAsia" w:asciiTheme="majorEastAsia" w:hAnsiTheme="majorEastAsia" w:eastAsiaTheme="majorEastAsia" w:cstheme="majorEastAsia"/>
                <w:sz w:val="21"/>
                <w:highlight w:val="none"/>
              </w:rPr>
            </w:pPr>
          </w:p>
          <w:p w14:paraId="16EEA1DF">
            <w:pPr>
              <w:spacing w:line="242" w:lineRule="auto"/>
              <w:rPr>
                <w:rFonts w:hint="eastAsia" w:asciiTheme="majorEastAsia" w:hAnsiTheme="majorEastAsia" w:eastAsiaTheme="majorEastAsia" w:cstheme="majorEastAsia"/>
                <w:sz w:val="21"/>
                <w:highlight w:val="none"/>
              </w:rPr>
            </w:pPr>
          </w:p>
          <w:p w14:paraId="519276A1">
            <w:pPr>
              <w:spacing w:line="243" w:lineRule="auto"/>
              <w:rPr>
                <w:rFonts w:hint="eastAsia" w:asciiTheme="majorEastAsia" w:hAnsiTheme="majorEastAsia" w:eastAsiaTheme="majorEastAsia" w:cstheme="majorEastAsia"/>
                <w:sz w:val="21"/>
                <w:highlight w:val="none"/>
              </w:rPr>
            </w:pPr>
          </w:p>
          <w:p w14:paraId="51B19B12">
            <w:pPr>
              <w:spacing w:line="243" w:lineRule="auto"/>
              <w:rPr>
                <w:rFonts w:hint="eastAsia" w:asciiTheme="majorEastAsia" w:hAnsiTheme="majorEastAsia" w:eastAsiaTheme="majorEastAsia" w:cstheme="majorEastAsia"/>
                <w:sz w:val="21"/>
                <w:highlight w:val="none"/>
              </w:rPr>
            </w:pPr>
          </w:p>
          <w:p w14:paraId="0F7D78D1">
            <w:pPr>
              <w:pStyle w:val="144"/>
              <w:spacing w:before="65" w:line="228" w:lineRule="auto"/>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z w:val="20"/>
                <w:szCs w:val="20"/>
                <w:highlight w:val="none"/>
              </w:rPr>
              <w:t>(二)门改造</w:t>
            </w:r>
          </w:p>
        </w:tc>
        <w:tc>
          <w:tcPr>
            <w:tcW w:w="1055" w:type="dxa"/>
            <w:vAlign w:val="top"/>
          </w:tcPr>
          <w:p w14:paraId="4689FDC0">
            <w:pPr>
              <w:spacing w:line="400" w:lineRule="auto"/>
              <w:rPr>
                <w:rFonts w:hint="eastAsia" w:asciiTheme="majorEastAsia" w:hAnsiTheme="majorEastAsia" w:eastAsiaTheme="majorEastAsia" w:cstheme="majorEastAsia"/>
                <w:sz w:val="21"/>
                <w:highlight w:val="none"/>
              </w:rPr>
            </w:pPr>
          </w:p>
          <w:p w14:paraId="587F3369">
            <w:pPr>
              <w:pStyle w:val="144"/>
              <w:spacing w:before="65" w:line="228" w:lineRule="auto"/>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
                <w:sz w:val="20"/>
                <w:szCs w:val="20"/>
                <w:highlight w:val="none"/>
              </w:rPr>
              <w:t>门槛移除</w:t>
            </w:r>
          </w:p>
        </w:tc>
        <w:tc>
          <w:tcPr>
            <w:tcW w:w="3560" w:type="dxa"/>
            <w:vAlign w:val="top"/>
          </w:tcPr>
          <w:p w14:paraId="48E4DA64">
            <w:pPr>
              <w:spacing w:line="246" w:lineRule="auto"/>
              <w:rPr>
                <w:rFonts w:hint="eastAsia" w:asciiTheme="majorEastAsia" w:hAnsiTheme="majorEastAsia" w:eastAsiaTheme="majorEastAsia" w:cstheme="majorEastAsia"/>
                <w:sz w:val="21"/>
                <w:highlight w:val="none"/>
              </w:rPr>
            </w:pPr>
          </w:p>
          <w:p w14:paraId="5D465835">
            <w:pPr>
              <w:pStyle w:val="144"/>
              <w:spacing w:before="65" w:line="291" w:lineRule="auto"/>
              <w:ind w:left="129" w:right="82" w:hanging="17"/>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20"/>
                <w:sz w:val="20"/>
                <w:szCs w:val="20"/>
                <w:highlight w:val="none"/>
              </w:rPr>
              <w:t>移除门槛、保证老年人进出无障碍，方便轮椅进</w:t>
            </w:r>
            <w:r>
              <w:rPr>
                <w:rFonts w:hint="eastAsia" w:asciiTheme="majorEastAsia" w:hAnsiTheme="majorEastAsia" w:eastAsiaTheme="majorEastAsia" w:cstheme="majorEastAsia"/>
                <w:spacing w:val="-9"/>
                <w:sz w:val="20"/>
                <w:szCs w:val="20"/>
                <w:highlight w:val="none"/>
              </w:rPr>
              <w:t>出。</w:t>
            </w:r>
          </w:p>
        </w:tc>
        <w:tc>
          <w:tcPr>
            <w:tcW w:w="864" w:type="dxa"/>
            <w:vAlign w:val="top"/>
          </w:tcPr>
          <w:p w14:paraId="335B24FC">
            <w:pPr>
              <w:spacing w:line="401" w:lineRule="auto"/>
              <w:rPr>
                <w:rFonts w:hint="eastAsia" w:asciiTheme="majorEastAsia" w:hAnsiTheme="majorEastAsia" w:eastAsiaTheme="majorEastAsia" w:cstheme="majorEastAsia"/>
                <w:sz w:val="21"/>
                <w:highlight w:val="none"/>
              </w:rPr>
            </w:pPr>
          </w:p>
          <w:p w14:paraId="6F6B9372">
            <w:pPr>
              <w:pStyle w:val="144"/>
              <w:spacing w:before="65" w:line="231" w:lineRule="auto"/>
              <w:ind w:firstLine="206" w:firstLineChars="10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c>
          <w:tcPr>
            <w:tcW w:w="864" w:type="dxa"/>
            <w:vAlign w:val="top"/>
          </w:tcPr>
          <w:p w14:paraId="30E2AF98">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556F73CB">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5DE6C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474" w:type="dxa"/>
            <w:vAlign w:val="top"/>
          </w:tcPr>
          <w:p w14:paraId="3816D7C0">
            <w:pPr>
              <w:spacing w:line="397" w:lineRule="auto"/>
              <w:rPr>
                <w:rFonts w:hint="eastAsia" w:asciiTheme="majorEastAsia" w:hAnsiTheme="majorEastAsia" w:eastAsiaTheme="majorEastAsia" w:cstheme="majorEastAsia"/>
                <w:sz w:val="21"/>
                <w:highlight w:val="none"/>
              </w:rPr>
            </w:pPr>
          </w:p>
          <w:p w14:paraId="38DF5750">
            <w:pPr>
              <w:pStyle w:val="144"/>
              <w:spacing w:before="65" w:line="269" w:lineRule="exact"/>
              <w:ind w:left="275"/>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6</w:t>
            </w:r>
          </w:p>
        </w:tc>
        <w:tc>
          <w:tcPr>
            <w:tcW w:w="1075" w:type="dxa"/>
            <w:vMerge w:val="continue"/>
            <w:tcBorders>
              <w:top w:val="nil"/>
              <w:bottom w:val="nil"/>
            </w:tcBorders>
            <w:vAlign w:val="top"/>
          </w:tcPr>
          <w:p w14:paraId="68737E65">
            <w:pPr>
              <w:rPr>
                <w:rFonts w:hint="eastAsia" w:asciiTheme="majorEastAsia" w:hAnsiTheme="majorEastAsia" w:eastAsiaTheme="majorEastAsia" w:cstheme="majorEastAsia"/>
                <w:sz w:val="21"/>
                <w:highlight w:val="none"/>
              </w:rPr>
            </w:pPr>
          </w:p>
        </w:tc>
        <w:tc>
          <w:tcPr>
            <w:tcW w:w="1055" w:type="dxa"/>
            <w:vAlign w:val="top"/>
          </w:tcPr>
          <w:p w14:paraId="35AC7DD7">
            <w:pPr>
              <w:pStyle w:val="144"/>
              <w:spacing w:before="254" w:line="229" w:lineRule="auto"/>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7"/>
                <w:sz w:val="20"/>
                <w:szCs w:val="20"/>
                <w:highlight w:val="none"/>
              </w:rPr>
              <w:t>平开门</w:t>
            </w:r>
            <w:r>
              <w:rPr>
                <w:rFonts w:hint="eastAsia" w:asciiTheme="majorEastAsia" w:hAnsiTheme="majorEastAsia" w:eastAsiaTheme="majorEastAsia" w:cstheme="majorEastAsia"/>
                <w:spacing w:val="6"/>
                <w:sz w:val="20"/>
                <w:szCs w:val="20"/>
                <w:highlight w:val="none"/>
              </w:rPr>
              <w:t>改为推拉门</w:t>
            </w:r>
          </w:p>
        </w:tc>
        <w:tc>
          <w:tcPr>
            <w:tcW w:w="3560" w:type="dxa"/>
            <w:vAlign w:val="top"/>
          </w:tcPr>
          <w:p w14:paraId="7C737F54">
            <w:pPr>
              <w:pStyle w:val="144"/>
              <w:spacing w:before="65" w:line="228" w:lineRule="auto"/>
              <w:rPr>
                <w:rFonts w:hint="eastAsia" w:asciiTheme="majorEastAsia" w:hAnsiTheme="majorEastAsia" w:eastAsiaTheme="majorEastAsia" w:cstheme="majorEastAsia"/>
                <w:spacing w:val="19"/>
                <w:sz w:val="20"/>
                <w:szCs w:val="20"/>
                <w:highlight w:val="none"/>
              </w:rPr>
            </w:pPr>
          </w:p>
          <w:p w14:paraId="76C3341B">
            <w:pPr>
              <w:pStyle w:val="144"/>
              <w:spacing w:before="65" w:line="228" w:lineRule="auto"/>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9"/>
                <w:sz w:val="20"/>
                <w:szCs w:val="20"/>
                <w:highlight w:val="none"/>
              </w:rPr>
              <w:t>方便开启、增加通行宽度和辅助操作空间。</w:t>
            </w:r>
          </w:p>
        </w:tc>
        <w:tc>
          <w:tcPr>
            <w:tcW w:w="864" w:type="dxa"/>
            <w:vAlign w:val="top"/>
          </w:tcPr>
          <w:p w14:paraId="2CD8C75E">
            <w:pPr>
              <w:spacing w:line="398" w:lineRule="auto"/>
              <w:rPr>
                <w:rFonts w:hint="eastAsia" w:asciiTheme="majorEastAsia" w:hAnsiTheme="majorEastAsia" w:eastAsiaTheme="majorEastAsia" w:cstheme="majorEastAsia"/>
                <w:sz w:val="21"/>
                <w:highlight w:val="none"/>
              </w:rPr>
            </w:pPr>
          </w:p>
          <w:p w14:paraId="7384E925">
            <w:pPr>
              <w:pStyle w:val="144"/>
              <w:spacing w:before="65" w:line="231" w:lineRule="auto"/>
              <w:ind w:firstLine="206" w:firstLineChars="10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c>
          <w:tcPr>
            <w:tcW w:w="864" w:type="dxa"/>
            <w:vAlign w:val="top"/>
          </w:tcPr>
          <w:p w14:paraId="0B90C82C">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20F09EE7">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60457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474" w:type="dxa"/>
            <w:vAlign w:val="top"/>
          </w:tcPr>
          <w:p w14:paraId="61FE19E9">
            <w:pPr>
              <w:spacing w:line="397" w:lineRule="auto"/>
              <w:rPr>
                <w:rFonts w:hint="eastAsia" w:asciiTheme="majorEastAsia" w:hAnsiTheme="majorEastAsia" w:eastAsiaTheme="majorEastAsia" w:cstheme="majorEastAsia"/>
                <w:sz w:val="21"/>
                <w:highlight w:val="none"/>
              </w:rPr>
            </w:pPr>
          </w:p>
          <w:p w14:paraId="37B7356F">
            <w:pPr>
              <w:pStyle w:val="144"/>
              <w:spacing w:before="65" w:line="268" w:lineRule="exact"/>
              <w:ind w:left="278"/>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7</w:t>
            </w:r>
          </w:p>
        </w:tc>
        <w:tc>
          <w:tcPr>
            <w:tcW w:w="1075" w:type="dxa"/>
            <w:vMerge w:val="continue"/>
            <w:tcBorders>
              <w:top w:val="nil"/>
              <w:bottom w:val="nil"/>
            </w:tcBorders>
            <w:vAlign w:val="top"/>
          </w:tcPr>
          <w:p w14:paraId="2D1025D0">
            <w:pPr>
              <w:rPr>
                <w:rFonts w:hint="eastAsia" w:asciiTheme="majorEastAsia" w:hAnsiTheme="majorEastAsia" w:eastAsiaTheme="majorEastAsia" w:cstheme="majorEastAsia"/>
                <w:sz w:val="21"/>
                <w:highlight w:val="none"/>
              </w:rPr>
            </w:pPr>
          </w:p>
        </w:tc>
        <w:tc>
          <w:tcPr>
            <w:tcW w:w="1055" w:type="dxa"/>
            <w:vAlign w:val="top"/>
          </w:tcPr>
          <w:p w14:paraId="5F0708F7">
            <w:pPr>
              <w:spacing w:line="397" w:lineRule="auto"/>
              <w:rPr>
                <w:rFonts w:hint="eastAsia" w:asciiTheme="majorEastAsia" w:hAnsiTheme="majorEastAsia" w:eastAsiaTheme="majorEastAsia" w:cstheme="majorEastAsia"/>
                <w:sz w:val="21"/>
                <w:highlight w:val="none"/>
              </w:rPr>
            </w:pPr>
          </w:p>
          <w:p w14:paraId="761C272B">
            <w:pPr>
              <w:pStyle w:val="144"/>
              <w:spacing w:before="65" w:line="228" w:lineRule="auto"/>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7"/>
                <w:sz w:val="20"/>
                <w:szCs w:val="20"/>
                <w:highlight w:val="none"/>
              </w:rPr>
              <w:t>房门拓宽</w:t>
            </w:r>
          </w:p>
        </w:tc>
        <w:tc>
          <w:tcPr>
            <w:tcW w:w="3560" w:type="dxa"/>
            <w:vAlign w:val="top"/>
          </w:tcPr>
          <w:p w14:paraId="31CDF200">
            <w:pPr>
              <w:spacing w:line="243" w:lineRule="auto"/>
              <w:rPr>
                <w:rFonts w:hint="eastAsia" w:asciiTheme="majorEastAsia" w:hAnsiTheme="majorEastAsia" w:eastAsiaTheme="majorEastAsia" w:cstheme="majorEastAsia"/>
                <w:sz w:val="21"/>
                <w:highlight w:val="none"/>
              </w:rPr>
            </w:pPr>
          </w:p>
          <w:p w14:paraId="5D49CCB9">
            <w:pPr>
              <w:pStyle w:val="144"/>
              <w:spacing w:before="65" w:line="289" w:lineRule="auto"/>
              <w:ind w:left="112" w:right="82" w:hanging="2"/>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21"/>
                <w:sz w:val="20"/>
                <w:szCs w:val="20"/>
                <w:highlight w:val="none"/>
              </w:rPr>
              <w:t>对卫生间、厨房等空间较窄的门洞进行拓宽，改</w:t>
            </w:r>
            <w:r>
              <w:rPr>
                <w:rFonts w:hint="eastAsia" w:asciiTheme="majorEastAsia" w:hAnsiTheme="majorEastAsia" w:eastAsiaTheme="majorEastAsia" w:cstheme="majorEastAsia"/>
                <w:spacing w:val="18"/>
                <w:sz w:val="20"/>
                <w:szCs w:val="20"/>
                <w:highlight w:val="none"/>
              </w:rPr>
              <w:t>善通过性，方便轮椅进出。</w:t>
            </w:r>
          </w:p>
        </w:tc>
        <w:tc>
          <w:tcPr>
            <w:tcW w:w="864" w:type="dxa"/>
            <w:vAlign w:val="top"/>
          </w:tcPr>
          <w:p w14:paraId="4F8633DD">
            <w:pPr>
              <w:spacing w:line="397" w:lineRule="auto"/>
              <w:rPr>
                <w:rFonts w:hint="eastAsia" w:asciiTheme="majorEastAsia" w:hAnsiTheme="majorEastAsia" w:eastAsiaTheme="majorEastAsia" w:cstheme="majorEastAsia"/>
                <w:sz w:val="21"/>
                <w:highlight w:val="none"/>
              </w:rPr>
            </w:pPr>
          </w:p>
          <w:p w14:paraId="71A37BE1">
            <w:pPr>
              <w:pStyle w:val="144"/>
              <w:spacing w:before="65" w:line="231" w:lineRule="auto"/>
              <w:ind w:firstLine="206" w:firstLineChars="10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c>
          <w:tcPr>
            <w:tcW w:w="864" w:type="dxa"/>
            <w:vAlign w:val="top"/>
          </w:tcPr>
          <w:p w14:paraId="7EDB6E86">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5DE2FAF3">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18411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5" w:hRule="atLeast"/>
        </w:trPr>
        <w:tc>
          <w:tcPr>
            <w:tcW w:w="474" w:type="dxa"/>
            <w:vAlign w:val="top"/>
          </w:tcPr>
          <w:p w14:paraId="6A8BB0A1">
            <w:pPr>
              <w:spacing w:line="398" w:lineRule="auto"/>
              <w:rPr>
                <w:rFonts w:hint="eastAsia" w:asciiTheme="majorEastAsia" w:hAnsiTheme="majorEastAsia" w:eastAsiaTheme="majorEastAsia" w:cstheme="majorEastAsia"/>
                <w:sz w:val="21"/>
                <w:highlight w:val="none"/>
              </w:rPr>
            </w:pPr>
          </w:p>
          <w:p w14:paraId="7DFB91D0">
            <w:pPr>
              <w:pStyle w:val="144"/>
              <w:spacing w:before="65" w:line="268" w:lineRule="exact"/>
              <w:ind w:left="274"/>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8</w:t>
            </w:r>
          </w:p>
        </w:tc>
        <w:tc>
          <w:tcPr>
            <w:tcW w:w="1075" w:type="dxa"/>
            <w:vMerge w:val="continue"/>
            <w:tcBorders>
              <w:top w:val="nil"/>
              <w:bottom w:val="nil"/>
            </w:tcBorders>
            <w:vAlign w:val="top"/>
          </w:tcPr>
          <w:p w14:paraId="6E3EE69B">
            <w:pPr>
              <w:rPr>
                <w:rFonts w:hint="eastAsia" w:asciiTheme="majorEastAsia" w:hAnsiTheme="majorEastAsia" w:eastAsiaTheme="majorEastAsia" w:cstheme="majorEastAsia"/>
                <w:sz w:val="21"/>
                <w:highlight w:val="none"/>
              </w:rPr>
            </w:pPr>
          </w:p>
        </w:tc>
        <w:tc>
          <w:tcPr>
            <w:tcW w:w="1055" w:type="dxa"/>
            <w:vAlign w:val="top"/>
          </w:tcPr>
          <w:p w14:paraId="2FB22DF7">
            <w:pPr>
              <w:pStyle w:val="144"/>
              <w:spacing w:before="254" w:line="389" w:lineRule="auto"/>
              <w:ind w:right="296"/>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5"/>
                <w:sz w:val="20"/>
                <w:szCs w:val="20"/>
                <w:highlight w:val="none"/>
              </w:rPr>
              <w:t>下压式门</w:t>
            </w:r>
            <w:r>
              <w:rPr>
                <w:rFonts w:hint="eastAsia" w:asciiTheme="majorEastAsia" w:hAnsiTheme="majorEastAsia" w:eastAsiaTheme="majorEastAsia" w:cstheme="majorEastAsia"/>
                <w:spacing w:val="7"/>
                <w:sz w:val="20"/>
                <w:szCs w:val="20"/>
                <w:highlight w:val="none"/>
              </w:rPr>
              <w:t>把手改造</w:t>
            </w:r>
          </w:p>
        </w:tc>
        <w:tc>
          <w:tcPr>
            <w:tcW w:w="3560" w:type="dxa"/>
            <w:vAlign w:val="top"/>
          </w:tcPr>
          <w:p w14:paraId="768C4BDE">
            <w:pPr>
              <w:spacing w:line="244" w:lineRule="auto"/>
              <w:rPr>
                <w:rFonts w:hint="eastAsia" w:asciiTheme="majorEastAsia" w:hAnsiTheme="majorEastAsia" w:eastAsiaTheme="majorEastAsia" w:cstheme="majorEastAsia"/>
                <w:sz w:val="21"/>
                <w:highlight w:val="none"/>
              </w:rPr>
            </w:pPr>
          </w:p>
          <w:p w14:paraId="5CC4B147">
            <w:pPr>
              <w:pStyle w:val="144"/>
              <w:spacing w:before="65" w:line="289" w:lineRule="auto"/>
              <w:ind w:left="112" w:right="82"/>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20"/>
                <w:sz w:val="20"/>
                <w:szCs w:val="20"/>
                <w:highlight w:val="none"/>
              </w:rPr>
              <w:t>可用单手手掌或者手指轻松操作，增加摩擦力和</w:t>
            </w:r>
            <w:r>
              <w:rPr>
                <w:rFonts w:hint="eastAsia" w:asciiTheme="majorEastAsia" w:hAnsiTheme="majorEastAsia" w:eastAsiaTheme="majorEastAsia" w:cstheme="majorEastAsia"/>
                <w:spacing w:val="18"/>
                <w:sz w:val="20"/>
                <w:szCs w:val="20"/>
                <w:highlight w:val="none"/>
              </w:rPr>
              <w:t>稳定性，方便老年人开门。</w:t>
            </w:r>
          </w:p>
        </w:tc>
        <w:tc>
          <w:tcPr>
            <w:tcW w:w="864" w:type="dxa"/>
            <w:vAlign w:val="top"/>
          </w:tcPr>
          <w:p w14:paraId="4703DE91">
            <w:pPr>
              <w:spacing w:line="398" w:lineRule="auto"/>
              <w:rPr>
                <w:rFonts w:hint="eastAsia" w:asciiTheme="majorEastAsia" w:hAnsiTheme="majorEastAsia" w:eastAsiaTheme="majorEastAsia" w:cstheme="majorEastAsia"/>
                <w:sz w:val="21"/>
                <w:highlight w:val="none"/>
              </w:rPr>
            </w:pPr>
          </w:p>
          <w:p w14:paraId="10B0C576">
            <w:pPr>
              <w:pStyle w:val="144"/>
              <w:spacing w:before="65" w:line="231" w:lineRule="auto"/>
              <w:ind w:firstLine="206" w:firstLineChars="10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c>
          <w:tcPr>
            <w:tcW w:w="864" w:type="dxa"/>
            <w:vAlign w:val="top"/>
          </w:tcPr>
          <w:p w14:paraId="5D1240AE">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43A806C6">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798CB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474" w:type="dxa"/>
            <w:vAlign w:val="top"/>
          </w:tcPr>
          <w:p w14:paraId="1B8442DD">
            <w:pPr>
              <w:spacing w:line="397" w:lineRule="auto"/>
              <w:rPr>
                <w:rFonts w:hint="eastAsia" w:asciiTheme="majorEastAsia" w:hAnsiTheme="majorEastAsia" w:eastAsiaTheme="majorEastAsia" w:cstheme="majorEastAsia"/>
                <w:sz w:val="21"/>
                <w:highlight w:val="none"/>
              </w:rPr>
            </w:pPr>
          </w:p>
          <w:p w14:paraId="66E5510C">
            <w:pPr>
              <w:pStyle w:val="144"/>
              <w:spacing w:before="65" w:line="268" w:lineRule="exact"/>
              <w:ind w:left="274"/>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position w:val="1"/>
                <w:sz w:val="20"/>
                <w:szCs w:val="20"/>
                <w:highlight w:val="none"/>
              </w:rPr>
              <w:t>9</w:t>
            </w:r>
          </w:p>
        </w:tc>
        <w:tc>
          <w:tcPr>
            <w:tcW w:w="1075" w:type="dxa"/>
            <w:vMerge w:val="continue"/>
            <w:tcBorders>
              <w:top w:val="nil"/>
            </w:tcBorders>
            <w:vAlign w:val="top"/>
          </w:tcPr>
          <w:p w14:paraId="169B59B9">
            <w:pPr>
              <w:rPr>
                <w:rFonts w:hint="eastAsia" w:asciiTheme="majorEastAsia" w:hAnsiTheme="majorEastAsia" w:eastAsiaTheme="majorEastAsia" w:cstheme="majorEastAsia"/>
                <w:sz w:val="21"/>
                <w:highlight w:val="none"/>
              </w:rPr>
            </w:pPr>
          </w:p>
        </w:tc>
        <w:tc>
          <w:tcPr>
            <w:tcW w:w="1055" w:type="dxa"/>
            <w:vAlign w:val="top"/>
          </w:tcPr>
          <w:p w14:paraId="71E13125">
            <w:pPr>
              <w:pStyle w:val="144"/>
              <w:spacing w:before="252" w:line="392" w:lineRule="auto"/>
              <w:ind w:right="226"/>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z w:val="20"/>
                <w:szCs w:val="20"/>
                <w:highlight w:val="none"/>
              </w:rPr>
              <w:t>安装闪光、</w:t>
            </w:r>
            <w:r>
              <w:rPr>
                <w:rFonts w:hint="eastAsia" w:asciiTheme="majorEastAsia" w:hAnsiTheme="majorEastAsia" w:eastAsiaTheme="majorEastAsia" w:cstheme="majorEastAsia"/>
                <w:spacing w:val="7"/>
                <w:sz w:val="20"/>
                <w:szCs w:val="20"/>
                <w:highlight w:val="none"/>
              </w:rPr>
              <w:t>振动门铃</w:t>
            </w:r>
          </w:p>
        </w:tc>
        <w:tc>
          <w:tcPr>
            <w:tcW w:w="3560" w:type="dxa"/>
            <w:vAlign w:val="top"/>
          </w:tcPr>
          <w:p w14:paraId="42899547">
            <w:pPr>
              <w:spacing w:line="396" w:lineRule="auto"/>
              <w:rPr>
                <w:rFonts w:hint="eastAsia" w:asciiTheme="majorEastAsia" w:hAnsiTheme="majorEastAsia" w:eastAsiaTheme="majorEastAsia" w:cstheme="majorEastAsia"/>
                <w:sz w:val="21"/>
                <w:highlight w:val="none"/>
              </w:rPr>
            </w:pPr>
          </w:p>
          <w:p w14:paraId="22480B4F">
            <w:pPr>
              <w:pStyle w:val="144"/>
              <w:spacing w:before="65" w:line="227" w:lineRule="auto"/>
              <w:ind w:left="111"/>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8"/>
                <w:sz w:val="20"/>
                <w:szCs w:val="20"/>
                <w:highlight w:val="none"/>
              </w:rPr>
              <w:t>供听力、视力障碍老年人使用。</w:t>
            </w:r>
          </w:p>
        </w:tc>
        <w:tc>
          <w:tcPr>
            <w:tcW w:w="864" w:type="dxa"/>
            <w:vAlign w:val="top"/>
          </w:tcPr>
          <w:p w14:paraId="218627D7">
            <w:pPr>
              <w:spacing w:line="397" w:lineRule="auto"/>
              <w:rPr>
                <w:rFonts w:hint="eastAsia" w:asciiTheme="majorEastAsia" w:hAnsiTheme="majorEastAsia" w:eastAsiaTheme="majorEastAsia" w:cstheme="majorEastAsia"/>
                <w:sz w:val="21"/>
                <w:highlight w:val="none"/>
              </w:rPr>
            </w:pPr>
          </w:p>
          <w:p w14:paraId="11C9D49D">
            <w:pPr>
              <w:pStyle w:val="144"/>
              <w:spacing w:before="65" w:line="231" w:lineRule="auto"/>
              <w:ind w:firstLine="206" w:firstLineChars="10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c>
          <w:tcPr>
            <w:tcW w:w="864" w:type="dxa"/>
            <w:vAlign w:val="top"/>
          </w:tcPr>
          <w:p w14:paraId="0207BDE9">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35F40896">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6B9A4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74" w:type="dxa"/>
            <w:vAlign w:val="top"/>
          </w:tcPr>
          <w:p w14:paraId="32857DFD">
            <w:pPr>
              <w:spacing w:line="402" w:lineRule="auto"/>
              <w:rPr>
                <w:rFonts w:hint="eastAsia" w:asciiTheme="majorEastAsia" w:hAnsiTheme="majorEastAsia" w:eastAsiaTheme="majorEastAsia" w:cstheme="majorEastAsia"/>
                <w:sz w:val="21"/>
                <w:highlight w:val="none"/>
              </w:rPr>
            </w:pPr>
          </w:p>
          <w:p w14:paraId="4C96E5CA">
            <w:pPr>
              <w:pStyle w:val="144"/>
              <w:spacing w:before="65" w:line="269" w:lineRule="exact"/>
              <w:ind w:left="236"/>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7"/>
                <w:position w:val="1"/>
                <w:sz w:val="20"/>
                <w:szCs w:val="20"/>
                <w:highlight w:val="none"/>
              </w:rPr>
              <w:t>10</w:t>
            </w:r>
          </w:p>
        </w:tc>
        <w:tc>
          <w:tcPr>
            <w:tcW w:w="1075" w:type="dxa"/>
            <w:vMerge w:val="restart"/>
            <w:vAlign w:val="top"/>
          </w:tcPr>
          <w:p w14:paraId="7822644A">
            <w:pPr>
              <w:spacing w:line="402" w:lineRule="auto"/>
              <w:rPr>
                <w:rFonts w:hint="eastAsia" w:asciiTheme="majorEastAsia" w:hAnsiTheme="majorEastAsia" w:eastAsiaTheme="majorEastAsia" w:cstheme="majorEastAsia"/>
                <w:sz w:val="21"/>
                <w:highlight w:val="none"/>
              </w:rPr>
            </w:pPr>
          </w:p>
          <w:p w14:paraId="308BA26E">
            <w:pPr>
              <w:pStyle w:val="144"/>
              <w:spacing w:before="65" w:line="228" w:lineRule="auto"/>
              <w:ind w:left="142"/>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1"/>
                <w:sz w:val="20"/>
                <w:szCs w:val="20"/>
                <w:highlight w:val="none"/>
              </w:rPr>
              <w:t>(三)卧室改造</w:t>
            </w:r>
          </w:p>
        </w:tc>
        <w:tc>
          <w:tcPr>
            <w:tcW w:w="1055" w:type="dxa"/>
            <w:vAlign w:val="top"/>
          </w:tcPr>
          <w:p w14:paraId="641000BD">
            <w:pPr>
              <w:spacing w:line="402" w:lineRule="auto"/>
              <w:rPr>
                <w:rFonts w:hint="eastAsia" w:asciiTheme="majorEastAsia" w:hAnsiTheme="majorEastAsia" w:eastAsiaTheme="majorEastAsia" w:cstheme="majorEastAsia"/>
                <w:sz w:val="21"/>
                <w:highlight w:val="none"/>
              </w:rPr>
            </w:pPr>
          </w:p>
          <w:p w14:paraId="0DD384E8">
            <w:pPr>
              <w:pStyle w:val="144"/>
              <w:spacing w:before="65" w:line="228" w:lineRule="auto"/>
              <w:ind w:left="199"/>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8"/>
                <w:sz w:val="20"/>
                <w:szCs w:val="20"/>
                <w:highlight w:val="none"/>
              </w:rPr>
              <w:t>配置护理床</w:t>
            </w:r>
          </w:p>
        </w:tc>
        <w:tc>
          <w:tcPr>
            <w:tcW w:w="3560" w:type="dxa"/>
            <w:vAlign w:val="top"/>
          </w:tcPr>
          <w:p w14:paraId="3488DBD8">
            <w:pPr>
              <w:spacing w:line="248" w:lineRule="auto"/>
              <w:rPr>
                <w:rFonts w:hint="eastAsia" w:asciiTheme="majorEastAsia" w:hAnsiTheme="majorEastAsia" w:eastAsiaTheme="majorEastAsia" w:cstheme="majorEastAsia"/>
                <w:sz w:val="21"/>
                <w:highlight w:val="none"/>
              </w:rPr>
            </w:pPr>
          </w:p>
          <w:p w14:paraId="30FC23AE">
            <w:pPr>
              <w:pStyle w:val="144"/>
              <w:spacing w:before="65" w:line="289" w:lineRule="auto"/>
              <w:ind w:left="112" w:right="82" w:firstLine="3"/>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20"/>
                <w:sz w:val="20"/>
                <w:szCs w:val="20"/>
                <w:highlight w:val="none"/>
              </w:rPr>
              <w:t>帮助失能老年人完成起身、侧翻、上下床、吃饭</w:t>
            </w:r>
            <w:r>
              <w:rPr>
                <w:rFonts w:hint="eastAsia" w:asciiTheme="majorEastAsia" w:hAnsiTheme="majorEastAsia" w:eastAsiaTheme="majorEastAsia" w:cstheme="majorEastAsia"/>
                <w:spacing w:val="18"/>
                <w:sz w:val="20"/>
                <w:szCs w:val="20"/>
                <w:highlight w:val="none"/>
              </w:rPr>
              <w:t>和辅助喂食、处理排泄物等。</w:t>
            </w:r>
          </w:p>
        </w:tc>
        <w:tc>
          <w:tcPr>
            <w:tcW w:w="864" w:type="dxa"/>
            <w:vAlign w:val="top"/>
          </w:tcPr>
          <w:p w14:paraId="739B9B55">
            <w:pPr>
              <w:spacing w:line="403" w:lineRule="auto"/>
              <w:rPr>
                <w:rFonts w:hint="eastAsia" w:asciiTheme="majorEastAsia" w:hAnsiTheme="majorEastAsia" w:eastAsiaTheme="majorEastAsia" w:cstheme="majorEastAsia"/>
                <w:sz w:val="21"/>
                <w:highlight w:val="none"/>
              </w:rPr>
            </w:pPr>
          </w:p>
          <w:p w14:paraId="58187A82">
            <w:pPr>
              <w:pStyle w:val="144"/>
              <w:spacing w:before="65" w:line="231" w:lineRule="auto"/>
              <w:ind w:firstLine="206" w:firstLineChars="100"/>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spacing w:val="3"/>
                <w:sz w:val="20"/>
                <w:szCs w:val="20"/>
                <w:highlight w:val="none"/>
              </w:rPr>
              <w:t>可选</w:t>
            </w:r>
          </w:p>
        </w:tc>
        <w:tc>
          <w:tcPr>
            <w:tcW w:w="864" w:type="dxa"/>
            <w:vAlign w:val="top"/>
          </w:tcPr>
          <w:p w14:paraId="0EF1623B">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7E6481C0">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65F79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2D79A722">
            <w:pPr>
              <w:spacing w:line="396" w:lineRule="auto"/>
              <w:rPr>
                <w:rFonts w:ascii="Arial"/>
                <w:sz w:val="21"/>
                <w:highlight w:val="none"/>
              </w:rPr>
            </w:pPr>
          </w:p>
          <w:p w14:paraId="44ADFB30">
            <w:pPr>
              <w:pStyle w:val="144"/>
              <w:spacing w:before="65" w:line="270" w:lineRule="exact"/>
              <w:ind w:left="236" w:leftChars="0"/>
              <w:rPr>
                <w:rFonts w:hint="eastAsia" w:ascii="宋体" w:hAnsi="宋体" w:eastAsia="宋体" w:cs="宋体"/>
                <w:kern w:val="2"/>
                <w:sz w:val="20"/>
                <w:szCs w:val="20"/>
                <w:highlight w:val="none"/>
                <w:lang w:val="en-US" w:eastAsia="en-US" w:bidi="ar-SA"/>
              </w:rPr>
            </w:pPr>
            <w:r>
              <w:rPr>
                <w:spacing w:val="-7"/>
                <w:position w:val="1"/>
                <w:sz w:val="20"/>
                <w:szCs w:val="20"/>
                <w:highlight w:val="none"/>
              </w:rPr>
              <w:t>11</w:t>
            </w:r>
          </w:p>
        </w:tc>
        <w:tc>
          <w:tcPr>
            <w:tcW w:w="1075" w:type="dxa"/>
            <w:vMerge w:val="continue"/>
            <w:shd w:val="clear" w:color="auto" w:fill="auto"/>
            <w:vAlign w:val="top"/>
          </w:tcPr>
          <w:p w14:paraId="310A573B">
            <w:pPr>
              <w:rPr>
                <w:rFonts w:hint="eastAsia" w:ascii="Arial" w:hAnsiTheme="minorHAnsi" w:eastAsiaTheme="minorEastAsia" w:cstheme="minorBidi"/>
                <w:kern w:val="2"/>
                <w:sz w:val="21"/>
                <w:szCs w:val="22"/>
                <w:highlight w:val="none"/>
                <w:lang w:val="en-US" w:eastAsia="zh-CN" w:bidi="ar-SA"/>
              </w:rPr>
            </w:pPr>
          </w:p>
        </w:tc>
        <w:tc>
          <w:tcPr>
            <w:tcW w:w="1055" w:type="dxa"/>
            <w:shd w:val="clear" w:color="auto" w:fill="auto"/>
            <w:vAlign w:val="top"/>
          </w:tcPr>
          <w:p w14:paraId="3121C873">
            <w:pPr>
              <w:rPr>
                <w:rFonts w:ascii="Arial"/>
                <w:sz w:val="21"/>
                <w:highlight w:val="none"/>
              </w:rPr>
            </w:pPr>
          </w:p>
          <w:p w14:paraId="1E19C168">
            <w:pPr>
              <w:pStyle w:val="144"/>
              <w:spacing w:before="65" w:line="228" w:lineRule="auto"/>
              <w:ind w:left="98"/>
              <w:rPr>
                <w:rFonts w:hint="eastAsia" w:ascii="宋体" w:hAnsi="宋体" w:eastAsia="宋体" w:cs="宋体"/>
                <w:kern w:val="2"/>
                <w:sz w:val="20"/>
                <w:szCs w:val="20"/>
                <w:highlight w:val="none"/>
                <w:lang w:val="en-US" w:eastAsia="en-US" w:bidi="ar-SA"/>
              </w:rPr>
            </w:pPr>
            <w:r>
              <w:rPr>
                <w:spacing w:val="7"/>
                <w:sz w:val="20"/>
                <w:szCs w:val="20"/>
                <w:highlight w:val="none"/>
              </w:rPr>
              <w:t>安装床边护栏</w:t>
            </w:r>
            <w:r>
              <w:rPr>
                <w:spacing w:val="-4"/>
                <w:sz w:val="20"/>
                <w:szCs w:val="20"/>
                <w:highlight w:val="none"/>
              </w:rPr>
              <w:t>(抓杆)</w:t>
            </w:r>
          </w:p>
        </w:tc>
        <w:tc>
          <w:tcPr>
            <w:tcW w:w="3560" w:type="dxa"/>
            <w:shd w:val="clear" w:color="auto" w:fill="auto"/>
            <w:vAlign w:val="top"/>
          </w:tcPr>
          <w:p w14:paraId="0F5834D6">
            <w:pPr>
              <w:spacing w:line="241" w:lineRule="auto"/>
              <w:rPr>
                <w:rFonts w:ascii="Arial"/>
                <w:sz w:val="21"/>
                <w:highlight w:val="none"/>
              </w:rPr>
            </w:pPr>
          </w:p>
          <w:p w14:paraId="7B514EB4">
            <w:pPr>
              <w:pStyle w:val="144"/>
              <w:spacing w:before="65" w:line="289" w:lineRule="auto"/>
              <w:ind w:left="111" w:leftChars="0" w:right="82" w:rightChars="0" w:firstLine="1" w:firstLineChars="0"/>
              <w:rPr>
                <w:rFonts w:hint="eastAsia" w:ascii="宋体" w:hAnsi="宋体" w:eastAsia="宋体" w:cs="宋体"/>
                <w:kern w:val="2"/>
                <w:sz w:val="20"/>
                <w:szCs w:val="20"/>
                <w:highlight w:val="none"/>
                <w:lang w:val="en-US" w:eastAsia="en-US" w:bidi="ar-SA"/>
              </w:rPr>
            </w:pPr>
            <w:r>
              <w:rPr>
                <w:spacing w:val="18"/>
                <w:sz w:val="20"/>
                <w:szCs w:val="20"/>
                <w:highlight w:val="none"/>
              </w:rPr>
              <w:t>辅助老年人起身、上下床，</w:t>
            </w:r>
            <w:r>
              <w:rPr>
                <w:spacing w:val="-40"/>
                <w:sz w:val="20"/>
                <w:szCs w:val="20"/>
                <w:highlight w:val="none"/>
              </w:rPr>
              <w:t xml:space="preserve"> </w:t>
            </w:r>
            <w:r>
              <w:rPr>
                <w:spacing w:val="18"/>
                <w:sz w:val="20"/>
                <w:szCs w:val="20"/>
                <w:highlight w:val="none"/>
              </w:rPr>
              <w:t>防止翻身滚下床，保证老年人睡眠和活动安全。</w:t>
            </w:r>
          </w:p>
        </w:tc>
        <w:tc>
          <w:tcPr>
            <w:tcW w:w="864" w:type="dxa"/>
            <w:shd w:val="clear" w:color="auto" w:fill="auto"/>
            <w:vAlign w:val="top"/>
          </w:tcPr>
          <w:p w14:paraId="18D21348">
            <w:pPr>
              <w:spacing w:line="301" w:lineRule="auto"/>
              <w:rPr>
                <w:rFonts w:ascii="Arial"/>
                <w:sz w:val="21"/>
                <w:highlight w:val="none"/>
              </w:rPr>
            </w:pPr>
          </w:p>
          <w:p w14:paraId="73AE3E28">
            <w:pPr>
              <w:spacing w:line="302" w:lineRule="auto"/>
              <w:rPr>
                <w:rFonts w:ascii="Arial"/>
                <w:sz w:val="21"/>
                <w:highlight w:val="none"/>
              </w:rPr>
            </w:pPr>
          </w:p>
          <w:p w14:paraId="1ACC7324">
            <w:pPr>
              <w:pStyle w:val="144"/>
              <w:spacing w:before="65" w:line="233" w:lineRule="auto"/>
              <w:ind w:firstLine="208" w:firstLineChars="100"/>
              <w:rPr>
                <w:rFonts w:hint="eastAsia" w:ascii="宋体" w:hAnsi="宋体" w:eastAsia="宋体" w:cs="宋体"/>
                <w:kern w:val="2"/>
                <w:sz w:val="20"/>
                <w:szCs w:val="20"/>
                <w:highlight w:val="none"/>
                <w:lang w:val="en-US" w:eastAsia="en-US" w:bidi="ar-SA"/>
              </w:rPr>
            </w:pPr>
            <w:r>
              <w:rPr>
                <w:spacing w:val="4"/>
                <w:sz w:val="20"/>
                <w:szCs w:val="20"/>
                <w:highlight w:val="none"/>
              </w:rPr>
              <w:t>基础</w:t>
            </w:r>
          </w:p>
        </w:tc>
        <w:tc>
          <w:tcPr>
            <w:tcW w:w="864" w:type="dxa"/>
            <w:vAlign w:val="top"/>
          </w:tcPr>
          <w:p w14:paraId="5B68F9BA">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1D1A1CB1">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12458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7A12DB4C">
            <w:pPr>
              <w:spacing w:line="392" w:lineRule="auto"/>
              <w:rPr>
                <w:rFonts w:ascii="Arial"/>
                <w:sz w:val="21"/>
                <w:highlight w:val="none"/>
              </w:rPr>
            </w:pPr>
          </w:p>
          <w:p w14:paraId="20D33D5A">
            <w:pPr>
              <w:pStyle w:val="144"/>
              <w:spacing w:before="65" w:line="270" w:lineRule="exact"/>
              <w:ind w:left="236" w:leftChars="0"/>
              <w:rPr>
                <w:rFonts w:hint="eastAsia" w:ascii="宋体" w:hAnsi="宋体" w:eastAsia="宋体" w:cs="宋体"/>
                <w:kern w:val="2"/>
                <w:sz w:val="20"/>
                <w:szCs w:val="20"/>
                <w:highlight w:val="none"/>
                <w:lang w:val="en-US" w:eastAsia="en-US" w:bidi="ar-SA"/>
              </w:rPr>
            </w:pPr>
            <w:r>
              <w:rPr>
                <w:spacing w:val="-7"/>
                <w:position w:val="1"/>
                <w:sz w:val="20"/>
                <w:szCs w:val="20"/>
                <w:highlight w:val="none"/>
              </w:rPr>
              <w:t>12</w:t>
            </w:r>
          </w:p>
        </w:tc>
        <w:tc>
          <w:tcPr>
            <w:tcW w:w="1075" w:type="dxa"/>
            <w:vMerge w:val="continue"/>
            <w:vAlign w:val="top"/>
          </w:tcPr>
          <w:p w14:paraId="6AA96F0C">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4CB89D75">
            <w:pPr>
              <w:pStyle w:val="144"/>
              <w:spacing w:before="304" w:line="231" w:lineRule="auto"/>
              <w:rPr>
                <w:rFonts w:hint="eastAsia" w:ascii="宋体" w:hAnsi="宋体" w:eastAsia="宋体" w:cs="宋体"/>
                <w:kern w:val="2"/>
                <w:sz w:val="20"/>
                <w:szCs w:val="20"/>
                <w:highlight w:val="none"/>
                <w:lang w:val="en-US" w:eastAsia="en-US" w:bidi="ar-SA"/>
              </w:rPr>
            </w:pPr>
            <w:r>
              <w:rPr>
                <w:spacing w:val="4"/>
                <w:sz w:val="20"/>
                <w:szCs w:val="20"/>
                <w:highlight w:val="none"/>
              </w:rPr>
              <w:t>配置防压疮垫</w:t>
            </w:r>
          </w:p>
        </w:tc>
        <w:tc>
          <w:tcPr>
            <w:tcW w:w="3560" w:type="dxa"/>
            <w:shd w:val="clear" w:color="auto" w:fill="auto"/>
            <w:vAlign w:val="top"/>
          </w:tcPr>
          <w:p w14:paraId="0C16AD26">
            <w:pPr>
              <w:pStyle w:val="144"/>
              <w:spacing w:before="304" w:line="289" w:lineRule="auto"/>
              <w:ind w:left="110" w:leftChars="0" w:right="305" w:rightChars="0"/>
              <w:rPr>
                <w:rFonts w:hint="eastAsia" w:ascii="宋体" w:hAnsi="宋体" w:eastAsia="宋体" w:cs="宋体"/>
                <w:kern w:val="2"/>
                <w:sz w:val="20"/>
                <w:szCs w:val="20"/>
                <w:highlight w:val="none"/>
                <w:lang w:val="en-US" w:eastAsia="en-US" w:bidi="ar-SA"/>
              </w:rPr>
            </w:pPr>
            <w:r>
              <w:rPr>
                <w:spacing w:val="20"/>
                <w:sz w:val="20"/>
                <w:szCs w:val="20"/>
                <w:highlight w:val="none"/>
              </w:rPr>
              <w:t>避免长期乘坐轮椅或外床的老年人发生严重压</w:t>
            </w:r>
            <w:r>
              <w:rPr>
                <w:spacing w:val="19"/>
                <w:sz w:val="20"/>
                <w:szCs w:val="20"/>
                <w:highlight w:val="none"/>
              </w:rPr>
              <w:t>疮，包括防压疮坐垫、靠垫或床垫等。</w:t>
            </w:r>
          </w:p>
        </w:tc>
        <w:tc>
          <w:tcPr>
            <w:tcW w:w="864" w:type="dxa"/>
            <w:shd w:val="clear" w:color="auto" w:fill="auto"/>
            <w:vAlign w:val="top"/>
          </w:tcPr>
          <w:p w14:paraId="71882745">
            <w:pPr>
              <w:spacing w:line="392" w:lineRule="auto"/>
              <w:rPr>
                <w:rFonts w:ascii="Arial"/>
                <w:sz w:val="21"/>
                <w:highlight w:val="none"/>
              </w:rPr>
            </w:pPr>
          </w:p>
          <w:p w14:paraId="11CF7B1E">
            <w:pPr>
              <w:pStyle w:val="144"/>
              <w:spacing w:before="65" w:line="231" w:lineRule="auto"/>
              <w:ind w:firstLine="206" w:firstLineChars="100"/>
              <w:rPr>
                <w:rFonts w:hint="eastAsia"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47C3F1E7">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09F5C094">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2DF2E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3818C1B2">
            <w:pPr>
              <w:spacing w:line="296" w:lineRule="auto"/>
              <w:rPr>
                <w:rFonts w:ascii="Arial"/>
                <w:sz w:val="21"/>
                <w:highlight w:val="none"/>
              </w:rPr>
            </w:pPr>
          </w:p>
          <w:p w14:paraId="50B6FE9D">
            <w:pPr>
              <w:spacing w:line="297" w:lineRule="auto"/>
              <w:rPr>
                <w:rFonts w:ascii="Arial"/>
                <w:sz w:val="21"/>
                <w:highlight w:val="none"/>
              </w:rPr>
            </w:pPr>
          </w:p>
          <w:p w14:paraId="3617658B">
            <w:pPr>
              <w:pStyle w:val="144"/>
              <w:spacing w:before="65" w:line="269" w:lineRule="exact"/>
              <w:ind w:left="236" w:leftChars="0"/>
              <w:rPr>
                <w:rFonts w:ascii="宋体" w:hAnsi="宋体" w:eastAsia="宋体" w:cs="宋体"/>
                <w:kern w:val="2"/>
                <w:sz w:val="20"/>
                <w:szCs w:val="20"/>
                <w:highlight w:val="none"/>
                <w:lang w:val="en-US" w:eastAsia="en-US" w:bidi="ar-SA"/>
              </w:rPr>
            </w:pPr>
            <w:r>
              <w:rPr>
                <w:spacing w:val="-7"/>
                <w:position w:val="1"/>
                <w:sz w:val="20"/>
                <w:szCs w:val="20"/>
                <w:highlight w:val="none"/>
              </w:rPr>
              <w:t>13</w:t>
            </w:r>
          </w:p>
        </w:tc>
        <w:tc>
          <w:tcPr>
            <w:tcW w:w="1075" w:type="dxa"/>
            <w:vMerge w:val="restart"/>
            <w:vAlign w:val="top"/>
          </w:tcPr>
          <w:p w14:paraId="1814E0C7">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29A964EA">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4C132C45">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7D58A348">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0168DB94">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7740C5F3">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5EE62E52">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06D3BF9D">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18B9A49A">
            <w:pPr>
              <w:pStyle w:val="144"/>
              <w:spacing w:before="65" w:line="228" w:lineRule="auto"/>
              <w:ind w:left="142"/>
              <w:rPr>
                <w:rFonts w:hint="default" w:asciiTheme="majorEastAsia" w:hAnsiTheme="majorEastAsia" w:eastAsiaTheme="majorEastAsia" w:cstheme="majorEastAsia"/>
                <w:spacing w:val="1"/>
                <w:sz w:val="20"/>
                <w:szCs w:val="20"/>
                <w:highlight w:val="none"/>
                <w:lang w:val="en-US" w:eastAsia="zh-CN"/>
              </w:rPr>
            </w:pPr>
            <w:r>
              <w:rPr>
                <w:rFonts w:hint="eastAsia" w:asciiTheme="majorEastAsia" w:hAnsiTheme="majorEastAsia" w:eastAsiaTheme="majorEastAsia" w:cstheme="majorEastAsia"/>
                <w:spacing w:val="1"/>
                <w:sz w:val="20"/>
                <w:szCs w:val="20"/>
                <w:highlight w:val="none"/>
                <w:lang w:eastAsia="zh-CN"/>
              </w:rPr>
              <w:t>（</w:t>
            </w:r>
            <w:r>
              <w:rPr>
                <w:rFonts w:hint="eastAsia" w:asciiTheme="majorEastAsia" w:hAnsiTheme="majorEastAsia" w:eastAsiaTheme="majorEastAsia" w:cstheme="majorEastAsia"/>
                <w:spacing w:val="1"/>
                <w:sz w:val="20"/>
                <w:szCs w:val="20"/>
                <w:highlight w:val="none"/>
                <w:lang w:val="en-US" w:eastAsia="zh-CN"/>
              </w:rPr>
              <w:t>四</w:t>
            </w:r>
            <w:r>
              <w:rPr>
                <w:rFonts w:hint="eastAsia" w:asciiTheme="majorEastAsia" w:hAnsiTheme="majorEastAsia" w:eastAsiaTheme="majorEastAsia" w:cstheme="majorEastAsia"/>
                <w:spacing w:val="1"/>
                <w:sz w:val="20"/>
                <w:szCs w:val="20"/>
                <w:highlight w:val="none"/>
                <w:lang w:eastAsia="zh-CN"/>
              </w:rPr>
              <w:t>）</w:t>
            </w:r>
            <w:r>
              <w:rPr>
                <w:rFonts w:hint="eastAsia" w:asciiTheme="majorEastAsia" w:hAnsiTheme="majorEastAsia" w:eastAsiaTheme="majorEastAsia" w:cstheme="majorEastAsia"/>
                <w:spacing w:val="1"/>
                <w:sz w:val="20"/>
                <w:szCs w:val="20"/>
                <w:highlight w:val="none"/>
                <w:lang w:val="en-US" w:eastAsia="zh-CN"/>
              </w:rPr>
              <w:t>如厕洗浴改造</w:t>
            </w:r>
          </w:p>
        </w:tc>
        <w:tc>
          <w:tcPr>
            <w:tcW w:w="1055" w:type="dxa"/>
            <w:shd w:val="clear" w:color="auto" w:fill="auto"/>
            <w:vAlign w:val="top"/>
          </w:tcPr>
          <w:p w14:paraId="3240E374">
            <w:pPr>
              <w:spacing w:line="297" w:lineRule="auto"/>
              <w:rPr>
                <w:rFonts w:ascii="Arial"/>
                <w:sz w:val="21"/>
                <w:highlight w:val="none"/>
              </w:rPr>
            </w:pPr>
          </w:p>
          <w:p w14:paraId="2A0028B7">
            <w:pPr>
              <w:spacing w:line="297" w:lineRule="auto"/>
              <w:rPr>
                <w:rFonts w:ascii="Arial"/>
                <w:sz w:val="21"/>
                <w:highlight w:val="none"/>
              </w:rPr>
            </w:pPr>
          </w:p>
          <w:p w14:paraId="0ED7249A">
            <w:pPr>
              <w:pStyle w:val="144"/>
              <w:spacing w:before="65" w:line="228" w:lineRule="auto"/>
              <w:rPr>
                <w:rFonts w:ascii="宋体" w:hAnsi="宋体" w:eastAsia="宋体" w:cs="宋体"/>
                <w:kern w:val="2"/>
                <w:sz w:val="20"/>
                <w:szCs w:val="20"/>
                <w:highlight w:val="none"/>
                <w:lang w:val="en-US" w:eastAsia="en-US" w:bidi="ar-SA"/>
              </w:rPr>
            </w:pPr>
            <w:r>
              <w:rPr>
                <w:spacing w:val="6"/>
                <w:sz w:val="20"/>
                <w:szCs w:val="20"/>
                <w:highlight w:val="none"/>
              </w:rPr>
              <w:t>安装扶手</w:t>
            </w:r>
          </w:p>
        </w:tc>
        <w:tc>
          <w:tcPr>
            <w:tcW w:w="3560" w:type="dxa"/>
            <w:shd w:val="clear" w:color="auto" w:fill="auto"/>
            <w:vAlign w:val="top"/>
          </w:tcPr>
          <w:p w14:paraId="770C406D">
            <w:pPr>
              <w:spacing w:line="283" w:lineRule="auto"/>
              <w:rPr>
                <w:rFonts w:ascii="Arial"/>
                <w:sz w:val="21"/>
                <w:highlight w:val="none"/>
              </w:rPr>
            </w:pPr>
          </w:p>
          <w:p w14:paraId="323812F8">
            <w:pPr>
              <w:pStyle w:val="144"/>
              <w:spacing w:before="65" w:line="289" w:lineRule="auto"/>
              <w:ind w:left="110" w:leftChars="0"/>
              <w:jc w:val="both"/>
              <w:rPr>
                <w:rFonts w:ascii="宋体" w:hAnsi="宋体" w:eastAsia="宋体" w:cs="宋体"/>
                <w:kern w:val="2"/>
                <w:sz w:val="20"/>
                <w:szCs w:val="20"/>
                <w:highlight w:val="none"/>
                <w:lang w:val="en-US" w:eastAsia="en-US" w:bidi="ar-SA"/>
              </w:rPr>
            </w:pPr>
            <w:r>
              <w:rPr>
                <w:spacing w:val="14"/>
                <w:sz w:val="20"/>
                <w:szCs w:val="20"/>
                <w:highlight w:val="none"/>
              </w:rPr>
              <w:t>在如厕区或者洗浴区安装扶手，辅助老年人起身、站立、转身和坐下</w:t>
            </w:r>
            <w:r>
              <w:rPr>
                <w:spacing w:val="-57"/>
                <w:sz w:val="20"/>
                <w:szCs w:val="20"/>
                <w:highlight w:val="none"/>
              </w:rPr>
              <w:t xml:space="preserve"> </w:t>
            </w:r>
            <w:r>
              <w:rPr>
                <w:spacing w:val="14"/>
                <w:sz w:val="20"/>
                <w:szCs w:val="20"/>
                <w:highlight w:val="none"/>
              </w:rPr>
              <w:t>。包括一字形扶手、U</w:t>
            </w:r>
            <w:r>
              <w:rPr>
                <w:spacing w:val="-26"/>
                <w:sz w:val="20"/>
                <w:szCs w:val="20"/>
                <w:highlight w:val="none"/>
              </w:rPr>
              <w:t xml:space="preserve"> </w:t>
            </w:r>
            <w:r>
              <w:rPr>
                <w:spacing w:val="14"/>
                <w:sz w:val="20"/>
                <w:szCs w:val="20"/>
                <w:highlight w:val="none"/>
              </w:rPr>
              <w:t>形扶</w:t>
            </w:r>
            <w:r>
              <w:rPr>
                <w:spacing w:val="13"/>
                <w:sz w:val="20"/>
                <w:szCs w:val="20"/>
                <w:highlight w:val="none"/>
              </w:rPr>
              <w:t>手、</w:t>
            </w:r>
            <w:r>
              <w:rPr>
                <w:sz w:val="20"/>
                <w:szCs w:val="20"/>
                <w:highlight w:val="none"/>
              </w:rPr>
              <w:t xml:space="preserve"> </w:t>
            </w:r>
            <w:r>
              <w:rPr>
                <w:spacing w:val="5"/>
                <w:sz w:val="20"/>
                <w:szCs w:val="20"/>
                <w:highlight w:val="none"/>
              </w:rPr>
              <w:t>L</w:t>
            </w:r>
            <w:r>
              <w:rPr>
                <w:spacing w:val="-23"/>
                <w:sz w:val="20"/>
                <w:szCs w:val="20"/>
                <w:highlight w:val="none"/>
              </w:rPr>
              <w:t xml:space="preserve"> </w:t>
            </w:r>
            <w:r>
              <w:rPr>
                <w:spacing w:val="5"/>
                <w:sz w:val="20"/>
                <w:szCs w:val="20"/>
                <w:highlight w:val="none"/>
              </w:rPr>
              <w:t>形扶手、135</w:t>
            </w:r>
            <w:r>
              <w:rPr>
                <w:spacing w:val="55"/>
                <w:sz w:val="20"/>
                <w:szCs w:val="20"/>
                <w:highlight w:val="none"/>
              </w:rPr>
              <w:t xml:space="preserve"> </w:t>
            </w:r>
            <w:r>
              <w:rPr>
                <w:spacing w:val="5"/>
                <w:sz w:val="20"/>
                <w:szCs w:val="20"/>
                <w:highlight w:val="none"/>
              </w:rPr>
              <w:t>°挟手、T</w:t>
            </w:r>
            <w:r>
              <w:rPr>
                <w:spacing w:val="-29"/>
                <w:sz w:val="20"/>
                <w:szCs w:val="20"/>
                <w:highlight w:val="none"/>
              </w:rPr>
              <w:t xml:space="preserve"> </w:t>
            </w:r>
            <w:r>
              <w:rPr>
                <w:spacing w:val="5"/>
                <w:sz w:val="20"/>
                <w:szCs w:val="20"/>
                <w:highlight w:val="none"/>
              </w:rPr>
              <w:t>形扶手或者助力扶手等。</w:t>
            </w:r>
          </w:p>
        </w:tc>
        <w:tc>
          <w:tcPr>
            <w:tcW w:w="864" w:type="dxa"/>
            <w:shd w:val="clear" w:color="auto" w:fill="auto"/>
            <w:vAlign w:val="top"/>
          </w:tcPr>
          <w:p w14:paraId="662E6B7E">
            <w:pPr>
              <w:spacing w:line="297" w:lineRule="auto"/>
              <w:rPr>
                <w:rFonts w:ascii="Arial"/>
                <w:sz w:val="21"/>
                <w:highlight w:val="none"/>
              </w:rPr>
            </w:pPr>
          </w:p>
          <w:p w14:paraId="67B9CBE4">
            <w:pPr>
              <w:spacing w:line="297" w:lineRule="auto"/>
              <w:rPr>
                <w:rFonts w:ascii="Arial"/>
                <w:sz w:val="21"/>
                <w:highlight w:val="none"/>
              </w:rPr>
            </w:pPr>
          </w:p>
          <w:p w14:paraId="4278562D">
            <w:pPr>
              <w:pStyle w:val="144"/>
              <w:spacing w:before="65" w:line="233" w:lineRule="auto"/>
              <w:ind w:firstLine="208" w:firstLineChars="100"/>
              <w:rPr>
                <w:rFonts w:ascii="宋体" w:hAnsi="宋体" w:eastAsia="宋体" w:cs="宋体"/>
                <w:kern w:val="2"/>
                <w:sz w:val="20"/>
                <w:szCs w:val="20"/>
                <w:highlight w:val="none"/>
                <w:lang w:val="en-US" w:eastAsia="en-US" w:bidi="ar-SA"/>
              </w:rPr>
            </w:pPr>
            <w:r>
              <w:rPr>
                <w:spacing w:val="4"/>
                <w:sz w:val="20"/>
                <w:szCs w:val="20"/>
                <w:highlight w:val="none"/>
              </w:rPr>
              <w:t>基础</w:t>
            </w:r>
          </w:p>
        </w:tc>
        <w:tc>
          <w:tcPr>
            <w:tcW w:w="864" w:type="dxa"/>
            <w:vAlign w:val="top"/>
          </w:tcPr>
          <w:p w14:paraId="1F5C74E4">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6CE1A705">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1FC8D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0DD3D79F">
            <w:pPr>
              <w:spacing w:line="394" w:lineRule="auto"/>
              <w:rPr>
                <w:rFonts w:ascii="Arial"/>
                <w:sz w:val="21"/>
                <w:highlight w:val="none"/>
              </w:rPr>
            </w:pPr>
          </w:p>
          <w:p w14:paraId="3AA7B1E6">
            <w:pPr>
              <w:pStyle w:val="144"/>
              <w:spacing w:before="65" w:line="270" w:lineRule="exact"/>
              <w:ind w:left="236" w:leftChars="0"/>
              <w:rPr>
                <w:rFonts w:ascii="宋体" w:hAnsi="宋体" w:eastAsia="宋体" w:cs="宋体"/>
                <w:kern w:val="2"/>
                <w:sz w:val="20"/>
                <w:szCs w:val="20"/>
                <w:highlight w:val="none"/>
                <w:lang w:val="en-US" w:eastAsia="en-US" w:bidi="ar-SA"/>
              </w:rPr>
            </w:pPr>
            <w:r>
              <w:rPr>
                <w:spacing w:val="-7"/>
                <w:position w:val="1"/>
                <w:sz w:val="20"/>
                <w:szCs w:val="20"/>
                <w:highlight w:val="none"/>
              </w:rPr>
              <w:t>14</w:t>
            </w:r>
          </w:p>
        </w:tc>
        <w:tc>
          <w:tcPr>
            <w:tcW w:w="1075" w:type="dxa"/>
            <w:vMerge w:val="continue"/>
            <w:vAlign w:val="top"/>
          </w:tcPr>
          <w:p w14:paraId="3E099576">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64DFA3D9">
            <w:pPr>
              <w:rPr>
                <w:rFonts w:ascii="Arial"/>
                <w:sz w:val="21"/>
                <w:highlight w:val="none"/>
              </w:rPr>
            </w:pPr>
          </w:p>
          <w:p w14:paraId="5616E6A6">
            <w:pPr>
              <w:pStyle w:val="144"/>
              <w:spacing w:before="65" w:line="289" w:lineRule="auto"/>
              <w:ind w:right="296" w:rightChars="0"/>
              <w:rPr>
                <w:rFonts w:ascii="宋体" w:hAnsi="宋体" w:eastAsia="宋体" w:cs="宋体"/>
                <w:kern w:val="2"/>
                <w:sz w:val="20"/>
                <w:szCs w:val="20"/>
                <w:highlight w:val="none"/>
                <w:lang w:val="en-US" w:eastAsia="en-US" w:bidi="ar-SA"/>
              </w:rPr>
            </w:pPr>
            <w:r>
              <w:rPr>
                <w:spacing w:val="7"/>
                <w:sz w:val="20"/>
                <w:szCs w:val="20"/>
                <w:highlight w:val="none"/>
              </w:rPr>
              <w:t>蹲便器</w:t>
            </w:r>
            <w:r>
              <w:rPr>
                <w:spacing w:val="5"/>
                <w:sz w:val="20"/>
                <w:szCs w:val="20"/>
                <w:highlight w:val="none"/>
              </w:rPr>
              <w:t>改坐便器</w:t>
            </w:r>
          </w:p>
        </w:tc>
        <w:tc>
          <w:tcPr>
            <w:tcW w:w="3560" w:type="dxa"/>
            <w:shd w:val="clear" w:color="auto" w:fill="auto"/>
            <w:vAlign w:val="top"/>
          </w:tcPr>
          <w:p w14:paraId="2D7C3592">
            <w:pPr>
              <w:rPr>
                <w:rFonts w:ascii="Arial"/>
                <w:sz w:val="21"/>
                <w:highlight w:val="none"/>
              </w:rPr>
            </w:pPr>
          </w:p>
          <w:p w14:paraId="3D428268">
            <w:pPr>
              <w:pStyle w:val="144"/>
              <w:spacing w:before="65" w:line="289" w:lineRule="auto"/>
              <w:ind w:left="111" w:leftChars="0" w:right="82" w:rightChars="0"/>
              <w:rPr>
                <w:rFonts w:ascii="宋体" w:hAnsi="宋体" w:eastAsia="宋体" w:cs="宋体"/>
                <w:kern w:val="2"/>
                <w:sz w:val="20"/>
                <w:szCs w:val="20"/>
                <w:highlight w:val="none"/>
                <w:lang w:val="en-US" w:eastAsia="en-US" w:bidi="ar-SA"/>
              </w:rPr>
            </w:pPr>
            <w:r>
              <w:rPr>
                <w:spacing w:val="21"/>
                <w:sz w:val="20"/>
                <w:szCs w:val="20"/>
                <w:highlight w:val="none"/>
              </w:rPr>
              <w:t>减轻蹲姿造成的腿部压力，避免老年人如则</w:t>
            </w:r>
            <w:r>
              <w:rPr>
                <w:spacing w:val="20"/>
                <w:sz w:val="20"/>
                <w:szCs w:val="20"/>
                <w:highlight w:val="none"/>
              </w:rPr>
              <w:t>时摔</w:t>
            </w:r>
            <w:r>
              <w:rPr>
                <w:spacing w:val="18"/>
                <w:sz w:val="20"/>
                <w:szCs w:val="20"/>
                <w:highlight w:val="none"/>
              </w:rPr>
              <w:t>倒，方便乘轮椅老年人使用。</w:t>
            </w:r>
          </w:p>
        </w:tc>
        <w:tc>
          <w:tcPr>
            <w:tcW w:w="864" w:type="dxa"/>
            <w:shd w:val="clear" w:color="auto" w:fill="auto"/>
            <w:vAlign w:val="top"/>
          </w:tcPr>
          <w:p w14:paraId="54020D9C">
            <w:pPr>
              <w:spacing w:line="394" w:lineRule="auto"/>
              <w:rPr>
                <w:rFonts w:ascii="Arial"/>
                <w:sz w:val="21"/>
                <w:highlight w:val="none"/>
              </w:rPr>
            </w:pPr>
          </w:p>
          <w:p w14:paraId="7BD67B32">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77A291C2">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0B78AB73">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6EAA8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03978789">
            <w:pPr>
              <w:spacing w:line="397" w:lineRule="auto"/>
              <w:rPr>
                <w:rFonts w:ascii="Arial"/>
                <w:sz w:val="21"/>
                <w:highlight w:val="none"/>
              </w:rPr>
            </w:pPr>
          </w:p>
          <w:p w14:paraId="50ED6DC7">
            <w:pPr>
              <w:pStyle w:val="144"/>
              <w:spacing w:before="65" w:line="269" w:lineRule="exact"/>
              <w:ind w:left="236" w:leftChars="0"/>
              <w:rPr>
                <w:rFonts w:ascii="宋体" w:hAnsi="宋体" w:eastAsia="宋体" w:cs="宋体"/>
                <w:kern w:val="2"/>
                <w:sz w:val="20"/>
                <w:szCs w:val="20"/>
                <w:highlight w:val="none"/>
                <w:lang w:val="en-US" w:eastAsia="en-US" w:bidi="ar-SA"/>
              </w:rPr>
            </w:pPr>
            <w:r>
              <w:rPr>
                <w:spacing w:val="-7"/>
                <w:position w:val="1"/>
                <w:sz w:val="20"/>
                <w:szCs w:val="20"/>
                <w:highlight w:val="none"/>
              </w:rPr>
              <w:t>15</w:t>
            </w:r>
          </w:p>
        </w:tc>
        <w:tc>
          <w:tcPr>
            <w:tcW w:w="1075" w:type="dxa"/>
            <w:vMerge w:val="continue"/>
            <w:vAlign w:val="top"/>
          </w:tcPr>
          <w:p w14:paraId="73861211">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0B21E294">
            <w:pPr>
              <w:spacing w:line="397" w:lineRule="auto"/>
              <w:rPr>
                <w:rFonts w:ascii="Arial"/>
                <w:sz w:val="21"/>
                <w:highlight w:val="none"/>
              </w:rPr>
            </w:pPr>
          </w:p>
          <w:p w14:paraId="4400A658">
            <w:pPr>
              <w:pStyle w:val="144"/>
              <w:spacing w:before="65" w:line="228" w:lineRule="auto"/>
              <w:rPr>
                <w:rFonts w:ascii="宋体" w:hAnsi="宋体" w:eastAsia="宋体" w:cs="宋体"/>
                <w:kern w:val="2"/>
                <w:sz w:val="20"/>
                <w:szCs w:val="20"/>
                <w:highlight w:val="none"/>
                <w:lang w:val="en-US" w:eastAsia="en-US" w:bidi="ar-SA"/>
              </w:rPr>
            </w:pPr>
            <w:r>
              <w:rPr>
                <w:spacing w:val="7"/>
                <w:sz w:val="20"/>
                <w:szCs w:val="20"/>
                <w:highlight w:val="none"/>
              </w:rPr>
              <w:t>水龙头改造</w:t>
            </w:r>
          </w:p>
        </w:tc>
        <w:tc>
          <w:tcPr>
            <w:tcW w:w="3560" w:type="dxa"/>
            <w:shd w:val="clear" w:color="auto" w:fill="auto"/>
            <w:vAlign w:val="top"/>
          </w:tcPr>
          <w:p w14:paraId="730AF757">
            <w:pPr>
              <w:spacing w:line="397" w:lineRule="auto"/>
              <w:rPr>
                <w:rFonts w:ascii="Arial"/>
                <w:sz w:val="21"/>
                <w:highlight w:val="none"/>
              </w:rPr>
            </w:pPr>
          </w:p>
          <w:p w14:paraId="6784A7D4">
            <w:pPr>
              <w:pStyle w:val="144"/>
              <w:spacing w:before="65" w:line="227" w:lineRule="auto"/>
              <w:jc w:val="left"/>
              <w:rPr>
                <w:rFonts w:ascii="宋体" w:hAnsi="宋体" w:eastAsia="宋体" w:cs="宋体"/>
                <w:kern w:val="2"/>
                <w:sz w:val="20"/>
                <w:szCs w:val="20"/>
                <w:highlight w:val="none"/>
                <w:lang w:val="en-US" w:eastAsia="en-US" w:bidi="ar-SA"/>
              </w:rPr>
            </w:pPr>
            <w:r>
              <w:rPr>
                <w:spacing w:val="14"/>
                <w:sz w:val="20"/>
                <w:szCs w:val="20"/>
                <w:highlight w:val="none"/>
              </w:rPr>
              <w:t>采用拔杆式或感应水龙头，方便老年人开关水阀。</w:t>
            </w:r>
          </w:p>
        </w:tc>
        <w:tc>
          <w:tcPr>
            <w:tcW w:w="864" w:type="dxa"/>
            <w:shd w:val="clear" w:color="auto" w:fill="auto"/>
            <w:vAlign w:val="top"/>
          </w:tcPr>
          <w:p w14:paraId="2311EA28">
            <w:pPr>
              <w:spacing w:line="398" w:lineRule="auto"/>
              <w:rPr>
                <w:rFonts w:ascii="Arial"/>
                <w:sz w:val="21"/>
                <w:highlight w:val="none"/>
              </w:rPr>
            </w:pPr>
          </w:p>
          <w:p w14:paraId="03FFB1A8">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592FEA94">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02E5A723">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2C65F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2A25899E">
            <w:pPr>
              <w:spacing w:line="394" w:lineRule="auto"/>
              <w:rPr>
                <w:rFonts w:ascii="Arial"/>
                <w:sz w:val="21"/>
                <w:highlight w:val="none"/>
              </w:rPr>
            </w:pPr>
          </w:p>
          <w:p w14:paraId="293363C7">
            <w:pPr>
              <w:pStyle w:val="144"/>
              <w:spacing w:before="65" w:line="269" w:lineRule="exact"/>
              <w:ind w:left="236" w:leftChars="0"/>
              <w:rPr>
                <w:rFonts w:ascii="宋体" w:hAnsi="宋体" w:eastAsia="宋体" w:cs="宋体"/>
                <w:kern w:val="2"/>
                <w:sz w:val="20"/>
                <w:szCs w:val="20"/>
                <w:highlight w:val="none"/>
                <w:lang w:val="en-US" w:eastAsia="en-US" w:bidi="ar-SA"/>
              </w:rPr>
            </w:pPr>
            <w:r>
              <w:rPr>
                <w:spacing w:val="-7"/>
                <w:position w:val="1"/>
                <w:sz w:val="20"/>
                <w:szCs w:val="20"/>
                <w:highlight w:val="none"/>
              </w:rPr>
              <w:t>16</w:t>
            </w:r>
          </w:p>
        </w:tc>
        <w:tc>
          <w:tcPr>
            <w:tcW w:w="1075" w:type="dxa"/>
            <w:vMerge w:val="continue"/>
            <w:vAlign w:val="top"/>
          </w:tcPr>
          <w:p w14:paraId="3F7440E8">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5DD77ED9">
            <w:pPr>
              <w:pStyle w:val="144"/>
              <w:spacing w:before="305" w:line="293" w:lineRule="auto"/>
              <w:ind w:right="35" w:rightChars="0"/>
              <w:rPr>
                <w:rFonts w:ascii="宋体" w:hAnsi="宋体" w:eastAsia="宋体" w:cs="宋体"/>
                <w:kern w:val="2"/>
                <w:sz w:val="20"/>
                <w:szCs w:val="20"/>
                <w:highlight w:val="none"/>
                <w:lang w:val="en-US" w:eastAsia="en-US" w:bidi="ar-SA"/>
              </w:rPr>
            </w:pPr>
            <w:r>
              <w:rPr>
                <w:spacing w:val="7"/>
                <w:sz w:val="20"/>
                <w:szCs w:val="20"/>
                <w:highlight w:val="none"/>
              </w:rPr>
              <w:t>浴缸/淋浴房改</w:t>
            </w:r>
            <w:r>
              <w:rPr>
                <w:spacing w:val="1"/>
                <w:sz w:val="20"/>
                <w:szCs w:val="20"/>
                <w:highlight w:val="none"/>
              </w:rPr>
              <w:t>造</w:t>
            </w:r>
          </w:p>
        </w:tc>
        <w:tc>
          <w:tcPr>
            <w:tcW w:w="3560" w:type="dxa"/>
            <w:shd w:val="clear" w:color="auto" w:fill="auto"/>
            <w:vAlign w:val="top"/>
          </w:tcPr>
          <w:p w14:paraId="57A2EAD4">
            <w:pPr>
              <w:rPr>
                <w:rFonts w:ascii="Arial"/>
                <w:sz w:val="21"/>
                <w:highlight w:val="none"/>
              </w:rPr>
            </w:pPr>
          </w:p>
          <w:p w14:paraId="2E6E68EC">
            <w:pPr>
              <w:pStyle w:val="144"/>
              <w:spacing w:before="65" w:line="289" w:lineRule="auto"/>
              <w:ind w:left="127" w:leftChars="0" w:right="72" w:rightChars="0" w:hanging="16" w:firstLineChars="0"/>
              <w:rPr>
                <w:rFonts w:ascii="宋体" w:hAnsi="宋体" w:eastAsia="宋体" w:cs="宋体"/>
                <w:kern w:val="2"/>
                <w:sz w:val="20"/>
                <w:szCs w:val="20"/>
                <w:highlight w:val="none"/>
                <w:lang w:val="en-US" w:eastAsia="en-US" w:bidi="ar-SA"/>
              </w:rPr>
            </w:pPr>
            <w:r>
              <w:rPr>
                <w:spacing w:val="16"/>
                <w:sz w:val="20"/>
                <w:szCs w:val="20"/>
                <w:highlight w:val="none"/>
              </w:rPr>
              <w:t>拆除浴缸/淋浴房，更换浴帘、浴杆，增加</w:t>
            </w:r>
            <w:r>
              <w:rPr>
                <w:spacing w:val="15"/>
                <w:sz w:val="20"/>
                <w:szCs w:val="20"/>
                <w:highlight w:val="none"/>
              </w:rPr>
              <w:t>淋浴空</w:t>
            </w:r>
            <w:r>
              <w:rPr>
                <w:spacing w:val="18"/>
                <w:sz w:val="20"/>
                <w:szCs w:val="20"/>
                <w:highlight w:val="none"/>
              </w:rPr>
              <w:t>间，方便照护人员辅助老年人洗浴。</w:t>
            </w:r>
          </w:p>
        </w:tc>
        <w:tc>
          <w:tcPr>
            <w:tcW w:w="864" w:type="dxa"/>
            <w:shd w:val="clear" w:color="auto" w:fill="auto"/>
            <w:vAlign w:val="top"/>
          </w:tcPr>
          <w:p w14:paraId="57BDB79A">
            <w:pPr>
              <w:spacing w:line="395" w:lineRule="auto"/>
              <w:rPr>
                <w:rFonts w:ascii="Arial"/>
                <w:sz w:val="21"/>
                <w:highlight w:val="none"/>
              </w:rPr>
            </w:pPr>
          </w:p>
          <w:p w14:paraId="166176AC">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5AA79811">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51C773C8">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0D33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77C9691C">
            <w:pPr>
              <w:spacing w:line="396" w:lineRule="auto"/>
              <w:rPr>
                <w:rFonts w:ascii="Arial"/>
                <w:sz w:val="21"/>
                <w:highlight w:val="none"/>
              </w:rPr>
            </w:pPr>
          </w:p>
          <w:p w14:paraId="63F9A574">
            <w:pPr>
              <w:pStyle w:val="144"/>
              <w:spacing w:before="65" w:line="269" w:lineRule="exact"/>
              <w:ind w:left="236" w:leftChars="0"/>
              <w:rPr>
                <w:rFonts w:ascii="宋体" w:hAnsi="宋体" w:eastAsia="宋体" w:cs="宋体"/>
                <w:kern w:val="2"/>
                <w:sz w:val="20"/>
                <w:szCs w:val="20"/>
                <w:highlight w:val="none"/>
                <w:lang w:val="en-US" w:eastAsia="en-US" w:bidi="ar-SA"/>
              </w:rPr>
            </w:pPr>
            <w:r>
              <w:rPr>
                <w:spacing w:val="-7"/>
                <w:position w:val="1"/>
                <w:sz w:val="20"/>
                <w:szCs w:val="20"/>
                <w:highlight w:val="none"/>
              </w:rPr>
              <w:t>17</w:t>
            </w:r>
          </w:p>
        </w:tc>
        <w:tc>
          <w:tcPr>
            <w:tcW w:w="1075" w:type="dxa"/>
            <w:vMerge w:val="continue"/>
            <w:vAlign w:val="top"/>
          </w:tcPr>
          <w:p w14:paraId="06F26D5E">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51802207">
            <w:pPr>
              <w:spacing w:line="397" w:lineRule="auto"/>
              <w:jc w:val="left"/>
              <w:rPr>
                <w:rFonts w:ascii="Arial"/>
                <w:sz w:val="21"/>
                <w:highlight w:val="none"/>
              </w:rPr>
            </w:pPr>
          </w:p>
          <w:p w14:paraId="453394B6">
            <w:pPr>
              <w:pStyle w:val="144"/>
              <w:spacing w:before="65" w:line="226" w:lineRule="auto"/>
              <w:jc w:val="left"/>
              <w:rPr>
                <w:rFonts w:ascii="宋体" w:hAnsi="宋体" w:eastAsia="宋体" w:cs="宋体"/>
                <w:kern w:val="2"/>
                <w:sz w:val="20"/>
                <w:szCs w:val="20"/>
                <w:highlight w:val="none"/>
                <w:lang w:val="en-US" w:eastAsia="en-US" w:bidi="ar-SA"/>
              </w:rPr>
            </w:pPr>
            <w:r>
              <w:rPr>
                <w:spacing w:val="8"/>
                <w:sz w:val="20"/>
                <w:szCs w:val="20"/>
                <w:highlight w:val="none"/>
              </w:rPr>
              <w:t>配置淋浴椅</w:t>
            </w:r>
          </w:p>
        </w:tc>
        <w:tc>
          <w:tcPr>
            <w:tcW w:w="3560" w:type="dxa"/>
            <w:shd w:val="clear" w:color="auto" w:fill="auto"/>
            <w:vAlign w:val="top"/>
          </w:tcPr>
          <w:p w14:paraId="0CAD0336">
            <w:pPr>
              <w:spacing w:line="396" w:lineRule="auto"/>
              <w:jc w:val="left"/>
              <w:rPr>
                <w:rFonts w:ascii="Arial"/>
                <w:sz w:val="21"/>
                <w:highlight w:val="none"/>
              </w:rPr>
            </w:pPr>
          </w:p>
          <w:p w14:paraId="04CF5DE7">
            <w:pPr>
              <w:pStyle w:val="144"/>
              <w:spacing w:before="65" w:line="228" w:lineRule="auto"/>
              <w:jc w:val="left"/>
              <w:rPr>
                <w:rFonts w:ascii="宋体" w:hAnsi="宋体" w:eastAsia="宋体" w:cs="宋体"/>
                <w:kern w:val="2"/>
                <w:sz w:val="20"/>
                <w:szCs w:val="20"/>
                <w:highlight w:val="none"/>
                <w:lang w:val="en-US" w:eastAsia="en-US" w:bidi="ar-SA"/>
              </w:rPr>
            </w:pPr>
            <w:r>
              <w:rPr>
                <w:spacing w:val="14"/>
                <w:sz w:val="20"/>
                <w:szCs w:val="20"/>
                <w:highlight w:val="none"/>
              </w:rPr>
              <w:t>辅助老年人洗澡用，避免老年人滑倒，提高安性。</w:t>
            </w:r>
          </w:p>
        </w:tc>
        <w:tc>
          <w:tcPr>
            <w:tcW w:w="864" w:type="dxa"/>
            <w:shd w:val="clear" w:color="auto" w:fill="auto"/>
            <w:vAlign w:val="top"/>
          </w:tcPr>
          <w:p w14:paraId="720A4895">
            <w:pPr>
              <w:spacing w:line="397" w:lineRule="auto"/>
              <w:rPr>
                <w:rFonts w:ascii="Arial"/>
                <w:sz w:val="21"/>
                <w:highlight w:val="none"/>
              </w:rPr>
            </w:pPr>
          </w:p>
          <w:p w14:paraId="59D7D055">
            <w:pPr>
              <w:pStyle w:val="144"/>
              <w:spacing w:before="65" w:line="233" w:lineRule="auto"/>
              <w:ind w:firstLine="208" w:firstLineChars="100"/>
              <w:rPr>
                <w:rFonts w:ascii="宋体" w:hAnsi="宋体" w:eastAsia="宋体" w:cs="宋体"/>
                <w:kern w:val="2"/>
                <w:sz w:val="20"/>
                <w:szCs w:val="20"/>
                <w:highlight w:val="none"/>
                <w:lang w:val="en-US" w:eastAsia="en-US" w:bidi="ar-SA"/>
              </w:rPr>
            </w:pPr>
            <w:r>
              <w:rPr>
                <w:spacing w:val="4"/>
                <w:sz w:val="20"/>
                <w:szCs w:val="20"/>
                <w:highlight w:val="none"/>
              </w:rPr>
              <w:t>基础</w:t>
            </w:r>
          </w:p>
        </w:tc>
        <w:tc>
          <w:tcPr>
            <w:tcW w:w="864" w:type="dxa"/>
            <w:vAlign w:val="top"/>
          </w:tcPr>
          <w:p w14:paraId="4BC2DFD5">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430A1B6F">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69425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3EDAAFC2">
            <w:pPr>
              <w:spacing w:line="400" w:lineRule="auto"/>
              <w:rPr>
                <w:rFonts w:ascii="Arial"/>
                <w:sz w:val="21"/>
                <w:highlight w:val="none"/>
              </w:rPr>
            </w:pPr>
          </w:p>
          <w:p w14:paraId="59FDB0D9">
            <w:pPr>
              <w:pStyle w:val="144"/>
              <w:spacing w:before="65" w:line="268" w:lineRule="exact"/>
              <w:ind w:left="236" w:leftChars="0"/>
              <w:rPr>
                <w:rFonts w:ascii="宋体" w:hAnsi="宋体" w:eastAsia="宋体" w:cs="宋体"/>
                <w:kern w:val="2"/>
                <w:sz w:val="20"/>
                <w:szCs w:val="20"/>
                <w:highlight w:val="none"/>
                <w:lang w:val="en-US" w:eastAsia="en-US" w:bidi="ar-SA"/>
              </w:rPr>
            </w:pPr>
            <w:r>
              <w:rPr>
                <w:spacing w:val="-7"/>
                <w:position w:val="1"/>
                <w:sz w:val="20"/>
                <w:szCs w:val="20"/>
                <w:highlight w:val="none"/>
              </w:rPr>
              <w:t>18</w:t>
            </w:r>
          </w:p>
        </w:tc>
        <w:tc>
          <w:tcPr>
            <w:tcW w:w="1075" w:type="dxa"/>
            <w:vMerge w:val="restart"/>
            <w:vAlign w:val="top"/>
          </w:tcPr>
          <w:p w14:paraId="4956DCA4">
            <w:pPr>
              <w:pStyle w:val="144"/>
              <w:spacing w:before="65" w:line="228" w:lineRule="auto"/>
              <w:ind w:left="142"/>
              <w:rPr>
                <w:rFonts w:hint="eastAsia" w:asciiTheme="majorEastAsia" w:hAnsiTheme="majorEastAsia" w:eastAsiaTheme="majorEastAsia" w:cstheme="majorEastAsia"/>
                <w:spacing w:val="1"/>
                <w:sz w:val="20"/>
                <w:szCs w:val="20"/>
                <w:highlight w:val="none"/>
              </w:rPr>
            </w:pPr>
          </w:p>
          <w:p w14:paraId="74F14C02">
            <w:pPr>
              <w:bidi w:val="0"/>
              <w:rPr>
                <w:rFonts w:hint="eastAsia"/>
                <w:highlight w:val="none"/>
              </w:rPr>
            </w:pPr>
          </w:p>
          <w:p w14:paraId="28AA1F6A">
            <w:pPr>
              <w:bidi w:val="0"/>
              <w:rPr>
                <w:rFonts w:hint="eastAsia" w:asciiTheme="majorEastAsia" w:hAnsiTheme="majorEastAsia" w:eastAsiaTheme="majorEastAsia" w:cstheme="majorEastAsia"/>
                <w:spacing w:val="1"/>
                <w:kern w:val="2"/>
                <w:sz w:val="20"/>
                <w:szCs w:val="20"/>
                <w:highlight w:val="none"/>
                <w:lang w:val="en-US" w:eastAsia="zh-CN" w:bidi="ar-SA"/>
              </w:rPr>
            </w:pPr>
          </w:p>
          <w:p w14:paraId="19E5F453">
            <w:pPr>
              <w:bidi w:val="0"/>
              <w:jc w:val="center"/>
              <w:rPr>
                <w:rFonts w:hint="default" w:eastAsiaTheme="minorEastAsia"/>
                <w:highlight w:val="none"/>
                <w:lang w:val="en-US" w:eastAsia="zh-CN"/>
              </w:rPr>
            </w:pPr>
            <w:r>
              <w:rPr>
                <w:rFonts w:hint="eastAsia" w:asciiTheme="majorEastAsia" w:hAnsiTheme="majorEastAsia" w:eastAsiaTheme="majorEastAsia" w:cstheme="majorEastAsia"/>
                <w:spacing w:val="1"/>
                <w:kern w:val="2"/>
                <w:sz w:val="20"/>
                <w:szCs w:val="20"/>
                <w:highlight w:val="none"/>
                <w:lang w:val="en-US" w:eastAsia="zh-CN" w:bidi="ar-SA"/>
              </w:rPr>
              <w:t>（五）厨房设备改造</w:t>
            </w:r>
          </w:p>
        </w:tc>
        <w:tc>
          <w:tcPr>
            <w:tcW w:w="1055" w:type="dxa"/>
            <w:shd w:val="clear" w:color="auto" w:fill="auto"/>
            <w:vAlign w:val="top"/>
          </w:tcPr>
          <w:p w14:paraId="22A97B0E">
            <w:pPr>
              <w:spacing w:line="399" w:lineRule="auto"/>
              <w:rPr>
                <w:rFonts w:ascii="Arial"/>
                <w:sz w:val="21"/>
                <w:highlight w:val="none"/>
              </w:rPr>
            </w:pPr>
          </w:p>
          <w:p w14:paraId="0AA7A8D8">
            <w:pPr>
              <w:pStyle w:val="144"/>
              <w:spacing w:before="65" w:line="228" w:lineRule="auto"/>
              <w:rPr>
                <w:rFonts w:ascii="宋体" w:hAnsi="宋体" w:eastAsia="宋体" w:cs="宋体"/>
                <w:kern w:val="2"/>
                <w:sz w:val="20"/>
                <w:szCs w:val="20"/>
                <w:highlight w:val="none"/>
                <w:lang w:val="en-US" w:eastAsia="en-US" w:bidi="ar-SA"/>
              </w:rPr>
            </w:pPr>
            <w:r>
              <w:rPr>
                <w:spacing w:val="3"/>
                <w:sz w:val="20"/>
                <w:szCs w:val="20"/>
                <w:highlight w:val="none"/>
              </w:rPr>
              <w:t>台面改造</w:t>
            </w:r>
          </w:p>
        </w:tc>
        <w:tc>
          <w:tcPr>
            <w:tcW w:w="3560" w:type="dxa"/>
            <w:shd w:val="clear" w:color="auto" w:fill="auto"/>
            <w:vAlign w:val="top"/>
          </w:tcPr>
          <w:p w14:paraId="569F696D">
            <w:pPr>
              <w:pStyle w:val="144"/>
              <w:spacing w:before="156" w:line="289" w:lineRule="auto"/>
              <w:ind w:left="112" w:leftChars="0" w:right="82" w:rightChars="0" w:firstLine="15" w:firstLineChars="0"/>
              <w:jc w:val="both"/>
              <w:rPr>
                <w:rFonts w:ascii="宋体" w:hAnsi="宋体" w:eastAsia="宋体" w:cs="宋体"/>
                <w:kern w:val="2"/>
                <w:sz w:val="20"/>
                <w:szCs w:val="20"/>
                <w:highlight w:val="none"/>
                <w:lang w:val="en-US" w:eastAsia="en-US" w:bidi="ar-SA"/>
              </w:rPr>
            </w:pPr>
            <w:r>
              <w:rPr>
                <w:spacing w:val="20"/>
                <w:sz w:val="20"/>
                <w:szCs w:val="20"/>
                <w:highlight w:val="none"/>
              </w:rPr>
              <w:t>降低操作台、灶台、洗菜池高度或者在其下方留出容膝空间，方便乘轮椅或者体型矮小老年人操</w:t>
            </w:r>
            <w:r>
              <w:rPr>
                <w:sz w:val="20"/>
                <w:szCs w:val="20"/>
                <w:highlight w:val="none"/>
              </w:rPr>
              <w:t>作。</w:t>
            </w:r>
          </w:p>
        </w:tc>
        <w:tc>
          <w:tcPr>
            <w:tcW w:w="864" w:type="dxa"/>
            <w:shd w:val="clear" w:color="auto" w:fill="auto"/>
            <w:vAlign w:val="top"/>
          </w:tcPr>
          <w:p w14:paraId="23B81918">
            <w:pPr>
              <w:spacing w:line="400" w:lineRule="auto"/>
              <w:rPr>
                <w:rFonts w:ascii="Arial"/>
                <w:sz w:val="21"/>
                <w:highlight w:val="none"/>
              </w:rPr>
            </w:pPr>
          </w:p>
          <w:p w14:paraId="0147557C">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2F7D9B70">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3FCDA016">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7999C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448E8575">
            <w:pPr>
              <w:spacing w:line="397" w:lineRule="auto"/>
              <w:rPr>
                <w:rFonts w:ascii="Arial"/>
                <w:sz w:val="21"/>
                <w:highlight w:val="none"/>
              </w:rPr>
            </w:pPr>
          </w:p>
          <w:p w14:paraId="4683FA63">
            <w:pPr>
              <w:pStyle w:val="144"/>
              <w:spacing w:before="65" w:line="268" w:lineRule="exact"/>
              <w:ind w:left="236" w:leftChars="0"/>
              <w:rPr>
                <w:rFonts w:ascii="宋体" w:hAnsi="宋体" w:eastAsia="宋体" w:cs="宋体"/>
                <w:kern w:val="2"/>
                <w:sz w:val="20"/>
                <w:szCs w:val="20"/>
                <w:highlight w:val="none"/>
                <w:lang w:val="en-US" w:eastAsia="en-US" w:bidi="ar-SA"/>
              </w:rPr>
            </w:pPr>
            <w:r>
              <w:rPr>
                <w:spacing w:val="-7"/>
                <w:position w:val="1"/>
                <w:sz w:val="20"/>
                <w:szCs w:val="20"/>
                <w:highlight w:val="none"/>
              </w:rPr>
              <w:t>19</w:t>
            </w:r>
          </w:p>
        </w:tc>
        <w:tc>
          <w:tcPr>
            <w:tcW w:w="1075" w:type="dxa"/>
            <w:vMerge w:val="continue"/>
            <w:vAlign w:val="top"/>
          </w:tcPr>
          <w:p w14:paraId="5BD830C0">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19C3FB99">
            <w:pPr>
              <w:spacing w:line="396" w:lineRule="auto"/>
              <w:rPr>
                <w:rFonts w:ascii="Arial"/>
                <w:sz w:val="21"/>
                <w:highlight w:val="none"/>
              </w:rPr>
            </w:pPr>
          </w:p>
          <w:p w14:paraId="286482D7">
            <w:pPr>
              <w:pStyle w:val="144"/>
              <w:spacing w:before="65" w:line="228" w:lineRule="auto"/>
              <w:rPr>
                <w:rFonts w:ascii="宋体" w:hAnsi="宋体" w:eastAsia="宋体" w:cs="宋体"/>
                <w:kern w:val="2"/>
                <w:sz w:val="20"/>
                <w:szCs w:val="20"/>
                <w:highlight w:val="none"/>
                <w:lang w:val="en-US" w:eastAsia="en-US" w:bidi="ar-SA"/>
              </w:rPr>
            </w:pPr>
            <w:r>
              <w:rPr>
                <w:spacing w:val="8"/>
                <w:sz w:val="20"/>
                <w:szCs w:val="20"/>
                <w:highlight w:val="none"/>
              </w:rPr>
              <w:t>加设中部柜</w:t>
            </w:r>
          </w:p>
        </w:tc>
        <w:tc>
          <w:tcPr>
            <w:tcW w:w="3560" w:type="dxa"/>
            <w:shd w:val="clear" w:color="auto" w:fill="auto"/>
            <w:vAlign w:val="top"/>
          </w:tcPr>
          <w:p w14:paraId="005727F9">
            <w:pPr>
              <w:spacing w:line="242" w:lineRule="auto"/>
              <w:rPr>
                <w:rFonts w:ascii="Arial"/>
                <w:sz w:val="21"/>
                <w:highlight w:val="none"/>
              </w:rPr>
            </w:pPr>
          </w:p>
          <w:p w14:paraId="2A03D0A4">
            <w:pPr>
              <w:pStyle w:val="144"/>
              <w:spacing w:before="66" w:line="289" w:lineRule="auto"/>
              <w:ind w:left="111" w:leftChars="0" w:right="82" w:rightChars="0" w:hanging="1" w:firstLineChars="0"/>
              <w:rPr>
                <w:rFonts w:ascii="宋体" w:hAnsi="宋体" w:eastAsia="宋体" w:cs="宋体"/>
                <w:kern w:val="2"/>
                <w:sz w:val="20"/>
                <w:szCs w:val="20"/>
                <w:highlight w:val="none"/>
                <w:lang w:val="en-US" w:eastAsia="en-US" w:bidi="ar-SA"/>
              </w:rPr>
            </w:pPr>
            <w:r>
              <w:rPr>
                <w:spacing w:val="18"/>
                <w:sz w:val="20"/>
                <w:szCs w:val="20"/>
                <w:highlight w:val="none"/>
              </w:rPr>
              <w:t>在吊柜下方设置开散式中部柜、</w:t>
            </w:r>
            <w:r>
              <w:rPr>
                <w:spacing w:val="-38"/>
                <w:sz w:val="20"/>
                <w:szCs w:val="20"/>
                <w:highlight w:val="none"/>
              </w:rPr>
              <w:t xml:space="preserve"> </w:t>
            </w:r>
            <w:r>
              <w:rPr>
                <w:spacing w:val="18"/>
                <w:sz w:val="20"/>
                <w:szCs w:val="20"/>
                <w:highlight w:val="none"/>
              </w:rPr>
              <w:t>中部架，方便老</w:t>
            </w:r>
            <w:r>
              <w:rPr>
                <w:spacing w:val="15"/>
                <w:sz w:val="20"/>
                <w:szCs w:val="20"/>
                <w:highlight w:val="none"/>
              </w:rPr>
              <w:t>年人取放物品。</w:t>
            </w:r>
          </w:p>
        </w:tc>
        <w:tc>
          <w:tcPr>
            <w:tcW w:w="864" w:type="dxa"/>
            <w:shd w:val="clear" w:color="auto" w:fill="auto"/>
            <w:vAlign w:val="top"/>
          </w:tcPr>
          <w:p w14:paraId="2F2CB865">
            <w:pPr>
              <w:spacing w:line="397" w:lineRule="auto"/>
              <w:rPr>
                <w:rFonts w:ascii="Arial"/>
                <w:sz w:val="21"/>
                <w:highlight w:val="none"/>
              </w:rPr>
            </w:pPr>
          </w:p>
          <w:p w14:paraId="1FA20331">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073CB536">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32023EA7">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7F389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0E69BAF3">
            <w:pPr>
              <w:spacing w:line="402" w:lineRule="auto"/>
              <w:rPr>
                <w:rFonts w:ascii="Arial"/>
                <w:sz w:val="21"/>
                <w:highlight w:val="none"/>
              </w:rPr>
            </w:pPr>
          </w:p>
          <w:p w14:paraId="0EAC2698">
            <w:pPr>
              <w:pStyle w:val="144"/>
              <w:spacing w:before="65" w:line="269" w:lineRule="exact"/>
              <w:ind w:left="223" w:leftChars="0"/>
              <w:rPr>
                <w:rFonts w:ascii="宋体" w:hAnsi="宋体" w:eastAsia="宋体" w:cs="宋体"/>
                <w:kern w:val="2"/>
                <w:sz w:val="20"/>
                <w:szCs w:val="20"/>
                <w:highlight w:val="none"/>
                <w:lang w:val="en-US" w:eastAsia="en-US" w:bidi="ar-SA"/>
              </w:rPr>
            </w:pPr>
            <w:r>
              <w:rPr>
                <w:spacing w:val="-1"/>
                <w:position w:val="1"/>
                <w:sz w:val="20"/>
                <w:szCs w:val="20"/>
                <w:highlight w:val="none"/>
              </w:rPr>
              <w:t>20</w:t>
            </w:r>
          </w:p>
        </w:tc>
        <w:tc>
          <w:tcPr>
            <w:tcW w:w="1075" w:type="dxa"/>
            <w:vMerge w:val="restart"/>
            <w:vAlign w:val="top"/>
          </w:tcPr>
          <w:p w14:paraId="797AE06B">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7749DB76">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3CC609CC">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3359C19E">
            <w:pPr>
              <w:pStyle w:val="144"/>
              <w:spacing w:before="65" w:line="228" w:lineRule="auto"/>
              <w:ind w:left="142"/>
              <w:rPr>
                <w:rFonts w:hint="default" w:asciiTheme="majorEastAsia" w:hAnsiTheme="majorEastAsia" w:eastAsiaTheme="majorEastAsia" w:cstheme="majorEastAsia"/>
                <w:spacing w:val="1"/>
                <w:sz w:val="20"/>
                <w:szCs w:val="20"/>
                <w:highlight w:val="none"/>
                <w:lang w:val="en-US" w:eastAsia="zh-CN"/>
              </w:rPr>
            </w:pPr>
            <w:r>
              <w:rPr>
                <w:rFonts w:hint="eastAsia" w:asciiTheme="majorEastAsia" w:hAnsiTheme="majorEastAsia" w:eastAsiaTheme="majorEastAsia" w:cstheme="majorEastAsia"/>
                <w:spacing w:val="1"/>
                <w:sz w:val="20"/>
                <w:szCs w:val="20"/>
                <w:highlight w:val="none"/>
                <w:lang w:eastAsia="zh-CN"/>
              </w:rPr>
              <w:t>（</w:t>
            </w:r>
            <w:r>
              <w:rPr>
                <w:rFonts w:hint="eastAsia" w:asciiTheme="majorEastAsia" w:hAnsiTheme="majorEastAsia" w:eastAsiaTheme="majorEastAsia" w:cstheme="majorEastAsia"/>
                <w:spacing w:val="1"/>
                <w:sz w:val="20"/>
                <w:szCs w:val="20"/>
                <w:highlight w:val="none"/>
                <w:lang w:val="en-US" w:eastAsia="zh-CN"/>
              </w:rPr>
              <w:t>六</w:t>
            </w:r>
            <w:r>
              <w:rPr>
                <w:rFonts w:hint="eastAsia" w:asciiTheme="majorEastAsia" w:hAnsiTheme="majorEastAsia" w:eastAsiaTheme="majorEastAsia" w:cstheme="majorEastAsia"/>
                <w:spacing w:val="1"/>
                <w:sz w:val="20"/>
                <w:szCs w:val="20"/>
                <w:highlight w:val="none"/>
                <w:lang w:eastAsia="zh-CN"/>
              </w:rPr>
              <w:t>）</w:t>
            </w:r>
            <w:r>
              <w:rPr>
                <w:rFonts w:hint="eastAsia" w:asciiTheme="majorEastAsia" w:hAnsiTheme="majorEastAsia" w:eastAsiaTheme="majorEastAsia" w:cstheme="majorEastAsia"/>
                <w:spacing w:val="1"/>
                <w:sz w:val="20"/>
                <w:szCs w:val="20"/>
                <w:highlight w:val="none"/>
                <w:lang w:val="en-US" w:eastAsia="zh-CN"/>
              </w:rPr>
              <w:t>物理环境改造</w:t>
            </w:r>
          </w:p>
        </w:tc>
        <w:tc>
          <w:tcPr>
            <w:tcW w:w="1055" w:type="dxa"/>
            <w:shd w:val="clear" w:color="auto" w:fill="auto"/>
            <w:vAlign w:val="top"/>
          </w:tcPr>
          <w:p w14:paraId="77466DED">
            <w:pPr>
              <w:spacing w:line="247" w:lineRule="auto"/>
              <w:rPr>
                <w:rFonts w:ascii="Arial"/>
                <w:sz w:val="21"/>
                <w:highlight w:val="none"/>
              </w:rPr>
            </w:pPr>
          </w:p>
          <w:p w14:paraId="175205EB">
            <w:pPr>
              <w:pStyle w:val="144"/>
              <w:spacing w:before="65" w:line="290" w:lineRule="auto"/>
              <w:ind w:right="296" w:rightChars="0"/>
              <w:rPr>
                <w:rFonts w:ascii="宋体" w:hAnsi="宋体" w:eastAsia="宋体" w:cs="宋体"/>
                <w:kern w:val="2"/>
                <w:sz w:val="20"/>
                <w:szCs w:val="20"/>
                <w:highlight w:val="none"/>
                <w:lang w:val="en-US" w:eastAsia="en-US" w:bidi="ar-SA"/>
              </w:rPr>
            </w:pPr>
            <w:r>
              <w:rPr>
                <w:spacing w:val="6"/>
                <w:sz w:val="20"/>
                <w:szCs w:val="20"/>
                <w:highlight w:val="none"/>
              </w:rPr>
              <w:t>安装自动</w:t>
            </w:r>
            <w:r>
              <w:rPr>
                <w:spacing w:val="7"/>
                <w:sz w:val="20"/>
                <w:szCs w:val="20"/>
                <w:highlight w:val="none"/>
              </w:rPr>
              <w:t>感应灯具</w:t>
            </w:r>
          </w:p>
        </w:tc>
        <w:tc>
          <w:tcPr>
            <w:tcW w:w="3560" w:type="dxa"/>
            <w:shd w:val="clear" w:color="auto" w:fill="auto"/>
            <w:vAlign w:val="top"/>
          </w:tcPr>
          <w:p w14:paraId="6B5560B4">
            <w:pPr>
              <w:spacing w:line="248" w:lineRule="auto"/>
              <w:rPr>
                <w:rFonts w:ascii="Arial"/>
                <w:sz w:val="21"/>
                <w:highlight w:val="none"/>
              </w:rPr>
            </w:pPr>
          </w:p>
          <w:p w14:paraId="02937D3C">
            <w:pPr>
              <w:pStyle w:val="144"/>
              <w:spacing w:before="65" w:line="289" w:lineRule="auto"/>
              <w:ind w:left="113" w:leftChars="0" w:right="13" w:rightChars="0" w:firstLine="2" w:firstLineChars="0"/>
              <w:rPr>
                <w:rFonts w:ascii="宋体" w:hAnsi="宋体" w:eastAsia="宋体" w:cs="宋体"/>
                <w:kern w:val="2"/>
                <w:sz w:val="20"/>
                <w:szCs w:val="20"/>
                <w:highlight w:val="none"/>
                <w:lang w:val="en-US" w:eastAsia="en-US" w:bidi="ar-SA"/>
              </w:rPr>
            </w:pPr>
            <w:r>
              <w:rPr>
                <w:spacing w:val="13"/>
                <w:sz w:val="20"/>
                <w:szCs w:val="20"/>
                <w:highlight w:val="none"/>
              </w:rPr>
              <w:t>安装感应便携灯、避免直射光源、强刺激性光源，</w:t>
            </w:r>
            <w:r>
              <w:rPr>
                <w:spacing w:val="18"/>
                <w:sz w:val="20"/>
                <w:szCs w:val="20"/>
                <w:highlight w:val="none"/>
              </w:rPr>
              <w:t>人走灯灭，辅助老年人起夜使用。</w:t>
            </w:r>
          </w:p>
        </w:tc>
        <w:tc>
          <w:tcPr>
            <w:tcW w:w="864" w:type="dxa"/>
            <w:shd w:val="clear" w:color="auto" w:fill="auto"/>
            <w:vAlign w:val="top"/>
          </w:tcPr>
          <w:p w14:paraId="04B8397D">
            <w:pPr>
              <w:spacing w:line="403" w:lineRule="auto"/>
              <w:rPr>
                <w:rFonts w:ascii="Arial"/>
                <w:sz w:val="21"/>
                <w:highlight w:val="none"/>
              </w:rPr>
            </w:pPr>
          </w:p>
          <w:p w14:paraId="116C26F3">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609C7911">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7DD994A0">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79EBB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474" w:type="dxa"/>
            <w:shd w:val="clear" w:color="auto" w:fill="auto"/>
            <w:vAlign w:val="top"/>
          </w:tcPr>
          <w:p w14:paraId="61F888C8">
            <w:pPr>
              <w:pStyle w:val="144"/>
              <w:spacing w:before="65" w:line="269" w:lineRule="exact"/>
              <w:ind w:left="223" w:leftChars="0"/>
              <w:rPr>
                <w:rFonts w:hint="default" w:eastAsia="宋体"/>
                <w:spacing w:val="-1"/>
                <w:position w:val="1"/>
                <w:sz w:val="20"/>
                <w:szCs w:val="20"/>
                <w:highlight w:val="none"/>
                <w:lang w:val="en-US" w:eastAsia="zh-CN"/>
              </w:rPr>
            </w:pPr>
            <w:r>
              <w:rPr>
                <w:rFonts w:hint="eastAsia"/>
                <w:spacing w:val="-1"/>
                <w:position w:val="1"/>
                <w:sz w:val="20"/>
                <w:szCs w:val="20"/>
                <w:highlight w:val="none"/>
                <w:lang w:val="en-US" w:eastAsia="zh-CN"/>
              </w:rPr>
              <w:t>21</w:t>
            </w:r>
          </w:p>
        </w:tc>
        <w:tc>
          <w:tcPr>
            <w:tcW w:w="1075" w:type="dxa"/>
            <w:vMerge w:val="continue"/>
            <w:vAlign w:val="top"/>
          </w:tcPr>
          <w:p w14:paraId="6E9D3BFF">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3C1DCF17">
            <w:pPr>
              <w:spacing w:line="243" w:lineRule="auto"/>
              <w:rPr>
                <w:rFonts w:ascii="Arial"/>
                <w:sz w:val="21"/>
                <w:highlight w:val="none"/>
              </w:rPr>
            </w:pPr>
          </w:p>
          <w:p w14:paraId="20575688">
            <w:pPr>
              <w:pStyle w:val="144"/>
              <w:spacing w:before="65" w:line="289" w:lineRule="auto"/>
              <w:ind w:right="191" w:rightChars="0"/>
              <w:rPr>
                <w:rFonts w:ascii="宋体" w:hAnsi="宋体" w:eastAsia="宋体" w:cs="宋体"/>
                <w:kern w:val="2"/>
                <w:sz w:val="20"/>
                <w:szCs w:val="20"/>
                <w:highlight w:val="none"/>
                <w:lang w:val="en-US" w:eastAsia="en-US" w:bidi="ar-SA"/>
              </w:rPr>
            </w:pPr>
            <w:r>
              <w:rPr>
                <w:spacing w:val="1"/>
                <w:sz w:val="20"/>
                <w:szCs w:val="20"/>
                <w:highlight w:val="none"/>
              </w:rPr>
              <w:t>电源插座</w:t>
            </w:r>
            <w:r>
              <w:rPr>
                <w:spacing w:val="8"/>
                <w:sz w:val="20"/>
                <w:szCs w:val="20"/>
                <w:highlight w:val="none"/>
              </w:rPr>
              <w:t>及开关改造</w:t>
            </w:r>
          </w:p>
        </w:tc>
        <w:tc>
          <w:tcPr>
            <w:tcW w:w="3560" w:type="dxa"/>
            <w:shd w:val="clear" w:color="auto" w:fill="auto"/>
            <w:vAlign w:val="top"/>
          </w:tcPr>
          <w:p w14:paraId="66595AA7">
            <w:pPr>
              <w:spacing w:line="243" w:lineRule="auto"/>
              <w:rPr>
                <w:rFonts w:ascii="Arial"/>
                <w:sz w:val="21"/>
                <w:highlight w:val="none"/>
              </w:rPr>
            </w:pPr>
          </w:p>
          <w:p w14:paraId="1E19A9E3">
            <w:pPr>
              <w:pStyle w:val="144"/>
              <w:spacing w:before="65" w:line="289" w:lineRule="auto"/>
              <w:ind w:left="111" w:leftChars="0" w:right="20" w:rightChars="0" w:hanging="1" w:firstLineChars="0"/>
              <w:rPr>
                <w:rFonts w:ascii="宋体" w:hAnsi="宋体" w:eastAsia="宋体" w:cs="宋体"/>
                <w:kern w:val="2"/>
                <w:sz w:val="20"/>
                <w:szCs w:val="20"/>
                <w:highlight w:val="none"/>
                <w:lang w:val="en-US" w:eastAsia="en-US" w:bidi="ar-SA"/>
              </w:rPr>
            </w:pPr>
            <w:r>
              <w:rPr>
                <w:spacing w:val="18"/>
                <w:sz w:val="20"/>
                <w:szCs w:val="20"/>
                <w:highlight w:val="none"/>
              </w:rPr>
              <w:t>视情进行高/低位改造、避免老年人下蹲或弯腰，方便老年人插拔电源和使用开关。</w:t>
            </w:r>
          </w:p>
        </w:tc>
        <w:tc>
          <w:tcPr>
            <w:tcW w:w="864" w:type="dxa"/>
            <w:shd w:val="clear" w:color="auto" w:fill="auto"/>
            <w:vAlign w:val="top"/>
          </w:tcPr>
          <w:p w14:paraId="239DFDBB">
            <w:pPr>
              <w:spacing w:line="397" w:lineRule="auto"/>
              <w:rPr>
                <w:rFonts w:ascii="Arial"/>
                <w:sz w:val="21"/>
                <w:highlight w:val="none"/>
              </w:rPr>
            </w:pPr>
          </w:p>
          <w:p w14:paraId="7E7F3BBA">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59ECB6A0">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4A450D86">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05E4D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2D0E5D93">
            <w:pPr>
              <w:spacing w:line="298" w:lineRule="auto"/>
              <w:rPr>
                <w:rFonts w:ascii="Arial"/>
                <w:sz w:val="21"/>
                <w:highlight w:val="none"/>
              </w:rPr>
            </w:pPr>
          </w:p>
          <w:p w14:paraId="410A1E50">
            <w:pPr>
              <w:spacing w:line="298" w:lineRule="auto"/>
              <w:rPr>
                <w:rFonts w:ascii="Arial"/>
                <w:sz w:val="21"/>
                <w:highlight w:val="none"/>
              </w:rPr>
            </w:pPr>
          </w:p>
          <w:p w14:paraId="46165C63">
            <w:pPr>
              <w:pStyle w:val="144"/>
              <w:spacing w:before="65" w:line="270" w:lineRule="exact"/>
              <w:ind w:left="223" w:leftChars="0"/>
              <w:rPr>
                <w:rFonts w:ascii="宋体" w:hAnsi="宋体" w:eastAsia="宋体" w:cs="宋体"/>
                <w:kern w:val="2"/>
                <w:sz w:val="20"/>
                <w:szCs w:val="20"/>
                <w:highlight w:val="none"/>
                <w:lang w:val="en-US" w:eastAsia="en-US" w:bidi="ar-SA"/>
              </w:rPr>
            </w:pPr>
            <w:r>
              <w:rPr>
                <w:spacing w:val="-1"/>
                <w:position w:val="1"/>
                <w:sz w:val="20"/>
                <w:szCs w:val="20"/>
                <w:highlight w:val="none"/>
              </w:rPr>
              <w:t>22</w:t>
            </w:r>
          </w:p>
        </w:tc>
        <w:tc>
          <w:tcPr>
            <w:tcW w:w="1075" w:type="dxa"/>
            <w:vMerge w:val="continue"/>
            <w:vAlign w:val="top"/>
          </w:tcPr>
          <w:p w14:paraId="2B3CD05A">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20B518DA">
            <w:pPr>
              <w:spacing w:line="441" w:lineRule="auto"/>
              <w:rPr>
                <w:rFonts w:ascii="Arial"/>
                <w:sz w:val="21"/>
                <w:highlight w:val="none"/>
              </w:rPr>
            </w:pPr>
          </w:p>
          <w:p w14:paraId="129CEB51">
            <w:pPr>
              <w:pStyle w:val="144"/>
              <w:spacing w:before="65" w:line="227" w:lineRule="auto"/>
              <w:ind w:left="45" w:leftChars="0"/>
              <w:rPr>
                <w:rFonts w:ascii="宋体" w:hAnsi="宋体" w:eastAsia="宋体" w:cs="宋体"/>
                <w:kern w:val="2"/>
                <w:sz w:val="20"/>
                <w:szCs w:val="20"/>
                <w:highlight w:val="none"/>
                <w:lang w:val="en-US" w:eastAsia="en-US" w:bidi="ar-SA"/>
              </w:rPr>
            </w:pPr>
            <w:r>
              <w:rPr>
                <w:spacing w:val="7"/>
                <w:sz w:val="20"/>
                <w:szCs w:val="20"/>
                <w:highlight w:val="none"/>
              </w:rPr>
              <w:t>安装防撞护角/</w:t>
            </w:r>
            <w:r>
              <w:rPr>
                <w:sz w:val="20"/>
                <w:szCs w:val="20"/>
                <w:highlight w:val="none"/>
              </w:rPr>
              <w:t>防撞条、提示标识</w:t>
            </w:r>
          </w:p>
        </w:tc>
        <w:tc>
          <w:tcPr>
            <w:tcW w:w="3560" w:type="dxa"/>
            <w:shd w:val="clear" w:color="auto" w:fill="auto"/>
            <w:vAlign w:val="top"/>
          </w:tcPr>
          <w:p w14:paraId="01E5AE25">
            <w:pPr>
              <w:spacing w:line="286" w:lineRule="auto"/>
              <w:rPr>
                <w:rFonts w:ascii="Arial"/>
                <w:sz w:val="21"/>
                <w:highlight w:val="none"/>
              </w:rPr>
            </w:pPr>
          </w:p>
          <w:p w14:paraId="1F935730">
            <w:pPr>
              <w:pStyle w:val="144"/>
              <w:spacing w:before="65" w:line="289" w:lineRule="auto"/>
              <w:ind w:left="112" w:leftChars="0" w:right="82" w:rightChars="0" w:hanging="2" w:firstLineChars="0"/>
              <w:jc w:val="both"/>
              <w:rPr>
                <w:rFonts w:ascii="宋体" w:hAnsi="宋体" w:eastAsia="宋体" w:cs="宋体"/>
                <w:kern w:val="2"/>
                <w:sz w:val="20"/>
                <w:szCs w:val="20"/>
                <w:highlight w:val="none"/>
                <w:lang w:val="en-US" w:eastAsia="en-US" w:bidi="ar-SA"/>
              </w:rPr>
            </w:pPr>
            <w:r>
              <w:rPr>
                <w:spacing w:val="21"/>
                <w:sz w:val="20"/>
                <w:szCs w:val="20"/>
                <w:highlight w:val="none"/>
              </w:rPr>
              <w:t>在家具尖角或墙角安装防撞护角或者防撞条，避</w:t>
            </w:r>
            <w:r>
              <w:rPr>
                <w:spacing w:val="20"/>
                <w:sz w:val="20"/>
                <w:szCs w:val="20"/>
                <w:highlight w:val="none"/>
              </w:rPr>
              <w:t>免老年人磕碰划伤，必要时粘贴防滑条、警示条</w:t>
            </w:r>
            <w:r>
              <w:rPr>
                <w:spacing w:val="19"/>
                <w:sz w:val="20"/>
                <w:szCs w:val="20"/>
                <w:highlight w:val="none"/>
              </w:rPr>
              <w:t>等符合相关标准和老年人认知特点的提示标识。</w:t>
            </w:r>
          </w:p>
        </w:tc>
        <w:tc>
          <w:tcPr>
            <w:tcW w:w="864" w:type="dxa"/>
            <w:shd w:val="clear" w:color="auto" w:fill="auto"/>
            <w:vAlign w:val="top"/>
          </w:tcPr>
          <w:p w14:paraId="0DFF18C9">
            <w:pPr>
              <w:spacing w:line="298" w:lineRule="auto"/>
              <w:rPr>
                <w:rFonts w:ascii="Arial"/>
                <w:sz w:val="21"/>
                <w:highlight w:val="none"/>
              </w:rPr>
            </w:pPr>
          </w:p>
          <w:p w14:paraId="198254A6">
            <w:pPr>
              <w:spacing w:line="298" w:lineRule="auto"/>
              <w:rPr>
                <w:rFonts w:ascii="Arial"/>
                <w:sz w:val="21"/>
                <w:highlight w:val="none"/>
              </w:rPr>
            </w:pPr>
          </w:p>
          <w:p w14:paraId="07ACD257">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3B2ED222">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2B33B55D">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21E09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55572EAA">
            <w:pPr>
              <w:spacing w:line="393" w:lineRule="auto"/>
              <w:rPr>
                <w:rFonts w:ascii="Arial"/>
                <w:sz w:val="21"/>
                <w:highlight w:val="none"/>
              </w:rPr>
            </w:pPr>
          </w:p>
          <w:p w14:paraId="33103BB0">
            <w:pPr>
              <w:pStyle w:val="144"/>
              <w:spacing w:before="65" w:line="269" w:lineRule="exact"/>
              <w:ind w:left="223" w:leftChars="0"/>
              <w:rPr>
                <w:rFonts w:ascii="宋体" w:hAnsi="宋体" w:eastAsia="宋体" w:cs="宋体"/>
                <w:kern w:val="2"/>
                <w:sz w:val="20"/>
                <w:szCs w:val="20"/>
                <w:highlight w:val="none"/>
                <w:lang w:val="en-US" w:eastAsia="en-US" w:bidi="ar-SA"/>
              </w:rPr>
            </w:pPr>
            <w:r>
              <w:rPr>
                <w:spacing w:val="-1"/>
                <w:position w:val="1"/>
                <w:sz w:val="20"/>
                <w:szCs w:val="20"/>
                <w:highlight w:val="none"/>
              </w:rPr>
              <w:t>23</w:t>
            </w:r>
          </w:p>
        </w:tc>
        <w:tc>
          <w:tcPr>
            <w:tcW w:w="1075" w:type="dxa"/>
            <w:vMerge w:val="continue"/>
            <w:vAlign w:val="top"/>
          </w:tcPr>
          <w:p w14:paraId="44A29E15">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01263DB7">
            <w:pPr>
              <w:spacing w:line="394" w:lineRule="auto"/>
              <w:rPr>
                <w:rFonts w:ascii="Arial"/>
                <w:sz w:val="21"/>
                <w:highlight w:val="none"/>
              </w:rPr>
            </w:pPr>
          </w:p>
          <w:p w14:paraId="753BB437">
            <w:pPr>
              <w:pStyle w:val="144"/>
              <w:spacing w:before="65" w:line="228" w:lineRule="auto"/>
              <w:rPr>
                <w:rFonts w:ascii="宋体" w:hAnsi="宋体" w:eastAsia="宋体" w:cs="宋体"/>
                <w:kern w:val="2"/>
                <w:sz w:val="20"/>
                <w:szCs w:val="20"/>
                <w:highlight w:val="none"/>
                <w:lang w:val="en-US" w:eastAsia="en-US" w:bidi="ar-SA"/>
              </w:rPr>
            </w:pPr>
            <w:r>
              <w:rPr>
                <w:spacing w:val="8"/>
                <w:sz w:val="20"/>
                <w:szCs w:val="20"/>
                <w:highlight w:val="none"/>
              </w:rPr>
              <w:t>适老家具配置</w:t>
            </w:r>
          </w:p>
        </w:tc>
        <w:tc>
          <w:tcPr>
            <w:tcW w:w="3560" w:type="dxa"/>
            <w:shd w:val="clear" w:color="auto" w:fill="auto"/>
            <w:vAlign w:val="top"/>
          </w:tcPr>
          <w:p w14:paraId="17E320E4">
            <w:pPr>
              <w:spacing w:line="393" w:lineRule="auto"/>
              <w:rPr>
                <w:rFonts w:ascii="Arial"/>
                <w:sz w:val="21"/>
                <w:highlight w:val="none"/>
              </w:rPr>
            </w:pPr>
          </w:p>
          <w:p w14:paraId="6462B1AF">
            <w:pPr>
              <w:pStyle w:val="144"/>
              <w:spacing w:before="65" w:line="228" w:lineRule="auto"/>
              <w:ind w:left="134" w:leftChars="0"/>
              <w:rPr>
                <w:rFonts w:ascii="宋体" w:hAnsi="宋体" w:eastAsia="宋体" w:cs="宋体"/>
                <w:kern w:val="2"/>
                <w:sz w:val="20"/>
                <w:szCs w:val="20"/>
                <w:highlight w:val="none"/>
                <w:lang w:val="en-US" w:eastAsia="en-US" w:bidi="ar-SA"/>
              </w:rPr>
            </w:pPr>
            <w:r>
              <w:rPr>
                <w:spacing w:val="15"/>
                <w:sz w:val="20"/>
                <w:szCs w:val="20"/>
                <w:highlight w:val="none"/>
              </w:rPr>
              <w:t>比如换鞋凳、适老椅、</w:t>
            </w:r>
            <w:r>
              <w:rPr>
                <w:spacing w:val="-36"/>
                <w:sz w:val="20"/>
                <w:szCs w:val="20"/>
                <w:highlight w:val="none"/>
              </w:rPr>
              <w:t xml:space="preserve"> </w:t>
            </w:r>
            <w:r>
              <w:rPr>
                <w:spacing w:val="15"/>
                <w:sz w:val="20"/>
                <w:szCs w:val="20"/>
                <w:highlight w:val="none"/>
              </w:rPr>
              <w:t>电动升降晾衣架等。</w:t>
            </w:r>
          </w:p>
        </w:tc>
        <w:tc>
          <w:tcPr>
            <w:tcW w:w="864" w:type="dxa"/>
            <w:shd w:val="clear" w:color="auto" w:fill="auto"/>
            <w:vAlign w:val="top"/>
          </w:tcPr>
          <w:p w14:paraId="12001E43">
            <w:pPr>
              <w:spacing w:line="394" w:lineRule="auto"/>
              <w:rPr>
                <w:rFonts w:ascii="Arial"/>
                <w:sz w:val="21"/>
                <w:highlight w:val="none"/>
              </w:rPr>
            </w:pPr>
          </w:p>
          <w:p w14:paraId="2F1E2964">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0873A6EE">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37C50EDE">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6278D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2BFE7C03">
            <w:pPr>
              <w:spacing w:line="425" w:lineRule="auto"/>
              <w:rPr>
                <w:rFonts w:ascii="Arial"/>
                <w:sz w:val="21"/>
                <w:highlight w:val="none"/>
              </w:rPr>
            </w:pPr>
          </w:p>
          <w:p w14:paraId="0D01BC5D">
            <w:pPr>
              <w:pStyle w:val="144"/>
              <w:spacing w:before="65" w:line="270" w:lineRule="exact"/>
              <w:ind w:left="223" w:leftChars="0"/>
              <w:rPr>
                <w:rFonts w:ascii="宋体" w:hAnsi="宋体" w:eastAsia="宋体" w:cs="宋体"/>
                <w:kern w:val="2"/>
                <w:sz w:val="20"/>
                <w:szCs w:val="20"/>
                <w:highlight w:val="none"/>
                <w:lang w:val="en-US" w:eastAsia="en-US" w:bidi="ar-SA"/>
              </w:rPr>
            </w:pPr>
            <w:r>
              <w:rPr>
                <w:spacing w:val="-1"/>
                <w:position w:val="1"/>
                <w:sz w:val="20"/>
                <w:szCs w:val="20"/>
                <w:highlight w:val="none"/>
              </w:rPr>
              <w:t>24</w:t>
            </w:r>
          </w:p>
        </w:tc>
        <w:tc>
          <w:tcPr>
            <w:tcW w:w="1075" w:type="dxa"/>
            <w:vMerge w:val="restart"/>
            <w:vAlign w:val="top"/>
          </w:tcPr>
          <w:p w14:paraId="1D7C0D8A">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6CC0EC91">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588654DA">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052B2219">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2374F628">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3E049B49">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7BAC9469">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5433C8DC">
            <w:pPr>
              <w:pStyle w:val="144"/>
              <w:spacing w:before="65" w:line="228" w:lineRule="auto"/>
              <w:ind w:left="142"/>
              <w:rPr>
                <w:rFonts w:hint="eastAsia" w:asciiTheme="majorEastAsia" w:hAnsiTheme="majorEastAsia" w:eastAsiaTheme="majorEastAsia" w:cstheme="majorEastAsia"/>
                <w:spacing w:val="1"/>
                <w:sz w:val="20"/>
                <w:szCs w:val="20"/>
                <w:highlight w:val="none"/>
                <w:lang w:eastAsia="zh-CN"/>
              </w:rPr>
            </w:pPr>
          </w:p>
          <w:p w14:paraId="3233435B">
            <w:pPr>
              <w:pStyle w:val="144"/>
              <w:spacing w:before="65" w:line="228" w:lineRule="auto"/>
              <w:ind w:left="142"/>
              <w:rPr>
                <w:rFonts w:hint="default" w:asciiTheme="majorEastAsia" w:hAnsiTheme="majorEastAsia" w:eastAsiaTheme="majorEastAsia" w:cstheme="majorEastAsia"/>
                <w:spacing w:val="1"/>
                <w:sz w:val="20"/>
                <w:szCs w:val="20"/>
                <w:highlight w:val="none"/>
                <w:lang w:val="en-US" w:eastAsia="zh-CN"/>
              </w:rPr>
            </w:pPr>
            <w:r>
              <w:rPr>
                <w:rFonts w:hint="eastAsia" w:asciiTheme="majorEastAsia" w:hAnsiTheme="majorEastAsia" w:eastAsiaTheme="majorEastAsia" w:cstheme="majorEastAsia"/>
                <w:spacing w:val="1"/>
                <w:sz w:val="20"/>
                <w:szCs w:val="20"/>
                <w:highlight w:val="none"/>
                <w:lang w:eastAsia="zh-CN"/>
              </w:rPr>
              <w:t>（</w:t>
            </w:r>
            <w:r>
              <w:rPr>
                <w:rFonts w:hint="eastAsia" w:asciiTheme="majorEastAsia" w:hAnsiTheme="majorEastAsia" w:eastAsiaTheme="majorEastAsia" w:cstheme="majorEastAsia"/>
                <w:spacing w:val="1"/>
                <w:sz w:val="20"/>
                <w:szCs w:val="20"/>
                <w:highlight w:val="none"/>
                <w:lang w:val="en-US" w:eastAsia="zh-CN"/>
              </w:rPr>
              <w:t>七</w:t>
            </w:r>
            <w:r>
              <w:rPr>
                <w:rFonts w:hint="eastAsia" w:asciiTheme="majorEastAsia" w:hAnsiTheme="majorEastAsia" w:eastAsiaTheme="majorEastAsia" w:cstheme="majorEastAsia"/>
                <w:spacing w:val="1"/>
                <w:sz w:val="20"/>
                <w:szCs w:val="20"/>
                <w:highlight w:val="none"/>
                <w:lang w:eastAsia="zh-CN"/>
              </w:rPr>
              <w:t>）</w:t>
            </w:r>
            <w:r>
              <w:rPr>
                <w:rFonts w:hint="eastAsia" w:asciiTheme="majorEastAsia" w:hAnsiTheme="majorEastAsia" w:eastAsiaTheme="majorEastAsia" w:cstheme="majorEastAsia"/>
                <w:spacing w:val="1"/>
                <w:sz w:val="20"/>
                <w:szCs w:val="20"/>
                <w:highlight w:val="none"/>
                <w:lang w:val="en-US" w:eastAsia="zh-CN"/>
              </w:rPr>
              <w:t>老年用品改造</w:t>
            </w:r>
          </w:p>
        </w:tc>
        <w:tc>
          <w:tcPr>
            <w:tcW w:w="1055" w:type="dxa"/>
            <w:shd w:val="clear" w:color="auto" w:fill="auto"/>
            <w:vAlign w:val="top"/>
          </w:tcPr>
          <w:p w14:paraId="4FEE4EAB">
            <w:pPr>
              <w:spacing w:line="425" w:lineRule="auto"/>
              <w:rPr>
                <w:rFonts w:ascii="Arial"/>
                <w:sz w:val="21"/>
                <w:highlight w:val="none"/>
              </w:rPr>
            </w:pPr>
          </w:p>
          <w:p w14:paraId="7A2EFB32">
            <w:pPr>
              <w:pStyle w:val="144"/>
              <w:spacing w:before="65" w:line="228" w:lineRule="auto"/>
              <w:rPr>
                <w:rFonts w:ascii="宋体" w:hAnsi="宋体" w:eastAsia="宋体" w:cs="宋体"/>
                <w:kern w:val="2"/>
                <w:sz w:val="20"/>
                <w:szCs w:val="20"/>
                <w:highlight w:val="none"/>
                <w:lang w:val="en-US" w:eastAsia="en-US" w:bidi="ar-SA"/>
              </w:rPr>
            </w:pPr>
            <w:r>
              <w:rPr>
                <w:spacing w:val="4"/>
                <w:sz w:val="20"/>
                <w:szCs w:val="20"/>
                <w:highlight w:val="none"/>
              </w:rPr>
              <w:t>手杖</w:t>
            </w:r>
          </w:p>
        </w:tc>
        <w:tc>
          <w:tcPr>
            <w:tcW w:w="3560" w:type="dxa"/>
            <w:shd w:val="clear" w:color="auto" w:fill="auto"/>
            <w:vAlign w:val="top"/>
          </w:tcPr>
          <w:p w14:paraId="3BF9EC6F">
            <w:pPr>
              <w:spacing w:line="271" w:lineRule="auto"/>
              <w:rPr>
                <w:rFonts w:ascii="Arial"/>
                <w:sz w:val="21"/>
                <w:highlight w:val="none"/>
              </w:rPr>
            </w:pPr>
          </w:p>
          <w:p w14:paraId="7B9E98AB">
            <w:pPr>
              <w:pStyle w:val="144"/>
              <w:spacing w:before="65" w:line="289" w:lineRule="auto"/>
              <w:ind w:left="112" w:leftChars="0" w:right="72" w:rightChars="0"/>
              <w:rPr>
                <w:rFonts w:ascii="宋体" w:hAnsi="宋体" w:eastAsia="宋体" w:cs="宋体"/>
                <w:kern w:val="2"/>
                <w:sz w:val="20"/>
                <w:szCs w:val="20"/>
                <w:highlight w:val="none"/>
                <w:lang w:val="en-US" w:eastAsia="en-US" w:bidi="ar-SA"/>
              </w:rPr>
            </w:pPr>
            <w:r>
              <w:rPr>
                <w:spacing w:val="13"/>
                <w:sz w:val="20"/>
                <w:szCs w:val="20"/>
                <w:highlight w:val="none"/>
              </w:rPr>
              <w:t>辅助老年人平稳站立和行走，包含三脚或四脚手</w:t>
            </w:r>
            <w:r>
              <w:rPr>
                <w:spacing w:val="14"/>
                <w:sz w:val="20"/>
                <w:szCs w:val="20"/>
                <w:highlight w:val="none"/>
              </w:rPr>
              <w:t>杖、凳拐等。</w:t>
            </w:r>
          </w:p>
        </w:tc>
        <w:tc>
          <w:tcPr>
            <w:tcW w:w="864" w:type="dxa"/>
            <w:shd w:val="clear" w:color="auto" w:fill="auto"/>
            <w:vAlign w:val="top"/>
          </w:tcPr>
          <w:p w14:paraId="4C4CBC7F">
            <w:pPr>
              <w:spacing w:line="426" w:lineRule="auto"/>
              <w:rPr>
                <w:rFonts w:ascii="Arial"/>
                <w:sz w:val="21"/>
                <w:highlight w:val="none"/>
              </w:rPr>
            </w:pPr>
          </w:p>
          <w:p w14:paraId="5C10FAF3">
            <w:pPr>
              <w:pStyle w:val="144"/>
              <w:spacing w:before="65" w:line="233" w:lineRule="auto"/>
              <w:ind w:firstLine="208" w:firstLineChars="100"/>
              <w:rPr>
                <w:rFonts w:ascii="宋体" w:hAnsi="宋体" w:eastAsia="宋体" w:cs="宋体"/>
                <w:kern w:val="2"/>
                <w:sz w:val="20"/>
                <w:szCs w:val="20"/>
                <w:highlight w:val="none"/>
                <w:lang w:val="en-US" w:eastAsia="en-US" w:bidi="ar-SA"/>
              </w:rPr>
            </w:pPr>
            <w:r>
              <w:rPr>
                <w:spacing w:val="4"/>
                <w:sz w:val="20"/>
                <w:szCs w:val="20"/>
                <w:highlight w:val="none"/>
              </w:rPr>
              <w:t>基础</w:t>
            </w:r>
          </w:p>
        </w:tc>
        <w:tc>
          <w:tcPr>
            <w:tcW w:w="864" w:type="dxa"/>
            <w:vAlign w:val="top"/>
          </w:tcPr>
          <w:p w14:paraId="6FA510BE">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25FBB6FE">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331C7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6DCDFFA0">
            <w:pPr>
              <w:spacing w:line="421" w:lineRule="auto"/>
              <w:rPr>
                <w:rFonts w:ascii="Arial"/>
                <w:sz w:val="21"/>
                <w:highlight w:val="none"/>
              </w:rPr>
            </w:pPr>
          </w:p>
          <w:p w14:paraId="46055332">
            <w:pPr>
              <w:pStyle w:val="144"/>
              <w:spacing w:before="65" w:line="268" w:lineRule="exact"/>
              <w:ind w:left="223" w:leftChars="0"/>
              <w:rPr>
                <w:rFonts w:ascii="宋体" w:hAnsi="宋体" w:eastAsia="宋体" w:cs="宋体"/>
                <w:kern w:val="2"/>
                <w:sz w:val="20"/>
                <w:szCs w:val="20"/>
                <w:highlight w:val="none"/>
                <w:lang w:val="en-US" w:eastAsia="en-US" w:bidi="ar-SA"/>
              </w:rPr>
            </w:pPr>
            <w:r>
              <w:rPr>
                <w:spacing w:val="-1"/>
                <w:position w:val="1"/>
                <w:sz w:val="20"/>
                <w:szCs w:val="20"/>
                <w:highlight w:val="none"/>
              </w:rPr>
              <w:t>25</w:t>
            </w:r>
          </w:p>
        </w:tc>
        <w:tc>
          <w:tcPr>
            <w:tcW w:w="1075" w:type="dxa"/>
            <w:vMerge w:val="continue"/>
            <w:vAlign w:val="top"/>
          </w:tcPr>
          <w:p w14:paraId="0FF260C4">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7A27CCD4">
            <w:pPr>
              <w:spacing w:line="421" w:lineRule="auto"/>
              <w:rPr>
                <w:rFonts w:ascii="Arial"/>
                <w:sz w:val="21"/>
                <w:highlight w:val="none"/>
              </w:rPr>
            </w:pPr>
          </w:p>
          <w:p w14:paraId="3ABB6BEE">
            <w:pPr>
              <w:pStyle w:val="144"/>
              <w:spacing w:before="65" w:line="228" w:lineRule="auto"/>
              <w:rPr>
                <w:rFonts w:ascii="宋体" w:hAnsi="宋体" w:eastAsia="宋体" w:cs="宋体"/>
                <w:kern w:val="2"/>
                <w:sz w:val="20"/>
                <w:szCs w:val="20"/>
                <w:highlight w:val="none"/>
                <w:lang w:val="en-US" w:eastAsia="en-US" w:bidi="ar-SA"/>
              </w:rPr>
            </w:pPr>
            <w:r>
              <w:rPr>
                <w:spacing w:val="7"/>
                <w:sz w:val="20"/>
                <w:szCs w:val="20"/>
                <w:highlight w:val="none"/>
              </w:rPr>
              <w:t>轮椅/助行器</w:t>
            </w:r>
          </w:p>
        </w:tc>
        <w:tc>
          <w:tcPr>
            <w:tcW w:w="3560" w:type="dxa"/>
            <w:shd w:val="clear" w:color="auto" w:fill="auto"/>
            <w:vAlign w:val="top"/>
          </w:tcPr>
          <w:p w14:paraId="5BD3EEB7">
            <w:pPr>
              <w:spacing w:line="266" w:lineRule="auto"/>
              <w:rPr>
                <w:rFonts w:ascii="Arial"/>
                <w:sz w:val="21"/>
                <w:highlight w:val="none"/>
              </w:rPr>
            </w:pPr>
          </w:p>
          <w:p w14:paraId="05DC7F39">
            <w:pPr>
              <w:pStyle w:val="144"/>
              <w:spacing w:before="65" w:line="289" w:lineRule="auto"/>
              <w:ind w:left="111" w:leftChars="0" w:right="20" w:rightChars="0" w:firstLine="1" w:firstLineChars="0"/>
              <w:rPr>
                <w:rFonts w:ascii="宋体" w:hAnsi="宋体" w:eastAsia="宋体" w:cs="宋体"/>
                <w:kern w:val="2"/>
                <w:sz w:val="20"/>
                <w:szCs w:val="20"/>
                <w:highlight w:val="none"/>
                <w:lang w:val="en-US" w:eastAsia="en-US" w:bidi="ar-SA"/>
              </w:rPr>
            </w:pPr>
            <w:r>
              <w:rPr>
                <w:spacing w:val="18"/>
                <w:sz w:val="20"/>
                <w:szCs w:val="20"/>
                <w:highlight w:val="none"/>
              </w:rPr>
              <w:t>辅助家人、照护人员推行/帮助老年人站立行走，</w:t>
            </w:r>
            <w:r>
              <w:rPr>
                <w:spacing w:val="17"/>
                <w:sz w:val="20"/>
                <w:szCs w:val="20"/>
                <w:highlight w:val="none"/>
              </w:rPr>
              <w:t>扩大老年人活动空间。</w:t>
            </w:r>
          </w:p>
        </w:tc>
        <w:tc>
          <w:tcPr>
            <w:tcW w:w="864" w:type="dxa"/>
            <w:shd w:val="clear" w:color="auto" w:fill="auto"/>
            <w:vAlign w:val="top"/>
          </w:tcPr>
          <w:p w14:paraId="021A2513">
            <w:pPr>
              <w:spacing w:line="421" w:lineRule="auto"/>
              <w:rPr>
                <w:rFonts w:ascii="Arial"/>
                <w:sz w:val="21"/>
                <w:highlight w:val="none"/>
              </w:rPr>
            </w:pPr>
          </w:p>
          <w:p w14:paraId="12B33DAA">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0FD4AF7E">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603DFA12">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4B0E6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415D8D3B">
            <w:pPr>
              <w:spacing w:line="423" w:lineRule="auto"/>
              <w:rPr>
                <w:rFonts w:ascii="Arial"/>
                <w:sz w:val="21"/>
                <w:highlight w:val="none"/>
              </w:rPr>
            </w:pPr>
          </w:p>
          <w:p w14:paraId="09BEBCB4">
            <w:pPr>
              <w:pStyle w:val="144"/>
              <w:spacing w:before="65" w:line="269" w:lineRule="exact"/>
              <w:ind w:left="223" w:leftChars="0"/>
              <w:rPr>
                <w:rFonts w:ascii="宋体" w:hAnsi="宋体" w:eastAsia="宋体" w:cs="宋体"/>
                <w:kern w:val="2"/>
                <w:sz w:val="20"/>
                <w:szCs w:val="20"/>
                <w:highlight w:val="none"/>
                <w:lang w:val="en-US" w:eastAsia="en-US" w:bidi="ar-SA"/>
              </w:rPr>
            </w:pPr>
            <w:r>
              <w:rPr>
                <w:spacing w:val="-1"/>
                <w:position w:val="1"/>
                <w:sz w:val="20"/>
                <w:szCs w:val="20"/>
                <w:highlight w:val="none"/>
              </w:rPr>
              <w:t>26</w:t>
            </w:r>
          </w:p>
        </w:tc>
        <w:tc>
          <w:tcPr>
            <w:tcW w:w="1075" w:type="dxa"/>
            <w:vMerge w:val="continue"/>
            <w:vAlign w:val="top"/>
          </w:tcPr>
          <w:p w14:paraId="5F50514B">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13B90027">
            <w:pPr>
              <w:pStyle w:val="144"/>
              <w:spacing w:before="65" w:line="228" w:lineRule="auto"/>
              <w:rPr>
                <w:spacing w:val="7"/>
                <w:sz w:val="20"/>
                <w:szCs w:val="20"/>
                <w:highlight w:val="none"/>
              </w:rPr>
            </w:pPr>
          </w:p>
          <w:p w14:paraId="6568EE4F">
            <w:pPr>
              <w:pStyle w:val="144"/>
              <w:spacing w:before="65" w:line="228" w:lineRule="auto"/>
              <w:rPr>
                <w:rFonts w:ascii="宋体" w:hAnsi="宋体" w:eastAsia="宋体" w:cs="宋体"/>
                <w:kern w:val="2"/>
                <w:sz w:val="20"/>
                <w:szCs w:val="20"/>
                <w:highlight w:val="none"/>
                <w:lang w:val="en-US" w:eastAsia="en-US" w:bidi="ar-SA"/>
              </w:rPr>
            </w:pPr>
            <w:r>
              <w:rPr>
                <w:spacing w:val="7"/>
                <w:sz w:val="20"/>
                <w:szCs w:val="20"/>
                <w:highlight w:val="none"/>
              </w:rPr>
              <w:t>放大装置</w:t>
            </w:r>
          </w:p>
        </w:tc>
        <w:tc>
          <w:tcPr>
            <w:tcW w:w="3560" w:type="dxa"/>
            <w:shd w:val="clear" w:color="auto" w:fill="auto"/>
            <w:vAlign w:val="top"/>
          </w:tcPr>
          <w:p w14:paraId="754E0AF7">
            <w:pPr>
              <w:spacing w:line="268" w:lineRule="auto"/>
              <w:rPr>
                <w:rFonts w:ascii="Arial"/>
                <w:sz w:val="21"/>
                <w:highlight w:val="none"/>
              </w:rPr>
            </w:pPr>
          </w:p>
          <w:p w14:paraId="27BC07FF">
            <w:pPr>
              <w:pStyle w:val="144"/>
              <w:spacing w:before="65" w:line="290" w:lineRule="auto"/>
              <w:ind w:left="112" w:leftChars="0" w:right="72" w:rightChars="0" w:hanging="1" w:firstLineChars="0"/>
              <w:rPr>
                <w:rFonts w:ascii="宋体" w:hAnsi="宋体" w:eastAsia="宋体" w:cs="宋体"/>
                <w:kern w:val="2"/>
                <w:sz w:val="20"/>
                <w:szCs w:val="20"/>
                <w:highlight w:val="none"/>
                <w:lang w:val="en-US" w:eastAsia="en-US" w:bidi="ar-SA"/>
              </w:rPr>
            </w:pPr>
            <w:r>
              <w:rPr>
                <w:spacing w:val="16"/>
                <w:sz w:val="20"/>
                <w:szCs w:val="20"/>
                <w:highlight w:val="none"/>
              </w:rPr>
              <w:t>运用光学/电子原理进行影像放大，方便老</w:t>
            </w:r>
            <w:r>
              <w:rPr>
                <w:spacing w:val="15"/>
                <w:sz w:val="20"/>
                <w:szCs w:val="20"/>
                <w:highlight w:val="none"/>
              </w:rPr>
              <w:t>年人使</w:t>
            </w:r>
            <w:r>
              <w:rPr>
                <w:spacing w:val="-1"/>
                <w:sz w:val="20"/>
                <w:szCs w:val="20"/>
                <w:highlight w:val="none"/>
              </w:rPr>
              <w:t>用。</w:t>
            </w:r>
          </w:p>
        </w:tc>
        <w:tc>
          <w:tcPr>
            <w:tcW w:w="864" w:type="dxa"/>
            <w:shd w:val="clear" w:color="auto" w:fill="auto"/>
            <w:vAlign w:val="top"/>
          </w:tcPr>
          <w:p w14:paraId="73E8EA5A">
            <w:pPr>
              <w:spacing w:line="423" w:lineRule="auto"/>
              <w:rPr>
                <w:rFonts w:ascii="Arial"/>
                <w:sz w:val="21"/>
                <w:highlight w:val="none"/>
              </w:rPr>
            </w:pPr>
          </w:p>
          <w:p w14:paraId="67F795AB">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3F38BD4B">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2AAE684B">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17061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306470B4">
            <w:pPr>
              <w:spacing w:line="422" w:lineRule="auto"/>
              <w:rPr>
                <w:rFonts w:ascii="Arial"/>
                <w:sz w:val="21"/>
                <w:highlight w:val="none"/>
              </w:rPr>
            </w:pPr>
          </w:p>
          <w:p w14:paraId="78EDD614">
            <w:pPr>
              <w:pStyle w:val="144"/>
              <w:spacing w:before="65" w:line="269" w:lineRule="exact"/>
              <w:ind w:left="223" w:leftChars="0"/>
              <w:rPr>
                <w:rFonts w:ascii="宋体" w:hAnsi="宋体" w:eastAsia="宋体" w:cs="宋体"/>
                <w:kern w:val="2"/>
                <w:sz w:val="20"/>
                <w:szCs w:val="20"/>
                <w:highlight w:val="none"/>
                <w:lang w:val="en-US" w:eastAsia="en-US" w:bidi="ar-SA"/>
              </w:rPr>
            </w:pPr>
            <w:r>
              <w:rPr>
                <w:spacing w:val="-1"/>
                <w:position w:val="1"/>
                <w:sz w:val="20"/>
                <w:szCs w:val="20"/>
                <w:highlight w:val="none"/>
              </w:rPr>
              <w:t>27</w:t>
            </w:r>
          </w:p>
        </w:tc>
        <w:tc>
          <w:tcPr>
            <w:tcW w:w="1075" w:type="dxa"/>
            <w:vMerge w:val="continue"/>
            <w:vAlign w:val="top"/>
          </w:tcPr>
          <w:p w14:paraId="72487B42">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140CE395">
            <w:pPr>
              <w:spacing w:line="289" w:lineRule="auto"/>
              <w:rPr>
                <w:rFonts w:ascii="Arial"/>
                <w:sz w:val="21"/>
                <w:highlight w:val="none"/>
              </w:rPr>
            </w:pPr>
          </w:p>
          <w:p w14:paraId="5B4C0004">
            <w:pPr>
              <w:spacing w:line="289" w:lineRule="auto"/>
              <w:rPr>
                <w:rFonts w:ascii="Arial"/>
                <w:sz w:val="21"/>
                <w:highlight w:val="none"/>
              </w:rPr>
            </w:pPr>
          </w:p>
          <w:p w14:paraId="6F10F2D8">
            <w:pPr>
              <w:pStyle w:val="144"/>
              <w:spacing w:before="65" w:line="228" w:lineRule="auto"/>
              <w:rPr>
                <w:rFonts w:ascii="宋体" w:hAnsi="宋体" w:eastAsia="宋体" w:cs="宋体"/>
                <w:kern w:val="2"/>
                <w:sz w:val="20"/>
                <w:szCs w:val="20"/>
                <w:highlight w:val="none"/>
                <w:lang w:val="en-US" w:eastAsia="en-US" w:bidi="ar-SA"/>
              </w:rPr>
            </w:pPr>
            <w:r>
              <w:rPr>
                <w:spacing w:val="6"/>
                <w:sz w:val="20"/>
                <w:szCs w:val="20"/>
                <w:highlight w:val="none"/>
              </w:rPr>
              <w:t>助听器</w:t>
            </w:r>
          </w:p>
        </w:tc>
        <w:tc>
          <w:tcPr>
            <w:tcW w:w="3560" w:type="dxa"/>
            <w:shd w:val="clear" w:color="auto" w:fill="auto"/>
            <w:vAlign w:val="top"/>
          </w:tcPr>
          <w:p w14:paraId="1710BFF6">
            <w:pPr>
              <w:pStyle w:val="144"/>
              <w:spacing w:before="178" w:line="289" w:lineRule="auto"/>
              <w:ind w:left="111" w:leftChars="0" w:right="82" w:rightChars="0" w:firstLine="4" w:firstLineChars="0"/>
              <w:jc w:val="both"/>
              <w:rPr>
                <w:rFonts w:ascii="宋体" w:hAnsi="宋体" w:eastAsia="宋体" w:cs="宋体"/>
                <w:kern w:val="2"/>
                <w:sz w:val="20"/>
                <w:szCs w:val="20"/>
                <w:highlight w:val="none"/>
                <w:lang w:val="en-US" w:eastAsia="en-US" w:bidi="ar-SA"/>
              </w:rPr>
            </w:pPr>
            <w:r>
              <w:rPr>
                <w:spacing w:val="20"/>
                <w:sz w:val="20"/>
                <w:szCs w:val="20"/>
                <w:highlight w:val="none"/>
              </w:rPr>
              <w:t>帮助老年人听清声音来源，增加与周围的交流，</w:t>
            </w:r>
            <w:r>
              <w:rPr>
                <w:spacing w:val="21"/>
                <w:sz w:val="20"/>
                <w:szCs w:val="20"/>
                <w:highlight w:val="none"/>
              </w:rPr>
              <w:t>包括盒式助听器、耳内助听器、耳背助听器</w:t>
            </w:r>
            <w:r>
              <w:rPr>
                <w:spacing w:val="20"/>
                <w:sz w:val="20"/>
                <w:szCs w:val="20"/>
                <w:highlight w:val="none"/>
              </w:rPr>
              <w:t>、骨</w:t>
            </w:r>
            <w:r>
              <w:rPr>
                <w:spacing w:val="14"/>
                <w:sz w:val="20"/>
                <w:szCs w:val="20"/>
                <w:highlight w:val="none"/>
              </w:rPr>
              <w:t>导助听器等。</w:t>
            </w:r>
          </w:p>
        </w:tc>
        <w:tc>
          <w:tcPr>
            <w:tcW w:w="864" w:type="dxa"/>
            <w:shd w:val="clear" w:color="auto" w:fill="auto"/>
            <w:vAlign w:val="top"/>
          </w:tcPr>
          <w:p w14:paraId="38ACD341">
            <w:pPr>
              <w:spacing w:line="316" w:lineRule="auto"/>
              <w:rPr>
                <w:rFonts w:ascii="Arial"/>
                <w:sz w:val="21"/>
                <w:highlight w:val="none"/>
              </w:rPr>
            </w:pPr>
          </w:p>
          <w:p w14:paraId="2C644EBE">
            <w:pPr>
              <w:spacing w:line="317" w:lineRule="auto"/>
              <w:rPr>
                <w:rFonts w:ascii="Arial"/>
                <w:sz w:val="21"/>
                <w:highlight w:val="none"/>
              </w:rPr>
            </w:pPr>
          </w:p>
          <w:p w14:paraId="082B6EFA">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708DEF48">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55942372">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3BA61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474" w:type="dxa"/>
            <w:shd w:val="clear" w:color="auto" w:fill="auto"/>
            <w:vAlign w:val="top"/>
          </w:tcPr>
          <w:p w14:paraId="0A225A0B">
            <w:pPr>
              <w:spacing w:line="423" w:lineRule="auto"/>
              <w:rPr>
                <w:rFonts w:ascii="Arial"/>
                <w:sz w:val="21"/>
                <w:highlight w:val="none"/>
              </w:rPr>
            </w:pPr>
          </w:p>
          <w:p w14:paraId="166F0FAA">
            <w:pPr>
              <w:pStyle w:val="144"/>
              <w:spacing w:before="65" w:line="268" w:lineRule="exact"/>
              <w:ind w:left="223" w:leftChars="0"/>
              <w:rPr>
                <w:rFonts w:ascii="宋体" w:hAnsi="宋体" w:eastAsia="宋体" w:cs="宋体"/>
                <w:kern w:val="2"/>
                <w:sz w:val="20"/>
                <w:szCs w:val="20"/>
                <w:highlight w:val="none"/>
                <w:lang w:val="en-US" w:eastAsia="en-US" w:bidi="ar-SA"/>
              </w:rPr>
            </w:pPr>
            <w:r>
              <w:rPr>
                <w:spacing w:val="-1"/>
                <w:position w:val="1"/>
                <w:sz w:val="20"/>
                <w:szCs w:val="20"/>
                <w:highlight w:val="none"/>
              </w:rPr>
              <w:t>28</w:t>
            </w:r>
          </w:p>
        </w:tc>
        <w:tc>
          <w:tcPr>
            <w:tcW w:w="1075" w:type="dxa"/>
            <w:vMerge w:val="continue"/>
            <w:vAlign w:val="top"/>
          </w:tcPr>
          <w:p w14:paraId="66FB6ED3">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5448A6AF">
            <w:pPr>
              <w:spacing w:line="423" w:lineRule="auto"/>
              <w:rPr>
                <w:rFonts w:ascii="Arial"/>
                <w:sz w:val="21"/>
                <w:highlight w:val="none"/>
              </w:rPr>
            </w:pPr>
          </w:p>
          <w:p w14:paraId="557D5F68">
            <w:pPr>
              <w:pStyle w:val="144"/>
              <w:spacing w:before="65" w:line="228" w:lineRule="auto"/>
              <w:rPr>
                <w:rFonts w:ascii="宋体" w:hAnsi="宋体" w:eastAsia="宋体" w:cs="宋体"/>
                <w:kern w:val="2"/>
                <w:sz w:val="20"/>
                <w:szCs w:val="20"/>
                <w:highlight w:val="none"/>
                <w:lang w:val="en-US" w:eastAsia="en-US" w:bidi="ar-SA"/>
              </w:rPr>
            </w:pPr>
            <w:r>
              <w:rPr>
                <w:spacing w:val="2"/>
                <w:sz w:val="20"/>
                <w:szCs w:val="20"/>
                <w:highlight w:val="none"/>
              </w:rPr>
              <w:t>自助进食器具</w:t>
            </w:r>
          </w:p>
        </w:tc>
        <w:tc>
          <w:tcPr>
            <w:tcW w:w="3560" w:type="dxa"/>
            <w:shd w:val="clear" w:color="auto" w:fill="auto"/>
            <w:vAlign w:val="top"/>
          </w:tcPr>
          <w:p w14:paraId="59B2F5F3">
            <w:pPr>
              <w:spacing w:line="268" w:lineRule="auto"/>
              <w:rPr>
                <w:rFonts w:ascii="Arial"/>
                <w:sz w:val="21"/>
                <w:highlight w:val="none"/>
              </w:rPr>
            </w:pPr>
          </w:p>
          <w:p w14:paraId="0C1DD2D6">
            <w:pPr>
              <w:pStyle w:val="144"/>
              <w:spacing w:before="65" w:line="289" w:lineRule="auto"/>
              <w:ind w:left="148" w:leftChars="0" w:right="72" w:rightChars="0" w:hanging="35" w:firstLineChars="0"/>
              <w:rPr>
                <w:rFonts w:ascii="宋体" w:hAnsi="宋体" w:eastAsia="宋体" w:cs="宋体"/>
                <w:kern w:val="2"/>
                <w:sz w:val="20"/>
                <w:szCs w:val="20"/>
                <w:highlight w:val="none"/>
                <w:lang w:val="en-US" w:eastAsia="en-US" w:bidi="ar-SA"/>
              </w:rPr>
            </w:pPr>
            <w:r>
              <w:rPr>
                <w:spacing w:val="12"/>
                <w:sz w:val="20"/>
                <w:szCs w:val="20"/>
                <w:highlight w:val="none"/>
              </w:rPr>
              <w:t>辅助老年人进食，包括防洒碗(盘)、助食弯柄勺</w:t>
            </w:r>
            <w:r>
              <w:rPr>
                <w:spacing w:val="6"/>
                <w:sz w:val="20"/>
                <w:szCs w:val="20"/>
                <w:highlight w:val="none"/>
              </w:rPr>
              <w:t>(叉)/饮水杯(壶)等</w:t>
            </w:r>
            <w:r>
              <w:rPr>
                <w:spacing w:val="30"/>
                <w:sz w:val="20"/>
                <w:szCs w:val="20"/>
                <w:highlight w:val="none"/>
              </w:rPr>
              <w:t xml:space="preserve"> </w:t>
            </w:r>
            <w:r>
              <w:rPr>
                <w:spacing w:val="6"/>
                <w:sz w:val="20"/>
                <w:szCs w:val="20"/>
                <w:highlight w:val="none"/>
              </w:rPr>
              <w:t>。</w:t>
            </w:r>
          </w:p>
        </w:tc>
        <w:tc>
          <w:tcPr>
            <w:tcW w:w="864" w:type="dxa"/>
            <w:shd w:val="clear" w:color="auto" w:fill="auto"/>
            <w:vAlign w:val="top"/>
          </w:tcPr>
          <w:p w14:paraId="5D4A8BB1">
            <w:pPr>
              <w:spacing w:line="423" w:lineRule="auto"/>
              <w:rPr>
                <w:rFonts w:ascii="Arial"/>
                <w:sz w:val="21"/>
                <w:highlight w:val="none"/>
              </w:rPr>
            </w:pPr>
          </w:p>
          <w:p w14:paraId="4CD6DC69">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864" w:type="dxa"/>
            <w:vAlign w:val="top"/>
          </w:tcPr>
          <w:p w14:paraId="38EA78E8">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107C24C5">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78060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74" w:type="dxa"/>
            <w:shd w:val="clear" w:color="auto" w:fill="auto"/>
            <w:vAlign w:val="top"/>
          </w:tcPr>
          <w:p w14:paraId="3451AB1A">
            <w:pPr>
              <w:spacing w:line="425" w:lineRule="auto"/>
              <w:rPr>
                <w:rFonts w:ascii="Arial"/>
                <w:sz w:val="21"/>
                <w:highlight w:val="none"/>
              </w:rPr>
            </w:pPr>
          </w:p>
          <w:p w14:paraId="001DF37F">
            <w:pPr>
              <w:pStyle w:val="144"/>
              <w:spacing w:before="65" w:line="269" w:lineRule="exact"/>
              <w:ind w:left="223" w:leftChars="0"/>
              <w:rPr>
                <w:rFonts w:ascii="宋体" w:hAnsi="宋体" w:eastAsia="宋体" w:cs="宋体"/>
                <w:kern w:val="2"/>
                <w:sz w:val="20"/>
                <w:szCs w:val="20"/>
                <w:highlight w:val="none"/>
                <w:lang w:val="en-US" w:eastAsia="en-US" w:bidi="ar-SA"/>
              </w:rPr>
            </w:pPr>
            <w:r>
              <w:rPr>
                <w:spacing w:val="-1"/>
                <w:position w:val="1"/>
                <w:sz w:val="20"/>
                <w:szCs w:val="20"/>
                <w:highlight w:val="none"/>
              </w:rPr>
              <w:t>29</w:t>
            </w:r>
          </w:p>
        </w:tc>
        <w:tc>
          <w:tcPr>
            <w:tcW w:w="1075" w:type="dxa"/>
            <w:vMerge w:val="continue"/>
            <w:vAlign w:val="top"/>
          </w:tcPr>
          <w:p w14:paraId="572668FF">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1055" w:type="dxa"/>
            <w:shd w:val="clear" w:color="auto" w:fill="auto"/>
            <w:vAlign w:val="top"/>
          </w:tcPr>
          <w:p w14:paraId="7E32983A">
            <w:pPr>
              <w:spacing w:line="290" w:lineRule="auto"/>
              <w:rPr>
                <w:rFonts w:ascii="Arial"/>
                <w:sz w:val="21"/>
                <w:highlight w:val="none"/>
              </w:rPr>
            </w:pPr>
          </w:p>
          <w:p w14:paraId="017320A8">
            <w:pPr>
              <w:pStyle w:val="144"/>
              <w:spacing w:before="65" w:line="228" w:lineRule="auto"/>
              <w:rPr>
                <w:rFonts w:ascii="宋体" w:hAnsi="宋体" w:eastAsia="宋体" w:cs="宋体"/>
                <w:kern w:val="2"/>
                <w:sz w:val="20"/>
                <w:szCs w:val="20"/>
                <w:highlight w:val="none"/>
                <w:lang w:val="en-US" w:eastAsia="en-US" w:bidi="ar-SA"/>
              </w:rPr>
            </w:pPr>
            <w:r>
              <w:rPr>
                <w:spacing w:val="5"/>
                <w:sz w:val="20"/>
                <w:szCs w:val="20"/>
                <w:highlight w:val="none"/>
              </w:rPr>
              <w:t>防走失装置</w:t>
            </w:r>
          </w:p>
        </w:tc>
        <w:tc>
          <w:tcPr>
            <w:tcW w:w="3560" w:type="dxa"/>
            <w:shd w:val="clear" w:color="auto" w:fill="auto"/>
            <w:vAlign w:val="top"/>
          </w:tcPr>
          <w:p w14:paraId="5471C040">
            <w:pPr>
              <w:pStyle w:val="144"/>
              <w:spacing w:before="181" w:line="227" w:lineRule="auto"/>
              <w:ind w:left="113" w:leftChars="0"/>
              <w:rPr>
                <w:rFonts w:ascii="宋体" w:hAnsi="宋体" w:eastAsia="宋体" w:cs="宋体"/>
                <w:kern w:val="2"/>
                <w:sz w:val="20"/>
                <w:szCs w:val="20"/>
                <w:highlight w:val="none"/>
                <w:lang w:val="en-US" w:eastAsia="en-US" w:bidi="ar-SA"/>
              </w:rPr>
            </w:pPr>
            <w:r>
              <w:rPr>
                <w:spacing w:val="20"/>
                <w:sz w:val="20"/>
                <w:szCs w:val="20"/>
                <w:highlight w:val="none"/>
              </w:rPr>
              <w:t>用于监测失智老年人或其他精神障碍老年人定</w:t>
            </w:r>
            <w:r>
              <w:rPr>
                <w:spacing w:val="19"/>
                <w:sz w:val="20"/>
                <w:szCs w:val="20"/>
                <w:highlight w:val="none"/>
              </w:rPr>
              <w:t>位，避免老年人走失</w:t>
            </w:r>
            <w:r>
              <w:rPr>
                <w:spacing w:val="-60"/>
                <w:sz w:val="20"/>
                <w:szCs w:val="20"/>
                <w:highlight w:val="none"/>
              </w:rPr>
              <w:t xml:space="preserve"> </w:t>
            </w:r>
            <w:r>
              <w:rPr>
                <w:spacing w:val="19"/>
                <w:sz w:val="20"/>
                <w:szCs w:val="20"/>
                <w:highlight w:val="none"/>
              </w:rPr>
              <w:t>。包括防走失手环、防走失</w:t>
            </w:r>
            <w:r>
              <w:rPr>
                <w:spacing w:val="11"/>
                <w:sz w:val="20"/>
                <w:szCs w:val="20"/>
                <w:highlight w:val="none"/>
              </w:rPr>
              <w:t>胸卡等。</w:t>
            </w:r>
          </w:p>
        </w:tc>
        <w:tc>
          <w:tcPr>
            <w:tcW w:w="864" w:type="dxa"/>
            <w:shd w:val="clear" w:color="auto" w:fill="auto"/>
            <w:vAlign w:val="top"/>
          </w:tcPr>
          <w:p w14:paraId="28FFFF4D">
            <w:pPr>
              <w:spacing w:line="317" w:lineRule="auto"/>
              <w:rPr>
                <w:rFonts w:ascii="Arial"/>
                <w:sz w:val="21"/>
                <w:highlight w:val="none"/>
              </w:rPr>
            </w:pPr>
          </w:p>
          <w:p w14:paraId="7226707A">
            <w:pPr>
              <w:spacing w:line="318" w:lineRule="auto"/>
              <w:rPr>
                <w:rFonts w:ascii="Arial"/>
                <w:sz w:val="21"/>
                <w:highlight w:val="none"/>
              </w:rPr>
            </w:pPr>
          </w:p>
          <w:p w14:paraId="1EE2988D">
            <w:pPr>
              <w:pStyle w:val="144"/>
              <w:spacing w:before="65" w:line="233" w:lineRule="auto"/>
              <w:ind w:firstLine="208" w:firstLineChars="100"/>
              <w:rPr>
                <w:rFonts w:ascii="宋体" w:hAnsi="宋体" w:eastAsia="宋体" w:cs="宋体"/>
                <w:kern w:val="2"/>
                <w:sz w:val="20"/>
                <w:szCs w:val="20"/>
                <w:highlight w:val="none"/>
                <w:lang w:val="en-US" w:eastAsia="en-US" w:bidi="ar-SA"/>
              </w:rPr>
            </w:pPr>
            <w:r>
              <w:rPr>
                <w:spacing w:val="4"/>
                <w:sz w:val="20"/>
                <w:szCs w:val="20"/>
                <w:highlight w:val="none"/>
              </w:rPr>
              <w:t>基础</w:t>
            </w:r>
          </w:p>
        </w:tc>
        <w:tc>
          <w:tcPr>
            <w:tcW w:w="864" w:type="dxa"/>
            <w:vAlign w:val="top"/>
          </w:tcPr>
          <w:p w14:paraId="21624F4B">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864" w:type="dxa"/>
            <w:vAlign w:val="top"/>
          </w:tcPr>
          <w:p w14:paraId="24DA435D">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493BD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0" w:type="auto"/>
            <w:shd w:val="clear" w:color="auto" w:fill="auto"/>
            <w:vAlign w:val="top"/>
          </w:tcPr>
          <w:p w14:paraId="1D89BDC3">
            <w:pPr>
              <w:spacing w:line="297" w:lineRule="auto"/>
              <w:rPr>
                <w:rFonts w:ascii="Arial"/>
                <w:sz w:val="21"/>
                <w:highlight w:val="none"/>
              </w:rPr>
            </w:pPr>
          </w:p>
          <w:p w14:paraId="30FE1B8D">
            <w:pPr>
              <w:spacing w:line="298" w:lineRule="auto"/>
              <w:rPr>
                <w:rFonts w:ascii="Arial"/>
                <w:sz w:val="21"/>
                <w:highlight w:val="none"/>
              </w:rPr>
            </w:pPr>
          </w:p>
          <w:p w14:paraId="37E22BF8">
            <w:pPr>
              <w:pStyle w:val="144"/>
              <w:spacing w:before="65" w:line="268" w:lineRule="exact"/>
              <w:ind w:left="225" w:leftChars="0"/>
              <w:rPr>
                <w:rFonts w:ascii="宋体" w:hAnsi="宋体" w:eastAsia="宋体" w:cs="宋体"/>
                <w:kern w:val="2"/>
                <w:sz w:val="20"/>
                <w:szCs w:val="20"/>
                <w:highlight w:val="none"/>
                <w:lang w:val="en-US" w:eastAsia="en-US" w:bidi="ar-SA"/>
              </w:rPr>
            </w:pPr>
            <w:r>
              <w:rPr>
                <w:spacing w:val="-2"/>
                <w:position w:val="1"/>
                <w:sz w:val="20"/>
                <w:szCs w:val="20"/>
                <w:highlight w:val="none"/>
              </w:rPr>
              <w:t>30</w:t>
            </w:r>
          </w:p>
        </w:tc>
        <w:tc>
          <w:tcPr>
            <w:tcW w:w="1075" w:type="dxa"/>
            <w:vMerge w:val="continue"/>
          </w:tcPr>
          <w:p w14:paraId="121A21B0">
            <w:pPr>
              <w:pStyle w:val="144"/>
              <w:spacing w:before="65" w:line="228" w:lineRule="auto"/>
              <w:ind w:left="142"/>
              <w:rPr>
                <w:rFonts w:hint="eastAsia" w:asciiTheme="majorEastAsia" w:hAnsiTheme="majorEastAsia" w:eastAsiaTheme="majorEastAsia" w:cstheme="majorEastAsia"/>
                <w:spacing w:val="1"/>
                <w:sz w:val="20"/>
                <w:szCs w:val="20"/>
                <w:highlight w:val="none"/>
              </w:rPr>
            </w:pPr>
          </w:p>
        </w:tc>
        <w:tc>
          <w:tcPr>
            <w:tcW w:w="0" w:type="auto"/>
            <w:shd w:val="clear" w:color="auto" w:fill="auto"/>
            <w:vAlign w:val="top"/>
          </w:tcPr>
          <w:p w14:paraId="4166ACC4">
            <w:pPr>
              <w:spacing w:line="297" w:lineRule="auto"/>
              <w:rPr>
                <w:rFonts w:ascii="Arial"/>
                <w:sz w:val="21"/>
                <w:highlight w:val="none"/>
              </w:rPr>
            </w:pPr>
          </w:p>
          <w:p w14:paraId="45CFBA02">
            <w:pPr>
              <w:spacing w:line="298" w:lineRule="auto"/>
              <w:rPr>
                <w:rFonts w:ascii="Arial"/>
                <w:sz w:val="21"/>
                <w:highlight w:val="none"/>
              </w:rPr>
            </w:pPr>
          </w:p>
          <w:p w14:paraId="3F818AF9">
            <w:pPr>
              <w:pStyle w:val="144"/>
              <w:spacing w:before="65" w:line="228" w:lineRule="auto"/>
              <w:rPr>
                <w:rFonts w:ascii="宋体" w:hAnsi="宋体" w:eastAsia="宋体" w:cs="宋体"/>
                <w:kern w:val="2"/>
                <w:sz w:val="20"/>
                <w:szCs w:val="20"/>
                <w:highlight w:val="none"/>
                <w:lang w:val="en-US" w:eastAsia="en-US" w:bidi="ar-SA"/>
              </w:rPr>
            </w:pPr>
            <w:r>
              <w:rPr>
                <w:spacing w:val="7"/>
                <w:sz w:val="20"/>
                <w:szCs w:val="20"/>
                <w:highlight w:val="none"/>
              </w:rPr>
              <w:t>安全监控装置</w:t>
            </w:r>
          </w:p>
        </w:tc>
        <w:tc>
          <w:tcPr>
            <w:tcW w:w="0" w:type="auto"/>
            <w:shd w:val="clear" w:color="auto" w:fill="auto"/>
            <w:vAlign w:val="top"/>
          </w:tcPr>
          <w:p w14:paraId="16153178">
            <w:pPr>
              <w:pStyle w:val="144"/>
              <w:spacing w:before="194" w:line="289" w:lineRule="auto"/>
              <w:ind w:left="110" w:leftChars="0" w:right="82" w:rightChars="0"/>
              <w:jc w:val="both"/>
              <w:rPr>
                <w:rFonts w:ascii="宋体" w:hAnsi="宋体" w:eastAsia="宋体" w:cs="宋体"/>
                <w:kern w:val="2"/>
                <w:sz w:val="20"/>
                <w:szCs w:val="20"/>
                <w:highlight w:val="none"/>
                <w:lang w:val="en-US" w:eastAsia="en-US" w:bidi="ar-SA"/>
              </w:rPr>
            </w:pPr>
            <w:r>
              <w:rPr>
                <w:spacing w:val="21"/>
                <w:sz w:val="20"/>
                <w:szCs w:val="20"/>
                <w:highlight w:val="none"/>
              </w:rPr>
              <w:t>佩戴于人体或安装在居家环境中，用于监测老年</w:t>
            </w:r>
            <w:r>
              <w:rPr>
                <w:spacing w:val="19"/>
                <w:sz w:val="20"/>
                <w:szCs w:val="20"/>
                <w:highlight w:val="none"/>
              </w:rPr>
              <w:t>人动作或者居室环境，发生险情时及时报警</w:t>
            </w:r>
            <w:r>
              <w:rPr>
                <w:spacing w:val="-60"/>
                <w:sz w:val="20"/>
                <w:szCs w:val="20"/>
                <w:highlight w:val="none"/>
              </w:rPr>
              <w:t xml:space="preserve"> </w:t>
            </w:r>
            <w:r>
              <w:rPr>
                <w:spacing w:val="19"/>
                <w:sz w:val="20"/>
                <w:szCs w:val="20"/>
                <w:highlight w:val="none"/>
              </w:rPr>
              <w:t>。包</w:t>
            </w:r>
            <w:r>
              <w:rPr>
                <w:spacing w:val="20"/>
                <w:sz w:val="20"/>
                <w:szCs w:val="20"/>
                <w:highlight w:val="none"/>
              </w:rPr>
              <w:t>括红外探测器、紧急呼叫器、烟雾/煤气泄露/溢</w:t>
            </w:r>
            <w:r>
              <w:rPr>
                <w:spacing w:val="14"/>
                <w:sz w:val="20"/>
                <w:szCs w:val="20"/>
                <w:highlight w:val="none"/>
              </w:rPr>
              <w:t>水报警器等。</w:t>
            </w:r>
          </w:p>
        </w:tc>
        <w:tc>
          <w:tcPr>
            <w:tcW w:w="0" w:type="auto"/>
            <w:shd w:val="clear" w:color="auto" w:fill="auto"/>
            <w:vAlign w:val="top"/>
          </w:tcPr>
          <w:p w14:paraId="12D9BB08">
            <w:pPr>
              <w:spacing w:line="297" w:lineRule="auto"/>
              <w:rPr>
                <w:rFonts w:ascii="Arial"/>
                <w:sz w:val="21"/>
                <w:highlight w:val="none"/>
              </w:rPr>
            </w:pPr>
          </w:p>
          <w:p w14:paraId="642043D6">
            <w:pPr>
              <w:spacing w:line="298" w:lineRule="auto"/>
              <w:rPr>
                <w:rFonts w:ascii="Arial"/>
                <w:sz w:val="21"/>
                <w:highlight w:val="none"/>
              </w:rPr>
            </w:pPr>
          </w:p>
          <w:p w14:paraId="4E53F41F">
            <w:pPr>
              <w:pStyle w:val="144"/>
              <w:spacing w:before="65" w:line="231" w:lineRule="auto"/>
              <w:ind w:firstLine="206" w:firstLineChars="100"/>
              <w:rPr>
                <w:rFonts w:ascii="宋体" w:hAnsi="宋体" w:eastAsia="宋体" w:cs="宋体"/>
                <w:kern w:val="2"/>
                <w:sz w:val="20"/>
                <w:szCs w:val="20"/>
                <w:highlight w:val="none"/>
                <w:lang w:val="en-US" w:eastAsia="en-US" w:bidi="ar-SA"/>
              </w:rPr>
            </w:pPr>
            <w:r>
              <w:rPr>
                <w:spacing w:val="3"/>
                <w:sz w:val="20"/>
                <w:szCs w:val="20"/>
                <w:highlight w:val="none"/>
              </w:rPr>
              <w:t>可选</w:t>
            </w:r>
          </w:p>
        </w:tc>
        <w:tc>
          <w:tcPr>
            <w:tcW w:w="0" w:type="auto"/>
          </w:tcPr>
          <w:p w14:paraId="615922AC">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c>
          <w:tcPr>
            <w:tcW w:w="0" w:type="auto"/>
          </w:tcPr>
          <w:p w14:paraId="0ABDDCA0">
            <w:pPr>
              <w:pStyle w:val="144"/>
              <w:spacing w:before="65" w:line="231" w:lineRule="auto"/>
              <w:ind w:left="387"/>
              <w:rPr>
                <w:rFonts w:hint="eastAsia" w:asciiTheme="majorEastAsia" w:hAnsiTheme="majorEastAsia" w:eastAsiaTheme="majorEastAsia" w:cstheme="majorEastAsia"/>
                <w:spacing w:val="3"/>
                <w:sz w:val="20"/>
                <w:szCs w:val="20"/>
                <w:highlight w:val="none"/>
              </w:rPr>
            </w:pPr>
          </w:p>
        </w:tc>
      </w:tr>
      <w:tr w14:paraId="38F84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756" w:type="dxa"/>
            <w:gridSpan w:val="7"/>
            <w:shd w:val="clear" w:color="auto" w:fill="auto"/>
            <w:vAlign w:val="top"/>
          </w:tcPr>
          <w:p w14:paraId="46E67146">
            <w:pPr>
              <w:pStyle w:val="144"/>
              <w:spacing w:before="65" w:line="231" w:lineRule="auto"/>
              <w:ind w:left="387"/>
              <w:rPr>
                <w:rFonts w:hint="eastAsia" w:eastAsia="宋体" w:asciiTheme="majorEastAsia" w:hAnsiTheme="majorEastAsia" w:cstheme="majorEastAsia"/>
                <w:spacing w:val="3"/>
                <w:sz w:val="20"/>
                <w:szCs w:val="20"/>
                <w:highlight w:val="none"/>
                <w:lang w:eastAsia="zh-CN"/>
              </w:rPr>
            </w:pPr>
            <w:r>
              <w:rPr>
                <w:rFonts w:hint="eastAsia" w:ascii="宋体" w:hAnsi="宋体" w:eastAsia="宋体" w:cs="宋体"/>
                <w:bCs/>
                <w:kern w:val="0"/>
                <w:highlight w:val="none"/>
              </w:rPr>
              <w:t>此表必须如实填写，如若中标（成交），本表的报价将作为实际履约内容的结算单项价格</w:t>
            </w:r>
            <w:r>
              <w:rPr>
                <w:rFonts w:hint="eastAsia" w:ascii="宋体" w:hAnsi="宋体" w:eastAsia="宋体" w:cs="宋体"/>
                <w:bCs/>
                <w:kern w:val="0"/>
                <w:highlight w:val="none"/>
                <w:lang w:eastAsia="zh-CN"/>
              </w:rPr>
              <w:t>，</w:t>
            </w:r>
          </w:p>
        </w:tc>
      </w:tr>
    </w:tbl>
    <w:p w14:paraId="1C0ED3CF">
      <w:pPr>
        <w:spacing w:line="192" w:lineRule="exact"/>
        <w:rPr>
          <w:highlight w:val="none"/>
        </w:rPr>
      </w:pPr>
    </w:p>
    <w:p w14:paraId="33F145CA">
      <w:pPr>
        <w:spacing w:line="192" w:lineRule="exact"/>
        <w:rPr>
          <w:highlight w:val="none"/>
        </w:rPr>
      </w:pPr>
    </w:p>
    <w:p w14:paraId="1729C571">
      <w:pPr>
        <w:spacing w:line="192" w:lineRule="exact"/>
        <w:rPr>
          <w:highlight w:val="none"/>
        </w:rPr>
      </w:pPr>
    </w:p>
    <w:p w14:paraId="31C1741F">
      <w:pPr>
        <w:numPr>
          <w:ilvl w:val="0"/>
          <w:numId w:val="0"/>
        </w:numPr>
        <w:spacing w:line="240" w:lineRule="auto"/>
        <w:ind w:firstLine="3360" w:firstLineChars="1400"/>
        <w:rPr>
          <w:rFonts w:ascii="宋体" w:hAnsi="宋体" w:eastAsia="宋体" w:cs="宋体"/>
          <w:bCs/>
          <w:kern w:val="0"/>
          <w:highlight w:val="none"/>
        </w:rPr>
      </w:pPr>
      <w:r>
        <w:rPr>
          <w:rFonts w:hint="eastAsia" w:ascii="宋体" w:hAnsi="宋体" w:eastAsia="宋体" w:cs="宋体"/>
          <w:bCs/>
          <w:kern w:val="0"/>
          <w:highlight w:val="none"/>
        </w:rPr>
        <w:t>供应商名称：</w:t>
      </w:r>
      <w:r>
        <w:rPr>
          <w:rFonts w:hint="eastAsia" w:ascii="宋体" w:hAnsi="宋体" w:eastAsia="宋体" w:cs="宋体"/>
          <w:bCs/>
          <w:kern w:val="0"/>
          <w:highlight w:val="none"/>
          <w:u w:val="single"/>
        </w:rPr>
        <w:t xml:space="preserve">                  </w:t>
      </w:r>
      <w:r>
        <w:rPr>
          <w:rFonts w:hint="eastAsia" w:ascii="宋体" w:hAnsi="宋体" w:eastAsia="宋体" w:cs="宋体"/>
          <w:bCs/>
          <w:kern w:val="0"/>
          <w:highlight w:val="none"/>
        </w:rPr>
        <w:t>（盖章）</w:t>
      </w:r>
    </w:p>
    <w:p w14:paraId="279F048A">
      <w:pPr>
        <w:spacing w:line="240" w:lineRule="auto"/>
        <w:ind w:firstLine="960" w:firstLineChars="400"/>
        <w:rPr>
          <w:rFonts w:hint="eastAsia" w:ascii="宋体" w:hAnsi="宋体" w:eastAsia="宋体" w:cs="宋体"/>
          <w:bCs/>
          <w:kern w:val="0"/>
          <w:highlight w:val="none"/>
        </w:rPr>
      </w:pPr>
    </w:p>
    <w:p w14:paraId="50242E91">
      <w:pPr>
        <w:spacing w:line="240" w:lineRule="auto"/>
        <w:ind w:firstLine="2400" w:firstLineChars="1000"/>
        <w:rPr>
          <w:rFonts w:ascii="宋体" w:hAnsi="宋体" w:eastAsia="宋体" w:cs="宋体"/>
          <w:bCs/>
          <w:kern w:val="0"/>
          <w:highlight w:val="none"/>
        </w:rPr>
      </w:pPr>
      <w:r>
        <w:rPr>
          <w:rFonts w:hint="eastAsia" w:ascii="宋体" w:hAnsi="宋体" w:eastAsia="宋体" w:cs="宋体"/>
          <w:bCs/>
          <w:kern w:val="0"/>
          <w:highlight w:val="none"/>
        </w:rPr>
        <w:t>法定代表人或授权代表：</w:t>
      </w:r>
      <w:r>
        <w:rPr>
          <w:rFonts w:hint="eastAsia" w:ascii="宋体" w:hAnsi="宋体" w:eastAsia="宋体" w:cs="宋体"/>
          <w:bCs/>
          <w:kern w:val="0"/>
          <w:highlight w:val="none"/>
          <w:u w:val="single"/>
        </w:rPr>
        <w:t xml:space="preserve">            </w:t>
      </w:r>
      <w:r>
        <w:rPr>
          <w:rFonts w:hint="eastAsia" w:ascii="宋体" w:hAnsi="宋体" w:eastAsia="宋体" w:cs="宋体"/>
          <w:highlight w:val="none"/>
        </w:rPr>
        <w:t>（签字或盖章）</w:t>
      </w:r>
    </w:p>
    <w:p w14:paraId="1657CAB8">
      <w:pPr>
        <w:spacing w:line="240" w:lineRule="auto"/>
        <w:ind w:firstLine="3120" w:firstLineChars="13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136420EE">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40EBD260">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1D885BC9">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33F3FF4A">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3F47E4E7">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54244A1E">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02E1168E">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705C2387">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50E873C0">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5D7C7E94">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12C90F3A">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1596BC68">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09328188">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444EC699">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4E244F87">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7A5F2D39">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4BACF2FB">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36E61FEB">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4C2218F7">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7FAB8E42">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6797AA1D">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6E89C0BA">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70E796A3">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638B7E32">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6EE7DE47">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6D8F21CD">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79B2409E">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34D458FD">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67FBA64F">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3CD20782">
      <w:pPr>
        <w:jc w:val="center"/>
        <w:rPr>
          <w:rFonts w:hint="eastAsia" w:ascii="宋体" w:hAnsi="宋体" w:eastAsia="宋体" w:cs="宋体"/>
          <w:b/>
          <w:color w:val="000000" w:themeColor="text1"/>
          <w:kern w:val="0"/>
          <w:sz w:val="28"/>
          <w:highlight w:val="none"/>
          <w:lang w:val="en-US" w:eastAsia="zh-CN"/>
          <w14:textFill>
            <w14:solidFill>
              <w14:schemeClr w14:val="tx1"/>
            </w14:solidFill>
          </w14:textFill>
        </w:rPr>
      </w:pPr>
    </w:p>
    <w:p w14:paraId="50453DEB">
      <w:pPr>
        <w:jc w:val="center"/>
        <w:rPr>
          <w:rFonts w:hint="eastAsia" w:asciiTheme="minorEastAsia" w:hAnsiTheme="minorEastAsia" w:eastAsiaTheme="minorEastAsia" w:cstheme="minorEastAsia"/>
          <w:highlight w:val="none"/>
        </w:rPr>
      </w:pPr>
      <w:r>
        <w:rPr>
          <w:rFonts w:hint="eastAsia" w:ascii="宋体" w:hAnsi="宋体" w:eastAsia="宋体" w:cs="宋体"/>
          <w:b/>
          <w:color w:val="000000" w:themeColor="text1"/>
          <w:kern w:val="0"/>
          <w:sz w:val="28"/>
          <w:highlight w:val="none"/>
          <w:lang w:val="en-US" w:eastAsia="zh-CN"/>
          <w14:textFill>
            <w14:solidFill>
              <w14:schemeClr w14:val="tx1"/>
            </w14:solidFill>
          </w14:textFill>
        </w:rPr>
        <w:t>3</w:t>
      </w:r>
      <w:r>
        <w:rPr>
          <w:rFonts w:hint="eastAsia" w:ascii="宋体" w:hAnsi="宋体" w:eastAsia="宋体" w:cs="宋体"/>
          <w:b/>
          <w:color w:val="000000" w:themeColor="text1"/>
          <w:kern w:val="0"/>
          <w:sz w:val="28"/>
          <w:highlight w:val="none"/>
          <w14:textFill>
            <w14:solidFill>
              <w14:schemeClr w14:val="tx1"/>
            </w14:solidFill>
          </w14:textFill>
        </w:rPr>
        <w:t>.商务条款偏离表</w:t>
      </w:r>
    </w:p>
    <w:p w14:paraId="532A7BF2">
      <w:pPr>
        <w:kinsoku w:val="0"/>
        <w:spacing w:line="240" w:lineRule="auto"/>
        <w:ind w:left="-137" w:leftChars="-57" w:firstLine="120" w:firstLineChars="50"/>
        <w:rPr>
          <w:rFonts w:hint="eastAsia"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 xml:space="preserve">                                    </w:t>
      </w:r>
    </w:p>
    <w:tbl>
      <w:tblPr>
        <w:tblStyle w:val="3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2"/>
        <w:gridCol w:w="2758"/>
        <w:gridCol w:w="2171"/>
        <w:gridCol w:w="1255"/>
      </w:tblGrid>
      <w:tr w14:paraId="2722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1" w:type="dxa"/>
            <w:vAlign w:val="center"/>
          </w:tcPr>
          <w:p w14:paraId="61B958AC">
            <w:pPr>
              <w:pStyle w:val="17"/>
              <w:spacing w:line="400" w:lineRule="exact"/>
              <w:jc w:val="center"/>
              <w:rPr>
                <w:rFonts w:hint="eastAsia"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序号</w:t>
            </w:r>
          </w:p>
        </w:tc>
        <w:tc>
          <w:tcPr>
            <w:tcW w:w="1962" w:type="dxa"/>
            <w:vAlign w:val="center"/>
          </w:tcPr>
          <w:p w14:paraId="5BE938BC">
            <w:pPr>
              <w:pStyle w:val="17"/>
              <w:spacing w:line="400" w:lineRule="exact"/>
              <w:jc w:val="center"/>
              <w:rPr>
                <w:rFonts w:hint="eastAsia"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名称</w:t>
            </w:r>
          </w:p>
        </w:tc>
        <w:tc>
          <w:tcPr>
            <w:tcW w:w="2758" w:type="dxa"/>
            <w:vAlign w:val="center"/>
          </w:tcPr>
          <w:p w14:paraId="68A4D744">
            <w:pPr>
              <w:pStyle w:val="17"/>
              <w:spacing w:line="400" w:lineRule="exact"/>
              <w:rPr>
                <w:rFonts w:hint="eastAsia"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磋商文件要求商务条款</w:t>
            </w:r>
          </w:p>
        </w:tc>
        <w:tc>
          <w:tcPr>
            <w:tcW w:w="2171" w:type="dxa"/>
            <w:vAlign w:val="center"/>
          </w:tcPr>
          <w:p w14:paraId="76146BAA">
            <w:pPr>
              <w:pStyle w:val="17"/>
              <w:spacing w:line="400" w:lineRule="exact"/>
              <w:jc w:val="center"/>
              <w:rPr>
                <w:rFonts w:hint="eastAsia"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磋商</w:t>
            </w:r>
            <w:r>
              <w:rPr>
                <w:rFonts w:hint="eastAsia" w:asciiTheme="minorEastAsia" w:hAnsiTheme="minorEastAsia" w:cstheme="minorEastAsia"/>
                <w:color w:val="000000"/>
                <w:szCs w:val="24"/>
                <w:highlight w:val="none"/>
                <w:lang w:val="en-US" w:eastAsia="zh-CN"/>
              </w:rPr>
              <w:t>响应</w:t>
            </w:r>
            <w:r>
              <w:rPr>
                <w:rFonts w:hint="eastAsia" w:asciiTheme="minorEastAsia" w:hAnsiTheme="minorEastAsia" w:eastAsiaTheme="minorEastAsia" w:cstheme="minorEastAsia"/>
                <w:color w:val="000000"/>
                <w:szCs w:val="24"/>
                <w:highlight w:val="none"/>
              </w:rPr>
              <w:t>文件商务条款</w:t>
            </w:r>
          </w:p>
        </w:tc>
        <w:tc>
          <w:tcPr>
            <w:tcW w:w="1255" w:type="dxa"/>
            <w:vAlign w:val="center"/>
          </w:tcPr>
          <w:p w14:paraId="605E075B">
            <w:pPr>
              <w:pStyle w:val="17"/>
              <w:spacing w:line="400" w:lineRule="exact"/>
              <w:jc w:val="center"/>
              <w:rPr>
                <w:rFonts w:hint="eastAsia"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偏差说明</w:t>
            </w:r>
          </w:p>
        </w:tc>
      </w:tr>
      <w:tr w14:paraId="5409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vAlign w:val="center"/>
          </w:tcPr>
          <w:p w14:paraId="29784910">
            <w:pPr>
              <w:pStyle w:val="17"/>
              <w:spacing w:line="600" w:lineRule="exact"/>
              <w:jc w:val="center"/>
              <w:rPr>
                <w:rFonts w:hint="eastAsia" w:asciiTheme="minorEastAsia" w:hAnsiTheme="minorEastAsia" w:eastAsiaTheme="minorEastAsia" w:cstheme="minorEastAsia"/>
                <w:color w:val="000000"/>
                <w:szCs w:val="24"/>
                <w:highlight w:val="none"/>
                <w:lang w:val="en-US" w:eastAsia="zh-CN"/>
              </w:rPr>
            </w:pPr>
          </w:p>
        </w:tc>
        <w:tc>
          <w:tcPr>
            <w:tcW w:w="1962" w:type="dxa"/>
            <w:vAlign w:val="center"/>
          </w:tcPr>
          <w:p w14:paraId="67E1C572">
            <w:pPr>
              <w:pStyle w:val="17"/>
              <w:spacing w:line="400" w:lineRule="exact"/>
              <w:jc w:val="center"/>
              <w:rPr>
                <w:rFonts w:hint="eastAsia" w:asciiTheme="minorEastAsia" w:hAnsiTheme="minorEastAsia" w:eastAsiaTheme="minorEastAsia" w:cstheme="minorEastAsia"/>
                <w:color w:val="000000"/>
                <w:szCs w:val="24"/>
                <w:highlight w:val="none"/>
              </w:rPr>
            </w:pPr>
          </w:p>
        </w:tc>
        <w:tc>
          <w:tcPr>
            <w:tcW w:w="2758" w:type="dxa"/>
            <w:vAlign w:val="center"/>
          </w:tcPr>
          <w:p w14:paraId="63E7A105">
            <w:pPr>
              <w:pStyle w:val="17"/>
              <w:spacing w:line="600" w:lineRule="exact"/>
              <w:rPr>
                <w:rFonts w:hint="eastAsia" w:asciiTheme="minorEastAsia" w:hAnsiTheme="minorEastAsia" w:eastAsiaTheme="minorEastAsia" w:cstheme="minorEastAsia"/>
                <w:color w:val="000000"/>
                <w:szCs w:val="24"/>
                <w:highlight w:val="none"/>
              </w:rPr>
            </w:pPr>
          </w:p>
        </w:tc>
        <w:tc>
          <w:tcPr>
            <w:tcW w:w="2171" w:type="dxa"/>
            <w:vAlign w:val="center"/>
          </w:tcPr>
          <w:p w14:paraId="0D8912D2">
            <w:pPr>
              <w:pStyle w:val="17"/>
              <w:spacing w:line="600" w:lineRule="exact"/>
              <w:rPr>
                <w:rFonts w:hint="eastAsia" w:asciiTheme="minorEastAsia" w:hAnsiTheme="minorEastAsia" w:eastAsiaTheme="minorEastAsia" w:cstheme="minorEastAsia"/>
                <w:color w:val="000000"/>
                <w:szCs w:val="24"/>
                <w:highlight w:val="none"/>
              </w:rPr>
            </w:pPr>
          </w:p>
        </w:tc>
        <w:tc>
          <w:tcPr>
            <w:tcW w:w="1255" w:type="dxa"/>
            <w:vAlign w:val="center"/>
          </w:tcPr>
          <w:p w14:paraId="13B299E2">
            <w:pPr>
              <w:pStyle w:val="17"/>
              <w:spacing w:line="600" w:lineRule="exact"/>
              <w:rPr>
                <w:rFonts w:hint="eastAsia" w:asciiTheme="minorEastAsia" w:hAnsiTheme="minorEastAsia" w:eastAsiaTheme="minorEastAsia" w:cstheme="minorEastAsia"/>
                <w:color w:val="000000"/>
                <w:szCs w:val="24"/>
                <w:highlight w:val="none"/>
              </w:rPr>
            </w:pPr>
          </w:p>
        </w:tc>
      </w:tr>
      <w:tr w14:paraId="6E8E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vAlign w:val="center"/>
          </w:tcPr>
          <w:p w14:paraId="5687FAA3">
            <w:pPr>
              <w:pStyle w:val="17"/>
              <w:spacing w:line="600" w:lineRule="exact"/>
              <w:jc w:val="center"/>
              <w:rPr>
                <w:rFonts w:hint="eastAsia" w:asciiTheme="minorEastAsia" w:hAnsiTheme="minorEastAsia" w:eastAsiaTheme="minorEastAsia" w:cstheme="minorEastAsia"/>
                <w:color w:val="000000"/>
                <w:szCs w:val="24"/>
                <w:highlight w:val="none"/>
                <w:lang w:val="en-US" w:eastAsia="zh-CN"/>
              </w:rPr>
            </w:pPr>
          </w:p>
        </w:tc>
        <w:tc>
          <w:tcPr>
            <w:tcW w:w="1962" w:type="dxa"/>
            <w:vAlign w:val="center"/>
          </w:tcPr>
          <w:p w14:paraId="62A9A6E8">
            <w:pPr>
              <w:pStyle w:val="17"/>
              <w:spacing w:line="600" w:lineRule="exact"/>
              <w:jc w:val="center"/>
              <w:rPr>
                <w:rFonts w:hint="eastAsia" w:asciiTheme="minorEastAsia" w:hAnsiTheme="minorEastAsia" w:eastAsiaTheme="minorEastAsia" w:cstheme="minorEastAsia"/>
                <w:color w:val="000000"/>
                <w:szCs w:val="24"/>
                <w:highlight w:val="none"/>
                <w:lang w:val="en-US" w:eastAsia="zh-CN"/>
              </w:rPr>
            </w:pPr>
          </w:p>
        </w:tc>
        <w:tc>
          <w:tcPr>
            <w:tcW w:w="2758" w:type="dxa"/>
          </w:tcPr>
          <w:p w14:paraId="42F15C73">
            <w:pPr>
              <w:pStyle w:val="17"/>
              <w:spacing w:line="600" w:lineRule="exact"/>
              <w:rPr>
                <w:rFonts w:hint="eastAsia" w:asciiTheme="minorEastAsia" w:hAnsiTheme="minorEastAsia" w:eastAsiaTheme="minorEastAsia" w:cstheme="minorEastAsia"/>
                <w:color w:val="000000"/>
                <w:szCs w:val="24"/>
                <w:highlight w:val="none"/>
              </w:rPr>
            </w:pPr>
          </w:p>
        </w:tc>
        <w:tc>
          <w:tcPr>
            <w:tcW w:w="2171" w:type="dxa"/>
          </w:tcPr>
          <w:p w14:paraId="71DE7D3E">
            <w:pPr>
              <w:pStyle w:val="17"/>
              <w:spacing w:line="600" w:lineRule="exact"/>
              <w:rPr>
                <w:rFonts w:hint="eastAsia" w:asciiTheme="minorEastAsia" w:hAnsiTheme="minorEastAsia" w:eastAsiaTheme="minorEastAsia" w:cstheme="minorEastAsia"/>
                <w:color w:val="000000"/>
                <w:szCs w:val="24"/>
                <w:highlight w:val="none"/>
              </w:rPr>
            </w:pPr>
          </w:p>
        </w:tc>
        <w:tc>
          <w:tcPr>
            <w:tcW w:w="1255" w:type="dxa"/>
          </w:tcPr>
          <w:p w14:paraId="3D5A32B2">
            <w:pPr>
              <w:pStyle w:val="17"/>
              <w:spacing w:line="600" w:lineRule="exact"/>
              <w:rPr>
                <w:rFonts w:hint="eastAsia" w:asciiTheme="minorEastAsia" w:hAnsiTheme="minorEastAsia" w:eastAsiaTheme="minorEastAsia" w:cstheme="minorEastAsia"/>
                <w:color w:val="000000"/>
                <w:szCs w:val="24"/>
                <w:highlight w:val="none"/>
              </w:rPr>
            </w:pPr>
          </w:p>
        </w:tc>
      </w:tr>
      <w:tr w14:paraId="61FF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vAlign w:val="center"/>
          </w:tcPr>
          <w:p w14:paraId="192FD98C">
            <w:pPr>
              <w:pStyle w:val="17"/>
              <w:spacing w:line="600" w:lineRule="exact"/>
              <w:jc w:val="center"/>
              <w:rPr>
                <w:rFonts w:hint="eastAsia" w:asciiTheme="minorEastAsia" w:hAnsiTheme="minorEastAsia" w:eastAsiaTheme="minorEastAsia" w:cstheme="minorEastAsia"/>
                <w:color w:val="000000"/>
                <w:szCs w:val="24"/>
                <w:highlight w:val="none"/>
                <w:lang w:val="en-US" w:eastAsia="zh-CN"/>
              </w:rPr>
            </w:pPr>
          </w:p>
        </w:tc>
        <w:tc>
          <w:tcPr>
            <w:tcW w:w="1962" w:type="dxa"/>
            <w:vAlign w:val="center"/>
          </w:tcPr>
          <w:p w14:paraId="4768A871">
            <w:pPr>
              <w:pStyle w:val="17"/>
              <w:spacing w:line="600" w:lineRule="exact"/>
              <w:jc w:val="center"/>
              <w:rPr>
                <w:rFonts w:hint="eastAsia" w:asciiTheme="minorEastAsia" w:hAnsiTheme="minorEastAsia" w:eastAsiaTheme="minorEastAsia" w:cstheme="minorEastAsia"/>
                <w:color w:val="000000"/>
                <w:szCs w:val="24"/>
                <w:highlight w:val="none"/>
                <w:lang w:val="en-US" w:eastAsia="zh-CN"/>
              </w:rPr>
            </w:pPr>
          </w:p>
        </w:tc>
        <w:tc>
          <w:tcPr>
            <w:tcW w:w="2758" w:type="dxa"/>
          </w:tcPr>
          <w:p w14:paraId="65AE71B3">
            <w:pPr>
              <w:pStyle w:val="17"/>
              <w:spacing w:line="600" w:lineRule="exact"/>
              <w:rPr>
                <w:rFonts w:hint="eastAsia" w:asciiTheme="minorEastAsia" w:hAnsiTheme="minorEastAsia" w:eastAsiaTheme="minorEastAsia" w:cstheme="minorEastAsia"/>
                <w:color w:val="000000"/>
                <w:szCs w:val="24"/>
                <w:highlight w:val="none"/>
              </w:rPr>
            </w:pPr>
          </w:p>
        </w:tc>
        <w:tc>
          <w:tcPr>
            <w:tcW w:w="2171" w:type="dxa"/>
          </w:tcPr>
          <w:p w14:paraId="2F885BA5">
            <w:pPr>
              <w:pStyle w:val="17"/>
              <w:spacing w:line="600" w:lineRule="exact"/>
              <w:rPr>
                <w:rFonts w:hint="eastAsia" w:asciiTheme="minorEastAsia" w:hAnsiTheme="minorEastAsia" w:eastAsiaTheme="minorEastAsia" w:cstheme="minorEastAsia"/>
                <w:color w:val="000000"/>
                <w:szCs w:val="24"/>
                <w:highlight w:val="none"/>
              </w:rPr>
            </w:pPr>
          </w:p>
        </w:tc>
        <w:tc>
          <w:tcPr>
            <w:tcW w:w="1255" w:type="dxa"/>
          </w:tcPr>
          <w:p w14:paraId="603B61F7">
            <w:pPr>
              <w:pStyle w:val="17"/>
              <w:spacing w:line="600" w:lineRule="exact"/>
              <w:rPr>
                <w:rFonts w:hint="eastAsia" w:asciiTheme="minorEastAsia" w:hAnsiTheme="minorEastAsia" w:eastAsiaTheme="minorEastAsia" w:cstheme="minorEastAsia"/>
                <w:color w:val="000000"/>
                <w:szCs w:val="24"/>
                <w:highlight w:val="none"/>
              </w:rPr>
            </w:pPr>
          </w:p>
        </w:tc>
      </w:tr>
      <w:tr w14:paraId="0361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tcPr>
          <w:p w14:paraId="3080BD7E">
            <w:pPr>
              <w:pStyle w:val="17"/>
              <w:spacing w:line="600" w:lineRule="exact"/>
              <w:jc w:val="center"/>
              <w:rPr>
                <w:rFonts w:hint="default" w:asciiTheme="minorEastAsia" w:hAnsiTheme="minorEastAsia" w:eastAsiaTheme="minorEastAsia" w:cstheme="minorEastAsia"/>
                <w:color w:val="000000"/>
                <w:szCs w:val="24"/>
                <w:highlight w:val="none"/>
                <w:lang w:val="en-US"/>
              </w:rPr>
            </w:pPr>
          </w:p>
        </w:tc>
        <w:tc>
          <w:tcPr>
            <w:tcW w:w="1962" w:type="dxa"/>
          </w:tcPr>
          <w:p w14:paraId="179B3A5A">
            <w:pPr>
              <w:pStyle w:val="17"/>
              <w:spacing w:line="600" w:lineRule="exact"/>
              <w:jc w:val="center"/>
              <w:rPr>
                <w:rFonts w:hint="eastAsia" w:asciiTheme="minorEastAsia" w:hAnsiTheme="minorEastAsia" w:eastAsiaTheme="minorEastAsia" w:cstheme="minorEastAsia"/>
                <w:color w:val="000000"/>
                <w:szCs w:val="24"/>
                <w:highlight w:val="none"/>
                <w:lang w:val="en-US" w:eastAsia="zh-CN"/>
              </w:rPr>
            </w:pPr>
          </w:p>
        </w:tc>
        <w:tc>
          <w:tcPr>
            <w:tcW w:w="2758" w:type="dxa"/>
          </w:tcPr>
          <w:p w14:paraId="6104B26D">
            <w:pPr>
              <w:pStyle w:val="17"/>
              <w:spacing w:line="600" w:lineRule="exact"/>
              <w:rPr>
                <w:rFonts w:hint="eastAsia" w:asciiTheme="minorEastAsia" w:hAnsiTheme="minorEastAsia" w:eastAsiaTheme="minorEastAsia" w:cstheme="minorEastAsia"/>
                <w:color w:val="000000"/>
                <w:szCs w:val="24"/>
                <w:highlight w:val="none"/>
              </w:rPr>
            </w:pPr>
          </w:p>
        </w:tc>
        <w:tc>
          <w:tcPr>
            <w:tcW w:w="2171" w:type="dxa"/>
          </w:tcPr>
          <w:p w14:paraId="571A9766">
            <w:pPr>
              <w:pStyle w:val="17"/>
              <w:spacing w:line="600" w:lineRule="exact"/>
              <w:rPr>
                <w:rFonts w:hint="eastAsia" w:asciiTheme="minorEastAsia" w:hAnsiTheme="minorEastAsia" w:eastAsiaTheme="minorEastAsia" w:cstheme="minorEastAsia"/>
                <w:color w:val="000000"/>
                <w:szCs w:val="24"/>
                <w:highlight w:val="none"/>
              </w:rPr>
            </w:pPr>
          </w:p>
        </w:tc>
        <w:tc>
          <w:tcPr>
            <w:tcW w:w="1255" w:type="dxa"/>
          </w:tcPr>
          <w:p w14:paraId="494E6705">
            <w:pPr>
              <w:pStyle w:val="17"/>
              <w:spacing w:line="600" w:lineRule="exact"/>
              <w:rPr>
                <w:rFonts w:hint="eastAsia" w:asciiTheme="minorEastAsia" w:hAnsiTheme="minorEastAsia" w:eastAsiaTheme="minorEastAsia" w:cstheme="minorEastAsia"/>
                <w:color w:val="000000"/>
                <w:szCs w:val="24"/>
                <w:highlight w:val="none"/>
              </w:rPr>
            </w:pPr>
          </w:p>
        </w:tc>
      </w:tr>
      <w:tr w14:paraId="6597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tcPr>
          <w:p w14:paraId="39C17FFB">
            <w:pPr>
              <w:pStyle w:val="17"/>
              <w:spacing w:line="600" w:lineRule="exact"/>
              <w:rPr>
                <w:rFonts w:hint="eastAsia" w:asciiTheme="minorEastAsia" w:hAnsiTheme="minorEastAsia" w:eastAsiaTheme="minorEastAsia" w:cstheme="minorEastAsia"/>
                <w:color w:val="000000"/>
                <w:szCs w:val="24"/>
                <w:highlight w:val="none"/>
              </w:rPr>
            </w:pPr>
          </w:p>
        </w:tc>
        <w:tc>
          <w:tcPr>
            <w:tcW w:w="1962" w:type="dxa"/>
          </w:tcPr>
          <w:p w14:paraId="54888F08">
            <w:pPr>
              <w:pStyle w:val="17"/>
              <w:spacing w:line="600" w:lineRule="exact"/>
              <w:rPr>
                <w:rFonts w:hint="eastAsia" w:asciiTheme="minorEastAsia" w:hAnsiTheme="minorEastAsia" w:eastAsiaTheme="minorEastAsia" w:cstheme="minorEastAsia"/>
                <w:color w:val="000000"/>
                <w:szCs w:val="24"/>
                <w:highlight w:val="none"/>
              </w:rPr>
            </w:pPr>
          </w:p>
        </w:tc>
        <w:tc>
          <w:tcPr>
            <w:tcW w:w="2758" w:type="dxa"/>
          </w:tcPr>
          <w:p w14:paraId="355370F9">
            <w:pPr>
              <w:pStyle w:val="17"/>
              <w:spacing w:line="600" w:lineRule="exact"/>
              <w:rPr>
                <w:rFonts w:hint="eastAsia" w:asciiTheme="minorEastAsia" w:hAnsiTheme="minorEastAsia" w:eastAsiaTheme="minorEastAsia" w:cstheme="minorEastAsia"/>
                <w:color w:val="000000"/>
                <w:szCs w:val="24"/>
                <w:highlight w:val="none"/>
              </w:rPr>
            </w:pPr>
          </w:p>
        </w:tc>
        <w:tc>
          <w:tcPr>
            <w:tcW w:w="2171" w:type="dxa"/>
          </w:tcPr>
          <w:p w14:paraId="578BD251">
            <w:pPr>
              <w:pStyle w:val="17"/>
              <w:spacing w:line="600" w:lineRule="exact"/>
              <w:rPr>
                <w:rFonts w:hint="eastAsia" w:asciiTheme="minorEastAsia" w:hAnsiTheme="minorEastAsia" w:eastAsiaTheme="minorEastAsia" w:cstheme="minorEastAsia"/>
                <w:color w:val="000000"/>
                <w:szCs w:val="24"/>
                <w:highlight w:val="none"/>
              </w:rPr>
            </w:pPr>
          </w:p>
        </w:tc>
        <w:tc>
          <w:tcPr>
            <w:tcW w:w="1255" w:type="dxa"/>
          </w:tcPr>
          <w:p w14:paraId="129B3C99">
            <w:pPr>
              <w:pStyle w:val="17"/>
              <w:spacing w:line="600" w:lineRule="exact"/>
              <w:rPr>
                <w:rFonts w:hint="eastAsia" w:asciiTheme="minorEastAsia" w:hAnsiTheme="minorEastAsia" w:eastAsiaTheme="minorEastAsia" w:cstheme="minorEastAsia"/>
                <w:color w:val="000000"/>
                <w:szCs w:val="24"/>
                <w:highlight w:val="none"/>
              </w:rPr>
            </w:pPr>
          </w:p>
        </w:tc>
      </w:tr>
      <w:tr w14:paraId="4C05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tcPr>
          <w:p w14:paraId="170292FF">
            <w:pPr>
              <w:pStyle w:val="17"/>
              <w:spacing w:line="600" w:lineRule="exact"/>
              <w:rPr>
                <w:rFonts w:hint="eastAsia" w:asciiTheme="minorEastAsia" w:hAnsiTheme="minorEastAsia" w:eastAsiaTheme="minorEastAsia" w:cstheme="minorEastAsia"/>
                <w:color w:val="000000"/>
                <w:szCs w:val="24"/>
                <w:highlight w:val="none"/>
              </w:rPr>
            </w:pPr>
          </w:p>
        </w:tc>
        <w:tc>
          <w:tcPr>
            <w:tcW w:w="1962" w:type="dxa"/>
          </w:tcPr>
          <w:p w14:paraId="2EFAF870">
            <w:pPr>
              <w:pStyle w:val="17"/>
              <w:spacing w:line="600" w:lineRule="exact"/>
              <w:rPr>
                <w:rFonts w:hint="eastAsia" w:asciiTheme="minorEastAsia" w:hAnsiTheme="minorEastAsia" w:eastAsiaTheme="minorEastAsia" w:cstheme="minorEastAsia"/>
                <w:color w:val="000000"/>
                <w:szCs w:val="24"/>
                <w:highlight w:val="none"/>
              </w:rPr>
            </w:pPr>
          </w:p>
        </w:tc>
        <w:tc>
          <w:tcPr>
            <w:tcW w:w="2758" w:type="dxa"/>
          </w:tcPr>
          <w:p w14:paraId="7F5A4462">
            <w:pPr>
              <w:pStyle w:val="17"/>
              <w:spacing w:line="600" w:lineRule="exact"/>
              <w:rPr>
                <w:rFonts w:hint="eastAsia" w:asciiTheme="minorEastAsia" w:hAnsiTheme="minorEastAsia" w:eastAsiaTheme="minorEastAsia" w:cstheme="minorEastAsia"/>
                <w:color w:val="000000"/>
                <w:szCs w:val="24"/>
                <w:highlight w:val="none"/>
              </w:rPr>
            </w:pPr>
          </w:p>
        </w:tc>
        <w:tc>
          <w:tcPr>
            <w:tcW w:w="2171" w:type="dxa"/>
          </w:tcPr>
          <w:p w14:paraId="1104B75A">
            <w:pPr>
              <w:pStyle w:val="17"/>
              <w:spacing w:line="600" w:lineRule="exact"/>
              <w:rPr>
                <w:rFonts w:hint="eastAsia" w:asciiTheme="minorEastAsia" w:hAnsiTheme="minorEastAsia" w:eastAsiaTheme="minorEastAsia" w:cstheme="minorEastAsia"/>
                <w:color w:val="000000"/>
                <w:szCs w:val="24"/>
                <w:highlight w:val="none"/>
              </w:rPr>
            </w:pPr>
          </w:p>
        </w:tc>
        <w:tc>
          <w:tcPr>
            <w:tcW w:w="1255" w:type="dxa"/>
          </w:tcPr>
          <w:p w14:paraId="1DEFB920">
            <w:pPr>
              <w:pStyle w:val="17"/>
              <w:spacing w:line="600" w:lineRule="exact"/>
              <w:rPr>
                <w:rFonts w:hint="eastAsia" w:asciiTheme="minorEastAsia" w:hAnsiTheme="minorEastAsia" w:eastAsiaTheme="minorEastAsia" w:cstheme="minorEastAsia"/>
                <w:color w:val="000000"/>
                <w:szCs w:val="24"/>
                <w:highlight w:val="none"/>
              </w:rPr>
            </w:pPr>
          </w:p>
        </w:tc>
      </w:tr>
      <w:tr w14:paraId="040D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tcPr>
          <w:p w14:paraId="4056513B">
            <w:pPr>
              <w:pStyle w:val="17"/>
              <w:spacing w:line="600" w:lineRule="exact"/>
              <w:rPr>
                <w:rFonts w:hint="eastAsia" w:asciiTheme="minorEastAsia" w:hAnsiTheme="minorEastAsia" w:eastAsiaTheme="minorEastAsia" w:cstheme="minorEastAsia"/>
                <w:color w:val="000000"/>
                <w:szCs w:val="24"/>
                <w:highlight w:val="none"/>
              </w:rPr>
            </w:pPr>
          </w:p>
        </w:tc>
        <w:tc>
          <w:tcPr>
            <w:tcW w:w="1962" w:type="dxa"/>
          </w:tcPr>
          <w:p w14:paraId="6E77F5B0">
            <w:pPr>
              <w:pStyle w:val="17"/>
              <w:spacing w:line="600" w:lineRule="exact"/>
              <w:rPr>
                <w:rFonts w:hint="eastAsia" w:asciiTheme="minorEastAsia" w:hAnsiTheme="minorEastAsia" w:eastAsiaTheme="minorEastAsia" w:cstheme="minorEastAsia"/>
                <w:color w:val="000000"/>
                <w:szCs w:val="24"/>
                <w:highlight w:val="none"/>
              </w:rPr>
            </w:pPr>
          </w:p>
        </w:tc>
        <w:tc>
          <w:tcPr>
            <w:tcW w:w="2758" w:type="dxa"/>
          </w:tcPr>
          <w:p w14:paraId="06B841B7">
            <w:pPr>
              <w:pStyle w:val="17"/>
              <w:spacing w:line="600" w:lineRule="exact"/>
              <w:rPr>
                <w:rFonts w:hint="eastAsia" w:asciiTheme="minorEastAsia" w:hAnsiTheme="minorEastAsia" w:eastAsiaTheme="minorEastAsia" w:cstheme="minorEastAsia"/>
                <w:color w:val="000000"/>
                <w:szCs w:val="24"/>
                <w:highlight w:val="none"/>
              </w:rPr>
            </w:pPr>
          </w:p>
        </w:tc>
        <w:tc>
          <w:tcPr>
            <w:tcW w:w="2171" w:type="dxa"/>
          </w:tcPr>
          <w:p w14:paraId="77C343B0">
            <w:pPr>
              <w:pStyle w:val="17"/>
              <w:spacing w:line="600" w:lineRule="exact"/>
              <w:rPr>
                <w:rFonts w:hint="eastAsia" w:asciiTheme="minorEastAsia" w:hAnsiTheme="minorEastAsia" w:eastAsiaTheme="minorEastAsia" w:cstheme="minorEastAsia"/>
                <w:color w:val="000000"/>
                <w:szCs w:val="24"/>
                <w:highlight w:val="none"/>
              </w:rPr>
            </w:pPr>
          </w:p>
        </w:tc>
        <w:tc>
          <w:tcPr>
            <w:tcW w:w="1255" w:type="dxa"/>
          </w:tcPr>
          <w:p w14:paraId="4DD60F12">
            <w:pPr>
              <w:pStyle w:val="17"/>
              <w:spacing w:line="600" w:lineRule="exact"/>
              <w:rPr>
                <w:rFonts w:hint="eastAsia" w:asciiTheme="minorEastAsia" w:hAnsiTheme="minorEastAsia" w:eastAsiaTheme="minorEastAsia" w:cstheme="minorEastAsia"/>
                <w:color w:val="000000"/>
                <w:szCs w:val="24"/>
                <w:highlight w:val="none"/>
              </w:rPr>
            </w:pPr>
          </w:p>
        </w:tc>
      </w:tr>
      <w:tr w14:paraId="55E9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tcPr>
          <w:p w14:paraId="42666CAF">
            <w:pPr>
              <w:pStyle w:val="17"/>
              <w:spacing w:line="600" w:lineRule="exact"/>
              <w:rPr>
                <w:rFonts w:hint="eastAsia" w:asciiTheme="minorEastAsia" w:hAnsiTheme="minorEastAsia" w:eastAsiaTheme="minorEastAsia" w:cstheme="minorEastAsia"/>
                <w:color w:val="000000"/>
                <w:szCs w:val="24"/>
                <w:highlight w:val="none"/>
              </w:rPr>
            </w:pPr>
          </w:p>
        </w:tc>
        <w:tc>
          <w:tcPr>
            <w:tcW w:w="1962" w:type="dxa"/>
          </w:tcPr>
          <w:p w14:paraId="1A6A4462">
            <w:pPr>
              <w:pStyle w:val="17"/>
              <w:spacing w:line="600" w:lineRule="exact"/>
              <w:rPr>
                <w:rFonts w:hint="eastAsia" w:asciiTheme="minorEastAsia" w:hAnsiTheme="minorEastAsia" w:eastAsiaTheme="minorEastAsia" w:cstheme="minorEastAsia"/>
                <w:color w:val="000000"/>
                <w:szCs w:val="24"/>
                <w:highlight w:val="none"/>
              </w:rPr>
            </w:pPr>
          </w:p>
        </w:tc>
        <w:tc>
          <w:tcPr>
            <w:tcW w:w="2758" w:type="dxa"/>
          </w:tcPr>
          <w:p w14:paraId="29F6EA8C">
            <w:pPr>
              <w:pStyle w:val="17"/>
              <w:spacing w:line="600" w:lineRule="exact"/>
              <w:rPr>
                <w:rFonts w:hint="eastAsia" w:asciiTheme="minorEastAsia" w:hAnsiTheme="minorEastAsia" w:eastAsiaTheme="minorEastAsia" w:cstheme="minorEastAsia"/>
                <w:color w:val="000000"/>
                <w:szCs w:val="24"/>
                <w:highlight w:val="none"/>
              </w:rPr>
            </w:pPr>
          </w:p>
        </w:tc>
        <w:tc>
          <w:tcPr>
            <w:tcW w:w="2171" w:type="dxa"/>
          </w:tcPr>
          <w:p w14:paraId="731E45E1">
            <w:pPr>
              <w:pStyle w:val="17"/>
              <w:spacing w:line="600" w:lineRule="exact"/>
              <w:rPr>
                <w:rFonts w:hint="eastAsia" w:asciiTheme="minorEastAsia" w:hAnsiTheme="minorEastAsia" w:eastAsiaTheme="minorEastAsia" w:cstheme="minorEastAsia"/>
                <w:color w:val="000000"/>
                <w:szCs w:val="24"/>
                <w:highlight w:val="none"/>
              </w:rPr>
            </w:pPr>
          </w:p>
        </w:tc>
        <w:tc>
          <w:tcPr>
            <w:tcW w:w="1255" w:type="dxa"/>
          </w:tcPr>
          <w:p w14:paraId="43B264C5">
            <w:pPr>
              <w:pStyle w:val="17"/>
              <w:spacing w:line="600" w:lineRule="exact"/>
              <w:rPr>
                <w:rFonts w:hint="eastAsia" w:asciiTheme="minorEastAsia" w:hAnsiTheme="minorEastAsia" w:eastAsiaTheme="minorEastAsia" w:cstheme="minorEastAsia"/>
                <w:color w:val="000000"/>
                <w:szCs w:val="24"/>
                <w:highlight w:val="none"/>
              </w:rPr>
            </w:pPr>
          </w:p>
        </w:tc>
      </w:tr>
      <w:tr w14:paraId="2113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1" w:type="dxa"/>
          </w:tcPr>
          <w:p w14:paraId="53D5C747">
            <w:pPr>
              <w:pStyle w:val="17"/>
              <w:spacing w:line="600" w:lineRule="exact"/>
              <w:rPr>
                <w:rFonts w:hint="eastAsia" w:asciiTheme="minorEastAsia" w:hAnsiTheme="minorEastAsia" w:eastAsiaTheme="minorEastAsia" w:cstheme="minorEastAsia"/>
                <w:color w:val="000000"/>
                <w:szCs w:val="24"/>
                <w:highlight w:val="none"/>
              </w:rPr>
            </w:pPr>
          </w:p>
        </w:tc>
        <w:tc>
          <w:tcPr>
            <w:tcW w:w="1962" w:type="dxa"/>
          </w:tcPr>
          <w:p w14:paraId="3C3DA671">
            <w:pPr>
              <w:pStyle w:val="17"/>
              <w:spacing w:line="400" w:lineRule="exact"/>
              <w:rPr>
                <w:rFonts w:hint="eastAsia" w:asciiTheme="minorEastAsia" w:hAnsiTheme="minorEastAsia" w:eastAsiaTheme="minorEastAsia" w:cstheme="minorEastAsia"/>
                <w:color w:val="000000"/>
                <w:szCs w:val="24"/>
                <w:highlight w:val="none"/>
              </w:rPr>
            </w:pPr>
          </w:p>
        </w:tc>
        <w:tc>
          <w:tcPr>
            <w:tcW w:w="2758" w:type="dxa"/>
          </w:tcPr>
          <w:p w14:paraId="57D3BF7F">
            <w:pPr>
              <w:pStyle w:val="17"/>
              <w:spacing w:line="600" w:lineRule="exact"/>
              <w:rPr>
                <w:rFonts w:hint="eastAsia" w:asciiTheme="minorEastAsia" w:hAnsiTheme="minorEastAsia" w:eastAsiaTheme="minorEastAsia" w:cstheme="minorEastAsia"/>
                <w:color w:val="000000"/>
                <w:szCs w:val="24"/>
                <w:highlight w:val="none"/>
              </w:rPr>
            </w:pPr>
          </w:p>
        </w:tc>
        <w:tc>
          <w:tcPr>
            <w:tcW w:w="2171" w:type="dxa"/>
          </w:tcPr>
          <w:p w14:paraId="00035D7F">
            <w:pPr>
              <w:pStyle w:val="17"/>
              <w:spacing w:line="600" w:lineRule="exact"/>
              <w:rPr>
                <w:rFonts w:hint="eastAsia" w:asciiTheme="minorEastAsia" w:hAnsiTheme="minorEastAsia" w:eastAsiaTheme="minorEastAsia" w:cstheme="minorEastAsia"/>
                <w:color w:val="000000"/>
                <w:szCs w:val="24"/>
                <w:highlight w:val="none"/>
              </w:rPr>
            </w:pPr>
          </w:p>
        </w:tc>
        <w:tc>
          <w:tcPr>
            <w:tcW w:w="1255" w:type="dxa"/>
          </w:tcPr>
          <w:p w14:paraId="0EA6323B">
            <w:pPr>
              <w:pStyle w:val="17"/>
              <w:spacing w:line="600" w:lineRule="exact"/>
              <w:rPr>
                <w:rFonts w:hint="eastAsia" w:asciiTheme="minorEastAsia" w:hAnsiTheme="minorEastAsia" w:eastAsiaTheme="minorEastAsia" w:cstheme="minorEastAsia"/>
                <w:color w:val="000000"/>
                <w:szCs w:val="24"/>
                <w:highlight w:val="none"/>
              </w:rPr>
            </w:pPr>
          </w:p>
        </w:tc>
      </w:tr>
      <w:tr w14:paraId="7ECD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11" w:type="dxa"/>
          </w:tcPr>
          <w:p w14:paraId="09BDA073">
            <w:pPr>
              <w:pStyle w:val="17"/>
              <w:spacing w:line="600" w:lineRule="exact"/>
              <w:rPr>
                <w:rFonts w:hint="eastAsia" w:asciiTheme="minorEastAsia" w:hAnsiTheme="minorEastAsia" w:eastAsiaTheme="minorEastAsia" w:cstheme="minorEastAsia"/>
                <w:color w:val="000000"/>
                <w:szCs w:val="24"/>
                <w:highlight w:val="none"/>
              </w:rPr>
            </w:pPr>
          </w:p>
        </w:tc>
        <w:tc>
          <w:tcPr>
            <w:tcW w:w="1962" w:type="dxa"/>
          </w:tcPr>
          <w:p w14:paraId="1C4AC22C">
            <w:pPr>
              <w:pStyle w:val="17"/>
              <w:spacing w:line="400" w:lineRule="exact"/>
              <w:rPr>
                <w:rFonts w:hint="eastAsia" w:asciiTheme="minorEastAsia" w:hAnsiTheme="minorEastAsia" w:eastAsiaTheme="minorEastAsia" w:cstheme="minorEastAsia"/>
                <w:color w:val="000000"/>
                <w:szCs w:val="24"/>
                <w:highlight w:val="none"/>
              </w:rPr>
            </w:pPr>
          </w:p>
        </w:tc>
        <w:tc>
          <w:tcPr>
            <w:tcW w:w="2758" w:type="dxa"/>
          </w:tcPr>
          <w:p w14:paraId="399A860E">
            <w:pPr>
              <w:pStyle w:val="17"/>
              <w:spacing w:line="600" w:lineRule="exact"/>
              <w:rPr>
                <w:rFonts w:hint="eastAsia" w:asciiTheme="minorEastAsia" w:hAnsiTheme="minorEastAsia" w:eastAsiaTheme="minorEastAsia" w:cstheme="minorEastAsia"/>
                <w:color w:val="000000"/>
                <w:szCs w:val="24"/>
                <w:highlight w:val="none"/>
              </w:rPr>
            </w:pPr>
          </w:p>
        </w:tc>
        <w:tc>
          <w:tcPr>
            <w:tcW w:w="2171" w:type="dxa"/>
          </w:tcPr>
          <w:p w14:paraId="73C0B0D8">
            <w:pPr>
              <w:pStyle w:val="17"/>
              <w:spacing w:line="600" w:lineRule="exact"/>
              <w:rPr>
                <w:rFonts w:hint="eastAsia" w:asciiTheme="minorEastAsia" w:hAnsiTheme="minorEastAsia" w:eastAsiaTheme="minorEastAsia" w:cstheme="minorEastAsia"/>
                <w:color w:val="000000"/>
                <w:szCs w:val="24"/>
                <w:highlight w:val="none"/>
              </w:rPr>
            </w:pPr>
          </w:p>
        </w:tc>
        <w:tc>
          <w:tcPr>
            <w:tcW w:w="1255" w:type="dxa"/>
          </w:tcPr>
          <w:p w14:paraId="76A0EB6C">
            <w:pPr>
              <w:pStyle w:val="17"/>
              <w:spacing w:line="600" w:lineRule="exact"/>
              <w:rPr>
                <w:rFonts w:hint="eastAsia" w:asciiTheme="minorEastAsia" w:hAnsiTheme="minorEastAsia" w:eastAsiaTheme="minorEastAsia" w:cstheme="minorEastAsia"/>
                <w:color w:val="000000"/>
                <w:szCs w:val="24"/>
                <w:highlight w:val="none"/>
              </w:rPr>
            </w:pPr>
          </w:p>
        </w:tc>
      </w:tr>
    </w:tbl>
    <w:p w14:paraId="0B7BFD44">
      <w:pPr>
        <w:autoSpaceDE w:val="0"/>
        <w:autoSpaceDN w:val="0"/>
        <w:adjustRightInd w:val="0"/>
        <w:snapToGrid w:val="0"/>
        <w:spacing w:line="420" w:lineRule="exact"/>
        <w:rPr>
          <w:rFonts w:hint="eastAsia"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说明：</w:t>
      </w:r>
    </w:p>
    <w:p w14:paraId="6BED93E4">
      <w:pPr>
        <w:autoSpaceDE w:val="0"/>
        <w:autoSpaceDN w:val="0"/>
        <w:adjustRightInd w:val="0"/>
        <w:snapToGrid w:val="0"/>
        <w:spacing w:line="420" w:lineRule="exact"/>
        <w:rPr>
          <w:rFonts w:hint="eastAsia" w:asciiTheme="minorEastAsia" w:hAnsiTheme="minorEastAsia" w:eastAsiaTheme="minorEastAsia" w:cstheme="minorEastAsia"/>
          <w:b/>
          <w:bCs/>
          <w:color w:val="000000"/>
          <w:szCs w:val="24"/>
          <w:highlight w:val="none"/>
          <w:lang w:val="zh-CN"/>
        </w:rPr>
      </w:pPr>
      <w:r>
        <w:rPr>
          <w:rFonts w:hint="eastAsia" w:asciiTheme="minorEastAsia" w:hAnsiTheme="minorEastAsia" w:eastAsiaTheme="minorEastAsia" w:cstheme="minorEastAsia"/>
          <w:b/>
          <w:bCs/>
          <w:color w:val="000000"/>
          <w:szCs w:val="24"/>
          <w:highlight w:val="none"/>
          <w:lang w:val="zh-CN"/>
        </w:rPr>
        <w:t>1.本表只填写磋商响应文件中与</w:t>
      </w:r>
      <w:r>
        <w:rPr>
          <w:rFonts w:hint="eastAsia" w:asciiTheme="minorEastAsia" w:hAnsiTheme="minorEastAsia" w:cstheme="minorEastAsia"/>
          <w:b/>
          <w:bCs/>
          <w:color w:val="000000"/>
          <w:szCs w:val="24"/>
          <w:highlight w:val="none"/>
          <w:lang w:val="en-US" w:eastAsia="zh-CN"/>
        </w:rPr>
        <w:t>竞争性</w:t>
      </w:r>
      <w:r>
        <w:rPr>
          <w:rFonts w:hint="eastAsia" w:asciiTheme="minorEastAsia" w:hAnsiTheme="minorEastAsia" w:eastAsiaTheme="minorEastAsia" w:cstheme="minorEastAsia"/>
          <w:b/>
          <w:bCs/>
          <w:color w:val="000000"/>
          <w:szCs w:val="24"/>
          <w:highlight w:val="none"/>
          <w:lang w:val="zh-CN"/>
        </w:rPr>
        <w:t>磋商文件有偏离（包括正偏离和负偏离）的内容，磋商响应文件中商务条款响应与</w:t>
      </w:r>
      <w:r>
        <w:rPr>
          <w:rFonts w:hint="eastAsia" w:asciiTheme="minorEastAsia" w:hAnsiTheme="minorEastAsia" w:cstheme="minorEastAsia"/>
          <w:b/>
          <w:bCs/>
          <w:color w:val="000000"/>
          <w:szCs w:val="24"/>
          <w:highlight w:val="none"/>
          <w:lang w:val="en-US" w:eastAsia="zh-CN"/>
        </w:rPr>
        <w:t>竞争性</w:t>
      </w:r>
      <w:r>
        <w:rPr>
          <w:rFonts w:hint="eastAsia" w:asciiTheme="minorEastAsia" w:hAnsiTheme="minorEastAsia" w:eastAsiaTheme="minorEastAsia" w:cstheme="minorEastAsia"/>
          <w:b/>
          <w:bCs/>
          <w:color w:val="000000"/>
          <w:szCs w:val="24"/>
          <w:highlight w:val="none"/>
          <w:lang w:val="zh-CN"/>
        </w:rPr>
        <w:t xml:space="preserve">磋商文件要求完全一致的，不用在此表中列出，但必须提交空白表。 </w:t>
      </w:r>
    </w:p>
    <w:p w14:paraId="206C0F7C">
      <w:pPr>
        <w:autoSpaceDE w:val="0"/>
        <w:autoSpaceDN w:val="0"/>
        <w:adjustRightInd w:val="0"/>
        <w:snapToGrid w:val="0"/>
        <w:spacing w:line="420" w:lineRule="exact"/>
        <w:rPr>
          <w:rFonts w:hint="eastAsia" w:asciiTheme="minorEastAsia" w:hAnsiTheme="minorEastAsia" w:eastAsiaTheme="minorEastAsia" w:cstheme="minorEastAsia"/>
          <w:b/>
          <w:bCs/>
          <w:color w:val="000000"/>
          <w:szCs w:val="24"/>
          <w:highlight w:val="none"/>
        </w:rPr>
      </w:pPr>
      <w:r>
        <w:rPr>
          <w:rFonts w:hint="eastAsia" w:asciiTheme="minorEastAsia" w:hAnsiTheme="minorEastAsia" w:eastAsiaTheme="minorEastAsia" w:cstheme="minorEastAsia"/>
          <w:b/>
          <w:bCs/>
          <w:color w:val="000000"/>
          <w:szCs w:val="24"/>
          <w:highlight w:val="none"/>
          <w:lang w:val="zh-CN"/>
        </w:rPr>
        <w:t>2.供应商必须据实填写，不得虚假响应，否则将取消其磋商或成交资格，并按有关规定进处罚。</w:t>
      </w:r>
      <w:r>
        <w:rPr>
          <w:rFonts w:hint="eastAsia" w:asciiTheme="minorEastAsia" w:hAnsiTheme="minorEastAsia" w:eastAsiaTheme="minorEastAsia" w:cstheme="minorEastAsia"/>
          <w:b/>
          <w:bCs/>
          <w:color w:val="000000"/>
          <w:szCs w:val="24"/>
          <w:highlight w:val="none"/>
        </w:rPr>
        <w:t xml:space="preserve">                                      </w:t>
      </w:r>
    </w:p>
    <w:p w14:paraId="75B4E27F">
      <w:pPr>
        <w:spacing w:line="360" w:lineRule="auto"/>
        <w:rPr>
          <w:rFonts w:hint="eastAsia" w:asciiTheme="minorEastAsia" w:hAnsiTheme="minorEastAsia" w:eastAsiaTheme="minorEastAsia" w:cstheme="minorEastAsia"/>
          <w:szCs w:val="24"/>
          <w:highlight w:val="none"/>
          <w:lang w:val="zh-CN"/>
        </w:rPr>
      </w:pPr>
    </w:p>
    <w:p w14:paraId="61844961">
      <w:pPr>
        <w:spacing w:line="36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lang w:val="zh-CN"/>
        </w:rPr>
        <w:t>供应商</w:t>
      </w:r>
      <w:r>
        <w:rPr>
          <w:rFonts w:hint="eastAsia" w:asciiTheme="minorEastAsia" w:hAnsiTheme="minorEastAsia" w:eastAsiaTheme="minorEastAsia" w:cstheme="minorEastAsia"/>
          <w:szCs w:val="24"/>
          <w:highlight w:val="none"/>
        </w:rPr>
        <w:t>名称：</w:t>
      </w:r>
      <w:r>
        <w:rPr>
          <w:rFonts w:hint="eastAsia" w:asciiTheme="minorEastAsia" w:hAnsiTheme="minorEastAsia" w:eastAsiaTheme="minorEastAsia" w:cstheme="minorEastAsia"/>
          <w:szCs w:val="24"/>
          <w:highlight w:val="none"/>
          <w:u w:val="single"/>
        </w:rPr>
        <w:t xml:space="preserve">                       </w:t>
      </w:r>
      <w:r>
        <w:rPr>
          <w:rFonts w:hint="eastAsia" w:asciiTheme="minorEastAsia" w:hAnsiTheme="minorEastAsia" w:eastAsiaTheme="minorEastAsia" w:cstheme="minorEastAsia"/>
          <w:szCs w:val="24"/>
          <w:highlight w:val="none"/>
        </w:rPr>
        <w:t xml:space="preserve">（盖章） </w:t>
      </w:r>
    </w:p>
    <w:p w14:paraId="3F707965">
      <w:pPr>
        <w:spacing w:line="360" w:lineRule="auto"/>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法定代表人或</w:t>
      </w:r>
      <w:r>
        <w:rPr>
          <w:rFonts w:hint="eastAsia" w:asciiTheme="minorEastAsia" w:hAnsiTheme="minorEastAsia" w:eastAsiaTheme="minorEastAsia" w:cstheme="minorEastAsia"/>
          <w:highlight w:val="none"/>
          <w:lang w:val="en-US" w:eastAsia="zh-CN"/>
        </w:rPr>
        <w:t>被授权人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（签字或盖章）</w:t>
      </w:r>
    </w:p>
    <w:p w14:paraId="3A069F46">
      <w:pPr>
        <w:autoSpaceDE w:val="0"/>
        <w:autoSpaceDN w:val="0"/>
        <w:adjustRightInd w:val="0"/>
        <w:snapToGrid w:val="0"/>
        <w:spacing w:line="360" w:lineRule="auto"/>
        <w:rPr>
          <w:rFonts w:hint="eastAsia" w:asciiTheme="minorEastAsia" w:hAnsiTheme="minorEastAsia" w:eastAsiaTheme="minorEastAsia" w:cstheme="minorEastAsia"/>
          <w:bCs/>
          <w:caps/>
          <w:color w:val="000000"/>
          <w:highlight w:val="none"/>
        </w:rPr>
      </w:pPr>
      <w:r>
        <w:rPr>
          <w:rFonts w:hint="eastAsia" w:asciiTheme="minorEastAsia" w:hAnsiTheme="minorEastAsia" w:eastAsiaTheme="minorEastAsia" w:cstheme="minorEastAsia"/>
          <w:highlight w:val="none"/>
        </w:rPr>
        <w:t>日  期：</w:t>
      </w:r>
      <w:r>
        <w:rPr>
          <w:rFonts w:hint="eastAsia" w:asciiTheme="minorEastAsia" w:hAnsiTheme="minorEastAsia" w:eastAsiaTheme="minorEastAsia" w:cstheme="minorEastAsia"/>
          <w:color w:val="000000"/>
          <w:highlight w:val="none"/>
          <w:u w:val="single"/>
        </w:rPr>
        <w:t xml:space="preserve">          </w:t>
      </w:r>
      <w:r>
        <w:rPr>
          <w:rFonts w:hint="eastAsia" w:asciiTheme="minorEastAsia" w:hAnsiTheme="minorEastAsia" w:eastAsiaTheme="minorEastAsia" w:cstheme="minorEastAsia"/>
          <w:color w:val="000000"/>
          <w:highlight w:val="none"/>
        </w:rPr>
        <w:t>年</w:t>
      </w:r>
      <w:r>
        <w:rPr>
          <w:rFonts w:hint="eastAsia" w:asciiTheme="minorEastAsia" w:hAnsiTheme="minorEastAsia" w:eastAsiaTheme="minorEastAsia" w:cstheme="minorEastAsia"/>
          <w:color w:val="000000"/>
          <w:highlight w:val="none"/>
          <w:u w:val="single"/>
        </w:rPr>
        <w:t xml:space="preserve">         </w:t>
      </w:r>
      <w:r>
        <w:rPr>
          <w:rFonts w:hint="eastAsia" w:asciiTheme="minorEastAsia" w:hAnsiTheme="minorEastAsia" w:eastAsiaTheme="minorEastAsia" w:cstheme="minorEastAsia"/>
          <w:color w:val="000000"/>
          <w:highlight w:val="none"/>
        </w:rPr>
        <w:t>月</w:t>
      </w:r>
      <w:r>
        <w:rPr>
          <w:rFonts w:hint="eastAsia" w:asciiTheme="minorEastAsia" w:hAnsiTheme="minorEastAsia" w:eastAsiaTheme="minorEastAsia" w:cstheme="minorEastAsia"/>
          <w:color w:val="000000"/>
          <w:highlight w:val="none"/>
          <w:u w:val="single"/>
        </w:rPr>
        <w:t xml:space="preserve">         </w:t>
      </w:r>
      <w:r>
        <w:rPr>
          <w:rFonts w:hint="eastAsia" w:asciiTheme="minorEastAsia" w:hAnsiTheme="minorEastAsia" w:eastAsiaTheme="minorEastAsia" w:cstheme="minorEastAsia"/>
          <w:color w:val="000000"/>
          <w:highlight w:val="none"/>
        </w:rPr>
        <w:t>日</w:t>
      </w:r>
      <w:r>
        <w:rPr>
          <w:rFonts w:hint="eastAsia" w:asciiTheme="minorEastAsia" w:hAnsiTheme="minorEastAsia" w:eastAsiaTheme="minorEastAsia" w:cstheme="minorEastAsia"/>
          <w:bCs/>
          <w:caps/>
          <w:color w:val="000000"/>
          <w:highlight w:val="none"/>
        </w:rPr>
        <w:t xml:space="preserve"> </w:t>
      </w:r>
    </w:p>
    <w:bookmarkEnd w:id="90"/>
    <w:bookmarkEnd w:id="91"/>
    <w:bookmarkEnd w:id="92"/>
    <w:p w14:paraId="03F5B06E">
      <w:pPr>
        <w:rPr>
          <w:rFonts w:hint="eastAsia" w:ascii="宋体" w:hAnsi="宋体" w:eastAsia="宋体" w:cs="宋体"/>
          <w:b/>
          <w:color w:val="000000" w:themeColor="text1"/>
          <w:kern w:val="0"/>
          <w:sz w:val="28"/>
          <w:highlight w:val="none"/>
          <w14:textFill>
            <w14:solidFill>
              <w14:schemeClr w14:val="tx1"/>
            </w14:solidFill>
          </w14:textFill>
        </w:rPr>
      </w:pPr>
      <w:bookmarkStart w:id="97" w:name="_Toc188808839"/>
      <w:bookmarkStart w:id="98" w:name="_Toc237"/>
      <w:bookmarkStart w:id="99" w:name="_Toc193126888"/>
      <w:bookmarkStart w:id="100" w:name="_Toc458617477"/>
      <w:bookmarkStart w:id="101" w:name="_Toc193187104"/>
      <w:bookmarkStart w:id="102" w:name="_Toc194663925"/>
      <w:bookmarkStart w:id="103" w:name="_Toc13908"/>
      <w:r>
        <w:rPr>
          <w:rFonts w:hint="eastAsia" w:ascii="宋体" w:hAnsi="宋体" w:eastAsia="宋体" w:cs="宋体"/>
          <w:b/>
          <w:color w:val="000000" w:themeColor="text1"/>
          <w:kern w:val="0"/>
          <w:sz w:val="28"/>
          <w:highlight w:val="none"/>
          <w14:textFill>
            <w14:solidFill>
              <w14:schemeClr w14:val="tx1"/>
            </w14:solidFill>
          </w14:textFill>
        </w:rPr>
        <w:br w:type="page"/>
      </w:r>
    </w:p>
    <w:p w14:paraId="7911C4C9">
      <w:pPr>
        <w:pStyle w:val="13"/>
        <w:jc w:val="center"/>
        <w:rPr>
          <w:rFonts w:hint="eastAsia" w:ascii="宋体" w:hAnsi="宋体" w:eastAsia="宋体" w:cs="宋体"/>
          <w:b/>
          <w:color w:val="000000" w:themeColor="text1"/>
          <w:kern w:val="0"/>
          <w:sz w:val="28"/>
          <w:highlight w:val="none"/>
          <w14:textFill>
            <w14:solidFill>
              <w14:schemeClr w14:val="tx1"/>
            </w14:solidFill>
          </w14:textFill>
        </w:rPr>
      </w:pPr>
      <w:r>
        <w:rPr>
          <w:rFonts w:hint="eastAsia" w:ascii="宋体" w:hAnsi="宋体" w:eastAsia="宋体" w:cs="宋体"/>
          <w:b/>
          <w:color w:val="000000" w:themeColor="text1"/>
          <w:kern w:val="0"/>
          <w:sz w:val="28"/>
          <w:highlight w:val="none"/>
          <w:lang w:val="en-US" w:eastAsia="zh-CN"/>
          <w14:textFill>
            <w14:solidFill>
              <w14:schemeClr w14:val="tx1"/>
            </w14:solidFill>
          </w14:textFill>
        </w:rPr>
        <w:t>4</w:t>
      </w:r>
      <w:r>
        <w:rPr>
          <w:rFonts w:hint="eastAsia" w:ascii="宋体" w:hAnsi="宋体" w:eastAsia="宋体" w:cs="宋体"/>
          <w:b/>
          <w:color w:val="000000" w:themeColor="text1"/>
          <w:kern w:val="0"/>
          <w:sz w:val="28"/>
          <w:highlight w:val="none"/>
          <w14:textFill>
            <w14:solidFill>
              <w14:schemeClr w14:val="tx1"/>
            </w14:solidFill>
          </w14:textFill>
        </w:rPr>
        <w:t>.供应商承诺书</w:t>
      </w:r>
    </w:p>
    <w:p w14:paraId="25360CA9">
      <w:pPr>
        <w:spacing w:line="360" w:lineRule="auto"/>
        <w:jc w:val="center"/>
        <w:rPr>
          <w:rFonts w:hint="eastAsia" w:ascii="宋体" w:hAnsi="宋体" w:eastAsia="宋体" w:cs="宋体"/>
          <w:b/>
          <w:bCs/>
          <w:color w:val="000000" w:themeColor="text1"/>
          <w:szCs w:val="24"/>
          <w:highlight w:val="none"/>
          <w14:textFill>
            <w14:solidFill>
              <w14:schemeClr w14:val="tx1"/>
            </w14:solidFill>
          </w14:textFill>
        </w:rPr>
      </w:pPr>
    </w:p>
    <w:p w14:paraId="37DD229B">
      <w:pPr>
        <w:spacing w:line="720" w:lineRule="auto"/>
        <w:jc w:val="center"/>
        <w:rPr>
          <w:rFonts w:hint="eastAsia"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lang w:val="en-US" w:eastAsia="zh-CN"/>
          <w14:textFill>
            <w14:solidFill>
              <w14:schemeClr w14:val="tx1"/>
            </w14:solidFill>
          </w14:textFill>
        </w:rPr>
        <w:t>4</w:t>
      </w:r>
      <w:r>
        <w:rPr>
          <w:rFonts w:hint="eastAsia" w:ascii="宋体" w:hAnsi="宋体" w:eastAsia="宋体" w:cs="宋体"/>
          <w:b/>
          <w:bCs/>
          <w:color w:val="000000" w:themeColor="text1"/>
          <w:szCs w:val="24"/>
          <w:highlight w:val="none"/>
          <w14:textFill>
            <w14:solidFill>
              <w14:schemeClr w14:val="tx1"/>
            </w14:solidFill>
          </w14:textFill>
        </w:rPr>
        <w:t>.1陕西省政府采购供应商拒绝政府采购领域商业贿赂承诺书</w:t>
      </w:r>
    </w:p>
    <w:p w14:paraId="6C7950A8">
      <w:pPr>
        <w:widowControl/>
        <w:spacing w:line="48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Cs w:val="24"/>
          <w:highlight w:val="none"/>
          <w:lang w:bidi="ar"/>
        </w:rPr>
        <w:t xml:space="preserve">为响应党中央、国务院关于治理政府采购领域商业贿赂行为的号召，我单位作为 </w:t>
      </w:r>
      <w:r>
        <w:rPr>
          <w:rFonts w:hint="eastAsia" w:ascii="宋体" w:hAnsi="宋体" w:eastAsia="宋体" w:cs="宋体"/>
          <w:color w:val="000000"/>
          <w:kern w:val="0"/>
          <w:szCs w:val="24"/>
          <w:highlight w:val="none"/>
          <w:u w:val="single"/>
          <w:lang w:bidi="ar"/>
        </w:rPr>
        <w:t xml:space="preserve">              </w:t>
      </w:r>
      <w:r>
        <w:rPr>
          <w:rFonts w:hint="eastAsia" w:ascii="宋体" w:hAnsi="宋体" w:eastAsia="宋体" w:cs="宋体"/>
          <w:color w:val="000000"/>
          <w:kern w:val="0"/>
          <w:szCs w:val="24"/>
          <w:highlight w:val="none"/>
          <w:lang w:bidi="ar"/>
        </w:rPr>
        <w:t>（项目名称）的供应商，在此庄严承诺：</w:t>
      </w:r>
    </w:p>
    <w:p w14:paraId="01A5FDD6">
      <w:pPr>
        <w:widowControl/>
        <w:spacing w:line="48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Cs w:val="24"/>
          <w:highlight w:val="none"/>
          <w:lang w:bidi="ar"/>
        </w:rPr>
        <w:t>1、在参与政府采购活动中遵纪守法、诚信经营、公平竞标。</w:t>
      </w:r>
    </w:p>
    <w:p w14:paraId="4F3A71BC">
      <w:pPr>
        <w:widowControl/>
        <w:spacing w:line="48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Cs w:val="24"/>
          <w:highlight w:val="none"/>
          <w:lang w:bidi="ar"/>
        </w:rPr>
        <w:t>2、不向采购人、采购代理机构和政府采购评审专家进行任何形式的商业贿赂以谋取交易机会。</w:t>
      </w:r>
    </w:p>
    <w:p w14:paraId="3FE574EE">
      <w:pPr>
        <w:widowControl/>
        <w:spacing w:line="48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Cs w:val="24"/>
          <w:highlight w:val="none"/>
          <w:lang w:bidi="ar"/>
        </w:rPr>
        <w:t>3、不向政府采购采购代理机构和采购人提供虚假资质文件或采用虚假应标方式参与政府采购市场竞争并谋取中标、成交。</w:t>
      </w:r>
    </w:p>
    <w:p w14:paraId="03A74228">
      <w:pPr>
        <w:widowControl/>
        <w:spacing w:line="48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Cs w:val="24"/>
          <w:highlight w:val="none"/>
          <w:lang w:bidi="ar"/>
        </w:rPr>
        <w:t>4、不采取“围标、陪标”等商业欺诈手段获得政府采购定单。</w:t>
      </w:r>
    </w:p>
    <w:p w14:paraId="29A257AC">
      <w:pPr>
        <w:widowControl/>
        <w:spacing w:line="48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Cs w:val="24"/>
          <w:highlight w:val="none"/>
          <w:lang w:bidi="ar"/>
        </w:rPr>
        <w:t>5、不采取不正当手段低毁、排挤其他供应商。</w:t>
      </w:r>
    </w:p>
    <w:p w14:paraId="04B97F55">
      <w:pPr>
        <w:widowControl/>
        <w:spacing w:line="48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Cs w:val="24"/>
          <w:highlight w:val="none"/>
          <w:lang w:bidi="ar"/>
        </w:rPr>
        <w:t>6、不在提供商品和服务时“偷梁换柱、以次充好”损害采购人的合法权益。</w:t>
      </w:r>
    </w:p>
    <w:p w14:paraId="795E396C">
      <w:pPr>
        <w:widowControl/>
        <w:spacing w:line="48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Cs w:val="24"/>
          <w:highlight w:val="none"/>
          <w:lang w:bidi="ar"/>
        </w:rPr>
        <w:t>7、不与采购人、采购代理机构政府采购评审专家或其它供应商恶意串通，进行质疑和投诉，维护政府采购市场秩序。</w:t>
      </w:r>
    </w:p>
    <w:p w14:paraId="0C0E9BFB">
      <w:pPr>
        <w:widowControl/>
        <w:spacing w:line="48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Cs w:val="24"/>
          <w:highlight w:val="none"/>
          <w:lang w:bidi="ar"/>
        </w:rPr>
        <w:t>8、尊重和接受政府采购监督管理部门的监督和政府采购代理机构招标要求，承担因违约行为给采购人造成的损失。</w:t>
      </w:r>
    </w:p>
    <w:p w14:paraId="40AC8591">
      <w:pPr>
        <w:widowControl/>
        <w:spacing w:line="48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Cs w:val="24"/>
          <w:highlight w:val="none"/>
          <w:lang w:bidi="ar"/>
        </w:rPr>
        <w:t>9、不发生其他有悖于政府采购公开、公平、公正和诚信原则的行为。</w:t>
      </w:r>
    </w:p>
    <w:p w14:paraId="08F809AD">
      <w:pPr>
        <w:widowControl/>
        <w:spacing w:line="480" w:lineRule="auto"/>
        <w:jc w:val="left"/>
        <w:rPr>
          <w:rFonts w:hint="eastAsia" w:ascii="宋体" w:hAnsi="宋体" w:eastAsia="宋体" w:cs="宋体"/>
          <w:color w:val="000000"/>
          <w:kern w:val="0"/>
          <w:szCs w:val="24"/>
          <w:highlight w:val="none"/>
          <w:lang w:bidi="ar"/>
        </w:rPr>
      </w:pPr>
    </w:p>
    <w:p w14:paraId="0A502A5D">
      <w:pPr>
        <w:widowControl/>
        <w:spacing w:line="480" w:lineRule="auto"/>
        <w:ind w:firstLine="4800" w:firstLineChars="2000"/>
        <w:jc w:val="left"/>
        <w:rPr>
          <w:rFonts w:hint="eastAsia" w:ascii="宋体" w:hAnsi="宋体" w:eastAsia="宋体" w:cs="宋体"/>
          <w:color w:val="000000"/>
          <w:kern w:val="0"/>
          <w:szCs w:val="24"/>
          <w:highlight w:val="none"/>
          <w:lang w:bidi="ar"/>
        </w:rPr>
      </w:pPr>
      <w:r>
        <w:rPr>
          <w:rFonts w:hint="eastAsia" w:ascii="宋体" w:hAnsi="宋体" w:eastAsia="宋体" w:cs="宋体"/>
          <w:color w:val="000000"/>
          <w:kern w:val="0"/>
          <w:szCs w:val="24"/>
          <w:highlight w:val="none"/>
          <w:lang w:bidi="ar"/>
        </w:rPr>
        <w:t>承诺单位：（盖章）</w:t>
      </w:r>
    </w:p>
    <w:p w14:paraId="00C890CB">
      <w:pPr>
        <w:widowControl/>
        <w:spacing w:line="480" w:lineRule="auto"/>
        <w:ind w:firstLine="4800" w:firstLineChars="2000"/>
        <w:jc w:val="left"/>
        <w:rPr>
          <w:rFonts w:hint="eastAsia" w:ascii="宋体" w:hAnsi="宋体" w:eastAsia="宋体" w:cs="宋体"/>
          <w:color w:val="000000"/>
          <w:kern w:val="0"/>
          <w:szCs w:val="24"/>
          <w:highlight w:val="none"/>
          <w:lang w:bidi="ar"/>
        </w:rPr>
      </w:pPr>
      <w:r>
        <w:rPr>
          <w:rFonts w:hint="eastAsia" w:ascii="宋体" w:hAnsi="宋体" w:eastAsia="宋体" w:cs="宋体"/>
          <w:color w:val="000000"/>
          <w:kern w:val="0"/>
          <w:szCs w:val="24"/>
          <w:highlight w:val="none"/>
          <w:lang w:bidi="ar"/>
        </w:rPr>
        <w:t xml:space="preserve">    年   月   日</w:t>
      </w:r>
    </w:p>
    <w:p w14:paraId="186E1A97">
      <w:pPr>
        <w:rPr>
          <w:rFonts w:hint="eastAsia" w:ascii="宋体" w:hAnsi="宋体" w:eastAsia="宋体" w:cs="宋体"/>
          <w:color w:val="000000"/>
          <w:kern w:val="0"/>
          <w:szCs w:val="24"/>
          <w:highlight w:val="none"/>
          <w:lang w:bidi="ar"/>
        </w:rPr>
      </w:pPr>
      <w:r>
        <w:rPr>
          <w:rFonts w:hint="eastAsia" w:ascii="宋体" w:hAnsi="宋体" w:eastAsia="宋体" w:cs="宋体"/>
          <w:color w:val="000000"/>
          <w:kern w:val="0"/>
          <w:szCs w:val="24"/>
          <w:highlight w:val="none"/>
          <w:lang w:bidi="ar"/>
        </w:rPr>
        <w:br w:type="page"/>
      </w:r>
    </w:p>
    <w:p w14:paraId="35D71828">
      <w:pPr>
        <w:spacing w:line="360" w:lineRule="auto"/>
        <w:jc w:val="center"/>
        <w:rPr>
          <w:rFonts w:hint="eastAsia"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lang w:val="en-US" w:eastAsia="zh-CN"/>
          <w14:textFill>
            <w14:solidFill>
              <w14:schemeClr w14:val="tx1"/>
            </w14:solidFill>
          </w14:textFill>
        </w:rPr>
        <w:t>4</w:t>
      </w:r>
      <w:r>
        <w:rPr>
          <w:rFonts w:hint="eastAsia" w:ascii="宋体" w:hAnsi="宋体" w:eastAsia="宋体" w:cs="宋体"/>
          <w:b/>
          <w:bCs/>
          <w:color w:val="000000" w:themeColor="text1"/>
          <w:szCs w:val="24"/>
          <w:highlight w:val="none"/>
          <w14:textFill>
            <w14:solidFill>
              <w14:schemeClr w14:val="tx1"/>
            </w14:solidFill>
          </w14:textFill>
        </w:rPr>
        <w:t>.2宝鸡市政府采购供应商诚信承诺书</w:t>
      </w:r>
    </w:p>
    <w:p w14:paraId="4C838F50">
      <w:pPr>
        <w:spacing w:line="360" w:lineRule="auto"/>
        <w:jc w:val="left"/>
        <w:rPr>
          <w:rFonts w:hint="eastAsia" w:ascii="宋体" w:hAnsi="宋体" w:eastAsia="宋体" w:cs="宋体"/>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w:t>
      </w:r>
      <w:r>
        <w:rPr>
          <w:rFonts w:hint="eastAsia" w:ascii="宋体" w:hAnsi="宋体" w:eastAsia="宋体" w:cs="宋体"/>
          <w:color w:val="000000" w:themeColor="text1"/>
          <w:szCs w:val="24"/>
          <w:highlight w:val="none"/>
          <w:u w:val="single"/>
          <w:lang w:val="zh-CN"/>
          <w14:textFill>
            <w14:solidFill>
              <w14:schemeClr w14:val="tx1"/>
            </w14:solidFill>
          </w14:textFill>
        </w:rPr>
        <w:t>（采购人或采购代理机构名称）</w:t>
      </w:r>
    </w:p>
    <w:p w14:paraId="7F62DDFE">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统一社会信用代码为</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的我方</w:t>
      </w:r>
      <w:r>
        <w:rPr>
          <w:rFonts w:hint="eastAsia" w:ascii="宋体" w:hAnsi="宋体" w:eastAsia="宋体" w:cs="宋体"/>
          <w:color w:val="000000" w:themeColor="text1"/>
          <w:szCs w:val="24"/>
          <w:highlight w:val="none"/>
          <w:u w:val="single"/>
          <w:lang w:val="zh-CN"/>
          <w14:textFill>
            <w14:solidFill>
              <w14:schemeClr w14:val="tx1"/>
            </w14:solidFill>
          </w14:textFill>
        </w:rPr>
        <w:t>（供应商名称）</w:t>
      </w:r>
      <w:r>
        <w:rPr>
          <w:rFonts w:hint="eastAsia" w:ascii="宋体" w:hAnsi="宋体" w:eastAsia="宋体" w:cs="宋体"/>
          <w:color w:val="000000" w:themeColor="text1"/>
          <w:szCs w:val="24"/>
          <w:highlight w:val="none"/>
          <w:lang w:val="zh-CN"/>
          <w14:textFill>
            <w14:solidFill>
              <w14:schemeClr w14:val="tx1"/>
            </w14:solidFill>
          </w14:textFill>
        </w:rPr>
        <w:t>自愿参加贵单位组织的编号为</w:t>
      </w:r>
      <w:r>
        <w:rPr>
          <w:rFonts w:hint="eastAsia" w:ascii="宋体" w:hAnsi="宋体" w:eastAsia="宋体" w:cs="宋体"/>
          <w:color w:val="000000" w:themeColor="text1"/>
          <w:szCs w:val="24"/>
          <w:highlight w:val="none"/>
          <w:u w:val="single"/>
          <w:lang w:val="zh-CN"/>
          <w14:textFill>
            <w14:solidFill>
              <w14:schemeClr w14:val="tx1"/>
            </w14:solidFill>
          </w14:textFill>
        </w:rPr>
        <w:t>（采购项目编号）</w:t>
      </w:r>
      <w:r>
        <w:rPr>
          <w:rFonts w:hint="eastAsia" w:ascii="宋体" w:hAnsi="宋体" w:eastAsia="宋体" w:cs="宋体"/>
          <w:color w:val="000000" w:themeColor="text1"/>
          <w:szCs w:val="24"/>
          <w:highlight w:val="none"/>
          <w:lang w:val="zh-CN"/>
          <w14:textFill>
            <w14:solidFill>
              <w14:schemeClr w14:val="tx1"/>
            </w14:solidFill>
          </w14:textFill>
        </w:rPr>
        <w:t>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（采购项目名称）</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的政府采购活动，我方已知悉并理解本项目</w:t>
      </w:r>
      <w:r>
        <w:rPr>
          <w:rFonts w:hint="eastAsia" w:ascii="宋体" w:hAnsi="宋体" w:eastAsia="宋体" w:cs="宋体"/>
          <w:color w:val="000000" w:themeColor="text1"/>
          <w:szCs w:val="24"/>
          <w:highlight w:val="none"/>
          <w14:textFill>
            <w14:solidFill>
              <w14:schemeClr w14:val="tx1"/>
            </w14:solidFill>
          </w14:textFill>
        </w:rPr>
        <w:t>竞争性磋商文件</w:t>
      </w:r>
      <w:r>
        <w:rPr>
          <w:rFonts w:hint="eastAsia" w:ascii="宋体" w:hAnsi="宋体" w:eastAsia="宋体" w:cs="宋体"/>
          <w:color w:val="000000" w:themeColor="text1"/>
          <w:szCs w:val="24"/>
          <w:highlight w:val="none"/>
          <w:lang w:val="zh-CN"/>
          <w14:textFill>
            <w14:solidFill>
              <w14:schemeClr w14:val="tx1"/>
            </w14:solidFill>
          </w14:textFill>
        </w:rPr>
        <w:t>的各项要求为贯彻公开、公平、公正和诚实信用的政府采购原则，共同维护宝鸡市政府采购市场良好秩序，我方郑重声明和承诺如下：</w:t>
      </w:r>
    </w:p>
    <w:p w14:paraId="1CC22DB8">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一、在参加本次政府采购活动中严格遵守《中</w:t>
      </w:r>
      <w:r>
        <w:rPr>
          <w:rFonts w:hint="eastAsia" w:ascii="宋体" w:hAnsi="宋体" w:eastAsia="宋体" w:cs="宋体"/>
          <w:color w:val="000000" w:themeColor="text1"/>
          <w:szCs w:val="24"/>
          <w:highlight w:val="none"/>
          <w:lang w:val="en-US" w:eastAsia="zh-CN"/>
          <w14:textFill>
            <w14:solidFill>
              <w14:schemeClr w14:val="tx1"/>
            </w14:solidFill>
          </w14:textFill>
        </w:rPr>
        <w:t>华</w:t>
      </w:r>
      <w:r>
        <w:rPr>
          <w:rFonts w:hint="eastAsia" w:ascii="宋体" w:hAnsi="宋体" w:eastAsia="宋体" w:cs="宋体"/>
          <w:color w:val="000000" w:themeColor="text1"/>
          <w:szCs w:val="24"/>
          <w:highlight w:val="none"/>
          <w:lang w:val="zh-CN"/>
          <w14:textFill>
            <w14:solidFill>
              <w14:schemeClr w14:val="tx1"/>
            </w14:solidFill>
          </w14:textFill>
        </w:rPr>
        <w:t>人民共和国政府采购法》等法律、法规、规章及宝鸡市有关规定。</w:t>
      </w:r>
    </w:p>
    <w:p w14:paraId="58858D7B">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二、我方郑重声明，在参加本次政府采购活动前三年内，无因违法经营受到刑事处罚或者责令停产停业、吊销许可证或者执照较大数额罚款等重大违法记录。</w:t>
      </w:r>
    </w:p>
    <w:p w14:paraId="07B47AE0">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我方同时声明，在参加本次政府采购活动前，未被列入失信被执行人、重大税收违法案件当事人名单、政府采购严重违法失信行为记录名单，我方对以上声明的真实性负责，接受采购人、采购代理机构根据相关政策规定进行的信用记录查询。如发现以上声明不实，我方承担相应后果。</w:t>
      </w:r>
    </w:p>
    <w:p w14:paraId="1B9E1443">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三、我方郑重承诺，在参加本次政府采购活动中：</w:t>
      </w:r>
    </w:p>
    <w:p w14:paraId="6E3402AD">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(1）不向采购人、采购代理机构和评审专家提供任何形式的商业贿赂或者提供其他不正当利益。对索取或接受商业贿赂的单位和个人，及时向财政部门和监察机关举报；</w:t>
      </w:r>
    </w:p>
    <w:p w14:paraId="4D100847">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(2）不与其它供应商串通采取围标、陪标等商业欺诈手段谋取中标(成交)；</w:t>
      </w:r>
    </w:p>
    <w:p w14:paraId="3D523BBA">
      <w:pPr>
        <w:spacing w:line="360" w:lineRule="auto"/>
        <w:ind w:firstLine="374" w:firstLineChars="156"/>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3</w:t>
      </w:r>
      <w:r>
        <w:rPr>
          <w:rFonts w:hint="eastAsia" w:ascii="宋体" w:hAnsi="宋体" w:eastAsia="宋体" w:cs="宋体"/>
          <w:color w:val="000000" w:themeColor="text1"/>
          <w:szCs w:val="24"/>
          <w:highlight w:val="none"/>
          <w:lang w:val="zh-CN"/>
          <w14:textFill>
            <w14:solidFill>
              <w14:schemeClr w14:val="tx1"/>
            </w14:solidFill>
          </w14:textFill>
        </w:rPr>
        <w:t>）不出借或借用资质；</w:t>
      </w:r>
    </w:p>
    <w:p w14:paraId="1DF88D31">
      <w:pPr>
        <w:spacing w:line="360" w:lineRule="auto"/>
        <w:ind w:firstLine="374" w:firstLineChars="156"/>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）不与采购人、采购代理机构、评审专家恶意串通；</w:t>
      </w:r>
    </w:p>
    <w:p w14:paraId="24317F05">
      <w:pPr>
        <w:spacing w:line="360" w:lineRule="auto"/>
        <w:ind w:firstLine="374" w:firstLineChars="156"/>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）不采取不正当手段诋毁、排挤其他供应商；</w:t>
      </w:r>
    </w:p>
    <w:p w14:paraId="1E20817F">
      <w:pPr>
        <w:spacing w:line="360" w:lineRule="auto"/>
        <w:ind w:firstLine="374" w:firstLineChars="156"/>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6</w:t>
      </w:r>
      <w:r>
        <w:rPr>
          <w:rFonts w:hint="eastAsia" w:ascii="宋体" w:hAnsi="宋体" w:eastAsia="宋体" w:cs="宋体"/>
          <w:color w:val="000000" w:themeColor="text1"/>
          <w:szCs w:val="24"/>
          <w:highlight w:val="none"/>
          <w:lang w:val="zh-CN"/>
          <w14:textFill>
            <w14:solidFill>
              <w14:schemeClr w14:val="tx1"/>
            </w14:solidFill>
          </w14:textFill>
        </w:rPr>
        <w:t>）不以虚假材料谋取中标(成交)；</w:t>
      </w:r>
    </w:p>
    <w:p w14:paraId="024EC92A">
      <w:pPr>
        <w:spacing w:line="360" w:lineRule="auto"/>
        <w:ind w:firstLine="374" w:firstLineChars="156"/>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7</w:t>
      </w:r>
      <w:r>
        <w:rPr>
          <w:rFonts w:hint="eastAsia" w:ascii="宋体" w:hAnsi="宋体" w:eastAsia="宋体" w:cs="宋体"/>
          <w:color w:val="000000" w:themeColor="text1"/>
          <w:szCs w:val="24"/>
          <w:highlight w:val="none"/>
          <w:lang w:val="zh-CN"/>
          <w14:textFill>
            <w14:solidFill>
              <w14:schemeClr w14:val="tx1"/>
            </w14:solidFill>
          </w14:textFill>
        </w:rPr>
        <w:t>）不以低于成本价或恶意低价竞争；</w:t>
      </w:r>
    </w:p>
    <w:p w14:paraId="65F3F257">
      <w:pPr>
        <w:spacing w:line="360" w:lineRule="auto"/>
        <w:ind w:firstLine="374" w:firstLineChars="156"/>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8</w:t>
      </w:r>
      <w:r>
        <w:rPr>
          <w:rFonts w:hint="eastAsia" w:ascii="宋体" w:hAnsi="宋体" w:eastAsia="宋体" w:cs="宋体"/>
          <w:color w:val="000000" w:themeColor="text1"/>
          <w:szCs w:val="24"/>
          <w:highlight w:val="none"/>
          <w:lang w:val="zh-CN"/>
          <w14:textFill>
            <w14:solidFill>
              <w14:schemeClr w14:val="tx1"/>
            </w14:solidFill>
          </w14:textFill>
        </w:rPr>
        <w:t>）不与采购人在招标采购过程中进行协商谈判；</w:t>
      </w:r>
    </w:p>
    <w:p w14:paraId="3A8DF09E">
      <w:pPr>
        <w:spacing w:line="360" w:lineRule="auto"/>
        <w:ind w:firstLine="374" w:firstLineChars="156"/>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）中标或者成交后不得提供假冒伪劣产品；</w:t>
      </w:r>
    </w:p>
    <w:p w14:paraId="5264A894">
      <w:pPr>
        <w:spacing w:line="360" w:lineRule="auto"/>
        <w:ind w:firstLine="374" w:firstLineChars="156"/>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）中标或者成交后非因不可抗力不得变更投标(响应)文件中承诺的项目管理实施人员；</w:t>
      </w:r>
    </w:p>
    <w:p w14:paraId="4B63CF6E">
      <w:pPr>
        <w:spacing w:line="360" w:lineRule="auto"/>
        <w:ind w:firstLine="374" w:firstLineChars="156"/>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11</w:t>
      </w:r>
      <w:r>
        <w:rPr>
          <w:rFonts w:hint="eastAsia" w:ascii="宋体" w:hAnsi="宋体" w:eastAsia="宋体" w:cs="宋体"/>
          <w:color w:val="000000" w:themeColor="text1"/>
          <w:szCs w:val="24"/>
          <w:highlight w:val="none"/>
          <w:lang w:val="zh-CN"/>
          <w14:textFill>
            <w14:solidFill>
              <w14:schemeClr w14:val="tx1"/>
            </w14:solidFill>
          </w14:textFill>
        </w:rPr>
        <w:t>）中标或者成交后无正当理由不得拒不与采购人签订政府采购合同；</w:t>
      </w:r>
    </w:p>
    <w:p w14:paraId="67B2637C">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eastAsia="en-US"/>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不得有未</w:t>
      </w:r>
      <w:r>
        <w:rPr>
          <w:rFonts w:hint="eastAsia" w:ascii="宋体" w:hAnsi="宋体" w:eastAsia="宋体" w:cs="宋体"/>
          <w:color w:val="auto"/>
          <w:szCs w:val="24"/>
          <w:highlight w:val="none"/>
          <w:lang w:val="zh-CN"/>
        </w:rPr>
        <w:t>按照</w:t>
      </w:r>
      <w:r>
        <w:rPr>
          <w:rFonts w:hint="eastAsia" w:ascii="宋体" w:hAnsi="宋体" w:eastAsia="宋体" w:cs="宋体"/>
          <w:color w:val="auto"/>
          <w:szCs w:val="24"/>
          <w:highlight w:val="none"/>
        </w:rPr>
        <w:t>竞争性磋商文件</w:t>
      </w:r>
      <w:r>
        <w:rPr>
          <w:rFonts w:hint="eastAsia" w:ascii="宋体" w:hAnsi="宋体" w:eastAsia="宋体" w:cs="宋体"/>
          <w:color w:val="000000" w:themeColor="text1"/>
          <w:szCs w:val="24"/>
          <w:highlight w:val="none"/>
          <w:lang w:val="zh-CN"/>
          <w14:textFill>
            <w14:solidFill>
              <w14:schemeClr w14:val="tx1"/>
            </w14:solidFill>
          </w14:textFill>
        </w:rPr>
        <w:t>确定的事项与采购人签订政府采购合同，或者与采购人另行订立背离合同实质性内容协议的行为；</w:t>
      </w:r>
    </w:p>
    <w:p w14:paraId="06DD24CF">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(13）不转包或违法分包政府采购合同，不擅自变更.中止或者终止政府采购合同；</w:t>
      </w:r>
    </w:p>
    <w:p w14:paraId="1075EE76">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eastAsia="en-US"/>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不捏造事实、提供虚假材料或者以非法手段取得证明材料进行质疑投诉；</w:t>
      </w:r>
    </w:p>
    <w:p w14:paraId="63208979">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eastAsia="en-US"/>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15</w:t>
      </w:r>
      <w:r>
        <w:rPr>
          <w:rFonts w:hint="eastAsia" w:ascii="宋体" w:hAnsi="宋体" w:eastAsia="宋体" w:cs="宋体"/>
          <w:color w:val="000000" w:themeColor="text1"/>
          <w:szCs w:val="24"/>
          <w:highlight w:val="none"/>
          <w:lang w:val="zh-CN" w:eastAsia="en-US"/>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不得有拒绝有关部门监督检查或者提供虚假情况的行为；</w:t>
      </w:r>
    </w:p>
    <w:p w14:paraId="74DE59B6">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eastAsia="en-US"/>
          <w14:textFill>
            <w14:solidFill>
              <w14:schemeClr w14:val="tx1"/>
            </w14:solidFill>
          </w14:textFill>
        </w:rPr>
        <w:t>(16)</w:t>
      </w:r>
      <w:r>
        <w:rPr>
          <w:rFonts w:hint="eastAsia" w:ascii="宋体" w:hAnsi="宋体" w:eastAsia="宋体" w:cs="宋体"/>
          <w:color w:val="000000" w:themeColor="text1"/>
          <w:szCs w:val="24"/>
          <w:highlight w:val="none"/>
          <w:lang w:val="zh-CN"/>
          <w14:textFill>
            <w14:solidFill>
              <w14:schemeClr w14:val="tx1"/>
            </w14:solidFill>
          </w14:textFill>
        </w:rPr>
        <w:t>不得有其他违反国家法律法规和规章要求的违法犯罪或者失信行为。</w:t>
      </w:r>
    </w:p>
    <w:p w14:paraId="7F420CAD">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四、如有违反以上声明或者承诺之一情形的，我方知悉并接受采购人、采购代理机构和政府采购监督管理部门等政府职能部门将采取以下一种或几种方式追究我方责任：</w:t>
      </w:r>
    </w:p>
    <w:p w14:paraId="48F105E3">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1、投标(响应)无效；</w:t>
      </w:r>
    </w:p>
    <w:p w14:paraId="4D280747">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2、不予退还履约保证金；</w:t>
      </w:r>
    </w:p>
    <w:p w14:paraId="69256721">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3、约谈法人代表或者主要负责人，责令整改；</w:t>
      </w:r>
    </w:p>
    <w:p w14:paraId="2A3353C3">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4、中标(成交)无效；</w:t>
      </w:r>
    </w:p>
    <w:p w14:paraId="278BC870">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5、处以采购金额千分之五以上千分之十以下的罚款，列入不良行为记录名单，在一至三年内禁止参加政府采购活动；</w:t>
      </w:r>
    </w:p>
    <w:p w14:paraId="28CE77D5">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6、没收违法得所得；</w:t>
      </w:r>
    </w:p>
    <w:p w14:paraId="1F1A5A19">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7、吊销营业执照；</w:t>
      </w:r>
    </w:p>
    <w:p w14:paraId="0CA944CE">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8、政府相关部门的联合惩戒措施；</w:t>
      </w:r>
    </w:p>
    <w:p w14:paraId="365D9DFF">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9、追究民事责任；</w:t>
      </w:r>
    </w:p>
    <w:p w14:paraId="6EAB1F50">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10、追究刑事责任；</w:t>
      </w:r>
    </w:p>
    <w:p w14:paraId="03C31603">
      <w:pPr>
        <w:spacing w:line="360" w:lineRule="auto"/>
        <w:ind w:firstLine="480" w:firstLineChars="2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11、法律法规规定的其他处理处罚措施。</w:t>
      </w:r>
    </w:p>
    <w:p w14:paraId="7167E15E">
      <w:pPr>
        <w:spacing w:line="360" w:lineRule="auto"/>
        <w:ind w:firstLine="240" w:firstLineChars="1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单位名称（公章）：</w:t>
      </w:r>
    </w:p>
    <w:p w14:paraId="52F9F502">
      <w:pPr>
        <w:autoSpaceDE w:val="0"/>
        <w:autoSpaceDN w:val="0"/>
        <w:adjustRightInd w:val="0"/>
        <w:spacing w:line="360" w:lineRule="auto"/>
        <w:ind w:firstLine="240" w:firstLineChars="1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法定代表人或主要负责人（签字或盖章）：</w:t>
      </w:r>
    </w:p>
    <w:p w14:paraId="710A827E">
      <w:pPr>
        <w:autoSpaceDE w:val="0"/>
        <w:autoSpaceDN w:val="0"/>
        <w:adjustRightInd w:val="0"/>
        <w:spacing w:line="360" w:lineRule="auto"/>
        <w:ind w:firstLine="240" w:firstLineChars="1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法定代表人或主要负责人身份证复印件：</w:t>
      </w:r>
    </w:p>
    <w:p w14:paraId="6B104B86">
      <w:pPr>
        <w:autoSpaceDE w:val="0"/>
        <w:autoSpaceDN w:val="0"/>
        <w:adjustRightInd w:val="0"/>
        <w:spacing w:line="360" w:lineRule="auto"/>
        <w:ind w:firstLine="240" w:firstLineChars="1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法定代表人或主要负责人联系电话：</w:t>
      </w:r>
    </w:p>
    <w:p w14:paraId="6F7C4D8E">
      <w:pPr>
        <w:spacing w:line="360" w:lineRule="auto"/>
        <w:ind w:firstLine="240" w:firstLineChars="1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法定代表人或主要负责人邮箱：</w:t>
      </w:r>
    </w:p>
    <w:p w14:paraId="298E7585">
      <w:pPr>
        <w:pStyle w:val="13"/>
        <w:jc w:val="center"/>
        <w:rPr>
          <w:rFonts w:hint="eastAsia" w:ascii="宋体" w:hAnsi="宋体" w:eastAsia="宋体" w:cs="宋体"/>
          <w:b/>
          <w:color w:val="000000" w:themeColor="text1"/>
          <w:kern w:val="0"/>
          <w:sz w:val="28"/>
          <w:highlight w:val="none"/>
          <w14:textFill>
            <w14:solidFill>
              <w14:schemeClr w14:val="tx1"/>
            </w14:solidFill>
          </w14:textFill>
        </w:rPr>
      </w:pPr>
    </w:p>
    <w:p w14:paraId="6B83A35D">
      <w:pPr>
        <w:rPr>
          <w:rFonts w:hint="eastAsia" w:ascii="宋体" w:hAnsi="宋体" w:eastAsia="宋体" w:cs="宋体"/>
          <w:highlight w:val="none"/>
          <w:lang w:val="zh-CN"/>
        </w:rPr>
      </w:pPr>
      <w:r>
        <w:rPr>
          <w:rFonts w:hint="eastAsia" w:ascii="宋体" w:hAnsi="宋体" w:eastAsia="宋体" w:cs="宋体"/>
          <w:highlight w:val="none"/>
          <w:lang w:val="zh-CN"/>
        </w:rPr>
        <w:br w:type="page"/>
      </w:r>
    </w:p>
    <w:bookmarkEnd w:id="93"/>
    <w:bookmarkEnd w:id="94"/>
    <w:bookmarkEnd w:id="95"/>
    <w:bookmarkEnd w:id="96"/>
    <w:bookmarkEnd w:id="97"/>
    <w:bookmarkEnd w:id="98"/>
    <w:bookmarkEnd w:id="99"/>
    <w:bookmarkEnd w:id="100"/>
    <w:bookmarkEnd w:id="101"/>
    <w:bookmarkEnd w:id="102"/>
    <w:bookmarkEnd w:id="103"/>
    <w:p w14:paraId="0FC8EED4">
      <w:pPr>
        <w:pStyle w:val="56"/>
        <w:spacing w:line="480" w:lineRule="auto"/>
        <w:ind w:left="0" w:leftChars="0" w:firstLine="0" w:firstLineChars="0"/>
        <w:rPr>
          <w:rFonts w:hint="eastAsia" w:ascii="宋体" w:hAnsi="宋体" w:eastAsia="宋体" w:cs="宋体"/>
          <w:b/>
          <w:color w:val="000000" w:themeColor="text1"/>
          <w:highlight w:val="none"/>
          <w14:textFill>
            <w14:solidFill>
              <w14:schemeClr w14:val="tx1"/>
            </w14:solidFill>
          </w14:textFill>
        </w:rPr>
      </w:pPr>
      <w:bookmarkStart w:id="104" w:name="_Toc458774257"/>
      <w:bookmarkStart w:id="105" w:name="_Toc459048317"/>
      <w:bookmarkStart w:id="106" w:name="_Toc193126905"/>
      <w:bookmarkStart w:id="107" w:name="_Toc193126891"/>
      <w:bookmarkStart w:id="108" w:name="_Toc188808842"/>
      <w:bookmarkStart w:id="109" w:name="_Toc188808855"/>
      <w:bookmarkStart w:id="110" w:name="_Toc193187111"/>
      <w:bookmarkStart w:id="111" w:name="_Toc194663942"/>
      <w:r>
        <w:rPr>
          <w:rFonts w:hint="eastAsia" w:ascii="宋体" w:hAnsi="宋体" w:eastAsia="宋体" w:cs="宋体"/>
          <w:b/>
          <w:color w:val="000000" w:themeColor="text1"/>
          <w:highlight w:val="none"/>
          <w14:textFill>
            <w14:solidFill>
              <w14:schemeClr w14:val="tx1"/>
            </w14:solidFill>
          </w14:textFill>
        </w:rPr>
        <w:t>四、响应方案</w:t>
      </w:r>
    </w:p>
    <w:bookmarkEnd w:id="104"/>
    <w:bookmarkEnd w:id="105"/>
    <w:p w14:paraId="6C093FE7">
      <w:pPr>
        <w:pStyle w:val="56"/>
        <w:spacing w:line="480" w:lineRule="auto"/>
        <w:ind w:firstLine="0" w:firstLineChars="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1、供应商概况及其性质</w:t>
      </w:r>
    </w:p>
    <w:tbl>
      <w:tblPr>
        <w:tblStyle w:val="37"/>
        <w:tblW w:w="87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998"/>
        <w:gridCol w:w="1459"/>
        <w:gridCol w:w="1160"/>
        <w:gridCol w:w="1084"/>
        <w:gridCol w:w="176"/>
        <w:gridCol w:w="2294"/>
      </w:tblGrid>
      <w:tr w14:paraId="62652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551" w:type="dxa"/>
            <w:vAlign w:val="center"/>
          </w:tcPr>
          <w:p w14:paraId="202BB007">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供应商名称</w:t>
            </w:r>
          </w:p>
        </w:tc>
        <w:tc>
          <w:tcPr>
            <w:tcW w:w="7171" w:type="dxa"/>
            <w:gridSpan w:val="6"/>
            <w:vAlign w:val="center"/>
          </w:tcPr>
          <w:p w14:paraId="7D71D099">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p>
        </w:tc>
      </w:tr>
      <w:tr w14:paraId="4C600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551" w:type="dxa"/>
            <w:vAlign w:val="center"/>
          </w:tcPr>
          <w:p w14:paraId="2723CB8D">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注册地址</w:t>
            </w:r>
          </w:p>
        </w:tc>
        <w:tc>
          <w:tcPr>
            <w:tcW w:w="3617" w:type="dxa"/>
            <w:gridSpan w:val="3"/>
            <w:vAlign w:val="center"/>
          </w:tcPr>
          <w:p w14:paraId="52571312">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p>
        </w:tc>
        <w:tc>
          <w:tcPr>
            <w:tcW w:w="1260" w:type="dxa"/>
            <w:gridSpan w:val="2"/>
            <w:vAlign w:val="center"/>
          </w:tcPr>
          <w:p w14:paraId="41652F17">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邮政编码</w:t>
            </w:r>
          </w:p>
        </w:tc>
        <w:tc>
          <w:tcPr>
            <w:tcW w:w="2294" w:type="dxa"/>
            <w:vAlign w:val="center"/>
          </w:tcPr>
          <w:p w14:paraId="70FA8835">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p>
        </w:tc>
      </w:tr>
      <w:tr w14:paraId="512F6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51" w:type="dxa"/>
            <w:vMerge w:val="restart"/>
            <w:vAlign w:val="center"/>
          </w:tcPr>
          <w:p w14:paraId="433F8C1C">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联系方式</w:t>
            </w:r>
          </w:p>
        </w:tc>
        <w:tc>
          <w:tcPr>
            <w:tcW w:w="998" w:type="dxa"/>
            <w:vAlign w:val="center"/>
          </w:tcPr>
          <w:p w14:paraId="1418EC36">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tc>
        <w:tc>
          <w:tcPr>
            <w:tcW w:w="2619" w:type="dxa"/>
            <w:gridSpan w:val="2"/>
            <w:vAlign w:val="center"/>
          </w:tcPr>
          <w:p w14:paraId="4B597EE6">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p>
        </w:tc>
        <w:tc>
          <w:tcPr>
            <w:tcW w:w="1260" w:type="dxa"/>
            <w:gridSpan w:val="2"/>
            <w:vAlign w:val="center"/>
          </w:tcPr>
          <w:p w14:paraId="47988559">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电话</w:t>
            </w:r>
          </w:p>
        </w:tc>
        <w:tc>
          <w:tcPr>
            <w:tcW w:w="2294" w:type="dxa"/>
            <w:vAlign w:val="center"/>
          </w:tcPr>
          <w:p w14:paraId="56093A2D">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p>
        </w:tc>
      </w:tr>
      <w:tr w14:paraId="59AFF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51" w:type="dxa"/>
            <w:vMerge w:val="continue"/>
            <w:vAlign w:val="center"/>
          </w:tcPr>
          <w:p w14:paraId="0BB1FF9A">
            <w:pPr>
              <w:spacing w:line="600" w:lineRule="exact"/>
              <w:rPr>
                <w:rFonts w:hint="eastAsia" w:ascii="宋体" w:hAnsi="宋体" w:eastAsia="宋体" w:cs="宋体"/>
                <w:color w:val="000000" w:themeColor="text1"/>
                <w:szCs w:val="24"/>
                <w:highlight w:val="none"/>
                <w14:textFill>
                  <w14:solidFill>
                    <w14:schemeClr w14:val="tx1"/>
                  </w14:solidFill>
                </w14:textFill>
              </w:rPr>
            </w:pPr>
          </w:p>
        </w:tc>
        <w:tc>
          <w:tcPr>
            <w:tcW w:w="998" w:type="dxa"/>
            <w:vAlign w:val="center"/>
          </w:tcPr>
          <w:p w14:paraId="07E6DFA2">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传真</w:t>
            </w:r>
          </w:p>
        </w:tc>
        <w:tc>
          <w:tcPr>
            <w:tcW w:w="2619" w:type="dxa"/>
            <w:gridSpan w:val="2"/>
            <w:vAlign w:val="center"/>
          </w:tcPr>
          <w:p w14:paraId="428D84D2">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p>
        </w:tc>
        <w:tc>
          <w:tcPr>
            <w:tcW w:w="1260" w:type="dxa"/>
            <w:gridSpan w:val="2"/>
            <w:vAlign w:val="center"/>
          </w:tcPr>
          <w:p w14:paraId="1E6E2824">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网址</w:t>
            </w:r>
          </w:p>
        </w:tc>
        <w:tc>
          <w:tcPr>
            <w:tcW w:w="2294" w:type="dxa"/>
            <w:vAlign w:val="center"/>
          </w:tcPr>
          <w:p w14:paraId="24CC9655">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p>
        </w:tc>
      </w:tr>
      <w:tr w14:paraId="4C16D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1551" w:type="dxa"/>
            <w:vAlign w:val="center"/>
          </w:tcPr>
          <w:p w14:paraId="6D73C36D">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组织结构</w:t>
            </w:r>
          </w:p>
        </w:tc>
        <w:tc>
          <w:tcPr>
            <w:tcW w:w="7171" w:type="dxa"/>
            <w:gridSpan w:val="6"/>
            <w:vAlign w:val="center"/>
          </w:tcPr>
          <w:p w14:paraId="21BD7033">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p>
        </w:tc>
      </w:tr>
      <w:tr w14:paraId="62F55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551" w:type="dxa"/>
            <w:vAlign w:val="center"/>
          </w:tcPr>
          <w:p w14:paraId="2DF55534">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w:t>
            </w:r>
          </w:p>
        </w:tc>
        <w:tc>
          <w:tcPr>
            <w:tcW w:w="998" w:type="dxa"/>
            <w:vAlign w:val="center"/>
          </w:tcPr>
          <w:p w14:paraId="75CFDFCD">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姓名</w:t>
            </w:r>
          </w:p>
        </w:tc>
        <w:tc>
          <w:tcPr>
            <w:tcW w:w="1459" w:type="dxa"/>
            <w:vAlign w:val="center"/>
          </w:tcPr>
          <w:p w14:paraId="478E458C">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p>
        </w:tc>
        <w:tc>
          <w:tcPr>
            <w:tcW w:w="1160" w:type="dxa"/>
            <w:vAlign w:val="center"/>
          </w:tcPr>
          <w:p w14:paraId="627D1963">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电话</w:t>
            </w:r>
          </w:p>
        </w:tc>
        <w:tc>
          <w:tcPr>
            <w:tcW w:w="3554" w:type="dxa"/>
            <w:gridSpan w:val="3"/>
            <w:vAlign w:val="center"/>
          </w:tcPr>
          <w:p w14:paraId="23ACB72D">
            <w:pPr>
              <w:autoSpaceDE w:val="0"/>
              <w:autoSpaceDN w:val="0"/>
              <w:adjustRightInd w:val="0"/>
              <w:spacing w:line="600" w:lineRule="exact"/>
              <w:jc w:val="center"/>
              <w:rPr>
                <w:rFonts w:hint="eastAsia" w:ascii="宋体" w:hAnsi="宋体" w:eastAsia="宋体" w:cs="宋体"/>
                <w:b/>
                <w:bCs/>
                <w:color w:val="000000" w:themeColor="text1"/>
                <w:szCs w:val="24"/>
                <w:highlight w:val="none"/>
                <w14:textFill>
                  <w14:solidFill>
                    <w14:schemeClr w14:val="tx1"/>
                  </w14:solidFill>
                </w14:textFill>
              </w:rPr>
            </w:pPr>
          </w:p>
        </w:tc>
      </w:tr>
      <w:tr w14:paraId="607B3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551" w:type="dxa"/>
            <w:vAlign w:val="center"/>
          </w:tcPr>
          <w:p w14:paraId="284831A1">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成立时间</w:t>
            </w:r>
          </w:p>
        </w:tc>
        <w:tc>
          <w:tcPr>
            <w:tcW w:w="2457" w:type="dxa"/>
            <w:gridSpan w:val="2"/>
            <w:vAlign w:val="center"/>
          </w:tcPr>
          <w:p w14:paraId="45CF35C2">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p>
        </w:tc>
        <w:tc>
          <w:tcPr>
            <w:tcW w:w="2244" w:type="dxa"/>
            <w:gridSpan w:val="2"/>
            <w:vAlign w:val="center"/>
          </w:tcPr>
          <w:p w14:paraId="064F194E">
            <w:pPr>
              <w:autoSpaceDE w:val="0"/>
              <w:autoSpaceDN w:val="0"/>
              <w:adjustRightInd w:val="0"/>
              <w:spacing w:line="6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员工总人数：</w:t>
            </w:r>
          </w:p>
        </w:tc>
        <w:tc>
          <w:tcPr>
            <w:tcW w:w="2470" w:type="dxa"/>
            <w:gridSpan w:val="2"/>
            <w:vAlign w:val="center"/>
          </w:tcPr>
          <w:p w14:paraId="3C70E0AA">
            <w:pPr>
              <w:autoSpaceDE w:val="0"/>
              <w:autoSpaceDN w:val="0"/>
              <w:adjustRightInd w:val="0"/>
              <w:spacing w:line="600" w:lineRule="exact"/>
              <w:rPr>
                <w:rFonts w:hint="eastAsia" w:ascii="宋体" w:hAnsi="宋体" w:eastAsia="宋体" w:cs="宋体"/>
                <w:color w:val="000000" w:themeColor="text1"/>
                <w:szCs w:val="24"/>
                <w:highlight w:val="none"/>
                <w14:textFill>
                  <w14:solidFill>
                    <w14:schemeClr w14:val="tx1"/>
                  </w14:solidFill>
                </w14:textFill>
              </w:rPr>
            </w:pPr>
          </w:p>
        </w:tc>
      </w:tr>
      <w:tr w14:paraId="3F520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1551" w:type="dxa"/>
            <w:vAlign w:val="center"/>
          </w:tcPr>
          <w:p w14:paraId="18C76908">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注册资金</w:t>
            </w:r>
          </w:p>
        </w:tc>
        <w:tc>
          <w:tcPr>
            <w:tcW w:w="7171" w:type="dxa"/>
            <w:gridSpan w:val="6"/>
            <w:vAlign w:val="center"/>
          </w:tcPr>
          <w:p w14:paraId="0A2FBECA">
            <w:pPr>
              <w:autoSpaceDE w:val="0"/>
              <w:autoSpaceDN w:val="0"/>
              <w:adjustRightInd w:val="0"/>
              <w:spacing w:line="600" w:lineRule="exact"/>
              <w:jc w:val="center"/>
              <w:rPr>
                <w:rFonts w:hint="eastAsia" w:ascii="宋体" w:hAnsi="宋体" w:eastAsia="宋体" w:cs="宋体"/>
                <w:b/>
                <w:bCs/>
                <w:color w:val="000000" w:themeColor="text1"/>
                <w:szCs w:val="24"/>
                <w:highlight w:val="none"/>
                <w14:textFill>
                  <w14:solidFill>
                    <w14:schemeClr w14:val="tx1"/>
                  </w14:solidFill>
                </w14:textFill>
              </w:rPr>
            </w:pPr>
          </w:p>
        </w:tc>
      </w:tr>
      <w:tr w14:paraId="44506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551" w:type="dxa"/>
            <w:vAlign w:val="center"/>
          </w:tcPr>
          <w:p w14:paraId="6F01FCC6">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开户银行</w:t>
            </w:r>
          </w:p>
        </w:tc>
        <w:tc>
          <w:tcPr>
            <w:tcW w:w="7171" w:type="dxa"/>
            <w:gridSpan w:val="6"/>
            <w:vAlign w:val="center"/>
          </w:tcPr>
          <w:p w14:paraId="117C64BD">
            <w:pPr>
              <w:autoSpaceDE w:val="0"/>
              <w:autoSpaceDN w:val="0"/>
              <w:adjustRightInd w:val="0"/>
              <w:spacing w:line="600" w:lineRule="exact"/>
              <w:jc w:val="center"/>
              <w:rPr>
                <w:rFonts w:hint="eastAsia" w:ascii="宋体" w:hAnsi="宋体" w:eastAsia="宋体" w:cs="宋体"/>
                <w:b/>
                <w:bCs/>
                <w:color w:val="000000" w:themeColor="text1"/>
                <w:szCs w:val="24"/>
                <w:highlight w:val="none"/>
                <w14:textFill>
                  <w14:solidFill>
                    <w14:schemeClr w14:val="tx1"/>
                  </w14:solidFill>
                </w14:textFill>
              </w:rPr>
            </w:pPr>
          </w:p>
        </w:tc>
      </w:tr>
      <w:tr w14:paraId="7A69D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838" w:hRule="atLeast"/>
          <w:jc w:val="center"/>
        </w:trPr>
        <w:tc>
          <w:tcPr>
            <w:tcW w:w="1551" w:type="dxa"/>
            <w:vAlign w:val="center"/>
          </w:tcPr>
          <w:p w14:paraId="09CE986E">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账号</w:t>
            </w:r>
          </w:p>
        </w:tc>
        <w:tc>
          <w:tcPr>
            <w:tcW w:w="7171" w:type="dxa"/>
            <w:gridSpan w:val="6"/>
            <w:vAlign w:val="center"/>
          </w:tcPr>
          <w:p w14:paraId="3A99B55D">
            <w:pPr>
              <w:autoSpaceDE w:val="0"/>
              <w:autoSpaceDN w:val="0"/>
              <w:adjustRightInd w:val="0"/>
              <w:spacing w:line="600" w:lineRule="exact"/>
              <w:jc w:val="center"/>
              <w:rPr>
                <w:rFonts w:hint="eastAsia" w:ascii="宋体" w:hAnsi="宋体" w:eastAsia="宋体" w:cs="宋体"/>
                <w:b/>
                <w:bCs/>
                <w:color w:val="000000" w:themeColor="text1"/>
                <w:szCs w:val="24"/>
                <w:highlight w:val="none"/>
                <w14:textFill>
                  <w14:solidFill>
                    <w14:schemeClr w14:val="tx1"/>
                  </w14:solidFill>
                </w14:textFill>
              </w:rPr>
            </w:pPr>
          </w:p>
        </w:tc>
      </w:tr>
      <w:tr w14:paraId="58898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1551" w:type="dxa"/>
            <w:vAlign w:val="center"/>
          </w:tcPr>
          <w:p w14:paraId="3DCCA552">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经营范围</w:t>
            </w:r>
          </w:p>
        </w:tc>
        <w:tc>
          <w:tcPr>
            <w:tcW w:w="7171" w:type="dxa"/>
            <w:gridSpan w:val="6"/>
            <w:vAlign w:val="center"/>
          </w:tcPr>
          <w:p w14:paraId="32E69A09">
            <w:pPr>
              <w:autoSpaceDE w:val="0"/>
              <w:autoSpaceDN w:val="0"/>
              <w:adjustRightInd w:val="0"/>
              <w:spacing w:line="600" w:lineRule="exact"/>
              <w:rPr>
                <w:rFonts w:hint="eastAsia" w:ascii="宋体" w:hAnsi="宋体" w:eastAsia="宋体" w:cs="宋体"/>
                <w:b/>
                <w:bCs/>
                <w:color w:val="000000" w:themeColor="text1"/>
                <w:szCs w:val="24"/>
                <w:highlight w:val="none"/>
                <w14:textFill>
                  <w14:solidFill>
                    <w14:schemeClr w14:val="tx1"/>
                  </w14:solidFill>
                </w14:textFill>
              </w:rPr>
            </w:pPr>
          </w:p>
        </w:tc>
      </w:tr>
      <w:tr w14:paraId="7BDD6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854" w:hRule="atLeast"/>
          <w:jc w:val="center"/>
        </w:trPr>
        <w:tc>
          <w:tcPr>
            <w:tcW w:w="1551" w:type="dxa"/>
            <w:vAlign w:val="center"/>
          </w:tcPr>
          <w:p w14:paraId="0D3300A9">
            <w:pPr>
              <w:autoSpaceDE w:val="0"/>
              <w:autoSpaceDN w:val="0"/>
              <w:adjustRightInd w:val="0"/>
              <w:spacing w:line="6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备注</w:t>
            </w:r>
          </w:p>
        </w:tc>
        <w:tc>
          <w:tcPr>
            <w:tcW w:w="7171" w:type="dxa"/>
            <w:gridSpan w:val="6"/>
          </w:tcPr>
          <w:p w14:paraId="4DB389D3">
            <w:pPr>
              <w:autoSpaceDE w:val="0"/>
              <w:autoSpaceDN w:val="0"/>
              <w:adjustRightInd w:val="0"/>
              <w:spacing w:line="600" w:lineRule="exact"/>
              <w:jc w:val="left"/>
              <w:rPr>
                <w:rFonts w:hint="eastAsia" w:ascii="宋体" w:hAnsi="宋体" w:eastAsia="宋体" w:cs="宋体"/>
                <w:color w:val="000000" w:themeColor="text1"/>
                <w:szCs w:val="24"/>
                <w:highlight w:val="none"/>
                <w14:textFill>
                  <w14:solidFill>
                    <w14:schemeClr w14:val="tx1"/>
                  </w14:solidFill>
                </w14:textFill>
              </w:rPr>
            </w:pPr>
          </w:p>
        </w:tc>
      </w:tr>
    </w:tbl>
    <w:p w14:paraId="3A155B02">
      <w:pP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br w:type="page"/>
      </w:r>
    </w:p>
    <w:p w14:paraId="031A83D3">
      <w:pPr>
        <w:pStyle w:val="56"/>
        <w:spacing w:line="480" w:lineRule="auto"/>
        <w:ind w:firstLine="241" w:firstLineChars="1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b/>
          <w:bCs/>
          <w:color w:val="000000" w:themeColor="text1"/>
          <w:sz w:val="24"/>
          <w:szCs w:val="24"/>
          <w:highlight w:val="none"/>
          <w14:textFill>
            <w14:solidFill>
              <w14:schemeClr w14:val="tx1"/>
            </w14:solidFill>
          </w14:textFill>
        </w:rPr>
        <w:t>方案</w:t>
      </w:r>
    </w:p>
    <w:p w14:paraId="04664FF1">
      <w:pPr>
        <w:pStyle w:val="56"/>
        <w:spacing w:line="48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包含但不限于以下内容：</w:t>
      </w:r>
    </w:p>
    <w:p w14:paraId="40EE4555">
      <w:pPr>
        <w:pStyle w:val="56"/>
        <w:spacing w:line="48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2.1项目实施方案</w:t>
      </w:r>
    </w:p>
    <w:p w14:paraId="4E8693AB">
      <w:pPr>
        <w:pStyle w:val="56"/>
        <w:spacing w:line="48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 售后服务</w:t>
      </w:r>
    </w:p>
    <w:p w14:paraId="7B6DDEB9">
      <w:pPr>
        <w:pStyle w:val="56"/>
        <w:spacing w:line="48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2.3质量保障</w:t>
      </w:r>
    </w:p>
    <w:p w14:paraId="3A353E55">
      <w:pPr>
        <w:pStyle w:val="56"/>
        <w:spacing w:line="48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2.4 </w:t>
      </w:r>
      <w:r>
        <w:rPr>
          <w:rFonts w:hint="eastAsia" w:ascii="宋体" w:hAnsi="宋体" w:eastAsia="宋体" w:cs="宋体"/>
          <w:color w:val="auto"/>
          <w:sz w:val="24"/>
          <w:szCs w:val="24"/>
          <w:highlight w:val="none"/>
          <w:lang w:val="en-US" w:eastAsia="zh-CN"/>
        </w:rPr>
        <w:t>服务承诺及保证</w:t>
      </w:r>
    </w:p>
    <w:p w14:paraId="4C1975C0">
      <w:pPr>
        <w:pStyle w:val="56"/>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14:paraId="3EDCD00D">
      <w:pPr>
        <w:pStyle w:val="56"/>
        <w:spacing w:line="48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14:paraId="4891E320">
      <w:pPr>
        <w:pStyle w:val="56"/>
        <w:spacing w:line="360" w:lineRule="auto"/>
        <w:ind w:firstLine="174" w:firstLineChars="62"/>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br w:type="page"/>
      </w:r>
    </w:p>
    <w:p w14:paraId="32ED2F51">
      <w:pPr>
        <w:numPr>
          <w:ilvl w:val="0"/>
          <w:numId w:val="0"/>
        </w:numPr>
        <w:rPr>
          <w:rFonts w:hint="eastAsia" w:ascii="宋体" w:hAnsi="宋体" w:eastAsia="宋体" w:cs="宋体"/>
          <w:b/>
          <w:bCs/>
          <w:color w:val="000000" w:themeColor="text1"/>
          <w:szCs w:val="28"/>
          <w:highlight w:val="none"/>
          <w14:textFill>
            <w14:solidFill>
              <w14:schemeClr w14:val="tx1"/>
            </w14:solidFill>
          </w14:textFill>
        </w:rPr>
      </w:pPr>
      <w:bookmarkStart w:id="112" w:name="_Toc31350"/>
      <w:bookmarkStart w:id="113" w:name="_Toc458617499"/>
      <w:bookmarkStart w:id="114" w:name="_Toc6831"/>
      <w:r>
        <w:rPr>
          <w:rFonts w:hint="eastAsia" w:ascii="宋体" w:hAnsi="宋体" w:eastAsia="宋体" w:cs="宋体"/>
          <w:b/>
          <w:bCs/>
          <w:color w:val="000000" w:themeColor="text1"/>
          <w:kern w:val="2"/>
          <w:sz w:val="24"/>
          <w:szCs w:val="28"/>
          <w:highlight w:val="none"/>
          <w:lang w:val="en-US" w:eastAsia="zh-CN" w:bidi="ar-SA"/>
          <w14:textFill>
            <w14:solidFill>
              <w14:schemeClr w14:val="tx1"/>
            </w14:solidFill>
          </w14:textFill>
        </w:rPr>
        <w:t>3、</w:t>
      </w:r>
      <w:r>
        <w:rPr>
          <w:rFonts w:hint="eastAsia" w:ascii="宋体" w:hAnsi="宋体" w:eastAsia="宋体" w:cs="宋体"/>
          <w:b/>
          <w:bCs/>
          <w:color w:val="000000" w:themeColor="text1"/>
          <w:szCs w:val="28"/>
          <w:highlight w:val="none"/>
          <w14:textFill>
            <w14:solidFill>
              <w14:schemeClr w14:val="tx1"/>
            </w14:solidFill>
          </w14:textFill>
        </w:rPr>
        <w:t>类似项目业绩</w:t>
      </w:r>
    </w:p>
    <w:p w14:paraId="26E06E1B">
      <w:pPr>
        <w:rPr>
          <w:rFonts w:hint="eastAsia" w:ascii="宋体" w:hAnsi="宋体" w:eastAsia="宋体" w:cs="宋体"/>
          <w:b/>
          <w:bCs/>
          <w:color w:val="000000" w:themeColor="text1"/>
          <w:szCs w:val="28"/>
          <w:highlight w:val="none"/>
          <w14:textFill>
            <w14:solidFill>
              <w14:schemeClr w14:val="tx1"/>
            </w14:solidFill>
          </w14:textFill>
        </w:rPr>
      </w:pPr>
    </w:p>
    <w:p w14:paraId="5C8E487C">
      <w:pPr>
        <w:rPr>
          <w:rFonts w:hint="eastAsia" w:ascii="宋体" w:hAnsi="宋体" w:eastAsia="宋体" w:cs="宋体"/>
          <w:b/>
          <w:bCs/>
          <w:color w:val="000000" w:themeColor="text1"/>
          <w:szCs w:val="28"/>
          <w:highlight w:val="none"/>
          <w14:textFill>
            <w14:solidFill>
              <w14:schemeClr w14:val="tx1"/>
            </w14:solidFill>
          </w14:textFill>
        </w:rPr>
      </w:pPr>
    </w:p>
    <w:p w14:paraId="37CC1DAF">
      <w:pPr>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br w:type="page"/>
      </w:r>
    </w:p>
    <w:p w14:paraId="378E6CF3">
      <w:pPr>
        <w:numPr>
          <w:ilvl w:val="0"/>
          <w:numId w:val="0"/>
        </w:numPr>
        <w:rPr>
          <w:rFonts w:hint="eastAsia" w:ascii="宋体" w:hAnsi="宋体" w:eastAsia="宋体" w:cs="宋体"/>
          <w:b/>
          <w:bCs/>
          <w:color w:val="000000" w:themeColor="text1"/>
          <w:szCs w:val="28"/>
          <w:highlight w:val="none"/>
          <w:lang w:eastAsia="zh-CN"/>
          <w14:textFill>
            <w14:solidFill>
              <w14:schemeClr w14:val="tx1"/>
            </w14:solidFill>
          </w14:textFill>
        </w:rPr>
      </w:pPr>
      <w:r>
        <w:rPr>
          <w:rFonts w:hint="eastAsia" w:ascii="宋体" w:hAnsi="宋体" w:eastAsia="宋体" w:cs="宋体"/>
          <w:b/>
          <w:bCs/>
          <w:color w:val="000000" w:themeColor="text1"/>
          <w:kern w:val="2"/>
          <w:sz w:val="24"/>
          <w:szCs w:val="28"/>
          <w:highlight w:val="none"/>
          <w:lang w:val="en-US" w:eastAsia="zh-CN" w:bidi="ar-SA"/>
          <w14:textFill>
            <w14:solidFill>
              <w14:schemeClr w14:val="tx1"/>
            </w14:solidFill>
          </w14:textFill>
        </w:rPr>
        <w:t>4、</w:t>
      </w:r>
      <w:r>
        <w:rPr>
          <w:rFonts w:hint="eastAsia" w:ascii="宋体" w:hAnsi="宋体" w:eastAsia="宋体" w:cs="宋体"/>
          <w:b/>
          <w:bCs/>
          <w:color w:val="000000" w:themeColor="text1"/>
          <w:szCs w:val="28"/>
          <w:highlight w:val="none"/>
          <w:lang w:val="en-US" w:eastAsia="zh-CN"/>
          <w14:textFill>
            <w14:solidFill>
              <w14:schemeClr w14:val="tx1"/>
            </w14:solidFill>
          </w14:textFill>
        </w:rPr>
        <w:t>其他</w:t>
      </w:r>
    </w:p>
    <w:p w14:paraId="73088122">
      <w:pPr>
        <w:pStyle w:val="22"/>
        <w:rPr>
          <w:rFonts w:hint="eastAsia"/>
          <w:highlight w:val="none"/>
        </w:rPr>
      </w:pPr>
    </w:p>
    <w:p w14:paraId="7FF7EA05">
      <w:pPr>
        <w:pStyle w:val="13"/>
        <w:rPr>
          <w:rFonts w:hint="eastAsia" w:ascii="宋体" w:hAnsi="宋体" w:eastAsia="宋体" w:cs="宋体"/>
          <w:highlight w:val="none"/>
        </w:rPr>
      </w:pPr>
      <w:r>
        <w:rPr>
          <w:rFonts w:hint="eastAsia" w:ascii="宋体" w:hAnsi="宋体" w:eastAsia="宋体" w:cs="宋体"/>
          <w:b/>
          <w:bCs/>
          <w:color w:val="000000" w:themeColor="text1"/>
          <w:szCs w:val="28"/>
          <w:highlight w:val="none"/>
          <w14:textFill>
            <w14:solidFill>
              <w14:schemeClr w14:val="tx1"/>
            </w14:solidFill>
          </w14:textFill>
        </w:rPr>
        <w:br w:type="page"/>
      </w:r>
    </w:p>
    <w:bookmarkEnd w:id="106"/>
    <w:bookmarkEnd w:id="107"/>
    <w:bookmarkEnd w:id="108"/>
    <w:bookmarkEnd w:id="109"/>
    <w:bookmarkEnd w:id="110"/>
    <w:bookmarkEnd w:id="111"/>
    <w:bookmarkEnd w:id="112"/>
    <w:bookmarkEnd w:id="113"/>
    <w:bookmarkEnd w:id="114"/>
    <w:p w14:paraId="4ABFCC0C">
      <w:pPr>
        <w:spacing w:line="360" w:lineRule="auto"/>
        <w:rPr>
          <w:rFonts w:hint="eastAsia" w:ascii="宋体" w:hAnsi="宋体" w:eastAsia="宋体" w:cs="宋体"/>
          <w:b/>
          <w:bCs/>
          <w:color w:val="000000" w:themeColor="text1"/>
          <w:kern w:val="0"/>
          <w:sz w:val="28"/>
          <w:szCs w:val="28"/>
          <w:highlight w:val="none"/>
          <w14:textFill>
            <w14:solidFill>
              <w14:schemeClr w14:val="tx1"/>
            </w14:solidFill>
          </w14:textFill>
        </w:rPr>
      </w:pPr>
      <w:bookmarkStart w:id="115" w:name="_Toc458617748"/>
      <w:r>
        <w:rPr>
          <w:rFonts w:hint="eastAsia" w:ascii="宋体" w:hAnsi="宋体" w:eastAsia="宋体" w:cs="宋体"/>
          <w:b/>
          <w:bCs/>
          <w:color w:val="000000" w:themeColor="text1"/>
          <w:szCs w:val="28"/>
          <w:highlight w:val="none"/>
          <w14:textFill>
            <w14:solidFill>
              <w14:schemeClr w14:val="tx1"/>
            </w14:solidFill>
          </w14:textFill>
        </w:rPr>
        <w:t>附件一：《</w:t>
      </w:r>
      <w:r>
        <w:rPr>
          <w:rFonts w:hint="eastAsia" w:ascii="宋体" w:hAnsi="宋体" w:eastAsia="宋体" w:cs="宋体"/>
          <w:b/>
          <w:bCs/>
          <w:color w:val="000000" w:themeColor="text1"/>
          <w:sz w:val="28"/>
          <w:szCs w:val="28"/>
          <w:highlight w:val="none"/>
          <w14:textFill>
            <w14:solidFill>
              <w14:schemeClr w14:val="tx1"/>
            </w14:solidFill>
          </w14:textFill>
        </w:rPr>
        <w:t>中小企业声明函</w:t>
      </w:r>
      <w:r>
        <w:rPr>
          <w:rFonts w:hint="eastAsia" w:ascii="宋体" w:hAnsi="宋体" w:eastAsia="宋体" w:cs="宋体"/>
          <w:b/>
          <w:bCs/>
          <w:color w:val="000000" w:themeColor="text1"/>
          <w:szCs w:val="28"/>
          <w:highlight w:val="none"/>
          <w14:textFill>
            <w14:solidFill>
              <w14:schemeClr w14:val="tx1"/>
            </w14:solidFill>
          </w14:textFill>
        </w:rPr>
        <w:t>》</w:t>
      </w:r>
      <w:bookmarkEnd w:id="115"/>
    </w:p>
    <w:p w14:paraId="3DF7DB45">
      <w:pPr>
        <w:spacing w:line="360" w:lineRule="auto"/>
        <w:ind w:firstLine="506" w:firstLineChars="200"/>
        <w:jc w:val="center"/>
        <w:rPr>
          <w:rFonts w:hint="eastAsia" w:ascii="宋体" w:hAnsi="宋体" w:eastAsia="宋体" w:cs="宋体"/>
          <w:b/>
          <w:bCs/>
          <w:color w:val="000000" w:themeColor="text1"/>
          <w:spacing w:val="6"/>
          <w:szCs w:val="24"/>
          <w:highlight w:val="none"/>
          <w14:textFill>
            <w14:solidFill>
              <w14:schemeClr w14:val="tx1"/>
            </w14:solidFill>
          </w14:textFill>
        </w:rPr>
      </w:pPr>
      <w:r>
        <w:rPr>
          <w:rFonts w:hint="eastAsia" w:ascii="宋体" w:hAnsi="宋体" w:eastAsia="宋体" w:cs="宋体"/>
          <w:b/>
          <w:bCs/>
          <w:color w:val="000000" w:themeColor="text1"/>
          <w:spacing w:val="6"/>
          <w:szCs w:val="24"/>
          <w:highlight w:val="none"/>
          <w14:textFill>
            <w14:solidFill>
              <w14:schemeClr w14:val="tx1"/>
            </w14:solidFill>
          </w14:textFill>
        </w:rPr>
        <w:t>中小企业声明函（</w:t>
      </w:r>
      <w:r>
        <w:rPr>
          <w:rFonts w:hint="eastAsia" w:ascii="宋体" w:hAnsi="宋体" w:eastAsia="宋体" w:cs="宋体"/>
          <w:b/>
          <w:bCs/>
          <w:color w:val="000000" w:themeColor="text1"/>
          <w:spacing w:val="6"/>
          <w:szCs w:val="24"/>
          <w:highlight w:val="none"/>
          <w:lang w:val="en-US" w:eastAsia="zh-CN"/>
          <w14:textFill>
            <w14:solidFill>
              <w14:schemeClr w14:val="tx1"/>
            </w14:solidFill>
          </w14:textFill>
        </w:rPr>
        <w:t>工程</w:t>
      </w:r>
      <w:r>
        <w:rPr>
          <w:rFonts w:hint="eastAsia" w:ascii="宋体" w:hAnsi="宋体" w:eastAsia="宋体" w:cs="宋体"/>
          <w:b/>
          <w:bCs/>
          <w:color w:val="000000" w:themeColor="text1"/>
          <w:spacing w:val="6"/>
          <w:szCs w:val="24"/>
          <w:highlight w:val="none"/>
          <w14:textFill>
            <w14:solidFill>
              <w14:schemeClr w14:val="tx1"/>
            </w14:solidFill>
          </w14:textFill>
        </w:rPr>
        <w:t>）</w:t>
      </w:r>
    </w:p>
    <w:p w14:paraId="4D58DF57">
      <w:pPr>
        <w:pStyle w:val="10"/>
        <w:spacing w:line="500" w:lineRule="exact"/>
        <w:ind w:firstLine="524"/>
        <w:rPr>
          <w:rFonts w:ascii="宋体" w:hAnsi="宋体" w:cs="宋体"/>
          <w:spacing w:val="11"/>
          <w:kern w:val="0"/>
          <w:sz w:val="24"/>
          <w:szCs w:val="24"/>
          <w:highlight w:val="none"/>
        </w:rPr>
      </w:pPr>
      <w:r>
        <w:rPr>
          <w:rFonts w:hint="eastAsia" w:ascii="宋体" w:hAnsi="宋体" w:cs="宋体"/>
          <w:spacing w:val="11"/>
          <w:kern w:val="0"/>
          <w:sz w:val="24"/>
          <w:szCs w:val="24"/>
          <w:highlight w:val="none"/>
        </w:rPr>
        <w:t xml:space="preserve">  本公司郑重声明，根据《政府采购促进中小企业发展管理办法》（财库﹝2020﹞46 号）的规定，本公司参加</w:t>
      </w:r>
      <w:r>
        <w:rPr>
          <w:rFonts w:hint="eastAsia" w:ascii="宋体" w:hAnsi="宋体" w:cs="宋体"/>
          <w:spacing w:val="11"/>
          <w:kern w:val="0"/>
          <w:sz w:val="24"/>
          <w:szCs w:val="24"/>
          <w:highlight w:val="none"/>
          <w:u w:val="single"/>
        </w:rPr>
        <w:t>（单位名称）</w:t>
      </w:r>
      <w:r>
        <w:rPr>
          <w:rFonts w:hint="eastAsia" w:ascii="宋体" w:hAnsi="宋体" w:cs="宋体"/>
          <w:spacing w:val="11"/>
          <w:kern w:val="0"/>
          <w:sz w:val="24"/>
          <w:szCs w:val="24"/>
          <w:highlight w:val="none"/>
        </w:rPr>
        <w:t>的</w:t>
      </w:r>
      <w:r>
        <w:rPr>
          <w:rFonts w:hint="eastAsia" w:ascii="宋体" w:hAnsi="宋体" w:cs="宋体"/>
          <w:spacing w:val="11"/>
          <w:kern w:val="0"/>
          <w:sz w:val="24"/>
          <w:szCs w:val="24"/>
          <w:highlight w:val="none"/>
          <w:u w:val="single"/>
        </w:rPr>
        <w:t>（项目名称）</w:t>
      </w:r>
      <w:r>
        <w:rPr>
          <w:rFonts w:hint="eastAsia" w:ascii="宋体" w:hAnsi="宋体" w:cs="宋体"/>
          <w:spacing w:val="11"/>
          <w:kern w:val="0"/>
          <w:sz w:val="24"/>
          <w:szCs w:val="24"/>
          <w:highlight w:val="none"/>
        </w:rPr>
        <w:t>采购活动，工程的施工单位全部为符合政策要求的中小企业。相关企业的具体情况如下：</w:t>
      </w:r>
    </w:p>
    <w:p w14:paraId="468C3689">
      <w:pPr>
        <w:pStyle w:val="10"/>
        <w:spacing w:line="500" w:lineRule="exact"/>
        <w:ind w:firstLine="524"/>
        <w:rPr>
          <w:rFonts w:ascii="宋体" w:hAnsi="宋体" w:cs="宋体"/>
          <w:spacing w:val="11"/>
          <w:kern w:val="0"/>
          <w:sz w:val="24"/>
          <w:szCs w:val="24"/>
          <w:highlight w:val="none"/>
        </w:rPr>
      </w:pPr>
      <w:r>
        <w:rPr>
          <w:rFonts w:hint="eastAsia" w:ascii="宋体" w:hAnsi="宋体" w:cs="宋体"/>
          <w:spacing w:val="11"/>
          <w:kern w:val="0"/>
          <w:sz w:val="24"/>
          <w:szCs w:val="24"/>
          <w:highlight w:val="none"/>
        </w:rPr>
        <w:t>1.</w:t>
      </w:r>
      <w:r>
        <w:rPr>
          <w:rFonts w:hint="eastAsia" w:ascii="宋体" w:hAnsi="宋体" w:cs="宋体"/>
          <w:spacing w:val="11"/>
          <w:kern w:val="0"/>
          <w:sz w:val="24"/>
          <w:szCs w:val="24"/>
          <w:highlight w:val="none"/>
          <w:u w:val="single"/>
        </w:rPr>
        <w:t xml:space="preserve">（标的名称） </w:t>
      </w:r>
      <w:r>
        <w:rPr>
          <w:rFonts w:hint="eastAsia" w:ascii="宋体" w:hAnsi="宋体" w:cs="宋体"/>
          <w:spacing w:val="11"/>
          <w:kern w:val="0"/>
          <w:sz w:val="24"/>
          <w:szCs w:val="24"/>
          <w:highlight w:val="none"/>
        </w:rPr>
        <w:t>，属于</w:t>
      </w:r>
      <w:r>
        <w:rPr>
          <w:rFonts w:hint="eastAsia" w:ascii="宋体" w:hAnsi="宋体" w:cs="宋体"/>
          <w:spacing w:val="11"/>
          <w:kern w:val="0"/>
          <w:sz w:val="24"/>
          <w:szCs w:val="24"/>
          <w:highlight w:val="none"/>
          <w:u w:val="single"/>
        </w:rPr>
        <w:t>（采购文件中明确的所属行业）</w:t>
      </w:r>
      <w:r>
        <w:rPr>
          <w:rFonts w:hint="eastAsia" w:ascii="宋体" w:hAnsi="宋体" w:cs="宋体"/>
          <w:spacing w:val="11"/>
          <w:kern w:val="0"/>
          <w:sz w:val="24"/>
          <w:szCs w:val="24"/>
          <w:highlight w:val="none"/>
        </w:rPr>
        <w:t>； 承建（承接）企业为</w:t>
      </w:r>
      <w:r>
        <w:rPr>
          <w:rFonts w:hint="eastAsia" w:ascii="宋体" w:hAnsi="宋体" w:cs="宋体"/>
          <w:spacing w:val="11"/>
          <w:kern w:val="0"/>
          <w:sz w:val="24"/>
          <w:szCs w:val="24"/>
          <w:highlight w:val="none"/>
          <w:u w:val="single"/>
        </w:rPr>
        <w:t>（企业名称）</w:t>
      </w:r>
      <w:r>
        <w:rPr>
          <w:rFonts w:hint="eastAsia" w:ascii="宋体" w:hAnsi="宋体" w:cs="宋体"/>
          <w:spacing w:val="11"/>
          <w:kern w:val="0"/>
          <w:sz w:val="24"/>
          <w:szCs w:val="24"/>
          <w:highlight w:val="none"/>
        </w:rPr>
        <w:t>，从业人员</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人，营业收入为</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万元，资产总额为</w:t>
      </w:r>
      <w:r>
        <w:rPr>
          <w:rFonts w:hint="eastAsia"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万元属于</w:t>
      </w:r>
      <w:r>
        <w:rPr>
          <w:rFonts w:hint="eastAsia" w:ascii="宋体" w:hAnsi="宋体" w:cs="宋体"/>
          <w:spacing w:val="11"/>
          <w:kern w:val="0"/>
          <w:sz w:val="24"/>
          <w:szCs w:val="24"/>
          <w:highlight w:val="none"/>
          <w:u w:val="single"/>
        </w:rPr>
        <w:t>（中型企业、小型企业、微型企业）</w:t>
      </w:r>
      <w:r>
        <w:rPr>
          <w:rFonts w:hint="eastAsia" w:ascii="宋体" w:hAnsi="宋体" w:cs="宋体"/>
          <w:spacing w:val="11"/>
          <w:kern w:val="0"/>
          <w:sz w:val="24"/>
          <w:szCs w:val="24"/>
          <w:highlight w:val="none"/>
        </w:rPr>
        <w:t xml:space="preserve">； </w:t>
      </w:r>
    </w:p>
    <w:p w14:paraId="62819AE0">
      <w:pPr>
        <w:pStyle w:val="10"/>
        <w:spacing w:line="500" w:lineRule="exact"/>
        <w:ind w:firstLine="524"/>
        <w:rPr>
          <w:rFonts w:ascii="宋体" w:hAnsi="宋体" w:cs="宋体"/>
          <w:spacing w:val="11"/>
          <w:kern w:val="0"/>
          <w:sz w:val="24"/>
          <w:szCs w:val="24"/>
          <w:highlight w:val="none"/>
        </w:rPr>
      </w:pPr>
      <w:r>
        <w:rPr>
          <w:rFonts w:hint="eastAsia" w:ascii="宋体" w:hAnsi="宋体" w:cs="宋体"/>
          <w:spacing w:val="11"/>
          <w:kern w:val="0"/>
          <w:sz w:val="24"/>
          <w:szCs w:val="24"/>
          <w:highlight w:val="none"/>
        </w:rPr>
        <w:t>……</w:t>
      </w:r>
    </w:p>
    <w:p w14:paraId="6E2E4712">
      <w:pPr>
        <w:pStyle w:val="10"/>
        <w:spacing w:line="500" w:lineRule="exact"/>
        <w:ind w:firstLine="524"/>
        <w:rPr>
          <w:rFonts w:ascii="宋体" w:hAnsi="宋体" w:cs="宋体"/>
          <w:spacing w:val="11"/>
          <w:kern w:val="0"/>
          <w:sz w:val="24"/>
          <w:szCs w:val="24"/>
          <w:highlight w:val="none"/>
        </w:rPr>
      </w:pPr>
      <w:r>
        <w:rPr>
          <w:rFonts w:hint="eastAsia" w:ascii="宋体" w:hAnsi="宋体" w:cs="宋体"/>
          <w:spacing w:val="11"/>
          <w:kern w:val="0"/>
          <w:sz w:val="24"/>
          <w:szCs w:val="24"/>
          <w:highlight w:val="none"/>
        </w:rPr>
        <w:t>以上企业，不属于大企业的分支机构，不存在控股股东为大企业的情形，也不存在与大企业的负责人为同一人的情形。</w:t>
      </w:r>
    </w:p>
    <w:p w14:paraId="17F31E61">
      <w:pPr>
        <w:pStyle w:val="10"/>
        <w:spacing w:line="500" w:lineRule="exact"/>
        <w:ind w:firstLine="524"/>
        <w:rPr>
          <w:rFonts w:ascii="宋体" w:hAnsi="宋体" w:cs="宋体"/>
          <w:spacing w:val="11"/>
          <w:kern w:val="0"/>
          <w:sz w:val="24"/>
          <w:szCs w:val="24"/>
          <w:highlight w:val="none"/>
        </w:rPr>
      </w:pPr>
      <w:r>
        <w:rPr>
          <w:rFonts w:hint="eastAsia" w:ascii="宋体" w:hAnsi="宋体" w:cs="宋体"/>
          <w:spacing w:val="11"/>
          <w:kern w:val="0"/>
          <w:sz w:val="24"/>
          <w:szCs w:val="24"/>
          <w:highlight w:val="none"/>
        </w:rPr>
        <w:t xml:space="preserve">本企业对上述声明内容的真实性负责。如有虚假，将依法承担相应责任。 </w:t>
      </w:r>
    </w:p>
    <w:p w14:paraId="61E7CBF6">
      <w:pPr>
        <w:pStyle w:val="10"/>
        <w:spacing w:line="500" w:lineRule="exact"/>
        <w:ind w:firstLine="0"/>
        <w:rPr>
          <w:rFonts w:ascii="宋体" w:hAnsi="宋体" w:cs="宋体"/>
          <w:spacing w:val="11"/>
          <w:kern w:val="0"/>
          <w:sz w:val="24"/>
          <w:szCs w:val="24"/>
          <w:highlight w:val="none"/>
        </w:rPr>
      </w:pPr>
    </w:p>
    <w:p w14:paraId="41EF39F2">
      <w:pPr>
        <w:pStyle w:val="10"/>
        <w:spacing w:line="500" w:lineRule="exact"/>
        <w:ind w:firstLine="3078" w:firstLineChars="1175"/>
        <w:rPr>
          <w:rFonts w:ascii="宋体" w:hAnsi="宋体" w:cs="宋体"/>
          <w:spacing w:val="11"/>
          <w:kern w:val="0"/>
          <w:sz w:val="24"/>
          <w:szCs w:val="24"/>
          <w:highlight w:val="none"/>
          <w:u w:val="single"/>
        </w:rPr>
      </w:pPr>
      <w:r>
        <w:rPr>
          <w:rFonts w:hint="eastAsia" w:ascii="宋体" w:hAnsi="宋体" w:cs="宋体"/>
          <w:spacing w:val="11"/>
          <w:kern w:val="0"/>
          <w:sz w:val="24"/>
          <w:szCs w:val="24"/>
          <w:highlight w:val="none"/>
        </w:rPr>
        <w:t>企业名称（盖章）：</w:t>
      </w:r>
      <w:r>
        <w:rPr>
          <w:rFonts w:hint="eastAsia" w:ascii="宋体" w:hAnsi="宋体" w:cs="宋体"/>
          <w:spacing w:val="11"/>
          <w:kern w:val="0"/>
          <w:sz w:val="24"/>
          <w:szCs w:val="24"/>
          <w:highlight w:val="none"/>
          <w:u w:val="single"/>
        </w:rPr>
        <w:t xml:space="preserve"> </w:t>
      </w:r>
      <w:r>
        <w:rPr>
          <w:rFonts w:ascii="宋体" w:hAnsi="宋体" w:cs="宋体"/>
          <w:spacing w:val="11"/>
          <w:kern w:val="0"/>
          <w:sz w:val="24"/>
          <w:szCs w:val="24"/>
          <w:highlight w:val="none"/>
          <w:u w:val="single"/>
        </w:rPr>
        <w:t xml:space="preserve">                 </w:t>
      </w:r>
    </w:p>
    <w:p w14:paraId="151376D5">
      <w:pPr>
        <w:pStyle w:val="10"/>
        <w:spacing w:line="500" w:lineRule="exact"/>
        <w:ind w:firstLine="3078" w:firstLineChars="1175"/>
        <w:rPr>
          <w:rFonts w:ascii="宋体" w:hAnsi="宋体" w:cs="宋体"/>
          <w:spacing w:val="11"/>
          <w:kern w:val="0"/>
          <w:sz w:val="24"/>
          <w:szCs w:val="24"/>
          <w:highlight w:val="none"/>
        </w:rPr>
      </w:pPr>
      <w:r>
        <w:rPr>
          <w:rFonts w:hint="eastAsia" w:ascii="宋体" w:hAnsi="宋体" w:cs="宋体"/>
          <w:spacing w:val="11"/>
          <w:kern w:val="0"/>
          <w:sz w:val="24"/>
          <w:szCs w:val="24"/>
          <w:highlight w:val="none"/>
        </w:rPr>
        <w:t>日   期：</w:t>
      </w:r>
      <w:r>
        <w:rPr>
          <w:rFonts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年</w:t>
      </w:r>
      <w:r>
        <w:rPr>
          <w:rFonts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月</w:t>
      </w:r>
      <w:r>
        <w:rPr>
          <w:rFonts w:ascii="宋体" w:hAnsi="宋体" w:cs="宋体"/>
          <w:spacing w:val="11"/>
          <w:kern w:val="0"/>
          <w:sz w:val="24"/>
          <w:szCs w:val="24"/>
          <w:highlight w:val="none"/>
          <w:u w:val="single"/>
        </w:rPr>
        <w:t xml:space="preserve">      </w:t>
      </w:r>
      <w:r>
        <w:rPr>
          <w:rFonts w:hint="eastAsia" w:ascii="宋体" w:hAnsi="宋体" w:cs="宋体"/>
          <w:spacing w:val="11"/>
          <w:kern w:val="0"/>
          <w:sz w:val="24"/>
          <w:szCs w:val="24"/>
          <w:highlight w:val="none"/>
        </w:rPr>
        <w:t>日</w:t>
      </w:r>
    </w:p>
    <w:p w14:paraId="75235371">
      <w:pPr>
        <w:pStyle w:val="13"/>
        <w:rPr>
          <w:rFonts w:ascii="宋体" w:hAnsi="宋体" w:eastAsia="宋体" w:cstheme="minorEastAsia"/>
          <w:color w:val="000000" w:themeColor="text1"/>
          <w:kern w:val="0"/>
          <w:highlight w:val="none"/>
          <w:u w:val="single"/>
          <w14:textFill>
            <w14:solidFill>
              <w14:schemeClr w14:val="tx1"/>
            </w14:solidFill>
          </w14:textFill>
        </w:rPr>
      </w:pPr>
    </w:p>
    <w:p w14:paraId="19173ED3">
      <w:pPr>
        <w:rPr>
          <w:rFonts w:ascii="宋体" w:hAnsi="宋体" w:eastAsia="宋体" w:cstheme="minorEastAsia"/>
          <w:color w:val="000000" w:themeColor="text1"/>
          <w:kern w:val="0"/>
          <w:highlight w:val="none"/>
          <w:u w:val="single"/>
          <w14:textFill>
            <w14:solidFill>
              <w14:schemeClr w14:val="tx1"/>
            </w14:solidFill>
          </w14:textFill>
        </w:rPr>
      </w:pPr>
    </w:p>
    <w:p w14:paraId="4FD92846">
      <w:pPr>
        <w:pStyle w:val="10"/>
        <w:spacing w:line="500" w:lineRule="exact"/>
        <w:ind w:firstLine="0"/>
        <w:rPr>
          <w:rFonts w:ascii="宋体" w:hAnsi="宋体" w:cs="宋体"/>
          <w:spacing w:val="11"/>
          <w:kern w:val="0"/>
          <w:sz w:val="24"/>
          <w:szCs w:val="24"/>
          <w:highlight w:val="none"/>
        </w:rPr>
      </w:pPr>
    </w:p>
    <w:p w14:paraId="0267DFEE">
      <w:pPr>
        <w:pStyle w:val="10"/>
        <w:spacing w:line="500" w:lineRule="exact"/>
        <w:ind w:firstLine="0"/>
        <w:rPr>
          <w:rFonts w:ascii="宋体" w:hAnsi="宋体" w:cs="宋体"/>
          <w:spacing w:val="11"/>
          <w:kern w:val="0"/>
          <w:sz w:val="24"/>
          <w:szCs w:val="24"/>
          <w:highlight w:val="none"/>
        </w:rPr>
      </w:pPr>
      <w:r>
        <w:rPr>
          <w:rFonts w:hint="eastAsia" w:ascii="宋体" w:hAnsi="宋体" w:cs="宋体"/>
          <w:spacing w:val="11"/>
          <w:kern w:val="0"/>
          <w:sz w:val="24"/>
          <w:szCs w:val="24"/>
          <w:highlight w:val="none"/>
        </w:rPr>
        <w:t>备注：1、中小企业参加政府采购活动，应当按照《政府采购促进中小企业发展管理办法》（财库〔2020〕46号）规定和《中小企业划型标准规定》（工信部联企业〔2011〕300号），如实填写并提交本《中小企业声明函》。</w:t>
      </w:r>
    </w:p>
    <w:p w14:paraId="50F282C1">
      <w:pPr>
        <w:pStyle w:val="10"/>
        <w:numPr>
          <w:ilvl w:val="0"/>
          <w:numId w:val="3"/>
        </w:numPr>
        <w:spacing w:line="500" w:lineRule="exact"/>
        <w:ind w:firstLine="524"/>
        <w:rPr>
          <w:rFonts w:ascii="宋体" w:hAnsi="宋体" w:cs="宋体"/>
          <w:spacing w:val="11"/>
          <w:kern w:val="0"/>
          <w:sz w:val="24"/>
          <w:szCs w:val="24"/>
          <w:highlight w:val="none"/>
        </w:rPr>
      </w:pPr>
      <w:r>
        <w:rPr>
          <w:rFonts w:hint="eastAsia" w:ascii="宋体" w:hAnsi="宋体" w:cs="宋体"/>
          <w:spacing w:val="11"/>
          <w:kern w:val="0"/>
          <w:sz w:val="24"/>
          <w:szCs w:val="24"/>
          <w:highlight w:val="none"/>
        </w:rPr>
        <w:t>从业人员、营业收入、资产总额填报上一年度数据，无上一年度数据的新成立企业可不填报。</w:t>
      </w:r>
    </w:p>
    <w:p w14:paraId="1218E2D7">
      <w:pPr>
        <w:pStyle w:val="10"/>
        <w:numPr>
          <w:ilvl w:val="0"/>
          <w:numId w:val="0"/>
        </w:numPr>
        <w:spacing w:line="500" w:lineRule="exact"/>
        <w:rPr>
          <w:rFonts w:hint="eastAsia" w:ascii="宋体" w:hAnsi="宋体" w:eastAsia="宋体" w:cs="宋体"/>
          <w:spacing w:val="6"/>
          <w:sz w:val="24"/>
          <w:highlight w:val="none"/>
        </w:rPr>
        <w:sectPr>
          <w:headerReference r:id="rId13" w:type="default"/>
          <w:footerReference r:id="rId14" w:type="default"/>
          <w:pgSz w:w="11910" w:h="16840"/>
          <w:pgMar w:top="1440" w:right="1701" w:bottom="1440" w:left="1701" w:header="0" w:footer="1595" w:gutter="0"/>
          <w:pgNumType w:fmt="decimal"/>
          <w:cols w:space="720" w:num="1"/>
          <w:rtlGutter w:val="0"/>
        </w:sectPr>
      </w:pPr>
      <w:r>
        <w:rPr>
          <w:rFonts w:hint="eastAsia" w:ascii="宋体" w:hAnsi="宋体" w:eastAsia="宋体" w:cs="宋体"/>
          <w:b/>
          <w:bCs/>
          <w:spacing w:val="11"/>
          <w:sz w:val="24"/>
          <w:highlight w:val="none"/>
        </w:rPr>
        <w:br w:type="page"/>
      </w:r>
    </w:p>
    <w:p w14:paraId="459D14BD">
      <w:pPr>
        <w:tabs>
          <w:tab w:val="left" w:pos="2340"/>
        </w:tabs>
        <w:rPr>
          <w:rFonts w:hint="eastAsia" w:ascii="宋体" w:hAnsi="宋体" w:eastAsia="宋体" w:cs="宋体"/>
          <w:b/>
          <w:color w:val="000000" w:themeColor="text1"/>
          <w:spacing w:val="6"/>
          <w:szCs w:val="24"/>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附件二：《残疾人福利性单位声明函》</w:t>
      </w:r>
      <w:bookmarkStart w:id="116" w:name="OLE_LINK14"/>
    </w:p>
    <w:p w14:paraId="69365E1B">
      <w:pPr>
        <w:spacing w:line="360" w:lineRule="auto"/>
        <w:jc w:val="center"/>
        <w:rPr>
          <w:rFonts w:hint="eastAsia" w:ascii="宋体" w:hAnsi="宋体" w:eastAsia="宋体" w:cs="宋体"/>
          <w:b/>
          <w:color w:val="000000" w:themeColor="text1"/>
          <w:spacing w:val="6"/>
          <w:szCs w:val="24"/>
          <w:highlight w:val="none"/>
          <w14:textFill>
            <w14:solidFill>
              <w14:schemeClr w14:val="tx1"/>
            </w14:solidFill>
          </w14:textFill>
        </w:rPr>
      </w:pPr>
      <w:bookmarkStart w:id="117" w:name="_Toc957"/>
      <w:bookmarkStart w:id="118" w:name="_Toc8261"/>
    </w:p>
    <w:p w14:paraId="4700398D">
      <w:pPr>
        <w:spacing w:line="360" w:lineRule="auto"/>
        <w:jc w:val="center"/>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残疾人福利性单位声明函</w:t>
      </w:r>
      <w:bookmarkEnd w:id="116"/>
      <w:bookmarkEnd w:id="117"/>
      <w:bookmarkEnd w:id="118"/>
    </w:p>
    <w:p w14:paraId="53F8981E">
      <w:pPr>
        <w:spacing w:line="360" w:lineRule="auto"/>
        <w:ind w:firstLine="504" w:firstLineChars="200"/>
        <w:rPr>
          <w:rFonts w:hint="eastAsia" w:ascii="宋体" w:hAnsi="宋体" w:eastAsia="宋体" w:cs="宋体"/>
          <w:color w:val="000000" w:themeColor="text1"/>
          <w:spacing w:val="6"/>
          <w:szCs w:val="24"/>
          <w:highlight w:val="none"/>
          <w14:textFill>
            <w14:solidFill>
              <w14:schemeClr w14:val="tx1"/>
            </w14:solidFill>
          </w14:textFill>
        </w:rPr>
      </w:pPr>
    </w:p>
    <w:p w14:paraId="74A90F11">
      <w:pPr>
        <w:spacing w:line="360" w:lineRule="auto"/>
        <w:ind w:firstLine="504" w:firstLineChars="200"/>
        <w:rPr>
          <w:rFonts w:hint="eastAsia" w:ascii="宋体" w:hAnsi="宋体" w:eastAsia="宋体" w:cs="宋体"/>
          <w:color w:val="000000" w:themeColor="text1"/>
          <w:spacing w:val="6"/>
          <w:szCs w:val="24"/>
          <w:highlight w:val="none"/>
          <w14:textFill>
            <w14:solidFill>
              <w14:schemeClr w14:val="tx1"/>
            </w14:solidFill>
          </w14:textFill>
        </w:rPr>
      </w:pPr>
      <w:r>
        <w:rPr>
          <w:rFonts w:hint="eastAsia" w:ascii="宋体" w:hAnsi="宋体" w:eastAsia="宋体" w:cs="宋体"/>
          <w:color w:val="000000" w:themeColor="text1"/>
          <w:spacing w:val="6"/>
          <w:szCs w:val="24"/>
          <w:highlight w:val="none"/>
          <w14:textFill>
            <w14:solidFill>
              <w14:schemeClr w14:val="tx1"/>
            </w14:solidFill>
          </w14:textFill>
        </w:rPr>
        <w:t>本单位郑重声明，根据《财政部民政部中国残疾人联合会关于促进残疾人就业政府采购政策的通知》（财库</w:t>
      </w:r>
      <w:r>
        <w:rPr>
          <w:rFonts w:hint="eastAsia" w:ascii="宋体" w:hAnsi="宋体" w:eastAsia="宋体" w:cs="宋体"/>
          <w:color w:val="000000" w:themeColor="text1"/>
          <w:szCs w:val="24"/>
          <w:highlight w:val="none"/>
          <w14:textFill>
            <w14:solidFill>
              <w14:schemeClr w14:val="tx1"/>
            </w14:solidFill>
          </w14:textFill>
        </w:rPr>
        <w:t>〔2017〕141</w:t>
      </w:r>
      <w:r>
        <w:rPr>
          <w:rFonts w:hint="eastAsia" w:ascii="宋体" w:hAnsi="宋体" w:eastAsia="宋体" w:cs="宋体"/>
          <w:color w:val="000000" w:themeColor="text1"/>
          <w:spacing w:val="6"/>
          <w:szCs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A53A14">
      <w:pPr>
        <w:spacing w:line="360" w:lineRule="auto"/>
        <w:ind w:firstLine="504" w:firstLineChars="200"/>
        <w:rPr>
          <w:rFonts w:hint="eastAsia" w:ascii="宋体" w:hAnsi="宋体" w:eastAsia="宋体" w:cs="宋体"/>
          <w:color w:val="000000" w:themeColor="text1"/>
          <w:spacing w:val="6"/>
          <w:szCs w:val="24"/>
          <w:highlight w:val="none"/>
          <w14:textFill>
            <w14:solidFill>
              <w14:schemeClr w14:val="tx1"/>
            </w14:solidFill>
          </w14:textFill>
        </w:rPr>
      </w:pPr>
      <w:r>
        <w:rPr>
          <w:rFonts w:hint="eastAsia" w:ascii="宋体" w:hAnsi="宋体" w:eastAsia="宋体" w:cs="宋体"/>
          <w:color w:val="000000" w:themeColor="text1"/>
          <w:spacing w:val="6"/>
          <w:szCs w:val="24"/>
          <w:highlight w:val="none"/>
          <w14:textFill>
            <w14:solidFill>
              <w14:schemeClr w14:val="tx1"/>
            </w14:solidFill>
          </w14:textFill>
        </w:rPr>
        <w:t>本单位对上述声明的真实性负责。如有虚假，将依法承担相应责任。</w:t>
      </w:r>
    </w:p>
    <w:p w14:paraId="4AFDCFC6">
      <w:pPr>
        <w:spacing w:line="360" w:lineRule="auto"/>
        <w:ind w:firstLine="504" w:firstLineChars="200"/>
        <w:rPr>
          <w:rFonts w:hint="eastAsia" w:ascii="宋体" w:hAnsi="宋体" w:eastAsia="宋体" w:cs="宋体"/>
          <w:color w:val="000000" w:themeColor="text1"/>
          <w:spacing w:val="6"/>
          <w:szCs w:val="24"/>
          <w:highlight w:val="none"/>
          <w14:textFill>
            <w14:solidFill>
              <w14:schemeClr w14:val="tx1"/>
            </w14:solidFill>
          </w14:textFill>
        </w:rPr>
      </w:pPr>
    </w:p>
    <w:p w14:paraId="5534BF58">
      <w:pPr>
        <w:spacing w:line="360" w:lineRule="auto"/>
        <w:ind w:firstLine="524" w:firstLineChars="200"/>
        <w:rPr>
          <w:rFonts w:hint="eastAsia" w:ascii="宋体" w:hAnsi="宋体" w:eastAsia="宋体" w:cs="宋体"/>
          <w:color w:val="000000" w:themeColor="text1"/>
          <w:spacing w:val="6"/>
          <w:szCs w:val="24"/>
          <w:highlight w:val="none"/>
          <w14:textFill>
            <w14:solidFill>
              <w14:schemeClr w14:val="tx1"/>
            </w14:solidFill>
          </w14:textFill>
        </w:rPr>
      </w:pPr>
      <w:r>
        <w:rPr>
          <w:rFonts w:hint="eastAsia" w:ascii="宋体" w:hAnsi="宋体" w:eastAsia="宋体" w:cs="宋体"/>
          <w:spacing w:val="11"/>
          <w:kern w:val="0"/>
          <w:szCs w:val="24"/>
          <w:highlight w:val="none"/>
        </w:rPr>
        <w:t>备注</w:t>
      </w:r>
      <w:r>
        <w:rPr>
          <w:rFonts w:hint="eastAsia" w:ascii="宋体" w:hAnsi="宋体" w:eastAsia="宋体" w:cs="宋体"/>
          <w:color w:val="000000" w:themeColor="text1"/>
          <w:spacing w:val="6"/>
          <w:szCs w:val="24"/>
          <w:highlight w:val="none"/>
          <w14:textFill>
            <w14:solidFill>
              <w14:schemeClr w14:val="tx1"/>
            </w14:solidFill>
          </w14:textFill>
        </w:rPr>
        <w:t>：非残疾人企业可以不提供本声明函。</w:t>
      </w:r>
    </w:p>
    <w:p w14:paraId="56442B53">
      <w:pPr>
        <w:pStyle w:val="36"/>
        <w:ind w:firstLine="664"/>
        <w:rPr>
          <w:rFonts w:hint="eastAsia" w:ascii="宋体" w:hAnsi="宋体" w:eastAsia="宋体" w:cs="宋体"/>
          <w:color w:val="000000" w:themeColor="text1"/>
          <w:spacing w:val="6"/>
          <w:szCs w:val="24"/>
          <w:highlight w:val="none"/>
          <w14:textFill>
            <w14:solidFill>
              <w14:schemeClr w14:val="tx1"/>
            </w14:solidFill>
          </w14:textFill>
        </w:rPr>
      </w:pPr>
    </w:p>
    <w:p w14:paraId="4DDCD44B">
      <w:pPr>
        <w:pStyle w:val="36"/>
        <w:ind w:firstLine="664"/>
        <w:rPr>
          <w:rFonts w:hint="eastAsia" w:ascii="宋体" w:hAnsi="宋体" w:eastAsia="宋体" w:cs="宋体"/>
          <w:color w:val="000000" w:themeColor="text1"/>
          <w:spacing w:val="6"/>
          <w:szCs w:val="24"/>
          <w:highlight w:val="none"/>
          <w14:textFill>
            <w14:solidFill>
              <w14:schemeClr w14:val="tx1"/>
            </w14:solidFill>
          </w14:textFill>
        </w:rPr>
      </w:pPr>
    </w:p>
    <w:p w14:paraId="7463FD55">
      <w:pPr>
        <w:pStyle w:val="36"/>
        <w:ind w:firstLine="664"/>
        <w:rPr>
          <w:rFonts w:hint="eastAsia" w:ascii="宋体" w:hAnsi="宋体" w:eastAsia="宋体" w:cs="宋体"/>
          <w:color w:val="000000" w:themeColor="text1"/>
          <w:spacing w:val="6"/>
          <w:szCs w:val="24"/>
          <w:highlight w:val="none"/>
          <w14:textFill>
            <w14:solidFill>
              <w14:schemeClr w14:val="tx1"/>
            </w14:solidFill>
          </w14:textFill>
        </w:rPr>
      </w:pPr>
    </w:p>
    <w:p w14:paraId="37750947">
      <w:pPr>
        <w:pStyle w:val="10"/>
        <w:spacing w:line="500" w:lineRule="exact"/>
        <w:ind w:firstLine="3078" w:firstLineChars="1175"/>
        <w:rPr>
          <w:rFonts w:hint="eastAsia" w:ascii="宋体" w:hAnsi="宋体" w:eastAsia="宋体" w:cs="宋体"/>
          <w:spacing w:val="11"/>
          <w:kern w:val="0"/>
          <w:sz w:val="24"/>
          <w:szCs w:val="24"/>
          <w:highlight w:val="none"/>
          <w:u w:val="single"/>
        </w:rPr>
      </w:pPr>
      <w:r>
        <w:rPr>
          <w:rFonts w:hint="eastAsia" w:ascii="宋体" w:hAnsi="宋体" w:eastAsia="宋体" w:cs="宋体"/>
          <w:spacing w:val="11"/>
          <w:kern w:val="0"/>
          <w:sz w:val="24"/>
          <w:szCs w:val="24"/>
          <w:highlight w:val="none"/>
        </w:rPr>
        <w:t>企业名称（盖章）：</w:t>
      </w:r>
      <w:r>
        <w:rPr>
          <w:rFonts w:hint="eastAsia" w:ascii="宋体" w:hAnsi="宋体" w:eastAsia="宋体" w:cs="宋体"/>
          <w:spacing w:val="11"/>
          <w:kern w:val="0"/>
          <w:sz w:val="24"/>
          <w:szCs w:val="24"/>
          <w:highlight w:val="none"/>
          <w:u w:val="single"/>
        </w:rPr>
        <w:t xml:space="preserve">                  </w:t>
      </w:r>
    </w:p>
    <w:p w14:paraId="2AE44211">
      <w:pPr>
        <w:pStyle w:val="10"/>
        <w:spacing w:line="500" w:lineRule="exact"/>
        <w:ind w:firstLine="3078" w:firstLineChars="1175"/>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日   期：</w:t>
      </w:r>
      <w:r>
        <w:rPr>
          <w:rFonts w:hint="eastAsia" w:ascii="宋体" w:hAnsi="宋体" w:eastAsia="宋体" w:cs="宋体"/>
          <w:spacing w:val="11"/>
          <w:kern w:val="0"/>
          <w:sz w:val="24"/>
          <w:szCs w:val="24"/>
          <w:highlight w:val="none"/>
          <w:u w:val="single"/>
        </w:rPr>
        <w:t xml:space="preserve">          </w:t>
      </w:r>
      <w:r>
        <w:rPr>
          <w:rFonts w:hint="eastAsia" w:ascii="宋体" w:hAnsi="宋体" w:eastAsia="宋体" w:cs="宋体"/>
          <w:spacing w:val="11"/>
          <w:kern w:val="0"/>
          <w:sz w:val="24"/>
          <w:szCs w:val="24"/>
          <w:highlight w:val="none"/>
        </w:rPr>
        <w:t>年</w:t>
      </w:r>
      <w:r>
        <w:rPr>
          <w:rFonts w:hint="eastAsia" w:ascii="宋体" w:hAnsi="宋体" w:eastAsia="宋体" w:cs="宋体"/>
          <w:spacing w:val="11"/>
          <w:kern w:val="0"/>
          <w:sz w:val="24"/>
          <w:szCs w:val="24"/>
          <w:highlight w:val="none"/>
          <w:u w:val="single"/>
        </w:rPr>
        <w:t xml:space="preserve">     </w:t>
      </w:r>
      <w:r>
        <w:rPr>
          <w:rFonts w:hint="eastAsia" w:ascii="宋体" w:hAnsi="宋体" w:eastAsia="宋体" w:cs="宋体"/>
          <w:spacing w:val="11"/>
          <w:kern w:val="0"/>
          <w:sz w:val="24"/>
          <w:szCs w:val="24"/>
          <w:highlight w:val="none"/>
        </w:rPr>
        <w:t>月</w:t>
      </w:r>
      <w:r>
        <w:rPr>
          <w:rFonts w:hint="eastAsia" w:ascii="宋体" w:hAnsi="宋体" w:eastAsia="宋体" w:cs="宋体"/>
          <w:spacing w:val="11"/>
          <w:kern w:val="0"/>
          <w:sz w:val="24"/>
          <w:szCs w:val="24"/>
          <w:highlight w:val="none"/>
          <w:u w:val="single"/>
        </w:rPr>
        <w:t xml:space="preserve">     </w:t>
      </w:r>
      <w:r>
        <w:rPr>
          <w:rFonts w:hint="eastAsia" w:ascii="宋体" w:hAnsi="宋体" w:eastAsia="宋体" w:cs="宋体"/>
          <w:spacing w:val="11"/>
          <w:kern w:val="0"/>
          <w:sz w:val="24"/>
          <w:szCs w:val="24"/>
          <w:highlight w:val="none"/>
        </w:rPr>
        <w:t>日</w:t>
      </w:r>
    </w:p>
    <w:p w14:paraId="1B0A8200">
      <w:pPr>
        <w:tabs>
          <w:tab w:val="left" w:pos="4860"/>
        </w:tabs>
        <w:spacing w:line="360" w:lineRule="auto"/>
        <w:ind w:right="1560" w:firstLine="883" w:firstLineChars="200"/>
        <w:jc w:val="center"/>
        <w:rPr>
          <w:rFonts w:hint="eastAsia" w:ascii="宋体" w:hAnsi="宋体" w:eastAsia="宋体" w:cs="宋体"/>
          <w:b/>
          <w:color w:val="000000" w:themeColor="text1"/>
          <w:sz w:val="44"/>
          <w:szCs w:val="44"/>
          <w:highlight w:val="none"/>
          <w14:textFill>
            <w14:solidFill>
              <w14:schemeClr w14:val="tx1"/>
            </w14:solidFill>
          </w14:textFill>
        </w:rPr>
      </w:pPr>
    </w:p>
    <w:p w14:paraId="7192E702">
      <w:pPr>
        <w:spacing w:line="360" w:lineRule="auto"/>
        <w:rPr>
          <w:rFonts w:hint="eastAsia" w:ascii="宋体" w:hAnsi="宋体" w:eastAsia="宋体" w:cs="宋体"/>
          <w:b/>
          <w:color w:val="000000" w:themeColor="text1"/>
          <w:sz w:val="44"/>
          <w:szCs w:val="44"/>
          <w:highlight w:val="none"/>
          <w14:textFill>
            <w14:solidFill>
              <w14:schemeClr w14:val="tx1"/>
            </w14:solidFill>
          </w14:textFill>
        </w:rPr>
      </w:pPr>
    </w:p>
    <w:p w14:paraId="39EBABBD">
      <w:pPr>
        <w:spacing w:line="360" w:lineRule="auto"/>
        <w:rPr>
          <w:rFonts w:hint="eastAsia" w:ascii="宋体" w:hAnsi="宋体" w:eastAsia="宋体" w:cs="宋体"/>
          <w:b/>
          <w:color w:val="000000" w:themeColor="text1"/>
          <w:sz w:val="44"/>
          <w:szCs w:val="44"/>
          <w:highlight w:val="none"/>
          <w14:textFill>
            <w14:solidFill>
              <w14:schemeClr w14:val="tx1"/>
            </w14:solidFill>
          </w14:textFill>
        </w:rPr>
      </w:pPr>
    </w:p>
    <w:p w14:paraId="4EF87DED">
      <w:pPr>
        <w:rPr>
          <w:rFonts w:hint="eastAsia" w:ascii="宋体" w:hAnsi="宋体" w:eastAsia="宋体" w:cs="宋体"/>
          <w:b/>
          <w:bCs/>
          <w:color w:val="000000" w:themeColor="text1"/>
          <w:szCs w:val="28"/>
          <w:highlight w:val="none"/>
          <w14:textFill>
            <w14:solidFill>
              <w14:schemeClr w14:val="tx1"/>
            </w14:solidFill>
          </w14:textFill>
        </w:rPr>
      </w:pPr>
      <w:bookmarkStart w:id="119" w:name="_Toc32293_WPSOffice_Level1"/>
      <w:r>
        <w:rPr>
          <w:rFonts w:hint="eastAsia" w:ascii="宋体" w:hAnsi="宋体" w:eastAsia="宋体" w:cs="宋体"/>
          <w:b/>
          <w:bCs/>
          <w:color w:val="000000" w:themeColor="text1"/>
          <w:szCs w:val="28"/>
          <w:highlight w:val="none"/>
          <w14:textFill>
            <w14:solidFill>
              <w14:schemeClr w14:val="tx1"/>
            </w14:solidFill>
          </w14:textFill>
        </w:rPr>
        <w:br w:type="page"/>
      </w:r>
    </w:p>
    <w:p w14:paraId="5775AE01">
      <w:pPr>
        <w:spacing w:line="360" w:lineRule="auto"/>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附件三：《监狱企业证明材料》</w:t>
      </w:r>
    </w:p>
    <w:p w14:paraId="44BCD5A5">
      <w:pPr>
        <w:pStyle w:val="36"/>
        <w:ind w:firstLine="640"/>
        <w:rPr>
          <w:rFonts w:hint="eastAsia" w:ascii="宋体" w:hAnsi="宋体" w:eastAsia="宋体" w:cs="宋体"/>
          <w:color w:val="000000" w:themeColor="text1"/>
          <w:highlight w:val="none"/>
          <w14:textFill>
            <w14:solidFill>
              <w14:schemeClr w14:val="tx1"/>
            </w14:solidFill>
          </w14:textFill>
        </w:rPr>
      </w:pPr>
    </w:p>
    <w:p w14:paraId="15434526">
      <w:pPr>
        <w:spacing w:line="360" w:lineRule="auto"/>
        <w:jc w:val="center"/>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监狱企业证明材料</w:t>
      </w:r>
      <w:bookmarkEnd w:id="119"/>
    </w:p>
    <w:p w14:paraId="027321CE">
      <w:pPr>
        <w:spacing w:line="360" w:lineRule="auto"/>
        <w:rPr>
          <w:rFonts w:hint="eastAsia" w:ascii="宋体" w:hAnsi="宋体" w:eastAsia="宋体" w:cs="宋体"/>
          <w:b/>
          <w:color w:val="000000" w:themeColor="text1"/>
          <w:spacing w:val="6"/>
          <w:highlight w:val="none"/>
          <w14:textFill>
            <w14:solidFill>
              <w14:schemeClr w14:val="tx1"/>
            </w14:solidFill>
          </w14:textFill>
        </w:rPr>
      </w:pPr>
      <w:r>
        <w:rPr>
          <w:rFonts w:hint="eastAsia" w:ascii="宋体" w:hAnsi="宋体" w:eastAsia="宋体" w:cs="宋体"/>
          <w:b/>
          <w:color w:val="000000" w:themeColor="text1"/>
          <w:spacing w:val="6"/>
          <w:highlight w:val="none"/>
          <w14:textFill>
            <w14:solidFill>
              <w14:schemeClr w14:val="tx1"/>
            </w14:solidFill>
          </w14:textFill>
        </w:rPr>
        <w:t>说明</w:t>
      </w:r>
    </w:p>
    <w:p w14:paraId="10C76C28">
      <w:pPr>
        <w:spacing w:line="360" w:lineRule="auto"/>
        <w:ind w:firstLine="480" w:firstLineChars="200"/>
        <w:rPr>
          <w:rFonts w:hint="eastAsia" w:ascii="宋体" w:hAnsi="宋体" w:eastAsia="宋体" w:cs="宋体"/>
          <w:b/>
          <w:color w:val="000000" w:themeColor="text1"/>
          <w:spacing w:val="6"/>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1.监狱企业参加政府采购活动时，应当提供由省级以上监狱管理局、戒毒管理局(含新疆生产建设兵团)出具的属于监狱企业的证明文件。监狱企业参加政府采购活动时，视同小型、微型企业。</w:t>
      </w:r>
    </w:p>
    <w:p w14:paraId="567539E4">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如未提供证明材料的，则其不能享受竞争性磋商文件规定的价格扣减，但不影响供应商</w:t>
      </w:r>
      <w:r>
        <w:rPr>
          <w:rFonts w:hint="eastAsia" w:ascii="宋体" w:hAnsi="宋体" w:eastAsia="宋体" w:cs="宋体"/>
          <w:bCs/>
          <w:color w:val="000000" w:themeColor="text1"/>
          <w:highlight w:val="none"/>
          <w:lang w:val="zh-CN"/>
          <w14:textFill>
            <w14:solidFill>
              <w14:schemeClr w14:val="tx1"/>
            </w14:solidFill>
          </w14:textFill>
        </w:rPr>
        <w:t>磋商响应</w:t>
      </w:r>
      <w:r>
        <w:rPr>
          <w:rFonts w:hint="eastAsia" w:ascii="宋体" w:hAnsi="宋体" w:eastAsia="宋体" w:cs="宋体"/>
          <w:color w:val="000000" w:themeColor="text1"/>
          <w:highlight w:val="none"/>
          <w14:textFill>
            <w14:solidFill>
              <w14:schemeClr w14:val="tx1"/>
            </w14:solidFill>
          </w14:textFill>
        </w:rPr>
        <w:t>文件的有效性。</w:t>
      </w:r>
    </w:p>
    <w:p w14:paraId="633B65BB">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3.非监狱企业可以不提供本材料。</w:t>
      </w:r>
    </w:p>
    <w:p w14:paraId="55DD1962">
      <w:pPr>
        <w:spacing w:line="52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29A99AC9">
      <w:pPr>
        <w:spacing w:line="52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06E13FE9">
      <w:pPr>
        <w:pStyle w:val="10"/>
        <w:spacing w:line="500" w:lineRule="exact"/>
        <w:ind w:firstLine="3078" w:firstLineChars="1175"/>
        <w:rPr>
          <w:rFonts w:hint="eastAsia" w:ascii="宋体" w:hAnsi="宋体" w:eastAsia="宋体" w:cs="宋体"/>
          <w:spacing w:val="11"/>
          <w:kern w:val="0"/>
          <w:sz w:val="24"/>
          <w:szCs w:val="24"/>
          <w:highlight w:val="none"/>
          <w:u w:val="single"/>
        </w:rPr>
      </w:pPr>
      <w:r>
        <w:rPr>
          <w:rFonts w:hint="eastAsia" w:ascii="宋体" w:hAnsi="宋体" w:eastAsia="宋体" w:cs="宋体"/>
          <w:spacing w:val="11"/>
          <w:kern w:val="0"/>
          <w:sz w:val="24"/>
          <w:szCs w:val="24"/>
          <w:highlight w:val="none"/>
        </w:rPr>
        <w:t>企业名称（盖章）：</w:t>
      </w:r>
      <w:r>
        <w:rPr>
          <w:rFonts w:hint="eastAsia" w:ascii="宋体" w:hAnsi="宋体" w:eastAsia="宋体" w:cs="宋体"/>
          <w:spacing w:val="11"/>
          <w:kern w:val="0"/>
          <w:sz w:val="24"/>
          <w:szCs w:val="24"/>
          <w:highlight w:val="none"/>
          <w:u w:val="single"/>
        </w:rPr>
        <w:t xml:space="preserve">                  </w:t>
      </w:r>
    </w:p>
    <w:p w14:paraId="6B4EC8A8">
      <w:pPr>
        <w:pStyle w:val="10"/>
        <w:spacing w:line="500" w:lineRule="exact"/>
        <w:ind w:firstLine="3078" w:firstLineChars="1175"/>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t>日   期：</w:t>
      </w:r>
      <w:r>
        <w:rPr>
          <w:rFonts w:hint="eastAsia" w:ascii="宋体" w:hAnsi="宋体" w:eastAsia="宋体" w:cs="宋体"/>
          <w:spacing w:val="11"/>
          <w:kern w:val="0"/>
          <w:sz w:val="24"/>
          <w:szCs w:val="24"/>
          <w:highlight w:val="none"/>
          <w:u w:val="single"/>
        </w:rPr>
        <w:t xml:space="preserve">          </w:t>
      </w:r>
      <w:r>
        <w:rPr>
          <w:rFonts w:hint="eastAsia" w:ascii="宋体" w:hAnsi="宋体" w:eastAsia="宋体" w:cs="宋体"/>
          <w:spacing w:val="11"/>
          <w:kern w:val="0"/>
          <w:sz w:val="24"/>
          <w:szCs w:val="24"/>
          <w:highlight w:val="none"/>
        </w:rPr>
        <w:t>年</w:t>
      </w:r>
      <w:r>
        <w:rPr>
          <w:rFonts w:hint="eastAsia" w:ascii="宋体" w:hAnsi="宋体" w:eastAsia="宋体" w:cs="宋体"/>
          <w:spacing w:val="11"/>
          <w:kern w:val="0"/>
          <w:sz w:val="24"/>
          <w:szCs w:val="24"/>
          <w:highlight w:val="none"/>
          <w:u w:val="single"/>
        </w:rPr>
        <w:t xml:space="preserve">     </w:t>
      </w:r>
      <w:r>
        <w:rPr>
          <w:rFonts w:hint="eastAsia" w:ascii="宋体" w:hAnsi="宋体" w:eastAsia="宋体" w:cs="宋体"/>
          <w:spacing w:val="11"/>
          <w:kern w:val="0"/>
          <w:sz w:val="24"/>
          <w:szCs w:val="24"/>
          <w:highlight w:val="none"/>
        </w:rPr>
        <w:t>月</w:t>
      </w:r>
      <w:r>
        <w:rPr>
          <w:rFonts w:hint="eastAsia" w:ascii="宋体" w:hAnsi="宋体" w:eastAsia="宋体" w:cs="宋体"/>
          <w:spacing w:val="11"/>
          <w:kern w:val="0"/>
          <w:sz w:val="24"/>
          <w:szCs w:val="24"/>
          <w:highlight w:val="none"/>
          <w:u w:val="single"/>
        </w:rPr>
        <w:t xml:space="preserve">     </w:t>
      </w:r>
      <w:r>
        <w:rPr>
          <w:rFonts w:hint="eastAsia" w:ascii="宋体" w:hAnsi="宋体" w:eastAsia="宋体" w:cs="宋体"/>
          <w:spacing w:val="11"/>
          <w:kern w:val="0"/>
          <w:sz w:val="24"/>
          <w:szCs w:val="24"/>
          <w:highlight w:val="none"/>
        </w:rPr>
        <w:t>日</w:t>
      </w:r>
    </w:p>
    <w:p w14:paraId="1E923C03">
      <w:pPr>
        <w:tabs>
          <w:tab w:val="left" w:pos="4860"/>
        </w:tabs>
        <w:spacing w:line="360" w:lineRule="auto"/>
        <w:ind w:right="1560" w:firstLine="504" w:firstLineChars="200"/>
        <w:jc w:val="center"/>
        <w:rPr>
          <w:rFonts w:hint="eastAsia" w:ascii="宋体" w:hAnsi="宋体" w:eastAsia="宋体" w:cs="宋体"/>
          <w:color w:val="000000" w:themeColor="text1"/>
          <w:spacing w:val="6"/>
          <w:szCs w:val="24"/>
          <w:highlight w:val="none"/>
          <w14:textFill>
            <w14:solidFill>
              <w14:schemeClr w14:val="tx1"/>
            </w14:solidFill>
          </w14:textFill>
        </w:rPr>
      </w:pPr>
    </w:p>
    <w:p w14:paraId="332DE0A0">
      <w:pPr>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br w:type="page"/>
      </w:r>
    </w:p>
    <w:p w14:paraId="13537910">
      <w:pPr>
        <w:keepNext w:val="0"/>
        <w:keepLines w:val="0"/>
        <w:widowControl/>
        <w:suppressLineNumbers w:val="0"/>
        <w:jc w:val="left"/>
        <w:rPr>
          <w:highlight w:val="none"/>
        </w:rPr>
      </w:pPr>
      <w:r>
        <w:rPr>
          <w:rFonts w:hint="eastAsia" w:ascii="宋体" w:hAnsi="宋体" w:eastAsia="宋体" w:cs="宋体"/>
          <w:b/>
          <w:bCs/>
          <w:color w:val="000000"/>
          <w:kern w:val="0"/>
          <w:sz w:val="30"/>
          <w:szCs w:val="30"/>
          <w:highlight w:val="none"/>
          <w:lang w:val="en-US" w:eastAsia="zh-CN" w:bidi="ar"/>
        </w:rPr>
        <w:t xml:space="preserve">附件： </w:t>
      </w:r>
    </w:p>
    <w:p w14:paraId="60FB6E61">
      <w:pPr>
        <w:jc w:val="center"/>
        <w:rPr>
          <w:b/>
          <w:sz w:val="36"/>
          <w:szCs w:val="36"/>
          <w:highlight w:val="none"/>
        </w:rPr>
      </w:pPr>
      <w:r>
        <w:rPr>
          <w:rFonts w:hint="eastAsia"/>
          <w:b/>
          <w:sz w:val="36"/>
          <w:szCs w:val="36"/>
          <w:highlight w:val="none"/>
        </w:rPr>
        <w:t>竞争性磋商二次（最终）报价表</w:t>
      </w:r>
    </w:p>
    <w:p w14:paraId="3B154D73">
      <w:pPr>
        <w:spacing w:line="360" w:lineRule="auto"/>
        <w:jc w:val="left"/>
        <w:rPr>
          <w:rFonts w:ascii="宋体" w:hAnsi="宋体"/>
          <w:sz w:val="24"/>
          <w:highlight w:val="none"/>
        </w:rPr>
      </w:pPr>
      <w:r>
        <w:rPr>
          <w:rFonts w:hint="eastAsia" w:ascii="宋体" w:hAnsi="宋体"/>
          <w:sz w:val="24"/>
          <w:highlight w:val="none"/>
        </w:rPr>
        <w:t>项目编号：</w:t>
      </w:r>
      <w:r>
        <w:rPr>
          <w:rFonts w:hint="eastAsia" w:ascii="宋体" w:hAnsi="宋体"/>
          <w:sz w:val="24"/>
          <w:highlight w:val="none"/>
          <w:lang w:eastAsia="zh-CN"/>
        </w:rPr>
        <w:t>SXLH2025(031)CG</w:t>
      </w:r>
    </w:p>
    <w:p w14:paraId="25819D9F">
      <w:pPr>
        <w:spacing w:line="360" w:lineRule="auto"/>
        <w:jc w:val="left"/>
        <w:rPr>
          <w:rFonts w:hint="eastAsia" w:ascii="宋体" w:hAnsi="宋体"/>
          <w:sz w:val="24"/>
          <w:highlight w:val="none"/>
          <w:lang w:eastAsia="zh-CN"/>
        </w:rPr>
      </w:pPr>
      <w:r>
        <w:rPr>
          <w:rFonts w:hint="eastAsia" w:ascii="宋体" w:hAnsi="宋体"/>
          <w:sz w:val="24"/>
          <w:highlight w:val="none"/>
        </w:rPr>
        <w:t>项目名称：</w:t>
      </w:r>
      <w:r>
        <w:rPr>
          <w:rFonts w:hint="eastAsia" w:ascii="宋体" w:hAnsi="宋体"/>
          <w:sz w:val="24"/>
          <w:highlight w:val="none"/>
          <w:lang w:eastAsia="zh-CN"/>
        </w:rPr>
        <w:t>千阳县民政局适老化改造项目</w:t>
      </w:r>
    </w:p>
    <w:tbl>
      <w:tblPr>
        <w:tblStyle w:val="37"/>
        <w:tblW w:w="81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5"/>
        <w:gridCol w:w="1628"/>
        <w:gridCol w:w="5611"/>
      </w:tblGrid>
      <w:tr w14:paraId="5133E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1" w:hRule="atLeast"/>
        </w:trPr>
        <w:tc>
          <w:tcPr>
            <w:tcW w:w="915" w:type="dxa"/>
            <w:tcBorders>
              <w:top w:val="single" w:color="auto" w:sz="4" w:space="0"/>
              <w:left w:val="single" w:color="auto" w:sz="4" w:space="0"/>
              <w:bottom w:val="single" w:color="auto" w:sz="4" w:space="0"/>
              <w:right w:val="single" w:color="auto" w:sz="4" w:space="0"/>
            </w:tcBorders>
            <w:vAlign w:val="center"/>
          </w:tcPr>
          <w:p w14:paraId="102EFEE7">
            <w:pPr>
              <w:spacing w:line="360" w:lineRule="auto"/>
              <w:jc w:val="center"/>
              <w:rPr>
                <w:rFonts w:ascii="宋体" w:hAnsi="宋体"/>
                <w:sz w:val="28"/>
                <w:szCs w:val="28"/>
                <w:highlight w:val="none"/>
              </w:rPr>
            </w:pPr>
            <w:r>
              <w:rPr>
                <w:rFonts w:hint="eastAsia" w:ascii="宋体" w:hAnsi="宋体"/>
                <w:sz w:val="28"/>
                <w:szCs w:val="28"/>
                <w:highlight w:val="none"/>
              </w:rPr>
              <w:t>序号</w:t>
            </w:r>
          </w:p>
        </w:tc>
        <w:tc>
          <w:tcPr>
            <w:tcW w:w="1628" w:type="dxa"/>
            <w:tcBorders>
              <w:top w:val="single" w:color="auto" w:sz="4" w:space="0"/>
              <w:left w:val="single" w:color="auto" w:sz="4" w:space="0"/>
              <w:bottom w:val="single" w:color="auto" w:sz="4" w:space="0"/>
              <w:right w:val="single" w:color="auto" w:sz="4" w:space="0"/>
            </w:tcBorders>
            <w:vAlign w:val="center"/>
          </w:tcPr>
          <w:p w14:paraId="18453068">
            <w:pPr>
              <w:spacing w:line="460" w:lineRule="exact"/>
              <w:jc w:val="center"/>
              <w:rPr>
                <w:rFonts w:ascii="宋体" w:hAnsi="宋体" w:eastAsia="宋体" w:cs="宋体"/>
                <w:sz w:val="24"/>
                <w:highlight w:val="none"/>
              </w:rPr>
            </w:pPr>
            <w:r>
              <w:rPr>
                <w:rFonts w:hint="eastAsia" w:ascii="宋体" w:hAnsi="宋体" w:eastAsia="宋体" w:cs="宋体"/>
                <w:sz w:val="24"/>
                <w:highlight w:val="none"/>
              </w:rPr>
              <w:t>供应商</w:t>
            </w:r>
          </w:p>
          <w:p w14:paraId="541ED928">
            <w:pPr>
              <w:spacing w:line="460" w:lineRule="exact"/>
              <w:jc w:val="center"/>
              <w:rPr>
                <w:rFonts w:ascii="宋体" w:hAnsi="宋体"/>
                <w:sz w:val="28"/>
                <w:szCs w:val="28"/>
                <w:highlight w:val="none"/>
              </w:rPr>
            </w:pPr>
            <w:r>
              <w:rPr>
                <w:rFonts w:hint="eastAsia" w:ascii="宋体" w:hAnsi="宋体" w:eastAsia="宋体" w:cs="宋体"/>
                <w:sz w:val="24"/>
                <w:highlight w:val="none"/>
              </w:rPr>
              <w:t>名称</w:t>
            </w:r>
          </w:p>
        </w:tc>
        <w:tc>
          <w:tcPr>
            <w:tcW w:w="5611" w:type="dxa"/>
            <w:tcBorders>
              <w:top w:val="single" w:color="auto" w:sz="4" w:space="0"/>
              <w:left w:val="single" w:color="auto" w:sz="4" w:space="0"/>
              <w:bottom w:val="single" w:color="auto" w:sz="4" w:space="0"/>
              <w:right w:val="single" w:color="auto" w:sz="4" w:space="0"/>
            </w:tcBorders>
            <w:vAlign w:val="center"/>
          </w:tcPr>
          <w:p w14:paraId="61E6031F">
            <w:pPr>
              <w:spacing w:line="360" w:lineRule="auto"/>
              <w:jc w:val="center"/>
              <w:rPr>
                <w:rFonts w:ascii="宋体" w:hAnsi="宋体"/>
                <w:sz w:val="28"/>
                <w:szCs w:val="28"/>
                <w:highlight w:val="none"/>
              </w:rPr>
            </w:pPr>
          </w:p>
        </w:tc>
      </w:tr>
      <w:tr w14:paraId="7414A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1" w:hRule="atLeast"/>
        </w:trPr>
        <w:tc>
          <w:tcPr>
            <w:tcW w:w="915" w:type="dxa"/>
            <w:vMerge w:val="restart"/>
            <w:tcBorders>
              <w:top w:val="single" w:color="auto" w:sz="4" w:space="0"/>
              <w:left w:val="single" w:color="auto" w:sz="4" w:space="0"/>
              <w:right w:val="single" w:color="auto" w:sz="4" w:space="0"/>
            </w:tcBorders>
            <w:vAlign w:val="center"/>
          </w:tcPr>
          <w:p w14:paraId="20311617">
            <w:pPr>
              <w:spacing w:line="360" w:lineRule="auto"/>
              <w:jc w:val="center"/>
              <w:rPr>
                <w:rFonts w:ascii="宋体" w:hAnsi="宋体"/>
                <w:sz w:val="28"/>
                <w:szCs w:val="28"/>
                <w:highlight w:val="none"/>
              </w:rPr>
            </w:pPr>
            <w:r>
              <w:rPr>
                <w:rFonts w:hint="eastAsia" w:ascii="宋体" w:hAnsi="宋体"/>
                <w:sz w:val="28"/>
                <w:szCs w:val="28"/>
                <w:highlight w:val="none"/>
              </w:rPr>
              <w:t>1</w:t>
            </w:r>
          </w:p>
        </w:tc>
        <w:tc>
          <w:tcPr>
            <w:tcW w:w="1628" w:type="dxa"/>
            <w:vMerge w:val="restart"/>
            <w:tcBorders>
              <w:top w:val="single" w:color="auto" w:sz="4" w:space="0"/>
              <w:left w:val="single" w:color="auto" w:sz="4" w:space="0"/>
              <w:right w:val="single" w:color="auto" w:sz="4" w:space="0"/>
            </w:tcBorders>
            <w:vAlign w:val="center"/>
          </w:tcPr>
          <w:p w14:paraId="322264A6">
            <w:pPr>
              <w:spacing w:line="460" w:lineRule="exact"/>
              <w:jc w:val="center"/>
              <w:rPr>
                <w:rFonts w:ascii="宋体" w:hAnsi="宋体" w:eastAsia="宋体" w:cs="宋体"/>
                <w:sz w:val="24"/>
                <w:highlight w:val="none"/>
              </w:rPr>
            </w:pPr>
            <w:r>
              <w:rPr>
                <w:rFonts w:hint="eastAsia" w:ascii="宋体" w:hAnsi="宋体" w:eastAsia="宋体" w:cs="宋体"/>
                <w:sz w:val="24"/>
                <w:highlight w:val="none"/>
              </w:rPr>
              <w:t>磋商报价（元）</w:t>
            </w:r>
          </w:p>
        </w:tc>
        <w:tc>
          <w:tcPr>
            <w:tcW w:w="5611" w:type="dxa"/>
            <w:tcBorders>
              <w:top w:val="single" w:color="auto" w:sz="4" w:space="0"/>
              <w:left w:val="single" w:color="auto" w:sz="4" w:space="0"/>
              <w:bottom w:val="single" w:color="auto" w:sz="4" w:space="0"/>
              <w:right w:val="single" w:color="auto" w:sz="4" w:space="0"/>
            </w:tcBorders>
            <w:vAlign w:val="center"/>
          </w:tcPr>
          <w:p w14:paraId="523B582B">
            <w:pPr>
              <w:spacing w:line="460" w:lineRule="exact"/>
              <w:jc w:val="left"/>
              <w:rPr>
                <w:rFonts w:ascii="宋体" w:hAnsi="宋体" w:eastAsia="宋体" w:cs="宋体"/>
                <w:sz w:val="24"/>
                <w:highlight w:val="none"/>
              </w:rPr>
            </w:pPr>
            <w:r>
              <w:rPr>
                <w:rFonts w:hint="eastAsia" w:ascii="宋体" w:hAnsi="宋体" w:eastAsia="宋体" w:cs="宋体"/>
                <w:sz w:val="24"/>
                <w:highlight w:val="none"/>
              </w:rPr>
              <w:t>大写：</w:t>
            </w:r>
          </w:p>
        </w:tc>
      </w:tr>
      <w:tr w14:paraId="55F17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1" w:hRule="atLeast"/>
        </w:trPr>
        <w:tc>
          <w:tcPr>
            <w:tcW w:w="915" w:type="dxa"/>
            <w:vMerge w:val="continue"/>
            <w:tcBorders>
              <w:left w:val="single" w:color="auto" w:sz="4" w:space="0"/>
              <w:right w:val="single" w:color="auto" w:sz="4" w:space="0"/>
            </w:tcBorders>
            <w:vAlign w:val="center"/>
          </w:tcPr>
          <w:p w14:paraId="031EAB31">
            <w:pPr>
              <w:spacing w:line="360" w:lineRule="auto"/>
              <w:jc w:val="center"/>
              <w:rPr>
                <w:rFonts w:ascii="宋体" w:hAnsi="宋体"/>
                <w:sz w:val="28"/>
                <w:szCs w:val="28"/>
                <w:highlight w:val="none"/>
              </w:rPr>
            </w:pPr>
          </w:p>
        </w:tc>
        <w:tc>
          <w:tcPr>
            <w:tcW w:w="1628" w:type="dxa"/>
            <w:vMerge w:val="continue"/>
            <w:tcBorders>
              <w:left w:val="single" w:color="auto" w:sz="4" w:space="0"/>
              <w:bottom w:val="single" w:color="auto" w:sz="4" w:space="0"/>
              <w:right w:val="single" w:color="auto" w:sz="4" w:space="0"/>
            </w:tcBorders>
            <w:vAlign w:val="center"/>
          </w:tcPr>
          <w:p w14:paraId="1F165C6D">
            <w:pPr>
              <w:spacing w:line="460" w:lineRule="exact"/>
              <w:jc w:val="center"/>
              <w:rPr>
                <w:rFonts w:ascii="宋体" w:hAnsi="宋体" w:eastAsia="宋体" w:cs="宋体"/>
                <w:sz w:val="24"/>
                <w:highlight w:val="none"/>
              </w:rPr>
            </w:pPr>
          </w:p>
        </w:tc>
        <w:tc>
          <w:tcPr>
            <w:tcW w:w="5611" w:type="dxa"/>
            <w:tcBorders>
              <w:top w:val="single" w:color="auto" w:sz="4" w:space="0"/>
              <w:left w:val="single" w:color="auto" w:sz="4" w:space="0"/>
              <w:bottom w:val="single" w:color="auto" w:sz="4" w:space="0"/>
              <w:right w:val="single" w:color="auto" w:sz="4" w:space="0"/>
            </w:tcBorders>
            <w:vAlign w:val="center"/>
          </w:tcPr>
          <w:p w14:paraId="3EC9200C">
            <w:pPr>
              <w:spacing w:line="460" w:lineRule="exact"/>
              <w:jc w:val="left"/>
              <w:rPr>
                <w:rFonts w:ascii="宋体" w:hAnsi="宋体" w:eastAsia="宋体" w:cs="宋体"/>
                <w:sz w:val="24"/>
                <w:highlight w:val="none"/>
              </w:rPr>
            </w:pPr>
            <w:r>
              <w:rPr>
                <w:rFonts w:hint="eastAsia" w:ascii="宋体" w:hAnsi="宋体" w:eastAsia="宋体" w:cs="宋体"/>
                <w:sz w:val="24"/>
                <w:highlight w:val="none"/>
              </w:rPr>
              <w:t>小写：</w:t>
            </w:r>
          </w:p>
        </w:tc>
      </w:tr>
      <w:tr w14:paraId="5B541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1" w:hRule="atLeast"/>
        </w:trPr>
        <w:tc>
          <w:tcPr>
            <w:tcW w:w="915" w:type="dxa"/>
            <w:tcBorders>
              <w:top w:val="single" w:color="auto" w:sz="4" w:space="0"/>
              <w:left w:val="single" w:color="auto" w:sz="4" w:space="0"/>
              <w:bottom w:val="single" w:color="auto" w:sz="4" w:space="0"/>
              <w:right w:val="single" w:color="auto" w:sz="4" w:space="0"/>
            </w:tcBorders>
            <w:vAlign w:val="center"/>
          </w:tcPr>
          <w:p w14:paraId="35F588AF">
            <w:pPr>
              <w:spacing w:line="360" w:lineRule="auto"/>
              <w:jc w:val="center"/>
              <w:rPr>
                <w:rFonts w:ascii="宋体" w:hAnsi="宋体"/>
                <w:sz w:val="28"/>
                <w:szCs w:val="28"/>
                <w:highlight w:val="none"/>
              </w:rPr>
            </w:pPr>
            <w:r>
              <w:rPr>
                <w:rFonts w:hint="eastAsia" w:ascii="宋体" w:hAnsi="宋体"/>
                <w:sz w:val="28"/>
                <w:szCs w:val="28"/>
                <w:highlight w:val="none"/>
              </w:rPr>
              <w:t>2</w:t>
            </w:r>
          </w:p>
        </w:tc>
        <w:tc>
          <w:tcPr>
            <w:tcW w:w="1628" w:type="dxa"/>
            <w:tcBorders>
              <w:top w:val="single" w:color="auto" w:sz="4" w:space="0"/>
              <w:left w:val="single" w:color="auto" w:sz="4" w:space="0"/>
              <w:bottom w:val="single" w:color="auto" w:sz="4" w:space="0"/>
              <w:right w:val="single" w:color="auto" w:sz="4" w:space="0"/>
            </w:tcBorders>
            <w:vAlign w:val="center"/>
          </w:tcPr>
          <w:p w14:paraId="3F1B2707">
            <w:pPr>
              <w:spacing w:line="460" w:lineRule="exact"/>
              <w:jc w:val="center"/>
              <w:rPr>
                <w:rFonts w:ascii="宋体" w:hAnsi="宋体"/>
                <w:sz w:val="28"/>
                <w:szCs w:val="28"/>
                <w:highlight w:val="none"/>
              </w:rPr>
            </w:pPr>
            <w:r>
              <w:rPr>
                <w:rFonts w:hint="eastAsia" w:ascii="宋体" w:hAnsi="宋体" w:eastAsia="宋体" w:cs="宋体"/>
                <w:sz w:val="24"/>
                <w:highlight w:val="none"/>
                <w:lang w:val="en-US" w:eastAsia="zh-CN"/>
              </w:rPr>
              <w:t>工</w:t>
            </w:r>
            <w:r>
              <w:rPr>
                <w:rFonts w:hint="eastAsia" w:ascii="宋体" w:hAnsi="宋体" w:eastAsia="宋体" w:cs="宋体"/>
                <w:sz w:val="24"/>
                <w:highlight w:val="none"/>
              </w:rPr>
              <w:t>期</w:t>
            </w:r>
          </w:p>
        </w:tc>
        <w:tc>
          <w:tcPr>
            <w:tcW w:w="5611" w:type="dxa"/>
            <w:tcBorders>
              <w:top w:val="single" w:color="auto" w:sz="4" w:space="0"/>
              <w:left w:val="single" w:color="auto" w:sz="4" w:space="0"/>
              <w:bottom w:val="single" w:color="auto" w:sz="4" w:space="0"/>
              <w:right w:val="single" w:color="auto" w:sz="4" w:space="0"/>
            </w:tcBorders>
            <w:vAlign w:val="center"/>
          </w:tcPr>
          <w:p w14:paraId="1EBF6325">
            <w:pPr>
              <w:spacing w:line="460" w:lineRule="exact"/>
              <w:rPr>
                <w:rFonts w:ascii="宋体" w:hAnsi="宋体"/>
                <w:sz w:val="28"/>
                <w:szCs w:val="28"/>
                <w:highlight w:val="none"/>
              </w:rPr>
            </w:pPr>
          </w:p>
        </w:tc>
      </w:tr>
      <w:tr w14:paraId="7A5EA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1" w:hRule="atLeast"/>
        </w:trPr>
        <w:tc>
          <w:tcPr>
            <w:tcW w:w="915" w:type="dxa"/>
            <w:tcBorders>
              <w:top w:val="single" w:color="auto" w:sz="4" w:space="0"/>
              <w:left w:val="single" w:color="auto" w:sz="4" w:space="0"/>
              <w:bottom w:val="single" w:color="auto" w:sz="4" w:space="0"/>
              <w:right w:val="single" w:color="auto" w:sz="4" w:space="0"/>
            </w:tcBorders>
            <w:vAlign w:val="center"/>
          </w:tcPr>
          <w:p w14:paraId="4639B894">
            <w:pPr>
              <w:spacing w:line="360" w:lineRule="auto"/>
              <w:jc w:val="center"/>
              <w:rPr>
                <w:rFonts w:hint="eastAsia" w:ascii="宋体" w:hAnsi="宋体" w:eastAsiaTheme="minorEastAsia"/>
                <w:sz w:val="28"/>
                <w:szCs w:val="28"/>
                <w:highlight w:val="none"/>
                <w:lang w:val="en-US" w:eastAsia="zh-CN"/>
              </w:rPr>
            </w:pPr>
            <w:r>
              <w:rPr>
                <w:rFonts w:hint="eastAsia" w:ascii="宋体" w:hAnsi="宋体"/>
                <w:sz w:val="28"/>
                <w:szCs w:val="28"/>
                <w:highlight w:val="none"/>
                <w:lang w:val="en-US" w:eastAsia="zh-CN"/>
              </w:rPr>
              <w:t>3</w:t>
            </w:r>
          </w:p>
        </w:tc>
        <w:tc>
          <w:tcPr>
            <w:tcW w:w="1628" w:type="dxa"/>
            <w:tcBorders>
              <w:top w:val="single" w:color="auto" w:sz="4" w:space="0"/>
              <w:left w:val="single" w:color="auto" w:sz="4" w:space="0"/>
              <w:bottom w:val="single" w:color="auto" w:sz="4" w:space="0"/>
              <w:right w:val="single" w:color="auto" w:sz="4" w:space="0"/>
            </w:tcBorders>
            <w:vAlign w:val="center"/>
          </w:tcPr>
          <w:p w14:paraId="4590CA12">
            <w:pPr>
              <w:spacing w:line="46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质保期</w:t>
            </w:r>
          </w:p>
        </w:tc>
        <w:tc>
          <w:tcPr>
            <w:tcW w:w="5611" w:type="dxa"/>
            <w:tcBorders>
              <w:top w:val="single" w:color="auto" w:sz="4" w:space="0"/>
              <w:left w:val="single" w:color="auto" w:sz="4" w:space="0"/>
              <w:bottom w:val="single" w:color="auto" w:sz="4" w:space="0"/>
              <w:right w:val="single" w:color="auto" w:sz="4" w:space="0"/>
            </w:tcBorders>
            <w:vAlign w:val="center"/>
          </w:tcPr>
          <w:p w14:paraId="672F7710">
            <w:pPr>
              <w:spacing w:line="460" w:lineRule="exact"/>
              <w:rPr>
                <w:rFonts w:ascii="宋体" w:hAnsi="宋体"/>
                <w:sz w:val="28"/>
                <w:szCs w:val="28"/>
                <w:highlight w:val="none"/>
              </w:rPr>
            </w:pPr>
          </w:p>
        </w:tc>
      </w:tr>
      <w:tr w14:paraId="3069D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1" w:hRule="atLeast"/>
        </w:trPr>
        <w:tc>
          <w:tcPr>
            <w:tcW w:w="915" w:type="dxa"/>
            <w:tcBorders>
              <w:top w:val="single" w:color="auto" w:sz="4" w:space="0"/>
              <w:left w:val="single" w:color="auto" w:sz="4" w:space="0"/>
              <w:bottom w:val="single" w:color="auto" w:sz="4" w:space="0"/>
              <w:right w:val="single" w:color="auto" w:sz="4" w:space="0"/>
            </w:tcBorders>
            <w:vAlign w:val="center"/>
          </w:tcPr>
          <w:p w14:paraId="642ED46D">
            <w:pPr>
              <w:spacing w:line="360" w:lineRule="auto"/>
              <w:jc w:val="center"/>
              <w:rPr>
                <w:rFonts w:hint="eastAsia" w:ascii="宋体" w:hAnsi="宋体" w:eastAsiaTheme="minorEastAsia"/>
                <w:sz w:val="28"/>
                <w:szCs w:val="28"/>
                <w:highlight w:val="none"/>
                <w:lang w:eastAsia="zh-CN"/>
              </w:rPr>
            </w:pPr>
            <w:r>
              <w:rPr>
                <w:rFonts w:hint="eastAsia" w:ascii="宋体" w:hAnsi="宋体"/>
                <w:sz w:val="28"/>
                <w:szCs w:val="28"/>
                <w:highlight w:val="none"/>
                <w:lang w:val="en-US" w:eastAsia="zh-CN"/>
              </w:rPr>
              <w:t>4</w:t>
            </w:r>
          </w:p>
        </w:tc>
        <w:tc>
          <w:tcPr>
            <w:tcW w:w="1628" w:type="dxa"/>
            <w:tcBorders>
              <w:top w:val="single" w:color="auto" w:sz="4" w:space="0"/>
              <w:left w:val="single" w:color="auto" w:sz="4" w:space="0"/>
              <w:bottom w:val="single" w:color="auto" w:sz="4" w:space="0"/>
              <w:right w:val="single" w:color="auto" w:sz="4" w:space="0"/>
            </w:tcBorders>
            <w:vAlign w:val="center"/>
          </w:tcPr>
          <w:p w14:paraId="5B7FC8A3">
            <w:pPr>
              <w:spacing w:line="4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质量</w:t>
            </w:r>
            <w:r>
              <w:rPr>
                <w:rFonts w:hint="eastAsia" w:ascii="宋体" w:hAnsi="宋体" w:eastAsia="宋体" w:cs="宋体"/>
                <w:sz w:val="24"/>
                <w:highlight w:val="none"/>
                <w:lang w:val="en-US" w:eastAsia="zh-CN"/>
              </w:rPr>
              <w:t>标准</w:t>
            </w:r>
          </w:p>
        </w:tc>
        <w:tc>
          <w:tcPr>
            <w:tcW w:w="5611" w:type="dxa"/>
            <w:tcBorders>
              <w:top w:val="single" w:color="auto" w:sz="4" w:space="0"/>
              <w:left w:val="single" w:color="auto" w:sz="4" w:space="0"/>
              <w:bottom w:val="single" w:color="auto" w:sz="4" w:space="0"/>
              <w:right w:val="single" w:color="auto" w:sz="4" w:space="0"/>
            </w:tcBorders>
            <w:vAlign w:val="center"/>
          </w:tcPr>
          <w:p w14:paraId="1EC54ABD">
            <w:pPr>
              <w:spacing w:line="460" w:lineRule="exact"/>
              <w:rPr>
                <w:rFonts w:ascii="宋体" w:hAnsi="宋体"/>
                <w:sz w:val="28"/>
                <w:szCs w:val="28"/>
                <w:highlight w:val="none"/>
              </w:rPr>
            </w:pPr>
          </w:p>
        </w:tc>
      </w:tr>
      <w:tr w14:paraId="25C7F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1" w:hRule="atLeast"/>
        </w:trPr>
        <w:tc>
          <w:tcPr>
            <w:tcW w:w="915" w:type="dxa"/>
            <w:tcBorders>
              <w:top w:val="single" w:color="auto" w:sz="4" w:space="0"/>
              <w:left w:val="single" w:color="auto" w:sz="4" w:space="0"/>
              <w:bottom w:val="single" w:color="auto" w:sz="4" w:space="0"/>
              <w:right w:val="single" w:color="auto" w:sz="4" w:space="0"/>
            </w:tcBorders>
            <w:vAlign w:val="center"/>
          </w:tcPr>
          <w:p w14:paraId="23CF95AE">
            <w:pPr>
              <w:spacing w:line="360" w:lineRule="auto"/>
              <w:jc w:val="center"/>
              <w:rPr>
                <w:rFonts w:hint="eastAsia" w:ascii="宋体" w:hAnsi="宋体" w:eastAsiaTheme="minorEastAsia"/>
                <w:sz w:val="28"/>
                <w:szCs w:val="28"/>
                <w:highlight w:val="none"/>
                <w:lang w:eastAsia="zh-CN"/>
              </w:rPr>
            </w:pPr>
            <w:r>
              <w:rPr>
                <w:rFonts w:hint="eastAsia" w:ascii="宋体" w:hAnsi="宋体"/>
                <w:sz w:val="28"/>
                <w:szCs w:val="28"/>
                <w:highlight w:val="none"/>
                <w:lang w:val="en-US" w:eastAsia="zh-CN"/>
              </w:rPr>
              <w:t>5</w:t>
            </w:r>
          </w:p>
        </w:tc>
        <w:tc>
          <w:tcPr>
            <w:tcW w:w="1628" w:type="dxa"/>
            <w:tcBorders>
              <w:top w:val="single" w:color="auto" w:sz="4" w:space="0"/>
              <w:left w:val="single" w:color="auto" w:sz="4" w:space="0"/>
              <w:bottom w:val="single" w:color="auto" w:sz="4" w:space="0"/>
              <w:right w:val="single" w:color="auto" w:sz="4" w:space="0"/>
            </w:tcBorders>
            <w:vAlign w:val="center"/>
          </w:tcPr>
          <w:p w14:paraId="428CF00C">
            <w:pPr>
              <w:spacing w:line="460" w:lineRule="exact"/>
              <w:jc w:val="center"/>
              <w:rPr>
                <w:rFonts w:ascii="宋体" w:hAnsi="宋体" w:eastAsia="宋体" w:cs="宋体"/>
                <w:sz w:val="24"/>
                <w:highlight w:val="none"/>
              </w:rPr>
            </w:pPr>
            <w:r>
              <w:rPr>
                <w:rFonts w:hint="eastAsia" w:ascii="宋体" w:hAnsi="宋体" w:eastAsia="宋体" w:cs="宋体"/>
                <w:sz w:val="24"/>
                <w:highlight w:val="none"/>
              </w:rPr>
              <w:t xml:space="preserve">备 </w:t>
            </w:r>
            <w:r>
              <w:rPr>
                <w:rFonts w:ascii="宋体" w:hAnsi="宋体" w:eastAsia="宋体" w:cs="宋体"/>
                <w:sz w:val="24"/>
                <w:highlight w:val="none"/>
              </w:rPr>
              <w:t xml:space="preserve">  </w:t>
            </w:r>
            <w:r>
              <w:rPr>
                <w:rFonts w:hint="eastAsia" w:ascii="宋体" w:hAnsi="宋体" w:eastAsia="宋体" w:cs="宋体"/>
                <w:sz w:val="24"/>
                <w:highlight w:val="none"/>
              </w:rPr>
              <w:t>注</w:t>
            </w:r>
          </w:p>
        </w:tc>
        <w:tc>
          <w:tcPr>
            <w:tcW w:w="5611" w:type="dxa"/>
            <w:tcBorders>
              <w:top w:val="single" w:color="auto" w:sz="4" w:space="0"/>
              <w:left w:val="single" w:color="auto" w:sz="4" w:space="0"/>
              <w:bottom w:val="single" w:color="auto" w:sz="4" w:space="0"/>
              <w:right w:val="single" w:color="auto" w:sz="4" w:space="0"/>
            </w:tcBorders>
            <w:vAlign w:val="center"/>
          </w:tcPr>
          <w:p w14:paraId="10E35856">
            <w:pPr>
              <w:spacing w:line="460" w:lineRule="exact"/>
              <w:rPr>
                <w:rFonts w:ascii="宋体" w:hAnsi="宋体" w:eastAsia="宋体" w:cs="宋体"/>
                <w:sz w:val="24"/>
                <w:highlight w:val="none"/>
                <w:u w:val="single"/>
              </w:rPr>
            </w:pPr>
          </w:p>
        </w:tc>
      </w:tr>
    </w:tbl>
    <w:p w14:paraId="16AA7250">
      <w:pPr>
        <w:adjustRightInd w:val="0"/>
        <w:snapToGrid w:val="0"/>
        <w:spacing w:line="360" w:lineRule="auto"/>
        <w:rPr>
          <w:rFonts w:ascii="宋体" w:hAnsi="宋体" w:cs="宋体"/>
          <w:sz w:val="24"/>
          <w:highlight w:val="none"/>
        </w:rPr>
      </w:pPr>
      <w:r>
        <w:rPr>
          <w:rFonts w:hint="eastAsia" w:ascii="宋体" w:hAnsi="宋体" w:cs="宋体"/>
          <w:sz w:val="24"/>
          <w:highlight w:val="none"/>
        </w:rPr>
        <w:t>注：1</w:t>
      </w:r>
      <w:r>
        <w:rPr>
          <w:rFonts w:ascii="宋体" w:hAnsi="宋体" w:cs="宋体"/>
          <w:sz w:val="24"/>
          <w:highlight w:val="none"/>
        </w:rPr>
        <w:t>.</w:t>
      </w:r>
      <w:r>
        <w:rPr>
          <w:rFonts w:hint="eastAsia" w:ascii="宋体" w:hAnsi="宋体" w:cs="宋体"/>
          <w:sz w:val="24"/>
          <w:highlight w:val="none"/>
        </w:rPr>
        <w:t>开标现场各供应商须单独携带此表</w:t>
      </w:r>
      <w:r>
        <w:rPr>
          <w:rFonts w:hint="eastAsia" w:ascii="宋体" w:hAnsi="宋体" w:cs="宋体"/>
          <w:sz w:val="24"/>
          <w:highlight w:val="none"/>
          <w:lang w:val="en-US" w:eastAsia="zh-CN"/>
        </w:rPr>
        <w:t>并加盖鲜章</w:t>
      </w:r>
      <w:r>
        <w:rPr>
          <w:rFonts w:hint="eastAsia" w:ascii="宋体" w:hAnsi="宋体" w:cs="宋体"/>
          <w:sz w:val="24"/>
          <w:highlight w:val="none"/>
        </w:rPr>
        <w:t>，进行二次磋商报价。</w:t>
      </w:r>
    </w:p>
    <w:p w14:paraId="59DDAFA2">
      <w:pPr>
        <w:spacing w:line="360" w:lineRule="auto"/>
        <w:ind w:firstLine="2160" w:firstLineChars="900"/>
        <w:rPr>
          <w:rFonts w:hint="eastAsia" w:ascii="宋体" w:hAnsi="宋体"/>
          <w:sz w:val="24"/>
          <w:highlight w:val="none"/>
        </w:rPr>
      </w:pPr>
    </w:p>
    <w:p w14:paraId="558E3613">
      <w:pPr>
        <w:spacing w:line="360" w:lineRule="auto"/>
        <w:ind w:firstLine="2160" w:firstLineChars="900"/>
        <w:rPr>
          <w:rFonts w:hint="eastAsia" w:ascii="宋体" w:hAnsi="宋体"/>
          <w:sz w:val="24"/>
          <w:highlight w:val="none"/>
        </w:rPr>
      </w:pPr>
    </w:p>
    <w:p w14:paraId="31C15A83">
      <w:pPr>
        <w:spacing w:line="360" w:lineRule="auto"/>
        <w:ind w:firstLine="2160" w:firstLineChars="900"/>
        <w:rPr>
          <w:rFonts w:ascii="宋体" w:hAnsi="宋体"/>
          <w:sz w:val="24"/>
          <w:highlight w:val="none"/>
        </w:rPr>
      </w:pPr>
      <w:r>
        <w:rPr>
          <w:rFonts w:hint="eastAsia" w:ascii="宋体" w:hAnsi="宋体"/>
          <w:sz w:val="24"/>
          <w:highlight w:val="none"/>
        </w:rPr>
        <w:t>供应商名称：</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（公章）</w:t>
      </w:r>
    </w:p>
    <w:p w14:paraId="5FAE7B97">
      <w:pPr>
        <w:spacing w:line="240" w:lineRule="exact"/>
        <w:rPr>
          <w:rFonts w:ascii="宋体" w:hAnsi="宋体"/>
          <w:sz w:val="24"/>
          <w:highlight w:val="none"/>
        </w:rPr>
      </w:pPr>
    </w:p>
    <w:p w14:paraId="60A70325">
      <w:pPr>
        <w:spacing w:line="360" w:lineRule="auto"/>
        <w:ind w:firstLine="2160" w:firstLineChars="900"/>
        <w:rPr>
          <w:rFonts w:ascii="宋体" w:hAnsi="宋体"/>
          <w:sz w:val="24"/>
          <w:highlight w:val="none"/>
        </w:rPr>
      </w:pPr>
      <w:r>
        <w:rPr>
          <w:rFonts w:hint="eastAsia" w:ascii="宋体" w:hAnsi="宋体"/>
          <w:sz w:val="24"/>
          <w:highlight w:val="none"/>
        </w:rPr>
        <w:t>被授权</w:t>
      </w:r>
      <w:r>
        <w:rPr>
          <w:rFonts w:hint="eastAsia" w:ascii="宋体" w:hAnsi="宋体"/>
          <w:sz w:val="24"/>
          <w:highlight w:val="none"/>
          <w:lang w:val="en-US" w:eastAsia="zh-CN"/>
        </w:rPr>
        <w:t>人</w:t>
      </w:r>
      <w:r>
        <w:rPr>
          <w:rFonts w:hint="eastAsia" w:ascii="宋体" w:hAnsi="宋体"/>
          <w:sz w:val="24"/>
          <w:highlight w:val="none"/>
        </w:rPr>
        <w:t>签字并摁手印：</w:t>
      </w:r>
      <w:r>
        <w:rPr>
          <w:rFonts w:hint="eastAsia" w:ascii="宋体" w:hAnsi="宋体"/>
          <w:sz w:val="24"/>
          <w:highlight w:val="none"/>
          <w:u w:val="single"/>
        </w:rPr>
        <w:t xml:space="preserve"> </w:t>
      </w:r>
      <w:r>
        <w:rPr>
          <w:rFonts w:ascii="宋体" w:hAnsi="宋体"/>
          <w:sz w:val="24"/>
          <w:highlight w:val="none"/>
          <w:u w:val="single"/>
        </w:rPr>
        <w:t xml:space="preserve">              </w:t>
      </w:r>
    </w:p>
    <w:p w14:paraId="29D6BCDC">
      <w:pPr>
        <w:spacing w:line="240" w:lineRule="exact"/>
        <w:jc w:val="center"/>
        <w:rPr>
          <w:rFonts w:ascii="宋体" w:hAnsi="宋体"/>
          <w:sz w:val="24"/>
          <w:highlight w:val="none"/>
        </w:rPr>
      </w:pPr>
    </w:p>
    <w:p w14:paraId="66495275">
      <w:pPr>
        <w:spacing w:line="360" w:lineRule="auto"/>
        <w:ind w:firstLine="5040" w:firstLineChars="2100"/>
        <w:rPr>
          <w:sz w:val="24"/>
          <w:highlight w:val="none"/>
        </w:rPr>
      </w:pPr>
      <w:r>
        <w:rPr>
          <w:rFonts w:hint="eastAsia"/>
          <w:sz w:val="24"/>
          <w:highlight w:val="none"/>
        </w:rPr>
        <w:t xml:space="preserve">  年   月   日</w:t>
      </w:r>
    </w:p>
    <w:p w14:paraId="75BA3E13">
      <w:pPr>
        <w:keepNext w:val="0"/>
        <w:keepLines w:val="0"/>
        <w:widowControl/>
        <w:suppressLineNumbers w:val="0"/>
        <w:jc w:val="left"/>
        <w:rPr>
          <w:highlight w:val="none"/>
        </w:rPr>
      </w:pPr>
    </w:p>
    <w:p w14:paraId="1DAB178F">
      <w:pPr>
        <w:pStyle w:val="13"/>
        <w:rPr>
          <w:rFonts w:hint="eastAsia"/>
          <w:highlight w:val="none"/>
        </w:rPr>
      </w:pPr>
    </w:p>
    <w:p w14:paraId="38693626">
      <w:pPr>
        <w:spacing w:line="480" w:lineRule="auto"/>
        <w:rPr>
          <w:rFonts w:hint="eastAsia" w:ascii="宋体" w:hAnsi="宋体" w:eastAsia="宋体" w:cs="宋体"/>
          <w:highlight w:val="none"/>
        </w:rPr>
      </w:pPr>
    </w:p>
    <w:sectPr>
      <w:headerReference r:id="rId15" w:type="default"/>
      <w:footerReference r:id="rId16" w:type="default"/>
      <w:pgSz w:w="11907" w:h="16840"/>
      <w:pgMar w:top="1440" w:right="1701" w:bottom="1440" w:left="1701" w:header="935" w:footer="771" w:gutter="567"/>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font-weight : 400">
    <w:altName w:val="Courier New"/>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7AA8">
    <w:pPr>
      <w:pStyle w:val="22"/>
      <w:tabs>
        <w:tab w:val="center" w:pos="459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40FE">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F64D">
    <w:pPr>
      <w:pStyle w:val="22"/>
      <w:tabs>
        <w:tab w:val="center" w:pos="459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40D5D">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1440D5D">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78257">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FA879">
                          <w:pPr>
                            <w:pStyle w:val="2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1AFA879">
                    <w:pPr>
                      <w:pStyle w:val="2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2BAF">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E0FB">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ABE9">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50ABE9">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82E58">
    <w:pPr>
      <w:pStyle w:val="13"/>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926FF">
                          <w:pPr>
                            <w:pStyle w:val="2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5926FF">
                    <w:pPr>
                      <w:pStyle w:val="2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F3D56">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EE3FC">
    <w:pPr>
      <w:pStyle w:val="23"/>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BDC1">
    <w:pPr>
      <w:pStyle w:val="13"/>
      <w:pBdr>
        <w:bottom w:val="none" w:color="auto" w:sz="0" w:space="0"/>
      </w:pBdr>
      <w:spacing w:before="48" w:line="219" w:lineRule="auto"/>
      <w:ind w:left="7"/>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F65CB">
    <w:pPr>
      <w:pStyle w:val="2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525A9">
    <w:pPr>
      <w:pStyle w:val="2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E51F5">
    <w:pPr>
      <w:pStyle w:val="2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C28D">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60BB7"/>
    <w:multiLevelType w:val="singleLevel"/>
    <w:tmpl w:val="DB860BB7"/>
    <w:lvl w:ilvl="0" w:tentative="0">
      <w:start w:val="2"/>
      <w:numFmt w:val="decimal"/>
      <w:suff w:val="nothing"/>
      <w:lvlText w:val="%1、"/>
      <w:lvlJc w:val="left"/>
    </w:lvl>
  </w:abstractNum>
  <w:abstractNum w:abstractNumId="1">
    <w:nsid w:val="23175427"/>
    <w:multiLevelType w:val="multilevel"/>
    <w:tmpl w:val="23175427"/>
    <w:lvl w:ilvl="0" w:tentative="0">
      <w:start w:val="1"/>
      <w:numFmt w:val="decimal"/>
      <w:isLgl/>
      <w:suff w:val="space"/>
      <w:lvlText w:val="第%1章"/>
      <w:lvlJc w:val="left"/>
      <w:pPr>
        <w:ind w:left="0" w:firstLine="0"/>
      </w:pPr>
      <w:rPr>
        <w:rFonts w:hint="default" w:ascii="Times New Roman" w:hAnsi="Times New Roman" w:eastAsia="宋体" w:cs="Times New Roman"/>
        <w:b/>
        <w:bCs w:val="0"/>
        <w:i w:val="0"/>
        <w:iCs w:val="0"/>
        <w:caps w:val="0"/>
        <w:strike w:val="0"/>
        <w:dstrike w:val="0"/>
        <w:vanish w:val="0"/>
        <w:color w:val="000000"/>
        <w:spacing w:val="0"/>
        <w:position w:val="0"/>
        <w:sz w:val="44"/>
        <w:u w:val="none"/>
        <w:vertAlign w:val="baseline"/>
      </w:rPr>
    </w:lvl>
    <w:lvl w:ilvl="1" w:tentative="0">
      <w:start w:val="1"/>
      <w:numFmt w:val="decimal"/>
      <w:isLgl/>
      <w:suff w:val="space"/>
      <w:lvlText w:val="%1.%2"/>
      <w:lvlJc w:val="left"/>
      <w:pPr>
        <w:ind w:left="0" w:firstLine="0"/>
      </w:pPr>
      <w:rPr>
        <w:rFonts w:hint="eastAsia" w:cs="Times New Roman"/>
        <w:b w:val="0"/>
        <w:bCs w:val="0"/>
        <w:i w:val="0"/>
        <w:iCs w:val="0"/>
        <w:caps w:val="0"/>
        <w:smallCaps w:val="0"/>
        <w:strike w:val="0"/>
        <w:dstrike w:val="0"/>
        <w:vanish w:val="0"/>
        <w:color w:val="000000"/>
        <w:spacing w:val="0"/>
        <w:position w:val="0"/>
        <w:u w:val="none"/>
        <w:vertAlign w:val="baseline"/>
        <w:lang w:val="zh-CN" w:eastAsia="zh-CN"/>
      </w:rPr>
    </w:lvl>
    <w:lvl w:ilvl="2" w:tentative="0">
      <w:start w:val="1"/>
      <w:numFmt w:val="decimal"/>
      <w:pStyle w:val="4"/>
      <w:isLgl/>
      <w:suff w:val="space"/>
      <w:lvlText w:val="%1.%2.%3"/>
      <w:lvlJc w:val="left"/>
      <w:pPr>
        <w:ind w:left="0" w:firstLine="0"/>
      </w:pPr>
      <w:rPr>
        <w:rFonts w:hint="default" w:ascii="Times New Roman" w:hAnsi="Times New Roman" w:eastAsia="宋体" w:cs="Times New Roman"/>
        <w:b/>
        <w:bCs w:val="0"/>
        <w:i w:val="0"/>
        <w:iCs w:val="0"/>
        <w:caps w:val="0"/>
        <w:smallCaps w:val="0"/>
        <w:strike w:val="0"/>
        <w:dstrike w:val="0"/>
        <w:vanish w:val="0"/>
        <w:color w:val="000000"/>
        <w:spacing w:val="0"/>
        <w:position w:val="0"/>
        <w:sz w:val="28"/>
        <w:u w:val="none"/>
        <w:vertAlign w:val="baseline"/>
      </w:rPr>
    </w:lvl>
    <w:lvl w:ilvl="3" w:tentative="0">
      <w:start w:val="1"/>
      <w:numFmt w:val="decimal"/>
      <w:pStyle w:val="5"/>
      <w:isLgl/>
      <w:suff w:val="space"/>
      <w:lvlText w:val="%1.%2.%3.%4"/>
      <w:lvlJc w:val="left"/>
      <w:pPr>
        <w:ind w:left="0" w:firstLine="0"/>
      </w:pPr>
      <w:rPr>
        <w:rFonts w:hint="default" w:ascii="Times New Roman" w:hAnsi="Times New Roman" w:eastAsia="宋体" w:cs="Times New Roman"/>
        <w:b/>
        <w:bCs w:val="0"/>
        <w:i w:val="0"/>
        <w:iCs w:val="0"/>
        <w:caps w:val="0"/>
        <w:smallCaps w:val="0"/>
        <w:strike w:val="0"/>
        <w:dstrike w:val="0"/>
        <w:vanish w:val="0"/>
        <w:color w:val="auto"/>
        <w:spacing w:val="0"/>
        <w:position w:val="0"/>
        <w:sz w:val="30"/>
        <w:u w:val="none"/>
        <w:vertAlign w:val="baseline"/>
      </w:rPr>
    </w:lvl>
    <w:lvl w:ilvl="4" w:tentative="0">
      <w:start w:val="1"/>
      <w:numFmt w:val="decimal"/>
      <w:isLgl/>
      <w:suff w:val="space"/>
      <w:lvlText w:val="%1.%2.%3.%4.%5"/>
      <w:lvlJc w:val="center"/>
      <w:pPr>
        <w:ind w:left="1134" w:firstLine="0"/>
      </w:pPr>
      <w:rPr>
        <w:rFonts w:hint="eastAsia" w:cs="Times New Roman"/>
        <w:b/>
        <w:bCs w:val="0"/>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1.%2.%3.%4.%5.%6"/>
      <w:lvlJc w:val="center"/>
      <w:pPr>
        <w:ind w:left="624" w:firstLine="794"/>
      </w:pPr>
      <w:rPr>
        <w:rFonts w:hint="default" w:ascii="Times New Roman" w:hAnsi="Times New Roman" w:eastAsia="宋体"/>
        <w:b/>
        <w:i w:val="0"/>
        <w:sz w:val="24"/>
      </w:rPr>
    </w:lvl>
    <w:lvl w:ilvl="6" w:tentative="0">
      <w:start w:val="1"/>
      <w:numFmt w:val="decimal"/>
      <w:isLgl/>
      <w:lvlText w:val="%1.%2.%3.%4.%5.%6.%7"/>
      <w:lvlJc w:val="left"/>
      <w:pPr>
        <w:tabs>
          <w:tab w:val="left" w:pos="1134"/>
        </w:tabs>
        <w:ind w:left="1134" w:hanging="283"/>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76A36EB"/>
    <w:multiLevelType w:val="singleLevel"/>
    <w:tmpl w:val="576A36E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2NDQxMDRjZWRkZWM4OTIyMzUwZWY3Y2QxODE1YzgifQ=="/>
  </w:docVars>
  <w:rsids>
    <w:rsidRoot w:val="41465FC8"/>
    <w:rsid w:val="00003426"/>
    <w:rsid w:val="00006FA1"/>
    <w:rsid w:val="00022236"/>
    <w:rsid w:val="0002408A"/>
    <w:rsid w:val="00036FC1"/>
    <w:rsid w:val="00043E20"/>
    <w:rsid w:val="0004523C"/>
    <w:rsid w:val="00052451"/>
    <w:rsid w:val="00063415"/>
    <w:rsid w:val="000710E4"/>
    <w:rsid w:val="00074089"/>
    <w:rsid w:val="000745EA"/>
    <w:rsid w:val="00080B79"/>
    <w:rsid w:val="00087371"/>
    <w:rsid w:val="00095FBD"/>
    <w:rsid w:val="000A2883"/>
    <w:rsid w:val="000A6D46"/>
    <w:rsid w:val="000A781D"/>
    <w:rsid w:val="000B0DC4"/>
    <w:rsid w:val="000B3D41"/>
    <w:rsid w:val="000B42F1"/>
    <w:rsid w:val="000B4395"/>
    <w:rsid w:val="000B5F4B"/>
    <w:rsid w:val="000B639E"/>
    <w:rsid w:val="000C58D2"/>
    <w:rsid w:val="000C5F95"/>
    <w:rsid w:val="000E3F51"/>
    <w:rsid w:val="000F0940"/>
    <w:rsid w:val="000F3171"/>
    <w:rsid w:val="000F5EF9"/>
    <w:rsid w:val="00104386"/>
    <w:rsid w:val="0010649D"/>
    <w:rsid w:val="001077DC"/>
    <w:rsid w:val="0011052E"/>
    <w:rsid w:val="0011163A"/>
    <w:rsid w:val="00125AAB"/>
    <w:rsid w:val="001339BF"/>
    <w:rsid w:val="001628A6"/>
    <w:rsid w:val="00164B0E"/>
    <w:rsid w:val="0017021E"/>
    <w:rsid w:val="00173405"/>
    <w:rsid w:val="00194343"/>
    <w:rsid w:val="001A713F"/>
    <w:rsid w:val="001B1285"/>
    <w:rsid w:val="001B5312"/>
    <w:rsid w:val="001B5F2A"/>
    <w:rsid w:val="001D7251"/>
    <w:rsid w:val="001F436E"/>
    <w:rsid w:val="001F6EAC"/>
    <w:rsid w:val="00205593"/>
    <w:rsid w:val="00210ACE"/>
    <w:rsid w:val="00221372"/>
    <w:rsid w:val="00223B5F"/>
    <w:rsid w:val="00240CC9"/>
    <w:rsid w:val="002413C2"/>
    <w:rsid w:val="00243FFC"/>
    <w:rsid w:val="0024780A"/>
    <w:rsid w:val="00251F4A"/>
    <w:rsid w:val="00254B37"/>
    <w:rsid w:val="002615D5"/>
    <w:rsid w:val="002702A9"/>
    <w:rsid w:val="002914A5"/>
    <w:rsid w:val="002A0102"/>
    <w:rsid w:val="002A14F9"/>
    <w:rsid w:val="002A3E1E"/>
    <w:rsid w:val="002B00F6"/>
    <w:rsid w:val="002C138B"/>
    <w:rsid w:val="002C3078"/>
    <w:rsid w:val="002D12CD"/>
    <w:rsid w:val="002D478D"/>
    <w:rsid w:val="00312D6C"/>
    <w:rsid w:val="003144C7"/>
    <w:rsid w:val="00321DB7"/>
    <w:rsid w:val="003236B2"/>
    <w:rsid w:val="00326E49"/>
    <w:rsid w:val="003375D5"/>
    <w:rsid w:val="00354D74"/>
    <w:rsid w:val="00361B18"/>
    <w:rsid w:val="0036229A"/>
    <w:rsid w:val="00373096"/>
    <w:rsid w:val="00387E0C"/>
    <w:rsid w:val="003923C1"/>
    <w:rsid w:val="003A525C"/>
    <w:rsid w:val="003B599E"/>
    <w:rsid w:val="003C133E"/>
    <w:rsid w:val="003C2E65"/>
    <w:rsid w:val="003C5166"/>
    <w:rsid w:val="003D6DF0"/>
    <w:rsid w:val="003F1588"/>
    <w:rsid w:val="003F2227"/>
    <w:rsid w:val="003F25AC"/>
    <w:rsid w:val="00402C0F"/>
    <w:rsid w:val="004038A4"/>
    <w:rsid w:val="00405BC2"/>
    <w:rsid w:val="004127A6"/>
    <w:rsid w:val="00412931"/>
    <w:rsid w:val="00413C8B"/>
    <w:rsid w:val="004318F1"/>
    <w:rsid w:val="00440FC6"/>
    <w:rsid w:val="00441ACA"/>
    <w:rsid w:val="0044501A"/>
    <w:rsid w:val="00445EE2"/>
    <w:rsid w:val="00446139"/>
    <w:rsid w:val="00453050"/>
    <w:rsid w:val="00457797"/>
    <w:rsid w:val="00457CC4"/>
    <w:rsid w:val="00460062"/>
    <w:rsid w:val="0047413C"/>
    <w:rsid w:val="00476F70"/>
    <w:rsid w:val="00485062"/>
    <w:rsid w:val="00486CB6"/>
    <w:rsid w:val="004A6797"/>
    <w:rsid w:val="004D0132"/>
    <w:rsid w:val="004D4A1B"/>
    <w:rsid w:val="004E4253"/>
    <w:rsid w:val="004E54F3"/>
    <w:rsid w:val="0051051A"/>
    <w:rsid w:val="00520765"/>
    <w:rsid w:val="005221E3"/>
    <w:rsid w:val="00532A4C"/>
    <w:rsid w:val="00533556"/>
    <w:rsid w:val="00545181"/>
    <w:rsid w:val="00553147"/>
    <w:rsid w:val="00572B97"/>
    <w:rsid w:val="00575BA0"/>
    <w:rsid w:val="0057675F"/>
    <w:rsid w:val="00590C69"/>
    <w:rsid w:val="005918EA"/>
    <w:rsid w:val="005B45BD"/>
    <w:rsid w:val="005C6F6A"/>
    <w:rsid w:val="005D07E1"/>
    <w:rsid w:val="005D1853"/>
    <w:rsid w:val="005E034A"/>
    <w:rsid w:val="005E0FB5"/>
    <w:rsid w:val="005E5ADA"/>
    <w:rsid w:val="005E6D4F"/>
    <w:rsid w:val="005E705B"/>
    <w:rsid w:val="005F3C74"/>
    <w:rsid w:val="00617766"/>
    <w:rsid w:val="00622BD1"/>
    <w:rsid w:val="006272B9"/>
    <w:rsid w:val="006277AE"/>
    <w:rsid w:val="00631178"/>
    <w:rsid w:val="006322E7"/>
    <w:rsid w:val="00635354"/>
    <w:rsid w:val="006367EA"/>
    <w:rsid w:val="00650084"/>
    <w:rsid w:val="006538C4"/>
    <w:rsid w:val="0065785F"/>
    <w:rsid w:val="00660821"/>
    <w:rsid w:val="00665735"/>
    <w:rsid w:val="006750CF"/>
    <w:rsid w:val="006754F5"/>
    <w:rsid w:val="00675555"/>
    <w:rsid w:val="00681211"/>
    <w:rsid w:val="006927C1"/>
    <w:rsid w:val="006A1431"/>
    <w:rsid w:val="006B0903"/>
    <w:rsid w:val="006B23F5"/>
    <w:rsid w:val="006B5229"/>
    <w:rsid w:val="006E2733"/>
    <w:rsid w:val="006F3A8C"/>
    <w:rsid w:val="006F435D"/>
    <w:rsid w:val="007059A5"/>
    <w:rsid w:val="0071166B"/>
    <w:rsid w:val="007152F2"/>
    <w:rsid w:val="00717F63"/>
    <w:rsid w:val="007234F4"/>
    <w:rsid w:val="007246FD"/>
    <w:rsid w:val="00725323"/>
    <w:rsid w:val="00732078"/>
    <w:rsid w:val="007333EF"/>
    <w:rsid w:val="00733B83"/>
    <w:rsid w:val="007348A8"/>
    <w:rsid w:val="00734B15"/>
    <w:rsid w:val="007449E8"/>
    <w:rsid w:val="00751883"/>
    <w:rsid w:val="0075194C"/>
    <w:rsid w:val="00754ED5"/>
    <w:rsid w:val="00793377"/>
    <w:rsid w:val="007A09C0"/>
    <w:rsid w:val="007A1935"/>
    <w:rsid w:val="007B1294"/>
    <w:rsid w:val="007B4E4D"/>
    <w:rsid w:val="007C2913"/>
    <w:rsid w:val="007C6EE9"/>
    <w:rsid w:val="007C7DB0"/>
    <w:rsid w:val="007D0822"/>
    <w:rsid w:val="007D3391"/>
    <w:rsid w:val="007D37BD"/>
    <w:rsid w:val="007E6225"/>
    <w:rsid w:val="007E748C"/>
    <w:rsid w:val="007F3947"/>
    <w:rsid w:val="00805906"/>
    <w:rsid w:val="00813E51"/>
    <w:rsid w:val="00817200"/>
    <w:rsid w:val="0081788C"/>
    <w:rsid w:val="00821643"/>
    <w:rsid w:val="008227E9"/>
    <w:rsid w:val="00823C8D"/>
    <w:rsid w:val="00826CD6"/>
    <w:rsid w:val="008431FB"/>
    <w:rsid w:val="00854B3F"/>
    <w:rsid w:val="008619F6"/>
    <w:rsid w:val="008741B5"/>
    <w:rsid w:val="0087716F"/>
    <w:rsid w:val="008934AD"/>
    <w:rsid w:val="0089410F"/>
    <w:rsid w:val="008977B6"/>
    <w:rsid w:val="00897869"/>
    <w:rsid w:val="008B5752"/>
    <w:rsid w:val="008C372B"/>
    <w:rsid w:val="008C4294"/>
    <w:rsid w:val="008E0CAF"/>
    <w:rsid w:val="008E6809"/>
    <w:rsid w:val="008E7317"/>
    <w:rsid w:val="008E7386"/>
    <w:rsid w:val="008F4B51"/>
    <w:rsid w:val="008F5A15"/>
    <w:rsid w:val="00904E30"/>
    <w:rsid w:val="009060C2"/>
    <w:rsid w:val="00913454"/>
    <w:rsid w:val="00913F6B"/>
    <w:rsid w:val="00935CF6"/>
    <w:rsid w:val="00937917"/>
    <w:rsid w:val="009430A2"/>
    <w:rsid w:val="00951C0F"/>
    <w:rsid w:val="00951FEE"/>
    <w:rsid w:val="00954C7D"/>
    <w:rsid w:val="00966178"/>
    <w:rsid w:val="00966F7F"/>
    <w:rsid w:val="009839B6"/>
    <w:rsid w:val="00983A6A"/>
    <w:rsid w:val="00983DB6"/>
    <w:rsid w:val="00987C65"/>
    <w:rsid w:val="00996A70"/>
    <w:rsid w:val="00996BBB"/>
    <w:rsid w:val="009A0D95"/>
    <w:rsid w:val="009A5F53"/>
    <w:rsid w:val="009A7A5E"/>
    <w:rsid w:val="009B0DAF"/>
    <w:rsid w:val="009B5996"/>
    <w:rsid w:val="009C05E0"/>
    <w:rsid w:val="009D5F76"/>
    <w:rsid w:val="009E5DAF"/>
    <w:rsid w:val="009E7B32"/>
    <w:rsid w:val="00A10976"/>
    <w:rsid w:val="00A1326E"/>
    <w:rsid w:val="00A14176"/>
    <w:rsid w:val="00A222E3"/>
    <w:rsid w:val="00A23A8C"/>
    <w:rsid w:val="00A3397D"/>
    <w:rsid w:val="00A364AB"/>
    <w:rsid w:val="00A411D9"/>
    <w:rsid w:val="00A57AC2"/>
    <w:rsid w:val="00A61B80"/>
    <w:rsid w:val="00A711D1"/>
    <w:rsid w:val="00A760B8"/>
    <w:rsid w:val="00A765C7"/>
    <w:rsid w:val="00A925D3"/>
    <w:rsid w:val="00AA602E"/>
    <w:rsid w:val="00AB26D6"/>
    <w:rsid w:val="00AB669E"/>
    <w:rsid w:val="00AD5220"/>
    <w:rsid w:val="00AD5554"/>
    <w:rsid w:val="00AE462C"/>
    <w:rsid w:val="00AF32B5"/>
    <w:rsid w:val="00AF39A2"/>
    <w:rsid w:val="00AF57B7"/>
    <w:rsid w:val="00AF69BB"/>
    <w:rsid w:val="00AF7ACC"/>
    <w:rsid w:val="00B03138"/>
    <w:rsid w:val="00B22942"/>
    <w:rsid w:val="00B355AA"/>
    <w:rsid w:val="00B36BA3"/>
    <w:rsid w:val="00B67B37"/>
    <w:rsid w:val="00B829AA"/>
    <w:rsid w:val="00B9365B"/>
    <w:rsid w:val="00BA0AC3"/>
    <w:rsid w:val="00BA5FFB"/>
    <w:rsid w:val="00BA72D1"/>
    <w:rsid w:val="00BC4CE7"/>
    <w:rsid w:val="00BD06E9"/>
    <w:rsid w:val="00BD1E89"/>
    <w:rsid w:val="00BD4FCF"/>
    <w:rsid w:val="00BD6B55"/>
    <w:rsid w:val="00BE2F90"/>
    <w:rsid w:val="00BF3102"/>
    <w:rsid w:val="00C12ED0"/>
    <w:rsid w:val="00C13099"/>
    <w:rsid w:val="00C13128"/>
    <w:rsid w:val="00C1394E"/>
    <w:rsid w:val="00C215B2"/>
    <w:rsid w:val="00C24BC9"/>
    <w:rsid w:val="00C46B77"/>
    <w:rsid w:val="00C46C4E"/>
    <w:rsid w:val="00C62DF9"/>
    <w:rsid w:val="00C67409"/>
    <w:rsid w:val="00C81EE7"/>
    <w:rsid w:val="00C83C4F"/>
    <w:rsid w:val="00C84D2B"/>
    <w:rsid w:val="00C91471"/>
    <w:rsid w:val="00C96B44"/>
    <w:rsid w:val="00CA7421"/>
    <w:rsid w:val="00CB086E"/>
    <w:rsid w:val="00CB6B97"/>
    <w:rsid w:val="00CC36DA"/>
    <w:rsid w:val="00CD40AB"/>
    <w:rsid w:val="00CE1722"/>
    <w:rsid w:val="00CE3A03"/>
    <w:rsid w:val="00CE3ECD"/>
    <w:rsid w:val="00CE5983"/>
    <w:rsid w:val="00CF5D91"/>
    <w:rsid w:val="00CF7E16"/>
    <w:rsid w:val="00D00AC9"/>
    <w:rsid w:val="00D03EFF"/>
    <w:rsid w:val="00D04056"/>
    <w:rsid w:val="00D158FC"/>
    <w:rsid w:val="00D210E0"/>
    <w:rsid w:val="00D22716"/>
    <w:rsid w:val="00D368E8"/>
    <w:rsid w:val="00D40848"/>
    <w:rsid w:val="00D40FF3"/>
    <w:rsid w:val="00D41DA0"/>
    <w:rsid w:val="00D4554D"/>
    <w:rsid w:val="00D6403C"/>
    <w:rsid w:val="00D667A9"/>
    <w:rsid w:val="00D84E9E"/>
    <w:rsid w:val="00D90D0F"/>
    <w:rsid w:val="00D91D99"/>
    <w:rsid w:val="00DD1949"/>
    <w:rsid w:val="00DE1CE7"/>
    <w:rsid w:val="00DF021D"/>
    <w:rsid w:val="00DF2CA1"/>
    <w:rsid w:val="00E149C3"/>
    <w:rsid w:val="00E214D4"/>
    <w:rsid w:val="00E31357"/>
    <w:rsid w:val="00E37CC6"/>
    <w:rsid w:val="00E51FF1"/>
    <w:rsid w:val="00E557F5"/>
    <w:rsid w:val="00E64850"/>
    <w:rsid w:val="00E75123"/>
    <w:rsid w:val="00E822D5"/>
    <w:rsid w:val="00EA1129"/>
    <w:rsid w:val="00EA5363"/>
    <w:rsid w:val="00EA5D6B"/>
    <w:rsid w:val="00EB3114"/>
    <w:rsid w:val="00EB551E"/>
    <w:rsid w:val="00EC12EF"/>
    <w:rsid w:val="00EC4BE3"/>
    <w:rsid w:val="00EC57DC"/>
    <w:rsid w:val="00ED5D56"/>
    <w:rsid w:val="00EE02E4"/>
    <w:rsid w:val="00F056E9"/>
    <w:rsid w:val="00F16351"/>
    <w:rsid w:val="00F40693"/>
    <w:rsid w:val="00F6497D"/>
    <w:rsid w:val="00F64FB6"/>
    <w:rsid w:val="00F672E7"/>
    <w:rsid w:val="00F719C0"/>
    <w:rsid w:val="00F74DFC"/>
    <w:rsid w:val="00F848CB"/>
    <w:rsid w:val="00F93834"/>
    <w:rsid w:val="00FA0673"/>
    <w:rsid w:val="00FA7F71"/>
    <w:rsid w:val="00FD2953"/>
    <w:rsid w:val="00FD2AAA"/>
    <w:rsid w:val="00FD3E36"/>
    <w:rsid w:val="00FD5940"/>
    <w:rsid w:val="00FE3C37"/>
    <w:rsid w:val="00FE647B"/>
    <w:rsid w:val="00FF6BD6"/>
    <w:rsid w:val="010A41B4"/>
    <w:rsid w:val="010A62F5"/>
    <w:rsid w:val="011C4FD6"/>
    <w:rsid w:val="012359E3"/>
    <w:rsid w:val="01373F65"/>
    <w:rsid w:val="01456ACF"/>
    <w:rsid w:val="014A06FC"/>
    <w:rsid w:val="015C0D77"/>
    <w:rsid w:val="015E6471"/>
    <w:rsid w:val="01604C89"/>
    <w:rsid w:val="01675739"/>
    <w:rsid w:val="017B707A"/>
    <w:rsid w:val="017F0C28"/>
    <w:rsid w:val="01815B04"/>
    <w:rsid w:val="018B1951"/>
    <w:rsid w:val="0190275B"/>
    <w:rsid w:val="01A97269"/>
    <w:rsid w:val="01BF07E9"/>
    <w:rsid w:val="01EA6E6D"/>
    <w:rsid w:val="01EC7898"/>
    <w:rsid w:val="01F02992"/>
    <w:rsid w:val="01F24136"/>
    <w:rsid w:val="021043CC"/>
    <w:rsid w:val="02154C6B"/>
    <w:rsid w:val="02244A3B"/>
    <w:rsid w:val="0232197C"/>
    <w:rsid w:val="02473F0D"/>
    <w:rsid w:val="02544B31"/>
    <w:rsid w:val="025D4F22"/>
    <w:rsid w:val="0273481D"/>
    <w:rsid w:val="02760A5F"/>
    <w:rsid w:val="027B5DA6"/>
    <w:rsid w:val="029105D0"/>
    <w:rsid w:val="029626D1"/>
    <w:rsid w:val="02B20C9A"/>
    <w:rsid w:val="02B76D6F"/>
    <w:rsid w:val="02C1778A"/>
    <w:rsid w:val="02CE1B85"/>
    <w:rsid w:val="02D037B2"/>
    <w:rsid w:val="02DA22C9"/>
    <w:rsid w:val="02F47D05"/>
    <w:rsid w:val="02FA082F"/>
    <w:rsid w:val="03120B70"/>
    <w:rsid w:val="0315776F"/>
    <w:rsid w:val="031F0E2B"/>
    <w:rsid w:val="033D3DA9"/>
    <w:rsid w:val="03622363"/>
    <w:rsid w:val="03644243"/>
    <w:rsid w:val="037A1645"/>
    <w:rsid w:val="038434C9"/>
    <w:rsid w:val="039A4AFB"/>
    <w:rsid w:val="03C15CB1"/>
    <w:rsid w:val="03C50289"/>
    <w:rsid w:val="03CC3FA5"/>
    <w:rsid w:val="03D8544B"/>
    <w:rsid w:val="03E07034"/>
    <w:rsid w:val="03E24F0D"/>
    <w:rsid w:val="03F37EA5"/>
    <w:rsid w:val="03F92894"/>
    <w:rsid w:val="03F941A8"/>
    <w:rsid w:val="03FA3274"/>
    <w:rsid w:val="03FE1482"/>
    <w:rsid w:val="03FF2FBF"/>
    <w:rsid w:val="040030CF"/>
    <w:rsid w:val="040B2CF6"/>
    <w:rsid w:val="042E0A14"/>
    <w:rsid w:val="043D18BC"/>
    <w:rsid w:val="044C0703"/>
    <w:rsid w:val="04682A17"/>
    <w:rsid w:val="046F77FB"/>
    <w:rsid w:val="047B4C8E"/>
    <w:rsid w:val="047F019F"/>
    <w:rsid w:val="047F0B0C"/>
    <w:rsid w:val="047F3631"/>
    <w:rsid w:val="048B3E34"/>
    <w:rsid w:val="049C1B9D"/>
    <w:rsid w:val="049E2FB6"/>
    <w:rsid w:val="049F343C"/>
    <w:rsid w:val="04A821C0"/>
    <w:rsid w:val="04AF4801"/>
    <w:rsid w:val="04BC0FEC"/>
    <w:rsid w:val="04C404B5"/>
    <w:rsid w:val="04CD069D"/>
    <w:rsid w:val="04D13C82"/>
    <w:rsid w:val="04EA2B3F"/>
    <w:rsid w:val="04EF59D1"/>
    <w:rsid w:val="050C0C8F"/>
    <w:rsid w:val="050D67D9"/>
    <w:rsid w:val="05145FDB"/>
    <w:rsid w:val="051C00DD"/>
    <w:rsid w:val="05490568"/>
    <w:rsid w:val="0556567A"/>
    <w:rsid w:val="05670BDC"/>
    <w:rsid w:val="056944A2"/>
    <w:rsid w:val="056B402B"/>
    <w:rsid w:val="056D5A4B"/>
    <w:rsid w:val="05766F51"/>
    <w:rsid w:val="05801290"/>
    <w:rsid w:val="05922FA0"/>
    <w:rsid w:val="05946661"/>
    <w:rsid w:val="05B51F34"/>
    <w:rsid w:val="05B601BA"/>
    <w:rsid w:val="05B969B3"/>
    <w:rsid w:val="05BF32E3"/>
    <w:rsid w:val="05C62704"/>
    <w:rsid w:val="05DC0A20"/>
    <w:rsid w:val="05FA24A8"/>
    <w:rsid w:val="060B57E8"/>
    <w:rsid w:val="060D1658"/>
    <w:rsid w:val="061522D0"/>
    <w:rsid w:val="06195A58"/>
    <w:rsid w:val="061E1135"/>
    <w:rsid w:val="06253FFB"/>
    <w:rsid w:val="06294CB0"/>
    <w:rsid w:val="062A7872"/>
    <w:rsid w:val="062E77CC"/>
    <w:rsid w:val="062F3622"/>
    <w:rsid w:val="06321829"/>
    <w:rsid w:val="064D4F0C"/>
    <w:rsid w:val="06505B4F"/>
    <w:rsid w:val="065C6CFD"/>
    <w:rsid w:val="06610220"/>
    <w:rsid w:val="06613BC7"/>
    <w:rsid w:val="066652C1"/>
    <w:rsid w:val="066661FB"/>
    <w:rsid w:val="06682785"/>
    <w:rsid w:val="067609CA"/>
    <w:rsid w:val="06A96583"/>
    <w:rsid w:val="06B85CB1"/>
    <w:rsid w:val="06C2041E"/>
    <w:rsid w:val="06C373FB"/>
    <w:rsid w:val="06C41534"/>
    <w:rsid w:val="06C901C6"/>
    <w:rsid w:val="06CF2587"/>
    <w:rsid w:val="06D624A9"/>
    <w:rsid w:val="06E14DA3"/>
    <w:rsid w:val="06E213BE"/>
    <w:rsid w:val="06E75DDC"/>
    <w:rsid w:val="06E874A0"/>
    <w:rsid w:val="06F75A98"/>
    <w:rsid w:val="06F77C5C"/>
    <w:rsid w:val="06F84A18"/>
    <w:rsid w:val="06F91994"/>
    <w:rsid w:val="07053883"/>
    <w:rsid w:val="070857B2"/>
    <w:rsid w:val="07275FD5"/>
    <w:rsid w:val="074B736D"/>
    <w:rsid w:val="077C2F3E"/>
    <w:rsid w:val="077E3528"/>
    <w:rsid w:val="07814B81"/>
    <w:rsid w:val="078564E6"/>
    <w:rsid w:val="07907A7C"/>
    <w:rsid w:val="0791212F"/>
    <w:rsid w:val="07914CA8"/>
    <w:rsid w:val="07963FC8"/>
    <w:rsid w:val="07987194"/>
    <w:rsid w:val="079C558D"/>
    <w:rsid w:val="07A1260A"/>
    <w:rsid w:val="07A5753F"/>
    <w:rsid w:val="07A7570B"/>
    <w:rsid w:val="07A86BC0"/>
    <w:rsid w:val="07AE2D9E"/>
    <w:rsid w:val="07B375B1"/>
    <w:rsid w:val="07BE57AE"/>
    <w:rsid w:val="07C93DFF"/>
    <w:rsid w:val="07CC6C08"/>
    <w:rsid w:val="07E33854"/>
    <w:rsid w:val="07F34EFC"/>
    <w:rsid w:val="07F37DB7"/>
    <w:rsid w:val="07F74555"/>
    <w:rsid w:val="081662E1"/>
    <w:rsid w:val="081D7650"/>
    <w:rsid w:val="082326F1"/>
    <w:rsid w:val="0834758E"/>
    <w:rsid w:val="08564D7A"/>
    <w:rsid w:val="086075AB"/>
    <w:rsid w:val="08831FE4"/>
    <w:rsid w:val="088F6915"/>
    <w:rsid w:val="089305EA"/>
    <w:rsid w:val="08947CF3"/>
    <w:rsid w:val="08A3442D"/>
    <w:rsid w:val="08A41151"/>
    <w:rsid w:val="08D21EBF"/>
    <w:rsid w:val="08D25283"/>
    <w:rsid w:val="08D61E31"/>
    <w:rsid w:val="08E314A2"/>
    <w:rsid w:val="08E63620"/>
    <w:rsid w:val="08EC2CB0"/>
    <w:rsid w:val="08F16FBA"/>
    <w:rsid w:val="0909178E"/>
    <w:rsid w:val="091A1425"/>
    <w:rsid w:val="09256C4A"/>
    <w:rsid w:val="09277427"/>
    <w:rsid w:val="092D25BF"/>
    <w:rsid w:val="09366956"/>
    <w:rsid w:val="09394134"/>
    <w:rsid w:val="09394DFF"/>
    <w:rsid w:val="094D79CF"/>
    <w:rsid w:val="094E512E"/>
    <w:rsid w:val="096E224D"/>
    <w:rsid w:val="0972320A"/>
    <w:rsid w:val="098C0F2F"/>
    <w:rsid w:val="09AC4ECD"/>
    <w:rsid w:val="09B55A7D"/>
    <w:rsid w:val="09CC0691"/>
    <w:rsid w:val="09CD2EA4"/>
    <w:rsid w:val="09DF22A7"/>
    <w:rsid w:val="0A056E2D"/>
    <w:rsid w:val="0A0A56B9"/>
    <w:rsid w:val="0A0F55BD"/>
    <w:rsid w:val="0A120A90"/>
    <w:rsid w:val="0A22052E"/>
    <w:rsid w:val="0A263447"/>
    <w:rsid w:val="0A2978C1"/>
    <w:rsid w:val="0A2A79DC"/>
    <w:rsid w:val="0A3775C3"/>
    <w:rsid w:val="0A4757E5"/>
    <w:rsid w:val="0A481E6C"/>
    <w:rsid w:val="0A4B08DB"/>
    <w:rsid w:val="0A4B6101"/>
    <w:rsid w:val="0A593AED"/>
    <w:rsid w:val="0A6413E8"/>
    <w:rsid w:val="0A70503F"/>
    <w:rsid w:val="0A8F0586"/>
    <w:rsid w:val="0AA3646B"/>
    <w:rsid w:val="0AAC5B9D"/>
    <w:rsid w:val="0ACE1B7A"/>
    <w:rsid w:val="0ADD0FD7"/>
    <w:rsid w:val="0AF7350B"/>
    <w:rsid w:val="0B0A1E4D"/>
    <w:rsid w:val="0B0C442B"/>
    <w:rsid w:val="0B172C94"/>
    <w:rsid w:val="0B183238"/>
    <w:rsid w:val="0B1C65EC"/>
    <w:rsid w:val="0B1F62F5"/>
    <w:rsid w:val="0B2A0E40"/>
    <w:rsid w:val="0B3F2834"/>
    <w:rsid w:val="0B472C45"/>
    <w:rsid w:val="0B4B7DDB"/>
    <w:rsid w:val="0B553400"/>
    <w:rsid w:val="0B602BA6"/>
    <w:rsid w:val="0B671DE2"/>
    <w:rsid w:val="0B71069A"/>
    <w:rsid w:val="0B724F34"/>
    <w:rsid w:val="0B7B039F"/>
    <w:rsid w:val="0B8A524B"/>
    <w:rsid w:val="0BB93731"/>
    <w:rsid w:val="0BBB0906"/>
    <w:rsid w:val="0BC20E34"/>
    <w:rsid w:val="0BC8754C"/>
    <w:rsid w:val="0BD0267A"/>
    <w:rsid w:val="0BD13387"/>
    <w:rsid w:val="0BD437D5"/>
    <w:rsid w:val="0BEF70DB"/>
    <w:rsid w:val="0C086302"/>
    <w:rsid w:val="0C14604F"/>
    <w:rsid w:val="0C14781D"/>
    <w:rsid w:val="0C2273F1"/>
    <w:rsid w:val="0C2C42C9"/>
    <w:rsid w:val="0C2F759E"/>
    <w:rsid w:val="0C363C81"/>
    <w:rsid w:val="0C376A52"/>
    <w:rsid w:val="0C3F78BD"/>
    <w:rsid w:val="0C55263E"/>
    <w:rsid w:val="0C5C7CC1"/>
    <w:rsid w:val="0C666A81"/>
    <w:rsid w:val="0C7A644B"/>
    <w:rsid w:val="0C804F56"/>
    <w:rsid w:val="0C877047"/>
    <w:rsid w:val="0C91279F"/>
    <w:rsid w:val="0C934C9B"/>
    <w:rsid w:val="0CA70EFB"/>
    <w:rsid w:val="0CA76FA4"/>
    <w:rsid w:val="0CAE385B"/>
    <w:rsid w:val="0CD40B55"/>
    <w:rsid w:val="0CE05B5E"/>
    <w:rsid w:val="0CE559BF"/>
    <w:rsid w:val="0D01122B"/>
    <w:rsid w:val="0D0C188A"/>
    <w:rsid w:val="0D0F5438"/>
    <w:rsid w:val="0D296DE3"/>
    <w:rsid w:val="0D29725D"/>
    <w:rsid w:val="0D386CEC"/>
    <w:rsid w:val="0D4044EA"/>
    <w:rsid w:val="0D504F8D"/>
    <w:rsid w:val="0D5E76E7"/>
    <w:rsid w:val="0D611B52"/>
    <w:rsid w:val="0D881FBD"/>
    <w:rsid w:val="0D8E4412"/>
    <w:rsid w:val="0D964A57"/>
    <w:rsid w:val="0D9C5D6F"/>
    <w:rsid w:val="0DAF6E65"/>
    <w:rsid w:val="0DB31912"/>
    <w:rsid w:val="0DBA74FE"/>
    <w:rsid w:val="0DBD4CB1"/>
    <w:rsid w:val="0DD35CCD"/>
    <w:rsid w:val="0DD82466"/>
    <w:rsid w:val="0DDA128B"/>
    <w:rsid w:val="0DEB4616"/>
    <w:rsid w:val="0DF72FBD"/>
    <w:rsid w:val="0DF937EC"/>
    <w:rsid w:val="0E046C74"/>
    <w:rsid w:val="0E1A1283"/>
    <w:rsid w:val="0E297CB4"/>
    <w:rsid w:val="0E4814D4"/>
    <w:rsid w:val="0E5934C2"/>
    <w:rsid w:val="0E821E91"/>
    <w:rsid w:val="0E8D4754"/>
    <w:rsid w:val="0EA031ED"/>
    <w:rsid w:val="0EA82E8B"/>
    <w:rsid w:val="0EAF2AA1"/>
    <w:rsid w:val="0EBA3B6D"/>
    <w:rsid w:val="0EC0305B"/>
    <w:rsid w:val="0EC76031"/>
    <w:rsid w:val="0EC93824"/>
    <w:rsid w:val="0EC940EA"/>
    <w:rsid w:val="0ECD1BF9"/>
    <w:rsid w:val="0EEF03F1"/>
    <w:rsid w:val="0EEF1AF7"/>
    <w:rsid w:val="0EF5771B"/>
    <w:rsid w:val="0F0F5004"/>
    <w:rsid w:val="0F150A42"/>
    <w:rsid w:val="0F274E5E"/>
    <w:rsid w:val="0F291F9D"/>
    <w:rsid w:val="0F2C3286"/>
    <w:rsid w:val="0F317386"/>
    <w:rsid w:val="0F322F5B"/>
    <w:rsid w:val="0F380623"/>
    <w:rsid w:val="0F3C1252"/>
    <w:rsid w:val="0F532FCC"/>
    <w:rsid w:val="0F5849DF"/>
    <w:rsid w:val="0F5F6EDC"/>
    <w:rsid w:val="0F651EF5"/>
    <w:rsid w:val="0F86619D"/>
    <w:rsid w:val="0F97082B"/>
    <w:rsid w:val="0F9D76C5"/>
    <w:rsid w:val="0F9F45DB"/>
    <w:rsid w:val="0FA26822"/>
    <w:rsid w:val="0FA32E66"/>
    <w:rsid w:val="0FA738E2"/>
    <w:rsid w:val="0FA73BCD"/>
    <w:rsid w:val="0FB354FC"/>
    <w:rsid w:val="0FB82BBC"/>
    <w:rsid w:val="0FBA3760"/>
    <w:rsid w:val="0FBE54C5"/>
    <w:rsid w:val="0FBF39ED"/>
    <w:rsid w:val="0FC3693C"/>
    <w:rsid w:val="0FC864B4"/>
    <w:rsid w:val="0FD96A03"/>
    <w:rsid w:val="0FDB1178"/>
    <w:rsid w:val="0FE7260A"/>
    <w:rsid w:val="0FEF1BB8"/>
    <w:rsid w:val="10034DC1"/>
    <w:rsid w:val="10107606"/>
    <w:rsid w:val="103247CA"/>
    <w:rsid w:val="103A5D24"/>
    <w:rsid w:val="10467E0F"/>
    <w:rsid w:val="10476D41"/>
    <w:rsid w:val="105109E4"/>
    <w:rsid w:val="105C6A52"/>
    <w:rsid w:val="1065133F"/>
    <w:rsid w:val="10682D61"/>
    <w:rsid w:val="106854F4"/>
    <w:rsid w:val="106949B6"/>
    <w:rsid w:val="108B4D1B"/>
    <w:rsid w:val="108C3290"/>
    <w:rsid w:val="109A6E42"/>
    <w:rsid w:val="10B17381"/>
    <w:rsid w:val="10BE2475"/>
    <w:rsid w:val="10D54286"/>
    <w:rsid w:val="10F72C0A"/>
    <w:rsid w:val="10F75982"/>
    <w:rsid w:val="11034887"/>
    <w:rsid w:val="110E79F6"/>
    <w:rsid w:val="112144A5"/>
    <w:rsid w:val="11256A5D"/>
    <w:rsid w:val="112F2BFA"/>
    <w:rsid w:val="11465790"/>
    <w:rsid w:val="1148711D"/>
    <w:rsid w:val="114C4A69"/>
    <w:rsid w:val="11686CB0"/>
    <w:rsid w:val="11A8752B"/>
    <w:rsid w:val="11AA69C6"/>
    <w:rsid w:val="11AF064D"/>
    <w:rsid w:val="11B75427"/>
    <w:rsid w:val="11C80FB9"/>
    <w:rsid w:val="11CC4559"/>
    <w:rsid w:val="11CD7198"/>
    <w:rsid w:val="11E14C17"/>
    <w:rsid w:val="11E206A3"/>
    <w:rsid w:val="11F567B8"/>
    <w:rsid w:val="11FB2E27"/>
    <w:rsid w:val="120002D4"/>
    <w:rsid w:val="120B3D07"/>
    <w:rsid w:val="120E4F34"/>
    <w:rsid w:val="1225075E"/>
    <w:rsid w:val="124D47B3"/>
    <w:rsid w:val="124F0F9F"/>
    <w:rsid w:val="125E4D1C"/>
    <w:rsid w:val="12630024"/>
    <w:rsid w:val="126819FE"/>
    <w:rsid w:val="126E6705"/>
    <w:rsid w:val="1289767B"/>
    <w:rsid w:val="129F60B5"/>
    <w:rsid w:val="12A33EFD"/>
    <w:rsid w:val="12A460C1"/>
    <w:rsid w:val="12A74B49"/>
    <w:rsid w:val="12AE298A"/>
    <w:rsid w:val="12B4360B"/>
    <w:rsid w:val="12C06B14"/>
    <w:rsid w:val="12CC1E0B"/>
    <w:rsid w:val="12CD1380"/>
    <w:rsid w:val="12D96B0C"/>
    <w:rsid w:val="12E17784"/>
    <w:rsid w:val="12EC1F42"/>
    <w:rsid w:val="12F809D3"/>
    <w:rsid w:val="12FE2782"/>
    <w:rsid w:val="130443A7"/>
    <w:rsid w:val="13051AF0"/>
    <w:rsid w:val="130B524C"/>
    <w:rsid w:val="1310261B"/>
    <w:rsid w:val="13356C83"/>
    <w:rsid w:val="134926B4"/>
    <w:rsid w:val="13510D35"/>
    <w:rsid w:val="135D3812"/>
    <w:rsid w:val="13666D9F"/>
    <w:rsid w:val="1372198F"/>
    <w:rsid w:val="13726BB1"/>
    <w:rsid w:val="13737182"/>
    <w:rsid w:val="137E0D62"/>
    <w:rsid w:val="13883D82"/>
    <w:rsid w:val="138D4D76"/>
    <w:rsid w:val="13A61647"/>
    <w:rsid w:val="13AD0EAD"/>
    <w:rsid w:val="13BE0279"/>
    <w:rsid w:val="13C4099B"/>
    <w:rsid w:val="13D03886"/>
    <w:rsid w:val="13DF2212"/>
    <w:rsid w:val="13E558A2"/>
    <w:rsid w:val="13F96773"/>
    <w:rsid w:val="13FC365D"/>
    <w:rsid w:val="14025AF6"/>
    <w:rsid w:val="140D0901"/>
    <w:rsid w:val="142467C0"/>
    <w:rsid w:val="1426133C"/>
    <w:rsid w:val="144548A9"/>
    <w:rsid w:val="145062BE"/>
    <w:rsid w:val="145406BB"/>
    <w:rsid w:val="14543A5E"/>
    <w:rsid w:val="14584F97"/>
    <w:rsid w:val="14693BA6"/>
    <w:rsid w:val="146C66CF"/>
    <w:rsid w:val="146F54D5"/>
    <w:rsid w:val="14814826"/>
    <w:rsid w:val="148A06AB"/>
    <w:rsid w:val="148E3DCA"/>
    <w:rsid w:val="14985C4C"/>
    <w:rsid w:val="149941A7"/>
    <w:rsid w:val="14AA2EBA"/>
    <w:rsid w:val="14C6405B"/>
    <w:rsid w:val="14DC264D"/>
    <w:rsid w:val="150712A2"/>
    <w:rsid w:val="150B55AF"/>
    <w:rsid w:val="15181268"/>
    <w:rsid w:val="151C2287"/>
    <w:rsid w:val="154C266A"/>
    <w:rsid w:val="154F16D2"/>
    <w:rsid w:val="15585CD3"/>
    <w:rsid w:val="1559542C"/>
    <w:rsid w:val="156216BA"/>
    <w:rsid w:val="15682E2B"/>
    <w:rsid w:val="15716CC5"/>
    <w:rsid w:val="15810BB7"/>
    <w:rsid w:val="158F1BFB"/>
    <w:rsid w:val="15AE2033"/>
    <w:rsid w:val="15BD216B"/>
    <w:rsid w:val="15C138F3"/>
    <w:rsid w:val="15D33DE7"/>
    <w:rsid w:val="15D45D7C"/>
    <w:rsid w:val="15D73E0F"/>
    <w:rsid w:val="16013144"/>
    <w:rsid w:val="161E1E16"/>
    <w:rsid w:val="162968AC"/>
    <w:rsid w:val="162D5E38"/>
    <w:rsid w:val="16405EF7"/>
    <w:rsid w:val="164262C1"/>
    <w:rsid w:val="16437554"/>
    <w:rsid w:val="164C117E"/>
    <w:rsid w:val="164E7AFA"/>
    <w:rsid w:val="16617E54"/>
    <w:rsid w:val="16651CC9"/>
    <w:rsid w:val="16A26B83"/>
    <w:rsid w:val="16B55648"/>
    <w:rsid w:val="16B73F4F"/>
    <w:rsid w:val="16C53D60"/>
    <w:rsid w:val="16CE1290"/>
    <w:rsid w:val="16D65B82"/>
    <w:rsid w:val="16E83D0F"/>
    <w:rsid w:val="16EA41E3"/>
    <w:rsid w:val="16EC5272"/>
    <w:rsid w:val="16EE2F79"/>
    <w:rsid w:val="17083CF6"/>
    <w:rsid w:val="17147EFE"/>
    <w:rsid w:val="17170465"/>
    <w:rsid w:val="17173695"/>
    <w:rsid w:val="171E10AD"/>
    <w:rsid w:val="1723341E"/>
    <w:rsid w:val="17371BC8"/>
    <w:rsid w:val="173C7946"/>
    <w:rsid w:val="173F122D"/>
    <w:rsid w:val="17473317"/>
    <w:rsid w:val="174F2CC4"/>
    <w:rsid w:val="175C4D41"/>
    <w:rsid w:val="177158CC"/>
    <w:rsid w:val="17A62C54"/>
    <w:rsid w:val="17BE16DC"/>
    <w:rsid w:val="17C86D05"/>
    <w:rsid w:val="17EC425D"/>
    <w:rsid w:val="17F35B20"/>
    <w:rsid w:val="180C2EE7"/>
    <w:rsid w:val="180F15B7"/>
    <w:rsid w:val="182E0F6C"/>
    <w:rsid w:val="183E6574"/>
    <w:rsid w:val="185F1F32"/>
    <w:rsid w:val="18653EFB"/>
    <w:rsid w:val="18720945"/>
    <w:rsid w:val="18726510"/>
    <w:rsid w:val="18881CB4"/>
    <w:rsid w:val="188E3C2D"/>
    <w:rsid w:val="189A445D"/>
    <w:rsid w:val="18A23164"/>
    <w:rsid w:val="18A65CA4"/>
    <w:rsid w:val="18B61EEB"/>
    <w:rsid w:val="18C04D27"/>
    <w:rsid w:val="18C81E6B"/>
    <w:rsid w:val="18CF1610"/>
    <w:rsid w:val="18CF4AC4"/>
    <w:rsid w:val="18E50310"/>
    <w:rsid w:val="18EB3959"/>
    <w:rsid w:val="18EC57E2"/>
    <w:rsid w:val="18F20AFB"/>
    <w:rsid w:val="18FD51E2"/>
    <w:rsid w:val="19047C5B"/>
    <w:rsid w:val="1919478F"/>
    <w:rsid w:val="191B3081"/>
    <w:rsid w:val="19241C8D"/>
    <w:rsid w:val="192B246C"/>
    <w:rsid w:val="193308D1"/>
    <w:rsid w:val="193364D7"/>
    <w:rsid w:val="19354D41"/>
    <w:rsid w:val="19383276"/>
    <w:rsid w:val="193D3C08"/>
    <w:rsid w:val="19465B85"/>
    <w:rsid w:val="19514FA7"/>
    <w:rsid w:val="19530509"/>
    <w:rsid w:val="19556FD1"/>
    <w:rsid w:val="195B67D0"/>
    <w:rsid w:val="196E7061"/>
    <w:rsid w:val="19783399"/>
    <w:rsid w:val="197A5200"/>
    <w:rsid w:val="1986763E"/>
    <w:rsid w:val="19935CDA"/>
    <w:rsid w:val="199E4C13"/>
    <w:rsid w:val="19A35324"/>
    <w:rsid w:val="19CA10B0"/>
    <w:rsid w:val="19D23014"/>
    <w:rsid w:val="19D871FC"/>
    <w:rsid w:val="19D90D82"/>
    <w:rsid w:val="19E44DA8"/>
    <w:rsid w:val="19EF0DA4"/>
    <w:rsid w:val="19F82CEA"/>
    <w:rsid w:val="19F83300"/>
    <w:rsid w:val="19F95F5F"/>
    <w:rsid w:val="19FC45C1"/>
    <w:rsid w:val="1A013E26"/>
    <w:rsid w:val="1A01531B"/>
    <w:rsid w:val="1A0A4C6F"/>
    <w:rsid w:val="1A146AFB"/>
    <w:rsid w:val="1A167A73"/>
    <w:rsid w:val="1A1B71D7"/>
    <w:rsid w:val="1A2F0D7C"/>
    <w:rsid w:val="1A3F6C39"/>
    <w:rsid w:val="1A441B18"/>
    <w:rsid w:val="1A543B91"/>
    <w:rsid w:val="1A5617AE"/>
    <w:rsid w:val="1A5B314C"/>
    <w:rsid w:val="1A6125F2"/>
    <w:rsid w:val="1A63665D"/>
    <w:rsid w:val="1A8233A5"/>
    <w:rsid w:val="1A9A78E6"/>
    <w:rsid w:val="1A9D03C0"/>
    <w:rsid w:val="1AA07998"/>
    <w:rsid w:val="1AA7739A"/>
    <w:rsid w:val="1ABB7B78"/>
    <w:rsid w:val="1ABC3B6D"/>
    <w:rsid w:val="1AE34FD1"/>
    <w:rsid w:val="1AE75CC4"/>
    <w:rsid w:val="1AFB749D"/>
    <w:rsid w:val="1B020733"/>
    <w:rsid w:val="1B200468"/>
    <w:rsid w:val="1B351F7A"/>
    <w:rsid w:val="1B3863DF"/>
    <w:rsid w:val="1B4C0D69"/>
    <w:rsid w:val="1B5C3CD8"/>
    <w:rsid w:val="1B730FBA"/>
    <w:rsid w:val="1B861FC4"/>
    <w:rsid w:val="1B8A15CD"/>
    <w:rsid w:val="1B92166F"/>
    <w:rsid w:val="1BB3656D"/>
    <w:rsid w:val="1BC23D87"/>
    <w:rsid w:val="1BC45952"/>
    <w:rsid w:val="1BD729CF"/>
    <w:rsid w:val="1BDC0F1D"/>
    <w:rsid w:val="1BE07C46"/>
    <w:rsid w:val="1BE465A3"/>
    <w:rsid w:val="1BE660DB"/>
    <w:rsid w:val="1C045272"/>
    <w:rsid w:val="1C122EBF"/>
    <w:rsid w:val="1C155D54"/>
    <w:rsid w:val="1C1B7408"/>
    <w:rsid w:val="1C1D5E4D"/>
    <w:rsid w:val="1C2B4F24"/>
    <w:rsid w:val="1C4F703E"/>
    <w:rsid w:val="1C6F79AD"/>
    <w:rsid w:val="1C7C28FE"/>
    <w:rsid w:val="1C89674D"/>
    <w:rsid w:val="1C9E2CAC"/>
    <w:rsid w:val="1CA24B83"/>
    <w:rsid w:val="1CA25785"/>
    <w:rsid w:val="1CA308DE"/>
    <w:rsid w:val="1CB81B8B"/>
    <w:rsid w:val="1CBF1719"/>
    <w:rsid w:val="1CD50946"/>
    <w:rsid w:val="1CD53CB6"/>
    <w:rsid w:val="1CDA4ACD"/>
    <w:rsid w:val="1CEC1F81"/>
    <w:rsid w:val="1D04432C"/>
    <w:rsid w:val="1D1F5764"/>
    <w:rsid w:val="1D323E43"/>
    <w:rsid w:val="1D345826"/>
    <w:rsid w:val="1D6B03E8"/>
    <w:rsid w:val="1D6C3BC3"/>
    <w:rsid w:val="1D6C7C52"/>
    <w:rsid w:val="1D6E01A9"/>
    <w:rsid w:val="1D7806E8"/>
    <w:rsid w:val="1D786AD1"/>
    <w:rsid w:val="1D7D03C5"/>
    <w:rsid w:val="1D8009CF"/>
    <w:rsid w:val="1D896015"/>
    <w:rsid w:val="1D9474D1"/>
    <w:rsid w:val="1DB765A6"/>
    <w:rsid w:val="1DC03242"/>
    <w:rsid w:val="1DCA7B9C"/>
    <w:rsid w:val="1DCE2818"/>
    <w:rsid w:val="1DD66728"/>
    <w:rsid w:val="1DD957B9"/>
    <w:rsid w:val="1DDA37AA"/>
    <w:rsid w:val="1DE422F7"/>
    <w:rsid w:val="1DE71D9C"/>
    <w:rsid w:val="1E0C3054"/>
    <w:rsid w:val="1E113FF4"/>
    <w:rsid w:val="1E1E6C36"/>
    <w:rsid w:val="1E201AE4"/>
    <w:rsid w:val="1E27054B"/>
    <w:rsid w:val="1E585851"/>
    <w:rsid w:val="1E614F5E"/>
    <w:rsid w:val="1E6A0646"/>
    <w:rsid w:val="1E711896"/>
    <w:rsid w:val="1E751984"/>
    <w:rsid w:val="1E755A64"/>
    <w:rsid w:val="1E7F4C6A"/>
    <w:rsid w:val="1E8A46AA"/>
    <w:rsid w:val="1E8B33E4"/>
    <w:rsid w:val="1E964B22"/>
    <w:rsid w:val="1E9845F0"/>
    <w:rsid w:val="1E985748"/>
    <w:rsid w:val="1E9A6CF6"/>
    <w:rsid w:val="1EA3650A"/>
    <w:rsid w:val="1EA81771"/>
    <w:rsid w:val="1EA9518B"/>
    <w:rsid w:val="1EAB55AA"/>
    <w:rsid w:val="1ECD6798"/>
    <w:rsid w:val="1ED542CB"/>
    <w:rsid w:val="1ED963C9"/>
    <w:rsid w:val="1EE2508D"/>
    <w:rsid w:val="1F0105B5"/>
    <w:rsid w:val="1F074C09"/>
    <w:rsid w:val="1F1172AC"/>
    <w:rsid w:val="1F22514C"/>
    <w:rsid w:val="1F2A5406"/>
    <w:rsid w:val="1F32241A"/>
    <w:rsid w:val="1F3429E4"/>
    <w:rsid w:val="1F3C36BC"/>
    <w:rsid w:val="1F4769C7"/>
    <w:rsid w:val="1F4E43E0"/>
    <w:rsid w:val="1F96022A"/>
    <w:rsid w:val="1F983C12"/>
    <w:rsid w:val="1FA726C4"/>
    <w:rsid w:val="1FAF2BA0"/>
    <w:rsid w:val="1FC977F4"/>
    <w:rsid w:val="1FD32CE7"/>
    <w:rsid w:val="1FD9140F"/>
    <w:rsid w:val="1FE673A2"/>
    <w:rsid w:val="1FEA66A3"/>
    <w:rsid w:val="1FEC65AF"/>
    <w:rsid w:val="20003F00"/>
    <w:rsid w:val="200D0260"/>
    <w:rsid w:val="200F6363"/>
    <w:rsid w:val="201B735F"/>
    <w:rsid w:val="201C2597"/>
    <w:rsid w:val="20287777"/>
    <w:rsid w:val="202C43A0"/>
    <w:rsid w:val="20362166"/>
    <w:rsid w:val="20487AEE"/>
    <w:rsid w:val="20513A3C"/>
    <w:rsid w:val="205C29FA"/>
    <w:rsid w:val="205D2162"/>
    <w:rsid w:val="20653333"/>
    <w:rsid w:val="206E0C88"/>
    <w:rsid w:val="209A3718"/>
    <w:rsid w:val="209C5B5A"/>
    <w:rsid w:val="209E40FF"/>
    <w:rsid w:val="20BD5652"/>
    <w:rsid w:val="20C46B00"/>
    <w:rsid w:val="20D36237"/>
    <w:rsid w:val="20D75574"/>
    <w:rsid w:val="20F81C87"/>
    <w:rsid w:val="20F97957"/>
    <w:rsid w:val="20FA58EE"/>
    <w:rsid w:val="2103015E"/>
    <w:rsid w:val="21162B31"/>
    <w:rsid w:val="211D4B0E"/>
    <w:rsid w:val="214B6678"/>
    <w:rsid w:val="215320F3"/>
    <w:rsid w:val="215C6427"/>
    <w:rsid w:val="21663CAC"/>
    <w:rsid w:val="216C1BC5"/>
    <w:rsid w:val="21843C8D"/>
    <w:rsid w:val="21A01E72"/>
    <w:rsid w:val="21A539A5"/>
    <w:rsid w:val="21BF6370"/>
    <w:rsid w:val="21C27D71"/>
    <w:rsid w:val="21CE1A34"/>
    <w:rsid w:val="21D135A3"/>
    <w:rsid w:val="21D61CDB"/>
    <w:rsid w:val="21DE51C9"/>
    <w:rsid w:val="21E6657A"/>
    <w:rsid w:val="21E8152C"/>
    <w:rsid w:val="21E84BC1"/>
    <w:rsid w:val="21F254C0"/>
    <w:rsid w:val="21F53216"/>
    <w:rsid w:val="21F629AE"/>
    <w:rsid w:val="220C1678"/>
    <w:rsid w:val="22157549"/>
    <w:rsid w:val="22245910"/>
    <w:rsid w:val="22384D9E"/>
    <w:rsid w:val="223961BB"/>
    <w:rsid w:val="223D2961"/>
    <w:rsid w:val="223F55D0"/>
    <w:rsid w:val="22423423"/>
    <w:rsid w:val="224616BF"/>
    <w:rsid w:val="22463475"/>
    <w:rsid w:val="22464D78"/>
    <w:rsid w:val="2248360A"/>
    <w:rsid w:val="224A7372"/>
    <w:rsid w:val="224B72C0"/>
    <w:rsid w:val="224D3DE7"/>
    <w:rsid w:val="225853AF"/>
    <w:rsid w:val="226A60D7"/>
    <w:rsid w:val="22801AB1"/>
    <w:rsid w:val="22927225"/>
    <w:rsid w:val="22996AC6"/>
    <w:rsid w:val="22A9206B"/>
    <w:rsid w:val="22AA26B3"/>
    <w:rsid w:val="22B6619A"/>
    <w:rsid w:val="22B75B50"/>
    <w:rsid w:val="22BD2D0D"/>
    <w:rsid w:val="22C42BC4"/>
    <w:rsid w:val="22C7293A"/>
    <w:rsid w:val="22CC2A26"/>
    <w:rsid w:val="22CD3B55"/>
    <w:rsid w:val="22CD7181"/>
    <w:rsid w:val="22D00DD8"/>
    <w:rsid w:val="22D36D98"/>
    <w:rsid w:val="22D909D3"/>
    <w:rsid w:val="22E67C42"/>
    <w:rsid w:val="22E94841"/>
    <w:rsid w:val="22EC53FC"/>
    <w:rsid w:val="22F240AB"/>
    <w:rsid w:val="22FD1184"/>
    <w:rsid w:val="230936A9"/>
    <w:rsid w:val="23101F2E"/>
    <w:rsid w:val="231337FF"/>
    <w:rsid w:val="231C73B4"/>
    <w:rsid w:val="231D6147"/>
    <w:rsid w:val="232A7F7E"/>
    <w:rsid w:val="23350A38"/>
    <w:rsid w:val="23361412"/>
    <w:rsid w:val="23476D20"/>
    <w:rsid w:val="23526931"/>
    <w:rsid w:val="236F21C0"/>
    <w:rsid w:val="237A36E0"/>
    <w:rsid w:val="237D0148"/>
    <w:rsid w:val="23854AFC"/>
    <w:rsid w:val="23981364"/>
    <w:rsid w:val="23A71858"/>
    <w:rsid w:val="23AF2E12"/>
    <w:rsid w:val="23B10B00"/>
    <w:rsid w:val="23CE702F"/>
    <w:rsid w:val="23CE7505"/>
    <w:rsid w:val="23E9373D"/>
    <w:rsid w:val="23EA6275"/>
    <w:rsid w:val="23EA7843"/>
    <w:rsid w:val="24320DEC"/>
    <w:rsid w:val="2434488F"/>
    <w:rsid w:val="243C50C4"/>
    <w:rsid w:val="24407957"/>
    <w:rsid w:val="244138C4"/>
    <w:rsid w:val="24425C82"/>
    <w:rsid w:val="244E0FB2"/>
    <w:rsid w:val="24523E6B"/>
    <w:rsid w:val="245E6479"/>
    <w:rsid w:val="248435BC"/>
    <w:rsid w:val="24956D61"/>
    <w:rsid w:val="24D94A47"/>
    <w:rsid w:val="24DD6C4E"/>
    <w:rsid w:val="24E73701"/>
    <w:rsid w:val="24EB2CD2"/>
    <w:rsid w:val="24F03545"/>
    <w:rsid w:val="24F15593"/>
    <w:rsid w:val="24FE1255"/>
    <w:rsid w:val="250A7F60"/>
    <w:rsid w:val="250F69F1"/>
    <w:rsid w:val="25190627"/>
    <w:rsid w:val="254231BE"/>
    <w:rsid w:val="25460CF9"/>
    <w:rsid w:val="254F7349"/>
    <w:rsid w:val="255B6AB3"/>
    <w:rsid w:val="2564005E"/>
    <w:rsid w:val="25726B45"/>
    <w:rsid w:val="257A57B5"/>
    <w:rsid w:val="2589162E"/>
    <w:rsid w:val="258C2C77"/>
    <w:rsid w:val="25915BD8"/>
    <w:rsid w:val="25952570"/>
    <w:rsid w:val="259C7C27"/>
    <w:rsid w:val="25A51CCF"/>
    <w:rsid w:val="25A742AA"/>
    <w:rsid w:val="25A920B4"/>
    <w:rsid w:val="25BB3B94"/>
    <w:rsid w:val="25C00206"/>
    <w:rsid w:val="25CE3729"/>
    <w:rsid w:val="25E60285"/>
    <w:rsid w:val="25E633D7"/>
    <w:rsid w:val="25EE45FD"/>
    <w:rsid w:val="25F612C0"/>
    <w:rsid w:val="26013250"/>
    <w:rsid w:val="26026C80"/>
    <w:rsid w:val="260C5268"/>
    <w:rsid w:val="263A2BE3"/>
    <w:rsid w:val="26426DD4"/>
    <w:rsid w:val="26500DC0"/>
    <w:rsid w:val="265718CC"/>
    <w:rsid w:val="267C53DA"/>
    <w:rsid w:val="268259B2"/>
    <w:rsid w:val="268338B6"/>
    <w:rsid w:val="269362E3"/>
    <w:rsid w:val="26AC6AD0"/>
    <w:rsid w:val="26B52555"/>
    <w:rsid w:val="26BE05C6"/>
    <w:rsid w:val="26C363B3"/>
    <w:rsid w:val="26F50BDB"/>
    <w:rsid w:val="26F91001"/>
    <w:rsid w:val="27130ACE"/>
    <w:rsid w:val="27266E00"/>
    <w:rsid w:val="272677BC"/>
    <w:rsid w:val="27283C0A"/>
    <w:rsid w:val="27294289"/>
    <w:rsid w:val="272D723C"/>
    <w:rsid w:val="27381365"/>
    <w:rsid w:val="273D098C"/>
    <w:rsid w:val="274029CA"/>
    <w:rsid w:val="274953D9"/>
    <w:rsid w:val="2750794F"/>
    <w:rsid w:val="275C55BF"/>
    <w:rsid w:val="27726551"/>
    <w:rsid w:val="278E13C2"/>
    <w:rsid w:val="27B83B5E"/>
    <w:rsid w:val="27CB6037"/>
    <w:rsid w:val="27DC1D02"/>
    <w:rsid w:val="27E31ACD"/>
    <w:rsid w:val="27EF2E91"/>
    <w:rsid w:val="27F10606"/>
    <w:rsid w:val="2817062E"/>
    <w:rsid w:val="28190C37"/>
    <w:rsid w:val="282875AC"/>
    <w:rsid w:val="282A72D4"/>
    <w:rsid w:val="283E697F"/>
    <w:rsid w:val="285939A0"/>
    <w:rsid w:val="285C01E4"/>
    <w:rsid w:val="285F5E42"/>
    <w:rsid w:val="28640DDD"/>
    <w:rsid w:val="28672C1E"/>
    <w:rsid w:val="287445E5"/>
    <w:rsid w:val="28841CCC"/>
    <w:rsid w:val="288B76AF"/>
    <w:rsid w:val="288D3879"/>
    <w:rsid w:val="28925E9C"/>
    <w:rsid w:val="28936E10"/>
    <w:rsid w:val="28970403"/>
    <w:rsid w:val="28AA11B7"/>
    <w:rsid w:val="28AE0412"/>
    <w:rsid w:val="28B50B6A"/>
    <w:rsid w:val="28CC2809"/>
    <w:rsid w:val="28DB5CB7"/>
    <w:rsid w:val="28DD37F9"/>
    <w:rsid w:val="28FE2638"/>
    <w:rsid w:val="29024666"/>
    <w:rsid w:val="290B259E"/>
    <w:rsid w:val="290B409D"/>
    <w:rsid w:val="291120B3"/>
    <w:rsid w:val="29133087"/>
    <w:rsid w:val="29184623"/>
    <w:rsid w:val="291B2276"/>
    <w:rsid w:val="29215C3E"/>
    <w:rsid w:val="292A740A"/>
    <w:rsid w:val="29361EFE"/>
    <w:rsid w:val="294A4A32"/>
    <w:rsid w:val="295D6C8D"/>
    <w:rsid w:val="29662D3F"/>
    <w:rsid w:val="29671C51"/>
    <w:rsid w:val="29706DC9"/>
    <w:rsid w:val="298F16C2"/>
    <w:rsid w:val="299834A6"/>
    <w:rsid w:val="29A814C5"/>
    <w:rsid w:val="29B816E7"/>
    <w:rsid w:val="29D72731"/>
    <w:rsid w:val="29DE6035"/>
    <w:rsid w:val="29E5333C"/>
    <w:rsid w:val="29E84DD3"/>
    <w:rsid w:val="29ED66B9"/>
    <w:rsid w:val="29EE44E0"/>
    <w:rsid w:val="29F911A4"/>
    <w:rsid w:val="29FD77D4"/>
    <w:rsid w:val="2A007439"/>
    <w:rsid w:val="2A0A1487"/>
    <w:rsid w:val="2A1A15CE"/>
    <w:rsid w:val="2A1F09F7"/>
    <w:rsid w:val="2A1F5A9F"/>
    <w:rsid w:val="2A2245B3"/>
    <w:rsid w:val="2A2361E0"/>
    <w:rsid w:val="2A263200"/>
    <w:rsid w:val="2A27688E"/>
    <w:rsid w:val="2A28537C"/>
    <w:rsid w:val="2A2F0351"/>
    <w:rsid w:val="2A301C46"/>
    <w:rsid w:val="2A7C0ECC"/>
    <w:rsid w:val="2A905451"/>
    <w:rsid w:val="2A912EF5"/>
    <w:rsid w:val="2A9B2140"/>
    <w:rsid w:val="2AAF30C4"/>
    <w:rsid w:val="2AB17355"/>
    <w:rsid w:val="2ABB0DF3"/>
    <w:rsid w:val="2AC70190"/>
    <w:rsid w:val="2ACD2201"/>
    <w:rsid w:val="2ACD779E"/>
    <w:rsid w:val="2ACE2009"/>
    <w:rsid w:val="2ADB0919"/>
    <w:rsid w:val="2AE00186"/>
    <w:rsid w:val="2AE50552"/>
    <w:rsid w:val="2AE609AE"/>
    <w:rsid w:val="2AEA4971"/>
    <w:rsid w:val="2AF145C3"/>
    <w:rsid w:val="2AFE125D"/>
    <w:rsid w:val="2B1674E5"/>
    <w:rsid w:val="2B1B4127"/>
    <w:rsid w:val="2B2D2C6E"/>
    <w:rsid w:val="2B4735F7"/>
    <w:rsid w:val="2B494D28"/>
    <w:rsid w:val="2B4B0AD9"/>
    <w:rsid w:val="2B7905C4"/>
    <w:rsid w:val="2B8B2D9D"/>
    <w:rsid w:val="2B8C6632"/>
    <w:rsid w:val="2B8C71D0"/>
    <w:rsid w:val="2BA32F62"/>
    <w:rsid w:val="2BA5776D"/>
    <w:rsid w:val="2BA61383"/>
    <w:rsid w:val="2BD47DFD"/>
    <w:rsid w:val="2BD66439"/>
    <w:rsid w:val="2BE152B9"/>
    <w:rsid w:val="2BF74C87"/>
    <w:rsid w:val="2C082F54"/>
    <w:rsid w:val="2C183B08"/>
    <w:rsid w:val="2C2B420A"/>
    <w:rsid w:val="2C335A95"/>
    <w:rsid w:val="2C361043"/>
    <w:rsid w:val="2C385980"/>
    <w:rsid w:val="2C410F70"/>
    <w:rsid w:val="2C4A2ACB"/>
    <w:rsid w:val="2C5746C9"/>
    <w:rsid w:val="2C633E88"/>
    <w:rsid w:val="2C6C21CC"/>
    <w:rsid w:val="2C8D5247"/>
    <w:rsid w:val="2CB20D73"/>
    <w:rsid w:val="2CD36631"/>
    <w:rsid w:val="2CD413B1"/>
    <w:rsid w:val="2CD836F5"/>
    <w:rsid w:val="2CDF7AEC"/>
    <w:rsid w:val="2CE268D4"/>
    <w:rsid w:val="2CE629A3"/>
    <w:rsid w:val="2CE6307D"/>
    <w:rsid w:val="2CFD2773"/>
    <w:rsid w:val="2D07785C"/>
    <w:rsid w:val="2D0D31CA"/>
    <w:rsid w:val="2D1648BC"/>
    <w:rsid w:val="2D2E17A1"/>
    <w:rsid w:val="2D302386"/>
    <w:rsid w:val="2D3505E2"/>
    <w:rsid w:val="2D37677A"/>
    <w:rsid w:val="2D386FD2"/>
    <w:rsid w:val="2D3D1758"/>
    <w:rsid w:val="2D3F7EF7"/>
    <w:rsid w:val="2D4164B4"/>
    <w:rsid w:val="2D47779A"/>
    <w:rsid w:val="2D502BAC"/>
    <w:rsid w:val="2D5D67C7"/>
    <w:rsid w:val="2D626812"/>
    <w:rsid w:val="2D63688E"/>
    <w:rsid w:val="2D697037"/>
    <w:rsid w:val="2D6B46F9"/>
    <w:rsid w:val="2D727875"/>
    <w:rsid w:val="2D7A3E58"/>
    <w:rsid w:val="2D7B4BF1"/>
    <w:rsid w:val="2D907BEE"/>
    <w:rsid w:val="2D962520"/>
    <w:rsid w:val="2D9D1F27"/>
    <w:rsid w:val="2DAD31A6"/>
    <w:rsid w:val="2DAE7161"/>
    <w:rsid w:val="2DB04A93"/>
    <w:rsid w:val="2DBB6F83"/>
    <w:rsid w:val="2DD06EFD"/>
    <w:rsid w:val="2DE105AF"/>
    <w:rsid w:val="2DE71A16"/>
    <w:rsid w:val="2DF919BD"/>
    <w:rsid w:val="2E096771"/>
    <w:rsid w:val="2E101CC3"/>
    <w:rsid w:val="2E105BDC"/>
    <w:rsid w:val="2E3771AC"/>
    <w:rsid w:val="2E3A108B"/>
    <w:rsid w:val="2E5670D0"/>
    <w:rsid w:val="2E5E2AFC"/>
    <w:rsid w:val="2E633EB6"/>
    <w:rsid w:val="2E654070"/>
    <w:rsid w:val="2E68639B"/>
    <w:rsid w:val="2E6E3215"/>
    <w:rsid w:val="2E793111"/>
    <w:rsid w:val="2E832FE3"/>
    <w:rsid w:val="2E8D5C99"/>
    <w:rsid w:val="2E974C20"/>
    <w:rsid w:val="2E9E012E"/>
    <w:rsid w:val="2EA241A8"/>
    <w:rsid w:val="2EA878B4"/>
    <w:rsid w:val="2EC95492"/>
    <w:rsid w:val="2ED72E29"/>
    <w:rsid w:val="2EDD5109"/>
    <w:rsid w:val="2EE1504A"/>
    <w:rsid w:val="2EE32100"/>
    <w:rsid w:val="2EEA7478"/>
    <w:rsid w:val="2F2B5E57"/>
    <w:rsid w:val="2F3204BB"/>
    <w:rsid w:val="2F3A5294"/>
    <w:rsid w:val="2F3C7955"/>
    <w:rsid w:val="2F8F5372"/>
    <w:rsid w:val="2F904A8B"/>
    <w:rsid w:val="2F9B2BBE"/>
    <w:rsid w:val="2FAC4547"/>
    <w:rsid w:val="2FC41EBA"/>
    <w:rsid w:val="2FCC6ADC"/>
    <w:rsid w:val="2FD56C51"/>
    <w:rsid w:val="2FD61EC4"/>
    <w:rsid w:val="2FE34C37"/>
    <w:rsid w:val="2FE7202C"/>
    <w:rsid w:val="2FF742A1"/>
    <w:rsid w:val="30142680"/>
    <w:rsid w:val="302A453E"/>
    <w:rsid w:val="304B504C"/>
    <w:rsid w:val="30A57328"/>
    <w:rsid w:val="30AD0929"/>
    <w:rsid w:val="30CD67C6"/>
    <w:rsid w:val="30F502F1"/>
    <w:rsid w:val="310865CC"/>
    <w:rsid w:val="310C54B7"/>
    <w:rsid w:val="311143C8"/>
    <w:rsid w:val="31196F5D"/>
    <w:rsid w:val="31237BC2"/>
    <w:rsid w:val="313B4EF9"/>
    <w:rsid w:val="313D2178"/>
    <w:rsid w:val="313E6208"/>
    <w:rsid w:val="315157EB"/>
    <w:rsid w:val="316267D4"/>
    <w:rsid w:val="316D0B31"/>
    <w:rsid w:val="316F0E5B"/>
    <w:rsid w:val="317613FF"/>
    <w:rsid w:val="31763D43"/>
    <w:rsid w:val="317D017E"/>
    <w:rsid w:val="31826C49"/>
    <w:rsid w:val="318305DF"/>
    <w:rsid w:val="318F0264"/>
    <w:rsid w:val="31A11CF2"/>
    <w:rsid w:val="31A16C2A"/>
    <w:rsid w:val="31A93C46"/>
    <w:rsid w:val="31AB71D2"/>
    <w:rsid w:val="31C362CB"/>
    <w:rsid w:val="31CB6091"/>
    <w:rsid w:val="31CD1C13"/>
    <w:rsid w:val="31D1694B"/>
    <w:rsid w:val="31DC5155"/>
    <w:rsid w:val="31E12333"/>
    <w:rsid w:val="31F63317"/>
    <w:rsid w:val="3210115D"/>
    <w:rsid w:val="32153495"/>
    <w:rsid w:val="3220243A"/>
    <w:rsid w:val="322F301F"/>
    <w:rsid w:val="3233348B"/>
    <w:rsid w:val="32362F74"/>
    <w:rsid w:val="32393EFC"/>
    <w:rsid w:val="324D0830"/>
    <w:rsid w:val="325F0F0C"/>
    <w:rsid w:val="32644486"/>
    <w:rsid w:val="326B722B"/>
    <w:rsid w:val="327422B7"/>
    <w:rsid w:val="32A603EB"/>
    <w:rsid w:val="32B949EA"/>
    <w:rsid w:val="32CE7207"/>
    <w:rsid w:val="32D3237F"/>
    <w:rsid w:val="32DD302D"/>
    <w:rsid w:val="32E27942"/>
    <w:rsid w:val="33196106"/>
    <w:rsid w:val="332F054D"/>
    <w:rsid w:val="33335E58"/>
    <w:rsid w:val="33516BCC"/>
    <w:rsid w:val="33604436"/>
    <w:rsid w:val="33643835"/>
    <w:rsid w:val="33647E1B"/>
    <w:rsid w:val="33707D19"/>
    <w:rsid w:val="337B485B"/>
    <w:rsid w:val="337C5F73"/>
    <w:rsid w:val="3385067B"/>
    <w:rsid w:val="33883E73"/>
    <w:rsid w:val="33A54DD3"/>
    <w:rsid w:val="33A61A0B"/>
    <w:rsid w:val="33AD4194"/>
    <w:rsid w:val="33B15795"/>
    <w:rsid w:val="33B675FB"/>
    <w:rsid w:val="33CE5227"/>
    <w:rsid w:val="33D96789"/>
    <w:rsid w:val="33DB2276"/>
    <w:rsid w:val="33EF6B5D"/>
    <w:rsid w:val="33F87CBC"/>
    <w:rsid w:val="33FA57F3"/>
    <w:rsid w:val="340F2987"/>
    <w:rsid w:val="34155000"/>
    <w:rsid w:val="34241E5A"/>
    <w:rsid w:val="3425464E"/>
    <w:rsid w:val="342A4534"/>
    <w:rsid w:val="342B2748"/>
    <w:rsid w:val="34347613"/>
    <w:rsid w:val="344545A1"/>
    <w:rsid w:val="344A2F2E"/>
    <w:rsid w:val="344F3B16"/>
    <w:rsid w:val="34503AE0"/>
    <w:rsid w:val="345F3CA4"/>
    <w:rsid w:val="34706D7C"/>
    <w:rsid w:val="349A226E"/>
    <w:rsid w:val="34A12CA4"/>
    <w:rsid w:val="34A74049"/>
    <w:rsid w:val="34A87C0A"/>
    <w:rsid w:val="34B46996"/>
    <w:rsid w:val="34BE17F8"/>
    <w:rsid w:val="34BE1A18"/>
    <w:rsid w:val="34C916CF"/>
    <w:rsid w:val="34CD06DF"/>
    <w:rsid w:val="34D83B42"/>
    <w:rsid w:val="34E631BA"/>
    <w:rsid w:val="34EA34A3"/>
    <w:rsid w:val="34EA4FFE"/>
    <w:rsid w:val="35014893"/>
    <w:rsid w:val="350A38BC"/>
    <w:rsid w:val="35243365"/>
    <w:rsid w:val="3535049D"/>
    <w:rsid w:val="353A2AD5"/>
    <w:rsid w:val="354A2E9C"/>
    <w:rsid w:val="354C2EF0"/>
    <w:rsid w:val="355B097B"/>
    <w:rsid w:val="355D7E48"/>
    <w:rsid w:val="35640AA7"/>
    <w:rsid w:val="356419B4"/>
    <w:rsid w:val="358A1ACA"/>
    <w:rsid w:val="358A4254"/>
    <w:rsid w:val="359965F5"/>
    <w:rsid w:val="359D0D29"/>
    <w:rsid w:val="35A64B1C"/>
    <w:rsid w:val="35A85E7F"/>
    <w:rsid w:val="35AF7377"/>
    <w:rsid w:val="35DA1C16"/>
    <w:rsid w:val="35E20AB3"/>
    <w:rsid w:val="35E40AAF"/>
    <w:rsid w:val="35E9447C"/>
    <w:rsid w:val="35ED0684"/>
    <w:rsid w:val="3607629B"/>
    <w:rsid w:val="360D7BDD"/>
    <w:rsid w:val="3616733E"/>
    <w:rsid w:val="361E2874"/>
    <w:rsid w:val="362048E7"/>
    <w:rsid w:val="36280C33"/>
    <w:rsid w:val="362B7385"/>
    <w:rsid w:val="362D624A"/>
    <w:rsid w:val="363C7A26"/>
    <w:rsid w:val="36572238"/>
    <w:rsid w:val="36596AF4"/>
    <w:rsid w:val="367A081A"/>
    <w:rsid w:val="367B525F"/>
    <w:rsid w:val="3689263B"/>
    <w:rsid w:val="368B3923"/>
    <w:rsid w:val="368E2129"/>
    <w:rsid w:val="369F146B"/>
    <w:rsid w:val="36A2338A"/>
    <w:rsid w:val="36A43E63"/>
    <w:rsid w:val="36AB765E"/>
    <w:rsid w:val="36AF3A1C"/>
    <w:rsid w:val="36B74AF6"/>
    <w:rsid w:val="36BF5033"/>
    <w:rsid w:val="36CC4E8E"/>
    <w:rsid w:val="36D33498"/>
    <w:rsid w:val="36D910F2"/>
    <w:rsid w:val="36E24857"/>
    <w:rsid w:val="36F016CA"/>
    <w:rsid w:val="37021E57"/>
    <w:rsid w:val="37101C5F"/>
    <w:rsid w:val="37134EED"/>
    <w:rsid w:val="372F673B"/>
    <w:rsid w:val="3735060F"/>
    <w:rsid w:val="37400CBA"/>
    <w:rsid w:val="37462B6D"/>
    <w:rsid w:val="3749211E"/>
    <w:rsid w:val="376D1BAD"/>
    <w:rsid w:val="37725E4D"/>
    <w:rsid w:val="377E0A45"/>
    <w:rsid w:val="377E4FAF"/>
    <w:rsid w:val="37811EE8"/>
    <w:rsid w:val="3788047A"/>
    <w:rsid w:val="378F690C"/>
    <w:rsid w:val="37970291"/>
    <w:rsid w:val="37971ED7"/>
    <w:rsid w:val="37A10B19"/>
    <w:rsid w:val="37A7676C"/>
    <w:rsid w:val="37AF1490"/>
    <w:rsid w:val="37B00DA3"/>
    <w:rsid w:val="37B652C5"/>
    <w:rsid w:val="37BC3DC7"/>
    <w:rsid w:val="37E04929"/>
    <w:rsid w:val="37F02740"/>
    <w:rsid w:val="37F24D21"/>
    <w:rsid w:val="38054756"/>
    <w:rsid w:val="38376F0C"/>
    <w:rsid w:val="38551131"/>
    <w:rsid w:val="38622165"/>
    <w:rsid w:val="386776ED"/>
    <w:rsid w:val="386C2AA2"/>
    <w:rsid w:val="38760DB8"/>
    <w:rsid w:val="387741B4"/>
    <w:rsid w:val="387A0C66"/>
    <w:rsid w:val="38812BD5"/>
    <w:rsid w:val="38896326"/>
    <w:rsid w:val="3891704B"/>
    <w:rsid w:val="3894652D"/>
    <w:rsid w:val="38A61205"/>
    <w:rsid w:val="38BB64B8"/>
    <w:rsid w:val="38BD6FDF"/>
    <w:rsid w:val="38C33371"/>
    <w:rsid w:val="38C35764"/>
    <w:rsid w:val="38CC57E4"/>
    <w:rsid w:val="38DB7B5F"/>
    <w:rsid w:val="38EF5842"/>
    <w:rsid w:val="38F8510D"/>
    <w:rsid w:val="391725C0"/>
    <w:rsid w:val="3925374E"/>
    <w:rsid w:val="392628AE"/>
    <w:rsid w:val="39266F0A"/>
    <w:rsid w:val="3928085A"/>
    <w:rsid w:val="392F4F04"/>
    <w:rsid w:val="39472CE8"/>
    <w:rsid w:val="394C0BF2"/>
    <w:rsid w:val="39504729"/>
    <w:rsid w:val="395C1022"/>
    <w:rsid w:val="39750C67"/>
    <w:rsid w:val="397A53E5"/>
    <w:rsid w:val="399D5A5C"/>
    <w:rsid w:val="39A40668"/>
    <w:rsid w:val="39B42D34"/>
    <w:rsid w:val="39D649E4"/>
    <w:rsid w:val="39DA16C3"/>
    <w:rsid w:val="39E87E59"/>
    <w:rsid w:val="39F31D94"/>
    <w:rsid w:val="39F70DCD"/>
    <w:rsid w:val="39F84C79"/>
    <w:rsid w:val="39F91C7C"/>
    <w:rsid w:val="3A3D49B0"/>
    <w:rsid w:val="3A4B6265"/>
    <w:rsid w:val="3A507E77"/>
    <w:rsid w:val="3A616EB5"/>
    <w:rsid w:val="3A692B81"/>
    <w:rsid w:val="3A820EB6"/>
    <w:rsid w:val="3A8446A7"/>
    <w:rsid w:val="3A8A70C9"/>
    <w:rsid w:val="3A8D6CA0"/>
    <w:rsid w:val="3A8F0928"/>
    <w:rsid w:val="3AB7512D"/>
    <w:rsid w:val="3ABE537A"/>
    <w:rsid w:val="3AC258E1"/>
    <w:rsid w:val="3AD763D7"/>
    <w:rsid w:val="3AE30C5D"/>
    <w:rsid w:val="3AE75FB6"/>
    <w:rsid w:val="3B0637B0"/>
    <w:rsid w:val="3B345F96"/>
    <w:rsid w:val="3B4C70F8"/>
    <w:rsid w:val="3B595FBE"/>
    <w:rsid w:val="3B637ABB"/>
    <w:rsid w:val="3B695B7C"/>
    <w:rsid w:val="3B6E6EEA"/>
    <w:rsid w:val="3B7C2027"/>
    <w:rsid w:val="3B802CBB"/>
    <w:rsid w:val="3B8063B8"/>
    <w:rsid w:val="3B960214"/>
    <w:rsid w:val="3BA30F1D"/>
    <w:rsid w:val="3BA66333"/>
    <w:rsid w:val="3BA81FCB"/>
    <w:rsid w:val="3BBA7883"/>
    <w:rsid w:val="3BBE4987"/>
    <w:rsid w:val="3BC12100"/>
    <w:rsid w:val="3BC37EF8"/>
    <w:rsid w:val="3BDC202D"/>
    <w:rsid w:val="3BE43074"/>
    <w:rsid w:val="3C017F5D"/>
    <w:rsid w:val="3C050D4E"/>
    <w:rsid w:val="3C0A2EB1"/>
    <w:rsid w:val="3C1C08F2"/>
    <w:rsid w:val="3C2553AA"/>
    <w:rsid w:val="3C3632D4"/>
    <w:rsid w:val="3C387660"/>
    <w:rsid w:val="3C481407"/>
    <w:rsid w:val="3C5C1C3E"/>
    <w:rsid w:val="3C5D0868"/>
    <w:rsid w:val="3C612AFF"/>
    <w:rsid w:val="3C6D0F69"/>
    <w:rsid w:val="3C753B5A"/>
    <w:rsid w:val="3C764EAA"/>
    <w:rsid w:val="3C77514B"/>
    <w:rsid w:val="3C7F1FC2"/>
    <w:rsid w:val="3CAF7102"/>
    <w:rsid w:val="3CC26CB2"/>
    <w:rsid w:val="3CCA034E"/>
    <w:rsid w:val="3CCE362B"/>
    <w:rsid w:val="3CD2211B"/>
    <w:rsid w:val="3CE23269"/>
    <w:rsid w:val="3CF05A1E"/>
    <w:rsid w:val="3CF7064B"/>
    <w:rsid w:val="3CFA4BFF"/>
    <w:rsid w:val="3CFD5C00"/>
    <w:rsid w:val="3CFF03D0"/>
    <w:rsid w:val="3CFF3CB7"/>
    <w:rsid w:val="3D01076F"/>
    <w:rsid w:val="3D034535"/>
    <w:rsid w:val="3D062B25"/>
    <w:rsid w:val="3D0A6D1E"/>
    <w:rsid w:val="3D0B0988"/>
    <w:rsid w:val="3D1507F8"/>
    <w:rsid w:val="3D2D2171"/>
    <w:rsid w:val="3D37326B"/>
    <w:rsid w:val="3D3E0A5C"/>
    <w:rsid w:val="3D3F4EA9"/>
    <w:rsid w:val="3D4F03CA"/>
    <w:rsid w:val="3D7549B1"/>
    <w:rsid w:val="3D883836"/>
    <w:rsid w:val="3D93073E"/>
    <w:rsid w:val="3DC60A63"/>
    <w:rsid w:val="3DCA5152"/>
    <w:rsid w:val="3DDF6088"/>
    <w:rsid w:val="3DE65872"/>
    <w:rsid w:val="3DE9790D"/>
    <w:rsid w:val="3E12266C"/>
    <w:rsid w:val="3E132A9A"/>
    <w:rsid w:val="3E201DAF"/>
    <w:rsid w:val="3E2024DC"/>
    <w:rsid w:val="3E24274D"/>
    <w:rsid w:val="3E29376A"/>
    <w:rsid w:val="3E431247"/>
    <w:rsid w:val="3E5B0C66"/>
    <w:rsid w:val="3E645CC4"/>
    <w:rsid w:val="3E8F6E78"/>
    <w:rsid w:val="3EAD5FE8"/>
    <w:rsid w:val="3EC92287"/>
    <w:rsid w:val="3ECC154D"/>
    <w:rsid w:val="3ED8061F"/>
    <w:rsid w:val="3EDA230E"/>
    <w:rsid w:val="3EDD3236"/>
    <w:rsid w:val="3EE718C4"/>
    <w:rsid w:val="3EF032FA"/>
    <w:rsid w:val="3EFE69D5"/>
    <w:rsid w:val="3F024488"/>
    <w:rsid w:val="3F0522D9"/>
    <w:rsid w:val="3F177461"/>
    <w:rsid w:val="3F1C3A5A"/>
    <w:rsid w:val="3F210EC9"/>
    <w:rsid w:val="3F212C5E"/>
    <w:rsid w:val="3F2E13B9"/>
    <w:rsid w:val="3F2F4457"/>
    <w:rsid w:val="3F520D6D"/>
    <w:rsid w:val="3F5901D1"/>
    <w:rsid w:val="3F6317DC"/>
    <w:rsid w:val="3F684CF1"/>
    <w:rsid w:val="3F7F2379"/>
    <w:rsid w:val="3F950288"/>
    <w:rsid w:val="3F9C135A"/>
    <w:rsid w:val="3FB55A94"/>
    <w:rsid w:val="3FBF628A"/>
    <w:rsid w:val="3FC43688"/>
    <w:rsid w:val="3FD84D6B"/>
    <w:rsid w:val="3FF417AD"/>
    <w:rsid w:val="3FFB27AD"/>
    <w:rsid w:val="3FFF0560"/>
    <w:rsid w:val="40043612"/>
    <w:rsid w:val="40156BD0"/>
    <w:rsid w:val="401F0D61"/>
    <w:rsid w:val="402970A9"/>
    <w:rsid w:val="40442E5C"/>
    <w:rsid w:val="40442ED3"/>
    <w:rsid w:val="404D19E3"/>
    <w:rsid w:val="407F19EA"/>
    <w:rsid w:val="409D0293"/>
    <w:rsid w:val="409F3FEA"/>
    <w:rsid w:val="40A43286"/>
    <w:rsid w:val="40AA575C"/>
    <w:rsid w:val="40AB23C9"/>
    <w:rsid w:val="40BB4E1B"/>
    <w:rsid w:val="40C00455"/>
    <w:rsid w:val="40C034E9"/>
    <w:rsid w:val="40E8106F"/>
    <w:rsid w:val="40F05854"/>
    <w:rsid w:val="40F534E0"/>
    <w:rsid w:val="40FD16DC"/>
    <w:rsid w:val="40FF65CA"/>
    <w:rsid w:val="411519BE"/>
    <w:rsid w:val="411D6E27"/>
    <w:rsid w:val="412532AA"/>
    <w:rsid w:val="41305F73"/>
    <w:rsid w:val="41380753"/>
    <w:rsid w:val="413D4A79"/>
    <w:rsid w:val="41465FC8"/>
    <w:rsid w:val="41530FC2"/>
    <w:rsid w:val="41585B81"/>
    <w:rsid w:val="415A0ADF"/>
    <w:rsid w:val="415E1B31"/>
    <w:rsid w:val="41670862"/>
    <w:rsid w:val="416B3891"/>
    <w:rsid w:val="416D2617"/>
    <w:rsid w:val="41731CFD"/>
    <w:rsid w:val="417D6B2C"/>
    <w:rsid w:val="417E53B0"/>
    <w:rsid w:val="41A11496"/>
    <w:rsid w:val="41DF7674"/>
    <w:rsid w:val="41F714FD"/>
    <w:rsid w:val="42096245"/>
    <w:rsid w:val="420E6F2F"/>
    <w:rsid w:val="42146B7B"/>
    <w:rsid w:val="4226687E"/>
    <w:rsid w:val="422B058C"/>
    <w:rsid w:val="426041E0"/>
    <w:rsid w:val="4288048F"/>
    <w:rsid w:val="4294373D"/>
    <w:rsid w:val="42946A25"/>
    <w:rsid w:val="42A77076"/>
    <w:rsid w:val="42AA41A6"/>
    <w:rsid w:val="42BD5934"/>
    <w:rsid w:val="42CE1F9A"/>
    <w:rsid w:val="42DB58C4"/>
    <w:rsid w:val="42DD2357"/>
    <w:rsid w:val="42E378EA"/>
    <w:rsid w:val="42E9660E"/>
    <w:rsid w:val="42EC17C5"/>
    <w:rsid w:val="43090999"/>
    <w:rsid w:val="430E3EED"/>
    <w:rsid w:val="431B423D"/>
    <w:rsid w:val="431B4361"/>
    <w:rsid w:val="431D6275"/>
    <w:rsid w:val="43217641"/>
    <w:rsid w:val="432B1975"/>
    <w:rsid w:val="43477D8A"/>
    <w:rsid w:val="435158BC"/>
    <w:rsid w:val="435D368B"/>
    <w:rsid w:val="435D631C"/>
    <w:rsid w:val="436B73BB"/>
    <w:rsid w:val="43731B2F"/>
    <w:rsid w:val="43A710EC"/>
    <w:rsid w:val="43B35AC6"/>
    <w:rsid w:val="43B8455A"/>
    <w:rsid w:val="43CF44D3"/>
    <w:rsid w:val="43D17A46"/>
    <w:rsid w:val="43DA01EC"/>
    <w:rsid w:val="43E72F86"/>
    <w:rsid w:val="43F74887"/>
    <w:rsid w:val="43FE2137"/>
    <w:rsid w:val="44003E36"/>
    <w:rsid w:val="440920A4"/>
    <w:rsid w:val="44121B23"/>
    <w:rsid w:val="44215C82"/>
    <w:rsid w:val="44216069"/>
    <w:rsid w:val="44305BBA"/>
    <w:rsid w:val="4435624A"/>
    <w:rsid w:val="444875B7"/>
    <w:rsid w:val="446A76C8"/>
    <w:rsid w:val="447B7426"/>
    <w:rsid w:val="447F42ED"/>
    <w:rsid w:val="44805166"/>
    <w:rsid w:val="449E617E"/>
    <w:rsid w:val="44A12CDA"/>
    <w:rsid w:val="44B406F7"/>
    <w:rsid w:val="44B44CFB"/>
    <w:rsid w:val="44C126F2"/>
    <w:rsid w:val="44D101A3"/>
    <w:rsid w:val="44D8211A"/>
    <w:rsid w:val="44E11D12"/>
    <w:rsid w:val="44E74D70"/>
    <w:rsid w:val="44ED10CE"/>
    <w:rsid w:val="451134DD"/>
    <w:rsid w:val="45263CFA"/>
    <w:rsid w:val="452D3499"/>
    <w:rsid w:val="4535072A"/>
    <w:rsid w:val="45476C96"/>
    <w:rsid w:val="454E63B1"/>
    <w:rsid w:val="455635D1"/>
    <w:rsid w:val="455723CE"/>
    <w:rsid w:val="45760A45"/>
    <w:rsid w:val="457A5299"/>
    <w:rsid w:val="457A56BB"/>
    <w:rsid w:val="457E3416"/>
    <w:rsid w:val="458D6DD8"/>
    <w:rsid w:val="459109F4"/>
    <w:rsid w:val="45921A05"/>
    <w:rsid w:val="45976EFE"/>
    <w:rsid w:val="45B62896"/>
    <w:rsid w:val="45B75173"/>
    <w:rsid w:val="45B775A4"/>
    <w:rsid w:val="45BC20BA"/>
    <w:rsid w:val="45BD1FBC"/>
    <w:rsid w:val="45C72681"/>
    <w:rsid w:val="45CB5808"/>
    <w:rsid w:val="45CF6667"/>
    <w:rsid w:val="45DE6F05"/>
    <w:rsid w:val="45E73B78"/>
    <w:rsid w:val="45EC6E6C"/>
    <w:rsid w:val="46225F8A"/>
    <w:rsid w:val="46243831"/>
    <w:rsid w:val="462B53C0"/>
    <w:rsid w:val="463C6DC2"/>
    <w:rsid w:val="46424D8A"/>
    <w:rsid w:val="46445FEE"/>
    <w:rsid w:val="46521E10"/>
    <w:rsid w:val="4660799F"/>
    <w:rsid w:val="4664205E"/>
    <w:rsid w:val="466A68DA"/>
    <w:rsid w:val="466B6068"/>
    <w:rsid w:val="466B67B6"/>
    <w:rsid w:val="46790CB6"/>
    <w:rsid w:val="468F05A2"/>
    <w:rsid w:val="468F4494"/>
    <w:rsid w:val="46A36F52"/>
    <w:rsid w:val="46B63E85"/>
    <w:rsid w:val="46B74038"/>
    <w:rsid w:val="46BB24AD"/>
    <w:rsid w:val="46F860E9"/>
    <w:rsid w:val="47043CD6"/>
    <w:rsid w:val="470D1525"/>
    <w:rsid w:val="4719426E"/>
    <w:rsid w:val="472231A4"/>
    <w:rsid w:val="472D2E17"/>
    <w:rsid w:val="473B747B"/>
    <w:rsid w:val="47444C90"/>
    <w:rsid w:val="474835E3"/>
    <w:rsid w:val="474924A1"/>
    <w:rsid w:val="4751797E"/>
    <w:rsid w:val="47547272"/>
    <w:rsid w:val="476426E8"/>
    <w:rsid w:val="476C55A2"/>
    <w:rsid w:val="477015B5"/>
    <w:rsid w:val="47712DC1"/>
    <w:rsid w:val="47726B9D"/>
    <w:rsid w:val="47AE6B40"/>
    <w:rsid w:val="47B20776"/>
    <w:rsid w:val="47B224EA"/>
    <w:rsid w:val="47CF01F6"/>
    <w:rsid w:val="47EC6BDD"/>
    <w:rsid w:val="47F44B89"/>
    <w:rsid w:val="47F6589D"/>
    <w:rsid w:val="480C04F6"/>
    <w:rsid w:val="48242C98"/>
    <w:rsid w:val="48277895"/>
    <w:rsid w:val="4839282C"/>
    <w:rsid w:val="483F0CB0"/>
    <w:rsid w:val="48636DA4"/>
    <w:rsid w:val="48652F19"/>
    <w:rsid w:val="4875742B"/>
    <w:rsid w:val="487F476B"/>
    <w:rsid w:val="488816B0"/>
    <w:rsid w:val="489D1D0E"/>
    <w:rsid w:val="489E1AD2"/>
    <w:rsid w:val="48AA1C07"/>
    <w:rsid w:val="48AC0CEC"/>
    <w:rsid w:val="48AE76E2"/>
    <w:rsid w:val="48C83DC4"/>
    <w:rsid w:val="48D6431A"/>
    <w:rsid w:val="48DE25AB"/>
    <w:rsid w:val="48DF0E6B"/>
    <w:rsid w:val="48E43E8C"/>
    <w:rsid w:val="48ED73F7"/>
    <w:rsid w:val="48F40773"/>
    <w:rsid w:val="48F43409"/>
    <w:rsid w:val="48FA1FBB"/>
    <w:rsid w:val="49094029"/>
    <w:rsid w:val="491907A2"/>
    <w:rsid w:val="491A2D45"/>
    <w:rsid w:val="492571D2"/>
    <w:rsid w:val="49332C49"/>
    <w:rsid w:val="49334494"/>
    <w:rsid w:val="49505D05"/>
    <w:rsid w:val="495F6BCD"/>
    <w:rsid w:val="496170E9"/>
    <w:rsid w:val="49696074"/>
    <w:rsid w:val="4989655A"/>
    <w:rsid w:val="49934F53"/>
    <w:rsid w:val="499C4175"/>
    <w:rsid w:val="49B72443"/>
    <w:rsid w:val="49C918F6"/>
    <w:rsid w:val="49CF5723"/>
    <w:rsid w:val="49CF7183"/>
    <w:rsid w:val="49F829C1"/>
    <w:rsid w:val="4A154D6E"/>
    <w:rsid w:val="4A1A00BE"/>
    <w:rsid w:val="4A1B0D47"/>
    <w:rsid w:val="4A215A8B"/>
    <w:rsid w:val="4A3E237C"/>
    <w:rsid w:val="4A527036"/>
    <w:rsid w:val="4A533A5F"/>
    <w:rsid w:val="4A6D4D52"/>
    <w:rsid w:val="4A7C6152"/>
    <w:rsid w:val="4A7C66F4"/>
    <w:rsid w:val="4A864A1E"/>
    <w:rsid w:val="4A8B7CD1"/>
    <w:rsid w:val="4A907987"/>
    <w:rsid w:val="4A9549CB"/>
    <w:rsid w:val="4AAD4265"/>
    <w:rsid w:val="4AB51B19"/>
    <w:rsid w:val="4AB73080"/>
    <w:rsid w:val="4ACE3700"/>
    <w:rsid w:val="4AD13110"/>
    <w:rsid w:val="4AD84510"/>
    <w:rsid w:val="4AEF6D40"/>
    <w:rsid w:val="4AFE38F0"/>
    <w:rsid w:val="4B0327C6"/>
    <w:rsid w:val="4B054B6A"/>
    <w:rsid w:val="4B0B2CAF"/>
    <w:rsid w:val="4B47309E"/>
    <w:rsid w:val="4B4D5052"/>
    <w:rsid w:val="4B555FAE"/>
    <w:rsid w:val="4B5B4729"/>
    <w:rsid w:val="4B5C6083"/>
    <w:rsid w:val="4B6C6682"/>
    <w:rsid w:val="4B8207B7"/>
    <w:rsid w:val="4B871B8C"/>
    <w:rsid w:val="4B8B4FDA"/>
    <w:rsid w:val="4BA00DA0"/>
    <w:rsid w:val="4BC411C0"/>
    <w:rsid w:val="4BD6757B"/>
    <w:rsid w:val="4BF11F9C"/>
    <w:rsid w:val="4BF45471"/>
    <w:rsid w:val="4BF90C8A"/>
    <w:rsid w:val="4BFA7DD8"/>
    <w:rsid w:val="4BFC21D1"/>
    <w:rsid w:val="4BFE2089"/>
    <w:rsid w:val="4C0759BC"/>
    <w:rsid w:val="4C1764B9"/>
    <w:rsid w:val="4C2D0433"/>
    <w:rsid w:val="4C366B27"/>
    <w:rsid w:val="4C406B24"/>
    <w:rsid w:val="4C411F63"/>
    <w:rsid w:val="4C443C1D"/>
    <w:rsid w:val="4C461C95"/>
    <w:rsid w:val="4C5550A0"/>
    <w:rsid w:val="4C573346"/>
    <w:rsid w:val="4C784F99"/>
    <w:rsid w:val="4C7D4775"/>
    <w:rsid w:val="4C853ECF"/>
    <w:rsid w:val="4C8D3147"/>
    <w:rsid w:val="4C920781"/>
    <w:rsid w:val="4C9B13D5"/>
    <w:rsid w:val="4C9D7D81"/>
    <w:rsid w:val="4CBB6E45"/>
    <w:rsid w:val="4CBF156E"/>
    <w:rsid w:val="4CD5093F"/>
    <w:rsid w:val="4CF2277F"/>
    <w:rsid w:val="4CF655AF"/>
    <w:rsid w:val="4CFB1DA6"/>
    <w:rsid w:val="4D0F4FDC"/>
    <w:rsid w:val="4D1331BE"/>
    <w:rsid w:val="4D1A5453"/>
    <w:rsid w:val="4D2D4A55"/>
    <w:rsid w:val="4D302450"/>
    <w:rsid w:val="4D323FCE"/>
    <w:rsid w:val="4D3B5D17"/>
    <w:rsid w:val="4D3D2DBF"/>
    <w:rsid w:val="4D6F1B11"/>
    <w:rsid w:val="4D7E1F03"/>
    <w:rsid w:val="4D9B41AB"/>
    <w:rsid w:val="4D9D5288"/>
    <w:rsid w:val="4DA53F28"/>
    <w:rsid w:val="4DAE0862"/>
    <w:rsid w:val="4DB36F88"/>
    <w:rsid w:val="4DBA01B6"/>
    <w:rsid w:val="4DBD730F"/>
    <w:rsid w:val="4DC1754C"/>
    <w:rsid w:val="4DC94A5D"/>
    <w:rsid w:val="4DD12FC8"/>
    <w:rsid w:val="4DDF01A5"/>
    <w:rsid w:val="4DEB1BDC"/>
    <w:rsid w:val="4DEE6881"/>
    <w:rsid w:val="4DFA21DB"/>
    <w:rsid w:val="4E0A1298"/>
    <w:rsid w:val="4E0E47B1"/>
    <w:rsid w:val="4E1943D3"/>
    <w:rsid w:val="4E1952D9"/>
    <w:rsid w:val="4E1C7875"/>
    <w:rsid w:val="4E2435B5"/>
    <w:rsid w:val="4E2A71F3"/>
    <w:rsid w:val="4E335D9E"/>
    <w:rsid w:val="4E3E7320"/>
    <w:rsid w:val="4E3F0E77"/>
    <w:rsid w:val="4E3F4FB5"/>
    <w:rsid w:val="4E444AD8"/>
    <w:rsid w:val="4E4752CB"/>
    <w:rsid w:val="4E57476D"/>
    <w:rsid w:val="4E5C36E5"/>
    <w:rsid w:val="4E615C8A"/>
    <w:rsid w:val="4E6E7A73"/>
    <w:rsid w:val="4E756529"/>
    <w:rsid w:val="4E7D3EFC"/>
    <w:rsid w:val="4E8011B5"/>
    <w:rsid w:val="4E802F63"/>
    <w:rsid w:val="4E812762"/>
    <w:rsid w:val="4E824A53"/>
    <w:rsid w:val="4E9065C5"/>
    <w:rsid w:val="4E9638DC"/>
    <w:rsid w:val="4EA560D8"/>
    <w:rsid w:val="4EAA0C27"/>
    <w:rsid w:val="4EB7664B"/>
    <w:rsid w:val="4EC103FE"/>
    <w:rsid w:val="4ED37BF8"/>
    <w:rsid w:val="4F0B412E"/>
    <w:rsid w:val="4F2664C5"/>
    <w:rsid w:val="4F2A308B"/>
    <w:rsid w:val="4F2B18A9"/>
    <w:rsid w:val="4F2C130B"/>
    <w:rsid w:val="4F480AF8"/>
    <w:rsid w:val="4F574F21"/>
    <w:rsid w:val="4F730D1A"/>
    <w:rsid w:val="4F736EB5"/>
    <w:rsid w:val="4F762AE3"/>
    <w:rsid w:val="4F7B2712"/>
    <w:rsid w:val="4F835C08"/>
    <w:rsid w:val="4F856E26"/>
    <w:rsid w:val="4F8B2BDA"/>
    <w:rsid w:val="4FA03AE4"/>
    <w:rsid w:val="4FA42B08"/>
    <w:rsid w:val="4FB003DA"/>
    <w:rsid w:val="4FB84C92"/>
    <w:rsid w:val="4FBD0615"/>
    <w:rsid w:val="4FC74511"/>
    <w:rsid w:val="4FD80B7D"/>
    <w:rsid w:val="4FDE23E2"/>
    <w:rsid w:val="500572CF"/>
    <w:rsid w:val="500C7C07"/>
    <w:rsid w:val="500C7F61"/>
    <w:rsid w:val="500E0695"/>
    <w:rsid w:val="502D35F8"/>
    <w:rsid w:val="502D4E79"/>
    <w:rsid w:val="504D48EB"/>
    <w:rsid w:val="5050362F"/>
    <w:rsid w:val="50516936"/>
    <w:rsid w:val="505D19B3"/>
    <w:rsid w:val="506177CB"/>
    <w:rsid w:val="507537B4"/>
    <w:rsid w:val="50831075"/>
    <w:rsid w:val="508D1ABF"/>
    <w:rsid w:val="508D1F6C"/>
    <w:rsid w:val="509B550B"/>
    <w:rsid w:val="5109692F"/>
    <w:rsid w:val="51134FF1"/>
    <w:rsid w:val="511734F5"/>
    <w:rsid w:val="511A6B4E"/>
    <w:rsid w:val="515900C3"/>
    <w:rsid w:val="51694C99"/>
    <w:rsid w:val="51765ED6"/>
    <w:rsid w:val="517D3193"/>
    <w:rsid w:val="51976BBD"/>
    <w:rsid w:val="519B42B6"/>
    <w:rsid w:val="51A94FAF"/>
    <w:rsid w:val="51AA45E6"/>
    <w:rsid w:val="51B06BB0"/>
    <w:rsid w:val="51B35153"/>
    <w:rsid w:val="51B960DF"/>
    <w:rsid w:val="51BA5215"/>
    <w:rsid w:val="51C83469"/>
    <w:rsid w:val="51CC2572"/>
    <w:rsid w:val="51F7641D"/>
    <w:rsid w:val="5243500C"/>
    <w:rsid w:val="525B3DCE"/>
    <w:rsid w:val="525E64A2"/>
    <w:rsid w:val="52734B8D"/>
    <w:rsid w:val="52766942"/>
    <w:rsid w:val="527A3337"/>
    <w:rsid w:val="52870F1B"/>
    <w:rsid w:val="529E05A8"/>
    <w:rsid w:val="52A34C1C"/>
    <w:rsid w:val="52A71D2E"/>
    <w:rsid w:val="52CB2C66"/>
    <w:rsid w:val="52E60507"/>
    <w:rsid w:val="5307218F"/>
    <w:rsid w:val="530D5C51"/>
    <w:rsid w:val="530F77CB"/>
    <w:rsid w:val="53366588"/>
    <w:rsid w:val="53477523"/>
    <w:rsid w:val="536966BB"/>
    <w:rsid w:val="537068FD"/>
    <w:rsid w:val="53772DF3"/>
    <w:rsid w:val="53773330"/>
    <w:rsid w:val="537B58DB"/>
    <w:rsid w:val="53806DA0"/>
    <w:rsid w:val="53842D58"/>
    <w:rsid w:val="53C51223"/>
    <w:rsid w:val="53C70CE0"/>
    <w:rsid w:val="53D975FE"/>
    <w:rsid w:val="53E97C3F"/>
    <w:rsid w:val="53EF128C"/>
    <w:rsid w:val="53FE3ED8"/>
    <w:rsid w:val="54291F5D"/>
    <w:rsid w:val="54507947"/>
    <w:rsid w:val="5455791B"/>
    <w:rsid w:val="54626680"/>
    <w:rsid w:val="54693989"/>
    <w:rsid w:val="546A179A"/>
    <w:rsid w:val="546E5B6B"/>
    <w:rsid w:val="546F428E"/>
    <w:rsid w:val="54737B83"/>
    <w:rsid w:val="54746421"/>
    <w:rsid w:val="547678FE"/>
    <w:rsid w:val="548F0B4E"/>
    <w:rsid w:val="54964CEA"/>
    <w:rsid w:val="54AC055B"/>
    <w:rsid w:val="54BA230C"/>
    <w:rsid w:val="54C924BF"/>
    <w:rsid w:val="54CF3CBA"/>
    <w:rsid w:val="54D4224E"/>
    <w:rsid w:val="54E079B3"/>
    <w:rsid w:val="54EF5325"/>
    <w:rsid w:val="54F93A8A"/>
    <w:rsid w:val="54FF4DC0"/>
    <w:rsid w:val="55083814"/>
    <w:rsid w:val="550841F9"/>
    <w:rsid w:val="552D28FC"/>
    <w:rsid w:val="553B028C"/>
    <w:rsid w:val="553B4087"/>
    <w:rsid w:val="553D10EB"/>
    <w:rsid w:val="554B67CF"/>
    <w:rsid w:val="55561A0A"/>
    <w:rsid w:val="556B105B"/>
    <w:rsid w:val="557B767C"/>
    <w:rsid w:val="557D56A4"/>
    <w:rsid w:val="558B0EC4"/>
    <w:rsid w:val="55AB1667"/>
    <w:rsid w:val="55D43ED1"/>
    <w:rsid w:val="55E33570"/>
    <w:rsid w:val="55E772EC"/>
    <w:rsid w:val="55EB0093"/>
    <w:rsid w:val="560F15A0"/>
    <w:rsid w:val="561F2FA4"/>
    <w:rsid w:val="565E3DB3"/>
    <w:rsid w:val="56613104"/>
    <w:rsid w:val="566677FF"/>
    <w:rsid w:val="566A31A2"/>
    <w:rsid w:val="566C3B73"/>
    <w:rsid w:val="56711268"/>
    <w:rsid w:val="567216B7"/>
    <w:rsid w:val="5678104D"/>
    <w:rsid w:val="56980EFA"/>
    <w:rsid w:val="56A057BD"/>
    <w:rsid w:val="56BC478D"/>
    <w:rsid w:val="56BD39C0"/>
    <w:rsid w:val="56C87B9D"/>
    <w:rsid w:val="56CD5E8D"/>
    <w:rsid w:val="56CE2166"/>
    <w:rsid w:val="56CE4AD7"/>
    <w:rsid w:val="56E04515"/>
    <w:rsid w:val="56F73FA5"/>
    <w:rsid w:val="56FE29DB"/>
    <w:rsid w:val="57131C90"/>
    <w:rsid w:val="57161CE9"/>
    <w:rsid w:val="572C0895"/>
    <w:rsid w:val="572C1D0F"/>
    <w:rsid w:val="57345F1A"/>
    <w:rsid w:val="573667EE"/>
    <w:rsid w:val="573D2468"/>
    <w:rsid w:val="575262F4"/>
    <w:rsid w:val="575906B0"/>
    <w:rsid w:val="575952DA"/>
    <w:rsid w:val="575C3DBD"/>
    <w:rsid w:val="575D67E9"/>
    <w:rsid w:val="575D72D8"/>
    <w:rsid w:val="575F73B8"/>
    <w:rsid w:val="57686C8A"/>
    <w:rsid w:val="57715B28"/>
    <w:rsid w:val="577D0761"/>
    <w:rsid w:val="577F24C2"/>
    <w:rsid w:val="57814EED"/>
    <w:rsid w:val="5787168B"/>
    <w:rsid w:val="578E2FB3"/>
    <w:rsid w:val="578E351F"/>
    <w:rsid w:val="578F5AA1"/>
    <w:rsid w:val="5791474D"/>
    <w:rsid w:val="579F6187"/>
    <w:rsid w:val="57A148DE"/>
    <w:rsid w:val="57A321D8"/>
    <w:rsid w:val="57A91AD8"/>
    <w:rsid w:val="57AE549A"/>
    <w:rsid w:val="57AE5A0A"/>
    <w:rsid w:val="57AE698C"/>
    <w:rsid w:val="57C76914"/>
    <w:rsid w:val="57C961A6"/>
    <w:rsid w:val="57F33ADD"/>
    <w:rsid w:val="57F442D8"/>
    <w:rsid w:val="57F515C0"/>
    <w:rsid w:val="58207ADF"/>
    <w:rsid w:val="58236909"/>
    <w:rsid w:val="58277B25"/>
    <w:rsid w:val="583F611D"/>
    <w:rsid w:val="58741C7B"/>
    <w:rsid w:val="588102E0"/>
    <w:rsid w:val="5892105F"/>
    <w:rsid w:val="589A6EED"/>
    <w:rsid w:val="58AF72BE"/>
    <w:rsid w:val="58BB045B"/>
    <w:rsid w:val="58BC739B"/>
    <w:rsid w:val="58E46C5F"/>
    <w:rsid w:val="58F0512B"/>
    <w:rsid w:val="58F34DEE"/>
    <w:rsid w:val="5907190E"/>
    <w:rsid w:val="5909312A"/>
    <w:rsid w:val="59160468"/>
    <w:rsid w:val="59291D83"/>
    <w:rsid w:val="5932754F"/>
    <w:rsid w:val="593605A4"/>
    <w:rsid w:val="593B0A7C"/>
    <w:rsid w:val="59496717"/>
    <w:rsid w:val="59585546"/>
    <w:rsid w:val="596F4893"/>
    <w:rsid w:val="59760363"/>
    <w:rsid w:val="597A3254"/>
    <w:rsid w:val="59897400"/>
    <w:rsid w:val="59A16D65"/>
    <w:rsid w:val="59A557B0"/>
    <w:rsid w:val="59B26314"/>
    <w:rsid w:val="59C25606"/>
    <w:rsid w:val="59EA24F4"/>
    <w:rsid w:val="59F66FCC"/>
    <w:rsid w:val="5A0F0891"/>
    <w:rsid w:val="5A277941"/>
    <w:rsid w:val="5A2B4D8B"/>
    <w:rsid w:val="5A440600"/>
    <w:rsid w:val="5A4F05F4"/>
    <w:rsid w:val="5A57607D"/>
    <w:rsid w:val="5A5B1562"/>
    <w:rsid w:val="5A5B6C38"/>
    <w:rsid w:val="5A603EA1"/>
    <w:rsid w:val="5A6742B8"/>
    <w:rsid w:val="5A763DC4"/>
    <w:rsid w:val="5A7A69E7"/>
    <w:rsid w:val="5A876CBE"/>
    <w:rsid w:val="5A920FA8"/>
    <w:rsid w:val="5A926BAB"/>
    <w:rsid w:val="5A953CA8"/>
    <w:rsid w:val="5AA04476"/>
    <w:rsid w:val="5AA75ACA"/>
    <w:rsid w:val="5AA92C7E"/>
    <w:rsid w:val="5AB6395A"/>
    <w:rsid w:val="5ACD57CD"/>
    <w:rsid w:val="5ADF3707"/>
    <w:rsid w:val="5AE71287"/>
    <w:rsid w:val="5AEA25E6"/>
    <w:rsid w:val="5AEE3DE9"/>
    <w:rsid w:val="5AEE6532"/>
    <w:rsid w:val="5B14558A"/>
    <w:rsid w:val="5B3C0ABF"/>
    <w:rsid w:val="5B432563"/>
    <w:rsid w:val="5B4E005F"/>
    <w:rsid w:val="5B58691B"/>
    <w:rsid w:val="5B5E7175"/>
    <w:rsid w:val="5B61055E"/>
    <w:rsid w:val="5B8C74FF"/>
    <w:rsid w:val="5B995664"/>
    <w:rsid w:val="5B9F5DBE"/>
    <w:rsid w:val="5BBC7770"/>
    <w:rsid w:val="5BC327A1"/>
    <w:rsid w:val="5BDF67CB"/>
    <w:rsid w:val="5C1368B3"/>
    <w:rsid w:val="5C1C5861"/>
    <w:rsid w:val="5C25169C"/>
    <w:rsid w:val="5C2C28A8"/>
    <w:rsid w:val="5C2E213C"/>
    <w:rsid w:val="5C4D66CC"/>
    <w:rsid w:val="5C554FE4"/>
    <w:rsid w:val="5C652610"/>
    <w:rsid w:val="5C6E2C97"/>
    <w:rsid w:val="5C744009"/>
    <w:rsid w:val="5C855BE8"/>
    <w:rsid w:val="5C9B57A1"/>
    <w:rsid w:val="5CB04DA7"/>
    <w:rsid w:val="5CB14C2F"/>
    <w:rsid w:val="5CB331A1"/>
    <w:rsid w:val="5CC25B3F"/>
    <w:rsid w:val="5CC5569D"/>
    <w:rsid w:val="5CDB2F49"/>
    <w:rsid w:val="5CE56340"/>
    <w:rsid w:val="5CF15E07"/>
    <w:rsid w:val="5CFD3334"/>
    <w:rsid w:val="5CFD5E03"/>
    <w:rsid w:val="5D024210"/>
    <w:rsid w:val="5D156F6C"/>
    <w:rsid w:val="5D1610E5"/>
    <w:rsid w:val="5D1E43B1"/>
    <w:rsid w:val="5D2C7F79"/>
    <w:rsid w:val="5D3C01EC"/>
    <w:rsid w:val="5D4C032F"/>
    <w:rsid w:val="5D4E27B8"/>
    <w:rsid w:val="5D4E503C"/>
    <w:rsid w:val="5D5618FB"/>
    <w:rsid w:val="5D723580"/>
    <w:rsid w:val="5D7F230C"/>
    <w:rsid w:val="5D841899"/>
    <w:rsid w:val="5D9D6107"/>
    <w:rsid w:val="5DA344BD"/>
    <w:rsid w:val="5DA648F4"/>
    <w:rsid w:val="5DB269C5"/>
    <w:rsid w:val="5DDD6E1B"/>
    <w:rsid w:val="5DEE37E1"/>
    <w:rsid w:val="5DEF3C61"/>
    <w:rsid w:val="5DFB5441"/>
    <w:rsid w:val="5E1A011C"/>
    <w:rsid w:val="5E231915"/>
    <w:rsid w:val="5E2E263F"/>
    <w:rsid w:val="5E314CA3"/>
    <w:rsid w:val="5E473E2B"/>
    <w:rsid w:val="5E4E362E"/>
    <w:rsid w:val="5E4F4700"/>
    <w:rsid w:val="5E4F4705"/>
    <w:rsid w:val="5E5E6979"/>
    <w:rsid w:val="5E634E8C"/>
    <w:rsid w:val="5E6737F7"/>
    <w:rsid w:val="5E6C5149"/>
    <w:rsid w:val="5E872DA8"/>
    <w:rsid w:val="5E8F7EF9"/>
    <w:rsid w:val="5EB31F08"/>
    <w:rsid w:val="5EBD6A5F"/>
    <w:rsid w:val="5EBD7F90"/>
    <w:rsid w:val="5F082AF3"/>
    <w:rsid w:val="5F093102"/>
    <w:rsid w:val="5F233AEF"/>
    <w:rsid w:val="5F324950"/>
    <w:rsid w:val="5F437CD0"/>
    <w:rsid w:val="5F454D59"/>
    <w:rsid w:val="5F5105CE"/>
    <w:rsid w:val="5F77100B"/>
    <w:rsid w:val="5F791BE7"/>
    <w:rsid w:val="5F8B4BF8"/>
    <w:rsid w:val="5F936274"/>
    <w:rsid w:val="5F955A34"/>
    <w:rsid w:val="5F955EDF"/>
    <w:rsid w:val="5FAB0817"/>
    <w:rsid w:val="5FAD16DE"/>
    <w:rsid w:val="5FBC2E55"/>
    <w:rsid w:val="5FC344E2"/>
    <w:rsid w:val="5FC37FED"/>
    <w:rsid w:val="5FDD1E49"/>
    <w:rsid w:val="5FE53E1B"/>
    <w:rsid w:val="5FF35CD6"/>
    <w:rsid w:val="5FF76655"/>
    <w:rsid w:val="600747A3"/>
    <w:rsid w:val="60091233"/>
    <w:rsid w:val="6009184F"/>
    <w:rsid w:val="60127746"/>
    <w:rsid w:val="601C0C74"/>
    <w:rsid w:val="601E7DC7"/>
    <w:rsid w:val="603A6C4E"/>
    <w:rsid w:val="603B75C3"/>
    <w:rsid w:val="6043091E"/>
    <w:rsid w:val="60480A4C"/>
    <w:rsid w:val="604D16A4"/>
    <w:rsid w:val="606730C1"/>
    <w:rsid w:val="60910A76"/>
    <w:rsid w:val="60924859"/>
    <w:rsid w:val="609771FF"/>
    <w:rsid w:val="60A526A8"/>
    <w:rsid w:val="60A562A3"/>
    <w:rsid w:val="60AB5B56"/>
    <w:rsid w:val="60AF790C"/>
    <w:rsid w:val="60B779A8"/>
    <w:rsid w:val="60C831F4"/>
    <w:rsid w:val="60DA5C59"/>
    <w:rsid w:val="60DB4D7D"/>
    <w:rsid w:val="60FF45EF"/>
    <w:rsid w:val="61090DC1"/>
    <w:rsid w:val="610D46BD"/>
    <w:rsid w:val="611267E4"/>
    <w:rsid w:val="6119753D"/>
    <w:rsid w:val="61204775"/>
    <w:rsid w:val="61286AAD"/>
    <w:rsid w:val="61313EBC"/>
    <w:rsid w:val="61337AFD"/>
    <w:rsid w:val="613442FF"/>
    <w:rsid w:val="6139218F"/>
    <w:rsid w:val="614C05AA"/>
    <w:rsid w:val="61580810"/>
    <w:rsid w:val="61767EA4"/>
    <w:rsid w:val="61787C40"/>
    <w:rsid w:val="61882FBB"/>
    <w:rsid w:val="618A58A7"/>
    <w:rsid w:val="618D4564"/>
    <w:rsid w:val="619204E3"/>
    <w:rsid w:val="61937468"/>
    <w:rsid w:val="619D0AAF"/>
    <w:rsid w:val="61B44472"/>
    <w:rsid w:val="61B8608C"/>
    <w:rsid w:val="61BD3ED0"/>
    <w:rsid w:val="61C40F61"/>
    <w:rsid w:val="61D411F3"/>
    <w:rsid w:val="61E55B51"/>
    <w:rsid w:val="61E6404C"/>
    <w:rsid w:val="61E873B8"/>
    <w:rsid w:val="61EC4C74"/>
    <w:rsid w:val="61FC40A6"/>
    <w:rsid w:val="62000EFA"/>
    <w:rsid w:val="620F4D53"/>
    <w:rsid w:val="621057B3"/>
    <w:rsid w:val="62134383"/>
    <w:rsid w:val="621513B2"/>
    <w:rsid w:val="62156DDB"/>
    <w:rsid w:val="6217031D"/>
    <w:rsid w:val="62195BD4"/>
    <w:rsid w:val="62331E6C"/>
    <w:rsid w:val="623D7CE4"/>
    <w:rsid w:val="62501EA0"/>
    <w:rsid w:val="625F1D02"/>
    <w:rsid w:val="6262026E"/>
    <w:rsid w:val="62662A38"/>
    <w:rsid w:val="62761878"/>
    <w:rsid w:val="6278504E"/>
    <w:rsid w:val="627C659E"/>
    <w:rsid w:val="628721B5"/>
    <w:rsid w:val="628B688F"/>
    <w:rsid w:val="629A65D4"/>
    <w:rsid w:val="62A621CE"/>
    <w:rsid w:val="62BA6FBB"/>
    <w:rsid w:val="62D37D4A"/>
    <w:rsid w:val="62E2630E"/>
    <w:rsid w:val="62F4664A"/>
    <w:rsid w:val="62F85057"/>
    <w:rsid w:val="62FA262E"/>
    <w:rsid w:val="62FA297A"/>
    <w:rsid w:val="62FA7805"/>
    <w:rsid w:val="62FB6C99"/>
    <w:rsid w:val="62FE02AD"/>
    <w:rsid w:val="63265FFC"/>
    <w:rsid w:val="632E494D"/>
    <w:rsid w:val="6334245F"/>
    <w:rsid w:val="63355A4A"/>
    <w:rsid w:val="634B17FA"/>
    <w:rsid w:val="634B5A85"/>
    <w:rsid w:val="635B7C9E"/>
    <w:rsid w:val="6365336E"/>
    <w:rsid w:val="637667B6"/>
    <w:rsid w:val="63817EB2"/>
    <w:rsid w:val="638A4608"/>
    <w:rsid w:val="638A60C5"/>
    <w:rsid w:val="6392725E"/>
    <w:rsid w:val="63A63954"/>
    <w:rsid w:val="63A826DC"/>
    <w:rsid w:val="63AB4BBD"/>
    <w:rsid w:val="63BA62C8"/>
    <w:rsid w:val="63CA0FEC"/>
    <w:rsid w:val="63D32595"/>
    <w:rsid w:val="63D37B19"/>
    <w:rsid w:val="63E12A82"/>
    <w:rsid w:val="63E37587"/>
    <w:rsid w:val="63E76842"/>
    <w:rsid w:val="63EE2B01"/>
    <w:rsid w:val="63F00200"/>
    <w:rsid w:val="63FF4117"/>
    <w:rsid w:val="642A77F6"/>
    <w:rsid w:val="64351970"/>
    <w:rsid w:val="64414CB3"/>
    <w:rsid w:val="64465CCB"/>
    <w:rsid w:val="64490A76"/>
    <w:rsid w:val="644D4739"/>
    <w:rsid w:val="645B6400"/>
    <w:rsid w:val="6464175A"/>
    <w:rsid w:val="64727B57"/>
    <w:rsid w:val="64945019"/>
    <w:rsid w:val="64964F85"/>
    <w:rsid w:val="64A200D2"/>
    <w:rsid w:val="64C31649"/>
    <w:rsid w:val="64C774FB"/>
    <w:rsid w:val="64D27385"/>
    <w:rsid w:val="64D70E77"/>
    <w:rsid w:val="64E108F7"/>
    <w:rsid w:val="64E36547"/>
    <w:rsid w:val="64E4430E"/>
    <w:rsid w:val="64F5116B"/>
    <w:rsid w:val="64F63B6A"/>
    <w:rsid w:val="64FB485A"/>
    <w:rsid w:val="6501434F"/>
    <w:rsid w:val="6509767F"/>
    <w:rsid w:val="65176B78"/>
    <w:rsid w:val="6519355C"/>
    <w:rsid w:val="6552510A"/>
    <w:rsid w:val="655345F8"/>
    <w:rsid w:val="65614C68"/>
    <w:rsid w:val="656D2F25"/>
    <w:rsid w:val="656E7B61"/>
    <w:rsid w:val="6574089B"/>
    <w:rsid w:val="65907AD8"/>
    <w:rsid w:val="65921CC9"/>
    <w:rsid w:val="659249F3"/>
    <w:rsid w:val="65941128"/>
    <w:rsid w:val="65A42D5D"/>
    <w:rsid w:val="65C42E6F"/>
    <w:rsid w:val="65D50B3A"/>
    <w:rsid w:val="65DD0DB0"/>
    <w:rsid w:val="65E309BA"/>
    <w:rsid w:val="65E5064A"/>
    <w:rsid w:val="65F84280"/>
    <w:rsid w:val="65F90CC0"/>
    <w:rsid w:val="66016511"/>
    <w:rsid w:val="66054DA2"/>
    <w:rsid w:val="660821AD"/>
    <w:rsid w:val="66086DC4"/>
    <w:rsid w:val="660D5E07"/>
    <w:rsid w:val="66363795"/>
    <w:rsid w:val="6641669D"/>
    <w:rsid w:val="664A412A"/>
    <w:rsid w:val="664F05D4"/>
    <w:rsid w:val="6651027F"/>
    <w:rsid w:val="66595958"/>
    <w:rsid w:val="66680388"/>
    <w:rsid w:val="66743C40"/>
    <w:rsid w:val="667851A8"/>
    <w:rsid w:val="66865B8F"/>
    <w:rsid w:val="668673D7"/>
    <w:rsid w:val="66882C3A"/>
    <w:rsid w:val="669725E5"/>
    <w:rsid w:val="669F27A2"/>
    <w:rsid w:val="66C764F3"/>
    <w:rsid w:val="66FC5136"/>
    <w:rsid w:val="67025D37"/>
    <w:rsid w:val="670855CA"/>
    <w:rsid w:val="670901AC"/>
    <w:rsid w:val="670E0A26"/>
    <w:rsid w:val="67182B4E"/>
    <w:rsid w:val="673945BE"/>
    <w:rsid w:val="673B7A98"/>
    <w:rsid w:val="67567FF4"/>
    <w:rsid w:val="675F072A"/>
    <w:rsid w:val="67614492"/>
    <w:rsid w:val="676A30F0"/>
    <w:rsid w:val="677906BC"/>
    <w:rsid w:val="677B3BB8"/>
    <w:rsid w:val="6783539C"/>
    <w:rsid w:val="67862556"/>
    <w:rsid w:val="67921A29"/>
    <w:rsid w:val="67CE499C"/>
    <w:rsid w:val="68120826"/>
    <w:rsid w:val="68120C78"/>
    <w:rsid w:val="68143178"/>
    <w:rsid w:val="68191CEE"/>
    <w:rsid w:val="681C4219"/>
    <w:rsid w:val="6830403E"/>
    <w:rsid w:val="68494C73"/>
    <w:rsid w:val="686F54F7"/>
    <w:rsid w:val="68703A89"/>
    <w:rsid w:val="68736734"/>
    <w:rsid w:val="687A0832"/>
    <w:rsid w:val="68886988"/>
    <w:rsid w:val="688E68BE"/>
    <w:rsid w:val="68A92F07"/>
    <w:rsid w:val="68AB7900"/>
    <w:rsid w:val="68AC33AB"/>
    <w:rsid w:val="68B825F5"/>
    <w:rsid w:val="68BE568E"/>
    <w:rsid w:val="68C22CAD"/>
    <w:rsid w:val="68D40505"/>
    <w:rsid w:val="68E3675F"/>
    <w:rsid w:val="68F901AD"/>
    <w:rsid w:val="691F6244"/>
    <w:rsid w:val="69296E90"/>
    <w:rsid w:val="692C7B17"/>
    <w:rsid w:val="69410B2F"/>
    <w:rsid w:val="694E761A"/>
    <w:rsid w:val="69596F9E"/>
    <w:rsid w:val="695D5033"/>
    <w:rsid w:val="696B483B"/>
    <w:rsid w:val="696E6CD6"/>
    <w:rsid w:val="698060B5"/>
    <w:rsid w:val="69810522"/>
    <w:rsid w:val="69855794"/>
    <w:rsid w:val="699A135A"/>
    <w:rsid w:val="699E6028"/>
    <w:rsid w:val="69C42502"/>
    <w:rsid w:val="69D55F6C"/>
    <w:rsid w:val="69D9209B"/>
    <w:rsid w:val="69E3448F"/>
    <w:rsid w:val="69F26749"/>
    <w:rsid w:val="69FF2EAC"/>
    <w:rsid w:val="6A18300E"/>
    <w:rsid w:val="6A1914E1"/>
    <w:rsid w:val="6A1A0B0D"/>
    <w:rsid w:val="6A1D5557"/>
    <w:rsid w:val="6A290E39"/>
    <w:rsid w:val="6A410F3E"/>
    <w:rsid w:val="6A537326"/>
    <w:rsid w:val="6A622155"/>
    <w:rsid w:val="6A683E40"/>
    <w:rsid w:val="6A81438B"/>
    <w:rsid w:val="6A8F6CF6"/>
    <w:rsid w:val="6A9B7513"/>
    <w:rsid w:val="6AA676AB"/>
    <w:rsid w:val="6AB61964"/>
    <w:rsid w:val="6ADC11CE"/>
    <w:rsid w:val="6AE0238F"/>
    <w:rsid w:val="6AEB7D56"/>
    <w:rsid w:val="6AEE4AA1"/>
    <w:rsid w:val="6AF528C8"/>
    <w:rsid w:val="6B022560"/>
    <w:rsid w:val="6B166CD1"/>
    <w:rsid w:val="6B1C3291"/>
    <w:rsid w:val="6B247DDB"/>
    <w:rsid w:val="6B3C171C"/>
    <w:rsid w:val="6B4362DF"/>
    <w:rsid w:val="6B4A4137"/>
    <w:rsid w:val="6B4A4702"/>
    <w:rsid w:val="6B50030B"/>
    <w:rsid w:val="6B504EF3"/>
    <w:rsid w:val="6B531325"/>
    <w:rsid w:val="6B546F14"/>
    <w:rsid w:val="6B5C2455"/>
    <w:rsid w:val="6B604690"/>
    <w:rsid w:val="6B662A89"/>
    <w:rsid w:val="6B7F320A"/>
    <w:rsid w:val="6B816D1B"/>
    <w:rsid w:val="6B821DD1"/>
    <w:rsid w:val="6B886ACB"/>
    <w:rsid w:val="6B99149D"/>
    <w:rsid w:val="6B9E618F"/>
    <w:rsid w:val="6BC70F58"/>
    <w:rsid w:val="6BD17CC3"/>
    <w:rsid w:val="6BFD2F22"/>
    <w:rsid w:val="6BFD4879"/>
    <w:rsid w:val="6C085419"/>
    <w:rsid w:val="6C2E4DB2"/>
    <w:rsid w:val="6C307D28"/>
    <w:rsid w:val="6C31397A"/>
    <w:rsid w:val="6C33799D"/>
    <w:rsid w:val="6C353285"/>
    <w:rsid w:val="6C4775B2"/>
    <w:rsid w:val="6C4F3A3C"/>
    <w:rsid w:val="6C6F424F"/>
    <w:rsid w:val="6C733D3D"/>
    <w:rsid w:val="6C7635B9"/>
    <w:rsid w:val="6C897464"/>
    <w:rsid w:val="6C994030"/>
    <w:rsid w:val="6CA40752"/>
    <w:rsid w:val="6CC6045D"/>
    <w:rsid w:val="6CCF41D4"/>
    <w:rsid w:val="6CCF7352"/>
    <w:rsid w:val="6D1E0AEF"/>
    <w:rsid w:val="6D26511D"/>
    <w:rsid w:val="6D33231B"/>
    <w:rsid w:val="6D3C7BB3"/>
    <w:rsid w:val="6D4373F9"/>
    <w:rsid w:val="6D535020"/>
    <w:rsid w:val="6D584341"/>
    <w:rsid w:val="6D5F6DC8"/>
    <w:rsid w:val="6D6B753F"/>
    <w:rsid w:val="6D912CFE"/>
    <w:rsid w:val="6D926710"/>
    <w:rsid w:val="6DA24504"/>
    <w:rsid w:val="6DA80C31"/>
    <w:rsid w:val="6DAE5EBE"/>
    <w:rsid w:val="6DBB21F2"/>
    <w:rsid w:val="6DC44E36"/>
    <w:rsid w:val="6DD23840"/>
    <w:rsid w:val="6DD47517"/>
    <w:rsid w:val="6DD512ED"/>
    <w:rsid w:val="6DF82737"/>
    <w:rsid w:val="6DFD746F"/>
    <w:rsid w:val="6E043924"/>
    <w:rsid w:val="6E3E0D3C"/>
    <w:rsid w:val="6E4362FC"/>
    <w:rsid w:val="6E4C15D8"/>
    <w:rsid w:val="6E5F2C6D"/>
    <w:rsid w:val="6E61463C"/>
    <w:rsid w:val="6E6D64F0"/>
    <w:rsid w:val="6E793AB8"/>
    <w:rsid w:val="6E9F295B"/>
    <w:rsid w:val="6EA37EE9"/>
    <w:rsid w:val="6EAA36A7"/>
    <w:rsid w:val="6EAA7659"/>
    <w:rsid w:val="6EB24F70"/>
    <w:rsid w:val="6EB760D5"/>
    <w:rsid w:val="6ECC5BE4"/>
    <w:rsid w:val="6ED25178"/>
    <w:rsid w:val="6EE7024D"/>
    <w:rsid w:val="6EEB6BAB"/>
    <w:rsid w:val="6EED4691"/>
    <w:rsid w:val="6EFB6BC6"/>
    <w:rsid w:val="6EFE0309"/>
    <w:rsid w:val="6F02395E"/>
    <w:rsid w:val="6F0E6C06"/>
    <w:rsid w:val="6F0F1BC7"/>
    <w:rsid w:val="6F131AF7"/>
    <w:rsid w:val="6F1B215E"/>
    <w:rsid w:val="6F202F41"/>
    <w:rsid w:val="6F224150"/>
    <w:rsid w:val="6F2F5CAC"/>
    <w:rsid w:val="6F343BCA"/>
    <w:rsid w:val="6F3E28EB"/>
    <w:rsid w:val="6F433D24"/>
    <w:rsid w:val="6F4A418F"/>
    <w:rsid w:val="6F61159C"/>
    <w:rsid w:val="6F685621"/>
    <w:rsid w:val="6F741428"/>
    <w:rsid w:val="6F764476"/>
    <w:rsid w:val="6F77567F"/>
    <w:rsid w:val="6F7C2B68"/>
    <w:rsid w:val="6F7D3647"/>
    <w:rsid w:val="6F7E5639"/>
    <w:rsid w:val="6F8153D5"/>
    <w:rsid w:val="6F834759"/>
    <w:rsid w:val="6F8C4DB9"/>
    <w:rsid w:val="6F8D1193"/>
    <w:rsid w:val="6F9166C2"/>
    <w:rsid w:val="6F9F709B"/>
    <w:rsid w:val="6FA420E7"/>
    <w:rsid w:val="6FA83CA7"/>
    <w:rsid w:val="6FAA3E8C"/>
    <w:rsid w:val="6FBB4E5C"/>
    <w:rsid w:val="6FDC4075"/>
    <w:rsid w:val="6FE535B7"/>
    <w:rsid w:val="6FF23F3A"/>
    <w:rsid w:val="6FF7031F"/>
    <w:rsid w:val="6FFD3769"/>
    <w:rsid w:val="6FFE5C40"/>
    <w:rsid w:val="70065186"/>
    <w:rsid w:val="700779BA"/>
    <w:rsid w:val="700F1F41"/>
    <w:rsid w:val="701B627A"/>
    <w:rsid w:val="701E425E"/>
    <w:rsid w:val="70307113"/>
    <w:rsid w:val="70344DC9"/>
    <w:rsid w:val="703534E1"/>
    <w:rsid w:val="703A4681"/>
    <w:rsid w:val="70633451"/>
    <w:rsid w:val="707178DB"/>
    <w:rsid w:val="70890A7A"/>
    <w:rsid w:val="70A40957"/>
    <w:rsid w:val="70A87FE7"/>
    <w:rsid w:val="70A95865"/>
    <w:rsid w:val="70B05D9A"/>
    <w:rsid w:val="70B51446"/>
    <w:rsid w:val="70D22C67"/>
    <w:rsid w:val="70E54E73"/>
    <w:rsid w:val="70E9466C"/>
    <w:rsid w:val="70FC350F"/>
    <w:rsid w:val="70FE2B8F"/>
    <w:rsid w:val="71013EEA"/>
    <w:rsid w:val="71157051"/>
    <w:rsid w:val="711B7489"/>
    <w:rsid w:val="71215709"/>
    <w:rsid w:val="712835BB"/>
    <w:rsid w:val="71436554"/>
    <w:rsid w:val="714C3681"/>
    <w:rsid w:val="717464FF"/>
    <w:rsid w:val="717F325B"/>
    <w:rsid w:val="7180098A"/>
    <w:rsid w:val="7182183A"/>
    <w:rsid w:val="71952CF0"/>
    <w:rsid w:val="7197059F"/>
    <w:rsid w:val="71A8173F"/>
    <w:rsid w:val="71B11D56"/>
    <w:rsid w:val="71C2657D"/>
    <w:rsid w:val="71C85D97"/>
    <w:rsid w:val="71CD32A7"/>
    <w:rsid w:val="71D01F2E"/>
    <w:rsid w:val="71FC6FDA"/>
    <w:rsid w:val="71FE77E7"/>
    <w:rsid w:val="72262E13"/>
    <w:rsid w:val="722B2AC5"/>
    <w:rsid w:val="722D7C29"/>
    <w:rsid w:val="723C30FC"/>
    <w:rsid w:val="72415C6E"/>
    <w:rsid w:val="72456FFE"/>
    <w:rsid w:val="725919A2"/>
    <w:rsid w:val="72603ACB"/>
    <w:rsid w:val="72610A66"/>
    <w:rsid w:val="72691324"/>
    <w:rsid w:val="7274361A"/>
    <w:rsid w:val="72A4498D"/>
    <w:rsid w:val="72A77D1E"/>
    <w:rsid w:val="72AE0FB2"/>
    <w:rsid w:val="72B373E8"/>
    <w:rsid w:val="72D517CB"/>
    <w:rsid w:val="72D925C4"/>
    <w:rsid w:val="72F47C18"/>
    <w:rsid w:val="72F51376"/>
    <w:rsid w:val="72FC67AC"/>
    <w:rsid w:val="730A746E"/>
    <w:rsid w:val="73242CE1"/>
    <w:rsid w:val="73292FAE"/>
    <w:rsid w:val="73317C87"/>
    <w:rsid w:val="736410F2"/>
    <w:rsid w:val="7379550F"/>
    <w:rsid w:val="737D689B"/>
    <w:rsid w:val="73A53CE8"/>
    <w:rsid w:val="73A6170B"/>
    <w:rsid w:val="73B033FC"/>
    <w:rsid w:val="73B579E7"/>
    <w:rsid w:val="73BD2DE2"/>
    <w:rsid w:val="73C146FD"/>
    <w:rsid w:val="73C7103D"/>
    <w:rsid w:val="73CF6B59"/>
    <w:rsid w:val="73D72D76"/>
    <w:rsid w:val="73E87BB6"/>
    <w:rsid w:val="73F21654"/>
    <w:rsid w:val="74121AB7"/>
    <w:rsid w:val="741221C2"/>
    <w:rsid w:val="74137EFF"/>
    <w:rsid w:val="741A726A"/>
    <w:rsid w:val="742817A0"/>
    <w:rsid w:val="7434789C"/>
    <w:rsid w:val="743620AB"/>
    <w:rsid w:val="744A0F12"/>
    <w:rsid w:val="744D5A84"/>
    <w:rsid w:val="746B2E35"/>
    <w:rsid w:val="74763712"/>
    <w:rsid w:val="748F74EF"/>
    <w:rsid w:val="74925631"/>
    <w:rsid w:val="74BA2FC6"/>
    <w:rsid w:val="74C13C80"/>
    <w:rsid w:val="74C168CD"/>
    <w:rsid w:val="74DE754D"/>
    <w:rsid w:val="74E34D95"/>
    <w:rsid w:val="74E55A60"/>
    <w:rsid w:val="74F619EA"/>
    <w:rsid w:val="750A47B1"/>
    <w:rsid w:val="750F15BE"/>
    <w:rsid w:val="75130F44"/>
    <w:rsid w:val="751D6D4F"/>
    <w:rsid w:val="75276713"/>
    <w:rsid w:val="75340035"/>
    <w:rsid w:val="7559062E"/>
    <w:rsid w:val="75802507"/>
    <w:rsid w:val="758B2E14"/>
    <w:rsid w:val="75905155"/>
    <w:rsid w:val="7592615B"/>
    <w:rsid w:val="759F7ACB"/>
    <w:rsid w:val="75F263DE"/>
    <w:rsid w:val="75FA240A"/>
    <w:rsid w:val="75FF7929"/>
    <w:rsid w:val="760D2474"/>
    <w:rsid w:val="760E686D"/>
    <w:rsid w:val="76204CD2"/>
    <w:rsid w:val="76441071"/>
    <w:rsid w:val="76535E73"/>
    <w:rsid w:val="766034F6"/>
    <w:rsid w:val="766672B0"/>
    <w:rsid w:val="766C65C4"/>
    <w:rsid w:val="76702304"/>
    <w:rsid w:val="76723CFA"/>
    <w:rsid w:val="76730F51"/>
    <w:rsid w:val="769B2DBD"/>
    <w:rsid w:val="76B03A42"/>
    <w:rsid w:val="76BF5471"/>
    <w:rsid w:val="76CD1140"/>
    <w:rsid w:val="76CE0ED1"/>
    <w:rsid w:val="76CE1C6F"/>
    <w:rsid w:val="76CF00C8"/>
    <w:rsid w:val="77042E25"/>
    <w:rsid w:val="771677B0"/>
    <w:rsid w:val="77173EAC"/>
    <w:rsid w:val="77183344"/>
    <w:rsid w:val="771D7FFB"/>
    <w:rsid w:val="773641E5"/>
    <w:rsid w:val="773C186D"/>
    <w:rsid w:val="7743739D"/>
    <w:rsid w:val="774D3E2D"/>
    <w:rsid w:val="774F4FD9"/>
    <w:rsid w:val="7756042F"/>
    <w:rsid w:val="77611B60"/>
    <w:rsid w:val="7761204D"/>
    <w:rsid w:val="77766032"/>
    <w:rsid w:val="77A30E07"/>
    <w:rsid w:val="77B330D5"/>
    <w:rsid w:val="77B56A42"/>
    <w:rsid w:val="77C17FEB"/>
    <w:rsid w:val="77C74C2C"/>
    <w:rsid w:val="77CE5BE1"/>
    <w:rsid w:val="77CF4CBC"/>
    <w:rsid w:val="77F03FDA"/>
    <w:rsid w:val="77F061DD"/>
    <w:rsid w:val="780254D2"/>
    <w:rsid w:val="781667CA"/>
    <w:rsid w:val="781D3DAA"/>
    <w:rsid w:val="783171B5"/>
    <w:rsid w:val="78416A70"/>
    <w:rsid w:val="784D29EB"/>
    <w:rsid w:val="78690E08"/>
    <w:rsid w:val="786F6665"/>
    <w:rsid w:val="78810460"/>
    <w:rsid w:val="78844251"/>
    <w:rsid w:val="789712D3"/>
    <w:rsid w:val="78A10E53"/>
    <w:rsid w:val="78A4249C"/>
    <w:rsid w:val="78AB5493"/>
    <w:rsid w:val="78B06154"/>
    <w:rsid w:val="78B77E15"/>
    <w:rsid w:val="78D23BD0"/>
    <w:rsid w:val="78EE7053"/>
    <w:rsid w:val="78F22D42"/>
    <w:rsid w:val="78F86174"/>
    <w:rsid w:val="78FE16EA"/>
    <w:rsid w:val="792755DC"/>
    <w:rsid w:val="792A7CC8"/>
    <w:rsid w:val="79402E8A"/>
    <w:rsid w:val="796A6A56"/>
    <w:rsid w:val="798F62ED"/>
    <w:rsid w:val="799765F1"/>
    <w:rsid w:val="79A0094C"/>
    <w:rsid w:val="79A9019E"/>
    <w:rsid w:val="79B747EC"/>
    <w:rsid w:val="79BD4970"/>
    <w:rsid w:val="79BD656A"/>
    <w:rsid w:val="79BD717A"/>
    <w:rsid w:val="79C75C56"/>
    <w:rsid w:val="79CC4773"/>
    <w:rsid w:val="79DA5011"/>
    <w:rsid w:val="79F1574D"/>
    <w:rsid w:val="79F560D5"/>
    <w:rsid w:val="7A0C5059"/>
    <w:rsid w:val="7A1523EA"/>
    <w:rsid w:val="7A1F42F7"/>
    <w:rsid w:val="7A360B8B"/>
    <w:rsid w:val="7A3D67BD"/>
    <w:rsid w:val="7A3E4994"/>
    <w:rsid w:val="7A500745"/>
    <w:rsid w:val="7A5A233E"/>
    <w:rsid w:val="7A724452"/>
    <w:rsid w:val="7A784587"/>
    <w:rsid w:val="7A7A2514"/>
    <w:rsid w:val="7A7E01F8"/>
    <w:rsid w:val="7A847AAD"/>
    <w:rsid w:val="7A8578A6"/>
    <w:rsid w:val="7A86136F"/>
    <w:rsid w:val="7A931A00"/>
    <w:rsid w:val="7AAF24B0"/>
    <w:rsid w:val="7AB979D1"/>
    <w:rsid w:val="7AC31AD3"/>
    <w:rsid w:val="7ACF0C4A"/>
    <w:rsid w:val="7ADA1610"/>
    <w:rsid w:val="7AE279DE"/>
    <w:rsid w:val="7AF3048C"/>
    <w:rsid w:val="7B066428"/>
    <w:rsid w:val="7B117CCD"/>
    <w:rsid w:val="7B133142"/>
    <w:rsid w:val="7B134300"/>
    <w:rsid w:val="7B263D55"/>
    <w:rsid w:val="7B281992"/>
    <w:rsid w:val="7B4612E8"/>
    <w:rsid w:val="7B480A80"/>
    <w:rsid w:val="7B486D67"/>
    <w:rsid w:val="7B5D09C5"/>
    <w:rsid w:val="7B6B5909"/>
    <w:rsid w:val="7B847A30"/>
    <w:rsid w:val="7B9A7DF7"/>
    <w:rsid w:val="7B9E7B03"/>
    <w:rsid w:val="7BA175B6"/>
    <w:rsid w:val="7BB4200A"/>
    <w:rsid w:val="7BBD0C0A"/>
    <w:rsid w:val="7BC96BBE"/>
    <w:rsid w:val="7BCF3BA5"/>
    <w:rsid w:val="7BE53837"/>
    <w:rsid w:val="7BE60AE4"/>
    <w:rsid w:val="7BE9311A"/>
    <w:rsid w:val="7BEA5DCC"/>
    <w:rsid w:val="7BF37C8D"/>
    <w:rsid w:val="7C153270"/>
    <w:rsid w:val="7C1872B1"/>
    <w:rsid w:val="7C1B1AB2"/>
    <w:rsid w:val="7C1E2225"/>
    <w:rsid w:val="7C2C76B2"/>
    <w:rsid w:val="7C2E7930"/>
    <w:rsid w:val="7C3537CC"/>
    <w:rsid w:val="7C455F5C"/>
    <w:rsid w:val="7C49346A"/>
    <w:rsid w:val="7C504E5F"/>
    <w:rsid w:val="7C7F149A"/>
    <w:rsid w:val="7C7F6464"/>
    <w:rsid w:val="7C856D5C"/>
    <w:rsid w:val="7CA507B1"/>
    <w:rsid w:val="7CB64F9C"/>
    <w:rsid w:val="7CC16FF5"/>
    <w:rsid w:val="7CC47560"/>
    <w:rsid w:val="7CC540B3"/>
    <w:rsid w:val="7CCC2DCC"/>
    <w:rsid w:val="7CCE614A"/>
    <w:rsid w:val="7CD460A4"/>
    <w:rsid w:val="7CDA5697"/>
    <w:rsid w:val="7CE264F3"/>
    <w:rsid w:val="7CE64029"/>
    <w:rsid w:val="7CE72722"/>
    <w:rsid w:val="7CF85C26"/>
    <w:rsid w:val="7CFA4D3A"/>
    <w:rsid w:val="7D004E05"/>
    <w:rsid w:val="7D352620"/>
    <w:rsid w:val="7D3E56FD"/>
    <w:rsid w:val="7D4E5163"/>
    <w:rsid w:val="7D7B2DE3"/>
    <w:rsid w:val="7D93256E"/>
    <w:rsid w:val="7D96482C"/>
    <w:rsid w:val="7DA2701B"/>
    <w:rsid w:val="7DBC2289"/>
    <w:rsid w:val="7DD02C1B"/>
    <w:rsid w:val="7DEF0D9B"/>
    <w:rsid w:val="7E0624AF"/>
    <w:rsid w:val="7E0761C6"/>
    <w:rsid w:val="7E0B2A9C"/>
    <w:rsid w:val="7E0B4774"/>
    <w:rsid w:val="7E160002"/>
    <w:rsid w:val="7E3A400A"/>
    <w:rsid w:val="7E3B6107"/>
    <w:rsid w:val="7E4037BC"/>
    <w:rsid w:val="7E450600"/>
    <w:rsid w:val="7E480A69"/>
    <w:rsid w:val="7E5704FB"/>
    <w:rsid w:val="7E6C3360"/>
    <w:rsid w:val="7E775881"/>
    <w:rsid w:val="7E7933A7"/>
    <w:rsid w:val="7E7F3C3C"/>
    <w:rsid w:val="7E8340C9"/>
    <w:rsid w:val="7E8E1568"/>
    <w:rsid w:val="7E9830DA"/>
    <w:rsid w:val="7EBA0464"/>
    <w:rsid w:val="7EC634F1"/>
    <w:rsid w:val="7EC81F3C"/>
    <w:rsid w:val="7EC93614"/>
    <w:rsid w:val="7ECF3225"/>
    <w:rsid w:val="7EE277FD"/>
    <w:rsid w:val="7EEA2E2A"/>
    <w:rsid w:val="7F100CBD"/>
    <w:rsid w:val="7F166366"/>
    <w:rsid w:val="7F277D80"/>
    <w:rsid w:val="7F343335"/>
    <w:rsid w:val="7F363FF9"/>
    <w:rsid w:val="7F38386B"/>
    <w:rsid w:val="7F3B19CE"/>
    <w:rsid w:val="7F421ABF"/>
    <w:rsid w:val="7F4671ED"/>
    <w:rsid w:val="7F4A5C9B"/>
    <w:rsid w:val="7F501C36"/>
    <w:rsid w:val="7F5D46B5"/>
    <w:rsid w:val="7F6455AA"/>
    <w:rsid w:val="7F645A9C"/>
    <w:rsid w:val="7F853B09"/>
    <w:rsid w:val="7F8D0664"/>
    <w:rsid w:val="7FA624BA"/>
    <w:rsid w:val="7FB126CD"/>
    <w:rsid w:val="7FB46A34"/>
    <w:rsid w:val="7FB46B49"/>
    <w:rsid w:val="7FD070E0"/>
    <w:rsid w:val="7FE42AB6"/>
    <w:rsid w:val="7FF61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05"/>
    <w:qFormat/>
    <w:uiPriority w:val="0"/>
    <w:pPr>
      <w:keepNext/>
      <w:keepLines/>
      <w:spacing w:line="576" w:lineRule="auto"/>
      <w:outlineLvl w:val="0"/>
    </w:pPr>
    <w:rPr>
      <w:rFonts w:eastAsia="宋体"/>
      <w:b/>
      <w:bCs/>
      <w:kern w:val="44"/>
      <w:sz w:val="44"/>
      <w:szCs w:val="44"/>
    </w:rPr>
  </w:style>
  <w:style w:type="paragraph" w:styleId="3">
    <w:name w:val="heading 2"/>
    <w:basedOn w:val="1"/>
    <w:next w:val="1"/>
    <w:link w:val="132"/>
    <w:unhideWhenUsed/>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119"/>
    <w:qFormat/>
    <w:uiPriority w:val="0"/>
    <w:pPr>
      <w:numPr>
        <w:ilvl w:val="2"/>
        <w:numId w:val="1"/>
      </w:numPr>
      <w:adjustRightInd w:val="0"/>
      <w:spacing w:beforeLines="50" w:afterLines="50"/>
      <w:jc w:val="left"/>
      <w:outlineLvl w:val="2"/>
    </w:pPr>
    <w:rPr>
      <w:rFonts w:ascii="Times New Roman" w:hAnsi="Times New Roman"/>
      <w:b/>
      <w:bCs/>
      <w:sz w:val="32"/>
      <w:szCs w:val="32"/>
    </w:rPr>
  </w:style>
  <w:style w:type="paragraph" w:styleId="5">
    <w:name w:val="heading 4"/>
    <w:basedOn w:val="1"/>
    <w:next w:val="1"/>
    <w:qFormat/>
    <w:uiPriority w:val="0"/>
    <w:pPr>
      <w:keepNext/>
      <w:keepLines/>
      <w:widowControl/>
      <w:numPr>
        <w:ilvl w:val="3"/>
        <w:numId w:val="1"/>
      </w:numPr>
      <w:adjustRightInd w:val="0"/>
      <w:spacing w:before="120" w:after="120"/>
      <w:jc w:val="left"/>
      <w:outlineLvl w:val="3"/>
    </w:pPr>
    <w:rPr>
      <w:rFonts w:ascii="Arial" w:hAnsi="Arial"/>
      <w:b/>
      <w:bCs/>
      <w:sz w:val="30"/>
      <w:szCs w:val="28"/>
    </w:rPr>
  </w:style>
  <w:style w:type="paragraph" w:styleId="6">
    <w:name w:val="heading 5"/>
    <w:basedOn w:val="1"/>
    <w:next w:val="1"/>
    <w:link w:val="101"/>
    <w:unhideWhenUsed/>
    <w:qFormat/>
    <w:uiPriority w:val="0"/>
    <w:pPr>
      <w:keepNext/>
      <w:keepLines/>
      <w:widowControl/>
      <w:spacing w:before="120" w:after="120" w:line="360" w:lineRule="auto"/>
      <w:ind w:firstLine="499"/>
      <w:jc w:val="left"/>
      <w:outlineLvl w:val="4"/>
    </w:pPr>
    <w:rPr>
      <w:rFonts w:ascii="宋体" w:hAnsi="宋体"/>
      <w:b/>
      <w:kern w:val="0"/>
      <w:szCs w:val="20"/>
    </w:rPr>
  </w:style>
  <w:style w:type="paragraph" w:styleId="7">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2520" w:leftChars="1200"/>
    </w:pPr>
    <w:rPr>
      <w:rFonts w:ascii="Calibri" w:hAnsi="Calibri" w:eastAsia="宋体" w:cs="Times New Roman"/>
      <w:sz w:val="21"/>
    </w:rPr>
  </w:style>
  <w:style w:type="paragraph" w:styleId="9">
    <w:name w:val="table of authorities"/>
    <w:basedOn w:val="1"/>
    <w:next w:val="1"/>
    <w:qFormat/>
    <w:uiPriority w:val="0"/>
    <w:pPr>
      <w:ind w:left="420" w:leftChars="100"/>
    </w:pPr>
  </w:style>
  <w:style w:type="paragraph" w:styleId="10">
    <w:name w:val="Normal Indent"/>
    <w:basedOn w:val="1"/>
    <w:qFormat/>
    <w:uiPriority w:val="0"/>
    <w:pPr>
      <w:ind w:firstLine="420"/>
    </w:pPr>
    <w:rPr>
      <w:rFonts w:eastAsia="宋体"/>
      <w:sz w:val="21"/>
      <w:szCs w:val="20"/>
    </w:rPr>
  </w:style>
  <w:style w:type="paragraph" w:styleId="11">
    <w:name w:val="annotation text"/>
    <w:basedOn w:val="1"/>
    <w:link w:val="90"/>
    <w:qFormat/>
    <w:uiPriority w:val="0"/>
    <w:pPr>
      <w:jc w:val="left"/>
    </w:pPr>
  </w:style>
  <w:style w:type="paragraph" w:styleId="12">
    <w:name w:val="Body Text 3"/>
    <w:basedOn w:val="1"/>
    <w:link w:val="122"/>
    <w:qFormat/>
    <w:uiPriority w:val="0"/>
    <w:rPr>
      <w:rFonts w:ascii="宋体" w:hAnsi="Times New Roman" w:eastAsia="宋体" w:cs="Times New Roman"/>
      <w:kern w:val="0"/>
      <w:szCs w:val="20"/>
    </w:rPr>
  </w:style>
  <w:style w:type="paragraph" w:styleId="13">
    <w:name w:val="Body Text"/>
    <w:basedOn w:val="1"/>
    <w:next w:val="1"/>
    <w:link w:val="114"/>
    <w:qFormat/>
    <w:uiPriority w:val="0"/>
  </w:style>
  <w:style w:type="paragraph" w:styleId="14">
    <w:name w:val="Body Text Indent"/>
    <w:basedOn w:val="1"/>
    <w:qFormat/>
    <w:uiPriority w:val="0"/>
    <w:pPr>
      <w:spacing w:line="640" w:lineRule="exact"/>
      <w:ind w:firstLine="585"/>
    </w:pPr>
    <w:rPr>
      <w:rFonts w:ascii="楷体_GB2312" w:eastAsia="楷体_GB2312"/>
      <w:sz w:val="32"/>
    </w:rPr>
  </w:style>
  <w:style w:type="paragraph" w:styleId="15">
    <w:name w:val="toc 5"/>
    <w:basedOn w:val="1"/>
    <w:next w:val="1"/>
    <w:unhideWhenUsed/>
    <w:qFormat/>
    <w:uiPriority w:val="39"/>
    <w:pPr>
      <w:ind w:left="1680" w:leftChars="800"/>
    </w:pPr>
    <w:rPr>
      <w:rFonts w:ascii="Calibri" w:hAnsi="Calibri" w:eastAsia="宋体" w:cs="Times New Roman"/>
      <w:sz w:val="21"/>
    </w:rPr>
  </w:style>
  <w:style w:type="paragraph" w:styleId="16">
    <w:name w:val="toc 3"/>
    <w:basedOn w:val="1"/>
    <w:next w:val="1"/>
    <w:qFormat/>
    <w:uiPriority w:val="39"/>
    <w:pPr>
      <w:jc w:val="left"/>
    </w:pPr>
    <w:rPr>
      <w:rFonts w:ascii="Times New Roman" w:hAnsi="Times New Roman" w:eastAsia="华文细黑" w:cs="Times New Roman"/>
      <w:iCs/>
      <w:sz w:val="22"/>
      <w:szCs w:val="20"/>
    </w:rPr>
  </w:style>
  <w:style w:type="paragraph" w:styleId="17">
    <w:name w:val="Plain Text"/>
    <w:basedOn w:val="1"/>
    <w:next w:val="1"/>
    <w:qFormat/>
    <w:uiPriority w:val="0"/>
    <w:rPr>
      <w:rFonts w:ascii="宋体" w:hAnsi="Courier New" w:cs="Courier New"/>
      <w:szCs w:val="21"/>
    </w:rPr>
  </w:style>
  <w:style w:type="paragraph" w:styleId="18">
    <w:name w:val="toc 8"/>
    <w:basedOn w:val="1"/>
    <w:next w:val="1"/>
    <w:unhideWhenUsed/>
    <w:qFormat/>
    <w:uiPriority w:val="39"/>
    <w:pPr>
      <w:ind w:left="2940" w:leftChars="1400"/>
    </w:pPr>
    <w:rPr>
      <w:rFonts w:ascii="Calibri" w:hAnsi="Calibri" w:eastAsia="宋体" w:cs="Times New Roman"/>
      <w:sz w:val="21"/>
    </w:rPr>
  </w:style>
  <w:style w:type="paragraph" w:styleId="19">
    <w:name w:val="Date"/>
    <w:basedOn w:val="1"/>
    <w:next w:val="1"/>
    <w:link w:val="138"/>
    <w:qFormat/>
    <w:uiPriority w:val="0"/>
    <w:rPr>
      <w:rFonts w:ascii="Times New Roman"/>
      <w:sz w:val="28"/>
    </w:rPr>
  </w:style>
  <w:style w:type="paragraph" w:styleId="20">
    <w:name w:val="Body Text Indent 2"/>
    <w:basedOn w:val="1"/>
    <w:link w:val="102"/>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Cs w:val="20"/>
    </w:rPr>
  </w:style>
  <w:style w:type="paragraph" w:styleId="21">
    <w:name w:val="Balloon Text"/>
    <w:basedOn w:val="1"/>
    <w:link w:val="82"/>
    <w:qFormat/>
    <w:uiPriority w:val="0"/>
    <w:rPr>
      <w:sz w:val="18"/>
      <w:szCs w:val="18"/>
    </w:rPr>
  </w:style>
  <w:style w:type="paragraph" w:styleId="22">
    <w:name w:val="footer"/>
    <w:basedOn w:val="1"/>
    <w:link w:val="95"/>
    <w:qFormat/>
    <w:uiPriority w:val="99"/>
    <w:pPr>
      <w:tabs>
        <w:tab w:val="center" w:pos="4153"/>
        <w:tab w:val="right" w:pos="8306"/>
      </w:tabs>
      <w:snapToGrid w:val="0"/>
      <w:jc w:val="left"/>
    </w:pPr>
    <w:rPr>
      <w:rFonts w:eastAsia="宋体"/>
      <w:sz w:val="18"/>
      <w:szCs w:val="18"/>
    </w:rPr>
  </w:style>
  <w:style w:type="paragraph" w:styleId="23">
    <w:name w:val="header"/>
    <w:basedOn w:val="1"/>
    <w:link w:val="11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sz w:val="21"/>
      <w:szCs w:val="24"/>
    </w:rPr>
  </w:style>
  <w:style w:type="paragraph" w:styleId="25">
    <w:name w:val="toc 4"/>
    <w:basedOn w:val="1"/>
    <w:next w:val="1"/>
    <w:unhideWhenUsed/>
    <w:qFormat/>
    <w:uiPriority w:val="39"/>
    <w:pPr>
      <w:ind w:left="1260" w:leftChars="600"/>
    </w:pPr>
    <w:rPr>
      <w:rFonts w:ascii="Calibri" w:hAnsi="Calibri" w:eastAsia="宋体" w:cs="Times New Roman"/>
      <w:sz w:val="21"/>
    </w:rPr>
  </w:style>
  <w:style w:type="paragraph" w:styleId="26">
    <w:name w:val="toc 6"/>
    <w:basedOn w:val="1"/>
    <w:next w:val="1"/>
    <w:unhideWhenUsed/>
    <w:qFormat/>
    <w:uiPriority w:val="39"/>
    <w:pPr>
      <w:ind w:left="2100" w:leftChars="1000"/>
    </w:pPr>
    <w:rPr>
      <w:rFonts w:ascii="Calibri" w:hAnsi="Calibri" w:eastAsia="宋体" w:cs="Times New Roman"/>
      <w:sz w:val="21"/>
    </w:rPr>
  </w:style>
  <w:style w:type="paragraph" w:styleId="27">
    <w:name w:val="Body Text Indent 3"/>
    <w:basedOn w:val="1"/>
    <w:link w:val="103"/>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Cs w:val="20"/>
    </w:rPr>
  </w:style>
  <w:style w:type="paragraph" w:styleId="28">
    <w:name w:val="table of figures"/>
    <w:basedOn w:val="1"/>
    <w:next w:val="1"/>
    <w:unhideWhenUsed/>
    <w:qFormat/>
    <w:uiPriority w:val="99"/>
    <w:pPr>
      <w:ind w:left="200" w:leftChars="200" w:hanging="200" w:hangingChars="200"/>
    </w:pPr>
  </w:style>
  <w:style w:type="paragraph" w:styleId="29">
    <w:name w:val="toc 2"/>
    <w:basedOn w:val="1"/>
    <w:next w:val="1"/>
    <w:qFormat/>
    <w:uiPriority w:val="39"/>
    <w:pPr>
      <w:ind w:left="420" w:leftChars="200"/>
    </w:pPr>
    <w:rPr>
      <w:sz w:val="21"/>
      <w:szCs w:val="24"/>
    </w:rPr>
  </w:style>
  <w:style w:type="paragraph" w:styleId="30">
    <w:name w:val="toc 9"/>
    <w:basedOn w:val="1"/>
    <w:next w:val="1"/>
    <w:unhideWhenUsed/>
    <w:qFormat/>
    <w:uiPriority w:val="39"/>
    <w:pPr>
      <w:ind w:left="3360" w:leftChars="1600"/>
    </w:pPr>
    <w:rPr>
      <w:rFonts w:ascii="Calibri" w:hAnsi="Calibri" w:eastAsia="宋体" w:cs="Times New Roman"/>
      <w:sz w:val="21"/>
    </w:rPr>
  </w:style>
  <w:style w:type="paragraph" w:styleId="31">
    <w:name w:val="Body Text 2"/>
    <w:basedOn w:val="1"/>
    <w:link w:val="93"/>
    <w:qFormat/>
    <w:uiPriority w:val="0"/>
    <w:pPr>
      <w:spacing w:after="120" w:line="480" w:lineRule="auto"/>
    </w:pPr>
  </w:style>
  <w:style w:type="paragraph" w:styleId="32">
    <w:name w:val="Normal (Web)"/>
    <w:basedOn w:val="1"/>
    <w:qFormat/>
    <w:uiPriority w:val="0"/>
    <w:pPr>
      <w:jc w:val="left"/>
    </w:pPr>
    <w:rPr>
      <w:rFonts w:cs="Times New Roman"/>
      <w:kern w:val="0"/>
    </w:rPr>
  </w:style>
  <w:style w:type="paragraph" w:styleId="33">
    <w:name w:val="Title"/>
    <w:basedOn w:val="1"/>
    <w:link w:val="130"/>
    <w:qFormat/>
    <w:uiPriority w:val="0"/>
    <w:pPr>
      <w:jc w:val="center"/>
    </w:pPr>
    <w:rPr>
      <w:rFonts w:ascii="Tahoma" w:hAnsi="Tahoma" w:eastAsia="宋体" w:cs="Times New Roman"/>
      <w:b/>
      <w:spacing w:val="8"/>
      <w:sz w:val="28"/>
      <w:szCs w:val="24"/>
    </w:rPr>
  </w:style>
  <w:style w:type="paragraph" w:styleId="34">
    <w:name w:val="annotation subject"/>
    <w:basedOn w:val="11"/>
    <w:next w:val="11"/>
    <w:link w:val="91"/>
    <w:qFormat/>
    <w:uiPriority w:val="0"/>
    <w:rPr>
      <w:b/>
      <w:bCs/>
    </w:rPr>
  </w:style>
  <w:style w:type="paragraph" w:styleId="35">
    <w:name w:val="Body Text First Indent"/>
    <w:basedOn w:val="13"/>
    <w:next w:val="36"/>
    <w:qFormat/>
    <w:uiPriority w:val="0"/>
    <w:pPr>
      <w:ind w:firstLine="420" w:firstLineChars="100"/>
    </w:pPr>
    <w:rPr>
      <w:rFonts w:eastAsia="仿宋_GB2312"/>
      <w:sz w:val="28"/>
    </w:rPr>
  </w:style>
  <w:style w:type="paragraph" w:styleId="36">
    <w:name w:val="Body Text First Indent 2"/>
    <w:basedOn w:val="1"/>
    <w:qFormat/>
    <w:uiPriority w:val="0"/>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basedOn w:val="39"/>
    <w:qFormat/>
    <w:uiPriority w:val="0"/>
    <w:rPr>
      <w:color w:val="333333"/>
      <w:u w:val="none"/>
    </w:rPr>
  </w:style>
  <w:style w:type="character" w:styleId="43">
    <w:name w:val="Emphasis"/>
    <w:basedOn w:val="39"/>
    <w:qFormat/>
    <w:uiPriority w:val="0"/>
  </w:style>
  <w:style w:type="character" w:styleId="44">
    <w:name w:val="HTML Definition"/>
    <w:basedOn w:val="39"/>
    <w:qFormat/>
    <w:uiPriority w:val="0"/>
  </w:style>
  <w:style w:type="character" w:styleId="45">
    <w:name w:val="HTML Typewriter"/>
    <w:basedOn w:val="39"/>
    <w:qFormat/>
    <w:uiPriority w:val="0"/>
    <w:rPr>
      <w:rFonts w:ascii="monospace" w:hAnsi="monospace" w:eastAsia="monospace" w:cs="monospace"/>
      <w:sz w:val="20"/>
    </w:rPr>
  </w:style>
  <w:style w:type="character" w:styleId="46">
    <w:name w:val="HTML Acronym"/>
    <w:basedOn w:val="39"/>
    <w:qFormat/>
    <w:uiPriority w:val="0"/>
  </w:style>
  <w:style w:type="character" w:styleId="47">
    <w:name w:val="HTML Variable"/>
    <w:basedOn w:val="39"/>
    <w:qFormat/>
    <w:uiPriority w:val="0"/>
    <w:rPr>
      <w:bdr w:val="single" w:color="BDBEC1" w:sz="6" w:space="0"/>
      <w:shd w:val="clear" w:color="auto" w:fill="FFFFFF"/>
    </w:rPr>
  </w:style>
  <w:style w:type="character" w:styleId="48">
    <w:name w:val="Hyperlink"/>
    <w:basedOn w:val="39"/>
    <w:qFormat/>
    <w:uiPriority w:val="99"/>
    <w:rPr>
      <w:rFonts w:ascii="宋体" w:hAnsi="宋体" w:eastAsia="宋体"/>
      <w:b/>
      <w:color w:val="0000FF"/>
      <w:kern w:val="2"/>
      <w:sz w:val="24"/>
      <w:szCs w:val="24"/>
      <w:u w:val="single"/>
      <w:lang w:val="en-US" w:eastAsia="zh-CN" w:bidi="ar-SA"/>
    </w:rPr>
  </w:style>
  <w:style w:type="character" w:styleId="49">
    <w:name w:val="HTML Code"/>
    <w:basedOn w:val="39"/>
    <w:qFormat/>
    <w:uiPriority w:val="0"/>
    <w:rPr>
      <w:rFonts w:hint="default" w:ascii="Menlo" w:hAnsi="Menlo" w:eastAsia="Menlo" w:cs="Menlo"/>
      <w:color w:val="C7254E"/>
      <w:sz w:val="21"/>
      <w:szCs w:val="21"/>
      <w:shd w:val="clear" w:color="auto" w:fill="F9F2F4"/>
    </w:rPr>
  </w:style>
  <w:style w:type="character" w:styleId="50">
    <w:name w:val="annotation reference"/>
    <w:basedOn w:val="39"/>
    <w:qFormat/>
    <w:uiPriority w:val="0"/>
    <w:rPr>
      <w:sz w:val="21"/>
      <w:szCs w:val="21"/>
    </w:rPr>
  </w:style>
  <w:style w:type="character" w:styleId="51">
    <w:name w:val="HTML Cite"/>
    <w:basedOn w:val="39"/>
    <w:qFormat/>
    <w:uiPriority w:val="0"/>
  </w:style>
  <w:style w:type="character" w:styleId="52">
    <w:name w:val="HTML Keyboard"/>
    <w:basedOn w:val="39"/>
    <w:qFormat/>
    <w:uiPriority w:val="0"/>
    <w:rPr>
      <w:rFonts w:ascii="Menlo" w:hAnsi="Menlo" w:eastAsia="Menlo" w:cs="Menlo"/>
      <w:color w:val="FFFFFF"/>
      <w:sz w:val="21"/>
      <w:szCs w:val="21"/>
      <w:shd w:val="clear" w:color="auto" w:fill="333333"/>
    </w:rPr>
  </w:style>
  <w:style w:type="character" w:styleId="53">
    <w:name w:val="HTML Sample"/>
    <w:basedOn w:val="39"/>
    <w:qFormat/>
    <w:uiPriority w:val="0"/>
    <w:rPr>
      <w:rFonts w:hint="default" w:ascii="Menlo" w:hAnsi="Menlo" w:eastAsia="Menlo" w:cs="Menlo"/>
      <w:sz w:val="21"/>
      <w:szCs w:val="21"/>
    </w:rPr>
  </w:style>
  <w:style w:type="paragraph" w:customStyle="1" w:styleId="5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55">
    <w:name w:val="_Style 5"/>
    <w:basedOn w:val="2"/>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56">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57">
    <w:name w:val="p15"/>
    <w:basedOn w:val="1"/>
    <w:qFormat/>
    <w:uiPriority w:val="99"/>
    <w:pPr>
      <w:widowControl/>
    </w:pPr>
    <w:rPr>
      <w:kern w:val="0"/>
      <w:sz w:val="21"/>
      <w:szCs w:val="21"/>
    </w:rPr>
  </w:style>
  <w:style w:type="paragraph" w:customStyle="1" w:styleId="58">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59">
    <w:name w:val="old"/>
    <w:basedOn w:val="39"/>
    <w:qFormat/>
    <w:uiPriority w:val="0"/>
    <w:rPr>
      <w:color w:val="999999"/>
    </w:rPr>
  </w:style>
  <w:style w:type="character" w:customStyle="1" w:styleId="60">
    <w:name w:val="hover3"/>
    <w:basedOn w:val="39"/>
    <w:qFormat/>
    <w:uiPriority w:val="0"/>
    <w:rPr>
      <w:shd w:val="clear" w:color="auto" w:fill="EEEEEE"/>
    </w:rPr>
  </w:style>
  <w:style w:type="character" w:customStyle="1" w:styleId="61">
    <w:name w:val="glyphicon4"/>
    <w:basedOn w:val="39"/>
    <w:qFormat/>
    <w:uiPriority w:val="0"/>
  </w:style>
  <w:style w:type="character" w:customStyle="1" w:styleId="62">
    <w:name w:val="hour_am"/>
    <w:basedOn w:val="39"/>
    <w:qFormat/>
    <w:uiPriority w:val="0"/>
  </w:style>
  <w:style w:type="character" w:customStyle="1" w:styleId="63">
    <w:name w:val="hour_pm"/>
    <w:basedOn w:val="39"/>
    <w:qFormat/>
    <w:uiPriority w:val="0"/>
  </w:style>
  <w:style w:type="character" w:customStyle="1" w:styleId="64">
    <w:name w:val="button"/>
    <w:basedOn w:val="39"/>
    <w:qFormat/>
    <w:uiPriority w:val="0"/>
  </w:style>
  <w:style w:type="character" w:customStyle="1" w:styleId="65">
    <w:name w:val="tmpztreemove_arrow"/>
    <w:basedOn w:val="39"/>
    <w:qFormat/>
    <w:uiPriority w:val="0"/>
    <w:rPr>
      <w:shd w:val="clear" w:color="auto" w:fill="FFFFFF"/>
    </w:rPr>
  </w:style>
  <w:style w:type="paragraph" w:customStyle="1" w:styleId="66">
    <w:name w:val="正文文本1"/>
    <w:basedOn w:val="1"/>
    <w:unhideWhenUsed/>
    <w:qFormat/>
    <w:uiPriority w:val="0"/>
    <w:pPr>
      <w:shd w:val="clear" w:color="auto" w:fill="FFFFFF"/>
      <w:spacing w:line="240" w:lineRule="atLeast"/>
      <w:jc w:val="left"/>
    </w:pPr>
    <w:rPr>
      <w:rFonts w:ascii="Times New Roman" w:hAnsi="Times New Roman" w:eastAsia="Times New Roman"/>
      <w:kern w:val="0"/>
      <w:sz w:val="11"/>
      <w:szCs w:val="20"/>
    </w:rPr>
  </w:style>
  <w:style w:type="paragraph" w:customStyle="1" w:styleId="67">
    <w:name w:val="列出段落1"/>
    <w:basedOn w:val="1"/>
    <w:qFormat/>
    <w:uiPriority w:val="0"/>
    <w:pPr>
      <w:ind w:firstLine="420" w:firstLineChars="200"/>
    </w:pPr>
  </w:style>
  <w:style w:type="paragraph" w:customStyle="1" w:styleId="68">
    <w:name w:val="标准文本"/>
    <w:basedOn w:val="1"/>
    <w:qFormat/>
    <w:uiPriority w:val="0"/>
    <w:pPr>
      <w:widowControl/>
      <w:ind w:firstLine="480"/>
      <w:jc w:val="left"/>
    </w:pPr>
    <w:rPr>
      <w:rFonts w:ascii="Times New Roman" w:hAnsi="Times New Roman"/>
      <w:szCs w:val="20"/>
    </w:rPr>
  </w:style>
  <w:style w:type="paragraph" w:customStyle="1" w:styleId="69">
    <w:name w:val="_正文段落"/>
    <w:basedOn w:val="1"/>
    <w:qFormat/>
    <w:uiPriority w:val="0"/>
    <w:pPr>
      <w:spacing w:beforeLines="15" w:afterLines="15"/>
    </w:pPr>
    <w:rPr>
      <w:rFonts w:ascii="Times New Roman" w:hAnsi="Times New Roman"/>
      <w:szCs w:val="24"/>
    </w:rPr>
  </w:style>
  <w:style w:type="paragraph" w:customStyle="1" w:styleId="70">
    <w:name w:val="表格内容"/>
    <w:basedOn w:val="1"/>
    <w:qFormat/>
    <w:uiPriority w:val="0"/>
    <w:pPr>
      <w:jc w:val="left"/>
    </w:pPr>
  </w:style>
  <w:style w:type="character" w:customStyle="1" w:styleId="71">
    <w:name w:val="proollist"/>
    <w:basedOn w:val="39"/>
    <w:qFormat/>
    <w:uiPriority w:val="0"/>
  </w:style>
  <w:style w:type="character" w:customStyle="1" w:styleId="72">
    <w:name w:val="beforeinfotext"/>
    <w:basedOn w:val="39"/>
    <w:qFormat/>
    <w:uiPriority w:val="0"/>
    <w:rPr>
      <w:color w:val="666666"/>
    </w:rPr>
  </w:style>
  <w:style w:type="character" w:customStyle="1" w:styleId="73">
    <w:name w:val="number"/>
    <w:basedOn w:val="39"/>
    <w:qFormat/>
    <w:uiPriority w:val="0"/>
    <w:rPr>
      <w:color w:val="FF8833"/>
      <w:sz w:val="18"/>
      <w:szCs w:val="18"/>
    </w:rPr>
  </w:style>
  <w:style w:type="character" w:customStyle="1" w:styleId="74">
    <w:name w:val="stclosebtn"/>
    <w:basedOn w:val="39"/>
    <w:qFormat/>
    <w:uiPriority w:val="0"/>
  </w:style>
  <w:style w:type="character" w:customStyle="1" w:styleId="75">
    <w:name w:val="phone"/>
    <w:basedOn w:val="39"/>
    <w:qFormat/>
    <w:uiPriority w:val="0"/>
    <w:rPr>
      <w:color w:val="FF8833"/>
      <w:sz w:val="18"/>
      <w:szCs w:val="18"/>
    </w:rPr>
  </w:style>
  <w:style w:type="paragraph" w:customStyle="1" w:styleId="76">
    <w:name w:val="title11"/>
    <w:basedOn w:val="1"/>
    <w:qFormat/>
    <w:uiPriority w:val="0"/>
    <w:pPr>
      <w:spacing w:before="150"/>
      <w:jc w:val="left"/>
    </w:pPr>
    <w:rPr>
      <w:rFonts w:cs="Times New Roman"/>
      <w:b/>
      <w:kern w:val="0"/>
      <w:sz w:val="22"/>
    </w:r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xl36"/>
    <w:basedOn w:val="1"/>
    <w:qFormat/>
    <w:uiPriority w:val="0"/>
    <w:pPr>
      <w:widowControl/>
      <w:jc w:val="center"/>
    </w:pPr>
    <w:rPr>
      <w:rFonts w:hint="eastAsia" w:ascii="宋体" w:hAnsi="宋体"/>
      <w:kern w:val="0"/>
    </w:rPr>
  </w:style>
  <w:style w:type="paragraph" w:customStyle="1" w:styleId="79">
    <w:name w:val="Table Paragraph"/>
    <w:basedOn w:val="1"/>
    <w:qFormat/>
    <w:uiPriority w:val="0"/>
    <w:rPr>
      <w:rFonts w:ascii="宋体" w:hAnsi="宋体" w:eastAsia="宋体" w:cs="宋体"/>
      <w:lang w:val="zh-CN" w:bidi="zh-CN"/>
    </w:rPr>
  </w:style>
  <w:style w:type="paragraph" w:customStyle="1" w:styleId="80">
    <w:name w:val="List Paragraph1"/>
    <w:basedOn w:val="1"/>
    <w:qFormat/>
    <w:uiPriority w:val="0"/>
    <w:pPr>
      <w:ind w:firstLine="420" w:firstLineChars="200"/>
    </w:pPr>
    <w:rPr>
      <w:rFonts w:hint="eastAsia" w:ascii="宋体" w:hAnsi="Times New Roman" w:eastAsia="宋体" w:cs="Times New Roman"/>
      <w:kern w:val="0"/>
      <w:szCs w:val="20"/>
    </w:rPr>
  </w:style>
  <w:style w:type="paragraph" w:customStyle="1" w:styleId="81">
    <w:name w:val="title1"/>
    <w:basedOn w:val="1"/>
    <w:qFormat/>
    <w:uiPriority w:val="0"/>
    <w:pPr>
      <w:spacing w:before="150"/>
      <w:jc w:val="left"/>
    </w:pPr>
    <w:rPr>
      <w:rFonts w:cs="Times New Roman"/>
      <w:b/>
      <w:kern w:val="0"/>
      <w:sz w:val="22"/>
    </w:rPr>
  </w:style>
  <w:style w:type="character" w:customStyle="1" w:styleId="82">
    <w:name w:val="批注框文本 字符"/>
    <w:basedOn w:val="39"/>
    <w:link w:val="21"/>
    <w:qFormat/>
    <w:uiPriority w:val="0"/>
    <w:rPr>
      <w:rFonts w:asciiTheme="minorHAnsi" w:hAnsiTheme="minorHAnsi" w:eastAsiaTheme="minorEastAsia" w:cstheme="minorBidi"/>
      <w:kern w:val="2"/>
      <w:sz w:val="18"/>
      <w:szCs w:val="18"/>
    </w:rPr>
  </w:style>
  <w:style w:type="paragraph" w:styleId="83">
    <w:name w:val="List Paragraph"/>
    <w:basedOn w:val="1"/>
    <w:qFormat/>
    <w:uiPriority w:val="99"/>
    <w:pPr>
      <w:ind w:firstLine="420" w:firstLineChars="200"/>
    </w:pPr>
  </w:style>
  <w:style w:type="paragraph" w:customStyle="1" w:styleId="84">
    <w:name w:val="_Style 8"/>
    <w:basedOn w:val="1"/>
    <w:next w:val="1"/>
    <w:unhideWhenUsed/>
    <w:qFormat/>
    <w:uiPriority w:val="39"/>
    <w:rPr>
      <w:rFonts w:ascii="Times New Roman" w:hAnsi="Times New Roman" w:eastAsia="宋体" w:cs="Times New Roman"/>
      <w:szCs w:val="24"/>
    </w:rPr>
  </w:style>
  <w:style w:type="character" w:customStyle="1" w:styleId="85">
    <w:name w:val="font111"/>
    <w:basedOn w:val="39"/>
    <w:qFormat/>
    <w:uiPriority w:val="0"/>
    <w:rPr>
      <w:rFonts w:hint="eastAsia" w:ascii="宋体" w:hAnsi="宋体" w:eastAsia="宋体" w:cs="宋体"/>
      <w:color w:val="000000"/>
      <w:sz w:val="20"/>
      <w:szCs w:val="20"/>
      <w:u w:val="none"/>
    </w:rPr>
  </w:style>
  <w:style w:type="character" w:customStyle="1" w:styleId="86">
    <w:name w:val="font01"/>
    <w:basedOn w:val="39"/>
    <w:qFormat/>
    <w:uiPriority w:val="0"/>
    <w:rPr>
      <w:rFonts w:hint="eastAsia" w:ascii="宋体" w:hAnsi="宋体" w:eastAsia="宋体" w:cs="宋体"/>
      <w:b/>
      <w:color w:val="FF0000"/>
      <w:sz w:val="20"/>
      <w:szCs w:val="20"/>
      <w:u w:val="none"/>
    </w:rPr>
  </w:style>
  <w:style w:type="character" w:customStyle="1" w:styleId="87">
    <w:name w:val="font122"/>
    <w:basedOn w:val="39"/>
    <w:qFormat/>
    <w:uiPriority w:val="0"/>
    <w:rPr>
      <w:rFonts w:hint="eastAsia" w:ascii="宋体" w:hAnsi="宋体" w:eastAsia="宋体" w:cs="宋体"/>
      <w:color w:val="000000"/>
      <w:sz w:val="20"/>
      <w:szCs w:val="20"/>
      <w:u w:val="none"/>
    </w:rPr>
  </w:style>
  <w:style w:type="character" w:customStyle="1" w:styleId="88">
    <w:name w:val="font101"/>
    <w:basedOn w:val="39"/>
    <w:qFormat/>
    <w:uiPriority w:val="0"/>
    <w:rPr>
      <w:rFonts w:hint="eastAsia" w:ascii="宋体" w:hAnsi="宋体" w:eastAsia="宋体" w:cs="宋体"/>
      <w:color w:val="000000"/>
      <w:sz w:val="20"/>
      <w:szCs w:val="20"/>
      <w:u w:val="none"/>
    </w:rPr>
  </w:style>
  <w:style w:type="character" w:customStyle="1" w:styleId="89">
    <w:name w:val="font71"/>
    <w:basedOn w:val="39"/>
    <w:qFormat/>
    <w:uiPriority w:val="0"/>
    <w:rPr>
      <w:rFonts w:ascii="宋体" w:hAnsi="宋体" w:eastAsia="宋体" w:cs="宋体"/>
      <w:color w:val="000000"/>
      <w:sz w:val="20"/>
      <w:szCs w:val="20"/>
      <w:u w:val="none"/>
    </w:rPr>
  </w:style>
  <w:style w:type="character" w:customStyle="1" w:styleId="90">
    <w:name w:val="批注文字 字符"/>
    <w:basedOn w:val="39"/>
    <w:link w:val="11"/>
    <w:qFormat/>
    <w:uiPriority w:val="0"/>
    <w:rPr>
      <w:rFonts w:asciiTheme="minorHAnsi" w:hAnsiTheme="minorHAnsi" w:eastAsiaTheme="minorEastAsia" w:cstheme="minorBidi"/>
      <w:kern w:val="2"/>
      <w:sz w:val="24"/>
      <w:szCs w:val="22"/>
    </w:rPr>
  </w:style>
  <w:style w:type="character" w:customStyle="1" w:styleId="91">
    <w:name w:val="批注主题 字符"/>
    <w:basedOn w:val="90"/>
    <w:link w:val="34"/>
    <w:qFormat/>
    <w:uiPriority w:val="0"/>
    <w:rPr>
      <w:rFonts w:asciiTheme="minorHAnsi" w:hAnsiTheme="minorHAnsi" w:eastAsiaTheme="minorEastAsia" w:cstheme="minorBidi"/>
      <w:b/>
      <w:bCs/>
      <w:kern w:val="2"/>
      <w:sz w:val="24"/>
      <w:szCs w:val="22"/>
    </w:rPr>
  </w:style>
  <w:style w:type="character" w:customStyle="1" w:styleId="92">
    <w:name w:val="indent"/>
    <w:basedOn w:val="39"/>
    <w:qFormat/>
    <w:uiPriority w:val="0"/>
  </w:style>
  <w:style w:type="character" w:customStyle="1" w:styleId="93">
    <w:name w:val="正文文本 2 字符"/>
    <w:basedOn w:val="39"/>
    <w:link w:val="31"/>
    <w:qFormat/>
    <w:uiPriority w:val="0"/>
    <w:rPr>
      <w:rFonts w:asciiTheme="minorHAnsi" w:hAnsiTheme="minorHAnsi" w:eastAsiaTheme="minorEastAsia" w:cstheme="minorBidi"/>
      <w:kern w:val="2"/>
      <w:sz w:val="24"/>
      <w:szCs w:val="22"/>
    </w:rPr>
  </w:style>
  <w:style w:type="paragraph" w:customStyle="1" w:styleId="94">
    <w:name w:val="Char Char1 Char"/>
    <w:basedOn w:val="1"/>
    <w:qFormat/>
    <w:uiPriority w:val="0"/>
    <w:rPr>
      <w:rFonts w:ascii="Times New Roman" w:hAnsi="Times New Roman" w:eastAsia="宋体" w:cs="Times New Roman"/>
      <w:sz w:val="21"/>
      <w:szCs w:val="20"/>
    </w:rPr>
  </w:style>
  <w:style w:type="character" w:customStyle="1" w:styleId="95">
    <w:name w:val="页脚 字符"/>
    <w:basedOn w:val="39"/>
    <w:link w:val="22"/>
    <w:qFormat/>
    <w:uiPriority w:val="99"/>
    <w:rPr>
      <w:rFonts w:asciiTheme="minorHAnsi" w:hAnsiTheme="minorHAnsi" w:cstheme="minorBidi"/>
      <w:kern w:val="2"/>
      <w:sz w:val="18"/>
      <w:szCs w:val="18"/>
    </w:rPr>
  </w:style>
  <w:style w:type="character" w:customStyle="1" w:styleId="96">
    <w:name w:val="noticebidtime-bidaddress"/>
    <w:basedOn w:val="39"/>
    <w:qFormat/>
    <w:uiPriority w:val="0"/>
  </w:style>
  <w:style w:type="paragraph" w:customStyle="1" w:styleId="97">
    <w:name w:val="_Style 80"/>
    <w:basedOn w:val="1"/>
    <w:next w:val="1"/>
    <w:qFormat/>
    <w:uiPriority w:val="0"/>
    <w:pPr>
      <w:pBdr>
        <w:bottom w:val="single" w:color="auto" w:sz="6" w:space="1"/>
      </w:pBdr>
      <w:jc w:val="center"/>
    </w:pPr>
    <w:rPr>
      <w:rFonts w:ascii="Arial" w:eastAsia="宋体"/>
      <w:vanish/>
      <w:sz w:val="16"/>
    </w:rPr>
  </w:style>
  <w:style w:type="paragraph" w:customStyle="1" w:styleId="98">
    <w:name w:val="_Style 81"/>
    <w:basedOn w:val="1"/>
    <w:next w:val="1"/>
    <w:qFormat/>
    <w:uiPriority w:val="0"/>
    <w:pPr>
      <w:pBdr>
        <w:top w:val="single" w:color="auto" w:sz="6" w:space="1"/>
      </w:pBdr>
      <w:jc w:val="center"/>
    </w:pPr>
    <w:rPr>
      <w:rFonts w:ascii="Arial" w:eastAsia="宋体"/>
      <w:vanish/>
      <w:sz w:val="16"/>
    </w:rPr>
  </w:style>
  <w:style w:type="character" w:customStyle="1" w:styleId="99">
    <w:name w:val="mini-tree-nodetext3"/>
    <w:basedOn w:val="39"/>
    <w:qFormat/>
    <w:uiPriority w:val="0"/>
  </w:style>
  <w:style w:type="character" w:customStyle="1" w:styleId="100">
    <w:name w:val="MSG_EN_FONT_STYLE_NAME_TEMPLATE_ROLE_LEVEL MSG_EN_FONT_STYLE_NAME_BY_ROLE_HEADING 7 + MSG_EN_FONT_STYLE_MODIFER_SPACING 0"/>
    <w:qFormat/>
    <w:uiPriority w:val="0"/>
    <w:rPr>
      <w:rFonts w:ascii="PMingLiU" w:hAnsi="PMingLiU" w:eastAsia="PMingLiU" w:cs="PMingLiU"/>
      <w:color w:val="000000"/>
      <w:spacing w:val="0"/>
      <w:w w:val="100"/>
      <w:position w:val="0"/>
      <w:sz w:val="22"/>
      <w:szCs w:val="22"/>
      <w:u w:val="none"/>
      <w:lang w:val="zh-CN" w:eastAsia="zh-CN" w:bidi="zh-CN"/>
    </w:rPr>
  </w:style>
  <w:style w:type="character" w:customStyle="1" w:styleId="101">
    <w:name w:val="标题 5 字符"/>
    <w:basedOn w:val="39"/>
    <w:link w:val="6"/>
    <w:qFormat/>
    <w:uiPriority w:val="0"/>
    <w:rPr>
      <w:rFonts w:ascii="宋体" w:hAnsi="宋体" w:eastAsiaTheme="minorEastAsia" w:cstheme="minorBidi"/>
      <w:b/>
      <w:sz w:val="24"/>
    </w:rPr>
  </w:style>
  <w:style w:type="character" w:customStyle="1" w:styleId="102">
    <w:name w:val="正文文本缩进 2 字符"/>
    <w:basedOn w:val="39"/>
    <w:link w:val="20"/>
    <w:qFormat/>
    <w:uiPriority w:val="0"/>
    <w:rPr>
      <w:rFonts w:ascii="宋体" w:hAnsi="MS Sans Serif" w:eastAsiaTheme="minorEastAsia" w:cstheme="minorBidi"/>
      <w:spacing w:val="12"/>
      <w:sz w:val="24"/>
    </w:rPr>
  </w:style>
  <w:style w:type="character" w:customStyle="1" w:styleId="103">
    <w:name w:val="正文文本缩进 3 字符"/>
    <w:basedOn w:val="39"/>
    <w:link w:val="27"/>
    <w:qFormat/>
    <w:uiPriority w:val="0"/>
    <w:rPr>
      <w:rFonts w:ascii="宋体" w:hAnsi="MS Sans Serif" w:eastAsiaTheme="minorEastAsia" w:cstheme="minorBidi"/>
      <w:color w:val="000000"/>
      <w:sz w:val="24"/>
    </w:rPr>
  </w:style>
  <w:style w:type="paragraph" w:customStyle="1" w:styleId="104">
    <w:name w:val="目录"/>
    <w:basedOn w:val="1"/>
    <w:qFormat/>
    <w:uiPriority w:val="0"/>
    <w:pPr>
      <w:widowControl/>
      <w:jc w:val="center"/>
    </w:pPr>
    <w:rPr>
      <w:rFonts w:ascii="宋体" w:hAnsi="Times New Roman"/>
      <w:b/>
      <w:kern w:val="0"/>
      <w:sz w:val="36"/>
    </w:rPr>
  </w:style>
  <w:style w:type="character" w:customStyle="1" w:styleId="105">
    <w:name w:val="标题 1 字符"/>
    <w:link w:val="2"/>
    <w:qFormat/>
    <w:uiPriority w:val="0"/>
    <w:rPr>
      <w:rFonts w:asciiTheme="minorHAnsi" w:hAnsiTheme="minorHAnsi" w:cstheme="minorBidi"/>
      <w:b/>
      <w:bCs/>
      <w:kern w:val="44"/>
      <w:sz w:val="44"/>
      <w:szCs w:val="44"/>
    </w:rPr>
  </w:style>
  <w:style w:type="character" w:customStyle="1" w:styleId="106">
    <w:name w:val="MSG_EN_FONT_STYLE_NAME_TEMPLATE_ROLE_NUMBER MSG_EN_FONT_STYLE_NAME_BY_ROLE_TEXT 11_"/>
    <w:link w:val="107"/>
    <w:qFormat/>
    <w:uiPriority w:val="0"/>
    <w:rPr>
      <w:rFonts w:ascii="PMingLiU" w:hAnsi="PMingLiU" w:eastAsia="PMingLiU" w:cs="PMingLiU"/>
      <w:sz w:val="17"/>
      <w:szCs w:val="17"/>
      <w:shd w:val="clear" w:color="auto" w:fill="FFFFFF"/>
    </w:rPr>
  </w:style>
  <w:style w:type="paragraph" w:customStyle="1" w:styleId="107">
    <w:name w:val="MSG_EN_FONT_STYLE_NAME_TEMPLATE_ROLE_NUMBER MSG_EN_FONT_STYLE_NAME_BY_ROLE_TEXT 11"/>
    <w:basedOn w:val="1"/>
    <w:link w:val="106"/>
    <w:qFormat/>
    <w:uiPriority w:val="0"/>
    <w:pPr>
      <w:shd w:val="clear" w:color="auto" w:fill="FFFFFF"/>
      <w:spacing w:before="320" w:line="293" w:lineRule="exact"/>
      <w:ind w:hanging="220"/>
      <w:jc w:val="distribute"/>
    </w:pPr>
    <w:rPr>
      <w:rFonts w:ascii="PMingLiU" w:hAnsi="PMingLiU" w:eastAsia="PMingLiU" w:cs="PMingLiU"/>
      <w:kern w:val="0"/>
      <w:sz w:val="17"/>
      <w:szCs w:val="17"/>
    </w:rPr>
  </w:style>
  <w:style w:type="character" w:customStyle="1" w:styleId="108">
    <w:name w:val="MSG_EN_FONT_STYLE_NAME_TEMPLATE_ROLE_NUMBER MSG_EN_FONT_STYLE_NAME_BY_ROLE_TEXT 7_"/>
    <w:link w:val="109"/>
    <w:qFormat/>
    <w:uiPriority w:val="0"/>
    <w:rPr>
      <w:rFonts w:ascii="PMingLiU" w:hAnsi="PMingLiU" w:eastAsia="PMingLiU" w:cs="PMingLiU"/>
      <w:spacing w:val="20"/>
      <w:sz w:val="21"/>
      <w:szCs w:val="21"/>
      <w:shd w:val="clear" w:color="auto" w:fill="FFFFFF"/>
    </w:rPr>
  </w:style>
  <w:style w:type="paragraph" w:customStyle="1" w:styleId="109">
    <w:name w:val="MSG_EN_FONT_STYLE_NAME_TEMPLATE_ROLE_NUMBER MSG_EN_FONT_STYLE_NAME_BY_ROLE_TEXT 7"/>
    <w:basedOn w:val="1"/>
    <w:link w:val="108"/>
    <w:qFormat/>
    <w:uiPriority w:val="0"/>
    <w:pPr>
      <w:shd w:val="clear" w:color="auto" w:fill="FFFFFF"/>
      <w:spacing w:before="140" w:after="300" w:line="210" w:lineRule="exact"/>
      <w:jc w:val="center"/>
    </w:pPr>
    <w:rPr>
      <w:rFonts w:ascii="PMingLiU" w:hAnsi="PMingLiU" w:eastAsia="PMingLiU" w:cs="PMingLiU"/>
      <w:spacing w:val="20"/>
      <w:kern w:val="0"/>
      <w:sz w:val="21"/>
      <w:szCs w:val="21"/>
    </w:rPr>
  </w:style>
  <w:style w:type="character" w:customStyle="1" w:styleId="110">
    <w:name w:val="MSG_EN_FONT_STYLE_NAME_TEMPLATE_ROLE_NUMBER MSG_EN_FONT_STYLE_NAME_BY_ROLE_TEXT 2 + MSG_EN_FONT_STYLE_MODIFER_NAME Times New Roman"/>
    <w:qFormat/>
    <w:uiPriority w:val="0"/>
    <w:rPr>
      <w:rFonts w:ascii="Times New Roman" w:hAnsi="Times New Roman" w:eastAsia="Times New Roman" w:cs="Times New Roman"/>
      <w:color w:val="000000"/>
      <w:spacing w:val="0"/>
      <w:w w:val="100"/>
      <w:position w:val="0"/>
      <w:sz w:val="22"/>
      <w:szCs w:val="22"/>
      <w:u w:val="none"/>
      <w:shd w:val="clear" w:color="auto" w:fill="FFFFFF"/>
      <w:lang w:val="en-US" w:eastAsia="en-US" w:bidi="en-US"/>
    </w:rPr>
  </w:style>
  <w:style w:type="character" w:customStyle="1" w:styleId="111">
    <w:name w:val="页脚 Char"/>
    <w:qFormat/>
    <w:locked/>
    <w:uiPriority w:val="99"/>
    <w:rPr>
      <w:rFonts w:eastAsia="宋体"/>
      <w:kern w:val="2"/>
      <w:sz w:val="18"/>
      <w:szCs w:val="18"/>
      <w:lang w:val="en-US" w:eastAsia="zh-CN" w:bidi="ar-SA"/>
    </w:rPr>
  </w:style>
  <w:style w:type="character" w:customStyle="1" w:styleId="112">
    <w:name w:val="MSG_EN_FONT_STYLE_NAME_TEMPLATE_ROLE_LEVEL MSG_EN_FONT_STYLE_NAME_BY_ROLE_HEADING 7_"/>
    <w:link w:val="113"/>
    <w:qFormat/>
    <w:uiPriority w:val="0"/>
    <w:rPr>
      <w:rFonts w:ascii="PMingLiU" w:hAnsi="PMingLiU" w:eastAsia="PMingLiU" w:cs="PMingLiU"/>
      <w:spacing w:val="20"/>
      <w:sz w:val="22"/>
      <w:szCs w:val="22"/>
      <w:shd w:val="clear" w:color="auto" w:fill="FFFFFF"/>
    </w:rPr>
  </w:style>
  <w:style w:type="paragraph" w:customStyle="1" w:styleId="113">
    <w:name w:val="MSG_EN_FONT_STYLE_NAME_TEMPLATE_ROLE_LEVEL MSG_EN_FONT_STYLE_NAME_BY_ROLE_HEADING 7"/>
    <w:basedOn w:val="1"/>
    <w:link w:val="112"/>
    <w:qFormat/>
    <w:uiPriority w:val="0"/>
    <w:pPr>
      <w:shd w:val="clear" w:color="auto" w:fill="FFFFFF"/>
      <w:spacing w:line="562" w:lineRule="exact"/>
      <w:jc w:val="left"/>
      <w:outlineLvl w:val="6"/>
    </w:pPr>
    <w:rPr>
      <w:rFonts w:ascii="PMingLiU" w:hAnsi="PMingLiU" w:eastAsia="PMingLiU" w:cs="PMingLiU"/>
      <w:spacing w:val="20"/>
      <w:kern w:val="0"/>
      <w:sz w:val="22"/>
    </w:rPr>
  </w:style>
  <w:style w:type="character" w:customStyle="1" w:styleId="114">
    <w:name w:val="正文文本 字符"/>
    <w:link w:val="13"/>
    <w:qFormat/>
    <w:locked/>
    <w:uiPriority w:val="0"/>
    <w:rPr>
      <w:rFonts w:asciiTheme="minorHAnsi" w:hAnsiTheme="minorHAnsi" w:eastAsiaTheme="minorEastAsia" w:cstheme="minorBidi"/>
      <w:kern w:val="2"/>
      <w:sz w:val="24"/>
      <w:szCs w:val="22"/>
    </w:rPr>
  </w:style>
  <w:style w:type="character" w:customStyle="1" w:styleId="115">
    <w:name w:val="MSG_EN_FONT_STYLE_NAME_TEMPLATE_ROLE_NUMBER MSG_EN_FONT_STYLE_NAME_BY_ROLE_TEXT 2 + MSG_EN_FONT_STYLE_MODIFER_NAME SimSun"/>
    <w:qFormat/>
    <w:uiPriority w:val="0"/>
    <w:rPr>
      <w:rFonts w:ascii="宋体" w:hAnsi="宋体" w:eastAsia="宋体" w:cs="宋体"/>
      <w:color w:val="000000"/>
      <w:spacing w:val="0"/>
      <w:w w:val="100"/>
      <w:position w:val="0"/>
      <w:sz w:val="22"/>
      <w:szCs w:val="22"/>
      <w:u w:val="none"/>
      <w:shd w:val="clear" w:color="auto" w:fill="FFFFFF"/>
      <w:lang w:val="zh-CN" w:eastAsia="zh-CN" w:bidi="zh-CN"/>
    </w:rPr>
  </w:style>
  <w:style w:type="character" w:customStyle="1" w:styleId="116">
    <w:name w:val="MSG_EN_FONT_STYLE_NAME_TEMPLATE_ROLE_NUMBER MSG_EN_FONT_STYLE_NAME_BY_ROLE_TEXT 2_"/>
    <w:link w:val="117"/>
    <w:qFormat/>
    <w:uiPriority w:val="0"/>
    <w:rPr>
      <w:rFonts w:ascii="PMingLiU" w:hAnsi="PMingLiU" w:eastAsia="PMingLiU" w:cs="PMingLiU"/>
      <w:sz w:val="22"/>
      <w:szCs w:val="22"/>
      <w:shd w:val="clear" w:color="auto" w:fill="FFFFFF"/>
    </w:rPr>
  </w:style>
  <w:style w:type="paragraph" w:customStyle="1" w:styleId="117">
    <w:name w:val="MSG_EN_FONT_STYLE_NAME_TEMPLATE_ROLE_NUMBER MSG_EN_FONT_STYLE_NAME_BY_ROLE_TEXT 2"/>
    <w:basedOn w:val="1"/>
    <w:link w:val="116"/>
    <w:qFormat/>
    <w:uiPriority w:val="0"/>
    <w:pPr>
      <w:shd w:val="clear" w:color="auto" w:fill="FFFFFF"/>
      <w:spacing w:before="300" w:line="451" w:lineRule="exact"/>
      <w:jc w:val="distribute"/>
    </w:pPr>
    <w:rPr>
      <w:rFonts w:ascii="PMingLiU" w:hAnsi="PMingLiU" w:eastAsia="PMingLiU" w:cs="PMingLiU"/>
      <w:kern w:val="0"/>
      <w:sz w:val="22"/>
    </w:rPr>
  </w:style>
  <w:style w:type="character" w:customStyle="1" w:styleId="118">
    <w:name w:val="页眉 字符"/>
    <w:link w:val="23"/>
    <w:qFormat/>
    <w:locked/>
    <w:uiPriority w:val="0"/>
    <w:rPr>
      <w:rFonts w:asciiTheme="minorHAnsi" w:hAnsiTheme="minorHAnsi" w:eastAsiaTheme="minorEastAsia" w:cstheme="minorBidi"/>
      <w:kern w:val="2"/>
      <w:sz w:val="18"/>
      <w:szCs w:val="18"/>
    </w:rPr>
  </w:style>
  <w:style w:type="character" w:customStyle="1" w:styleId="119">
    <w:name w:val="标题 3 字符"/>
    <w:link w:val="4"/>
    <w:qFormat/>
    <w:locked/>
    <w:uiPriority w:val="0"/>
    <w:rPr>
      <w:rFonts w:eastAsiaTheme="minorEastAsia" w:cstheme="minorBidi"/>
      <w:b/>
      <w:bCs/>
      <w:kern w:val="2"/>
      <w:sz w:val="32"/>
      <w:szCs w:val="32"/>
    </w:rPr>
  </w:style>
  <w:style w:type="character" w:customStyle="1" w:styleId="120">
    <w:name w:val="MSG_EN_FONT_STYLE_NAME_TEMPLATE_ROLE_LEVEL_NUMBER MSG_EN_FONT_STYLE_NAME_BY_ROLE_HEADING 6 2_"/>
    <w:link w:val="121"/>
    <w:qFormat/>
    <w:uiPriority w:val="0"/>
    <w:rPr>
      <w:rFonts w:ascii="PMingLiU" w:hAnsi="PMingLiU" w:eastAsia="PMingLiU" w:cs="PMingLiU"/>
      <w:sz w:val="22"/>
      <w:szCs w:val="22"/>
      <w:shd w:val="clear" w:color="auto" w:fill="FFFFFF"/>
    </w:rPr>
  </w:style>
  <w:style w:type="paragraph" w:customStyle="1" w:styleId="121">
    <w:name w:val="MSG_EN_FONT_STYLE_NAME_TEMPLATE_ROLE_LEVEL_NUMBER MSG_EN_FONT_STYLE_NAME_BY_ROLE_HEADING 6 2"/>
    <w:basedOn w:val="1"/>
    <w:link w:val="120"/>
    <w:qFormat/>
    <w:uiPriority w:val="0"/>
    <w:pPr>
      <w:shd w:val="clear" w:color="auto" w:fill="FFFFFF"/>
      <w:spacing w:before="420" w:after="620" w:line="220" w:lineRule="exact"/>
      <w:jc w:val="distribute"/>
      <w:outlineLvl w:val="5"/>
    </w:pPr>
    <w:rPr>
      <w:rFonts w:ascii="PMingLiU" w:hAnsi="PMingLiU" w:eastAsia="PMingLiU" w:cs="PMingLiU"/>
      <w:kern w:val="0"/>
      <w:sz w:val="22"/>
    </w:rPr>
  </w:style>
  <w:style w:type="character" w:customStyle="1" w:styleId="122">
    <w:name w:val="正文文本 3 字符1"/>
    <w:link w:val="12"/>
    <w:qFormat/>
    <w:locked/>
    <w:uiPriority w:val="0"/>
    <w:rPr>
      <w:rFonts w:ascii="宋体"/>
      <w:sz w:val="24"/>
    </w:rPr>
  </w:style>
  <w:style w:type="character" w:customStyle="1" w:styleId="123">
    <w:name w:val="font21"/>
    <w:basedOn w:val="39"/>
    <w:qFormat/>
    <w:uiPriority w:val="0"/>
    <w:rPr>
      <w:rFonts w:ascii="宋体" w:hAnsi="宋体" w:eastAsia="宋体" w:cs="宋体"/>
      <w:color w:val="000000"/>
      <w:sz w:val="22"/>
      <w:szCs w:val="22"/>
      <w:u w:val="none"/>
    </w:rPr>
  </w:style>
  <w:style w:type="character" w:customStyle="1" w:styleId="124">
    <w:name w:val="MSG_EN_FONT_STYLE_NAME_TEMPLATE_ROLE_NUMBER MSG_EN_FONT_STYLE_NAME_BY_ROLE_TEXT 7 + MSG_EN_FONT_STYLE_MODIFER_NAME Arial"/>
    <w:qFormat/>
    <w:uiPriority w:val="0"/>
    <w:rPr>
      <w:rFonts w:ascii="Arial" w:hAnsi="Arial" w:eastAsia="Arial" w:cs="Arial"/>
      <w:color w:val="000000"/>
      <w:spacing w:val="0"/>
      <w:w w:val="100"/>
      <w:position w:val="0"/>
      <w:sz w:val="24"/>
      <w:szCs w:val="24"/>
      <w:u w:val="none"/>
      <w:lang w:val="en-US" w:eastAsia="en-US" w:bidi="en-US"/>
    </w:rPr>
  </w:style>
  <w:style w:type="character" w:customStyle="1" w:styleId="125">
    <w:name w:val="MSG_EN_FONT_STYLE_NAME_TEMPLATE_ROLE_NUMBER MSG_EN_FONT_STYLE_NAME_BY_ROLE_TEXT 2 + MSG_EN_FONT_STYLE_MODIFER_SIZE 21"/>
    <w:qFormat/>
    <w:uiPriority w:val="0"/>
    <w:rPr>
      <w:rFonts w:ascii="PMingLiU" w:hAnsi="PMingLiU" w:eastAsia="PMingLiU" w:cs="PMingLiU"/>
      <w:color w:val="000000"/>
      <w:spacing w:val="0"/>
      <w:w w:val="100"/>
      <w:position w:val="0"/>
      <w:sz w:val="42"/>
      <w:szCs w:val="42"/>
      <w:u w:val="none"/>
      <w:shd w:val="clear" w:color="auto" w:fill="FFFFFF"/>
      <w:lang w:val="zh-CN" w:eastAsia="zh-CN" w:bidi="zh-CN"/>
    </w:rPr>
  </w:style>
  <w:style w:type="character" w:customStyle="1" w:styleId="126">
    <w:name w:val="MSG_EN_FONT_STYLE_NAME_TEMPLATE_ROLE_NUMBER MSG_EN_FONT_STYLE_NAME_BY_ROLE_TEXT 2 + MSG_EN_FONT_STYLE_MODIFER_SIZE 10.5"/>
    <w:qFormat/>
    <w:uiPriority w:val="0"/>
    <w:rPr>
      <w:rFonts w:ascii="PMingLiU" w:hAnsi="PMingLiU" w:eastAsia="PMingLiU" w:cs="PMingLiU"/>
      <w:color w:val="000000"/>
      <w:spacing w:val="0"/>
      <w:w w:val="100"/>
      <w:position w:val="0"/>
      <w:sz w:val="21"/>
      <w:szCs w:val="21"/>
      <w:u w:val="none"/>
      <w:lang w:val="zh-CN" w:eastAsia="zh-CN" w:bidi="zh-CN"/>
    </w:rPr>
  </w:style>
  <w:style w:type="character" w:customStyle="1" w:styleId="127">
    <w:name w:val="批注框文本 Char"/>
    <w:qFormat/>
    <w:locked/>
    <w:uiPriority w:val="0"/>
    <w:rPr>
      <w:rFonts w:eastAsia="宋体"/>
      <w:kern w:val="2"/>
      <w:sz w:val="18"/>
      <w:szCs w:val="18"/>
      <w:lang w:val="en-US" w:eastAsia="zh-CN" w:bidi="ar-SA"/>
    </w:rPr>
  </w:style>
  <w:style w:type="character" w:customStyle="1" w:styleId="128">
    <w:name w:val="font31"/>
    <w:qFormat/>
    <w:uiPriority w:val="0"/>
    <w:rPr>
      <w:rFonts w:ascii="font-weight : 400" w:hAnsi="font-weight : 400" w:cs="font-weight : 400"/>
      <w:color w:val="000000"/>
      <w:sz w:val="22"/>
      <w:szCs w:val="22"/>
      <w:u w:val="none"/>
    </w:rPr>
  </w:style>
  <w:style w:type="character" w:customStyle="1" w:styleId="129">
    <w:name w:val="标题 1 Char"/>
    <w:qFormat/>
    <w:locked/>
    <w:uiPriority w:val="0"/>
    <w:rPr>
      <w:rFonts w:eastAsia="宋体"/>
      <w:b/>
      <w:bCs/>
      <w:kern w:val="44"/>
      <w:sz w:val="44"/>
      <w:szCs w:val="44"/>
      <w:lang w:val="en-US" w:eastAsia="zh-CN" w:bidi="ar-SA"/>
    </w:rPr>
  </w:style>
  <w:style w:type="character" w:customStyle="1" w:styleId="130">
    <w:name w:val="标题 字符1"/>
    <w:link w:val="33"/>
    <w:qFormat/>
    <w:locked/>
    <w:uiPriority w:val="0"/>
    <w:rPr>
      <w:rFonts w:ascii="Tahoma" w:hAnsi="Tahoma"/>
      <w:b/>
      <w:spacing w:val="8"/>
      <w:kern w:val="2"/>
      <w:sz w:val="28"/>
      <w:szCs w:val="24"/>
    </w:rPr>
  </w:style>
  <w:style w:type="character" w:customStyle="1" w:styleId="131">
    <w:name w:val="MSG_EN_FONT_STYLE_NAME_TEMPLATE_ROLE_NUMBER MSG_EN_FONT_STYLE_NAME_BY_ROLE_TEXT 7 + MSG_EN_FONT_STYLE_MODIFER_SPACING 0"/>
    <w:qFormat/>
    <w:uiPriority w:val="0"/>
    <w:rPr>
      <w:rFonts w:ascii="PMingLiU" w:hAnsi="PMingLiU" w:eastAsia="PMingLiU" w:cs="PMingLiU"/>
      <w:color w:val="000000"/>
      <w:spacing w:val="0"/>
      <w:w w:val="100"/>
      <w:position w:val="0"/>
      <w:sz w:val="21"/>
      <w:szCs w:val="21"/>
      <w:u w:val="none"/>
      <w:lang w:val="zh-CN" w:eastAsia="zh-CN" w:bidi="zh-CN"/>
    </w:rPr>
  </w:style>
  <w:style w:type="character" w:customStyle="1" w:styleId="132">
    <w:name w:val="标题 2 字符"/>
    <w:link w:val="3"/>
    <w:qFormat/>
    <w:locked/>
    <w:uiPriority w:val="0"/>
    <w:rPr>
      <w:rFonts w:ascii="Arial" w:hAnsi="Arial" w:eastAsia="黑体" w:cstheme="minorBidi"/>
      <w:b/>
      <w:bCs/>
      <w:kern w:val="2"/>
      <w:sz w:val="32"/>
      <w:szCs w:val="32"/>
    </w:rPr>
  </w:style>
  <w:style w:type="character" w:customStyle="1" w:styleId="133">
    <w:name w:val="正文文本 3 字符"/>
    <w:basedOn w:val="39"/>
    <w:qFormat/>
    <w:uiPriority w:val="0"/>
    <w:rPr>
      <w:rFonts w:asciiTheme="minorHAnsi" w:hAnsiTheme="minorHAnsi" w:eastAsiaTheme="minorEastAsia" w:cstheme="minorBidi"/>
      <w:kern w:val="2"/>
      <w:sz w:val="16"/>
      <w:szCs w:val="16"/>
    </w:rPr>
  </w:style>
  <w:style w:type="paragraph" w:styleId="134">
    <w:name w:val="No Spacing"/>
    <w:qFormat/>
    <w:uiPriority w:val="1"/>
    <w:pPr>
      <w:widowControl w:val="0"/>
    </w:pPr>
    <w:rPr>
      <w:rFonts w:ascii="Times New Roman" w:hAnsi="Times New Roman" w:eastAsia="Times New Roman" w:cs="Times New Roman"/>
      <w:color w:val="000000"/>
      <w:sz w:val="24"/>
      <w:szCs w:val="24"/>
      <w:lang w:val="zh-CN" w:eastAsia="zh-CN" w:bidi="zh-CN"/>
    </w:rPr>
  </w:style>
  <w:style w:type="paragraph" w:customStyle="1" w:styleId="135">
    <w:name w:val="无间隔1"/>
    <w:qFormat/>
    <w:uiPriority w:val="0"/>
    <w:pPr>
      <w:widowControl w:val="0"/>
    </w:pPr>
    <w:rPr>
      <w:rFonts w:ascii="Times New Roman" w:hAnsi="Times New Roman" w:eastAsia="宋体" w:cs="Times New Roman"/>
      <w:color w:val="000000"/>
      <w:sz w:val="24"/>
      <w:szCs w:val="24"/>
      <w:lang w:val="zh-CN" w:eastAsia="zh-CN" w:bidi="ar-SA"/>
    </w:rPr>
  </w:style>
  <w:style w:type="character" w:customStyle="1" w:styleId="136">
    <w:name w:val="标题 字符"/>
    <w:basedOn w:val="39"/>
    <w:qFormat/>
    <w:uiPriority w:val="0"/>
    <w:rPr>
      <w:rFonts w:asciiTheme="majorHAnsi" w:hAnsiTheme="majorHAnsi" w:eastAsiaTheme="majorEastAsia" w:cstheme="majorBidi"/>
      <w:b/>
      <w:bCs/>
      <w:kern w:val="2"/>
      <w:sz w:val="32"/>
      <w:szCs w:val="32"/>
    </w:rPr>
  </w:style>
  <w:style w:type="paragraph" w:customStyle="1" w:styleId="137">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szCs w:val="22"/>
      <w:lang w:val="en-US" w:eastAsia="zh-CN" w:bidi="ar-SA"/>
    </w:rPr>
  </w:style>
  <w:style w:type="character" w:customStyle="1" w:styleId="138">
    <w:name w:val="日期 字符"/>
    <w:basedOn w:val="39"/>
    <w:link w:val="19"/>
    <w:qFormat/>
    <w:uiPriority w:val="0"/>
    <w:rPr>
      <w:rFonts w:hAnsiTheme="minorHAnsi" w:eastAsiaTheme="minorEastAsia" w:cstheme="minorBidi"/>
      <w:kern w:val="2"/>
      <w:sz w:val="28"/>
      <w:szCs w:val="22"/>
    </w:rPr>
  </w:style>
  <w:style w:type="character" w:customStyle="1" w:styleId="139">
    <w:name w:val="font11"/>
    <w:basedOn w:val="39"/>
    <w:qFormat/>
    <w:uiPriority w:val="0"/>
    <w:rPr>
      <w:rFonts w:hint="default" w:ascii="Calibri" w:hAnsi="Calibri" w:cs="Calibri"/>
      <w:color w:val="000000"/>
      <w:sz w:val="24"/>
      <w:szCs w:val="24"/>
      <w:u w:val="none"/>
    </w:rPr>
  </w:style>
  <w:style w:type="paragraph" w:customStyle="1" w:styleId="140">
    <w:name w:val="表格中文标题"/>
    <w:basedOn w:val="1"/>
    <w:qFormat/>
    <w:uiPriority w:val="0"/>
    <w:pPr>
      <w:spacing w:before="200" w:after="120"/>
      <w:jc w:val="center"/>
    </w:pPr>
    <w:rPr>
      <w:rFonts w:eastAsia="仿宋_GB2312" w:cs="宋体"/>
      <w:b/>
      <w:szCs w:val="21"/>
    </w:rPr>
  </w:style>
  <w:style w:type="paragraph" w:customStyle="1" w:styleId="141">
    <w:name w:val="插图中文标题"/>
    <w:basedOn w:val="1"/>
    <w:qFormat/>
    <w:uiPriority w:val="0"/>
    <w:pPr>
      <w:spacing w:before="100" w:after="200"/>
      <w:jc w:val="center"/>
    </w:pPr>
    <w:rPr>
      <w:rFonts w:eastAsia="仿宋_GB2312"/>
      <w:b/>
      <w:color w:val="000000"/>
      <w:kern w:val="0"/>
      <w:szCs w:val="21"/>
      <w:lang w:val="zh-CN"/>
    </w:rPr>
  </w:style>
  <w:style w:type="paragraph" w:customStyle="1" w:styleId="142">
    <w:name w:val="null3"/>
    <w:hidden/>
    <w:qFormat/>
    <w:uiPriority w:val="0"/>
    <w:rPr>
      <w:rFonts w:hint="eastAsia" w:asciiTheme="minorHAnsi" w:hAnsiTheme="minorHAnsi" w:eastAsiaTheme="minorEastAsia" w:cstheme="minorBidi"/>
      <w:lang w:val="en-US" w:eastAsia="zh-Hans"/>
    </w:rPr>
  </w:style>
  <w:style w:type="paragraph" w:customStyle="1" w:styleId="143">
    <w:name w:val="u-conten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4">
    <w:name w:val="Table Text"/>
    <w:basedOn w:val="1"/>
    <w:semiHidden/>
    <w:qFormat/>
    <w:uiPriority w:val="0"/>
    <w:rPr>
      <w:rFonts w:ascii="宋体" w:hAnsi="宋体" w:eastAsia="宋体" w:cs="宋体"/>
      <w:sz w:val="20"/>
      <w:szCs w:val="20"/>
      <w:lang w:val="en-US" w:eastAsia="en-US" w:bidi="ar-SA"/>
    </w:rPr>
  </w:style>
  <w:style w:type="table" w:customStyle="1" w:styleId="1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DoubleOX</Company>
  <Pages>62</Pages>
  <Words>2686</Words>
  <Characters>3107</Characters>
  <Lines>296</Lines>
  <Paragraphs>924</Paragraphs>
  <TotalTime>0</TotalTime>
  <ScaleCrop>false</ScaleCrop>
  <LinksUpToDate>false</LinksUpToDate>
  <CharactersWithSpaces>3149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2022-03-30T09:33:00Z</dcterms:created>
  <dc:creator>Administrator</dc:creator>
  <cp:lastModifiedBy>潘倩</cp:lastModifiedBy>
  <cp:lastPrinted>2025-12-25T09:24:00Z</cp:lastPrinted>
  <dcterms:modified xsi:type="dcterms:W3CDTF">2026-01-05T02:00:08Z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8D43BE6D34E147E8892DED97F965DC85_13</vt:lpwstr>
  </property>
  <property fmtid="{D5CDD505-2E9C-101B-9397-08002B2CF9AE}" pid="4" name="KSOTemplateDocerSaveRecord">
    <vt:lpwstr>eyJoZGlkIjoiOTlmMTYxODcwYTA5ZmFjMzUwZDc0YTQwMDk4NWEyYTAiLCJ1c2VySWQiOiIxNTg5MTIxNDQ0In0=</vt:lpwstr>
  </property>
</Properties>
</file>