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3C8EF">
      <w:pPr>
        <w:spacing w:line="360" w:lineRule="auto"/>
        <w:jc w:val="both"/>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YC25440031(CGP)</w:t>
      </w:r>
    </w:p>
    <w:p w14:paraId="4E883AEF">
      <w:pPr>
        <w:jc w:val="center"/>
        <w:rPr>
          <w:rFonts w:hint="eastAsia" w:ascii="方正小标宋简体" w:hAnsi="方正小标宋简体" w:eastAsia="方正小标宋简体" w:cs="方正小标宋简体"/>
          <w:b/>
          <w:bCs/>
          <w:color w:val="000000"/>
          <w:spacing w:val="-20"/>
          <w:kern w:val="0"/>
          <w:sz w:val="48"/>
          <w:szCs w:val="48"/>
          <w:lang w:val="en-US" w:eastAsia="zh-CN" w:bidi="ar"/>
        </w:rPr>
      </w:pPr>
      <w:r>
        <w:rPr>
          <w:rFonts w:hint="eastAsia" w:ascii="方正小标宋简体" w:hAnsi="方正小标宋简体" w:eastAsia="方正小标宋简体" w:cs="方正小标宋简体"/>
          <w:b/>
          <w:bCs/>
          <w:color w:val="000000"/>
          <w:spacing w:val="-20"/>
          <w:kern w:val="0"/>
          <w:sz w:val="48"/>
          <w:szCs w:val="48"/>
          <w:lang w:val="en-US" w:eastAsia="zh-CN" w:bidi="ar"/>
        </w:rPr>
        <w:t>石泉县污水处理厂2025年生产药剂采购</w:t>
      </w:r>
      <w:r>
        <w:rPr>
          <w:rFonts w:hint="eastAsia" w:ascii="方正小标宋简体" w:hAnsi="方正小标宋简体" w:eastAsia="方正小标宋简体" w:cs="方正小标宋简体"/>
          <w:b w:val="0"/>
          <w:bCs w:val="0"/>
          <w:color w:val="000000"/>
          <w:spacing w:val="-20"/>
          <w:kern w:val="0"/>
          <w:sz w:val="48"/>
          <w:szCs w:val="48"/>
          <w:lang w:val="en-US" w:eastAsia="zh-CN" w:bidi="ar"/>
        </w:rPr>
        <w:t>项目</w:t>
      </w:r>
    </w:p>
    <w:p w14:paraId="025AADCF">
      <w:pPr>
        <w:pStyle w:val="9"/>
        <w:rPr>
          <w:rFonts w:hint="eastAsia" w:ascii="宋体" w:hAnsi="宋体" w:eastAsia="宋体" w:cs="宋体"/>
        </w:rPr>
      </w:pPr>
    </w:p>
    <w:p w14:paraId="3B79091C">
      <w:pPr>
        <w:spacing w:line="360" w:lineRule="auto"/>
        <w:jc w:val="center"/>
        <w:rPr>
          <w:rFonts w:hint="eastAsia" w:ascii="宋体" w:hAnsi="宋体" w:eastAsia="宋体" w:cs="宋体"/>
          <w:b/>
          <w:sz w:val="56"/>
          <w:szCs w:val="56"/>
        </w:rPr>
      </w:pPr>
    </w:p>
    <w:p w14:paraId="5161DC53">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竞争性</w:t>
      </w:r>
      <w:r>
        <w:rPr>
          <w:rFonts w:hint="eastAsia" w:ascii="宋体" w:hAnsi="宋体" w:eastAsia="宋体" w:cs="宋体"/>
          <w:b/>
          <w:sz w:val="72"/>
          <w:szCs w:val="72"/>
          <w:lang w:eastAsia="zh-CN"/>
        </w:rPr>
        <w:t>谈判</w:t>
      </w:r>
      <w:r>
        <w:rPr>
          <w:rFonts w:hint="eastAsia" w:ascii="宋体" w:hAnsi="宋体" w:eastAsia="宋体" w:cs="宋体"/>
          <w:b/>
          <w:sz w:val="72"/>
          <w:szCs w:val="72"/>
        </w:rPr>
        <w:t>文件</w:t>
      </w:r>
    </w:p>
    <w:p w14:paraId="2013CC1C">
      <w:pPr>
        <w:pStyle w:val="9"/>
        <w:rPr>
          <w:rFonts w:hint="eastAsia" w:ascii="宋体" w:hAnsi="宋体" w:eastAsia="宋体" w:cs="宋体"/>
        </w:rPr>
      </w:pPr>
      <w:r>
        <w:rPr>
          <w:rFonts w:hint="eastAsia" w:asciiTheme="minorEastAsia" w:hAnsiTheme="minorEastAsia" w:eastAsiaTheme="minorEastAsia" w:cstheme="minorEastAsia"/>
          <w:color w:val="auto"/>
          <w:spacing w:val="20"/>
          <w:sz w:val="28"/>
          <w:szCs w:val="28"/>
        </w:rPr>
        <w:drawing>
          <wp:anchor distT="0" distB="0" distL="114300" distR="114300" simplePos="0" relativeHeight="251674624" behindDoc="0" locked="0" layoutInCell="1" allowOverlap="1">
            <wp:simplePos x="0" y="0"/>
            <wp:positionH relativeFrom="column">
              <wp:posOffset>1664335</wp:posOffset>
            </wp:positionH>
            <wp:positionV relativeFrom="paragraph">
              <wp:posOffset>28575</wp:posOffset>
            </wp:positionV>
            <wp:extent cx="2285365" cy="2219960"/>
            <wp:effectExtent l="0" t="0" r="635" b="889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21"/>
                    <a:stretch>
                      <a:fillRect/>
                    </a:stretch>
                  </pic:blipFill>
                  <pic:spPr>
                    <a:xfrm>
                      <a:off x="0" y="0"/>
                      <a:ext cx="2285365" cy="2219960"/>
                    </a:xfrm>
                    <a:prstGeom prst="rect">
                      <a:avLst/>
                    </a:prstGeom>
                    <a:noFill/>
                    <a:ln>
                      <a:noFill/>
                    </a:ln>
                  </pic:spPr>
                </pic:pic>
              </a:graphicData>
            </a:graphic>
          </wp:anchor>
        </w:drawing>
      </w:r>
    </w:p>
    <w:p w14:paraId="116FB57B">
      <w:pPr>
        <w:spacing w:line="360" w:lineRule="auto"/>
        <w:jc w:val="center"/>
        <w:rPr>
          <w:rFonts w:hint="eastAsia" w:ascii="宋体" w:hAnsi="宋体" w:eastAsia="宋体" w:cs="宋体"/>
          <w:color w:val="000000"/>
          <w:sz w:val="28"/>
          <w:szCs w:val="28"/>
        </w:rPr>
      </w:pPr>
    </w:p>
    <w:p w14:paraId="152FC8C0">
      <w:pPr>
        <w:pStyle w:val="5"/>
        <w:rPr>
          <w:rFonts w:hint="eastAsia" w:ascii="宋体" w:hAnsi="宋体" w:eastAsia="宋体" w:cs="宋体"/>
          <w:color w:val="000000"/>
          <w:sz w:val="28"/>
          <w:szCs w:val="28"/>
        </w:rPr>
      </w:pPr>
    </w:p>
    <w:p w14:paraId="68D1FF69">
      <w:pPr>
        <w:rPr>
          <w:rFonts w:hint="eastAsia" w:ascii="宋体" w:hAnsi="宋体" w:eastAsia="宋体" w:cs="宋体"/>
          <w:color w:val="000000"/>
          <w:sz w:val="28"/>
          <w:szCs w:val="28"/>
        </w:rPr>
      </w:pPr>
    </w:p>
    <w:p w14:paraId="43784357">
      <w:pPr>
        <w:pStyle w:val="5"/>
        <w:rPr>
          <w:rFonts w:hint="eastAsia"/>
        </w:rPr>
      </w:pPr>
    </w:p>
    <w:p w14:paraId="6B2D8A58">
      <w:pPr>
        <w:pStyle w:val="32"/>
        <w:ind w:firstLine="0" w:firstLineChars="0"/>
        <w:rPr>
          <w:rFonts w:hint="eastAsia" w:ascii="宋体" w:hAnsi="宋体" w:eastAsia="宋体" w:cs="宋体"/>
          <w:b/>
          <w:sz w:val="44"/>
          <w:szCs w:val="44"/>
        </w:rPr>
      </w:pPr>
    </w:p>
    <w:p w14:paraId="5F81DB0F">
      <w:pPr>
        <w:pStyle w:val="32"/>
        <w:ind w:firstLine="0" w:firstLineChars="0"/>
        <w:rPr>
          <w:rFonts w:hint="eastAsia" w:ascii="宋体" w:hAnsi="宋体" w:eastAsia="宋体" w:cs="宋体"/>
          <w:b/>
          <w:sz w:val="44"/>
          <w:szCs w:val="44"/>
        </w:rPr>
      </w:pPr>
    </w:p>
    <w:p w14:paraId="723A8F18">
      <w:pPr>
        <w:pStyle w:val="32"/>
        <w:ind w:firstLine="0" w:firstLineChars="0"/>
        <w:rPr>
          <w:rFonts w:hint="eastAsia" w:ascii="宋体" w:hAnsi="宋体" w:eastAsia="宋体" w:cs="宋体"/>
          <w:b/>
          <w:sz w:val="44"/>
          <w:szCs w:val="44"/>
        </w:rPr>
      </w:pPr>
    </w:p>
    <w:p w14:paraId="61666EB1">
      <w:pPr>
        <w:pStyle w:val="32"/>
        <w:ind w:firstLine="0" w:firstLineChars="0"/>
        <w:rPr>
          <w:rFonts w:hint="eastAsia" w:ascii="宋体" w:hAnsi="宋体" w:eastAsia="宋体" w:cs="宋体"/>
          <w:b/>
          <w:sz w:val="44"/>
          <w:szCs w:val="44"/>
        </w:rPr>
      </w:pPr>
    </w:p>
    <w:p w14:paraId="326CFD40">
      <w:pPr>
        <w:pStyle w:val="32"/>
        <w:ind w:firstLine="0" w:firstLineChars="0"/>
        <w:rPr>
          <w:rFonts w:hint="eastAsia" w:ascii="宋体" w:hAnsi="宋体" w:eastAsia="宋体" w:cs="宋体"/>
          <w:b/>
          <w:sz w:val="44"/>
          <w:szCs w:val="44"/>
        </w:rPr>
      </w:pPr>
    </w:p>
    <w:p w14:paraId="32A1EE12">
      <w:pPr>
        <w:pStyle w:val="32"/>
        <w:ind w:firstLine="0" w:firstLineChars="0"/>
        <w:rPr>
          <w:rFonts w:hint="eastAsia" w:ascii="宋体" w:hAnsi="宋体" w:eastAsia="宋体" w:cs="宋体"/>
          <w:b/>
          <w:sz w:val="44"/>
          <w:szCs w:val="44"/>
        </w:rPr>
      </w:pPr>
    </w:p>
    <w:p w14:paraId="68F01C2F">
      <w:pPr>
        <w:pStyle w:val="32"/>
        <w:ind w:firstLine="0" w:firstLineChars="0"/>
        <w:rPr>
          <w:rFonts w:hint="eastAsia" w:ascii="宋体" w:hAnsi="宋体" w:eastAsia="宋体" w:cs="宋体"/>
          <w:b/>
          <w:sz w:val="44"/>
          <w:szCs w:val="44"/>
        </w:rPr>
      </w:pPr>
    </w:p>
    <w:p w14:paraId="07067025">
      <w:pPr>
        <w:widowControl/>
        <w:spacing w:line="800" w:lineRule="exact"/>
        <w:ind w:firstLine="321" w:firstLineChars="100"/>
        <w:rPr>
          <w:rFonts w:hint="eastAsia" w:cs="宋体"/>
          <w:b/>
          <w:sz w:val="32"/>
          <w:szCs w:val="32"/>
          <w:u w:val="single"/>
          <w:lang w:val="en-US" w:eastAsia="zh-CN"/>
        </w:rPr>
      </w:pPr>
      <w:r>
        <w:rPr>
          <w:rFonts w:hint="eastAsia" w:ascii="宋体" w:hAnsi="宋体" w:eastAsia="宋体" w:cs="宋体"/>
          <w:b/>
          <w:sz w:val="32"/>
          <w:szCs w:val="32"/>
        </w:rPr>
        <w:t>采购人：</w:t>
      </w:r>
      <w:r>
        <w:rPr>
          <w:rFonts w:hint="eastAsia" w:cs="宋体"/>
          <w:b/>
          <w:spacing w:val="-20"/>
          <w:sz w:val="32"/>
          <w:szCs w:val="32"/>
          <w:u w:val="single"/>
          <w:lang w:val="en-US" w:eastAsia="zh-CN"/>
        </w:rPr>
        <w:t>石泉县市政园林所（石泉县城镇污水垃圾处理监测中心）</w:t>
      </w:r>
      <w:r>
        <w:rPr>
          <w:rFonts w:hint="eastAsia" w:cs="宋体"/>
          <w:b/>
          <w:sz w:val="32"/>
          <w:szCs w:val="32"/>
          <w:u w:val="single"/>
          <w:lang w:val="en-US" w:eastAsia="zh-CN"/>
        </w:rPr>
        <w:t xml:space="preserve">   </w:t>
      </w:r>
    </w:p>
    <w:p w14:paraId="170E87A2">
      <w:pPr>
        <w:pStyle w:val="32"/>
        <w:rPr>
          <w:rFonts w:hint="default"/>
          <w:lang w:val="en-US" w:eastAsia="zh-CN"/>
        </w:rPr>
      </w:pPr>
    </w:p>
    <w:p w14:paraId="484E02AE">
      <w:pPr>
        <w:widowControl/>
        <w:spacing w:line="800" w:lineRule="exact"/>
        <w:ind w:left="0" w:leftChars="0" w:firstLine="321" w:firstLineChars="1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cs="宋体"/>
          <w:b/>
          <w:sz w:val="32"/>
          <w:szCs w:val="32"/>
          <w:u w:val="single"/>
          <w:lang w:val="en-US" w:eastAsia="zh-CN"/>
        </w:rPr>
        <w:t xml:space="preserve">   亿诚建设项目管理有限公司</w:t>
      </w:r>
      <w:r>
        <w:rPr>
          <w:rFonts w:hint="eastAsia" w:ascii="宋体" w:hAnsi="宋体" w:eastAsia="宋体" w:cs="宋体"/>
          <w:b/>
          <w:sz w:val="32"/>
          <w:szCs w:val="32"/>
          <w:u w:val="single"/>
          <w:lang w:val="en-US" w:eastAsia="zh-CN"/>
        </w:rPr>
        <w:t xml:space="preserve"> </w:t>
      </w:r>
      <w:r>
        <w:rPr>
          <w:rFonts w:hint="eastAsia" w:cs="宋体"/>
          <w:b/>
          <w:sz w:val="32"/>
          <w:szCs w:val="32"/>
          <w:u w:val="single"/>
          <w:lang w:val="en-US" w:eastAsia="zh-CN"/>
        </w:rPr>
        <w:t xml:space="preserve">    </w:t>
      </w:r>
    </w:p>
    <w:p w14:paraId="4ABE3A04">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ascii="宋体" w:hAnsi="宋体" w:eastAsia="宋体" w:cs="宋体"/>
          <w:b/>
          <w:spacing w:val="20"/>
          <w:sz w:val="32"/>
          <w:szCs w:val="32"/>
          <w:lang w:eastAsia="zh-CN"/>
        </w:rPr>
        <w:t>202</w:t>
      </w:r>
      <w:r>
        <w:rPr>
          <w:rFonts w:hint="eastAsia" w:cs="宋体"/>
          <w:b/>
          <w:spacing w:val="20"/>
          <w:sz w:val="32"/>
          <w:szCs w:val="32"/>
          <w:lang w:val="en-US" w:eastAsia="zh-CN"/>
        </w:rPr>
        <w:t>5</w:t>
      </w:r>
      <w:r>
        <w:rPr>
          <w:rFonts w:hint="eastAsia" w:ascii="宋体" w:hAnsi="宋体" w:eastAsia="宋体" w:cs="宋体"/>
          <w:b/>
          <w:spacing w:val="20"/>
          <w:sz w:val="32"/>
          <w:szCs w:val="32"/>
          <w:lang w:eastAsia="zh-CN"/>
        </w:rPr>
        <w:t>年</w:t>
      </w:r>
      <w:r>
        <w:rPr>
          <w:rFonts w:hint="eastAsia" w:cs="宋体"/>
          <w:b/>
          <w:spacing w:val="20"/>
          <w:sz w:val="32"/>
          <w:szCs w:val="32"/>
          <w:lang w:val="en-US" w:eastAsia="zh-CN"/>
        </w:rPr>
        <w:t>12</w:t>
      </w:r>
      <w:r>
        <w:rPr>
          <w:rFonts w:hint="eastAsia" w:ascii="宋体" w:hAnsi="宋体" w:eastAsia="宋体" w:cs="宋体"/>
          <w:b/>
          <w:spacing w:val="20"/>
          <w:sz w:val="32"/>
          <w:szCs w:val="32"/>
          <w:lang w:eastAsia="zh-CN"/>
        </w:rPr>
        <w:t>月</w:t>
      </w:r>
      <w:r>
        <w:rPr>
          <w:rFonts w:hint="eastAsia" w:cs="宋体"/>
          <w:b/>
          <w:spacing w:val="20"/>
          <w:sz w:val="32"/>
          <w:szCs w:val="32"/>
          <w:lang w:val="en-US" w:eastAsia="zh-CN"/>
        </w:rPr>
        <w:t>22</w:t>
      </w:r>
      <w:r>
        <w:rPr>
          <w:rFonts w:hint="eastAsia" w:ascii="宋体" w:hAnsi="宋体" w:eastAsia="宋体" w:cs="宋体"/>
          <w:b/>
          <w:spacing w:val="20"/>
          <w:sz w:val="32"/>
          <w:szCs w:val="32"/>
          <w:lang w:eastAsia="zh-CN"/>
        </w:rPr>
        <w:t>日</w:t>
      </w:r>
    </w:p>
    <w:p w14:paraId="73733A19">
      <w:pPr>
        <w:spacing w:line="360" w:lineRule="auto"/>
        <w:ind w:left="0" w:leftChars="0" w:firstLine="0" w:firstLineChars="0"/>
        <w:jc w:val="center"/>
        <w:rPr>
          <w:rFonts w:hint="eastAsia" w:ascii="宋体" w:hAnsi="宋体" w:eastAsia="宋体" w:cs="宋体"/>
          <w:b/>
          <w:sz w:val="32"/>
          <w:szCs w:val="32"/>
        </w:rPr>
        <w:sectPr>
          <w:headerReference r:id="rId7" w:type="first"/>
          <w:headerReference r:id="rId5" w:type="default"/>
          <w:footerReference r:id="rId8" w:type="default"/>
          <w:headerReference r:id="rId6" w:type="even"/>
          <w:footerReference r:id="rId9" w:type="even"/>
          <w:pgSz w:w="11906" w:h="16838"/>
          <w:pgMar w:top="1418" w:right="1361" w:bottom="1418" w:left="1474" w:header="851" w:footer="992" w:gutter="0"/>
          <w:pgNumType w:start="1"/>
          <w:cols w:space="720" w:num="1"/>
          <w:titlePg/>
          <w:docGrid w:type="lines" w:linePitch="312" w:charSpace="0"/>
        </w:sectPr>
      </w:pPr>
    </w:p>
    <w:p w14:paraId="04A7BDE0">
      <w:pPr>
        <w:spacing w:before="0" w:line="417" w:lineRule="auto"/>
        <w:ind w:right="325"/>
        <w:jc w:val="center"/>
        <w:rPr>
          <w:rFonts w:ascii="宋体" w:hAnsi="宋体" w:eastAsia="宋体" w:cs="宋体"/>
          <w:b/>
          <w:bCs/>
          <w:sz w:val="21"/>
        </w:rPr>
      </w:pPr>
      <w:r>
        <w:rPr>
          <w:rFonts w:ascii="宋体" w:hAnsi="宋体" w:eastAsia="宋体" w:cs="宋体"/>
          <w:b/>
          <w:bCs/>
          <w:sz w:val="21"/>
        </w:rPr>
        <w:t>安康市公共资源交易平台全流程电子化、政府采购项目内容</w:t>
      </w:r>
    </w:p>
    <w:p w14:paraId="20F1B2AE">
      <w:pPr>
        <w:spacing w:before="89" w:line="417" w:lineRule="auto"/>
        <w:ind w:left="768" w:right="3817" w:hanging="420"/>
        <w:jc w:val="left"/>
        <w:rPr>
          <w:sz w:val="21"/>
        </w:rPr>
      </w:pPr>
      <w:r>
        <w:rPr>
          <w:w w:val="95"/>
          <w:sz w:val="21"/>
        </w:rPr>
        <w:t xml:space="preserve"> </w:t>
      </w:r>
      <w:r>
        <w:rPr>
          <w:sz w:val="21"/>
        </w:rPr>
        <w:t>一、关于需要特别提醒供应商的内容</w:t>
      </w:r>
    </w:p>
    <w:p w14:paraId="199C3F8A">
      <w:pPr>
        <w:spacing w:before="0" w:line="417" w:lineRule="auto"/>
        <w:ind w:left="348" w:right="-44" w:rightChars="0" w:firstLine="42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14:paraId="31FEE812">
      <w:pPr>
        <w:spacing w:before="0" w:line="417" w:lineRule="auto"/>
        <w:ind w:left="348" w:right="-44" w:rightChars="0" w:firstLine="42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14:paraId="67BEBA66">
      <w:pPr>
        <w:spacing w:before="0" w:line="269" w:lineRule="exact"/>
        <w:ind w:left="768" w:right="0" w:firstLine="0"/>
        <w:jc w:val="left"/>
        <w:rPr>
          <w:sz w:val="21"/>
        </w:rPr>
      </w:pPr>
      <w:r>
        <w:rPr>
          <w:rFonts w:ascii="Times New Roman" w:eastAsia="Times New Roman"/>
          <w:sz w:val="21"/>
        </w:rPr>
        <w:t>3</w:t>
      </w:r>
      <w:r>
        <w:rPr>
          <w:sz w:val="21"/>
        </w:rPr>
        <w:t>、制作电子投标文件</w:t>
      </w:r>
    </w:p>
    <w:p w14:paraId="436E6CA9">
      <w:pPr>
        <w:pStyle w:val="9"/>
        <w:spacing w:before="5"/>
        <w:rPr>
          <w:sz w:val="15"/>
        </w:rPr>
      </w:pPr>
    </w:p>
    <w:p w14:paraId="5DB749BF">
      <w:pPr>
        <w:spacing w:before="1" w:line="417" w:lineRule="auto"/>
        <w:ind w:left="348" w:right="-44" w:rightChars="0" w:firstLine="42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w:t>
      </w:r>
      <w:r>
        <w:rPr>
          <w:rFonts w:hint="eastAsia" w:ascii="宋体" w:hAnsi="宋体" w:eastAsia="宋体" w:cs="宋体"/>
          <w:sz w:val="21"/>
        </w:rPr>
        <w:t>(V8.0.1.</w:t>
      </w:r>
      <w:r>
        <w:rPr>
          <w:rFonts w:hint="eastAsia" w:cs="宋体"/>
          <w:sz w:val="21"/>
          <w:lang w:val="en-US" w:eastAsia="zh-CN"/>
        </w:rPr>
        <w:t>12</w:t>
      </w:r>
      <w:r>
        <w:rPr>
          <w:rFonts w:hint="eastAsia" w:ascii="宋体" w:hAnsi="宋体" w:eastAsia="宋体" w:cs="宋体"/>
          <w:sz w:val="21"/>
        </w:rPr>
        <w:t>)</w:t>
      </w:r>
      <w:r>
        <w:rPr>
          <w:rFonts w:ascii="宋体" w:hAnsi="宋体" w:eastAsia="宋体" w:cs="宋体"/>
          <w:sz w:val="21"/>
        </w:rPr>
        <w:t>”，并升级至最新版本，使用该客户端制作电子投标文件，制作扩展名为“.SXSTF”的电子投标文件。”</w:t>
      </w:r>
    </w:p>
    <w:p w14:paraId="07FC594F">
      <w:pPr>
        <w:spacing w:before="0" w:line="268" w:lineRule="exact"/>
        <w:ind w:left="768" w:right="0" w:firstLine="0"/>
        <w:jc w:val="left"/>
        <w:rPr>
          <w:sz w:val="21"/>
        </w:rPr>
      </w:pPr>
      <w:r>
        <w:rPr>
          <w:rFonts w:ascii="Times New Roman" w:eastAsia="Times New Roman"/>
          <w:sz w:val="21"/>
        </w:rPr>
        <w:t>4</w:t>
      </w:r>
      <w:r>
        <w:rPr>
          <w:sz w:val="21"/>
        </w:rPr>
        <w:t>、递交电子投标文件</w:t>
      </w:r>
    </w:p>
    <w:p w14:paraId="05418F92">
      <w:pPr>
        <w:pStyle w:val="9"/>
        <w:spacing w:before="6"/>
        <w:rPr>
          <w:sz w:val="15"/>
        </w:rPr>
      </w:pPr>
    </w:p>
    <w:p w14:paraId="1C376F9B">
      <w:pPr>
        <w:spacing w:before="0" w:line="417" w:lineRule="auto"/>
        <w:ind w:left="348" w:right="-44" w:rightChars="0" w:firstLine="42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14:paraId="21D6D322">
      <w:pPr>
        <w:spacing w:before="0" w:line="268" w:lineRule="exact"/>
        <w:ind w:left="768" w:right="0" w:firstLine="0"/>
        <w:jc w:val="left"/>
        <w:rPr>
          <w:sz w:val="21"/>
        </w:rPr>
      </w:pPr>
      <w:r>
        <w:rPr>
          <w:sz w:val="21"/>
        </w:rPr>
        <w:t>二、关于投标</w:t>
      </w:r>
    </w:p>
    <w:p w14:paraId="5E192750">
      <w:pPr>
        <w:pStyle w:val="9"/>
        <w:spacing w:before="7"/>
        <w:rPr>
          <w:sz w:val="15"/>
        </w:rPr>
      </w:pPr>
    </w:p>
    <w:p w14:paraId="1ACC8435">
      <w:pPr>
        <w:spacing w:before="0" w:line="417" w:lineRule="auto"/>
        <w:ind w:left="348" w:right="-44" w:rightChars="0" w:firstLine="420"/>
        <w:jc w:val="left"/>
        <w:rPr>
          <w:sz w:val="21"/>
        </w:rPr>
      </w:pPr>
      <w:r>
        <w:rPr>
          <w:rFonts w:ascii="Times New Roman" w:eastAsia="Times New Roman"/>
          <w:sz w:val="21"/>
        </w:rPr>
        <w:t>1</w:t>
      </w:r>
      <w:r>
        <w:rPr>
          <w:spacing w:val="-10"/>
          <w:sz w:val="21"/>
        </w:rPr>
        <w:t>、</w:t>
      </w:r>
      <w:r>
        <w:rPr>
          <w:rFonts w:hint="eastAsia"/>
          <w:spacing w:val="-10"/>
          <w:sz w:val="21"/>
          <w:lang w:eastAsia="zh-CN"/>
        </w:rPr>
        <w:t>投标</w:t>
      </w:r>
      <w:r>
        <w:rPr>
          <w:spacing w:val="-10"/>
          <w:sz w:val="21"/>
        </w:rPr>
        <w:t xml:space="preserve">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14:paraId="016A66EB">
      <w:pPr>
        <w:spacing w:before="0" w:line="417" w:lineRule="auto"/>
        <w:ind w:left="348" w:right="-44" w:rightChars="0" w:firstLine="420"/>
        <w:jc w:val="both"/>
        <w:rPr>
          <w:rFonts w:ascii="宋体" w:hAnsi="宋体" w:eastAsia="宋体" w:cs="宋体"/>
          <w:sz w:val="21"/>
        </w:rPr>
      </w:pPr>
      <w:r>
        <w:rPr>
          <w:rFonts w:ascii="宋体" w:hAnsi="宋体" w:eastAsia="宋体" w:cs="宋体"/>
          <w:sz w:val="21"/>
        </w:rPr>
        <w:t>2.</w:t>
      </w:r>
      <w:r>
        <w:rPr>
          <w:rFonts w:hint="eastAsia" w:cs="宋体"/>
          <w:sz w:val="21"/>
          <w:lang w:eastAsia="zh-CN"/>
        </w:rPr>
        <w:t>报名</w:t>
      </w:r>
      <w:r>
        <w:rPr>
          <w:rFonts w:ascii="宋体" w:hAnsi="宋体" w:eastAsia="宋体" w:cs="宋体"/>
          <w:sz w:val="21"/>
        </w:rPr>
        <w:t>确认：请在文件</w:t>
      </w:r>
      <w:r>
        <w:rPr>
          <w:rFonts w:hint="eastAsia" w:cs="宋体"/>
          <w:sz w:val="21"/>
          <w:lang w:eastAsia="zh-CN"/>
        </w:rPr>
        <w:t>领取</w:t>
      </w:r>
      <w:r>
        <w:rPr>
          <w:rFonts w:ascii="宋体" w:hAnsi="宋体" w:eastAsia="宋体" w:cs="宋体"/>
          <w:sz w:val="21"/>
        </w:rPr>
        <w:t>时间以内将网上投标成功回执单、</w:t>
      </w:r>
      <w:r>
        <w:rPr>
          <w:rFonts w:hint="eastAsia" w:cs="宋体"/>
          <w:sz w:val="21"/>
          <w:lang w:eastAsia="zh-CN"/>
        </w:rPr>
        <w:t>法人授权委托书</w:t>
      </w:r>
      <w:r>
        <w:rPr>
          <w:rFonts w:ascii="宋体" w:hAnsi="宋体" w:eastAsia="宋体" w:cs="宋体"/>
          <w:sz w:val="21"/>
        </w:rPr>
        <w:t>、营业执照（复印件加盖公章）在代理机构处进行投标登记，否则投标无效，确认完毕后方可下载文件；</w:t>
      </w:r>
    </w:p>
    <w:p w14:paraId="03F001DC">
      <w:pPr>
        <w:spacing w:before="0" w:line="417" w:lineRule="auto"/>
        <w:ind w:left="348" w:right="-44" w:rightChars="0" w:firstLine="420"/>
        <w:jc w:val="both"/>
        <w:rPr>
          <w:rFonts w:ascii="宋体" w:hAnsi="宋体" w:eastAsia="宋体" w:cs="宋体"/>
          <w:sz w:val="21"/>
        </w:rPr>
      </w:pPr>
      <w:r>
        <w:rPr>
          <w:rFonts w:ascii="宋体" w:hAnsi="宋体" w:eastAsia="宋体" w:cs="宋体"/>
          <w:sz w:val="21"/>
        </w:rPr>
        <w:t>3、未完成网上投标成功的或未经采购代理公司</w:t>
      </w:r>
      <w:r>
        <w:rPr>
          <w:rFonts w:hint="eastAsia" w:cs="宋体"/>
          <w:sz w:val="21"/>
          <w:lang w:eastAsia="zh-CN"/>
        </w:rPr>
        <w:t>报名</w:t>
      </w:r>
      <w:r>
        <w:rPr>
          <w:rFonts w:ascii="宋体" w:hAnsi="宋体" w:eastAsia="宋体" w:cs="宋体"/>
          <w:sz w:val="21"/>
        </w:rPr>
        <w:t>确认或未在规定时间内在平台上下载文件的，无法完成后续流程；</w:t>
      </w:r>
    </w:p>
    <w:p w14:paraId="3169880D">
      <w:pPr>
        <w:spacing w:before="0" w:line="417" w:lineRule="auto"/>
        <w:ind w:left="348" w:right="-44" w:rightChars="0" w:firstLine="42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14:paraId="75B2223E">
      <w:pPr>
        <w:spacing w:before="0" w:line="417" w:lineRule="auto"/>
        <w:ind w:left="348" w:right="428" w:firstLine="420"/>
        <w:jc w:val="both"/>
        <w:rPr>
          <w:rFonts w:ascii="宋体" w:hAnsi="宋体" w:eastAsia="宋体" w:cs="宋体"/>
          <w:sz w:val="21"/>
        </w:rPr>
      </w:pPr>
      <w:r>
        <w:rPr>
          <w:rFonts w:ascii="宋体" w:hAnsi="宋体" w:eastAsia="宋体" w:cs="宋体"/>
          <w:sz w:val="21"/>
        </w:rPr>
        <w:t>5、电子谈判文件技术支持：4009280095、4009980000。</w:t>
      </w:r>
    </w:p>
    <w:p w14:paraId="30DEC237">
      <w:pPr>
        <w:spacing w:before="0" w:line="417" w:lineRule="auto"/>
        <w:ind w:left="348" w:right="428" w:firstLine="420"/>
        <w:jc w:val="both"/>
        <w:rPr>
          <w:rFonts w:ascii="宋体" w:hAnsi="宋体" w:eastAsia="宋体" w:cs="宋体"/>
          <w:sz w:val="21"/>
        </w:rPr>
        <w:sectPr>
          <w:footerReference r:id="rId10" w:type="default"/>
          <w:pgSz w:w="11910" w:h="16840"/>
          <w:pgMar w:top="1440" w:right="1247" w:bottom="1440" w:left="1247" w:header="0" w:footer="624" w:gutter="0"/>
          <w:pgNumType w:fmt="decimal" w:start="1"/>
          <w:cols w:space="720" w:num="1"/>
        </w:sectPr>
      </w:pPr>
    </w:p>
    <w:p w14:paraId="2D2DC56C">
      <w:pPr>
        <w:spacing w:before="89"/>
        <w:ind w:left="768" w:right="0" w:firstLine="0"/>
        <w:jc w:val="left"/>
        <w:rPr>
          <w:sz w:val="21"/>
        </w:rPr>
      </w:pPr>
      <w:r>
        <w:rPr>
          <w:sz w:val="21"/>
        </w:rPr>
        <w:t>三、关于文件的制作和签名</w:t>
      </w:r>
    </w:p>
    <w:p w14:paraId="7F090EEB">
      <w:pPr>
        <w:pStyle w:val="9"/>
        <w:spacing w:before="6"/>
        <w:rPr>
          <w:sz w:val="15"/>
        </w:rPr>
      </w:pPr>
    </w:p>
    <w:p w14:paraId="330DEDED">
      <w:pPr>
        <w:pStyle w:val="34"/>
        <w:numPr>
          <w:ilvl w:val="0"/>
          <w:numId w:val="1"/>
        </w:numPr>
        <w:tabs>
          <w:tab w:val="left" w:pos="928"/>
        </w:tabs>
        <w:spacing w:before="0" w:after="0" w:line="417" w:lineRule="auto"/>
        <w:ind w:left="348" w:right="-50" w:rightChars="0" w:firstLine="420"/>
        <w:jc w:val="both"/>
        <w:rPr>
          <w:sz w:val="21"/>
        </w:rPr>
      </w:pP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14:paraId="39B16FC6">
      <w:pPr>
        <w:pStyle w:val="34"/>
        <w:numPr>
          <w:ilvl w:val="0"/>
          <w:numId w:val="1"/>
        </w:numPr>
        <w:tabs>
          <w:tab w:val="left" w:pos="1031"/>
        </w:tabs>
        <w:spacing w:before="0" w:after="0" w:line="417" w:lineRule="auto"/>
        <w:ind w:left="348" w:right="-48" w:rightChars="-22" w:firstLine="420"/>
        <w:jc w:val="both"/>
        <w:rPr>
          <w:sz w:val="21"/>
        </w:rPr>
      </w:pPr>
      <w:r>
        <w:rPr>
          <w:rFonts w:ascii="宋体" w:hAnsi="宋体" w:eastAsia="宋体" w:cs="宋体"/>
          <w:sz w:val="21"/>
        </w:rPr>
        <w:t>编制电子投标文件时，应使用最新发布的电子谈判文件及专用制作工具进行编制。并使用数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14:paraId="0A483275">
      <w:pPr>
        <w:pStyle w:val="34"/>
        <w:numPr>
          <w:ilvl w:val="0"/>
          <w:numId w:val="2"/>
        </w:numPr>
        <w:tabs>
          <w:tab w:val="left" w:pos="1294"/>
        </w:tabs>
        <w:spacing w:before="0" w:after="0" w:line="269" w:lineRule="exact"/>
        <w:ind w:left="1293" w:right="-48" w:rightChars="-22" w:hanging="526"/>
        <w:jc w:val="left"/>
        <w:rPr>
          <w:sz w:val="21"/>
        </w:rPr>
      </w:pPr>
      <w:r>
        <w:rPr>
          <w:sz w:val="21"/>
        </w:rPr>
        <w:t>电子谈判文件下载</w:t>
      </w:r>
    </w:p>
    <w:p w14:paraId="60A3DDA1">
      <w:pPr>
        <w:pStyle w:val="9"/>
        <w:spacing w:before="6"/>
        <w:ind w:right="-48" w:rightChars="-22"/>
        <w:rPr>
          <w:sz w:val="15"/>
        </w:rPr>
      </w:pPr>
    </w:p>
    <w:p w14:paraId="3BFF9FE2">
      <w:pPr>
        <w:spacing w:before="0" w:line="417" w:lineRule="auto"/>
        <w:ind w:left="348" w:right="-48" w:rightChars="-22"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中点击“项目流程-交易文件下载”下载电子谈判文件（*.SXSZF）;</w:t>
      </w:r>
    </w:p>
    <w:p w14:paraId="0E73C7A2">
      <w:pPr>
        <w:spacing w:before="0" w:line="417" w:lineRule="auto"/>
        <w:ind w:left="348" w:right="-48" w:rightChars="-22"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注意：该项目如有变更文件，则应点击“项目流程&gt;答疑文件下载”下载更新后的电子谈判文   件（*.SXSCF），使用旧版电子谈判文件制作的电子投标文件，系统将拒绝接收。</w:t>
      </w:r>
    </w:p>
    <w:p w14:paraId="53487004">
      <w:pPr>
        <w:pStyle w:val="34"/>
        <w:numPr>
          <w:ilvl w:val="0"/>
          <w:numId w:val="2"/>
        </w:numPr>
        <w:tabs>
          <w:tab w:val="left" w:pos="1294"/>
        </w:tabs>
        <w:spacing w:before="0" w:after="0" w:line="269" w:lineRule="exact"/>
        <w:ind w:left="1293" w:right="-48" w:rightChars="-22" w:hanging="526"/>
        <w:jc w:val="left"/>
        <w:rPr>
          <w:sz w:val="21"/>
        </w:rPr>
      </w:pPr>
      <w:r>
        <w:rPr>
          <w:sz w:val="21"/>
        </w:rPr>
        <w:t>电子谈判文件需要使用专用软件打开、浏览</w:t>
      </w:r>
    </w:p>
    <w:p w14:paraId="1BD6F7B1">
      <w:pPr>
        <w:pStyle w:val="9"/>
        <w:spacing w:before="7"/>
        <w:ind w:right="-48" w:rightChars="-22"/>
        <w:rPr>
          <w:sz w:val="15"/>
        </w:rPr>
      </w:pPr>
    </w:p>
    <w:p w14:paraId="163776C1">
      <w:pPr>
        <w:spacing w:before="0" w:line="417" w:lineRule="auto"/>
        <w:ind w:left="348" w:right="-48" w:rightChars="-22" w:firstLine="420"/>
        <w:jc w:val="left"/>
        <w:rPr>
          <w:sz w:val="15"/>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ascii="Times New Roman" w:eastAsia="Times New Roman"/>
          <w:sz w:val="21"/>
        </w:rPr>
        <w:t>(</w:t>
      </w:r>
      <w:r>
        <w:rPr>
          <w:rFonts w:hint="eastAsia" w:ascii="宋体" w:hAnsi="宋体" w:eastAsia="宋体" w:cs="宋体"/>
          <w:sz w:val="21"/>
        </w:rPr>
        <w:t>V8.0.1.</w:t>
      </w:r>
      <w:r>
        <w:rPr>
          <w:rFonts w:hint="eastAsia" w:cs="宋体"/>
          <w:sz w:val="21"/>
          <w:lang w:val="en-US" w:eastAsia="zh-CN"/>
        </w:rPr>
        <w:t>12</w:t>
      </w:r>
      <w:r>
        <w:rPr>
          <w:rFonts w:ascii="Times New Roman" w:eastAsia="Times New Roman"/>
          <w:sz w:val="21"/>
        </w:rPr>
        <w:t>)</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，并升级至最新版本，使用该客户端可以打开电子谈判文件。软件操作手册详见全国公共资源交易平台（陕西省）网站[服务指南-下载专区]中的《陕西省公共资源交易（政府采购类）投标文件制作软件操作手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14:paraId="0C33F148">
      <w:pPr>
        <w:pStyle w:val="34"/>
        <w:numPr>
          <w:ilvl w:val="0"/>
          <w:numId w:val="2"/>
        </w:numPr>
        <w:tabs>
          <w:tab w:val="left" w:pos="1294"/>
        </w:tabs>
        <w:spacing w:before="1" w:after="0" w:line="240" w:lineRule="auto"/>
        <w:ind w:left="1293" w:right="-48" w:rightChars="-22" w:hanging="526"/>
        <w:jc w:val="left"/>
        <w:rPr>
          <w:sz w:val="21"/>
        </w:rPr>
      </w:pPr>
      <w:r>
        <w:rPr>
          <w:sz w:val="21"/>
        </w:rPr>
        <w:t>制作电子投标文件</w:t>
      </w:r>
    </w:p>
    <w:p w14:paraId="0149D94F">
      <w:pPr>
        <w:pStyle w:val="9"/>
        <w:spacing w:before="6"/>
        <w:ind w:right="-48" w:rightChars="-22"/>
        <w:rPr>
          <w:sz w:val="15"/>
        </w:rPr>
      </w:pPr>
    </w:p>
    <w:p w14:paraId="0714D674">
      <w:pPr>
        <w:spacing w:before="0" w:line="417" w:lineRule="auto"/>
        <w:ind w:left="348" w:right="-48" w:rightChars="-22" w:firstLine="42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14:paraId="090AA651">
      <w:pPr>
        <w:spacing w:before="0" w:line="269" w:lineRule="exact"/>
        <w:ind w:left="768" w:right="-48" w:rightChars="-22" w:firstLine="0"/>
        <w:jc w:val="left"/>
        <w:rPr>
          <w:sz w:val="21"/>
        </w:rPr>
      </w:pPr>
      <w:r>
        <w:rPr>
          <w:sz w:val="21"/>
        </w:rPr>
        <w:t>四、关于响应文件递交与解密</w:t>
      </w:r>
    </w:p>
    <w:p w14:paraId="7415B812">
      <w:pPr>
        <w:pStyle w:val="9"/>
        <w:spacing w:before="7"/>
        <w:ind w:right="-48" w:rightChars="-22"/>
        <w:rPr>
          <w:sz w:val="15"/>
        </w:rPr>
      </w:pPr>
    </w:p>
    <w:p w14:paraId="5068BFD3">
      <w:pPr>
        <w:pStyle w:val="34"/>
        <w:numPr>
          <w:ilvl w:val="0"/>
          <w:numId w:val="3"/>
        </w:numPr>
        <w:tabs>
          <w:tab w:val="left" w:pos="928"/>
        </w:tabs>
        <w:spacing w:before="0" w:after="0" w:line="240" w:lineRule="auto"/>
        <w:ind w:left="927" w:right="-48" w:rightChars="-22" w:hanging="160"/>
        <w:jc w:val="left"/>
        <w:rPr>
          <w:sz w:val="21"/>
        </w:rPr>
      </w:pPr>
      <w:r>
        <w:rPr>
          <w:sz w:val="21"/>
        </w:rPr>
        <w:t>文件递交</w:t>
      </w:r>
    </w:p>
    <w:p w14:paraId="359223AD">
      <w:pPr>
        <w:pStyle w:val="9"/>
        <w:spacing w:before="7"/>
        <w:ind w:right="-48" w:rightChars="-22"/>
        <w:rPr>
          <w:sz w:val="15"/>
        </w:rPr>
      </w:pPr>
    </w:p>
    <w:p w14:paraId="1508D6E3">
      <w:pPr>
        <w:spacing w:before="89" w:line="417" w:lineRule="auto"/>
        <w:ind w:left="348" w:right="-48" w:rightChars="-22" w:firstLine="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w:t>
      </w:r>
      <w:r>
        <w:rPr>
          <w:rFonts w:ascii="宋体" w:hAnsi="宋体" w:eastAsia="宋体" w:cs="宋体"/>
          <w:sz w:val="21"/>
        </w:rPr>
        <w:t>应登录全国公共资源交易中心平台（陕西省），选择[“首页&gt;电子交易平台&gt;企业端&gt;我的项目”，点击[项目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14:paraId="3BE97CEB">
      <w:pPr>
        <w:pStyle w:val="34"/>
        <w:numPr>
          <w:ilvl w:val="0"/>
          <w:numId w:val="4"/>
        </w:numPr>
        <w:tabs>
          <w:tab w:val="left" w:pos="1372"/>
        </w:tabs>
        <w:spacing w:before="0" w:after="0" w:line="417" w:lineRule="auto"/>
        <w:ind w:left="348" w:right="-50" w:rightChars="0" w:firstLine="420"/>
        <w:jc w:val="left"/>
        <w:rPr>
          <w:rFonts w:ascii="宋体" w:hAnsi="宋体" w:eastAsia="宋体" w:cs="宋体"/>
          <w:sz w:val="21"/>
          <w:szCs w:val="22"/>
          <w:lang w:val="zh-CN" w:eastAsia="zh-CN" w:bidi="zh-CN"/>
        </w:rPr>
      </w:pPr>
      <w:r>
        <w:rPr>
          <w:sz w:val="21"/>
          <w:lang w:val="zh-CN" w:eastAsia="zh-CN"/>
        </w:rPr>
        <w:t>本项目招标投标采</w:t>
      </w:r>
      <w:r>
        <w:rPr>
          <w:rFonts w:ascii="宋体" w:hAnsi="宋体" w:eastAsia="宋体" w:cs="宋体"/>
          <w:sz w:val="21"/>
          <w:szCs w:val="22"/>
          <w:lang w:val="zh-CN" w:eastAsia="zh-CN" w:bidi="zh-CN"/>
        </w:rPr>
        <w:t>用电子化投标及远程不见面开标方式进行，（无需提供纸质版文件，  无需到开标现场）。</w:t>
      </w:r>
    </w:p>
    <w:p w14:paraId="52B7E614">
      <w:pPr>
        <w:pStyle w:val="34"/>
        <w:numPr>
          <w:ilvl w:val="0"/>
          <w:numId w:val="3"/>
        </w:numPr>
        <w:tabs>
          <w:tab w:val="left" w:pos="928"/>
        </w:tabs>
        <w:spacing w:before="0" w:after="0" w:line="269" w:lineRule="exact"/>
        <w:ind w:left="927" w:right="0" w:hanging="160"/>
        <w:jc w:val="left"/>
        <w:rPr>
          <w:sz w:val="21"/>
        </w:rPr>
      </w:pPr>
      <w:r>
        <w:rPr>
          <w:sz w:val="21"/>
        </w:rPr>
        <w:t>文件开启与解密</w:t>
      </w:r>
    </w:p>
    <w:p w14:paraId="747A3315">
      <w:pPr>
        <w:pStyle w:val="9"/>
        <w:spacing w:before="6"/>
        <w:rPr>
          <w:sz w:val="15"/>
        </w:rPr>
      </w:pPr>
    </w:p>
    <w:p w14:paraId="04FFB55E">
      <w:pPr>
        <w:pStyle w:val="34"/>
        <w:numPr>
          <w:ilvl w:val="0"/>
          <w:numId w:val="5"/>
        </w:numPr>
        <w:tabs>
          <w:tab w:val="left" w:pos="1294"/>
        </w:tabs>
        <w:spacing w:before="0" w:after="0" w:line="417" w:lineRule="auto"/>
        <w:ind w:left="348" w:right="-50" w:rightChars="0" w:firstLine="420"/>
        <w:jc w:val="both"/>
        <w:rPr>
          <w:sz w:val="21"/>
        </w:rPr>
      </w:pP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锁）在各自办公场所的电脑上自行解密电子投标文件。涉及到二次报价的，一定携带主锁报价，只有主锁才有签章功能，二次报价才能完成。</w:t>
      </w:r>
    </w:p>
    <w:p w14:paraId="14B6693E">
      <w:pPr>
        <w:pStyle w:val="34"/>
        <w:numPr>
          <w:ilvl w:val="0"/>
          <w:numId w:val="5"/>
        </w:numPr>
        <w:tabs>
          <w:tab w:val="left" w:pos="1294"/>
        </w:tabs>
        <w:spacing w:before="0" w:after="0" w:line="417" w:lineRule="auto"/>
        <w:ind w:left="348" w:right="-50" w:rightChars="0" w:firstLine="420"/>
        <w:jc w:val="both"/>
        <w:rPr>
          <w:rFonts w:ascii="宋体" w:hAnsi="宋体" w:eastAsia="宋体" w:cs="宋体"/>
          <w:sz w:val="21"/>
        </w:rPr>
      </w:pPr>
      <w:r>
        <w:rPr>
          <w:rFonts w:ascii="宋体" w:hAnsi="宋体" w:eastAsia="宋体" w:cs="宋体"/>
          <w:sz w:val="21"/>
        </w:rPr>
        <w:t>电子开标、评标无法进行时，按照《安康市公共资源交易平台电子化交易应急处置管理办法(试行)》规定执行。</w:t>
      </w:r>
    </w:p>
    <w:p w14:paraId="3C49AA2E">
      <w:pPr>
        <w:pStyle w:val="34"/>
        <w:numPr>
          <w:ilvl w:val="0"/>
          <w:numId w:val="5"/>
        </w:numPr>
        <w:tabs>
          <w:tab w:val="left" w:pos="1297"/>
        </w:tabs>
        <w:spacing w:before="0" w:after="0" w:line="417" w:lineRule="auto"/>
        <w:ind w:left="348" w:right="-50" w:rightChars="0" w:firstLine="420"/>
        <w:jc w:val="both"/>
        <w:rPr>
          <w:sz w:val="21"/>
        </w:rPr>
      </w:pP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14:paraId="0603EC14">
      <w:pPr>
        <w:pStyle w:val="34"/>
        <w:numPr>
          <w:ilvl w:val="0"/>
          <w:numId w:val="5"/>
        </w:numPr>
        <w:tabs>
          <w:tab w:val="left" w:pos="1294"/>
        </w:tabs>
        <w:spacing w:before="0" w:after="0" w:line="269" w:lineRule="exact"/>
        <w:ind w:left="1293" w:right="0" w:hanging="526"/>
        <w:jc w:val="left"/>
        <w:rPr>
          <w:sz w:val="21"/>
        </w:rPr>
      </w:pPr>
      <w:r>
        <w:rPr>
          <w:sz w:val="21"/>
        </w:rPr>
        <w:t>在开标环节出现下列情况之一的，其电子投标文件视为无效文件：</w:t>
      </w:r>
    </w:p>
    <w:p w14:paraId="22347640">
      <w:pPr>
        <w:pStyle w:val="9"/>
        <w:spacing w:before="6"/>
        <w:rPr>
          <w:sz w:val="15"/>
        </w:rPr>
      </w:pPr>
    </w:p>
    <w:p w14:paraId="0C8F6DA3">
      <w:pPr>
        <w:pStyle w:val="34"/>
        <w:numPr>
          <w:ilvl w:val="0"/>
          <w:numId w:val="6"/>
        </w:numPr>
        <w:tabs>
          <w:tab w:val="left" w:pos="916"/>
        </w:tabs>
        <w:spacing w:before="0" w:after="0" w:line="240" w:lineRule="auto"/>
        <w:ind w:left="915" w:right="0" w:hanging="148"/>
        <w:jc w:val="left"/>
        <w:rPr>
          <w:sz w:val="21"/>
        </w:rPr>
      </w:pPr>
      <w:r>
        <w:rPr>
          <w:sz w:val="21"/>
        </w:rPr>
        <w:t>供应商拒绝对电子投标文件进行解密的；</w:t>
      </w:r>
    </w:p>
    <w:p w14:paraId="3326C1C8">
      <w:pPr>
        <w:pStyle w:val="9"/>
        <w:spacing w:before="7"/>
        <w:rPr>
          <w:sz w:val="15"/>
        </w:rPr>
      </w:pPr>
    </w:p>
    <w:p w14:paraId="594B61AE">
      <w:pPr>
        <w:pStyle w:val="34"/>
        <w:numPr>
          <w:ilvl w:val="0"/>
          <w:numId w:val="6"/>
        </w:numPr>
        <w:tabs>
          <w:tab w:val="left" w:pos="928"/>
        </w:tabs>
        <w:spacing w:before="0" w:after="0" w:line="417" w:lineRule="auto"/>
        <w:ind w:left="348" w:right="-50" w:rightChars="0" w:firstLine="420"/>
        <w:jc w:val="left"/>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锁不一致、或沿用旧版谈判文件编制投标文件等情形），导致在规定时间内无法解密投标文件的；</w:t>
      </w:r>
    </w:p>
    <w:p w14:paraId="3EB566BA">
      <w:pPr>
        <w:pStyle w:val="34"/>
        <w:numPr>
          <w:ilvl w:val="0"/>
          <w:numId w:val="6"/>
        </w:numPr>
        <w:tabs>
          <w:tab w:val="left" w:pos="916"/>
        </w:tabs>
        <w:spacing w:before="0" w:after="0" w:line="269" w:lineRule="exact"/>
        <w:ind w:left="915" w:right="0" w:hanging="148"/>
        <w:jc w:val="left"/>
        <w:rPr>
          <w:sz w:val="21"/>
        </w:rPr>
      </w:pPr>
      <w:r>
        <w:rPr>
          <w:sz w:val="21"/>
        </w:rPr>
        <w:t>上传的电子投标文件无法打开的；</w:t>
      </w:r>
    </w:p>
    <w:p w14:paraId="226D079B">
      <w:pPr>
        <w:pStyle w:val="9"/>
        <w:spacing w:before="6"/>
        <w:rPr>
          <w:sz w:val="15"/>
        </w:rPr>
      </w:pPr>
    </w:p>
    <w:p w14:paraId="22428BF8">
      <w:pPr>
        <w:pStyle w:val="34"/>
        <w:numPr>
          <w:ilvl w:val="0"/>
          <w:numId w:val="6"/>
        </w:numPr>
        <w:tabs>
          <w:tab w:val="left" w:pos="928"/>
        </w:tabs>
        <w:spacing w:before="1" w:after="0" w:line="240" w:lineRule="auto"/>
        <w:ind w:left="927" w:right="0" w:hanging="160"/>
        <w:jc w:val="left"/>
        <w:rPr>
          <w:sz w:val="21"/>
        </w:rPr>
      </w:pPr>
      <w:r>
        <w:rPr>
          <w:sz w:val="21"/>
        </w:rPr>
        <w:t>政府采购法律法规规定的其他无效情形。</w:t>
      </w:r>
    </w:p>
    <w:p w14:paraId="49B449D5">
      <w:pPr>
        <w:pStyle w:val="9"/>
        <w:spacing w:before="6"/>
        <w:rPr>
          <w:sz w:val="15"/>
        </w:rPr>
      </w:pPr>
    </w:p>
    <w:p w14:paraId="6661779B">
      <w:pPr>
        <w:pStyle w:val="34"/>
        <w:numPr>
          <w:ilvl w:val="0"/>
          <w:numId w:val="5"/>
        </w:numPr>
        <w:tabs>
          <w:tab w:val="left" w:pos="1294"/>
        </w:tabs>
        <w:spacing w:before="0" w:after="0" w:line="240" w:lineRule="auto"/>
        <w:ind w:left="1293" w:right="0" w:hanging="526"/>
        <w:jc w:val="left"/>
        <w:rPr>
          <w:sz w:val="21"/>
        </w:rPr>
      </w:pPr>
      <w:r>
        <w:rPr>
          <w:sz w:val="21"/>
        </w:rPr>
        <w:t>特殊情形下的应急处置</w:t>
      </w:r>
    </w:p>
    <w:p w14:paraId="6D8765EE">
      <w:pPr>
        <w:pStyle w:val="9"/>
        <w:spacing w:before="7"/>
        <w:rPr>
          <w:sz w:val="15"/>
        </w:rPr>
      </w:pPr>
    </w:p>
    <w:p w14:paraId="13DC91A2">
      <w:pPr>
        <w:spacing w:before="0" w:line="417" w:lineRule="auto"/>
        <w:ind w:left="348" w:right="-50" w:rightChars="0" w:firstLine="420"/>
        <w:jc w:val="left"/>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14:paraId="4810354E">
      <w:pPr>
        <w:spacing w:after="0" w:line="417" w:lineRule="auto"/>
        <w:jc w:val="left"/>
        <w:rPr>
          <w:sz w:val="21"/>
        </w:rPr>
        <w:sectPr>
          <w:pgSz w:w="11910" w:h="16840"/>
          <w:pgMar w:top="1580" w:right="1040" w:bottom="1420" w:left="1240" w:header="0" w:footer="567" w:gutter="0"/>
          <w:pgNumType w:fmt="decimal"/>
          <w:cols w:space="720" w:num="1"/>
        </w:sectPr>
      </w:pPr>
    </w:p>
    <w:p w14:paraId="1F699A8F">
      <w:pPr>
        <w:pStyle w:val="2"/>
        <w:tabs>
          <w:tab w:val="left" w:pos="1444"/>
        </w:tabs>
      </w:pPr>
      <w:r>
        <w:t>目</w:t>
      </w:r>
      <w:r>
        <w:tab/>
      </w:r>
      <w:r>
        <w:t>录</w:t>
      </w:r>
    </w:p>
    <w:p w14:paraId="74945981">
      <w:pPr>
        <w:pStyle w:val="9"/>
        <w:spacing w:before="4"/>
        <w:rPr>
          <w:rFonts w:ascii="宋体" w:hAnsi="宋体" w:eastAsia="宋体" w:cs="宋体"/>
          <w:b/>
          <w:bCs/>
          <w:sz w:val="32"/>
          <w:szCs w:val="32"/>
          <w:lang w:val="zh-CN" w:eastAsia="zh-CN" w:bidi="zh-CN"/>
        </w:rPr>
      </w:pPr>
    </w:p>
    <w:p w14:paraId="605F61C6">
      <w:pPr>
        <w:pStyle w:val="3"/>
        <w:numPr>
          <w:ilvl w:val="0"/>
          <w:numId w:val="7"/>
        </w:numPr>
        <w:tabs>
          <w:tab w:val="left" w:pos="3963"/>
        </w:tabs>
        <w:spacing w:line="491" w:lineRule="auto"/>
        <w:ind w:right="3030" w:rightChars="0"/>
        <w:rPr>
          <w:spacing w:val="-16"/>
        </w:rPr>
      </w:pPr>
      <w:r>
        <w:rPr>
          <w:rFonts w:hint="eastAsia"/>
          <w:lang w:eastAsia="zh-CN"/>
        </w:rPr>
        <w:t>竞争性</w:t>
      </w:r>
      <w:r>
        <w:t>谈判公</w:t>
      </w:r>
      <w:r>
        <w:rPr>
          <w:spacing w:val="-16"/>
        </w:rPr>
        <w:t>告</w:t>
      </w:r>
    </w:p>
    <w:p w14:paraId="09CEAC28">
      <w:pPr>
        <w:pStyle w:val="3"/>
        <w:numPr>
          <w:ilvl w:val="0"/>
          <w:numId w:val="7"/>
        </w:numPr>
        <w:tabs>
          <w:tab w:val="left" w:pos="3963"/>
        </w:tabs>
        <w:spacing w:line="491" w:lineRule="auto"/>
        <w:ind w:right="3030" w:rightChars="0"/>
      </w:pPr>
      <w:r>
        <w:t>谈判须</w:t>
      </w:r>
      <w:r>
        <w:rPr>
          <w:spacing w:val="-16"/>
        </w:rPr>
        <w:t>知</w:t>
      </w:r>
    </w:p>
    <w:p w14:paraId="27FFF12F">
      <w:pP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14:paraId="545A64B4">
      <w:pPr>
        <w:tabs>
          <w:tab w:val="left" w:pos="3963"/>
        </w:tabs>
        <w:spacing w:before="0" w:line="409" w:lineRule="exact"/>
        <w:ind w:left="2676" w:right="0" w:firstLine="0"/>
        <w:jc w:val="left"/>
        <w:rPr>
          <w:b/>
          <w:sz w:val="32"/>
        </w:rPr>
      </w:pPr>
      <w:r>
        <w:rPr>
          <w:b/>
          <w:sz w:val="32"/>
        </w:rPr>
        <w:t>第五章</w:t>
      </w:r>
      <w:r>
        <w:rPr>
          <w:b/>
          <w:sz w:val="32"/>
        </w:rPr>
        <w:tab/>
      </w:r>
      <w:r>
        <w:rPr>
          <w:b/>
          <w:sz w:val="32"/>
        </w:rPr>
        <w:t>谈判响应文件基本格式</w:t>
      </w:r>
    </w:p>
    <w:p w14:paraId="287BE5AD">
      <w:pPr>
        <w:spacing w:after="0" w:line="409" w:lineRule="exact"/>
        <w:jc w:val="left"/>
        <w:rPr>
          <w:sz w:val="32"/>
        </w:rPr>
        <w:sectPr>
          <w:pgSz w:w="11910" w:h="16840"/>
          <w:pgMar w:top="1580" w:right="1040" w:bottom="1420" w:left="1240" w:header="0" w:footer="567" w:gutter="0"/>
          <w:pgNumType w:fmt="decimal"/>
          <w:cols w:space="720" w:num="1"/>
        </w:sectPr>
      </w:pPr>
    </w:p>
    <w:p w14:paraId="3258C5FC">
      <w:pPr>
        <w:tabs>
          <w:tab w:val="left" w:pos="1286"/>
        </w:tabs>
        <w:spacing w:before="28"/>
        <w:ind w:left="0" w:right="82" w:firstLine="0"/>
        <w:jc w:val="center"/>
        <w:rPr>
          <w:b/>
          <w:sz w:val="38"/>
        </w:rPr>
      </w:pPr>
      <w:r>
        <w:rPr>
          <w:b/>
          <w:sz w:val="32"/>
        </w:rPr>
        <w:t>第一章</w:t>
      </w:r>
      <w:r>
        <w:rPr>
          <w:b/>
          <w:sz w:val="32"/>
        </w:rPr>
        <w:tab/>
      </w:r>
      <w:r>
        <w:rPr>
          <w:rFonts w:hint="eastAsia"/>
          <w:b/>
          <w:sz w:val="32"/>
          <w:lang w:eastAsia="zh-CN"/>
        </w:rPr>
        <w:t>竞争性</w:t>
      </w:r>
      <w:r>
        <w:rPr>
          <w:b/>
          <w:sz w:val="32"/>
        </w:rPr>
        <w:t>谈判公告</w:t>
      </w:r>
    </w:p>
    <w:p w14:paraId="35CCFB48">
      <w:pPr>
        <w:keepNext w:val="0"/>
        <w:keepLines w:val="0"/>
        <w:pageBreakBefore w:val="0"/>
        <w:widowControl w:val="0"/>
        <w:suppressLineNumbers w:val="0"/>
        <w:kinsoku/>
        <w:wordWrap/>
        <w:overflowPunct/>
        <w:topLinePunct w:val="0"/>
        <w:autoSpaceDE w:val="0"/>
        <w:autoSpaceDN/>
        <w:bidi w:val="0"/>
        <w:adjustRightInd/>
        <w:snapToGrid/>
        <w:spacing w:before="3" w:beforeAutospacing="0" w:after="0" w:afterAutospacing="0" w:line="540" w:lineRule="exact"/>
        <w:ind w:left="0" w:right="1" w:firstLine="480" w:firstLineChars="200"/>
        <w:jc w:val="both"/>
        <w:textAlignment w:val="auto"/>
        <w:rPr>
          <w:rFonts w:hint="eastAsia" w:cs="宋体"/>
          <w:kern w:val="0"/>
          <w:sz w:val="24"/>
          <w:szCs w:val="24"/>
          <w:shd w:val="clear"/>
          <w:lang w:val="en-US" w:eastAsia="zh-CN" w:bidi="ar"/>
        </w:rPr>
      </w:pPr>
      <w:bookmarkStart w:id="0" w:name="项目概况"/>
      <w:bookmarkEnd w:id="0"/>
      <w:r>
        <w:rPr>
          <w:rFonts w:hint="eastAsia" w:cs="宋体"/>
          <w:kern w:val="0"/>
          <w:sz w:val="24"/>
          <w:szCs w:val="24"/>
          <w:lang w:val="en-US" w:eastAsia="zh-CN" w:bidi="ar"/>
        </w:rPr>
        <w:t>石泉县污水处理厂2025年生产药剂采购项目的潜在供应商应在</w:t>
      </w:r>
      <w:r>
        <w:rPr>
          <w:rFonts w:hint="eastAsia" w:cs="宋体"/>
          <w:b/>
          <w:bCs/>
          <w:kern w:val="0"/>
          <w:sz w:val="24"/>
          <w:szCs w:val="24"/>
          <w:lang w:val="en-US" w:eastAsia="zh-CN" w:bidi="ar"/>
        </w:rPr>
        <w:t>全国公共资源交易中心平台（陕西省.安康市）</w:t>
      </w:r>
      <w:r>
        <w:rPr>
          <w:rFonts w:hint="eastAsia" w:cs="宋体"/>
          <w:kern w:val="0"/>
          <w:sz w:val="24"/>
          <w:szCs w:val="24"/>
          <w:lang w:val="en-US" w:eastAsia="zh-CN" w:bidi="ar"/>
        </w:rPr>
        <w:t>获取采购文件，</w:t>
      </w:r>
      <w:r>
        <w:rPr>
          <w:rFonts w:hint="eastAsia" w:cs="宋体"/>
          <w:kern w:val="0"/>
          <w:sz w:val="24"/>
          <w:szCs w:val="24"/>
          <w:shd w:val="clear"/>
          <w:lang w:val="en-US" w:eastAsia="zh-CN" w:bidi="ar"/>
        </w:rPr>
        <w:t>并于2026年1月15日14时00分（北京时间）前提交响应文件。</w:t>
      </w:r>
    </w:p>
    <w:p w14:paraId="1A0C625F">
      <w:pPr>
        <w:pStyle w:val="9"/>
        <w:keepNext w:val="0"/>
        <w:keepLines w:val="0"/>
        <w:pageBreakBefore w:val="0"/>
        <w:widowControl w:val="0"/>
        <w:kinsoku/>
        <w:wordWrap/>
        <w:overflowPunct/>
        <w:topLinePunct w:val="0"/>
        <w:autoSpaceDE w:val="0"/>
        <w:bidi w:val="0"/>
        <w:adjustRightInd/>
        <w:snapToGrid/>
        <w:spacing w:line="540" w:lineRule="exact"/>
        <w:ind w:left="348"/>
        <w:textAlignment w:val="auto"/>
        <w:rPr>
          <w:rFonts w:hint="eastAsia" w:ascii="宋体" w:hAnsi="宋体" w:eastAsia="宋体" w:cs="宋体"/>
          <w:b/>
          <w:bCs/>
          <w:kern w:val="2"/>
          <w:sz w:val="24"/>
          <w:szCs w:val="24"/>
          <w:lang w:val="en-US" w:eastAsia="zh-CN" w:bidi="ar"/>
        </w:rPr>
      </w:pPr>
      <w:bookmarkStart w:id="1" w:name="一、项目基本情况"/>
      <w:bookmarkEnd w:id="1"/>
      <w:r>
        <w:rPr>
          <w:rFonts w:hint="eastAsia" w:ascii="宋体" w:hAnsi="宋体" w:eastAsia="宋体" w:cs="宋体"/>
          <w:b/>
          <w:bCs/>
          <w:kern w:val="2"/>
          <w:sz w:val="24"/>
          <w:szCs w:val="24"/>
          <w:lang w:val="en-US" w:eastAsia="zh-CN" w:bidi="ar"/>
        </w:rPr>
        <w:t>一、项目基本情况</w:t>
      </w:r>
    </w:p>
    <w:p w14:paraId="52B97A41">
      <w:pPr>
        <w:pStyle w:val="9"/>
        <w:keepNext w:val="0"/>
        <w:keepLines w:val="0"/>
        <w:pageBreakBefore w:val="0"/>
        <w:widowControl w:val="0"/>
        <w:kinsoku/>
        <w:wordWrap/>
        <w:overflowPunct/>
        <w:topLinePunct w:val="0"/>
        <w:autoSpaceDE w:val="0"/>
        <w:bidi w:val="0"/>
        <w:adjustRightInd/>
        <w:snapToGrid/>
        <w:spacing w:before="11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项目编号：</w:t>
      </w:r>
      <w:r>
        <w:rPr>
          <w:rFonts w:hint="eastAsia" w:cs="宋体"/>
          <w:kern w:val="2"/>
          <w:sz w:val="24"/>
          <w:szCs w:val="24"/>
          <w:lang w:val="en-US" w:eastAsia="zh-CN" w:bidi="ar"/>
        </w:rPr>
        <w:t>YC25440031(CGP)</w:t>
      </w:r>
    </w:p>
    <w:p w14:paraId="37A6B4AA">
      <w:pPr>
        <w:pStyle w:val="9"/>
        <w:keepNext w:val="0"/>
        <w:keepLines w:val="0"/>
        <w:pageBreakBefore w:val="0"/>
        <w:widowControl w:val="0"/>
        <w:kinsoku/>
        <w:wordWrap/>
        <w:overflowPunct/>
        <w:topLinePunct w:val="0"/>
        <w:autoSpaceDE w:val="0"/>
        <w:bidi w:val="0"/>
        <w:adjustRightInd/>
        <w:snapToGrid/>
        <w:spacing w:before="113" w:line="540" w:lineRule="exact"/>
        <w:ind w:right="56"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r>
        <w:rPr>
          <w:rFonts w:hint="eastAsia" w:cs="宋体"/>
          <w:kern w:val="2"/>
          <w:sz w:val="24"/>
          <w:szCs w:val="24"/>
          <w:lang w:val="en-US" w:eastAsia="zh-CN" w:bidi="ar"/>
        </w:rPr>
        <w:t>石泉县污水处理厂2025年生产药剂采购项目</w:t>
      </w:r>
    </w:p>
    <w:p w14:paraId="643C01D3">
      <w:pPr>
        <w:pStyle w:val="9"/>
        <w:keepNext w:val="0"/>
        <w:keepLines w:val="0"/>
        <w:pageBreakBefore w:val="0"/>
        <w:widowControl w:val="0"/>
        <w:kinsoku/>
        <w:wordWrap/>
        <w:overflowPunct/>
        <w:topLinePunct w:val="0"/>
        <w:autoSpaceDE w:val="0"/>
        <w:bidi w:val="0"/>
        <w:adjustRightInd/>
        <w:snapToGrid/>
        <w:spacing w:before="113" w:line="540" w:lineRule="exact"/>
        <w:ind w:right="82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采购方式：竞争性谈判</w:t>
      </w:r>
    </w:p>
    <w:p w14:paraId="48E81956">
      <w:pPr>
        <w:pStyle w:val="9"/>
        <w:keepNext w:val="0"/>
        <w:keepLines w:val="0"/>
        <w:pageBreakBefore w:val="0"/>
        <w:widowControl w:val="0"/>
        <w:kinsoku/>
        <w:wordWrap/>
        <w:overflowPunct/>
        <w:topLinePunct w:val="0"/>
        <w:autoSpaceDE w:val="0"/>
        <w:bidi w:val="0"/>
        <w:adjustRightInd/>
        <w:snapToGrid/>
        <w:spacing w:line="540" w:lineRule="exact"/>
        <w:ind w:right="5116"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预算金额：</w:t>
      </w:r>
      <w:r>
        <w:rPr>
          <w:rFonts w:hint="eastAsia" w:cs="宋体"/>
          <w:kern w:val="2"/>
          <w:sz w:val="24"/>
          <w:szCs w:val="24"/>
          <w:lang w:val="en-US" w:eastAsia="zh-CN" w:bidi="ar"/>
        </w:rPr>
        <w:t>973600.00</w:t>
      </w:r>
      <w:r>
        <w:rPr>
          <w:rFonts w:hint="eastAsia" w:ascii="宋体" w:hAnsi="宋体" w:eastAsia="宋体" w:cs="宋体"/>
          <w:kern w:val="2"/>
          <w:sz w:val="24"/>
          <w:szCs w:val="24"/>
          <w:lang w:val="en-US" w:eastAsia="zh-CN" w:bidi="ar"/>
        </w:rPr>
        <w:t>元</w:t>
      </w:r>
    </w:p>
    <w:p w14:paraId="37B375D9">
      <w:pPr>
        <w:pStyle w:val="9"/>
        <w:keepNext w:val="0"/>
        <w:keepLines w:val="0"/>
        <w:pageBreakBefore w:val="0"/>
        <w:widowControl w:val="0"/>
        <w:kinsoku/>
        <w:wordWrap/>
        <w:overflowPunct/>
        <w:topLinePunct w:val="0"/>
        <w:autoSpaceDE w:val="0"/>
        <w:bidi w:val="0"/>
        <w:adjustRightInd/>
        <w:snapToGrid/>
        <w:spacing w:line="540" w:lineRule="exact"/>
        <w:ind w:right="5973"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采购需求：</w:t>
      </w:r>
    </w:p>
    <w:p w14:paraId="6E23AFED">
      <w:pPr>
        <w:keepNext w:val="0"/>
        <w:keepLines w:val="0"/>
        <w:pageBreakBefore w:val="0"/>
        <w:widowControl w:val="0"/>
        <w:kinsoku/>
        <w:wordWrap/>
        <w:overflowPunct/>
        <w:topLinePunct w:val="0"/>
        <w:autoSpaceDE w:val="0"/>
        <w:bidi w:val="0"/>
        <w:adjustRightInd/>
        <w:snapToGrid/>
        <w:spacing w:before="0" w:line="540" w:lineRule="exact"/>
        <w:ind w:right="7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1(</w:t>
      </w:r>
      <w:r>
        <w:rPr>
          <w:rFonts w:hint="eastAsia" w:cs="宋体"/>
          <w:kern w:val="2"/>
          <w:sz w:val="24"/>
          <w:szCs w:val="24"/>
          <w:lang w:val="en-US" w:eastAsia="zh-CN" w:bidi="ar"/>
        </w:rPr>
        <w:t>石泉县污水处理厂2025年生产药剂采购项目</w:t>
      </w:r>
      <w:r>
        <w:rPr>
          <w:rFonts w:hint="eastAsia" w:ascii="宋体" w:hAnsi="宋体" w:eastAsia="宋体" w:cs="宋体"/>
          <w:kern w:val="2"/>
          <w:sz w:val="24"/>
          <w:szCs w:val="24"/>
          <w:lang w:val="en-US" w:eastAsia="zh-CN" w:bidi="ar"/>
        </w:rPr>
        <w:t>):</w:t>
      </w:r>
    </w:p>
    <w:p w14:paraId="696D2711">
      <w:pPr>
        <w:keepNext w:val="0"/>
        <w:keepLines w:val="0"/>
        <w:pageBreakBefore w:val="0"/>
        <w:widowControl w:val="0"/>
        <w:kinsoku/>
        <w:wordWrap/>
        <w:overflowPunct/>
        <w:topLinePunct w:val="0"/>
        <w:autoSpaceDE w:val="0"/>
        <w:bidi w:val="0"/>
        <w:adjustRightInd/>
        <w:snapToGrid/>
        <w:spacing w:before="0" w:line="540" w:lineRule="exact"/>
        <w:ind w:right="761"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合同包预算金额：</w:t>
      </w:r>
      <w:r>
        <w:rPr>
          <w:rFonts w:hint="eastAsia" w:cs="宋体"/>
          <w:kern w:val="2"/>
          <w:sz w:val="24"/>
          <w:szCs w:val="24"/>
          <w:lang w:val="en-US" w:eastAsia="zh-CN" w:bidi="ar"/>
        </w:rPr>
        <w:t>973600.00</w:t>
      </w:r>
      <w:r>
        <w:rPr>
          <w:rFonts w:hint="eastAsia" w:ascii="宋体" w:hAnsi="宋体" w:eastAsia="宋体" w:cs="宋体"/>
          <w:kern w:val="2"/>
          <w:sz w:val="24"/>
          <w:szCs w:val="24"/>
          <w:lang w:val="en-US" w:eastAsia="zh-CN" w:bidi="ar"/>
        </w:rPr>
        <w:t>元</w:t>
      </w:r>
    </w:p>
    <w:p w14:paraId="4A7652EA">
      <w:pPr>
        <w:keepNext w:val="0"/>
        <w:keepLines w:val="0"/>
        <w:pageBreakBefore w:val="0"/>
        <w:widowControl w:val="0"/>
        <w:kinsoku/>
        <w:wordWrap/>
        <w:overflowPunct/>
        <w:topLinePunct w:val="0"/>
        <w:autoSpaceDE w:val="0"/>
        <w:bidi w:val="0"/>
        <w:adjustRightInd/>
        <w:snapToGrid/>
        <w:spacing w:before="0" w:line="540" w:lineRule="exact"/>
        <w:ind w:right="761"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合同包最高限价：</w:t>
      </w:r>
      <w:r>
        <w:rPr>
          <w:rFonts w:hint="eastAsia" w:cs="宋体"/>
          <w:kern w:val="2"/>
          <w:sz w:val="24"/>
          <w:szCs w:val="24"/>
          <w:lang w:val="en-US" w:eastAsia="zh-CN" w:bidi="ar"/>
        </w:rPr>
        <w:t>973600.00</w:t>
      </w:r>
      <w:r>
        <w:rPr>
          <w:rFonts w:hint="eastAsia" w:ascii="宋体" w:hAnsi="宋体" w:eastAsia="宋体" w:cs="宋体"/>
          <w:kern w:val="2"/>
          <w:sz w:val="24"/>
          <w:szCs w:val="24"/>
          <w:lang w:val="en-US" w:eastAsia="zh-CN" w:bidi="ar"/>
        </w:rPr>
        <w:t>元</w:t>
      </w:r>
    </w:p>
    <w:tbl>
      <w:tblPr>
        <w:tblStyle w:val="18"/>
        <w:tblW w:w="10079" w:type="dxa"/>
        <w:tblInd w:w="13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auto"/>
        <w:tblLayout w:type="fixed"/>
        <w:tblCellMar>
          <w:top w:w="0" w:type="dxa"/>
          <w:left w:w="0" w:type="dxa"/>
          <w:bottom w:w="0" w:type="dxa"/>
          <w:right w:w="0" w:type="dxa"/>
        </w:tblCellMar>
      </w:tblPr>
      <w:tblGrid>
        <w:gridCol w:w="726"/>
        <w:gridCol w:w="1327"/>
        <w:gridCol w:w="1149"/>
        <w:gridCol w:w="1166"/>
        <w:gridCol w:w="2302"/>
        <w:gridCol w:w="1704"/>
        <w:gridCol w:w="1705"/>
      </w:tblGrid>
      <w:tr w14:paraId="326FBA8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shd w:val="clear" w:color="auto" w:fill="auto"/>
          <w:tblCellMar>
            <w:top w:w="0" w:type="dxa"/>
            <w:left w:w="0" w:type="dxa"/>
            <w:bottom w:w="0" w:type="dxa"/>
            <w:right w:w="0" w:type="dxa"/>
          </w:tblCellMar>
        </w:tblPrEx>
        <w:trPr>
          <w:trHeight w:val="1002" w:hRule="atLeast"/>
        </w:trPr>
        <w:tc>
          <w:tcPr>
            <w:tcW w:w="726" w:type="dxa"/>
            <w:tcBorders>
              <w:top w:val="single" w:color="333333" w:sz="6" w:space="0"/>
              <w:left w:val="single" w:color="333333" w:sz="6" w:space="0"/>
              <w:bottom w:val="single" w:color="auto" w:sz="4" w:space="0"/>
              <w:right w:val="single" w:color="333333" w:sz="6" w:space="0"/>
            </w:tcBorders>
            <w:shd w:val="clear" w:color="auto" w:fill="auto"/>
            <w:vAlign w:val="center"/>
          </w:tcPr>
          <w:p w14:paraId="1D31B80C">
            <w:pPr>
              <w:pStyle w:val="16"/>
              <w:keepNext w:val="0"/>
              <w:keepLines w:val="0"/>
              <w:widowControl w:val="0"/>
              <w:suppressLineNumbers w:val="0"/>
              <w:spacing w:before="46" w:beforeAutospacing="0" w:after="0" w:afterAutospacing="0" w:line="500" w:lineRule="exact"/>
              <w:ind w:left="0" w:right="159"/>
              <w:jc w:val="center"/>
              <w:rPr>
                <w:rFonts w:hint="eastAsia" w:asciiTheme="minorEastAsia" w:hAnsiTheme="minorEastAsia" w:eastAsiaTheme="minorEastAsia" w:cstheme="minorEastAsia"/>
                <w:b/>
                <w:bCs/>
                <w:color w:val="auto"/>
                <w:spacing w:val="-20"/>
                <w:kern w:val="2"/>
                <w:sz w:val="24"/>
                <w:szCs w:val="24"/>
              </w:rPr>
            </w:pPr>
            <w:r>
              <w:rPr>
                <w:rFonts w:hint="eastAsia" w:asciiTheme="minorEastAsia" w:hAnsiTheme="minorEastAsia" w:eastAsiaTheme="minorEastAsia" w:cstheme="minorEastAsia"/>
                <w:b/>
                <w:bCs/>
                <w:color w:val="auto"/>
                <w:spacing w:val="-20"/>
                <w:kern w:val="2"/>
                <w:sz w:val="24"/>
                <w:szCs w:val="24"/>
                <w:lang w:val="en-US" w:eastAsia="zh-CN" w:bidi="ar"/>
              </w:rPr>
              <w:t>品目号</w:t>
            </w:r>
          </w:p>
        </w:tc>
        <w:tc>
          <w:tcPr>
            <w:tcW w:w="1327" w:type="dxa"/>
            <w:tcBorders>
              <w:top w:val="single" w:color="333333" w:sz="6" w:space="0"/>
              <w:left w:val="single" w:color="333333" w:sz="6" w:space="0"/>
              <w:bottom w:val="single" w:color="auto" w:sz="4" w:space="0"/>
              <w:right w:val="single" w:color="333333" w:sz="6" w:space="0"/>
            </w:tcBorders>
            <w:shd w:val="clear" w:color="auto" w:fill="auto"/>
            <w:vAlign w:val="center"/>
          </w:tcPr>
          <w:p w14:paraId="6A6AE5C7">
            <w:pPr>
              <w:pStyle w:val="16"/>
              <w:keepNext w:val="0"/>
              <w:keepLines w:val="0"/>
              <w:widowControl w:val="0"/>
              <w:suppressLineNumbers w:val="0"/>
              <w:spacing w:before="0" w:beforeAutospacing="0" w:after="0" w:afterAutospacing="0" w:line="500" w:lineRule="exact"/>
              <w:ind w:left="0" w:right="236"/>
              <w:jc w:val="center"/>
              <w:rPr>
                <w:rFonts w:hint="eastAsia" w:asciiTheme="minorEastAsia" w:hAnsiTheme="minorEastAsia" w:eastAsiaTheme="minorEastAsia" w:cstheme="minorEastAsia"/>
                <w:b/>
                <w:bCs/>
                <w:color w:val="auto"/>
                <w:spacing w:val="-20"/>
                <w:kern w:val="2"/>
                <w:sz w:val="24"/>
                <w:szCs w:val="24"/>
              </w:rPr>
            </w:pPr>
            <w:r>
              <w:rPr>
                <w:rFonts w:hint="eastAsia" w:asciiTheme="minorEastAsia" w:hAnsiTheme="minorEastAsia" w:eastAsiaTheme="minorEastAsia" w:cstheme="minorEastAsia"/>
                <w:b/>
                <w:bCs/>
                <w:color w:val="auto"/>
                <w:spacing w:val="-20"/>
                <w:kern w:val="2"/>
                <w:sz w:val="24"/>
                <w:szCs w:val="24"/>
                <w:lang w:val="en-US" w:eastAsia="zh-CN" w:bidi="ar"/>
              </w:rPr>
              <w:t>品目名称</w:t>
            </w:r>
          </w:p>
        </w:tc>
        <w:tc>
          <w:tcPr>
            <w:tcW w:w="1149" w:type="dxa"/>
            <w:tcBorders>
              <w:top w:val="single" w:color="333333" w:sz="6" w:space="0"/>
              <w:left w:val="single" w:color="333333" w:sz="6" w:space="0"/>
              <w:bottom w:val="single" w:color="auto" w:sz="4" w:space="0"/>
              <w:right w:val="single" w:color="333333" w:sz="6" w:space="0"/>
            </w:tcBorders>
            <w:shd w:val="clear" w:color="auto" w:fill="auto"/>
            <w:vAlign w:val="center"/>
          </w:tcPr>
          <w:p w14:paraId="3B835BD1">
            <w:pPr>
              <w:pStyle w:val="16"/>
              <w:keepNext w:val="0"/>
              <w:keepLines w:val="0"/>
              <w:widowControl w:val="0"/>
              <w:suppressLineNumbers w:val="0"/>
              <w:spacing w:before="0" w:beforeAutospacing="0" w:after="0" w:afterAutospacing="0" w:line="500" w:lineRule="exact"/>
              <w:ind w:left="0" w:right="236"/>
              <w:jc w:val="center"/>
              <w:rPr>
                <w:rFonts w:hint="eastAsia" w:asciiTheme="minorEastAsia" w:hAnsiTheme="minorEastAsia" w:eastAsiaTheme="minorEastAsia" w:cstheme="minorEastAsia"/>
                <w:b/>
                <w:bCs/>
                <w:color w:val="auto"/>
                <w:spacing w:val="-20"/>
                <w:kern w:val="2"/>
                <w:sz w:val="24"/>
                <w:szCs w:val="24"/>
              </w:rPr>
            </w:pPr>
            <w:r>
              <w:rPr>
                <w:rFonts w:hint="eastAsia" w:asciiTheme="minorEastAsia" w:hAnsiTheme="minorEastAsia" w:eastAsiaTheme="minorEastAsia" w:cstheme="minorEastAsia"/>
                <w:b/>
                <w:bCs/>
                <w:color w:val="auto"/>
                <w:spacing w:val="-20"/>
                <w:kern w:val="2"/>
                <w:sz w:val="24"/>
                <w:szCs w:val="24"/>
                <w:lang w:val="en-US" w:eastAsia="zh-CN" w:bidi="ar"/>
              </w:rPr>
              <w:t>采购标的</w:t>
            </w:r>
          </w:p>
        </w:tc>
        <w:tc>
          <w:tcPr>
            <w:tcW w:w="1166" w:type="dxa"/>
            <w:tcBorders>
              <w:top w:val="single" w:color="333333" w:sz="6" w:space="0"/>
              <w:left w:val="single" w:color="333333" w:sz="6" w:space="0"/>
              <w:bottom w:val="single" w:color="auto" w:sz="4" w:space="0"/>
              <w:right w:val="single" w:color="333333" w:sz="6" w:space="0"/>
            </w:tcBorders>
            <w:shd w:val="clear" w:color="auto" w:fill="auto"/>
            <w:vAlign w:val="center"/>
          </w:tcPr>
          <w:p w14:paraId="600B0435">
            <w:pPr>
              <w:pStyle w:val="16"/>
              <w:keepNext w:val="0"/>
              <w:keepLines w:val="0"/>
              <w:widowControl w:val="0"/>
              <w:suppressLineNumbers w:val="0"/>
              <w:spacing w:before="0" w:beforeAutospacing="0" w:after="0" w:afterAutospacing="0" w:line="500" w:lineRule="exact"/>
              <w:ind w:right="160"/>
              <w:jc w:val="center"/>
              <w:rPr>
                <w:rFonts w:hint="eastAsia" w:asciiTheme="minorEastAsia" w:hAnsiTheme="minorEastAsia" w:eastAsiaTheme="minorEastAsia" w:cstheme="minorEastAsia"/>
                <w:b/>
                <w:bCs/>
                <w:color w:val="auto"/>
                <w:spacing w:val="-20"/>
                <w:kern w:val="2"/>
                <w:sz w:val="24"/>
                <w:szCs w:val="24"/>
                <w:lang w:val="en-US" w:eastAsia="zh-CN" w:bidi="ar"/>
              </w:rPr>
            </w:pPr>
            <w:r>
              <w:rPr>
                <w:rFonts w:hint="eastAsia" w:asciiTheme="minorEastAsia" w:hAnsiTheme="minorEastAsia" w:eastAsiaTheme="minorEastAsia" w:cstheme="minorEastAsia"/>
                <w:b/>
                <w:bCs/>
                <w:color w:val="auto"/>
                <w:spacing w:val="-20"/>
                <w:kern w:val="2"/>
                <w:sz w:val="24"/>
                <w:szCs w:val="24"/>
                <w:lang w:val="en-US" w:eastAsia="zh-CN" w:bidi="ar"/>
              </w:rPr>
              <w:t>数量</w:t>
            </w:r>
          </w:p>
          <w:p w14:paraId="0DC3A947">
            <w:pPr>
              <w:pStyle w:val="16"/>
              <w:keepNext w:val="0"/>
              <w:keepLines w:val="0"/>
              <w:widowControl w:val="0"/>
              <w:suppressLineNumbers w:val="0"/>
              <w:spacing w:before="0" w:beforeAutospacing="0" w:after="0" w:afterAutospacing="0" w:line="500" w:lineRule="exact"/>
              <w:ind w:right="160"/>
              <w:jc w:val="center"/>
              <w:rPr>
                <w:rFonts w:hint="eastAsia" w:asciiTheme="minorEastAsia" w:hAnsiTheme="minorEastAsia" w:eastAsiaTheme="minorEastAsia" w:cstheme="minorEastAsia"/>
                <w:b/>
                <w:bCs/>
                <w:color w:val="auto"/>
                <w:spacing w:val="-20"/>
                <w:kern w:val="2"/>
                <w:sz w:val="24"/>
                <w:szCs w:val="24"/>
              </w:rPr>
            </w:pPr>
            <w:r>
              <w:rPr>
                <w:rFonts w:hint="eastAsia" w:asciiTheme="minorEastAsia" w:hAnsiTheme="minorEastAsia" w:eastAsiaTheme="minorEastAsia" w:cstheme="minorEastAsia"/>
                <w:b/>
                <w:bCs/>
                <w:color w:val="auto"/>
                <w:spacing w:val="-20"/>
                <w:kern w:val="2"/>
                <w:sz w:val="24"/>
                <w:szCs w:val="24"/>
                <w:lang w:val="en-US" w:eastAsia="zh-CN" w:bidi="ar"/>
              </w:rPr>
              <w:t>（单位）</w:t>
            </w:r>
          </w:p>
        </w:tc>
        <w:tc>
          <w:tcPr>
            <w:tcW w:w="2302" w:type="dxa"/>
            <w:tcBorders>
              <w:top w:val="single" w:color="333333" w:sz="6" w:space="0"/>
              <w:left w:val="single" w:color="333333" w:sz="6" w:space="0"/>
              <w:bottom w:val="single" w:color="auto" w:sz="4" w:space="0"/>
              <w:right w:val="single" w:color="333333" w:sz="6" w:space="0"/>
            </w:tcBorders>
            <w:shd w:val="clear" w:color="auto" w:fill="auto"/>
            <w:vAlign w:val="center"/>
          </w:tcPr>
          <w:p w14:paraId="3C1AAD81">
            <w:pPr>
              <w:pStyle w:val="16"/>
              <w:keepNext w:val="0"/>
              <w:keepLines w:val="0"/>
              <w:widowControl w:val="0"/>
              <w:suppressLineNumbers w:val="0"/>
              <w:spacing w:before="46" w:beforeAutospacing="0" w:after="0" w:afterAutospacing="0" w:line="500" w:lineRule="exact"/>
              <w:ind w:left="0" w:right="48"/>
              <w:jc w:val="center"/>
              <w:rPr>
                <w:rFonts w:hint="eastAsia" w:asciiTheme="minorEastAsia" w:hAnsiTheme="minorEastAsia" w:eastAsiaTheme="minorEastAsia" w:cstheme="minorEastAsia"/>
                <w:b/>
                <w:bCs/>
                <w:color w:val="auto"/>
                <w:spacing w:val="-20"/>
                <w:kern w:val="2"/>
                <w:sz w:val="24"/>
                <w:szCs w:val="24"/>
              </w:rPr>
            </w:pPr>
            <w:r>
              <w:rPr>
                <w:rFonts w:hint="eastAsia" w:asciiTheme="minorEastAsia" w:hAnsiTheme="minorEastAsia" w:eastAsiaTheme="minorEastAsia" w:cstheme="minorEastAsia"/>
                <w:b/>
                <w:bCs/>
                <w:color w:val="auto"/>
                <w:spacing w:val="-20"/>
                <w:kern w:val="2"/>
                <w:sz w:val="24"/>
                <w:szCs w:val="24"/>
                <w:lang w:val="en-US" w:eastAsia="zh-CN" w:bidi="ar"/>
              </w:rPr>
              <w:t>技术规格、参数及要求</w:t>
            </w:r>
          </w:p>
        </w:tc>
        <w:tc>
          <w:tcPr>
            <w:tcW w:w="1704" w:type="dxa"/>
            <w:tcBorders>
              <w:top w:val="single" w:color="333333" w:sz="6" w:space="0"/>
              <w:left w:val="single" w:color="333333" w:sz="6" w:space="0"/>
              <w:bottom w:val="single" w:color="auto" w:sz="4" w:space="0"/>
              <w:right w:val="single" w:color="333333" w:sz="6" w:space="0"/>
            </w:tcBorders>
            <w:shd w:val="clear" w:color="auto" w:fill="auto"/>
            <w:vAlign w:val="center"/>
          </w:tcPr>
          <w:p w14:paraId="1C73A9DD">
            <w:pPr>
              <w:pStyle w:val="16"/>
              <w:keepNext w:val="0"/>
              <w:keepLines w:val="0"/>
              <w:widowControl w:val="0"/>
              <w:suppressLineNumbers w:val="0"/>
              <w:spacing w:before="46" w:beforeAutospacing="0" w:after="0" w:afterAutospacing="0" w:line="500" w:lineRule="exact"/>
              <w:ind w:left="0" w:right="232"/>
              <w:jc w:val="center"/>
              <w:rPr>
                <w:rFonts w:hint="eastAsia" w:asciiTheme="minorEastAsia" w:hAnsiTheme="minorEastAsia" w:eastAsiaTheme="minorEastAsia" w:cstheme="minorEastAsia"/>
                <w:b/>
                <w:bCs/>
                <w:color w:val="auto"/>
                <w:spacing w:val="-20"/>
                <w:kern w:val="2"/>
                <w:sz w:val="24"/>
                <w:szCs w:val="24"/>
              </w:rPr>
            </w:pPr>
            <w:r>
              <w:rPr>
                <w:rFonts w:hint="eastAsia" w:asciiTheme="minorEastAsia" w:hAnsiTheme="minorEastAsia" w:eastAsiaTheme="minorEastAsia" w:cstheme="minorEastAsia"/>
                <w:b/>
                <w:bCs/>
                <w:color w:val="auto"/>
                <w:spacing w:val="-20"/>
                <w:kern w:val="2"/>
                <w:sz w:val="24"/>
                <w:szCs w:val="24"/>
                <w:lang w:val="en-US" w:eastAsia="zh-CN" w:bidi="ar"/>
              </w:rPr>
              <w:t>品目预算（元）</w:t>
            </w:r>
          </w:p>
        </w:tc>
        <w:tc>
          <w:tcPr>
            <w:tcW w:w="1705" w:type="dxa"/>
            <w:tcBorders>
              <w:top w:val="single" w:color="333333" w:sz="6" w:space="0"/>
              <w:left w:val="single" w:color="333333" w:sz="6" w:space="0"/>
              <w:bottom w:val="single" w:color="auto" w:sz="4" w:space="0"/>
              <w:right w:val="single" w:color="333333" w:sz="6" w:space="0"/>
            </w:tcBorders>
            <w:shd w:val="clear" w:color="auto" w:fill="auto"/>
            <w:vAlign w:val="center"/>
          </w:tcPr>
          <w:p w14:paraId="12AC448B">
            <w:pPr>
              <w:pStyle w:val="16"/>
              <w:keepNext w:val="0"/>
              <w:keepLines w:val="0"/>
              <w:widowControl w:val="0"/>
              <w:suppressLineNumbers w:val="0"/>
              <w:spacing w:before="46" w:beforeAutospacing="0" w:after="0" w:afterAutospacing="0" w:line="500" w:lineRule="exact"/>
              <w:ind w:left="0" w:right="231"/>
              <w:jc w:val="center"/>
              <w:rPr>
                <w:rFonts w:hint="eastAsia" w:asciiTheme="minorEastAsia" w:hAnsiTheme="minorEastAsia" w:eastAsiaTheme="minorEastAsia" w:cstheme="minorEastAsia"/>
                <w:b/>
                <w:bCs/>
                <w:color w:val="auto"/>
                <w:spacing w:val="-20"/>
                <w:kern w:val="2"/>
                <w:sz w:val="24"/>
                <w:szCs w:val="24"/>
              </w:rPr>
            </w:pPr>
            <w:r>
              <w:rPr>
                <w:rFonts w:hint="eastAsia" w:asciiTheme="minorEastAsia" w:hAnsiTheme="minorEastAsia" w:eastAsiaTheme="minorEastAsia" w:cstheme="minorEastAsia"/>
                <w:b/>
                <w:bCs/>
                <w:color w:val="auto"/>
                <w:spacing w:val="-20"/>
                <w:kern w:val="2"/>
                <w:sz w:val="24"/>
                <w:szCs w:val="24"/>
                <w:lang w:val="en-US" w:eastAsia="zh-CN" w:bidi="ar"/>
              </w:rPr>
              <w:t>最高限价（元）</w:t>
            </w:r>
          </w:p>
        </w:tc>
      </w:tr>
      <w:tr w14:paraId="73C5FAC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160" w:hRule="atLeast"/>
        </w:trPr>
        <w:tc>
          <w:tcPr>
            <w:tcW w:w="726" w:type="dxa"/>
            <w:tcBorders>
              <w:top w:val="single" w:color="auto" w:sz="4" w:space="0"/>
              <w:left w:val="single" w:color="auto" w:sz="4" w:space="0"/>
              <w:bottom w:val="single" w:color="auto" w:sz="4" w:space="0"/>
              <w:right w:val="single" w:color="333333" w:sz="6" w:space="0"/>
            </w:tcBorders>
            <w:shd w:val="clear" w:color="auto" w:fill="auto"/>
            <w:vAlign w:val="center"/>
          </w:tcPr>
          <w:p w14:paraId="5481BAD2">
            <w:pPr>
              <w:pStyle w:val="16"/>
              <w:keepNext w:val="0"/>
              <w:keepLines w:val="0"/>
              <w:widowControl w:val="0"/>
              <w:suppressLineNumbers w:val="0"/>
              <w:spacing w:before="0" w:beforeAutospacing="0" w:after="0" w:afterAutospacing="0" w:line="500" w:lineRule="exact"/>
              <w:ind w:left="0" w:right="0"/>
              <w:jc w:val="center"/>
              <w:rPr>
                <w:rFonts w:hint="eastAsia"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kern w:val="2"/>
                <w:sz w:val="21"/>
                <w:szCs w:val="21"/>
                <w:lang w:val="en-US" w:eastAsia="zh-CN" w:bidi="zh-CN"/>
              </w:rPr>
              <w:t>1-1</w:t>
            </w:r>
          </w:p>
        </w:tc>
        <w:tc>
          <w:tcPr>
            <w:tcW w:w="1327" w:type="dxa"/>
            <w:tcBorders>
              <w:top w:val="single" w:color="auto" w:sz="4" w:space="0"/>
              <w:left w:val="single" w:color="333333" w:sz="6" w:space="0"/>
              <w:bottom w:val="single" w:color="auto" w:sz="4" w:space="0"/>
              <w:right w:val="single" w:color="333333" w:sz="6" w:space="0"/>
            </w:tcBorders>
            <w:shd w:val="clear" w:color="auto" w:fill="auto"/>
            <w:vAlign w:val="center"/>
          </w:tcPr>
          <w:p w14:paraId="6C1A42C0">
            <w:pPr>
              <w:keepNext w:val="0"/>
              <w:keepLines w:val="0"/>
              <w:widowControl w:val="0"/>
              <w:suppressLineNumbers w:val="0"/>
              <w:spacing w:before="1" w:beforeAutospacing="0" w:after="0" w:afterAutospacing="0" w:line="500" w:lineRule="exact"/>
              <w:ind w:left="0" w:leftChars="0" w:right="0" w:rightChars="0"/>
              <w:jc w:val="center"/>
              <w:rPr>
                <w:rFonts w:hint="eastAsia"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环境污染处理专用药剂材料</w:t>
            </w:r>
          </w:p>
        </w:tc>
        <w:tc>
          <w:tcPr>
            <w:tcW w:w="1149" w:type="dxa"/>
            <w:tcBorders>
              <w:top w:val="single" w:color="auto" w:sz="4" w:space="0"/>
              <w:left w:val="single" w:color="333333" w:sz="6" w:space="0"/>
              <w:bottom w:val="single" w:color="auto" w:sz="4" w:space="0"/>
              <w:right w:val="single" w:color="333333" w:sz="6" w:space="0"/>
            </w:tcBorders>
            <w:shd w:val="clear" w:color="auto" w:fill="auto"/>
            <w:vAlign w:val="center"/>
          </w:tcPr>
          <w:p w14:paraId="26F9489C">
            <w:pPr>
              <w:keepNext w:val="0"/>
              <w:keepLines w:val="0"/>
              <w:widowControl w:val="0"/>
              <w:suppressLineNumbers w:val="0"/>
              <w:spacing w:before="1" w:beforeAutospacing="0" w:after="0" w:afterAutospacing="0" w:line="500" w:lineRule="exact"/>
              <w:ind w:left="0" w:leftChars="0" w:right="0" w:rightChars="0"/>
              <w:jc w:val="center"/>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固体聚合硫酸铁</w:t>
            </w:r>
          </w:p>
        </w:tc>
        <w:tc>
          <w:tcPr>
            <w:tcW w:w="1166" w:type="dxa"/>
            <w:tcBorders>
              <w:top w:val="single" w:color="auto" w:sz="4" w:space="0"/>
              <w:left w:val="single" w:color="333333" w:sz="6" w:space="0"/>
              <w:bottom w:val="single" w:color="auto" w:sz="4" w:space="0"/>
              <w:right w:val="single" w:color="333333" w:sz="6" w:space="0"/>
            </w:tcBorders>
            <w:shd w:val="clear" w:color="auto" w:fill="auto"/>
            <w:vAlign w:val="center"/>
          </w:tcPr>
          <w:p w14:paraId="52A411A8">
            <w:pPr>
              <w:pStyle w:val="16"/>
              <w:keepNext w:val="0"/>
              <w:keepLines w:val="0"/>
              <w:widowControl w:val="0"/>
              <w:suppressLineNumbers w:val="0"/>
              <w:spacing w:before="1" w:beforeAutospacing="0" w:after="0" w:afterAutospacing="0" w:line="500" w:lineRule="exact"/>
              <w:ind w:left="0" w:right="236"/>
              <w:jc w:val="center"/>
              <w:rPr>
                <w:rFonts w:hint="eastAsia" w:asciiTheme="minorEastAsia" w:hAnsiTheme="minorEastAsia" w:eastAsiaTheme="minorEastAsia" w:cstheme="minorEastAsia"/>
                <w:color w:val="auto"/>
                <w:spacing w:val="-6"/>
                <w:kern w:val="2"/>
                <w:sz w:val="22"/>
                <w:szCs w:val="22"/>
                <w:lang w:val="en-US" w:eastAsia="zh-CN"/>
              </w:rPr>
            </w:pPr>
            <w:r>
              <w:rPr>
                <w:rFonts w:hint="eastAsia" w:asciiTheme="minorEastAsia" w:hAnsiTheme="minorEastAsia" w:eastAsiaTheme="minorEastAsia" w:cstheme="minorEastAsia"/>
                <w:color w:val="auto"/>
                <w:spacing w:val="-6"/>
                <w:kern w:val="2"/>
                <w:sz w:val="22"/>
                <w:szCs w:val="22"/>
                <w:lang w:val="en-US" w:eastAsia="zh-CN"/>
              </w:rPr>
              <w:t>400吨</w:t>
            </w:r>
          </w:p>
        </w:tc>
        <w:tc>
          <w:tcPr>
            <w:tcW w:w="2302" w:type="dxa"/>
            <w:tcBorders>
              <w:top w:val="single" w:color="auto" w:sz="4" w:space="0"/>
              <w:left w:val="single" w:color="333333" w:sz="6" w:space="0"/>
              <w:bottom w:val="single" w:color="auto" w:sz="4" w:space="0"/>
              <w:right w:val="single" w:color="333333" w:sz="6" w:space="0"/>
            </w:tcBorders>
            <w:shd w:val="clear" w:color="auto" w:fill="auto"/>
            <w:vAlign w:val="center"/>
          </w:tcPr>
          <w:p w14:paraId="42D04E33">
            <w:pPr>
              <w:pStyle w:val="16"/>
              <w:keepNext w:val="0"/>
              <w:keepLines w:val="0"/>
              <w:widowControl w:val="0"/>
              <w:suppressLineNumbers w:val="0"/>
              <w:spacing w:before="1" w:beforeAutospacing="0" w:after="0" w:afterAutospacing="0" w:line="500" w:lineRule="exact"/>
              <w:ind w:left="0" w:right="236"/>
              <w:jc w:val="center"/>
              <w:rPr>
                <w:rFonts w:hint="eastAsia" w:ascii="宋体" w:hAnsi="宋体" w:eastAsia="宋体" w:cs="宋体"/>
                <w:color w:val="auto"/>
                <w:kern w:val="0"/>
                <w:sz w:val="22"/>
                <w:szCs w:val="22"/>
                <w:lang w:val="en-US" w:eastAsia="zh-CN" w:bidi="zh-CN"/>
              </w:rPr>
            </w:pPr>
            <w:r>
              <w:rPr>
                <w:rFonts w:hint="eastAsia" w:cs="宋体"/>
                <w:color w:val="auto"/>
                <w:kern w:val="0"/>
                <w:sz w:val="22"/>
                <w:szCs w:val="22"/>
                <w:lang w:val="en-US" w:eastAsia="zh-CN" w:bidi="zh-CN"/>
              </w:rPr>
              <w:t>详见采购文件</w:t>
            </w:r>
          </w:p>
        </w:tc>
        <w:tc>
          <w:tcPr>
            <w:tcW w:w="1704" w:type="dxa"/>
            <w:tcBorders>
              <w:top w:val="single" w:color="auto" w:sz="4" w:space="0"/>
              <w:left w:val="single" w:color="333333" w:sz="6" w:space="0"/>
              <w:bottom w:val="single" w:color="auto" w:sz="4" w:space="0"/>
              <w:right w:val="single" w:color="333333" w:sz="6" w:space="0"/>
            </w:tcBorders>
            <w:shd w:val="clear" w:color="auto" w:fill="auto"/>
            <w:vAlign w:val="center"/>
          </w:tcPr>
          <w:p w14:paraId="4D953D56">
            <w:pPr>
              <w:keepNext w:val="0"/>
              <w:keepLines w:val="0"/>
              <w:widowControl w:val="0"/>
              <w:suppressLineNumbers w:val="0"/>
              <w:spacing w:before="1" w:beforeAutospacing="0" w:after="0" w:afterAutospacing="0" w:line="500" w:lineRule="exact"/>
              <w:ind w:left="0" w:leftChars="0" w:right="0" w:rightChars="0"/>
              <w:jc w:val="center"/>
              <w:rPr>
                <w:rFonts w:hint="default"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770000.00</w:t>
            </w:r>
          </w:p>
        </w:tc>
        <w:tc>
          <w:tcPr>
            <w:tcW w:w="1705" w:type="dxa"/>
            <w:tcBorders>
              <w:top w:val="single" w:color="auto" w:sz="4" w:space="0"/>
              <w:left w:val="single" w:color="333333" w:sz="6" w:space="0"/>
              <w:bottom w:val="single" w:color="auto" w:sz="4" w:space="0"/>
              <w:right w:val="single" w:color="auto" w:sz="4" w:space="0"/>
            </w:tcBorders>
            <w:shd w:val="clear" w:color="auto" w:fill="auto"/>
            <w:vAlign w:val="center"/>
          </w:tcPr>
          <w:p w14:paraId="3C8A858F">
            <w:pPr>
              <w:keepNext w:val="0"/>
              <w:keepLines w:val="0"/>
              <w:widowControl w:val="0"/>
              <w:suppressLineNumbers w:val="0"/>
              <w:spacing w:before="1" w:beforeAutospacing="0" w:after="0" w:afterAutospacing="0" w:line="500" w:lineRule="exact"/>
              <w:ind w:left="0" w:leftChars="0" w:right="0" w:rightChars="0"/>
              <w:jc w:val="center"/>
              <w:rPr>
                <w:rFonts w:hint="default"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770000.00</w:t>
            </w:r>
          </w:p>
        </w:tc>
      </w:tr>
      <w:tr w14:paraId="4F03752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97" w:hRule="atLeast"/>
        </w:trPr>
        <w:tc>
          <w:tcPr>
            <w:tcW w:w="726" w:type="dxa"/>
            <w:tcBorders>
              <w:top w:val="single" w:color="auto" w:sz="4" w:space="0"/>
              <w:left w:val="single" w:color="auto" w:sz="4" w:space="0"/>
              <w:bottom w:val="single" w:color="auto" w:sz="4" w:space="0"/>
              <w:right w:val="single" w:color="333333" w:sz="6" w:space="0"/>
            </w:tcBorders>
            <w:shd w:val="clear" w:color="auto" w:fill="auto"/>
            <w:vAlign w:val="center"/>
          </w:tcPr>
          <w:p w14:paraId="694BB6DA">
            <w:pPr>
              <w:pStyle w:val="16"/>
              <w:keepNext w:val="0"/>
              <w:keepLines w:val="0"/>
              <w:widowControl w:val="0"/>
              <w:suppressLineNumbers w:val="0"/>
              <w:spacing w:before="0" w:beforeAutospacing="0" w:after="0" w:afterAutospacing="0" w:line="500" w:lineRule="exact"/>
              <w:ind w:left="0" w:right="0"/>
              <w:jc w:val="center"/>
              <w:rPr>
                <w:rFonts w:hint="default"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kern w:val="2"/>
                <w:sz w:val="21"/>
                <w:szCs w:val="21"/>
                <w:lang w:val="en-US" w:eastAsia="zh-CN" w:bidi="zh-CN"/>
              </w:rPr>
              <w:t>1-2</w:t>
            </w:r>
          </w:p>
        </w:tc>
        <w:tc>
          <w:tcPr>
            <w:tcW w:w="1327" w:type="dxa"/>
            <w:tcBorders>
              <w:top w:val="single" w:color="auto" w:sz="4" w:space="0"/>
              <w:left w:val="single" w:color="333333" w:sz="6" w:space="0"/>
              <w:bottom w:val="single" w:color="auto" w:sz="4" w:space="0"/>
              <w:right w:val="single" w:color="333333" w:sz="6" w:space="0"/>
            </w:tcBorders>
            <w:shd w:val="clear" w:color="auto" w:fill="auto"/>
            <w:vAlign w:val="center"/>
          </w:tcPr>
          <w:p w14:paraId="23F272C7">
            <w:pPr>
              <w:keepNext w:val="0"/>
              <w:keepLines w:val="0"/>
              <w:widowControl w:val="0"/>
              <w:suppressLineNumbers w:val="0"/>
              <w:spacing w:before="1" w:beforeAutospacing="0" w:after="0" w:afterAutospacing="0" w:line="500" w:lineRule="exact"/>
              <w:ind w:left="0" w:leftChars="0" w:right="0" w:rightChars="0"/>
              <w:jc w:val="center"/>
              <w:rPr>
                <w:rFonts w:hint="eastAsia"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环境污染处理专用药剂材料</w:t>
            </w:r>
          </w:p>
        </w:tc>
        <w:tc>
          <w:tcPr>
            <w:tcW w:w="1149" w:type="dxa"/>
            <w:tcBorders>
              <w:top w:val="single" w:color="auto" w:sz="4" w:space="0"/>
              <w:left w:val="single" w:color="333333" w:sz="6" w:space="0"/>
              <w:bottom w:val="single" w:color="auto" w:sz="4" w:space="0"/>
              <w:right w:val="single" w:color="333333" w:sz="6" w:space="0"/>
            </w:tcBorders>
            <w:shd w:val="clear" w:color="auto" w:fill="auto"/>
            <w:vAlign w:val="center"/>
          </w:tcPr>
          <w:p w14:paraId="72E51E84">
            <w:pPr>
              <w:keepNext w:val="0"/>
              <w:keepLines w:val="0"/>
              <w:widowControl w:val="0"/>
              <w:suppressLineNumbers w:val="0"/>
              <w:spacing w:before="1" w:beforeAutospacing="0" w:after="0" w:afterAutospacing="0" w:line="500" w:lineRule="exact"/>
              <w:ind w:left="0" w:leftChars="0" w:right="0" w:rightChars="0"/>
              <w:jc w:val="center"/>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阳离子聚丙烯酰胺</w:t>
            </w:r>
          </w:p>
        </w:tc>
        <w:tc>
          <w:tcPr>
            <w:tcW w:w="1166" w:type="dxa"/>
            <w:tcBorders>
              <w:top w:val="single" w:color="auto" w:sz="4" w:space="0"/>
              <w:left w:val="single" w:color="333333" w:sz="6" w:space="0"/>
              <w:bottom w:val="single" w:color="auto" w:sz="4" w:space="0"/>
              <w:right w:val="single" w:color="333333" w:sz="6" w:space="0"/>
            </w:tcBorders>
            <w:shd w:val="clear" w:color="auto" w:fill="auto"/>
            <w:vAlign w:val="center"/>
          </w:tcPr>
          <w:p w14:paraId="26576C5B">
            <w:pPr>
              <w:pStyle w:val="16"/>
              <w:keepNext w:val="0"/>
              <w:keepLines w:val="0"/>
              <w:widowControl w:val="0"/>
              <w:suppressLineNumbers w:val="0"/>
              <w:spacing w:before="1" w:beforeAutospacing="0" w:after="0" w:afterAutospacing="0" w:line="500" w:lineRule="exact"/>
              <w:ind w:left="0" w:right="236"/>
              <w:jc w:val="center"/>
              <w:rPr>
                <w:rFonts w:hint="eastAsia" w:asciiTheme="minorEastAsia" w:hAnsiTheme="minorEastAsia" w:eastAsiaTheme="minorEastAsia" w:cstheme="minorEastAsia"/>
                <w:color w:val="auto"/>
                <w:spacing w:val="-6"/>
                <w:kern w:val="2"/>
                <w:sz w:val="22"/>
                <w:szCs w:val="22"/>
                <w:lang w:val="en-US" w:eastAsia="zh-CN"/>
              </w:rPr>
            </w:pPr>
            <w:r>
              <w:rPr>
                <w:rFonts w:hint="eastAsia" w:asciiTheme="minorEastAsia" w:hAnsiTheme="minorEastAsia" w:eastAsiaTheme="minorEastAsia" w:cstheme="minorEastAsia"/>
                <w:color w:val="auto"/>
                <w:spacing w:val="-6"/>
                <w:kern w:val="2"/>
                <w:sz w:val="22"/>
                <w:szCs w:val="22"/>
                <w:lang w:val="en-US" w:eastAsia="zh-CN"/>
              </w:rPr>
              <w:t>10吨</w:t>
            </w:r>
          </w:p>
        </w:tc>
        <w:tc>
          <w:tcPr>
            <w:tcW w:w="2302" w:type="dxa"/>
            <w:tcBorders>
              <w:top w:val="single" w:color="auto" w:sz="4" w:space="0"/>
              <w:left w:val="single" w:color="333333" w:sz="6" w:space="0"/>
              <w:bottom w:val="single" w:color="auto" w:sz="4" w:space="0"/>
              <w:right w:val="single" w:color="333333" w:sz="6" w:space="0"/>
            </w:tcBorders>
            <w:shd w:val="clear" w:color="auto" w:fill="auto"/>
            <w:vAlign w:val="center"/>
          </w:tcPr>
          <w:p w14:paraId="51982DA8">
            <w:pPr>
              <w:keepNext w:val="0"/>
              <w:keepLines w:val="0"/>
              <w:widowControl w:val="0"/>
              <w:suppressLineNumbers w:val="0"/>
              <w:spacing w:before="1" w:beforeAutospacing="0" w:after="0" w:afterAutospacing="0" w:line="500" w:lineRule="exact"/>
              <w:ind w:left="0" w:leftChars="0" w:right="0" w:rightChars="0"/>
              <w:jc w:val="center"/>
              <w:rPr>
                <w:rFonts w:hint="eastAsia" w:ascii="宋体" w:hAnsi="宋体" w:eastAsia="宋体" w:cs="宋体"/>
                <w:color w:val="auto"/>
                <w:sz w:val="22"/>
                <w:szCs w:val="22"/>
                <w:lang w:val="en-US" w:eastAsia="zh-CN"/>
              </w:rPr>
            </w:pPr>
            <w:r>
              <w:rPr>
                <w:rFonts w:hint="eastAsia" w:cs="宋体"/>
                <w:color w:val="auto"/>
                <w:kern w:val="0"/>
                <w:sz w:val="22"/>
                <w:szCs w:val="22"/>
                <w:lang w:val="en-US" w:eastAsia="zh-CN" w:bidi="zh-CN"/>
              </w:rPr>
              <w:t>详见采购文件</w:t>
            </w:r>
          </w:p>
        </w:tc>
        <w:tc>
          <w:tcPr>
            <w:tcW w:w="1704" w:type="dxa"/>
            <w:tcBorders>
              <w:top w:val="single" w:color="auto" w:sz="4" w:space="0"/>
              <w:left w:val="single" w:color="333333" w:sz="6" w:space="0"/>
              <w:bottom w:val="single" w:color="auto" w:sz="4" w:space="0"/>
              <w:right w:val="single" w:color="333333" w:sz="6" w:space="0"/>
            </w:tcBorders>
            <w:shd w:val="clear" w:color="auto" w:fill="auto"/>
            <w:vAlign w:val="center"/>
          </w:tcPr>
          <w:p w14:paraId="54C90EC5">
            <w:pPr>
              <w:keepNext w:val="0"/>
              <w:keepLines w:val="0"/>
              <w:widowControl w:val="0"/>
              <w:suppressLineNumbers w:val="0"/>
              <w:spacing w:before="1" w:beforeAutospacing="0" w:after="0" w:afterAutospacing="0" w:line="500" w:lineRule="exact"/>
              <w:ind w:left="0" w:leftChars="0" w:right="0" w:rightChars="0"/>
              <w:jc w:val="center"/>
              <w:rPr>
                <w:rFonts w:hint="default"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170000.00</w:t>
            </w:r>
          </w:p>
        </w:tc>
        <w:tc>
          <w:tcPr>
            <w:tcW w:w="1705" w:type="dxa"/>
            <w:tcBorders>
              <w:top w:val="single" w:color="auto" w:sz="4" w:space="0"/>
              <w:left w:val="single" w:color="333333" w:sz="6" w:space="0"/>
              <w:bottom w:val="single" w:color="auto" w:sz="4" w:space="0"/>
              <w:right w:val="single" w:color="auto" w:sz="4" w:space="0"/>
            </w:tcBorders>
            <w:shd w:val="clear" w:color="auto" w:fill="auto"/>
            <w:vAlign w:val="center"/>
          </w:tcPr>
          <w:p w14:paraId="0D2275F2">
            <w:pPr>
              <w:keepNext w:val="0"/>
              <w:keepLines w:val="0"/>
              <w:widowControl w:val="0"/>
              <w:suppressLineNumbers w:val="0"/>
              <w:spacing w:before="1" w:beforeAutospacing="0" w:after="0" w:afterAutospacing="0" w:line="500" w:lineRule="exact"/>
              <w:ind w:left="0" w:leftChars="0" w:right="0" w:rightChars="0"/>
              <w:jc w:val="center"/>
              <w:rPr>
                <w:rFonts w:hint="default"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170000.00</w:t>
            </w:r>
          </w:p>
        </w:tc>
      </w:tr>
      <w:tr w14:paraId="1A40BF1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71" w:hRule="atLeast"/>
        </w:trPr>
        <w:tc>
          <w:tcPr>
            <w:tcW w:w="726" w:type="dxa"/>
            <w:tcBorders>
              <w:top w:val="single" w:color="auto" w:sz="4" w:space="0"/>
              <w:left w:val="single" w:color="auto" w:sz="4" w:space="0"/>
              <w:bottom w:val="single" w:color="auto" w:sz="4" w:space="0"/>
              <w:right w:val="single" w:color="333333" w:sz="6" w:space="0"/>
            </w:tcBorders>
            <w:shd w:val="clear" w:color="auto" w:fill="auto"/>
            <w:vAlign w:val="center"/>
          </w:tcPr>
          <w:p w14:paraId="16F5A3FF">
            <w:pPr>
              <w:pStyle w:val="16"/>
              <w:keepNext w:val="0"/>
              <w:keepLines w:val="0"/>
              <w:widowControl w:val="0"/>
              <w:suppressLineNumbers w:val="0"/>
              <w:spacing w:before="0" w:beforeAutospacing="0" w:after="0" w:afterAutospacing="0" w:line="500" w:lineRule="exact"/>
              <w:ind w:left="0" w:right="0"/>
              <w:jc w:val="center"/>
              <w:rPr>
                <w:rFonts w:hint="default" w:asciiTheme="minorEastAsia" w:hAnsiTheme="minorEastAsia" w:eastAsiaTheme="minorEastAsia" w:cstheme="minorEastAsia"/>
                <w:color w:val="auto"/>
                <w:kern w:val="2"/>
                <w:sz w:val="21"/>
                <w:szCs w:val="21"/>
                <w:lang w:val="en-US" w:eastAsia="zh-CN" w:bidi="zh-CN"/>
              </w:rPr>
            </w:pPr>
            <w:r>
              <w:rPr>
                <w:rFonts w:hint="eastAsia" w:asciiTheme="minorEastAsia" w:hAnsiTheme="minorEastAsia" w:eastAsiaTheme="minorEastAsia" w:cstheme="minorEastAsia"/>
                <w:color w:val="auto"/>
                <w:kern w:val="2"/>
                <w:sz w:val="21"/>
                <w:szCs w:val="21"/>
                <w:lang w:val="en-US" w:eastAsia="zh-CN" w:bidi="zh-CN"/>
              </w:rPr>
              <w:t>1-3</w:t>
            </w:r>
          </w:p>
        </w:tc>
        <w:tc>
          <w:tcPr>
            <w:tcW w:w="1327" w:type="dxa"/>
            <w:tcBorders>
              <w:top w:val="single" w:color="auto" w:sz="4" w:space="0"/>
              <w:left w:val="single" w:color="333333" w:sz="6" w:space="0"/>
              <w:bottom w:val="single" w:color="auto" w:sz="4" w:space="0"/>
              <w:right w:val="single" w:color="333333" w:sz="6" w:space="0"/>
            </w:tcBorders>
            <w:shd w:val="clear" w:color="auto" w:fill="auto"/>
            <w:vAlign w:val="center"/>
          </w:tcPr>
          <w:p w14:paraId="112D549A">
            <w:pPr>
              <w:keepNext w:val="0"/>
              <w:keepLines w:val="0"/>
              <w:widowControl w:val="0"/>
              <w:suppressLineNumbers w:val="0"/>
              <w:spacing w:before="1" w:beforeAutospacing="0" w:after="0" w:afterAutospacing="0" w:line="500" w:lineRule="exact"/>
              <w:ind w:left="0" w:leftChars="0" w:right="0" w:rightChars="0"/>
              <w:jc w:val="center"/>
              <w:rPr>
                <w:rFonts w:hint="eastAsia" w:asciiTheme="minorEastAsia" w:hAnsiTheme="minorEastAsia" w:eastAsiaTheme="minorEastAsia" w:cstheme="minorEastAsia"/>
                <w:color w:val="auto"/>
                <w:kern w:val="2"/>
                <w:sz w:val="21"/>
                <w:szCs w:val="21"/>
                <w:lang w:val="en-US" w:eastAsia="zh-CN"/>
              </w:rPr>
            </w:pPr>
            <w:r>
              <w:rPr>
                <w:rFonts w:hint="default" w:asciiTheme="minorEastAsia" w:hAnsiTheme="minorEastAsia" w:eastAsiaTheme="minorEastAsia" w:cstheme="minorEastAsia"/>
                <w:color w:val="auto"/>
                <w:kern w:val="2"/>
                <w:sz w:val="21"/>
                <w:szCs w:val="21"/>
                <w:lang w:val="en-US" w:eastAsia="zh-CN"/>
              </w:rPr>
              <w:t>环境污染处理专用药剂材料</w:t>
            </w:r>
          </w:p>
        </w:tc>
        <w:tc>
          <w:tcPr>
            <w:tcW w:w="1149" w:type="dxa"/>
            <w:tcBorders>
              <w:top w:val="single" w:color="auto" w:sz="4" w:space="0"/>
              <w:left w:val="single" w:color="333333" w:sz="6" w:space="0"/>
              <w:bottom w:val="single" w:color="auto" w:sz="4" w:space="0"/>
              <w:right w:val="single" w:color="333333" w:sz="6" w:space="0"/>
            </w:tcBorders>
            <w:shd w:val="clear" w:color="auto" w:fill="auto"/>
            <w:vAlign w:val="center"/>
          </w:tcPr>
          <w:p w14:paraId="5481733E">
            <w:pPr>
              <w:keepNext w:val="0"/>
              <w:keepLines w:val="0"/>
              <w:widowControl w:val="0"/>
              <w:suppressLineNumbers w:val="0"/>
              <w:spacing w:before="1" w:beforeAutospacing="0" w:after="0" w:afterAutospacing="0" w:line="500" w:lineRule="exact"/>
              <w:ind w:left="0" w:leftChars="0" w:right="0" w:rightChars="0"/>
              <w:jc w:val="center"/>
              <w:rPr>
                <w:rFonts w:hint="eastAsia" w:asciiTheme="minorEastAsia" w:hAnsiTheme="minorEastAsia" w:eastAsiaTheme="minorEastAsia" w:cstheme="minorEastAsia"/>
                <w:color w:val="auto"/>
                <w:kern w:val="2"/>
                <w:sz w:val="22"/>
                <w:szCs w:val="22"/>
                <w:lang w:val="en-US" w:eastAsia="zh-CN"/>
              </w:rPr>
            </w:pPr>
            <w:r>
              <w:rPr>
                <w:rFonts w:hint="default" w:asciiTheme="minorEastAsia" w:hAnsiTheme="minorEastAsia" w:eastAsiaTheme="minorEastAsia" w:cstheme="minorEastAsia"/>
                <w:color w:val="auto"/>
                <w:kern w:val="2"/>
                <w:sz w:val="22"/>
                <w:szCs w:val="22"/>
                <w:lang w:val="en-US" w:eastAsia="zh-CN"/>
              </w:rPr>
              <w:t>聚合氯化铝</w:t>
            </w:r>
          </w:p>
        </w:tc>
        <w:tc>
          <w:tcPr>
            <w:tcW w:w="1166" w:type="dxa"/>
            <w:tcBorders>
              <w:top w:val="single" w:color="auto" w:sz="4" w:space="0"/>
              <w:left w:val="single" w:color="333333" w:sz="6" w:space="0"/>
              <w:bottom w:val="single" w:color="auto" w:sz="4" w:space="0"/>
              <w:right w:val="single" w:color="333333" w:sz="6" w:space="0"/>
            </w:tcBorders>
            <w:shd w:val="clear" w:color="auto" w:fill="auto"/>
            <w:vAlign w:val="center"/>
          </w:tcPr>
          <w:p w14:paraId="0EB45B55">
            <w:pPr>
              <w:pStyle w:val="16"/>
              <w:keepNext w:val="0"/>
              <w:keepLines w:val="0"/>
              <w:widowControl w:val="0"/>
              <w:suppressLineNumbers w:val="0"/>
              <w:spacing w:before="1" w:beforeAutospacing="0" w:after="0" w:afterAutospacing="0" w:line="500" w:lineRule="exact"/>
              <w:ind w:left="0" w:right="236"/>
              <w:jc w:val="center"/>
              <w:rPr>
                <w:rFonts w:hint="default" w:asciiTheme="minorEastAsia" w:hAnsiTheme="minorEastAsia" w:eastAsiaTheme="minorEastAsia" w:cstheme="minorEastAsia"/>
                <w:color w:val="auto"/>
                <w:spacing w:val="-6"/>
                <w:kern w:val="2"/>
                <w:sz w:val="22"/>
                <w:szCs w:val="22"/>
                <w:lang w:val="en-US" w:eastAsia="zh-CN"/>
              </w:rPr>
            </w:pPr>
            <w:r>
              <w:rPr>
                <w:rFonts w:hint="eastAsia" w:asciiTheme="minorEastAsia" w:hAnsiTheme="minorEastAsia" w:eastAsiaTheme="minorEastAsia" w:cstheme="minorEastAsia"/>
                <w:color w:val="auto"/>
                <w:spacing w:val="-6"/>
                <w:kern w:val="2"/>
                <w:sz w:val="22"/>
                <w:szCs w:val="22"/>
                <w:lang w:val="en-US" w:eastAsia="zh-CN"/>
              </w:rPr>
              <w:t>20吨</w:t>
            </w:r>
          </w:p>
        </w:tc>
        <w:tc>
          <w:tcPr>
            <w:tcW w:w="2302" w:type="dxa"/>
            <w:tcBorders>
              <w:top w:val="single" w:color="auto" w:sz="4" w:space="0"/>
              <w:left w:val="single" w:color="333333" w:sz="6" w:space="0"/>
              <w:bottom w:val="single" w:color="auto" w:sz="4" w:space="0"/>
              <w:right w:val="single" w:color="333333" w:sz="6" w:space="0"/>
            </w:tcBorders>
            <w:shd w:val="clear" w:color="auto" w:fill="auto"/>
            <w:vAlign w:val="center"/>
          </w:tcPr>
          <w:p w14:paraId="2FAA43D4">
            <w:pPr>
              <w:keepNext w:val="0"/>
              <w:keepLines w:val="0"/>
              <w:widowControl w:val="0"/>
              <w:suppressLineNumbers w:val="0"/>
              <w:spacing w:before="1" w:beforeAutospacing="0" w:after="0" w:afterAutospacing="0" w:line="500" w:lineRule="exact"/>
              <w:ind w:left="0" w:leftChars="0" w:right="0" w:rightChars="0"/>
              <w:jc w:val="center"/>
              <w:rPr>
                <w:rFonts w:hint="eastAsia" w:ascii="宋体" w:hAnsi="宋体" w:eastAsia="宋体" w:cs="宋体"/>
                <w:color w:val="auto"/>
                <w:sz w:val="22"/>
                <w:szCs w:val="22"/>
                <w:lang w:val="en-US" w:eastAsia="zh-CN"/>
              </w:rPr>
            </w:pPr>
            <w:r>
              <w:rPr>
                <w:rFonts w:hint="eastAsia" w:cs="宋体"/>
                <w:color w:val="auto"/>
                <w:kern w:val="0"/>
                <w:sz w:val="22"/>
                <w:szCs w:val="22"/>
                <w:lang w:val="en-US" w:eastAsia="zh-CN" w:bidi="zh-CN"/>
              </w:rPr>
              <w:t>详见采购文件</w:t>
            </w:r>
          </w:p>
        </w:tc>
        <w:tc>
          <w:tcPr>
            <w:tcW w:w="1704" w:type="dxa"/>
            <w:tcBorders>
              <w:top w:val="single" w:color="auto" w:sz="4" w:space="0"/>
              <w:left w:val="single" w:color="333333" w:sz="6" w:space="0"/>
              <w:bottom w:val="single" w:color="auto" w:sz="4" w:space="0"/>
              <w:right w:val="single" w:color="333333" w:sz="6" w:space="0"/>
            </w:tcBorders>
            <w:shd w:val="clear" w:color="auto" w:fill="auto"/>
            <w:vAlign w:val="center"/>
          </w:tcPr>
          <w:p w14:paraId="1E9283CF">
            <w:pPr>
              <w:keepNext w:val="0"/>
              <w:keepLines w:val="0"/>
              <w:widowControl w:val="0"/>
              <w:suppressLineNumbers w:val="0"/>
              <w:spacing w:before="1" w:beforeAutospacing="0" w:after="0" w:afterAutospacing="0" w:line="500" w:lineRule="exact"/>
              <w:ind w:left="0" w:leftChars="0" w:right="0" w:rightChars="0"/>
              <w:jc w:val="center"/>
              <w:rPr>
                <w:rFonts w:hint="default"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33600.00</w:t>
            </w:r>
          </w:p>
        </w:tc>
        <w:tc>
          <w:tcPr>
            <w:tcW w:w="1705" w:type="dxa"/>
            <w:tcBorders>
              <w:top w:val="single" w:color="auto" w:sz="4" w:space="0"/>
              <w:left w:val="single" w:color="333333" w:sz="6" w:space="0"/>
              <w:bottom w:val="single" w:color="auto" w:sz="4" w:space="0"/>
              <w:right w:val="single" w:color="auto" w:sz="4" w:space="0"/>
            </w:tcBorders>
            <w:shd w:val="clear" w:color="auto" w:fill="auto"/>
            <w:vAlign w:val="center"/>
          </w:tcPr>
          <w:p w14:paraId="3298DFD7">
            <w:pPr>
              <w:keepNext w:val="0"/>
              <w:keepLines w:val="0"/>
              <w:widowControl w:val="0"/>
              <w:suppressLineNumbers w:val="0"/>
              <w:spacing w:before="1" w:beforeAutospacing="0" w:after="0" w:afterAutospacing="0" w:line="500" w:lineRule="exact"/>
              <w:ind w:left="0" w:leftChars="0" w:right="0" w:rightChars="0"/>
              <w:jc w:val="center"/>
              <w:rPr>
                <w:rFonts w:hint="default"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33600.00</w:t>
            </w:r>
          </w:p>
        </w:tc>
      </w:tr>
    </w:tbl>
    <w:p w14:paraId="3AE457C6">
      <w:pPr>
        <w:keepNext w:val="0"/>
        <w:keepLines w:val="0"/>
        <w:pageBreakBefore w:val="0"/>
        <w:kinsoku/>
        <w:wordWrap/>
        <w:overflowPunct/>
        <w:topLinePunct w:val="0"/>
        <w:autoSpaceDE w:val="0"/>
        <w:autoSpaceDN w:val="0"/>
        <w:bidi w:val="0"/>
        <w:adjustRightInd/>
        <w:snapToGrid/>
        <w:spacing w:before="97" w:line="540" w:lineRule="exact"/>
        <w:ind w:left="1051" w:right="0" w:firstLine="0"/>
        <w:jc w:val="left"/>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本合同包不接受联合体投标</w:t>
      </w:r>
    </w:p>
    <w:p w14:paraId="267A1A0C">
      <w:pPr>
        <w:keepNext w:val="0"/>
        <w:keepLines w:val="0"/>
        <w:pageBreakBefore w:val="0"/>
        <w:shd w:val="clear"/>
        <w:kinsoku/>
        <w:wordWrap/>
        <w:overflowPunct/>
        <w:topLinePunct w:val="0"/>
        <w:autoSpaceDE w:val="0"/>
        <w:autoSpaceDN w:val="0"/>
        <w:bidi w:val="0"/>
        <w:adjustRightInd/>
        <w:snapToGrid/>
        <w:spacing w:before="113" w:line="540" w:lineRule="exact"/>
        <w:ind w:left="1051" w:right="0" w:firstLine="0"/>
        <w:jc w:val="left"/>
        <w:textAlignment w:val="auto"/>
        <w:rPr>
          <w:rFonts w:hint="eastAsia" w:ascii="宋体" w:hAnsi="宋体" w:eastAsia="宋体" w:cs="宋体"/>
          <w:color w:val="000000" w:themeColor="text1"/>
          <w:kern w:val="2"/>
          <w:sz w:val="24"/>
          <w:szCs w:val="24"/>
          <w:highlight w:val="none"/>
          <w:shd w:val="clear" w:fill="FFFF00"/>
          <w:lang w:val="zh-CN"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合同履行期限：</w:t>
      </w:r>
      <w:r>
        <w:rPr>
          <w:rFonts w:hint="eastAsia" w:cs="宋体"/>
          <w:color w:val="000000" w:themeColor="text1"/>
          <w:kern w:val="2"/>
          <w:sz w:val="24"/>
          <w:szCs w:val="24"/>
          <w:highlight w:val="yellow"/>
          <w:shd w:val="clear"/>
          <w:lang w:val="en-US" w:eastAsia="zh-CN" w:bidi="ar"/>
          <w14:textFill>
            <w14:solidFill>
              <w14:schemeClr w14:val="tx1"/>
            </w14:solidFill>
          </w14:textFill>
        </w:rPr>
        <w:t>合同签订之日起至完成采购清单全量供货及验收</w:t>
      </w:r>
      <w:r>
        <w:rPr>
          <w:rFonts w:hint="eastAsia" w:ascii="宋体" w:hAnsi="宋体" w:eastAsia="宋体" w:cs="宋体"/>
          <w:color w:val="000000" w:themeColor="text1"/>
          <w:kern w:val="2"/>
          <w:sz w:val="24"/>
          <w:szCs w:val="24"/>
          <w:highlight w:val="yellow"/>
          <w:shd w:val="clear"/>
          <w:lang w:val="zh-CN" w:eastAsia="zh-CN" w:bidi="ar"/>
          <w14:textFill>
            <w14:solidFill>
              <w14:schemeClr w14:val="tx1"/>
            </w14:solidFill>
          </w14:textFill>
        </w:rPr>
        <w:t>。</w:t>
      </w:r>
    </w:p>
    <w:p w14:paraId="30F51250">
      <w:pPr>
        <w:pStyle w:val="9"/>
        <w:keepNext w:val="0"/>
        <w:keepLines w:val="0"/>
        <w:pageBreakBefore w:val="0"/>
        <w:kinsoku/>
        <w:wordWrap/>
        <w:overflowPunct/>
        <w:topLinePunct w:val="0"/>
        <w:autoSpaceDE w:val="0"/>
        <w:autoSpaceDN w:val="0"/>
        <w:bidi w:val="0"/>
        <w:adjustRightInd/>
        <w:snapToGrid/>
        <w:spacing w:before="113" w:line="540" w:lineRule="exact"/>
        <w:ind w:left="348"/>
        <w:textAlignment w:val="auto"/>
        <w:rPr>
          <w:rFonts w:hint="eastAsia" w:ascii="宋体" w:hAnsi="宋体" w:eastAsia="宋体" w:cs="宋体"/>
          <w:b/>
          <w:bCs/>
          <w:color w:val="000000" w:themeColor="text1"/>
          <w:kern w:val="2"/>
          <w:sz w:val="24"/>
          <w:szCs w:val="24"/>
          <w:lang w:val="en-US" w:eastAsia="zh-CN" w:bidi="ar"/>
          <w14:textFill>
            <w14:solidFill>
              <w14:schemeClr w14:val="tx1"/>
            </w14:solidFill>
          </w14:textFill>
        </w:rPr>
      </w:pPr>
      <w:bookmarkStart w:id="2" w:name="二、申请人的资格要求："/>
      <w:bookmarkEnd w:id="2"/>
      <w:r>
        <w:rPr>
          <w:rFonts w:hint="eastAsia" w:ascii="宋体" w:hAnsi="宋体" w:eastAsia="宋体" w:cs="宋体"/>
          <w:b/>
          <w:bCs/>
          <w:color w:val="000000" w:themeColor="text1"/>
          <w:kern w:val="2"/>
          <w:sz w:val="24"/>
          <w:szCs w:val="24"/>
          <w:lang w:val="en-US" w:eastAsia="zh-CN" w:bidi="ar"/>
          <w14:textFill>
            <w14:solidFill>
              <w14:schemeClr w14:val="tx1"/>
            </w14:solidFill>
          </w14:textFill>
        </w:rPr>
        <w:t>二、申请人的资格要求：</w:t>
      </w:r>
    </w:p>
    <w:p w14:paraId="72C1ED76">
      <w:pPr>
        <w:pStyle w:val="3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2" w:after="0" w:line="540" w:lineRule="exact"/>
        <w:ind w:right="0" w:rightChars="0" w:firstLine="480" w:firstLineChars="200"/>
        <w:jc w:val="left"/>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cs="宋体"/>
          <w:color w:val="000000" w:themeColor="text1"/>
          <w:kern w:val="2"/>
          <w:sz w:val="24"/>
          <w:szCs w:val="24"/>
          <w:lang w:val="en-US" w:eastAsia="zh-CN" w:bidi="ar"/>
          <w14:textFill>
            <w14:solidFill>
              <w14:schemeClr w14:val="tx1"/>
            </w14:solidFill>
          </w14:textFill>
        </w:rPr>
        <w:t>1.</w:t>
      </w:r>
      <w:r>
        <w:rPr>
          <w:rFonts w:hint="eastAsia" w:ascii="宋体" w:hAnsi="宋体" w:eastAsia="宋体" w:cs="宋体"/>
          <w:color w:val="000000" w:themeColor="text1"/>
          <w:kern w:val="2"/>
          <w:sz w:val="24"/>
          <w:szCs w:val="24"/>
          <w:lang w:val="en-US" w:eastAsia="zh-CN" w:bidi="ar"/>
          <w14:textFill>
            <w14:solidFill>
              <w14:schemeClr w14:val="tx1"/>
            </w14:solidFill>
          </w14:textFill>
        </w:rPr>
        <w:t>满足《中华人民共和国政府采购法》第二十二条规定;</w:t>
      </w:r>
    </w:p>
    <w:p w14:paraId="05201724">
      <w:pPr>
        <w:pStyle w:val="3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480" w:firstLineChars="200"/>
        <w:jc w:val="left"/>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cs="宋体"/>
          <w:color w:val="000000" w:themeColor="text1"/>
          <w:kern w:val="2"/>
          <w:sz w:val="24"/>
          <w:szCs w:val="24"/>
          <w:lang w:val="en-US" w:eastAsia="zh-CN" w:bidi="ar"/>
          <w14:textFill>
            <w14:solidFill>
              <w14:schemeClr w14:val="tx1"/>
            </w14:solidFill>
          </w14:textFill>
        </w:rPr>
        <w:t>2.</w:t>
      </w:r>
      <w:r>
        <w:rPr>
          <w:rFonts w:hint="eastAsia" w:ascii="宋体" w:hAnsi="宋体" w:eastAsia="宋体" w:cs="宋体"/>
          <w:color w:val="000000" w:themeColor="text1"/>
          <w:kern w:val="2"/>
          <w:sz w:val="24"/>
          <w:szCs w:val="24"/>
          <w:lang w:val="en-US" w:eastAsia="zh-CN" w:bidi="ar"/>
          <w14:textFill>
            <w14:solidFill>
              <w14:schemeClr w14:val="tx1"/>
            </w14:solidFill>
          </w14:textFill>
        </w:rPr>
        <w:t>落实政府采购政策需满足的资格要求：</w:t>
      </w:r>
    </w:p>
    <w:p w14:paraId="70C8049A">
      <w:pPr>
        <w:pStyle w:val="3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480" w:firstLineChars="200"/>
        <w:jc w:val="left"/>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 xml:space="preserve">合同包 </w:t>
      </w:r>
      <w:r>
        <w:rPr>
          <w:rFonts w:hint="eastAsia" w:cs="宋体"/>
          <w:color w:val="000000" w:themeColor="text1"/>
          <w:kern w:val="2"/>
          <w:sz w:val="24"/>
          <w:szCs w:val="24"/>
          <w:lang w:val="en-US" w:eastAsia="zh-CN" w:bidi="ar"/>
          <w14:textFill>
            <w14:solidFill>
              <w14:schemeClr w14:val="tx1"/>
            </w14:solidFill>
          </w14:textFill>
        </w:rPr>
        <w:t>1</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r>
        <w:rPr>
          <w:rFonts w:hint="eastAsia" w:cs="宋体"/>
          <w:color w:val="000000" w:themeColor="text1"/>
          <w:kern w:val="2"/>
          <w:sz w:val="24"/>
          <w:szCs w:val="24"/>
          <w:lang w:val="en-US" w:eastAsia="zh-CN" w:bidi="ar"/>
          <w14:textFill>
            <w14:solidFill>
              <w14:schemeClr w14:val="tx1"/>
            </w14:solidFill>
          </w14:textFill>
        </w:rPr>
        <w:t>石泉县污水处理厂2025年生产药剂采购项目</w:t>
      </w:r>
      <w:r>
        <w:rPr>
          <w:rFonts w:hint="eastAsia" w:ascii="宋体" w:hAnsi="宋体" w:eastAsia="宋体" w:cs="宋体"/>
          <w:color w:val="000000" w:themeColor="text1"/>
          <w:kern w:val="2"/>
          <w:sz w:val="24"/>
          <w:szCs w:val="24"/>
          <w:lang w:val="en-US" w:eastAsia="zh-CN" w:bidi="ar"/>
          <w14:textFill>
            <w14:solidFill>
              <w14:schemeClr w14:val="tx1"/>
            </w14:solidFill>
          </w14:textFill>
        </w:rPr>
        <w:t>)落实政府采购政策需满足的资格要求如下:</w:t>
      </w:r>
    </w:p>
    <w:p w14:paraId="4886031C">
      <w:pPr>
        <w:pStyle w:val="36"/>
        <w:keepNext w:val="0"/>
        <w:keepLines w:val="0"/>
        <w:pageBreakBefore w:val="0"/>
        <w:widowControl w:val="0"/>
        <w:suppressLineNumbers w:val="0"/>
        <w:kinsoku/>
        <w:wordWrap/>
        <w:overflowPunct/>
        <w:topLinePunct w:val="0"/>
        <w:autoSpaceDE w:val="0"/>
        <w:bidi w:val="0"/>
        <w:adjustRightInd/>
        <w:snapToGrid/>
        <w:spacing w:before="55" w:beforeAutospacing="0" w:after="0" w:afterAutospacing="0" w:line="540" w:lineRule="exact"/>
        <w:ind w:left="0" w:right="0" w:rightChars="0" w:firstLine="720" w:firstLineChars="300"/>
        <w:jc w:val="left"/>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auto"/>
          <w:kern w:val="2"/>
          <w:sz w:val="24"/>
          <w:szCs w:val="24"/>
        </w:rPr>
        <w:t>本项目为专门面向中小企业项目，供应商</w:t>
      </w:r>
      <w:r>
        <w:rPr>
          <w:rFonts w:hint="eastAsia" w:asciiTheme="minorEastAsia" w:hAnsiTheme="minorEastAsia" w:eastAsiaTheme="minorEastAsia" w:cstheme="minorEastAsia"/>
          <w:color w:val="auto"/>
          <w:kern w:val="2"/>
          <w:sz w:val="24"/>
          <w:szCs w:val="24"/>
          <w:lang w:eastAsia="zh-CN"/>
        </w:rPr>
        <w:t>所投产品的生产厂家企业类型</w:t>
      </w:r>
      <w:r>
        <w:rPr>
          <w:rFonts w:hint="eastAsia" w:asciiTheme="minorEastAsia" w:hAnsiTheme="minorEastAsia" w:eastAsiaTheme="minorEastAsia" w:cstheme="minorEastAsia"/>
          <w:color w:val="auto"/>
          <w:kern w:val="2"/>
          <w:sz w:val="24"/>
          <w:szCs w:val="24"/>
        </w:rPr>
        <w:t>应为中型企业、小型企业、微型企业、监狱 企业、残疾人福利性单位。生产厂家为中小企业的，提供《中小企业声明函》， 且中、小、微企业的划分标准所属行业为</w:t>
      </w:r>
      <w:r>
        <w:rPr>
          <w:rFonts w:hint="eastAsia" w:asciiTheme="minorEastAsia" w:hAnsiTheme="minorEastAsia" w:eastAsiaTheme="minorEastAsia" w:cstheme="minorEastAsia"/>
          <w:color w:val="auto"/>
          <w:kern w:val="2"/>
          <w:sz w:val="24"/>
          <w:szCs w:val="24"/>
          <w:lang w:eastAsia="zh-CN"/>
        </w:rPr>
        <w:t>工业</w:t>
      </w:r>
      <w:r>
        <w:rPr>
          <w:rFonts w:hint="eastAsia" w:asciiTheme="minorEastAsia" w:hAnsiTheme="minorEastAsia" w:eastAsiaTheme="minorEastAsia" w:cstheme="minorEastAsia"/>
          <w:color w:val="auto"/>
          <w:kern w:val="2"/>
          <w:sz w:val="24"/>
          <w:szCs w:val="24"/>
        </w:rPr>
        <w:t>；供应商为监狱企业的，应提供监狱企业的证明文件；供应商为残疾人福利性单位的，应提供《残疾人福利性单位声明函》</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rPr>
        <w:t>监狱企业或残疾人福利性单位视同小型、微型企业</w:t>
      </w:r>
      <w:r>
        <w:rPr>
          <w:rFonts w:hint="eastAsia" w:asciiTheme="minorEastAsia" w:hAnsiTheme="minorEastAsia" w:eastAsiaTheme="minorEastAsia" w:cstheme="minorEastAsia"/>
          <w:color w:val="auto"/>
          <w:kern w:val="2"/>
          <w:sz w:val="24"/>
          <w:szCs w:val="24"/>
          <w:lang w:eastAsia="zh-CN"/>
        </w:rPr>
        <w:t>）。</w:t>
      </w:r>
    </w:p>
    <w:p w14:paraId="64290A2B">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（1）、《政府采购促进中小企业发展管理办法》（财库〔2020〕46 号）； </w:t>
      </w:r>
    </w:p>
    <w:p w14:paraId="30F3A200">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（2）、《财政部司法部关于政府采购支持监狱企业发展有关问题的通知》（财库〔2014〕 68 号）； </w:t>
      </w:r>
    </w:p>
    <w:p w14:paraId="6DFFBEEA">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（3）、《财政部发展改革委 生态环境部 市场监管总局关于调整优化节能产品环境标志产品政府采购执行机制的通知》（财库〔2019〕9 号）； </w:t>
      </w:r>
    </w:p>
    <w:p w14:paraId="296B5406">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4</w:t>
      </w:r>
      <w:r>
        <w:rPr>
          <w:rFonts w:hint="eastAsia" w:ascii="宋体" w:hAnsi="宋体" w:eastAsia="宋体" w:cs="宋体"/>
          <w:color w:val="000000" w:themeColor="text1"/>
          <w:kern w:val="2"/>
          <w:sz w:val="24"/>
          <w:szCs w:val="24"/>
          <w14:textFill>
            <w14:solidFill>
              <w14:schemeClr w14:val="tx1"/>
            </w14:solidFill>
          </w14:textFill>
        </w:rPr>
        <w:t xml:space="preserve">）、《三部门联合发布关于促进残疾人就业政府采购政策的通知》（财库〔2017〕 141 号）； </w:t>
      </w:r>
    </w:p>
    <w:p w14:paraId="7CE7ACC0">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14:textFill>
            <w14:solidFill>
              <w14:schemeClr w14:val="tx1"/>
            </w14:solidFill>
          </w14:textFill>
        </w:rPr>
        <w:t xml:space="preserve">）、《财政部国务院扶贫办关于运用政府采购政策支持脱贫攻坚的通知》（财库 〔2019〕27号）； </w:t>
      </w:r>
    </w:p>
    <w:p w14:paraId="0BE2D33C">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6</w:t>
      </w:r>
      <w:r>
        <w:rPr>
          <w:rFonts w:hint="eastAsia" w:ascii="宋体" w:hAnsi="宋体" w:eastAsia="宋体" w:cs="宋体"/>
          <w:color w:val="000000" w:themeColor="text1"/>
          <w:kern w:val="2"/>
          <w:sz w:val="24"/>
          <w:szCs w:val="24"/>
          <w14:textFill>
            <w14:solidFill>
              <w14:schemeClr w14:val="tx1"/>
            </w14:solidFill>
          </w14:textFill>
        </w:rPr>
        <w:t xml:space="preserve">）、《国务院办公厅关于建立政府强制采购节能产品制度的通知》（国办发〔2007〕 51 号）； </w:t>
      </w:r>
    </w:p>
    <w:p w14:paraId="6D28D169">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eastAsia="宋体" w:cs="宋体"/>
          <w:color w:val="000000" w:themeColor="text1"/>
          <w:kern w:val="2"/>
          <w:sz w:val="24"/>
          <w:szCs w:val="24"/>
          <w:lang w:val="en-US" w:eastAsia="zh-CN"/>
          <w14:textFill>
            <w14:solidFill>
              <w14:schemeClr w14:val="tx1"/>
            </w14:solidFill>
          </w14:textFill>
        </w:rPr>
        <w:t>7</w:t>
      </w:r>
      <w:r>
        <w:rPr>
          <w:rFonts w:hint="eastAsia" w:ascii="宋体" w:hAnsi="宋体" w:eastAsia="宋体" w:cs="宋体"/>
          <w:color w:val="000000" w:themeColor="text1"/>
          <w:kern w:val="2"/>
          <w:sz w:val="24"/>
          <w:szCs w:val="24"/>
          <w14:textFill>
            <w14:solidFill>
              <w14:schemeClr w14:val="tx1"/>
            </w14:solidFill>
          </w14:textFill>
        </w:rPr>
        <w:t>）、陕西省财政厅关于印发《陕西省中小企业政府采购信用融资办法》（陕财办采 〔2018〕23 号）</w:t>
      </w:r>
      <w:r>
        <w:rPr>
          <w:rFonts w:hint="eastAsia" w:ascii="宋体" w:hAnsi="宋体" w:cs="宋体"/>
          <w:color w:val="000000" w:themeColor="text1"/>
          <w:kern w:val="2"/>
          <w:sz w:val="24"/>
          <w:szCs w:val="24"/>
          <w:lang w:eastAsia="zh-CN"/>
          <w14:textFill>
            <w14:solidFill>
              <w14:schemeClr w14:val="tx1"/>
            </w14:solidFill>
          </w14:textFill>
        </w:rPr>
        <w:t>；</w:t>
      </w:r>
    </w:p>
    <w:p w14:paraId="1C4C16EC">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w:t>
      </w:r>
      <w:r>
        <w:rPr>
          <w:rFonts w:hint="eastAsia" w:ascii="宋体" w:hAnsi="宋体" w:cs="宋体"/>
          <w:color w:val="000000" w:themeColor="text1"/>
          <w:kern w:val="2"/>
          <w:sz w:val="24"/>
          <w:szCs w:val="24"/>
          <w:lang w:val="en-US" w:eastAsia="zh-CN"/>
          <w14:textFill>
            <w14:solidFill>
              <w14:schemeClr w14:val="tx1"/>
            </w14:solidFill>
          </w14:textFill>
        </w:rPr>
        <w:t>8</w:t>
      </w:r>
      <w:r>
        <w:rPr>
          <w:rFonts w:hint="eastAsia" w:ascii="宋体" w:hAnsi="宋体" w:cs="宋体"/>
          <w:color w:val="000000" w:themeColor="text1"/>
          <w:kern w:val="2"/>
          <w:sz w:val="24"/>
          <w:szCs w:val="24"/>
          <w:lang w:eastAsia="zh-CN"/>
          <w14:textFill>
            <w14:solidFill>
              <w14:schemeClr w14:val="tx1"/>
            </w14:solidFill>
          </w14:textFill>
        </w:rPr>
        <w:t>）、《陕西省财政厅关于落实政府采购支持中小企业政策有关事项的通知》陕财办采函〔2022〕10号</w:t>
      </w:r>
      <w:r>
        <w:rPr>
          <w:rFonts w:hint="eastAsia" w:ascii="宋体" w:hAnsi="宋体" w:cs="宋体"/>
          <w:color w:val="000000" w:themeColor="text1"/>
          <w:kern w:val="2"/>
          <w:sz w:val="24"/>
          <w:szCs w:val="24"/>
          <w:lang w:val="en-US" w:eastAsia="zh-CN"/>
          <w14:textFill>
            <w14:solidFill>
              <w14:schemeClr w14:val="tx1"/>
            </w14:solidFill>
          </w14:textFill>
        </w:rPr>
        <w:t>；</w:t>
      </w:r>
    </w:p>
    <w:p w14:paraId="64396E54">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default" w:ascii="宋体" w:hAnsi="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(9）、</w:t>
      </w:r>
      <w:r>
        <w:rPr>
          <w:rFonts w:hint="eastAsia" w:ascii="宋体" w:hAnsi="宋体" w:cs="宋体"/>
          <w:color w:val="000000" w:themeColor="text1"/>
          <w:kern w:val="2"/>
          <w:sz w:val="24"/>
          <w:szCs w:val="24"/>
          <w:lang w:eastAsia="zh-CN"/>
          <w14:textFill>
            <w14:solidFill>
              <w14:schemeClr w14:val="tx1"/>
            </w14:solidFill>
          </w14:textFill>
        </w:rPr>
        <w:t>《</w:t>
      </w:r>
      <w:r>
        <w:rPr>
          <w:rFonts w:hint="eastAsia" w:ascii="宋体" w:hAnsi="宋体" w:cs="宋体"/>
          <w:color w:val="000000" w:themeColor="text1"/>
          <w:kern w:val="2"/>
          <w:sz w:val="24"/>
          <w:szCs w:val="24"/>
          <w:lang w:val="en-US" w:eastAsia="zh-CN"/>
          <w14:textFill>
            <w14:solidFill>
              <w14:schemeClr w14:val="tx1"/>
            </w14:solidFill>
          </w14:textFill>
        </w:rPr>
        <w:t>陕西省财政厅关于进一步落实政府采购支持中小企业相关政策的通知</w:t>
      </w:r>
      <w:r>
        <w:rPr>
          <w:rFonts w:hint="eastAsia" w:ascii="宋体" w:hAnsi="宋体" w:cs="宋体"/>
          <w:color w:val="000000" w:themeColor="text1"/>
          <w:kern w:val="2"/>
          <w:sz w:val="24"/>
          <w:szCs w:val="24"/>
          <w:lang w:eastAsia="zh-CN"/>
          <w14:textFill>
            <w14:solidFill>
              <w14:schemeClr w14:val="tx1"/>
            </w14:solidFill>
          </w14:textFill>
        </w:rPr>
        <w:t>》</w:t>
      </w:r>
      <w:r>
        <w:rPr>
          <w:rFonts w:hint="eastAsia" w:ascii="宋体" w:hAnsi="宋体" w:cs="宋体"/>
          <w:color w:val="000000" w:themeColor="text1"/>
          <w:kern w:val="2"/>
          <w:sz w:val="24"/>
          <w:szCs w:val="24"/>
          <w:lang w:val="en-US" w:eastAsia="zh-CN"/>
          <w14:textFill>
            <w14:solidFill>
              <w14:schemeClr w14:val="tx1"/>
            </w14:solidFill>
          </w14:textFill>
        </w:rPr>
        <w:t>陕财办采〔2023〕3号；</w:t>
      </w:r>
    </w:p>
    <w:p w14:paraId="4BB934C8">
      <w:pPr>
        <w:pStyle w:val="36"/>
        <w:keepNext w:val="0"/>
        <w:keepLines w:val="0"/>
        <w:widowControl w:val="0"/>
        <w:suppressLineNumbers w:val="0"/>
        <w:spacing w:before="0" w:beforeAutospacing="0" w:after="0" w:afterAutospacing="0" w:line="500" w:lineRule="exact"/>
        <w:ind w:left="0" w:leftChars="0" w:right="0" w:rightChars="0" w:firstLine="240" w:firstLineChars="100"/>
        <w:jc w:val="left"/>
        <w:rPr>
          <w:rFonts w:hint="eastAsia" w:ascii="宋体" w:hAnsi="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（10）、《陕西省财政厅关于进一步优化政府采购营商环境有关事项的通知</w:t>
      </w:r>
      <w:r>
        <w:rPr>
          <w:rFonts w:hint="eastAsia" w:ascii="宋体" w:hAnsi="宋体" w:cs="宋体"/>
          <w:color w:val="000000" w:themeColor="text1"/>
          <w:kern w:val="2"/>
          <w:sz w:val="24"/>
          <w:szCs w:val="24"/>
          <w:lang w:eastAsia="zh-CN"/>
          <w14:textFill>
            <w14:solidFill>
              <w14:schemeClr w14:val="tx1"/>
            </w14:solidFill>
          </w14:textFill>
        </w:rPr>
        <w:t>》</w:t>
      </w:r>
      <w:r>
        <w:rPr>
          <w:rFonts w:hint="eastAsia" w:ascii="宋体" w:hAnsi="宋体" w:cs="宋体"/>
          <w:color w:val="000000" w:themeColor="text1"/>
          <w:kern w:val="2"/>
          <w:sz w:val="24"/>
          <w:szCs w:val="24"/>
          <w:lang w:val="en-US" w:eastAsia="zh-CN"/>
          <w14:textFill>
            <w14:solidFill>
              <w14:schemeClr w14:val="tx1"/>
            </w14:solidFill>
          </w14:textFill>
        </w:rPr>
        <w:t>陕财办采〔2023〕4号。</w:t>
      </w:r>
    </w:p>
    <w:p w14:paraId="60CE4BA9">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default" w:ascii="宋体" w:hAnsi="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3.</w:t>
      </w:r>
      <w:r>
        <w:rPr>
          <w:rFonts w:hint="eastAsia" w:ascii="宋体" w:hAnsi="宋体" w:cs="宋体"/>
          <w:color w:val="000000" w:themeColor="text1"/>
          <w:kern w:val="2"/>
          <w:sz w:val="24"/>
          <w:szCs w:val="24"/>
          <w:lang w:eastAsia="zh-CN"/>
          <w14:textFill>
            <w14:solidFill>
              <w14:schemeClr w14:val="tx1"/>
            </w14:solidFill>
          </w14:textFill>
        </w:rPr>
        <w:t>本项目的特定资格要求：</w:t>
      </w:r>
      <w:r>
        <w:rPr>
          <w:rFonts w:hint="eastAsia" w:ascii="宋体" w:hAnsi="宋体" w:cs="宋体"/>
          <w:color w:val="000000" w:themeColor="text1"/>
          <w:kern w:val="2"/>
          <w:sz w:val="24"/>
          <w:szCs w:val="24"/>
          <w:lang w:val="en-US" w:eastAsia="zh-CN"/>
          <w14:textFill>
            <w14:solidFill>
              <w14:schemeClr w14:val="tx1"/>
            </w14:solidFill>
          </w14:textFill>
        </w:rPr>
        <w:t xml:space="preserve"> </w:t>
      </w:r>
    </w:p>
    <w:p w14:paraId="3672BF98">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合同包</w:t>
      </w:r>
      <w:r>
        <w:rPr>
          <w:rFonts w:hint="eastAsia" w:ascii="宋体" w:hAnsi="宋体" w:cs="宋体"/>
          <w:color w:val="000000" w:themeColor="text1"/>
          <w:kern w:val="2"/>
          <w:sz w:val="24"/>
          <w:szCs w:val="24"/>
          <w:lang w:val="en-US" w:eastAsia="zh-CN"/>
          <w14:textFill>
            <w14:solidFill>
              <w14:schemeClr w14:val="tx1"/>
            </w14:solidFill>
          </w14:textFill>
        </w:rPr>
        <w:t>1</w:t>
      </w:r>
      <w:r>
        <w:rPr>
          <w:rFonts w:hint="eastAsia" w:ascii="宋体" w:hAnsi="宋体" w:cs="宋体"/>
          <w:color w:val="000000" w:themeColor="text1"/>
          <w:kern w:val="2"/>
          <w:sz w:val="24"/>
          <w:szCs w:val="24"/>
          <w:lang w:eastAsia="zh-CN"/>
          <w14:textFill>
            <w14:solidFill>
              <w14:schemeClr w14:val="tx1"/>
            </w14:solidFill>
          </w14:textFill>
        </w:rPr>
        <w:t>(石泉县污水处理厂2025年生产药剂采购项目)特定资格要求如下:</w:t>
      </w:r>
    </w:p>
    <w:p w14:paraId="2791AFB5">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自然人只需提交身份证）； </w:t>
      </w:r>
    </w:p>
    <w:p w14:paraId="5EA2CE7C">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2"/>
          <w:sz w:val="24"/>
          <w:szCs w:val="24"/>
          <w:lang w:eastAsia="zh-CN"/>
        </w:rPr>
        <w:t>）法定代表人直接参加投标的，须出具法定代表人身份证；法定代表人授权代表参加投标的，须出具法定代表人授权委托书、法定代表人身份证复印件以及被授权代表身份证复印件；</w:t>
      </w:r>
    </w:p>
    <w:p w14:paraId="3FD9A910">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lang w:eastAsia="zh-CN"/>
        </w:rPr>
        <w:t>）财务状况报告：</w:t>
      </w:r>
      <w:r>
        <w:rPr>
          <w:rFonts w:hint="eastAsia" w:asciiTheme="minorEastAsia" w:hAnsiTheme="minorEastAsia" w:eastAsiaTheme="minorEastAsia" w:cstheme="minorEastAsia"/>
          <w:color w:val="auto"/>
          <w:kern w:val="2"/>
          <w:sz w:val="24"/>
          <w:szCs w:val="24"/>
          <w:lang w:val="en-US" w:eastAsia="zh-CN"/>
        </w:rPr>
        <w:t xml:space="preserve">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p w14:paraId="46B39673">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4</w:t>
      </w:r>
      <w:r>
        <w:rPr>
          <w:rFonts w:hint="eastAsia" w:asciiTheme="minorEastAsia" w:hAnsiTheme="minorEastAsia" w:eastAsiaTheme="minorEastAsia" w:cstheme="minorEastAsia"/>
          <w:color w:val="auto"/>
          <w:kern w:val="2"/>
          <w:sz w:val="24"/>
          <w:szCs w:val="24"/>
          <w:lang w:eastAsia="zh-CN"/>
        </w:rPr>
        <w:t>）社会保障资金缴纳证明：自</w:t>
      </w:r>
      <w:r>
        <w:rPr>
          <w:rFonts w:hint="eastAsia" w:asciiTheme="minorEastAsia" w:hAnsiTheme="minorEastAsia" w:eastAsiaTheme="minorEastAsia" w:cstheme="minorEastAsia"/>
          <w:color w:val="auto"/>
          <w:kern w:val="2"/>
          <w:sz w:val="24"/>
          <w:szCs w:val="24"/>
          <w:lang w:val="en-US" w:eastAsia="zh-CN"/>
        </w:rPr>
        <w:t>2025</w:t>
      </w:r>
      <w:r>
        <w:rPr>
          <w:rFonts w:hint="eastAsia" w:asciiTheme="minorEastAsia" w:hAnsiTheme="minorEastAsia" w:eastAsiaTheme="minorEastAsia" w:cstheme="minorEastAsia"/>
          <w:color w:val="auto"/>
          <w:kern w:val="2"/>
          <w:sz w:val="24"/>
          <w:szCs w:val="24"/>
          <w:lang w:eastAsia="zh-CN"/>
        </w:rPr>
        <w:t>年</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月1日以来已缴存的至少</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个月的社会保障资金缴存单据或社保机构开具的社会保险参保缴费情况证明，单据或证明上应有社保机构或代收机构的印章。依法不需要缴纳社会保障资金的供应商应提供相关文件证明；</w:t>
      </w:r>
    </w:p>
    <w:p w14:paraId="252BA72A">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5</w:t>
      </w:r>
      <w:r>
        <w:rPr>
          <w:rFonts w:hint="eastAsia" w:asciiTheme="minorEastAsia" w:hAnsiTheme="minorEastAsia" w:eastAsiaTheme="minorEastAsia" w:cstheme="minorEastAsia"/>
          <w:color w:val="auto"/>
          <w:kern w:val="2"/>
          <w:sz w:val="24"/>
          <w:szCs w:val="24"/>
          <w:lang w:eastAsia="zh-CN"/>
        </w:rPr>
        <w:t>）税收缴纳证明：自</w:t>
      </w:r>
      <w:r>
        <w:rPr>
          <w:rFonts w:hint="eastAsia" w:asciiTheme="minorEastAsia" w:hAnsiTheme="minorEastAsia" w:eastAsiaTheme="minorEastAsia" w:cstheme="minorEastAsia"/>
          <w:color w:val="auto"/>
          <w:kern w:val="2"/>
          <w:sz w:val="24"/>
          <w:szCs w:val="24"/>
          <w:lang w:val="en-US" w:eastAsia="zh-CN"/>
        </w:rPr>
        <w:t>2025</w:t>
      </w:r>
      <w:r>
        <w:rPr>
          <w:rFonts w:hint="eastAsia" w:asciiTheme="minorEastAsia" w:hAnsiTheme="minorEastAsia" w:eastAsiaTheme="minorEastAsia" w:cstheme="minorEastAsia"/>
          <w:color w:val="auto"/>
          <w:kern w:val="2"/>
          <w:sz w:val="24"/>
          <w:szCs w:val="24"/>
          <w:lang w:eastAsia="zh-CN"/>
        </w:rPr>
        <w:t>年</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月1日以来至少</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个月的纳税证明或完税证明（提供增值税、企业所得税至少一种），纳税证明或完税证明上应有代收机构或税务机关的公章或业务专用章。依法免税的供应商应提供相关文件证明；</w:t>
      </w:r>
    </w:p>
    <w:p w14:paraId="17193589">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6</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5D615096">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（7）参加本次政府采购活动前三年内，在经营活动中没有重大违法记录声明；</w:t>
      </w:r>
    </w:p>
    <w:p w14:paraId="67493006">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（8）供应商具有履行合同所必需的设备和专业技术能力的书面声明；</w:t>
      </w:r>
    </w:p>
    <w:p w14:paraId="682C9E08">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（9）供应商应提供中小企业声明函或残疾人福利性单位声明函或监狱企业证明文件；</w:t>
      </w:r>
    </w:p>
    <w:p w14:paraId="699D092D">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（10）本项目不接受联合体投标（提供书面声明）。</w:t>
      </w:r>
    </w:p>
    <w:p w14:paraId="058CD814">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color w:val="000000" w:themeColor="text1"/>
          <w:kern w:val="2"/>
          <w:sz w:val="24"/>
          <w:szCs w:val="24"/>
          <w:lang w:eastAsia="zh-CN"/>
          <w14:textFill>
            <w14:solidFill>
              <w14:schemeClr w14:val="tx1"/>
            </w14:solidFill>
          </w14:textFill>
        </w:rPr>
      </w:pPr>
      <w:bookmarkStart w:id="3" w:name="三、获取采购文件"/>
      <w:bookmarkEnd w:id="3"/>
      <w:r>
        <w:rPr>
          <w:rFonts w:hint="eastAsia" w:ascii="宋体" w:hAnsi="宋体" w:cs="宋体"/>
          <w:b/>
          <w:bCs/>
          <w:color w:val="000000" w:themeColor="text1"/>
          <w:kern w:val="2"/>
          <w:sz w:val="24"/>
          <w:szCs w:val="24"/>
          <w:lang w:eastAsia="zh-CN"/>
          <w14:textFill>
            <w14:solidFill>
              <w14:schemeClr w14:val="tx1"/>
            </w14:solidFill>
          </w14:textFill>
        </w:rPr>
        <w:t>三、获取采购文件</w:t>
      </w:r>
    </w:p>
    <w:p w14:paraId="562E1B3E">
      <w:pPr>
        <w:pStyle w:val="36"/>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spacing w:val="1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时间：</w:t>
      </w:r>
      <w:r>
        <w:rPr>
          <w:rFonts w:hint="eastAsia" w:ascii="宋体" w:hAnsi="宋体" w:cs="宋体"/>
          <w:color w:val="000000" w:themeColor="text1"/>
          <w:spacing w:val="11"/>
          <w:kern w:val="2"/>
          <w:sz w:val="24"/>
          <w:szCs w:val="24"/>
          <w:lang w:eastAsia="zh-CN"/>
          <w14:textFill>
            <w14:solidFill>
              <w14:schemeClr w14:val="tx1"/>
            </w14:solidFill>
          </w14:textFill>
        </w:rPr>
        <w:t>20</w:t>
      </w:r>
      <w:r>
        <w:rPr>
          <w:rFonts w:hint="eastAsia" w:ascii="宋体" w:hAnsi="宋体" w:cs="宋体"/>
          <w:color w:val="000000" w:themeColor="text1"/>
          <w:spacing w:val="11"/>
          <w:kern w:val="2"/>
          <w:sz w:val="24"/>
          <w:szCs w:val="24"/>
          <w:lang w:val="en-US" w:eastAsia="zh-CN"/>
          <w14:textFill>
            <w14:solidFill>
              <w14:schemeClr w14:val="tx1"/>
            </w14:solidFill>
          </w14:textFill>
        </w:rPr>
        <w:t>25</w:t>
      </w:r>
      <w:r>
        <w:rPr>
          <w:rFonts w:hint="eastAsia" w:ascii="宋体" w:hAnsi="宋体" w:cs="宋体"/>
          <w:color w:val="000000" w:themeColor="text1"/>
          <w:spacing w:val="11"/>
          <w:kern w:val="2"/>
          <w:sz w:val="24"/>
          <w:szCs w:val="24"/>
          <w:lang w:eastAsia="zh-CN"/>
          <w14:textFill>
            <w14:solidFill>
              <w14:schemeClr w14:val="tx1"/>
            </w14:solidFill>
          </w14:textFill>
        </w:rPr>
        <w:t>年</w:t>
      </w:r>
      <w:r>
        <w:rPr>
          <w:rFonts w:hint="eastAsia" w:ascii="宋体" w:hAnsi="宋体" w:cs="宋体"/>
          <w:color w:val="000000" w:themeColor="text1"/>
          <w:spacing w:val="11"/>
          <w:kern w:val="2"/>
          <w:sz w:val="24"/>
          <w:szCs w:val="24"/>
          <w:lang w:val="en-US" w:eastAsia="zh-CN"/>
          <w14:textFill>
            <w14:solidFill>
              <w14:schemeClr w14:val="tx1"/>
            </w14:solidFill>
          </w14:textFill>
        </w:rPr>
        <w:t>12</w:t>
      </w:r>
      <w:r>
        <w:rPr>
          <w:rFonts w:hint="eastAsia" w:ascii="宋体" w:hAnsi="宋体" w:cs="宋体"/>
          <w:color w:val="000000" w:themeColor="text1"/>
          <w:spacing w:val="11"/>
          <w:kern w:val="2"/>
          <w:sz w:val="24"/>
          <w:szCs w:val="24"/>
          <w:lang w:eastAsia="zh-CN"/>
          <w14:textFill>
            <w14:solidFill>
              <w14:schemeClr w14:val="tx1"/>
            </w14:solidFill>
          </w14:textFill>
        </w:rPr>
        <w:t>月</w:t>
      </w:r>
      <w:r>
        <w:rPr>
          <w:rFonts w:hint="eastAsia" w:ascii="宋体" w:hAnsi="宋体" w:cs="宋体"/>
          <w:color w:val="000000" w:themeColor="text1"/>
          <w:spacing w:val="11"/>
          <w:kern w:val="2"/>
          <w:sz w:val="24"/>
          <w:szCs w:val="24"/>
          <w:lang w:val="en-US" w:eastAsia="zh-CN"/>
          <w14:textFill>
            <w14:solidFill>
              <w14:schemeClr w14:val="tx1"/>
            </w14:solidFill>
          </w14:textFill>
        </w:rPr>
        <w:t>25</w:t>
      </w:r>
      <w:r>
        <w:rPr>
          <w:rFonts w:hint="eastAsia" w:ascii="宋体" w:hAnsi="宋体" w:cs="宋体"/>
          <w:color w:val="000000" w:themeColor="text1"/>
          <w:spacing w:val="11"/>
          <w:kern w:val="2"/>
          <w:sz w:val="24"/>
          <w:szCs w:val="24"/>
          <w:lang w:eastAsia="zh-CN"/>
          <w14:textFill>
            <w14:solidFill>
              <w14:schemeClr w14:val="tx1"/>
            </w14:solidFill>
          </w14:textFill>
        </w:rPr>
        <w:t>日至20</w:t>
      </w:r>
      <w:r>
        <w:rPr>
          <w:rFonts w:hint="eastAsia" w:ascii="宋体" w:hAnsi="宋体" w:cs="宋体"/>
          <w:color w:val="000000" w:themeColor="text1"/>
          <w:spacing w:val="11"/>
          <w:kern w:val="2"/>
          <w:sz w:val="24"/>
          <w:szCs w:val="24"/>
          <w:lang w:val="en-US" w:eastAsia="zh-CN"/>
          <w14:textFill>
            <w14:solidFill>
              <w14:schemeClr w14:val="tx1"/>
            </w14:solidFill>
          </w14:textFill>
        </w:rPr>
        <w:t>25</w:t>
      </w:r>
      <w:r>
        <w:rPr>
          <w:rFonts w:hint="eastAsia" w:ascii="宋体" w:hAnsi="宋体" w:cs="宋体"/>
          <w:color w:val="000000" w:themeColor="text1"/>
          <w:spacing w:val="11"/>
          <w:kern w:val="2"/>
          <w:sz w:val="24"/>
          <w:szCs w:val="24"/>
          <w:lang w:eastAsia="zh-CN"/>
          <w14:textFill>
            <w14:solidFill>
              <w14:schemeClr w14:val="tx1"/>
            </w14:solidFill>
          </w14:textFill>
        </w:rPr>
        <w:t>年</w:t>
      </w:r>
      <w:r>
        <w:rPr>
          <w:rFonts w:hint="eastAsia" w:ascii="宋体" w:hAnsi="宋体" w:cs="宋体"/>
          <w:color w:val="000000" w:themeColor="text1"/>
          <w:spacing w:val="11"/>
          <w:kern w:val="2"/>
          <w:sz w:val="24"/>
          <w:szCs w:val="24"/>
          <w:lang w:val="en-US" w:eastAsia="zh-CN"/>
          <w14:textFill>
            <w14:solidFill>
              <w14:schemeClr w14:val="tx1"/>
            </w14:solidFill>
          </w14:textFill>
        </w:rPr>
        <w:t>12</w:t>
      </w:r>
      <w:r>
        <w:rPr>
          <w:rFonts w:hint="eastAsia" w:ascii="宋体" w:hAnsi="宋体" w:cs="宋体"/>
          <w:color w:val="000000" w:themeColor="text1"/>
          <w:spacing w:val="11"/>
          <w:kern w:val="2"/>
          <w:sz w:val="24"/>
          <w:szCs w:val="24"/>
          <w:lang w:eastAsia="zh-CN"/>
          <w14:textFill>
            <w14:solidFill>
              <w14:schemeClr w14:val="tx1"/>
            </w14:solidFill>
          </w14:textFill>
        </w:rPr>
        <w:t>月</w:t>
      </w:r>
      <w:r>
        <w:rPr>
          <w:rFonts w:hint="eastAsia" w:ascii="宋体" w:hAnsi="宋体" w:cs="宋体"/>
          <w:color w:val="000000" w:themeColor="text1"/>
          <w:spacing w:val="11"/>
          <w:kern w:val="2"/>
          <w:sz w:val="24"/>
          <w:szCs w:val="24"/>
          <w:lang w:val="en-US" w:eastAsia="zh-CN"/>
          <w14:textFill>
            <w14:solidFill>
              <w14:schemeClr w14:val="tx1"/>
            </w14:solidFill>
          </w14:textFill>
        </w:rPr>
        <w:t>29</w:t>
      </w:r>
      <w:r>
        <w:rPr>
          <w:rFonts w:hint="eastAsia" w:ascii="宋体" w:hAnsi="宋体" w:cs="宋体"/>
          <w:color w:val="000000" w:themeColor="text1"/>
          <w:spacing w:val="11"/>
          <w:kern w:val="2"/>
          <w:sz w:val="24"/>
          <w:szCs w:val="24"/>
          <w:lang w:eastAsia="zh-CN"/>
          <w14:textFill>
            <w14:solidFill>
              <w14:schemeClr w14:val="tx1"/>
            </w14:solidFill>
          </w14:textFill>
        </w:rPr>
        <w:t>日，每天上午 09:00:00 至12:00:00，下午</w:t>
      </w:r>
      <w:r>
        <w:rPr>
          <w:rFonts w:hint="eastAsia" w:ascii="宋体" w:hAnsi="宋体" w:cs="宋体"/>
          <w:color w:val="000000" w:themeColor="text1"/>
          <w:spacing w:val="11"/>
          <w:kern w:val="2"/>
          <w:sz w:val="24"/>
          <w:szCs w:val="24"/>
          <w:lang w:val="en-US" w:eastAsia="zh-CN"/>
          <w14:textFill>
            <w14:solidFill>
              <w14:schemeClr w14:val="tx1"/>
            </w14:solidFill>
          </w14:textFill>
        </w:rPr>
        <w:t>14</w:t>
      </w:r>
      <w:r>
        <w:rPr>
          <w:rFonts w:hint="eastAsia" w:ascii="宋体" w:hAnsi="宋体" w:cs="宋体"/>
          <w:color w:val="000000" w:themeColor="text1"/>
          <w:spacing w:val="11"/>
          <w:kern w:val="2"/>
          <w:sz w:val="24"/>
          <w:szCs w:val="24"/>
          <w:lang w:eastAsia="zh-CN"/>
          <w14:textFill>
            <w14:solidFill>
              <w14:schemeClr w14:val="tx1"/>
            </w14:solidFill>
          </w14:textFill>
        </w:rPr>
        <w:t>:</w:t>
      </w:r>
      <w:r>
        <w:rPr>
          <w:rFonts w:hint="eastAsia" w:ascii="宋体" w:hAnsi="宋体" w:cs="宋体"/>
          <w:color w:val="000000" w:themeColor="text1"/>
          <w:spacing w:val="11"/>
          <w:kern w:val="2"/>
          <w:sz w:val="24"/>
          <w:szCs w:val="24"/>
          <w:lang w:val="en-US" w:eastAsia="zh-CN"/>
          <w14:textFill>
            <w14:solidFill>
              <w14:schemeClr w14:val="tx1"/>
            </w14:solidFill>
          </w14:textFill>
        </w:rPr>
        <w:t>30</w:t>
      </w:r>
      <w:r>
        <w:rPr>
          <w:rFonts w:hint="eastAsia" w:ascii="宋体" w:hAnsi="宋体" w:cs="宋体"/>
          <w:color w:val="000000" w:themeColor="text1"/>
          <w:spacing w:val="11"/>
          <w:kern w:val="2"/>
          <w:sz w:val="24"/>
          <w:szCs w:val="24"/>
          <w:lang w:eastAsia="zh-CN"/>
          <w14:textFill>
            <w14:solidFill>
              <w14:schemeClr w14:val="tx1"/>
            </w14:solidFill>
          </w14:textFill>
        </w:rPr>
        <w:t>:00至17:</w:t>
      </w:r>
      <w:r>
        <w:rPr>
          <w:rFonts w:hint="eastAsia" w:ascii="宋体" w:hAnsi="宋体" w:cs="宋体"/>
          <w:color w:val="000000" w:themeColor="text1"/>
          <w:spacing w:val="11"/>
          <w:kern w:val="2"/>
          <w:sz w:val="24"/>
          <w:szCs w:val="24"/>
          <w:lang w:val="en-US" w:eastAsia="zh-CN"/>
          <w14:textFill>
            <w14:solidFill>
              <w14:schemeClr w14:val="tx1"/>
            </w14:solidFill>
          </w14:textFill>
        </w:rPr>
        <w:t>3</w:t>
      </w:r>
      <w:r>
        <w:rPr>
          <w:rFonts w:hint="eastAsia" w:ascii="宋体" w:hAnsi="宋体" w:cs="宋体"/>
          <w:color w:val="000000" w:themeColor="text1"/>
          <w:spacing w:val="11"/>
          <w:kern w:val="2"/>
          <w:sz w:val="24"/>
          <w:szCs w:val="24"/>
          <w:lang w:eastAsia="zh-CN"/>
          <w14:textFill>
            <w14:solidFill>
              <w14:schemeClr w14:val="tx1"/>
            </w14:solidFill>
          </w14:textFill>
        </w:rPr>
        <w:t>0:00（北京时间，国家法定节假日除外。）</w:t>
      </w:r>
    </w:p>
    <w:p w14:paraId="14F6CA7D">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地点：全国公共资源交易中心平台（陕西省.安康市）</w:t>
      </w:r>
    </w:p>
    <w:p w14:paraId="39A69C94">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kern w:val="2"/>
          <w:sz w:val="24"/>
          <w:szCs w:val="24"/>
          <w:lang w:val="en-US"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方式：在线获取</w:t>
      </w:r>
    </w:p>
    <w:p w14:paraId="11BA75FF">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售价：</w:t>
      </w:r>
      <w:r>
        <w:rPr>
          <w:rFonts w:hint="eastAsia" w:ascii="宋体" w:hAnsi="宋体" w:cs="宋体"/>
          <w:color w:val="000000" w:themeColor="text1"/>
          <w:kern w:val="2"/>
          <w:sz w:val="24"/>
          <w:szCs w:val="24"/>
          <w:lang w:val="en-US" w:eastAsia="zh-CN"/>
          <w14:textFill>
            <w14:solidFill>
              <w14:schemeClr w14:val="tx1"/>
            </w14:solidFill>
          </w14:textFill>
        </w:rPr>
        <w:t>0</w:t>
      </w:r>
      <w:r>
        <w:rPr>
          <w:rFonts w:hint="eastAsia" w:ascii="宋体" w:hAnsi="宋体" w:cs="宋体"/>
          <w:color w:val="000000" w:themeColor="text1"/>
          <w:kern w:val="2"/>
          <w:sz w:val="24"/>
          <w:szCs w:val="24"/>
          <w:lang w:eastAsia="zh-CN"/>
          <w14:textFill>
            <w14:solidFill>
              <w14:schemeClr w14:val="tx1"/>
            </w14:solidFill>
          </w14:textFill>
        </w:rPr>
        <w:t xml:space="preserve"> 元</w:t>
      </w:r>
      <w:bookmarkStart w:id="4" w:name="四、响应文件提交"/>
      <w:bookmarkEnd w:id="4"/>
    </w:p>
    <w:p w14:paraId="0C418608">
      <w:pPr>
        <w:pStyle w:val="36"/>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color w:val="000000" w:themeColor="text1"/>
          <w:kern w:val="2"/>
          <w:sz w:val="24"/>
          <w:szCs w:val="24"/>
          <w:lang w:eastAsia="zh-CN"/>
          <w14:textFill>
            <w14:solidFill>
              <w14:schemeClr w14:val="tx1"/>
            </w14:solidFill>
          </w14:textFill>
        </w:rPr>
      </w:pPr>
      <w:r>
        <w:rPr>
          <w:rFonts w:hint="eastAsia" w:ascii="宋体" w:hAnsi="宋体" w:cs="宋体"/>
          <w:b/>
          <w:bCs/>
          <w:color w:val="000000" w:themeColor="text1"/>
          <w:kern w:val="2"/>
          <w:sz w:val="24"/>
          <w:szCs w:val="24"/>
          <w:lang w:eastAsia="zh-CN"/>
          <w14:textFill>
            <w14:solidFill>
              <w14:schemeClr w14:val="tx1"/>
            </w14:solidFill>
          </w14:textFill>
        </w:rPr>
        <w:t>四、响应文件提交</w:t>
      </w:r>
    </w:p>
    <w:p w14:paraId="0A224F27">
      <w:pPr>
        <w:pStyle w:val="36"/>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spacing w:val="11"/>
          <w:kern w:val="2"/>
          <w:sz w:val="24"/>
          <w:szCs w:val="24"/>
          <w:shd w:val="clear" w:fill="FFFF00"/>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截止时间</w:t>
      </w:r>
      <w:r>
        <w:rPr>
          <w:rFonts w:hint="eastAsia" w:ascii="宋体" w:hAnsi="宋体" w:cs="宋体"/>
          <w:color w:val="000000" w:themeColor="text1"/>
          <w:kern w:val="2"/>
          <w:sz w:val="24"/>
          <w:szCs w:val="24"/>
          <w:shd w:val="clear"/>
          <w:lang w:eastAsia="zh-CN"/>
          <w14:textFill>
            <w14:solidFill>
              <w14:schemeClr w14:val="tx1"/>
            </w14:solidFill>
          </w14:textFill>
        </w:rPr>
        <w:t>：</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2026</w:t>
      </w:r>
      <w:r>
        <w:rPr>
          <w:rFonts w:hint="eastAsia" w:ascii="宋体" w:hAnsi="宋体" w:cs="宋体"/>
          <w:color w:val="000000" w:themeColor="text1"/>
          <w:spacing w:val="11"/>
          <w:kern w:val="2"/>
          <w:sz w:val="24"/>
          <w:szCs w:val="24"/>
          <w:shd w:val="clear"/>
          <w:lang w:eastAsia="zh-CN"/>
          <w14:textFill>
            <w14:solidFill>
              <w14:schemeClr w14:val="tx1"/>
            </w14:solidFill>
          </w14:textFill>
        </w:rPr>
        <w:t>年</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1</w:t>
      </w:r>
      <w:r>
        <w:rPr>
          <w:rFonts w:hint="eastAsia" w:ascii="宋体" w:hAnsi="宋体" w:cs="宋体"/>
          <w:color w:val="000000" w:themeColor="text1"/>
          <w:spacing w:val="11"/>
          <w:kern w:val="2"/>
          <w:sz w:val="24"/>
          <w:szCs w:val="24"/>
          <w:shd w:val="clear"/>
          <w:lang w:eastAsia="zh-CN"/>
          <w14:textFill>
            <w14:solidFill>
              <w14:schemeClr w14:val="tx1"/>
            </w14:solidFill>
          </w14:textFill>
        </w:rPr>
        <w:t>月</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15</w:t>
      </w:r>
      <w:r>
        <w:rPr>
          <w:rFonts w:hint="eastAsia" w:ascii="宋体" w:hAnsi="宋体" w:cs="宋体"/>
          <w:color w:val="000000" w:themeColor="text1"/>
          <w:spacing w:val="11"/>
          <w:kern w:val="2"/>
          <w:sz w:val="24"/>
          <w:szCs w:val="24"/>
          <w:shd w:val="clear"/>
          <w:lang w:eastAsia="zh-CN"/>
          <w14:textFill>
            <w14:solidFill>
              <w14:schemeClr w14:val="tx1"/>
            </w14:solidFill>
          </w14:textFill>
        </w:rPr>
        <w:t>日</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14</w:t>
      </w:r>
      <w:r>
        <w:rPr>
          <w:rFonts w:hint="eastAsia" w:ascii="宋体" w:hAnsi="宋体" w:cs="宋体"/>
          <w:color w:val="000000" w:themeColor="text1"/>
          <w:spacing w:val="11"/>
          <w:kern w:val="2"/>
          <w:sz w:val="24"/>
          <w:szCs w:val="24"/>
          <w:shd w:val="clear"/>
          <w:lang w:eastAsia="zh-CN"/>
          <w14:textFill>
            <w14:solidFill>
              <w14:schemeClr w14:val="tx1"/>
            </w14:solidFill>
          </w14:textFill>
        </w:rPr>
        <w:t>时</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00</w:t>
      </w:r>
      <w:r>
        <w:rPr>
          <w:rFonts w:hint="eastAsia" w:ascii="宋体" w:hAnsi="宋体" w:cs="宋体"/>
          <w:color w:val="000000" w:themeColor="text1"/>
          <w:spacing w:val="11"/>
          <w:kern w:val="2"/>
          <w:sz w:val="24"/>
          <w:szCs w:val="24"/>
          <w:shd w:val="clear"/>
          <w:lang w:eastAsia="zh-CN"/>
          <w14:textFill>
            <w14:solidFill>
              <w14:schemeClr w14:val="tx1"/>
            </w14:solidFill>
          </w14:textFill>
        </w:rPr>
        <w:t>分00秒（北京时间）</w:t>
      </w:r>
    </w:p>
    <w:p w14:paraId="62EFB2C2">
      <w:pPr>
        <w:pStyle w:val="36"/>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40" w:lineRule="exact"/>
        <w:ind w:right="0" w:rightChars="0"/>
        <w:jc w:val="left"/>
        <w:textAlignment w:val="auto"/>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地点：全国公共资源交易中心平台（陕西省.安康市）</w:t>
      </w:r>
    </w:p>
    <w:p w14:paraId="2D1F92E5">
      <w:pPr>
        <w:pStyle w:val="36"/>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color w:val="000000" w:themeColor="text1"/>
          <w:kern w:val="2"/>
          <w:sz w:val="24"/>
          <w:szCs w:val="24"/>
          <w:lang w:eastAsia="zh-CN"/>
          <w14:textFill>
            <w14:solidFill>
              <w14:schemeClr w14:val="tx1"/>
            </w14:solidFill>
          </w14:textFill>
        </w:rPr>
      </w:pPr>
      <w:bookmarkStart w:id="5" w:name="五、开启"/>
      <w:bookmarkEnd w:id="5"/>
      <w:r>
        <w:rPr>
          <w:rFonts w:hint="eastAsia" w:ascii="宋体" w:hAnsi="宋体" w:cs="宋体"/>
          <w:b/>
          <w:bCs/>
          <w:color w:val="000000" w:themeColor="text1"/>
          <w:kern w:val="2"/>
          <w:sz w:val="24"/>
          <w:szCs w:val="24"/>
          <w:lang w:eastAsia="zh-CN"/>
          <w14:textFill>
            <w14:solidFill>
              <w14:schemeClr w14:val="tx1"/>
            </w14:solidFill>
          </w14:textFill>
        </w:rPr>
        <w:t>五、开启</w:t>
      </w:r>
    </w:p>
    <w:p w14:paraId="5EDA3050">
      <w:pPr>
        <w:pStyle w:val="36"/>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kern w:val="2"/>
          <w:sz w:val="24"/>
          <w:szCs w:val="24"/>
          <w:shd w:val="clear" w:fill="FFFF00"/>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时间：</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2026</w:t>
      </w:r>
      <w:r>
        <w:rPr>
          <w:rFonts w:hint="eastAsia" w:ascii="宋体" w:hAnsi="宋体" w:cs="宋体"/>
          <w:color w:val="000000" w:themeColor="text1"/>
          <w:spacing w:val="11"/>
          <w:kern w:val="2"/>
          <w:sz w:val="24"/>
          <w:szCs w:val="24"/>
          <w:shd w:val="clear"/>
          <w:lang w:eastAsia="zh-CN"/>
          <w14:textFill>
            <w14:solidFill>
              <w14:schemeClr w14:val="tx1"/>
            </w14:solidFill>
          </w14:textFill>
        </w:rPr>
        <w:t>年</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1</w:t>
      </w:r>
      <w:r>
        <w:rPr>
          <w:rFonts w:hint="eastAsia" w:ascii="宋体" w:hAnsi="宋体" w:cs="宋体"/>
          <w:color w:val="000000" w:themeColor="text1"/>
          <w:spacing w:val="11"/>
          <w:kern w:val="2"/>
          <w:sz w:val="24"/>
          <w:szCs w:val="24"/>
          <w:shd w:val="clear"/>
          <w:lang w:eastAsia="zh-CN"/>
          <w14:textFill>
            <w14:solidFill>
              <w14:schemeClr w14:val="tx1"/>
            </w14:solidFill>
          </w14:textFill>
        </w:rPr>
        <w:t>月</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15</w:t>
      </w:r>
      <w:r>
        <w:rPr>
          <w:rFonts w:hint="eastAsia" w:ascii="宋体" w:hAnsi="宋体" w:cs="宋体"/>
          <w:color w:val="000000" w:themeColor="text1"/>
          <w:spacing w:val="11"/>
          <w:kern w:val="2"/>
          <w:sz w:val="24"/>
          <w:szCs w:val="24"/>
          <w:shd w:val="clear"/>
          <w:lang w:eastAsia="zh-CN"/>
          <w14:textFill>
            <w14:solidFill>
              <w14:schemeClr w14:val="tx1"/>
            </w14:solidFill>
          </w14:textFill>
        </w:rPr>
        <w:t>日</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14</w:t>
      </w:r>
      <w:r>
        <w:rPr>
          <w:rFonts w:hint="eastAsia" w:ascii="宋体" w:hAnsi="宋体" w:cs="宋体"/>
          <w:color w:val="000000" w:themeColor="text1"/>
          <w:spacing w:val="11"/>
          <w:kern w:val="2"/>
          <w:sz w:val="24"/>
          <w:szCs w:val="24"/>
          <w:shd w:val="clear"/>
          <w:lang w:eastAsia="zh-CN"/>
          <w14:textFill>
            <w14:solidFill>
              <w14:schemeClr w14:val="tx1"/>
            </w14:solidFill>
          </w14:textFill>
        </w:rPr>
        <w:t>时</w:t>
      </w:r>
      <w:r>
        <w:rPr>
          <w:rFonts w:hint="eastAsia" w:ascii="宋体" w:hAnsi="宋体" w:cs="宋体"/>
          <w:color w:val="000000" w:themeColor="text1"/>
          <w:spacing w:val="11"/>
          <w:kern w:val="2"/>
          <w:sz w:val="24"/>
          <w:szCs w:val="24"/>
          <w:shd w:val="clear"/>
          <w:lang w:val="en-US" w:eastAsia="zh-CN"/>
          <w14:textFill>
            <w14:solidFill>
              <w14:schemeClr w14:val="tx1"/>
            </w14:solidFill>
          </w14:textFill>
        </w:rPr>
        <w:t>00</w:t>
      </w:r>
      <w:r>
        <w:rPr>
          <w:rFonts w:hint="eastAsia" w:ascii="宋体" w:hAnsi="宋体" w:cs="宋体"/>
          <w:color w:val="000000" w:themeColor="text1"/>
          <w:spacing w:val="11"/>
          <w:kern w:val="2"/>
          <w:sz w:val="24"/>
          <w:szCs w:val="24"/>
          <w:shd w:val="clear"/>
          <w:lang w:eastAsia="zh-CN"/>
          <w14:textFill>
            <w14:solidFill>
              <w14:schemeClr w14:val="tx1"/>
            </w14:solidFill>
          </w14:textFill>
        </w:rPr>
        <w:t>分00秒</w:t>
      </w:r>
      <w:r>
        <w:rPr>
          <w:rFonts w:hint="eastAsia" w:ascii="宋体" w:hAnsi="宋体" w:cs="宋体"/>
          <w:color w:val="000000" w:themeColor="text1"/>
          <w:kern w:val="2"/>
          <w:sz w:val="24"/>
          <w:szCs w:val="24"/>
          <w:shd w:val="clear"/>
          <w:lang w:eastAsia="zh-CN"/>
          <w14:textFill>
            <w14:solidFill>
              <w14:schemeClr w14:val="tx1"/>
            </w14:solidFill>
          </w14:textFill>
        </w:rPr>
        <w:t>（北京时间）</w:t>
      </w:r>
    </w:p>
    <w:p w14:paraId="624B1F94">
      <w:pPr>
        <w:pStyle w:val="36"/>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地点：安康市公共</w:t>
      </w:r>
      <w:r>
        <w:rPr>
          <w:rFonts w:hint="eastAsia" w:ascii="宋体" w:hAnsi="宋体" w:cs="宋体"/>
          <w:color w:val="000000" w:themeColor="text1"/>
          <w:kern w:val="2"/>
          <w:sz w:val="24"/>
          <w:szCs w:val="24"/>
          <w:shd w:val="clear"/>
          <w:lang w:eastAsia="zh-CN"/>
          <w14:textFill>
            <w14:solidFill>
              <w14:schemeClr w14:val="tx1"/>
            </w14:solidFill>
          </w14:textFill>
        </w:rPr>
        <w:t>资源交易中心</w:t>
      </w:r>
      <w:r>
        <w:rPr>
          <w:rFonts w:hint="eastAsia" w:ascii="宋体" w:hAnsi="宋体" w:cs="宋体"/>
          <w:color w:val="000000" w:themeColor="text1"/>
          <w:kern w:val="2"/>
          <w:sz w:val="24"/>
          <w:szCs w:val="24"/>
          <w:shd w:val="clear"/>
          <w:lang w:val="en-US" w:eastAsia="zh-CN"/>
          <w14:textFill>
            <w14:solidFill>
              <w14:schemeClr w14:val="tx1"/>
            </w14:solidFill>
          </w14:textFill>
        </w:rPr>
        <w:t>407</w:t>
      </w:r>
      <w:r>
        <w:rPr>
          <w:rFonts w:hint="eastAsia" w:ascii="宋体" w:hAnsi="宋体" w:cs="宋体"/>
          <w:color w:val="000000" w:themeColor="text1"/>
          <w:kern w:val="2"/>
          <w:sz w:val="24"/>
          <w:szCs w:val="24"/>
          <w:shd w:val="clear"/>
          <w:lang w:eastAsia="zh-CN"/>
          <w14:textFill>
            <w14:solidFill>
              <w14:schemeClr w14:val="tx1"/>
            </w14:solidFill>
          </w14:textFill>
        </w:rPr>
        <w:t>开标室</w:t>
      </w:r>
      <w:bookmarkStart w:id="6" w:name="六、公告期限"/>
      <w:bookmarkEnd w:id="6"/>
    </w:p>
    <w:p w14:paraId="692C5AE7">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color w:val="000000" w:themeColor="text1"/>
          <w:kern w:val="2"/>
          <w:sz w:val="24"/>
          <w:szCs w:val="24"/>
          <w:lang w:eastAsia="zh-CN"/>
          <w14:textFill>
            <w14:solidFill>
              <w14:schemeClr w14:val="tx1"/>
            </w14:solidFill>
          </w14:textFill>
        </w:rPr>
      </w:pPr>
      <w:r>
        <w:rPr>
          <w:rFonts w:hint="eastAsia" w:ascii="宋体" w:hAnsi="宋体" w:cs="宋体"/>
          <w:b/>
          <w:bCs/>
          <w:color w:val="000000" w:themeColor="text1"/>
          <w:kern w:val="2"/>
          <w:sz w:val="24"/>
          <w:szCs w:val="24"/>
          <w:lang w:eastAsia="zh-CN"/>
          <w14:textFill>
            <w14:solidFill>
              <w14:schemeClr w14:val="tx1"/>
            </w14:solidFill>
          </w14:textFill>
        </w:rPr>
        <w:t>六、公告期限</w:t>
      </w:r>
    </w:p>
    <w:p w14:paraId="7468FB4E">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自本公告发布之日起3个工作日。</w:t>
      </w:r>
      <w:bookmarkStart w:id="7" w:name="七、其他补充事宜"/>
      <w:bookmarkEnd w:id="7"/>
    </w:p>
    <w:p w14:paraId="16D0932F">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color w:val="000000" w:themeColor="text1"/>
          <w:kern w:val="2"/>
          <w:sz w:val="24"/>
          <w:szCs w:val="24"/>
          <w:lang w:eastAsia="zh-CN"/>
          <w14:textFill>
            <w14:solidFill>
              <w14:schemeClr w14:val="tx1"/>
            </w14:solidFill>
          </w14:textFill>
        </w:rPr>
      </w:pPr>
      <w:r>
        <w:rPr>
          <w:rFonts w:hint="eastAsia" w:ascii="宋体" w:hAnsi="宋体" w:cs="宋体"/>
          <w:b/>
          <w:bCs/>
          <w:color w:val="000000" w:themeColor="text1"/>
          <w:kern w:val="2"/>
          <w:sz w:val="24"/>
          <w:szCs w:val="24"/>
          <w:lang w:eastAsia="zh-CN"/>
          <w14:textFill>
            <w14:solidFill>
              <w14:schemeClr w14:val="tx1"/>
            </w14:solidFill>
          </w14:textFill>
        </w:rPr>
        <w:t>七、其他补充事宜</w:t>
      </w:r>
    </w:p>
    <w:p w14:paraId="4BE0E408">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56" w:rightChars="0" w:firstLine="480" w:firstLineChars="200"/>
        <w:jc w:val="left"/>
        <w:textAlignment w:val="auto"/>
        <w:rPr>
          <w:rFonts w:hint="eastAsia" w:ascii="宋体" w:hAnsi="宋体" w:eastAsia="宋体" w:cs="宋体"/>
          <w:color w:val="000000" w:themeColor="text1"/>
          <w:kern w:val="2"/>
          <w:sz w:val="24"/>
          <w:szCs w:val="24"/>
          <w:lang w:val="en-US" w:eastAsia="zh-CN" w:bidi="ar"/>
          <w14:textFill>
            <w14:solidFill>
              <w14:schemeClr w14:val="tx1"/>
            </w14:solidFill>
          </w14:textFill>
        </w:rPr>
      </w:pPr>
      <w:bookmarkStart w:id="8" w:name="八、凡对本次采购提出询问，请按以下方式联系。"/>
      <w:bookmarkEnd w:id="8"/>
      <w:r>
        <w:rPr>
          <w:rFonts w:hint="eastAsia" w:ascii="宋体" w:hAnsi="宋体" w:eastAsia="宋体" w:cs="宋体"/>
          <w:color w:val="000000" w:themeColor="text1"/>
          <w:kern w:val="2"/>
          <w:sz w:val="24"/>
          <w:szCs w:val="24"/>
          <w:lang w:val="en-US" w:eastAsia="zh-CN" w:bidi="ar"/>
          <w14:textFill>
            <w14:solidFill>
              <w14:schemeClr w14:val="tx1"/>
            </w14:solidFill>
          </w14:textFill>
        </w:rPr>
        <w:t>①在报名规定时间内使用捆绑省交易平台的CA锁登录安康市公共资源交易中</w:t>
      </w:r>
      <w:r>
        <w:rPr>
          <w:rFonts w:hint="eastAsia" w:cs="宋体"/>
          <w:color w:val="000000" w:themeColor="text1"/>
          <w:kern w:val="2"/>
          <w:sz w:val="24"/>
          <w:szCs w:val="24"/>
          <w:lang w:val="en-US" w:eastAsia="zh-CN" w:bidi="ar"/>
          <w14:textFill>
            <w14:solidFill>
              <w14:schemeClr w14:val="tx1"/>
            </w14:solidFill>
          </w14:textFill>
        </w:rPr>
        <w:t>心</w:t>
      </w:r>
      <w:r>
        <w:rPr>
          <w:rFonts w:hint="eastAsia" w:ascii="宋体" w:hAnsi="宋体" w:eastAsia="宋体" w:cs="宋体"/>
          <w:color w:val="000000" w:themeColor="text1"/>
          <w:kern w:val="2"/>
          <w:sz w:val="24"/>
          <w:szCs w:val="24"/>
          <w:lang w:val="en-US" w:eastAsia="zh-CN" w:bidi="ar"/>
          <w14:textFill>
            <w14:solidFill>
              <w14:schemeClr w14:val="tx1"/>
            </w14:solidFill>
          </w14:textFill>
        </w:rPr>
        <w:t>（http：//ak.sxggzyjy.cn/），选择电子交易平台，通过政府采购系统企业端进入，点击我要投标，完善相关投标信息。</w:t>
      </w:r>
    </w:p>
    <w:p w14:paraId="6C220885">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357" w:firstLine="440" w:firstLineChars="200"/>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10"/>
          <w:kern w:val="2"/>
          <w:sz w:val="24"/>
          <w:szCs w:val="24"/>
          <w:lang w:val="en-US" w:eastAsia="zh-CN" w:bidi="ar"/>
          <w14:textFill>
            <w14:solidFill>
              <w14:schemeClr w14:val="tx1"/>
            </w14:solidFill>
          </w14:textFill>
        </w:rPr>
        <w:t>②采购代理公司确认：</w:t>
      </w:r>
      <w:r>
        <w:rPr>
          <w:rFonts w:hint="eastAsia" w:ascii="宋体" w:hAnsi="宋体" w:eastAsia="宋体" w:cs="宋体"/>
          <w:color w:val="000000" w:themeColor="text1"/>
          <w:kern w:val="2"/>
          <w:sz w:val="24"/>
          <w:szCs w:val="24"/>
          <w:lang w:val="en-US" w:eastAsia="zh-CN" w:bidi="ar"/>
          <w14:textFill>
            <w14:solidFill>
              <w14:schemeClr w14:val="tx1"/>
            </w14:solidFill>
          </w14:textFill>
        </w:rPr>
        <w:t>投标供应商网上报名成功后</w:t>
      </w:r>
      <w:r>
        <w:rPr>
          <w:rFonts w:hint="eastAsia" w:cs="宋体"/>
          <w:color w:val="000000" w:themeColor="text1"/>
          <w:kern w:val="2"/>
          <w:sz w:val="24"/>
          <w:szCs w:val="24"/>
          <w:lang w:val="en-US" w:eastAsia="zh-CN" w:bidi="ar"/>
          <w14:textFill>
            <w14:solidFill>
              <w14:schemeClr w14:val="tx1"/>
            </w14:solidFill>
          </w14:textFill>
        </w:rPr>
        <w:t>将</w:t>
      </w:r>
      <w:r>
        <w:rPr>
          <w:rFonts w:hint="eastAsia" w:ascii="宋体" w:hAnsi="宋体" w:eastAsia="宋体" w:cs="宋体"/>
          <w:color w:val="000000" w:themeColor="text1"/>
          <w:kern w:val="2"/>
          <w:sz w:val="24"/>
          <w:szCs w:val="24"/>
          <w:lang w:val="en-US" w:eastAsia="zh-CN" w:bidi="ar"/>
          <w14:textFill>
            <w14:solidFill>
              <w14:schemeClr w14:val="tx1"/>
            </w14:solidFill>
          </w14:textFill>
        </w:rPr>
        <w:t>报名回执单以及营业执照</w:t>
      </w:r>
      <w:r>
        <w:rPr>
          <w:rFonts w:hint="eastAsia" w:cs="宋体"/>
          <w:color w:val="000000" w:themeColor="text1"/>
          <w:kern w:val="2"/>
          <w:sz w:val="24"/>
          <w:szCs w:val="24"/>
          <w:lang w:val="en-US" w:eastAsia="zh-CN" w:bidi="ar"/>
          <w14:textFill>
            <w14:solidFill>
              <w14:schemeClr w14:val="tx1"/>
            </w14:solidFill>
          </w14:textFill>
        </w:rPr>
        <w:t>、法人授权委托书</w:t>
      </w:r>
      <w:r>
        <w:rPr>
          <w:rFonts w:hint="eastAsia" w:ascii="宋体" w:hAnsi="宋体" w:eastAsia="宋体" w:cs="宋体"/>
          <w:color w:val="000000" w:themeColor="text1"/>
          <w:kern w:val="2"/>
          <w:sz w:val="24"/>
          <w:szCs w:val="24"/>
          <w:lang w:val="en-US" w:eastAsia="zh-CN" w:bidi="ar"/>
          <w14:textFill>
            <w14:solidFill>
              <w14:schemeClr w14:val="tx1"/>
            </w14:solidFill>
          </w14:textFill>
        </w:rPr>
        <w:t>加盖公章的</w:t>
      </w:r>
      <w:r>
        <w:rPr>
          <w:rFonts w:hint="eastAsia" w:cs="宋体"/>
          <w:color w:val="000000" w:themeColor="text1"/>
          <w:kern w:val="2"/>
          <w:sz w:val="24"/>
          <w:szCs w:val="24"/>
          <w:lang w:val="en-US" w:eastAsia="zh-CN" w:bidi="ar"/>
          <w14:textFill>
            <w14:solidFill>
              <w14:schemeClr w14:val="tx1"/>
            </w14:solidFill>
          </w14:textFill>
        </w:rPr>
        <w:t>扫描</w:t>
      </w:r>
      <w:r>
        <w:rPr>
          <w:rFonts w:hint="eastAsia" w:ascii="宋体" w:hAnsi="宋体" w:eastAsia="宋体" w:cs="宋体"/>
          <w:color w:val="000000" w:themeColor="text1"/>
          <w:kern w:val="2"/>
          <w:sz w:val="24"/>
          <w:szCs w:val="24"/>
          <w:lang w:val="en-US" w:eastAsia="zh-CN" w:bidi="ar"/>
          <w14:textFill>
            <w14:solidFill>
              <w14:schemeClr w14:val="tx1"/>
            </w14:solidFill>
          </w14:textFill>
        </w:rPr>
        <w:t>件</w:t>
      </w:r>
      <w:r>
        <w:rPr>
          <w:rFonts w:hint="eastAsia" w:cs="宋体"/>
          <w:color w:val="000000" w:themeColor="text1"/>
          <w:kern w:val="2"/>
          <w:sz w:val="24"/>
          <w:szCs w:val="24"/>
          <w:lang w:val="en-US" w:eastAsia="zh-CN" w:bidi="ar"/>
          <w14:textFill>
            <w14:solidFill>
              <w14:schemeClr w14:val="tx1"/>
            </w14:solidFill>
          </w14:textFill>
        </w:rPr>
        <w:t>发送至代理机构邮箱（1823762566@QQ.com）</w:t>
      </w:r>
      <w:r>
        <w:rPr>
          <w:rFonts w:hint="eastAsia" w:ascii="宋体" w:hAnsi="宋体" w:eastAsia="宋体" w:cs="宋体"/>
          <w:color w:val="000000" w:themeColor="text1"/>
          <w:kern w:val="2"/>
          <w:sz w:val="24"/>
          <w:szCs w:val="24"/>
          <w:lang w:val="en-US" w:eastAsia="zh-CN" w:bidi="ar"/>
          <w14:textFill>
            <w14:solidFill>
              <w14:schemeClr w14:val="tx1"/>
            </w14:solidFill>
          </w14:textFill>
        </w:rPr>
        <w:t>，向代理公司电话确认完毕视为报名成功，</w:t>
      </w:r>
      <w:r>
        <w:rPr>
          <w:rFonts w:hint="eastAsia" w:cs="宋体"/>
          <w:color w:val="000000" w:themeColor="text1"/>
          <w:kern w:val="2"/>
          <w:sz w:val="24"/>
          <w:szCs w:val="24"/>
          <w:lang w:val="en-US" w:eastAsia="zh-CN" w:bidi="ar"/>
          <w14:textFill>
            <w14:solidFill>
              <w14:schemeClr w14:val="tx1"/>
            </w14:solidFill>
          </w14:textFill>
        </w:rPr>
        <w:t>谈判</w:t>
      </w:r>
      <w:r>
        <w:rPr>
          <w:rFonts w:hint="eastAsia" w:ascii="宋体" w:hAnsi="宋体" w:eastAsia="宋体" w:cs="宋体"/>
          <w:color w:val="000000" w:themeColor="text1"/>
          <w:kern w:val="2"/>
          <w:sz w:val="24"/>
          <w:szCs w:val="24"/>
          <w:lang w:val="en-US" w:eastAsia="zh-CN" w:bidi="ar"/>
          <w14:textFill>
            <w14:solidFill>
              <w14:schemeClr w14:val="tx1"/>
            </w14:solidFill>
          </w14:textFill>
        </w:rPr>
        <w:t>文件获取截止时间为开标截止时间前。</w:t>
      </w:r>
    </w:p>
    <w:p w14:paraId="1456D08D">
      <w:pPr>
        <w:keepNext w:val="0"/>
        <w:keepLines w:val="0"/>
        <w:pageBreakBefore w:val="0"/>
        <w:widowControl w:val="0"/>
        <w:suppressLineNumbers w:val="0"/>
        <w:kinsoku/>
        <w:wordWrap/>
        <w:overflowPunct/>
        <w:topLinePunct w:val="0"/>
        <w:autoSpaceDE w:val="0"/>
        <w:autoSpaceDN w:val="0"/>
        <w:bidi w:val="0"/>
        <w:adjustRightInd/>
        <w:snapToGrid/>
        <w:spacing w:before="1" w:beforeAutospacing="0" w:after="0" w:afterAutospacing="0" w:line="540" w:lineRule="exact"/>
        <w:ind w:left="0" w:leftChars="0" w:right="0" w:firstLine="480" w:firstLineChars="200"/>
        <w:jc w:val="left"/>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③未向采购代理公司</w:t>
      </w:r>
      <w:r>
        <w:rPr>
          <w:rFonts w:hint="eastAsia" w:cs="宋体"/>
          <w:color w:val="000000" w:themeColor="text1"/>
          <w:kern w:val="2"/>
          <w:sz w:val="24"/>
          <w:szCs w:val="24"/>
          <w:lang w:val="en-US" w:eastAsia="zh-CN" w:bidi="ar"/>
          <w14:textFill>
            <w14:solidFill>
              <w14:schemeClr w14:val="tx1"/>
            </w14:solidFill>
          </w14:textFill>
        </w:rPr>
        <w:t>电话</w:t>
      </w:r>
      <w:r>
        <w:rPr>
          <w:rFonts w:hint="eastAsia" w:ascii="宋体" w:hAnsi="宋体" w:eastAsia="宋体" w:cs="宋体"/>
          <w:color w:val="000000" w:themeColor="text1"/>
          <w:kern w:val="2"/>
          <w:sz w:val="24"/>
          <w:szCs w:val="24"/>
          <w:lang w:val="en-US" w:eastAsia="zh-CN" w:bidi="ar"/>
          <w14:textFill>
            <w14:solidFill>
              <w14:schemeClr w14:val="tx1"/>
            </w14:solidFill>
          </w14:textFill>
        </w:rPr>
        <w:t>确认的，视为报名失败。</w:t>
      </w:r>
    </w:p>
    <w:p w14:paraId="24ADEB12">
      <w:pPr>
        <w:keepNext w:val="0"/>
        <w:keepLines w:val="0"/>
        <w:pageBreakBefore w:val="0"/>
        <w:widowControl w:val="0"/>
        <w:suppressLineNumbers w:val="0"/>
        <w:kinsoku/>
        <w:wordWrap/>
        <w:overflowPunct/>
        <w:topLinePunct w:val="0"/>
        <w:autoSpaceDE w:val="0"/>
        <w:autoSpaceDN w:val="0"/>
        <w:bidi w:val="0"/>
        <w:adjustRightInd/>
        <w:snapToGrid/>
        <w:spacing w:before="161" w:beforeAutospacing="0" w:after="0" w:afterAutospacing="0" w:line="540" w:lineRule="exact"/>
        <w:ind w:left="0" w:leftChars="0" w:right="477" w:firstLine="472" w:firstLineChars="20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2"/>
          <w:kern w:val="2"/>
          <w:sz w:val="24"/>
          <w:szCs w:val="24"/>
          <w:lang w:val="en-US" w:eastAsia="zh-CN" w:bidi="ar"/>
          <w14:textFill>
            <w14:solidFill>
              <w14:schemeClr w14:val="tx1"/>
            </w14:solidFill>
          </w14:textFill>
        </w:rPr>
        <w:t>④本项目采用电子化投标及远程不见面开标方式。</w:t>
      </w:r>
      <w:r>
        <w:rPr>
          <w:rFonts w:hint="eastAsia" w:cs="宋体"/>
          <w:color w:val="000000" w:themeColor="text1"/>
          <w:spacing w:val="-2"/>
          <w:kern w:val="2"/>
          <w:sz w:val="24"/>
          <w:szCs w:val="24"/>
          <w:lang w:val="en-US" w:eastAsia="zh-CN" w:bidi="ar"/>
          <w14:textFill>
            <w14:solidFill>
              <w14:schemeClr w14:val="tx1"/>
            </w14:solidFill>
          </w14:textFill>
        </w:rPr>
        <w:t>供应商</w:t>
      </w:r>
      <w:r>
        <w:rPr>
          <w:rFonts w:hint="eastAsia" w:ascii="宋体" w:hAnsi="宋体" w:eastAsia="宋体" w:cs="宋体"/>
          <w:color w:val="000000" w:themeColor="text1"/>
          <w:spacing w:val="-2"/>
          <w:kern w:val="2"/>
          <w:sz w:val="24"/>
          <w:szCs w:val="24"/>
          <w:lang w:val="en-US" w:eastAsia="zh-CN" w:bidi="ar"/>
          <w14:textFill>
            <w14:solidFill>
              <w14:schemeClr w14:val="tx1"/>
            </w14:solidFill>
          </w14:textFill>
        </w:rPr>
        <w:t>须使用数字认证证书对</w:t>
      </w:r>
      <w:r>
        <w:rPr>
          <w:rFonts w:hint="eastAsia" w:ascii="宋体" w:hAnsi="宋体" w:eastAsia="宋体" w:cs="宋体"/>
          <w:color w:val="000000" w:themeColor="text1"/>
          <w:spacing w:val="-6"/>
          <w:kern w:val="2"/>
          <w:sz w:val="24"/>
          <w:szCs w:val="24"/>
          <w:lang w:val="en-US" w:eastAsia="zh-CN" w:bidi="ar"/>
          <w14:textFill>
            <w14:solidFill>
              <w14:schemeClr w14:val="tx1"/>
            </w14:solidFill>
          </w14:textFill>
        </w:rPr>
        <w:t>电子</w:t>
      </w:r>
      <w:r>
        <w:rPr>
          <w:rFonts w:hint="eastAsia" w:cs="宋体"/>
          <w:color w:val="000000" w:themeColor="text1"/>
          <w:spacing w:val="-6"/>
          <w:kern w:val="2"/>
          <w:sz w:val="24"/>
          <w:szCs w:val="24"/>
          <w:lang w:val="en-US" w:eastAsia="zh-CN" w:bidi="ar"/>
          <w14:textFill>
            <w14:solidFill>
              <w14:schemeClr w14:val="tx1"/>
            </w14:solidFill>
          </w14:textFill>
        </w:rPr>
        <w:t>招标</w:t>
      </w:r>
      <w:r>
        <w:rPr>
          <w:rFonts w:hint="eastAsia" w:ascii="宋体" w:hAnsi="宋体" w:eastAsia="宋体" w:cs="宋体"/>
          <w:color w:val="000000" w:themeColor="text1"/>
          <w:spacing w:val="-6"/>
          <w:kern w:val="2"/>
          <w:sz w:val="24"/>
          <w:szCs w:val="24"/>
          <w:lang w:val="en-US" w:eastAsia="zh-CN" w:bidi="ar"/>
          <w14:textFill>
            <w14:solidFill>
              <w14:schemeClr w14:val="tx1"/>
            </w14:solidFill>
          </w14:textFill>
        </w:rPr>
        <w:t>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color w:val="000000" w:themeColor="text1"/>
          <w:kern w:val="2"/>
          <w:sz w:val="24"/>
          <w:szCs w:val="24"/>
          <w:lang w:val="en-US" w:eastAsia="zh-CN" w:bidi="ar"/>
          <w14:textFill>
            <w14:solidFill>
              <w14:schemeClr w14:val="tx1"/>
            </w14:solidFill>
          </w14:textFill>
        </w:rPr>
        <w:t>造成无法签到或解密</w:t>
      </w:r>
      <w:r>
        <w:rPr>
          <w:rFonts w:hint="eastAsia" w:cs="宋体"/>
          <w:color w:val="000000" w:themeColor="text1"/>
          <w:kern w:val="2"/>
          <w:sz w:val="24"/>
          <w:szCs w:val="24"/>
          <w:lang w:val="en-US" w:eastAsia="zh-CN" w:bidi="ar"/>
          <w14:textFill>
            <w14:solidFill>
              <w14:schemeClr w14:val="tx1"/>
            </w14:solidFill>
          </w14:textFill>
        </w:rPr>
        <w:t>谈判文件</w:t>
      </w:r>
      <w:r>
        <w:rPr>
          <w:rFonts w:hint="eastAsia" w:ascii="宋体" w:hAnsi="宋体" w:eastAsia="宋体" w:cs="宋体"/>
          <w:color w:val="000000" w:themeColor="text1"/>
          <w:kern w:val="2"/>
          <w:sz w:val="24"/>
          <w:szCs w:val="24"/>
          <w:lang w:val="en-US" w:eastAsia="zh-CN" w:bidi="ar"/>
          <w14:textFill>
            <w14:solidFill>
              <w14:schemeClr w14:val="tx1"/>
            </w14:solidFill>
          </w14:textFill>
        </w:rPr>
        <w:t>，按无效投标对待。</w:t>
      </w:r>
    </w:p>
    <w:p w14:paraId="540EC253">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477" w:firstLine="460" w:firstLineChars="200"/>
        <w:jc w:val="both"/>
        <w:textAlignment w:val="auto"/>
        <w:rPr>
          <w:rFonts w:hint="eastAsia" w:ascii="宋体" w:hAnsi="宋体" w:eastAsia="宋体" w:cs="宋体"/>
          <w:b/>
          <w:bCs w:val="0"/>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5"/>
          <w:kern w:val="2"/>
          <w:sz w:val="24"/>
          <w:szCs w:val="24"/>
          <w:lang w:val="en-US" w:eastAsia="zh-CN" w:bidi="ar"/>
          <w14:textFill>
            <w14:solidFill>
              <w14:schemeClr w14:val="tx1"/>
            </w14:solidFill>
          </w14:textFill>
        </w:rPr>
        <w:t>备注：请各</w:t>
      </w:r>
      <w:r>
        <w:rPr>
          <w:rFonts w:hint="eastAsia" w:cs="宋体"/>
          <w:color w:val="000000" w:themeColor="text1"/>
          <w:spacing w:val="-5"/>
          <w:kern w:val="2"/>
          <w:sz w:val="24"/>
          <w:szCs w:val="24"/>
          <w:lang w:val="en-US" w:eastAsia="zh-CN" w:bidi="ar"/>
          <w14:textFill>
            <w14:solidFill>
              <w14:schemeClr w14:val="tx1"/>
            </w14:solidFill>
          </w14:textFill>
        </w:rPr>
        <w:t>供应商领取谈判文件</w:t>
      </w:r>
      <w:r>
        <w:rPr>
          <w:rFonts w:hint="eastAsia" w:ascii="宋体" w:hAnsi="宋体" w:eastAsia="宋体" w:cs="宋体"/>
          <w:color w:val="000000" w:themeColor="text1"/>
          <w:spacing w:val="-5"/>
          <w:kern w:val="2"/>
          <w:sz w:val="24"/>
          <w:szCs w:val="24"/>
          <w:lang w:val="en-US" w:eastAsia="zh-CN" w:bidi="ar"/>
          <w14:textFill>
            <w14:solidFill>
              <w14:schemeClr w14:val="tx1"/>
            </w14:solidFill>
          </w14:textFill>
        </w:rPr>
        <w:t>后，按照陕西省财政厅《关于政府采购供应商注</w:t>
      </w:r>
      <w:r>
        <w:rPr>
          <w:rFonts w:hint="eastAsia" w:ascii="宋体" w:hAnsi="宋体" w:eastAsia="宋体" w:cs="宋体"/>
          <w:color w:val="000000" w:themeColor="text1"/>
          <w:spacing w:val="-6"/>
          <w:kern w:val="2"/>
          <w:sz w:val="24"/>
          <w:szCs w:val="24"/>
          <w:lang w:val="en-US" w:eastAsia="zh-CN" w:bidi="ar"/>
          <w14:textFill>
            <w14:solidFill>
              <w14:schemeClr w14:val="tx1"/>
            </w14:solidFill>
          </w14:textFill>
        </w:rPr>
        <w:t>册登记有关事项的通知》要求，通过陕西省政府采购网注册登记加入陕西省政府采购供</w:t>
      </w:r>
      <w:r>
        <w:rPr>
          <w:rFonts w:hint="eastAsia" w:ascii="宋体" w:hAnsi="宋体" w:eastAsia="宋体" w:cs="宋体"/>
          <w:color w:val="000000" w:themeColor="text1"/>
          <w:kern w:val="2"/>
          <w:sz w:val="24"/>
          <w:szCs w:val="24"/>
          <w:lang w:val="en-US" w:eastAsia="zh-CN" w:bidi="ar"/>
          <w14:textFill>
            <w14:solidFill>
              <w14:schemeClr w14:val="tx1"/>
            </w14:solidFill>
          </w14:textFill>
        </w:rPr>
        <w:t>应商库。</w:t>
      </w:r>
    </w:p>
    <w:p w14:paraId="3FCA4A2C">
      <w:pPr>
        <w:pStyle w:val="36"/>
        <w:keepNext w:val="0"/>
        <w:keepLines w:val="0"/>
        <w:pageBreakBefore w:val="0"/>
        <w:widowControl w:val="0"/>
        <w:numPr>
          <w:ilvl w:val="0"/>
          <w:numId w:val="8"/>
        </w:numPr>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color w:val="000000" w:themeColor="text1"/>
          <w:kern w:val="2"/>
          <w:sz w:val="24"/>
          <w:szCs w:val="24"/>
          <w:lang w:eastAsia="zh-CN"/>
          <w14:textFill>
            <w14:solidFill>
              <w14:schemeClr w14:val="tx1"/>
            </w14:solidFill>
          </w14:textFill>
        </w:rPr>
      </w:pPr>
      <w:r>
        <w:rPr>
          <w:rFonts w:hint="eastAsia" w:ascii="宋体" w:hAnsi="宋体" w:cs="宋体"/>
          <w:b/>
          <w:bCs/>
          <w:color w:val="000000" w:themeColor="text1"/>
          <w:kern w:val="2"/>
          <w:sz w:val="24"/>
          <w:szCs w:val="24"/>
          <w:lang w:eastAsia="zh-CN"/>
          <w14:textFill>
            <w14:solidFill>
              <w14:schemeClr w14:val="tx1"/>
            </w14:solidFill>
          </w14:textFill>
        </w:rPr>
        <w:t>凡对本次采购提出询问，请按以下方式联系。</w:t>
      </w:r>
      <w:bookmarkStart w:id="9" w:name="1.采购人信息"/>
      <w:bookmarkEnd w:id="9"/>
    </w:p>
    <w:p w14:paraId="6C5F9886">
      <w:pPr>
        <w:pStyle w:val="16"/>
        <w:keepNext w:val="0"/>
        <w:keepLines w:val="0"/>
        <w:widowControl/>
        <w:suppressLineNumbers w:val="0"/>
        <w:shd w:val="clear"/>
        <w:spacing w:before="0" w:beforeAutospacing="0" w:after="0" w:afterAutospacing="0" w:line="500" w:lineRule="exact"/>
        <w:ind w:left="0" w:right="0" w:firstLine="420"/>
        <w:jc w:val="left"/>
        <w:rPr>
          <w:rFonts w:hint="eastAsia" w:asciiTheme="minorEastAsia" w:hAnsiTheme="minorEastAsia" w:eastAsiaTheme="minorEastAsia" w:cstheme="minorEastAsia"/>
          <w:color w:val="auto"/>
          <w:spacing w:val="-6"/>
          <w:kern w:val="0"/>
          <w:sz w:val="24"/>
          <w:szCs w:val="24"/>
        </w:rPr>
      </w:pPr>
      <w:r>
        <w:rPr>
          <w:rFonts w:hint="eastAsia" w:asciiTheme="minorEastAsia" w:hAnsiTheme="minorEastAsia" w:eastAsiaTheme="minorEastAsia" w:cstheme="minorEastAsia"/>
          <w:color w:val="auto"/>
          <w:spacing w:val="-6"/>
          <w:kern w:val="0"/>
          <w:sz w:val="24"/>
          <w:szCs w:val="24"/>
          <w:lang w:val="en-US" w:eastAsia="zh-CN" w:bidi="ar"/>
        </w:rPr>
        <w:t xml:space="preserve">1、 采购人信息：石泉县市政园林所（石泉县城镇污水垃圾处理监测中心） </w:t>
      </w:r>
    </w:p>
    <w:p w14:paraId="67992010">
      <w:pPr>
        <w:pStyle w:val="16"/>
        <w:keepNext w:val="0"/>
        <w:keepLines w:val="0"/>
        <w:widowControl/>
        <w:suppressLineNumbers w:val="0"/>
        <w:shd w:val="clear"/>
        <w:spacing w:before="0" w:beforeAutospacing="0" w:after="0" w:afterAutospacing="0" w:line="500" w:lineRule="exact"/>
        <w:ind w:left="0" w:right="0" w:firstLine="889" w:firstLineChars="390"/>
        <w:jc w:val="left"/>
        <w:rPr>
          <w:rFonts w:hint="eastAsia" w:asciiTheme="minorEastAsia" w:hAnsiTheme="minorEastAsia" w:eastAsiaTheme="minorEastAsia" w:cstheme="minorEastAsia"/>
          <w:color w:val="auto"/>
          <w:spacing w:val="-6"/>
          <w:kern w:val="0"/>
          <w:sz w:val="24"/>
          <w:szCs w:val="24"/>
          <w:lang w:val="en-US" w:eastAsia="zh-CN" w:bidi="ar"/>
        </w:rPr>
      </w:pPr>
      <w:r>
        <w:rPr>
          <w:rFonts w:hint="eastAsia" w:asciiTheme="minorEastAsia" w:hAnsiTheme="minorEastAsia" w:eastAsiaTheme="minorEastAsia" w:cstheme="minorEastAsia"/>
          <w:color w:val="auto"/>
          <w:spacing w:val="-6"/>
          <w:kern w:val="0"/>
          <w:sz w:val="24"/>
          <w:szCs w:val="24"/>
          <w:lang w:val="en-US" w:eastAsia="zh-CN" w:bidi="ar"/>
        </w:rPr>
        <w:t>联系人：袁浩</w:t>
      </w:r>
    </w:p>
    <w:p w14:paraId="2827F34C">
      <w:pPr>
        <w:pStyle w:val="16"/>
        <w:keepNext w:val="0"/>
        <w:keepLines w:val="0"/>
        <w:widowControl/>
        <w:suppressLineNumbers w:val="0"/>
        <w:shd w:val="clear"/>
        <w:spacing w:before="0" w:beforeAutospacing="0" w:after="0" w:afterAutospacing="0" w:line="500" w:lineRule="exact"/>
        <w:ind w:left="0" w:right="0" w:firstLine="889" w:firstLineChars="390"/>
        <w:jc w:val="left"/>
        <w:rPr>
          <w:rFonts w:hint="eastAsia" w:asciiTheme="minorEastAsia" w:hAnsiTheme="minorEastAsia" w:eastAsiaTheme="minorEastAsia" w:cstheme="minorEastAsia"/>
          <w:color w:val="auto"/>
          <w:spacing w:val="-6"/>
          <w:kern w:val="0"/>
          <w:sz w:val="24"/>
          <w:szCs w:val="24"/>
          <w:lang w:val="en-US" w:eastAsia="zh-CN" w:bidi="ar"/>
        </w:rPr>
      </w:pPr>
      <w:r>
        <w:rPr>
          <w:rFonts w:hint="eastAsia" w:asciiTheme="minorEastAsia" w:hAnsiTheme="minorEastAsia" w:eastAsiaTheme="minorEastAsia" w:cstheme="minorEastAsia"/>
          <w:color w:val="auto"/>
          <w:spacing w:val="-6"/>
          <w:kern w:val="0"/>
          <w:sz w:val="24"/>
          <w:szCs w:val="24"/>
          <w:lang w:val="en-US" w:eastAsia="zh-CN" w:bidi="ar"/>
        </w:rPr>
        <w:t>联系地址：石泉县杨柳大道中段司法局</w:t>
      </w:r>
    </w:p>
    <w:p w14:paraId="33E879AF">
      <w:pPr>
        <w:pStyle w:val="16"/>
        <w:keepNext w:val="0"/>
        <w:keepLines w:val="0"/>
        <w:widowControl/>
        <w:suppressLineNumbers w:val="0"/>
        <w:shd w:val="clear"/>
        <w:spacing w:before="0" w:beforeAutospacing="0" w:after="0" w:afterAutospacing="0" w:line="500" w:lineRule="exact"/>
        <w:ind w:left="0" w:right="0" w:firstLine="889" w:firstLineChars="390"/>
        <w:jc w:val="left"/>
        <w:rPr>
          <w:rFonts w:hint="eastAsia" w:asciiTheme="minorEastAsia" w:hAnsiTheme="minorEastAsia" w:eastAsiaTheme="minorEastAsia" w:cstheme="minorEastAsia"/>
          <w:color w:val="auto"/>
          <w:spacing w:val="-6"/>
          <w:kern w:val="0"/>
          <w:sz w:val="24"/>
          <w:szCs w:val="24"/>
          <w:lang w:val="en-US" w:eastAsia="zh-CN" w:bidi="ar"/>
        </w:rPr>
      </w:pPr>
      <w:r>
        <w:rPr>
          <w:rFonts w:hint="eastAsia" w:asciiTheme="minorEastAsia" w:hAnsiTheme="minorEastAsia" w:eastAsiaTheme="minorEastAsia" w:cstheme="minorEastAsia"/>
          <w:color w:val="auto"/>
          <w:spacing w:val="-6"/>
          <w:kern w:val="0"/>
          <w:sz w:val="24"/>
          <w:szCs w:val="24"/>
          <w:lang w:val="en-US" w:eastAsia="zh-CN" w:bidi="ar"/>
        </w:rPr>
        <w:t>联系电话：15319867311</w:t>
      </w:r>
    </w:p>
    <w:p w14:paraId="1B5C5A33">
      <w:pPr>
        <w:pStyle w:val="16"/>
        <w:keepNext w:val="0"/>
        <w:keepLines w:val="0"/>
        <w:widowControl/>
        <w:numPr>
          <w:ilvl w:val="0"/>
          <w:numId w:val="0"/>
        </w:numPr>
        <w:suppressLineNumbers w:val="0"/>
        <w:spacing w:before="0" w:beforeAutospacing="0" w:after="0" w:afterAutospacing="0" w:line="500" w:lineRule="exact"/>
        <w:ind w:left="0" w:leftChars="0" w:right="0" w:rightChars="0" w:firstLine="420" w:firstLineChars="0"/>
        <w:jc w:val="left"/>
        <w:rPr>
          <w:rFonts w:hint="eastAsia" w:asciiTheme="minorEastAsia" w:hAnsiTheme="minorEastAsia" w:eastAsiaTheme="minorEastAsia" w:cstheme="minorEastAsia"/>
          <w:color w:val="auto"/>
          <w:spacing w:val="-6"/>
          <w:kern w:val="0"/>
          <w:sz w:val="24"/>
          <w:szCs w:val="24"/>
        </w:rPr>
      </w:pPr>
      <w:r>
        <w:rPr>
          <w:rFonts w:hint="eastAsia" w:asciiTheme="minorEastAsia" w:hAnsiTheme="minorEastAsia" w:eastAsiaTheme="minorEastAsia" w:cstheme="minorEastAsia"/>
          <w:color w:val="auto"/>
          <w:spacing w:val="-6"/>
          <w:kern w:val="0"/>
          <w:sz w:val="24"/>
          <w:szCs w:val="24"/>
          <w:lang w:val="en-US" w:eastAsia="zh-CN" w:bidi="ar"/>
        </w:rPr>
        <w:t>2、采购代理机构信息</w:t>
      </w:r>
    </w:p>
    <w:p w14:paraId="296756BF">
      <w:pPr>
        <w:pStyle w:val="16"/>
        <w:keepNext w:val="0"/>
        <w:keepLines w:val="0"/>
        <w:widowControl/>
        <w:suppressLineNumbers w:val="0"/>
        <w:spacing w:before="0" w:beforeAutospacing="0" w:after="0" w:afterAutospacing="0" w:line="500" w:lineRule="exact"/>
        <w:ind w:left="0" w:right="0" w:firstLine="889" w:firstLineChars="390"/>
        <w:jc w:val="left"/>
        <w:rPr>
          <w:rFonts w:hint="eastAsia" w:asciiTheme="minorEastAsia" w:hAnsiTheme="minorEastAsia" w:eastAsiaTheme="minorEastAsia" w:cstheme="minorEastAsia"/>
          <w:color w:val="auto"/>
          <w:spacing w:val="-6"/>
          <w:kern w:val="0"/>
          <w:sz w:val="24"/>
          <w:szCs w:val="24"/>
        </w:rPr>
      </w:pPr>
      <w:r>
        <w:rPr>
          <w:rFonts w:hint="eastAsia" w:asciiTheme="minorEastAsia" w:hAnsiTheme="minorEastAsia" w:eastAsiaTheme="minorEastAsia" w:cstheme="minorEastAsia"/>
          <w:color w:val="auto"/>
          <w:spacing w:val="-6"/>
          <w:kern w:val="0"/>
          <w:sz w:val="24"/>
          <w:szCs w:val="24"/>
          <w:lang w:val="en-US" w:eastAsia="zh-CN" w:bidi="ar"/>
        </w:rPr>
        <w:t>名称：亿诚建设项目管理有限公司</w:t>
      </w:r>
    </w:p>
    <w:p w14:paraId="0291F639">
      <w:pPr>
        <w:pStyle w:val="16"/>
        <w:keepNext w:val="0"/>
        <w:keepLines w:val="0"/>
        <w:widowControl/>
        <w:suppressLineNumbers w:val="0"/>
        <w:spacing w:before="0" w:beforeAutospacing="0" w:after="0" w:afterAutospacing="0" w:line="500" w:lineRule="exact"/>
        <w:ind w:left="0" w:right="0" w:firstLine="889" w:firstLineChars="390"/>
        <w:jc w:val="left"/>
        <w:rPr>
          <w:rFonts w:hint="eastAsia" w:asciiTheme="minorEastAsia" w:hAnsiTheme="minorEastAsia" w:eastAsiaTheme="minorEastAsia" w:cstheme="minorEastAsia"/>
          <w:color w:val="auto"/>
          <w:spacing w:val="-6"/>
          <w:kern w:val="0"/>
          <w:sz w:val="24"/>
          <w:szCs w:val="24"/>
        </w:rPr>
      </w:pPr>
      <w:r>
        <w:rPr>
          <w:rFonts w:hint="eastAsia" w:asciiTheme="minorEastAsia" w:hAnsiTheme="minorEastAsia" w:eastAsiaTheme="minorEastAsia" w:cstheme="minorEastAsia"/>
          <w:color w:val="auto"/>
          <w:spacing w:val="-6"/>
          <w:kern w:val="0"/>
          <w:sz w:val="24"/>
          <w:szCs w:val="24"/>
          <w:lang w:val="en-US" w:eastAsia="zh-CN" w:bidi="ar"/>
        </w:rPr>
        <w:t>联系地址：西安市高新区丈八五路高科one尚城A座10F</w:t>
      </w:r>
    </w:p>
    <w:p w14:paraId="2A42E9A4">
      <w:pPr>
        <w:pStyle w:val="16"/>
        <w:keepNext w:val="0"/>
        <w:keepLines w:val="0"/>
        <w:widowControl/>
        <w:suppressLineNumbers w:val="0"/>
        <w:spacing w:before="0" w:beforeAutospacing="0" w:after="0" w:afterAutospacing="0" w:line="500" w:lineRule="exact"/>
        <w:ind w:left="0" w:right="0" w:firstLine="889" w:firstLineChars="390"/>
        <w:jc w:val="left"/>
        <w:rPr>
          <w:rFonts w:hint="eastAsia" w:asciiTheme="minorEastAsia" w:hAnsiTheme="minorEastAsia" w:eastAsiaTheme="minorEastAsia" w:cstheme="minorEastAsia"/>
          <w:color w:val="auto"/>
          <w:spacing w:val="-6"/>
          <w:kern w:val="0"/>
          <w:sz w:val="24"/>
          <w:szCs w:val="24"/>
          <w:lang w:val="en-US"/>
        </w:rPr>
      </w:pPr>
      <w:r>
        <w:rPr>
          <w:rFonts w:hint="eastAsia" w:asciiTheme="minorEastAsia" w:hAnsiTheme="minorEastAsia" w:eastAsiaTheme="minorEastAsia" w:cstheme="minorEastAsia"/>
          <w:color w:val="auto"/>
          <w:spacing w:val="-6"/>
          <w:kern w:val="0"/>
          <w:sz w:val="24"/>
          <w:szCs w:val="24"/>
          <w:lang w:val="en-US" w:eastAsia="zh-CN" w:bidi="ar"/>
        </w:rPr>
        <w:t>联系方式：17391332881</w:t>
      </w:r>
    </w:p>
    <w:p w14:paraId="30C73CCD">
      <w:pPr>
        <w:pStyle w:val="16"/>
        <w:keepNext w:val="0"/>
        <w:keepLines w:val="0"/>
        <w:widowControl/>
        <w:suppressLineNumbers w:val="0"/>
        <w:spacing w:before="0" w:beforeAutospacing="0" w:after="0" w:afterAutospacing="0" w:line="500" w:lineRule="exact"/>
        <w:ind w:left="0" w:right="0" w:firstLine="420"/>
        <w:jc w:val="left"/>
        <w:rPr>
          <w:rFonts w:hint="eastAsia" w:asciiTheme="minorEastAsia" w:hAnsiTheme="minorEastAsia" w:eastAsiaTheme="minorEastAsia" w:cstheme="minorEastAsia"/>
          <w:color w:val="auto"/>
          <w:spacing w:val="-6"/>
          <w:kern w:val="0"/>
          <w:sz w:val="24"/>
          <w:szCs w:val="24"/>
        </w:rPr>
      </w:pPr>
      <w:r>
        <w:rPr>
          <w:rFonts w:hint="eastAsia" w:asciiTheme="minorEastAsia" w:hAnsiTheme="minorEastAsia" w:eastAsiaTheme="minorEastAsia" w:cstheme="minorEastAsia"/>
          <w:color w:val="auto"/>
          <w:spacing w:val="-6"/>
          <w:kern w:val="0"/>
          <w:sz w:val="24"/>
          <w:szCs w:val="24"/>
          <w:lang w:val="en-US" w:eastAsia="zh-CN" w:bidi="ar"/>
        </w:rPr>
        <w:t>3、项目联系方式</w:t>
      </w:r>
    </w:p>
    <w:p w14:paraId="5E378855">
      <w:pPr>
        <w:pStyle w:val="16"/>
        <w:keepNext w:val="0"/>
        <w:keepLines w:val="0"/>
        <w:widowControl/>
        <w:suppressLineNumbers w:val="0"/>
        <w:spacing w:before="0" w:beforeAutospacing="0" w:after="0" w:afterAutospacing="0" w:line="500" w:lineRule="exact"/>
        <w:ind w:left="0" w:right="0" w:firstLine="889" w:firstLineChars="390"/>
        <w:jc w:val="left"/>
        <w:rPr>
          <w:rFonts w:hint="eastAsia" w:asciiTheme="minorEastAsia" w:hAnsiTheme="minorEastAsia" w:eastAsiaTheme="minorEastAsia" w:cstheme="minorEastAsia"/>
          <w:color w:val="auto"/>
          <w:spacing w:val="-6"/>
          <w:kern w:val="0"/>
          <w:sz w:val="24"/>
          <w:szCs w:val="24"/>
          <w:lang w:val="en-US" w:eastAsia="zh-CN" w:bidi="ar"/>
        </w:rPr>
      </w:pPr>
      <w:r>
        <w:rPr>
          <w:rFonts w:hint="eastAsia" w:asciiTheme="minorEastAsia" w:hAnsiTheme="minorEastAsia" w:eastAsiaTheme="minorEastAsia" w:cstheme="minorEastAsia"/>
          <w:color w:val="auto"/>
          <w:spacing w:val="-6"/>
          <w:kern w:val="0"/>
          <w:sz w:val="24"/>
          <w:szCs w:val="24"/>
          <w:lang w:val="en-US" w:eastAsia="zh-CN" w:bidi="ar"/>
        </w:rPr>
        <w:t>项目联系人：肖航、屈小军、李楠</w:t>
      </w:r>
    </w:p>
    <w:p w14:paraId="6A96FA6A">
      <w:pPr>
        <w:pStyle w:val="16"/>
        <w:keepNext w:val="0"/>
        <w:keepLines w:val="0"/>
        <w:widowControl/>
        <w:suppressLineNumbers w:val="0"/>
        <w:spacing w:before="0" w:beforeAutospacing="0" w:after="0" w:afterAutospacing="0" w:line="500" w:lineRule="exact"/>
        <w:ind w:left="0" w:right="0" w:firstLine="889" w:firstLineChars="390"/>
        <w:jc w:val="left"/>
        <w:rPr>
          <w:rFonts w:hint="eastAsia" w:asciiTheme="minorEastAsia" w:hAnsiTheme="minorEastAsia" w:eastAsiaTheme="minorEastAsia" w:cstheme="minorEastAsia"/>
          <w:color w:val="auto"/>
          <w:spacing w:val="-6"/>
          <w:kern w:val="0"/>
          <w:sz w:val="24"/>
          <w:szCs w:val="24"/>
          <w:lang w:val="en-US"/>
        </w:rPr>
      </w:pPr>
      <w:r>
        <w:rPr>
          <w:rFonts w:hint="eastAsia" w:asciiTheme="minorEastAsia" w:hAnsiTheme="minorEastAsia" w:eastAsiaTheme="minorEastAsia" w:cstheme="minorEastAsia"/>
          <w:color w:val="auto"/>
          <w:spacing w:val="-6"/>
          <w:kern w:val="0"/>
          <w:sz w:val="24"/>
          <w:szCs w:val="24"/>
          <w:lang w:val="en-US" w:eastAsia="zh-CN" w:bidi="ar"/>
        </w:rPr>
        <w:t>电 话：17391332881</w:t>
      </w:r>
    </w:p>
    <w:p w14:paraId="43207E74">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5520" w:firstLineChars="2300"/>
        <w:jc w:val="left"/>
        <w:textAlignment w:val="auto"/>
        <w:rPr>
          <w:rFonts w:hint="eastAsia" w:ascii="宋体" w:hAnsi="宋体" w:cs="宋体"/>
          <w:kern w:val="2"/>
          <w:sz w:val="24"/>
          <w:szCs w:val="24"/>
          <w:lang w:eastAsia="zh-CN"/>
        </w:rPr>
      </w:pP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亿诚建设项目管理有限公司</w:t>
      </w:r>
    </w:p>
    <w:p w14:paraId="354CA705">
      <w:pPr>
        <w:pStyle w:val="3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pPr>
      <w:r>
        <w:rPr>
          <w:rFonts w:hint="eastAsia" w:ascii="宋体" w:hAnsi="宋体" w:cs="宋体"/>
          <w:kern w:val="2"/>
          <w:sz w:val="24"/>
          <w:szCs w:val="24"/>
          <w:lang w:eastAsia="zh-CN"/>
        </w:rPr>
        <w:t xml:space="preserve"> </w:t>
      </w:r>
      <w:r>
        <w:rPr>
          <w:rFonts w:hint="eastAsia" w:ascii="宋体" w:hAnsi="宋体" w:cs="宋体"/>
          <w:kern w:val="2"/>
          <w:sz w:val="24"/>
          <w:szCs w:val="24"/>
          <w:lang w:val="en-US" w:eastAsia="zh-CN"/>
        </w:rPr>
        <w:t xml:space="preserve">                                                 2025</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12</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22</w:t>
      </w:r>
      <w:r>
        <w:rPr>
          <w:rFonts w:hint="eastAsia" w:ascii="宋体" w:hAnsi="宋体" w:cs="宋体"/>
          <w:kern w:val="2"/>
          <w:sz w:val="24"/>
          <w:szCs w:val="24"/>
          <w:lang w:eastAsia="zh-CN"/>
        </w:rPr>
        <w:t>日</w:t>
      </w:r>
    </w:p>
    <w:p w14:paraId="02303771">
      <w:pPr>
        <w:keepNext w:val="0"/>
        <w:keepLines w:val="0"/>
        <w:pageBreakBefore w:val="0"/>
        <w:kinsoku/>
        <w:wordWrap/>
        <w:overflowPunct/>
        <w:topLinePunct w:val="0"/>
        <w:autoSpaceDE w:val="0"/>
        <w:autoSpaceDN w:val="0"/>
        <w:bidi w:val="0"/>
        <w:adjustRightInd/>
        <w:snapToGrid/>
        <w:spacing w:after="0" w:line="540" w:lineRule="exact"/>
        <w:jc w:val="right"/>
        <w:textAlignment w:val="auto"/>
        <w:sectPr>
          <w:footerReference r:id="rId11" w:type="default"/>
          <w:pgSz w:w="11910" w:h="16840"/>
          <w:pgMar w:top="1440" w:right="1080" w:bottom="1440" w:left="1080" w:header="0" w:footer="680" w:gutter="0"/>
          <w:pgNumType w:fmt="decimal"/>
          <w:cols w:space="720" w:num="1"/>
        </w:sectPr>
      </w:pPr>
    </w:p>
    <w:p w14:paraId="679617E1">
      <w:pPr>
        <w:pStyle w:val="9"/>
        <w:numPr>
          <w:ilvl w:val="0"/>
          <w:numId w:val="0"/>
        </w:numPr>
        <w:ind w:right="0" w:rightChars="0"/>
        <w:jc w:val="center"/>
        <w:rPr>
          <w:rFonts w:hint="eastAsia" w:ascii="宋体" w:hAnsi="宋体" w:eastAsia="宋体" w:cs="宋体"/>
          <w:b/>
          <w:sz w:val="32"/>
          <w:szCs w:val="22"/>
          <w:lang w:val="en-US" w:eastAsia="zh-CN" w:bidi="zh-CN"/>
        </w:rPr>
      </w:pPr>
      <w:r>
        <w:rPr>
          <w:rFonts w:hint="eastAsia" w:cs="宋体"/>
          <w:b/>
          <w:sz w:val="32"/>
          <w:szCs w:val="22"/>
          <w:lang w:val="en-US" w:eastAsia="zh-CN" w:bidi="zh-CN"/>
        </w:rPr>
        <w:t>第二章 供应商</w:t>
      </w:r>
      <w:r>
        <w:rPr>
          <w:rFonts w:hint="eastAsia" w:ascii="宋体" w:hAnsi="宋体" w:eastAsia="宋体" w:cs="宋体"/>
          <w:b/>
          <w:sz w:val="32"/>
          <w:szCs w:val="22"/>
          <w:lang w:val="en-US" w:eastAsia="zh-CN" w:bidi="zh-CN"/>
        </w:rPr>
        <w:t>须知</w:t>
      </w:r>
    </w:p>
    <w:p w14:paraId="46212C94">
      <w:pPr>
        <w:pStyle w:val="9"/>
        <w:numPr>
          <w:ilvl w:val="0"/>
          <w:numId w:val="0"/>
        </w:numPr>
        <w:ind w:right="0" w:rightChars="0"/>
        <w:jc w:val="center"/>
        <w:rPr>
          <w:rFonts w:hint="eastAsia" w:ascii="宋体" w:hAnsi="宋体" w:eastAsia="宋体" w:cs="宋体"/>
          <w:b/>
          <w:sz w:val="32"/>
          <w:szCs w:val="22"/>
          <w:lang w:val="en-US" w:eastAsia="zh-CN" w:bidi="zh-CN"/>
        </w:rPr>
      </w:pPr>
      <w:r>
        <w:rPr>
          <w:rFonts w:hint="eastAsia" w:cs="宋体"/>
          <w:b/>
          <w:sz w:val="32"/>
          <w:szCs w:val="22"/>
          <w:lang w:val="en-US" w:eastAsia="zh-CN" w:bidi="zh-CN"/>
        </w:rPr>
        <w:t>供应商须知前附表</w:t>
      </w:r>
    </w:p>
    <w:p w14:paraId="7DF02B19">
      <w:pPr>
        <w:pStyle w:val="9"/>
        <w:numPr>
          <w:ilvl w:val="0"/>
          <w:numId w:val="0"/>
        </w:numPr>
        <w:ind w:left="2676" w:leftChars="0" w:right="0" w:rightChars="0"/>
        <w:jc w:val="both"/>
        <w:rPr>
          <w:rFonts w:hint="eastAsia" w:ascii="宋体" w:hAnsi="宋体" w:eastAsia="宋体" w:cs="宋体"/>
          <w:b/>
          <w:sz w:val="32"/>
          <w:szCs w:val="22"/>
          <w:lang w:val="en-US" w:eastAsia="zh-CN" w:bidi="zh-CN"/>
        </w:rPr>
      </w:pPr>
    </w:p>
    <w:tbl>
      <w:tblPr>
        <w:tblStyle w:val="18"/>
        <w:tblW w:w="9811"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250"/>
        <w:gridCol w:w="6682"/>
      </w:tblGrid>
      <w:tr w14:paraId="28C1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879" w:type="dxa"/>
            <w:tcBorders>
              <w:top w:val="single" w:color="auto" w:sz="4" w:space="0"/>
              <w:left w:val="single" w:color="auto" w:sz="4" w:space="0"/>
              <w:bottom w:val="single" w:color="auto" w:sz="4" w:space="0"/>
              <w:right w:val="single" w:color="auto" w:sz="4" w:space="0"/>
            </w:tcBorders>
            <w:vAlign w:val="center"/>
          </w:tcPr>
          <w:p w14:paraId="2B6B5474">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项号</w:t>
            </w:r>
          </w:p>
        </w:tc>
        <w:tc>
          <w:tcPr>
            <w:tcW w:w="2250" w:type="dxa"/>
            <w:tcBorders>
              <w:top w:val="single" w:color="auto" w:sz="4" w:space="0"/>
              <w:left w:val="single" w:color="auto" w:sz="4" w:space="0"/>
              <w:bottom w:val="single" w:color="auto" w:sz="4" w:space="0"/>
              <w:right w:val="single" w:color="auto" w:sz="4" w:space="0"/>
            </w:tcBorders>
            <w:vAlign w:val="center"/>
          </w:tcPr>
          <w:p w14:paraId="32CB66B0">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内     容</w:t>
            </w:r>
          </w:p>
        </w:tc>
        <w:tc>
          <w:tcPr>
            <w:tcW w:w="6682" w:type="dxa"/>
            <w:tcBorders>
              <w:top w:val="single" w:color="auto" w:sz="4" w:space="0"/>
              <w:left w:val="single" w:color="auto" w:sz="4" w:space="0"/>
              <w:bottom w:val="single" w:color="auto" w:sz="4" w:space="0"/>
              <w:right w:val="single" w:color="auto" w:sz="4" w:space="0"/>
            </w:tcBorders>
            <w:vAlign w:val="center"/>
          </w:tcPr>
          <w:p w14:paraId="37D27BED">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说  明 与  要  求</w:t>
            </w:r>
          </w:p>
        </w:tc>
      </w:tr>
      <w:tr w14:paraId="07AD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79" w:type="dxa"/>
            <w:tcBorders>
              <w:top w:val="single" w:color="auto" w:sz="4" w:space="0"/>
              <w:left w:val="single" w:color="auto" w:sz="4" w:space="0"/>
              <w:bottom w:val="single" w:color="auto" w:sz="4" w:space="0"/>
              <w:right w:val="single" w:color="auto" w:sz="4" w:space="0"/>
            </w:tcBorders>
            <w:vAlign w:val="center"/>
          </w:tcPr>
          <w:p w14:paraId="31739132">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2250" w:type="dxa"/>
            <w:tcBorders>
              <w:top w:val="single" w:color="auto" w:sz="4" w:space="0"/>
              <w:left w:val="single" w:color="auto" w:sz="4" w:space="0"/>
              <w:bottom w:val="single" w:color="auto" w:sz="4" w:space="0"/>
              <w:right w:val="single" w:color="auto" w:sz="4" w:space="0"/>
            </w:tcBorders>
            <w:vAlign w:val="center"/>
          </w:tcPr>
          <w:p w14:paraId="203AA3CF">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6682" w:type="dxa"/>
            <w:tcBorders>
              <w:top w:val="single" w:color="auto" w:sz="4" w:space="0"/>
              <w:left w:val="single" w:color="auto" w:sz="4" w:space="0"/>
              <w:bottom w:val="single" w:color="auto" w:sz="4" w:space="0"/>
              <w:right w:val="single" w:color="auto" w:sz="4" w:space="0"/>
            </w:tcBorders>
            <w:vAlign w:val="center"/>
          </w:tcPr>
          <w:p w14:paraId="2BB5E588">
            <w:pPr>
              <w:keepNext w:val="0"/>
              <w:keepLines w:val="0"/>
              <w:widowControl w:val="0"/>
              <w:suppressLineNumbers w:val="0"/>
              <w:autoSpaceDE w:val="0"/>
              <w:autoSpaceDN/>
              <w:spacing w:before="52" w:beforeAutospacing="0" w:after="0" w:afterAutospacing="0" w:line="500" w:lineRule="exact"/>
              <w:ind w:right="110" w:right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石泉县污水处理厂2025年生产药剂采购项目</w:t>
            </w:r>
          </w:p>
        </w:tc>
      </w:tr>
      <w:tr w14:paraId="063E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trPr>
        <w:tc>
          <w:tcPr>
            <w:tcW w:w="879" w:type="dxa"/>
            <w:tcBorders>
              <w:top w:val="single" w:color="auto" w:sz="4" w:space="0"/>
              <w:left w:val="single" w:color="auto" w:sz="4" w:space="0"/>
              <w:bottom w:val="single" w:color="auto" w:sz="4" w:space="0"/>
              <w:right w:val="single" w:color="auto" w:sz="4" w:space="0"/>
            </w:tcBorders>
            <w:vAlign w:val="center"/>
          </w:tcPr>
          <w:p w14:paraId="1C7E4DDC">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2250" w:type="dxa"/>
            <w:tcBorders>
              <w:top w:val="single" w:color="auto" w:sz="4" w:space="0"/>
              <w:left w:val="single" w:color="auto" w:sz="4" w:space="0"/>
              <w:bottom w:val="single" w:color="auto" w:sz="4" w:space="0"/>
              <w:right w:val="single" w:color="auto" w:sz="4" w:space="0"/>
            </w:tcBorders>
            <w:vAlign w:val="center"/>
          </w:tcPr>
          <w:p w14:paraId="23B4FC50">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项目编号</w:t>
            </w:r>
          </w:p>
        </w:tc>
        <w:tc>
          <w:tcPr>
            <w:tcW w:w="6682" w:type="dxa"/>
            <w:tcBorders>
              <w:top w:val="single" w:color="auto" w:sz="4" w:space="0"/>
              <w:left w:val="single" w:color="auto" w:sz="4" w:space="0"/>
              <w:bottom w:val="single" w:color="auto" w:sz="4" w:space="0"/>
              <w:right w:val="single" w:color="auto" w:sz="4" w:space="0"/>
            </w:tcBorders>
            <w:vAlign w:val="center"/>
          </w:tcPr>
          <w:p w14:paraId="7CA50161">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YC254400</w:t>
            </w:r>
            <w:r>
              <w:rPr>
                <w:rFonts w:hint="eastAsia" w:asciiTheme="minorEastAsia" w:hAnsiTheme="minorEastAsia" w:eastAsiaTheme="minorEastAsia" w:cstheme="minorEastAsia"/>
                <w:color w:val="auto"/>
                <w:sz w:val="21"/>
                <w:szCs w:val="21"/>
                <w:lang w:val="en-US" w:eastAsia="zh-CN"/>
              </w:rPr>
              <w:t>31</w:t>
            </w:r>
            <w:r>
              <w:rPr>
                <w:rFonts w:hint="eastAsia" w:asciiTheme="minorEastAsia" w:hAnsiTheme="minorEastAsia" w:eastAsiaTheme="minorEastAsia" w:cstheme="minorEastAsia"/>
                <w:color w:val="auto"/>
                <w:sz w:val="21"/>
                <w:szCs w:val="21"/>
                <w:lang w:eastAsia="zh-CN"/>
              </w:rPr>
              <w:t>(CGP)</w:t>
            </w:r>
          </w:p>
        </w:tc>
      </w:tr>
      <w:tr w14:paraId="4AB3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79" w:type="dxa"/>
            <w:tcBorders>
              <w:top w:val="single" w:color="auto" w:sz="4" w:space="0"/>
              <w:left w:val="single" w:color="auto" w:sz="4" w:space="0"/>
              <w:bottom w:val="single" w:color="auto" w:sz="4" w:space="0"/>
              <w:right w:val="single" w:color="auto" w:sz="4" w:space="0"/>
            </w:tcBorders>
            <w:vAlign w:val="center"/>
          </w:tcPr>
          <w:p w14:paraId="3574C721">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D1A3626">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服务</w:t>
            </w:r>
            <w:r>
              <w:rPr>
                <w:rFonts w:hint="eastAsia" w:asciiTheme="minorEastAsia" w:hAnsiTheme="minorEastAsia" w:eastAsiaTheme="minorEastAsia" w:cstheme="minorEastAsia"/>
                <w:color w:val="auto"/>
                <w:sz w:val="21"/>
                <w:szCs w:val="21"/>
              </w:rPr>
              <w:t>地点</w:t>
            </w:r>
          </w:p>
        </w:tc>
        <w:tc>
          <w:tcPr>
            <w:tcW w:w="6682" w:type="dxa"/>
            <w:tcBorders>
              <w:top w:val="single" w:color="auto" w:sz="4" w:space="0"/>
              <w:left w:val="single" w:color="auto" w:sz="4" w:space="0"/>
              <w:bottom w:val="single" w:color="auto" w:sz="4" w:space="0"/>
              <w:right w:val="single" w:color="auto" w:sz="4" w:space="0"/>
            </w:tcBorders>
            <w:vAlign w:val="center"/>
          </w:tcPr>
          <w:p w14:paraId="3270B17B">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石泉县市政园林所（石泉县城镇污水垃圾处理监测中心）指定地点</w:t>
            </w:r>
          </w:p>
        </w:tc>
      </w:tr>
      <w:tr w14:paraId="26F6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879" w:type="dxa"/>
            <w:tcBorders>
              <w:top w:val="single" w:color="auto" w:sz="4" w:space="0"/>
              <w:left w:val="single" w:color="auto" w:sz="4" w:space="0"/>
              <w:bottom w:val="single" w:color="auto" w:sz="4" w:space="0"/>
              <w:right w:val="single" w:color="auto" w:sz="4" w:space="0"/>
            </w:tcBorders>
            <w:vAlign w:val="center"/>
          </w:tcPr>
          <w:p w14:paraId="415E3CBE">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p>
        </w:tc>
        <w:tc>
          <w:tcPr>
            <w:tcW w:w="2250" w:type="dxa"/>
            <w:tcBorders>
              <w:top w:val="single" w:color="auto" w:sz="4" w:space="0"/>
              <w:left w:val="single" w:color="auto" w:sz="4" w:space="0"/>
              <w:bottom w:val="single" w:color="auto" w:sz="4" w:space="0"/>
              <w:right w:val="single" w:color="auto" w:sz="4" w:space="0"/>
            </w:tcBorders>
            <w:vAlign w:val="center"/>
          </w:tcPr>
          <w:p w14:paraId="1E1EA3C9">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资金来源</w:t>
            </w:r>
          </w:p>
        </w:tc>
        <w:tc>
          <w:tcPr>
            <w:tcW w:w="6682" w:type="dxa"/>
            <w:tcBorders>
              <w:top w:val="single" w:color="auto" w:sz="4" w:space="0"/>
              <w:left w:val="single" w:color="auto" w:sz="4" w:space="0"/>
              <w:bottom w:val="single" w:color="auto" w:sz="4" w:space="0"/>
              <w:right w:val="single" w:color="auto" w:sz="4" w:space="0"/>
            </w:tcBorders>
            <w:vAlign w:val="center"/>
          </w:tcPr>
          <w:p w14:paraId="0C94C3A3">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财政资金</w:t>
            </w:r>
          </w:p>
        </w:tc>
      </w:tr>
      <w:tr w14:paraId="3922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879" w:type="dxa"/>
            <w:tcBorders>
              <w:top w:val="single" w:color="auto" w:sz="4" w:space="0"/>
              <w:left w:val="single" w:color="auto" w:sz="4" w:space="0"/>
              <w:right w:val="single" w:color="auto" w:sz="4" w:space="0"/>
            </w:tcBorders>
            <w:vAlign w:val="center"/>
          </w:tcPr>
          <w:p w14:paraId="02EFC068">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2250" w:type="dxa"/>
            <w:tcBorders>
              <w:top w:val="single" w:color="auto" w:sz="4" w:space="0"/>
              <w:left w:val="single" w:color="auto" w:sz="4" w:space="0"/>
              <w:right w:val="single" w:color="auto" w:sz="4" w:space="0"/>
            </w:tcBorders>
            <w:vAlign w:val="center"/>
          </w:tcPr>
          <w:p w14:paraId="7CCE983D">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项目采购人</w:t>
            </w:r>
          </w:p>
        </w:tc>
        <w:tc>
          <w:tcPr>
            <w:tcW w:w="6682" w:type="dxa"/>
            <w:tcBorders>
              <w:top w:val="single" w:color="auto" w:sz="4" w:space="0"/>
              <w:left w:val="single" w:color="auto" w:sz="4" w:space="0"/>
              <w:bottom w:val="single" w:color="auto" w:sz="4" w:space="0"/>
              <w:right w:val="single" w:color="auto" w:sz="4" w:space="0"/>
            </w:tcBorders>
            <w:vAlign w:val="center"/>
          </w:tcPr>
          <w:p w14:paraId="04C2AB3F">
            <w:pPr>
              <w:keepNext w:val="0"/>
              <w:keepLines w:val="0"/>
              <w:suppressLineNumbers w:val="0"/>
              <w:spacing w:beforeAutospacing="0" w:afterAutospacing="0" w:line="400" w:lineRule="exact"/>
              <w:jc w:val="both"/>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 xml:space="preserve">石泉县市政园林所（石泉县城镇污水垃圾处理监测中心） </w:t>
            </w:r>
          </w:p>
        </w:tc>
      </w:tr>
      <w:tr w14:paraId="056B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879" w:type="dxa"/>
            <w:tcBorders>
              <w:top w:val="single" w:color="auto" w:sz="4" w:space="0"/>
              <w:left w:val="single" w:color="auto" w:sz="4" w:space="0"/>
              <w:right w:val="single" w:color="auto" w:sz="4" w:space="0"/>
            </w:tcBorders>
            <w:vAlign w:val="center"/>
          </w:tcPr>
          <w:p w14:paraId="50B9C3D5">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2250" w:type="dxa"/>
            <w:tcBorders>
              <w:top w:val="single" w:color="auto" w:sz="4" w:space="0"/>
              <w:left w:val="single" w:color="auto" w:sz="4" w:space="0"/>
              <w:right w:val="single" w:color="auto" w:sz="4" w:space="0"/>
            </w:tcBorders>
            <w:shd w:val="clear" w:color="auto" w:fill="auto"/>
            <w:vAlign w:val="center"/>
          </w:tcPr>
          <w:p w14:paraId="7374E456">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供货期</w:t>
            </w:r>
          </w:p>
        </w:tc>
        <w:tc>
          <w:tcPr>
            <w:tcW w:w="6682" w:type="dxa"/>
            <w:tcBorders>
              <w:top w:val="single" w:color="auto" w:sz="4" w:space="0"/>
              <w:left w:val="single" w:color="auto" w:sz="4" w:space="0"/>
              <w:bottom w:val="single" w:color="auto" w:sz="4" w:space="0"/>
              <w:right w:val="single" w:color="auto" w:sz="4" w:space="0"/>
            </w:tcBorders>
            <w:shd w:val="clear" w:color="auto" w:fill="auto"/>
            <w:vAlign w:val="center"/>
          </w:tcPr>
          <w:p w14:paraId="599D1AD8">
            <w:pPr>
              <w:keepNext w:val="0"/>
              <w:keepLines w:val="0"/>
              <w:widowControl w:val="0"/>
              <w:suppressLineNumbers w:val="0"/>
              <w:autoSpaceDE w:val="0"/>
              <w:autoSpaceDN/>
              <w:spacing w:before="52" w:beforeAutospacing="0" w:after="0" w:afterAutospacing="0" w:line="500" w:lineRule="exact"/>
              <w:ind w:right="1170" w:rightChars="0"/>
              <w:jc w:val="left"/>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合同签订之日起至完成采购清单全量供货及验收</w:t>
            </w:r>
          </w:p>
          <w:p w14:paraId="2ED37BD9">
            <w:pPr>
              <w:keepNext w:val="0"/>
              <w:keepLines w:val="0"/>
              <w:widowControl w:val="0"/>
              <w:suppressLineNumbers w:val="0"/>
              <w:autoSpaceDE w:val="0"/>
              <w:autoSpaceDN/>
              <w:spacing w:before="52" w:beforeAutospacing="0" w:after="0" w:afterAutospacing="0" w:line="500" w:lineRule="exact"/>
              <w:ind w:right="1170" w:rightChars="0"/>
              <w:jc w:val="left"/>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w:t>
            </w:r>
          </w:p>
          <w:p w14:paraId="1C726304">
            <w:pPr>
              <w:keepNext w:val="0"/>
              <w:keepLines w:val="0"/>
              <w:suppressLineNumbers w:val="0"/>
              <w:spacing w:beforeAutospacing="0" w:afterAutospacing="0" w:line="400" w:lineRule="exact"/>
              <w:jc w:val="both"/>
              <w:rPr>
                <w:rFonts w:hint="eastAsia" w:asciiTheme="minorEastAsia" w:hAnsiTheme="minorEastAsia" w:eastAsiaTheme="minorEastAsia" w:cstheme="minorEastAsia"/>
                <w:bCs/>
                <w:color w:val="auto"/>
                <w:sz w:val="21"/>
                <w:szCs w:val="21"/>
                <w:lang w:val="en-US" w:eastAsia="zh-CN"/>
              </w:rPr>
            </w:pPr>
          </w:p>
        </w:tc>
      </w:tr>
      <w:tr w14:paraId="2CE8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trPr>
        <w:tc>
          <w:tcPr>
            <w:tcW w:w="879" w:type="dxa"/>
            <w:tcBorders>
              <w:top w:val="single" w:color="auto" w:sz="4" w:space="0"/>
              <w:left w:val="single" w:color="auto" w:sz="4" w:space="0"/>
              <w:bottom w:val="single" w:color="auto" w:sz="4" w:space="0"/>
              <w:right w:val="single" w:color="auto" w:sz="4" w:space="0"/>
            </w:tcBorders>
            <w:vAlign w:val="center"/>
          </w:tcPr>
          <w:p w14:paraId="1B0C0D4E">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w:t>
            </w:r>
          </w:p>
        </w:tc>
        <w:tc>
          <w:tcPr>
            <w:tcW w:w="2250" w:type="dxa"/>
            <w:tcBorders>
              <w:top w:val="single" w:color="auto" w:sz="4" w:space="0"/>
              <w:left w:val="single" w:color="auto" w:sz="4" w:space="0"/>
              <w:bottom w:val="single" w:color="auto" w:sz="4" w:space="0"/>
              <w:right w:val="single" w:color="auto" w:sz="4" w:space="0"/>
            </w:tcBorders>
            <w:vAlign w:val="center"/>
          </w:tcPr>
          <w:p w14:paraId="224A4A6F">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最高限价</w:t>
            </w:r>
          </w:p>
        </w:tc>
        <w:tc>
          <w:tcPr>
            <w:tcW w:w="6682" w:type="dxa"/>
            <w:tcBorders>
              <w:top w:val="single" w:color="auto" w:sz="4" w:space="0"/>
              <w:left w:val="single" w:color="auto" w:sz="4" w:space="0"/>
              <w:bottom w:val="single" w:color="auto" w:sz="4" w:space="0"/>
              <w:right w:val="single" w:color="auto" w:sz="4" w:space="0"/>
            </w:tcBorders>
            <w:vAlign w:val="center"/>
          </w:tcPr>
          <w:p w14:paraId="1DB4CEA5">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本项目投标最高限价：</w:t>
            </w:r>
            <w:r>
              <w:rPr>
                <w:rFonts w:hint="eastAsia" w:asciiTheme="minorEastAsia" w:hAnsiTheme="minorEastAsia" w:eastAsiaTheme="minorEastAsia" w:cstheme="minorEastAsia"/>
                <w:color w:val="auto"/>
                <w:sz w:val="21"/>
                <w:szCs w:val="21"/>
                <w:lang w:val="en-US" w:eastAsia="zh-CN"/>
              </w:rPr>
              <w:t>973600.00</w:t>
            </w:r>
            <w:r>
              <w:rPr>
                <w:rFonts w:hint="eastAsia" w:asciiTheme="minorEastAsia" w:hAnsiTheme="minorEastAsia" w:eastAsiaTheme="minorEastAsia" w:cstheme="minorEastAsia"/>
                <w:color w:val="auto"/>
                <w:sz w:val="21"/>
                <w:szCs w:val="21"/>
              </w:rPr>
              <w:t>元（</w:t>
            </w:r>
            <w:r>
              <w:rPr>
                <w:rFonts w:hint="eastAsia" w:asciiTheme="minorEastAsia" w:hAnsiTheme="minorEastAsia" w:eastAsiaTheme="minorEastAsia" w:cstheme="minorEastAsia"/>
                <w:color w:val="auto"/>
                <w:sz w:val="21"/>
                <w:szCs w:val="21"/>
                <w:lang w:eastAsia="zh-CN"/>
              </w:rPr>
              <w:t>注：</w:t>
            </w:r>
            <w:r>
              <w:rPr>
                <w:rFonts w:hint="eastAsia" w:asciiTheme="minorEastAsia" w:hAnsiTheme="minorEastAsia" w:eastAsiaTheme="minorEastAsia" w:cstheme="minorEastAsia"/>
                <w:color w:val="auto"/>
                <w:sz w:val="21"/>
                <w:szCs w:val="21"/>
              </w:rPr>
              <w:t>投标报价不得超过投标限价，否则视为无效投标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p>
        </w:tc>
      </w:tr>
      <w:tr w14:paraId="0636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exact"/>
        </w:trPr>
        <w:tc>
          <w:tcPr>
            <w:tcW w:w="879" w:type="dxa"/>
            <w:tcBorders>
              <w:top w:val="single" w:color="auto" w:sz="4" w:space="0"/>
              <w:left w:val="single" w:color="auto" w:sz="4" w:space="0"/>
              <w:bottom w:val="single" w:color="auto" w:sz="4" w:space="0"/>
              <w:right w:val="single" w:color="auto" w:sz="4" w:space="0"/>
            </w:tcBorders>
            <w:vAlign w:val="center"/>
          </w:tcPr>
          <w:p w14:paraId="45B468D4">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AF7466D">
            <w:pPr>
              <w:keepNext w:val="0"/>
              <w:keepLines w:val="0"/>
              <w:widowControl/>
              <w:suppressLineNumbers w:val="0"/>
              <w:spacing w:beforeAutospacing="0" w:afterAutospacing="0" w:line="400" w:lineRule="exact"/>
              <w:jc w:val="center"/>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4"/>
                <w:sz w:val="21"/>
                <w:szCs w:val="21"/>
              </w:rPr>
              <w:t>评标方法</w:t>
            </w:r>
          </w:p>
        </w:tc>
        <w:tc>
          <w:tcPr>
            <w:tcW w:w="6682" w:type="dxa"/>
            <w:tcBorders>
              <w:top w:val="single" w:color="auto" w:sz="4" w:space="0"/>
              <w:left w:val="single" w:color="auto" w:sz="4" w:space="0"/>
              <w:bottom w:val="single" w:color="auto" w:sz="4" w:space="0"/>
              <w:right w:val="single" w:color="auto" w:sz="4" w:space="0"/>
            </w:tcBorders>
            <w:shd w:val="clear" w:color="auto" w:fill="auto"/>
            <w:vAlign w:val="center"/>
          </w:tcPr>
          <w:p w14:paraId="73B02844">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最低报价</w:t>
            </w:r>
            <w:r>
              <w:rPr>
                <w:rFonts w:hint="eastAsia" w:asciiTheme="minorEastAsia" w:hAnsiTheme="minorEastAsia" w:eastAsiaTheme="minorEastAsia" w:cstheme="minorEastAsia"/>
                <w:color w:val="auto"/>
                <w:sz w:val="21"/>
                <w:szCs w:val="21"/>
              </w:rPr>
              <w:t>法</w:t>
            </w:r>
            <w:r>
              <w:rPr>
                <w:rFonts w:hint="eastAsia" w:asciiTheme="minorEastAsia" w:hAnsiTheme="minorEastAsia" w:eastAsiaTheme="minorEastAsia" w:cstheme="minorEastAsia"/>
                <w:color w:val="auto"/>
                <w:sz w:val="21"/>
                <w:szCs w:val="21"/>
                <w:lang w:eastAsia="zh-CN"/>
              </w:rPr>
              <w:t>（二轮报价）</w:t>
            </w:r>
            <w:r>
              <w:rPr>
                <w:rFonts w:hint="eastAsia" w:asciiTheme="minorEastAsia" w:hAnsiTheme="minorEastAsia" w:eastAsiaTheme="minorEastAsia" w:cstheme="minorEastAsia"/>
                <w:color w:val="auto"/>
                <w:sz w:val="21"/>
                <w:szCs w:val="21"/>
              </w:rPr>
              <w:t>，具体内容见“评标方法”</w:t>
            </w:r>
            <w:r>
              <w:rPr>
                <w:rFonts w:hint="eastAsia" w:asciiTheme="minorEastAsia" w:hAnsiTheme="minorEastAsia" w:eastAsiaTheme="minorEastAsia" w:cstheme="minorEastAsia"/>
                <w:color w:val="auto"/>
                <w:sz w:val="21"/>
                <w:szCs w:val="21"/>
                <w:lang w:eastAsia="zh-CN"/>
              </w:rPr>
              <w:t>。</w:t>
            </w:r>
          </w:p>
          <w:p w14:paraId="0A8222AF">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本项目谈判报价分为 “初始报价（投标文件中载明）、第二轮报价（谈判后提交）、第三轮报价（按需开启）” 三个轮次，其中第三轮报价为选择性轮次，仅在符合本条款规定条件时开启，未开启时以第二轮报价作为最终报价。</w:t>
            </w:r>
          </w:p>
        </w:tc>
      </w:tr>
      <w:tr w14:paraId="621D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trPr>
        <w:tc>
          <w:tcPr>
            <w:tcW w:w="879" w:type="dxa"/>
            <w:tcBorders>
              <w:top w:val="single" w:color="auto" w:sz="4" w:space="0"/>
              <w:left w:val="single" w:color="auto" w:sz="4" w:space="0"/>
              <w:bottom w:val="single" w:color="auto" w:sz="4" w:space="0"/>
              <w:right w:val="single" w:color="auto" w:sz="4" w:space="0"/>
            </w:tcBorders>
            <w:vAlign w:val="center"/>
          </w:tcPr>
          <w:p w14:paraId="4E77F0F9">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c>
          <w:tcPr>
            <w:tcW w:w="2250" w:type="dxa"/>
            <w:tcBorders>
              <w:top w:val="single" w:color="auto" w:sz="4" w:space="0"/>
              <w:left w:val="single" w:color="auto" w:sz="4" w:space="0"/>
              <w:bottom w:val="single" w:color="auto" w:sz="4" w:space="0"/>
              <w:right w:val="single" w:color="auto" w:sz="4" w:space="0"/>
            </w:tcBorders>
            <w:vAlign w:val="center"/>
          </w:tcPr>
          <w:p w14:paraId="16DF4496">
            <w:pPr>
              <w:keepNext w:val="0"/>
              <w:keepLines w:val="0"/>
              <w:widowControl/>
              <w:suppressLineNumbers w:val="0"/>
              <w:spacing w:beforeAutospacing="0" w:afterAutospacing="0" w:line="400" w:lineRule="exact"/>
              <w:jc w:val="center"/>
              <w:rPr>
                <w:rFonts w:hint="eastAsia" w:asciiTheme="minorEastAsia" w:hAnsiTheme="minorEastAsia" w:eastAsiaTheme="minorEastAsia" w:cstheme="minorEastAsia"/>
                <w:color w:val="auto"/>
                <w:spacing w:val="4"/>
                <w:sz w:val="21"/>
                <w:szCs w:val="21"/>
                <w:lang w:eastAsia="zh-CN"/>
              </w:rPr>
            </w:pPr>
            <w:r>
              <w:rPr>
                <w:rFonts w:hint="eastAsia" w:asciiTheme="minorEastAsia" w:hAnsiTheme="minorEastAsia" w:eastAsiaTheme="minorEastAsia" w:cstheme="minorEastAsia"/>
                <w:color w:val="auto"/>
                <w:spacing w:val="4"/>
                <w:sz w:val="21"/>
                <w:szCs w:val="21"/>
                <w:lang w:eastAsia="zh-CN"/>
              </w:rPr>
              <w:t>开标方式</w:t>
            </w:r>
          </w:p>
        </w:tc>
        <w:tc>
          <w:tcPr>
            <w:tcW w:w="6682" w:type="dxa"/>
            <w:tcBorders>
              <w:top w:val="single" w:color="auto" w:sz="4" w:space="0"/>
              <w:left w:val="single" w:color="auto" w:sz="4" w:space="0"/>
              <w:bottom w:val="single" w:color="auto" w:sz="4" w:space="0"/>
              <w:right w:val="single" w:color="auto" w:sz="4" w:space="0"/>
            </w:tcBorders>
            <w:vAlign w:val="center"/>
          </w:tcPr>
          <w:p w14:paraId="2A3BEA42">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本项目采用电子化投标及远程不见面开标方式。</w:t>
            </w:r>
          </w:p>
        </w:tc>
      </w:tr>
      <w:tr w14:paraId="6177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879" w:type="dxa"/>
            <w:tcBorders>
              <w:top w:val="single" w:color="auto" w:sz="4" w:space="0"/>
              <w:left w:val="single" w:color="auto" w:sz="4" w:space="0"/>
              <w:bottom w:val="single" w:color="auto" w:sz="4" w:space="0"/>
              <w:right w:val="single" w:color="auto" w:sz="4" w:space="0"/>
            </w:tcBorders>
            <w:vAlign w:val="center"/>
          </w:tcPr>
          <w:p w14:paraId="4C186F1F">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F22CB9B">
            <w:pPr>
              <w:keepNext w:val="0"/>
              <w:keepLines w:val="0"/>
              <w:widowControl/>
              <w:suppressLineNumbers w:val="0"/>
              <w:spacing w:beforeAutospacing="0" w:afterAutospacing="0" w:line="400" w:lineRule="exact"/>
              <w:jc w:val="center"/>
              <w:rPr>
                <w:rFonts w:hint="eastAsia" w:asciiTheme="minorEastAsia" w:hAnsiTheme="minorEastAsia" w:eastAsiaTheme="minorEastAsia" w:cstheme="minorEastAsia"/>
                <w:color w:val="auto"/>
                <w:spacing w:val="4"/>
                <w:sz w:val="21"/>
                <w:szCs w:val="21"/>
                <w:lang w:val="en-US" w:eastAsia="zh-CN"/>
              </w:rPr>
            </w:pPr>
            <w:r>
              <w:rPr>
                <w:rFonts w:hint="eastAsia" w:asciiTheme="minorEastAsia" w:hAnsiTheme="minorEastAsia" w:eastAsiaTheme="minorEastAsia" w:cstheme="minorEastAsia"/>
                <w:color w:val="auto"/>
                <w:spacing w:val="4"/>
                <w:sz w:val="21"/>
                <w:szCs w:val="21"/>
                <w:lang w:val="en-US" w:eastAsia="zh-CN"/>
              </w:rPr>
              <w:t>评标委员会的组成</w:t>
            </w:r>
          </w:p>
        </w:tc>
        <w:tc>
          <w:tcPr>
            <w:tcW w:w="6682" w:type="dxa"/>
            <w:tcBorders>
              <w:top w:val="single" w:color="auto" w:sz="4" w:space="0"/>
              <w:left w:val="single" w:color="auto" w:sz="4" w:space="0"/>
              <w:bottom w:val="single" w:color="auto" w:sz="4" w:space="0"/>
              <w:right w:val="single" w:color="auto" w:sz="4" w:space="0"/>
            </w:tcBorders>
            <w:shd w:val="clear" w:color="auto" w:fill="auto"/>
            <w:vAlign w:val="center"/>
          </w:tcPr>
          <w:p w14:paraId="77D5F25F">
            <w:pPr>
              <w:keepNext w:val="0"/>
              <w:keepLines w:val="0"/>
              <w:suppressLineNumbers w:val="0"/>
              <w:spacing w:beforeAutospacing="0" w:afterAutospacing="0" w:line="400" w:lineRule="exact"/>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评标委员会的构成：</w:t>
            </w:r>
            <w:r>
              <w:rPr>
                <w:rFonts w:hint="eastAsia" w:asciiTheme="minorEastAsia" w:hAnsiTheme="minorEastAsia" w:eastAsiaTheme="minorEastAsia" w:cstheme="minorEastAsia"/>
                <w:color w:val="auto"/>
                <w:sz w:val="21"/>
                <w:szCs w:val="21"/>
                <w:lang w:val="en-US" w:eastAsia="zh-CN"/>
              </w:rPr>
              <w:t>3人；其中招标人代表1人，专家2人；评标委员会专家确定方式：陕西省政府采购综合管理平台专家库中随机抽取。</w:t>
            </w:r>
          </w:p>
        </w:tc>
      </w:tr>
      <w:tr w14:paraId="4673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879" w:type="dxa"/>
            <w:tcBorders>
              <w:top w:val="single" w:color="auto" w:sz="4" w:space="0"/>
              <w:left w:val="single" w:color="auto" w:sz="4" w:space="0"/>
              <w:bottom w:val="single" w:color="auto" w:sz="4" w:space="0"/>
              <w:right w:val="single" w:color="auto" w:sz="4" w:space="0"/>
            </w:tcBorders>
            <w:vAlign w:val="center"/>
          </w:tcPr>
          <w:p w14:paraId="273069DC">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12</w:t>
            </w:r>
          </w:p>
        </w:tc>
        <w:tc>
          <w:tcPr>
            <w:tcW w:w="2250" w:type="dxa"/>
            <w:tcBorders>
              <w:top w:val="single" w:color="auto" w:sz="4" w:space="0"/>
              <w:left w:val="single" w:color="auto" w:sz="4" w:space="0"/>
              <w:bottom w:val="single" w:color="auto" w:sz="4" w:space="0"/>
              <w:right w:val="single" w:color="auto" w:sz="4" w:space="0"/>
            </w:tcBorders>
            <w:vAlign w:val="center"/>
          </w:tcPr>
          <w:p w14:paraId="231EAF28">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投标有效期</w:t>
            </w:r>
          </w:p>
        </w:tc>
        <w:tc>
          <w:tcPr>
            <w:tcW w:w="6682" w:type="dxa"/>
            <w:tcBorders>
              <w:top w:val="single" w:color="auto" w:sz="4" w:space="0"/>
              <w:left w:val="single" w:color="auto" w:sz="4" w:space="0"/>
              <w:bottom w:val="single" w:color="auto" w:sz="4" w:space="0"/>
              <w:right w:val="single" w:color="auto" w:sz="4" w:space="0"/>
            </w:tcBorders>
            <w:vAlign w:val="center"/>
          </w:tcPr>
          <w:p w14:paraId="2FB7608F">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rPr>
              <w:t>90日历天（从投标截止之日算起）</w:t>
            </w:r>
            <w:r>
              <w:rPr>
                <w:rFonts w:hint="eastAsia" w:asciiTheme="minorEastAsia" w:hAnsiTheme="minorEastAsia" w:eastAsiaTheme="minorEastAsia" w:cstheme="minorEastAsia"/>
                <w:color w:val="auto"/>
                <w:sz w:val="21"/>
                <w:szCs w:val="21"/>
                <w:lang w:eastAsia="zh-CN"/>
              </w:rPr>
              <w:t>。</w:t>
            </w:r>
          </w:p>
        </w:tc>
      </w:tr>
      <w:tr w14:paraId="77EB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79" w:type="dxa"/>
            <w:tcBorders>
              <w:top w:val="single" w:color="auto" w:sz="4" w:space="0"/>
              <w:left w:val="single" w:color="auto" w:sz="4" w:space="0"/>
              <w:bottom w:val="single" w:color="auto" w:sz="4" w:space="0"/>
              <w:right w:val="single" w:color="auto" w:sz="4" w:space="0"/>
            </w:tcBorders>
            <w:vAlign w:val="center"/>
          </w:tcPr>
          <w:p w14:paraId="35DAF6D4">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w:t>
            </w:r>
          </w:p>
        </w:tc>
        <w:tc>
          <w:tcPr>
            <w:tcW w:w="2250" w:type="dxa"/>
            <w:tcBorders>
              <w:top w:val="single" w:color="auto" w:sz="4" w:space="0"/>
              <w:left w:val="single" w:color="auto" w:sz="4" w:space="0"/>
              <w:bottom w:val="single" w:color="auto" w:sz="4" w:space="0"/>
              <w:right w:val="single" w:color="auto" w:sz="4" w:space="0"/>
            </w:tcBorders>
            <w:vAlign w:val="center"/>
          </w:tcPr>
          <w:p w14:paraId="721EF04D">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4"/>
                <w:sz w:val="21"/>
                <w:szCs w:val="21"/>
              </w:rPr>
              <w:t>踏勘现场、招标答疑时间及地点</w:t>
            </w:r>
          </w:p>
        </w:tc>
        <w:tc>
          <w:tcPr>
            <w:tcW w:w="6682" w:type="dxa"/>
            <w:tcBorders>
              <w:top w:val="single" w:color="auto" w:sz="4" w:space="0"/>
              <w:left w:val="single" w:color="auto" w:sz="4" w:space="0"/>
              <w:bottom w:val="single" w:color="auto" w:sz="4" w:space="0"/>
              <w:right w:val="single" w:color="auto" w:sz="4" w:space="0"/>
            </w:tcBorders>
            <w:vAlign w:val="center"/>
          </w:tcPr>
          <w:p w14:paraId="239399E9">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4"/>
                <w:sz w:val="21"/>
                <w:szCs w:val="21"/>
              </w:rPr>
              <w:t>投标人自行踏勘现场</w:t>
            </w:r>
            <w:r>
              <w:rPr>
                <w:rFonts w:hint="eastAsia" w:asciiTheme="minorEastAsia" w:hAnsiTheme="minorEastAsia" w:eastAsiaTheme="minorEastAsia" w:cstheme="minorEastAsia"/>
                <w:color w:val="auto"/>
                <w:spacing w:val="4"/>
                <w:sz w:val="21"/>
                <w:szCs w:val="21"/>
                <w:lang w:eastAsia="zh-CN"/>
              </w:rPr>
              <w:t>（费用自理）。</w:t>
            </w:r>
          </w:p>
          <w:p w14:paraId="27E8742E">
            <w:pPr>
              <w:keepNext w:val="0"/>
              <w:keepLines w:val="0"/>
              <w:suppressLineNumbers w:val="0"/>
              <w:spacing w:beforeAutospacing="0" w:afterAutospacing="0" w:line="400" w:lineRule="exact"/>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疑问提交：投标截止时间前10日。</w:t>
            </w:r>
          </w:p>
        </w:tc>
      </w:tr>
      <w:tr w14:paraId="621F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79" w:type="dxa"/>
            <w:tcBorders>
              <w:top w:val="single" w:color="auto" w:sz="4" w:space="0"/>
              <w:left w:val="single" w:color="auto" w:sz="4" w:space="0"/>
              <w:bottom w:val="single" w:color="auto" w:sz="4" w:space="0"/>
              <w:right w:val="single" w:color="auto" w:sz="4" w:space="0"/>
            </w:tcBorders>
            <w:vAlign w:val="center"/>
          </w:tcPr>
          <w:p w14:paraId="4C63A5F8">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w:t>
            </w:r>
          </w:p>
        </w:tc>
        <w:tc>
          <w:tcPr>
            <w:tcW w:w="2250" w:type="dxa"/>
            <w:tcBorders>
              <w:top w:val="single" w:color="auto" w:sz="4" w:space="0"/>
              <w:left w:val="single" w:color="auto" w:sz="4" w:space="0"/>
              <w:bottom w:val="single" w:color="auto" w:sz="4" w:space="0"/>
              <w:right w:val="single" w:color="auto" w:sz="4" w:space="0"/>
            </w:tcBorders>
            <w:vAlign w:val="center"/>
          </w:tcPr>
          <w:p w14:paraId="1BE149FF">
            <w:pPr>
              <w:keepNext w:val="0"/>
              <w:keepLines w:val="0"/>
              <w:widowControl/>
              <w:suppressLineNumbers w:val="0"/>
              <w:spacing w:beforeAutospacing="0" w:afterAutospacing="0" w:line="400" w:lineRule="exact"/>
              <w:jc w:val="center"/>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z w:val="21"/>
                <w:szCs w:val="21"/>
              </w:rPr>
              <w:t>是否提供纸质投标文件</w:t>
            </w:r>
          </w:p>
        </w:tc>
        <w:tc>
          <w:tcPr>
            <w:tcW w:w="6682" w:type="dxa"/>
            <w:tcBorders>
              <w:top w:val="single" w:color="auto" w:sz="4" w:space="0"/>
              <w:left w:val="single" w:color="auto" w:sz="4" w:space="0"/>
              <w:bottom w:val="single" w:color="auto" w:sz="4" w:space="0"/>
              <w:right w:val="single" w:color="auto" w:sz="4" w:space="0"/>
            </w:tcBorders>
            <w:vAlign w:val="center"/>
          </w:tcPr>
          <w:p w14:paraId="35E78CBC">
            <w:pPr>
              <w:pStyle w:val="35"/>
              <w:keepNext w:val="0"/>
              <w:keepLines w:val="0"/>
              <w:suppressLineNumbers w:val="0"/>
              <w:spacing w:before="115" w:beforeAutospacing="0" w:afterAutospacing="0" w:line="386" w:lineRule="auto"/>
              <w:ind w:right="-134" w:rightChars="0"/>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z w:val="21"/>
                <w:szCs w:val="21"/>
                <w:lang w:val="zh-CN" w:eastAsia="zh-CN" w:bidi="zh-CN"/>
              </w:rPr>
              <w:t>不提供纸质投标文件。 但中标公示结束后，中标单位在领取中标通知书时，需向代理公司无偿提交纸质版投标文件</w:t>
            </w:r>
            <w:r>
              <w:rPr>
                <w:rFonts w:hint="eastAsia" w:asciiTheme="minorEastAsia" w:hAnsiTheme="minorEastAsia" w:eastAsiaTheme="minorEastAsia" w:cstheme="minorEastAsia"/>
                <w:color w:val="auto"/>
                <w:sz w:val="21"/>
                <w:szCs w:val="21"/>
                <w:lang w:val="en-US" w:eastAsia="zh-CN" w:bidi="zh-CN"/>
              </w:rPr>
              <w:t>2份、</w:t>
            </w:r>
            <w:r>
              <w:rPr>
                <w:rFonts w:hint="eastAsia" w:asciiTheme="minorEastAsia" w:hAnsiTheme="minorEastAsia" w:eastAsiaTheme="minorEastAsia" w:cstheme="minorEastAsia"/>
                <w:color w:val="auto"/>
                <w:sz w:val="21"/>
                <w:szCs w:val="21"/>
                <w:lang w:val="zh-CN" w:eastAsia="zh-CN" w:bidi="zh-CN"/>
              </w:rPr>
              <w:t>电子版 U 盘 1 份（投标人对所提供资料的真实性、</w:t>
            </w:r>
            <w:r>
              <w:rPr>
                <w:rFonts w:hint="eastAsia" w:asciiTheme="minorEastAsia" w:hAnsiTheme="minorEastAsia" w:eastAsiaTheme="minorEastAsia" w:cstheme="minorEastAsia"/>
                <w:color w:val="auto"/>
                <w:sz w:val="21"/>
                <w:szCs w:val="21"/>
                <w:lang w:val="zh-CN" w:eastAsia="zh-CN"/>
              </w:rPr>
              <w:t>合法性</w:t>
            </w:r>
            <w:r>
              <w:rPr>
                <w:rFonts w:hint="eastAsia" w:asciiTheme="minorEastAsia" w:hAnsiTheme="minorEastAsia" w:eastAsiaTheme="minorEastAsia" w:cstheme="minorEastAsia"/>
                <w:color w:val="auto"/>
                <w:sz w:val="21"/>
                <w:szCs w:val="21"/>
                <w:lang w:val="zh-CN" w:eastAsia="zh-CN" w:bidi="zh-CN"/>
              </w:rPr>
              <w:t>、准确性、完整性负责）。</w:t>
            </w:r>
          </w:p>
        </w:tc>
      </w:tr>
      <w:tr w14:paraId="6EDC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tcBorders>
              <w:top w:val="single" w:color="auto" w:sz="4" w:space="0"/>
              <w:left w:val="single" w:color="auto" w:sz="4" w:space="0"/>
              <w:bottom w:val="single" w:color="auto" w:sz="4" w:space="0"/>
              <w:right w:val="single" w:color="auto" w:sz="4" w:space="0"/>
            </w:tcBorders>
            <w:vAlign w:val="center"/>
          </w:tcPr>
          <w:p w14:paraId="06200950">
            <w:pPr>
              <w:keepNext w:val="0"/>
              <w:keepLines w:val="0"/>
              <w:suppressLineNumbers w:val="0"/>
              <w:spacing w:beforeAutospacing="0" w:afterAutospacing="0" w:line="4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w:t>
            </w:r>
          </w:p>
        </w:tc>
        <w:tc>
          <w:tcPr>
            <w:tcW w:w="2250" w:type="dxa"/>
            <w:tcBorders>
              <w:top w:val="single" w:color="auto" w:sz="4" w:space="0"/>
              <w:left w:val="single" w:color="auto" w:sz="4" w:space="0"/>
              <w:bottom w:val="single" w:color="auto" w:sz="4" w:space="0"/>
              <w:right w:val="single" w:color="auto" w:sz="4" w:space="0"/>
            </w:tcBorders>
            <w:vAlign w:val="center"/>
          </w:tcPr>
          <w:p w14:paraId="4D2E9286">
            <w:pPr>
              <w:keepNext w:val="0"/>
              <w:keepLines w:val="0"/>
              <w:widowControl/>
              <w:suppressLineNumbers w:val="0"/>
              <w:spacing w:beforeAutospacing="0" w:afterAutospacing="0" w:line="400" w:lineRule="exact"/>
              <w:jc w:val="center"/>
              <w:rPr>
                <w:rFonts w:hint="eastAsia" w:asciiTheme="minorEastAsia" w:hAnsiTheme="minorEastAsia" w:eastAsiaTheme="minorEastAsia" w:cstheme="minorEastAsia"/>
                <w:color w:val="auto"/>
                <w:spacing w:val="4"/>
                <w:sz w:val="21"/>
                <w:szCs w:val="21"/>
                <w:lang w:eastAsia="zh-CN"/>
              </w:rPr>
            </w:pPr>
            <w:r>
              <w:rPr>
                <w:rFonts w:hint="eastAsia" w:asciiTheme="minorEastAsia" w:hAnsiTheme="minorEastAsia" w:eastAsiaTheme="minorEastAsia" w:cstheme="minorEastAsia"/>
                <w:color w:val="auto"/>
                <w:spacing w:val="4"/>
                <w:sz w:val="21"/>
                <w:szCs w:val="21"/>
                <w:lang w:eastAsia="zh-CN"/>
              </w:rPr>
              <w:t>投标人资格条件</w:t>
            </w:r>
          </w:p>
        </w:tc>
        <w:tc>
          <w:tcPr>
            <w:tcW w:w="6682" w:type="dxa"/>
            <w:tcBorders>
              <w:top w:val="single" w:color="auto" w:sz="4" w:space="0"/>
              <w:left w:val="single" w:color="auto" w:sz="4" w:space="0"/>
              <w:bottom w:val="single" w:color="auto" w:sz="4" w:space="0"/>
              <w:right w:val="single" w:color="auto" w:sz="4" w:space="0"/>
            </w:tcBorders>
            <w:vAlign w:val="center"/>
          </w:tcPr>
          <w:p w14:paraId="349ABFF6">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400" w:lineRule="exact"/>
              <w:ind w:right="0"/>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1、满足《中华人民共和国政府采购法》第二十二条规定；</w:t>
            </w:r>
          </w:p>
          <w:p w14:paraId="331535D7">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2、本项目的特定资格要求：</w:t>
            </w:r>
          </w:p>
          <w:p w14:paraId="1190B4D8">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 xml:space="preserve">（1）具有独立承担民事责任的能力：提供营业执照、税务登记证、组织机构代码证或三证合一的营业执照副本（或《事业单位法人证书》或其他合法组织登记证书、 自然人只需提交身份证）； </w:t>
            </w:r>
          </w:p>
          <w:p w14:paraId="7789F5E5">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65CBB6C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 xml:space="preserve">（3）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p w14:paraId="52505D0F">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4）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395EE9FB">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5）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3EE361F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6）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572EBC9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（7）参加本次政府采购活动前三年内，在经营活动中没有重大违法记录声明；</w:t>
            </w:r>
          </w:p>
          <w:p w14:paraId="1C893BBE">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（8）供应商具有履行合同所必需的设备和专业技术能力的书面声明；</w:t>
            </w:r>
          </w:p>
          <w:p w14:paraId="009D7E4D">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（9）供应商应提供中小企业声明函或残疾人福利性单位声明函或监狱企业证明文件；</w:t>
            </w:r>
          </w:p>
          <w:p w14:paraId="134BAE72">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color w:val="auto"/>
                <w:spacing w:val="-6"/>
                <w:lang w:val="en-US" w:eastAsia="zh-CN"/>
              </w:rPr>
            </w:pPr>
            <w:r>
              <w:rPr>
                <w:rFonts w:hint="eastAsia" w:asciiTheme="minorEastAsia" w:hAnsiTheme="minorEastAsia" w:eastAsiaTheme="minorEastAsia" w:cstheme="minorEastAsia"/>
                <w:color w:val="auto"/>
                <w:spacing w:val="-6"/>
                <w:kern w:val="2"/>
                <w:sz w:val="21"/>
                <w:szCs w:val="24"/>
                <w:lang w:val="en-US" w:eastAsia="zh-CN" w:bidi="ar-SA"/>
              </w:rPr>
              <w:t>（10）本项目不接受联合体投标（提供书面声明）。</w:t>
            </w:r>
          </w:p>
        </w:tc>
      </w:tr>
      <w:tr w14:paraId="7E13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tcBorders>
              <w:top w:val="single" w:color="auto" w:sz="4" w:space="0"/>
              <w:left w:val="single" w:color="auto" w:sz="4" w:space="0"/>
              <w:bottom w:val="single" w:color="auto" w:sz="4" w:space="0"/>
              <w:right w:val="single" w:color="auto" w:sz="4" w:space="0"/>
            </w:tcBorders>
            <w:vAlign w:val="center"/>
          </w:tcPr>
          <w:p w14:paraId="279B457D">
            <w:pPr>
              <w:keepNext w:val="0"/>
              <w:keepLines w:val="0"/>
              <w:suppressLineNumbers w:val="0"/>
              <w:spacing w:beforeAutospacing="0" w:afterAutospacing="0" w:line="4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w:t>
            </w:r>
          </w:p>
        </w:tc>
        <w:tc>
          <w:tcPr>
            <w:tcW w:w="2250" w:type="dxa"/>
            <w:tcBorders>
              <w:top w:val="single" w:color="auto" w:sz="4" w:space="0"/>
              <w:left w:val="single" w:color="auto" w:sz="4" w:space="0"/>
              <w:bottom w:val="single" w:color="auto" w:sz="4" w:space="0"/>
              <w:right w:val="single" w:color="auto" w:sz="4" w:space="0"/>
            </w:tcBorders>
            <w:vAlign w:val="center"/>
          </w:tcPr>
          <w:p w14:paraId="5F4C4AE5">
            <w:pPr>
              <w:keepNext w:val="0"/>
              <w:keepLines w:val="0"/>
              <w:widowControl/>
              <w:suppressLineNumbers w:val="0"/>
              <w:spacing w:beforeAutospacing="0" w:afterAutospacing="0" w:line="400" w:lineRule="exact"/>
              <w:jc w:val="center"/>
              <w:rPr>
                <w:rFonts w:hint="eastAsia" w:asciiTheme="minorEastAsia" w:hAnsiTheme="minorEastAsia" w:eastAsiaTheme="minorEastAsia" w:cstheme="minorEastAsia"/>
                <w:b/>
                <w:bCs/>
                <w:color w:val="auto"/>
                <w:spacing w:val="4"/>
                <w:sz w:val="21"/>
                <w:szCs w:val="21"/>
                <w:lang w:eastAsia="zh-CN"/>
              </w:rPr>
            </w:pPr>
            <w:r>
              <w:rPr>
                <w:rFonts w:hint="eastAsia" w:asciiTheme="minorEastAsia" w:hAnsiTheme="minorEastAsia" w:eastAsiaTheme="minorEastAsia" w:cstheme="minorEastAsia"/>
                <w:b/>
                <w:bCs/>
                <w:color w:val="auto"/>
                <w:spacing w:val="4"/>
                <w:sz w:val="21"/>
                <w:szCs w:val="21"/>
                <w:lang w:eastAsia="zh-CN"/>
              </w:rPr>
              <w:t>核心产品</w:t>
            </w:r>
          </w:p>
        </w:tc>
        <w:tc>
          <w:tcPr>
            <w:tcW w:w="6682" w:type="dxa"/>
            <w:tcBorders>
              <w:top w:val="single" w:color="auto" w:sz="4" w:space="0"/>
              <w:left w:val="single" w:color="auto" w:sz="4" w:space="0"/>
              <w:bottom w:val="single" w:color="auto" w:sz="4" w:space="0"/>
              <w:right w:val="single" w:color="auto" w:sz="4" w:space="0"/>
            </w:tcBorders>
            <w:vAlign w:val="center"/>
          </w:tcPr>
          <w:p w14:paraId="16BEE754">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b/>
                <w:bCs/>
                <w:color w:val="auto"/>
                <w:spacing w:val="-6"/>
                <w:kern w:val="2"/>
                <w:sz w:val="21"/>
                <w:szCs w:val="24"/>
                <w:lang w:val="en-US" w:eastAsia="zh-CN" w:bidi="ar-SA"/>
              </w:rPr>
            </w:pPr>
            <w:r>
              <w:rPr>
                <w:rFonts w:hint="eastAsia" w:asciiTheme="minorEastAsia" w:hAnsiTheme="minorEastAsia" w:eastAsiaTheme="minorEastAsia" w:cstheme="minorEastAsia"/>
                <w:b/>
                <w:bCs/>
                <w:color w:val="auto"/>
                <w:spacing w:val="-6"/>
                <w:kern w:val="2"/>
                <w:sz w:val="21"/>
                <w:szCs w:val="24"/>
                <w:lang w:val="en-US" w:eastAsia="zh-CN" w:bidi="ar-SA"/>
              </w:rPr>
              <w:t>固体聚合硫酸铁</w:t>
            </w:r>
          </w:p>
        </w:tc>
      </w:tr>
      <w:tr w14:paraId="2A4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tcBorders>
              <w:top w:val="single" w:color="auto" w:sz="4" w:space="0"/>
              <w:left w:val="single" w:color="auto" w:sz="4" w:space="0"/>
              <w:bottom w:val="single" w:color="auto" w:sz="4" w:space="0"/>
              <w:right w:val="single" w:color="auto" w:sz="4" w:space="0"/>
            </w:tcBorders>
            <w:vAlign w:val="center"/>
          </w:tcPr>
          <w:p w14:paraId="0C31DB58">
            <w:pPr>
              <w:keepNext w:val="0"/>
              <w:keepLines w:val="0"/>
              <w:suppressLineNumbers w:val="0"/>
              <w:spacing w:beforeAutospacing="0" w:afterAutospacing="0" w:line="4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w:t>
            </w:r>
          </w:p>
        </w:tc>
        <w:tc>
          <w:tcPr>
            <w:tcW w:w="2250" w:type="dxa"/>
            <w:tcBorders>
              <w:top w:val="single" w:color="auto" w:sz="4" w:space="0"/>
              <w:left w:val="single" w:color="auto" w:sz="4" w:space="0"/>
              <w:bottom w:val="single" w:color="auto" w:sz="4" w:space="0"/>
              <w:right w:val="single" w:color="auto" w:sz="4" w:space="0"/>
            </w:tcBorders>
            <w:vAlign w:val="center"/>
          </w:tcPr>
          <w:p w14:paraId="0F06956B">
            <w:pPr>
              <w:keepNext w:val="0"/>
              <w:keepLines w:val="0"/>
              <w:widowControl/>
              <w:suppressLineNumbers w:val="0"/>
              <w:spacing w:beforeAutospacing="0" w:afterAutospacing="0" w:line="400" w:lineRule="exact"/>
              <w:jc w:val="center"/>
              <w:rPr>
                <w:rFonts w:hint="eastAsia" w:asciiTheme="minorEastAsia" w:hAnsiTheme="minorEastAsia" w:eastAsiaTheme="minorEastAsia" w:cstheme="minorEastAsia"/>
                <w:b/>
                <w:bCs/>
                <w:color w:val="auto"/>
                <w:spacing w:val="4"/>
                <w:sz w:val="21"/>
                <w:szCs w:val="21"/>
                <w:lang w:eastAsia="zh-CN"/>
              </w:rPr>
            </w:pPr>
            <w:r>
              <w:rPr>
                <w:rFonts w:hint="eastAsia" w:asciiTheme="minorEastAsia" w:hAnsiTheme="minorEastAsia" w:eastAsiaTheme="minorEastAsia" w:cstheme="minorEastAsia"/>
                <w:b/>
                <w:bCs/>
                <w:color w:val="auto"/>
                <w:spacing w:val="4"/>
                <w:sz w:val="21"/>
                <w:szCs w:val="21"/>
                <w:lang w:eastAsia="zh-CN"/>
              </w:rPr>
              <w:t>项目属性及所属行业</w:t>
            </w:r>
          </w:p>
        </w:tc>
        <w:tc>
          <w:tcPr>
            <w:tcW w:w="6682" w:type="dxa"/>
            <w:tcBorders>
              <w:top w:val="single" w:color="auto" w:sz="4" w:space="0"/>
              <w:left w:val="single" w:color="auto" w:sz="4" w:space="0"/>
              <w:bottom w:val="single" w:color="auto" w:sz="4" w:space="0"/>
              <w:right w:val="single" w:color="auto" w:sz="4" w:space="0"/>
            </w:tcBorders>
            <w:vAlign w:val="center"/>
          </w:tcPr>
          <w:p w14:paraId="690EE605">
            <w:pPr>
              <w:keepNext w:val="0"/>
              <w:keepLines w:val="0"/>
              <w:pageBreakBefore w:val="0"/>
              <w:widowControl/>
              <w:suppressLineNumbers w:val="0"/>
              <w:shd w:val="clear"/>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b/>
                <w:bCs/>
                <w:color w:val="auto"/>
                <w:spacing w:val="-6"/>
                <w:kern w:val="2"/>
                <w:sz w:val="21"/>
                <w:szCs w:val="24"/>
                <w:lang w:val="en-US" w:eastAsia="zh-CN" w:bidi="ar-SA"/>
              </w:rPr>
            </w:pPr>
            <w:r>
              <w:rPr>
                <w:rFonts w:hint="eastAsia" w:asciiTheme="minorEastAsia" w:hAnsiTheme="minorEastAsia" w:eastAsiaTheme="minorEastAsia" w:cstheme="minorEastAsia"/>
                <w:b/>
                <w:bCs/>
                <w:color w:val="auto"/>
                <w:spacing w:val="-6"/>
                <w:kern w:val="2"/>
                <w:sz w:val="21"/>
                <w:szCs w:val="24"/>
                <w:lang w:val="en-US" w:eastAsia="zh-CN" w:bidi="ar-SA"/>
              </w:rPr>
              <w:t xml:space="preserve">1、本项目属性：货物； </w:t>
            </w:r>
          </w:p>
          <w:p w14:paraId="13AC3C55">
            <w:pPr>
              <w:keepNext w:val="0"/>
              <w:keepLines w:val="0"/>
              <w:pageBreakBefore w:val="0"/>
              <w:widowControl/>
              <w:suppressLineNumbers w:val="0"/>
              <w:shd w:val="clear"/>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b/>
                <w:bCs/>
                <w:color w:val="auto"/>
                <w:spacing w:val="-6"/>
                <w:kern w:val="2"/>
                <w:sz w:val="21"/>
                <w:szCs w:val="24"/>
                <w:lang w:val="en-US" w:eastAsia="zh-CN" w:bidi="ar-SA"/>
              </w:rPr>
            </w:pPr>
            <w:r>
              <w:rPr>
                <w:rFonts w:hint="eastAsia" w:asciiTheme="minorEastAsia" w:hAnsiTheme="minorEastAsia" w:eastAsiaTheme="minorEastAsia" w:cstheme="minorEastAsia"/>
                <w:b/>
                <w:bCs/>
                <w:color w:val="auto"/>
                <w:spacing w:val="-6"/>
                <w:kern w:val="2"/>
                <w:sz w:val="21"/>
                <w:szCs w:val="24"/>
                <w:lang w:val="en-US" w:eastAsia="zh-CN" w:bidi="ar-SA"/>
              </w:rPr>
              <w:t>2、本项目采购标的所属行业为：工业。</w:t>
            </w:r>
          </w:p>
          <w:p w14:paraId="4D720332">
            <w:pPr>
              <w:keepNext w:val="0"/>
              <w:keepLines w:val="0"/>
              <w:pageBreakBefore w:val="0"/>
              <w:widowControl/>
              <w:suppressLineNumbers w:val="0"/>
              <w:shd w:val="clear"/>
              <w:kinsoku/>
              <w:wordWrap/>
              <w:overflowPunct/>
              <w:topLinePunct w:val="0"/>
              <w:autoSpaceDE w:val="0"/>
              <w:autoSpaceDN w:val="0"/>
              <w:bidi w:val="0"/>
              <w:adjustRightInd/>
              <w:snapToGrid/>
              <w:spacing w:beforeAutospacing="0" w:afterAutospacing="0" w:line="400" w:lineRule="exact"/>
              <w:jc w:val="both"/>
              <w:textAlignment w:val="auto"/>
              <w:rPr>
                <w:rFonts w:hint="eastAsia" w:asciiTheme="minorEastAsia" w:hAnsiTheme="minorEastAsia" w:eastAsiaTheme="minorEastAsia" w:cstheme="minorEastAsia"/>
                <w:b/>
                <w:bCs/>
                <w:color w:val="auto"/>
                <w:spacing w:val="-6"/>
                <w:kern w:val="2"/>
                <w:sz w:val="21"/>
                <w:szCs w:val="24"/>
                <w:lang w:val="en-US" w:eastAsia="zh-CN" w:bidi="ar-SA"/>
              </w:rPr>
            </w:pPr>
            <w:r>
              <w:rPr>
                <w:rFonts w:hint="eastAsia" w:asciiTheme="minorEastAsia" w:hAnsiTheme="minorEastAsia" w:eastAsiaTheme="minorEastAsia" w:cstheme="minorEastAsia"/>
                <w:b/>
                <w:bCs/>
                <w:color w:val="auto"/>
                <w:spacing w:val="-6"/>
                <w:kern w:val="2"/>
                <w:sz w:val="21"/>
                <w:szCs w:val="24"/>
                <w:lang w:val="en-US" w:eastAsia="zh-CN" w:bidi="ar-SA"/>
              </w:rPr>
              <w:t>本项目专门面向中小企业。供应商所投产品的生产厂家企业类型必须属于中型、小型或微型企业。注：本项目为专门面向中小企业采购，不再进行价格分的扣减。</w:t>
            </w:r>
          </w:p>
          <w:p w14:paraId="05B1FAA9">
            <w:pPr>
              <w:keepNext w:val="0"/>
              <w:keepLines w:val="0"/>
              <w:pageBreakBefore w:val="0"/>
              <w:widowControl/>
              <w:suppressLineNumbers w:val="0"/>
              <w:shd w:val="clear"/>
              <w:kinsoku/>
              <w:wordWrap/>
              <w:overflowPunct/>
              <w:topLinePunct w:val="0"/>
              <w:autoSpaceDE w:val="0"/>
              <w:autoSpaceDN w:val="0"/>
              <w:bidi w:val="0"/>
              <w:adjustRightInd/>
              <w:snapToGrid/>
              <w:spacing w:beforeAutospacing="0" w:afterAutospacing="0" w:line="400" w:lineRule="exact"/>
              <w:jc w:val="both"/>
              <w:textAlignment w:val="auto"/>
              <w:rPr>
                <w:rFonts w:hint="default" w:asciiTheme="minorEastAsia" w:hAnsiTheme="minorEastAsia" w:eastAsiaTheme="minorEastAsia" w:cstheme="minorEastAsia"/>
                <w:b/>
                <w:bCs/>
                <w:color w:val="auto"/>
                <w:spacing w:val="-6"/>
                <w:kern w:val="2"/>
                <w:sz w:val="21"/>
                <w:szCs w:val="24"/>
                <w:lang w:val="en-US" w:eastAsia="zh-CN" w:bidi="ar-SA"/>
              </w:rPr>
            </w:pPr>
            <w:r>
              <w:rPr>
                <w:rFonts w:hint="eastAsia" w:asciiTheme="minorEastAsia" w:hAnsiTheme="minorEastAsia" w:eastAsiaTheme="minorEastAsia" w:cstheme="minorEastAsia"/>
                <w:b/>
                <w:bCs/>
                <w:color w:val="auto"/>
                <w:spacing w:val="-6"/>
                <w:kern w:val="2"/>
                <w:sz w:val="21"/>
                <w:szCs w:val="24"/>
                <w:shd w:val="clear"/>
                <w:lang w:val="en-US" w:eastAsia="zh-CN" w:bidi="ar-SA"/>
              </w:rPr>
              <w:t>3.若不同供应商的核心产品为同一品牌，按单一产品的规则进行处理，若仅非核心产品出自同厂家品牌，各供应商可正常参与评审，不合并认定。</w:t>
            </w:r>
          </w:p>
        </w:tc>
      </w:tr>
      <w:tr w14:paraId="7117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2" w:hRule="exact"/>
        </w:trPr>
        <w:tc>
          <w:tcPr>
            <w:tcW w:w="879" w:type="dxa"/>
            <w:tcBorders>
              <w:top w:val="single" w:color="auto" w:sz="4" w:space="0"/>
              <w:left w:val="single" w:color="auto" w:sz="4" w:space="0"/>
              <w:bottom w:val="single" w:color="auto" w:sz="4" w:space="0"/>
              <w:right w:val="single" w:color="auto" w:sz="4" w:space="0"/>
            </w:tcBorders>
            <w:vAlign w:val="center"/>
          </w:tcPr>
          <w:p w14:paraId="3F280CF5">
            <w:pPr>
              <w:keepNext w:val="0"/>
              <w:keepLines w:val="0"/>
              <w:suppressLineNumbers w:val="0"/>
              <w:spacing w:beforeAutospacing="0" w:afterAutospacing="0" w:line="40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w:t>
            </w:r>
          </w:p>
        </w:tc>
        <w:tc>
          <w:tcPr>
            <w:tcW w:w="8932" w:type="dxa"/>
            <w:gridSpan w:val="2"/>
            <w:tcBorders>
              <w:top w:val="single" w:color="auto" w:sz="4" w:space="0"/>
              <w:left w:val="single" w:color="auto" w:sz="4" w:space="0"/>
              <w:bottom w:val="single" w:color="auto" w:sz="4" w:space="0"/>
              <w:right w:val="single" w:color="auto" w:sz="4" w:space="0"/>
            </w:tcBorders>
            <w:vAlign w:val="center"/>
          </w:tcPr>
          <w:p w14:paraId="687EF974">
            <w:pPr>
              <w:keepNext w:val="0"/>
              <w:keepLines w:val="0"/>
              <w:pageBreakBefore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特别提醒：</w:t>
            </w:r>
          </w:p>
          <w:p w14:paraId="5E4DF373">
            <w:pPr>
              <w:keepNext w:val="0"/>
              <w:keepLines w:val="0"/>
              <w:pageBreakBefore w:val="0"/>
              <w:numPr>
                <w:ilvl w:val="0"/>
                <w:numId w:val="9"/>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为支持和促进中小企业发展，进一步发挥政府采购政策功能作用，有效缓解中小企业融资难等问题，根据财政部财库【2011】124 号文件的精神，陕西省财政厅制订了（陕西省财政厅关于印发《陕西省中小企业政府采购信用融资办法》）陕财办采〔2018〕23号，为参与陕西省政府采购项目的供应商提供政府采购信用担保，并按照程序确定了合作的担保机构。投标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录陕西省政府采购网（www.ccgp-shaanxi.gov.cn/）重要通知专栏中查询了解。</w:t>
            </w:r>
          </w:p>
          <w:p w14:paraId="357C55C1">
            <w:pPr>
              <w:pStyle w:val="14"/>
              <w:keepNext w:val="0"/>
              <w:keepLines w:val="0"/>
              <w:pageBreakBefore w:val="0"/>
              <w:widowControl w:val="0"/>
              <w:numPr>
                <w:ilvl w:val="0"/>
                <w:numId w:val="0"/>
              </w:numPr>
              <w:suppressLineNumbers w:val="0"/>
              <w:kinsoku/>
              <w:wordWrap/>
              <w:overflowPunct/>
              <w:topLinePunct w:val="0"/>
              <w:autoSpaceDE w:val="0"/>
              <w:autoSpaceDN w:val="0"/>
              <w:bidi w:val="0"/>
              <w:adjustRightInd/>
              <w:snapToGrid w:val="0"/>
              <w:spacing w:beforeAutospacing="0" w:afterAutospacing="0" w:line="360" w:lineRule="auto"/>
              <w:ind w:right="0" w:rightChars="0"/>
              <w:textAlignment w:val="auto"/>
              <w:rPr>
                <w:rFonts w:hint="eastAsia" w:asciiTheme="minorEastAsia" w:hAnsiTheme="minorEastAsia" w:eastAsiaTheme="minorEastAsia" w:cstheme="minorEastAsia"/>
                <w:b/>
                <w:bCs/>
                <w:color w:val="auto"/>
                <w:kern w:val="0"/>
                <w:sz w:val="24"/>
                <w:szCs w:val="24"/>
                <w:lang w:val="en-US" w:eastAsia="zh-CN" w:bidi="zh-CN"/>
              </w:rPr>
            </w:pPr>
            <w:r>
              <w:rPr>
                <w:rFonts w:hint="eastAsia" w:asciiTheme="minorEastAsia" w:hAnsiTheme="minorEastAsia" w:eastAsiaTheme="minorEastAsia" w:cstheme="minorEastAsia"/>
                <w:b/>
                <w:bCs/>
                <w:color w:val="auto"/>
                <w:kern w:val="0"/>
                <w:sz w:val="24"/>
                <w:szCs w:val="24"/>
                <w:lang w:val="en-US" w:eastAsia="zh-CN" w:bidi="zh-CN"/>
              </w:rPr>
              <w:t>2、供应商提供的货物既有中小企业制造货物，也有大型企业制造货物的，不享受中小企业扶持政策。享受中小企业扶持政策获得政府采购合同的，小微企业不得将合同分包给大中型企业， 中型企业不得将合同分包给大型企业。</w:t>
            </w:r>
          </w:p>
          <w:p w14:paraId="2A996A20">
            <w:pPr>
              <w:pStyle w:val="14"/>
              <w:keepNext w:val="0"/>
              <w:keepLines w:val="0"/>
              <w:pageBreakBefore w:val="0"/>
              <w:widowControl w:val="0"/>
              <w:numPr>
                <w:ilvl w:val="0"/>
                <w:numId w:val="0"/>
              </w:numPr>
              <w:suppressLineNumbers w:val="0"/>
              <w:kinsoku/>
              <w:wordWrap/>
              <w:overflowPunct/>
              <w:topLinePunct w:val="0"/>
              <w:autoSpaceDE w:val="0"/>
              <w:autoSpaceDN w:val="0"/>
              <w:bidi w:val="0"/>
              <w:adjustRightInd/>
              <w:snapToGrid w:val="0"/>
              <w:spacing w:beforeAutospacing="0" w:afterAutospacing="0" w:line="360" w:lineRule="auto"/>
              <w:ind w:right="0" w:rightChars="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color w:val="auto"/>
                <w:kern w:val="0"/>
                <w:sz w:val="24"/>
                <w:szCs w:val="24"/>
                <w:lang w:val="en-US" w:eastAsia="zh-CN" w:bidi="zh-CN"/>
              </w:rPr>
              <w:t>3、依照《中小企业划型标准规定》（工信部联企业（2011) 300号），本项目所属行业对应小微行业划型标准为：工业。即：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凡供应商所提供的《中小企业声明函》内容不实的，属于提供虚假材料谋取中标、成交，将依照《中华人民共和国政府采购法》等国家有关规定追究相应责任。</w:t>
            </w:r>
          </w:p>
        </w:tc>
      </w:tr>
    </w:tbl>
    <w:p w14:paraId="022ACD9C">
      <w:pPr>
        <w:pStyle w:val="9"/>
        <w:numPr>
          <w:ilvl w:val="0"/>
          <w:numId w:val="0"/>
        </w:numPr>
        <w:ind w:left="2676" w:leftChars="0" w:right="0" w:rightChars="0"/>
        <w:jc w:val="both"/>
        <w:rPr>
          <w:rFonts w:hint="default" w:ascii="宋体" w:hAnsi="宋体" w:eastAsia="宋体" w:cs="宋体"/>
          <w:b/>
          <w:sz w:val="32"/>
          <w:szCs w:val="22"/>
          <w:lang w:val="en-US" w:eastAsia="zh-CN" w:bidi="zh-CN"/>
        </w:rPr>
      </w:pPr>
    </w:p>
    <w:p w14:paraId="481AB776">
      <w:pPr>
        <w:pStyle w:val="9"/>
        <w:numPr>
          <w:ilvl w:val="0"/>
          <w:numId w:val="0"/>
        </w:numPr>
        <w:ind w:left="2676" w:leftChars="0" w:right="0" w:rightChars="0"/>
        <w:jc w:val="both"/>
        <w:rPr>
          <w:rFonts w:hint="default" w:ascii="宋体" w:hAnsi="宋体" w:eastAsia="宋体" w:cs="宋体"/>
          <w:b/>
          <w:sz w:val="32"/>
          <w:szCs w:val="22"/>
          <w:lang w:val="en-US" w:eastAsia="zh-CN" w:bidi="zh-CN"/>
        </w:rPr>
      </w:pPr>
    </w:p>
    <w:p w14:paraId="6C08CB96">
      <w:pPr>
        <w:pStyle w:val="9"/>
        <w:numPr>
          <w:ilvl w:val="0"/>
          <w:numId w:val="0"/>
        </w:numPr>
        <w:ind w:left="2676" w:leftChars="0" w:right="0" w:rightChars="0"/>
        <w:jc w:val="both"/>
        <w:rPr>
          <w:rFonts w:hint="default" w:ascii="宋体" w:hAnsi="宋体" w:eastAsia="宋体" w:cs="宋体"/>
          <w:b/>
          <w:sz w:val="32"/>
          <w:szCs w:val="22"/>
          <w:lang w:val="en-US" w:eastAsia="zh-CN" w:bidi="zh-CN"/>
        </w:rPr>
      </w:pPr>
    </w:p>
    <w:p w14:paraId="6EB8D1CC">
      <w:pPr>
        <w:pStyle w:val="9"/>
        <w:numPr>
          <w:ilvl w:val="0"/>
          <w:numId w:val="0"/>
        </w:numPr>
        <w:ind w:left="2676" w:leftChars="0" w:right="0" w:rightChars="0"/>
        <w:jc w:val="both"/>
        <w:rPr>
          <w:rFonts w:hint="default" w:ascii="宋体" w:hAnsi="宋体" w:eastAsia="宋体" w:cs="宋体"/>
          <w:b/>
          <w:sz w:val="32"/>
          <w:szCs w:val="22"/>
          <w:lang w:val="en-US" w:eastAsia="zh-CN" w:bidi="zh-CN"/>
        </w:rPr>
      </w:pPr>
    </w:p>
    <w:p w14:paraId="567C9E06">
      <w:pPr>
        <w:pStyle w:val="9"/>
        <w:numPr>
          <w:ilvl w:val="0"/>
          <w:numId w:val="0"/>
        </w:numPr>
        <w:ind w:left="2676" w:leftChars="0" w:right="0" w:rightChars="0"/>
        <w:jc w:val="both"/>
        <w:rPr>
          <w:rFonts w:hint="default" w:ascii="宋体" w:hAnsi="宋体" w:eastAsia="宋体" w:cs="宋体"/>
          <w:b/>
          <w:sz w:val="32"/>
          <w:szCs w:val="22"/>
          <w:lang w:val="en-US" w:eastAsia="zh-CN" w:bidi="zh-CN"/>
        </w:rPr>
      </w:pPr>
    </w:p>
    <w:p w14:paraId="7446692F">
      <w:pPr>
        <w:pStyle w:val="5"/>
        <w:keepNext w:val="0"/>
        <w:keepLines w:val="0"/>
        <w:pageBreakBefore w:val="0"/>
        <w:widowControl w:val="0"/>
        <w:numPr>
          <w:ilvl w:val="0"/>
          <w:numId w:val="10"/>
        </w:numPr>
        <w:kinsoku/>
        <w:wordWrap/>
        <w:overflowPunct/>
        <w:topLinePunct w:val="0"/>
        <w:autoSpaceDE w:val="0"/>
        <w:autoSpaceDN w:val="0"/>
        <w:bidi w:val="0"/>
        <w:adjustRightInd/>
        <w:snapToGrid/>
        <w:spacing w:line="540" w:lineRule="exact"/>
        <w:ind w:left="348"/>
        <w:jc w:val="center"/>
        <w:textAlignment w:val="auto"/>
      </w:pPr>
      <w:bookmarkStart w:id="10" w:name="一、 总 则"/>
      <w:bookmarkEnd w:id="10"/>
      <w:r>
        <w:t>总 则</w:t>
      </w:r>
    </w:p>
    <w:p w14:paraId="31395339">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本次采购依据《中华人民共和国政府采购法》、《中华人民共和国政府采购法实施条例》及国家现行有关法律法规执行。</w:t>
      </w:r>
    </w:p>
    <w:p w14:paraId="6F35D622">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1" w:firstLineChars="42"/>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1.采购人、采购代理机构、监督管理机构</w:t>
      </w:r>
    </w:p>
    <w:p w14:paraId="0EE6B6C3">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1.1采购人：</w:t>
      </w:r>
      <w:r>
        <w:rPr>
          <w:rFonts w:hint="eastAsia" w:cs="宋体"/>
          <w:kern w:val="2"/>
          <w:sz w:val="24"/>
          <w:szCs w:val="24"/>
          <w:lang w:val="en-US" w:eastAsia="zh-CN" w:bidi="ar"/>
        </w:rPr>
        <w:t>石泉县市政园林所（石泉县城镇污水垃圾处理监测中心）</w:t>
      </w:r>
    </w:p>
    <w:p w14:paraId="0344EFE6">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1.2</w:t>
      </w:r>
      <w:r>
        <w:rPr>
          <w:rFonts w:hint="eastAsia" w:ascii="宋体" w:hAnsi="宋体" w:eastAsia="宋体" w:cs="宋体"/>
          <w:kern w:val="2"/>
          <w:sz w:val="24"/>
          <w:szCs w:val="24"/>
          <w:lang w:val="en-US" w:eastAsia="zh-CN" w:bidi="ar"/>
        </w:rPr>
        <w:t xml:space="preserve">采购代理机构： </w:t>
      </w:r>
      <w:r>
        <w:rPr>
          <w:rFonts w:hint="eastAsia" w:cs="宋体"/>
          <w:kern w:val="2"/>
          <w:sz w:val="24"/>
          <w:szCs w:val="24"/>
          <w:lang w:val="en-US" w:eastAsia="zh-CN" w:bidi="ar"/>
        </w:rPr>
        <w:t>亿诚建设项目管理有限公司</w:t>
      </w:r>
    </w:p>
    <w:p w14:paraId="2CEB3565">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1.3</w:t>
      </w:r>
      <w:r>
        <w:rPr>
          <w:rFonts w:hint="eastAsia" w:ascii="宋体" w:hAnsi="宋体" w:eastAsia="宋体" w:cs="宋体"/>
          <w:kern w:val="2"/>
          <w:sz w:val="24"/>
          <w:szCs w:val="24"/>
          <w:lang w:val="en-US" w:eastAsia="zh-CN" w:bidi="ar"/>
        </w:rPr>
        <w:t>监督管理机构：石泉县政府采购管理股</w:t>
      </w:r>
    </w:p>
    <w:p w14:paraId="6EA9F8EE">
      <w:pPr>
        <w:pStyle w:val="3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41" w:after="0" w:line="540" w:lineRule="exact"/>
        <w:ind w:right="3470" w:rightChars="0" w:firstLine="482" w:firstLineChars="200"/>
        <w:jc w:val="left"/>
        <w:textAlignment w:val="auto"/>
        <w:rPr>
          <w:b/>
          <w:sz w:val="24"/>
        </w:rPr>
      </w:pPr>
      <w:r>
        <w:rPr>
          <w:rFonts w:hint="eastAsia"/>
          <w:b/>
          <w:sz w:val="24"/>
          <w:lang w:val="en-US" w:eastAsia="zh-CN"/>
        </w:rPr>
        <w:t>2.</w:t>
      </w:r>
      <w:r>
        <w:rPr>
          <w:b/>
          <w:sz w:val="24"/>
        </w:rPr>
        <w:t>合格的供应商条件</w:t>
      </w:r>
    </w:p>
    <w:p w14:paraId="08E23BDE">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2.1基本资格条件：符合《中华人民共和国政府采购法》第二十二条的规定；</w:t>
      </w:r>
    </w:p>
    <w:p w14:paraId="4BEA8AF5">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2.1.1 </w:t>
      </w:r>
      <w:r>
        <w:rPr>
          <w:rFonts w:hint="eastAsia" w:ascii="宋体" w:hAnsi="宋体" w:eastAsia="宋体" w:cs="宋体"/>
          <w:kern w:val="2"/>
          <w:sz w:val="24"/>
          <w:szCs w:val="24"/>
          <w:lang w:val="en-US" w:eastAsia="zh-CN" w:bidi="ar"/>
        </w:rPr>
        <w:t>特定资格条件：</w:t>
      </w:r>
    </w:p>
    <w:p w14:paraId="60E13D89">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自然人只需提交身份证）； </w:t>
      </w:r>
    </w:p>
    <w:p w14:paraId="26082A05">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2"/>
          <w:sz w:val="24"/>
          <w:szCs w:val="24"/>
          <w:lang w:eastAsia="zh-CN"/>
        </w:rPr>
        <w:t>）法定代表人直接参加投标的，须出具法定代表人身份证；法定代表人授权代表参加投标的，须出具法定代表人授权委托书、法定代表人身份证复印件以及被授权代表身份证复印件；</w:t>
      </w:r>
    </w:p>
    <w:p w14:paraId="2722AF39">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lang w:eastAsia="zh-CN"/>
        </w:rPr>
        <w:t>）财务状况报告：</w:t>
      </w:r>
      <w:r>
        <w:rPr>
          <w:rFonts w:hint="eastAsia" w:asciiTheme="minorEastAsia" w:hAnsiTheme="minorEastAsia" w:eastAsiaTheme="minorEastAsia" w:cstheme="minorEastAsia"/>
          <w:color w:val="auto"/>
          <w:kern w:val="2"/>
          <w:sz w:val="24"/>
          <w:szCs w:val="24"/>
          <w:lang w:val="en-US" w:eastAsia="zh-CN"/>
        </w:rPr>
        <w:t xml:space="preserve">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p w14:paraId="7844D134">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4</w:t>
      </w:r>
      <w:r>
        <w:rPr>
          <w:rFonts w:hint="eastAsia" w:asciiTheme="minorEastAsia" w:hAnsiTheme="minorEastAsia" w:eastAsiaTheme="minorEastAsia" w:cstheme="minorEastAsia"/>
          <w:color w:val="auto"/>
          <w:kern w:val="2"/>
          <w:sz w:val="24"/>
          <w:szCs w:val="24"/>
          <w:lang w:eastAsia="zh-CN"/>
        </w:rPr>
        <w:t>）社会保障资金缴纳证明：自</w:t>
      </w:r>
      <w:r>
        <w:rPr>
          <w:rFonts w:hint="eastAsia" w:asciiTheme="minorEastAsia" w:hAnsiTheme="minorEastAsia" w:eastAsiaTheme="minorEastAsia" w:cstheme="minorEastAsia"/>
          <w:color w:val="auto"/>
          <w:kern w:val="2"/>
          <w:sz w:val="24"/>
          <w:szCs w:val="24"/>
          <w:lang w:val="en-US" w:eastAsia="zh-CN"/>
        </w:rPr>
        <w:t>2025</w:t>
      </w:r>
      <w:r>
        <w:rPr>
          <w:rFonts w:hint="eastAsia" w:asciiTheme="minorEastAsia" w:hAnsiTheme="minorEastAsia" w:eastAsiaTheme="minorEastAsia" w:cstheme="minorEastAsia"/>
          <w:color w:val="auto"/>
          <w:kern w:val="2"/>
          <w:sz w:val="24"/>
          <w:szCs w:val="24"/>
          <w:lang w:eastAsia="zh-CN"/>
        </w:rPr>
        <w:t>年</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月1日以来已缴存的至少</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个月的社会保障资金缴存单据或社保机构开具的社会保险参保缴费情况证明，单据或证明上应有社保机构或代收机构的印章。依法不需要缴纳社会保障资金的供应商应提供相关文件证明；</w:t>
      </w:r>
    </w:p>
    <w:p w14:paraId="2485981D">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5</w:t>
      </w:r>
      <w:r>
        <w:rPr>
          <w:rFonts w:hint="eastAsia" w:asciiTheme="minorEastAsia" w:hAnsiTheme="minorEastAsia" w:eastAsiaTheme="minorEastAsia" w:cstheme="minorEastAsia"/>
          <w:color w:val="auto"/>
          <w:kern w:val="2"/>
          <w:sz w:val="24"/>
          <w:szCs w:val="24"/>
          <w:lang w:eastAsia="zh-CN"/>
        </w:rPr>
        <w:t>）税收缴纳证明：自</w:t>
      </w:r>
      <w:r>
        <w:rPr>
          <w:rFonts w:hint="eastAsia" w:asciiTheme="minorEastAsia" w:hAnsiTheme="minorEastAsia" w:eastAsiaTheme="minorEastAsia" w:cstheme="minorEastAsia"/>
          <w:color w:val="auto"/>
          <w:kern w:val="2"/>
          <w:sz w:val="24"/>
          <w:szCs w:val="24"/>
          <w:lang w:val="en-US" w:eastAsia="zh-CN"/>
        </w:rPr>
        <w:t>2025</w:t>
      </w:r>
      <w:r>
        <w:rPr>
          <w:rFonts w:hint="eastAsia" w:asciiTheme="minorEastAsia" w:hAnsiTheme="minorEastAsia" w:eastAsiaTheme="minorEastAsia" w:cstheme="minorEastAsia"/>
          <w:color w:val="auto"/>
          <w:kern w:val="2"/>
          <w:sz w:val="24"/>
          <w:szCs w:val="24"/>
          <w:lang w:eastAsia="zh-CN"/>
        </w:rPr>
        <w:t>年</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月1日以来至少</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个月的纳税证明或完税证明（提供增值税、企业所得税至少一种），纳税证明或完税证明上应有代收机构或税务机关的公章或业务专用章。依法免税的供应商应提供相关文件证明；</w:t>
      </w:r>
    </w:p>
    <w:p w14:paraId="53572971">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6</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24EA2EB2">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（7）参加本次政府采购活动前三年内，在经营活动中没有重大违法记录声明；</w:t>
      </w:r>
    </w:p>
    <w:p w14:paraId="0CA7C135">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（8）供应商具有履行合同所必需的设备和专业技术能力的书面声明；</w:t>
      </w:r>
    </w:p>
    <w:p w14:paraId="5BD36476">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（9）供应商应提供中小企业声明函或残疾人福利性单位声明函或监狱企业证明文件；</w:t>
      </w:r>
    </w:p>
    <w:p w14:paraId="37804EAA">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（10）本项目不接受联合体投标（提供书面声明）。</w:t>
      </w:r>
    </w:p>
    <w:p w14:paraId="13D48DCA">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2.1.2 供应商必须从采购代理机构进行报名确认，未从采购代理机构报名确认的潜在供应商均无资格参加谈判。</w:t>
      </w:r>
    </w:p>
    <w:p w14:paraId="0B590C41">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2.1.3 本项目不接受联合体谈判。</w:t>
      </w:r>
    </w:p>
    <w:p w14:paraId="7B99B924">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2.2 合格的工程与服务</w:t>
      </w:r>
    </w:p>
    <w:p w14:paraId="2D276E5A">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2.2.1 </w:t>
      </w:r>
      <w:r>
        <w:rPr>
          <w:rFonts w:hint="eastAsia" w:ascii="宋体" w:hAnsi="宋体" w:eastAsia="宋体" w:cs="宋体"/>
          <w:kern w:val="2"/>
          <w:sz w:val="24"/>
          <w:szCs w:val="24"/>
          <w:lang w:val="en-US" w:eastAsia="zh-CN" w:bidi="ar"/>
        </w:rPr>
        <w:t>本次谈判所用货物及其有关服务，均应来自上述2.1 条款所规定的合格供应商。</w:t>
      </w:r>
    </w:p>
    <w:p w14:paraId="3F2C2253">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2.2.2 </w:t>
      </w:r>
      <w:r>
        <w:rPr>
          <w:rFonts w:hint="eastAsia" w:ascii="宋体" w:hAnsi="宋体" w:eastAsia="宋体" w:cs="宋体"/>
          <w:kern w:val="2"/>
          <w:sz w:val="24"/>
          <w:szCs w:val="24"/>
          <w:lang w:val="en-US" w:eastAsia="zh-CN" w:bidi="ar"/>
        </w:rPr>
        <w:t>货物系指供应商按谈判文件规定，向采购人提供的符合谈判文件要求的相关的货物。</w:t>
      </w:r>
    </w:p>
    <w:p w14:paraId="63271E30">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2.2.3 </w:t>
      </w:r>
      <w:r>
        <w:rPr>
          <w:rFonts w:hint="eastAsia" w:ascii="宋体" w:hAnsi="宋体" w:eastAsia="宋体" w:cs="宋体"/>
          <w:kern w:val="2"/>
          <w:sz w:val="24"/>
          <w:szCs w:val="24"/>
          <w:lang w:val="en-US" w:eastAsia="zh-CN" w:bidi="ar"/>
        </w:rPr>
        <w:t>服务系指谈判文件规定的，供应商须承担的与谈判工程有关的辅助服务， 如包装、运输、保险、售后服务以及其他类似的义务。</w:t>
      </w:r>
    </w:p>
    <w:p w14:paraId="235F06E2">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3.</w:t>
      </w:r>
      <w:r>
        <w:rPr>
          <w:rFonts w:hint="eastAsia" w:ascii="宋体" w:hAnsi="宋体" w:eastAsia="宋体" w:cs="宋体"/>
          <w:b/>
          <w:bCs/>
          <w:kern w:val="2"/>
          <w:sz w:val="24"/>
          <w:szCs w:val="24"/>
          <w:lang w:val="en-US" w:eastAsia="zh-CN" w:bidi="ar"/>
        </w:rPr>
        <w:t>谈判费用</w:t>
      </w:r>
    </w:p>
    <w:p w14:paraId="7FA14F3B">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cs="宋体"/>
          <w:kern w:val="2"/>
          <w:sz w:val="24"/>
          <w:szCs w:val="24"/>
          <w:lang w:val="en-US" w:eastAsia="zh-CN" w:bidi="ar"/>
        </w:rPr>
      </w:pPr>
      <w:r>
        <w:rPr>
          <w:rFonts w:hint="eastAsia" w:cs="宋体"/>
          <w:kern w:val="2"/>
          <w:sz w:val="24"/>
          <w:szCs w:val="24"/>
          <w:lang w:val="en-US" w:eastAsia="zh-CN" w:bidi="ar"/>
        </w:rPr>
        <w:t>供应商应承担所有与准备和参加谈判有关的费用。</w:t>
      </w:r>
    </w:p>
    <w:p w14:paraId="66151A15">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2" w:firstLineChars="200"/>
        <w:textAlignment w:val="auto"/>
        <w:rPr>
          <w:rFonts w:hint="eastAsia" w:cs="宋体"/>
          <w:b/>
          <w:bCs/>
          <w:kern w:val="2"/>
          <w:sz w:val="24"/>
          <w:szCs w:val="24"/>
          <w:lang w:val="en-US" w:eastAsia="zh-CN" w:bidi="ar"/>
        </w:rPr>
      </w:pPr>
      <w:r>
        <w:rPr>
          <w:rFonts w:hint="eastAsia" w:cs="宋体"/>
          <w:b/>
          <w:bCs/>
          <w:kern w:val="2"/>
          <w:sz w:val="24"/>
          <w:szCs w:val="24"/>
          <w:lang w:val="en-US" w:eastAsia="zh-CN" w:bidi="ar"/>
        </w:rPr>
        <w:t>4.供应商注意事项</w:t>
      </w:r>
    </w:p>
    <w:p w14:paraId="28B01693">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5"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询问</w:t>
      </w:r>
    </w:p>
    <w:p w14:paraId="339ADE26">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供应商对政府采购活动事项有疑问的，可以向采购代理机构（邮箱：</w:t>
      </w:r>
      <w:r>
        <w:rPr>
          <w:rFonts w:hint="eastAsia" w:cs="宋体"/>
          <w:kern w:val="2"/>
          <w:sz w:val="24"/>
          <w:szCs w:val="24"/>
          <w:lang w:val="en-US" w:eastAsia="zh-CN" w:bidi="ar"/>
        </w:rPr>
        <w:t>1823762566</w:t>
      </w:r>
      <w:r>
        <w:rPr>
          <w:rFonts w:hint="eastAsia" w:ascii="宋体" w:hAnsi="宋体" w:eastAsia="宋体" w:cs="宋体"/>
          <w:kern w:val="2"/>
          <w:sz w:val="24"/>
          <w:szCs w:val="24"/>
          <w:lang w:val="en-US" w:eastAsia="zh-CN" w:bidi="ar"/>
        </w:rPr>
        <w:t>@qq.com）或采购人提出询问。采购代理机构或采购人将在 3 个工作日内对供应商依法提出的询问作出答复。</w:t>
      </w:r>
    </w:p>
    <w:p w14:paraId="5078F421">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供应商提出的询问超出采购人对采购代理机构委托授权范围的，采购代理机构告知供应商向采购人提出。</w:t>
      </w:r>
    </w:p>
    <w:p w14:paraId="68956A18">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（2）质疑和投诉</w:t>
      </w:r>
    </w:p>
    <w:p w14:paraId="4A309EC9">
      <w:pPr>
        <w:pStyle w:val="9"/>
        <w:keepNext w:val="0"/>
        <w:keepLines w:val="0"/>
        <w:pageBreakBefore w:val="0"/>
        <w:widowControl w:val="0"/>
        <w:kinsoku/>
        <w:wordWrap/>
        <w:overflowPunct/>
        <w:topLinePunct w:val="0"/>
        <w:autoSpaceDE w:val="0"/>
        <w:autoSpaceDN w:val="0"/>
        <w:bidi w:val="0"/>
        <w:adjustRightInd/>
        <w:snapToGrid/>
        <w:spacing w:before="141" w:line="540" w:lineRule="exact"/>
        <w:ind w:right="-5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供应商认为采购文件、采购过程或成交结果使自身的合法权益受到损害，可以在法定期限内，以书面形式向采购代理机构或采购人提出质疑。</w:t>
      </w:r>
    </w:p>
    <w:p w14:paraId="65AAA45A">
      <w:pPr>
        <w:pStyle w:val="3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50"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质疑书应当包括以下主要内容：被质疑项目名称、项目编号、标段、采购公告/成交公告发布时间、质疑事项、证据材料、法律依据（具体条款）、质疑人有效联系方式等。</w:t>
      </w:r>
    </w:p>
    <w:p w14:paraId="15A8CECC">
      <w:pPr>
        <w:pStyle w:val="3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5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质疑书应当由法定代表人签字并加盖鲜章，鲜章不得以合同章或其他印章代替。质疑人可以委托代理人办理质疑事项，代理人办理质疑事项时，除提交质疑书外， 还应当提交质疑人的授权委托书及代理人的有效身份证明，授权委托书应当载明委托代理的具体权限和事项。</w:t>
      </w:r>
    </w:p>
    <w:p w14:paraId="5C5E5D60">
      <w:pPr>
        <w:pStyle w:val="3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4"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有下列情形之一的，属于无效质疑，采购代理机构和采购人不予受理：</w:t>
      </w:r>
    </w:p>
    <w:p w14:paraId="07F63BBF">
      <w:pPr>
        <w:pStyle w:val="9"/>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①质疑人不是参与本次政府采购项目的供应商或潜在供应商；</w:t>
      </w:r>
    </w:p>
    <w:p w14:paraId="656FA03B">
      <w:pPr>
        <w:pStyle w:val="9"/>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②质疑人与质疑事项不存在利害关系的；</w:t>
      </w:r>
    </w:p>
    <w:p w14:paraId="16776192">
      <w:pPr>
        <w:pStyle w:val="9"/>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③未在法定期限内提出质疑的；</w:t>
      </w:r>
    </w:p>
    <w:p w14:paraId="165183D8">
      <w:pPr>
        <w:pStyle w:val="9"/>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④质疑未以书面形式提出，或质疑书主要内容构成不完整的；</w:t>
      </w:r>
    </w:p>
    <w:p w14:paraId="3B814BD3">
      <w:pPr>
        <w:pStyle w:val="9"/>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⑤质疑书没有合法有效的签字、盖章或授权的；</w:t>
      </w:r>
    </w:p>
    <w:p w14:paraId="6A6DA547">
      <w:pPr>
        <w:pStyle w:val="9"/>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⑥以非法手段取得证据、材料的；</w:t>
      </w:r>
    </w:p>
    <w:p w14:paraId="41385EBF">
      <w:pPr>
        <w:pStyle w:val="9"/>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⑦质疑答复后，同一质疑人就同一事项再次提出质疑的；</w:t>
      </w:r>
    </w:p>
    <w:p w14:paraId="52C5637D">
      <w:pPr>
        <w:pStyle w:val="9"/>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⑧不符合法律、法规、规章和政府采购监管机构规定的其他条件的。</w:t>
      </w:r>
    </w:p>
    <w:p w14:paraId="2E0A5C37">
      <w:pPr>
        <w:pStyle w:val="3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2" w:after="0" w:line="540" w:lineRule="exact"/>
        <w:ind w:right="-48" w:rightChars="-22"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采购代理机构或采购人将在收到书面质疑后 7 个工作日内按规定需要答复的，以书面形式通知质疑人和其他有关供应商，但答复的内容不应涉及商业秘密。</w:t>
      </w:r>
    </w:p>
    <w:p w14:paraId="6535C0C0">
      <w:pPr>
        <w:pStyle w:val="3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5）</w:t>
      </w:r>
      <w:r>
        <w:rPr>
          <w:rFonts w:hint="eastAsia" w:ascii="宋体" w:hAnsi="宋体" w:eastAsia="宋体" w:cs="宋体"/>
          <w:kern w:val="2"/>
          <w:sz w:val="24"/>
          <w:szCs w:val="24"/>
          <w:lang w:val="en-US" w:eastAsia="zh-CN" w:bidi="ar"/>
        </w:rPr>
        <w:t>质疑人对采购代理机构或采购人的答复不满意，以及采购代理机构或采购人未在规定时间内做出答复的，可以在答复期满后 15 个工作日内向政府采购监管机构提出投诉。</w:t>
      </w:r>
    </w:p>
    <w:p w14:paraId="0E01379D">
      <w:pPr>
        <w:pStyle w:val="3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6）</w:t>
      </w:r>
      <w:r>
        <w:rPr>
          <w:rFonts w:hint="eastAsia" w:ascii="宋体" w:hAnsi="宋体" w:eastAsia="宋体" w:cs="宋体"/>
          <w:kern w:val="2"/>
          <w:sz w:val="24"/>
          <w:szCs w:val="24"/>
          <w:lang w:val="en-US" w:eastAsia="zh-CN" w:bidi="ar"/>
        </w:rPr>
        <w:t>供应商投诉的事项不得超出已质疑事项的范围。</w:t>
      </w:r>
    </w:p>
    <w:p w14:paraId="4C6A5292">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关于对中小企业的优惠政策</w:t>
      </w:r>
    </w:p>
    <w:p w14:paraId="233C05D2">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1、1）《政府采购促进中小企业发展管理办法》（财库﹝2020﹞46 号）小型、微型企业应当同时符合以下条件：</w:t>
      </w:r>
    </w:p>
    <w:p w14:paraId="5D6E2A61">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①符合小微企业划分标准（中小企业划分标准是指国务院有关部门根据企业从业人员、营业收入、资产总额等指标制定的中小企业划型标准（工信部联企业〔2011〕300 号））。</w:t>
      </w:r>
    </w:p>
    <w:p w14:paraId="058D1221">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②提供本企业制造的货物、承担的工程或者服务，或者提供其他小微企业制造的货物，不包括提供或使用大型企业注册商标的货物。</w:t>
      </w:r>
    </w:p>
    <w:p w14:paraId="7D28EB89">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③小型、微型企业提供中型企业制造的货物的，视同为中型企业；小型、微型、中型企业提供大型企业制造的货物的，视同为大型企业。</w:t>
      </w:r>
    </w:p>
    <w:p w14:paraId="365AE886">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2）《财政部司法部关于政府采购支持监狱企业发展有关问题的通知》（财库〔2014〕68号）。</w:t>
      </w:r>
    </w:p>
    <w:p w14:paraId="546EC64C">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3）《国务院办公厅关于建立政府强制采购节能产品制度的通知》（国办发〔2007〕51号）。</w:t>
      </w:r>
    </w:p>
    <w:p w14:paraId="39163712">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4）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w:t>
      </w:r>
    </w:p>
    <w:p w14:paraId="4E4B773E">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5）监狱企业的价格评分标准</w:t>
      </w:r>
    </w:p>
    <w:p w14:paraId="5B151411">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①在政府采购活动中，监狱企业视同小型、微型企业，享受预留份额、评审中价格扣除等政府采购促进小微企业发展的政府采购政策。</w:t>
      </w:r>
    </w:p>
    <w:p w14:paraId="2D94F081">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 xml:space="preserve"> ②监狱企业参加政府采购活动时，应当提供由省级以上监狱管理局、戒毒管理局（含新疆生产建设兵团）出具的属于监狱企业的证明文件。</w:t>
      </w:r>
    </w:p>
    <w:p w14:paraId="2F07BA75">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③监狱企业按《财政部、司法部关于政府采购支持监狱企业发展有关问题的通知》（财库〔2014〕68号）文件规定标准执行。</w:t>
      </w:r>
    </w:p>
    <w:p w14:paraId="087D37A8">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④监狱企业视同小型、微型企业，享受评审中价格扣除等政府促进小微企业发展的政府采购政策</w:t>
      </w:r>
    </w:p>
    <w:p w14:paraId="1051FF4F">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6）监狱企业属于小型、微型企业的，不重复享受政策。</w:t>
      </w:r>
    </w:p>
    <w:p w14:paraId="330EBF4D">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7）残疾人福利性单位的价格评分标准</w:t>
      </w:r>
    </w:p>
    <w:p w14:paraId="582F67F1">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①在政府采购活动中，残疾人福利性单位视同小型、微型企业，享受预留份额、评审中价格扣除等政府采购促进小微企业发展的政府采购政策。</w:t>
      </w:r>
    </w:p>
    <w:p w14:paraId="5C7C5DB5">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②残疾人福利性单位属于小型、微型企业的，不重复享受政策。</w:t>
      </w:r>
    </w:p>
    <w:p w14:paraId="71573F58">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③符合条件的残疾人福利性单位在参加政府采购活动时，应当提供本通知规定的《残疾人福利性单位声明函》（式样见投标文件格式），并对声明的真实性负责，未提供的不视为残疾人福利性单位。</w:t>
      </w:r>
    </w:p>
    <w:p w14:paraId="07829E1E">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89）监狱和戒毒企业应符合《财政部 司法部关于政府采购支持监狱企业发展有关问题的通知》--财库[2014]68号文件规定，并提供由省级以上监狱管理局、戒毒管理局(含新疆生产建设兵团)出具的属于监狱企业的证明。</w:t>
      </w:r>
    </w:p>
    <w:p w14:paraId="6BCEEF89">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9）残疾人福利性单位应符合《财政部、民政部、中国残疾人联合会关于促进残疾人就业政府采购政策的通知》（财库[2017]141号）文件规定，并提供《残疾人福利性单位声明函》。</w:t>
      </w:r>
    </w:p>
    <w:p w14:paraId="45AFAAFF">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10）残疾人福利性、监狱企业单位属于小型、微型企业的，不重复享受政策。</w:t>
      </w:r>
    </w:p>
    <w:p w14:paraId="0CBBBFF3">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2、投标产品政府采购政策</w:t>
      </w:r>
    </w:p>
    <w:p w14:paraId="5716EF56">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2.1）、节能产品根据《国务院办公厅关于建立政府强制采购节能产品制度的通知》（国办发[2007]51号）的规定，以中国政府采购网（http://www.ccgp.gov.cn/）公布的最新一期节能产品政府采购清单为准。</w:t>
      </w:r>
    </w:p>
    <w:p w14:paraId="2D3443F1">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2）、投标人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 </w:t>
      </w:r>
    </w:p>
    <w:p w14:paraId="4DC81EE4">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3）、若节能、环保、环境标志清单内的产品仅是构成投标产品的部件、组件或零件的，则该投标产品不享受鼓励优惠政策。</w:t>
      </w:r>
    </w:p>
    <w:p w14:paraId="5D379BA0">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4）、同一项目的节能、环保、环境标志产品部分计分只对属于清单内的非强制类产品进行计分，强制类产品不给予计分。 </w:t>
      </w:r>
    </w:p>
    <w:p w14:paraId="12846F7C">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5）、节能、环保、环境标志产品不重复计分；同时列入国家级清单和省级清单的产品不重复计分。 </w:t>
      </w:r>
    </w:p>
    <w:p w14:paraId="77D2FA3E">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7）、获得上述认证的产品在投标时应提供有效证明材料。以上所有证明文件复印件须加盖投标人公章并注明“与原件一致”，否则不予计分。</w:t>
      </w:r>
    </w:p>
    <w:p w14:paraId="4AFDBBA5">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8）、投标人应如实提供以上证明文件，如存在虚假应标，将取消其投标资格。</w:t>
      </w:r>
    </w:p>
    <w:p w14:paraId="66131460">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cs="宋体"/>
          <w:kern w:val="2"/>
          <w:sz w:val="24"/>
          <w:szCs w:val="24"/>
          <w:lang w:val="en-US" w:eastAsia="zh-CN" w:bidi="ar"/>
        </w:rPr>
      </w:pPr>
      <w:r>
        <w:rPr>
          <w:rFonts w:hint="eastAsia" w:cs="宋体"/>
          <w:kern w:val="2"/>
          <w:sz w:val="24"/>
          <w:szCs w:val="24"/>
          <w:lang w:val="en-US" w:eastAsia="zh-CN" w:bidi="ar"/>
        </w:rPr>
        <w:t>注：本项目为专门面向中小企业项目，专门面向中小企业采购的项目，不再执行价格评审优惠的扶持政策</w:t>
      </w:r>
    </w:p>
    <w:p w14:paraId="532A8457">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关于节能、环保、绿色产品</w:t>
      </w:r>
    </w:p>
    <w:p w14:paraId="00B52F79">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5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14:paraId="3BBE1DBA">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5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39526D9A">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5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陕西省财政厅关于印发 《陕西省中小企业政府采购信用融资办法》（陕财办采[2018]23 号）</w:t>
      </w:r>
      <w:bookmarkStart w:id="11" w:name="二、谈判文件"/>
      <w:bookmarkEnd w:id="11"/>
    </w:p>
    <w:p w14:paraId="11049040">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50" w:rightChars="0" w:firstLine="480" w:firstLineChars="200"/>
        <w:textAlignment w:val="auto"/>
        <w:rPr>
          <w:rFonts w:hint="eastAsia" w:ascii="宋体" w:hAnsi="宋体" w:eastAsia="宋体" w:cs="宋体"/>
          <w:kern w:val="2"/>
          <w:sz w:val="24"/>
          <w:szCs w:val="24"/>
          <w:lang w:val="zh-CN" w:eastAsia="zh-CN" w:bidi="ar"/>
        </w:rPr>
      </w:pPr>
      <w:r>
        <w:rPr>
          <w:rFonts w:hint="eastAsia" w:ascii="宋体" w:hAnsi="宋体" w:eastAsia="宋体" w:cs="宋体"/>
          <w:kern w:val="2"/>
          <w:sz w:val="24"/>
          <w:szCs w:val="24"/>
          <w:lang w:val="en-US" w:eastAsia="zh-CN" w:bidi="ar"/>
        </w:rPr>
        <w:t>为支持和促进</w:t>
      </w:r>
      <w:r>
        <w:rPr>
          <w:rFonts w:hint="eastAsia" w:cs="宋体"/>
          <w:kern w:val="2"/>
          <w:sz w:val="24"/>
          <w:szCs w:val="24"/>
          <w:lang w:val="en-US" w:eastAsia="zh-CN" w:bidi="ar"/>
        </w:rPr>
        <w:t>中小</w:t>
      </w:r>
      <w:r>
        <w:rPr>
          <w:rFonts w:hint="eastAsia" w:ascii="宋体" w:hAnsi="宋体" w:eastAsia="宋体" w:cs="宋体"/>
          <w:kern w:val="2"/>
          <w:sz w:val="24"/>
          <w:szCs w:val="24"/>
          <w:lang w:val="en-US" w:eastAsia="zh-CN" w:bidi="ar"/>
        </w:rPr>
        <w:t>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14:paraId="06AE90F4">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二、谈判文件</w:t>
      </w:r>
    </w:p>
    <w:p w14:paraId="671B515A">
      <w:pPr>
        <w:pStyle w:val="3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4</w:t>
      </w:r>
      <w:r>
        <w:rPr>
          <w:rFonts w:hint="eastAsia" w:ascii="宋体" w:hAnsi="宋体" w:eastAsia="宋体" w:cs="宋体"/>
          <w:b/>
          <w:bCs/>
          <w:kern w:val="2"/>
          <w:sz w:val="24"/>
          <w:szCs w:val="24"/>
          <w:lang w:val="en-US" w:eastAsia="zh-CN" w:bidi="ar"/>
        </w:rPr>
        <w:t>.谈判文件构成</w:t>
      </w:r>
    </w:p>
    <w:p w14:paraId="7B1C4E95">
      <w:pPr>
        <w:pStyle w:val="3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谈判文件包括下列内容： </w:t>
      </w:r>
    </w:p>
    <w:p w14:paraId="3AA68500">
      <w:pPr>
        <w:pStyle w:val="3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第一章</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竞争性谈判公告</w:t>
      </w:r>
    </w:p>
    <w:p w14:paraId="19FA3443">
      <w:pPr>
        <w:pStyle w:val="9"/>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第二章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谈判须知</w:t>
      </w:r>
    </w:p>
    <w:p w14:paraId="3DAC81D3">
      <w:pPr>
        <w:pStyle w:val="9"/>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采购内容与</w:t>
      </w:r>
      <w:r>
        <w:rPr>
          <w:rFonts w:hint="eastAsia" w:cs="宋体"/>
          <w:kern w:val="2"/>
          <w:sz w:val="24"/>
          <w:szCs w:val="24"/>
          <w:lang w:val="en-US" w:eastAsia="zh-CN" w:bidi="ar"/>
        </w:rPr>
        <w:t>服务</w:t>
      </w:r>
      <w:r>
        <w:rPr>
          <w:rFonts w:hint="eastAsia" w:ascii="宋体" w:hAnsi="宋体" w:eastAsia="宋体" w:cs="宋体"/>
          <w:kern w:val="2"/>
          <w:sz w:val="24"/>
          <w:szCs w:val="24"/>
          <w:lang w:val="en-US" w:eastAsia="zh-CN" w:bidi="ar"/>
        </w:rPr>
        <w:t>要求</w:t>
      </w:r>
    </w:p>
    <w:p w14:paraId="30DDE7AD">
      <w:pPr>
        <w:pStyle w:val="9"/>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合同主要条款</w:t>
      </w:r>
    </w:p>
    <w:p w14:paraId="423C6B7A">
      <w:pPr>
        <w:pStyle w:val="9"/>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第五章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谈判响应文件格式</w:t>
      </w:r>
    </w:p>
    <w:p w14:paraId="1A8C40B8">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5</w:t>
      </w:r>
      <w:r>
        <w:rPr>
          <w:rFonts w:hint="eastAsia" w:ascii="宋体" w:hAnsi="宋体" w:eastAsia="宋体" w:cs="宋体"/>
          <w:b/>
          <w:bCs/>
          <w:kern w:val="2"/>
          <w:sz w:val="24"/>
          <w:szCs w:val="24"/>
          <w:lang w:val="en-US" w:eastAsia="zh-CN" w:bidi="ar"/>
        </w:rPr>
        <w:t>.谈判文件的澄清和修改</w:t>
      </w:r>
    </w:p>
    <w:p w14:paraId="09C6D303">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5.1 </w:t>
      </w:r>
      <w:r>
        <w:rPr>
          <w:rFonts w:hint="eastAsia" w:ascii="宋体" w:hAnsi="宋体" w:eastAsia="宋体" w:cs="宋体"/>
          <w:kern w:val="2"/>
          <w:sz w:val="24"/>
          <w:szCs w:val="24"/>
          <w:lang w:val="en-US" w:eastAsia="zh-CN" w:bidi="ar"/>
        </w:rPr>
        <w:t>任何要求对谈判文件进行澄清的响应供应商均应在谈判响应文件递交截止期 3 日前以书面形式通知采购代理机构，采购代理机构对供应商所要求澄清的内容以书面形式予以答复。供应商在规定的时间内未要求对谈判文件澄清或提出疑问的，将视其为无异议。对谈判文件中描述有歧意或前后不一致的地方，谈判小组有权进行评判，但对同一条款的评判应适用于每个供应商。</w:t>
      </w:r>
    </w:p>
    <w:p w14:paraId="398A8C8E">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5.2 </w:t>
      </w:r>
      <w:r>
        <w:rPr>
          <w:rFonts w:hint="eastAsia" w:ascii="宋体" w:hAnsi="宋体" w:eastAsia="宋体" w:cs="宋体"/>
          <w:kern w:val="2"/>
          <w:sz w:val="24"/>
          <w:szCs w:val="24"/>
          <w:lang w:val="en-US" w:eastAsia="zh-CN" w:bidi="ar"/>
        </w:rPr>
        <w:t>采购代理机构对谈判文件的修改将以书面形式发给所有谈判文件收受人，该修改书将构成谈判文件的一部分,对供应商有约束力。供应商在收到通知后应立即以电话、传真或其他书面形式予以确认。</w:t>
      </w:r>
    </w:p>
    <w:p w14:paraId="436574AF">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5.3 </w:t>
      </w:r>
      <w:r>
        <w:rPr>
          <w:rFonts w:hint="eastAsia" w:ascii="宋体" w:hAnsi="宋体" w:eastAsia="宋体" w:cs="宋体"/>
          <w:kern w:val="2"/>
          <w:sz w:val="24"/>
          <w:szCs w:val="24"/>
          <w:lang w:val="en-US" w:eastAsia="zh-CN" w:bidi="ar"/>
        </w:rPr>
        <w:t>在谈判过程中，谈判文件如有实质性变动的，谈判小组应当以书面形式通知所有参加谈判的供应商。</w:t>
      </w:r>
    </w:p>
    <w:p w14:paraId="15DC88DB">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5.4 </w:t>
      </w:r>
      <w:r>
        <w:rPr>
          <w:rFonts w:hint="eastAsia" w:ascii="宋体" w:hAnsi="宋体" w:eastAsia="宋体" w:cs="宋体"/>
          <w:kern w:val="2"/>
          <w:sz w:val="24"/>
          <w:szCs w:val="24"/>
          <w:lang w:val="en-US" w:eastAsia="zh-CN" w:bidi="ar"/>
        </w:rPr>
        <w:t>招标采购单位可以视采购具体情况，延长谈判截止时间和谈判时间，并将变更时间书面通知所有谈判文件收受人。</w:t>
      </w:r>
    </w:p>
    <w:p w14:paraId="36B9BB62">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6.</w:t>
      </w:r>
      <w:r>
        <w:rPr>
          <w:rFonts w:hint="eastAsia" w:ascii="宋体" w:hAnsi="宋体" w:eastAsia="宋体" w:cs="宋体"/>
          <w:b/>
          <w:bCs/>
          <w:kern w:val="2"/>
          <w:sz w:val="24"/>
          <w:szCs w:val="24"/>
          <w:lang w:val="en-US" w:eastAsia="zh-CN" w:bidi="ar"/>
        </w:rPr>
        <w:t>谈判文件的解释权归采购单位及采购代理机构。</w:t>
      </w:r>
    </w:p>
    <w:p w14:paraId="54561260">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宋体" w:hAnsi="宋体" w:eastAsia="宋体" w:cs="宋体"/>
          <w:b/>
          <w:bCs/>
          <w:kern w:val="2"/>
          <w:sz w:val="24"/>
          <w:szCs w:val="24"/>
          <w:lang w:val="en-US" w:eastAsia="zh-CN" w:bidi="ar"/>
        </w:rPr>
      </w:pPr>
      <w:bookmarkStart w:id="12" w:name="三、谈判响应文件的编制"/>
      <w:bookmarkEnd w:id="12"/>
      <w:r>
        <w:rPr>
          <w:rFonts w:hint="eastAsia" w:ascii="宋体" w:hAnsi="宋体" w:eastAsia="宋体" w:cs="宋体"/>
          <w:b/>
          <w:bCs/>
          <w:kern w:val="2"/>
          <w:sz w:val="24"/>
          <w:szCs w:val="24"/>
          <w:lang w:val="en-US" w:eastAsia="zh-CN" w:bidi="ar"/>
        </w:rPr>
        <w:t>三、谈判响应文件的编制</w:t>
      </w:r>
    </w:p>
    <w:p w14:paraId="6ECE90A8">
      <w:pPr>
        <w:pStyle w:val="3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35"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7.</w:t>
      </w:r>
      <w:r>
        <w:rPr>
          <w:rFonts w:hint="eastAsia" w:ascii="宋体" w:hAnsi="宋体" w:eastAsia="宋体" w:cs="宋体"/>
          <w:b/>
          <w:bCs/>
          <w:kern w:val="2"/>
          <w:sz w:val="24"/>
          <w:szCs w:val="24"/>
          <w:lang w:val="en-US" w:eastAsia="zh-CN" w:bidi="ar"/>
        </w:rPr>
        <w:t>编制要求</w:t>
      </w:r>
    </w:p>
    <w:p w14:paraId="6AFD32FB">
      <w:pPr>
        <w:pStyle w:val="3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31"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7.1 </w:t>
      </w:r>
      <w:r>
        <w:rPr>
          <w:rFonts w:hint="eastAsia" w:ascii="宋体" w:hAnsi="宋体" w:eastAsia="宋体" w:cs="宋体"/>
          <w:b w:val="0"/>
          <w:bCs w:val="0"/>
          <w:kern w:val="2"/>
          <w:sz w:val="24"/>
          <w:szCs w:val="24"/>
          <w:lang w:val="en-US" w:eastAsia="zh-CN" w:bidi="ar"/>
        </w:rPr>
        <w:t>供应商应认真阅读谈判文件的所有内容，严格按照谈判文件的要求编制和提供谈判响应文件，并保证所提供的全部资料的真实性，使谈判响应文件对谈判文件作出实质性响应。如果供应商在谈判响应文件中没有按照谈判文件要求提交全部资料或者谈判响应文件没有对谈判文件在各方面都做出实质性响应，其谈判将被拒绝。</w:t>
      </w:r>
    </w:p>
    <w:p w14:paraId="67081B6B">
      <w:pPr>
        <w:pStyle w:val="3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7.2 </w:t>
      </w:r>
      <w:r>
        <w:rPr>
          <w:rFonts w:hint="eastAsia" w:ascii="宋体" w:hAnsi="宋体" w:eastAsia="宋体" w:cs="宋体"/>
          <w:b w:val="0"/>
          <w:bCs w:val="0"/>
          <w:kern w:val="2"/>
          <w:sz w:val="24"/>
          <w:szCs w:val="24"/>
          <w:lang w:val="en-US" w:eastAsia="zh-CN" w:bidi="ar"/>
        </w:rPr>
        <w:t>供应商提交的谈判响应文件（包括产品的技术资料）以及供应商与采购代理机构就有关谈判的所有来往函电均应以中文书写。</w:t>
      </w:r>
    </w:p>
    <w:p w14:paraId="7DD7D91D">
      <w:pPr>
        <w:pStyle w:val="5"/>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8. </w:t>
      </w:r>
      <w:r>
        <w:rPr>
          <w:rFonts w:hint="eastAsia" w:ascii="宋体" w:hAnsi="宋体" w:eastAsia="宋体" w:cs="宋体"/>
          <w:b/>
          <w:bCs/>
          <w:kern w:val="2"/>
          <w:sz w:val="24"/>
          <w:szCs w:val="24"/>
          <w:lang w:val="en-US" w:eastAsia="zh-CN" w:bidi="ar"/>
        </w:rPr>
        <w:t>谈判响应文件构成和格式</w:t>
      </w:r>
    </w:p>
    <w:p w14:paraId="027FE06C">
      <w:pPr>
        <w:pStyle w:val="3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8.1 </w:t>
      </w:r>
      <w:r>
        <w:rPr>
          <w:rFonts w:hint="eastAsia" w:ascii="宋体" w:hAnsi="宋体" w:eastAsia="宋体" w:cs="宋体"/>
          <w:b w:val="0"/>
          <w:bCs w:val="0"/>
          <w:kern w:val="2"/>
          <w:sz w:val="24"/>
          <w:szCs w:val="24"/>
          <w:lang w:val="en-US" w:eastAsia="zh-CN" w:bidi="ar"/>
        </w:rPr>
        <w:t>供应商编写的谈判响应文件应包括，但不限于下列部分，请按谈判文件提供的相应格式并依照下列顺序编写：</w:t>
      </w:r>
    </w:p>
    <w:p w14:paraId="1BD323C0">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ascii="宋体" w:hAnsi="宋体" w:eastAsia="宋体" w:cs="宋体"/>
          <w:b w:val="0"/>
          <w:bCs w:val="0"/>
          <w:kern w:val="2"/>
          <w:sz w:val="24"/>
          <w:szCs w:val="24"/>
          <w:lang w:val="zh-CN" w:eastAsia="zh-CN" w:bidi="ar"/>
        </w:rPr>
        <w:t>一、谈判响应函</w:t>
      </w:r>
    </w:p>
    <w:p w14:paraId="162F9104">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cs="宋体"/>
          <w:b w:val="0"/>
          <w:bCs w:val="0"/>
          <w:kern w:val="2"/>
          <w:sz w:val="24"/>
          <w:szCs w:val="24"/>
          <w:lang w:val="zh-CN" w:eastAsia="zh-CN" w:bidi="ar"/>
        </w:rPr>
        <w:t>二</w:t>
      </w:r>
      <w:r>
        <w:rPr>
          <w:rFonts w:hint="eastAsia" w:ascii="宋体" w:hAnsi="宋体" w:eastAsia="宋体" w:cs="宋体"/>
          <w:b w:val="0"/>
          <w:bCs w:val="0"/>
          <w:kern w:val="2"/>
          <w:sz w:val="24"/>
          <w:szCs w:val="24"/>
          <w:lang w:val="zh-CN" w:eastAsia="zh-CN" w:bidi="ar"/>
        </w:rPr>
        <w:t>、谈判报价表</w:t>
      </w:r>
    </w:p>
    <w:p w14:paraId="317EA128">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cs="宋体"/>
          <w:b w:val="0"/>
          <w:bCs w:val="0"/>
          <w:kern w:val="2"/>
          <w:sz w:val="24"/>
          <w:szCs w:val="24"/>
          <w:lang w:val="zh-CN" w:eastAsia="zh-CN" w:bidi="ar"/>
        </w:rPr>
        <w:t>三</w:t>
      </w:r>
      <w:r>
        <w:rPr>
          <w:rFonts w:hint="eastAsia" w:ascii="宋体" w:hAnsi="宋体" w:eastAsia="宋体" w:cs="宋体"/>
          <w:b w:val="0"/>
          <w:bCs w:val="0"/>
          <w:kern w:val="2"/>
          <w:sz w:val="24"/>
          <w:szCs w:val="24"/>
          <w:lang w:val="zh-CN" w:eastAsia="zh-CN" w:bidi="ar"/>
        </w:rPr>
        <w:t>、</w:t>
      </w:r>
      <w:r>
        <w:rPr>
          <w:rFonts w:hint="eastAsia" w:cs="宋体"/>
          <w:b w:val="0"/>
          <w:bCs w:val="0"/>
          <w:kern w:val="2"/>
          <w:sz w:val="24"/>
          <w:szCs w:val="24"/>
          <w:lang w:val="zh-CN" w:eastAsia="zh-CN" w:bidi="ar"/>
        </w:rPr>
        <w:t>供应商</w:t>
      </w:r>
      <w:r>
        <w:rPr>
          <w:rFonts w:hint="eastAsia" w:ascii="宋体" w:hAnsi="宋体" w:eastAsia="宋体" w:cs="宋体"/>
          <w:b w:val="0"/>
          <w:bCs w:val="0"/>
          <w:kern w:val="2"/>
          <w:sz w:val="24"/>
          <w:szCs w:val="24"/>
          <w:lang w:val="zh-CN" w:eastAsia="zh-CN" w:bidi="ar"/>
        </w:rPr>
        <w:t>资格证明文件</w:t>
      </w:r>
    </w:p>
    <w:p w14:paraId="374AAD9B">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四</w:t>
      </w:r>
      <w:r>
        <w:rPr>
          <w:rFonts w:hint="eastAsia" w:ascii="宋体" w:hAnsi="宋体" w:eastAsia="宋体" w:cs="宋体"/>
          <w:b w:val="0"/>
          <w:bCs w:val="0"/>
          <w:kern w:val="2"/>
          <w:sz w:val="24"/>
          <w:szCs w:val="24"/>
          <w:lang w:val="en-US" w:eastAsia="zh-CN" w:bidi="ar"/>
        </w:rPr>
        <w:t>、业绩证明</w:t>
      </w:r>
    </w:p>
    <w:p w14:paraId="4B11482C">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五、谈判方案说明书</w:t>
      </w:r>
    </w:p>
    <w:p w14:paraId="38D2E046">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03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六、供应商拒绝政府采购领域商业贿赂承诺书</w:t>
      </w:r>
    </w:p>
    <w:p w14:paraId="7F67AD33">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七、其他材料</w:t>
      </w:r>
    </w:p>
    <w:p w14:paraId="05FF0C99">
      <w:pPr>
        <w:pStyle w:val="3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29"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8.2 </w:t>
      </w:r>
      <w:r>
        <w:rPr>
          <w:rFonts w:hint="eastAsia" w:ascii="宋体" w:hAnsi="宋体" w:eastAsia="宋体" w:cs="宋体"/>
          <w:b w:val="0"/>
          <w:bCs w:val="0"/>
          <w:kern w:val="2"/>
          <w:sz w:val="24"/>
          <w:szCs w:val="24"/>
          <w:lang w:val="en-US" w:eastAsia="zh-CN" w:bidi="ar"/>
        </w:rPr>
        <w:t>供应商应按照</w:t>
      </w:r>
      <w:r>
        <w:rPr>
          <w:rFonts w:hint="eastAsia" w:cs="宋体"/>
          <w:b w:val="0"/>
          <w:bCs w:val="0"/>
          <w:kern w:val="2"/>
          <w:sz w:val="24"/>
          <w:szCs w:val="24"/>
          <w:lang w:val="en-US" w:eastAsia="zh-CN" w:bidi="ar"/>
        </w:rPr>
        <w:t>本须知第8.1条</w:t>
      </w:r>
      <w:r>
        <w:rPr>
          <w:rFonts w:hint="eastAsia" w:ascii="宋体" w:hAnsi="宋体" w:eastAsia="宋体" w:cs="宋体"/>
          <w:b w:val="0"/>
          <w:bCs w:val="0"/>
          <w:kern w:val="2"/>
          <w:sz w:val="24"/>
          <w:szCs w:val="24"/>
          <w:lang w:val="en-US" w:eastAsia="zh-CN" w:bidi="ar"/>
        </w:rPr>
        <w:t>的内容及第五章提供的格式编写响应文件，不得缺少谈判文件要求填写的表格或提交的资料。</w:t>
      </w:r>
    </w:p>
    <w:p w14:paraId="46F9F01A">
      <w:pPr>
        <w:pStyle w:val="3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8.3 </w:t>
      </w:r>
      <w:r>
        <w:rPr>
          <w:rFonts w:hint="eastAsia" w:ascii="宋体" w:hAnsi="宋体" w:eastAsia="宋体" w:cs="宋体"/>
          <w:b w:val="0"/>
          <w:bCs w:val="0"/>
          <w:kern w:val="2"/>
          <w:sz w:val="24"/>
          <w:szCs w:val="24"/>
          <w:lang w:val="en-US" w:eastAsia="zh-CN" w:bidi="ar"/>
        </w:rPr>
        <w:t>供应商应将响应文件按</w:t>
      </w:r>
      <w:r>
        <w:rPr>
          <w:rFonts w:hint="eastAsia" w:cs="宋体"/>
          <w:b w:val="0"/>
          <w:bCs w:val="0"/>
          <w:kern w:val="2"/>
          <w:sz w:val="24"/>
          <w:szCs w:val="24"/>
          <w:lang w:val="en-US" w:eastAsia="zh-CN" w:bidi="ar"/>
        </w:rPr>
        <w:t>本须知第8.1条</w:t>
      </w:r>
      <w:r>
        <w:rPr>
          <w:rFonts w:hint="eastAsia" w:ascii="宋体" w:hAnsi="宋体" w:eastAsia="宋体" w:cs="宋体"/>
          <w:b w:val="0"/>
          <w:bCs w:val="0"/>
          <w:kern w:val="2"/>
          <w:sz w:val="24"/>
          <w:szCs w:val="24"/>
          <w:lang w:val="en-US" w:eastAsia="zh-CN" w:bidi="ar"/>
        </w:rPr>
        <w:t>规定的顺序编排、并应编制目录。</w:t>
      </w:r>
    </w:p>
    <w:p w14:paraId="1D286E7F">
      <w:pPr>
        <w:pStyle w:val="3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29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9</w:t>
      </w:r>
      <w:r>
        <w:rPr>
          <w:rFonts w:hint="eastAsia" w:ascii="宋体" w:hAnsi="宋体" w:eastAsia="宋体" w:cs="宋体"/>
          <w:b/>
          <w:bCs/>
          <w:kern w:val="2"/>
          <w:sz w:val="24"/>
          <w:szCs w:val="24"/>
          <w:lang w:val="en-US" w:eastAsia="zh-CN" w:bidi="ar"/>
        </w:rPr>
        <w:t>．谈判报价</w:t>
      </w:r>
    </w:p>
    <w:p w14:paraId="36DD71D7">
      <w:pPr>
        <w:pStyle w:val="34"/>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9.1</w:t>
      </w:r>
      <w:r>
        <w:rPr>
          <w:rFonts w:hint="eastAsia" w:ascii="宋体" w:hAnsi="宋体" w:eastAsia="宋体" w:cs="宋体"/>
          <w:b w:val="0"/>
          <w:bCs w:val="0"/>
          <w:kern w:val="2"/>
          <w:sz w:val="24"/>
          <w:szCs w:val="24"/>
          <w:lang w:val="en-US" w:eastAsia="zh-CN" w:bidi="ar"/>
        </w:rPr>
        <w:t>供应商的的投标报价应是在服务期内，供应商按合同规定的范围所提供的全部服务所需的费用。</w:t>
      </w:r>
    </w:p>
    <w:p w14:paraId="042ED1AE">
      <w:pPr>
        <w:pStyle w:val="3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9.2</w:t>
      </w:r>
      <w:r>
        <w:rPr>
          <w:rFonts w:hint="eastAsia" w:ascii="宋体" w:hAnsi="宋体" w:eastAsia="宋体" w:cs="宋体"/>
          <w:b w:val="0"/>
          <w:bCs w:val="0"/>
          <w:kern w:val="2"/>
          <w:sz w:val="24"/>
          <w:szCs w:val="24"/>
          <w:lang w:val="en-US" w:eastAsia="zh-CN" w:bidi="ar"/>
        </w:rPr>
        <w:t>供应商被视为充分地理解了谈判文件内容并考虑了现场条件和施工环境，报价中含有此方面的一切风险费用。供应商应按照招标文件相关要求自行进行投标报价。</w:t>
      </w:r>
    </w:p>
    <w:p w14:paraId="305C3637">
      <w:pPr>
        <w:pStyle w:val="3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9.3</w:t>
      </w:r>
      <w:r>
        <w:rPr>
          <w:rFonts w:hint="eastAsia" w:ascii="宋体" w:hAnsi="宋体" w:eastAsia="宋体" w:cs="宋体"/>
          <w:b w:val="0"/>
          <w:bCs w:val="0"/>
          <w:kern w:val="2"/>
          <w:sz w:val="24"/>
          <w:szCs w:val="24"/>
          <w:lang w:val="en-US" w:eastAsia="zh-CN" w:bidi="ar"/>
        </w:rPr>
        <w:t>服务费支付按本谈判文件中载明的服务合同规定的方式支付。</w:t>
      </w:r>
    </w:p>
    <w:p w14:paraId="111910A3">
      <w:pPr>
        <w:pStyle w:val="3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26"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9.4</w:t>
      </w:r>
      <w:r>
        <w:rPr>
          <w:rFonts w:hint="eastAsia" w:ascii="宋体" w:hAnsi="宋体" w:eastAsia="宋体" w:cs="宋体"/>
          <w:b w:val="0"/>
          <w:bCs w:val="0"/>
          <w:kern w:val="2"/>
          <w:sz w:val="24"/>
          <w:szCs w:val="24"/>
          <w:lang w:val="en-US" w:eastAsia="zh-CN" w:bidi="ar"/>
        </w:rPr>
        <w:t>本项目采购预算为：</w:t>
      </w:r>
      <w:r>
        <w:rPr>
          <w:rFonts w:hint="eastAsia" w:cs="宋体"/>
          <w:b w:val="0"/>
          <w:bCs w:val="0"/>
          <w:kern w:val="2"/>
          <w:sz w:val="24"/>
          <w:szCs w:val="24"/>
          <w:lang w:val="en-US" w:eastAsia="zh-CN" w:bidi="ar"/>
        </w:rPr>
        <w:t>玖拾柒万叁仟陆佰元整</w:t>
      </w:r>
      <w:r>
        <w:rPr>
          <w:rFonts w:hint="eastAsia" w:ascii="宋体" w:hAnsi="宋体" w:eastAsia="宋体" w:cs="宋体"/>
          <w:b w:val="0"/>
          <w:bCs w:val="0"/>
          <w:kern w:val="2"/>
          <w:sz w:val="24"/>
          <w:szCs w:val="24"/>
          <w:shd w:val="clear"/>
          <w:lang w:val="en-US" w:eastAsia="zh-CN" w:bidi="ar"/>
        </w:rPr>
        <w:t>（￥：</w:t>
      </w:r>
      <w:r>
        <w:rPr>
          <w:rFonts w:hint="eastAsia" w:cs="宋体"/>
          <w:kern w:val="2"/>
          <w:sz w:val="24"/>
          <w:szCs w:val="24"/>
          <w:shd w:val="clear"/>
          <w:lang w:val="en-US" w:eastAsia="zh-CN" w:bidi="ar"/>
        </w:rPr>
        <w:t>973600.00</w:t>
      </w:r>
      <w:r>
        <w:rPr>
          <w:rFonts w:hint="eastAsia" w:ascii="宋体" w:hAnsi="宋体" w:eastAsia="宋体" w:cs="宋体"/>
          <w:b w:val="0"/>
          <w:bCs w:val="0"/>
          <w:kern w:val="2"/>
          <w:sz w:val="24"/>
          <w:szCs w:val="24"/>
          <w:shd w:val="clear"/>
          <w:lang w:val="en-US" w:eastAsia="zh-CN" w:bidi="ar"/>
        </w:rPr>
        <w:t>元</w:t>
      </w:r>
      <w:r>
        <w:rPr>
          <w:rFonts w:hint="eastAsia" w:ascii="宋体" w:hAnsi="宋体" w:eastAsia="宋体" w:cs="宋体"/>
          <w:b w:val="0"/>
          <w:bCs w:val="0"/>
          <w:kern w:val="2"/>
          <w:sz w:val="24"/>
          <w:szCs w:val="24"/>
          <w:lang w:val="en-US" w:eastAsia="zh-CN" w:bidi="ar"/>
        </w:rPr>
        <w:t>），谈判报价大于采购预算的则视为废标。</w:t>
      </w:r>
    </w:p>
    <w:p w14:paraId="646B721C">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9.5</w:t>
      </w:r>
      <w:r>
        <w:rPr>
          <w:rFonts w:hint="eastAsia" w:ascii="宋体" w:hAnsi="宋体" w:eastAsia="宋体" w:cs="宋体"/>
          <w:b w:val="0"/>
          <w:bCs w:val="0"/>
          <w:kern w:val="2"/>
          <w:sz w:val="24"/>
          <w:szCs w:val="24"/>
          <w:lang w:val="en-US" w:eastAsia="zh-CN" w:bidi="ar"/>
        </w:rPr>
        <w:t>供应商不得以低于成本的报价参加投标，供应商的投标报价明显低于其他供应商的报价，经谈判小组质询后不能在规定时间内说明理由，或说明理由经谈判小组会认为不成立，则按无效标处理。</w:t>
      </w:r>
    </w:p>
    <w:p w14:paraId="0E184221">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10.</w:t>
      </w:r>
      <w:r>
        <w:rPr>
          <w:rFonts w:hint="eastAsia" w:ascii="宋体" w:hAnsi="宋体" w:eastAsia="宋体" w:cs="宋体"/>
          <w:b/>
          <w:bCs/>
          <w:kern w:val="2"/>
          <w:sz w:val="24"/>
          <w:szCs w:val="24"/>
          <w:lang w:val="en-US" w:eastAsia="zh-CN" w:bidi="ar"/>
        </w:rPr>
        <w:t>谈判货币</w:t>
      </w:r>
    </w:p>
    <w:p w14:paraId="50B79D7F">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28"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10.1 </w:t>
      </w:r>
      <w:r>
        <w:rPr>
          <w:rFonts w:hint="eastAsia" w:ascii="宋体" w:hAnsi="宋体" w:eastAsia="宋体" w:cs="宋体"/>
          <w:b w:val="0"/>
          <w:bCs w:val="0"/>
          <w:kern w:val="2"/>
          <w:sz w:val="24"/>
          <w:szCs w:val="24"/>
          <w:lang w:val="en-US" w:eastAsia="zh-CN" w:bidi="ar"/>
        </w:rPr>
        <w:t>供应商提供的服务一律以人民币报价。</w:t>
      </w:r>
    </w:p>
    <w:p w14:paraId="0F44D6D5">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02" w:after="0" w:line="540" w:lineRule="exact"/>
        <w:ind w:right="-48" w:rightChars="-22"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11. </w:t>
      </w:r>
      <w:r>
        <w:rPr>
          <w:rFonts w:hint="eastAsia" w:ascii="宋体" w:hAnsi="宋体" w:eastAsia="宋体" w:cs="宋体"/>
          <w:b/>
          <w:bCs/>
          <w:kern w:val="2"/>
          <w:sz w:val="24"/>
          <w:szCs w:val="24"/>
          <w:lang w:val="en-US" w:eastAsia="zh-CN" w:bidi="ar"/>
        </w:rPr>
        <w:t>谈判保证金：无。</w:t>
      </w:r>
    </w:p>
    <w:p w14:paraId="5282F63E">
      <w:pPr>
        <w:pStyle w:val="3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34"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12. </w:t>
      </w:r>
      <w:r>
        <w:rPr>
          <w:rFonts w:hint="eastAsia" w:ascii="宋体" w:hAnsi="宋体" w:eastAsia="宋体" w:cs="宋体"/>
          <w:b/>
          <w:bCs/>
          <w:kern w:val="2"/>
          <w:sz w:val="24"/>
          <w:szCs w:val="24"/>
          <w:lang w:val="en-US" w:eastAsia="zh-CN" w:bidi="ar"/>
        </w:rPr>
        <w:t>谈判有效期</w:t>
      </w:r>
    </w:p>
    <w:p w14:paraId="5834AD87">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12.1 </w:t>
      </w:r>
      <w:r>
        <w:rPr>
          <w:rFonts w:hint="eastAsia" w:ascii="宋体" w:hAnsi="宋体" w:eastAsia="宋体" w:cs="宋体"/>
          <w:b w:val="0"/>
          <w:bCs w:val="0"/>
          <w:kern w:val="2"/>
          <w:sz w:val="24"/>
          <w:szCs w:val="24"/>
          <w:lang w:val="en-US" w:eastAsia="zh-CN" w:bidi="ar"/>
        </w:rPr>
        <w:t>谈判有效期为谈判之日起九十（90）个日历日（成交供应商的谈判响应文件有效期与合同有效期一致）。供应商的谈判有效期比谈判文件规定短的将被视为非响应性谈判而予以拒绝。</w:t>
      </w:r>
    </w:p>
    <w:p w14:paraId="03FD4738">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12.2 </w:t>
      </w:r>
      <w:r>
        <w:rPr>
          <w:rFonts w:hint="eastAsia" w:ascii="宋体" w:hAnsi="宋体" w:eastAsia="宋体" w:cs="宋体"/>
          <w:b w:val="0"/>
          <w:bCs w:val="0"/>
          <w:kern w:val="2"/>
          <w:sz w:val="24"/>
          <w:szCs w:val="24"/>
          <w:lang w:val="en-US" w:eastAsia="zh-CN" w:bidi="ar"/>
        </w:rPr>
        <w:t>在特殊情况下，在原谈判有效期期满之前，招标采购单位可征得供应商同意延长谈判有效期。这种要求与答复均应为书面形式提交。</w:t>
      </w:r>
    </w:p>
    <w:p w14:paraId="7C576F8B">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 w:after="0" w:line="540" w:lineRule="exact"/>
        <w:ind w:right="-48" w:rightChars="-22"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13. </w:t>
      </w:r>
      <w:r>
        <w:rPr>
          <w:rFonts w:hint="eastAsia" w:ascii="宋体" w:hAnsi="宋体" w:eastAsia="宋体" w:cs="宋体"/>
          <w:b/>
          <w:bCs/>
          <w:kern w:val="2"/>
          <w:sz w:val="24"/>
          <w:szCs w:val="24"/>
          <w:lang w:val="en-US" w:eastAsia="zh-CN" w:bidi="ar"/>
        </w:rPr>
        <w:t>谈判响应文件的制作和签署</w:t>
      </w:r>
    </w:p>
    <w:p w14:paraId="02AF28C3">
      <w:pPr>
        <w:pStyle w:val="3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13.1 </w:t>
      </w:r>
      <w:r>
        <w:rPr>
          <w:rFonts w:hint="eastAsia" w:ascii="宋体" w:hAnsi="宋体" w:eastAsia="宋体" w:cs="宋体"/>
          <w:b w:val="0"/>
          <w:bCs w:val="0"/>
          <w:kern w:val="2"/>
          <w:sz w:val="24"/>
          <w:szCs w:val="24"/>
          <w:lang w:val="en-US" w:eastAsia="zh-CN" w:bidi="ar"/>
        </w:rPr>
        <w:t>为确保采购项目顺利开展，本项目采用电子投标文件的方式。供应商在陕西省公共资源交易网上传招标文件中规定的电子标书格式。</w:t>
      </w:r>
    </w:p>
    <w:p w14:paraId="61BEB833">
      <w:pPr>
        <w:pStyle w:val="3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13.2 </w:t>
      </w:r>
      <w:r>
        <w:rPr>
          <w:rFonts w:hint="eastAsia" w:ascii="宋体" w:hAnsi="宋体" w:eastAsia="宋体" w:cs="宋体"/>
          <w:b w:val="0"/>
          <w:bCs w:val="0"/>
          <w:kern w:val="2"/>
          <w:sz w:val="24"/>
          <w:szCs w:val="24"/>
          <w:lang w:val="en-US" w:eastAsia="zh-CN" w:bidi="ar"/>
        </w:rPr>
        <w:t>编制电子投标文件时，应使用最新发布的电子招标文件及专用制作工具进行编制。并使用数字认证证书（CA锁）对电子投标文件进行签署、加密、递交及开标时解密等相关操作。</w:t>
      </w:r>
    </w:p>
    <w:p w14:paraId="622C1174">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电子招标文件下载</w:t>
      </w:r>
    </w:p>
    <w:p w14:paraId="22D64223">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供应商登录全国公共资源交易平台（陕西省）网站[电子交易平台-企业端]后， 在[我的项目]中点击“项目流程-交易文件下载”下载电子招标文件（*.SXSZF）;</w:t>
      </w:r>
    </w:p>
    <w:p w14:paraId="32752369">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注意：该项目如有变更文件，则应点击“项目流程&gt;答疑文件下载”下载更新后的电子招标文件（*.SXSCF），使用旧版电子招标文件制作的电子投标文件，系统将拒绝接收。</w:t>
      </w:r>
    </w:p>
    <w:p w14:paraId="0F839438">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电子招标文件需要使用专用软件打开、浏览</w:t>
      </w:r>
    </w:p>
    <w:p w14:paraId="4BA5CFE4">
      <w:pPr>
        <w:pStyle w:val="9"/>
        <w:keepNext w:val="0"/>
        <w:keepLines w:val="0"/>
        <w:pageBreakBefore w:val="0"/>
        <w:widowControl w:val="0"/>
        <w:kinsoku/>
        <w:wordWrap/>
        <w:overflowPunct/>
        <w:topLinePunct w:val="0"/>
        <w:autoSpaceDE w:val="0"/>
        <w:autoSpaceDN w:val="0"/>
        <w:bidi w:val="0"/>
        <w:adjustRightInd/>
        <w:snapToGrid/>
        <w:spacing w:before="131" w:line="540" w:lineRule="exact"/>
        <w:ind w:right="-50" w:rightChars="0"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供应商登录全国公共资源交易平台（陕西省）网站[服务指南-下载专区]免费下载《陕西省公共资源交易平台政府采购电子标书制作工具(V8.0.1.</w:t>
      </w:r>
      <w:r>
        <w:rPr>
          <w:rFonts w:hint="eastAsia" w:cs="宋体"/>
          <w:b w:val="0"/>
          <w:bCs w:val="0"/>
          <w:kern w:val="2"/>
          <w:sz w:val="24"/>
          <w:szCs w:val="24"/>
          <w:lang w:val="en-US" w:eastAsia="zh-CN" w:bidi="ar"/>
        </w:rPr>
        <w:t>12</w:t>
      </w:r>
      <w:r>
        <w:rPr>
          <w:rFonts w:hint="eastAsia" w:ascii="宋体" w:hAnsi="宋体" w:eastAsia="宋体" w:cs="宋体"/>
          <w:b w:val="0"/>
          <w:bCs w:val="0"/>
          <w:kern w:val="2"/>
          <w:sz w:val="24"/>
          <w:szCs w:val="24"/>
          <w:lang w:val="en-US" w:eastAsia="zh-CN" w:bidi="ar"/>
        </w:rPr>
        <w:t>)》，并升级至最新版本，使用该客户端可以打开电子招标文件。软件操作手册详见全国公共资源交易平台（陕西省）网站[服务指南-下载专区]中的《陕西省公共资源交易（政府采购类） 投标文件制作软件操作手册》；</w:t>
      </w:r>
    </w:p>
    <w:p w14:paraId="4EDFDF31">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3"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制作电子投标文件</w:t>
      </w:r>
    </w:p>
    <w:p w14:paraId="254D761C">
      <w:pPr>
        <w:pStyle w:val="9"/>
        <w:keepNext w:val="0"/>
        <w:keepLines w:val="0"/>
        <w:pageBreakBefore w:val="0"/>
        <w:widowControl w:val="0"/>
        <w:kinsoku/>
        <w:wordWrap/>
        <w:overflowPunct/>
        <w:topLinePunct w:val="0"/>
        <w:autoSpaceDE w:val="0"/>
        <w:autoSpaceDN w:val="0"/>
        <w:bidi w:val="0"/>
        <w:adjustRightInd/>
        <w:snapToGrid/>
        <w:spacing w:before="131" w:line="540" w:lineRule="exact"/>
        <w:ind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注：陕西省公共资源交易平台政府采购电子标书制作工具(V8.0.1.</w:t>
      </w:r>
      <w:r>
        <w:rPr>
          <w:rFonts w:hint="eastAsia" w:cs="宋体"/>
          <w:b w:val="0"/>
          <w:bCs w:val="0"/>
          <w:kern w:val="2"/>
          <w:sz w:val="24"/>
          <w:szCs w:val="24"/>
          <w:lang w:val="en-US" w:eastAsia="zh-CN" w:bidi="ar"/>
        </w:rPr>
        <w:t>12</w:t>
      </w:r>
      <w:r>
        <w:rPr>
          <w:rFonts w:hint="eastAsia" w:ascii="宋体" w:hAnsi="宋体" w:eastAsia="宋体" w:cs="宋体"/>
          <w:b w:val="0"/>
          <w:bCs w:val="0"/>
          <w:kern w:val="2"/>
          <w:sz w:val="24"/>
          <w:szCs w:val="24"/>
          <w:lang w:val="en-US" w:eastAsia="zh-CN" w:bidi="ar"/>
        </w:rPr>
        <w:t>)下载地址：</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"http://www.sxggzyjy.cn/fwzn/004003/20180827/c8c8"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http://www.sxggzyjy.cn/fwzn/004003/20180827/c8c8</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 xml:space="preserve"> fb15-a7cc-4011-a244-806289d7cf3b.html电子投标文件同样需要使用上述软件进行编制。在编制过程中，如有技术性问题，请先翻阅操作手册或致电软件开发商，技术支持热线：4009280095、4009980000；</w:t>
      </w:r>
    </w:p>
    <w:p w14:paraId="23D39E7D">
      <w:pPr>
        <w:pStyle w:val="5"/>
        <w:keepNext w:val="0"/>
        <w:keepLines w:val="0"/>
        <w:pageBreakBefore w:val="0"/>
        <w:widowControl w:val="0"/>
        <w:kinsoku/>
        <w:wordWrap/>
        <w:overflowPunct/>
        <w:topLinePunct w:val="0"/>
        <w:autoSpaceDE w:val="0"/>
        <w:autoSpaceDN w:val="0"/>
        <w:bidi w:val="0"/>
        <w:adjustRightInd/>
        <w:snapToGrid/>
        <w:spacing w:before="102" w:line="540" w:lineRule="exact"/>
        <w:ind w:left="800" w:right="875"/>
        <w:jc w:val="center"/>
        <w:textAlignment w:val="auto"/>
        <w:rPr>
          <w:rFonts w:hint="eastAsia" w:ascii="宋体" w:hAnsi="宋体" w:eastAsia="宋体" w:cs="宋体"/>
          <w:b/>
          <w:bCs/>
          <w:kern w:val="2"/>
          <w:sz w:val="24"/>
          <w:szCs w:val="24"/>
          <w:lang w:val="en-US" w:eastAsia="zh-CN" w:bidi="ar"/>
        </w:rPr>
      </w:pPr>
      <w:bookmarkStart w:id="13" w:name="四、谈判响应文件的递交"/>
      <w:bookmarkEnd w:id="13"/>
      <w:r>
        <w:rPr>
          <w:rFonts w:hint="eastAsia" w:ascii="宋体" w:hAnsi="宋体" w:eastAsia="宋体" w:cs="宋体"/>
          <w:b/>
          <w:bCs/>
          <w:kern w:val="2"/>
          <w:sz w:val="24"/>
          <w:szCs w:val="24"/>
          <w:lang w:val="en-US" w:eastAsia="zh-CN" w:bidi="ar"/>
        </w:rPr>
        <w:t>四、谈判响应文件的递交</w:t>
      </w:r>
    </w:p>
    <w:p w14:paraId="42E666BC">
      <w:pPr>
        <w:pStyle w:val="34"/>
        <w:keepNext w:val="0"/>
        <w:keepLines w:val="0"/>
        <w:pageBreakBefore w:val="0"/>
        <w:widowControl w:val="0"/>
        <w:numPr>
          <w:ilvl w:val="0"/>
          <w:numId w:val="0"/>
        </w:numPr>
        <w:tabs>
          <w:tab w:val="left" w:pos="1132"/>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14.1</w:t>
      </w:r>
      <w:r>
        <w:rPr>
          <w:rFonts w:hint="eastAsia" w:ascii="宋体" w:hAnsi="宋体" w:eastAsia="宋体" w:cs="宋体"/>
          <w:b/>
          <w:bCs/>
          <w:kern w:val="2"/>
          <w:sz w:val="24"/>
          <w:szCs w:val="24"/>
          <w:lang w:val="en-US" w:eastAsia="zh-CN" w:bidi="ar"/>
        </w:rPr>
        <w:t>电子谈判响应文件递交与解密</w:t>
      </w:r>
    </w:p>
    <w:p w14:paraId="34F6B0C2">
      <w:pPr>
        <w:pStyle w:val="3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132"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14.1.1</w:t>
      </w:r>
      <w:r>
        <w:rPr>
          <w:rFonts w:hint="eastAsia" w:ascii="宋体" w:hAnsi="宋体" w:eastAsia="宋体" w:cs="宋体"/>
          <w:b w:val="0"/>
          <w:bCs w:val="0"/>
          <w:kern w:val="2"/>
          <w:sz w:val="24"/>
          <w:szCs w:val="24"/>
          <w:lang w:val="en-US" w:eastAsia="zh-CN" w:bidi="ar"/>
        </w:rPr>
        <w:t>电子文件递交</w:t>
      </w:r>
    </w:p>
    <w:p w14:paraId="0F2FCC6B">
      <w:pPr>
        <w:pStyle w:val="9"/>
        <w:keepNext w:val="0"/>
        <w:keepLines w:val="0"/>
        <w:pageBreakBefore w:val="0"/>
        <w:widowControl w:val="0"/>
        <w:kinsoku/>
        <w:wordWrap/>
        <w:overflowPunct/>
        <w:topLinePunct w:val="0"/>
        <w:autoSpaceDE w:val="0"/>
        <w:autoSpaceDN w:val="0"/>
        <w:bidi w:val="0"/>
        <w:adjustRightInd/>
        <w:snapToGrid/>
        <w:spacing w:before="141" w:line="540" w:lineRule="exact"/>
        <w:ind w:right="-5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电子谈判响应文件可于提交谈判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谈判响应文件（*.SXSTF），上传成功后，电子化平台将予以记录。</w:t>
      </w:r>
    </w:p>
    <w:p w14:paraId="7C3CF946">
      <w:pPr>
        <w:pStyle w:val="3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6"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14.1.2</w:t>
      </w:r>
      <w:r>
        <w:rPr>
          <w:rFonts w:hint="eastAsia" w:ascii="宋体" w:hAnsi="宋体" w:eastAsia="宋体" w:cs="宋体"/>
          <w:b w:val="0"/>
          <w:bCs w:val="0"/>
          <w:kern w:val="2"/>
          <w:sz w:val="24"/>
          <w:szCs w:val="24"/>
          <w:lang w:val="en-US" w:eastAsia="zh-CN" w:bidi="ar"/>
        </w:rPr>
        <w:t>电子文件的开启和解密</w:t>
      </w:r>
    </w:p>
    <w:p w14:paraId="5ECF4CAE">
      <w:pPr>
        <w:pStyle w:val="3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6"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开标时，供应商须使用电子投标文件加密时所用的数字认证证书（CA 锁）在自备电脑上自行远程解密电子投标文件，由电子交易系统进行自动唱标。</w:t>
      </w:r>
    </w:p>
    <w:p w14:paraId="40F90C81">
      <w:pPr>
        <w:pStyle w:val="3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14.1.3 </w:t>
      </w:r>
      <w:r>
        <w:rPr>
          <w:rFonts w:hint="eastAsia" w:ascii="宋体" w:hAnsi="宋体" w:eastAsia="宋体" w:cs="宋体"/>
          <w:b w:val="0"/>
          <w:bCs w:val="0"/>
          <w:kern w:val="2"/>
          <w:sz w:val="24"/>
          <w:szCs w:val="24"/>
          <w:lang w:val="en-US" w:eastAsia="zh-CN" w:bidi="ar"/>
        </w:rPr>
        <w:t>系统默认解密时长为</w:t>
      </w:r>
      <w:r>
        <w:rPr>
          <w:rFonts w:hint="eastAsia" w:cs="宋体"/>
          <w:b w:val="0"/>
          <w:bCs w:val="0"/>
          <w:kern w:val="2"/>
          <w:sz w:val="24"/>
          <w:szCs w:val="24"/>
          <w:lang w:val="en-US" w:eastAsia="zh-CN" w:bidi="ar"/>
        </w:rPr>
        <w:t>60</w:t>
      </w:r>
      <w:r>
        <w:rPr>
          <w:rFonts w:hint="eastAsia" w:ascii="宋体" w:hAnsi="宋体" w:eastAsia="宋体" w:cs="宋体"/>
          <w:b w:val="0"/>
          <w:bCs w:val="0"/>
          <w:kern w:val="2"/>
          <w:sz w:val="24"/>
          <w:szCs w:val="24"/>
          <w:lang w:val="en-US" w:eastAsia="zh-CN" w:bidi="ar"/>
        </w:rPr>
        <w:t>分钟，投标单位需在解密时间规定内完成标书解密。所有投标单位解密完成后由开标人员将响应文件导入开评标系统。</w:t>
      </w:r>
    </w:p>
    <w:p w14:paraId="42B2DB1A">
      <w:pPr>
        <w:pStyle w:val="5"/>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14.2. </w:t>
      </w:r>
      <w:r>
        <w:rPr>
          <w:rFonts w:hint="eastAsia" w:ascii="宋体" w:hAnsi="宋体" w:eastAsia="宋体" w:cs="宋体"/>
          <w:b/>
          <w:bCs/>
          <w:kern w:val="2"/>
          <w:sz w:val="24"/>
          <w:szCs w:val="24"/>
          <w:lang w:val="en-US" w:eastAsia="zh-CN" w:bidi="ar"/>
        </w:rPr>
        <w:t>竞争性谈判响应文件有效性</w:t>
      </w:r>
    </w:p>
    <w:p w14:paraId="28132ABF">
      <w:pPr>
        <w:pStyle w:val="5"/>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bCs/>
          <w:kern w:val="2"/>
          <w:sz w:val="24"/>
          <w:szCs w:val="24"/>
          <w:lang w:val="en-US" w:eastAsia="zh-CN" w:bidi="ar"/>
        </w:rPr>
        <w:t xml:space="preserve">14.2.1 </w:t>
      </w:r>
      <w:r>
        <w:rPr>
          <w:rFonts w:hint="eastAsia" w:ascii="宋体" w:hAnsi="宋体" w:eastAsia="宋体" w:cs="宋体"/>
          <w:b w:val="0"/>
          <w:bCs w:val="0"/>
          <w:kern w:val="2"/>
          <w:sz w:val="24"/>
          <w:szCs w:val="24"/>
          <w:lang w:val="en-US" w:eastAsia="zh-CN" w:bidi="ar"/>
        </w:rPr>
        <w:t>竞争性谈判响应文件有下列情况之一者将视为无效：</w:t>
      </w:r>
    </w:p>
    <w:p w14:paraId="386BE63B">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未按要求加盖供应商公章和法定代表人或其授权代表签字或盖章的；</w:t>
      </w:r>
    </w:p>
    <w:p w14:paraId="15465211">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在提交竞争性谈判响应文件截止时间以后递交的竞争性谈判响应文件；</w:t>
      </w:r>
    </w:p>
    <w:p w14:paraId="200A0A07">
      <w:pPr>
        <w:pStyle w:val="3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32"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未按竞争性谈判文件要求提交资格证明文件或未通过竞争性谈判响应文件有效性审查的；</w:t>
      </w:r>
    </w:p>
    <w:p w14:paraId="4DF5C673">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提交的竞争性谈判响应文件有效期短于竞争性谈判文件规定有效期的；</w:t>
      </w:r>
    </w:p>
    <w:p w14:paraId="62FB4695">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未按谈判小组要求对竞争性谈判响应文件进行澄清（说明或者更正）的；</w:t>
      </w:r>
    </w:p>
    <w:p w14:paraId="323EF3A2">
      <w:pPr>
        <w:pStyle w:val="3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32" w:after="0" w:line="540" w:lineRule="exact"/>
        <w:ind w:right="-5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谈判小组对竞争性谈判响应文件评审后，认为在有效性、完整性和响应程度方面没有实质性响应竞争性谈判文件的或有重大缺项漏项,明显不符合技术规格、技术标准的要求的；</w:t>
      </w:r>
    </w:p>
    <w:p w14:paraId="1B593B75">
      <w:pPr>
        <w:pStyle w:val="3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0" w:after="0" w:line="540" w:lineRule="exact"/>
        <w:ind w:right="-5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（7）</w:t>
      </w:r>
      <w:r>
        <w:rPr>
          <w:rFonts w:hint="eastAsia" w:ascii="宋体" w:hAnsi="宋体" w:eastAsia="宋体" w:cs="宋体"/>
          <w:b w:val="0"/>
          <w:bCs w:val="0"/>
          <w:kern w:val="2"/>
          <w:sz w:val="24"/>
          <w:szCs w:val="24"/>
          <w:lang w:val="en-US" w:eastAsia="zh-CN" w:bidi="ar"/>
        </w:rPr>
        <w:t>谈判评审小组一致认为某供应商谈判最终报价明显不合理或者低于成本， 无法保证服务质量和不能诚信履约的；</w:t>
      </w:r>
    </w:p>
    <w:p w14:paraId="58764927">
      <w:pPr>
        <w:pStyle w:val="9"/>
        <w:keepNext w:val="0"/>
        <w:keepLines w:val="0"/>
        <w:pageBreakBefore w:val="0"/>
        <w:widowControl w:val="0"/>
        <w:kinsoku/>
        <w:wordWrap/>
        <w:overflowPunct/>
        <w:topLinePunct w:val="0"/>
        <w:autoSpaceDE w:val="0"/>
        <w:autoSpaceDN w:val="0"/>
        <w:bidi w:val="0"/>
        <w:adjustRightInd/>
        <w:snapToGrid/>
        <w:spacing w:before="3" w:line="540" w:lineRule="exact"/>
        <w:ind w:right="-5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（8）</w:t>
      </w:r>
      <w:r>
        <w:rPr>
          <w:rFonts w:hint="eastAsia" w:ascii="宋体" w:hAnsi="宋体" w:eastAsia="宋体" w:cs="宋体"/>
          <w:b w:val="0"/>
          <w:bCs w:val="0"/>
          <w:kern w:val="2"/>
          <w:sz w:val="24"/>
          <w:szCs w:val="24"/>
          <w:lang w:val="en-US" w:eastAsia="zh-CN" w:bidi="ar"/>
        </w:rPr>
        <w:t>在 “ 信 用 中 国 ” 网 站 (www.creditchina.gov.cn) 和 中 国 政 府 采 购 网(</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"http://www.ccgp.gov.cn/"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 xml:space="preserve">www.ccgp.gov.cn </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查询到相关主体失信记录的（截止时间点为谈判文件发出至谈判截止时间止，对列入失信被执行人、重大税收违法案件当事人名单、政府采购严重违法失信行为记录名单及其他不符合《中华人民共和国政府采购法》第二十二条规定条件的供应商，采购代理机构将拒绝其参与政府采购活动。）；</w:t>
      </w:r>
    </w:p>
    <w:p w14:paraId="78357F6E">
      <w:pPr>
        <w:pStyle w:val="9"/>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（9）不符合现行法律法规和竞争性谈判文件规定的其他实质性要求的。</w:t>
      </w:r>
    </w:p>
    <w:p w14:paraId="1E462349">
      <w:pPr>
        <w:pStyle w:val="9"/>
        <w:keepNext w:val="0"/>
        <w:keepLines w:val="0"/>
        <w:pageBreakBefore w:val="0"/>
        <w:widowControl w:val="0"/>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14.2</w:t>
      </w:r>
      <w:r>
        <w:rPr>
          <w:rFonts w:hint="eastAsia" w:ascii="宋体" w:hAnsi="宋体" w:eastAsia="宋体" w:cs="宋体"/>
          <w:b/>
          <w:bCs/>
          <w:kern w:val="2"/>
          <w:sz w:val="24"/>
          <w:szCs w:val="24"/>
          <w:lang w:val="en-US" w:eastAsia="zh-CN" w:bidi="ar"/>
        </w:rPr>
        <w:t>有下列情形之一的，视为供应商串通投标，其投标无效：</w:t>
      </w:r>
    </w:p>
    <w:p w14:paraId="36EAC10C">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不同供应商的竞争性谈判响应文件由同一单位或者个人编制；</w:t>
      </w:r>
    </w:p>
    <w:p w14:paraId="1A197CC8">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不同供应商委托同一单位或个人办理谈判事宜；</w:t>
      </w:r>
    </w:p>
    <w:p w14:paraId="1725A19A">
      <w:pPr>
        <w:pStyle w:val="3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41" w:after="0" w:line="540" w:lineRule="exact"/>
        <w:ind w:right="-5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不同供应商的竞争性谈判响应文件载明的项目管理成员或者联系人员为同一人；</w:t>
      </w:r>
    </w:p>
    <w:p w14:paraId="12C601FC">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不同供应商的竞争性谈判响应文件异常一致或者谈判报价呈规律性差异；</w:t>
      </w:r>
    </w:p>
    <w:p w14:paraId="6D9105F8">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不同供应商的竞争性谈判响应文件互相混传。</w:t>
      </w:r>
    </w:p>
    <w:p w14:paraId="3AAC69D0">
      <w:pPr>
        <w:pStyle w:val="5"/>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13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14.3.</w:t>
      </w:r>
      <w:r>
        <w:rPr>
          <w:rFonts w:hint="eastAsia" w:ascii="宋体" w:hAnsi="宋体" w:eastAsia="宋体" w:cs="宋体"/>
          <w:b/>
          <w:bCs/>
          <w:kern w:val="2"/>
          <w:sz w:val="24"/>
          <w:szCs w:val="24"/>
          <w:lang w:val="en-US" w:eastAsia="zh-CN" w:bidi="ar"/>
        </w:rPr>
        <w:t>竞争性谈判响应文件的修改和撤回</w:t>
      </w:r>
    </w:p>
    <w:p w14:paraId="1C8712D5">
      <w:pPr>
        <w:pStyle w:val="3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134" w:after="0" w:line="540" w:lineRule="exact"/>
        <w:ind w:right="-5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14.3.1 </w:t>
      </w:r>
      <w:r>
        <w:rPr>
          <w:rFonts w:hint="eastAsia" w:ascii="宋体" w:hAnsi="宋体" w:eastAsia="宋体" w:cs="宋体"/>
          <w:b w:val="0"/>
          <w:bCs w:val="0"/>
          <w:kern w:val="2"/>
          <w:sz w:val="24"/>
          <w:szCs w:val="24"/>
          <w:lang w:val="en-US" w:eastAsia="zh-CN" w:bidi="ar"/>
        </w:rPr>
        <w:t>供应商递交竞争性谈判响应文件后，在谈判截止时间前，可以修改或撤回其竞争性谈判响应文件。</w:t>
      </w:r>
    </w:p>
    <w:p w14:paraId="04CE9F6A">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15.</w:t>
      </w:r>
      <w:r>
        <w:rPr>
          <w:rFonts w:hint="eastAsia" w:ascii="宋体" w:hAnsi="宋体" w:eastAsia="宋体" w:cs="宋体"/>
          <w:b/>
          <w:bCs/>
          <w:kern w:val="2"/>
          <w:sz w:val="24"/>
          <w:szCs w:val="24"/>
          <w:lang w:val="en-US" w:eastAsia="zh-CN" w:bidi="ar"/>
        </w:rPr>
        <w:t>谈判截止日期</w:t>
      </w:r>
    </w:p>
    <w:p w14:paraId="50E3F550">
      <w:pPr>
        <w:pStyle w:val="34"/>
        <w:keepNext w:val="0"/>
        <w:keepLines w:val="0"/>
        <w:pageBreakBefore w:val="0"/>
        <w:widowControl w:val="0"/>
        <w:numPr>
          <w:ilvl w:val="0"/>
          <w:numId w:val="0"/>
        </w:numPr>
        <w:tabs>
          <w:tab w:val="left" w:pos="1372"/>
        </w:tabs>
        <w:kinsoku/>
        <w:wordWrap/>
        <w:overflowPunct/>
        <w:topLinePunct w:val="0"/>
        <w:autoSpaceDE w:val="0"/>
        <w:autoSpaceDN w:val="0"/>
        <w:bidi w:val="0"/>
        <w:adjustRightInd/>
        <w:snapToGrid/>
        <w:spacing w:before="141"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15.1 </w:t>
      </w:r>
      <w:r>
        <w:rPr>
          <w:rFonts w:hint="eastAsia" w:ascii="宋体" w:hAnsi="宋体" w:eastAsia="宋体" w:cs="宋体"/>
          <w:b w:val="0"/>
          <w:bCs w:val="0"/>
          <w:kern w:val="2"/>
          <w:sz w:val="24"/>
          <w:szCs w:val="24"/>
          <w:lang w:val="en-US" w:eastAsia="zh-CN" w:bidi="ar"/>
        </w:rPr>
        <w:t>供应商应在不迟于谈判文件中规定的谈判截止时间将谈判响应文件递交至陕西省公共资源交易平台。</w:t>
      </w:r>
    </w:p>
    <w:p w14:paraId="2D28D6B9">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2" w:after="0" w:line="540" w:lineRule="exact"/>
        <w:ind w:right="-5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15.2 </w:t>
      </w:r>
      <w:r>
        <w:rPr>
          <w:rFonts w:hint="eastAsia" w:ascii="宋体" w:hAnsi="宋体" w:eastAsia="宋体" w:cs="宋体"/>
          <w:b w:val="0"/>
          <w:bCs w:val="0"/>
          <w:kern w:val="2"/>
          <w:sz w:val="24"/>
          <w:szCs w:val="24"/>
          <w:lang w:val="en-US" w:eastAsia="zh-CN" w:bidi="ar"/>
        </w:rPr>
        <w:t>采购代理机构可以按</w:t>
      </w:r>
      <w:r>
        <w:rPr>
          <w:rFonts w:hint="eastAsia" w:cs="宋体"/>
          <w:b w:val="0"/>
          <w:bCs w:val="0"/>
          <w:kern w:val="2"/>
          <w:sz w:val="24"/>
          <w:szCs w:val="24"/>
          <w:lang w:val="en-US" w:eastAsia="zh-CN" w:bidi="ar"/>
        </w:rPr>
        <w:t>本须知第5.3条</w:t>
      </w:r>
      <w:r>
        <w:rPr>
          <w:rFonts w:hint="eastAsia" w:ascii="宋体" w:hAnsi="宋体" w:eastAsia="宋体" w:cs="宋体"/>
          <w:b w:val="0"/>
          <w:bCs w:val="0"/>
          <w:kern w:val="2"/>
          <w:sz w:val="24"/>
          <w:szCs w:val="24"/>
          <w:lang w:val="en-US" w:eastAsia="zh-CN" w:bidi="ar"/>
        </w:rPr>
        <w:t>规定，通知因修改谈判文件而适当延长谈判截止期。在此情况下，招标采购单位和供应商受谈判截止期制约的所有权利和义务均应延长至新的截止期。</w:t>
      </w:r>
    </w:p>
    <w:p w14:paraId="75A8BD63">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16.</w:t>
      </w:r>
      <w:r>
        <w:rPr>
          <w:rFonts w:hint="eastAsia" w:ascii="宋体" w:hAnsi="宋体" w:eastAsia="宋体" w:cs="宋体"/>
          <w:b/>
          <w:bCs/>
          <w:kern w:val="2"/>
          <w:sz w:val="24"/>
          <w:szCs w:val="24"/>
          <w:lang w:val="en-US" w:eastAsia="zh-CN" w:bidi="ar"/>
        </w:rPr>
        <w:t>迟交的谈判响应文件</w:t>
      </w:r>
    </w:p>
    <w:p w14:paraId="71A76202">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2" w:after="0" w:line="540" w:lineRule="exact"/>
        <w:ind w:left="480" w:leftChars="218" w:right="1295" w:rightChars="0" w:firstLine="0" w:firstLineChars="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16.1</w:t>
      </w:r>
      <w:r>
        <w:rPr>
          <w:rFonts w:hint="eastAsia" w:ascii="宋体" w:hAnsi="宋体" w:eastAsia="宋体" w:cs="宋体"/>
          <w:b w:val="0"/>
          <w:bCs w:val="0"/>
          <w:kern w:val="2"/>
          <w:sz w:val="24"/>
          <w:szCs w:val="24"/>
          <w:lang w:val="en-US" w:eastAsia="zh-CN" w:bidi="ar"/>
        </w:rPr>
        <w:t>采购代理机构将拒绝接收谈判截止期后递交的任何谈判响应文件。</w:t>
      </w:r>
    </w:p>
    <w:p w14:paraId="3B794926">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2" w:after="0" w:line="540" w:lineRule="exact"/>
        <w:ind w:leftChars="218" w:right="1295" w:rightChars="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17.</w:t>
      </w:r>
      <w:r>
        <w:rPr>
          <w:rFonts w:hint="eastAsia" w:ascii="宋体" w:hAnsi="宋体" w:eastAsia="宋体" w:cs="宋体"/>
          <w:b/>
          <w:bCs/>
          <w:kern w:val="2"/>
          <w:sz w:val="24"/>
          <w:szCs w:val="24"/>
          <w:lang w:val="en-US" w:eastAsia="zh-CN" w:bidi="ar"/>
        </w:rPr>
        <w:t>谈判响应文件的修改和撤回</w:t>
      </w:r>
    </w:p>
    <w:p w14:paraId="545F76D2">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17.1 </w:t>
      </w:r>
      <w:r>
        <w:rPr>
          <w:rFonts w:hint="eastAsia" w:ascii="宋体" w:hAnsi="宋体" w:eastAsia="宋体" w:cs="宋体"/>
          <w:b w:val="0"/>
          <w:bCs w:val="0"/>
          <w:kern w:val="2"/>
          <w:sz w:val="24"/>
          <w:szCs w:val="24"/>
          <w:lang w:val="en-US" w:eastAsia="zh-CN" w:bidi="ar"/>
        </w:rPr>
        <w:t>投标单位在递交谈判响应文件后，谈判截止时间前，可以修改或撤回其谈判响应文件。但投标单位必须在规定的谈判截止期之前将修改或撤回的书面通知递交到采购代理机构。</w:t>
      </w:r>
    </w:p>
    <w:p w14:paraId="35CF3EE4">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3"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17.2 </w:t>
      </w:r>
      <w:r>
        <w:rPr>
          <w:rFonts w:hint="eastAsia" w:ascii="宋体" w:hAnsi="宋体" w:eastAsia="宋体" w:cs="宋体"/>
          <w:b w:val="0"/>
          <w:bCs w:val="0"/>
          <w:kern w:val="2"/>
          <w:sz w:val="24"/>
          <w:szCs w:val="24"/>
          <w:lang w:val="en-US" w:eastAsia="zh-CN" w:bidi="ar"/>
        </w:rPr>
        <w:t>投标单位的修改或撤回通知书应按本须知第 13 条规定密封、标记和递交， 并在内层封套上加注“修改”或“撤回”字样。</w:t>
      </w:r>
    </w:p>
    <w:p w14:paraId="78B097FD">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17.3 </w:t>
      </w:r>
      <w:r>
        <w:rPr>
          <w:rFonts w:hint="eastAsia" w:ascii="宋体" w:hAnsi="宋体" w:eastAsia="宋体" w:cs="宋体"/>
          <w:b w:val="0"/>
          <w:bCs w:val="0"/>
          <w:kern w:val="2"/>
          <w:sz w:val="24"/>
          <w:szCs w:val="24"/>
          <w:lang w:val="en-US" w:eastAsia="zh-CN" w:bidi="ar"/>
        </w:rPr>
        <w:t>谈判截止日期之后，投标单位不得对其谈判响应文件做任何修改。</w:t>
      </w:r>
    </w:p>
    <w:p w14:paraId="345EA771">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1055" w:rightChars="0" w:firstLine="482" w:firstLineChars="200"/>
        <w:jc w:val="center"/>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五、谈判与评审</w:t>
      </w:r>
    </w:p>
    <w:p w14:paraId="3A1B1C3E">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w:t>
      </w:r>
      <w:r>
        <w:rPr>
          <w:rFonts w:hint="eastAsia" w:ascii="宋体" w:hAnsi="宋体" w:eastAsia="宋体" w:cs="宋体"/>
          <w:b/>
          <w:bCs/>
          <w:kern w:val="2"/>
          <w:sz w:val="24"/>
          <w:szCs w:val="24"/>
          <w:lang w:val="en-US" w:eastAsia="zh-CN" w:bidi="ar"/>
        </w:rPr>
        <w:t>文件开启和评审</w:t>
      </w:r>
    </w:p>
    <w:p w14:paraId="71B97555">
      <w:pPr>
        <w:pStyle w:val="34"/>
        <w:keepNext w:val="0"/>
        <w:keepLines w:val="0"/>
        <w:pageBreakBefore w:val="0"/>
        <w:widowControl w:val="0"/>
        <w:numPr>
          <w:ilvl w:val="0"/>
          <w:numId w:val="0"/>
        </w:numPr>
        <w:tabs>
          <w:tab w:val="left" w:pos="14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 </w:t>
      </w:r>
      <w:r>
        <w:rPr>
          <w:rFonts w:hint="eastAsia" w:ascii="宋体" w:hAnsi="宋体" w:eastAsia="宋体" w:cs="宋体"/>
          <w:b w:val="0"/>
          <w:bCs w:val="0"/>
          <w:kern w:val="2"/>
          <w:sz w:val="24"/>
          <w:szCs w:val="24"/>
          <w:lang w:val="en-US" w:eastAsia="zh-CN" w:bidi="ar"/>
        </w:rPr>
        <w:t>竞争性谈判响应文件开启和评审</w:t>
      </w:r>
    </w:p>
    <w:p w14:paraId="67508494">
      <w:pPr>
        <w:pStyle w:val="34"/>
        <w:keepNext w:val="0"/>
        <w:keepLines w:val="0"/>
        <w:pageBreakBefore w:val="0"/>
        <w:widowControl w:val="0"/>
        <w:numPr>
          <w:ilvl w:val="0"/>
          <w:numId w:val="0"/>
        </w:numPr>
        <w:tabs>
          <w:tab w:val="left" w:pos="1550"/>
        </w:tabs>
        <w:kinsoku/>
        <w:wordWrap/>
        <w:overflowPunct/>
        <w:topLinePunct w:val="0"/>
        <w:autoSpaceDE w:val="0"/>
        <w:autoSpaceDN w:val="0"/>
        <w:bidi w:val="0"/>
        <w:adjustRightInd/>
        <w:snapToGrid/>
        <w:spacing w:before="134" w:after="0" w:line="540" w:lineRule="exact"/>
        <w:ind w:right="-5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18.1.1 </w:t>
      </w:r>
      <w:r>
        <w:rPr>
          <w:rFonts w:hint="eastAsia" w:ascii="宋体" w:hAnsi="宋体" w:eastAsia="宋体" w:cs="宋体"/>
          <w:b w:val="0"/>
          <w:bCs w:val="0"/>
          <w:kern w:val="2"/>
          <w:sz w:val="24"/>
          <w:szCs w:val="24"/>
          <w:lang w:val="en-US" w:eastAsia="zh-CN" w:bidi="ar"/>
        </w:rPr>
        <w:t>采购代理机构组织谈判、文件开启、评审工作，谈判整个过程接受监督部门的监督。</w:t>
      </w:r>
    </w:p>
    <w:p w14:paraId="539FE58D">
      <w:pPr>
        <w:pStyle w:val="34"/>
        <w:keepNext w:val="0"/>
        <w:keepLines w:val="0"/>
        <w:pageBreakBefore w:val="0"/>
        <w:widowControl w:val="0"/>
        <w:numPr>
          <w:ilvl w:val="0"/>
          <w:numId w:val="0"/>
        </w:numPr>
        <w:tabs>
          <w:tab w:val="left" w:pos="1669"/>
        </w:tabs>
        <w:kinsoku/>
        <w:wordWrap/>
        <w:overflowPunct/>
        <w:topLinePunct w:val="0"/>
        <w:autoSpaceDE w:val="0"/>
        <w:autoSpaceDN w:val="0"/>
        <w:bidi w:val="0"/>
        <w:adjustRightInd/>
        <w:snapToGrid/>
        <w:spacing w:before="9" w:after="0" w:line="540" w:lineRule="exact"/>
        <w:ind w:right="-5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18.1.2 </w:t>
      </w:r>
      <w:r>
        <w:rPr>
          <w:rFonts w:hint="eastAsia" w:ascii="宋体" w:hAnsi="宋体" w:eastAsia="宋体" w:cs="宋体"/>
          <w:b w:val="0"/>
          <w:bCs w:val="0"/>
          <w:kern w:val="2"/>
          <w:sz w:val="24"/>
          <w:szCs w:val="24"/>
          <w:lang w:val="en-US" w:eastAsia="zh-CN" w:bidi="ar"/>
        </w:rPr>
        <w:t>本项目采用远程不见面开标方式进行开标、谈判，采购代理机构在规定的时间和地点组织谈判，投标单位授权代表不到现场参加开标，须自行在各自办公场所，自备电脑在投标截止时间前登录不见面开标大厅，进行远程开标、谈判。</w:t>
      </w:r>
    </w:p>
    <w:p w14:paraId="72659B3F">
      <w:pPr>
        <w:pStyle w:val="34"/>
        <w:keepNext w:val="0"/>
        <w:keepLines w:val="0"/>
        <w:pageBreakBefore w:val="0"/>
        <w:widowControl w:val="0"/>
        <w:numPr>
          <w:ilvl w:val="0"/>
          <w:numId w:val="0"/>
        </w:numPr>
        <w:tabs>
          <w:tab w:val="left" w:pos="1669"/>
        </w:tabs>
        <w:kinsoku/>
        <w:wordWrap/>
        <w:overflowPunct/>
        <w:topLinePunct w:val="0"/>
        <w:autoSpaceDE w:val="0"/>
        <w:autoSpaceDN w:val="0"/>
        <w:bidi w:val="0"/>
        <w:adjustRightInd/>
        <w:snapToGrid/>
        <w:spacing w:before="6" w:after="0" w:line="540" w:lineRule="exact"/>
        <w:ind w:right="-5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18.1.3 </w:t>
      </w:r>
      <w:r>
        <w:rPr>
          <w:rFonts w:hint="eastAsia" w:ascii="宋体" w:hAnsi="宋体" w:eastAsia="宋体" w:cs="宋体"/>
          <w:b w:val="0"/>
          <w:bCs w:val="0"/>
          <w:kern w:val="2"/>
          <w:sz w:val="24"/>
          <w:szCs w:val="24"/>
          <w:lang w:val="en-US" w:eastAsia="zh-CN" w:bidi="ar"/>
        </w:rPr>
        <w:t>为顺利实现不见面开标系统的远程交互，建议供应商配置的软硬件设施有：高配置电脑、高速稳定的网络、电源（不间断）、CA 锁、音视频设备（话筒、耳麦、高清摄像头、音响），浏览器要求使用 IE11 浏览器，且电脑已经正确安装了陕西 省 公 共 资 源 CA 驱 动 , 不 见 面 开 标 大 厅 网 址 ：</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"http://219.145.206.209/BidOpeningHall/bidopeninghallaction/hall/login"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 xml:space="preserve"> http://219.145.206.209/BidOpeningHall/bidopeninghallaction/hall/login</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w:t>
      </w:r>
    </w:p>
    <w:p w14:paraId="03912E90">
      <w:pPr>
        <w:pStyle w:val="34"/>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before="4"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18.1.4 </w:t>
      </w:r>
      <w:r>
        <w:rPr>
          <w:rFonts w:hint="eastAsia" w:ascii="宋体" w:hAnsi="宋体" w:eastAsia="宋体" w:cs="宋体"/>
          <w:b w:val="0"/>
          <w:bCs w:val="0"/>
          <w:kern w:val="2"/>
          <w:sz w:val="24"/>
          <w:szCs w:val="24"/>
          <w:lang w:val="en-US" w:eastAsia="zh-CN" w:bidi="ar"/>
        </w:rPr>
        <w:t>供应商需注意 CA 锁一定要提前准备好，并确保 CA 锁为制作投标文件的CA 锁。</w:t>
      </w:r>
    </w:p>
    <w:p w14:paraId="1D29B3F4">
      <w:pPr>
        <w:pStyle w:val="9"/>
        <w:keepNext w:val="0"/>
        <w:keepLines w:val="0"/>
        <w:pageBreakBefore w:val="0"/>
        <w:widowControl w:val="0"/>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不见面开标方式因供应商不来开标现场，资格审查如需提供复印件，请按谈判文件中要求，在响应文件中上传电子版。</w:t>
      </w:r>
    </w:p>
    <w:p w14:paraId="2591C90D">
      <w:pPr>
        <w:pStyle w:val="3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18.1.5 </w:t>
      </w:r>
      <w:r>
        <w:rPr>
          <w:rFonts w:hint="eastAsia" w:ascii="宋体" w:hAnsi="宋体" w:eastAsia="宋体" w:cs="宋体"/>
          <w:b w:val="0"/>
          <w:bCs w:val="0"/>
          <w:kern w:val="2"/>
          <w:sz w:val="24"/>
          <w:szCs w:val="24"/>
          <w:lang w:val="en-US" w:eastAsia="zh-CN" w:bidi="ar"/>
        </w:rPr>
        <w:t>开标时间到了之后就不能签到，建议供应商在开标前半小时登录不见面开标大厅，并及时签到（开标前 60 分钟即可签到），遇到问题及时联系客服 4009280095。</w:t>
      </w:r>
    </w:p>
    <w:p w14:paraId="4D3CAF07">
      <w:pPr>
        <w:pStyle w:val="3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18.1.6 </w:t>
      </w:r>
      <w:r>
        <w:rPr>
          <w:rFonts w:hint="eastAsia" w:ascii="宋体" w:hAnsi="宋体" w:eastAsia="宋体" w:cs="宋体"/>
          <w:b w:val="0"/>
          <w:bCs w:val="0"/>
          <w:kern w:val="2"/>
          <w:sz w:val="24"/>
          <w:szCs w:val="24"/>
          <w:lang w:val="en-US" w:eastAsia="zh-CN" w:bidi="ar"/>
        </w:rPr>
        <w:t>开标时，供应商须使用电子投标文件加密时所用的数字认证证书（CA 锁） 在自备电脑上自行远程解密电子投标文件，由电子交易系统进行自动唱标。</w:t>
      </w:r>
    </w:p>
    <w:p w14:paraId="11958E4E">
      <w:pPr>
        <w:pStyle w:val="3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18.1.7 </w:t>
      </w:r>
      <w:r>
        <w:rPr>
          <w:rFonts w:hint="eastAsia" w:ascii="宋体" w:hAnsi="宋体" w:eastAsia="宋体" w:cs="宋体"/>
          <w:b w:val="0"/>
          <w:bCs w:val="0"/>
          <w:kern w:val="2"/>
          <w:sz w:val="24"/>
          <w:szCs w:val="24"/>
          <w:lang w:val="en-US" w:eastAsia="zh-CN" w:bidi="ar"/>
        </w:rPr>
        <w:t xml:space="preserve">系统默认解密时长为 </w:t>
      </w:r>
      <w:r>
        <w:rPr>
          <w:rFonts w:hint="eastAsia" w:cs="宋体"/>
          <w:b w:val="0"/>
          <w:bCs w:val="0"/>
          <w:kern w:val="2"/>
          <w:sz w:val="24"/>
          <w:szCs w:val="24"/>
          <w:lang w:val="en-US" w:eastAsia="zh-CN" w:bidi="ar"/>
        </w:rPr>
        <w:t>60</w:t>
      </w:r>
      <w:r>
        <w:rPr>
          <w:rFonts w:hint="eastAsia" w:ascii="宋体" w:hAnsi="宋体" w:eastAsia="宋体" w:cs="宋体"/>
          <w:b w:val="0"/>
          <w:bCs w:val="0"/>
          <w:kern w:val="2"/>
          <w:sz w:val="24"/>
          <w:szCs w:val="24"/>
          <w:lang w:val="en-US" w:eastAsia="zh-CN" w:bidi="ar"/>
        </w:rPr>
        <w:t xml:space="preserve"> 分钟，投标单位需在解密时间规定内完成标书解密。所有投标单位解密完成后由开标人员将响应文件导入开评标系统。</w:t>
      </w:r>
    </w:p>
    <w:p w14:paraId="256EA946">
      <w:pPr>
        <w:pStyle w:val="34"/>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before="0"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18.1.8 </w:t>
      </w:r>
      <w:r>
        <w:rPr>
          <w:rFonts w:hint="eastAsia" w:ascii="宋体" w:hAnsi="宋体" w:eastAsia="宋体" w:cs="宋体"/>
          <w:b w:val="0"/>
          <w:bCs w:val="0"/>
          <w:kern w:val="2"/>
          <w:sz w:val="24"/>
          <w:szCs w:val="24"/>
          <w:lang w:val="en-US" w:eastAsia="zh-CN" w:bidi="ar"/>
        </w:rPr>
        <w:t>谈判小组将分别与每位供应商远程进行谈判，请及时关注不见面开播大厅右侧公告及互动栏目信息。</w:t>
      </w:r>
    </w:p>
    <w:p w14:paraId="650483C1">
      <w:pPr>
        <w:pStyle w:val="34"/>
        <w:keepNext w:val="0"/>
        <w:keepLines w:val="0"/>
        <w:pageBreakBefore w:val="0"/>
        <w:widowControl w:val="0"/>
        <w:numPr>
          <w:ilvl w:val="0"/>
          <w:numId w:val="0"/>
        </w:numPr>
        <w:tabs>
          <w:tab w:val="left" w:pos="1729"/>
        </w:tabs>
        <w:kinsoku/>
        <w:wordWrap/>
        <w:overflowPunct/>
        <w:topLinePunct w:val="0"/>
        <w:autoSpaceDE w:val="0"/>
        <w:autoSpaceDN w:val="0"/>
        <w:bidi w:val="0"/>
        <w:adjustRightInd/>
        <w:snapToGrid/>
        <w:spacing w:before="0"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18.1.9 </w:t>
      </w:r>
      <w:r>
        <w:rPr>
          <w:rFonts w:hint="eastAsia" w:ascii="宋体" w:hAnsi="宋体" w:eastAsia="宋体" w:cs="宋体"/>
          <w:b w:val="0"/>
          <w:bCs w:val="0"/>
          <w:kern w:val="2"/>
          <w:sz w:val="24"/>
          <w:szCs w:val="24"/>
          <w:lang w:val="en-US" w:eastAsia="zh-CN" w:bidi="ar"/>
        </w:rPr>
        <w:t>谈判结束后，供应商在自备电脑上用数字认证证书（CA 主锁）登陆系统进行二次报价，系统按照评标规则自动排序。</w:t>
      </w:r>
    </w:p>
    <w:p w14:paraId="7EB75CCB">
      <w:pPr>
        <w:pStyle w:val="5"/>
        <w:keepNext w:val="0"/>
        <w:keepLines w:val="0"/>
        <w:pageBreakBefore w:val="0"/>
        <w:widowControl w:val="0"/>
        <w:numPr>
          <w:ilvl w:val="0"/>
          <w:numId w:val="0"/>
        </w:numPr>
        <w:tabs>
          <w:tab w:val="left" w:pos="770"/>
        </w:tabs>
        <w:kinsoku/>
        <w:wordWrap/>
        <w:overflowPunct/>
        <w:topLinePunct w:val="0"/>
        <w:autoSpaceDE w:val="0"/>
        <w:autoSpaceDN w:val="0"/>
        <w:bidi w:val="0"/>
        <w:adjustRightInd/>
        <w:snapToGrid/>
        <w:spacing w:before="10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18.2.</w:t>
      </w:r>
      <w:r>
        <w:rPr>
          <w:rFonts w:hint="eastAsia" w:ascii="宋体" w:hAnsi="宋体" w:eastAsia="宋体" w:cs="宋体"/>
          <w:b/>
          <w:bCs/>
          <w:kern w:val="2"/>
          <w:sz w:val="24"/>
          <w:szCs w:val="24"/>
          <w:lang w:val="en-US" w:eastAsia="zh-CN" w:bidi="ar"/>
        </w:rPr>
        <w:t>在开标环节出现下列情况之一的，其谈判响应文件视为无效文件：</w:t>
      </w:r>
    </w:p>
    <w:p w14:paraId="07F1835B">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供应商拒绝对电子谈判响应文件进行解密的；</w:t>
      </w:r>
    </w:p>
    <w:p w14:paraId="61CB4D06">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因供应商自身原因（如未带 CA 锁或所带 CA 锁与制作电子谈判响应文件使用的 CA 锁不一致或沿用旧版谈判文件编制谈判响应文件等情形），导致在规定时间内无法解密谈判响应文件的；</w:t>
      </w:r>
    </w:p>
    <w:p w14:paraId="3EA85CE2">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上传的电子谈判响应文件无法打开的；</w:t>
      </w:r>
    </w:p>
    <w:p w14:paraId="3B70AC62">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政府采购法律法规规定的其他无效情形。</w:t>
      </w:r>
    </w:p>
    <w:p w14:paraId="1CC03AD0">
      <w:pPr>
        <w:pStyle w:val="5"/>
        <w:keepNext w:val="0"/>
        <w:keepLines w:val="0"/>
        <w:pageBreakBefore w:val="0"/>
        <w:widowControl w:val="0"/>
        <w:numPr>
          <w:ilvl w:val="0"/>
          <w:numId w:val="0"/>
        </w:numPr>
        <w:tabs>
          <w:tab w:val="left" w:pos="770"/>
        </w:tabs>
        <w:kinsoku/>
        <w:wordWrap/>
        <w:overflowPunct/>
        <w:topLinePunct w:val="0"/>
        <w:autoSpaceDE w:val="0"/>
        <w:autoSpaceDN w:val="0"/>
        <w:bidi w:val="0"/>
        <w:adjustRightInd/>
        <w:snapToGrid/>
        <w:spacing w:before="13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18.3.</w:t>
      </w:r>
      <w:r>
        <w:rPr>
          <w:rFonts w:hint="eastAsia" w:ascii="宋体" w:hAnsi="宋体" w:eastAsia="宋体" w:cs="宋体"/>
          <w:b/>
          <w:bCs/>
          <w:kern w:val="2"/>
          <w:sz w:val="24"/>
          <w:szCs w:val="24"/>
          <w:lang w:val="en-US" w:eastAsia="zh-CN" w:bidi="ar"/>
        </w:rPr>
        <w:t>特殊情形下的应急处置</w:t>
      </w:r>
    </w:p>
    <w:p w14:paraId="3F38E134">
      <w:pPr>
        <w:pStyle w:val="9"/>
        <w:keepNext w:val="0"/>
        <w:keepLines w:val="0"/>
        <w:pageBreakBefore w:val="0"/>
        <w:widowControl w:val="0"/>
        <w:kinsoku/>
        <w:wordWrap/>
        <w:overflowPunct/>
        <w:topLinePunct w:val="0"/>
        <w:autoSpaceDE w:val="0"/>
        <w:autoSpaceDN w:val="0"/>
        <w:bidi w:val="0"/>
        <w:adjustRightInd/>
        <w:snapToGrid/>
        <w:spacing w:before="134" w:line="540" w:lineRule="exact"/>
        <w:ind w:right="-48" w:rightChars="-22"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电子开标、评标无法进行时，按照《安康市公共资源交易平台电子化交易应急处置管理办法（试行）》规定执行。</w:t>
      </w:r>
    </w:p>
    <w:p w14:paraId="1104C2DC">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19.</w:t>
      </w:r>
      <w:r>
        <w:rPr>
          <w:rFonts w:hint="eastAsia" w:ascii="宋体" w:hAnsi="宋体" w:eastAsia="宋体" w:cs="宋体"/>
          <w:b w:val="0"/>
          <w:bCs w:val="0"/>
          <w:kern w:val="2"/>
          <w:sz w:val="24"/>
          <w:szCs w:val="24"/>
          <w:lang w:val="en-US" w:eastAsia="zh-CN" w:bidi="ar"/>
        </w:rPr>
        <w:t>谈判小组</w:t>
      </w:r>
    </w:p>
    <w:p w14:paraId="00852DCD">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4"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19.1 </w:t>
      </w:r>
      <w:r>
        <w:rPr>
          <w:rFonts w:hint="eastAsia" w:ascii="宋体" w:hAnsi="宋体" w:eastAsia="宋体" w:cs="宋体"/>
          <w:b w:val="0"/>
          <w:bCs w:val="0"/>
          <w:kern w:val="2"/>
          <w:sz w:val="24"/>
          <w:szCs w:val="24"/>
          <w:lang w:val="en-US" w:eastAsia="zh-CN" w:bidi="ar"/>
        </w:rPr>
        <w:t>招标采购单位将按照《中华人民共和国政府采购法》、《政府采购货物和服务招标投标管理办法》及有关规定组建谈判小组。</w:t>
      </w:r>
    </w:p>
    <w:p w14:paraId="155DC5DD">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19.2 </w:t>
      </w:r>
      <w:r>
        <w:rPr>
          <w:rFonts w:hint="eastAsia" w:ascii="宋体" w:hAnsi="宋体" w:eastAsia="宋体" w:cs="宋体"/>
          <w:b w:val="0"/>
          <w:bCs w:val="0"/>
          <w:kern w:val="2"/>
          <w:sz w:val="24"/>
          <w:szCs w:val="24"/>
          <w:lang w:val="en-US" w:eastAsia="zh-CN" w:bidi="ar"/>
        </w:rPr>
        <w:t>谈判小组由采购人代表及有关经济、技术等方面的专家组成，专家从陕西省政府采购网专家库中随机抽取产生。</w:t>
      </w:r>
    </w:p>
    <w:p w14:paraId="220E786F">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19.3 </w:t>
      </w:r>
      <w:r>
        <w:rPr>
          <w:rFonts w:hint="eastAsia" w:ascii="宋体" w:hAnsi="宋体" w:eastAsia="宋体" w:cs="宋体"/>
          <w:b w:val="0"/>
          <w:bCs w:val="0"/>
          <w:kern w:val="2"/>
          <w:sz w:val="24"/>
          <w:szCs w:val="24"/>
          <w:lang w:val="en-US" w:eastAsia="zh-CN" w:bidi="ar"/>
        </w:rPr>
        <w:t>谈判小组负责谈判工作，对谈判响应文件进行审查和评估，并向招标采购单位提交书面评审报告，推荐成交候选人。</w:t>
      </w:r>
    </w:p>
    <w:p w14:paraId="7A4E0FE8">
      <w:pPr>
        <w:pStyle w:val="34"/>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19.4 </w:t>
      </w:r>
      <w:r>
        <w:rPr>
          <w:rFonts w:hint="eastAsia" w:ascii="宋体" w:hAnsi="宋体" w:eastAsia="宋体" w:cs="宋体"/>
          <w:b w:val="0"/>
          <w:bCs w:val="0"/>
          <w:kern w:val="2"/>
          <w:sz w:val="24"/>
          <w:szCs w:val="24"/>
          <w:lang w:val="en-US" w:eastAsia="zh-CN" w:bidi="ar"/>
        </w:rPr>
        <w:t>文件开启后，直到向成交的供应商授予承包合同为止，凡与审查、澄清、评价和比较谈判的有关资料及授标意见等内容，谈判小组均不得向其他供应商及与谈判无关的其他人透露。</w:t>
      </w:r>
    </w:p>
    <w:p w14:paraId="7A58280F">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48" w:rightChars="-22"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20.</w:t>
      </w:r>
      <w:r>
        <w:rPr>
          <w:rFonts w:hint="eastAsia" w:ascii="宋体" w:hAnsi="宋体" w:eastAsia="宋体" w:cs="宋体"/>
          <w:b/>
          <w:bCs/>
          <w:kern w:val="2"/>
          <w:sz w:val="24"/>
          <w:szCs w:val="24"/>
          <w:lang w:val="en-US" w:eastAsia="zh-CN" w:bidi="ar"/>
        </w:rPr>
        <w:t>谈判办法及内容</w:t>
      </w:r>
    </w:p>
    <w:p w14:paraId="298BB466">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28"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20.1 </w:t>
      </w:r>
      <w:r>
        <w:rPr>
          <w:rFonts w:hint="eastAsia" w:ascii="宋体" w:hAnsi="宋体" w:eastAsia="宋体" w:cs="宋体"/>
          <w:b w:val="0"/>
          <w:bCs w:val="0"/>
          <w:kern w:val="2"/>
          <w:sz w:val="24"/>
          <w:szCs w:val="24"/>
          <w:lang w:val="en-US" w:eastAsia="zh-CN" w:bidi="ar"/>
        </w:rPr>
        <w:t>谈判原则：</w:t>
      </w:r>
    </w:p>
    <w:p w14:paraId="06E751C2">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坚持谈判机会均等，信息公开，公平竞争的原则。</w:t>
      </w:r>
    </w:p>
    <w:p w14:paraId="4CC0D502">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4"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坚持竞争性、经济实效性和公平性原则。</w:t>
      </w:r>
    </w:p>
    <w:p w14:paraId="7AADF179">
      <w:pPr>
        <w:pStyle w:val="5"/>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1"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 </w:t>
      </w:r>
      <w:r>
        <w:rPr>
          <w:rFonts w:hint="eastAsia" w:ascii="宋体" w:hAnsi="宋体" w:eastAsia="宋体" w:cs="宋体"/>
          <w:b w:val="0"/>
          <w:bCs w:val="0"/>
          <w:kern w:val="2"/>
          <w:sz w:val="24"/>
          <w:szCs w:val="24"/>
          <w:lang w:val="en-US" w:eastAsia="zh-CN" w:bidi="ar"/>
        </w:rPr>
        <w:t>谈判程序：</w:t>
      </w:r>
    </w:p>
    <w:p w14:paraId="0484BED8">
      <w:pPr>
        <w:pStyle w:val="9"/>
        <w:keepNext w:val="0"/>
        <w:keepLines w:val="0"/>
        <w:pageBreakBefore w:val="0"/>
        <w:widowControl w:val="0"/>
        <w:kinsoku/>
        <w:wordWrap/>
        <w:overflowPunct/>
        <w:topLinePunct w:val="0"/>
        <w:autoSpaceDE w:val="0"/>
        <w:autoSpaceDN w:val="0"/>
        <w:bidi w:val="0"/>
        <w:adjustRightInd/>
        <w:snapToGrid/>
        <w:spacing w:before="118" w:line="540" w:lineRule="exact"/>
        <w:ind w:right="-48" w:rightChars="-22"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谈判的全过程分为资格审查、符合性评审、谈判过程、谈判承诺、第二次报价、最终评审六个阶段。第一次报价与第二次报价均不予公开。通过资格审查合格的各投标单位，只有在谈判响应文件及谈判承诺符合谈判文件要求和满足技术、商务需要的才有最终报价和评审的机会。谈判小组按其最终承诺和报价内容，推荐成交候选单位排序。</w:t>
      </w:r>
    </w:p>
    <w:p w14:paraId="6C6D0482">
      <w:pPr>
        <w:pStyle w:val="34"/>
        <w:keepNext w:val="0"/>
        <w:keepLines w:val="0"/>
        <w:pageBreakBefore w:val="0"/>
        <w:widowControl w:val="0"/>
        <w:numPr>
          <w:ilvl w:val="0"/>
          <w:numId w:val="0"/>
        </w:numPr>
        <w:tabs>
          <w:tab w:val="left" w:pos="1549"/>
        </w:tabs>
        <w:kinsoku/>
        <w:wordWrap/>
        <w:overflowPunct/>
        <w:topLinePunct w:val="0"/>
        <w:autoSpaceDE w:val="0"/>
        <w:autoSpaceDN w:val="0"/>
        <w:bidi w:val="0"/>
        <w:adjustRightInd/>
        <w:snapToGrid/>
        <w:spacing w:before="112"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20.2.1 </w:t>
      </w:r>
      <w:r>
        <w:rPr>
          <w:rFonts w:hint="eastAsia" w:ascii="宋体" w:hAnsi="宋体" w:eastAsia="宋体" w:cs="宋体"/>
          <w:b w:val="0"/>
          <w:bCs w:val="0"/>
          <w:kern w:val="2"/>
          <w:sz w:val="24"/>
          <w:szCs w:val="24"/>
          <w:lang w:val="en-US" w:eastAsia="zh-CN" w:bidi="ar"/>
        </w:rPr>
        <w:t>依据程序，第一次报价与第二次报价不予以公布。</w:t>
      </w:r>
    </w:p>
    <w:p w14:paraId="38FCB83B">
      <w:pPr>
        <w:pStyle w:val="34"/>
        <w:keepNext w:val="0"/>
        <w:keepLines w:val="0"/>
        <w:pageBreakBefore w:val="0"/>
        <w:widowControl w:val="0"/>
        <w:numPr>
          <w:ilvl w:val="0"/>
          <w:numId w:val="0"/>
        </w:numPr>
        <w:tabs>
          <w:tab w:val="left" w:pos="1549"/>
        </w:tabs>
        <w:kinsoku/>
        <w:wordWrap/>
        <w:overflowPunct/>
        <w:topLinePunct w:val="0"/>
        <w:autoSpaceDE w:val="0"/>
        <w:autoSpaceDN w:val="0"/>
        <w:bidi w:val="0"/>
        <w:adjustRightInd/>
        <w:snapToGrid/>
        <w:spacing w:before="141" w:after="0" w:line="540" w:lineRule="exact"/>
        <w:ind w:right="-48" w:rightChars="-22"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20.2.2 </w:t>
      </w:r>
      <w:r>
        <w:rPr>
          <w:rFonts w:hint="eastAsia" w:ascii="宋体" w:hAnsi="宋体" w:eastAsia="宋体" w:cs="宋体"/>
          <w:b w:val="0"/>
          <w:bCs w:val="0"/>
          <w:kern w:val="2"/>
          <w:sz w:val="24"/>
          <w:szCs w:val="24"/>
          <w:lang w:val="en-US" w:eastAsia="zh-CN" w:bidi="ar"/>
        </w:rPr>
        <w:t>符合性评审：主要对各投标单位资格以及响应文件进行商务和技术符合性的审定。出现下列情况的按无效标书。</w:t>
      </w:r>
    </w:p>
    <w:p w14:paraId="0BC44DD1">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资格审查：本次谈判所要求的必备资质证明文件，缺其中一项或某项达不到谈判要求，均按无效文件处理。</w:t>
      </w:r>
    </w:p>
    <w:tbl>
      <w:tblPr>
        <w:tblStyle w:val="18"/>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974"/>
        <w:gridCol w:w="6477"/>
      </w:tblGrid>
      <w:tr w14:paraId="184A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008" w:type="dxa"/>
          </w:tcPr>
          <w:p w14:paraId="78A2E9C2">
            <w:pPr>
              <w:pStyle w:val="35"/>
              <w:keepNext w:val="0"/>
              <w:keepLines w:val="0"/>
              <w:suppressLineNumbers w:val="0"/>
              <w:spacing w:before="111" w:beforeAutospacing="0" w:afterAutospacing="0"/>
              <w:ind w:left="272" w:right="265"/>
              <w:jc w:val="center"/>
              <w:rPr>
                <w:rFonts w:hint="eastAsia" w:ascii="宋体" w:hAnsi="宋体" w:eastAsia="宋体" w:cs="宋体"/>
                <w:b/>
                <w:sz w:val="21"/>
              </w:rPr>
            </w:pPr>
            <w:r>
              <w:rPr>
                <w:rFonts w:hint="eastAsia" w:ascii="宋体" w:hAnsi="宋体" w:eastAsia="宋体" w:cs="宋体"/>
                <w:b/>
                <w:sz w:val="21"/>
              </w:rPr>
              <w:t>序号</w:t>
            </w:r>
          </w:p>
        </w:tc>
        <w:tc>
          <w:tcPr>
            <w:tcW w:w="1974" w:type="dxa"/>
          </w:tcPr>
          <w:p w14:paraId="07C5C20A">
            <w:pPr>
              <w:pStyle w:val="35"/>
              <w:keepNext w:val="0"/>
              <w:keepLines w:val="0"/>
              <w:suppressLineNumbers w:val="0"/>
              <w:spacing w:before="111" w:beforeAutospacing="0" w:afterAutospacing="0"/>
              <w:ind w:left="122" w:right="113"/>
              <w:jc w:val="center"/>
              <w:rPr>
                <w:rFonts w:hint="eastAsia" w:ascii="宋体" w:hAnsi="宋体" w:eastAsia="宋体" w:cs="宋体"/>
                <w:b/>
                <w:sz w:val="21"/>
              </w:rPr>
            </w:pPr>
            <w:r>
              <w:rPr>
                <w:rFonts w:hint="eastAsia" w:ascii="宋体" w:hAnsi="宋体" w:eastAsia="宋体" w:cs="宋体"/>
                <w:b/>
                <w:sz w:val="21"/>
              </w:rPr>
              <w:t>审查因素</w:t>
            </w:r>
          </w:p>
        </w:tc>
        <w:tc>
          <w:tcPr>
            <w:tcW w:w="6477" w:type="dxa"/>
          </w:tcPr>
          <w:p w14:paraId="7C2BC635">
            <w:pPr>
              <w:pStyle w:val="35"/>
              <w:keepNext w:val="0"/>
              <w:keepLines w:val="0"/>
              <w:suppressLineNumbers w:val="0"/>
              <w:spacing w:before="111" w:beforeAutospacing="0" w:afterAutospacing="0"/>
              <w:ind w:left="2798" w:right="2787"/>
              <w:jc w:val="center"/>
              <w:rPr>
                <w:rFonts w:hint="eastAsia" w:ascii="宋体" w:hAnsi="宋体" w:eastAsia="宋体" w:cs="宋体"/>
                <w:b/>
                <w:sz w:val="21"/>
              </w:rPr>
            </w:pPr>
            <w:r>
              <w:rPr>
                <w:rFonts w:hint="eastAsia" w:ascii="宋体" w:hAnsi="宋体" w:eastAsia="宋体" w:cs="宋体"/>
                <w:b/>
                <w:sz w:val="21"/>
              </w:rPr>
              <w:t>审查标准</w:t>
            </w:r>
          </w:p>
        </w:tc>
      </w:tr>
      <w:tr w14:paraId="63E14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008" w:type="dxa"/>
            <w:vAlign w:val="center"/>
          </w:tcPr>
          <w:p w14:paraId="2993C8FE">
            <w:pPr>
              <w:pStyle w:val="3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1</w:t>
            </w:r>
          </w:p>
        </w:tc>
        <w:tc>
          <w:tcPr>
            <w:tcW w:w="1974" w:type="dxa"/>
            <w:vAlign w:val="center"/>
          </w:tcPr>
          <w:p w14:paraId="05DE1BA7">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宋体" w:hAnsi="宋体" w:eastAsia="宋体" w:cs="宋体"/>
                <w:b/>
                <w:sz w:val="21"/>
              </w:rPr>
            </w:pPr>
            <w:r>
              <w:rPr>
                <w:rFonts w:hint="eastAsia" w:ascii="宋体" w:hAnsi="宋体" w:eastAsia="宋体" w:cs="宋体"/>
                <w:b/>
                <w:sz w:val="21"/>
              </w:rPr>
              <w:t>营业执照</w:t>
            </w:r>
          </w:p>
        </w:tc>
        <w:tc>
          <w:tcPr>
            <w:tcW w:w="6477" w:type="dxa"/>
            <w:vAlign w:val="center"/>
          </w:tcPr>
          <w:p w14:paraId="340CD09E">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提供有效合格的统一社会信用代码的营业执照，其他组织经营的须提供合法凭证，自然人的提供身份证明文件；</w:t>
            </w:r>
          </w:p>
        </w:tc>
      </w:tr>
      <w:tr w14:paraId="3380A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08" w:type="dxa"/>
            <w:vAlign w:val="center"/>
          </w:tcPr>
          <w:p w14:paraId="797AF0EE">
            <w:pPr>
              <w:pStyle w:val="3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2</w:t>
            </w:r>
          </w:p>
        </w:tc>
        <w:tc>
          <w:tcPr>
            <w:tcW w:w="1974" w:type="dxa"/>
            <w:vAlign w:val="center"/>
          </w:tcPr>
          <w:p w14:paraId="208B8E44">
            <w:pPr>
              <w:pStyle w:val="3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授权委托书</w:t>
            </w:r>
          </w:p>
        </w:tc>
        <w:tc>
          <w:tcPr>
            <w:tcW w:w="6477" w:type="dxa"/>
            <w:vAlign w:val="center"/>
          </w:tcPr>
          <w:p w14:paraId="2E3A7FE2">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法定代表人直接参加投标的，须出具法定代表人身份证；法定代表人授权代表参加投标的，须出具法定代表人授权委托书、法定代表人身份证复印件以及被授权代表身份证复印件；</w:t>
            </w:r>
          </w:p>
        </w:tc>
      </w:tr>
      <w:tr w14:paraId="5F0A3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jc w:val="center"/>
        </w:trPr>
        <w:tc>
          <w:tcPr>
            <w:tcW w:w="1008" w:type="dxa"/>
            <w:vAlign w:val="center"/>
          </w:tcPr>
          <w:p w14:paraId="746F5E05">
            <w:pPr>
              <w:pStyle w:val="35"/>
              <w:keepNext w:val="0"/>
              <w:keepLines w:val="0"/>
              <w:suppressLineNumbers w:val="0"/>
              <w:spacing w:before="1"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3</w:t>
            </w:r>
          </w:p>
        </w:tc>
        <w:tc>
          <w:tcPr>
            <w:tcW w:w="1974" w:type="dxa"/>
            <w:vAlign w:val="center"/>
          </w:tcPr>
          <w:p w14:paraId="1E292511">
            <w:pPr>
              <w:pStyle w:val="3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财务状况报告</w:t>
            </w:r>
          </w:p>
        </w:tc>
        <w:tc>
          <w:tcPr>
            <w:tcW w:w="6477" w:type="dxa"/>
            <w:vAlign w:val="center"/>
          </w:tcPr>
          <w:p w14:paraId="310B16E4">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 xml:space="preserve">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tc>
      </w:tr>
      <w:tr w14:paraId="6CC3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008" w:type="dxa"/>
            <w:vAlign w:val="center"/>
          </w:tcPr>
          <w:p w14:paraId="3987B7BF">
            <w:pPr>
              <w:pStyle w:val="3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4</w:t>
            </w:r>
          </w:p>
        </w:tc>
        <w:tc>
          <w:tcPr>
            <w:tcW w:w="1974" w:type="dxa"/>
            <w:vAlign w:val="center"/>
          </w:tcPr>
          <w:p w14:paraId="1C26B2BD">
            <w:pPr>
              <w:pStyle w:val="35"/>
              <w:keepNext w:val="0"/>
              <w:keepLines w:val="0"/>
              <w:suppressLineNumbers w:val="0"/>
              <w:spacing w:before="166" w:beforeAutospacing="0" w:afterAutospacing="0" w:line="213" w:lineRule="auto"/>
              <w:ind w:left="462" w:right="132" w:hanging="317"/>
              <w:jc w:val="center"/>
              <w:rPr>
                <w:rFonts w:hint="eastAsia" w:ascii="宋体" w:hAnsi="宋体" w:eastAsia="宋体" w:cs="宋体"/>
                <w:b/>
                <w:sz w:val="21"/>
              </w:rPr>
            </w:pPr>
            <w:r>
              <w:rPr>
                <w:rFonts w:hint="eastAsia" w:ascii="宋体" w:hAnsi="宋体" w:eastAsia="宋体" w:cs="宋体"/>
                <w:b/>
                <w:sz w:val="21"/>
              </w:rPr>
              <w:t>社会保障资金缴纳证明</w:t>
            </w:r>
          </w:p>
        </w:tc>
        <w:tc>
          <w:tcPr>
            <w:tcW w:w="6477" w:type="dxa"/>
            <w:vAlign w:val="center"/>
          </w:tcPr>
          <w:p w14:paraId="660C5495">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w:t>
            </w:r>
            <w:r>
              <w:rPr>
                <w:rFonts w:hint="eastAsia" w:cs="宋体"/>
                <w:color w:val="333333"/>
                <w:sz w:val="21"/>
                <w:lang w:val="en-US" w:eastAsia="zh-CN"/>
              </w:rPr>
              <w:t>25</w:t>
            </w:r>
            <w:r>
              <w:rPr>
                <w:rFonts w:hint="eastAsia" w:ascii="宋体" w:hAnsi="宋体" w:eastAsia="宋体" w:cs="宋体"/>
                <w:color w:val="333333"/>
                <w:sz w:val="21"/>
              </w:rPr>
              <w:t>年</w:t>
            </w:r>
            <w:r>
              <w:rPr>
                <w:rFonts w:hint="eastAsia" w:cs="宋体"/>
                <w:color w:val="333333"/>
                <w:sz w:val="21"/>
                <w:lang w:val="en-US" w:eastAsia="zh-CN"/>
              </w:rPr>
              <w:t>1</w:t>
            </w:r>
            <w:r>
              <w:rPr>
                <w:rFonts w:hint="eastAsia" w:ascii="宋体" w:hAnsi="宋体" w:eastAsia="宋体" w:cs="宋体"/>
                <w:color w:val="333333"/>
                <w:sz w:val="21"/>
              </w:rPr>
              <w:t>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14:paraId="15B3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008" w:type="dxa"/>
            <w:vAlign w:val="center"/>
          </w:tcPr>
          <w:p w14:paraId="38259AEA">
            <w:pPr>
              <w:pStyle w:val="3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14:paraId="33FF1BC0">
            <w:pPr>
              <w:pStyle w:val="3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r>
              <w:rPr>
                <w:rFonts w:hint="eastAsia" w:cs="宋体"/>
                <w:b/>
                <w:w w:val="99"/>
                <w:sz w:val="21"/>
                <w:lang w:val="en-US" w:eastAsia="zh-CN"/>
              </w:rPr>
              <w:t>5</w:t>
            </w:r>
          </w:p>
        </w:tc>
        <w:tc>
          <w:tcPr>
            <w:tcW w:w="1974" w:type="dxa"/>
            <w:vAlign w:val="center"/>
          </w:tcPr>
          <w:p w14:paraId="5DC9D34F">
            <w:pPr>
              <w:pStyle w:val="35"/>
              <w:keepNext w:val="0"/>
              <w:keepLines w:val="0"/>
              <w:suppressLineNumbers w:val="0"/>
              <w:spacing w:before="166" w:beforeAutospacing="0" w:afterAutospacing="0" w:line="213" w:lineRule="auto"/>
              <w:ind w:right="132"/>
              <w:jc w:val="center"/>
              <w:rPr>
                <w:rFonts w:hint="eastAsia" w:ascii="宋体" w:hAnsi="宋体" w:eastAsia="宋体" w:cs="宋体"/>
                <w:b/>
                <w:sz w:val="21"/>
              </w:rPr>
            </w:pPr>
            <w:r>
              <w:rPr>
                <w:rFonts w:hint="eastAsia" w:ascii="宋体" w:hAnsi="宋体" w:eastAsia="宋体" w:cs="宋体"/>
                <w:b/>
                <w:sz w:val="21"/>
              </w:rPr>
              <w:t>税收缴纳证明</w:t>
            </w:r>
          </w:p>
        </w:tc>
        <w:tc>
          <w:tcPr>
            <w:tcW w:w="6477" w:type="dxa"/>
            <w:vAlign w:val="center"/>
          </w:tcPr>
          <w:p w14:paraId="2734EB70">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自202</w:t>
            </w:r>
            <w:r>
              <w:rPr>
                <w:rFonts w:hint="eastAsia" w:cs="宋体"/>
                <w:color w:val="333333"/>
                <w:sz w:val="21"/>
                <w:lang w:val="en-US" w:eastAsia="zh-CN"/>
              </w:rPr>
              <w:t>5</w:t>
            </w:r>
            <w:r>
              <w:rPr>
                <w:rFonts w:hint="eastAsia" w:ascii="宋体" w:hAnsi="宋体" w:eastAsia="宋体" w:cs="宋体"/>
                <w:color w:val="333333"/>
                <w:sz w:val="21"/>
              </w:rPr>
              <w:t>年</w:t>
            </w:r>
            <w:r>
              <w:rPr>
                <w:rFonts w:hint="eastAsia" w:cs="宋体"/>
                <w:color w:val="333333"/>
                <w:sz w:val="21"/>
                <w:lang w:val="en-US" w:eastAsia="zh-CN"/>
              </w:rPr>
              <w:t>1</w:t>
            </w:r>
            <w:r>
              <w:rPr>
                <w:rFonts w:hint="eastAsia" w:ascii="宋体" w:hAnsi="宋体" w:eastAsia="宋体" w:cs="宋体"/>
                <w:color w:val="333333"/>
                <w:sz w:val="21"/>
              </w:rPr>
              <w:t>月1日以来已缴纳的至少一个月的纳税证明或完税证明，纳税证明或完税证明上应有代收机构或税务机关的公章或业务专用章。依法免税的供应商应提供相关文件证明；</w:t>
            </w:r>
          </w:p>
        </w:tc>
      </w:tr>
      <w:tr w14:paraId="42E37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1008" w:type="dxa"/>
            <w:vAlign w:val="center"/>
          </w:tcPr>
          <w:p w14:paraId="2EF2C92E">
            <w:pPr>
              <w:pStyle w:val="3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6</w:t>
            </w:r>
          </w:p>
        </w:tc>
        <w:tc>
          <w:tcPr>
            <w:tcW w:w="1974" w:type="dxa"/>
            <w:vAlign w:val="center"/>
          </w:tcPr>
          <w:p w14:paraId="013F4562">
            <w:pPr>
              <w:pStyle w:val="3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主体信用查询记录</w:t>
            </w:r>
          </w:p>
        </w:tc>
        <w:tc>
          <w:tcPr>
            <w:tcW w:w="6477" w:type="dxa"/>
            <w:vAlign w:val="center"/>
          </w:tcPr>
          <w:p w14:paraId="1FA64B8D">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tc>
      </w:tr>
      <w:tr w14:paraId="7811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1008" w:type="dxa"/>
            <w:vAlign w:val="center"/>
          </w:tcPr>
          <w:p w14:paraId="29EB0AFD">
            <w:pPr>
              <w:pStyle w:val="35"/>
              <w:keepNext w:val="0"/>
              <w:keepLines w:val="0"/>
              <w:suppressLineNumbers w:val="0"/>
              <w:spacing w:beforeAutospacing="0" w:afterAutospacing="0"/>
              <w:ind w:left="8"/>
              <w:jc w:val="center"/>
              <w:rPr>
                <w:rFonts w:hint="default" w:cs="宋体"/>
                <w:b/>
                <w:w w:val="99"/>
                <w:sz w:val="21"/>
                <w:lang w:val="en-US" w:eastAsia="zh-CN"/>
              </w:rPr>
            </w:pPr>
            <w:r>
              <w:rPr>
                <w:rFonts w:hint="eastAsia" w:cs="宋体"/>
                <w:b/>
                <w:w w:val="99"/>
                <w:sz w:val="21"/>
                <w:lang w:val="en-US" w:eastAsia="zh-CN"/>
              </w:rPr>
              <w:t>7</w:t>
            </w:r>
          </w:p>
        </w:tc>
        <w:tc>
          <w:tcPr>
            <w:tcW w:w="1974" w:type="dxa"/>
            <w:vAlign w:val="center"/>
          </w:tcPr>
          <w:p w14:paraId="053E55C6">
            <w:pPr>
              <w:pStyle w:val="35"/>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cs="宋体"/>
                <w:b/>
                <w:sz w:val="21"/>
                <w:lang w:eastAsia="zh-CN"/>
              </w:rPr>
              <w:t>无违法记录书面声明</w:t>
            </w:r>
          </w:p>
        </w:tc>
        <w:tc>
          <w:tcPr>
            <w:tcW w:w="6477" w:type="dxa"/>
            <w:vAlign w:val="center"/>
          </w:tcPr>
          <w:p w14:paraId="7A89CF47">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Theme="minorEastAsia" w:hAnsiTheme="minorEastAsia" w:eastAsiaTheme="minorEastAsia" w:cstheme="minorEastAsia"/>
                <w:color w:val="auto"/>
                <w:spacing w:val="-6"/>
                <w:kern w:val="2"/>
                <w:sz w:val="21"/>
                <w:szCs w:val="24"/>
                <w:lang w:val="en-US" w:eastAsia="zh-CN" w:bidi="ar-SA"/>
              </w:rPr>
              <w:t>参加本次政府采购活动前三年内，在经营活动中没有重大违法记录声明；</w:t>
            </w:r>
          </w:p>
        </w:tc>
      </w:tr>
      <w:tr w14:paraId="1B09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1008" w:type="dxa"/>
            <w:vAlign w:val="center"/>
          </w:tcPr>
          <w:p w14:paraId="5078F291">
            <w:pPr>
              <w:pStyle w:val="35"/>
              <w:keepNext w:val="0"/>
              <w:keepLines w:val="0"/>
              <w:suppressLineNumbers w:val="0"/>
              <w:spacing w:beforeAutospacing="0" w:afterAutospacing="0"/>
              <w:ind w:left="8"/>
              <w:jc w:val="center"/>
              <w:rPr>
                <w:rFonts w:hint="default" w:cs="宋体"/>
                <w:b/>
                <w:w w:val="99"/>
                <w:sz w:val="21"/>
                <w:lang w:val="en-US" w:eastAsia="zh-CN"/>
              </w:rPr>
            </w:pPr>
            <w:r>
              <w:rPr>
                <w:rFonts w:hint="eastAsia" w:cs="宋体"/>
                <w:b/>
                <w:w w:val="99"/>
                <w:sz w:val="21"/>
                <w:lang w:val="en-US" w:eastAsia="zh-CN"/>
              </w:rPr>
              <w:t>8</w:t>
            </w:r>
          </w:p>
        </w:tc>
        <w:tc>
          <w:tcPr>
            <w:tcW w:w="1974" w:type="dxa"/>
            <w:vAlign w:val="center"/>
          </w:tcPr>
          <w:p w14:paraId="7877A31D">
            <w:pPr>
              <w:pStyle w:val="35"/>
              <w:keepNext w:val="0"/>
              <w:keepLines w:val="0"/>
              <w:suppressLineNumbers w:val="0"/>
              <w:spacing w:before="1" w:beforeAutospacing="0" w:afterAutospacing="0"/>
              <w:ind w:left="124" w:right="113"/>
              <w:jc w:val="center"/>
              <w:rPr>
                <w:rFonts w:hint="eastAsia" w:cs="宋体"/>
                <w:b/>
                <w:sz w:val="21"/>
                <w:lang w:eastAsia="zh-CN"/>
              </w:rPr>
            </w:pPr>
            <w:r>
              <w:rPr>
                <w:rFonts w:hint="eastAsia" w:cs="宋体"/>
                <w:b/>
                <w:sz w:val="21"/>
                <w:lang w:eastAsia="zh-CN"/>
              </w:rPr>
              <w:t>具有设备和能力的书面声明</w:t>
            </w:r>
          </w:p>
        </w:tc>
        <w:tc>
          <w:tcPr>
            <w:tcW w:w="6477" w:type="dxa"/>
            <w:vAlign w:val="center"/>
          </w:tcPr>
          <w:p w14:paraId="05A7ED09">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Theme="minorEastAsia" w:hAnsiTheme="minorEastAsia" w:eastAsiaTheme="minorEastAsia" w:cstheme="minorEastAsia"/>
                <w:color w:val="auto"/>
                <w:spacing w:val="-6"/>
                <w:kern w:val="2"/>
                <w:sz w:val="21"/>
                <w:szCs w:val="24"/>
                <w:lang w:val="en-US" w:eastAsia="zh-CN" w:bidi="ar-SA"/>
              </w:rPr>
            </w:pPr>
            <w:r>
              <w:rPr>
                <w:rFonts w:hint="eastAsia" w:asciiTheme="minorEastAsia" w:hAnsiTheme="minorEastAsia" w:eastAsiaTheme="minorEastAsia" w:cstheme="minorEastAsia"/>
                <w:color w:val="auto"/>
                <w:spacing w:val="-6"/>
                <w:kern w:val="2"/>
                <w:sz w:val="21"/>
                <w:szCs w:val="24"/>
                <w:lang w:val="en-US" w:eastAsia="zh-CN" w:bidi="ar-SA"/>
              </w:rPr>
              <w:t>供应商具有履行合同所必需的设备和专业技术能力的书面声明；</w:t>
            </w:r>
          </w:p>
        </w:tc>
      </w:tr>
      <w:tr w14:paraId="5F16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008" w:type="dxa"/>
            <w:vAlign w:val="center"/>
          </w:tcPr>
          <w:p w14:paraId="2A165CC5">
            <w:pPr>
              <w:pStyle w:val="35"/>
              <w:keepNext w:val="0"/>
              <w:keepLines w:val="0"/>
              <w:suppressLineNumbers w:val="0"/>
              <w:spacing w:before="1" w:beforeAutospacing="0" w:afterAutospacing="0"/>
              <w:ind w:left="124" w:right="113"/>
              <w:jc w:val="center"/>
              <w:rPr>
                <w:rFonts w:hint="eastAsia" w:ascii="宋体" w:hAnsi="宋体" w:eastAsia="宋体" w:cs="宋体"/>
                <w:b/>
                <w:sz w:val="21"/>
                <w:lang w:val="en-US" w:eastAsia="zh-CN"/>
              </w:rPr>
            </w:pPr>
            <w:r>
              <w:rPr>
                <w:rFonts w:hint="eastAsia" w:cs="宋体"/>
                <w:b/>
                <w:sz w:val="21"/>
                <w:lang w:val="en-US" w:eastAsia="zh-CN"/>
              </w:rPr>
              <w:t>9</w:t>
            </w:r>
          </w:p>
        </w:tc>
        <w:tc>
          <w:tcPr>
            <w:tcW w:w="1974" w:type="dxa"/>
            <w:vAlign w:val="center"/>
          </w:tcPr>
          <w:p w14:paraId="3F563C19">
            <w:pPr>
              <w:pStyle w:val="35"/>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ascii="宋体" w:hAnsi="宋体" w:eastAsia="宋体" w:cs="宋体"/>
                <w:b/>
                <w:sz w:val="21"/>
                <w:lang w:eastAsia="zh-CN"/>
              </w:rPr>
              <w:t>中小企业</w:t>
            </w:r>
            <w:r>
              <w:rPr>
                <w:rFonts w:hint="eastAsia" w:cs="宋体"/>
                <w:b/>
                <w:sz w:val="21"/>
                <w:lang w:eastAsia="zh-CN"/>
              </w:rPr>
              <w:t>声明函</w:t>
            </w:r>
          </w:p>
        </w:tc>
        <w:tc>
          <w:tcPr>
            <w:tcW w:w="6477" w:type="dxa"/>
            <w:vAlign w:val="center"/>
          </w:tcPr>
          <w:p w14:paraId="3B0BBD17">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供应商应提供中小企业声明函或残疾人福利性单位声明函或监狱企业证明文件；</w:t>
            </w:r>
          </w:p>
        </w:tc>
      </w:tr>
      <w:tr w14:paraId="7D03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008" w:type="dxa"/>
            <w:vAlign w:val="center"/>
          </w:tcPr>
          <w:p w14:paraId="3D10F1AC">
            <w:pPr>
              <w:pStyle w:val="35"/>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ascii="宋体" w:hAnsi="宋体" w:eastAsia="宋体" w:cs="宋体"/>
                <w:b/>
                <w:sz w:val="21"/>
                <w:lang w:val="en-US" w:eastAsia="zh-CN"/>
              </w:rPr>
              <w:t>10</w:t>
            </w:r>
          </w:p>
        </w:tc>
        <w:tc>
          <w:tcPr>
            <w:tcW w:w="1974" w:type="dxa"/>
            <w:vAlign w:val="center"/>
          </w:tcPr>
          <w:p w14:paraId="5EBD64BB">
            <w:pPr>
              <w:pStyle w:val="3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非联合体投标</w:t>
            </w:r>
          </w:p>
        </w:tc>
        <w:tc>
          <w:tcPr>
            <w:tcW w:w="6477" w:type="dxa"/>
            <w:vAlign w:val="center"/>
          </w:tcPr>
          <w:p w14:paraId="52EE64BB">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eastAsia="zh-CN"/>
              </w:rPr>
            </w:pPr>
            <w:r>
              <w:rPr>
                <w:rFonts w:hint="eastAsia" w:ascii="宋体" w:hAnsi="宋体" w:eastAsia="宋体" w:cs="宋体"/>
                <w:color w:val="333333"/>
                <w:sz w:val="21"/>
                <w:lang w:eastAsia="zh-CN"/>
              </w:rPr>
              <w:t>本项目不接受联合体投标</w:t>
            </w:r>
            <w:r>
              <w:rPr>
                <w:rFonts w:hint="eastAsia" w:cs="宋体"/>
                <w:color w:val="333333"/>
                <w:sz w:val="21"/>
                <w:lang w:eastAsia="zh-CN"/>
              </w:rPr>
              <w:t>（提供书面声明）</w:t>
            </w:r>
            <w:r>
              <w:rPr>
                <w:rFonts w:hint="eastAsia" w:ascii="宋体" w:hAnsi="宋体" w:eastAsia="宋体" w:cs="宋体"/>
                <w:color w:val="333333"/>
                <w:sz w:val="21"/>
                <w:lang w:eastAsia="zh-CN"/>
              </w:rPr>
              <w:t>。</w:t>
            </w:r>
          </w:p>
        </w:tc>
      </w:tr>
      <w:tr w14:paraId="76275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459" w:type="dxa"/>
            <w:gridSpan w:val="3"/>
            <w:vAlign w:val="center"/>
          </w:tcPr>
          <w:p w14:paraId="6E85280D">
            <w:pPr>
              <w:pStyle w:val="3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b w:val="0"/>
                <w:bCs/>
                <w:sz w:val="24"/>
              </w:rPr>
              <w:t>备注：</w:t>
            </w:r>
            <w:r>
              <w:rPr>
                <w:rFonts w:hint="eastAsia" w:ascii="宋体" w:hAnsi="宋体" w:eastAsia="宋体" w:cs="宋体"/>
                <w:b w:val="0"/>
                <w:bCs/>
                <w:sz w:val="24"/>
                <w:lang w:eastAsia="zh-CN"/>
              </w:rPr>
              <w:t>资格性</w:t>
            </w:r>
            <w:r>
              <w:rPr>
                <w:rFonts w:hint="eastAsia" w:ascii="宋体" w:hAnsi="宋体" w:eastAsia="宋体" w:cs="宋体"/>
                <w:b w:val="0"/>
                <w:bCs/>
                <w:sz w:val="24"/>
              </w:rPr>
              <w:t>审查不合格的投标单位不得进入下一评审环节。</w:t>
            </w:r>
          </w:p>
        </w:tc>
      </w:tr>
    </w:tbl>
    <w:p w14:paraId="1BC866A9">
      <w:pPr>
        <w:pStyle w:val="32"/>
        <w:keepNext w:val="0"/>
        <w:keepLines w:val="0"/>
        <w:pageBreakBefore w:val="0"/>
        <w:widowControl w:val="0"/>
        <w:kinsoku/>
        <w:wordWrap/>
        <w:overflowPunct/>
        <w:topLinePunct w:val="0"/>
        <w:autoSpaceDE w:val="0"/>
        <w:autoSpaceDN w:val="0"/>
        <w:bidi w:val="0"/>
        <w:adjustRightInd/>
        <w:snapToGrid/>
        <w:spacing w:line="540" w:lineRule="exact"/>
        <w:ind w:firstLine="720" w:firstLineChars="3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注：资格审查由</w:t>
      </w:r>
      <w:r>
        <w:rPr>
          <w:rFonts w:hint="eastAsia" w:cs="宋体"/>
          <w:b w:val="0"/>
          <w:bCs w:val="0"/>
          <w:kern w:val="2"/>
          <w:sz w:val="24"/>
          <w:szCs w:val="24"/>
          <w:lang w:val="en-US" w:eastAsia="zh-CN" w:bidi="ar"/>
        </w:rPr>
        <w:t>谈判小组</w:t>
      </w:r>
      <w:r>
        <w:rPr>
          <w:rFonts w:hint="eastAsia" w:ascii="宋体" w:hAnsi="宋体" w:eastAsia="宋体" w:cs="宋体"/>
          <w:b w:val="0"/>
          <w:bCs w:val="0"/>
          <w:kern w:val="2"/>
          <w:sz w:val="24"/>
          <w:szCs w:val="24"/>
          <w:lang w:val="en-US" w:eastAsia="zh-CN" w:bidi="ar"/>
        </w:rPr>
        <w:t>进行审查。</w:t>
      </w:r>
    </w:p>
    <w:p w14:paraId="32C7FC68">
      <w:pPr>
        <w:pStyle w:val="5"/>
        <w:keepNext w:val="0"/>
        <w:keepLines w:val="0"/>
        <w:pageBreakBefore w:val="0"/>
        <w:widowControl w:val="0"/>
        <w:numPr>
          <w:ilvl w:val="0"/>
          <w:numId w:val="0"/>
        </w:numPr>
        <w:kinsoku/>
        <w:wordWrap/>
        <w:overflowPunct/>
        <w:topLinePunct w:val="0"/>
        <w:autoSpaceDE w:val="0"/>
        <w:autoSpaceDN w:val="0"/>
        <w:bidi w:val="0"/>
        <w:adjustRightInd/>
        <w:snapToGrid/>
        <w:spacing w:after="19" w:line="540" w:lineRule="exact"/>
        <w:ind w:right="0" w:rightChars="0" w:firstLine="480" w:firstLineChars="200"/>
        <w:textAlignment w:val="auto"/>
        <w:rPr>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b w:val="0"/>
          <w:bCs w:val="0"/>
        </w:rPr>
        <w:t>符合性评审：不符合下列情况之一的，其投标将按无效处理：</w:t>
      </w:r>
    </w:p>
    <w:tbl>
      <w:tblPr>
        <w:tblStyle w:val="18"/>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549"/>
        <w:gridCol w:w="4969"/>
      </w:tblGrid>
      <w:tr w14:paraId="4009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380" w:type="dxa"/>
            <w:noWrap w:val="0"/>
            <w:vAlign w:val="center"/>
          </w:tcPr>
          <w:p w14:paraId="25A53FA0">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2549" w:type="dxa"/>
            <w:noWrap w:val="0"/>
            <w:vAlign w:val="center"/>
          </w:tcPr>
          <w:p w14:paraId="38873F48">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审查内容</w:t>
            </w:r>
          </w:p>
        </w:tc>
        <w:tc>
          <w:tcPr>
            <w:tcW w:w="4969" w:type="dxa"/>
            <w:noWrap w:val="0"/>
            <w:vAlign w:val="center"/>
          </w:tcPr>
          <w:p w14:paraId="2AD9E08E">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合格条件</w:t>
            </w:r>
          </w:p>
        </w:tc>
      </w:tr>
      <w:tr w14:paraId="70D2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0" w:type="dxa"/>
            <w:noWrap w:val="0"/>
            <w:vAlign w:val="center"/>
          </w:tcPr>
          <w:p w14:paraId="62B28989">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2549" w:type="dxa"/>
            <w:noWrap w:val="0"/>
            <w:vAlign w:val="center"/>
          </w:tcPr>
          <w:p w14:paraId="01E94AE2">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响应文件的签署、盖章</w:t>
            </w:r>
          </w:p>
        </w:tc>
        <w:tc>
          <w:tcPr>
            <w:tcW w:w="4969" w:type="dxa"/>
            <w:noWrap w:val="0"/>
            <w:vAlign w:val="center"/>
          </w:tcPr>
          <w:p w14:paraId="5D4CBA6B">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文件要求</w:t>
            </w:r>
          </w:p>
        </w:tc>
      </w:tr>
      <w:tr w14:paraId="6A1A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380" w:type="dxa"/>
            <w:noWrap w:val="0"/>
            <w:vAlign w:val="center"/>
          </w:tcPr>
          <w:p w14:paraId="530B0AE8">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2549" w:type="dxa"/>
            <w:noWrap w:val="0"/>
            <w:vAlign w:val="center"/>
          </w:tcPr>
          <w:p w14:paraId="1F68637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w:t>
            </w:r>
          </w:p>
        </w:tc>
        <w:tc>
          <w:tcPr>
            <w:tcW w:w="4969" w:type="dxa"/>
            <w:noWrap w:val="0"/>
            <w:vAlign w:val="center"/>
          </w:tcPr>
          <w:p w14:paraId="74CAFA7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报价符合唯一性要求；</w:t>
            </w:r>
          </w:p>
          <w:p w14:paraId="29A9CE33">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投标函附录填写符合要求；</w:t>
            </w:r>
          </w:p>
          <w:p w14:paraId="75F3AE40">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计量单位、报价货币均符合采购文件要求；</w:t>
            </w:r>
          </w:p>
          <w:p w14:paraId="75CEF6D3">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未超出最高限价。</w:t>
            </w:r>
          </w:p>
        </w:tc>
      </w:tr>
      <w:tr w14:paraId="6F7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552BBD43">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549" w:type="dxa"/>
            <w:noWrap w:val="0"/>
            <w:vAlign w:val="center"/>
          </w:tcPr>
          <w:p w14:paraId="61390D5E">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合同期</w:t>
            </w:r>
          </w:p>
        </w:tc>
        <w:tc>
          <w:tcPr>
            <w:tcW w:w="4969" w:type="dxa"/>
            <w:noWrap w:val="0"/>
            <w:vAlign w:val="center"/>
          </w:tcPr>
          <w:p w14:paraId="4814DAB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文件要求</w:t>
            </w:r>
          </w:p>
        </w:tc>
      </w:tr>
      <w:tr w14:paraId="05BC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2F494BAC">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p>
        </w:tc>
        <w:tc>
          <w:tcPr>
            <w:tcW w:w="2549" w:type="dxa"/>
            <w:noWrap w:val="0"/>
            <w:vAlign w:val="center"/>
          </w:tcPr>
          <w:p w14:paraId="07F040BC">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质量标准</w:t>
            </w:r>
          </w:p>
        </w:tc>
        <w:tc>
          <w:tcPr>
            <w:tcW w:w="4969" w:type="dxa"/>
            <w:noWrap w:val="0"/>
            <w:vAlign w:val="center"/>
          </w:tcPr>
          <w:p w14:paraId="2B5B9BE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文件要求</w:t>
            </w:r>
          </w:p>
        </w:tc>
      </w:tr>
      <w:tr w14:paraId="48B3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1717B6E1">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549" w:type="dxa"/>
            <w:noWrap w:val="0"/>
            <w:vAlign w:val="center"/>
          </w:tcPr>
          <w:p w14:paraId="5E0400B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投标有效期</w:t>
            </w:r>
          </w:p>
        </w:tc>
        <w:tc>
          <w:tcPr>
            <w:tcW w:w="4969" w:type="dxa"/>
            <w:noWrap w:val="0"/>
            <w:vAlign w:val="center"/>
          </w:tcPr>
          <w:p w14:paraId="7790C21F">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文件要求</w:t>
            </w:r>
          </w:p>
        </w:tc>
      </w:tr>
      <w:tr w14:paraId="4C79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0" w:type="dxa"/>
            <w:noWrap w:val="0"/>
            <w:vAlign w:val="center"/>
          </w:tcPr>
          <w:p w14:paraId="763E7132">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p>
        </w:tc>
        <w:tc>
          <w:tcPr>
            <w:tcW w:w="2549" w:type="dxa"/>
            <w:noWrap w:val="0"/>
            <w:vAlign w:val="center"/>
          </w:tcPr>
          <w:p w14:paraId="44C08869">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响应文件响应内容</w:t>
            </w:r>
          </w:p>
        </w:tc>
        <w:tc>
          <w:tcPr>
            <w:tcW w:w="4969" w:type="dxa"/>
            <w:noWrap w:val="0"/>
            <w:vAlign w:val="center"/>
          </w:tcPr>
          <w:p w14:paraId="5E682F6E">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完全理解并接受对合格供应商、合格的质量要求，没有实质性负偏离。</w:t>
            </w:r>
          </w:p>
        </w:tc>
      </w:tr>
      <w:tr w14:paraId="6E19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0" w:type="dxa"/>
            <w:noWrap w:val="0"/>
            <w:vAlign w:val="center"/>
          </w:tcPr>
          <w:p w14:paraId="64A5AE32">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7</w:t>
            </w:r>
          </w:p>
        </w:tc>
        <w:tc>
          <w:tcPr>
            <w:tcW w:w="2549" w:type="dxa"/>
            <w:noWrap w:val="0"/>
            <w:vAlign w:val="center"/>
          </w:tcPr>
          <w:p w14:paraId="22B8B3E2">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对采购文件响应</w:t>
            </w:r>
          </w:p>
          <w:p w14:paraId="3EEA269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程度</w:t>
            </w:r>
          </w:p>
        </w:tc>
        <w:tc>
          <w:tcPr>
            <w:tcW w:w="4969" w:type="dxa"/>
            <w:noWrap w:val="0"/>
            <w:vAlign w:val="center"/>
          </w:tcPr>
          <w:p w14:paraId="03A178B2">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要求实质性条款全部响应，不能有采购人不能接受的附加条件</w:t>
            </w:r>
          </w:p>
        </w:tc>
      </w:tr>
      <w:tr w14:paraId="3395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0" w:type="dxa"/>
            <w:noWrap w:val="0"/>
            <w:vAlign w:val="center"/>
          </w:tcPr>
          <w:p w14:paraId="09BC155D">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549" w:type="dxa"/>
            <w:noWrap w:val="0"/>
            <w:vAlign w:val="center"/>
          </w:tcPr>
          <w:p w14:paraId="2F2E009A">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无其他采购文件或法规明确规定响应无效的事项</w:t>
            </w:r>
          </w:p>
        </w:tc>
        <w:tc>
          <w:tcPr>
            <w:tcW w:w="4969" w:type="dxa"/>
            <w:noWrap w:val="0"/>
            <w:vAlign w:val="center"/>
          </w:tcPr>
          <w:p w14:paraId="2D1F80B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没有不符合</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文件规定的被视为无效响应的其他条款</w:t>
            </w:r>
          </w:p>
        </w:tc>
      </w:tr>
      <w:tr w14:paraId="7360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898" w:type="dxa"/>
            <w:gridSpan w:val="3"/>
            <w:noWrap w:val="0"/>
            <w:vAlign w:val="center"/>
          </w:tcPr>
          <w:p w14:paraId="31EE59E2">
            <w:pPr>
              <w:keepNext w:val="0"/>
              <w:keepLines w:val="0"/>
              <w:pageBreakBefore w:val="0"/>
              <w:kinsoku/>
              <w:wordWrap/>
              <w:overflowPunct/>
              <w:topLinePunct w:val="0"/>
              <w:autoSpaceDE w:val="0"/>
              <w:autoSpaceDN w:val="0"/>
              <w:bidi w:val="0"/>
              <w:adjustRightInd w:val="0"/>
              <w:spacing w:line="480" w:lineRule="exact"/>
              <w:ind w:firstLine="422"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b/>
                <w:bCs/>
                <w:color w:val="auto"/>
                <w:sz w:val="21"/>
                <w:szCs w:val="21"/>
                <w:highlight w:val="none"/>
                <w:lang w:val="zh-CN" w:eastAsia="zh-CN"/>
              </w:rPr>
              <w:t>：由</w:t>
            </w:r>
            <w:r>
              <w:rPr>
                <w:rFonts w:hint="eastAsia" w:ascii="宋体" w:hAnsi="宋体" w:eastAsia="宋体" w:cs="宋体"/>
                <w:b/>
                <w:bCs/>
                <w:color w:val="auto"/>
                <w:sz w:val="21"/>
                <w:szCs w:val="21"/>
                <w:highlight w:val="none"/>
                <w:lang w:val="en-US" w:eastAsia="zh-CN"/>
              </w:rPr>
              <w:t>谈判小组</w:t>
            </w:r>
            <w:r>
              <w:rPr>
                <w:rFonts w:hint="eastAsia" w:ascii="宋体" w:hAnsi="宋体" w:eastAsia="宋体" w:cs="宋体"/>
                <w:b/>
                <w:bCs/>
                <w:color w:val="auto"/>
                <w:sz w:val="21"/>
                <w:szCs w:val="21"/>
                <w:highlight w:val="none"/>
                <w:lang w:val="zh-CN" w:eastAsia="zh-CN"/>
              </w:rPr>
              <w:t>对上述资料进行审查，有一项不符合要求，则</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文件的</w:t>
            </w:r>
            <w:r>
              <w:rPr>
                <w:rFonts w:hint="eastAsia" w:ascii="宋体" w:hAnsi="宋体" w:eastAsia="宋体" w:cs="宋体"/>
                <w:b/>
                <w:bCs/>
                <w:color w:val="auto"/>
                <w:sz w:val="21"/>
                <w:szCs w:val="21"/>
                <w:highlight w:val="none"/>
                <w:lang w:val="en-US" w:eastAsia="zh-CN"/>
              </w:rPr>
              <w:t>符合性</w:t>
            </w:r>
            <w:r>
              <w:rPr>
                <w:rFonts w:hint="eastAsia" w:ascii="宋体" w:hAnsi="宋体" w:eastAsia="宋体" w:cs="宋体"/>
                <w:b/>
                <w:bCs/>
                <w:color w:val="auto"/>
                <w:sz w:val="21"/>
                <w:szCs w:val="21"/>
                <w:highlight w:val="none"/>
                <w:lang w:val="zh-CN" w:eastAsia="zh-CN"/>
              </w:rPr>
              <w:t>审查为不合格，</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文件无效，无资格进入后续评审阶段。</w:t>
            </w:r>
          </w:p>
        </w:tc>
      </w:tr>
    </w:tbl>
    <w:p w14:paraId="4162476F">
      <w:pPr>
        <w:pStyle w:val="9"/>
        <w:keepNext w:val="0"/>
        <w:keepLines w:val="0"/>
        <w:pageBreakBefore w:val="0"/>
        <w:widowControl w:val="0"/>
        <w:kinsoku/>
        <w:wordWrap/>
        <w:overflowPunct/>
        <w:topLinePunct w:val="0"/>
        <w:autoSpaceDE w:val="0"/>
        <w:autoSpaceDN w:val="0"/>
        <w:bidi w:val="0"/>
        <w:adjustRightInd/>
        <w:snapToGrid/>
        <w:spacing w:before="112" w:line="540" w:lineRule="exact"/>
        <w:ind w:right="-48" w:rightChars="-22" w:firstLine="480" w:firstLineChars="200"/>
        <w:textAlignment w:val="auto"/>
      </w:pPr>
      <w:r>
        <w:t>判小组应在符合性评审的基础上对各投标单位的响应文件认真阅读，并对采购内容等有关要求进行谈判，最后由投标单位进行最终报价。</w:t>
      </w:r>
    </w:p>
    <w:p w14:paraId="3F5AB4A8">
      <w:pPr>
        <w:pStyle w:val="3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31" w:after="0" w:line="540" w:lineRule="exact"/>
        <w:ind w:right="-48" w:rightChars="-22"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商务性响应文件符合要求。</w:t>
      </w:r>
    </w:p>
    <w:p w14:paraId="5301CF41">
      <w:pPr>
        <w:pStyle w:val="3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8" w:after="0" w:line="540" w:lineRule="exact"/>
        <w:ind w:right="-48" w:rightChars="-22"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综合评定，推荐候选成交单位。</w:t>
      </w:r>
    </w:p>
    <w:p w14:paraId="60667492">
      <w:pPr>
        <w:pStyle w:val="3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2" w:after="0" w:line="540" w:lineRule="exact"/>
        <w:ind w:right="-48" w:rightChars="-22" w:firstLine="468" w:firstLineChars="200"/>
        <w:jc w:val="both"/>
        <w:textAlignment w:val="auto"/>
        <w:rPr>
          <w:sz w:val="24"/>
        </w:rPr>
      </w:pPr>
      <w:r>
        <w:rPr>
          <w:rFonts w:hint="eastAsia"/>
          <w:spacing w:val="-3"/>
          <w:sz w:val="24"/>
          <w:lang w:eastAsia="zh-CN"/>
        </w:rPr>
        <w:t>（</w:t>
      </w:r>
      <w:r>
        <w:rPr>
          <w:rFonts w:hint="eastAsia"/>
          <w:spacing w:val="-3"/>
          <w:sz w:val="24"/>
          <w:lang w:val="en-US" w:eastAsia="zh-CN"/>
        </w:rPr>
        <w:t>3</w:t>
      </w:r>
      <w:r>
        <w:rPr>
          <w:rFonts w:hint="eastAsia"/>
          <w:spacing w:val="-3"/>
          <w:sz w:val="24"/>
          <w:lang w:eastAsia="zh-CN"/>
        </w:rPr>
        <w:t>）</w:t>
      </w:r>
      <w:r>
        <w:rPr>
          <w:spacing w:val="-3"/>
          <w:sz w:val="24"/>
        </w:rPr>
        <w:t>谈判澄清：采购代理机构有权就谈判响应文件中有疑义之处或前后表述不</w:t>
      </w:r>
      <w:r>
        <w:rPr>
          <w:spacing w:val="-6"/>
          <w:sz w:val="24"/>
        </w:rPr>
        <w:t>一致的问题，向投标单位提出询问或澄清。投标单位必须在谈判文件规定的时间内派</w:t>
      </w:r>
      <w:r>
        <w:rPr>
          <w:spacing w:val="-4"/>
          <w:sz w:val="24"/>
        </w:rPr>
        <w:t>技术和商务人员进行澄清，有关澄清的内容应以书面形式提交，并由投标单位法定代</w:t>
      </w:r>
      <w:r>
        <w:rPr>
          <w:sz w:val="24"/>
        </w:rPr>
        <w:t>表人或被授权人签名确认。</w:t>
      </w:r>
    </w:p>
    <w:p w14:paraId="37CE4CD1">
      <w:pPr>
        <w:pStyle w:val="3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0" w:after="0" w:line="540" w:lineRule="exact"/>
        <w:ind w:right="-48" w:rightChars="-22" w:firstLine="468" w:firstLineChars="200"/>
        <w:jc w:val="left"/>
        <w:textAlignment w:val="auto"/>
        <w:rPr>
          <w:sz w:val="24"/>
        </w:rPr>
      </w:pPr>
      <w:r>
        <w:rPr>
          <w:rFonts w:hint="eastAsia"/>
          <w:spacing w:val="-3"/>
          <w:sz w:val="24"/>
          <w:lang w:eastAsia="zh-CN"/>
        </w:rPr>
        <w:t>（</w:t>
      </w:r>
      <w:r>
        <w:rPr>
          <w:rFonts w:hint="eastAsia"/>
          <w:spacing w:val="-3"/>
          <w:sz w:val="24"/>
          <w:lang w:val="en-US" w:eastAsia="zh-CN"/>
        </w:rPr>
        <w:t>4</w:t>
      </w:r>
      <w:r>
        <w:rPr>
          <w:rFonts w:hint="eastAsia"/>
          <w:spacing w:val="-3"/>
          <w:sz w:val="24"/>
          <w:lang w:eastAsia="zh-CN"/>
        </w:rPr>
        <w:t>）</w:t>
      </w:r>
      <w:r>
        <w:rPr>
          <w:spacing w:val="-3"/>
          <w:sz w:val="24"/>
        </w:rPr>
        <w:t>谈判响应文件应按给定的格式如实填写，充分反映谈判文件的要求，出现</w:t>
      </w:r>
      <w:r>
        <w:rPr>
          <w:sz w:val="24"/>
        </w:rPr>
        <w:t>下列情况，统一规定为：</w:t>
      </w:r>
    </w:p>
    <w:p w14:paraId="59AB089E">
      <w:pPr>
        <w:pStyle w:val="9"/>
        <w:keepNext w:val="0"/>
        <w:keepLines w:val="0"/>
        <w:pageBreakBefore w:val="0"/>
        <w:widowControl w:val="0"/>
        <w:kinsoku/>
        <w:wordWrap/>
        <w:overflowPunct/>
        <w:topLinePunct w:val="0"/>
        <w:autoSpaceDE w:val="0"/>
        <w:autoSpaceDN w:val="0"/>
        <w:bidi w:val="0"/>
        <w:adjustRightInd/>
        <w:snapToGrid/>
        <w:spacing w:before="9" w:line="540" w:lineRule="exact"/>
        <w:ind w:right="-48" w:rightChars="-22" w:firstLine="480" w:firstLineChars="200"/>
        <w:textAlignment w:val="auto"/>
      </w:pPr>
      <w:r>
        <w:t>① 图表与文字不符，以图表为准。</w:t>
      </w:r>
    </w:p>
    <w:p w14:paraId="1449FFAE">
      <w:pPr>
        <w:pStyle w:val="9"/>
        <w:keepNext w:val="0"/>
        <w:keepLines w:val="0"/>
        <w:pageBreakBefore w:val="0"/>
        <w:widowControl w:val="0"/>
        <w:kinsoku/>
        <w:wordWrap/>
        <w:overflowPunct/>
        <w:topLinePunct w:val="0"/>
        <w:autoSpaceDE w:val="0"/>
        <w:autoSpaceDN w:val="0"/>
        <w:bidi w:val="0"/>
        <w:adjustRightInd/>
        <w:snapToGrid/>
        <w:spacing w:before="132" w:line="540" w:lineRule="exact"/>
        <w:ind w:firstLine="480" w:firstLineChars="200"/>
        <w:textAlignment w:val="auto"/>
      </w:pPr>
      <w:r>
        <w:t>② 单价与总价不符，以单价为准。</w:t>
      </w:r>
    </w:p>
    <w:p w14:paraId="5CAD1AB5">
      <w:pPr>
        <w:pStyle w:val="9"/>
        <w:keepNext w:val="0"/>
        <w:keepLines w:val="0"/>
        <w:pageBreakBefore w:val="0"/>
        <w:widowControl w:val="0"/>
        <w:kinsoku/>
        <w:wordWrap/>
        <w:overflowPunct/>
        <w:topLinePunct w:val="0"/>
        <w:autoSpaceDE w:val="0"/>
        <w:autoSpaceDN w:val="0"/>
        <w:bidi w:val="0"/>
        <w:adjustRightInd/>
        <w:snapToGrid/>
        <w:spacing w:before="102" w:line="540" w:lineRule="exact"/>
        <w:ind w:firstLine="480" w:firstLineChars="200"/>
        <w:jc w:val="both"/>
        <w:textAlignment w:val="auto"/>
      </w:pPr>
      <w:r>
        <w:t>③ 大写与小写不符，以大写为准。</w:t>
      </w:r>
    </w:p>
    <w:p w14:paraId="0378B8B7">
      <w:pPr>
        <w:pStyle w:val="9"/>
        <w:keepNext w:val="0"/>
        <w:keepLines w:val="0"/>
        <w:pageBreakBefore w:val="0"/>
        <w:widowControl w:val="0"/>
        <w:kinsoku/>
        <w:wordWrap/>
        <w:overflowPunct/>
        <w:topLinePunct w:val="0"/>
        <w:autoSpaceDE w:val="0"/>
        <w:autoSpaceDN w:val="0"/>
        <w:bidi w:val="0"/>
        <w:adjustRightInd/>
        <w:snapToGrid/>
        <w:spacing w:before="134" w:line="540" w:lineRule="exact"/>
        <w:ind w:firstLine="480" w:firstLineChars="200"/>
        <w:jc w:val="both"/>
        <w:textAlignment w:val="auto"/>
      </w:pPr>
      <w:r>
        <w:t>④ 正本与副本不符，以正本为准。</w:t>
      </w:r>
    </w:p>
    <w:p w14:paraId="1B80FF73">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50" w:rightChars="0" w:firstLine="480" w:firstLineChars="200"/>
        <w:jc w:val="both"/>
        <w:textAlignment w:val="auto"/>
        <w:rPr>
          <w:sz w:val="24"/>
        </w:rPr>
      </w:pPr>
      <w:r>
        <w:rPr>
          <w:rFonts w:hint="eastAsia"/>
          <w:sz w:val="24"/>
          <w:lang w:val="en-US" w:eastAsia="zh-CN"/>
        </w:rPr>
        <w:t xml:space="preserve">20.4 </w:t>
      </w:r>
      <w:r>
        <w:rPr>
          <w:sz w:val="24"/>
        </w:rPr>
        <w:t>投标单位的谈判响应文件中必须提供相关的证明材料。如果发现有弄虚作假的，谈判小组将取消其谈判资格。</w:t>
      </w:r>
    </w:p>
    <w:p w14:paraId="0995A1EE">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 w:after="0" w:line="540" w:lineRule="exact"/>
        <w:ind w:right="-50" w:rightChars="0" w:firstLine="480" w:firstLineChars="200"/>
        <w:jc w:val="both"/>
        <w:textAlignment w:val="auto"/>
        <w:rPr>
          <w:sz w:val="24"/>
        </w:rPr>
      </w:pPr>
      <w:r>
        <w:rPr>
          <w:rFonts w:hint="eastAsia"/>
          <w:sz w:val="24"/>
          <w:lang w:val="en-US" w:eastAsia="zh-CN"/>
        </w:rPr>
        <w:t xml:space="preserve">20.5 </w:t>
      </w:r>
      <w:r>
        <w:rPr>
          <w:rFonts w:hint="eastAsia"/>
          <w:sz w:val="24"/>
        </w:rPr>
        <w:t>谈判小组从质量和服务均能满足采购文件实质性响应要求的供应商中，按照最后报价由低到高的顺序提出3名以上成交候选人，并编写评审报告</w:t>
      </w:r>
      <w:r>
        <w:rPr>
          <w:spacing w:val="-5"/>
          <w:sz w:val="24"/>
        </w:rPr>
        <w:t>。</w:t>
      </w:r>
    </w:p>
    <w:p w14:paraId="767AB809">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 w:after="0" w:line="540" w:lineRule="exact"/>
        <w:ind w:right="0" w:rightChars="0" w:firstLine="480" w:firstLineChars="200"/>
        <w:jc w:val="both"/>
        <w:textAlignment w:val="auto"/>
        <w:rPr>
          <w:sz w:val="24"/>
        </w:rPr>
      </w:pPr>
      <w:r>
        <w:rPr>
          <w:rFonts w:hint="eastAsia"/>
          <w:sz w:val="24"/>
          <w:lang w:val="en-US" w:eastAsia="zh-CN"/>
        </w:rPr>
        <w:t xml:space="preserve">20.6 </w:t>
      </w:r>
      <w:r>
        <w:rPr>
          <w:sz w:val="24"/>
        </w:rPr>
        <w:t>谈判小组根据原始谈判记录和谈判结果编写谈判结果报告，报采购人。</w:t>
      </w:r>
    </w:p>
    <w:p w14:paraId="61C41BC3">
      <w:pPr>
        <w:pStyle w:val="5"/>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before="132" w:after="0" w:line="540" w:lineRule="exact"/>
        <w:ind w:right="0" w:rightChars="0" w:firstLine="482" w:firstLineChars="200"/>
        <w:jc w:val="both"/>
        <w:textAlignment w:val="auto"/>
      </w:pPr>
      <w:r>
        <w:rPr>
          <w:rFonts w:hint="eastAsia"/>
          <w:lang w:val="en-US" w:eastAsia="zh-CN"/>
        </w:rPr>
        <w:t>21.</w:t>
      </w:r>
      <w:r>
        <w:t>确定成交单位</w:t>
      </w:r>
    </w:p>
    <w:p w14:paraId="38EE93F2">
      <w:pPr>
        <w:overflowPunct w:val="0"/>
        <w:adjustRightInd w:val="0"/>
        <w:snapToGrid w:val="0"/>
        <w:spacing w:line="560" w:lineRule="exact"/>
        <w:ind w:firstLine="480" w:firstLineChars="200"/>
        <w:rPr>
          <w:rFonts w:hint="eastAsia" w:ascii="宋体" w:hAnsi="宋体" w:cs="宋体"/>
          <w:kern w:val="0"/>
          <w:sz w:val="24"/>
        </w:rPr>
      </w:pPr>
      <w:r>
        <w:rPr>
          <w:rFonts w:hint="eastAsia" w:cs="宋体"/>
          <w:kern w:val="0"/>
          <w:sz w:val="24"/>
          <w:lang w:val="en-US" w:eastAsia="zh-CN"/>
        </w:rPr>
        <w:t>21.1</w:t>
      </w:r>
      <w:r>
        <w:rPr>
          <w:rFonts w:hint="eastAsia" w:ascii="宋体" w:hAnsi="宋体" w:cs="宋体"/>
          <w:kern w:val="0"/>
          <w:sz w:val="24"/>
        </w:rPr>
        <w:t>谈判小组根据评审方法的规定对供应商进行评审排序，推荐1～3名成交候选人，作为评审结果。评审结果由全体谈判小组成员签字确认。谈判小组应当从质量和服务均能满足采购文件实质性响应要求的供应商中，按照政府采购政策对各供应商最后报价的价格</w:t>
      </w:r>
      <w:r>
        <w:rPr>
          <w:rFonts w:hint="eastAsia" w:cs="宋体"/>
          <w:kern w:val="0"/>
          <w:sz w:val="24"/>
          <w:lang w:eastAsia="zh-CN"/>
        </w:rPr>
        <w:t>由低</w:t>
      </w:r>
      <w:r>
        <w:rPr>
          <w:rFonts w:hint="eastAsia" w:ascii="宋体" w:hAnsi="宋体" w:cs="宋体"/>
          <w:kern w:val="0"/>
          <w:sz w:val="24"/>
        </w:rPr>
        <w:t>到高的顺序提出3名以上成交候选人（合格供应商家数不足时以实际合格数量为准）</w:t>
      </w:r>
    </w:p>
    <w:p w14:paraId="220AD7A6">
      <w:pPr>
        <w:overflowPunct w:val="0"/>
        <w:adjustRightInd w:val="0"/>
        <w:snapToGrid w:val="0"/>
        <w:spacing w:line="560" w:lineRule="exact"/>
        <w:ind w:firstLine="480" w:firstLineChars="200"/>
        <w:rPr>
          <w:rFonts w:hint="eastAsia" w:ascii="宋体" w:hAnsi="宋体" w:eastAsia="宋体" w:cs="宋体"/>
          <w:kern w:val="0"/>
          <w:sz w:val="24"/>
          <w:lang w:eastAsia="zh-CN"/>
        </w:rPr>
      </w:pPr>
      <w:r>
        <w:rPr>
          <w:rFonts w:hint="eastAsia" w:cs="宋体"/>
          <w:kern w:val="0"/>
          <w:sz w:val="24"/>
          <w:lang w:val="en-US" w:eastAsia="zh-CN"/>
        </w:rPr>
        <w:t>21.2</w:t>
      </w:r>
      <w:r>
        <w:rPr>
          <w:rFonts w:hint="eastAsia" w:ascii="宋体" w:hAnsi="宋体" w:eastAsia="宋体" w:cs="宋体"/>
          <w:kern w:val="0"/>
          <w:sz w:val="24"/>
        </w:rPr>
        <w:t>采购代理机构在评审工作结束后2个工作日内，将评审报告送采购人确认</w:t>
      </w:r>
      <w:r>
        <w:rPr>
          <w:rFonts w:hint="eastAsia" w:ascii="宋体" w:hAnsi="宋体" w:eastAsia="宋体" w:cs="宋体"/>
          <w:kern w:val="0"/>
          <w:sz w:val="24"/>
          <w:lang w:eastAsia="zh-CN"/>
        </w:rPr>
        <w:t>。</w:t>
      </w:r>
    </w:p>
    <w:p w14:paraId="798EBF83">
      <w:pPr>
        <w:overflowPunct w:val="0"/>
        <w:adjustRightInd w:val="0"/>
        <w:snapToGrid w:val="0"/>
        <w:spacing w:line="560" w:lineRule="exact"/>
        <w:ind w:firstLine="480" w:firstLineChars="200"/>
        <w:rPr>
          <w:rFonts w:hint="eastAsia"/>
          <w:lang w:eastAsia="zh-CN"/>
        </w:rPr>
      </w:pPr>
      <w:r>
        <w:rPr>
          <w:rFonts w:hint="eastAsia" w:cs="宋体"/>
          <w:kern w:val="0"/>
          <w:sz w:val="24"/>
          <w:lang w:val="en-US" w:eastAsia="zh-CN"/>
        </w:rPr>
        <w:t>21.3</w:t>
      </w:r>
      <w:r>
        <w:rPr>
          <w:rFonts w:hint="eastAsia" w:ascii="宋体" w:hAnsi="宋体" w:cs="宋体"/>
          <w:kern w:val="0"/>
          <w:sz w:val="24"/>
        </w:rPr>
        <w:t>采购人应当在收到评审报告后5个工作日内，从评审报告提出的成交候选人中次序确定排序第一的成交候选人为成交供应商，也可以书面授权谈判小组直接确定成交供应商。采购人逾期未确定成交供应商且不提出异议的，视为同意按评审报告提出的成交候选人次序确定排序第一的成交候选人为成交供应商。</w:t>
      </w:r>
    </w:p>
    <w:p w14:paraId="34B78B30">
      <w:pPr>
        <w:overflowPunct w:val="0"/>
        <w:adjustRightInd w:val="0"/>
        <w:snapToGrid w:val="0"/>
        <w:spacing w:line="560" w:lineRule="exact"/>
        <w:ind w:firstLine="480" w:firstLineChars="200"/>
        <w:rPr>
          <w:rFonts w:hint="eastAsia" w:ascii="宋体" w:hAnsi="宋体" w:eastAsia="宋体" w:cs="宋体"/>
          <w:kern w:val="0"/>
          <w:sz w:val="24"/>
          <w:lang w:eastAsia="zh-CN"/>
        </w:rPr>
      </w:pPr>
      <w:r>
        <w:rPr>
          <w:rFonts w:hint="eastAsia" w:cs="宋体"/>
          <w:kern w:val="0"/>
          <w:sz w:val="24"/>
          <w:lang w:val="en-US" w:eastAsia="zh-CN"/>
        </w:rPr>
        <w:t>21.4</w:t>
      </w:r>
      <w:r>
        <w:rPr>
          <w:rFonts w:hint="eastAsia" w:ascii="宋体" w:hAnsi="宋体" w:eastAsia="宋体" w:cs="宋体"/>
          <w:kern w:val="0"/>
          <w:sz w:val="24"/>
          <w:lang w:eastAsia="zh-CN"/>
        </w:rPr>
        <w:t>采购代理机构将在成交供应商确定后2个工作日内，在【陕西省政府采购网（www.ccgp-shaanxi.gov.cn）】</w:t>
      </w:r>
      <w:r>
        <w:rPr>
          <w:rFonts w:hint="eastAsia" w:cs="宋体"/>
          <w:kern w:val="0"/>
          <w:sz w:val="24"/>
          <w:lang w:eastAsia="zh-CN"/>
        </w:rPr>
        <w:t>及安康市公共资源交易中心网上</w:t>
      </w:r>
      <w:r>
        <w:rPr>
          <w:rFonts w:hint="eastAsia" w:ascii="宋体" w:hAnsi="宋体" w:eastAsia="宋体" w:cs="宋体"/>
          <w:kern w:val="0"/>
          <w:sz w:val="24"/>
          <w:lang w:eastAsia="zh-CN"/>
        </w:rPr>
        <w:t>发布成交结果，成交结果公告期限为1个工作日。</w:t>
      </w:r>
    </w:p>
    <w:p w14:paraId="79572F03">
      <w:pPr>
        <w:overflowPunct w:val="0"/>
        <w:adjustRightInd w:val="0"/>
        <w:snapToGrid w:val="0"/>
        <w:spacing w:line="560" w:lineRule="exact"/>
        <w:ind w:firstLine="480" w:firstLineChars="200"/>
        <w:rPr>
          <w:rFonts w:hint="eastAsia" w:ascii="宋体" w:hAnsi="宋体" w:cs="宋体"/>
          <w:kern w:val="0"/>
          <w:sz w:val="24"/>
        </w:rPr>
      </w:pPr>
      <w:r>
        <w:rPr>
          <w:rFonts w:hint="eastAsia" w:cs="宋体"/>
          <w:kern w:val="0"/>
          <w:sz w:val="24"/>
          <w:lang w:val="en-US" w:eastAsia="zh-CN"/>
        </w:rPr>
        <w:t>21.5</w:t>
      </w:r>
      <w:r>
        <w:rPr>
          <w:rFonts w:hint="eastAsia" w:ascii="宋体" w:hAnsi="宋体" w:cs="宋体"/>
          <w:kern w:val="0"/>
          <w:sz w:val="24"/>
        </w:rPr>
        <w:t>排名第一的成交候选人放弃成交、在规定期限内未能签订合同、因不可抗力不能履行合同、不按照谈判文件要求，或者被查实存在影响成交结果的违法行为等情形，不符合成交条件的，采购人可以按照谈判小组提出的成交候选人名单排序依次确定其他成交候选人为成交供应商，也可以重新谈判。</w:t>
      </w:r>
    </w:p>
    <w:p w14:paraId="5E08C6BE">
      <w:pPr>
        <w:overflowPunct w:val="0"/>
        <w:adjustRightInd w:val="0"/>
        <w:snapToGrid w:val="0"/>
        <w:spacing w:line="560" w:lineRule="exact"/>
        <w:ind w:firstLine="480" w:firstLineChars="200"/>
        <w:rPr>
          <w:rFonts w:hint="eastAsia" w:ascii="宋体" w:hAnsi="宋体" w:cs="宋体"/>
          <w:kern w:val="0"/>
          <w:sz w:val="24"/>
        </w:rPr>
      </w:pPr>
      <w:r>
        <w:rPr>
          <w:rFonts w:hint="eastAsia" w:cs="宋体"/>
          <w:kern w:val="0"/>
          <w:sz w:val="24"/>
          <w:lang w:val="en-US" w:eastAsia="zh-CN"/>
        </w:rPr>
        <w:t>21.6</w:t>
      </w:r>
      <w:r>
        <w:rPr>
          <w:rFonts w:hint="eastAsia" w:ascii="宋体" w:hAnsi="宋体" w:cs="宋体"/>
          <w:kern w:val="0"/>
          <w:sz w:val="24"/>
        </w:rPr>
        <w:t>供应商或者其他利害关系人对评审结果有异议的，应当在公示期间提出。</w:t>
      </w:r>
    </w:p>
    <w:p w14:paraId="38511F59">
      <w:pPr>
        <w:autoSpaceDE w:val="0"/>
        <w:autoSpaceDN w:val="0"/>
        <w:adjustRightInd w:val="0"/>
        <w:snapToGrid w:val="0"/>
        <w:spacing w:line="440" w:lineRule="exact"/>
        <w:ind w:firstLine="482" w:firstLineChars="200"/>
        <w:rPr>
          <w:rFonts w:hint="eastAsia" w:ascii="宋体" w:hAnsi="宋体" w:cs="宋体"/>
          <w:b/>
          <w:sz w:val="24"/>
          <w:lang w:val="zh-CN"/>
        </w:rPr>
      </w:pPr>
      <w:bookmarkStart w:id="14" w:name="六、授予合同"/>
      <w:bookmarkEnd w:id="14"/>
      <w:r>
        <w:rPr>
          <w:rFonts w:hint="eastAsia" w:cs="宋体"/>
          <w:b/>
          <w:sz w:val="24"/>
          <w:lang w:val="en-US" w:eastAsia="zh-CN"/>
        </w:rPr>
        <w:t>22.</w:t>
      </w:r>
      <w:r>
        <w:rPr>
          <w:rFonts w:hint="eastAsia" w:ascii="宋体" w:hAnsi="宋体" w:cs="宋体"/>
          <w:b/>
          <w:sz w:val="24"/>
          <w:lang w:val="zh-CN"/>
        </w:rPr>
        <w:t>本项目落实政府采购政策</w:t>
      </w:r>
    </w:p>
    <w:p w14:paraId="1CCA78AD">
      <w:pPr>
        <w:spacing w:line="560" w:lineRule="exact"/>
        <w:ind w:firstLine="482" w:firstLineChars="200"/>
        <w:jc w:val="left"/>
        <w:rPr>
          <w:rFonts w:hint="eastAsia" w:ascii="宋体" w:hAnsi="宋体" w:cs="宋体"/>
          <w:b/>
          <w:sz w:val="24"/>
          <w:lang w:val="zh-CN"/>
        </w:rPr>
      </w:pPr>
      <w:r>
        <w:rPr>
          <w:rFonts w:hint="eastAsia" w:cs="宋体"/>
          <w:b/>
          <w:sz w:val="24"/>
          <w:lang w:val="en-US" w:eastAsia="zh-CN"/>
        </w:rPr>
        <w:t>22</w:t>
      </w:r>
      <w:r>
        <w:rPr>
          <w:rFonts w:hint="eastAsia" w:ascii="宋体" w:hAnsi="宋体" w:cs="宋体"/>
          <w:b/>
          <w:sz w:val="24"/>
          <w:lang w:val="zh-CN"/>
        </w:rPr>
        <w:t>.1</w:t>
      </w:r>
      <w:r>
        <w:rPr>
          <w:rFonts w:hint="eastAsia" w:ascii="宋体" w:hAnsi="宋体" w:cs="宋体"/>
          <w:b/>
          <w:sz w:val="24"/>
        </w:rPr>
        <w:t xml:space="preserve"> </w:t>
      </w:r>
      <w:r>
        <w:rPr>
          <w:rFonts w:hint="eastAsia" w:ascii="宋体" w:hAnsi="宋体" w:cs="宋体"/>
          <w:b/>
          <w:sz w:val="24"/>
          <w:lang w:val="zh-CN"/>
        </w:rPr>
        <w:t>政策性扣减范围：</w:t>
      </w:r>
    </w:p>
    <w:p w14:paraId="621FCD16">
      <w:pPr>
        <w:autoSpaceDE w:val="0"/>
        <w:autoSpaceDN w:val="0"/>
        <w:adjustRightInd w:val="0"/>
        <w:snapToGrid w:val="0"/>
        <w:spacing w:line="440" w:lineRule="exact"/>
        <w:ind w:firstLine="480" w:firstLineChars="200"/>
        <w:rPr>
          <w:rFonts w:hint="eastAsia" w:ascii="宋体" w:hAnsi="宋体" w:cs="宋体"/>
          <w:sz w:val="24"/>
          <w:lang w:val="zh-CN"/>
        </w:rPr>
      </w:pPr>
      <w:r>
        <w:rPr>
          <w:rFonts w:hint="eastAsia" w:ascii="宋体" w:hAnsi="宋体" w:cs="宋体"/>
          <w:sz w:val="24"/>
        </w:rPr>
        <w:t>（1）中小企业落实政府采购政策</w:t>
      </w:r>
    </w:p>
    <w:p w14:paraId="589DD8B6">
      <w:pPr>
        <w:spacing w:line="440" w:lineRule="exact"/>
        <w:ind w:firstLine="480" w:firstLineChars="200"/>
        <w:rPr>
          <w:rFonts w:hint="eastAsia" w:ascii="宋体" w:hAnsi="宋体" w:cs="宋体"/>
          <w:kern w:val="0"/>
          <w:sz w:val="24"/>
        </w:rPr>
      </w:pPr>
      <w:r>
        <w:rPr>
          <w:rFonts w:hint="eastAsia" w:ascii="宋体" w:hAnsi="宋体" w:cs="宋体"/>
          <w:kern w:val="0"/>
          <w:sz w:val="24"/>
        </w:rPr>
        <w:t>1.1供应商符合小型、微型企业或监狱企业条件的，其谈判报价价格评审时将按相应比例进行扣减。</w:t>
      </w:r>
    </w:p>
    <w:p w14:paraId="4D1B3C37">
      <w:pPr>
        <w:spacing w:line="440" w:lineRule="exact"/>
        <w:ind w:firstLine="480" w:firstLineChars="200"/>
        <w:rPr>
          <w:rFonts w:hint="eastAsia" w:ascii="宋体" w:hAnsi="宋体" w:cs="宋体"/>
          <w:kern w:val="0"/>
          <w:sz w:val="24"/>
        </w:rPr>
      </w:pPr>
      <w:r>
        <w:rPr>
          <w:rFonts w:hint="eastAsia" w:ascii="宋体" w:hAnsi="宋体" w:cs="宋体"/>
          <w:kern w:val="0"/>
          <w:sz w:val="24"/>
        </w:rPr>
        <w:t>1.2依照</w:t>
      </w:r>
      <w:r>
        <w:rPr>
          <w:rFonts w:hint="eastAsia" w:cs="宋体"/>
          <w:kern w:val="0"/>
          <w:sz w:val="24"/>
          <w:lang w:eastAsia="zh-CN"/>
        </w:rPr>
        <w:t>《</w:t>
      </w:r>
      <w:r>
        <w:rPr>
          <w:rFonts w:hint="eastAsia" w:ascii="宋体" w:hAnsi="宋体" w:cs="宋体"/>
          <w:kern w:val="0"/>
          <w:sz w:val="24"/>
        </w:rPr>
        <w:t>政府采购促进中小企业发展管理办法》的通知-财库〔2020〕46 号的规定，小型、微型企业应当同时符合以下条件：</w:t>
      </w:r>
    </w:p>
    <w:p w14:paraId="30DC26B2">
      <w:pPr>
        <w:spacing w:line="440" w:lineRule="exact"/>
        <w:ind w:firstLine="480" w:firstLineChars="200"/>
        <w:rPr>
          <w:rFonts w:hint="eastAsia" w:ascii="宋体" w:hAnsi="宋体" w:cs="宋体"/>
          <w:kern w:val="0"/>
          <w:sz w:val="24"/>
        </w:rPr>
      </w:pPr>
      <w:r>
        <w:rPr>
          <w:rFonts w:hint="eastAsia" w:ascii="宋体" w:hAnsi="宋体" w:cs="宋体"/>
          <w:kern w:val="0"/>
          <w:sz w:val="24"/>
        </w:rPr>
        <w:t>1.2.1符合中小企业划分标准（中小企业划分标准是指国务院有关部门根据企业从业人员、营业收入、资产总额等指标制定的中小企业划型标准（工信部联企业〔2011〕300号））。</w:t>
      </w:r>
    </w:p>
    <w:p w14:paraId="2F605929">
      <w:pPr>
        <w:spacing w:line="440" w:lineRule="exact"/>
        <w:ind w:firstLine="480" w:firstLineChars="200"/>
        <w:rPr>
          <w:rFonts w:hint="eastAsia" w:ascii="宋体" w:hAnsi="宋体" w:cs="宋体"/>
          <w:kern w:val="0"/>
          <w:sz w:val="24"/>
        </w:rPr>
      </w:pPr>
      <w:r>
        <w:rPr>
          <w:rFonts w:hint="eastAsia" w:ascii="宋体" w:hAnsi="宋体" w:cs="宋体"/>
          <w:kern w:val="0"/>
          <w:sz w:val="24"/>
        </w:rPr>
        <w:t>1.2.2提供本企业制造的货物、承担的工程或者服务，或者提供其他中小企业制造的货物，不包括提供或使用大型企业注册商标的货物。</w:t>
      </w:r>
    </w:p>
    <w:p w14:paraId="6077F81E">
      <w:pPr>
        <w:spacing w:line="440" w:lineRule="exact"/>
        <w:ind w:firstLine="480" w:firstLineChars="200"/>
        <w:rPr>
          <w:rFonts w:hint="eastAsia" w:ascii="宋体" w:hAnsi="宋体" w:cs="宋体"/>
          <w:kern w:val="0"/>
          <w:sz w:val="24"/>
        </w:rPr>
      </w:pPr>
      <w:r>
        <w:rPr>
          <w:rFonts w:hint="eastAsia" w:ascii="宋体" w:hAnsi="宋体" w:cs="宋体"/>
          <w:kern w:val="0"/>
          <w:sz w:val="24"/>
        </w:rPr>
        <w:t>1.2.3小型、微型企业提供中型企业制造的货物的，视同为中型企业；小型、微型、中型企业提供大型企业制造的货物的，视同为大型企业。</w:t>
      </w:r>
    </w:p>
    <w:p w14:paraId="4C89ADDA">
      <w:pPr>
        <w:spacing w:line="440" w:lineRule="exact"/>
        <w:ind w:firstLine="480" w:firstLineChars="200"/>
        <w:rPr>
          <w:rFonts w:hint="eastAsia" w:ascii="宋体" w:hAnsi="宋体" w:cs="宋体"/>
          <w:kern w:val="0"/>
          <w:sz w:val="24"/>
        </w:rPr>
      </w:pPr>
      <w:r>
        <w:rPr>
          <w:rFonts w:hint="eastAsia" w:ascii="宋体" w:hAnsi="宋体" w:cs="宋体"/>
          <w:kern w:val="0"/>
          <w:sz w:val="24"/>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w:t>
      </w:r>
    </w:p>
    <w:p w14:paraId="0046B50B">
      <w:pPr>
        <w:autoSpaceDE w:val="0"/>
        <w:autoSpaceDN w:val="0"/>
        <w:adjustRightInd w:val="0"/>
        <w:snapToGrid w:val="0"/>
        <w:spacing w:line="440" w:lineRule="exact"/>
        <w:ind w:firstLine="472" w:firstLineChars="196"/>
        <w:rPr>
          <w:rFonts w:hint="eastAsia" w:ascii="宋体" w:hAnsi="宋体" w:cs="宋体"/>
          <w:b/>
          <w:sz w:val="24"/>
          <w:lang w:val="zh-CN"/>
        </w:rPr>
      </w:pPr>
      <w:r>
        <w:rPr>
          <w:rFonts w:hint="eastAsia" w:cs="宋体"/>
          <w:b/>
          <w:sz w:val="24"/>
          <w:lang w:val="en-US" w:eastAsia="zh-CN"/>
        </w:rPr>
        <w:t>22.2</w:t>
      </w:r>
      <w:r>
        <w:rPr>
          <w:rFonts w:hint="eastAsia" w:ascii="宋体" w:hAnsi="宋体" w:cs="宋体"/>
          <w:b/>
          <w:sz w:val="24"/>
          <w:lang w:val="zh-CN"/>
        </w:rPr>
        <w:t>政策性扣减方式：</w:t>
      </w:r>
    </w:p>
    <w:p w14:paraId="16427517">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cs="宋体"/>
          <w:sz w:val="24"/>
          <w:lang w:val="en-US" w:eastAsia="zh-CN"/>
        </w:rPr>
        <w:t>22.2.1</w:t>
      </w:r>
      <w:r>
        <w:rPr>
          <w:rFonts w:hint="eastAsia" w:ascii="宋体" w:hAnsi="宋体" w:cs="宋体"/>
          <w:sz w:val="24"/>
          <w:lang w:val="zh-CN"/>
        </w:rPr>
        <w:t>、投标企业政府采购政策</w:t>
      </w:r>
    </w:p>
    <w:p w14:paraId="32AE8869">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中小企业落实政府采购政策</w:t>
      </w:r>
    </w:p>
    <w:p w14:paraId="200FC4B2">
      <w:pPr>
        <w:pStyle w:val="34"/>
        <w:tabs>
          <w:tab w:val="left" w:pos="1456"/>
        </w:tabs>
        <w:autoSpaceDE w:val="0"/>
        <w:autoSpaceDN w:val="0"/>
        <w:spacing w:line="423" w:lineRule="auto"/>
        <w:ind w:left="0" w:right="-44" w:rightChars="-20"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rPr>
        <w:t>《政府采购促进中小企业发展管理办法》（财库﹝2020﹞46 号）</w:t>
      </w:r>
      <w:r>
        <w:rPr>
          <w:rFonts w:hint="eastAsia" w:ascii="宋体" w:hAnsi="宋体" w:eastAsia="宋体" w:cs="宋体"/>
          <w:sz w:val="24"/>
        </w:rPr>
        <w:t>小型、微型企业应当同时符合以下条件：</w:t>
      </w:r>
    </w:p>
    <w:p w14:paraId="271D5DB4">
      <w:pPr>
        <w:pStyle w:val="34"/>
        <w:tabs>
          <w:tab w:val="left" w:pos="169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1.1</w:t>
      </w:r>
      <w:r>
        <w:rPr>
          <w:rFonts w:hint="eastAsia" w:ascii="宋体" w:hAnsi="宋体" w:eastAsia="宋体" w:cs="宋体"/>
          <w:sz w:val="24"/>
        </w:rPr>
        <w:t>符合中小企业划分标准（中小企业划分标准是指国务院有关部门根据企业从业人员、营业收入、资产总额等指标制定的中小企业划型标准（工信部联企业〔2011</w:t>
      </w:r>
      <w:r>
        <w:rPr>
          <w:rFonts w:hint="eastAsia" w:ascii="宋体" w:hAnsi="宋体" w:eastAsia="宋体" w:cs="宋体"/>
          <w:spacing w:val="-18"/>
          <w:sz w:val="24"/>
        </w:rPr>
        <w:t>〕</w:t>
      </w:r>
      <w:r>
        <w:rPr>
          <w:rFonts w:hint="eastAsia" w:ascii="宋体" w:hAnsi="宋体" w:eastAsia="宋体" w:cs="宋体"/>
          <w:sz w:val="24"/>
        </w:rPr>
        <w:t>300</w:t>
      </w:r>
      <w:r>
        <w:rPr>
          <w:rFonts w:hint="eastAsia" w:ascii="宋体" w:hAnsi="宋体" w:eastAsia="宋体" w:cs="宋体"/>
          <w:spacing w:val="-30"/>
          <w:sz w:val="24"/>
        </w:rPr>
        <w:t xml:space="preserve"> 号</w:t>
      </w:r>
      <w:r>
        <w:rPr>
          <w:rFonts w:hint="eastAsia" w:ascii="宋体" w:hAnsi="宋体" w:eastAsia="宋体" w:cs="宋体"/>
          <w:sz w:val="24"/>
        </w:rPr>
        <w:t>））。</w:t>
      </w:r>
    </w:p>
    <w:p w14:paraId="1335532B">
      <w:pPr>
        <w:pStyle w:val="34"/>
        <w:tabs>
          <w:tab w:val="left" w:pos="1696"/>
        </w:tabs>
        <w:autoSpaceDE w:val="0"/>
        <w:autoSpaceDN w:val="0"/>
        <w:spacing w:line="423" w:lineRule="auto"/>
        <w:ind w:left="0" w:right="-44" w:rightChars="-20" w:firstLine="476" w:firstLineChars="200"/>
        <w:rPr>
          <w:rFonts w:hint="eastAsia" w:ascii="宋体" w:hAnsi="宋体" w:eastAsia="宋体" w:cs="宋体"/>
          <w:sz w:val="24"/>
        </w:rPr>
      </w:pPr>
      <w:r>
        <w:rPr>
          <w:rFonts w:hint="eastAsia" w:ascii="宋体" w:hAnsi="宋体" w:eastAsia="宋体" w:cs="宋体"/>
          <w:spacing w:val="-1"/>
          <w:sz w:val="24"/>
          <w:lang w:val="en-US"/>
        </w:rPr>
        <w:t>1.2</w:t>
      </w:r>
      <w:r>
        <w:rPr>
          <w:rFonts w:hint="eastAsia" w:ascii="宋体" w:hAnsi="宋体" w:eastAsia="宋体" w:cs="宋体"/>
          <w:spacing w:val="-1"/>
          <w:sz w:val="24"/>
        </w:rPr>
        <w:t>提供本企业制造的货物、承担的工程或者服务，或者提供其他中小企业制造</w:t>
      </w:r>
      <w:r>
        <w:rPr>
          <w:rFonts w:hint="eastAsia" w:ascii="宋体" w:hAnsi="宋体" w:eastAsia="宋体" w:cs="宋体"/>
          <w:sz w:val="24"/>
        </w:rPr>
        <w:t>的货物，不包括提供或使用大型企业注册商标的货物。</w:t>
      </w:r>
    </w:p>
    <w:p w14:paraId="54D83993">
      <w:pPr>
        <w:pStyle w:val="34"/>
        <w:tabs>
          <w:tab w:val="left" w:pos="1696"/>
        </w:tabs>
        <w:autoSpaceDE w:val="0"/>
        <w:autoSpaceDN w:val="0"/>
        <w:spacing w:line="423" w:lineRule="auto"/>
        <w:ind w:left="0" w:right="-44" w:rightChars="-20" w:firstLine="440" w:firstLineChars="200"/>
        <w:rPr>
          <w:rFonts w:hint="eastAsia" w:ascii="宋体" w:hAnsi="宋体" w:eastAsia="宋体" w:cs="宋体"/>
          <w:sz w:val="24"/>
        </w:rPr>
      </w:pPr>
      <w:r>
        <w:rPr>
          <w:rFonts w:hint="eastAsia" w:ascii="宋体" w:hAnsi="宋体" w:eastAsia="宋体" w:cs="宋体"/>
          <w:spacing w:val="-10"/>
          <w:sz w:val="24"/>
          <w:lang w:val="en-US"/>
        </w:rPr>
        <w:t>1.4</w:t>
      </w:r>
      <w:r>
        <w:rPr>
          <w:rFonts w:hint="eastAsia" w:ascii="宋体" w:hAnsi="宋体" w:eastAsia="宋体" w:cs="宋体"/>
          <w:spacing w:val="-10"/>
          <w:sz w:val="24"/>
        </w:rPr>
        <w:t>小型、微型企业提供中型企业制造的货物的，视同为中型企业；小型、微型、</w:t>
      </w:r>
      <w:r>
        <w:rPr>
          <w:rFonts w:hint="eastAsia" w:ascii="宋体" w:hAnsi="宋体" w:eastAsia="宋体" w:cs="宋体"/>
          <w:sz w:val="24"/>
        </w:rPr>
        <w:t>中型企业提供大型企业制造的货物的，视同为大型企业。</w:t>
      </w:r>
    </w:p>
    <w:p w14:paraId="740AA1CE">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2、《财政部司法部关于政府采购支持监狱企业发展有关问题的通知》（财库〔2014〕68号）。</w:t>
      </w:r>
    </w:p>
    <w:p w14:paraId="6C57A14A">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3、《国务院办公厅关于建立政府强制采购节能产品制度的通知》（国办发〔2007〕51号）。</w:t>
      </w:r>
    </w:p>
    <w:p w14:paraId="259B68EB">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4、《环境标志产品政府采购实施的意见》（财库[2006]90号）。</w:t>
      </w:r>
    </w:p>
    <w:p w14:paraId="7C5C215B">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5、</w:t>
      </w:r>
      <w:r>
        <w:rPr>
          <w:rFonts w:hint="eastAsia" w:ascii="宋体" w:hAnsi="宋体" w:eastAsia="宋体" w:cs="宋体"/>
          <w:sz w:val="24"/>
        </w:rPr>
        <w:t>采购人拟采购产品属于优先采购节能环保产品范围的，应当优先采购节能环保</w:t>
      </w:r>
      <w:r>
        <w:rPr>
          <w:rFonts w:hint="eastAsia" w:ascii="宋体" w:hAnsi="宋体" w:eastAsia="宋体" w:cs="宋体"/>
          <w:spacing w:val="-8"/>
          <w:sz w:val="24"/>
        </w:rPr>
        <w:t>产品，节能产品以财政部国家发展改革委关于调整公布最新一期节能产品政府采购清单所列产品为准。环保产品以财政部环境保护部关于调整公布最新一期环境标志产品政府</w:t>
      </w:r>
      <w:r>
        <w:rPr>
          <w:rFonts w:hint="eastAsia" w:ascii="宋体" w:hAnsi="宋体" w:eastAsia="宋体" w:cs="宋体"/>
          <w:sz w:val="24"/>
        </w:rPr>
        <w:t>采购清单所列产品为准。</w:t>
      </w:r>
    </w:p>
    <w:p w14:paraId="7EC9A998">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lang w:val="en-US"/>
        </w:rPr>
      </w:pPr>
      <w:r>
        <w:rPr>
          <w:rFonts w:hint="eastAsia" w:ascii="宋体" w:hAnsi="宋体" w:eastAsia="宋体" w:cs="宋体"/>
          <w:sz w:val="24"/>
          <w:lang w:val="en-US"/>
        </w:rPr>
        <w:t>2、监狱企业的价格评分标准</w:t>
      </w:r>
    </w:p>
    <w:p w14:paraId="204CA547">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 xml:space="preserve"> 1）在政府采购活动中，监狱企业视同小型、微型企业，享受预留份额、评审中价格扣除等政府采购促进中小企业发展的政府采购政策。</w:t>
      </w:r>
    </w:p>
    <w:p w14:paraId="173AD104">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 xml:space="preserve"> 2）监狱企业参加政府采购活动时，应当提供由省级以上监狱管理局、戒毒管理局（含新疆生产建设兵团）出具的属于监狱企业的证明文件。</w:t>
      </w:r>
    </w:p>
    <w:p w14:paraId="1A775C0D">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 xml:space="preserve"> 3）监狱企业按《财政部、司法部关于政府采购支持监狱企业发展有关问题的通知》（财库〔2014〕68号）文件规定标准执行。</w:t>
      </w:r>
    </w:p>
    <w:p w14:paraId="239EE68F">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4）</w:t>
      </w:r>
      <w:r>
        <w:rPr>
          <w:rFonts w:hint="eastAsia" w:ascii="宋体" w:hAnsi="宋体" w:eastAsia="宋体" w:cs="宋体"/>
          <w:sz w:val="24"/>
        </w:rPr>
        <w:t>监狱企业视同小型、微型企业，享受评审中价格扣除等政府促进中小企业发展的政府采购政策</w:t>
      </w:r>
    </w:p>
    <w:p w14:paraId="56EE2259">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5</w:t>
      </w:r>
      <w:r>
        <w:rPr>
          <w:rFonts w:hint="eastAsia" w:ascii="宋体" w:hAnsi="宋体" w:eastAsia="宋体" w:cs="宋体"/>
          <w:sz w:val="24"/>
        </w:rPr>
        <w:t>）监狱企业属于小型、微型企业的，不重复享受政策。</w:t>
      </w:r>
    </w:p>
    <w:p w14:paraId="4B421D2E">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残疾人福利性单位的价格评分标准</w:t>
      </w:r>
    </w:p>
    <w:p w14:paraId="6B2E6FA9">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rPr>
        <w:t>1）在政府采购活动中，残疾人福利性单位视同小型、微型企业，享受预留份额、评审中价格扣除等政府采购促进中小企业发展的政府采购政策。</w:t>
      </w:r>
    </w:p>
    <w:p w14:paraId="3D1C03E2">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2</w:t>
      </w:r>
      <w:r>
        <w:rPr>
          <w:rFonts w:hint="eastAsia" w:ascii="宋体" w:hAnsi="宋体" w:eastAsia="宋体" w:cs="宋体"/>
          <w:sz w:val="24"/>
        </w:rPr>
        <w:t>）残疾人福利性单位属于小型、微型企业的，不重复享受政策。</w:t>
      </w:r>
    </w:p>
    <w:p w14:paraId="4AA4C8B9">
      <w:pPr>
        <w:pStyle w:val="34"/>
        <w:tabs>
          <w:tab w:val="left" w:pos="1456"/>
        </w:tabs>
        <w:autoSpaceDE w:val="0"/>
        <w:autoSpaceDN w:val="0"/>
        <w:spacing w:line="423" w:lineRule="auto"/>
        <w:ind w:left="0" w:right="-44" w:rightChars="-20" w:firstLine="480" w:firstLineChars="200"/>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）符合条件的残疾人福利性单位在参加政府采购活动时，应当提供本通知规定的《残疾人福利性单位声明函》（式样见投标文件格式），并对声明的真实性负责，未提供的不视为残疾人福利性单位。</w:t>
      </w:r>
    </w:p>
    <w:p w14:paraId="18EAC49E">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cs="宋体"/>
          <w:sz w:val="24"/>
          <w:lang w:val="en-US" w:eastAsia="zh-CN"/>
        </w:rPr>
        <w:t>22.2.2</w:t>
      </w:r>
      <w:r>
        <w:rPr>
          <w:rFonts w:hint="eastAsia" w:ascii="宋体" w:hAnsi="宋体" w:cs="宋体"/>
          <w:sz w:val="24"/>
        </w:rPr>
        <w:t>、</w:t>
      </w:r>
      <w:r>
        <w:rPr>
          <w:rFonts w:hint="eastAsia" w:ascii="宋体" w:hAnsi="宋体" w:cs="宋体"/>
          <w:sz w:val="24"/>
          <w:lang w:val="zh-CN"/>
        </w:rPr>
        <w:t>监狱和戒毒企业应符合《财政部</w:t>
      </w:r>
      <w:r>
        <w:rPr>
          <w:rFonts w:hint="eastAsia" w:ascii="宋体" w:hAnsi="宋体" w:cs="宋体"/>
          <w:sz w:val="24"/>
        </w:rPr>
        <w:t xml:space="preserve"> 司法部关于政府采购支持监狱企业发展有关问题的通知》--财库[2014]68号文件规定</w:t>
      </w:r>
      <w:r>
        <w:rPr>
          <w:rFonts w:hint="eastAsia" w:ascii="宋体" w:hAnsi="宋体" w:cs="宋体"/>
          <w:sz w:val="24"/>
          <w:lang w:val="zh-CN"/>
        </w:rPr>
        <w:t>，并提供由省级以上监狱管理局、戒毒管理局(含新疆生产建设兵团)出具的属于监狱企业的证明。</w:t>
      </w:r>
    </w:p>
    <w:p w14:paraId="19BA0B3A">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cs="宋体"/>
          <w:sz w:val="24"/>
          <w:lang w:val="en-US" w:eastAsia="zh-CN"/>
        </w:rPr>
        <w:t>22.2.3</w:t>
      </w:r>
      <w:r>
        <w:rPr>
          <w:rFonts w:hint="eastAsia" w:ascii="宋体" w:hAnsi="宋体" w:cs="宋体"/>
          <w:sz w:val="24"/>
          <w:lang w:val="zh-CN"/>
        </w:rPr>
        <w:t>、残疾人福利性单位应符合《财政部、民政部、中国残疾人联合会关于促进残疾人就业政府采购政策的通知》（财库[2017]141号）文件规定，并提供《残疾人福利性单位声明函》。</w:t>
      </w:r>
    </w:p>
    <w:p w14:paraId="1B6371C6">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cs="宋体"/>
          <w:sz w:val="24"/>
          <w:lang w:val="en-US" w:eastAsia="zh-CN"/>
        </w:rPr>
        <w:t>22.2.4</w:t>
      </w:r>
      <w:r>
        <w:rPr>
          <w:rFonts w:hint="eastAsia" w:ascii="宋体" w:hAnsi="宋体" w:cs="宋体"/>
          <w:sz w:val="24"/>
          <w:lang w:val="zh-CN"/>
        </w:rPr>
        <w:t>、残疾人福利性、监狱企业单位属于小型、微型企业的，不重复享受政策。</w:t>
      </w:r>
    </w:p>
    <w:p w14:paraId="6DCB8B29">
      <w:pPr>
        <w:autoSpaceDE w:val="0"/>
        <w:autoSpaceDN w:val="0"/>
        <w:adjustRightInd w:val="0"/>
        <w:spacing w:line="420" w:lineRule="exact"/>
        <w:ind w:firstLine="482" w:firstLineChars="200"/>
        <w:jc w:val="left"/>
        <w:rPr>
          <w:rFonts w:hint="eastAsia" w:ascii="宋体" w:hAnsi="宋体" w:cs="宋体"/>
          <w:b/>
          <w:bCs/>
          <w:sz w:val="24"/>
          <w:lang w:val="zh-CN"/>
        </w:rPr>
      </w:pPr>
      <w:r>
        <w:rPr>
          <w:rFonts w:hint="eastAsia" w:ascii="宋体" w:hAnsi="宋体" w:cs="宋体"/>
          <w:b/>
          <w:bCs/>
          <w:sz w:val="24"/>
        </w:rPr>
        <w:t>22.</w:t>
      </w:r>
      <w:r>
        <w:rPr>
          <w:rFonts w:hint="eastAsia" w:cs="宋体"/>
          <w:b/>
          <w:bCs/>
          <w:sz w:val="24"/>
          <w:lang w:val="en-US" w:eastAsia="zh-CN"/>
        </w:rPr>
        <w:t>3</w:t>
      </w:r>
      <w:r>
        <w:rPr>
          <w:rFonts w:hint="eastAsia" w:ascii="宋体" w:hAnsi="宋体" w:cs="宋体"/>
          <w:b/>
          <w:bCs/>
          <w:sz w:val="24"/>
          <w:lang w:val="zh-CN"/>
        </w:rPr>
        <w:t>、投标产品政府采购政策</w:t>
      </w:r>
    </w:p>
    <w:p w14:paraId="666E988B">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3.1</w:t>
      </w:r>
      <w:r>
        <w:rPr>
          <w:rFonts w:hint="eastAsia" w:ascii="宋体" w:hAnsi="宋体" w:cs="宋体"/>
          <w:sz w:val="24"/>
        </w:rPr>
        <w:t>、节能产品</w:t>
      </w:r>
      <w:r>
        <w:rPr>
          <w:rFonts w:hint="eastAsia" w:ascii="宋体" w:hAnsi="宋体" w:cs="宋体"/>
          <w:sz w:val="24"/>
          <w:lang w:val="zh-CN"/>
        </w:rPr>
        <w:t>根据《国务院办公厅关于建立政府强制采购节能产品制度的通知》</w:t>
      </w:r>
      <w:r>
        <w:rPr>
          <w:rFonts w:hint="eastAsia" w:ascii="宋体" w:hAnsi="宋体" w:cs="宋体"/>
          <w:sz w:val="24"/>
        </w:rPr>
        <w:t>（</w:t>
      </w:r>
      <w:r>
        <w:rPr>
          <w:rFonts w:hint="eastAsia" w:ascii="宋体" w:hAnsi="宋体" w:cs="宋体"/>
          <w:sz w:val="24"/>
          <w:lang w:val="zh-CN"/>
        </w:rPr>
        <w:t>国办发[</w:t>
      </w:r>
      <w:r>
        <w:rPr>
          <w:rFonts w:hint="eastAsia" w:ascii="宋体" w:hAnsi="宋体" w:cs="宋体"/>
          <w:sz w:val="24"/>
        </w:rPr>
        <w:t>2007]51</w:t>
      </w:r>
      <w:r>
        <w:rPr>
          <w:rFonts w:hint="eastAsia" w:ascii="宋体" w:hAnsi="宋体" w:cs="宋体"/>
          <w:sz w:val="24"/>
          <w:lang w:val="zh-CN"/>
        </w:rPr>
        <w:t>号</w:t>
      </w:r>
      <w:r>
        <w:rPr>
          <w:rFonts w:hint="eastAsia" w:ascii="宋体" w:hAnsi="宋体" w:cs="宋体"/>
          <w:sz w:val="24"/>
        </w:rPr>
        <w:t>）</w:t>
      </w:r>
      <w:r>
        <w:rPr>
          <w:rFonts w:hint="eastAsia" w:ascii="宋体" w:hAnsi="宋体" w:cs="宋体"/>
          <w:sz w:val="24"/>
          <w:lang w:val="zh-CN"/>
        </w:rPr>
        <w:t>的规定</w:t>
      </w:r>
      <w:r>
        <w:rPr>
          <w:rFonts w:hint="eastAsia" w:ascii="宋体" w:hAnsi="宋体" w:cs="宋体"/>
          <w:sz w:val="24"/>
        </w:rPr>
        <w:t>，</w:t>
      </w:r>
      <w:r>
        <w:rPr>
          <w:rFonts w:hint="eastAsia" w:ascii="宋体" w:hAnsi="宋体" w:cs="宋体"/>
          <w:sz w:val="24"/>
          <w:lang w:val="zh-CN"/>
        </w:rPr>
        <w:t>以中国政府采购网</w:t>
      </w:r>
      <w:r>
        <w:rPr>
          <w:rFonts w:hint="eastAsia" w:ascii="宋体" w:hAnsi="宋体" w:cs="宋体"/>
          <w:sz w:val="24"/>
        </w:rPr>
        <w:t>（http://www.ccgp.gov.cn/）</w:t>
      </w:r>
      <w:r>
        <w:rPr>
          <w:rFonts w:hint="eastAsia" w:ascii="宋体" w:hAnsi="宋体" w:cs="宋体"/>
          <w:sz w:val="24"/>
          <w:lang w:val="zh-CN"/>
        </w:rPr>
        <w:t>公布的最新一期节能产品政府采购清单为准。</w:t>
      </w:r>
    </w:p>
    <w:p w14:paraId="4FC12B40">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3.2</w:t>
      </w:r>
      <w:r>
        <w:rPr>
          <w:rFonts w:hint="eastAsia" w:ascii="宋体" w:hAnsi="宋体" w:cs="宋体"/>
          <w:sz w:val="24"/>
        </w:rPr>
        <w:t>、环境标志产品</w:t>
      </w:r>
      <w:r>
        <w:rPr>
          <w:rFonts w:hint="eastAsia" w:ascii="宋体" w:hAnsi="宋体" w:cs="宋体"/>
          <w:sz w:val="24"/>
          <w:lang w:val="zh-CN"/>
        </w:rPr>
        <w:t>根据《环境标志产品政府采购实施的意见》</w:t>
      </w:r>
      <w:r>
        <w:rPr>
          <w:rFonts w:hint="eastAsia" w:ascii="宋体" w:hAnsi="宋体" w:cs="宋体"/>
          <w:sz w:val="24"/>
        </w:rPr>
        <w:t>（</w:t>
      </w:r>
      <w:r>
        <w:rPr>
          <w:rFonts w:hint="eastAsia" w:ascii="宋体" w:hAnsi="宋体" w:cs="宋体"/>
          <w:sz w:val="24"/>
          <w:lang w:val="zh-CN"/>
        </w:rPr>
        <w:t>财库</w:t>
      </w:r>
      <w:r>
        <w:rPr>
          <w:rFonts w:hint="eastAsia" w:ascii="宋体" w:hAnsi="宋体" w:cs="宋体"/>
          <w:sz w:val="24"/>
        </w:rPr>
        <w:t>[2006]90</w:t>
      </w:r>
      <w:r>
        <w:rPr>
          <w:rFonts w:hint="eastAsia" w:ascii="宋体" w:hAnsi="宋体" w:cs="宋体"/>
          <w:sz w:val="24"/>
          <w:lang w:val="zh-CN"/>
        </w:rPr>
        <w:t>号</w:t>
      </w:r>
      <w:r>
        <w:rPr>
          <w:rFonts w:hint="eastAsia" w:ascii="宋体" w:hAnsi="宋体" w:cs="宋体"/>
          <w:sz w:val="24"/>
        </w:rPr>
        <w:t>）</w:t>
      </w:r>
      <w:r>
        <w:rPr>
          <w:rFonts w:hint="eastAsia" w:ascii="宋体" w:hAnsi="宋体" w:cs="宋体"/>
          <w:sz w:val="24"/>
          <w:lang w:val="zh-CN"/>
        </w:rPr>
        <w:t>的规定</w:t>
      </w:r>
      <w:r>
        <w:rPr>
          <w:rFonts w:hint="eastAsia" w:ascii="宋体" w:hAnsi="宋体" w:cs="宋体"/>
          <w:sz w:val="24"/>
        </w:rPr>
        <w:t>，</w:t>
      </w:r>
      <w:r>
        <w:rPr>
          <w:rFonts w:hint="eastAsia" w:ascii="宋体" w:hAnsi="宋体" w:cs="宋体"/>
          <w:sz w:val="24"/>
          <w:lang w:val="zh-CN"/>
        </w:rPr>
        <w:t>以中国政府采购网</w:t>
      </w:r>
      <w:r>
        <w:rPr>
          <w:rFonts w:hint="eastAsia" w:ascii="宋体" w:hAnsi="宋体" w:cs="宋体"/>
          <w:sz w:val="24"/>
        </w:rPr>
        <w:t>（http://www.ccgp.gov.cn/）</w:t>
      </w:r>
      <w:r>
        <w:rPr>
          <w:rFonts w:hint="eastAsia" w:ascii="宋体" w:hAnsi="宋体" w:cs="宋体"/>
          <w:sz w:val="24"/>
          <w:lang w:val="zh-CN"/>
        </w:rPr>
        <w:t>公布的最新一期环境标志产品政府采购清单为准。</w:t>
      </w:r>
    </w:p>
    <w:p w14:paraId="6D9E60BD">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3.3</w:t>
      </w:r>
      <w:r>
        <w:rPr>
          <w:rFonts w:hint="eastAsia" w:ascii="宋体" w:hAnsi="宋体" w:cs="宋体"/>
          <w:sz w:val="24"/>
          <w:lang w:val="zh-CN"/>
        </w:rPr>
        <w:t>、投标人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 </w:t>
      </w:r>
    </w:p>
    <w:p w14:paraId="4E7D8B84">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3.4</w:t>
      </w:r>
      <w:r>
        <w:rPr>
          <w:rFonts w:hint="eastAsia" w:ascii="宋体" w:hAnsi="宋体" w:cs="宋体"/>
          <w:sz w:val="24"/>
          <w:lang w:val="zh-CN"/>
        </w:rPr>
        <w:t>、若节能、环保、环境标志清单内的产品仅是构成投标产品的部件、组件或零件的，则该投标产品不享受鼓励优惠政策。</w:t>
      </w:r>
    </w:p>
    <w:p w14:paraId="1D6C7F92">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w:t>
      </w:r>
      <w:r>
        <w:rPr>
          <w:rFonts w:hint="eastAsia" w:ascii="宋体" w:hAnsi="宋体" w:cs="宋体"/>
          <w:sz w:val="24"/>
          <w:lang w:val="zh-CN"/>
        </w:rPr>
        <w:t>5、同一项目的节能、环保、环境标志产品部分计分只对属于清单内的非强制类产品进行计分，强制类产品不给予计分。 </w:t>
      </w:r>
    </w:p>
    <w:p w14:paraId="2ECEA85F">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w:t>
      </w:r>
      <w:r>
        <w:rPr>
          <w:rFonts w:hint="eastAsia" w:ascii="宋体" w:hAnsi="宋体" w:cs="宋体"/>
          <w:sz w:val="24"/>
          <w:lang w:val="zh-CN"/>
        </w:rPr>
        <w:t>6、节能、环保、环境标志产品不重复计分；同时列入国家级清单和省级清单的产品不重复计分。 </w:t>
      </w:r>
    </w:p>
    <w:p w14:paraId="16D3B3F6">
      <w:pPr>
        <w:autoSpaceDE w:val="0"/>
        <w:autoSpaceDN w:val="0"/>
        <w:adjustRightInd w:val="0"/>
        <w:spacing w:line="420" w:lineRule="exact"/>
        <w:ind w:firstLine="480" w:firstLineChars="200"/>
        <w:jc w:val="left"/>
        <w:rPr>
          <w:rFonts w:hint="eastAsia" w:ascii="宋体" w:hAnsi="宋体" w:cs="宋体"/>
          <w:sz w:val="24"/>
          <w:lang w:val="zh-CN"/>
        </w:rPr>
      </w:pPr>
      <w:r>
        <w:rPr>
          <w:rFonts w:hint="eastAsia" w:ascii="宋体" w:hAnsi="宋体" w:cs="宋体"/>
          <w:sz w:val="24"/>
        </w:rPr>
        <w:t>22.</w:t>
      </w:r>
      <w:r>
        <w:rPr>
          <w:rFonts w:hint="eastAsia" w:cs="宋体"/>
          <w:sz w:val="24"/>
          <w:lang w:val="en-US" w:eastAsia="zh-CN"/>
        </w:rPr>
        <w:t>3</w:t>
      </w:r>
      <w:r>
        <w:rPr>
          <w:rFonts w:hint="eastAsia" w:ascii="宋体" w:hAnsi="宋体" w:cs="宋体"/>
          <w:sz w:val="24"/>
        </w:rPr>
        <w:t>.</w:t>
      </w:r>
      <w:r>
        <w:rPr>
          <w:rFonts w:hint="eastAsia" w:ascii="宋体" w:hAnsi="宋体" w:cs="宋体"/>
          <w:sz w:val="24"/>
          <w:lang w:val="zh-CN"/>
        </w:rPr>
        <w:t>7、获得上述认证的产品在投标时应提供有效证明材料。以上所有证明文件复印件须加盖投标人公章并注明“与原件一致”，否则不予计分。</w:t>
      </w:r>
    </w:p>
    <w:p w14:paraId="772C8E3F">
      <w:pPr>
        <w:autoSpaceDE w:val="0"/>
        <w:autoSpaceDN w:val="0"/>
        <w:adjustRightInd w:val="0"/>
        <w:spacing w:line="420" w:lineRule="exact"/>
        <w:ind w:firstLine="482" w:firstLineChars="200"/>
        <w:jc w:val="left"/>
        <w:rPr>
          <w:rFonts w:hint="eastAsia" w:ascii="宋体" w:hAnsi="宋体" w:cs="宋体"/>
          <w:b/>
          <w:bCs/>
          <w:sz w:val="24"/>
        </w:rPr>
      </w:pPr>
      <w:r>
        <w:rPr>
          <w:rFonts w:hint="eastAsia" w:ascii="宋体" w:hAnsi="宋体" w:cs="宋体"/>
          <w:b/>
          <w:bCs/>
          <w:sz w:val="24"/>
        </w:rPr>
        <w:t>22.</w:t>
      </w:r>
      <w:r>
        <w:rPr>
          <w:rFonts w:hint="eastAsia" w:cs="宋体"/>
          <w:b/>
          <w:bCs/>
          <w:sz w:val="24"/>
          <w:lang w:val="en-US" w:eastAsia="zh-CN"/>
        </w:rPr>
        <w:t>4</w:t>
      </w:r>
      <w:r>
        <w:rPr>
          <w:rFonts w:hint="eastAsia" w:ascii="宋体" w:hAnsi="宋体" w:cs="宋体"/>
          <w:b/>
          <w:bCs/>
          <w:sz w:val="24"/>
        </w:rPr>
        <w:t>、投标人应如实提供以上证明文件，如存在虚假应标，将取消其投标资格。</w:t>
      </w:r>
    </w:p>
    <w:p w14:paraId="08453A41">
      <w:pPr>
        <w:autoSpaceDE w:val="0"/>
        <w:autoSpaceDN w:val="0"/>
        <w:adjustRightInd w:val="0"/>
        <w:spacing w:line="420" w:lineRule="exact"/>
        <w:ind w:firstLine="480" w:firstLineChars="200"/>
        <w:jc w:val="left"/>
        <w:rPr>
          <w:rFonts w:hint="eastAsia" w:ascii="宋体" w:hAnsi="宋体" w:cs="宋体"/>
          <w:sz w:val="24"/>
        </w:rPr>
      </w:pPr>
      <w:r>
        <w:rPr>
          <w:rFonts w:hint="eastAsia" w:ascii="宋体" w:hAnsi="宋体" w:cs="宋体"/>
          <w:sz w:val="24"/>
        </w:rPr>
        <w:t>注：按照</w:t>
      </w:r>
      <w:r>
        <w:rPr>
          <w:rFonts w:hint="eastAsia" w:cs="宋体"/>
          <w:sz w:val="24"/>
          <w:lang w:eastAsia="zh-CN"/>
        </w:rPr>
        <w:t>《</w:t>
      </w:r>
      <w:r>
        <w:rPr>
          <w:rFonts w:hint="eastAsia" w:ascii="宋体" w:hAnsi="宋体" w:cs="宋体"/>
          <w:sz w:val="24"/>
        </w:rPr>
        <w:t>政府采购促进中小企业发展管理办法》（财库﹝2020﹞46 号）的通知，本项目小型和微型企业产品的价格给予</w:t>
      </w:r>
      <w:r>
        <w:rPr>
          <w:rFonts w:hint="eastAsia" w:ascii="宋体" w:hAnsi="宋体" w:cs="宋体"/>
          <w:sz w:val="24"/>
          <w:lang w:val="en-US" w:eastAsia="zh-CN"/>
        </w:rPr>
        <w:t>10</w:t>
      </w:r>
      <w:r>
        <w:rPr>
          <w:rFonts w:hint="eastAsia" w:ascii="宋体" w:hAnsi="宋体" w:cs="宋体"/>
          <w:sz w:val="24"/>
        </w:rPr>
        <w:t>%的扣除，</w:t>
      </w:r>
      <w:r>
        <w:rPr>
          <w:rFonts w:hint="eastAsia" w:ascii="宋体" w:hAnsi="宋体" w:cs="宋体"/>
          <w:b/>
          <w:bCs/>
          <w:sz w:val="24"/>
          <w:lang w:eastAsia="zh-CN"/>
        </w:rPr>
        <w:t>因本项目是专门面对</w:t>
      </w:r>
      <w:r>
        <w:rPr>
          <w:rFonts w:hint="eastAsia" w:cs="宋体"/>
          <w:b/>
          <w:bCs/>
          <w:sz w:val="24"/>
          <w:lang w:eastAsia="zh-CN"/>
        </w:rPr>
        <w:t>中</w:t>
      </w:r>
      <w:r>
        <w:rPr>
          <w:rFonts w:hint="eastAsia" w:ascii="宋体" w:hAnsi="宋体" w:cs="宋体"/>
          <w:b/>
          <w:bCs/>
          <w:sz w:val="24"/>
          <w:lang w:eastAsia="zh-CN"/>
        </w:rPr>
        <w:t>小微企业，故不做价格优惠</w:t>
      </w:r>
      <w:r>
        <w:rPr>
          <w:rFonts w:hint="eastAsia" w:ascii="宋体" w:hAnsi="宋体" w:cs="宋体"/>
          <w:b/>
          <w:bCs/>
          <w:sz w:val="24"/>
        </w:rPr>
        <w:t>。</w:t>
      </w:r>
    </w:p>
    <w:p w14:paraId="4E39CE8F">
      <w:pPr>
        <w:spacing w:line="440" w:lineRule="exact"/>
        <w:rPr>
          <w:rFonts w:hint="eastAsia" w:ascii="宋体" w:hAnsi="宋体" w:cs="宋体"/>
          <w:b/>
          <w:sz w:val="24"/>
        </w:rPr>
      </w:pPr>
      <w:r>
        <w:rPr>
          <w:rFonts w:hint="eastAsia" w:ascii="宋体" w:hAnsi="宋体" w:cs="宋体"/>
          <w:b/>
          <w:sz w:val="24"/>
        </w:rPr>
        <w:t xml:space="preserve">    23. 确定成交单位</w:t>
      </w:r>
    </w:p>
    <w:p w14:paraId="4C0757F4">
      <w:pPr>
        <w:spacing w:line="440" w:lineRule="exact"/>
        <w:ind w:firstLine="480" w:firstLineChars="200"/>
        <w:rPr>
          <w:rFonts w:hint="eastAsia" w:ascii="宋体" w:hAnsi="宋体" w:cs="宋体"/>
          <w:b/>
          <w:sz w:val="30"/>
          <w:szCs w:val="30"/>
        </w:rPr>
      </w:pPr>
      <w:r>
        <w:rPr>
          <w:rFonts w:hint="eastAsia" w:ascii="宋体" w:hAnsi="宋体" w:cs="宋体"/>
          <w:sz w:val="24"/>
        </w:rPr>
        <w:t>采购人按照评标小组推荐的成交候选人排名顺序确定成交单位。采购代理机构将成交结果</w:t>
      </w:r>
      <w:r>
        <w:rPr>
          <w:rStyle w:val="38"/>
          <w:rFonts w:hint="eastAsia" w:ascii="宋体" w:hAnsi="宋体" w:cs="宋体"/>
          <w:color w:val="auto"/>
          <w:sz w:val="24"/>
        </w:rPr>
        <w:t>通知所有未成交的投标人</w:t>
      </w:r>
      <w:r>
        <w:rPr>
          <w:rFonts w:hint="eastAsia" w:ascii="宋体" w:hAnsi="宋体" w:cs="宋体"/>
          <w:sz w:val="24"/>
          <w:shd w:val="clear" w:color="auto" w:fill="FFFFFF"/>
        </w:rPr>
        <w:t>。</w:t>
      </w:r>
    </w:p>
    <w:p w14:paraId="0A7FEE99">
      <w:pPr>
        <w:numPr>
          <w:ilvl w:val="0"/>
          <w:numId w:val="0"/>
        </w:numPr>
        <w:spacing w:line="560" w:lineRule="exact"/>
        <w:ind w:leftChars="200" w:right="0" w:rightChars="0"/>
        <w:rPr>
          <w:rFonts w:hint="eastAsia" w:ascii="宋体" w:hAnsi="宋体" w:cs="宋体"/>
          <w:b/>
          <w:spacing w:val="4"/>
          <w:sz w:val="24"/>
        </w:rPr>
      </w:pPr>
      <w:r>
        <w:rPr>
          <w:rFonts w:hint="eastAsia" w:cs="宋体"/>
          <w:b/>
          <w:spacing w:val="4"/>
          <w:sz w:val="24"/>
          <w:lang w:val="en-US" w:eastAsia="zh-CN"/>
        </w:rPr>
        <w:t>24.</w:t>
      </w:r>
      <w:r>
        <w:rPr>
          <w:rFonts w:hint="eastAsia" w:ascii="宋体" w:hAnsi="宋体" w:cs="宋体"/>
          <w:b/>
          <w:spacing w:val="4"/>
          <w:sz w:val="24"/>
        </w:rPr>
        <w:t>成交价格=成交供应商的有效谈判报价。</w:t>
      </w:r>
    </w:p>
    <w:p w14:paraId="10C43AB4">
      <w:pPr>
        <w:pStyle w:val="8"/>
        <w:rPr>
          <w:rFonts w:hint="eastAsia" w:ascii="宋体" w:hAnsi="宋体" w:cs="宋体"/>
          <w:b/>
          <w:szCs w:val="24"/>
        </w:rPr>
      </w:pPr>
      <w:r>
        <w:rPr>
          <w:rFonts w:hint="eastAsia" w:ascii="宋体" w:hAnsi="宋体" w:cs="宋体"/>
          <w:b/>
          <w:spacing w:val="4"/>
          <w:szCs w:val="24"/>
        </w:rPr>
        <w:t xml:space="preserve"> </w:t>
      </w:r>
      <w:r>
        <w:rPr>
          <w:rFonts w:hint="eastAsia" w:ascii="宋体" w:hAnsi="宋体" w:cs="宋体"/>
          <w:b/>
          <w:szCs w:val="24"/>
        </w:rPr>
        <w:t xml:space="preserve"> 20.6.3 </w:t>
      </w:r>
      <w:r>
        <w:rPr>
          <w:rFonts w:hint="eastAsia" w:ascii="宋体" w:hAnsi="宋体" w:cs="宋体"/>
          <w:b/>
          <w:szCs w:val="24"/>
          <w:lang w:val="zh-CN"/>
        </w:rPr>
        <w:t>陕西省中小企业政府采购信用融资办法</w:t>
      </w:r>
    </w:p>
    <w:p w14:paraId="117E3986">
      <w:pPr>
        <w:spacing w:line="440" w:lineRule="exact"/>
        <w:ind w:firstLine="480" w:firstLineChars="200"/>
        <w:rPr>
          <w:rFonts w:hint="eastAsia" w:ascii="宋体" w:hAnsi="宋体" w:cs="宋体"/>
          <w:sz w:val="20"/>
          <w:szCs w:val="22"/>
        </w:rPr>
      </w:pPr>
      <w:r>
        <w:rPr>
          <w:rFonts w:hint="eastAsia" w:ascii="宋体" w:hAnsi="宋体" w:cs="宋体"/>
          <w:kern w:val="0"/>
          <w:sz w:val="24"/>
          <w:lang w:val="zh-CN"/>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p w14:paraId="51FA0E36">
      <w:pPr>
        <w:spacing w:line="440" w:lineRule="exact"/>
        <w:ind w:firstLine="482" w:firstLineChars="200"/>
        <w:rPr>
          <w:rFonts w:hint="eastAsia" w:ascii="宋体" w:hAnsi="宋体" w:cs="宋体"/>
          <w:b/>
          <w:sz w:val="24"/>
        </w:rPr>
      </w:pPr>
      <w:r>
        <w:rPr>
          <w:rFonts w:hint="eastAsia" w:ascii="宋体" w:hAnsi="宋体" w:cs="宋体"/>
          <w:b/>
          <w:sz w:val="24"/>
        </w:rPr>
        <w:t>2</w:t>
      </w:r>
      <w:r>
        <w:rPr>
          <w:rFonts w:hint="eastAsia" w:cs="宋体"/>
          <w:b/>
          <w:sz w:val="24"/>
          <w:lang w:val="en-US" w:eastAsia="zh-CN"/>
        </w:rPr>
        <w:t>5</w:t>
      </w:r>
      <w:r>
        <w:rPr>
          <w:rFonts w:hint="eastAsia" w:ascii="宋体" w:hAnsi="宋体" w:cs="宋体"/>
          <w:b/>
          <w:sz w:val="24"/>
        </w:rPr>
        <w:t>. 确定成交单位</w:t>
      </w:r>
    </w:p>
    <w:p w14:paraId="5B0FAD9B">
      <w:pPr>
        <w:spacing w:line="440" w:lineRule="exact"/>
        <w:ind w:firstLine="480" w:firstLineChars="200"/>
        <w:rPr>
          <w:rFonts w:hint="eastAsia" w:ascii="宋体" w:hAnsi="宋体" w:cs="宋体"/>
          <w:sz w:val="20"/>
          <w:szCs w:val="22"/>
        </w:rPr>
      </w:pPr>
      <w:r>
        <w:rPr>
          <w:rFonts w:hint="eastAsia" w:ascii="宋体" w:hAnsi="宋体" w:cs="宋体"/>
          <w:kern w:val="0"/>
          <w:sz w:val="24"/>
        </w:rPr>
        <w:t>采购人应当自成交通知书发出之日起三十日内，按照谈判文件和成交供应商谈判响应文件（包括评审中形成的澄清文件）的约定，与成交供应商签订书面合同。所签订的合同不得对谈判文件和成交供应商的谈判响应文件（包括评审中形成的澄清文件）作实质性修改。</w:t>
      </w:r>
    </w:p>
    <w:p w14:paraId="2FD9C2E0">
      <w:pPr>
        <w:pStyle w:val="5"/>
        <w:keepNext w:val="0"/>
        <w:keepLines w:val="0"/>
        <w:pageBreakBefore w:val="0"/>
        <w:widowControl w:val="0"/>
        <w:kinsoku/>
        <w:wordWrap/>
        <w:overflowPunct/>
        <w:topLinePunct w:val="0"/>
        <w:autoSpaceDE w:val="0"/>
        <w:autoSpaceDN w:val="0"/>
        <w:bidi w:val="0"/>
        <w:adjustRightInd/>
        <w:snapToGrid/>
        <w:spacing w:before="151" w:line="540" w:lineRule="exact"/>
        <w:ind w:left="4049"/>
        <w:textAlignment w:val="auto"/>
      </w:pPr>
      <w:r>
        <w:t>六、授予合同</w:t>
      </w:r>
    </w:p>
    <w:p w14:paraId="2594B5D8">
      <w:pPr>
        <w:pStyle w:val="3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b/>
          <w:sz w:val="24"/>
        </w:rPr>
      </w:pPr>
      <w:r>
        <w:rPr>
          <w:rFonts w:hint="eastAsia"/>
          <w:b/>
          <w:sz w:val="24"/>
          <w:lang w:val="en-US" w:eastAsia="zh-CN"/>
        </w:rPr>
        <w:t xml:space="preserve">22. </w:t>
      </w:r>
      <w:r>
        <w:rPr>
          <w:b/>
          <w:sz w:val="24"/>
        </w:rPr>
        <w:t>成交通知书</w:t>
      </w:r>
    </w:p>
    <w:p w14:paraId="52F6E840">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4" w:after="0" w:line="540" w:lineRule="exact"/>
        <w:ind w:right="-48" w:rightChars="-22" w:firstLine="452" w:firstLineChars="200"/>
        <w:jc w:val="left"/>
        <w:textAlignment w:val="auto"/>
        <w:rPr>
          <w:spacing w:val="-2"/>
          <w:sz w:val="24"/>
        </w:rPr>
      </w:pPr>
      <w:r>
        <w:rPr>
          <w:rFonts w:hint="eastAsia"/>
          <w:spacing w:val="-7"/>
          <w:sz w:val="24"/>
          <w:lang w:val="en-US" w:eastAsia="zh-CN"/>
        </w:rPr>
        <w:t xml:space="preserve">22.1 </w:t>
      </w:r>
      <w:r>
        <w:rPr>
          <w:spacing w:val="-7"/>
          <w:sz w:val="24"/>
        </w:rPr>
        <w:t>采购代理机构在收到采购人的成交复函后，按规定时间向成交人发出成交通</w:t>
      </w:r>
      <w:r>
        <w:rPr>
          <w:sz w:val="24"/>
        </w:rPr>
        <w:t>知书。</w:t>
      </w:r>
      <w:r>
        <w:rPr>
          <w:spacing w:val="-2"/>
          <w:sz w:val="24"/>
        </w:rPr>
        <w:t>成交通知书是合同的组成部分。</w:t>
      </w:r>
    </w:p>
    <w:p w14:paraId="0E8F8E0D">
      <w:pPr>
        <w:spacing w:line="440" w:lineRule="exact"/>
        <w:ind w:firstLine="482" w:firstLineChars="200"/>
        <w:rPr>
          <w:rFonts w:hint="eastAsia" w:ascii="宋体" w:hAnsi="宋体" w:cs="宋体"/>
          <w:b/>
          <w:sz w:val="24"/>
        </w:rPr>
      </w:pPr>
      <w:r>
        <w:rPr>
          <w:rFonts w:hint="eastAsia" w:ascii="宋体" w:hAnsi="宋体" w:cs="宋体"/>
          <w:b/>
          <w:sz w:val="24"/>
        </w:rPr>
        <w:t>23．中标服务费</w:t>
      </w:r>
    </w:p>
    <w:p w14:paraId="6E85AF88">
      <w:pPr>
        <w:shd w:val="clear"/>
        <w:spacing w:line="440" w:lineRule="exact"/>
        <w:ind w:firstLine="480" w:firstLineChars="200"/>
        <w:rPr>
          <w:rFonts w:hint="eastAsia" w:ascii="宋体" w:hAnsi="宋体" w:eastAsia="宋体" w:cs="宋体"/>
          <w:sz w:val="24"/>
          <w:lang w:eastAsia="zh-CN"/>
        </w:rPr>
      </w:pPr>
      <w:r>
        <w:rPr>
          <w:rFonts w:hint="eastAsia" w:ascii="宋体" w:hAnsi="宋体" w:cs="宋体"/>
          <w:sz w:val="24"/>
        </w:rPr>
        <w:t>23.1 招标代理服务费：依据《国家发展改革委关于进一步放开建设项目专业服务价格的通知》（发改价格〔2015〕299 号）文件规定的收取标准及相应的计算办法</w:t>
      </w:r>
      <w:r>
        <w:rPr>
          <w:rFonts w:hint="eastAsia" w:ascii="宋体" w:hAnsi="宋体" w:cs="宋体"/>
          <w:sz w:val="24"/>
          <w:shd w:val="clear" w:color="auto" w:fill="auto"/>
        </w:rPr>
        <w:t>,由</w:t>
      </w:r>
      <w:r>
        <w:rPr>
          <w:rFonts w:hint="eastAsia" w:ascii="宋体" w:hAnsi="宋体" w:cs="宋体"/>
          <w:sz w:val="24"/>
          <w:shd w:val="clear" w:color="auto" w:fill="auto"/>
          <w:lang w:eastAsia="zh-CN"/>
        </w:rPr>
        <w:t>成交供应商（中标人）</w:t>
      </w:r>
      <w:r>
        <w:rPr>
          <w:rFonts w:hint="eastAsia" w:cs="宋体"/>
          <w:sz w:val="24"/>
          <w:shd w:val="clear" w:color="auto" w:fill="auto"/>
          <w:lang w:eastAsia="zh-CN"/>
        </w:rPr>
        <w:t>以</w:t>
      </w:r>
      <w:r>
        <w:rPr>
          <w:rFonts w:hint="eastAsia" w:ascii="宋体" w:hAnsi="宋体" w:cs="宋体"/>
          <w:sz w:val="24"/>
          <w:shd w:val="clear" w:color="auto" w:fill="auto"/>
          <w:lang w:eastAsia="zh-CN"/>
        </w:rPr>
        <w:t>中标金额</w:t>
      </w:r>
      <w:r>
        <w:rPr>
          <w:rFonts w:hint="eastAsia" w:cs="宋体"/>
          <w:sz w:val="24"/>
          <w:shd w:val="clear" w:color="auto" w:fill="auto"/>
          <w:lang w:eastAsia="zh-CN"/>
        </w:rPr>
        <w:t>的</w:t>
      </w:r>
      <w:r>
        <w:rPr>
          <w:rFonts w:hint="eastAsia" w:cs="宋体"/>
          <w:sz w:val="24"/>
          <w:shd w:val="clear" w:color="auto" w:fill="auto"/>
          <w:lang w:val="en-US" w:eastAsia="zh-CN"/>
        </w:rPr>
        <w:t>1.5%</w:t>
      </w:r>
      <w:r>
        <w:rPr>
          <w:rFonts w:hint="eastAsia" w:cs="宋体"/>
          <w:sz w:val="24"/>
          <w:shd w:val="clear" w:color="auto" w:fill="auto"/>
          <w:lang w:eastAsia="zh-CN"/>
        </w:rPr>
        <w:t>为计算基数</w:t>
      </w:r>
      <w:r>
        <w:rPr>
          <w:rFonts w:hint="eastAsia" w:ascii="宋体" w:hAnsi="宋体" w:cs="宋体"/>
          <w:sz w:val="24"/>
          <w:shd w:val="clear" w:color="auto" w:fill="auto"/>
        </w:rPr>
        <w:t>向</w:t>
      </w:r>
      <w:r>
        <w:rPr>
          <w:rFonts w:hint="eastAsia" w:cs="宋体"/>
          <w:sz w:val="24"/>
          <w:shd w:val="clear" w:color="auto" w:fill="auto"/>
          <w:lang w:eastAsia="zh-CN"/>
        </w:rPr>
        <w:t>亿诚建设项目管理有限公司</w:t>
      </w:r>
      <w:r>
        <w:rPr>
          <w:rFonts w:hint="eastAsia" w:ascii="宋体" w:hAnsi="宋体" w:cs="宋体"/>
          <w:sz w:val="24"/>
          <w:shd w:val="clear" w:color="auto" w:fill="auto"/>
        </w:rPr>
        <w:t>缴纳招标代理服务费</w:t>
      </w:r>
      <w:r>
        <w:rPr>
          <w:rFonts w:hint="eastAsia" w:ascii="宋体" w:hAnsi="宋体" w:cs="宋体"/>
          <w:sz w:val="24"/>
          <w:shd w:val="clear" w:color="auto" w:fill="auto"/>
          <w:lang w:eastAsia="zh-CN"/>
        </w:rPr>
        <w:t>。</w:t>
      </w:r>
    </w:p>
    <w:p w14:paraId="2A32EDDF">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pPr>
      <w:r>
        <w:rPr>
          <w:rFonts w:hint="eastAsia"/>
          <w:lang w:val="en-US" w:eastAsia="zh-CN"/>
        </w:rPr>
        <w:t xml:space="preserve">24. </w:t>
      </w:r>
      <w:r>
        <w:t>签订合同</w:t>
      </w:r>
    </w:p>
    <w:p w14:paraId="3B97CE90">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29" w:after="0" w:line="540" w:lineRule="exact"/>
        <w:ind w:right="-48" w:rightChars="-22" w:firstLine="480" w:firstLineChars="200"/>
        <w:jc w:val="both"/>
        <w:textAlignment w:val="auto"/>
        <w:rPr>
          <w:sz w:val="24"/>
        </w:rPr>
      </w:pPr>
      <w:r>
        <w:rPr>
          <w:rFonts w:hint="eastAsia"/>
          <w:sz w:val="24"/>
          <w:lang w:val="en-US" w:eastAsia="zh-CN"/>
        </w:rPr>
        <w:t xml:space="preserve">24.1 </w:t>
      </w:r>
      <w:r>
        <w:rPr>
          <w:sz w:val="24"/>
        </w:rPr>
        <w:t>成交供应商应按《成交通知书》指定的时间、地点与采购人签订合同。</w:t>
      </w:r>
    </w:p>
    <w:p w14:paraId="08DFB02F">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64" w:firstLineChars="200"/>
        <w:jc w:val="both"/>
        <w:textAlignment w:val="auto"/>
        <w:rPr>
          <w:rFonts w:hint="eastAsia" w:eastAsia="宋体"/>
          <w:sz w:val="24"/>
          <w:lang w:eastAsia="zh-CN"/>
        </w:rPr>
      </w:pPr>
      <w:r>
        <w:rPr>
          <w:rFonts w:hint="eastAsia"/>
          <w:spacing w:val="-4"/>
          <w:sz w:val="24"/>
          <w:lang w:val="en-US" w:eastAsia="zh-CN"/>
        </w:rPr>
        <w:t xml:space="preserve">24.2 </w:t>
      </w:r>
      <w:r>
        <w:rPr>
          <w:spacing w:val="-4"/>
          <w:sz w:val="24"/>
        </w:rPr>
        <w:t xml:space="preserve">如果成交供应商没有按照上述第 </w:t>
      </w:r>
      <w:r>
        <w:rPr>
          <w:sz w:val="24"/>
        </w:rPr>
        <w:t>23</w:t>
      </w:r>
      <w:r>
        <w:rPr>
          <w:spacing w:val="-19"/>
          <w:sz w:val="24"/>
        </w:rPr>
        <w:t xml:space="preserve"> </w:t>
      </w:r>
      <w:r>
        <w:rPr>
          <w:spacing w:val="-6"/>
          <w:sz w:val="24"/>
        </w:rPr>
        <w:t>条规定执行，采购单位将</w:t>
      </w:r>
      <w:r>
        <w:rPr>
          <w:spacing w:val="-10"/>
          <w:sz w:val="24"/>
        </w:rPr>
        <w:t>有充分理由取消该成交决定。在此情况下，采购单位可将合同授予综合得分排序名列</w:t>
      </w:r>
      <w:r>
        <w:rPr>
          <w:sz w:val="24"/>
        </w:rPr>
        <w:t>下一个的</w:t>
      </w:r>
      <w:r>
        <w:rPr>
          <w:rFonts w:hint="eastAsia"/>
          <w:sz w:val="24"/>
          <w:lang w:eastAsia="zh-CN"/>
        </w:rPr>
        <w:t>供应商</w:t>
      </w:r>
      <w:r>
        <w:rPr>
          <w:sz w:val="24"/>
        </w:rPr>
        <w:t>，或重新组织采购</w:t>
      </w:r>
      <w:r>
        <w:rPr>
          <w:rFonts w:hint="eastAsia"/>
          <w:sz w:val="24"/>
          <w:lang w:eastAsia="zh-CN"/>
        </w:rPr>
        <w:t>。</w:t>
      </w:r>
    </w:p>
    <w:p w14:paraId="08385B13">
      <w:pPr>
        <w:spacing w:line="440" w:lineRule="exact"/>
        <w:ind w:firstLine="482" w:firstLineChars="200"/>
        <w:rPr>
          <w:rFonts w:hint="eastAsia" w:ascii="宋体" w:hAnsi="宋体" w:cs="宋体"/>
          <w:b/>
          <w:bCs/>
          <w:sz w:val="24"/>
        </w:rPr>
      </w:pPr>
      <w:r>
        <w:rPr>
          <w:rFonts w:hint="eastAsia" w:ascii="宋体" w:hAnsi="宋体" w:cs="宋体"/>
          <w:b/>
          <w:bCs/>
          <w:sz w:val="24"/>
        </w:rPr>
        <w:t>25.质疑</w:t>
      </w:r>
    </w:p>
    <w:p w14:paraId="374AEE3A">
      <w:pPr>
        <w:spacing w:line="440" w:lineRule="exact"/>
        <w:ind w:firstLine="480" w:firstLineChars="200"/>
        <w:rPr>
          <w:rFonts w:hint="eastAsia" w:ascii="宋体" w:hAnsi="宋体" w:cs="宋体"/>
          <w:sz w:val="24"/>
        </w:rPr>
      </w:pPr>
      <w:r>
        <w:rPr>
          <w:rFonts w:hint="eastAsia" w:ascii="宋体" w:hAnsi="宋体" w:cs="宋体"/>
          <w:sz w:val="24"/>
        </w:rPr>
        <w:t>25.1供应商认为谈判文件、谈判过程、成交结果使自己的合法权益受到损害的，可以在法律规定的时间内以书面形式向采购人、招标代理机构提出质疑。</w:t>
      </w:r>
    </w:p>
    <w:p w14:paraId="32310BD3">
      <w:pPr>
        <w:spacing w:line="440" w:lineRule="exact"/>
        <w:ind w:firstLine="480" w:firstLineChars="200"/>
        <w:rPr>
          <w:rFonts w:hint="eastAsia" w:ascii="宋体" w:hAnsi="宋体" w:cs="宋体"/>
          <w:sz w:val="24"/>
        </w:rPr>
      </w:pPr>
      <w:r>
        <w:rPr>
          <w:rFonts w:hint="eastAsia" w:ascii="宋体" w:hAnsi="宋体" w:cs="宋体"/>
          <w:sz w:val="24"/>
        </w:rPr>
        <w:t>25.2提交质疑书需携带以下资料：</w:t>
      </w:r>
    </w:p>
    <w:p w14:paraId="31B09248">
      <w:pPr>
        <w:spacing w:line="440" w:lineRule="exact"/>
        <w:ind w:firstLine="480" w:firstLineChars="200"/>
        <w:rPr>
          <w:rFonts w:hint="eastAsia" w:ascii="宋体" w:hAnsi="宋体" w:cs="宋体"/>
          <w:sz w:val="24"/>
        </w:rPr>
      </w:pPr>
      <w:r>
        <w:rPr>
          <w:rFonts w:hint="eastAsia" w:ascii="宋体" w:hAnsi="宋体" w:cs="宋体"/>
          <w:sz w:val="24"/>
        </w:rPr>
        <w:t>1）加盖公章的营业执照副本复印件；</w:t>
      </w:r>
    </w:p>
    <w:p w14:paraId="69153FEE">
      <w:pPr>
        <w:spacing w:line="440" w:lineRule="exact"/>
        <w:ind w:firstLine="480" w:firstLineChars="200"/>
        <w:rPr>
          <w:rFonts w:hint="eastAsia" w:ascii="宋体" w:hAnsi="宋体" w:cs="宋体"/>
          <w:sz w:val="24"/>
        </w:rPr>
      </w:pPr>
      <w:r>
        <w:rPr>
          <w:rFonts w:hint="eastAsia" w:ascii="宋体" w:hAnsi="宋体" w:cs="宋体"/>
          <w:sz w:val="24"/>
        </w:rPr>
        <w:t>2）法定代表人针对本项目的专项授权书（须经法定代表人签字并加盖法人章和单位公章）及被授权人身份证复印件（查看原件）；法定代表人提交质疑书须提交其身份证复印件（查看原件）。</w:t>
      </w:r>
    </w:p>
    <w:p w14:paraId="60F58D19">
      <w:pPr>
        <w:spacing w:line="440" w:lineRule="exact"/>
        <w:ind w:firstLine="480" w:firstLineChars="200"/>
        <w:rPr>
          <w:rFonts w:hint="eastAsia" w:ascii="宋体" w:hAnsi="宋体" w:cs="宋体"/>
          <w:sz w:val="24"/>
        </w:rPr>
      </w:pPr>
      <w:r>
        <w:rPr>
          <w:rFonts w:hint="eastAsia" w:ascii="宋体" w:hAnsi="宋体" w:cs="宋体"/>
          <w:sz w:val="24"/>
        </w:rPr>
        <w:t>3）质疑书应该包含以下主要内容：</w:t>
      </w:r>
    </w:p>
    <w:p w14:paraId="6121A7CF">
      <w:pPr>
        <w:spacing w:line="440" w:lineRule="exact"/>
        <w:ind w:firstLine="480" w:firstLineChars="200"/>
        <w:rPr>
          <w:rFonts w:hint="eastAsia" w:ascii="宋体" w:hAnsi="宋体" w:cs="宋体"/>
          <w:sz w:val="24"/>
        </w:rPr>
      </w:pPr>
      <w:r>
        <w:rPr>
          <w:rFonts w:hint="eastAsia" w:ascii="宋体" w:hAnsi="宋体" w:cs="宋体"/>
          <w:sz w:val="24"/>
        </w:rPr>
        <w:t>4）质疑供应商的基本情况信息：名称、地址、法定代表人、委托代理人、电话、邮编。</w:t>
      </w:r>
    </w:p>
    <w:p w14:paraId="501CE08B">
      <w:pPr>
        <w:spacing w:line="440" w:lineRule="exact"/>
        <w:ind w:firstLine="480" w:firstLineChars="200"/>
        <w:rPr>
          <w:rFonts w:hint="eastAsia" w:ascii="宋体" w:hAnsi="宋体" w:cs="宋体"/>
          <w:sz w:val="24"/>
        </w:rPr>
      </w:pPr>
      <w:r>
        <w:rPr>
          <w:rFonts w:hint="eastAsia" w:ascii="宋体" w:hAnsi="宋体" w:cs="宋体"/>
          <w:sz w:val="24"/>
        </w:rPr>
        <w:t>5）所质疑的政府采购项目的信息：包含采购人或者招标代理机构名称、项目名称、项目编号。</w:t>
      </w:r>
    </w:p>
    <w:p w14:paraId="328F2F4D">
      <w:pPr>
        <w:spacing w:line="440" w:lineRule="exact"/>
        <w:ind w:firstLine="480" w:firstLineChars="200"/>
        <w:rPr>
          <w:rFonts w:hint="eastAsia" w:ascii="宋体" w:hAnsi="宋体" w:cs="宋体"/>
          <w:sz w:val="24"/>
        </w:rPr>
      </w:pPr>
      <w:r>
        <w:rPr>
          <w:rFonts w:hint="eastAsia" w:ascii="宋体" w:hAnsi="宋体" w:cs="宋体"/>
          <w:sz w:val="24"/>
        </w:rPr>
        <w:t>6）具体的质疑事项。质疑事项不得超出法定范围并且与质疑供应商有利害关系。</w:t>
      </w:r>
    </w:p>
    <w:p w14:paraId="29F959FA">
      <w:pPr>
        <w:spacing w:line="440" w:lineRule="exact"/>
        <w:ind w:firstLine="480" w:firstLineChars="200"/>
        <w:rPr>
          <w:rFonts w:hint="eastAsia" w:ascii="宋体" w:hAnsi="宋体" w:cs="宋体"/>
          <w:sz w:val="24"/>
        </w:rPr>
      </w:pPr>
      <w:r>
        <w:rPr>
          <w:rFonts w:hint="eastAsia" w:ascii="宋体" w:hAnsi="宋体" w:cs="宋体"/>
          <w:sz w:val="24"/>
        </w:rPr>
        <w:t>7）明确、具体的质疑请求。</w:t>
      </w:r>
    </w:p>
    <w:p w14:paraId="4DF14E8F">
      <w:pPr>
        <w:spacing w:line="440" w:lineRule="exact"/>
        <w:ind w:firstLine="480" w:firstLineChars="200"/>
        <w:rPr>
          <w:rFonts w:hint="eastAsia" w:ascii="宋体" w:hAnsi="宋体" w:cs="宋体"/>
          <w:sz w:val="24"/>
        </w:rPr>
      </w:pPr>
      <w:r>
        <w:rPr>
          <w:rFonts w:hint="eastAsia" w:ascii="宋体" w:hAnsi="宋体" w:cs="宋体"/>
          <w:sz w:val="24"/>
        </w:rPr>
        <w:t>8）质疑所依据的事实、理由和法律依据及证明材料。</w:t>
      </w:r>
    </w:p>
    <w:p w14:paraId="62A001E9">
      <w:pPr>
        <w:spacing w:line="440" w:lineRule="exact"/>
        <w:ind w:firstLine="480" w:firstLineChars="200"/>
        <w:rPr>
          <w:rFonts w:hint="eastAsia" w:ascii="宋体" w:hAnsi="宋体" w:cs="宋体"/>
          <w:sz w:val="24"/>
        </w:rPr>
      </w:pPr>
      <w:r>
        <w:rPr>
          <w:rFonts w:hint="eastAsia" w:ascii="宋体" w:hAnsi="宋体" w:cs="宋体"/>
          <w:sz w:val="24"/>
        </w:rPr>
        <w:t>9）质疑书需要加盖质疑供应商公章并经法定代表人签字和盖章。</w:t>
      </w:r>
    </w:p>
    <w:p w14:paraId="30CD0373">
      <w:pPr>
        <w:spacing w:line="440" w:lineRule="exact"/>
        <w:ind w:firstLine="480" w:firstLineChars="200"/>
        <w:rPr>
          <w:rFonts w:hint="eastAsia" w:ascii="宋体" w:hAnsi="宋体" w:cs="宋体"/>
          <w:sz w:val="24"/>
        </w:rPr>
      </w:pPr>
      <w:r>
        <w:rPr>
          <w:rFonts w:hint="eastAsia" w:ascii="宋体" w:hAnsi="宋体" w:cs="宋体"/>
          <w:sz w:val="24"/>
        </w:rPr>
        <w:t>25.3质疑答复</w:t>
      </w:r>
    </w:p>
    <w:p w14:paraId="1F909F96">
      <w:pPr>
        <w:spacing w:line="440" w:lineRule="exact"/>
        <w:ind w:firstLine="480" w:firstLineChars="200"/>
        <w:rPr>
          <w:rFonts w:hint="eastAsia" w:ascii="宋体" w:hAnsi="宋体" w:eastAsia="宋体" w:cs="宋体"/>
          <w:sz w:val="24"/>
        </w:rPr>
      </w:pPr>
      <w:r>
        <w:rPr>
          <w:rFonts w:hint="eastAsia" w:ascii="宋体" w:hAnsi="宋体" w:eastAsia="宋体" w:cs="宋体"/>
          <w:sz w:val="24"/>
        </w:rPr>
        <w:t>采购人或招标代理机构在收到供应商的书面质疑后将按规定的时间进行回复。</w:t>
      </w:r>
    </w:p>
    <w:p w14:paraId="63AA430E">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质疑函递交地址：</w:t>
      </w:r>
      <w:r>
        <w:rPr>
          <w:rFonts w:hint="eastAsia" w:cs="宋体"/>
          <w:sz w:val="24"/>
          <w:lang w:eastAsia="zh-CN"/>
        </w:rPr>
        <w:t>亿诚建设项目管理有限公司石泉分公司</w:t>
      </w:r>
      <w:r>
        <w:rPr>
          <w:rFonts w:hint="eastAsia" w:ascii="宋体" w:hAnsi="宋体" w:eastAsia="宋体" w:cs="宋体"/>
          <w:sz w:val="24"/>
        </w:rPr>
        <w:t>（</w:t>
      </w:r>
      <w:r>
        <w:rPr>
          <w:rFonts w:hint="eastAsia" w:cs="宋体"/>
          <w:sz w:val="24"/>
          <w:lang w:eastAsia="zh-CN"/>
        </w:rPr>
        <w:t>石泉县育才北路</w:t>
      </w:r>
      <w:r>
        <w:rPr>
          <w:rFonts w:hint="eastAsia" w:cs="宋体"/>
          <w:sz w:val="24"/>
          <w:lang w:val="en-US" w:eastAsia="zh-CN"/>
        </w:rPr>
        <w:t>4号</w:t>
      </w:r>
      <w:r>
        <w:rPr>
          <w:rFonts w:hint="eastAsia" w:ascii="宋体" w:hAnsi="宋体" w:eastAsia="宋体" w:cs="宋体"/>
          <w:sz w:val="24"/>
        </w:rPr>
        <w:t>） 联系人：</w:t>
      </w:r>
      <w:r>
        <w:rPr>
          <w:rFonts w:hint="eastAsia" w:cs="宋体"/>
          <w:sz w:val="24"/>
          <w:lang w:eastAsia="zh-CN"/>
        </w:rPr>
        <w:t>肖航</w:t>
      </w:r>
      <w:r>
        <w:rPr>
          <w:rFonts w:hint="eastAsia" w:ascii="宋体" w:hAnsi="宋体" w:eastAsia="宋体" w:cs="宋体"/>
          <w:sz w:val="24"/>
        </w:rPr>
        <w:t xml:space="preserve">      联系电话：</w:t>
      </w:r>
      <w:r>
        <w:rPr>
          <w:rFonts w:hint="eastAsia" w:cs="宋体"/>
          <w:sz w:val="24"/>
          <w:lang w:val="en-US" w:eastAsia="zh-CN"/>
        </w:rPr>
        <w:t>17391332881</w:t>
      </w:r>
      <w:r>
        <w:rPr>
          <w:rFonts w:hint="eastAsia" w:ascii="宋体" w:hAnsi="宋体" w:eastAsia="宋体" w:cs="宋体"/>
          <w:sz w:val="24"/>
        </w:rPr>
        <w:t xml:space="preserve">     邮编：7</w:t>
      </w:r>
      <w:r>
        <w:rPr>
          <w:rFonts w:hint="eastAsia" w:cs="宋体"/>
          <w:sz w:val="24"/>
          <w:lang w:val="en-US" w:eastAsia="zh-CN"/>
        </w:rPr>
        <w:t>25200</w:t>
      </w:r>
    </w:p>
    <w:p w14:paraId="21206FEE">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pPr>
      <w:r>
        <w:rPr>
          <w:rFonts w:hint="eastAsia"/>
          <w:lang w:val="en-US" w:eastAsia="zh-CN"/>
        </w:rPr>
        <w:t xml:space="preserve">26. </w:t>
      </w:r>
      <w:r>
        <w:t>其他</w:t>
      </w:r>
    </w:p>
    <w:p w14:paraId="62816265">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sz w:val="24"/>
        </w:rPr>
      </w:pPr>
      <w:r>
        <w:rPr>
          <w:rFonts w:hint="eastAsia"/>
          <w:sz w:val="24"/>
          <w:lang w:val="en-US" w:eastAsia="zh-CN"/>
        </w:rPr>
        <w:t xml:space="preserve">26.1 </w:t>
      </w:r>
      <w:r>
        <w:rPr>
          <w:sz w:val="24"/>
        </w:rPr>
        <w:t>谈判时，当全部报价均超出预算限额或均低于公认的制作成本时，谈判小</w:t>
      </w:r>
      <w:r>
        <w:rPr>
          <w:spacing w:val="-3"/>
          <w:sz w:val="24"/>
        </w:rPr>
        <w:t>组有权决定是否进行第三次报价或本次竞争性谈判失败。若第三次报价仍超预算，采</w:t>
      </w:r>
      <w:r>
        <w:rPr>
          <w:sz w:val="24"/>
        </w:rPr>
        <w:t>购单位又无力追加，谈判小组可宣布本次竞争性谈判失败。</w:t>
      </w:r>
    </w:p>
    <w:p w14:paraId="03F8D346">
      <w:pPr>
        <w:pStyle w:val="3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50" w:rightChars="0" w:firstLine="480" w:firstLineChars="200"/>
        <w:jc w:val="both"/>
        <w:textAlignment w:val="auto"/>
        <w:rPr>
          <w:sz w:val="24"/>
        </w:rPr>
      </w:pPr>
      <w:r>
        <w:rPr>
          <w:rFonts w:hint="eastAsia"/>
          <w:sz w:val="24"/>
          <w:lang w:val="en-US" w:eastAsia="zh-CN"/>
        </w:rPr>
        <w:t xml:space="preserve">26.2 </w:t>
      </w:r>
      <w:r>
        <w:rPr>
          <w:spacing w:val="-5"/>
          <w:sz w:val="24"/>
        </w:rPr>
        <w:t>谈判响应文件递交截止时间结束后参加谈判的供应商不足三家的，除采购任</w:t>
      </w:r>
      <w:r>
        <w:rPr>
          <w:sz w:val="24"/>
        </w:rPr>
        <w:t>务取消情形外，采购代理机构应取得采购单位同意后，按照以下原则处理：</w:t>
      </w:r>
    </w:p>
    <w:p w14:paraId="02B64EED">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50" w:rightChars="0" w:firstLine="468" w:firstLineChars="200"/>
        <w:jc w:val="left"/>
        <w:textAlignment w:val="auto"/>
        <w:rPr>
          <w:sz w:val="24"/>
        </w:rPr>
      </w:pPr>
      <w:r>
        <w:rPr>
          <w:rFonts w:hint="eastAsia"/>
          <w:spacing w:val="-3"/>
          <w:sz w:val="24"/>
          <w:lang w:eastAsia="zh-CN"/>
        </w:rPr>
        <w:t>（</w:t>
      </w:r>
      <w:r>
        <w:rPr>
          <w:rFonts w:hint="eastAsia"/>
          <w:spacing w:val="-3"/>
          <w:sz w:val="24"/>
          <w:lang w:val="en-US" w:eastAsia="zh-CN"/>
        </w:rPr>
        <w:t>1</w:t>
      </w:r>
      <w:r>
        <w:rPr>
          <w:rFonts w:hint="eastAsia"/>
          <w:spacing w:val="-3"/>
          <w:sz w:val="24"/>
          <w:lang w:eastAsia="zh-CN"/>
        </w:rPr>
        <w:t>）</w:t>
      </w:r>
      <w:r>
        <w:rPr>
          <w:spacing w:val="-3"/>
          <w:sz w:val="24"/>
        </w:rPr>
        <w:t xml:space="preserve">竞争性谈判文件没有不合理条款、竞争性谈判公告时间及程序符合规定的， </w:t>
      </w:r>
      <w:r>
        <w:rPr>
          <w:sz w:val="24"/>
        </w:rPr>
        <w:t>同意继续进行竞争性谈判或改用其它方式采购。</w:t>
      </w:r>
    </w:p>
    <w:p w14:paraId="0BF283A7">
      <w:pPr>
        <w:pStyle w:val="3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50" w:rightChars="0"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竞争性谈判文件存在不合理条款的，谈判程序不符合规定的，应按无效处理，并责成采购代理机构依法重新组织谈判工作。</w:t>
      </w:r>
    </w:p>
    <w:p w14:paraId="7F300D6F">
      <w:pPr>
        <w:pStyle w:val="3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sz w:val="24"/>
        </w:rPr>
      </w:pPr>
      <w:r>
        <w:rPr>
          <w:rFonts w:hint="eastAsia"/>
          <w:sz w:val="24"/>
          <w:lang w:val="en-US" w:eastAsia="zh-CN"/>
        </w:rPr>
        <w:t xml:space="preserve">26.3 </w:t>
      </w:r>
      <w:r>
        <w:rPr>
          <w:sz w:val="24"/>
        </w:rPr>
        <w:t>拒绝商业贿赂</w:t>
      </w:r>
    </w:p>
    <w:p w14:paraId="7DFFFF9C">
      <w:pPr>
        <w:pStyle w:val="9"/>
        <w:keepNext w:val="0"/>
        <w:keepLines w:val="0"/>
        <w:pageBreakBefore w:val="0"/>
        <w:widowControl w:val="0"/>
        <w:kinsoku/>
        <w:wordWrap/>
        <w:overflowPunct/>
        <w:topLinePunct w:val="0"/>
        <w:autoSpaceDE w:val="0"/>
        <w:autoSpaceDN w:val="0"/>
        <w:bidi w:val="0"/>
        <w:adjustRightInd/>
        <w:snapToGrid/>
        <w:spacing w:before="131" w:line="540" w:lineRule="exact"/>
        <w:ind w:right="376" w:firstLine="480" w:firstLineChars="200"/>
        <w:textAlignment w:val="auto"/>
      </w:pPr>
      <w:r>
        <w:t>供应商必须填写一份《拒绝政府采购领域商业贿赂承诺书》（格式见第五章）编制在谈判响应文件中。</w:t>
      </w:r>
    </w:p>
    <w:p w14:paraId="742E2610">
      <w:pPr>
        <w:pStyle w:val="14"/>
      </w:pPr>
    </w:p>
    <w:p w14:paraId="589CEF76">
      <w:pPr>
        <w:pStyle w:val="14"/>
      </w:pPr>
    </w:p>
    <w:p w14:paraId="20210A9F">
      <w:pPr>
        <w:pStyle w:val="14"/>
      </w:pPr>
    </w:p>
    <w:p w14:paraId="3FEA63F7">
      <w:pPr>
        <w:pStyle w:val="14"/>
      </w:pPr>
    </w:p>
    <w:p w14:paraId="1350753C">
      <w:pPr>
        <w:pStyle w:val="14"/>
      </w:pPr>
    </w:p>
    <w:p w14:paraId="4A23DD53">
      <w:pPr>
        <w:pStyle w:val="14"/>
      </w:pPr>
    </w:p>
    <w:p w14:paraId="18B43E0B">
      <w:pPr>
        <w:pStyle w:val="14"/>
      </w:pPr>
    </w:p>
    <w:p w14:paraId="747F0049">
      <w:pPr>
        <w:pStyle w:val="14"/>
      </w:pPr>
    </w:p>
    <w:p w14:paraId="7B2291D8">
      <w:pPr>
        <w:pStyle w:val="14"/>
      </w:pPr>
    </w:p>
    <w:p w14:paraId="4BA07B31">
      <w:pPr>
        <w:pStyle w:val="14"/>
      </w:pPr>
    </w:p>
    <w:p w14:paraId="0E0A6E26">
      <w:pPr>
        <w:pStyle w:val="14"/>
      </w:pPr>
    </w:p>
    <w:p w14:paraId="5F60C726">
      <w:pPr>
        <w:pStyle w:val="14"/>
      </w:pPr>
    </w:p>
    <w:p w14:paraId="4A6F1718">
      <w:pPr>
        <w:pStyle w:val="14"/>
      </w:pPr>
    </w:p>
    <w:p w14:paraId="73DA9647">
      <w:pPr>
        <w:pStyle w:val="14"/>
      </w:pPr>
    </w:p>
    <w:p w14:paraId="37F339DD">
      <w:pPr>
        <w:pStyle w:val="14"/>
      </w:pPr>
    </w:p>
    <w:p w14:paraId="002E2119">
      <w:pPr>
        <w:pStyle w:val="14"/>
      </w:pPr>
    </w:p>
    <w:p w14:paraId="25B7EFB0">
      <w:pPr>
        <w:pStyle w:val="3"/>
        <w:shd w:val="clear"/>
        <w:tabs>
          <w:tab w:val="left" w:pos="1283"/>
        </w:tabs>
        <w:spacing w:before="33"/>
        <w:ind w:left="0" w:right="82"/>
        <w:jc w:val="center"/>
      </w:pPr>
      <w:r>
        <w:t>第三章</w:t>
      </w:r>
      <w:r>
        <w:tab/>
      </w:r>
      <w:r>
        <w:t>采购内容及</w:t>
      </w:r>
      <w:r>
        <w:rPr>
          <w:rFonts w:hint="eastAsia"/>
          <w:lang w:eastAsia="zh-CN"/>
        </w:rPr>
        <w:t>技术</w:t>
      </w:r>
      <w:r>
        <w:t>要求</w:t>
      </w:r>
    </w:p>
    <w:p w14:paraId="29642FD1">
      <w:pPr>
        <w:spacing w:before="133" w:line="220" w:lineRule="auto"/>
        <w:ind w:left="332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rPr>
        <mc:AlternateContent>
          <mc:Choice Requires="wps">
            <w:drawing>
              <wp:anchor distT="0" distB="0" distL="114300" distR="114300" simplePos="0" relativeHeight="251675648" behindDoc="1" locked="0" layoutInCell="1" allowOverlap="1">
                <wp:simplePos x="0" y="0"/>
                <wp:positionH relativeFrom="column">
                  <wp:posOffset>6350</wp:posOffset>
                </wp:positionH>
                <wp:positionV relativeFrom="paragraph">
                  <wp:posOffset>287655</wp:posOffset>
                </wp:positionV>
                <wp:extent cx="5895340" cy="76200"/>
                <wp:effectExtent l="0" t="0" r="0" b="0"/>
                <wp:wrapNone/>
                <wp:docPr id="4" name="任意多边形 4"/>
                <wp:cNvGraphicFramePr/>
                <a:graphic xmlns:a="http://schemas.openxmlformats.org/drawingml/2006/main">
                  <a:graphicData uri="http://schemas.microsoft.com/office/word/2010/wordprocessingShape">
                    <wps:wsp>
                      <wps:cNvSpPr/>
                      <wps:spPr>
                        <a:xfrm flipV="1">
                          <a:off x="0" y="0"/>
                          <a:ext cx="5895340" cy="76200"/>
                        </a:xfrm>
                        <a:custGeom>
                          <a:avLst/>
                          <a:gdLst/>
                          <a:ahLst/>
                          <a:cxnLst/>
                          <a:pathLst>
                            <a:path w="8670" h="10">
                              <a:moveTo>
                                <a:pt x="0" y="5"/>
                              </a:moveTo>
                              <a:lnTo>
                                <a:pt x="5830" y="5"/>
                              </a:lnTo>
                              <a:moveTo>
                                <a:pt x="5830" y="5"/>
                              </a:moveTo>
                              <a:lnTo>
                                <a:pt x="8669" y="5"/>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flip:y;margin-left:0.5pt;margin-top:22.65pt;height:6pt;width:464.2pt;z-index:-251640832;mso-width-relative:page;mso-height-relative:page;" filled="f" stroked="t" coordsize="8670,10" o:gfxdata="UEsDBAoAAAAAAIdO4kAAAAAAAAAAAAAAAAAEAAAAZHJzL1BLAwQUAAAACACHTuJA9BlhydgAAAAH&#10;AQAADwAAAGRycy9kb3ducmV2LnhtbE2Py07DMBBF90j8gzVI7KjTF01DnEogtaqygtIuunPjIY6I&#10;x1Hspu3fM6xgeXVH557JV1fXigH70HhSMB4lIJAqbxqqFew/108piBA1Gd16QgU3DLAq7u9ynRl/&#10;oQ8cdrEWDKGQaQU2xi6TMlQWnQ4j3yFx9+V7pyPHvpam1xeGu1ZOkuRZOt0QL1jd4ZvF6nt3dgpm&#10;+7hNF5vbYF+372l53JT1YV0q9fgwTl5ARLzGv2P41Wd1KNjp5M9kgmg58yeRUfMpCK6Xk+UMxEnB&#10;fDEFWeTyv3/xA1BLAwQUAAAACACHTuJACAz0S14CAAABBQAADgAAAGRycy9lMm9Eb2MueG1srVTN&#10;bhMxEL4j8Q6W72ST5qfpKpseCOWCoFILd8f27lryn2wnm9y5c+eIeAlUwdNQxGMw9u4moeXQA3tY&#10;jT0zn+f7POPF5U5JtOXOC6MLPBoMMeKaGiZ0VeD3t1cv5hj5QDQj0mhe4D33+HL5/NmisTk/M7WR&#10;jDsEINrnjS1wHYLNs8zTmiviB8ZyDc7SOEUCLF2VMUcaQFcyOxsOZ1ljHLPOUO497K5aJ+4Q3VMA&#10;TVkKyleGbhTXoUV1XJIAlHwtrMfLVG1ZchrelaXnAckCA9OQ/nAI2Ov4z5YLkleO2FrQrgTylBIe&#10;cFJEaDj0ALUigaCNE4+glKDOeFOGATUqa4kkRYDFaPhAm5uaWJ64gNTeHkT3/w+Wvt1eOyRYgScY&#10;aaLgwn/e3f36+On+6+ffP77df/+CJlGkxvocYm/stetWHszIeFc6hUop7AfopqQBsEK7JPH+IDHf&#10;BURhczq/mI4noD4F3/kMGiKiZy1MhKMbH15zo6JNtm98aG+I9Rape4vudG9aEuJ2zIkmago8n53D&#10;KTXUNExFKbPltyZFhGN10+70o1fq06jpfAwoUGof2LuPCTbBPQo8BvQpbeB8Nrv4ByIoECtPUhzY&#10;wOapHNpcCSmTHlJHjrPxNCpJYApL6H4wlYWb9LpKlL2RgsWUyNq7av1SOrQlcRLS13H/K8w6H1bE&#10;121ccsUwkisRYOylUFHRQzrJa07YK81Q2FvoHQ1PBo6lKc4wkhxemGglhECEfEoksJYahIgt1zZZ&#10;tNaG7aFTN9aJqoYxHqXqowcmI8nWTXEcvdN1Qjq+XM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BlhydgAAAAHAQAADwAAAAAAAAABACAAAAAiAAAAZHJzL2Rvd25yZXYueG1sUEsBAhQAFAAAAAgA&#10;h07iQAgM9EteAgAAAQUAAA4AAAAAAAAAAQAgAAAAJwEAAGRycy9lMm9Eb2MueG1sUEsFBgAAAAAG&#10;AAYAWQEAAPcFAAAAAA==&#10;" path="m0,5l5830,5m5830,5l8669,5e">
                <v:fill on="f" focussize="0,0"/>
                <v:stroke weight="0.5pt" color="#000000" miterlimit="10" joinstyle="miter"/>
                <v:imagedata o:title=""/>
                <o:lock v:ext="edit" aspectratio="f"/>
              </v:shape>
            </w:pict>
          </mc:Fallback>
        </mc:AlternateContent>
      </w:r>
      <w:r>
        <w:rPr>
          <w:rFonts w:hint="eastAsia" w:asciiTheme="minorEastAsia" w:hAnsiTheme="minorEastAsia" w:eastAsiaTheme="minorEastAsia" w:cstheme="minorEastAsia"/>
          <w:color w:val="auto"/>
          <w:spacing w:val="1"/>
          <w:sz w:val="32"/>
          <w:szCs w:val="32"/>
        </w:rPr>
        <w:t>固体聚合硫酸铁</w:t>
      </w:r>
    </w:p>
    <w:p w14:paraId="6E66B8F7">
      <w:pPr>
        <w:spacing w:line="52" w:lineRule="auto"/>
        <w:rPr>
          <w:rFonts w:hint="eastAsia" w:asciiTheme="minorEastAsia" w:hAnsiTheme="minorEastAsia" w:eastAsiaTheme="minorEastAsia" w:cstheme="minorEastAsia"/>
          <w:color w:val="auto"/>
          <w:sz w:val="2"/>
        </w:rPr>
      </w:pPr>
    </w:p>
    <w:tbl>
      <w:tblPr>
        <w:tblStyle w:val="33"/>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919"/>
      </w:tblGrid>
      <w:tr w14:paraId="32852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360" w:type="dxa"/>
            <w:tcBorders>
              <w:top w:val="nil"/>
            </w:tcBorders>
            <w:vAlign w:val="top"/>
          </w:tcPr>
          <w:p w14:paraId="6D2AC24F">
            <w:pPr>
              <w:pStyle w:val="39"/>
              <w:spacing w:before="124" w:line="220" w:lineRule="auto"/>
              <w:ind w:firstLine="1998" w:firstLineChars="9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项 目</w:t>
            </w:r>
          </w:p>
        </w:tc>
        <w:tc>
          <w:tcPr>
            <w:tcW w:w="4919" w:type="dxa"/>
            <w:tcBorders>
              <w:top w:val="nil"/>
            </w:tcBorders>
            <w:vAlign w:val="center"/>
          </w:tcPr>
          <w:p w14:paraId="75815C14">
            <w:pPr>
              <w:pStyle w:val="39"/>
              <w:spacing w:before="124" w:line="220" w:lineRule="auto"/>
              <w:ind w:left="1086"/>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指标</w:t>
            </w:r>
          </w:p>
        </w:tc>
      </w:tr>
      <w:tr w14:paraId="587F2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4360" w:type="dxa"/>
            <w:vAlign w:val="top"/>
          </w:tcPr>
          <w:p w14:paraId="3A8B0322">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eastAsia="zh-CN"/>
              </w:rPr>
              <w:t>全</w:t>
            </w:r>
            <w:r>
              <w:rPr>
                <w:rFonts w:hint="eastAsia" w:ascii="宋体" w:hAnsi="宋体" w:eastAsia="宋体" w:cs="宋体"/>
                <w:sz w:val="24"/>
                <w:szCs w:val="24"/>
                <w:lang w:val="en-US" w:eastAsia="zh-CN"/>
              </w:rPr>
              <w:t>铁的质量分数W</w:t>
            </w:r>
            <w:r>
              <w:rPr>
                <w:rFonts w:hint="eastAsia" w:ascii="宋体" w:hAnsi="宋体" w:eastAsia="宋体" w:cs="宋体"/>
                <w:sz w:val="24"/>
                <w:szCs w:val="24"/>
                <w:vertAlign w:val="subscript"/>
                <w:lang w:val="en-US" w:eastAsia="zh-CN"/>
              </w:rPr>
              <w:t>1</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w:t>
            </w:r>
          </w:p>
        </w:tc>
        <w:tc>
          <w:tcPr>
            <w:tcW w:w="4919" w:type="dxa"/>
            <w:vAlign w:val="top"/>
          </w:tcPr>
          <w:p w14:paraId="72666836">
            <w:pPr>
              <w:ind w:left="0" w:leftChars="0" w:right="0" w:rightChars="0" w:firstLine="720" w:firstLineChars="300"/>
              <w:jc w:val="both"/>
              <w:rPr>
                <w:rFonts w:hint="eastAsia" w:ascii="宋体" w:hAnsi="宋体" w:eastAsia="宋体" w:cs="宋体"/>
                <w:color w:val="auto"/>
                <w:sz w:val="20"/>
                <w:szCs w:val="20"/>
                <w:lang w:val="en-US" w:eastAsia="zh-CN"/>
              </w:rPr>
            </w:pPr>
            <w:r>
              <w:rPr>
                <w:rFonts w:hint="eastAsia" w:ascii="宋体" w:hAnsi="宋体" w:eastAsia="宋体" w:cs="宋体"/>
                <w:sz w:val="24"/>
                <w:szCs w:val="24"/>
                <w:lang w:val="en-US" w:eastAsia="zh-CN"/>
              </w:rPr>
              <w:t>19.5</w:t>
            </w:r>
          </w:p>
        </w:tc>
      </w:tr>
      <w:tr w14:paraId="075DA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4360" w:type="dxa"/>
            <w:vAlign w:val="top"/>
          </w:tcPr>
          <w:p w14:paraId="74D2937D">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eastAsia="zh-CN"/>
              </w:rPr>
              <w:t>还原</w:t>
            </w:r>
            <w:r>
              <w:rPr>
                <w:rFonts w:hint="eastAsia" w:ascii="宋体" w:hAnsi="宋体" w:eastAsia="宋体" w:cs="宋体"/>
                <w:sz w:val="24"/>
                <w:szCs w:val="24"/>
                <w:lang w:val="en-US" w:eastAsia="zh-CN"/>
              </w:rPr>
              <w:t>性</w:t>
            </w:r>
            <w:r>
              <w:rPr>
                <w:rFonts w:hint="eastAsia" w:ascii="宋体" w:hAnsi="宋体" w:eastAsia="宋体" w:cs="宋体"/>
                <w:sz w:val="24"/>
                <w:szCs w:val="24"/>
                <w:lang w:eastAsia="zh-CN"/>
              </w:rPr>
              <w:t>物质（以</w:t>
            </w:r>
            <w:r>
              <w:rPr>
                <w:rFonts w:hint="eastAsia" w:ascii="宋体" w:hAnsi="宋体" w:eastAsia="宋体" w:cs="宋体"/>
                <w:sz w:val="24"/>
                <w:szCs w:val="24"/>
                <w:lang w:val="en-US" w:eastAsia="zh-CN"/>
              </w:rPr>
              <w:t>Fe</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的质量分数W</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w:t>
            </w:r>
          </w:p>
        </w:tc>
        <w:tc>
          <w:tcPr>
            <w:tcW w:w="4919" w:type="dxa"/>
            <w:vAlign w:val="top"/>
          </w:tcPr>
          <w:p w14:paraId="63AB7F40">
            <w:pPr>
              <w:ind w:left="0" w:leftChars="0" w:right="0" w:rightChars="0" w:firstLine="720" w:firstLineChars="300"/>
              <w:rPr>
                <w:rFonts w:hint="eastAsia" w:ascii="宋体" w:hAnsi="宋体" w:eastAsia="宋体" w:cs="宋体"/>
                <w:color w:val="auto"/>
                <w:sz w:val="20"/>
                <w:szCs w:val="20"/>
                <w:lang w:val="en-US" w:eastAsia="zh-CN"/>
              </w:rPr>
            </w:pPr>
            <w:r>
              <w:rPr>
                <w:rFonts w:hint="eastAsia" w:ascii="宋体" w:hAnsi="宋体" w:eastAsia="宋体" w:cs="宋体"/>
                <w:sz w:val="24"/>
                <w:szCs w:val="24"/>
                <w:lang w:val="en-US" w:eastAsia="zh-CN"/>
              </w:rPr>
              <w:t>0.15</w:t>
            </w:r>
          </w:p>
        </w:tc>
      </w:tr>
      <w:tr w14:paraId="6208D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360" w:type="dxa"/>
            <w:vAlign w:val="top"/>
          </w:tcPr>
          <w:p w14:paraId="7AD2BB3C">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eastAsia="zh-CN"/>
              </w:rPr>
              <w:t>盐基度</w:t>
            </w:r>
            <w:r>
              <w:rPr>
                <w:rFonts w:hint="eastAsia" w:ascii="宋体" w:hAnsi="宋体" w:eastAsia="宋体" w:cs="宋体"/>
                <w:sz w:val="24"/>
                <w:szCs w:val="24"/>
                <w:lang w:val="en-US" w:eastAsia="zh-CN"/>
              </w:rPr>
              <w:t>W</w:t>
            </w:r>
            <w:r>
              <w:rPr>
                <w:rFonts w:hint="eastAsia" w:ascii="宋体" w:hAnsi="宋体" w:eastAsia="宋体" w:cs="宋体"/>
                <w:sz w:val="24"/>
                <w:szCs w:val="24"/>
                <w:vertAlign w:val="subscript"/>
                <w:lang w:val="en-US" w:eastAsia="zh-CN"/>
              </w:rPr>
              <w:t>3</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rPr>
              <w:t>%</w:t>
            </w:r>
          </w:p>
        </w:tc>
        <w:tc>
          <w:tcPr>
            <w:tcW w:w="4919" w:type="dxa"/>
            <w:vAlign w:val="top"/>
          </w:tcPr>
          <w:p w14:paraId="5E3537B8">
            <w:pPr>
              <w:ind w:left="0" w:leftChars="0" w:right="0" w:rightChars="0" w:firstLine="720" w:firstLineChars="300"/>
              <w:rPr>
                <w:rFonts w:hint="eastAsia" w:ascii="宋体" w:hAnsi="宋体" w:eastAsia="宋体" w:cs="宋体"/>
                <w:color w:val="auto"/>
                <w:sz w:val="20"/>
                <w:szCs w:val="20"/>
              </w:rPr>
            </w:pPr>
            <w:r>
              <w:rPr>
                <w:rFonts w:hint="eastAsia" w:ascii="宋体" w:hAnsi="宋体" w:eastAsia="宋体" w:cs="宋体"/>
                <w:sz w:val="24"/>
                <w:szCs w:val="24"/>
                <w:lang w:val="en-US" w:eastAsia="zh-CN"/>
              </w:rPr>
              <w:t>8.0-16.0</w:t>
            </w:r>
          </w:p>
        </w:tc>
      </w:tr>
      <w:tr w14:paraId="040BA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360" w:type="dxa"/>
            <w:vAlign w:val="top"/>
          </w:tcPr>
          <w:p w14:paraId="3C723852">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val="en-US" w:eastAsia="zh-CN"/>
              </w:rPr>
              <w:t>PH值（10g/L水溶液）</w:t>
            </w:r>
          </w:p>
        </w:tc>
        <w:tc>
          <w:tcPr>
            <w:tcW w:w="4919" w:type="dxa"/>
            <w:vAlign w:val="top"/>
          </w:tcPr>
          <w:p w14:paraId="22011133">
            <w:pPr>
              <w:ind w:left="0" w:leftChars="0" w:right="0" w:rightChars="0" w:firstLine="720" w:firstLineChars="300"/>
              <w:rPr>
                <w:rFonts w:hint="eastAsia" w:ascii="宋体" w:hAnsi="宋体" w:eastAsia="宋体" w:cs="宋体"/>
                <w:color w:val="auto"/>
                <w:sz w:val="20"/>
                <w:szCs w:val="20"/>
              </w:rPr>
            </w:pPr>
            <w:r>
              <w:rPr>
                <w:rFonts w:hint="eastAsia" w:ascii="宋体" w:hAnsi="宋体" w:eastAsia="宋体" w:cs="宋体"/>
                <w:sz w:val="24"/>
                <w:szCs w:val="24"/>
                <w:lang w:val="en-US" w:eastAsia="zh-CN"/>
              </w:rPr>
              <w:t>1.5-3.0</w:t>
            </w:r>
          </w:p>
        </w:tc>
      </w:tr>
      <w:tr w14:paraId="176C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360" w:type="dxa"/>
            <w:vAlign w:val="top"/>
          </w:tcPr>
          <w:p w14:paraId="4AEB8993">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val="en-US" w:eastAsia="zh-CN"/>
              </w:rPr>
              <w:t>砷（As）的质量分数W</w:t>
            </w:r>
            <w:r>
              <w:rPr>
                <w:rFonts w:hint="eastAsia" w:ascii="宋体" w:hAnsi="宋体" w:eastAsia="宋体" w:cs="宋体"/>
                <w:sz w:val="24"/>
                <w:szCs w:val="24"/>
                <w:vertAlign w:val="subscript"/>
                <w:lang w:val="en-US" w:eastAsia="zh-CN"/>
              </w:rPr>
              <w:t>5</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tc>
        <w:tc>
          <w:tcPr>
            <w:tcW w:w="4919" w:type="dxa"/>
            <w:vAlign w:val="top"/>
          </w:tcPr>
          <w:p w14:paraId="02C2EB06">
            <w:pPr>
              <w:ind w:left="0" w:leftChars="0" w:right="0" w:rightChars="0" w:firstLine="720" w:firstLineChars="300"/>
              <w:rPr>
                <w:rFonts w:hint="eastAsia" w:ascii="宋体" w:hAnsi="宋体" w:eastAsia="宋体" w:cs="宋体"/>
                <w:color w:val="auto"/>
                <w:sz w:val="20"/>
                <w:szCs w:val="20"/>
                <w:lang w:val="en-US" w:eastAsia="zh-CN"/>
              </w:rPr>
            </w:pPr>
            <w:r>
              <w:rPr>
                <w:rFonts w:hint="eastAsia" w:ascii="宋体" w:hAnsi="宋体" w:eastAsia="宋体" w:cs="宋体"/>
                <w:sz w:val="24"/>
                <w:szCs w:val="24"/>
                <w:lang w:val="en-US" w:eastAsia="zh-CN"/>
              </w:rPr>
              <w:t>0.0002</w:t>
            </w:r>
          </w:p>
        </w:tc>
      </w:tr>
      <w:tr w14:paraId="61EDE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360" w:type="dxa"/>
            <w:vAlign w:val="top"/>
          </w:tcPr>
          <w:p w14:paraId="354D8C73">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val="en-US" w:eastAsia="zh-CN"/>
              </w:rPr>
              <w:t>铅（Pb）的质量分数W</w:t>
            </w:r>
            <w:r>
              <w:rPr>
                <w:rFonts w:hint="eastAsia" w:ascii="宋体" w:hAnsi="宋体" w:eastAsia="宋体" w:cs="宋体"/>
                <w:sz w:val="24"/>
                <w:szCs w:val="24"/>
                <w:vertAlign w:val="subscript"/>
                <w:lang w:val="en-US" w:eastAsia="zh-CN"/>
              </w:rPr>
              <w:t>6</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tc>
        <w:tc>
          <w:tcPr>
            <w:tcW w:w="4919" w:type="dxa"/>
            <w:vAlign w:val="top"/>
          </w:tcPr>
          <w:p w14:paraId="633B64BF">
            <w:pPr>
              <w:ind w:left="0" w:leftChars="0" w:right="0" w:rightChars="0" w:firstLine="720" w:firstLineChars="300"/>
              <w:rPr>
                <w:rFonts w:hint="eastAsia" w:ascii="宋体" w:hAnsi="宋体" w:eastAsia="宋体" w:cs="宋体"/>
                <w:color w:val="auto"/>
                <w:sz w:val="20"/>
                <w:szCs w:val="20"/>
              </w:rPr>
            </w:pPr>
            <w:r>
              <w:rPr>
                <w:rFonts w:hint="eastAsia" w:ascii="宋体" w:hAnsi="宋体" w:eastAsia="宋体" w:cs="宋体"/>
                <w:sz w:val="24"/>
                <w:szCs w:val="24"/>
                <w:lang w:val="en-US" w:eastAsia="zh-CN"/>
              </w:rPr>
              <w:t>0.0004</w:t>
            </w:r>
          </w:p>
        </w:tc>
      </w:tr>
      <w:tr w14:paraId="54FB5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360" w:type="dxa"/>
            <w:vAlign w:val="top"/>
          </w:tcPr>
          <w:p w14:paraId="62CECFB7">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val="en-US" w:eastAsia="zh-CN"/>
              </w:rPr>
              <w:t>不溶物的质量分数W</w:t>
            </w:r>
            <w:r>
              <w:rPr>
                <w:rFonts w:hint="eastAsia" w:ascii="宋体" w:hAnsi="宋体" w:eastAsia="宋体" w:cs="宋体"/>
                <w:sz w:val="24"/>
                <w:szCs w:val="24"/>
                <w:vertAlign w:val="subscript"/>
                <w:lang w:val="en-US" w:eastAsia="zh-CN"/>
              </w:rPr>
              <w:t>4</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tc>
        <w:tc>
          <w:tcPr>
            <w:tcW w:w="4919" w:type="dxa"/>
            <w:vAlign w:val="top"/>
          </w:tcPr>
          <w:p w14:paraId="20D16A28">
            <w:pPr>
              <w:ind w:left="0" w:leftChars="0" w:right="0" w:rightChars="0" w:firstLine="720" w:firstLineChars="300"/>
              <w:rPr>
                <w:rFonts w:hint="eastAsia" w:ascii="宋体" w:hAnsi="宋体" w:eastAsia="宋体" w:cs="宋体"/>
                <w:color w:val="auto"/>
                <w:sz w:val="20"/>
                <w:szCs w:val="20"/>
              </w:rPr>
            </w:pPr>
            <w:r>
              <w:rPr>
                <w:rFonts w:hint="eastAsia" w:ascii="宋体" w:hAnsi="宋体" w:eastAsia="宋体" w:cs="宋体"/>
                <w:sz w:val="24"/>
                <w:szCs w:val="24"/>
                <w:lang w:val="en-US" w:eastAsia="zh-CN"/>
              </w:rPr>
              <w:t>0.4</w:t>
            </w:r>
          </w:p>
        </w:tc>
      </w:tr>
      <w:tr w14:paraId="453E3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360" w:type="dxa"/>
            <w:vAlign w:val="top"/>
          </w:tcPr>
          <w:p w14:paraId="63C19CFA">
            <w:pPr>
              <w:pStyle w:val="39"/>
              <w:spacing w:before="131" w:line="219" w:lineRule="auto"/>
              <w:ind w:left="1504"/>
              <w:rPr>
                <w:rFonts w:hint="eastAsia" w:asciiTheme="minorEastAsia" w:hAnsiTheme="minorEastAsia" w:eastAsiaTheme="minorEastAsia" w:cstheme="minorEastAsia"/>
                <w:color w:val="auto"/>
                <w:spacing w:val="3"/>
              </w:rPr>
            </w:pPr>
            <w:r>
              <w:rPr>
                <w:rFonts w:hint="eastAsia" w:asciiTheme="minorEastAsia" w:hAnsiTheme="minorEastAsia" w:eastAsiaTheme="minorEastAsia" w:cstheme="minorEastAsia"/>
                <w:color w:val="auto"/>
                <w:spacing w:val="3"/>
                <w:lang w:eastAsia="zh-CN"/>
              </w:rPr>
              <w:t>数量</w:t>
            </w:r>
          </w:p>
        </w:tc>
        <w:tc>
          <w:tcPr>
            <w:tcW w:w="4919" w:type="dxa"/>
            <w:vAlign w:val="center"/>
          </w:tcPr>
          <w:p w14:paraId="7903E55D">
            <w:pPr>
              <w:pStyle w:val="39"/>
              <w:spacing w:before="131" w:line="219" w:lineRule="auto"/>
              <w:jc w:val="center"/>
              <w:rPr>
                <w:rFonts w:hint="eastAsia" w:asciiTheme="minorEastAsia" w:hAnsiTheme="minorEastAsia" w:eastAsiaTheme="minorEastAsia" w:cstheme="minorEastAsia"/>
                <w:color w:val="auto"/>
                <w:spacing w:val="3"/>
              </w:rPr>
            </w:pPr>
            <w:r>
              <w:rPr>
                <w:rFonts w:hint="eastAsia" w:asciiTheme="minorEastAsia" w:hAnsiTheme="minorEastAsia" w:eastAsiaTheme="minorEastAsia" w:cstheme="minorEastAsia"/>
                <w:color w:val="auto"/>
                <w:spacing w:val="3"/>
                <w:lang w:val="en-US" w:eastAsia="zh-CN"/>
              </w:rPr>
              <w:t>400吨</w:t>
            </w:r>
          </w:p>
        </w:tc>
      </w:tr>
      <w:tr w14:paraId="5E6C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360" w:type="dxa"/>
            <w:vAlign w:val="top"/>
          </w:tcPr>
          <w:p w14:paraId="26A03752">
            <w:pPr>
              <w:pStyle w:val="39"/>
              <w:spacing w:before="128" w:line="220" w:lineRule="auto"/>
              <w:ind w:firstLine="1476" w:firstLineChars="600"/>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val="en-US" w:eastAsia="zh-CN"/>
              </w:rPr>
              <w:t>执行标准</w:t>
            </w:r>
          </w:p>
        </w:tc>
        <w:tc>
          <w:tcPr>
            <w:tcW w:w="4919" w:type="dxa"/>
            <w:vAlign w:val="center"/>
          </w:tcPr>
          <w:p w14:paraId="6F055584">
            <w:pPr>
              <w:pStyle w:val="39"/>
              <w:spacing w:before="128" w:line="220" w:lineRule="auto"/>
              <w:jc w:val="center"/>
              <w:rPr>
                <w:rFonts w:hint="eastAsia" w:asciiTheme="minorEastAsia" w:hAnsiTheme="minorEastAsia" w:eastAsiaTheme="minorEastAsia" w:cstheme="minorEastAsia"/>
                <w:color w:val="auto"/>
                <w:spacing w:val="3"/>
                <w:lang w:val="en-US" w:eastAsia="zh-CN"/>
              </w:rPr>
            </w:pPr>
            <w:r>
              <w:rPr>
                <w:rFonts w:hint="eastAsia" w:asciiTheme="minorEastAsia" w:hAnsiTheme="minorEastAsia" w:eastAsiaTheme="minorEastAsia" w:cstheme="minorEastAsia"/>
                <w:color w:val="auto"/>
                <w:spacing w:val="3"/>
                <w:lang w:val="en-US" w:eastAsia="zh-CN"/>
              </w:rPr>
              <w:t>GB/T14591-2016</w:t>
            </w:r>
          </w:p>
        </w:tc>
      </w:tr>
    </w:tbl>
    <w:p w14:paraId="0EB3975B">
      <w:pPr>
        <w:spacing w:before="104" w:line="222" w:lineRule="auto"/>
        <w:ind w:left="304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8"/>
          <w:sz w:val="32"/>
          <w:szCs w:val="32"/>
        </w:rPr>
        <w:t>阳离子聚丙烯酰胺</w:t>
      </w:r>
    </w:p>
    <w:tbl>
      <w:tblPr>
        <w:tblStyle w:val="33"/>
        <w:tblW w:w="9199"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6"/>
        <w:gridCol w:w="6033"/>
      </w:tblGrid>
      <w:tr w14:paraId="10E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3166" w:type="dxa"/>
            <w:vAlign w:val="top"/>
          </w:tcPr>
          <w:p w14:paraId="3FE25E88">
            <w:pPr>
              <w:pStyle w:val="39"/>
              <w:spacing w:before="189" w:line="220" w:lineRule="auto"/>
              <w:ind w:left="17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项 目</w:t>
            </w:r>
          </w:p>
        </w:tc>
        <w:tc>
          <w:tcPr>
            <w:tcW w:w="6033" w:type="dxa"/>
            <w:vAlign w:val="top"/>
          </w:tcPr>
          <w:p w14:paraId="7414EBB6">
            <w:pPr>
              <w:pStyle w:val="39"/>
              <w:spacing w:before="189" w:line="220" w:lineRule="auto"/>
              <w:ind w:left="18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指标</w:t>
            </w:r>
          </w:p>
        </w:tc>
      </w:tr>
      <w:tr w14:paraId="0B64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166" w:type="dxa"/>
            <w:vAlign w:val="center"/>
          </w:tcPr>
          <w:p w14:paraId="58B118C4">
            <w:pPr>
              <w:pStyle w:val="39"/>
              <w:spacing w:before="126" w:line="220" w:lineRule="auto"/>
              <w:ind w:left="1765"/>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外观</w:t>
            </w:r>
          </w:p>
        </w:tc>
        <w:tc>
          <w:tcPr>
            <w:tcW w:w="6033" w:type="dxa"/>
            <w:vAlign w:val="top"/>
          </w:tcPr>
          <w:p w14:paraId="39F0BB2C">
            <w:pPr>
              <w:pStyle w:val="39"/>
              <w:spacing w:before="126" w:line="220" w:lineRule="auto"/>
              <w:ind w:left="1554"/>
              <w:rPr>
                <w:rFonts w:hint="eastAsia" w:ascii="宋体" w:hAnsi="宋体" w:eastAsia="宋体" w:cs="宋体"/>
                <w:color w:val="auto"/>
                <w:sz w:val="20"/>
                <w:szCs w:val="20"/>
              </w:rPr>
            </w:pPr>
            <w:r>
              <w:rPr>
                <w:rFonts w:hint="eastAsia" w:ascii="宋体" w:hAnsi="宋体" w:eastAsia="宋体" w:cs="宋体"/>
                <w:color w:val="auto"/>
                <w:spacing w:val="2"/>
                <w:sz w:val="20"/>
                <w:szCs w:val="20"/>
              </w:rPr>
              <w:t>白色颗粒</w:t>
            </w:r>
          </w:p>
        </w:tc>
      </w:tr>
      <w:tr w14:paraId="6B974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166" w:type="dxa"/>
            <w:vAlign w:val="center"/>
          </w:tcPr>
          <w:p w14:paraId="25260DDE">
            <w:pPr>
              <w:pStyle w:val="39"/>
              <w:spacing w:before="126" w:line="219" w:lineRule="auto"/>
              <w:jc w:val="center"/>
              <w:rPr>
                <w:rFonts w:hint="eastAsia" w:ascii="宋体" w:hAnsi="宋体" w:eastAsia="宋体" w:cs="宋体"/>
                <w:color w:val="auto"/>
                <w:sz w:val="20"/>
                <w:szCs w:val="20"/>
              </w:rPr>
            </w:pPr>
            <w:r>
              <w:rPr>
                <w:rFonts w:hint="eastAsia" w:ascii="宋体" w:hAnsi="宋体" w:eastAsia="宋体" w:cs="宋体"/>
                <w:sz w:val="22"/>
                <w:szCs w:val="22"/>
              </w:rPr>
              <w:t>固含量（固体）</w:t>
            </w:r>
            <w:r>
              <w:rPr>
                <w:rFonts w:hint="eastAsia" w:ascii="宋体" w:hAnsi="宋体" w:eastAsia="宋体" w:cs="宋体"/>
                <w:sz w:val="22"/>
                <w:szCs w:val="22"/>
                <w:lang w:val="en-US" w:eastAsia="zh-CN"/>
              </w:rPr>
              <w:t>, W</w:t>
            </w:r>
            <w:r>
              <w:rPr>
                <w:rFonts w:hint="eastAsia" w:ascii="宋体" w:hAnsi="宋体" w:eastAsia="宋体" w:cs="宋体"/>
                <w:sz w:val="22"/>
                <w:szCs w:val="22"/>
                <w:vertAlign w:val="subscript"/>
                <w:lang w:val="en-US" w:eastAsia="zh-CN"/>
              </w:rPr>
              <w:t>1/</w:t>
            </w:r>
            <w:r>
              <w:rPr>
                <w:rFonts w:hint="eastAsia" w:ascii="宋体" w:hAnsi="宋体" w:eastAsia="宋体" w:cs="宋体"/>
                <w:sz w:val="22"/>
                <w:szCs w:val="22"/>
              </w:rPr>
              <w:t>%</w:t>
            </w:r>
          </w:p>
        </w:tc>
        <w:tc>
          <w:tcPr>
            <w:tcW w:w="6033" w:type="dxa"/>
            <w:vAlign w:val="top"/>
          </w:tcPr>
          <w:p w14:paraId="4BCD6DA6">
            <w:pPr>
              <w:pStyle w:val="39"/>
              <w:spacing w:before="157" w:line="220" w:lineRule="auto"/>
              <w:ind w:left="1874"/>
              <w:rPr>
                <w:rFonts w:hint="eastAsia" w:ascii="宋体" w:hAnsi="宋体" w:eastAsia="宋体" w:cs="宋体"/>
                <w:color w:val="auto"/>
                <w:sz w:val="20"/>
                <w:szCs w:val="20"/>
              </w:rPr>
            </w:pPr>
            <w:r>
              <w:rPr>
                <w:rFonts w:hint="eastAsia" w:ascii="宋体" w:hAnsi="宋体" w:eastAsia="宋体" w:cs="宋体"/>
                <w:sz w:val="22"/>
                <w:szCs w:val="22"/>
                <w:lang w:val="en-US" w:eastAsia="zh-CN"/>
              </w:rPr>
              <w:t>W</w:t>
            </w:r>
            <w:r>
              <w:rPr>
                <w:rFonts w:hint="eastAsia" w:ascii="宋体" w:hAnsi="宋体" w:eastAsia="宋体" w:cs="宋体"/>
                <w:sz w:val="22"/>
                <w:szCs w:val="22"/>
                <w:vertAlign w:val="subscript"/>
                <w:lang w:val="en-US" w:eastAsia="zh-CN"/>
              </w:rPr>
              <w:t>1</w:t>
            </w:r>
            <w:r>
              <w:rPr>
                <w:rFonts w:hint="eastAsia" w:ascii="宋体" w:hAnsi="宋体" w:eastAsia="宋体" w:cs="宋体"/>
                <w:sz w:val="22"/>
                <w:szCs w:val="22"/>
                <w:lang w:val="en-US" w:eastAsia="zh-CN"/>
              </w:rPr>
              <w:t>≥88</w:t>
            </w:r>
          </w:p>
        </w:tc>
      </w:tr>
      <w:tr w14:paraId="76DD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166" w:type="dxa"/>
            <w:vAlign w:val="center"/>
          </w:tcPr>
          <w:p w14:paraId="47D0ED1E">
            <w:pPr>
              <w:pStyle w:val="39"/>
              <w:spacing w:before="128" w:line="220" w:lineRule="auto"/>
              <w:jc w:val="center"/>
              <w:rPr>
                <w:rFonts w:hint="eastAsia" w:ascii="宋体" w:hAnsi="宋体" w:eastAsia="宋体" w:cs="宋体"/>
                <w:color w:val="auto"/>
                <w:sz w:val="20"/>
                <w:szCs w:val="20"/>
              </w:rPr>
            </w:pPr>
            <w:r>
              <w:rPr>
                <w:rFonts w:hint="eastAsia" w:ascii="宋体" w:hAnsi="宋体" w:eastAsia="宋体" w:cs="宋体"/>
                <w:sz w:val="22"/>
                <w:szCs w:val="22"/>
                <w:lang w:val="en-US" w:eastAsia="zh-CN"/>
              </w:rPr>
              <w:t>相对分子量,M</w:t>
            </w:r>
          </w:p>
        </w:tc>
        <w:tc>
          <w:tcPr>
            <w:tcW w:w="6033" w:type="dxa"/>
            <w:vAlign w:val="top"/>
          </w:tcPr>
          <w:p w14:paraId="3C9CC687">
            <w:pPr>
              <w:pStyle w:val="39"/>
              <w:spacing w:before="159" w:line="225" w:lineRule="auto"/>
              <w:ind w:left="1395"/>
              <w:rPr>
                <w:rFonts w:hint="eastAsia" w:ascii="宋体" w:hAnsi="宋体" w:eastAsia="宋体" w:cs="宋体"/>
                <w:color w:val="auto"/>
                <w:sz w:val="20"/>
                <w:szCs w:val="20"/>
              </w:rPr>
            </w:pPr>
            <w:r>
              <w:rPr>
                <w:rFonts w:hint="eastAsia" w:ascii="宋体" w:hAnsi="宋体" w:eastAsia="宋体" w:cs="宋体"/>
                <w:sz w:val="22"/>
                <w:szCs w:val="22"/>
                <w:lang w:val="en-US" w:eastAsia="zh-CN"/>
              </w:rPr>
              <w:t>M≥100×10</w:t>
            </w:r>
            <w:r>
              <w:rPr>
                <w:rFonts w:hint="eastAsia" w:ascii="宋体" w:hAnsi="宋体" w:eastAsia="宋体" w:cs="宋体"/>
                <w:sz w:val="22"/>
                <w:szCs w:val="22"/>
                <w:vertAlign w:val="superscript"/>
                <w:lang w:val="en-US" w:eastAsia="zh-CN"/>
              </w:rPr>
              <w:t>4</w:t>
            </w:r>
          </w:p>
        </w:tc>
      </w:tr>
      <w:tr w14:paraId="360B5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166" w:type="dxa"/>
            <w:vAlign w:val="center"/>
          </w:tcPr>
          <w:p w14:paraId="38DB565C">
            <w:pPr>
              <w:pStyle w:val="39"/>
              <w:spacing w:before="128" w:line="219" w:lineRule="auto"/>
              <w:ind w:firstLine="220" w:firstLineChars="100"/>
              <w:jc w:val="center"/>
              <w:rPr>
                <w:rFonts w:hint="eastAsia" w:ascii="宋体" w:hAnsi="宋体" w:eastAsia="宋体" w:cs="宋体"/>
                <w:color w:val="auto"/>
                <w:sz w:val="20"/>
                <w:szCs w:val="20"/>
              </w:rPr>
            </w:pPr>
            <w:r>
              <w:rPr>
                <w:rFonts w:hint="eastAsia" w:ascii="宋体" w:hAnsi="宋体" w:eastAsia="宋体" w:cs="宋体"/>
                <w:sz w:val="22"/>
                <w:szCs w:val="22"/>
                <w:lang w:val="en-US" w:eastAsia="zh-CN"/>
              </w:rPr>
              <w:t>水不溶物, W</w:t>
            </w:r>
            <w:r>
              <w:rPr>
                <w:rFonts w:hint="eastAsia" w:ascii="宋体" w:hAnsi="宋体" w:eastAsia="宋体" w:cs="宋体"/>
                <w:sz w:val="22"/>
                <w:szCs w:val="22"/>
                <w:vertAlign w:val="subscript"/>
                <w:lang w:val="en-US" w:eastAsia="zh-CN"/>
              </w:rPr>
              <w:t>3</w:t>
            </w:r>
            <w:r>
              <w:rPr>
                <w:rFonts w:hint="eastAsia" w:ascii="宋体" w:hAnsi="宋体" w:eastAsia="宋体" w:cs="宋体"/>
                <w:sz w:val="22"/>
                <w:szCs w:val="22"/>
                <w:vertAlign w:val="baseline"/>
                <w:lang w:val="en-US" w:eastAsia="zh-CN"/>
              </w:rPr>
              <w:t>/</w:t>
            </w:r>
            <w:r>
              <w:rPr>
                <w:rFonts w:hint="eastAsia" w:ascii="宋体" w:hAnsi="宋体" w:eastAsia="宋体" w:cs="宋体"/>
                <w:kern w:val="2"/>
                <w:sz w:val="22"/>
                <w:szCs w:val="22"/>
                <w:lang w:val="en-US" w:eastAsia="zh-CN" w:bidi="ar-SA"/>
              </w:rPr>
              <w:t>%</w:t>
            </w:r>
          </w:p>
        </w:tc>
        <w:tc>
          <w:tcPr>
            <w:tcW w:w="6033" w:type="dxa"/>
            <w:vAlign w:val="top"/>
          </w:tcPr>
          <w:p w14:paraId="6D7A5895">
            <w:pPr>
              <w:pStyle w:val="39"/>
              <w:spacing w:before="155" w:line="221" w:lineRule="auto"/>
              <w:ind w:left="1794"/>
              <w:rPr>
                <w:rFonts w:hint="eastAsia" w:ascii="宋体" w:hAnsi="宋体" w:eastAsia="宋体" w:cs="宋体"/>
                <w:color w:val="auto"/>
                <w:sz w:val="20"/>
                <w:szCs w:val="20"/>
              </w:rPr>
            </w:pPr>
            <w:r>
              <w:rPr>
                <w:rFonts w:hint="eastAsia" w:ascii="宋体" w:hAnsi="宋体" w:eastAsia="宋体" w:cs="宋体"/>
                <w:sz w:val="22"/>
                <w:szCs w:val="22"/>
                <w:lang w:val="en-US" w:eastAsia="zh-CN"/>
              </w:rPr>
              <w:t>W</w:t>
            </w:r>
            <w:r>
              <w:rPr>
                <w:rFonts w:hint="eastAsia" w:ascii="宋体" w:hAnsi="宋体" w:eastAsia="宋体" w:cs="宋体"/>
                <w:sz w:val="22"/>
                <w:szCs w:val="22"/>
                <w:vertAlign w:val="subscript"/>
                <w:lang w:val="en-US" w:eastAsia="zh-CN"/>
              </w:rPr>
              <w:t>3</w:t>
            </w:r>
            <w:r>
              <w:rPr>
                <w:rFonts w:hint="eastAsia" w:ascii="宋体" w:hAnsi="宋体" w:eastAsia="宋体" w:cs="宋体"/>
                <w:kern w:val="2"/>
                <w:sz w:val="22"/>
                <w:szCs w:val="22"/>
                <w:lang w:val="en-US" w:eastAsia="zh-CN" w:bidi="ar-SA"/>
              </w:rPr>
              <w:t>≤0.3</w:t>
            </w:r>
          </w:p>
        </w:tc>
      </w:tr>
      <w:tr w14:paraId="661D4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166" w:type="dxa"/>
            <w:vAlign w:val="center"/>
          </w:tcPr>
          <w:p w14:paraId="2512A322">
            <w:pPr>
              <w:pStyle w:val="39"/>
              <w:spacing w:before="130" w:line="220" w:lineRule="auto"/>
              <w:jc w:val="center"/>
              <w:rPr>
                <w:rFonts w:hint="eastAsia" w:ascii="宋体" w:hAnsi="宋体" w:eastAsia="宋体" w:cs="宋体"/>
                <w:color w:val="auto"/>
                <w:sz w:val="20"/>
                <w:szCs w:val="20"/>
              </w:rPr>
            </w:pPr>
            <w:r>
              <w:rPr>
                <w:rFonts w:hint="eastAsia" w:ascii="宋体" w:hAnsi="宋体" w:eastAsia="宋体" w:cs="宋体"/>
                <w:sz w:val="22"/>
                <w:szCs w:val="22"/>
                <w:lang w:val="en-US" w:eastAsia="zh-CN"/>
              </w:rPr>
              <w:t>溶解时间（1g/L），t/min</w:t>
            </w:r>
          </w:p>
        </w:tc>
        <w:tc>
          <w:tcPr>
            <w:tcW w:w="6033" w:type="dxa"/>
            <w:vAlign w:val="top"/>
          </w:tcPr>
          <w:p w14:paraId="1797C4A3">
            <w:pPr>
              <w:pStyle w:val="39"/>
              <w:spacing w:before="158" w:line="225" w:lineRule="auto"/>
              <w:ind w:left="1874"/>
              <w:rPr>
                <w:rFonts w:hint="eastAsia" w:ascii="宋体" w:hAnsi="宋体" w:eastAsia="宋体" w:cs="宋体"/>
                <w:color w:val="auto"/>
                <w:sz w:val="20"/>
                <w:szCs w:val="20"/>
              </w:rPr>
            </w:pPr>
            <w:r>
              <w:rPr>
                <w:rFonts w:hint="eastAsia" w:ascii="宋体" w:hAnsi="宋体" w:eastAsia="宋体" w:cs="宋体"/>
                <w:kern w:val="2"/>
                <w:sz w:val="22"/>
                <w:szCs w:val="22"/>
                <w:lang w:val="en-US" w:eastAsia="zh-CN" w:bidi="ar-SA"/>
              </w:rPr>
              <w:t>t≤60</w:t>
            </w:r>
          </w:p>
        </w:tc>
      </w:tr>
      <w:tr w14:paraId="50B09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166" w:type="dxa"/>
            <w:vAlign w:val="center"/>
          </w:tcPr>
          <w:p w14:paraId="77CCB9EC">
            <w:pPr>
              <w:pStyle w:val="39"/>
              <w:spacing w:before="132" w:line="220" w:lineRule="auto"/>
              <w:ind w:firstLine="880" w:firstLineChars="400"/>
              <w:jc w:val="both"/>
              <w:rPr>
                <w:rFonts w:hint="eastAsia" w:ascii="宋体" w:hAnsi="宋体" w:eastAsia="宋体" w:cs="宋体"/>
                <w:color w:val="auto"/>
                <w:sz w:val="20"/>
                <w:szCs w:val="20"/>
              </w:rPr>
            </w:pPr>
            <w:r>
              <w:rPr>
                <w:rFonts w:hint="eastAsia" w:ascii="宋体" w:hAnsi="宋体" w:eastAsia="宋体" w:cs="宋体"/>
                <w:sz w:val="22"/>
                <w:szCs w:val="22"/>
                <w:lang w:val="en-US" w:eastAsia="zh-CN"/>
              </w:rPr>
              <w:t>阳离子度，W/%</w:t>
            </w:r>
          </w:p>
        </w:tc>
        <w:tc>
          <w:tcPr>
            <w:tcW w:w="6033" w:type="dxa"/>
            <w:vAlign w:val="top"/>
          </w:tcPr>
          <w:p w14:paraId="4D0AE088">
            <w:pPr>
              <w:pStyle w:val="39"/>
              <w:spacing w:before="162" w:line="217" w:lineRule="auto"/>
              <w:ind w:left="1794"/>
              <w:rPr>
                <w:rFonts w:hint="eastAsia" w:ascii="宋体" w:hAnsi="宋体" w:eastAsia="宋体" w:cs="宋体"/>
                <w:color w:val="auto"/>
                <w:sz w:val="20"/>
                <w:szCs w:val="20"/>
              </w:rPr>
            </w:pPr>
            <w:r>
              <w:rPr>
                <w:rFonts w:hint="eastAsia" w:ascii="宋体" w:hAnsi="宋体" w:eastAsia="宋体" w:cs="宋体"/>
                <w:kern w:val="2"/>
                <w:sz w:val="22"/>
                <w:szCs w:val="22"/>
                <w:lang w:val="en-US" w:eastAsia="zh-CN" w:bidi="ar-SA"/>
              </w:rPr>
              <w:t>5.0≤W≤95.0</w:t>
            </w:r>
          </w:p>
        </w:tc>
      </w:tr>
      <w:tr w14:paraId="4BE2D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166" w:type="dxa"/>
            <w:vAlign w:val="center"/>
          </w:tcPr>
          <w:p w14:paraId="02B1C12F">
            <w:pPr>
              <w:pStyle w:val="39"/>
              <w:spacing w:before="130" w:line="219" w:lineRule="auto"/>
              <w:jc w:val="center"/>
              <w:rPr>
                <w:rFonts w:hint="eastAsia" w:ascii="宋体" w:hAnsi="宋体" w:eastAsia="宋体" w:cs="宋体"/>
                <w:color w:val="auto"/>
                <w:sz w:val="20"/>
                <w:szCs w:val="20"/>
              </w:rPr>
            </w:pPr>
            <w:r>
              <w:rPr>
                <w:rFonts w:hint="eastAsia" w:ascii="宋体" w:hAnsi="宋体" w:eastAsia="宋体" w:cs="宋体"/>
                <w:sz w:val="22"/>
                <w:szCs w:val="22"/>
                <w:lang w:val="en-US" w:eastAsia="zh-CN"/>
              </w:rPr>
              <w:t>丙烯酰胺单体含量（干基），W</w:t>
            </w:r>
            <w:r>
              <w:rPr>
                <w:rFonts w:hint="eastAsia" w:ascii="宋体" w:hAnsi="宋体" w:eastAsia="宋体" w:cs="宋体"/>
                <w:sz w:val="22"/>
                <w:szCs w:val="22"/>
                <w:vertAlign w:val="subscript"/>
                <w:lang w:val="en-US" w:eastAsia="zh-CN"/>
              </w:rPr>
              <w:t>2</w:t>
            </w:r>
            <w:r>
              <w:rPr>
                <w:rFonts w:hint="eastAsia" w:ascii="宋体" w:hAnsi="宋体" w:eastAsia="宋体" w:cs="宋体"/>
                <w:sz w:val="22"/>
                <w:szCs w:val="22"/>
                <w:vertAlign w:val="baseline"/>
                <w:lang w:val="en-US" w:eastAsia="zh-CN"/>
              </w:rPr>
              <w:t xml:space="preserve">/ </w:t>
            </w:r>
            <w:r>
              <w:rPr>
                <w:rFonts w:hint="eastAsia" w:ascii="宋体" w:hAnsi="宋体" w:eastAsia="宋体" w:cs="宋体"/>
                <w:sz w:val="22"/>
                <w:szCs w:val="22"/>
                <w:lang w:val="en-US" w:eastAsia="zh-CN"/>
              </w:rPr>
              <w:t>%</w:t>
            </w:r>
          </w:p>
        </w:tc>
        <w:tc>
          <w:tcPr>
            <w:tcW w:w="6033" w:type="dxa"/>
            <w:vAlign w:val="top"/>
          </w:tcPr>
          <w:p w14:paraId="673D1331">
            <w:pPr>
              <w:pStyle w:val="39"/>
              <w:spacing w:before="159" w:line="221" w:lineRule="auto"/>
              <w:ind w:left="1794"/>
              <w:rPr>
                <w:rFonts w:hint="eastAsia" w:ascii="宋体" w:hAnsi="宋体" w:eastAsia="宋体" w:cs="宋体"/>
                <w:color w:val="auto"/>
                <w:sz w:val="20"/>
                <w:szCs w:val="20"/>
              </w:rPr>
            </w:pPr>
            <w:r>
              <w:rPr>
                <w:rFonts w:hint="eastAsia" w:ascii="宋体" w:hAnsi="宋体" w:eastAsia="宋体" w:cs="宋体"/>
                <w:sz w:val="22"/>
                <w:szCs w:val="22"/>
                <w:lang w:val="en-US" w:eastAsia="zh-CN"/>
              </w:rPr>
              <w:t>W</w:t>
            </w:r>
            <w:r>
              <w:rPr>
                <w:rFonts w:hint="eastAsia" w:ascii="宋体" w:hAnsi="宋体" w:eastAsia="宋体" w:cs="宋体"/>
                <w:sz w:val="22"/>
                <w:szCs w:val="22"/>
                <w:vertAlign w:val="subscript"/>
                <w:lang w:val="en-US" w:eastAsia="zh-CN"/>
              </w:rPr>
              <w:t>2</w:t>
            </w:r>
            <w:r>
              <w:rPr>
                <w:rFonts w:hint="eastAsia" w:ascii="宋体" w:hAnsi="宋体" w:eastAsia="宋体" w:cs="宋体"/>
                <w:kern w:val="2"/>
                <w:sz w:val="22"/>
                <w:szCs w:val="22"/>
                <w:lang w:val="en-US" w:eastAsia="zh-CN" w:bidi="ar-SA"/>
              </w:rPr>
              <w:t>≤0.1</w:t>
            </w:r>
          </w:p>
        </w:tc>
      </w:tr>
      <w:tr w14:paraId="05167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166" w:type="dxa"/>
            <w:vAlign w:val="center"/>
          </w:tcPr>
          <w:p w14:paraId="03516892">
            <w:pPr>
              <w:pStyle w:val="39"/>
              <w:spacing w:before="130" w:line="219" w:lineRule="auto"/>
              <w:ind w:left="245"/>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pacing w:val="-8"/>
                <w:sz w:val="20"/>
                <w:szCs w:val="20"/>
                <w:lang w:eastAsia="zh-CN"/>
              </w:rPr>
              <w:t>数量</w:t>
            </w:r>
          </w:p>
        </w:tc>
        <w:tc>
          <w:tcPr>
            <w:tcW w:w="6033" w:type="dxa"/>
            <w:vAlign w:val="top"/>
          </w:tcPr>
          <w:p w14:paraId="1D942913">
            <w:pPr>
              <w:pStyle w:val="39"/>
              <w:spacing w:before="159" w:line="221" w:lineRule="auto"/>
              <w:ind w:left="1794"/>
              <w:rPr>
                <w:rFonts w:hint="eastAsia" w:ascii="宋体" w:hAnsi="宋体" w:eastAsia="宋体" w:cs="宋体"/>
                <w:b w:val="0"/>
                <w:bCs w:val="0"/>
                <w:color w:val="auto"/>
                <w:spacing w:val="-9"/>
                <w:sz w:val="20"/>
                <w:szCs w:val="20"/>
              </w:rPr>
            </w:pPr>
            <w:r>
              <w:rPr>
                <w:rFonts w:hint="eastAsia" w:ascii="宋体" w:hAnsi="宋体" w:eastAsia="宋体" w:cs="宋体"/>
                <w:b w:val="0"/>
                <w:bCs w:val="0"/>
                <w:color w:val="auto"/>
                <w:spacing w:val="-8"/>
                <w:sz w:val="20"/>
                <w:szCs w:val="20"/>
                <w:lang w:val="en-US" w:eastAsia="zh-CN"/>
              </w:rPr>
              <w:t>10吨</w:t>
            </w:r>
          </w:p>
        </w:tc>
      </w:tr>
      <w:tr w14:paraId="6488A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166" w:type="dxa"/>
            <w:vAlign w:val="top"/>
          </w:tcPr>
          <w:p w14:paraId="4EB13D4B">
            <w:pPr>
              <w:pStyle w:val="39"/>
              <w:spacing w:before="130" w:line="219" w:lineRule="auto"/>
              <w:ind w:left="245"/>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执行标准</w:t>
            </w:r>
          </w:p>
        </w:tc>
        <w:tc>
          <w:tcPr>
            <w:tcW w:w="6033" w:type="dxa"/>
            <w:vAlign w:val="top"/>
          </w:tcPr>
          <w:p w14:paraId="1C6C040F">
            <w:pPr>
              <w:spacing w:before="104" w:line="222" w:lineRule="auto"/>
              <w:jc w:val="left"/>
              <w:rPr>
                <w:rFonts w:hint="eastAsia" w:asciiTheme="minorEastAsia" w:hAnsiTheme="minorEastAsia" w:eastAsiaTheme="minorEastAsia" w:cstheme="minorEastAsia"/>
                <w:b w:val="0"/>
                <w:bCs w:val="0"/>
                <w:color w:val="auto"/>
                <w:spacing w:val="-9"/>
                <w:sz w:val="24"/>
                <w:szCs w:val="24"/>
              </w:rPr>
            </w:pPr>
            <w:r>
              <w:rPr>
                <w:rFonts w:hint="eastAsia" w:asciiTheme="minorEastAsia" w:hAnsiTheme="minorEastAsia" w:eastAsiaTheme="minorEastAsia" w:cstheme="minorEastAsia"/>
                <w:b w:val="0"/>
                <w:bCs w:val="0"/>
                <w:color w:val="auto"/>
                <w:spacing w:val="-8"/>
                <w:sz w:val="24"/>
                <w:szCs w:val="24"/>
                <w:lang w:val="en-US" w:eastAsia="zh-CN"/>
              </w:rPr>
              <w:t>GB/T31246-2014</w:t>
            </w:r>
          </w:p>
        </w:tc>
      </w:tr>
    </w:tbl>
    <w:p w14:paraId="1F380004">
      <w:pPr>
        <w:spacing w:before="139" w:line="220" w:lineRule="auto"/>
        <w:ind w:left="3525"/>
        <w:rPr>
          <w:rFonts w:hint="eastAsia" w:asciiTheme="minorEastAsia" w:hAnsiTheme="minorEastAsia" w:eastAsiaTheme="minorEastAsia" w:cstheme="minorEastAsia"/>
          <w:color w:val="auto"/>
          <w:spacing w:val="6"/>
          <w:sz w:val="32"/>
          <w:szCs w:val="32"/>
        </w:rPr>
      </w:pPr>
    </w:p>
    <w:p w14:paraId="44BC414F">
      <w:pPr>
        <w:spacing w:before="139" w:line="220" w:lineRule="auto"/>
        <w:ind w:left="3525"/>
        <w:rPr>
          <w:rFonts w:hint="eastAsia" w:asciiTheme="minorEastAsia" w:hAnsiTheme="minorEastAsia" w:eastAsiaTheme="minorEastAsia" w:cstheme="minorEastAsia"/>
          <w:b/>
          <w:bCs/>
          <w:color w:val="auto"/>
          <w:spacing w:val="6"/>
          <w:sz w:val="32"/>
          <w:szCs w:val="32"/>
        </w:rPr>
      </w:pPr>
    </w:p>
    <w:p w14:paraId="34FC434E">
      <w:pPr>
        <w:spacing w:before="139" w:line="220" w:lineRule="auto"/>
        <w:ind w:left="3525"/>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pacing w:val="6"/>
          <w:sz w:val="32"/>
          <w:szCs w:val="32"/>
        </w:rPr>
        <w:t>聚合氯化铝</w:t>
      </w:r>
    </w:p>
    <w:p w14:paraId="39A81545">
      <w:pPr>
        <w:spacing w:line="19" w:lineRule="exact"/>
        <w:rPr>
          <w:rFonts w:hint="eastAsia" w:asciiTheme="minorEastAsia" w:hAnsiTheme="minorEastAsia" w:eastAsiaTheme="minorEastAsia" w:cstheme="minorEastAsia"/>
          <w:color w:val="auto"/>
        </w:rPr>
      </w:pPr>
    </w:p>
    <w:tbl>
      <w:tblPr>
        <w:tblStyle w:val="33"/>
        <w:tblpPr w:leftFromText="180" w:rightFromText="180" w:vertAnchor="text" w:horzAnchor="page" w:tblpX="1421" w:tblpY="57"/>
        <w:tblOverlap w:val="never"/>
        <w:tblW w:w="91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20"/>
        <w:gridCol w:w="5399"/>
      </w:tblGrid>
      <w:tr w14:paraId="2807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720" w:type="dxa"/>
            <w:vAlign w:val="top"/>
          </w:tcPr>
          <w:p w14:paraId="4316C3A7">
            <w:pPr>
              <w:pStyle w:val="39"/>
              <w:spacing w:before="119" w:line="220" w:lineRule="auto"/>
              <w:ind w:left="14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项 目</w:t>
            </w:r>
          </w:p>
        </w:tc>
        <w:tc>
          <w:tcPr>
            <w:tcW w:w="5399" w:type="dxa"/>
            <w:vAlign w:val="top"/>
          </w:tcPr>
          <w:p w14:paraId="0184A6CE">
            <w:pPr>
              <w:pStyle w:val="39"/>
              <w:spacing w:before="118" w:line="219" w:lineRule="auto"/>
              <w:ind w:left="22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数值</w:t>
            </w:r>
          </w:p>
        </w:tc>
      </w:tr>
      <w:tr w14:paraId="26584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720" w:type="dxa"/>
            <w:vAlign w:val="center"/>
          </w:tcPr>
          <w:p w14:paraId="48ADDDA3">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lang w:val="en-US" w:eastAsia="zh-CN"/>
              </w:rPr>
              <w:t>外观</w:t>
            </w:r>
          </w:p>
        </w:tc>
        <w:tc>
          <w:tcPr>
            <w:tcW w:w="5399" w:type="dxa"/>
            <w:vAlign w:val="top"/>
          </w:tcPr>
          <w:p w14:paraId="05B7A761">
            <w:pPr>
              <w:pStyle w:val="39"/>
              <w:spacing w:before="122" w:line="219" w:lineRule="auto"/>
              <w:ind w:left="20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淡黄色</w:t>
            </w:r>
          </w:p>
        </w:tc>
      </w:tr>
      <w:tr w14:paraId="56769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23398610">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cs="宋体"/>
                <w:color w:val="000000"/>
                <w:sz w:val="24"/>
                <w:szCs w:val="24"/>
                <w:lang w:val="en-US" w:eastAsia="zh-CN"/>
              </w:rPr>
              <w:t>氧</w:t>
            </w:r>
            <w:r>
              <w:rPr>
                <w:rFonts w:hint="eastAsia" w:ascii="宋体" w:hAnsi="宋体" w:eastAsia="宋体" w:cs="宋体"/>
                <w:color w:val="000000"/>
                <w:sz w:val="24"/>
                <w:szCs w:val="24"/>
              </w:rPr>
              <w:t>化</w:t>
            </w:r>
            <w:r>
              <w:rPr>
                <w:rFonts w:hint="eastAsia" w:ascii="宋体" w:hAnsi="宋体" w:eastAsia="宋体" w:cs="宋体"/>
                <w:color w:val="000000"/>
                <w:sz w:val="24"/>
                <w:szCs w:val="24"/>
                <w:lang w:val="en-US" w:eastAsia="zh-CN"/>
              </w:rPr>
              <w:t>铝</w:t>
            </w:r>
            <w:r>
              <w:rPr>
                <w:rFonts w:hint="eastAsia" w:ascii="宋体" w:hAnsi="宋体" w:cs="宋体"/>
                <w:color w:val="000000"/>
                <w:sz w:val="24"/>
                <w:szCs w:val="24"/>
                <w:lang w:val="en-US" w:eastAsia="zh-CN"/>
              </w:rPr>
              <w:t>（AL</w:t>
            </w:r>
            <w:r>
              <w:rPr>
                <w:rFonts w:hint="eastAsia" w:ascii="宋体" w:hAnsi="宋体" w:cs="宋体"/>
                <w:color w:val="000000"/>
                <w:sz w:val="24"/>
                <w:szCs w:val="24"/>
                <w:vertAlign w:val="subscript"/>
                <w:lang w:val="en-US" w:eastAsia="zh-CN"/>
              </w:rPr>
              <w:t>2</w:t>
            </w:r>
            <w:r>
              <w:rPr>
                <w:rFonts w:hint="eastAsia" w:ascii="宋体" w:hAnsi="宋体" w:cs="宋体"/>
                <w:color w:val="000000"/>
                <w:sz w:val="24"/>
                <w:szCs w:val="24"/>
                <w:lang w:val="en-US" w:eastAsia="zh-CN"/>
              </w:rPr>
              <w:t>O</w:t>
            </w:r>
            <w:r>
              <w:rPr>
                <w:rFonts w:hint="eastAsia" w:ascii="宋体" w:hAnsi="宋体" w:cs="宋体"/>
                <w:color w:val="000000"/>
                <w:sz w:val="24"/>
                <w:szCs w:val="24"/>
                <w:vertAlign w:val="subscript"/>
                <w:lang w:val="en-US" w:eastAsia="zh-CN"/>
              </w:rPr>
              <w:t>3</w:t>
            </w:r>
            <w:r>
              <w:rPr>
                <w:rFonts w:hint="eastAsia" w:ascii="宋体" w:hAnsi="宋体" w:cs="宋体"/>
                <w:color w:val="000000"/>
                <w:sz w:val="24"/>
                <w:szCs w:val="24"/>
                <w:lang w:val="en-US" w:eastAsia="zh-CN"/>
              </w:rPr>
              <w:t>）的质量分数/</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114156D4">
            <w:pPr>
              <w:pStyle w:val="39"/>
              <w:spacing w:before="147" w:line="219" w:lineRule="auto"/>
              <w:ind w:left="22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w:t>
            </w:r>
          </w:p>
        </w:tc>
      </w:tr>
      <w:tr w14:paraId="1915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41FB5EB4">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lang w:val="en-US" w:eastAsia="zh-CN"/>
              </w:rPr>
              <w:t>盐基度</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p>
        </w:tc>
        <w:tc>
          <w:tcPr>
            <w:tcW w:w="5399" w:type="dxa"/>
            <w:vAlign w:val="top"/>
          </w:tcPr>
          <w:p w14:paraId="1A6BAB15">
            <w:pPr>
              <w:pStyle w:val="39"/>
              <w:spacing w:before="149" w:line="218" w:lineRule="auto"/>
              <w:ind w:left="1804"/>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20-98</w:t>
            </w:r>
          </w:p>
        </w:tc>
      </w:tr>
      <w:tr w14:paraId="1E38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01C63CF7">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不溶物</w:t>
            </w:r>
            <w:r>
              <w:rPr>
                <w:rFonts w:hint="eastAsia" w:ascii="宋体" w:hAnsi="宋体" w:cs="宋体"/>
                <w:color w:val="000000"/>
                <w:sz w:val="24"/>
                <w:szCs w:val="24"/>
                <w:lang w:val="en-US" w:eastAsia="zh-CN"/>
              </w:rPr>
              <w:t>的质量分数/</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p>
        </w:tc>
        <w:tc>
          <w:tcPr>
            <w:tcW w:w="5399" w:type="dxa"/>
            <w:vAlign w:val="top"/>
          </w:tcPr>
          <w:p w14:paraId="09B4AC1A">
            <w:pPr>
              <w:pStyle w:val="39"/>
              <w:spacing w:before="147" w:line="219" w:lineRule="auto"/>
              <w:ind w:left="213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4</w:t>
            </w:r>
          </w:p>
        </w:tc>
      </w:tr>
      <w:tr w14:paraId="43442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26781B17">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lang w:val="en-US" w:eastAsia="zh-CN"/>
              </w:rPr>
              <w:t>铁（Fe)的质量分数</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p>
        </w:tc>
        <w:tc>
          <w:tcPr>
            <w:tcW w:w="5399" w:type="dxa"/>
            <w:vAlign w:val="top"/>
          </w:tcPr>
          <w:p w14:paraId="418520E5">
            <w:pPr>
              <w:pStyle w:val="39"/>
              <w:spacing w:before="147" w:line="219" w:lineRule="auto"/>
              <w:ind w:left="213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1.5</w:t>
            </w:r>
          </w:p>
        </w:tc>
      </w:tr>
      <w:tr w14:paraId="588C4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04170B82">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砷（As）的质量分数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21CA4F17">
            <w:pPr>
              <w:pStyle w:val="39"/>
              <w:spacing w:before="149" w:line="218" w:lineRule="auto"/>
              <w:ind w:left="188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≤0.000</w:t>
            </w:r>
            <w:r>
              <w:rPr>
                <w:rFonts w:hint="eastAsia" w:ascii="宋体" w:hAnsi="宋体" w:eastAsia="宋体" w:cs="宋体"/>
                <w:color w:val="000000"/>
                <w:sz w:val="24"/>
                <w:szCs w:val="24"/>
                <w:lang w:val="en-US" w:eastAsia="zh-CN"/>
              </w:rPr>
              <w:t>5</w:t>
            </w:r>
          </w:p>
        </w:tc>
      </w:tr>
      <w:tr w14:paraId="3E4E9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720" w:type="dxa"/>
            <w:vAlign w:val="center"/>
          </w:tcPr>
          <w:p w14:paraId="3D27B1AF">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镉（Cd）的质量分数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0576EED2">
            <w:pPr>
              <w:pStyle w:val="39"/>
              <w:spacing w:before="159" w:line="218" w:lineRule="auto"/>
              <w:ind w:left="196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0.0005</w:t>
            </w:r>
          </w:p>
        </w:tc>
      </w:tr>
      <w:tr w14:paraId="7F4F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650E236E">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铅（Pb）的质量分数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5BE70D65">
            <w:pPr>
              <w:pStyle w:val="39"/>
              <w:spacing w:before="151" w:line="217" w:lineRule="auto"/>
              <w:ind w:left="196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02</w:t>
            </w:r>
          </w:p>
        </w:tc>
      </w:tr>
      <w:tr w14:paraId="5894A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3720" w:type="dxa"/>
            <w:vAlign w:val="center"/>
          </w:tcPr>
          <w:p w14:paraId="494408B1">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汞（Hg）的质量分数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24BA7350">
            <w:pPr>
              <w:pStyle w:val="39"/>
              <w:spacing w:before="171" w:line="225" w:lineRule="auto"/>
              <w:ind w:left="180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≤0.0000</w:t>
            </w:r>
            <w:r>
              <w:rPr>
                <w:rFonts w:hint="eastAsia" w:ascii="宋体" w:hAnsi="宋体" w:eastAsia="宋体" w:cs="宋体"/>
                <w:color w:val="000000"/>
                <w:sz w:val="24"/>
                <w:szCs w:val="24"/>
                <w:lang w:val="en-US" w:eastAsia="zh-CN"/>
              </w:rPr>
              <w:t>5</w:t>
            </w:r>
          </w:p>
        </w:tc>
      </w:tr>
      <w:tr w14:paraId="1CD6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3720" w:type="dxa"/>
            <w:vAlign w:val="top"/>
          </w:tcPr>
          <w:p w14:paraId="21BE9969">
            <w:pPr>
              <w:pStyle w:val="39"/>
              <w:spacing w:before="131" w:line="214" w:lineRule="auto"/>
              <w:ind w:left="185"/>
              <w:rPr>
                <w:rFonts w:hint="eastAsia" w:asciiTheme="minorEastAsia" w:hAnsiTheme="minorEastAsia" w:eastAsiaTheme="minorEastAsia" w:cstheme="minorEastAsia"/>
                <w:b w:val="0"/>
                <w:bCs w:val="0"/>
                <w:color w:val="auto"/>
                <w:spacing w:val="-2"/>
                <w:sz w:val="21"/>
                <w:szCs w:val="21"/>
              </w:rPr>
            </w:pPr>
            <w:r>
              <w:rPr>
                <w:rFonts w:hint="eastAsia" w:asciiTheme="minorEastAsia" w:hAnsiTheme="minorEastAsia" w:eastAsiaTheme="minorEastAsia" w:cstheme="minorEastAsia"/>
                <w:b w:val="0"/>
                <w:bCs w:val="0"/>
                <w:color w:val="auto"/>
                <w:spacing w:val="-8"/>
                <w:sz w:val="24"/>
                <w:szCs w:val="24"/>
                <w:lang w:eastAsia="zh-CN"/>
              </w:rPr>
              <w:t>数量</w:t>
            </w:r>
          </w:p>
        </w:tc>
        <w:tc>
          <w:tcPr>
            <w:tcW w:w="5399" w:type="dxa"/>
            <w:vAlign w:val="top"/>
          </w:tcPr>
          <w:p w14:paraId="5D1F7FAF">
            <w:pPr>
              <w:pStyle w:val="39"/>
              <w:spacing w:before="171" w:line="225" w:lineRule="auto"/>
              <w:ind w:left="1804"/>
              <w:rPr>
                <w:rFonts w:hint="eastAsia" w:asciiTheme="minorEastAsia" w:hAnsiTheme="minorEastAsia" w:eastAsiaTheme="minorEastAsia" w:cstheme="minorEastAsia"/>
                <w:b w:val="0"/>
                <w:bCs w:val="0"/>
                <w:color w:val="auto"/>
                <w:spacing w:val="-5"/>
                <w:sz w:val="21"/>
                <w:szCs w:val="21"/>
              </w:rPr>
            </w:pPr>
            <w:r>
              <w:rPr>
                <w:rFonts w:hint="eastAsia" w:asciiTheme="minorEastAsia" w:hAnsiTheme="minorEastAsia" w:eastAsiaTheme="minorEastAsia" w:cstheme="minorEastAsia"/>
                <w:b w:val="0"/>
                <w:bCs w:val="0"/>
                <w:color w:val="auto"/>
                <w:spacing w:val="-8"/>
                <w:sz w:val="24"/>
                <w:szCs w:val="24"/>
                <w:lang w:val="en-US" w:eastAsia="zh-CN"/>
              </w:rPr>
              <w:t>20吨</w:t>
            </w:r>
          </w:p>
        </w:tc>
      </w:tr>
      <w:tr w14:paraId="6BF9D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3720" w:type="dxa"/>
            <w:vAlign w:val="top"/>
          </w:tcPr>
          <w:p w14:paraId="3DA2873A">
            <w:pPr>
              <w:pStyle w:val="39"/>
              <w:spacing w:before="131" w:line="214" w:lineRule="auto"/>
              <w:ind w:left="185"/>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执行标准</w:t>
            </w:r>
          </w:p>
        </w:tc>
        <w:tc>
          <w:tcPr>
            <w:tcW w:w="5399" w:type="dxa"/>
            <w:vAlign w:val="top"/>
          </w:tcPr>
          <w:p w14:paraId="3A0E0558">
            <w:pPr>
              <w:pStyle w:val="39"/>
              <w:spacing w:before="131" w:line="214" w:lineRule="auto"/>
              <w:ind w:left="185" w:firstLine="944" w:firstLineChars="400"/>
              <w:rPr>
                <w:rFonts w:hint="eastAsia" w:asciiTheme="minorEastAsia" w:hAnsiTheme="minorEastAsia" w:eastAsiaTheme="minorEastAsia" w:cstheme="minorEastAsia"/>
                <w:color w:val="auto"/>
                <w:spacing w:val="-2"/>
              </w:rPr>
            </w:pPr>
            <w:r>
              <w:rPr>
                <w:rFonts w:hint="eastAsia" w:asciiTheme="minorEastAsia" w:hAnsiTheme="minorEastAsia" w:eastAsiaTheme="minorEastAsia" w:cstheme="minorEastAsia"/>
                <w:color w:val="auto"/>
                <w:spacing w:val="-2"/>
                <w:lang w:val="en-US" w:eastAsia="zh-CN"/>
              </w:rPr>
              <w:t>GB/T22627-2022</w:t>
            </w:r>
          </w:p>
        </w:tc>
      </w:tr>
    </w:tbl>
    <w:p w14:paraId="71D25FF3">
      <w:pPr>
        <w:rPr>
          <w:rFonts w:hint="eastAsia" w:ascii="宋体" w:hAnsi="宋体" w:eastAsia="宋体" w:cs="宋体"/>
          <w:lang w:val="zh-CN" w:eastAsia="zh-CN"/>
        </w:rPr>
      </w:pPr>
    </w:p>
    <w:p w14:paraId="0D6916B9">
      <w:pPr>
        <w:rPr>
          <w:rFonts w:hint="eastAsia" w:ascii="宋体" w:hAnsi="宋体" w:eastAsia="宋体" w:cs="宋体"/>
          <w:lang w:val="zh-CN" w:eastAsia="zh-CN"/>
        </w:rPr>
      </w:pPr>
    </w:p>
    <w:p w14:paraId="2584FD82">
      <w:pPr>
        <w:rPr>
          <w:rFonts w:hint="eastAsia" w:ascii="宋体" w:hAnsi="宋体" w:eastAsia="宋体" w:cs="宋体"/>
          <w:lang w:val="zh-CN" w:eastAsia="zh-CN"/>
        </w:rPr>
      </w:pPr>
    </w:p>
    <w:p w14:paraId="3583B725">
      <w:pPr>
        <w:rPr>
          <w:rFonts w:hint="eastAsia" w:ascii="宋体" w:hAnsi="宋体" w:eastAsia="宋体" w:cs="宋体"/>
          <w:lang w:val="zh-CN" w:eastAsia="zh-CN"/>
        </w:rPr>
      </w:pPr>
    </w:p>
    <w:p w14:paraId="1BD9D564">
      <w:pPr>
        <w:rPr>
          <w:rFonts w:hint="eastAsia" w:ascii="宋体" w:hAnsi="宋体" w:eastAsia="宋体" w:cs="宋体"/>
          <w:lang w:val="zh-CN" w:eastAsia="zh-CN"/>
        </w:rPr>
      </w:pPr>
    </w:p>
    <w:p w14:paraId="1CAD058A">
      <w:pPr>
        <w:rPr>
          <w:rFonts w:hint="eastAsia" w:ascii="宋体" w:hAnsi="宋体" w:eastAsia="宋体" w:cs="宋体"/>
          <w:lang w:val="zh-CN" w:eastAsia="zh-CN"/>
        </w:rPr>
      </w:pPr>
    </w:p>
    <w:p w14:paraId="0BED6356">
      <w:pPr>
        <w:rPr>
          <w:rFonts w:hint="eastAsia" w:ascii="宋体" w:hAnsi="宋体" w:eastAsia="宋体" w:cs="宋体"/>
          <w:lang w:val="zh-CN" w:eastAsia="zh-CN"/>
        </w:rPr>
      </w:pPr>
    </w:p>
    <w:p w14:paraId="70BA2668">
      <w:pPr>
        <w:rPr>
          <w:rFonts w:hint="eastAsia" w:ascii="宋体" w:hAnsi="宋体" w:eastAsia="宋体" w:cs="宋体"/>
          <w:lang w:val="zh-CN" w:eastAsia="zh-CN"/>
        </w:rPr>
      </w:pPr>
    </w:p>
    <w:p w14:paraId="475D6F0E">
      <w:pPr>
        <w:rPr>
          <w:rFonts w:hint="eastAsia" w:ascii="宋体" w:hAnsi="宋体" w:eastAsia="宋体" w:cs="宋体"/>
          <w:lang w:val="zh-CN" w:eastAsia="zh-CN"/>
        </w:rPr>
      </w:pPr>
    </w:p>
    <w:p w14:paraId="050ADF54">
      <w:pPr>
        <w:rPr>
          <w:rFonts w:hint="eastAsia" w:ascii="宋体" w:hAnsi="宋体" w:eastAsia="宋体" w:cs="宋体"/>
          <w:lang w:val="zh-CN" w:eastAsia="zh-CN"/>
        </w:rPr>
      </w:pPr>
    </w:p>
    <w:p w14:paraId="10C762AD">
      <w:pPr>
        <w:rPr>
          <w:rFonts w:hint="eastAsia" w:ascii="宋体" w:hAnsi="宋体" w:eastAsia="宋体" w:cs="宋体"/>
          <w:lang w:val="zh-CN" w:eastAsia="zh-CN"/>
        </w:rPr>
      </w:pPr>
    </w:p>
    <w:p w14:paraId="7629BBE3">
      <w:pPr>
        <w:rPr>
          <w:rFonts w:hint="eastAsia" w:ascii="宋体" w:hAnsi="宋体" w:eastAsia="宋体" w:cs="宋体"/>
          <w:lang w:val="zh-CN" w:eastAsia="zh-CN"/>
        </w:rPr>
      </w:pPr>
    </w:p>
    <w:p w14:paraId="344E4200">
      <w:pPr>
        <w:rPr>
          <w:rFonts w:hint="eastAsia" w:ascii="宋体" w:hAnsi="宋体" w:eastAsia="宋体" w:cs="宋体"/>
          <w:lang w:val="zh-CN" w:eastAsia="zh-CN"/>
        </w:rPr>
      </w:pPr>
    </w:p>
    <w:p w14:paraId="0A5B7183">
      <w:pPr>
        <w:rPr>
          <w:rFonts w:hint="eastAsia" w:ascii="宋体" w:hAnsi="宋体" w:eastAsia="宋体" w:cs="宋体"/>
          <w:lang w:val="zh-CN" w:eastAsia="zh-CN"/>
        </w:rPr>
      </w:pPr>
    </w:p>
    <w:p w14:paraId="1B0C9D07">
      <w:pPr>
        <w:rPr>
          <w:rFonts w:hint="eastAsia" w:ascii="宋体" w:hAnsi="宋体" w:eastAsia="宋体" w:cs="宋体"/>
          <w:lang w:val="zh-CN" w:eastAsia="zh-CN"/>
        </w:rPr>
      </w:pPr>
    </w:p>
    <w:p w14:paraId="57B5A228">
      <w:pPr>
        <w:rPr>
          <w:rFonts w:hint="eastAsia" w:ascii="宋体" w:hAnsi="宋体" w:eastAsia="宋体" w:cs="宋体"/>
          <w:lang w:val="zh-CN" w:eastAsia="zh-CN"/>
        </w:rPr>
      </w:pPr>
    </w:p>
    <w:p w14:paraId="67E99199">
      <w:pPr>
        <w:rPr>
          <w:rFonts w:hint="eastAsia" w:ascii="宋体" w:hAnsi="宋体" w:eastAsia="宋体" w:cs="宋体"/>
          <w:lang w:val="zh-CN" w:eastAsia="zh-CN"/>
        </w:rPr>
      </w:pPr>
    </w:p>
    <w:p w14:paraId="1681804C">
      <w:pPr>
        <w:rPr>
          <w:rFonts w:hint="eastAsia" w:ascii="宋体" w:hAnsi="宋体" w:eastAsia="宋体" w:cs="宋体"/>
          <w:lang w:val="zh-CN" w:eastAsia="zh-CN"/>
        </w:rPr>
      </w:pPr>
    </w:p>
    <w:p w14:paraId="530CA957">
      <w:pPr>
        <w:rPr>
          <w:rFonts w:hint="eastAsia" w:ascii="宋体" w:hAnsi="宋体" w:eastAsia="宋体" w:cs="宋体"/>
          <w:lang w:val="zh-CN" w:eastAsia="zh-CN"/>
        </w:rPr>
      </w:pPr>
    </w:p>
    <w:p w14:paraId="7F6D7070">
      <w:pPr>
        <w:rPr>
          <w:rFonts w:hint="eastAsia" w:ascii="宋体" w:hAnsi="宋体" w:eastAsia="宋体" w:cs="宋体"/>
          <w:lang w:val="zh-CN" w:eastAsia="zh-CN"/>
        </w:rPr>
      </w:pPr>
    </w:p>
    <w:p w14:paraId="048EDCB2">
      <w:pPr>
        <w:rPr>
          <w:rFonts w:hint="eastAsia" w:ascii="宋体" w:hAnsi="宋体" w:eastAsia="宋体" w:cs="宋体"/>
          <w:lang w:val="zh-CN" w:eastAsia="zh-CN"/>
        </w:rPr>
      </w:pPr>
    </w:p>
    <w:p w14:paraId="65EDAC1A">
      <w:pPr>
        <w:rPr>
          <w:rFonts w:hint="eastAsia" w:ascii="宋体" w:hAnsi="宋体" w:eastAsia="宋体" w:cs="宋体"/>
          <w:lang w:val="zh-CN" w:eastAsia="zh-CN"/>
        </w:rPr>
      </w:pPr>
    </w:p>
    <w:p w14:paraId="21038619">
      <w:pPr>
        <w:pStyle w:val="3"/>
        <w:tabs>
          <w:tab w:val="left" w:pos="1283"/>
        </w:tabs>
        <w:spacing w:before="33"/>
        <w:ind w:left="0" w:right="82"/>
        <w:jc w:val="center"/>
        <w:rPr>
          <w:rFonts w:hint="eastAsia" w:ascii="宋体" w:hAnsi="宋体" w:eastAsia="宋体" w:cs="宋体"/>
          <w:lang w:val="en-US" w:eastAsia="zh-CN"/>
        </w:rPr>
      </w:pPr>
      <w:r>
        <w:rPr>
          <w:rFonts w:hint="eastAsia" w:ascii="宋体" w:hAnsi="宋体" w:eastAsia="宋体" w:cs="宋体"/>
          <w:lang w:val="zh-CN" w:eastAsia="zh-CN"/>
        </w:rPr>
        <w:t>第四章</w:t>
      </w:r>
      <w:r>
        <w:rPr>
          <w:rFonts w:hint="eastAsia" w:ascii="宋体" w:hAnsi="宋体" w:eastAsia="宋体" w:cs="宋体"/>
          <w:lang w:val="zh-CN" w:eastAsia="zh-CN"/>
        </w:rPr>
        <w:tab/>
      </w:r>
      <w:r>
        <w:rPr>
          <w:rFonts w:hint="eastAsia" w:ascii="宋体" w:hAnsi="宋体" w:eastAsia="宋体" w:cs="宋体"/>
          <w:lang w:val="zh-CN" w:eastAsia="zh-CN"/>
        </w:rPr>
        <w:t>合同主要条款</w:t>
      </w:r>
    </w:p>
    <w:p w14:paraId="0A6B37FC">
      <w:pPr>
        <w:pStyle w:val="9"/>
        <w:spacing w:line="281" w:lineRule="auto"/>
        <w:rPr>
          <w:rFonts w:hint="eastAsia" w:asciiTheme="minorEastAsia" w:hAnsiTheme="minorEastAsia" w:eastAsiaTheme="minorEastAsia" w:cstheme="minorEastAsia"/>
          <w:color w:val="auto"/>
        </w:rPr>
      </w:pPr>
    </w:p>
    <w:p w14:paraId="0C95AD8C">
      <w:pPr>
        <w:spacing w:before="108" w:line="228" w:lineRule="auto"/>
        <w:ind w:left="2498" w:firstLine="990" w:firstLineChars="300"/>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color w:val="auto"/>
          <w:sz w:val="33"/>
          <w:szCs w:val="33"/>
        </w:rPr>
        <w:t xml:space="preserve">【合同编号：       </w:t>
      </w:r>
      <w:r>
        <w:rPr>
          <w:rFonts w:hint="eastAsia" w:asciiTheme="minorEastAsia" w:hAnsiTheme="minorEastAsia" w:eastAsiaTheme="minorEastAsia" w:cstheme="minorEastAsia"/>
          <w:color w:val="auto"/>
          <w:position w:val="2"/>
          <w:sz w:val="33"/>
          <w:szCs w:val="33"/>
        </w:rPr>
        <w:t>】</w:t>
      </w:r>
    </w:p>
    <w:p w14:paraId="0E17722C">
      <w:pPr>
        <w:pStyle w:val="9"/>
        <w:spacing w:line="242" w:lineRule="auto"/>
        <w:rPr>
          <w:rFonts w:hint="eastAsia" w:asciiTheme="minorEastAsia" w:hAnsiTheme="minorEastAsia" w:eastAsiaTheme="minorEastAsia" w:cstheme="minorEastAsia"/>
          <w:color w:val="auto"/>
        </w:rPr>
      </w:pPr>
    </w:p>
    <w:p w14:paraId="739042FB">
      <w:pPr>
        <w:pStyle w:val="9"/>
        <w:spacing w:line="242" w:lineRule="auto"/>
        <w:rPr>
          <w:rFonts w:hint="eastAsia" w:asciiTheme="minorEastAsia" w:hAnsiTheme="minorEastAsia" w:eastAsiaTheme="minorEastAsia" w:cstheme="minorEastAsia"/>
          <w:color w:val="auto"/>
        </w:rPr>
      </w:pPr>
    </w:p>
    <w:p w14:paraId="01227B0A">
      <w:pPr>
        <w:pStyle w:val="9"/>
        <w:spacing w:line="242" w:lineRule="auto"/>
        <w:rPr>
          <w:rFonts w:hint="eastAsia" w:asciiTheme="minorEastAsia" w:hAnsiTheme="minorEastAsia" w:eastAsiaTheme="minorEastAsia" w:cstheme="minorEastAsia"/>
          <w:color w:val="auto"/>
        </w:rPr>
      </w:pPr>
    </w:p>
    <w:p w14:paraId="0DE63E5C">
      <w:pPr>
        <w:pStyle w:val="9"/>
        <w:spacing w:line="242" w:lineRule="auto"/>
        <w:rPr>
          <w:rFonts w:hint="eastAsia" w:asciiTheme="minorEastAsia" w:hAnsiTheme="minorEastAsia" w:eastAsiaTheme="minorEastAsia" w:cstheme="minorEastAsia"/>
          <w:color w:val="auto"/>
        </w:rPr>
      </w:pPr>
    </w:p>
    <w:p w14:paraId="6EB43399">
      <w:pPr>
        <w:pStyle w:val="9"/>
        <w:spacing w:line="242" w:lineRule="auto"/>
        <w:rPr>
          <w:rFonts w:hint="eastAsia" w:asciiTheme="minorEastAsia" w:hAnsiTheme="minorEastAsia" w:eastAsiaTheme="minorEastAsia" w:cstheme="minorEastAsia"/>
          <w:color w:val="auto"/>
        </w:rPr>
      </w:pPr>
    </w:p>
    <w:p w14:paraId="5C83517A">
      <w:pPr>
        <w:pStyle w:val="9"/>
        <w:spacing w:line="242" w:lineRule="auto"/>
        <w:rPr>
          <w:rFonts w:hint="eastAsia" w:asciiTheme="minorEastAsia" w:hAnsiTheme="minorEastAsia" w:eastAsiaTheme="minorEastAsia" w:cstheme="minorEastAsia"/>
          <w:color w:val="auto"/>
        </w:rPr>
      </w:pPr>
    </w:p>
    <w:p w14:paraId="6ED1C053">
      <w:pPr>
        <w:pStyle w:val="9"/>
        <w:spacing w:line="242" w:lineRule="auto"/>
        <w:rPr>
          <w:rFonts w:hint="eastAsia" w:asciiTheme="minorEastAsia" w:hAnsiTheme="minorEastAsia" w:eastAsiaTheme="minorEastAsia" w:cstheme="minorEastAsia"/>
          <w:color w:val="auto"/>
        </w:rPr>
      </w:pPr>
    </w:p>
    <w:p w14:paraId="70927167">
      <w:pPr>
        <w:pStyle w:val="9"/>
        <w:spacing w:line="242" w:lineRule="auto"/>
        <w:rPr>
          <w:rFonts w:hint="eastAsia" w:asciiTheme="minorEastAsia" w:hAnsiTheme="minorEastAsia" w:eastAsiaTheme="minorEastAsia" w:cstheme="minorEastAsia"/>
          <w:color w:val="auto"/>
        </w:rPr>
      </w:pPr>
    </w:p>
    <w:p w14:paraId="580416BB">
      <w:pPr>
        <w:spacing w:before="137" w:line="222" w:lineRule="auto"/>
        <w:ind w:firstLine="3885" w:firstLineChars="900"/>
        <w:rPr>
          <w:rFonts w:hint="eastAsia" w:asciiTheme="minorEastAsia" w:hAnsiTheme="minorEastAsia" w:eastAsiaTheme="minorEastAsia" w:cstheme="minorEastAsia"/>
          <w:color w:val="auto"/>
          <w:sz w:val="42"/>
          <w:szCs w:val="42"/>
        </w:rPr>
      </w:pPr>
      <w:r>
        <w:rPr>
          <w:rFonts w:hint="eastAsia" w:asciiTheme="minorEastAsia" w:hAnsiTheme="minorEastAsia" w:eastAsiaTheme="minorEastAsia" w:cstheme="minorEastAsia"/>
          <w:b/>
          <w:bCs/>
          <w:color w:val="auto"/>
          <w:spacing w:val="5"/>
          <w:sz w:val="42"/>
          <w:szCs w:val="42"/>
        </w:rPr>
        <w:t>采购合同</w:t>
      </w:r>
    </w:p>
    <w:p w14:paraId="04897880">
      <w:pPr>
        <w:pStyle w:val="9"/>
        <w:spacing w:line="249" w:lineRule="auto"/>
        <w:rPr>
          <w:rFonts w:hint="eastAsia" w:asciiTheme="minorEastAsia" w:hAnsiTheme="minorEastAsia" w:eastAsiaTheme="minorEastAsia" w:cstheme="minorEastAsia"/>
          <w:color w:val="auto"/>
        </w:rPr>
      </w:pPr>
    </w:p>
    <w:p w14:paraId="741F3A92">
      <w:pPr>
        <w:pStyle w:val="9"/>
        <w:spacing w:line="249" w:lineRule="auto"/>
        <w:rPr>
          <w:rFonts w:hint="eastAsia" w:asciiTheme="minorEastAsia" w:hAnsiTheme="minorEastAsia" w:eastAsiaTheme="minorEastAsia" w:cstheme="minorEastAsia"/>
          <w:color w:val="auto"/>
        </w:rPr>
      </w:pPr>
    </w:p>
    <w:p w14:paraId="63CE26EA">
      <w:pPr>
        <w:pStyle w:val="9"/>
        <w:spacing w:line="249" w:lineRule="auto"/>
        <w:rPr>
          <w:rFonts w:hint="eastAsia" w:asciiTheme="minorEastAsia" w:hAnsiTheme="minorEastAsia" w:eastAsiaTheme="minorEastAsia" w:cstheme="minorEastAsia"/>
          <w:color w:val="auto"/>
        </w:rPr>
      </w:pPr>
    </w:p>
    <w:p w14:paraId="3B559019">
      <w:pPr>
        <w:pStyle w:val="9"/>
        <w:spacing w:line="249" w:lineRule="auto"/>
        <w:rPr>
          <w:rFonts w:hint="eastAsia" w:asciiTheme="minorEastAsia" w:hAnsiTheme="minorEastAsia" w:eastAsiaTheme="minorEastAsia" w:cstheme="minorEastAsia"/>
          <w:color w:val="auto"/>
        </w:rPr>
      </w:pPr>
    </w:p>
    <w:p w14:paraId="6EC8F1D2">
      <w:pPr>
        <w:pStyle w:val="9"/>
        <w:spacing w:line="250" w:lineRule="auto"/>
        <w:rPr>
          <w:rFonts w:hint="eastAsia" w:asciiTheme="minorEastAsia" w:hAnsiTheme="minorEastAsia" w:eastAsiaTheme="minorEastAsia" w:cstheme="minorEastAsia"/>
          <w:color w:val="auto"/>
        </w:rPr>
      </w:pPr>
    </w:p>
    <w:p w14:paraId="2AAF52FC">
      <w:pPr>
        <w:pStyle w:val="9"/>
        <w:spacing w:line="250" w:lineRule="auto"/>
        <w:rPr>
          <w:rFonts w:hint="eastAsia" w:asciiTheme="minorEastAsia" w:hAnsiTheme="minorEastAsia" w:eastAsiaTheme="minorEastAsia" w:cstheme="minorEastAsia"/>
          <w:color w:val="auto"/>
        </w:rPr>
      </w:pPr>
    </w:p>
    <w:p w14:paraId="444870B8">
      <w:pPr>
        <w:pStyle w:val="9"/>
        <w:spacing w:line="250" w:lineRule="auto"/>
        <w:rPr>
          <w:rFonts w:hint="eastAsia" w:asciiTheme="minorEastAsia" w:hAnsiTheme="minorEastAsia" w:eastAsiaTheme="minorEastAsia" w:cstheme="minorEastAsia"/>
          <w:color w:val="auto"/>
        </w:rPr>
      </w:pPr>
    </w:p>
    <w:p w14:paraId="5E725BCD">
      <w:pPr>
        <w:pStyle w:val="9"/>
        <w:spacing w:line="250" w:lineRule="auto"/>
        <w:rPr>
          <w:rFonts w:hint="eastAsia" w:asciiTheme="minorEastAsia" w:hAnsiTheme="minorEastAsia" w:eastAsiaTheme="minorEastAsia" w:cstheme="minorEastAsia"/>
          <w:color w:val="auto"/>
        </w:rPr>
      </w:pPr>
    </w:p>
    <w:p w14:paraId="6E95FBBC">
      <w:pPr>
        <w:pStyle w:val="9"/>
        <w:spacing w:line="250" w:lineRule="auto"/>
        <w:rPr>
          <w:rFonts w:hint="eastAsia" w:asciiTheme="minorEastAsia" w:hAnsiTheme="minorEastAsia" w:eastAsiaTheme="minorEastAsia" w:cstheme="minorEastAsia"/>
          <w:color w:val="auto"/>
        </w:rPr>
      </w:pPr>
    </w:p>
    <w:p w14:paraId="117FD22E">
      <w:pPr>
        <w:pStyle w:val="9"/>
        <w:spacing w:line="250" w:lineRule="auto"/>
        <w:rPr>
          <w:rFonts w:hint="eastAsia" w:asciiTheme="minorEastAsia" w:hAnsiTheme="minorEastAsia" w:eastAsiaTheme="minorEastAsia" w:cstheme="minorEastAsia"/>
          <w:color w:val="auto"/>
        </w:rPr>
      </w:pPr>
    </w:p>
    <w:p w14:paraId="06AF6DBF">
      <w:pPr>
        <w:pStyle w:val="9"/>
        <w:spacing w:line="250" w:lineRule="auto"/>
        <w:rPr>
          <w:rFonts w:hint="eastAsia" w:asciiTheme="minorEastAsia" w:hAnsiTheme="minorEastAsia" w:eastAsiaTheme="minorEastAsia" w:cstheme="minorEastAsia"/>
          <w:color w:val="auto"/>
        </w:rPr>
      </w:pPr>
    </w:p>
    <w:p w14:paraId="74CAEF1F">
      <w:pPr>
        <w:pStyle w:val="9"/>
        <w:spacing w:line="250" w:lineRule="auto"/>
        <w:rPr>
          <w:rFonts w:hint="eastAsia" w:asciiTheme="minorEastAsia" w:hAnsiTheme="minorEastAsia" w:eastAsiaTheme="minorEastAsia" w:cstheme="minorEastAsia"/>
          <w:color w:val="auto"/>
        </w:rPr>
      </w:pPr>
    </w:p>
    <w:p w14:paraId="0A24FBF3">
      <w:pPr>
        <w:pStyle w:val="9"/>
        <w:spacing w:line="250" w:lineRule="auto"/>
        <w:rPr>
          <w:rFonts w:hint="eastAsia" w:asciiTheme="minorEastAsia" w:hAnsiTheme="minorEastAsia" w:eastAsiaTheme="minorEastAsia" w:cstheme="minorEastAsia"/>
          <w:color w:val="auto"/>
        </w:rPr>
      </w:pPr>
    </w:p>
    <w:p w14:paraId="727BC4D8">
      <w:pPr>
        <w:pStyle w:val="9"/>
        <w:spacing w:line="250" w:lineRule="auto"/>
        <w:rPr>
          <w:rFonts w:hint="eastAsia" w:asciiTheme="minorEastAsia" w:hAnsiTheme="minorEastAsia" w:eastAsiaTheme="minorEastAsia" w:cstheme="minorEastAsia"/>
          <w:color w:val="auto"/>
        </w:rPr>
      </w:pPr>
    </w:p>
    <w:p w14:paraId="57CE4344">
      <w:pPr>
        <w:pStyle w:val="9"/>
        <w:spacing w:line="250" w:lineRule="auto"/>
        <w:rPr>
          <w:rFonts w:hint="eastAsia" w:asciiTheme="minorEastAsia" w:hAnsiTheme="minorEastAsia" w:eastAsiaTheme="minorEastAsia" w:cstheme="minorEastAsia"/>
          <w:color w:val="auto"/>
        </w:rPr>
      </w:pPr>
    </w:p>
    <w:p w14:paraId="68006D99">
      <w:pPr>
        <w:pStyle w:val="9"/>
        <w:spacing w:line="250" w:lineRule="auto"/>
        <w:rPr>
          <w:rFonts w:hint="eastAsia" w:asciiTheme="minorEastAsia" w:hAnsiTheme="minorEastAsia" w:eastAsiaTheme="minorEastAsia" w:cstheme="minorEastAsia"/>
          <w:color w:val="auto"/>
        </w:rPr>
      </w:pPr>
    </w:p>
    <w:p w14:paraId="5E136850">
      <w:pPr>
        <w:pStyle w:val="9"/>
        <w:spacing w:line="250" w:lineRule="auto"/>
        <w:rPr>
          <w:rFonts w:hint="eastAsia" w:asciiTheme="minorEastAsia" w:hAnsiTheme="minorEastAsia" w:eastAsiaTheme="minorEastAsia" w:cstheme="minorEastAsia"/>
          <w:color w:val="auto"/>
        </w:rPr>
      </w:pPr>
    </w:p>
    <w:p w14:paraId="29362CF8">
      <w:pPr>
        <w:pStyle w:val="9"/>
        <w:spacing w:line="250" w:lineRule="auto"/>
        <w:rPr>
          <w:rFonts w:hint="eastAsia" w:asciiTheme="minorEastAsia" w:hAnsiTheme="minorEastAsia" w:eastAsiaTheme="minorEastAsia" w:cstheme="minorEastAsia"/>
          <w:color w:val="auto"/>
        </w:rPr>
      </w:pPr>
    </w:p>
    <w:p w14:paraId="6964D89C">
      <w:pPr>
        <w:pStyle w:val="9"/>
        <w:spacing w:line="250" w:lineRule="auto"/>
        <w:rPr>
          <w:rFonts w:hint="eastAsia" w:asciiTheme="minorEastAsia" w:hAnsiTheme="minorEastAsia" w:eastAsiaTheme="minorEastAsia" w:cstheme="minorEastAsia"/>
          <w:color w:val="auto"/>
        </w:rPr>
      </w:pPr>
    </w:p>
    <w:p w14:paraId="3D0F1892">
      <w:pPr>
        <w:spacing w:before="107" w:line="221" w:lineRule="auto"/>
        <w:ind w:right="15"/>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采购人(全称):</w:t>
      </w:r>
      <w:r>
        <w:rPr>
          <w:rFonts w:hint="eastAsia" w:asciiTheme="minorEastAsia" w:hAnsiTheme="minorEastAsia" w:eastAsiaTheme="minorEastAsia" w:cstheme="minorEastAsia"/>
          <w:color w:val="auto"/>
          <w:spacing w:val="-111"/>
          <w:sz w:val="24"/>
          <w:szCs w:val="24"/>
        </w:rPr>
        <w:t xml:space="preserve"> </w:t>
      </w:r>
      <w:r>
        <w:rPr>
          <w:rFonts w:hint="eastAsia" w:asciiTheme="minorEastAsia" w:hAnsiTheme="minorEastAsia" w:eastAsiaTheme="minorEastAsia" w:cstheme="minorEastAsia"/>
          <w:color w:val="auto"/>
          <w:spacing w:val="-144"/>
          <w:sz w:val="24"/>
          <w:szCs w:val="24"/>
          <w:u w:val="single" w:color="auto"/>
        </w:rPr>
        <w:t xml:space="preserve"> </w:t>
      </w:r>
      <w:r>
        <w:rPr>
          <w:rFonts w:hint="eastAsia" w:asciiTheme="minorEastAsia" w:hAnsiTheme="minorEastAsia" w:eastAsiaTheme="minorEastAsia" w:cstheme="minorEastAsia"/>
          <w:color w:val="auto"/>
          <w:spacing w:val="3"/>
          <w:sz w:val="24"/>
          <w:szCs w:val="24"/>
          <w:u w:val="single" w:color="auto"/>
        </w:rPr>
        <w:t>石泉县市政园林所(石泉县城镇污水垃圾</w:t>
      </w:r>
      <w:r>
        <w:rPr>
          <w:rFonts w:hint="eastAsia" w:asciiTheme="minorEastAsia" w:hAnsiTheme="minorEastAsia" w:eastAsiaTheme="minorEastAsia" w:cstheme="minorEastAsia"/>
          <w:color w:val="auto"/>
          <w:spacing w:val="11"/>
          <w:sz w:val="24"/>
          <w:szCs w:val="24"/>
          <w:u w:val="single" w:color="auto"/>
        </w:rPr>
        <w:t>处理监测中心)</w:t>
      </w:r>
    </w:p>
    <w:p w14:paraId="6A74C54A">
      <w:pPr>
        <w:spacing w:before="165" w:line="221" w:lineRule="auto"/>
        <w:ind w:firstLine="1841" w:firstLineChars="700"/>
        <w:rPr>
          <w:rFonts w:hint="eastAsia" w:asciiTheme="minorEastAsia" w:hAnsiTheme="minorEastAsia" w:eastAsiaTheme="minorEastAsia" w:cstheme="minorEastAsia"/>
          <w:b/>
          <w:bCs/>
          <w:color w:val="auto"/>
          <w:spacing w:val="11"/>
          <w:sz w:val="24"/>
          <w:szCs w:val="24"/>
        </w:rPr>
      </w:pPr>
    </w:p>
    <w:p w14:paraId="46958E8B">
      <w:pPr>
        <w:spacing w:before="165" w:line="221" w:lineRule="auto"/>
        <w:ind w:firstLine="1052" w:firstLineChars="4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1"/>
          <w:sz w:val="24"/>
          <w:szCs w:val="24"/>
        </w:rPr>
        <w:t>投标人(全称):</w:t>
      </w:r>
    </w:p>
    <w:p w14:paraId="566A630B">
      <w:pPr>
        <w:spacing w:line="221" w:lineRule="auto"/>
        <w:rPr>
          <w:rFonts w:hint="eastAsia" w:asciiTheme="minorEastAsia" w:hAnsiTheme="minorEastAsia" w:eastAsiaTheme="minorEastAsia" w:cstheme="minorEastAsia"/>
          <w:color w:val="auto"/>
          <w:sz w:val="33"/>
          <w:szCs w:val="33"/>
        </w:rPr>
        <w:sectPr>
          <w:pgSz w:w="11900" w:h="16840"/>
          <w:pgMar w:top="1440" w:right="1080" w:bottom="1440" w:left="1080" w:header="0" w:footer="680" w:gutter="0"/>
          <w:pgNumType w:fmt="decimal"/>
          <w:cols w:space="720" w:num="1"/>
        </w:sectPr>
      </w:pPr>
    </w:p>
    <w:p w14:paraId="313C97C6">
      <w:pPr>
        <w:spacing w:before="104" w:line="316" w:lineRule="auto"/>
        <w:ind w:left="634" w:right="50" w:firstLine="278" w:firstLineChars="10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采购人(甲方):</w:t>
      </w:r>
      <w:r>
        <w:rPr>
          <w:rFonts w:hint="eastAsia" w:asciiTheme="minorEastAsia" w:hAnsiTheme="minorEastAsia" w:eastAsiaTheme="minorEastAsia" w:cstheme="minorEastAsia"/>
          <w:color w:val="auto"/>
          <w:spacing w:val="15"/>
          <w:sz w:val="24"/>
          <w:szCs w:val="24"/>
          <w:u w:val="single" w:color="auto"/>
        </w:rPr>
        <w:t>石泉县市政园林所(石泉县城镇污水垃圾</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0"/>
          <w:sz w:val="24"/>
          <w:szCs w:val="24"/>
          <w:u w:val="single" w:color="auto"/>
        </w:rPr>
        <w:t>处理监测中心)</w:t>
      </w:r>
    </w:p>
    <w:p w14:paraId="26F36877">
      <w:pPr>
        <w:spacing w:line="222" w:lineRule="auto"/>
        <w:ind w:left="8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7"/>
          <w:sz w:val="24"/>
          <w:szCs w:val="24"/>
        </w:rPr>
        <w:t>投标人(乙方):</w:t>
      </w:r>
    </w:p>
    <w:p w14:paraId="7ED50D50">
      <w:pPr>
        <w:spacing w:before="180" w:line="322" w:lineRule="auto"/>
        <w:ind w:left="185" w:firstLine="66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依照《中华人民共和国合同法》及其他有关法律、法规，</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8"/>
          <w:sz w:val="24"/>
          <w:szCs w:val="24"/>
        </w:rPr>
        <w:t>遵循平等、自愿、公平和诚信的原则，双方就下述项目范围与</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3"/>
          <w:sz w:val="24"/>
          <w:szCs w:val="24"/>
        </w:rPr>
        <w:t>相关服务事项协商一致，订立本合同。</w:t>
      </w:r>
    </w:p>
    <w:p w14:paraId="401A1C62">
      <w:pPr>
        <w:spacing w:line="222" w:lineRule="auto"/>
        <w:ind w:left="249"/>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一、项目概况</w:t>
      </w:r>
    </w:p>
    <w:p w14:paraId="51551E63">
      <w:pPr>
        <w:spacing w:before="170" w:line="222" w:lineRule="auto"/>
        <w:ind w:left="914"/>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rPr>
        <w:t>1、项目名称：</w:t>
      </w:r>
      <w:r>
        <w:rPr>
          <w:rFonts w:hint="eastAsia" w:asciiTheme="minorEastAsia" w:hAnsiTheme="minorEastAsia" w:eastAsiaTheme="minorEastAsia" w:cstheme="minorEastAsia"/>
          <w:color w:val="auto"/>
          <w:spacing w:val="6"/>
          <w:sz w:val="24"/>
          <w:szCs w:val="24"/>
          <w:lang w:val="en-US" w:eastAsia="zh-CN"/>
        </w:rPr>
        <w:t>石泉县污水处理厂2025年生产药剂采购项目</w:t>
      </w:r>
    </w:p>
    <w:p w14:paraId="6012A80B">
      <w:pPr>
        <w:spacing w:before="170" w:line="222" w:lineRule="auto"/>
        <w:ind w:left="9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2、项目地点：陕西省安康市石泉县城关镇新桥村尾子沟</w:t>
      </w:r>
    </w:p>
    <w:p w14:paraId="42576EA6">
      <w:pPr>
        <w:spacing w:before="167" w:line="270" w:lineRule="auto"/>
        <w:ind w:left="3053" w:right="441" w:hanging="213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5"/>
          <w:sz w:val="24"/>
          <w:szCs w:val="24"/>
        </w:rPr>
        <w:t>3、项目内容：固体聚合硫酸铁、阳离子聚丙烯酰胺、</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pacing w:val="-5"/>
          <w:sz w:val="24"/>
          <w:szCs w:val="24"/>
        </w:rPr>
        <w:t>聚合氯化铝</w:t>
      </w:r>
      <w:r>
        <w:rPr>
          <w:rFonts w:hint="eastAsia" w:asciiTheme="minorEastAsia" w:hAnsiTheme="minorEastAsia" w:eastAsiaTheme="minorEastAsia" w:cstheme="minorEastAsia"/>
          <w:color w:val="auto"/>
          <w:spacing w:val="-5"/>
          <w:sz w:val="24"/>
          <w:szCs w:val="24"/>
          <w:lang w:eastAsia="zh-CN"/>
        </w:rPr>
        <w:t>采购</w:t>
      </w:r>
    </w:p>
    <w:p w14:paraId="2C63BB99">
      <w:pPr>
        <w:spacing w:before="210" w:line="222" w:lineRule="auto"/>
        <w:ind w:left="189"/>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4"/>
          <w:sz w:val="24"/>
          <w:szCs w:val="24"/>
        </w:rPr>
        <w:t>二</w:t>
      </w:r>
      <w:r>
        <w:rPr>
          <w:rFonts w:hint="eastAsia" w:asciiTheme="minorEastAsia" w:hAnsiTheme="minorEastAsia" w:eastAsiaTheme="minorEastAsia" w:cstheme="minorEastAsia"/>
          <w:color w:val="auto"/>
          <w:spacing w:val="-61"/>
          <w:sz w:val="24"/>
          <w:szCs w:val="24"/>
        </w:rPr>
        <w:t xml:space="preserve"> </w:t>
      </w:r>
      <w:r>
        <w:rPr>
          <w:rFonts w:hint="eastAsia" w:asciiTheme="minorEastAsia" w:hAnsiTheme="minorEastAsia" w:eastAsiaTheme="minorEastAsia" w:cstheme="minorEastAsia"/>
          <w:b/>
          <w:bCs/>
          <w:color w:val="auto"/>
          <w:spacing w:val="-14"/>
          <w:sz w:val="24"/>
          <w:szCs w:val="24"/>
        </w:rPr>
        <w:t>、标的规格型号、数量、金额</w:t>
      </w:r>
    </w:p>
    <w:p w14:paraId="2B338755">
      <w:pPr>
        <w:spacing w:before="133" w:line="220" w:lineRule="auto"/>
        <w:ind w:left="332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rPr>
        <mc:AlternateContent>
          <mc:Choice Requires="wps">
            <w:drawing>
              <wp:anchor distT="0" distB="0" distL="114300" distR="114300" simplePos="0" relativeHeight="251676672" behindDoc="1" locked="0" layoutInCell="1" allowOverlap="1">
                <wp:simplePos x="0" y="0"/>
                <wp:positionH relativeFrom="column">
                  <wp:posOffset>6350</wp:posOffset>
                </wp:positionH>
                <wp:positionV relativeFrom="paragraph">
                  <wp:posOffset>287655</wp:posOffset>
                </wp:positionV>
                <wp:extent cx="5895340" cy="76200"/>
                <wp:effectExtent l="0" t="0" r="0" b="0"/>
                <wp:wrapNone/>
                <wp:docPr id="3" name="任意多边形 3"/>
                <wp:cNvGraphicFramePr/>
                <a:graphic xmlns:a="http://schemas.openxmlformats.org/drawingml/2006/main">
                  <a:graphicData uri="http://schemas.microsoft.com/office/word/2010/wordprocessingShape">
                    <wps:wsp>
                      <wps:cNvSpPr/>
                      <wps:spPr>
                        <a:xfrm flipV="1">
                          <a:off x="0" y="0"/>
                          <a:ext cx="5895340" cy="76200"/>
                        </a:xfrm>
                        <a:custGeom>
                          <a:avLst/>
                          <a:gdLst/>
                          <a:ahLst/>
                          <a:cxnLst/>
                          <a:pathLst>
                            <a:path w="8670" h="10">
                              <a:moveTo>
                                <a:pt x="0" y="5"/>
                              </a:moveTo>
                              <a:lnTo>
                                <a:pt x="5830" y="5"/>
                              </a:lnTo>
                              <a:moveTo>
                                <a:pt x="5830" y="5"/>
                              </a:moveTo>
                              <a:lnTo>
                                <a:pt x="8669" y="5"/>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flip:y;margin-left:0.5pt;margin-top:22.65pt;height:6pt;width:464.2pt;z-index:-251639808;mso-width-relative:page;mso-height-relative:page;" filled="f" stroked="t" coordsize="8670,10" o:gfxdata="UEsDBAoAAAAAAIdO4kAAAAAAAAAAAAAAAAAEAAAAZHJzL1BLAwQUAAAACACHTuJA9BlhydgAAAAH&#10;AQAADwAAAGRycy9kb3ducmV2LnhtbE2Py07DMBBF90j8gzVI7KjTF01DnEogtaqygtIuunPjIY6I&#10;x1Hspu3fM6xgeXVH557JV1fXigH70HhSMB4lIJAqbxqqFew/108piBA1Gd16QgU3DLAq7u9ynRl/&#10;oQ8cdrEWDKGQaQU2xi6TMlQWnQ4j3yFx9+V7pyPHvpam1xeGu1ZOkuRZOt0QL1jd4ZvF6nt3dgpm&#10;+7hNF5vbYF+372l53JT1YV0q9fgwTl5ARLzGv2P41Wd1KNjp5M9kgmg58yeRUfMpCK6Xk+UMxEnB&#10;fDEFWeTyv3/xA1BLAwQUAAAACACHTuJAgWpfo14CAAABBQAADgAAAGRycy9lMm9Eb2MueG1srVTN&#10;bhMxEL4j8Q6W72SThmzTVTY9EMoFQaUW7o7t3bXkP9lONrlz584R8RKoKk9DEY/B2JtNQsshB/aw&#10;GntmPs/3ecazy42SaM2dF0aXeDQYYsQ1NUzousQfbq9eTDHygWhGpNG8xFvu8eX8+bNZawt+Zhoj&#10;GXcIQLQvWlviJgRbZJmnDVfED4zlGpyVcYoEWLo6Y460gK5kdjYc5llrHLPOUO497C46J94hulMA&#10;TVUJyheGrhTXoUN1XJIAlHwjrMfzVG1VcRreV5XnAckSA9OQ/nAI2Mv4z+YzUtSO2EbQXQnklBIe&#10;cVJEaDh0D7UggaCVE0+glKDOeFOFATUq64gkRYDFaPhIm5uGWJ64gNTe7kX3/w+WvltfOyRYiccY&#10;aaLgwn/e3f369Pnh25ffP74/3H9F4yhSa30BsTf22u1WHszIeFM5hSop7EfopqQBsEKbJPF2LzHf&#10;BERhczK9mIxfgvoUfOc5NEREzzqYCEdXPrzhRkWbrN/60N0Q6y3S9Bbd6N60JMTtmBNN1JZ4mp/D&#10;KQ3UNExFKbPmtyZFhEN1k93pB6/Ux1GT6RhQoNQ+sHcfEmyCexJ4COhTusBpnl/8AxEUiJUnKfZs&#10;YPNYDm2uhJRJD6kjx3w8iUoSmMIKuh9MZeEmva4TZW+kYDElsvauXr6SDq1JnIT07bj/FWadDwvi&#10;my4uuWIYKZQIMPZSqKjoPp0UDSfstWYobC30joYnA8fSFGcYSQ4vTLQSQiBCnhIJrKUGIWLLdU0W&#10;raVhW+jUlXWibmCMR6n66IHJSLLtpjiO3vE6IR1er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BlhydgAAAAHAQAADwAAAAAAAAABACAAAAAiAAAAZHJzL2Rvd25yZXYueG1sUEsBAhQAFAAAAAgA&#10;h07iQIFqX6NeAgAAAQUAAA4AAAAAAAAAAQAgAAAAJwEAAGRycy9lMm9Eb2MueG1sUEsFBgAAAAAG&#10;AAYAWQEAAPcFAAAAAA==&#10;" path="m0,5l5830,5m5830,5l8669,5e">
                <v:fill on="f" focussize="0,0"/>
                <v:stroke weight="0.5pt" color="#000000" miterlimit="10" joinstyle="miter"/>
                <v:imagedata o:title=""/>
                <o:lock v:ext="edit" aspectratio="f"/>
              </v:shape>
            </w:pict>
          </mc:Fallback>
        </mc:AlternateContent>
      </w:r>
      <w:r>
        <w:rPr>
          <w:rFonts w:hint="eastAsia" w:asciiTheme="minorEastAsia" w:hAnsiTheme="minorEastAsia" w:eastAsiaTheme="minorEastAsia" w:cstheme="minorEastAsia"/>
          <w:color w:val="auto"/>
          <w:spacing w:val="1"/>
          <w:sz w:val="32"/>
          <w:szCs w:val="32"/>
        </w:rPr>
        <w:t>固体聚合硫酸铁</w:t>
      </w:r>
    </w:p>
    <w:p w14:paraId="78A83D63">
      <w:pPr>
        <w:spacing w:line="52" w:lineRule="auto"/>
        <w:rPr>
          <w:rFonts w:hint="eastAsia" w:asciiTheme="minorEastAsia" w:hAnsiTheme="minorEastAsia" w:eastAsiaTheme="minorEastAsia" w:cstheme="minorEastAsia"/>
          <w:color w:val="auto"/>
          <w:sz w:val="2"/>
        </w:rPr>
      </w:pPr>
    </w:p>
    <w:tbl>
      <w:tblPr>
        <w:tblStyle w:val="33"/>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919"/>
      </w:tblGrid>
      <w:tr w14:paraId="45AB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360" w:type="dxa"/>
            <w:tcBorders>
              <w:top w:val="nil"/>
            </w:tcBorders>
            <w:vAlign w:val="top"/>
          </w:tcPr>
          <w:p w14:paraId="1E38D2B0">
            <w:pPr>
              <w:pStyle w:val="39"/>
              <w:spacing w:before="124" w:line="220" w:lineRule="auto"/>
              <w:ind w:firstLine="1998" w:firstLineChars="9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项 目</w:t>
            </w:r>
          </w:p>
        </w:tc>
        <w:tc>
          <w:tcPr>
            <w:tcW w:w="4919" w:type="dxa"/>
            <w:tcBorders>
              <w:top w:val="nil"/>
            </w:tcBorders>
            <w:vAlign w:val="center"/>
          </w:tcPr>
          <w:p w14:paraId="2D7ED08C">
            <w:pPr>
              <w:pStyle w:val="39"/>
              <w:spacing w:before="124" w:line="220" w:lineRule="auto"/>
              <w:ind w:left="1086"/>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指标</w:t>
            </w:r>
          </w:p>
        </w:tc>
      </w:tr>
      <w:tr w14:paraId="21AA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4360" w:type="dxa"/>
            <w:vAlign w:val="top"/>
          </w:tcPr>
          <w:p w14:paraId="6F67D3E2">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eastAsia="zh-CN"/>
              </w:rPr>
              <w:t>全</w:t>
            </w:r>
            <w:r>
              <w:rPr>
                <w:rFonts w:hint="eastAsia" w:ascii="宋体" w:hAnsi="宋体" w:eastAsia="宋体" w:cs="宋体"/>
                <w:sz w:val="24"/>
                <w:szCs w:val="24"/>
                <w:lang w:val="en-US" w:eastAsia="zh-CN"/>
              </w:rPr>
              <w:t>铁的质量分数W</w:t>
            </w:r>
            <w:r>
              <w:rPr>
                <w:rFonts w:hint="eastAsia" w:ascii="宋体" w:hAnsi="宋体" w:eastAsia="宋体" w:cs="宋体"/>
                <w:sz w:val="24"/>
                <w:szCs w:val="24"/>
                <w:vertAlign w:val="subscript"/>
                <w:lang w:val="en-US" w:eastAsia="zh-CN"/>
              </w:rPr>
              <w:t>1</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w:t>
            </w:r>
          </w:p>
        </w:tc>
        <w:tc>
          <w:tcPr>
            <w:tcW w:w="4919" w:type="dxa"/>
            <w:vAlign w:val="top"/>
          </w:tcPr>
          <w:p w14:paraId="2653A39D">
            <w:pPr>
              <w:ind w:left="0" w:leftChars="0" w:right="0" w:rightChars="0" w:firstLine="720" w:firstLineChars="300"/>
              <w:jc w:val="both"/>
              <w:rPr>
                <w:rFonts w:hint="eastAsia" w:ascii="宋体" w:hAnsi="宋体" w:eastAsia="宋体" w:cs="宋体"/>
                <w:color w:val="auto"/>
                <w:sz w:val="20"/>
                <w:szCs w:val="20"/>
                <w:lang w:val="en-US" w:eastAsia="zh-CN"/>
              </w:rPr>
            </w:pPr>
            <w:r>
              <w:rPr>
                <w:rFonts w:hint="eastAsia" w:ascii="宋体" w:hAnsi="宋体" w:eastAsia="宋体" w:cs="宋体"/>
                <w:sz w:val="24"/>
                <w:szCs w:val="24"/>
                <w:lang w:val="en-US" w:eastAsia="zh-CN"/>
              </w:rPr>
              <w:t>19.5</w:t>
            </w:r>
          </w:p>
        </w:tc>
      </w:tr>
      <w:tr w14:paraId="7C07A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4360" w:type="dxa"/>
            <w:vAlign w:val="top"/>
          </w:tcPr>
          <w:p w14:paraId="3DA4E9E1">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eastAsia="zh-CN"/>
              </w:rPr>
              <w:t>还原</w:t>
            </w:r>
            <w:r>
              <w:rPr>
                <w:rFonts w:hint="eastAsia" w:ascii="宋体" w:hAnsi="宋体" w:eastAsia="宋体" w:cs="宋体"/>
                <w:sz w:val="24"/>
                <w:szCs w:val="24"/>
                <w:lang w:val="en-US" w:eastAsia="zh-CN"/>
              </w:rPr>
              <w:t>性</w:t>
            </w:r>
            <w:r>
              <w:rPr>
                <w:rFonts w:hint="eastAsia" w:ascii="宋体" w:hAnsi="宋体" w:eastAsia="宋体" w:cs="宋体"/>
                <w:sz w:val="24"/>
                <w:szCs w:val="24"/>
                <w:lang w:eastAsia="zh-CN"/>
              </w:rPr>
              <w:t>物质（以</w:t>
            </w:r>
            <w:r>
              <w:rPr>
                <w:rFonts w:hint="eastAsia" w:ascii="宋体" w:hAnsi="宋体" w:eastAsia="宋体" w:cs="宋体"/>
                <w:sz w:val="24"/>
                <w:szCs w:val="24"/>
                <w:lang w:val="en-US" w:eastAsia="zh-CN"/>
              </w:rPr>
              <w:t>Fe</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baseline"/>
                <w:lang w:val="en-US" w:eastAsia="zh-CN"/>
              </w:rPr>
              <w:t>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的质量分数W</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w:t>
            </w:r>
          </w:p>
        </w:tc>
        <w:tc>
          <w:tcPr>
            <w:tcW w:w="4919" w:type="dxa"/>
            <w:vAlign w:val="top"/>
          </w:tcPr>
          <w:p w14:paraId="199989DB">
            <w:pPr>
              <w:ind w:left="0" w:leftChars="0" w:right="0" w:rightChars="0" w:firstLine="720" w:firstLineChars="300"/>
              <w:rPr>
                <w:rFonts w:hint="eastAsia" w:ascii="宋体" w:hAnsi="宋体" w:eastAsia="宋体" w:cs="宋体"/>
                <w:color w:val="auto"/>
                <w:sz w:val="20"/>
                <w:szCs w:val="20"/>
                <w:lang w:val="en-US" w:eastAsia="zh-CN"/>
              </w:rPr>
            </w:pPr>
            <w:r>
              <w:rPr>
                <w:rFonts w:hint="eastAsia" w:ascii="宋体" w:hAnsi="宋体" w:eastAsia="宋体" w:cs="宋体"/>
                <w:sz w:val="24"/>
                <w:szCs w:val="24"/>
                <w:lang w:val="en-US" w:eastAsia="zh-CN"/>
              </w:rPr>
              <w:t>0.15</w:t>
            </w:r>
          </w:p>
        </w:tc>
      </w:tr>
      <w:tr w14:paraId="12CAF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360" w:type="dxa"/>
            <w:vAlign w:val="top"/>
          </w:tcPr>
          <w:p w14:paraId="597FBEC9">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eastAsia="zh-CN"/>
              </w:rPr>
              <w:t>盐基度</w:t>
            </w:r>
            <w:r>
              <w:rPr>
                <w:rFonts w:hint="eastAsia" w:ascii="宋体" w:hAnsi="宋体" w:eastAsia="宋体" w:cs="宋体"/>
                <w:sz w:val="24"/>
                <w:szCs w:val="24"/>
                <w:lang w:val="en-US" w:eastAsia="zh-CN"/>
              </w:rPr>
              <w:t>W</w:t>
            </w:r>
            <w:r>
              <w:rPr>
                <w:rFonts w:hint="eastAsia" w:ascii="宋体" w:hAnsi="宋体" w:eastAsia="宋体" w:cs="宋体"/>
                <w:sz w:val="24"/>
                <w:szCs w:val="24"/>
                <w:vertAlign w:val="subscript"/>
                <w:lang w:val="en-US" w:eastAsia="zh-CN"/>
              </w:rPr>
              <w:t>3</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rPr>
              <w:t>%</w:t>
            </w:r>
          </w:p>
        </w:tc>
        <w:tc>
          <w:tcPr>
            <w:tcW w:w="4919" w:type="dxa"/>
            <w:vAlign w:val="top"/>
          </w:tcPr>
          <w:p w14:paraId="19FA4ED1">
            <w:pPr>
              <w:ind w:left="0" w:leftChars="0" w:right="0" w:rightChars="0" w:firstLine="720" w:firstLineChars="300"/>
              <w:rPr>
                <w:rFonts w:hint="eastAsia" w:ascii="宋体" w:hAnsi="宋体" w:eastAsia="宋体" w:cs="宋体"/>
                <w:color w:val="auto"/>
                <w:sz w:val="20"/>
                <w:szCs w:val="20"/>
              </w:rPr>
            </w:pPr>
            <w:r>
              <w:rPr>
                <w:rFonts w:hint="eastAsia" w:ascii="宋体" w:hAnsi="宋体" w:eastAsia="宋体" w:cs="宋体"/>
                <w:sz w:val="24"/>
                <w:szCs w:val="24"/>
                <w:lang w:val="en-US" w:eastAsia="zh-CN"/>
              </w:rPr>
              <w:t>8.0-16.0</w:t>
            </w:r>
          </w:p>
        </w:tc>
      </w:tr>
      <w:tr w14:paraId="26AE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360" w:type="dxa"/>
            <w:vAlign w:val="top"/>
          </w:tcPr>
          <w:p w14:paraId="0840D882">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val="en-US" w:eastAsia="zh-CN"/>
              </w:rPr>
              <w:t>PH值（10g/L水溶液）</w:t>
            </w:r>
          </w:p>
        </w:tc>
        <w:tc>
          <w:tcPr>
            <w:tcW w:w="4919" w:type="dxa"/>
            <w:vAlign w:val="top"/>
          </w:tcPr>
          <w:p w14:paraId="296EA3A8">
            <w:pPr>
              <w:ind w:left="0" w:leftChars="0" w:right="0" w:rightChars="0" w:firstLine="720" w:firstLineChars="300"/>
              <w:rPr>
                <w:rFonts w:hint="eastAsia" w:ascii="宋体" w:hAnsi="宋体" w:eastAsia="宋体" w:cs="宋体"/>
                <w:color w:val="auto"/>
                <w:sz w:val="20"/>
                <w:szCs w:val="20"/>
              </w:rPr>
            </w:pPr>
            <w:r>
              <w:rPr>
                <w:rFonts w:hint="eastAsia" w:ascii="宋体" w:hAnsi="宋体" w:eastAsia="宋体" w:cs="宋体"/>
                <w:sz w:val="24"/>
                <w:szCs w:val="24"/>
                <w:lang w:val="en-US" w:eastAsia="zh-CN"/>
              </w:rPr>
              <w:t>1.5-3.0</w:t>
            </w:r>
          </w:p>
        </w:tc>
      </w:tr>
      <w:tr w14:paraId="5BF99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360" w:type="dxa"/>
            <w:vAlign w:val="top"/>
          </w:tcPr>
          <w:p w14:paraId="464450A4">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val="en-US" w:eastAsia="zh-CN"/>
              </w:rPr>
              <w:t>砷（As）的质量分数W</w:t>
            </w:r>
            <w:r>
              <w:rPr>
                <w:rFonts w:hint="eastAsia" w:ascii="宋体" w:hAnsi="宋体" w:eastAsia="宋体" w:cs="宋体"/>
                <w:sz w:val="24"/>
                <w:szCs w:val="24"/>
                <w:vertAlign w:val="subscript"/>
                <w:lang w:val="en-US" w:eastAsia="zh-CN"/>
              </w:rPr>
              <w:t>5</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tc>
        <w:tc>
          <w:tcPr>
            <w:tcW w:w="4919" w:type="dxa"/>
            <w:vAlign w:val="top"/>
          </w:tcPr>
          <w:p w14:paraId="396C2088">
            <w:pPr>
              <w:ind w:left="0" w:leftChars="0" w:right="0" w:rightChars="0" w:firstLine="720" w:firstLineChars="300"/>
              <w:rPr>
                <w:rFonts w:hint="eastAsia" w:ascii="宋体" w:hAnsi="宋体" w:eastAsia="宋体" w:cs="宋体"/>
                <w:color w:val="auto"/>
                <w:sz w:val="20"/>
                <w:szCs w:val="20"/>
                <w:lang w:val="en-US" w:eastAsia="zh-CN"/>
              </w:rPr>
            </w:pPr>
            <w:r>
              <w:rPr>
                <w:rFonts w:hint="eastAsia" w:ascii="宋体" w:hAnsi="宋体" w:eastAsia="宋体" w:cs="宋体"/>
                <w:sz w:val="24"/>
                <w:szCs w:val="24"/>
                <w:lang w:val="en-US" w:eastAsia="zh-CN"/>
              </w:rPr>
              <w:t>0.0002</w:t>
            </w:r>
          </w:p>
        </w:tc>
      </w:tr>
      <w:tr w14:paraId="2801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4360" w:type="dxa"/>
            <w:vAlign w:val="top"/>
          </w:tcPr>
          <w:p w14:paraId="0D7BE919">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val="en-US" w:eastAsia="zh-CN"/>
              </w:rPr>
              <w:t>铅（Pb）的质量分数W</w:t>
            </w:r>
            <w:r>
              <w:rPr>
                <w:rFonts w:hint="eastAsia" w:ascii="宋体" w:hAnsi="宋体" w:eastAsia="宋体" w:cs="宋体"/>
                <w:sz w:val="24"/>
                <w:szCs w:val="24"/>
                <w:vertAlign w:val="subscript"/>
                <w:lang w:val="en-US" w:eastAsia="zh-CN"/>
              </w:rPr>
              <w:t>6</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tc>
        <w:tc>
          <w:tcPr>
            <w:tcW w:w="4919" w:type="dxa"/>
            <w:vAlign w:val="top"/>
          </w:tcPr>
          <w:p w14:paraId="29472BE1">
            <w:pPr>
              <w:ind w:left="0" w:leftChars="0" w:right="0" w:rightChars="0" w:firstLine="720" w:firstLineChars="300"/>
              <w:rPr>
                <w:rFonts w:hint="eastAsia" w:ascii="宋体" w:hAnsi="宋体" w:eastAsia="宋体" w:cs="宋体"/>
                <w:color w:val="auto"/>
                <w:sz w:val="20"/>
                <w:szCs w:val="20"/>
              </w:rPr>
            </w:pPr>
            <w:r>
              <w:rPr>
                <w:rFonts w:hint="eastAsia" w:ascii="宋体" w:hAnsi="宋体" w:eastAsia="宋体" w:cs="宋体"/>
                <w:sz w:val="24"/>
                <w:szCs w:val="24"/>
                <w:lang w:val="en-US" w:eastAsia="zh-CN"/>
              </w:rPr>
              <w:t>0.0004</w:t>
            </w:r>
          </w:p>
        </w:tc>
      </w:tr>
      <w:tr w14:paraId="4B365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360" w:type="dxa"/>
            <w:vAlign w:val="top"/>
          </w:tcPr>
          <w:p w14:paraId="784BE4AD">
            <w:pPr>
              <w:ind w:left="0" w:leftChars="0" w:right="0" w:rightChars="0"/>
              <w:jc w:val="center"/>
              <w:rPr>
                <w:rFonts w:hint="eastAsia" w:ascii="宋体" w:hAnsi="宋体" w:eastAsia="宋体" w:cs="宋体"/>
                <w:color w:val="auto"/>
                <w:sz w:val="20"/>
                <w:szCs w:val="20"/>
              </w:rPr>
            </w:pPr>
            <w:r>
              <w:rPr>
                <w:rFonts w:hint="eastAsia" w:ascii="宋体" w:hAnsi="宋体" w:eastAsia="宋体" w:cs="宋体"/>
                <w:sz w:val="24"/>
                <w:szCs w:val="24"/>
                <w:lang w:val="en-US" w:eastAsia="zh-CN"/>
              </w:rPr>
              <w:t>不溶物的质量分数W</w:t>
            </w:r>
            <w:r>
              <w:rPr>
                <w:rFonts w:hint="eastAsia" w:ascii="宋体" w:hAnsi="宋体" w:eastAsia="宋体" w:cs="宋体"/>
                <w:sz w:val="24"/>
                <w:szCs w:val="24"/>
                <w:vertAlign w:val="subscript"/>
                <w:lang w:val="en-US" w:eastAsia="zh-CN"/>
              </w:rPr>
              <w:t>4</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tc>
        <w:tc>
          <w:tcPr>
            <w:tcW w:w="4919" w:type="dxa"/>
            <w:vAlign w:val="top"/>
          </w:tcPr>
          <w:p w14:paraId="4027B96F">
            <w:pPr>
              <w:ind w:left="0" w:leftChars="0" w:right="0" w:rightChars="0" w:firstLine="720" w:firstLineChars="300"/>
              <w:rPr>
                <w:rFonts w:hint="eastAsia" w:ascii="宋体" w:hAnsi="宋体" w:eastAsia="宋体" w:cs="宋体"/>
                <w:color w:val="auto"/>
                <w:sz w:val="20"/>
                <w:szCs w:val="20"/>
              </w:rPr>
            </w:pPr>
            <w:r>
              <w:rPr>
                <w:rFonts w:hint="eastAsia" w:ascii="宋体" w:hAnsi="宋体" w:eastAsia="宋体" w:cs="宋体"/>
                <w:sz w:val="24"/>
                <w:szCs w:val="24"/>
                <w:lang w:val="en-US" w:eastAsia="zh-CN"/>
              </w:rPr>
              <w:t>0.4</w:t>
            </w:r>
          </w:p>
        </w:tc>
      </w:tr>
      <w:tr w14:paraId="6A3C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360" w:type="dxa"/>
            <w:vAlign w:val="top"/>
          </w:tcPr>
          <w:p w14:paraId="5D717E17">
            <w:pPr>
              <w:pStyle w:val="39"/>
              <w:spacing w:before="131" w:line="219" w:lineRule="auto"/>
              <w:ind w:left="1504"/>
              <w:rPr>
                <w:rFonts w:hint="eastAsia" w:asciiTheme="minorEastAsia" w:hAnsiTheme="minorEastAsia" w:eastAsiaTheme="minorEastAsia" w:cstheme="minorEastAsia"/>
                <w:color w:val="auto"/>
                <w:spacing w:val="3"/>
              </w:rPr>
            </w:pPr>
            <w:r>
              <w:rPr>
                <w:rFonts w:hint="eastAsia" w:asciiTheme="minorEastAsia" w:hAnsiTheme="minorEastAsia" w:eastAsiaTheme="minorEastAsia" w:cstheme="minorEastAsia"/>
                <w:color w:val="auto"/>
                <w:spacing w:val="3"/>
                <w:lang w:eastAsia="zh-CN"/>
              </w:rPr>
              <w:t>数量</w:t>
            </w:r>
          </w:p>
        </w:tc>
        <w:tc>
          <w:tcPr>
            <w:tcW w:w="4919" w:type="dxa"/>
            <w:vAlign w:val="center"/>
          </w:tcPr>
          <w:p w14:paraId="210946AB">
            <w:pPr>
              <w:pStyle w:val="39"/>
              <w:spacing w:before="131" w:line="219" w:lineRule="auto"/>
              <w:jc w:val="center"/>
              <w:rPr>
                <w:rFonts w:hint="eastAsia" w:asciiTheme="minorEastAsia" w:hAnsiTheme="minorEastAsia" w:eastAsiaTheme="minorEastAsia" w:cstheme="minorEastAsia"/>
                <w:color w:val="auto"/>
                <w:spacing w:val="3"/>
              </w:rPr>
            </w:pPr>
            <w:r>
              <w:rPr>
                <w:rFonts w:hint="eastAsia" w:asciiTheme="minorEastAsia" w:hAnsiTheme="minorEastAsia" w:eastAsiaTheme="minorEastAsia" w:cstheme="minorEastAsia"/>
                <w:color w:val="auto"/>
                <w:spacing w:val="3"/>
                <w:lang w:val="en-US" w:eastAsia="zh-CN"/>
              </w:rPr>
              <w:t>400吨</w:t>
            </w:r>
          </w:p>
        </w:tc>
      </w:tr>
      <w:tr w14:paraId="26F04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360" w:type="dxa"/>
            <w:vAlign w:val="top"/>
          </w:tcPr>
          <w:p w14:paraId="1A3B4C75">
            <w:pPr>
              <w:pStyle w:val="39"/>
              <w:spacing w:before="128" w:line="220" w:lineRule="auto"/>
              <w:ind w:firstLine="1476" w:firstLineChars="600"/>
              <w:rPr>
                <w:rFonts w:hint="eastAsia" w:asciiTheme="minorEastAsia" w:hAnsiTheme="minorEastAsia" w:eastAsiaTheme="minorEastAsia" w:cstheme="minorEastAsia"/>
                <w:color w:val="auto"/>
                <w:spacing w:val="3"/>
                <w:lang w:eastAsia="zh-CN"/>
              </w:rPr>
            </w:pPr>
            <w:r>
              <w:rPr>
                <w:rFonts w:hint="eastAsia" w:asciiTheme="minorEastAsia" w:hAnsiTheme="minorEastAsia" w:eastAsiaTheme="minorEastAsia" w:cstheme="minorEastAsia"/>
                <w:color w:val="auto"/>
                <w:spacing w:val="3"/>
                <w:lang w:val="en-US" w:eastAsia="zh-CN"/>
              </w:rPr>
              <w:t>执行标准</w:t>
            </w:r>
          </w:p>
        </w:tc>
        <w:tc>
          <w:tcPr>
            <w:tcW w:w="4919" w:type="dxa"/>
            <w:vAlign w:val="center"/>
          </w:tcPr>
          <w:p w14:paraId="14E10373">
            <w:pPr>
              <w:pStyle w:val="39"/>
              <w:spacing w:before="128" w:line="220" w:lineRule="auto"/>
              <w:jc w:val="center"/>
              <w:rPr>
                <w:rFonts w:hint="eastAsia" w:asciiTheme="minorEastAsia" w:hAnsiTheme="minorEastAsia" w:eastAsiaTheme="minorEastAsia" w:cstheme="minorEastAsia"/>
                <w:color w:val="auto"/>
                <w:spacing w:val="3"/>
                <w:lang w:val="en-US" w:eastAsia="zh-CN"/>
              </w:rPr>
            </w:pPr>
            <w:r>
              <w:rPr>
                <w:rFonts w:hint="eastAsia" w:asciiTheme="minorEastAsia" w:hAnsiTheme="minorEastAsia" w:eastAsiaTheme="minorEastAsia" w:cstheme="minorEastAsia"/>
                <w:color w:val="auto"/>
                <w:spacing w:val="3"/>
                <w:lang w:val="en-US" w:eastAsia="zh-CN"/>
              </w:rPr>
              <w:t>GB/T14591-2016</w:t>
            </w:r>
          </w:p>
        </w:tc>
      </w:tr>
    </w:tbl>
    <w:p w14:paraId="1E6A6053">
      <w:pPr>
        <w:spacing w:before="104" w:line="222" w:lineRule="auto"/>
        <w:ind w:left="304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8"/>
          <w:sz w:val="32"/>
          <w:szCs w:val="32"/>
        </w:rPr>
        <w:t>阳离子聚丙烯酰胺</w:t>
      </w:r>
    </w:p>
    <w:tbl>
      <w:tblPr>
        <w:tblStyle w:val="33"/>
        <w:tblW w:w="9199"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6"/>
        <w:gridCol w:w="6033"/>
      </w:tblGrid>
      <w:tr w14:paraId="4CF81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3" w:hRule="atLeast"/>
        </w:trPr>
        <w:tc>
          <w:tcPr>
            <w:tcW w:w="3166" w:type="dxa"/>
            <w:vAlign w:val="top"/>
          </w:tcPr>
          <w:p w14:paraId="4A956789">
            <w:pPr>
              <w:pStyle w:val="39"/>
              <w:spacing w:before="189" w:line="220" w:lineRule="auto"/>
              <w:ind w:left="17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项 目</w:t>
            </w:r>
          </w:p>
        </w:tc>
        <w:tc>
          <w:tcPr>
            <w:tcW w:w="6033" w:type="dxa"/>
            <w:vAlign w:val="top"/>
          </w:tcPr>
          <w:p w14:paraId="0E34A1D9">
            <w:pPr>
              <w:pStyle w:val="39"/>
              <w:spacing w:before="189" w:line="220" w:lineRule="auto"/>
              <w:ind w:left="187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指标</w:t>
            </w:r>
          </w:p>
        </w:tc>
      </w:tr>
      <w:tr w14:paraId="6F128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166" w:type="dxa"/>
            <w:vAlign w:val="center"/>
          </w:tcPr>
          <w:p w14:paraId="640DE480">
            <w:pPr>
              <w:pStyle w:val="39"/>
              <w:spacing w:before="126" w:line="220" w:lineRule="auto"/>
              <w:ind w:left="1765"/>
              <w:jc w:val="center"/>
              <w:rPr>
                <w:rFonts w:hint="eastAsia" w:ascii="宋体" w:hAnsi="宋体" w:eastAsia="宋体" w:cs="宋体"/>
                <w:color w:val="auto"/>
                <w:sz w:val="20"/>
                <w:szCs w:val="20"/>
              </w:rPr>
            </w:pPr>
            <w:r>
              <w:rPr>
                <w:rFonts w:hint="eastAsia" w:ascii="宋体" w:hAnsi="宋体" w:eastAsia="宋体" w:cs="宋体"/>
                <w:color w:val="auto"/>
                <w:spacing w:val="8"/>
                <w:sz w:val="20"/>
                <w:szCs w:val="20"/>
              </w:rPr>
              <w:t>外观</w:t>
            </w:r>
          </w:p>
        </w:tc>
        <w:tc>
          <w:tcPr>
            <w:tcW w:w="6033" w:type="dxa"/>
            <w:vAlign w:val="top"/>
          </w:tcPr>
          <w:p w14:paraId="3539CD50">
            <w:pPr>
              <w:pStyle w:val="39"/>
              <w:spacing w:before="126" w:line="220" w:lineRule="auto"/>
              <w:ind w:left="1554"/>
              <w:rPr>
                <w:rFonts w:hint="eastAsia" w:ascii="宋体" w:hAnsi="宋体" w:eastAsia="宋体" w:cs="宋体"/>
                <w:color w:val="auto"/>
                <w:sz w:val="20"/>
                <w:szCs w:val="20"/>
              </w:rPr>
            </w:pPr>
            <w:r>
              <w:rPr>
                <w:rFonts w:hint="eastAsia" w:ascii="宋体" w:hAnsi="宋体" w:eastAsia="宋体" w:cs="宋体"/>
                <w:color w:val="auto"/>
                <w:spacing w:val="2"/>
                <w:sz w:val="20"/>
                <w:szCs w:val="20"/>
              </w:rPr>
              <w:t>白色颗粒</w:t>
            </w:r>
          </w:p>
        </w:tc>
      </w:tr>
      <w:tr w14:paraId="07C2F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166" w:type="dxa"/>
            <w:vAlign w:val="center"/>
          </w:tcPr>
          <w:p w14:paraId="6F9D0FC3">
            <w:pPr>
              <w:pStyle w:val="39"/>
              <w:spacing w:before="126" w:line="219" w:lineRule="auto"/>
              <w:jc w:val="center"/>
              <w:rPr>
                <w:rFonts w:hint="eastAsia" w:ascii="宋体" w:hAnsi="宋体" w:eastAsia="宋体" w:cs="宋体"/>
                <w:color w:val="auto"/>
                <w:sz w:val="20"/>
                <w:szCs w:val="20"/>
              </w:rPr>
            </w:pPr>
            <w:r>
              <w:rPr>
                <w:rFonts w:hint="eastAsia" w:ascii="宋体" w:hAnsi="宋体" w:eastAsia="宋体" w:cs="宋体"/>
                <w:sz w:val="22"/>
                <w:szCs w:val="22"/>
              </w:rPr>
              <w:t>固含量（固体）</w:t>
            </w:r>
            <w:r>
              <w:rPr>
                <w:rFonts w:hint="eastAsia" w:ascii="宋体" w:hAnsi="宋体" w:eastAsia="宋体" w:cs="宋体"/>
                <w:sz w:val="22"/>
                <w:szCs w:val="22"/>
                <w:lang w:val="en-US" w:eastAsia="zh-CN"/>
              </w:rPr>
              <w:t>, W</w:t>
            </w:r>
            <w:r>
              <w:rPr>
                <w:rFonts w:hint="eastAsia" w:ascii="宋体" w:hAnsi="宋体" w:eastAsia="宋体" w:cs="宋体"/>
                <w:sz w:val="22"/>
                <w:szCs w:val="22"/>
                <w:vertAlign w:val="subscript"/>
                <w:lang w:val="en-US" w:eastAsia="zh-CN"/>
              </w:rPr>
              <w:t>1/</w:t>
            </w:r>
            <w:r>
              <w:rPr>
                <w:rFonts w:hint="eastAsia" w:ascii="宋体" w:hAnsi="宋体" w:eastAsia="宋体" w:cs="宋体"/>
                <w:sz w:val="22"/>
                <w:szCs w:val="22"/>
              </w:rPr>
              <w:t>%</w:t>
            </w:r>
          </w:p>
        </w:tc>
        <w:tc>
          <w:tcPr>
            <w:tcW w:w="6033" w:type="dxa"/>
            <w:vAlign w:val="top"/>
          </w:tcPr>
          <w:p w14:paraId="24F24727">
            <w:pPr>
              <w:pStyle w:val="39"/>
              <w:spacing w:before="157" w:line="220" w:lineRule="auto"/>
              <w:ind w:left="1874"/>
              <w:rPr>
                <w:rFonts w:hint="eastAsia" w:ascii="宋体" w:hAnsi="宋体" w:eastAsia="宋体" w:cs="宋体"/>
                <w:color w:val="auto"/>
                <w:sz w:val="20"/>
                <w:szCs w:val="20"/>
              </w:rPr>
            </w:pPr>
            <w:r>
              <w:rPr>
                <w:rFonts w:hint="eastAsia" w:ascii="宋体" w:hAnsi="宋体" w:eastAsia="宋体" w:cs="宋体"/>
                <w:sz w:val="22"/>
                <w:szCs w:val="22"/>
                <w:lang w:val="en-US" w:eastAsia="zh-CN"/>
              </w:rPr>
              <w:t>W</w:t>
            </w:r>
            <w:r>
              <w:rPr>
                <w:rFonts w:hint="eastAsia" w:ascii="宋体" w:hAnsi="宋体" w:eastAsia="宋体" w:cs="宋体"/>
                <w:sz w:val="22"/>
                <w:szCs w:val="22"/>
                <w:vertAlign w:val="subscript"/>
                <w:lang w:val="en-US" w:eastAsia="zh-CN"/>
              </w:rPr>
              <w:t>1</w:t>
            </w:r>
            <w:r>
              <w:rPr>
                <w:rFonts w:hint="eastAsia" w:ascii="宋体" w:hAnsi="宋体" w:eastAsia="宋体" w:cs="宋体"/>
                <w:sz w:val="22"/>
                <w:szCs w:val="22"/>
                <w:lang w:val="en-US" w:eastAsia="zh-CN"/>
              </w:rPr>
              <w:t>≥88</w:t>
            </w:r>
          </w:p>
        </w:tc>
      </w:tr>
      <w:tr w14:paraId="79876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166" w:type="dxa"/>
            <w:vAlign w:val="center"/>
          </w:tcPr>
          <w:p w14:paraId="65EAE7AB">
            <w:pPr>
              <w:pStyle w:val="39"/>
              <w:spacing w:before="128" w:line="220" w:lineRule="auto"/>
              <w:jc w:val="center"/>
              <w:rPr>
                <w:rFonts w:hint="eastAsia" w:ascii="宋体" w:hAnsi="宋体" w:eastAsia="宋体" w:cs="宋体"/>
                <w:color w:val="auto"/>
                <w:sz w:val="20"/>
                <w:szCs w:val="20"/>
              </w:rPr>
            </w:pPr>
            <w:r>
              <w:rPr>
                <w:rFonts w:hint="eastAsia" w:ascii="宋体" w:hAnsi="宋体" w:eastAsia="宋体" w:cs="宋体"/>
                <w:sz w:val="22"/>
                <w:szCs w:val="22"/>
                <w:lang w:val="en-US" w:eastAsia="zh-CN"/>
              </w:rPr>
              <w:t>相对分子量,M</w:t>
            </w:r>
          </w:p>
        </w:tc>
        <w:tc>
          <w:tcPr>
            <w:tcW w:w="6033" w:type="dxa"/>
            <w:vAlign w:val="top"/>
          </w:tcPr>
          <w:p w14:paraId="542F02B1">
            <w:pPr>
              <w:pStyle w:val="39"/>
              <w:spacing w:before="159" w:line="225" w:lineRule="auto"/>
              <w:ind w:left="1395"/>
              <w:rPr>
                <w:rFonts w:hint="eastAsia" w:ascii="宋体" w:hAnsi="宋体" w:eastAsia="宋体" w:cs="宋体"/>
                <w:color w:val="auto"/>
                <w:sz w:val="20"/>
                <w:szCs w:val="20"/>
              </w:rPr>
            </w:pPr>
            <w:r>
              <w:rPr>
                <w:rFonts w:hint="eastAsia" w:ascii="宋体" w:hAnsi="宋体" w:eastAsia="宋体" w:cs="宋体"/>
                <w:sz w:val="22"/>
                <w:szCs w:val="22"/>
                <w:lang w:val="en-US" w:eastAsia="zh-CN"/>
              </w:rPr>
              <w:t>M≥100×10</w:t>
            </w:r>
            <w:r>
              <w:rPr>
                <w:rFonts w:hint="eastAsia" w:ascii="宋体" w:hAnsi="宋体" w:eastAsia="宋体" w:cs="宋体"/>
                <w:sz w:val="22"/>
                <w:szCs w:val="22"/>
                <w:vertAlign w:val="superscript"/>
                <w:lang w:val="en-US" w:eastAsia="zh-CN"/>
              </w:rPr>
              <w:t>4</w:t>
            </w:r>
          </w:p>
        </w:tc>
      </w:tr>
      <w:tr w14:paraId="486A8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166" w:type="dxa"/>
            <w:vAlign w:val="center"/>
          </w:tcPr>
          <w:p w14:paraId="1B25AF4B">
            <w:pPr>
              <w:pStyle w:val="39"/>
              <w:spacing w:before="128" w:line="219" w:lineRule="auto"/>
              <w:ind w:firstLine="220" w:firstLineChars="100"/>
              <w:jc w:val="center"/>
              <w:rPr>
                <w:rFonts w:hint="eastAsia" w:ascii="宋体" w:hAnsi="宋体" w:eastAsia="宋体" w:cs="宋体"/>
                <w:color w:val="auto"/>
                <w:sz w:val="20"/>
                <w:szCs w:val="20"/>
              </w:rPr>
            </w:pPr>
            <w:r>
              <w:rPr>
                <w:rFonts w:hint="eastAsia" w:ascii="宋体" w:hAnsi="宋体" w:eastAsia="宋体" w:cs="宋体"/>
                <w:sz w:val="22"/>
                <w:szCs w:val="22"/>
                <w:lang w:val="en-US" w:eastAsia="zh-CN"/>
              </w:rPr>
              <w:t>水不溶物, W</w:t>
            </w:r>
            <w:r>
              <w:rPr>
                <w:rFonts w:hint="eastAsia" w:ascii="宋体" w:hAnsi="宋体" w:eastAsia="宋体" w:cs="宋体"/>
                <w:sz w:val="22"/>
                <w:szCs w:val="22"/>
                <w:vertAlign w:val="subscript"/>
                <w:lang w:val="en-US" w:eastAsia="zh-CN"/>
              </w:rPr>
              <w:t>3</w:t>
            </w:r>
            <w:r>
              <w:rPr>
                <w:rFonts w:hint="eastAsia" w:ascii="宋体" w:hAnsi="宋体" w:eastAsia="宋体" w:cs="宋体"/>
                <w:sz w:val="22"/>
                <w:szCs w:val="22"/>
                <w:vertAlign w:val="baseline"/>
                <w:lang w:val="en-US" w:eastAsia="zh-CN"/>
              </w:rPr>
              <w:t>/</w:t>
            </w:r>
            <w:r>
              <w:rPr>
                <w:rFonts w:hint="eastAsia" w:ascii="宋体" w:hAnsi="宋体" w:eastAsia="宋体" w:cs="宋体"/>
                <w:kern w:val="2"/>
                <w:sz w:val="22"/>
                <w:szCs w:val="22"/>
                <w:lang w:val="en-US" w:eastAsia="zh-CN" w:bidi="ar-SA"/>
              </w:rPr>
              <w:t>%</w:t>
            </w:r>
          </w:p>
        </w:tc>
        <w:tc>
          <w:tcPr>
            <w:tcW w:w="6033" w:type="dxa"/>
            <w:vAlign w:val="top"/>
          </w:tcPr>
          <w:p w14:paraId="31FA09DA">
            <w:pPr>
              <w:pStyle w:val="39"/>
              <w:spacing w:before="155" w:line="221" w:lineRule="auto"/>
              <w:ind w:left="1794"/>
              <w:rPr>
                <w:rFonts w:hint="eastAsia" w:ascii="宋体" w:hAnsi="宋体" w:eastAsia="宋体" w:cs="宋体"/>
                <w:color w:val="auto"/>
                <w:sz w:val="20"/>
                <w:szCs w:val="20"/>
              </w:rPr>
            </w:pPr>
            <w:r>
              <w:rPr>
                <w:rFonts w:hint="eastAsia" w:ascii="宋体" w:hAnsi="宋体" w:eastAsia="宋体" w:cs="宋体"/>
                <w:sz w:val="22"/>
                <w:szCs w:val="22"/>
                <w:lang w:val="en-US" w:eastAsia="zh-CN"/>
              </w:rPr>
              <w:t>W</w:t>
            </w:r>
            <w:r>
              <w:rPr>
                <w:rFonts w:hint="eastAsia" w:ascii="宋体" w:hAnsi="宋体" w:eastAsia="宋体" w:cs="宋体"/>
                <w:sz w:val="22"/>
                <w:szCs w:val="22"/>
                <w:vertAlign w:val="subscript"/>
                <w:lang w:val="en-US" w:eastAsia="zh-CN"/>
              </w:rPr>
              <w:t>3</w:t>
            </w:r>
            <w:r>
              <w:rPr>
                <w:rFonts w:hint="eastAsia" w:ascii="宋体" w:hAnsi="宋体" w:eastAsia="宋体" w:cs="宋体"/>
                <w:kern w:val="2"/>
                <w:sz w:val="22"/>
                <w:szCs w:val="22"/>
                <w:lang w:val="en-US" w:eastAsia="zh-CN" w:bidi="ar-SA"/>
              </w:rPr>
              <w:t>≤0.3</w:t>
            </w:r>
          </w:p>
        </w:tc>
      </w:tr>
      <w:tr w14:paraId="51BC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166" w:type="dxa"/>
            <w:vAlign w:val="center"/>
          </w:tcPr>
          <w:p w14:paraId="26BA438B">
            <w:pPr>
              <w:pStyle w:val="39"/>
              <w:spacing w:before="130" w:line="220" w:lineRule="auto"/>
              <w:jc w:val="center"/>
              <w:rPr>
                <w:rFonts w:hint="eastAsia" w:ascii="宋体" w:hAnsi="宋体" w:eastAsia="宋体" w:cs="宋体"/>
                <w:color w:val="auto"/>
                <w:sz w:val="20"/>
                <w:szCs w:val="20"/>
              </w:rPr>
            </w:pPr>
            <w:r>
              <w:rPr>
                <w:rFonts w:hint="eastAsia" w:ascii="宋体" w:hAnsi="宋体" w:eastAsia="宋体" w:cs="宋体"/>
                <w:sz w:val="22"/>
                <w:szCs w:val="22"/>
                <w:lang w:val="en-US" w:eastAsia="zh-CN"/>
              </w:rPr>
              <w:t>溶解时间（1g/L），t/min</w:t>
            </w:r>
          </w:p>
        </w:tc>
        <w:tc>
          <w:tcPr>
            <w:tcW w:w="6033" w:type="dxa"/>
            <w:vAlign w:val="top"/>
          </w:tcPr>
          <w:p w14:paraId="5082315B">
            <w:pPr>
              <w:pStyle w:val="39"/>
              <w:spacing w:before="158" w:line="225" w:lineRule="auto"/>
              <w:ind w:left="1874"/>
              <w:rPr>
                <w:rFonts w:hint="eastAsia" w:ascii="宋体" w:hAnsi="宋体" w:eastAsia="宋体" w:cs="宋体"/>
                <w:color w:val="auto"/>
                <w:sz w:val="20"/>
                <w:szCs w:val="20"/>
              </w:rPr>
            </w:pPr>
            <w:r>
              <w:rPr>
                <w:rFonts w:hint="eastAsia" w:ascii="宋体" w:hAnsi="宋体" w:eastAsia="宋体" w:cs="宋体"/>
                <w:kern w:val="2"/>
                <w:sz w:val="22"/>
                <w:szCs w:val="22"/>
                <w:lang w:val="en-US" w:eastAsia="zh-CN" w:bidi="ar-SA"/>
              </w:rPr>
              <w:t>t≤60</w:t>
            </w:r>
          </w:p>
        </w:tc>
      </w:tr>
      <w:tr w14:paraId="512C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3166" w:type="dxa"/>
            <w:vAlign w:val="center"/>
          </w:tcPr>
          <w:p w14:paraId="2B0A9053">
            <w:pPr>
              <w:pStyle w:val="39"/>
              <w:spacing w:before="132" w:line="220" w:lineRule="auto"/>
              <w:ind w:firstLine="880" w:firstLineChars="400"/>
              <w:jc w:val="both"/>
              <w:rPr>
                <w:rFonts w:hint="eastAsia" w:ascii="宋体" w:hAnsi="宋体" w:eastAsia="宋体" w:cs="宋体"/>
                <w:color w:val="auto"/>
                <w:sz w:val="20"/>
                <w:szCs w:val="20"/>
              </w:rPr>
            </w:pPr>
            <w:r>
              <w:rPr>
                <w:rFonts w:hint="eastAsia" w:ascii="宋体" w:hAnsi="宋体" w:eastAsia="宋体" w:cs="宋体"/>
                <w:sz w:val="22"/>
                <w:szCs w:val="22"/>
                <w:lang w:val="en-US" w:eastAsia="zh-CN"/>
              </w:rPr>
              <w:t>阳离子度，W/%</w:t>
            </w:r>
          </w:p>
        </w:tc>
        <w:tc>
          <w:tcPr>
            <w:tcW w:w="6033" w:type="dxa"/>
            <w:vAlign w:val="top"/>
          </w:tcPr>
          <w:p w14:paraId="1E518933">
            <w:pPr>
              <w:pStyle w:val="39"/>
              <w:spacing w:before="162" w:line="217" w:lineRule="auto"/>
              <w:ind w:left="1794"/>
              <w:rPr>
                <w:rFonts w:hint="eastAsia" w:ascii="宋体" w:hAnsi="宋体" w:eastAsia="宋体" w:cs="宋体"/>
                <w:color w:val="auto"/>
                <w:sz w:val="20"/>
                <w:szCs w:val="20"/>
              </w:rPr>
            </w:pPr>
            <w:r>
              <w:rPr>
                <w:rFonts w:hint="eastAsia" w:ascii="宋体" w:hAnsi="宋体" w:eastAsia="宋体" w:cs="宋体"/>
                <w:kern w:val="2"/>
                <w:sz w:val="22"/>
                <w:szCs w:val="22"/>
                <w:lang w:val="en-US" w:eastAsia="zh-CN" w:bidi="ar-SA"/>
              </w:rPr>
              <w:t>5.0≤W≤95.0</w:t>
            </w:r>
          </w:p>
        </w:tc>
      </w:tr>
      <w:tr w14:paraId="79712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166" w:type="dxa"/>
            <w:vAlign w:val="center"/>
          </w:tcPr>
          <w:p w14:paraId="659A207A">
            <w:pPr>
              <w:pStyle w:val="39"/>
              <w:spacing w:before="130" w:line="219" w:lineRule="auto"/>
              <w:jc w:val="center"/>
              <w:rPr>
                <w:rFonts w:hint="eastAsia" w:ascii="宋体" w:hAnsi="宋体" w:eastAsia="宋体" w:cs="宋体"/>
                <w:color w:val="auto"/>
                <w:sz w:val="20"/>
                <w:szCs w:val="20"/>
              </w:rPr>
            </w:pPr>
            <w:r>
              <w:rPr>
                <w:rFonts w:hint="eastAsia" w:ascii="宋体" w:hAnsi="宋体" w:eastAsia="宋体" w:cs="宋体"/>
                <w:sz w:val="22"/>
                <w:szCs w:val="22"/>
                <w:lang w:val="en-US" w:eastAsia="zh-CN"/>
              </w:rPr>
              <w:t>丙烯酰胺单体含量（干基），W</w:t>
            </w:r>
            <w:r>
              <w:rPr>
                <w:rFonts w:hint="eastAsia" w:ascii="宋体" w:hAnsi="宋体" w:eastAsia="宋体" w:cs="宋体"/>
                <w:sz w:val="22"/>
                <w:szCs w:val="22"/>
                <w:vertAlign w:val="subscript"/>
                <w:lang w:val="en-US" w:eastAsia="zh-CN"/>
              </w:rPr>
              <w:t>2</w:t>
            </w:r>
            <w:r>
              <w:rPr>
                <w:rFonts w:hint="eastAsia" w:ascii="宋体" w:hAnsi="宋体" w:eastAsia="宋体" w:cs="宋体"/>
                <w:sz w:val="22"/>
                <w:szCs w:val="22"/>
                <w:vertAlign w:val="baseline"/>
                <w:lang w:val="en-US" w:eastAsia="zh-CN"/>
              </w:rPr>
              <w:t xml:space="preserve">/ </w:t>
            </w:r>
            <w:r>
              <w:rPr>
                <w:rFonts w:hint="eastAsia" w:ascii="宋体" w:hAnsi="宋体" w:eastAsia="宋体" w:cs="宋体"/>
                <w:sz w:val="22"/>
                <w:szCs w:val="22"/>
                <w:lang w:val="en-US" w:eastAsia="zh-CN"/>
              </w:rPr>
              <w:t>%</w:t>
            </w:r>
          </w:p>
        </w:tc>
        <w:tc>
          <w:tcPr>
            <w:tcW w:w="6033" w:type="dxa"/>
            <w:vAlign w:val="top"/>
          </w:tcPr>
          <w:p w14:paraId="05166CF0">
            <w:pPr>
              <w:pStyle w:val="39"/>
              <w:spacing w:before="159" w:line="221" w:lineRule="auto"/>
              <w:ind w:left="1794"/>
              <w:rPr>
                <w:rFonts w:hint="eastAsia" w:ascii="宋体" w:hAnsi="宋体" w:eastAsia="宋体" w:cs="宋体"/>
                <w:color w:val="auto"/>
                <w:sz w:val="20"/>
                <w:szCs w:val="20"/>
              </w:rPr>
            </w:pPr>
            <w:r>
              <w:rPr>
                <w:rFonts w:hint="eastAsia" w:ascii="宋体" w:hAnsi="宋体" w:eastAsia="宋体" w:cs="宋体"/>
                <w:sz w:val="22"/>
                <w:szCs w:val="22"/>
                <w:lang w:val="en-US" w:eastAsia="zh-CN"/>
              </w:rPr>
              <w:t>W</w:t>
            </w:r>
            <w:r>
              <w:rPr>
                <w:rFonts w:hint="eastAsia" w:ascii="宋体" w:hAnsi="宋体" w:eastAsia="宋体" w:cs="宋体"/>
                <w:sz w:val="22"/>
                <w:szCs w:val="22"/>
                <w:vertAlign w:val="subscript"/>
                <w:lang w:val="en-US" w:eastAsia="zh-CN"/>
              </w:rPr>
              <w:t>2</w:t>
            </w:r>
            <w:r>
              <w:rPr>
                <w:rFonts w:hint="eastAsia" w:ascii="宋体" w:hAnsi="宋体" w:eastAsia="宋体" w:cs="宋体"/>
                <w:kern w:val="2"/>
                <w:sz w:val="22"/>
                <w:szCs w:val="22"/>
                <w:lang w:val="en-US" w:eastAsia="zh-CN" w:bidi="ar-SA"/>
              </w:rPr>
              <w:t>≤0.1</w:t>
            </w:r>
          </w:p>
        </w:tc>
      </w:tr>
      <w:tr w14:paraId="7490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166" w:type="dxa"/>
            <w:vAlign w:val="center"/>
          </w:tcPr>
          <w:p w14:paraId="7A829337">
            <w:pPr>
              <w:pStyle w:val="39"/>
              <w:spacing w:before="130" w:line="219" w:lineRule="auto"/>
              <w:ind w:left="245"/>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pacing w:val="-8"/>
                <w:sz w:val="20"/>
                <w:szCs w:val="20"/>
                <w:lang w:eastAsia="zh-CN"/>
              </w:rPr>
              <w:t>数量</w:t>
            </w:r>
          </w:p>
        </w:tc>
        <w:tc>
          <w:tcPr>
            <w:tcW w:w="6033" w:type="dxa"/>
            <w:vAlign w:val="top"/>
          </w:tcPr>
          <w:p w14:paraId="4941085F">
            <w:pPr>
              <w:pStyle w:val="39"/>
              <w:spacing w:before="159" w:line="221" w:lineRule="auto"/>
              <w:ind w:left="1794"/>
              <w:rPr>
                <w:rFonts w:hint="eastAsia" w:ascii="宋体" w:hAnsi="宋体" w:eastAsia="宋体" w:cs="宋体"/>
                <w:b w:val="0"/>
                <w:bCs w:val="0"/>
                <w:color w:val="auto"/>
                <w:spacing w:val="-9"/>
                <w:sz w:val="20"/>
                <w:szCs w:val="20"/>
              </w:rPr>
            </w:pPr>
            <w:r>
              <w:rPr>
                <w:rFonts w:hint="eastAsia" w:ascii="宋体" w:hAnsi="宋体" w:eastAsia="宋体" w:cs="宋体"/>
                <w:b w:val="0"/>
                <w:bCs w:val="0"/>
                <w:color w:val="auto"/>
                <w:spacing w:val="-8"/>
                <w:sz w:val="20"/>
                <w:szCs w:val="20"/>
                <w:lang w:val="en-US" w:eastAsia="zh-CN"/>
              </w:rPr>
              <w:t>10吨</w:t>
            </w:r>
          </w:p>
        </w:tc>
      </w:tr>
      <w:tr w14:paraId="1A30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166" w:type="dxa"/>
            <w:vAlign w:val="top"/>
          </w:tcPr>
          <w:p w14:paraId="019357D8">
            <w:pPr>
              <w:pStyle w:val="39"/>
              <w:spacing w:before="130" w:line="219" w:lineRule="auto"/>
              <w:ind w:left="245"/>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执行标准</w:t>
            </w:r>
          </w:p>
        </w:tc>
        <w:tc>
          <w:tcPr>
            <w:tcW w:w="6033" w:type="dxa"/>
            <w:vAlign w:val="top"/>
          </w:tcPr>
          <w:p w14:paraId="1AA7647B">
            <w:pPr>
              <w:spacing w:before="104" w:line="222" w:lineRule="auto"/>
              <w:rPr>
                <w:rFonts w:hint="eastAsia" w:asciiTheme="minorEastAsia" w:hAnsiTheme="minorEastAsia" w:eastAsiaTheme="minorEastAsia" w:cstheme="minorEastAsia"/>
                <w:b w:val="0"/>
                <w:bCs w:val="0"/>
                <w:color w:val="auto"/>
                <w:spacing w:val="-9"/>
                <w:sz w:val="24"/>
                <w:szCs w:val="24"/>
              </w:rPr>
            </w:pPr>
            <w:r>
              <w:rPr>
                <w:rFonts w:hint="eastAsia" w:asciiTheme="minorEastAsia" w:hAnsiTheme="minorEastAsia" w:eastAsiaTheme="minorEastAsia" w:cstheme="minorEastAsia"/>
                <w:b w:val="0"/>
                <w:bCs w:val="0"/>
                <w:color w:val="auto"/>
                <w:spacing w:val="-8"/>
                <w:sz w:val="24"/>
                <w:szCs w:val="24"/>
                <w:lang w:val="en-US" w:eastAsia="zh-CN"/>
              </w:rPr>
              <w:t>GB/T31246-2014</w:t>
            </w:r>
          </w:p>
        </w:tc>
      </w:tr>
    </w:tbl>
    <w:p w14:paraId="063DBA0E">
      <w:pPr>
        <w:spacing w:before="139" w:line="220" w:lineRule="auto"/>
        <w:ind w:left="3525"/>
        <w:rPr>
          <w:rFonts w:hint="eastAsia" w:asciiTheme="minorEastAsia" w:hAnsiTheme="minorEastAsia" w:eastAsiaTheme="minorEastAsia" w:cstheme="minorEastAsia"/>
          <w:color w:val="auto"/>
          <w:spacing w:val="6"/>
          <w:sz w:val="32"/>
          <w:szCs w:val="32"/>
        </w:rPr>
      </w:pPr>
    </w:p>
    <w:p w14:paraId="3F7B9C76">
      <w:pPr>
        <w:spacing w:before="139" w:line="220" w:lineRule="auto"/>
        <w:ind w:left="3525"/>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pacing w:val="6"/>
          <w:sz w:val="32"/>
          <w:szCs w:val="32"/>
        </w:rPr>
        <w:t>聚合氯化铝</w:t>
      </w:r>
    </w:p>
    <w:p w14:paraId="5C27C3F9">
      <w:pPr>
        <w:spacing w:line="19" w:lineRule="exact"/>
        <w:rPr>
          <w:rFonts w:hint="eastAsia" w:asciiTheme="minorEastAsia" w:hAnsiTheme="minorEastAsia" w:eastAsiaTheme="minorEastAsia" w:cstheme="minorEastAsia"/>
          <w:color w:val="auto"/>
        </w:rPr>
      </w:pPr>
    </w:p>
    <w:tbl>
      <w:tblPr>
        <w:tblStyle w:val="33"/>
        <w:tblpPr w:leftFromText="180" w:rightFromText="180" w:vertAnchor="text" w:horzAnchor="page" w:tblpX="1421" w:tblpY="57"/>
        <w:tblOverlap w:val="never"/>
        <w:tblW w:w="91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20"/>
        <w:gridCol w:w="5399"/>
      </w:tblGrid>
      <w:tr w14:paraId="4C92A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3720" w:type="dxa"/>
            <w:vAlign w:val="top"/>
          </w:tcPr>
          <w:p w14:paraId="4E19FD33">
            <w:pPr>
              <w:pStyle w:val="39"/>
              <w:spacing w:before="119" w:line="220" w:lineRule="auto"/>
              <w:ind w:left="14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项 目</w:t>
            </w:r>
          </w:p>
        </w:tc>
        <w:tc>
          <w:tcPr>
            <w:tcW w:w="5399" w:type="dxa"/>
            <w:vAlign w:val="top"/>
          </w:tcPr>
          <w:p w14:paraId="5D08A50D">
            <w:pPr>
              <w:pStyle w:val="39"/>
              <w:spacing w:before="118" w:line="219" w:lineRule="auto"/>
              <w:ind w:left="22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数值</w:t>
            </w:r>
          </w:p>
        </w:tc>
      </w:tr>
      <w:tr w14:paraId="7594A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720" w:type="dxa"/>
            <w:vAlign w:val="center"/>
          </w:tcPr>
          <w:p w14:paraId="0BCA6291">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lang w:val="en-US" w:eastAsia="zh-CN"/>
              </w:rPr>
              <w:t>外观</w:t>
            </w:r>
          </w:p>
        </w:tc>
        <w:tc>
          <w:tcPr>
            <w:tcW w:w="5399" w:type="dxa"/>
            <w:vAlign w:val="top"/>
          </w:tcPr>
          <w:p w14:paraId="6D2ABA64">
            <w:pPr>
              <w:pStyle w:val="39"/>
              <w:spacing w:before="122" w:line="219" w:lineRule="auto"/>
              <w:ind w:left="20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淡黄色</w:t>
            </w:r>
          </w:p>
        </w:tc>
      </w:tr>
      <w:tr w14:paraId="73FC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192E6663">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cs="宋体"/>
                <w:color w:val="000000"/>
                <w:sz w:val="24"/>
                <w:szCs w:val="24"/>
                <w:lang w:val="en-US" w:eastAsia="zh-CN"/>
              </w:rPr>
              <w:t>氧</w:t>
            </w:r>
            <w:r>
              <w:rPr>
                <w:rFonts w:hint="eastAsia" w:ascii="宋体" w:hAnsi="宋体" w:eastAsia="宋体" w:cs="宋体"/>
                <w:color w:val="000000"/>
                <w:sz w:val="24"/>
                <w:szCs w:val="24"/>
              </w:rPr>
              <w:t>化</w:t>
            </w:r>
            <w:r>
              <w:rPr>
                <w:rFonts w:hint="eastAsia" w:ascii="宋体" w:hAnsi="宋体" w:eastAsia="宋体" w:cs="宋体"/>
                <w:color w:val="000000"/>
                <w:sz w:val="24"/>
                <w:szCs w:val="24"/>
                <w:lang w:val="en-US" w:eastAsia="zh-CN"/>
              </w:rPr>
              <w:t>铝</w:t>
            </w:r>
            <w:r>
              <w:rPr>
                <w:rFonts w:hint="eastAsia" w:ascii="宋体" w:hAnsi="宋体" w:cs="宋体"/>
                <w:color w:val="000000"/>
                <w:sz w:val="24"/>
                <w:szCs w:val="24"/>
                <w:lang w:val="en-US" w:eastAsia="zh-CN"/>
              </w:rPr>
              <w:t>（AL</w:t>
            </w:r>
            <w:r>
              <w:rPr>
                <w:rFonts w:hint="eastAsia" w:ascii="宋体" w:hAnsi="宋体" w:cs="宋体"/>
                <w:color w:val="000000"/>
                <w:sz w:val="24"/>
                <w:szCs w:val="24"/>
                <w:vertAlign w:val="subscript"/>
                <w:lang w:val="en-US" w:eastAsia="zh-CN"/>
              </w:rPr>
              <w:t>2</w:t>
            </w:r>
            <w:r>
              <w:rPr>
                <w:rFonts w:hint="eastAsia" w:ascii="宋体" w:hAnsi="宋体" w:cs="宋体"/>
                <w:color w:val="000000"/>
                <w:sz w:val="24"/>
                <w:szCs w:val="24"/>
                <w:lang w:val="en-US" w:eastAsia="zh-CN"/>
              </w:rPr>
              <w:t>O</w:t>
            </w:r>
            <w:r>
              <w:rPr>
                <w:rFonts w:hint="eastAsia" w:ascii="宋体" w:hAnsi="宋体" w:cs="宋体"/>
                <w:color w:val="000000"/>
                <w:sz w:val="24"/>
                <w:szCs w:val="24"/>
                <w:vertAlign w:val="subscript"/>
                <w:lang w:val="en-US" w:eastAsia="zh-CN"/>
              </w:rPr>
              <w:t>3</w:t>
            </w:r>
            <w:r>
              <w:rPr>
                <w:rFonts w:hint="eastAsia" w:ascii="宋体" w:hAnsi="宋体" w:cs="宋体"/>
                <w:color w:val="000000"/>
                <w:sz w:val="24"/>
                <w:szCs w:val="24"/>
                <w:lang w:val="en-US" w:eastAsia="zh-CN"/>
              </w:rPr>
              <w:t>）的质量分数/</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40C0AEAC">
            <w:pPr>
              <w:pStyle w:val="39"/>
              <w:spacing w:before="147" w:line="219" w:lineRule="auto"/>
              <w:ind w:left="22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w:t>
            </w:r>
          </w:p>
        </w:tc>
      </w:tr>
      <w:tr w14:paraId="7E63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2D03005D">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lang w:val="en-US" w:eastAsia="zh-CN"/>
              </w:rPr>
              <w:t>盐基度</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p>
        </w:tc>
        <w:tc>
          <w:tcPr>
            <w:tcW w:w="5399" w:type="dxa"/>
            <w:vAlign w:val="top"/>
          </w:tcPr>
          <w:p w14:paraId="49D990A6">
            <w:pPr>
              <w:pStyle w:val="39"/>
              <w:spacing w:before="149" w:line="218" w:lineRule="auto"/>
              <w:ind w:left="1804"/>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20-98</w:t>
            </w:r>
          </w:p>
        </w:tc>
      </w:tr>
      <w:tr w14:paraId="799B0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069C99B6">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不溶物</w:t>
            </w:r>
            <w:r>
              <w:rPr>
                <w:rFonts w:hint="eastAsia" w:ascii="宋体" w:hAnsi="宋体" w:cs="宋体"/>
                <w:color w:val="000000"/>
                <w:sz w:val="24"/>
                <w:szCs w:val="24"/>
                <w:lang w:val="en-US" w:eastAsia="zh-CN"/>
              </w:rPr>
              <w:t>的质量分数/</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p>
        </w:tc>
        <w:tc>
          <w:tcPr>
            <w:tcW w:w="5399" w:type="dxa"/>
            <w:vAlign w:val="top"/>
          </w:tcPr>
          <w:p w14:paraId="51BE8A68">
            <w:pPr>
              <w:pStyle w:val="39"/>
              <w:spacing w:before="147" w:line="219" w:lineRule="auto"/>
              <w:ind w:left="213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≤0.</w:t>
            </w:r>
            <w:r>
              <w:rPr>
                <w:rFonts w:hint="eastAsia" w:ascii="宋体" w:hAnsi="宋体" w:eastAsia="宋体" w:cs="宋体"/>
                <w:color w:val="000000"/>
                <w:sz w:val="24"/>
                <w:szCs w:val="24"/>
                <w:lang w:val="en-US" w:eastAsia="zh-CN"/>
              </w:rPr>
              <w:t>4</w:t>
            </w:r>
          </w:p>
        </w:tc>
      </w:tr>
      <w:tr w14:paraId="4FDF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6386932A">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lang w:val="en-US" w:eastAsia="zh-CN"/>
              </w:rPr>
              <w:t>铁（Fe)的质量分数</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p>
        </w:tc>
        <w:tc>
          <w:tcPr>
            <w:tcW w:w="5399" w:type="dxa"/>
            <w:vAlign w:val="top"/>
          </w:tcPr>
          <w:p w14:paraId="2632F8D6">
            <w:pPr>
              <w:pStyle w:val="39"/>
              <w:spacing w:before="147" w:line="219" w:lineRule="auto"/>
              <w:ind w:left="213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1.5</w:t>
            </w:r>
          </w:p>
        </w:tc>
      </w:tr>
      <w:tr w14:paraId="77D3B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64C67602">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砷（As）的质量分数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0EA3D6EB">
            <w:pPr>
              <w:pStyle w:val="39"/>
              <w:spacing w:before="149" w:line="218" w:lineRule="auto"/>
              <w:ind w:left="188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≤0.000</w:t>
            </w:r>
            <w:r>
              <w:rPr>
                <w:rFonts w:hint="eastAsia" w:ascii="宋体" w:hAnsi="宋体" w:eastAsia="宋体" w:cs="宋体"/>
                <w:color w:val="000000"/>
                <w:sz w:val="24"/>
                <w:szCs w:val="24"/>
                <w:lang w:val="en-US" w:eastAsia="zh-CN"/>
              </w:rPr>
              <w:t>5</w:t>
            </w:r>
          </w:p>
        </w:tc>
      </w:tr>
      <w:tr w14:paraId="7C402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720" w:type="dxa"/>
            <w:vAlign w:val="center"/>
          </w:tcPr>
          <w:p w14:paraId="05949555">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镉（Cd）的质量分数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62FABB33">
            <w:pPr>
              <w:pStyle w:val="39"/>
              <w:spacing w:before="159" w:line="218" w:lineRule="auto"/>
              <w:ind w:left="196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0.0005</w:t>
            </w:r>
          </w:p>
        </w:tc>
      </w:tr>
      <w:tr w14:paraId="69D47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720" w:type="dxa"/>
            <w:vAlign w:val="center"/>
          </w:tcPr>
          <w:p w14:paraId="6F0BA943">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铅（Pb）的质量分数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36701796">
            <w:pPr>
              <w:pStyle w:val="39"/>
              <w:spacing w:before="151" w:line="217" w:lineRule="auto"/>
              <w:ind w:left="196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≤0.0</w:t>
            </w:r>
            <w:r>
              <w:rPr>
                <w:rFonts w:hint="eastAsia" w:ascii="宋体" w:hAnsi="宋体" w:eastAsia="宋体" w:cs="宋体"/>
                <w:color w:val="000000"/>
                <w:sz w:val="24"/>
                <w:szCs w:val="24"/>
                <w:lang w:val="en-US" w:eastAsia="zh-CN"/>
              </w:rPr>
              <w:t>02</w:t>
            </w:r>
          </w:p>
        </w:tc>
      </w:tr>
      <w:tr w14:paraId="131F0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3720" w:type="dxa"/>
            <w:vAlign w:val="center"/>
          </w:tcPr>
          <w:p w14:paraId="59E148B4">
            <w:pPr>
              <w:spacing w:line="254" w:lineRule="exact"/>
              <w:ind w:left="0" w:leftChars="0" w:right="0" w:rightChars="0"/>
              <w:jc w:val="center"/>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汞（Hg）的质量分数</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w:t>
            </w:r>
          </w:p>
        </w:tc>
        <w:tc>
          <w:tcPr>
            <w:tcW w:w="5399" w:type="dxa"/>
            <w:vAlign w:val="top"/>
          </w:tcPr>
          <w:p w14:paraId="54F6A564">
            <w:pPr>
              <w:pStyle w:val="39"/>
              <w:spacing w:before="171" w:line="225" w:lineRule="auto"/>
              <w:ind w:left="1804"/>
              <w:rPr>
                <w:rFonts w:hint="eastAsia" w:asciiTheme="minorEastAsia" w:hAnsiTheme="minorEastAsia" w:eastAsiaTheme="minorEastAsia" w:cstheme="minorEastAsia"/>
                <w:color w:val="auto"/>
              </w:rPr>
            </w:pPr>
            <w:r>
              <w:rPr>
                <w:rFonts w:hint="eastAsia" w:ascii="宋体" w:hAnsi="宋体" w:eastAsia="宋体" w:cs="宋体"/>
                <w:color w:val="000000"/>
                <w:sz w:val="24"/>
                <w:szCs w:val="24"/>
              </w:rPr>
              <w:t>≤0.0000</w:t>
            </w:r>
            <w:r>
              <w:rPr>
                <w:rFonts w:hint="eastAsia" w:ascii="宋体" w:hAnsi="宋体" w:eastAsia="宋体" w:cs="宋体"/>
                <w:color w:val="000000"/>
                <w:sz w:val="24"/>
                <w:szCs w:val="24"/>
                <w:lang w:val="en-US" w:eastAsia="zh-CN"/>
              </w:rPr>
              <w:t>5</w:t>
            </w:r>
          </w:p>
        </w:tc>
      </w:tr>
      <w:tr w14:paraId="2AD64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3720" w:type="dxa"/>
            <w:vAlign w:val="top"/>
          </w:tcPr>
          <w:p w14:paraId="5BA14B72">
            <w:pPr>
              <w:pStyle w:val="39"/>
              <w:spacing w:before="131" w:line="214" w:lineRule="auto"/>
              <w:ind w:left="185"/>
              <w:rPr>
                <w:rFonts w:hint="eastAsia" w:asciiTheme="minorEastAsia" w:hAnsiTheme="minorEastAsia" w:eastAsiaTheme="minorEastAsia" w:cstheme="minorEastAsia"/>
                <w:b w:val="0"/>
                <w:bCs w:val="0"/>
                <w:color w:val="auto"/>
                <w:spacing w:val="-2"/>
                <w:sz w:val="21"/>
                <w:szCs w:val="21"/>
              </w:rPr>
            </w:pPr>
            <w:r>
              <w:rPr>
                <w:rFonts w:hint="eastAsia" w:asciiTheme="minorEastAsia" w:hAnsiTheme="minorEastAsia" w:eastAsiaTheme="minorEastAsia" w:cstheme="minorEastAsia"/>
                <w:b w:val="0"/>
                <w:bCs w:val="0"/>
                <w:color w:val="auto"/>
                <w:spacing w:val="-8"/>
                <w:sz w:val="24"/>
                <w:szCs w:val="24"/>
                <w:lang w:eastAsia="zh-CN"/>
              </w:rPr>
              <w:t>数量</w:t>
            </w:r>
          </w:p>
        </w:tc>
        <w:tc>
          <w:tcPr>
            <w:tcW w:w="5399" w:type="dxa"/>
            <w:vAlign w:val="top"/>
          </w:tcPr>
          <w:p w14:paraId="4CF2B6BA">
            <w:pPr>
              <w:pStyle w:val="39"/>
              <w:spacing w:before="171" w:line="225" w:lineRule="auto"/>
              <w:ind w:left="1804"/>
              <w:rPr>
                <w:rFonts w:hint="eastAsia" w:asciiTheme="minorEastAsia" w:hAnsiTheme="minorEastAsia" w:eastAsiaTheme="minorEastAsia" w:cstheme="minorEastAsia"/>
                <w:b w:val="0"/>
                <w:bCs w:val="0"/>
                <w:color w:val="auto"/>
                <w:spacing w:val="-5"/>
                <w:sz w:val="21"/>
                <w:szCs w:val="21"/>
              </w:rPr>
            </w:pPr>
            <w:r>
              <w:rPr>
                <w:rFonts w:hint="eastAsia" w:asciiTheme="minorEastAsia" w:hAnsiTheme="minorEastAsia" w:eastAsiaTheme="minorEastAsia" w:cstheme="minorEastAsia"/>
                <w:b w:val="0"/>
                <w:bCs w:val="0"/>
                <w:color w:val="auto"/>
                <w:spacing w:val="-8"/>
                <w:sz w:val="24"/>
                <w:szCs w:val="24"/>
                <w:lang w:val="en-US" w:eastAsia="zh-CN"/>
              </w:rPr>
              <w:t>20吨</w:t>
            </w:r>
          </w:p>
        </w:tc>
      </w:tr>
      <w:tr w14:paraId="6BF1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3720" w:type="dxa"/>
            <w:vAlign w:val="top"/>
          </w:tcPr>
          <w:p w14:paraId="3905C7FC">
            <w:pPr>
              <w:pStyle w:val="39"/>
              <w:spacing w:before="131" w:line="214" w:lineRule="auto"/>
              <w:ind w:left="185"/>
              <w:rPr>
                <w:rFonts w:hint="eastAsia" w:asciiTheme="minorEastAsia" w:hAnsiTheme="minorEastAsia" w:eastAsiaTheme="minorEastAsia" w:cstheme="minorEastAsia"/>
                <w:color w:val="auto"/>
                <w:spacing w:val="-2"/>
                <w:lang w:eastAsia="zh-CN"/>
              </w:rPr>
            </w:pPr>
            <w:r>
              <w:rPr>
                <w:rFonts w:hint="eastAsia" w:asciiTheme="minorEastAsia" w:hAnsiTheme="minorEastAsia" w:eastAsiaTheme="minorEastAsia" w:cstheme="minorEastAsia"/>
                <w:color w:val="auto"/>
                <w:spacing w:val="-2"/>
                <w:lang w:eastAsia="zh-CN"/>
              </w:rPr>
              <w:t>执行标准</w:t>
            </w:r>
          </w:p>
        </w:tc>
        <w:tc>
          <w:tcPr>
            <w:tcW w:w="5399" w:type="dxa"/>
            <w:vAlign w:val="top"/>
          </w:tcPr>
          <w:p w14:paraId="63D6DFDD">
            <w:pPr>
              <w:pStyle w:val="39"/>
              <w:spacing w:before="131" w:line="214" w:lineRule="auto"/>
              <w:ind w:left="185" w:firstLine="944" w:firstLineChars="400"/>
              <w:rPr>
                <w:rFonts w:hint="eastAsia" w:asciiTheme="minorEastAsia" w:hAnsiTheme="minorEastAsia" w:eastAsiaTheme="minorEastAsia" w:cstheme="minorEastAsia"/>
                <w:color w:val="auto"/>
                <w:spacing w:val="-2"/>
              </w:rPr>
            </w:pPr>
            <w:r>
              <w:rPr>
                <w:rFonts w:hint="eastAsia" w:asciiTheme="minorEastAsia" w:hAnsiTheme="minorEastAsia" w:eastAsiaTheme="minorEastAsia" w:cstheme="minorEastAsia"/>
                <w:color w:val="auto"/>
                <w:spacing w:val="-2"/>
                <w:lang w:val="en-US" w:eastAsia="zh-CN"/>
              </w:rPr>
              <w:t>GB/T22627-2022</w:t>
            </w:r>
          </w:p>
        </w:tc>
      </w:tr>
    </w:tbl>
    <w:p w14:paraId="4F48ED56">
      <w:pPr>
        <w:spacing w:before="191" w:line="222" w:lineRule="auto"/>
        <w:ind w:left="29"/>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2"/>
          <w:sz w:val="24"/>
          <w:szCs w:val="24"/>
        </w:rPr>
        <w:t>三</w:t>
      </w:r>
      <w:r>
        <w:rPr>
          <w:rFonts w:hint="eastAsia" w:asciiTheme="minorEastAsia" w:hAnsiTheme="minorEastAsia" w:eastAsiaTheme="minorEastAsia" w:cstheme="minorEastAsia"/>
          <w:color w:val="auto"/>
          <w:spacing w:val="-78"/>
          <w:sz w:val="24"/>
          <w:szCs w:val="24"/>
        </w:rPr>
        <w:t xml:space="preserve"> </w:t>
      </w:r>
      <w:r>
        <w:rPr>
          <w:rFonts w:hint="eastAsia" w:asciiTheme="minorEastAsia" w:hAnsiTheme="minorEastAsia" w:eastAsiaTheme="minorEastAsia" w:cstheme="minorEastAsia"/>
          <w:b/>
          <w:bCs/>
          <w:color w:val="auto"/>
          <w:spacing w:val="-12"/>
          <w:sz w:val="24"/>
          <w:szCs w:val="24"/>
        </w:rPr>
        <w:t>、合同价款</w:t>
      </w:r>
    </w:p>
    <w:p w14:paraId="384C4839">
      <w:pPr>
        <w:spacing w:before="169" w:line="222" w:lineRule="auto"/>
        <w:ind w:left="7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6"/>
          <w:sz w:val="24"/>
          <w:szCs w:val="24"/>
        </w:rPr>
        <w:t>(一)固体聚合硫酸铁</w:t>
      </w:r>
    </w:p>
    <w:p w14:paraId="1F5DB599">
      <w:pPr>
        <w:spacing w:before="176" w:line="223" w:lineRule="auto"/>
        <w:ind w:left="6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1、合同数量：400吨。</w:t>
      </w:r>
    </w:p>
    <w:p w14:paraId="784D96AD">
      <w:pPr>
        <w:spacing w:before="159" w:line="221" w:lineRule="auto"/>
        <w:ind w:left="6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2、合同金额：单价：</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1"/>
          <w:sz w:val="24"/>
          <w:szCs w:val="24"/>
        </w:rPr>
        <w:t>元整。</w:t>
      </w:r>
    </w:p>
    <w:p w14:paraId="08C81DD2">
      <w:pPr>
        <w:spacing w:before="176" w:line="220" w:lineRule="auto"/>
        <w:ind w:right="51" w:firstLine="508"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3、合同总价即中标价，不受市场价变或实际工作量变化</w:t>
      </w:r>
      <w:r>
        <w:rPr>
          <w:rFonts w:hint="eastAsia" w:asciiTheme="minorEastAsia" w:hAnsiTheme="minorEastAsia" w:eastAsiaTheme="minorEastAsia" w:cstheme="minorEastAsia"/>
          <w:color w:val="auto"/>
          <w:spacing w:val="11"/>
          <w:sz w:val="24"/>
          <w:szCs w:val="24"/>
        </w:rPr>
        <w:t>的影响。</w:t>
      </w:r>
    </w:p>
    <w:p w14:paraId="5E7340EA">
      <w:pPr>
        <w:spacing w:before="220" w:line="226" w:lineRule="auto"/>
        <w:ind w:left="73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pacing w:val="113"/>
          <w:sz w:val="24"/>
          <w:szCs w:val="24"/>
        </w:rPr>
        <w:t xml:space="preserve"> </w:t>
      </w:r>
      <w:r>
        <w:rPr>
          <w:rFonts w:hint="eastAsia" w:asciiTheme="minorEastAsia" w:hAnsiTheme="minorEastAsia" w:eastAsiaTheme="minorEastAsia" w:cstheme="minorEastAsia"/>
          <w:color w:val="auto"/>
          <w:spacing w:val="13"/>
          <w:sz w:val="24"/>
          <w:szCs w:val="24"/>
        </w:rPr>
        <w:t>二)阳离子聚丙烯酰胺</w:t>
      </w:r>
    </w:p>
    <w:p w14:paraId="5D151614">
      <w:pPr>
        <w:spacing w:before="212" w:line="223" w:lineRule="auto"/>
        <w:ind w:left="6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1"/>
          <w:sz w:val="24"/>
          <w:szCs w:val="24"/>
        </w:rPr>
        <w:t>1、合同数量：10吨。</w:t>
      </w:r>
    </w:p>
    <w:p w14:paraId="1D6EA1E4">
      <w:pPr>
        <w:spacing w:before="162" w:line="224" w:lineRule="auto"/>
        <w:ind w:left="6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2、合同金额：单价：</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color w:val="auto"/>
          <w:sz w:val="24"/>
          <w:szCs w:val="24"/>
        </w:rPr>
        <w:t>元整。</w:t>
      </w:r>
    </w:p>
    <w:p w14:paraId="6F161EAD">
      <w:pPr>
        <w:spacing w:before="141" w:line="320" w:lineRule="auto"/>
        <w:ind w:left="9" w:right="28" w:firstLine="6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3、合同总价即中标价，不受市场价变或实际工作</w:t>
      </w:r>
      <w:r>
        <w:rPr>
          <w:rFonts w:hint="eastAsia" w:asciiTheme="minorEastAsia" w:hAnsiTheme="minorEastAsia" w:eastAsiaTheme="minorEastAsia" w:cstheme="minorEastAsia"/>
          <w:color w:val="auto"/>
          <w:spacing w:val="15"/>
          <w:sz w:val="24"/>
          <w:szCs w:val="24"/>
        </w:rPr>
        <w:t>量变化</w:t>
      </w:r>
      <w:r>
        <w:rPr>
          <w:rFonts w:hint="eastAsia" w:asciiTheme="minorEastAsia" w:hAnsiTheme="minorEastAsia" w:eastAsiaTheme="minorEastAsia" w:cstheme="minorEastAsia"/>
          <w:color w:val="auto"/>
          <w:spacing w:val="3"/>
          <w:sz w:val="24"/>
          <w:szCs w:val="24"/>
        </w:rPr>
        <w:t>的影响。</w:t>
      </w:r>
    </w:p>
    <w:p w14:paraId="02F95A8D">
      <w:pPr>
        <w:spacing w:before="13" w:line="222" w:lineRule="auto"/>
        <w:ind w:left="7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5"/>
          <w:sz w:val="24"/>
          <w:szCs w:val="24"/>
        </w:rPr>
        <w:t>(三)聚合氯化铝</w:t>
      </w:r>
    </w:p>
    <w:p w14:paraId="22BF58EC">
      <w:pPr>
        <w:spacing w:before="195" w:line="223" w:lineRule="auto"/>
        <w:ind w:left="6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1、合同数量：20吨。</w:t>
      </w:r>
    </w:p>
    <w:p w14:paraId="48D8C3E5">
      <w:pPr>
        <w:spacing w:before="181" w:line="221" w:lineRule="auto"/>
        <w:ind w:left="6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2、合同金额：单价：</w:t>
      </w:r>
      <w:r>
        <w:rPr>
          <w:rFonts w:hint="eastAsia" w:asciiTheme="minorEastAsia" w:hAnsiTheme="minorEastAsia" w:eastAsiaTheme="minorEastAsia" w:cstheme="minorEastAsia"/>
          <w:color w:val="auto"/>
          <w:spacing w:val="65"/>
          <w:sz w:val="24"/>
          <w:szCs w:val="24"/>
        </w:rPr>
        <w:t xml:space="preserve">  </w:t>
      </w:r>
      <w:r>
        <w:rPr>
          <w:rFonts w:hint="eastAsia" w:asciiTheme="minorEastAsia" w:hAnsiTheme="minorEastAsia" w:eastAsiaTheme="minorEastAsia" w:cstheme="minorEastAsia"/>
          <w:color w:val="auto"/>
          <w:spacing w:val="3"/>
          <w:sz w:val="24"/>
          <w:szCs w:val="24"/>
        </w:rPr>
        <w:t>元整。</w:t>
      </w:r>
    </w:p>
    <w:p w14:paraId="43CAAA16">
      <w:pPr>
        <w:spacing w:before="167" w:line="274" w:lineRule="auto"/>
        <w:ind w:left="9" w:right="58" w:firstLine="6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3、合同总价即中标价，不受市场价变或实际工作量变化</w:t>
      </w:r>
      <w:r>
        <w:rPr>
          <w:rFonts w:hint="eastAsia" w:asciiTheme="minorEastAsia" w:hAnsiTheme="minorEastAsia" w:eastAsiaTheme="minorEastAsia" w:cstheme="minorEastAsia"/>
          <w:color w:val="auto"/>
          <w:spacing w:val="3"/>
          <w:sz w:val="24"/>
          <w:szCs w:val="24"/>
        </w:rPr>
        <w:t>的影响。</w:t>
      </w:r>
    </w:p>
    <w:p w14:paraId="61E8FE1B">
      <w:pPr>
        <w:spacing w:before="165" w:line="222" w:lineRule="auto"/>
        <w:ind w:left="8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(四)合同总金额共计：   元整。</w:t>
      </w:r>
    </w:p>
    <w:p w14:paraId="2EC6B055">
      <w:pPr>
        <w:spacing w:before="194" w:line="221" w:lineRule="auto"/>
        <w:ind w:left="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四</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3"/>
          <w:sz w:val="24"/>
          <w:szCs w:val="24"/>
        </w:rPr>
        <w:t>、交货和质保</w:t>
      </w:r>
    </w:p>
    <w:p w14:paraId="03C439C1">
      <w:pPr>
        <w:spacing w:before="172" w:line="222" w:lineRule="auto"/>
        <w:ind w:left="6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交货地点：甲方指定地点。</w:t>
      </w:r>
    </w:p>
    <w:p w14:paraId="0BF7AA93">
      <w:pPr>
        <w:spacing w:before="174" w:line="221" w:lineRule="auto"/>
        <w:ind w:left="6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交货期：合同签订后，根据甲方规定的时间配送。</w:t>
      </w:r>
    </w:p>
    <w:p w14:paraId="282A7A85">
      <w:pPr>
        <w:spacing w:before="191" w:line="327" w:lineRule="auto"/>
        <w:ind w:right="74" w:firstLine="6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质量保证：所提供的货物必须符合招标要求中的</w:t>
      </w:r>
      <w:r>
        <w:rPr>
          <w:rFonts w:hint="eastAsia" w:asciiTheme="minorEastAsia" w:hAnsiTheme="minorEastAsia" w:eastAsiaTheme="minorEastAsia" w:cstheme="minorEastAsia"/>
          <w:color w:val="auto"/>
          <w:spacing w:val="7"/>
          <w:sz w:val="24"/>
          <w:szCs w:val="24"/>
        </w:rPr>
        <w:t>各项技术</w:t>
      </w:r>
      <w:r>
        <w:rPr>
          <w:rFonts w:hint="eastAsia" w:asciiTheme="minorEastAsia" w:hAnsiTheme="minorEastAsia" w:eastAsiaTheme="minorEastAsia" w:cstheme="minorEastAsia"/>
          <w:color w:val="auto"/>
          <w:spacing w:val="15"/>
          <w:sz w:val="24"/>
          <w:szCs w:val="24"/>
        </w:rPr>
        <w:t>参数。</w:t>
      </w:r>
    </w:p>
    <w:p w14:paraId="21A2321C">
      <w:pPr>
        <w:spacing w:before="1" w:line="224" w:lineRule="auto"/>
        <w:ind w:left="6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运输及配送：乙方负责货物运送、卸货。</w:t>
      </w:r>
    </w:p>
    <w:p w14:paraId="7EF537C1">
      <w:pPr>
        <w:spacing w:before="197" w:line="223" w:lineRule="auto"/>
        <w:ind w:left="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五</w:t>
      </w:r>
      <w:r>
        <w:rPr>
          <w:rFonts w:hint="eastAsia" w:asciiTheme="minorEastAsia" w:hAnsiTheme="minorEastAsia" w:eastAsiaTheme="minorEastAsia" w:cstheme="minorEastAsia"/>
          <w:color w:val="auto"/>
          <w:spacing w:val="-43"/>
          <w:sz w:val="24"/>
          <w:szCs w:val="24"/>
        </w:rPr>
        <w:t xml:space="preserve"> </w:t>
      </w:r>
      <w:r>
        <w:rPr>
          <w:rFonts w:hint="eastAsia" w:asciiTheme="minorEastAsia" w:hAnsiTheme="minorEastAsia" w:eastAsiaTheme="minorEastAsia" w:cstheme="minorEastAsia"/>
          <w:color w:val="auto"/>
          <w:spacing w:val="-2"/>
          <w:sz w:val="24"/>
          <w:szCs w:val="24"/>
        </w:rPr>
        <w:t>、付款方式</w:t>
      </w:r>
    </w:p>
    <w:p w14:paraId="4A612241">
      <w:pPr>
        <w:numPr>
          <w:ilvl w:val="0"/>
          <w:numId w:val="0"/>
        </w:numPr>
        <w:shd w:val="clear"/>
        <w:spacing w:before="197" w:line="337" w:lineRule="auto"/>
        <w:ind w:right="0" w:rightChars="0" w:firstLine="516" w:firstLineChars="200"/>
        <w:rPr>
          <w:rFonts w:hint="eastAsia" w:asciiTheme="minorEastAsia" w:hAnsiTheme="minorEastAsia" w:eastAsiaTheme="minorEastAsia" w:cstheme="minorEastAsia"/>
          <w:color w:val="auto"/>
          <w:spacing w:val="9"/>
          <w:sz w:val="24"/>
          <w:szCs w:val="24"/>
          <w:lang w:val="en-US" w:eastAsia="zh-CN"/>
        </w:rPr>
      </w:pPr>
      <w:r>
        <w:rPr>
          <w:rFonts w:hint="eastAsia" w:asciiTheme="minorEastAsia" w:hAnsiTheme="minorEastAsia" w:eastAsiaTheme="minorEastAsia" w:cstheme="minorEastAsia"/>
          <w:color w:val="auto"/>
          <w:spacing w:val="9"/>
          <w:sz w:val="24"/>
          <w:szCs w:val="24"/>
          <w:lang w:val="en-US" w:eastAsia="zh-CN"/>
        </w:rPr>
        <w:t>1.本项目付款按照货物交付批次进行付款，自合同签订之日起,供应商按招标文件及合同约定完成第一批货物的全部交付，并经采购人验收合格后，在供应商交付第二批货物并经采购人现场核对确认数量、规格符合约定，采购人应向中标人支付第一批货物的应付货款;后续批次的付款，依照前期付款要求进行执行。</w:t>
      </w:r>
    </w:p>
    <w:p w14:paraId="31616CA5">
      <w:pPr>
        <w:numPr>
          <w:ilvl w:val="0"/>
          <w:numId w:val="0"/>
        </w:numPr>
        <w:shd w:val="clear"/>
        <w:spacing w:before="197" w:line="337" w:lineRule="auto"/>
        <w:ind w:right="0" w:rightChars="0" w:firstLine="516" w:firstLineChars="200"/>
        <w:rPr>
          <w:rFonts w:hint="default" w:asciiTheme="minorEastAsia" w:hAnsiTheme="minorEastAsia" w:eastAsiaTheme="minorEastAsia" w:cstheme="minorEastAsia"/>
          <w:color w:val="auto"/>
          <w:spacing w:val="9"/>
          <w:sz w:val="24"/>
          <w:szCs w:val="24"/>
          <w:lang w:val="en-US" w:eastAsia="zh-CN"/>
        </w:rPr>
      </w:pPr>
      <w:r>
        <w:rPr>
          <w:rFonts w:hint="eastAsia" w:asciiTheme="minorEastAsia" w:hAnsiTheme="minorEastAsia" w:eastAsiaTheme="minorEastAsia" w:cstheme="minorEastAsia"/>
          <w:color w:val="auto"/>
          <w:spacing w:val="9"/>
          <w:sz w:val="24"/>
          <w:szCs w:val="24"/>
          <w:lang w:val="en-US" w:eastAsia="zh-CN"/>
        </w:rPr>
        <w:t>2.供应商在申请支付货款时，应该采购人提交合法的有效发票，第一批货物（验收合格证明）、第二批货物（交付核对确认单）及合同约定的其他凭证，资料不全的，采购人可顺延付款且不承担违约责任。</w:t>
      </w:r>
    </w:p>
    <w:p w14:paraId="3B007D76">
      <w:pPr>
        <w:shd w:val="clear"/>
        <w:spacing w:before="197" w:line="337" w:lineRule="auto"/>
        <w:ind w:left="9" w:firstLine="609"/>
        <w:rPr>
          <w:rFonts w:hint="default" w:asciiTheme="minorEastAsia" w:hAnsiTheme="minorEastAsia" w:eastAsiaTheme="minorEastAsia" w:cstheme="minorEastAsia"/>
          <w:color w:val="auto"/>
          <w:spacing w:val="9"/>
          <w:sz w:val="24"/>
          <w:szCs w:val="24"/>
          <w:lang w:val="en-US" w:eastAsia="zh-CN"/>
        </w:rPr>
      </w:pPr>
      <w:r>
        <w:rPr>
          <w:rFonts w:hint="default" w:asciiTheme="minorEastAsia" w:hAnsiTheme="minorEastAsia" w:eastAsiaTheme="minorEastAsia" w:cstheme="minorEastAsia"/>
          <w:color w:val="auto"/>
          <w:spacing w:val="9"/>
          <w:sz w:val="24"/>
          <w:szCs w:val="24"/>
          <w:lang w:val="en-US" w:eastAsia="zh-CN"/>
        </w:rPr>
        <w:t>若财政资金未按预计时间拨付，</w:t>
      </w:r>
      <w:r>
        <w:rPr>
          <w:rFonts w:hint="eastAsia" w:asciiTheme="minorEastAsia" w:hAnsiTheme="minorEastAsia" w:eastAsiaTheme="minorEastAsia" w:cstheme="minorEastAsia"/>
          <w:color w:val="auto"/>
          <w:spacing w:val="9"/>
          <w:sz w:val="24"/>
          <w:szCs w:val="24"/>
          <w:lang w:val="en-US" w:eastAsia="zh-CN"/>
        </w:rPr>
        <w:t>采购人</w:t>
      </w:r>
      <w:r>
        <w:rPr>
          <w:rFonts w:hint="default" w:asciiTheme="minorEastAsia" w:hAnsiTheme="minorEastAsia" w:eastAsiaTheme="minorEastAsia" w:cstheme="minorEastAsia"/>
          <w:color w:val="auto"/>
          <w:spacing w:val="9"/>
          <w:sz w:val="24"/>
          <w:szCs w:val="24"/>
          <w:lang w:val="en-US" w:eastAsia="zh-CN"/>
        </w:rPr>
        <w:t>有权按照财政资金拨付使用进度要求调整支付进度</w:t>
      </w:r>
      <w:r>
        <w:rPr>
          <w:rFonts w:hint="eastAsia" w:asciiTheme="minorEastAsia" w:hAnsiTheme="minorEastAsia" w:eastAsiaTheme="minorEastAsia" w:cstheme="minorEastAsia"/>
          <w:color w:val="auto"/>
          <w:spacing w:val="9"/>
          <w:sz w:val="24"/>
          <w:szCs w:val="24"/>
          <w:lang w:val="en-US" w:eastAsia="zh-CN"/>
        </w:rPr>
        <w:t>，</w:t>
      </w:r>
      <w:r>
        <w:rPr>
          <w:rFonts w:hint="default" w:asciiTheme="minorEastAsia" w:hAnsiTheme="minorEastAsia" w:eastAsiaTheme="minorEastAsia" w:cstheme="minorEastAsia"/>
          <w:color w:val="auto"/>
          <w:spacing w:val="9"/>
          <w:sz w:val="24"/>
          <w:szCs w:val="24"/>
          <w:lang w:val="en-US" w:eastAsia="zh-CN"/>
        </w:rPr>
        <w:t>不视为甲方违约；</w:t>
      </w:r>
    </w:p>
    <w:p w14:paraId="4B344E28">
      <w:pPr>
        <w:shd w:val="clear"/>
        <w:spacing w:before="197" w:line="337" w:lineRule="auto"/>
        <w:ind w:left="9" w:firstLine="609"/>
        <w:rPr>
          <w:rFonts w:hint="eastAsia" w:asciiTheme="minorEastAsia" w:hAnsiTheme="minorEastAsia" w:eastAsiaTheme="minorEastAsia" w:cstheme="minorEastAsia"/>
          <w:color w:val="auto"/>
          <w:spacing w:val="9"/>
          <w:sz w:val="24"/>
          <w:szCs w:val="24"/>
        </w:rPr>
      </w:pPr>
      <w:r>
        <w:rPr>
          <w:rFonts w:hint="eastAsia" w:asciiTheme="minorEastAsia" w:hAnsiTheme="minorEastAsia" w:eastAsiaTheme="minorEastAsia" w:cstheme="minorEastAsia"/>
          <w:color w:val="auto"/>
          <w:spacing w:val="9"/>
          <w:sz w:val="24"/>
          <w:szCs w:val="24"/>
        </w:rPr>
        <w:t>支付方式：银行转账。</w:t>
      </w:r>
    </w:p>
    <w:p w14:paraId="3F8734E0">
      <w:pPr>
        <w:spacing w:line="221" w:lineRule="auto"/>
        <w:ind w:left="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六</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3"/>
          <w:sz w:val="24"/>
          <w:szCs w:val="24"/>
        </w:rPr>
        <w:t>、质量保证</w:t>
      </w:r>
    </w:p>
    <w:p w14:paraId="1C7A6E66">
      <w:pPr>
        <w:spacing w:before="197" w:line="337" w:lineRule="auto"/>
        <w:ind w:left="9" w:firstLine="6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1、乙方提供的产品及材料必须保证质量可</w:t>
      </w:r>
      <w:r>
        <w:rPr>
          <w:rFonts w:hint="eastAsia" w:asciiTheme="minorEastAsia" w:hAnsiTheme="minorEastAsia" w:eastAsiaTheme="minorEastAsia" w:cstheme="minorEastAsia"/>
          <w:color w:val="auto"/>
          <w:spacing w:val="15"/>
          <w:sz w:val="24"/>
          <w:szCs w:val="24"/>
        </w:rPr>
        <w:t>靠，为市场最</w:t>
      </w:r>
      <w:r>
        <w:rPr>
          <w:rFonts w:hint="eastAsia" w:asciiTheme="minorEastAsia" w:hAnsiTheme="minorEastAsia" w:eastAsiaTheme="minorEastAsia" w:cstheme="minorEastAsia"/>
          <w:color w:val="auto"/>
          <w:spacing w:val="9"/>
          <w:sz w:val="24"/>
          <w:szCs w:val="24"/>
        </w:rPr>
        <w:t>新或主流产品，进货渠道正常，配置合理齐全，应全面满足招标文件的要求，所供产品工艺质量应严格按国家最新发布的规</w:t>
      </w:r>
      <w:r>
        <w:rPr>
          <w:rFonts w:hint="eastAsia" w:asciiTheme="minorEastAsia" w:hAnsiTheme="minorEastAsia" w:eastAsiaTheme="minorEastAsia" w:cstheme="minorEastAsia"/>
          <w:color w:val="auto"/>
          <w:spacing w:val="12"/>
          <w:sz w:val="24"/>
          <w:szCs w:val="24"/>
        </w:rPr>
        <w:t>范标准执行，如发生质量问题由乙方承担全部责任。</w:t>
      </w:r>
    </w:p>
    <w:p w14:paraId="12F372C1">
      <w:pPr>
        <w:spacing w:line="327" w:lineRule="auto"/>
        <w:ind w:left="69" w:right="3" w:firstLine="580"/>
        <w:jc w:val="both"/>
        <w:rPr>
          <w:rFonts w:hint="eastAsia" w:asciiTheme="minorEastAsia" w:hAnsiTheme="minorEastAsia" w:eastAsiaTheme="minorEastAsia" w:cstheme="minorEastAsia"/>
          <w:color w:val="auto"/>
          <w:spacing w:val="12"/>
          <w:sz w:val="24"/>
          <w:szCs w:val="24"/>
        </w:rPr>
      </w:pPr>
      <w:r>
        <w:rPr>
          <w:rFonts w:hint="eastAsia" w:asciiTheme="minorEastAsia" w:hAnsiTheme="minorEastAsia" w:eastAsiaTheme="minorEastAsia" w:cstheme="minorEastAsia"/>
          <w:color w:val="auto"/>
          <w:spacing w:val="16"/>
          <w:sz w:val="24"/>
          <w:szCs w:val="24"/>
        </w:rPr>
        <w:t>2、乙方应保证所有产品的完好无损，包括配套包装，如</w:t>
      </w:r>
      <w:r>
        <w:rPr>
          <w:rFonts w:hint="eastAsia" w:asciiTheme="minorEastAsia" w:hAnsiTheme="minorEastAsia" w:eastAsiaTheme="minorEastAsia" w:cstheme="minorEastAsia"/>
          <w:color w:val="auto"/>
          <w:spacing w:val="9"/>
          <w:sz w:val="24"/>
          <w:szCs w:val="24"/>
        </w:rPr>
        <w:t>有缺漏、损坏，由乙方负责调换、补齐或赔偿。供方必须严格</w:t>
      </w:r>
      <w:r>
        <w:rPr>
          <w:rFonts w:hint="eastAsia" w:asciiTheme="minorEastAsia" w:hAnsiTheme="minorEastAsia" w:eastAsiaTheme="minorEastAsia" w:cstheme="minorEastAsia"/>
          <w:color w:val="auto"/>
          <w:spacing w:val="13"/>
          <w:sz w:val="24"/>
          <w:szCs w:val="24"/>
        </w:rPr>
        <w:t>按照需方要求和国家颁布的有关技术规范标准提供货</w:t>
      </w:r>
      <w:r>
        <w:rPr>
          <w:rFonts w:hint="eastAsia" w:asciiTheme="minorEastAsia" w:hAnsiTheme="minorEastAsia" w:eastAsiaTheme="minorEastAsia" w:cstheme="minorEastAsia"/>
          <w:color w:val="auto"/>
          <w:spacing w:val="12"/>
          <w:sz w:val="24"/>
          <w:szCs w:val="24"/>
        </w:rPr>
        <w:t>物。</w:t>
      </w:r>
    </w:p>
    <w:p w14:paraId="7A8AB6D4">
      <w:pPr>
        <w:spacing w:before="212" w:line="274" w:lineRule="auto"/>
        <w:ind w:left="69" w:right="126" w:firstLine="580"/>
        <w:rPr>
          <w:rFonts w:hint="eastAsia" w:asciiTheme="minorEastAsia" w:hAnsiTheme="minorEastAsia" w:eastAsiaTheme="minorEastAsia" w:cstheme="minorEastAsia"/>
          <w:color w:val="auto"/>
          <w:spacing w:val="18"/>
          <w:sz w:val="24"/>
          <w:szCs w:val="24"/>
        </w:rPr>
      </w:pPr>
      <w:r>
        <w:rPr>
          <w:rFonts w:hint="eastAsia" w:asciiTheme="minorEastAsia" w:hAnsiTheme="minorEastAsia" w:eastAsiaTheme="minorEastAsia" w:cstheme="minorEastAsia"/>
          <w:color w:val="auto"/>
          <w:spacing w:val="12"/>
          <w:sz w:val="24"/>
          <w:szCs w:val="24"/>
          <w:lang w:val="en-US" w:eastAsia="zh-CN"/>
        </w:rPr>
        <w:t>3、</w:t>
      </w:r>
      <w:r>
        <w:rPr>
          <w:rFonts w:hint="eastAsia" w:asciiTheme="minorEastAsia" w:hAnsiTheme="minorEastAsia" w:eastAsiaTheme="minorEastAsia" w:cstheme="minorEastAsia"/>
          <w:color w:val="auto"/>
          <w:spacing w:val="18"/>
          <w:sz w:val="24"/>
          <w:szCs w:val="24"/>
        </w:rPr>
        <w:t>供应商供货时，需随货提供每批次产品的《出厂检验报告》，报告需包含上述所有指标的检测结果，且加盖生产厂家质量检验专用章。</w:t>
      </w:r>
    </w:p>
    <w:p w14:paraId="0FEB7689">
      <w:pPr>
        <w:spacing w:before="11" w:line="222" w:lineRule="auto"/>
        <w:ind w:left="74"/>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8"/>
          <w:sz w:val="24"/>
          <w:szCs w:val="24"/>
        </w:rPr>
        <w:t>七、考核验收</w:t>
      </w:r>
    </w:p>
    <w:p w14:paraId="274BB728">
      <w:pPr>
        <w:spacing w:before="194" w:line="289" w:lineRule="auto"/>
        <w:ind w:left="69" w:right="62" w:firstLine="5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1.供方提供的产品性能及质量有国家标准的应提供报告</w:t>
      </w:r>
      <w:r>
        <w:rPr>
          <w:rFonts w:hint="eastAsia" w:asciiTheme="minorEastAsia" w:hAnsiTheme="minorEastAsia" w:eastAsiaTheme="minorEastAsia" w:cstheme="minorEastAsia"/>
          <w:color w:val="auto"/>
          <w:spacing w:val="7"/>
          <w:sz w:val="24"/>
          <w:szCs w:val="24"/>
        </w:rPr>
        <w:t>原件，无国家标准的应符合行业标准或企业标准，并满足需方</w:t>
      </w:r>
      <w:r>
        <w:rPr>
          <w:rFonts w:hint="eastAsia" w:asciiTheme="minorEastAsia" w:hAnsiTheme="minorEastAsia" w:eastAsiaTheme="minorEastAsia" w:cstheme="minorEastAsia"/>
          <w:color w:val="auto"/>
          <w:spacing w:val="4"/>
          <w:sz w:val="24"/>
          <w:szCs w:val="24"/>
        </w:rPr>
        <w:t>要求。</w:t>
      </w:r>
    </w:p>
    <w:p w14:paraId="51AAC414">
      <w:pPr>
        <w:spacing w:before="212" w:line="274" w:lineRule="auto"/>
        <w:ind w:left="69" w:right="126" w:firstLine="580"/>
        <w:rPr>
          <w:rFonts w:hint="eastAsia" w:asciiTheme="minorEastAsia" w:hAnsiTheme="minorEastAsia" w:eastAsiaTheme="minorEastAsia" w:cstheme="minorEastAsia"/>
          <w:color w:val="auto"/>
          <w:spacing w:val="18"/>
          <w:sz w:val="24"/>
          <w:szCs w:val="24"/>
        </w:rPr>
      </w:pPr>
      <w:r>
        <w:rPr>
          <w:rFonts w:hint="eastAsia" w:asciiTheme="minorEastAsia" w:hAnsiTheme="minorEastAsia" w:eastAsiaTheme="minorEastAsia" w:cstheme="minorEastAsia"/>
          <w:color w:val="auto"/>
          <w:spacing w:val="12"/>
          <w:sz w:val="24"/>
          <w:szCs w:val="24"/>
        </w:rPr>
        <w:t>2. 检测：由使用方委托第三方监测机构对供方提供的货</w:t>
      </w:r>
      <w:r>
        <w:rPr>
          <w:rFonts w:hint="eastAsia" w:asciiTheme="minorEastAsia" w:hAnsiTheme="minorEastAsia" w:eastAsiaTheme="minorEastAsia" w:cstheme="minorEastAsia"/>
          <w:color w:val="auto"/>
          <w:spacing w:val="18"/>
          <w:sz w:val="24"/>
          <w:szCs w:val="24"/>
        </w:rPr>
        <w:t>物进行检测，每年不低于4次，费用由供货方承担。</w:t>
      </w:r>
    </w:p>
    <w:p w14:paraId="1155F2EA">
      <w:pPr>
        <w:spacing w:before="204" w:line="295" w:lineRule="auto"/>
        <w:ind w:right="47" w:firstLine="64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3.验收：货到当场验收，供方需提供合格证、出库单、</w:t>
      </w:r>
      <w:r>
        <w:rPr>
          <w:rFonts w:hint="eastAsia" w:asciiTheme="minorEastAsia" w:hAnsiTheme="minorEastAsia" w:eastAsiaTheme="minorEastAsia" w:cstheme="minorEastAsia"/>
          <w:color w:val="auto"/>
          <w:spacing w:val="9"/>
          <w:sz w:val="24"/>
          <w:szCs w:val="24"/>
        </w:rPr>
        <w:t>发票等有效质量证明材料，如发现货物的规格、数量、质量有</w:t>
      </w:r>
      <w:r>
        <w:rPr>
          <w:rFonts w:hint="eastAsia" w:asciiTheme="minorEastAsia" w:hAnsiTheme="minorEastAsia" w:eastAsiaTheme="minorEastAsia" w:cstheme="minorEastAsia"/>
          <w:color w:val="auto"/>
          <w:spacing w:val="12"/>
          <w:sz w:val="24"/>
          <w:szCs w:val="24"/>
        </w:rPr>
        <w:t>任何问题，供方需无条件更换，并承担一切责任。</w:t>
      </w:r>
    </w:p>
    <w:p w14:paraId="293FF319">
      <w:pPr>
        <w:spacing w:before="181" w:line="281" w:lineRule="auto"/>
        <w:ind w:right="34" w:firstLine="64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4.供方向甲方提供项目履约过程中的所有资料，以便甲</w:t>
      </w:r>
      <w:r>
        <w:rPr>
          <w:rFonts w:hint="eastAsia" w:asciiTheme="minorEastAsia" w:hAnsiTheme="minorEastAsia" w:eastAsiaTheme="minorEastAsia" w:cstheme="minorEastAsia"/>
          <w:color w:val="auto"/>
          <w:spacing w:val="15"/>
          <w:sz w:val="24"/>
          <w:szCs w:val="24"/>
        </w:rPr>
        <w:t>方日后管理和维护。</w:t>
      </w:r>
    </w:p>
    <w:p w14:paraId="17EBA979">
      <w:pPr>
        <w:spacing w:before="165" w:line="288" w:lineRule="auto"/>
        <w:ind w:right="31" w:firstLine="649"/>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16"/>
          <w:sz w:val="24"/>
          <w:szCs w:val="24"/>
        </w:rPr>
        <w:t>5.在药品使用过程中，供货方要提供技术服务，并进行</w:t>
      </w:r>
      <w:r>
        <w:rPr>
          <w:rFonts w:hint="eastAsia" w:asciiTheme="minorEastAsia" w:hAnsiTheme="minorEastAsia" w:eastAsiaTheme="minorEastAsia" w:cstheme="minorEastAsia"/>
          <w:color w:val="auto"/>
          <w:spacing w:val="8"/>
          <w:sz w:val="24"/>
          <w:szCs w:val="24"/>
        </w:rPr>
        <w:t>跟踪服务。</w:t>
      </w:r>
    </w:p>
    <w:p w14:paraId="42812638">
      <w:pPr>
        <w:shd w:val="clear"/>
        <w:spacing w:before="165" w:line="288" w:lineRule="auto"/>
        <w:ind w:right="31" w:firstLine="649"/>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b/>
          <w:bCs/>
          <w:color w:val="auto"/>
          <w:spacing w:val="8"/>
          <w:sz w:val="24"/>
          <w:szCs w:val="24"/>
          <w:lang w:val="en-US" w:eastAsia="zh-CN"/>
        </w:rPr>
        <w:t>注：</w:t>
      </w:r>
      <w:r>
        <w:rPr>
          <w:rFonts w:hint="eastAsia" w:asciiTheme="minorEastAsia" w:hAnsiTheme="minorEastAsia" w:eastAsiaTheme="minorEastAsia" w:cstheme="minorEastAsia"/>
          <w:color w:val="auto"/>
          <w:spacing w:val="8"/>
          <w:sz w:val="24"/>
          <w:szCs w:val="24"/>
          <w:lang w:val="en-US" w:eastAsia="zh-CN"/>
        </w:rPr>
        <w:t>采购人在货物验收时或使用过程中发现产品可能存在质量问题的，应在发现问题后 7 个工作日内书面通知供应商，说明异议事项及依据；</w:t>
      </w:r>
    </w:p>
    <w:p w14:paraId="47A74A2D">
      <w:pPr>
        <w:shd w:val="clear"/>
        <w:spacing w:before="165" w:line="288" w:lineRule="auto"/>
        <w:ind w:right="31" w:firstLine="649"/>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送检约定：供应商收到通知后 3 个工作日内未提出书面异议的，视为同意采购人送检安排；若双方对质量判定有争议，共同选定具备 CMA 资质的第三方检测机构（无法达成一致的，由采购人指定）进行检测，检测样品从该批次货物中随机抽取。</w:t>
      </w:r>
    </w:p>
    <w:p w14:paraId="36307B82">
      <w:pPr>
        <w:spacing w:before="165" w:line="288" w:lineRule="auto"/>
        <w:ind w:right="31" w:firstLine="649"/>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检测结果为不合格（产品指标未达到采购清单约定要求）：检测费用由供应商全额承担，供应商需在检测报告出具后 15 日内无条件更换该批次不合格产品，若造成采购人生产损失的，需另行赔偿；</w:t>
      </w:r>
    </w:p>
    <w:p w14:paraId="06B9CE8D">
      <w:pPr>
        <w:spacing w:before="165" w:line="288" w:lineRule="auto"/>
        <w:ind w:right="31" w:firstLine="649"/>
        <w:rPr>
          <w:rFonts w:hint="default"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color w:val="auto"/>
          <w:spacing w:val="8"/>
          <w:sz w:val="24"/>
          <w:szCs w:val="24"/>
          <w:lang w:val="en-US" w:eastAsia="zh-CN"/>
        </w:rPr>
        <w:t>检测结果为合格（产品指标全部符合采购清单约定要求）：检测费用由采购人承担，采购人应在收到检测报告后 5 个工作日内支付检测费用，并按合同约定继续履行收货、付款义务。</w:t>
      </w:r>
    </w:p>
    <w:p w14:paraId="4C6A148F">
      <w:pPr>
        <w:spacing w:before="153" w:line="222" w:lineRule="auto"/>
        <w:ind w:left="4"/>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八、合同争议的解决</w:t>
      </w:r>
    </w:p>
    <w:p w14:paraId="3CC5E19D">
      <w:pPr>
        <w:spacing w:before="185" w:line="340" w:lineRule="auto"/>
        <w:ind w:right="32" w:firstLine="64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合同执行中发生争议的，当事人双方应协商</w:t>
      </w:r>
      <w:r>
        <w:rPr>
          <w:rFonts w:hint="eastAsia" w:asciiTheme="minorEastAsia" w:hAnsiTheme="minorEastAsia" w:eastAsiaTheme="minorEastAsia" w:cstheme="minorEastAsia"/>
          <w:color w:val="auto"/>
          <w:spacing w:val="10"/>
          <w:sz w:val="24"/>
          <w:szCs w:val="24"/>
        </w:rPr>
        <w:t>解决，协商达</w:t>
      </w:r>
      <w:r>
        <w:rPr>
          <w:rFonts w:hint="eastAsia" w:asciiTheme="minorEastAsia" w:hAnsiTheme="minorEastAsia" w:eastAsiaTheme="minorEastAsia" w:cstheme="minorEastAsia"/>
          <w:color w:val="auto"/>
          <w:spacing w:val="12"/>
          <w:sz w:val="24"/>
          <w:szCs w:val="24"/>
        </w:rPr>
        <w:t>不成一致时，可向采购人所在地人民法院提请诉讼。</w:t>
      </w:r>
    </w:p>
    <w:p w14:paraId="1859DA0E">
      <w:pPr>
        <w:spacing w:line="222"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8"/>
          <w:sz w:val="24"/>
          <w:szCs w:val="24"/>
        </w:rPr>
        <w:t>九</w:t>
      </w:r>
      <w:r>
        <w:rPr>
          <w:rFonts w:hint="eastAsia" w:asciiTheme="minorEastAsia" w:hAnsiTheme="minorEastAsia" w:eastAsiaTheme="minorEastAsia" w:cstheme="minorEastAsia"/>
          <w:b/>
          <w:bCs/>
          <w:color w:val="auto"/>
          <w:spacing w:val="-37"/>
          <w:sz w:val="24"/>
          <w:szCs w:val="24"/>
        </w:rPr>
        <w:t xml:space="preserve"> </w:t>
      </w:r>
      <w:r>
        <w:rPr>
          <w:rFonts w:hint="eastAsia" w:asciiTheme="minorEastAsia" w:hAnsiTheme="minorEastAsia" w:eastAsiaTheme="minorEastAsia" w:cstheme="minorEastAsia"/>
          <w:b/>
          <w:bCs/>
          <w:color w:val="auto"/>
          <w:spacing w:val="8"/>
          <w:sz w:val="24"/>
          <w:szCs w:val="24"/>
        </w:rPr>
        <w:t>、不可抗力情况下的免责约定</w:t>
      </w:r>
    </w:p>
    <w:p w14:paraId="2647B88D">
      <w:pPr>
        <w:spacing w:before="104" w:line="221" w:lineRule="auto"/>
        <w:ind w:firstLine="52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双方约定不可抗力情况指：双方不可预见、不可</w:t>
      </w:r>
      <w:r>
        <w:rPr>
          <w:rFonts w:hint="eastAsia" w:asciiTheme="minorEastAsia" w:hAnsiTheme="minorEastAsia" w:eastAsiaTheme="minorEastAsia" w:cstheme="minorEastAsia"/>
          <w:color w:val="auto"/>
          <w:spacing w:val="9"/>
          <w:sz w:val="24"/>
          <w:szCs w:val="24"/>
        </w:rPr>
        <w:t>避免、不</w:t>
      </w:r>
      <w:r>
        <w:rPr>
          <w:rFonts w:hint="eastAsia" w:asciiTheme="minorEastAsia" w:hAnsiTheme="minorEastAsia" w:eastAsiaTheme="minorEastAsia" w:cstheme="minorEastAsia"/>
          <w:color w:val="auto"/>
          <w:spacing w:val="10"/>
          <w:sz w:val="24"/>
          <w:szCs w:val="24"/>
        </w:rPr>
        <w:t>可克服的客观情况，但不包括双方的违约或疏忽。这些事件包</w:t>
      </w:r>
      <w:r>
        <w:rPr>
          <w:rFonts w:hint="eastAsia" w:asciiTheme="minorEastAsia" w:hAnsiTheme="minorEastAsia" w:eastAsiaTheme="minorEastAsia" w:cstheme="minorEastAsia"/>
          <w:color w:val="auto"/>
          <w:spacing w:val="3"/>
          <w:sz w:val="24"/>
          <w:szCs w:val="24"/>
        </w:rPr>
        <w:t>括但不限于：战争、严重火灾、洪水、台风、地震等。</w:t>
      </w:r>
    </w:p>
    <w:p w14:paraId="6406AF49">
      <w:pPr>
        <w:spacing w:before="170" w:line="282" w:lineRule="auto"/>
        <w:ind w:right="62" w:firstLine="49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2"/>
          <w:sz w:val="24"/>
          <w:szCs w:val="24"/>
        </w:rPr>
        <w:t>十</w:t>
      </w:r>
      <w:r>
        <w:rPr>
          <w:rFonts w:hint="eastAsia" w:asciiTheme="minorEastAsia" w:hAnsiTheme="minorEastAsia" w:eastAsiaTheme="minorEastAsia" w:cstheme="minorEastAsia"/>
          <w:b/>
          <w:bCs/>
          <w:color w:val="auto"/>
          <w:spacing w:val="-39"/>
          <w:sz w:val="24"/>
          <w:szCs w:val="24"/>
        </w:rPr>
        <w:t xml:space="preserve"> </w:t>
      </w:r>
      <w:r>
        <w:rPr>
          <w:rFonts w:hint="eastAsia" w:asciiTheme="minorEastAsia" w:hAnsiTheme="minorEastAsia" w:eastAsiaTheme="minorEastAsia" w:cstheme="minorEastAsia"/>
          <w:b/>
          <w:bCs/>
          <w:color w:val="auto"/>
          <w:spacing w:val="2"/>
          <w:sz w:val="24"/>
          <w:szCs w:val="24"/>
        </w:rPr>
        <w:t>、如遇甲方机构改革，(如污水处理厂被收购，和别</w:t>
      </w:r>
      <w:r>
        <w:rPr>
          <w:rFonts w:hint="eastAsia" w:asciiTheme="minorEastAsia" w:hAnsiTheme="minorEastAsia" w:eastAsiaTheme="minorEastAsia" w:cstheme="minorEastAsia"/>
          <w:b/>
          <w:bCs/>
          <w:color w:val="auto"/>
          <w:spacing w:val="1"/>
          <w:sz w:val="24"/>
          <w:szCs w:val="24"/>
        </w:rPr>
        <w:t>的公司</w:t>
      </w:r>
      <w:r>
        <w:rPr>
          <w:rFonts w:hint="eastAsia" w:asciiTheme="minorEastAsia" w:hAnsiTheme="minorEastAsia" w:eastAsiaTheme="minorEastAsia" w:cstheme="minorEastAsia"/>
          <w:b/>
          <w:bCs/>
          <w:color w:val="auto"/>
          <w:spacing w:val="6"/>
          <w:sz w:val="24"/>
          <w:szCs w:val="24"/>
        </w:rPr>
        <w:t>联营、合并等)甲方单位不存在，新的机构必须继续执行本合</w:t>
      </w:r>
      <w:r>
        <w:rPr>
          <w:rFonts w:hint="eastAsia" w:asciiTheme="minorEastAsia" w:hAnsiTheme="minorEastAsia" w:eastAsiaTheme="minorEastAsia" w:cstheme="minorEastAsia"/>
          <w:b/>
          <w:bCs/>
          <w:color w:val="auto"/>
          <w:spacing w:val="2"/>
          <w:sz w:val="24"/>
          <w:szCs w:val="24"/>
        </w:rPr>
        <w:t>同，直至本合同执行结束。</w:t>
      </w:r>
    </w:p>
    <w:p w14:paraId="15BFF5C5">
      <w:pPr>
        <w:spacing w:before="182" w:line="222"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4"/>
          <w:sz w:val="24"/>
          <w:szCs w:val="24"/>
        </w:rPr>
        <w:t>十</w:t>
      </w:r>
      <w:r>
        <w:rPr>
          <w:rFonts w:hint="eastAsia" w:asciiTheme="minorEastAsia" w:hAnsiTheme="minorEastAsia" w:eastAsiaTheme="minorEastAsia" w:cstheme="minorEastAsia"/>
          <w:b/>
          <w:bCs/>
          <w:color w:val="auto"/>
          <w:spacing w:val="-79"/>
          <w:sz w:val="24"/>
          <w:szCs w:val="24"/>
        </w:rPr>
        <w:t xml:space="preserve"> </w:t>
      </w:r>
      <w:r>
        <w:rPr>
          <w:rFonts w:hint="eastAsia" w:asciiTheme="minorEastAsia" w:hAnsiTheme="minorEastAsia" w:eastAsiaTheme="minorEastAsia" w:cstheme="minorEastAsia"/>
          <w:b/>
          <w:bCs/>
          <w:color w:val="auto"/>
          <w:spacing w:val="-4"/>
          <w:sz w:val="24"/>
          <w:szCs w:val="24"/>
        </w:rPr>
        <w:t>一、违约责任</w:t>
      </w:r>
    </w:p>
    <w:p w14:paraId="109342BA">
      <w:pPr>
        <w:spacing w:before="142" w:line="272" w:lineRule="auto"/>
        <w:ind w:right="80" w:firstLine="6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 按《中华人民共和国政府采购法》《中华人民共和国</w:t>
      </w:r>
      <w:r>
        <w:rPr>
          <w:rFonts w:hint="eastAsia" w:asciiTheme="minorEastAsia" w:hAnsiTheme="minorEastAsia" w:eastAsiaTheme="minorEastAsia" w:cstheme="minorEastAsia"/>
          <w:color w:val="auto"/>
          <w:sz w:val="24"/>
          <w:szCs w:val="24"/>
        </w:rPr>
        <w:t>民法典》中的相关条款执行。</w:t>
      </w:r>
    </w:p>
    <w:p w14:paraId="35F50F3D">
      <w:pPr>
        <w:spacing w:before="169" w:line="277" w:lineRule="auto"/>
        <w:ind w:right="91" w:firstLine="6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2. 未按合同或招标文件要求提供产品或供应的产</w:t>
      </w:r>
      <w:r>
        <w:rPr>
          <w:rFonts w:hint="eastAsia" w:asciiTheme="minorEastAsia" w:hAnsiTheme="minorEastAsia" w:eastAsiaTheme="minorEastAsia" w:cstheme="minorEastAsia"/>
          <w:color w:val="auto"/>
          <w:spacing w:val="4"/>
          <w:sz w:val="24"/>
          <w:szCs w:val="24"/>
        </w:rPr>
        <w:t>品质量</w:t>
      </w:r>
      <w:r>
        <w:rPr>
          <w:rFonts w:hint="eastAsia" w:asciiTheme="minorEastAsia" w:hAnsiTheme="minorEastAsia" w:eastAsiaTheme="minorEastAsia" w:cstheme="minorEastAsia"/>
          <w:color w:val="auto"/>
          <w:spacing w:val="-2"/>
          <w:sz w:val="24"/>
          <w:szCs w:val="24"/>
        </w:rPr>
        <w:t>不能满足采购人技术要求。采购单位有权终止合同</w:t>
      </w:r>
      <w:r>
        <w:rPr>
          <w:rFonts w:hint="eastAsia" w:asciiTheme="minorEastAsia" w:hAnsiTheme="minorEastAsia" w:eastAsiaTheme="minorEastAsia" w:cstheme="minorEastAsia"/>
          <w:color w:val="auto"/>
          <w:spacing w:val="-3"/>
          <w:sz w:val="24"/>
          <w:szCs w:val="24"/>
        </w:rPr>
        <w:t>，甚至对投</w:t>
      </w:r>
      <w:r>
        <w:rPr>
          <w:rFonts w:hint="eastAsia" w:asciiTheme="minorEastAsia" w:hAnsiTheme="minorEastAsia" w:eastAsiaTheme="minorEastAsia" w:cstheme="minorEastAsia"/>
          <w:color w:val="auto"/>
          <w:spacing w:val="2"/>
          <w:sz w:val="24"/>
          <w:szCs w:val="24"/>
        </w:rPr>
        <w:t>标人违约行为进行追究。</w:t>
      </w:r>
    </w:p>
    <w:p w14:paraId="26278895">
      <w:pPr>
        <w:spacing w:before="176" w:line="222" w:lineRule="auto"/>
        <w:ind w:left="4"/>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十二、合同订立</w:t>
      </w:r>
    </w:p>
    <w:p w14:paraId="39E474C9">
      <w:pPr>
        <w:spacing w:before="190" w:line="222" w:lineRule="auto"/>
        <w:ind w:left="6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9"/>
          <w:sz w:val="24"/>
          <w:szCs w:val="24"/>
        </w:rPr>
        <w:t>订立时间：</w:t>
      </w:r>
      <w:r>
        <w:rPr>
          <w:rFonts w:hint="eastAsia" w:asciiTheme="minorEastAsia" w:hAnsiTheme="minorEastAsia" w:eastAsiaTheme="minorEastAsia" w:cstheme="minorEastAsia"/>
          <w:color w:val="auto"/>
          <w:spacing w:val="-9"/>
          <w:sz w:val="24"/>
          <w:szCs w:val="24"/>
          <w:lang w:val="en-US" w:eastAsia="zh-CN"/>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pacing w:val="136"/>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pacing w:val="87"/>
          <w:sz w:val="24"/>
          <w:szCs w:val="24"/>
        </w:rPr>
        <w:t xml:space="preserve"> </w:t>
      </w:r>
      <w:r>
        <w:rPr>
          <w:rFonts w:hint="eastAsia" w:asciiTheme="minorEastAsia" w:hAnsiTheme="minorEastAsia" w:eastAsiaTheme="minorEastAsia" w:cstheme="minorEastAsia"/>
          <w:color w:val="auto"/>
          <w:spacing w:val="-9"/>
          <w:sz w:val="24"/>
          <w:szCs w:val="24"/>
        </w:rPr>
        <w:t>日</w:t>
      </w:r>
    </w:p>
    <w:p w14:paraId="34AD2AD2">
      <w:pPr>
        <w:spacing w:before="124" w:line="270" w:lineRule="auto"/>
        <w:ind w:right="98" w:firstLine="6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2. 订立地点：石泉县市政园林所(石泉县</w:t>
      </w:r>
      <w:r>
        <w:rPr>
          <w:rFonts w:hint="eastAsia" w:asciiTheme="minorEastAsia" w:hAnsiTheme="minorEastAsia" w:eastAsiaTheme="minorEastAsia" w:cstheme="minorEastAsia"/>
          <w:color w:val="auto"/>
          <w:spacing w:val="10"/>
          <w:sz w:val="24"/>
          <w:szCs w:val="24"/>
        </w:rPr>
        <w:t>城镇污水垃圾</w:t>
      </w:r>
      <w:r>
        <w:rPr>
          <w:rFonts w:hint="eastAsia" w:asciiTheme="minorEastAsia" w:hAnsiTheme="minorEastAsia" w:eastAsiaTheme="minorEastAsia" w:cstheme="minorEastAsia"/>
          <w:color w:val="auto"/>
          <w:spacing w:val="17"/>
          <w:sz w:val="24"/>
          <w:szCs w:val="24"/>
        </w:rPr>
        <w:t>处理监测中心)</w:t>
      </w:r>
    </w:p>
    <w:p w14:paraId="3CE82B77">
      <w:pPr>
        <w:spacing w:before="133" w:line="285" w:lineRule="auto"/>
        <w:ind w:firstLine="6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3. 本合同一式4份，具有同等法律效力，双方各执1份，</w:t>
      </w:r>
      <w:r>
        <w:rPr>
          <w:rFonts w:hint="eastAsia" w:asciiTheme="minorEastAsia" w:hAnsiTheme="minorEastAsia" w:eastAsiaTheme="minorEastAsia" w:cstheme="minorEastAsia"/>
          <w:color w:val="auto"/>
          <w:spacing w:val="9"/>
          <w:sz w:val="24"/>
          <w:szCs w:val="24"/>
        </w:rPr>
        <w:t>监管部门备案1份、招标代理机构存档1份。各方签字盖章后</w:t>
      </w:r>
      <w:r>
        <w:rPr>
          <w:rFonts w:hint="eastAsia" w:asciiTheme="minorEastAsia" w:hAnsiTheme="minorEastAsia" w:eastAsiaTheme="minorEastAsia" w:cstheme="minorEastAsia"/>
          <w:color w:val="auto"/>
          <w:spacing w:val="-8"/>
          <w:sz w:val="24"/>
          <w:szCs w:val="24"/>
        </w:rPr>
        <w:t>生效，合同执行完毕自动失效。(合同的服务</w:t>
      </w:r>
      <w:r>
        <w:rPr>
          <w:rFonts w:hint="eastAsia" w:asciiTheme="minorEastAsia" w:hAnsiTheme="minorEastAsia" w:eastAsiaTheme="minorEastAsia" w:cstheme="minorEastAsia"/>
          <w:color w:val="auto"/>
          <w:spacing w:val="-9"/>
          <w:sz w:val="24"/>
          <w:szCs w:val="24"/>
        </w:rPr>
        <w:t>承诺则长期有效)。</w:t>
      </w:r>
    </w:p>
    <w:p w14:paraId="4E2DC1AD">
      <w:pPr>
        <w:spacing w:before="149" w:line="236"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8"/>
          <w:position w:val="-1"/>
          <w:sz w:val="24"/>
          <w:szCs w:val="24"/>
        </w:rPr>
        <w:t>甲方(公章)</w:t>
      </w:r>
      <w:r>
        <w:rPr>
          <w:rFonts w:hint="eastAsia" w:asciiTheme="minorEastAsia" w:hAnsiTheme="minorEastAsia" w:eastAsiaTheme="minorEastAsia" w:cstheme="minorEastAsia"/>
          <w:color w:val="auto"/>
          <w:spacing w:val="2"/>
          <w:position w:val="-1"/>
          <w:sz w:val="24"/>
          <w:szCs w:val="24"/>
        </w:rPr>
        <w:t xml:space="preserve">                       </w:t>
      </w:r>
      <w:r>
        <w:rPr>
          <w:rFonts w:hint="eastAsia" w:asciiTheme="minorEastAsia" w:hAnsiTheme="minorEastAsia" w:eastAsiaTheme="minorEastAsia" w:cstheme="minorEastAsia"/>
          <w:color w:val="auto"/>
          <w:spacing w:val="2"/>
          <w:position w:val="-1"/>
          <w:sz w:val="24"/>
          <w:szCs w:val="24"/>
          <w:lang w:val="en-US" w:eastAsia="zh-CN"/>
        </w:rPr>
        <w:t xml:space="preserve">    </w:t>
      </w:r>
      <w:r>
        <w:rPr>
          <w:rFonts w:hint="eastAsia" w:asciiTheme="minorEastAsia" w:hAnsiTheme="minorEastAsia" w:eastAsiaTheme="minorEastAsia" w:cstheme="minorEastAsia"/>
          <w:color w:val="auto"/>
          <w:spacing w:val="38"/>
          <w:position w:val="1"/>
          <w:sz w:val="24"/>
          <w:szCs w:val="24"/>
        </w:rPr>
        <w:t>乙方(公章)</w:t>
      </w:r>
    </w:p>
    <w:p w14:paraId="7D6F31CD">
      <w:pPr>
        <w:spacing w:before="177" w:line="226"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position w:val="-2"/>
          <w:sz w:val="24"/>
          <w:szCs w:val="24"/>
        </w:rPr>
        <w:t>单位名称：</w:t>
      </w:r>
      <w:r>
        <w:rPr>
          <w:rFonts w:hint="eastAsia" w:asciiTheme="minorEastAsia" w:hAnsiTheme="minorEastAsia" w:eastAsiaTheme="minorEastAsia" w:cstheme="minorEastAsia"/>
          <w:color w:val="auto"/>
          <w:spacing w:val="2"/>
          <w:position w:val="-2"/>
          <w:sz w:val="24"/>
          <w:szCs w:val="24"/>
        </w:rPr>
        <w:t xml:space="preserve">                    </w:t>
      </w:r>
      <w:r>
        <w:rPr>
          <w:rFonts w:hint="eastAsia" w:asciiTheme="minorEastAsia" w:hAnsiTheme="minorEastAsia" w:eastAsiaTheme="minorEastAsia" w:cstheme="minorEastAsia"/>
          <w:color w:val="auto"/>
          <w:spacing w:val="1"/>
          <w:position w:val="-2"/>
          <w:sz w:val="24"/>
          <w:szCs w:val="24"/>
        </w:rPr>
        <w:t xml:space="preserve">         </w:t>
      </w:r>
      <w:r>
        <w:rPr>
          <w:rFonts w:hint="eastAsia" w:asciiTheme="minorEastAsia" w:hAnsiTheme="minorEastAsia" w:eastAsiaTheme="minorEastAsia" w:cstheme="minorEastAsia"/>
          <w:color w:val="auto"/>
          <w:spacing w:val="14"/>
          <w:position w:val="2"/>
          <w:sz w:val="24"/>
          <w:szCs w:val="24"/>
        </w:rPr>
        <w:t>单位名称：</w:t>
      </w:r>
    </w:p>
    <w:p w14:paraId="62E4F422">
      <w:pPr>
        <w:spacing w:before="139" w:line="230"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2"/>
          <w:position w:val="-1"/>
          <w:sz w:val="24"/>
          <w:szCs w:val="24"/>
        </w:rPr>
        <w:t>法</w:t>
      </w:r>
      <w:r>
        <w:rPr>
          <w:rFonts w:hint="eastAsia" w:asciiTheme="minorEastAsia" w:hAnsiTheme="minorEastAsia" w:eastAsiaTheme="minorEastAsia" w:cstheme="minorEastAsia"/>
          <w:color w:val="auto"/>
          <w:spacing w:val="5"/>
          <w:position w:val="-1"/>
          <w:sz w:val="24"/>
          <w:szCs w:val="24"/>
        </w:rPr>
        <w:t xml:space="preserve">     </w:t>
      </w:r>
      <w:r>
        <w:rPr>
          <w:rFonts w:hint="eastAsia" w:asciiTheme="minorEastAsia" w:hAnsiTheme="minorEastAsia" w:eastAsiaTheme="minorEastAsia" w:cstheme="minorEastAsia"/>
          <w:b/>
          <w:bCs/>
          <w:color w:val="auto"/>
          <w:spacing w:val="-12"/>
          <w:position w:val="-1"/>
          <w:sz w:val="24"/>
          <w:szCs w:val="24"/>
        </w:rPr>
        <w:t>人</w:t>
      </w:r>
      <w:r>
        <w:rPr>
          <w:rFonts w:hint="eastAsia" w:asciiTheme="minorEastAsia" w:hAnsiTheme="minorEastAsia" w:eastAsiaTheme="minorEastAsia" w:cstheme="minorEastAsia"/>
          <w:color w:val="auto"/>
          <w:spacing w:val="-21"/>
          <w:position w:val="-1"/>
          <w:sz w:val="24"/>
          <w:szCs w:val="24"/>
        </w:rPr>
        <w:t xml:space="preserve"> </w:t>
      </w:r>
      <w:r>
        <w:rPr>
          <w:rFonts w:hint="eastAsia" w:asciiTheme="minorEastAsia" w:hAnsiTheme="minorEastAsia" w:eastAsiaTheme="minorEastAsia" w:cstheme="minorEastAsia"/>
          <w:b/>
          <w:bCs/>
          <w:color w:val="auto"/>
          <w:spacing w:val="-12"/>
          <w:position w:val="-1"/>
          <w:sz w:val="24"/>
          <w:szCs w:val="24"/>
        </w:rPr>
        <w:t>：</w:t>
      </w:r>
      <w:r>
        <w:rPr>
          <w:rFonts w:hint="eastAsia" w:asciiTheme="minorEastAsia" w:hAnsiTheme="minorEastAsia" w:eastAsiaTheme="minorEastAsia" w:cstheme="minorEastAsia"/>
          <w:color w:val="auto"/>
          <w:spacing w:val="-12"/>
          <w:position w:val="-1"/>
          <w:sz w:val="24"/>
          <w:szCs w:val="24"/>
        </w:rPr>
        <w:t xml:space="preserve">                              </w:t>
      </w:r>
      <w:r>
        <w:rPr>
          <w:rFonts w:hint="eastAsia" w:asciiTheme="minorEastAsia" w:hAnsiTheme="minorEastAsia" w:eastAsiaTheme="minorEastAsia" w:cstheme="minorEastAsia"/>
          <w:color w:val="auto"/>
          <w:spacing w:val="-12"/>
          <w:position w:val="-1"/>
          <w:sz w:val="24"/>
          <w:szCs w:val="24"/>
          <w:lang w:val="en-US" w:eastAsia="zh-CN"/>
        </w:rPr>
        <w:t xml:space="preserve"> </w:t>
      </w:r>
      <w:r>
        <w:rPr>
          <w:rFonts w:hint="eastAsia" w:asciiTheme="minorEastAsia" w:hAnsiTheme="minorEastAsia" w:eastAsiaTheme="minorEastAsia" w:cstheme="minorEastAsia"/>
          <w:color w:val="auto"/>
          <w:spacing w:val="-13"/>
          <w:sz w:val="24"/>
          <w:szCs w:val="24"/>
        </w:rPr>
        <w:t>法</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13"/>
          <w:sz w:val="24"/>
          <w:szCs w:val="24"/>
        </w:rPr>
        <w:t>人：</w:t>
      </w:r>
    </w:p>
    <w:p w14:paraId="351FBEF0">
      <w:pPr>
        <w:spacing w:before="199" w:line="235"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9"/>
          <w:sz w:val="24"/>
          <w:szCs w:val="24"/>
        </w:rPr>
        <w:t>地</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b/>
          <w:bCs/>
          <w:color w:val="auto"/>
          <w:spacing w:val="-19"/>
          <w:sz w:val="24"/>
          <w:szCs w:val="24"/>
        </w:rPr>
        <w:t>址：</w:t>
      </w:r>
      <w:r>
        <w:rPr>
          <w:rFonts w:hint="eastAsia" w:asciiTheme="minorEastAsia" w:hAnsiTheme="minorEastAsia" w:eastAsiaTheme="minorEastAsia" w:cstheme="minorEastAsia"/>
          <w:color w:val="auto"/>
          <w:spacing w:val="2"/>
          <w:sz w:val="24"/>
          <w:szCs w:val="24"/>
        </w:rPr>
        <w:t xml:space="preserve">                   </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1"/>
          <w:sz w:val="24"/>
          <w:szCs w:val="24"/>
          <w:lang w:val="en-US" w:eastAsia="zh-CN"/>
        </w:rPr>
        <w:t xml:space="preserve">     </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19"/>
          <w:sz w:val="24"/>
          <w:szCs w:val="24"/>
        </w:rPr>
        <w:t>地</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19"/>
          <w:sz w:val="24"/>
          <w:szCs w:val="24"/>
        </w:rPr>
        <w:t>址：</w:t>
      </w:r>
    </w:p>
    <w:p w14:paraId="58A6053E">
      <w:pPr>
        <w:spacing w:before="128" w:line="22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代 理 人</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14"/>
          <w:sz w:val="24"/>
          <w:szCs w:val="24"/>
          <w:lang w:val="en-US" w:eastAsia="zh-CN"/>
        </w:rPr>
        <w:t xml:space="preserve">    </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14"/>
          <w:sz w:val="24"/>
          <w:szCs w:val="24"/>
          <w:lang w:val="en-US" w:eastAsia="zh-CN"/>
        </w:rPr>
        <w:t xml:space="preserve">   </w:t>
      </w:r>
      <w:r>
        <w:rPr>
          <w:rFonts w:hint="eastAsia" w:asciiTheme="minorEastAsia" w:hAnsiTheme="minorEastAsia" w:eastAsiaTheme="minorEastAsia" w:cstheme="minorEastAsia"/>
          <w:color w:val="auto"/>
          <w:spacing w:val="-14"/>
          <w:sz w:val="24"/>
          <w:szCs w:val="24"/>
        </w:rPr>
        <w:t xml:space="preserve">代 </w:t>
      </w:r>
      <w:r>
        <w:rPr>
          <w:rFonts w:hint="eastAsia" w:asciiTheme="minorEastAsia" w:hAnsiTheme="minorEastAsia" w:eastAsiaTheme="minorEastAsia" w:cstheme="minorEastAsia"/>
          <w:color w:val="auto"/>
          <w:spacing w:val="-15"/>
          <w:sz w:val="24"/>
          <w:szCs w:val="24"/>
        </w:rPr>
        <w:t>理 人 ：</w:t>
      </w:r>
    </w:p>
    <w:p w14:paraId="01B436AA">
      <w:pPr>
        <w:spacing w:before="192" w:line="23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position w:val="-1"/>
          <w:sz w:val="24"/>
          <w:szCs w:val="24"/>
        </w:rPr>
        <w:t>联系电话：</w:t>
      </w:r>
      <w:r>
        <w:rPr>
          <w:rFonts w:hint="eastAsia" w:asciiTheme="minorEastAsia" w:hAnsiTheme="minorEastAsia" w:eastAsiaTheme="minorEastAsia" w:cstheme="minorEastAsia"/>
          <w:color w:val="auto"/>
          <w:spacing w:val="2"/>
          <w:position w:val="-1"/>
          <w:sz w:val="24"/>
          <w:szCs w:val="24"/>
        </w:rPr>
        <w:t xml:space="preserve">                    </w:t>
      </w:r>
      <w:r>
        <w:rPr>
          <w:rFonts w:hint="eastAsia" w:asciiTheme="minorEastAsia" w:hAnsiTheme="minorEastAsia" w:eastAsiaTheme="minorEastAsia" w:cstheme="minorEastAsia"/>
          <w:color w:val="auto"/>
          <w:spacing w:val="1"/>
          <w:position w:val="-1"/>
          <w:sz w:val="24"/>
          <w:szCs w:val="24"/>
        </w:rPr>
        <w:t xml:space="preserve">         </w:t>
      </w:r>
      <w:r>
        <w:rPr>
          <w:rFonts w:hint="eastAsia" w:asciiTheme="minorEastAsia" w:hAnsiTheme="minorEastAsia" w:eastAsiaTheme="minorEastAsia" w:cstheme="minorEastAsia"/>
          <w:color w:val="auto"/>
          <w:spacing w:val="14"/>
          <w:position w:val="1"/>
          <w:sz w:val="24"/>
          <w:szCs w:val="24"/>
        </w:rPr>
        <w:t>联系电话：</w:t>
      </w:r>
    </w:p>
    <w:p w14:paraId="359DFEF7">
      <w:pPr>
        <w:spacing w:before="192" w:line="223"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position w:val="-2"/>
          <w:sz w:val="24"/>
          <w:szCs w:val="24"/>
        </w:rPr>
        <w:t>签订日期：</w:t>
      </w:r>
      <w:r>
        <w:rPr>
          <w:rFonts w:hint="eastAsia" w:asciiTheme="minorEastAsia" w:hAnsiTheme="minorEastAsia" w:eastAsiaTheme="minorEastAsia" w:cstheme="minorEastAsia"/>
          <w:color w:val="auto"/>
          <w:spacing w:val="2"/>
          <w:position w:val="-2"/>
          <w:sz w:val="24"/>
          <w:szCs w:val="24"/>
        </w:rPr>
        <w:t xml:space="preserve">                    </w:t>
      </w:r>
      <w:r>
        <w:rPr>
          <w:rFonts w:hint="eastAsia" w:asciiTheme="minorEastAsia" w:hAnsiTheme="minorEastAsia" w:eastAsiaTheme="minorEastAsia" w:cstheme="minorEastAsia"/>
          <w:color w:val="auto"/>
          <w:spacing w:val="1"/>
          <w:position w:val="-2"/>
          <w:sz w:val="24"/>
          <w:szCs w:val="24"/>
        </w:rPr>
        <w:t xml:space="preserve">         </w:t>
      </w:r>
      <w:r>
        <w:rPr>
          <w:rFonts w:hint="eastAsia" w:asciiTheme="minorEastAsia" w:hAnsiTheme="minorEastAsia" w:eastAsiaTheme="minorEastAsia" w:cstheme="minorEastAsia"/>
          <w:color w:val="auto"/>
          <w:spacing w:val="14"/>
          <w:position w:val="2"/>
          <w:sz w:val="24"/>
          <w:szCs w:val="24"/>
        </w:rPr>
        <w:t>签订日期：</w:t>
      </w:r>
    </w:p>
    <w:p w14:paraId="32526206">
      <w:pPr>
        <w:pStyle w:val="3"/>
        <w:spacing w:before="42"/>
        <w:ind w:left="793" w:right="875"/>
        <w:jc w:val="center"/>
        <w:rPr>
          <w:rFonts w:hint="eastAsia" w:ascii="宋体" w:hAnsi="宋体" w:eastAsia="宋体" w:cs="宋体"/>
          <w:b/>
          <w:bCs w:val="0"/>
          <w:w w:val="95"/>
          <w:sz w:val="44"/>
          <w:szCs w:val="22"/>
          <w:lang w:val="zh-CN" w:eastAsia="zh-CN" w:bidi="zh-CN"/>
        </w:rPr>
      </w:pPr>
    </w:p>
    <w:p w14:paraId="71982FB9">
      <w:pPr>
        <w:rPr>
          <w:rFonts w:hint="eastAsia" w:ascii="宋体" w:hAnsi="宋体" w:eastAsia="宋体" w:cs="宋体"/>
          <w:b/>
          <w:bCs w:val="0"/>
          <w:w w:val="95"/>
          <w:sz w:val="44"/>
          <w:szCs w:val="22"/>
          <w:lang w:val="zh-CN" w:eastAsia="zh-CN" w:bidi="zh-CN"/>
        </w:rPr>
      </w:pPr>
    </w:p>
    <w:p w14:paraId="4938945B">
      <w:pPr>
        <w:rPr>
          <w:rFonts w:hint="eastAsia" w:ascii="宋体" w:hAnsi="宋体" w:eastAsia="宋体" w:cs="宋体"/>
          <w:b/>
          <w:bCs w:val="0"/>
          <w:w w:val="95"/>
          <w:sz w:val="44"/>
          <w:szCs w:val="22"/>
          <w:lang w:val="zh-CN" w:eastAsia="zh-CN" w:bidi="zh-CN"/>
        </w:rPr>
      </w:pPr>
    </w:p>
    <w:p w14:paraId="0F09A217">
      <w:pPr>
        <w:rPr>
          <w:rFonts w:hint="eastAsia" w:ascii="宋体" w:hAnsi="宋体" w:eastAsia="宋体" w:cs="宋体"/>
          <w:b/>
          <w:bCs w:val="0"/>
          <w:w w:val="95"/>
          <w:sz w:val="44"/>
          <w:szCs w:val="22"/>
          <w:lang w:val="zh-CN" w:eastAsia="zh-CN" w:bidi="zh-CN"/>
        </w:rPr>
      </w:pPr>
    </w:p>
    <w:p w14:paraId="0AFDE314">
      <w:pPr>
        <w:rPr>
          <w:rFonts w:hint="eastAsia" w:ascii="宋体" w:hAnsi="宋体" w:eastAsia="宋体" w:cs="宋体"/>
          <w:b/>
          <w:bCs w:val="0"/>
          <w:w w:val="95"/>
          <w:sz w:val="44"/>
          <w:szCs w:val="22"/>
          <w:lang w:val="zh-CN" w:eastAsia="zh-CN" w:bidi="zh-CN"/>
        </w:rPr>
      </w:pPr>
    </w:p>
    <w:p w14:paraId="6962F943">
      <w:pPr>
        <w:rPr>
          <w:rFonts w:hint="eastAsia" w:ascii="宋体" w:hAnsi="宋体" w:eastAsia="宋体" w:cs="宋体"/>
          <w:b/>
          <w:bCs w:val="0"/>
          <w:w w:val="95"/>
          <w:sz w:val="44"/>
          <w:szCs w:val="22"/>
          <w:lang w:val="zh-CN" w:eastAsia="zh-CN" w:bidi="zh-CN"/>
        </w:rPr>
      </w:pPr>
    </w:p>
    <w:p w14:paraId="5C3D723E">
      <w:pPr>
        <w:rPr>
          <w:rFonts w:hint="eastAsia" w:ascii="宋体" w:hAnsi="宋体" w:eastAsia="宋体" w:cs="宋体"/>
          <w:b/>
          <w:bCs w:val="0"/>
          <w:w w:val="95"/>
          <w:sz w:val="44"/>
          <w:szCs w:val="22"/>
          <w:lang w:val="zh-CN" w:eastAsia="zh-CN" w:bidi="zh-CN"/>
        </w:rPr>
      </w:pPr>
    </w:p>
    <w:p w14:paraId="776A6C0F">
      <w:pPr>
        <w:rPr>
          <w:rFonts w:hint="eastAsia" w:ascii="宋体" w:hAnsi="宋体" w:eastAsia="宋体" w:cs="宋体"/>
          <w:b/>
          <w:bCs w:val="0"/>
          <w:w w:val="95"/>
          <w:sz w:val="44"/>
          <w:szCs w:val="22"/>
          <w:lang w:val="zh-CN" w:eastAsia="zh-CN" w:bidi="zh-CN"/>
        </w:rPr>
      </w:pPr>
    </w:p>
    <w:p w14:paraId="4BBE74C1">
      <w:pPr>
        <w:rPr>
          <w:rFonts w:hint="eastAsia" w:ascii="宋体" w:hAnsi="宋体" w:eastAsia="宋体" w:cs="宋体"/>
          <w:b/>
          <w:bCs w:val="0"/>
          <w:w w:val="95"/>
          <w:sz w:val="44"/>
          <w:szCs w:val="22"/>
          <w:lang w:val="zh-CN" w:eastAsia="zh-CN" w:bidi="zh-CN"/>
        </w:rPr>
      </w:pPr>
    </w:p>
    <w:p w14:paraId="7BA79ABE">
      <w:pPr>
        <w:pStyle w:val="3"/>
        <w:tabs>
          <w:tab w:val="left" w:pos="1283"/>
        </w:tabs>
        <w:spacing w:before="33"/>
        <w:ind w:left="0" w:right="82"/>
        <w:jc w:val="center"/>
        <w:rPr>
          <w:rFonts w:hint="eastAsia" w:ascii="宋体" w:hAnsi="宋体" w:eastAsia="宋体" w:cs="宋体"/>
          <w:lang w:val="zh-CN" w:eastAsia="zh-CN"/>
        </w:rPr>
      </w:pPr>
      <w:r>
        <w:rPr>
          <w:rFonts w:hint="eastAsia" w:ascii="宋体" w:hAnsi="宋体" w:eastAsia="宋体" w:cs="宋体"/>
          <w:lang w:val="zh-CN" w:eastAsia="zh-CN"/>
        </w:rPr>
        <w:t>第五章 谈判响应文件基本格式</w:t>
      </w:r>
    </w:p>
    <w:p w14:paraId="39CA0E76">
      <w:pPr>
        <w:pStyle w:val="4"/>
        <w:spacing w:before="0"/>
        <w:ind w:left="348" w:right="0"/>
        <w:jc w:val="left"/>
        <w:rPr>
          <w:sz w:val="28"/>
          <w:szCs w:val="28"/>
        </w:rPr>
      </w:pPr>
    </w:p>
    <w:p w14:paraId="3482F1CD">
      <w:pPr>
        <w:pStyle w:val="4"/>
        <w:shd w:val="clear"/>
        <w:spacing w:before="0"/>
        <w:ind w:left="348" w:right="0"/>
        <w:jc w:val="left"/>
        <w:rPr>
          <w:rFonts w:hint="eastAsia" w:eastAsia="宋体"/>
          <w:b/>
          <w:bCs/>
          <w:sz w:val="28"/>
          <w:szCs w:val="28"/>
          <w:lang w:eastAsia="zh-CN"/>
        </w:rPr>
      </w:pPr>
      <w:r>
        <w:rPr>
          <w:sz w:val="28"/>
          <w:szCs w:val="28"/>
        </w:rPr>
        <w:t>项目编号：</w:t>
      </w:r>
      <w:r>
        <w:rPr>
          <w:rFonts w:hint="eastAsia"/>
          <w:sz w:val="28"/>
          <w:szCs w:val="28"/>
          <w:lang w:eastAsia="zh-CN"/>
        </w:rPr>
        <w:t>YC254400</w:t>
      </w:r>
      <w:r>
        <w:rPr>
          <w:rFonts w:hint="eastAsia"/>
          <w:sz w:val="28"/>
          <w:szCs w:val="28"/>
          <w:lang w:val="en-US" w:eastAsia="zh-CN"/>
        </w:rPr>
        <w:t>31</w:t>
      </w:r>
      <w:r>
        <w:rPr>
          <w:rFonts w:hint="eastAsia"/>
          <w:sz w:val="28"/>
          <w:szCs w:val="28"/>
          <w:lang w:eastAsia="zh-CN"/>
        </w:rPr>
        <w:t>(CGP)</w:t>
      </w:r>
    </w:p>
    <w:p w14:paraId="52CA1DCF">
      <w:pPr>
        <w:pStyle w:val="9"/>
        <w:rPr>
          <w:b/>
          <w:sz w:val="30"/>
        </w:rPr>
      </w:pPr>
    </w:p>
    <w:p w14:paraId="2E8192A8">
      <w:pPr>
        <w:pStyle w:val="9"/>
        <w:rPr>
          <w:b/>
          <w:sz w:val="30"/>
        </w:rPr>
      </w:pPr>
    </w:p>
    <w:p w14:paraId="26C50264">
      <w:pPr>
        <w:pStyle w:val="9"/>
        <w:spacing w:before="7"/>
        <w:rPr>
          <w:b/>
          <w:sz w:val="21"/>
        </w:rPr>
      </w:pPr>
    </w:p>
    <w:p w14:paraId="1F1E99FF">
      <w:pPr>
        <w:pStyle w:val="9"/>
        <w:jc w:val="center"/>
        <w:rPr>
          <w:b/>
          <w:sz w:val="60"/>
          <w:szCs w:val="36"/>
        </w:rPr>
      </w:pPr>
      <w:r>
        <w:rPr>
          <w:rFonts w:hint="eastAsia" w:cs="宋体"/>
          <w:b/>
          <w:bCs/>
          <w:sz w:val="48"/>
          <w:szCs w:val="48"/>
          <w:lang w:val="en-US" w:eastAsia="zh-CN"/>
        </w:rPr>
        <w:t>石泉县污水处理厂2025年生产药剂采购项目</w:t>
      </w:r>
    </w:p>
    <w:p w14:paraId="6F824102">
      <w:pPr>
        <w:spacing w:before="0"/>
        <w:ind w:left="790" w:right="875" w:firstLine="0"/>
        <w:jc w:val="center"/>
        <w:rPr>
          <w:b/>
          <w:sz w:val="56"/>
        </w:rPr>
      </w:pPr>
    </w:p>
    <w:p w14:paraId="17C760B0">
      <w:pPr>
        <w:spacing w:before="0"/>
        <w:ind w:left="790" w:right="875" w:firstLine="0"/>
        <w:jc w:val="center"/>
        <w:rPr>
          <w:b/>
          <w:sz w:val="56"/>
          <w:szCs w:val="21"/>
        </w:rPr>
      </w:pPr>
      <w:r>
        <w:rPr>
          <w:b/>
          <w:sz w:val="56"/>
          <w:szCs w:val="21"/>
        </w:rPr>
        <w:t>谈判响应文件</w:t>
      </w:r>
    </w:p>
    <w:p w14:paraId="3D899791">
      <w:pPr>
        <w:pStyle w:val="9"/>
        <w:rPr>
          <w:b/>
          <w:sz w:val="56"/>
        </w:rPr>
      </w:pPr>
    </w:p>
    <w:p w14:paraId="5A5D92DE">
      <w:pPr>
        <w:pStyle w:val="9"/>
        <w:rPr>
          <w:b/>
          <w:sz w:val="56"/>
        </w:rPr>
      </w:pPr>
    </w:p>
    <w:p w14:paraId="017DE7A9">
      <w:pPr>
        <w:pStyle w:val="9"/>
        <w:spacing w:before="5"/>
        <w:rPr>
          <w:b/>
          <w:sz w:val="48"/>
        </w:rPr>
      </w:pPr>
    </w:p>
    <w:p w14:paraId="1D65C274">
      <w:pPr>
        <w:pStyle w:val="15"/>
        <w:rPr>
          <w:b/>
          <w:sz w:val="48"/>
        </w:rPr>
      </w:pPr>
    </w:p>
    <w:p w14:paraId="5DECB3FC">
      <w:pPr>
        <w:pStyle w:val="15"/>
        <w:rPr>
          <w:b/>
          <w:sz w:val="48"/>
        </w:rPr>
      </w:pPr>
    </w:p>
    <w:p w14:paraId="7BB272A7">
      <w:pPr>
        <w:pStyle w:val="15"/>
        <w:rPr>
          <w:b/>
          <w:sz w:val="48"/>
        </w:rPr>
      </w:pPr>
    </w:p>
    <w:p w14:paraId="0356FE84">
      <w:pPr>
        <w:pStyle w:val="15"/>
        <w:rPr>
          <w:b/>
          <w:sz w:val="48"/>
        </w:rPr>
      </w:pPr>
    </w:p>
    <w:p w14:paraId="1120C2FF">
      <w:pPr>
        <w:pStyle w:val="15"/>
        <w:rPr>
          <w:b/>
          <w:sz w:val="48"/>
        </w:rPr>
      </w:pPr>
    </w:p>
    <w:p w14:paraId="118A6DCE">
      <w:pPr>
        <w:pStyle w:val="3"/>
        <w:tabs>
          <w:tab w:val="left" w:pos="8201"/>
        </w:tabs>
        <w:spacing w:line="364" w:lineRule="auto"/>
        <w:ind w:left="1397" w:right="1410"/>
        <w:jc w:val="both"/>
        <w:rPr>
          <w:rFonts w:ascii="Times New Roman" w:eastAsia="Times New Roman"/>
          <w:w w:val="12"/>
          <w:u w:val="single"/>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p>
    <w:p w14:paraId="73E24DF7">
      <w:pPr>
        <w:pStyle w:val="3"/>
        <w:tabs>
          <w:tab w:val="left" w:pos="8201"/>
        </w:tabs>
        <w:spacing w:line="364" w:lineRule="auto"/>
        <w:ind w:left="1397" w:right="1410"/>
        <w:jc w:val="both"/>
        <w:rPr>
          <w:rFonts w:ascii="Times New Roman" w:eastAsia="Times New Roman"/>
          <w:w w:val="12"/>
          <w:u w:val="single"/>
        </w:rPr>
      </w:pPr>
    </w:p>
    <w:p w14:paraId="34D86349">
      <w:pPr>
        <w:pStyle w:val="3"/>
        <w:tabs>
          <w:tab w:val="left" w:pos="8201"/>
        </w:tabs>
        <w:spacing w:line="364" w:lineRule="auto"/>
        <w:ind w:left="1397" w:right="1410"/>
        <w:jc w:val="both"/>
        <w:rPr>
          <w:w w:val="95"/>
          <w:u w:val="single"/>
        </w:rPr>
      </w:pPr>
      <w:r>
        <w:rPr>
          <w:w w:val="95"/>
        </w:rPr>
        <w:t>法</w:t>
      </w:r>
      <w:r>
        <w:rPr>
          <w:rFonts w:hint="eastAsia"/>
          <w:w w:val="95"/>
          <w:lang w:eastAsia="zh-CN"/>
        </w:rPr>
        <w:t>定代表人</w:t>
      </w:r>
      <w:r>
        <w:rPr>
          <w:w w:val="95"/>
        </w:rPr>
        <w:t>或</w:t>
      </w:r>
      <w:r>
        <w:rPr>
          <w:rFonts w:hint="eastAsia"/>
          <w:w w:val="95"/>
          <w:lang w:eastAsia="zh-CN"/>
        </w:rPr>
        <w:t>授权</w:t>
      </w:r>
      <w:r>
        <w:rPr>
          <w:w w:val="95"/>
        </w:rPr>
        <w:t>委托人（签字或盖章）：</w:t>
      </w:r>
      <w:r>
        <w:rPr>
          <w:w w:val="95"/>
          <w:u w:val="single"/>
        </w:rPr>
        <w:tab/>
      </w:r>
      <w:r>
        <w:rPr>
          <w:w w:val="95"/>
          <w:u w:val="single"/>
        </w:rPr>
        <w:t xml:space="preserve"> </w:t>
      </w:r>
    </w:p>
    <w:p w14:paraId="13A084B4">
      <w:pPr>
        <w:pStyle w:val="3"/>
        <w:tabs>
          <w:tab w:val="left" w:pos="8201"/>
        </w:tabs>
        <w:spacing w:line="364" w:lineRule="auto"/>
        <w:ind w:left="1397" w:right="1410"/>
        <w:jc w:val="both"/>
        <w:rPr>
          <w:w w:val="95"/>
          <w:u w:val="single"/>
        </w:rPr>
      </w:pPr>
    </w:p>
    <w:p w14:paraId="71692F2F">
      <w:pPr>
        <w:pStyle w:val="3"/>
        <w:tabs>
          <w:tab w:val="left" w:pos="8201"/>
        </w:tabs>
        <w:spacing w:line="364" w:lineRule="auto"/>
        <w:ind w:left="1397" w:right="1410"/>
        <w:jc w:val="both"/>
        <w:rPr>
          <w:rFonts w:ascii="Times New Roman" w:eastAsia="Times New Roman"/>
          <w:b w:val="0"/>
        </w:rPr>
      </w:pP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14:paraId="3E9B48C3">
      <w:pPr>
        <w:spacing w:after="0" w:line="364" w:lineRule="auto"/>
        <w:jc w:val="both"/>
        <w:rPr>
          <w:rFonts w:ascii="Times New Roman" w:eastAsia="Times New Roman"/>
        </w:rPr>
        <w:sectPr>
          <w:headerReference r:id="rId12" w:type="default"/>
          <w:footerReference r:id="rId13" w:type="default"/>
          <w:pgSz w:w="11910" w:h="16840"/>
          <w:pgMar w:top="1440" w:right="1080" w:bottom="1440" w:left="1080" w:header="0" w:footer="680" w:gutter="0"/>
          <w:pgNumType w:fmt="decimal"/>
          <w:cols w:space="720" w:num="1"/>
        </w:sectPr>
      </w:pPr>
    </w:p>
    <w:p w14:paraId="3F45272E">
      <w:pPr>
        <w:pStyle w:val="9"/>
        <w:rPr>
          <w:rFonts w:ascii="Times New Roman"/>
          <w:sz w:val="20"/>
        </w:rPr>
      </w:pPr>
    </w:p>
    <w:p w14:paraId="585068F4">
      <w:pPr>
        <w:tabs>
          <w:tab w:val="left" w:pos="1679"/>
        </w:tabs>
        <w:spacing w:before="158"/>
        <w:ind w:left="0" w:right="84" w:firstLine="0"/>
        <w:jc w:val="center"/>
        <w:rPr>
          <w:b/>
          <w:sz w:val="48"/>
        </w:rPr>
      </w:pPr>
      <w:r>
        <w:rPr>
          <w:b/>
          <w:sz w:val="48"/>
        </w:rPr>
        <w:t>目</w:t>
      </w:r>
      <w:r>
        <w:rPr>
          <w:b/>
          <w:sz w:val="48"/>
        </w:rPr>
        <w:tab/>
      </w:r>
      <w:r>
        <w:rPr>
          <w:b/>
          <w:sz w:val="48"/>
        </w:rPr>
        <w:t>录</w:t>
      </w:r>
    </w:p>
    <w:p w14:paraId="5A690630">
      <w:pPr>
        <w:pStyle w:val="9"/>
        <w:spacing w:before="10"/>
        <w:rPr>
          <w:b/>
          <w:sz w:val="64"/>
        </w:rPr>
      </w:pPr>
    </w:p>
    <w:p w14:paraId="09391977">
      <w:pPr>
        <w:numPr>
          <w:ilvl w:val="0"/>
          <w:numId w:val="0"/>
        </w:numPr>
        <w:spacing w:before="1" w:line="400" w:lineRule="auto"/>
        <w:ind w:right="4350" w:rightChars="0" w:firstLine="843" w:firstLineChars="300"/>
        <w:jc w:val="left"/>
        <w:rPr>
          <w:b/>
          <w:sz w:val="28"/>
        </w:rPr>
      </w:pPr>
      <w:r>
        <w:rPr>
          <w:rFonts w:hint="eastAsia"/>
          <w:b/>
          <w:sz w:val="28"/>
          <w:lang w:eastAsia="zh-CN"/>
        </w:rPr>
        <w:t>一、</w:t>
      </w:r>
      <w:r>
        <w:rPr>
          <w:b/>
          <w:sz w:val="28"/>
        </w:rPr>
        <w:t>谈判响应函</w:t>
      </w:r>
    </w:p>
    <w:p w14:paraId="08C212A2">
      <w:pPr>
        <w:numPr>
          <w:ilvl w:val="0"/>
          <w:numId w:val="0"/>
        </w:numPr>
        <w:spacing w:before="1" w:line="400" w:lineRule="auto"/>
        <w:ind w:right="4350" w:rightChars="0" w:firstLine="843" w:firstLineChars="300"/>
        <w:jc w:val="left"/>
        <w:rPr>
          <w:b/>
          <w:sz w:val="28"/>
        </w:rPr>
      </w:pPr>
      <w:r>
        <w:rPr>
          <w:rFonts w:hint="eastAsia"/>
          <w:b/>
          <w:sz w:val="28"/>
          <w:lang w:eastAsia="zh-CN"/>
        </w:rPr>
        <w:t>二</w:t>
      </w:r>
      <w:r>
        <w:rPr>
          <w:b/>
          <w:sz w:val="28"/>
        </w:rPr>
        <w:t>、谈判报价表</w:t>
      </w:r>
    </w:p>
    <w:p w14:paraId="461075D1">
      <w:pPr>
        <w:numPr>
          <w:ilvl w:val="0"/>
          <w:numId w:val="0"/>
        </w:numPr>
        <w:spacing w:before="1" w:line="400" w:lineRule="auto"/>
        <w:ind w:right="4350" w:rightChars="0" w:firstLine="843" w:firstLineChars="300"/>
        <w:jc w:val="left"/>
        <w:rPr>
          <w:b/>
          <w:sz w:val="28"/>
        </w:rPr>
      </w:pPr>
      <w:r>
        <w:rPr>
          <w:rFonts w:hint="eastAsia"/>
          <w:b/>
          <w:sz w:val="28"/>
          <w:lang w:eastAsia="zh-CN"/>
        </w:rPr>
        <w:t>三</w:t>
      </w:r>
      <w:r>
        <w:rPr>
          <w:b/>
          <w:sz w:val="28"/>
        </w:rPr>
        <w:t>、</w:t>
      </w:r>
      <w:r>
        <w:rPr>
          <w:rFonts w:hint="eastAsia"/>
          <w:b/>
          <w:sz w:val="28"/>
          <w:lang w:eastAsia="zh-CN"/>
        </w:rPr>
        <w:t>供应商</w:t>
      </w:r>
      <w:r>
        <w:rPr>
          <w:b/>
          <w:sz w:val="28"/>
        </w:rPr>
        <w:t>资格证明文件</w:t>
      </w:r>
    </w:p>
    <w:p w14:paraId="709042B4">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四、业绩证明</w:t>
      </w:r>
    </w:p>
    <w:p w14:paraId="71BB78EC">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五、谈判方案说明书</w:t>
      </w:r>
    </w:p>
    <w:p w14:paraId="4D8185A4">
      <w:pPr>
        <w:numPr>
          <w:ilvl w:val="0"/>
          <w:numId w:val="0"/>
        </w:numPr>
        <w:spacing w:before="1" w:line="400" w:lineRule="auto"/>
        <w:ind w:right="3030" w:rightChars="0" w:firstLine="843" w:firstLineChars="300"/>
        <w:jc w:val="left"/>
        <w:rPr>
          <w:rFonts w:hint="eastAsia"/>
          <w:b/>
          <w:sz w:val="28"/>
          <w:lang w:val="en-US" w:eastAsia="zh-CN"/>
        </w:rPr>
      </w:pPr>
      <w:r>
        <w:rPr>
          <w:rFonts w:hint="eastAsia"/>
          <w:b/>
          <w:sz w:val="28"/>
          <w:lang w:val="en-US" w:eastAsia="zh-CN"/>
        </w:rPr>
        <w:t>六、供应商拒绝政府采购领域商业贿赂承诺书</w:t>
      </w:r>
    </w:p>
    <w:p w14:paraId="77048914">
      <w:pPr>
        <w:numPr>
          <w:ilvl w:val="0"/>
          <w:numId w:val="0"/>
        </w:numPr>
        <w:spacing w:before="1" w:line="400" w:lineRule="auto"/>
        <w:ind w:right="3030" w:rightChars="0" w:firstLine="843" w:firstLineChars="300"/>
        <w:jc w:val="left"/>
        <w:rPr>
          <w:rFonts w:hint="eastAsia"/>
          <w:b/>
          <w:sz w:val="28"/>
          <w:lang w:val="en-US" w:eastAsia="zh-CN"/>
        </w:rPr>
      </w:pPr>
      <w:r>
        <w:rPr>
          <w:rFonts w:hint="eastAsia"/>
          <w:b/>
          <w:sz w:val="28"/>
          <w:lang w:val="en-US" w:eastAsia="zh-CN"/>
        </w:rPr>
        <w:t>七、其他材料</w:t>
      </w:r>
    </w:p>
    <w:p w14:paraId="33F0FB32">
      <w:pPr>
        <w:numPr>
          <w:ilvl w:val="0"/>
          <w:numId w:val="0"/>
        </w:numPr>
        <w:spacing w:before="1" w:line="400" w:lineRule="auto"/>
        <w:ind w:right="4350" w:rightChars="0" w:firstLine="843" w:firstLineChars="300"/>
        <w:jc w:val="left"/>
        <w:rPr>
          <w:rFonts w:hint="eastAsia"/>
          <w:b/>
          <w:sz w:val="28"/>
          <w:lang w:val="en-US" w:eastAsia="zh-CN"/>
        </w:rPr>
      </w:pPr>
    </w:p>
    <w:p w14:paraId="29D02F3C">
      <w:pPr>
        <w:pStyle w:val="14"/>
        <w:rPr>
          <w:rFonts w:hint="eastAsia"/>
          <w:b/>
          <w:sz w:val="28"/>
          <w:lang w:val="en-US" w:eastAsia="zh-CN"/>
        </w:rPr>
      </w:pPr>
    </w:p>
    <w:p w14:paraId="73120A62">
      <w:pPr>
        <w:pStyle w:val="14"/>
        <w:rPr>
          <w:rFonts w:hint="default"/>
          <w:b/>
          <w:sz w:val="28"/>
          <w:lang w:val="en-US" w:eastAsia="zh-CN"/>
        </w:rPr>
      </w:pPr>
    </w:p>
    <w:p w14:paraId="57E18F47">
      <w:pPr>
        <w:spacing w:before="109"/>
        <w:ind w:left="791" w:right="875" w:firstLine="0"/>
        <w:jc w:val="center"/>
        <w:rPr>
          <w:b/>
          <w:sz w:val="30"/>
        </w:rPr>
      </w:pPr>
    </w:p>
    <w:p w14:paraId="38BF8704">
      <w:pPr>
        <w:spacing w:before="109"/>
        <w:ind w:left="791" w:right="875" w:firstLine="0"/>
        <w:jc w:val="center"/>
        <w:rPr>
          <w:b/>
          <w:sz w:val="30"/>
        </w:rPr>
      </w:pPr>
    </w:p>
    <w:p w14:paraId="6793F391">
      <w:pPr>
        <w:spacing w:before="109"/>
        <w:ind w:left="791" w:right="875" w:firstLine="0"/>
        <w:jc w:val="center"/>
        <w:rPr>
          <w:b/>
          <w:sz w:val="30"/>
        </w:rPr>
      </w:pPr>
    </w:p>
    <w:p w14:paraId="3B081A57">
      <w:pPr>
        <w:spacing w:before="109"/>
        <w:ind w:left="791" w:right="875" w:firstLine="0"/>
        <w:jc w:val="center"/>
        <w:rPr>
          <w:b/>
          <w:sz w:val="30"/>
        </w:rPr>
      </w:pPr>
    </w:p>
    <w:p w14:paraId="17B52F54">
      <w:pPr>
        <w:spacing w:before="109"/>
        <w:ind w:left="791" w:right="875" w:firstLine="0"/>
        <w:jc w:val="center"/>
        <w:rPr>
          <w:b/>
          <w:sz w:val="30"/>
        </w:rPr>
      </w:pPr>
    </w:p>
    <w:p w14:paraId="05C9C309">
      <w:pPr>
        <w:spacing w:before="109"/>
        <w:ind w:left="791" w:right="875" w:firstLine="0"/>
        <w:jc w:val="center"/>
        <w:rPr>
          <w:b/>
          <w:sz w:val="30"/>
        </w:rPr>
      </w:pPr>
    </w:p>
    <w:p w14:paraId="3BA2A22B">
      <w:pPr>
        <w:spacing w:before="109"/>
        <w:ind w:left="791" w:right="875" w:firstLine="0"/>
        <w:jc w:val="center"/>
        <w:rPr>
          <w:b/>
          <w:sz w:val="30"/>
        </w:rPr>
      </w:pPr>
    </w:p>
    <w:p w14:paraId="7873C258">
      <w:pPr>
        <w:spacing w:before="109"/>
        <w:ind w:left="791" w:right="875" w:firstLine="0"/>
        <w:jc w:val="center"/>
        <w:rPr>
          <w:b/>
          <w:sz w:val="30"/>
        </w:rPr>
      </w:pPr>
    </w:p>
    <w:p w14:paraId="162D82BA">
      <w:pPr>
        <w:spacing w:before="109"/>
        <w:ind w:left="791" w:right="875" w:firstLine="0"/>
        <w:jc w:val="center"/>
        <w:rPr>
          <w:b/>
          <w:sz w:val="30"/>
        </w:rPr>
      </w:pPr>
    </w:p>
    <w:p w14:paraId="16E68E66">
      <w:pPr>
        <w:spacing w:before="109"/>
        <w:ind w:left="791" w:right="875" w:firstLine="0"/>
        <w:jc w:val="center"/>
        <w:rPr>
          <w:b/>
          <w:sz w:val="30"/>
        </w:rPr>
      </w:pPr>
    </w:p>
    <w:p w14:paraId="5ECA7A2E">
      <w:pPr>
        <w:spacing w:before="109"/>
        <w:ind w:left="791" w:right="875" w:firstLine="0"/>
        <w:jc w:val="center"/>
        <w:rPr>
          <w:b/>
          <w:sz w:val="30"/>
        </w:rPr>
      </w:pPr>
    </w:p>
    <w:p w14:paraId="14649BF9">
      <w:pPr>
        <w:spacing w:before="109"/>
        <w:ind w:left="791" w:right="875" w:firstLine="0"/>
        <w:jc w:val="center"/>
        <w:rPr>
          <w:b/>
          <w:sz w:val="30"/>
        </w:rPr>
      </w:pPr>
    </w:p>
    <w:p w14:paraId="60580648">
      <w:pPr>
        <w:pStyle w:val="14"/>
        <w:rPr>
          <w:b/>
          <w:sz w:val="30"/>
        </w:rPr>
      </w:pPr>
    </w:p>
    <w:p w14:paraId="363CBD11">
      <w:pPr>
        <w:spacing w:before="109"/>
        <w:ind w:left="791" w:right="875" w:firstLine="0"/>
        <w:jc w:val="center"/>
        <w:rPr>
          <w:b/>
          <w:sz w:val="30"/>
        </w:rPr>
      </w:pPr>
      <w:r>
        <w:rPr>
          <w:b/>
          <w:sz w:val="30"/>
        </w:rPr>
        <w:t>一、谈判响应函</w:t>
      </w:r>
    </w:p>
    <w:p w14:paraId="523CE554">
      <w:pPr>
        <w:pStyle w:val="6"/>
        <w:rPr>
          <w:sz w:val="24"/>
          <w:szCs w:val="24"/>
        </w:rPr>
      </w:pPr>
    </w:p>
    <w:p w14:paraId="617A4A40">
      <w:pPr>
        <w:spacing w:line="360" w:lineRule="auto"/>
        <w:jc w:val="left"/>
        <w:rPr>
          <w:rFonts w:hint="eastAsia" w:ascii="宋体" w:hAnsi="宋体" w:eastAsia="宋体" w:cs="宋体"/>
          <w:b/>
          <w:spacing w:val="4"/>
          <w:sz w:val="24"/>
          <w:szCs w:val="24"/>
          <w:lang w:eastAsia="zh-CN"/>
        </w:rPr>
      </w:pPr>
      <w:r>
        <w:rPr>
          <w:rFonts w:hint="eastAsia" w:ascii="宋体" w:hAnsi="宋体" w:eastAsia="宋体" w:cs="宋体"/>
          <w:b/>
          <w:spacing w:val="4"/>
          <w:sz w:val="24"/>
          <w:szCs w:val="24"/>
        </w:rPr>
        <w:t>致：</w:t>
      </w:r>
      <w:r>
        <w:rPr>
          <w:rFonts w:hint="eastAsia" w:cs="宋体"/>
          <w:b/>
          <w:spacing w:val="4"/>
          <w:sz w:val="24"/>
          <w:szCs w:val="24"/>
          <w:lang w:eastAsia="zh-CN"/>
        </w:rPr>
        <w:t>亿诚建设项目管理有限公司</w:t>
      </w:r>
    </w:p>
    <w:p w14:paraId="6016D49B">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根据贵方</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 xml:space="preserve"> (项目编号：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的谈判文件，签字代表</w:t>
      </w:r>
      <w:r>
        <w:rPr>
          <w:rFonts w:hint="eastAsia" w:ascii="宋体" w:hAnsi="宋体" w:eastAsia="宋体" w:cs="宋体"/>
          <w:spacing w:val="4"/>
          <w:sz w:val="24"/>
          <w:szCs w:val="24"/>
          <w:u w:val="single"/>
        </w:rPr>
        <w:t xml:space="preserve">  （全名、职务）  </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提交谈判响应文件。</w:t>
      </w:r>
    </w:p>
    <w:p w14:paraId="5E44EC87">
      <w:pPr>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14:paraId="38D7EDF0">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1.谈判总价为：</w:t>
      </w:r>
      <w:r>
        <w:rPr>
          <w:rFonts w:hint="eastAsia" w:ascii="宋体" w:hAnsi="宋体" w:eastAsia="宋体" w:cs="宋体"/>
          <w:sz w:val="24"/>
          <w:szCs w:val="24"/>
        </w:rPr>
        <w:t>（大写）</w:t>
      </w:r>
      <w:r>
        <w:rPr>
          <w:rFonts w:hint="eastAsia" w:ascii="宋体" w:hAnsi="宋体" w:eastAsia="宋体" w:cs="宋体"/>
          <w:spacing w:val="4"/>
          <w:sz w:val="24"/>
          <w:szCs w:val="24"/>
        </w:rPr>
        <w:t xml:space="preserve">人民币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14:paraId="23069FCC">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2.如果成交，我们根据谈判文件的规定，履行合同的责任和义务。</w:t>
      </w:r>
    </w:p>
    <w:p w14:paraId="6851C43E">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3.我们已详细阅读和审核全部谈判文件（含修改部分，如有的话），及有关附件，我们知道必须放弃提出含糊不清或误解的问题的权利。</w:t>
      </w:r>
    </w:p>
    <w:p w14:paraId="6BACD8B4">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4.我们同意在谈判有效期内（</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），本谈判响应函对我方具有约束力。</w:t>
      </w:r>
    </w:p>
    <w:p w14:paraId="043E7C3D">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5.同意提供贵方可能另外要求的与本谈判有关的任何证据和资料。 </w:t>
      </w:r>
    </w:p>
    <w:p w14:paraId="74BB27C7">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.与本谈判有关的一切正式往来通讯为：</w:t>
      </w:r>
    </w:p>
    <w:p w14:paraId="282BE911">
      <w:pPr>
        <w:tabs>
          <w:tab w:val="left" w:pos="2160"/>
        </w:tabs>
        <w:spacing w:line="440" w:lineRule="exact"/>
        <w:jc w:val="left"/>
        <w:rPr>
          <w:rFonts w:hint="eastAsia" w:ascii="宋体" w:hAnsi="宋体" w:eastAsia="宋体" w:cs="宋体"/>
          <w:spacing w:val="4"/>
          <w:sz w:val="24"/>
          <w:szCs w:val="24"/>
        </w:rPr>
      </w:pPr>
    </w:p>
    <w:p w14:paraId="1F98BB45">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联系地址：</w:t>
      </w:r>
      <w:r>
        <w:rPr>
          <w:rFonts w:hint="eastAsia" w:ascii="宋体" w:hAnsi="宋体" w:eastAsia="宋体" w:cs="宋体"/>
          <w:spacing w:val="4"/>
          <w:sz w:val="24"/>
          <w:szCs w:val="24"/>
          <w:u w:val="single"/>
        </w:rPr>
        <w:t xml:space="preserve">                           </w:t>
      </w:r>
    </w:p>
    <w:p w14:paraId="604411E6">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邮政编码：</w:t>
      </w:r>
      <w:r>
        <w:rPr>
          <w:rFonts w:hint="eastAsia" w:ascii="宋体" w:hAnsi="宋体" w:eastAsia="宋体" w:cs="宋体"/>
          <w:spacing w:val="4"/>
          <w:sz w:val="24"/>
          <w:szCs w:val="24"/>
          <w:u w:val="single"/>
        </w:rPr>
        <w:t xml:space="preserve">                           </w:t>
      </w:r>
    </w:p>
    <w:p w14:paraId="24CD941A">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电    话：</w:t>
      </w:r>
      <w:r>
        <w:rPr>
          <w:rFonts w:hint="eastAsia" w:ascii="宋体" w:hAnsi="宋体" w:eastAsia="宋体" w:cs="宋体"/>
          <w:spacing w:val="4"/>
          <w:sz w:val="24"/>
          <w:szCs w:val="24"/>
          <w:u w:val="single"/>
        </w:rPr>
        <w:t xml:space="preserve">                          </w:t>
      </w:r>
    </w:p>
    <w:p w14:paraId="21B174C2">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供应商名称（公章）：</w:t>
      </w:r>
      <w:r>
        <w:rPr>
          <w:rFonts w:hint="eastAsia" w:ascii="宋体" w:hAnsi="宋体" w:eastAsia="宋体" w:cs="宋体"/>
          <w:spacing w:val="4"/>
          <w:sz w:val="24"/>
          <w:szCs w:val="24"/>
          <w:u w:val="single"/>
        </w:rPr>
        <w:t xml:space="preserve">                         </w:t>
      </w:r>
    </w:p>
    <w:p w14:paraId="24A8CC22">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p w14:paraId="4113FCBB">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日    期：</w:t>
      </w:r>
      <w:r>
        <w:rPr>
          <w:rFonts w:hint="eastAsia" w:ascii="宋体" w:hAnsi="宋体" w:eastAsia="宋体" w:cs="宋体"/>
          <w:spacing w:val="4"/>
          <w:sz w:val="24"/>
          <w:szCs w:val="24"/>
          <w:u w:val="single"/>
        </w:rPr>
        <w:t xml:space="preserve">                                </w:t>
      </w:r>
    </w:p>
    <w:p w14:paraId="4F5B0565">
      <w:pPr>
        <w:pStyle w:val="9"/>
        <w:spacing w:before="1"/>
        <w:rPr>
          <w:b/>
          <w:sz w:val="24"/>
          <w:szCs w:val="24"/>
        </w:rPr>
      </w:pPr>
    </w:p>
    <w:p w14:paraId="0F3A0107">
      <w:pPr>
        <w:spacing w:before="32"/>
        <w:ind w:left="791" w:right="875" w:firstLine="0"/>
        <w:jc w:val="center"/>
        <w:rPr>
          <w:b/>
          <w:sz w:val="30"/>
        </w:rPr>
      </w:pPr>
    </w:p>
    <w:p w14:paraId="47C75BA4">
      <w:pPr>
        <w:spacing w:before="32"/>
        <w:ind w:left="791" w:right="875" w:firstLine="0"/>
        <w:jc w:val="center"/>
        <w:rPr>
          <w:b/>
          <w:sz w:val="30"/>
        </w:rPr>
      </w:pPr>
    </w:p>
    <w:p w14:paraId="48A40F7A">
      <w:pPr>
        <w:spacing w:before="32"/>
        <w:ind w:left="791" w:right="875" w:firstLine="0"/>
        <w:jc w:val="center"/>
        <w:rPr>
          <w:b/>
          <w:sz w:val="30"/>
        </w:rPr>
      </w:pPr>
    </w:p>
    <w:p w14:paraId="45E43C3C">
      <w:pPr>
        <w:spacing w:before="32"/>
        <w:ind w:left="791" w:right="875" w:firstLine="0"/>
        <w:jc w:val="center"/>
        <w:rPr>
          <w:b/>
          <w:sz w:val="30"/>
        </w:rPr>
      </w:pPr>
    </w:p>
    <w:p w14:paraId="65E1DF16">
      <w:pPr>
        <w:pStyle w:val="6"/>
        <w:rPr>
          <w:b/>
          <w:sz w:val="30"/>
        </w:rPr>
      </w:pPr>
    </w:p>
    <w:p w14:paraId="2C2BBD50">
      <w:pPr>
        <w:pStyle w:val="7"/>
        <w:rPr>
          <w:b/>
          <w:sz w:val="30"/>
        </w:rPr>
      </w:pPr>
    </w:p>
    <w:p w14:paraId="1F10688B"/>
    <w:p w14:paraId="6A809394">
      <w:pPr>
        <w:pStyle w:val="32"/>
      </w:pPr>
    </w:p>
    <w:p w14:paraId="76D31BD1">
      <w:pPr>
        <w:pStyle w:val="32"/>
      </w:pPr>
    </w:p>
    <w:p w14:paraId="110BB2F3">
      <w:pPr>
        <w:pStyle w:val="8"/>
      </w:pPr>
    </w:p>
    <w:p w14:paraId="532369FC">
      <w:pPr>
        <w:pStyle w:val="14"/>
      </w:pPr>
    </w:p>
    <w:p w14:paraId="0802B280">
      <w:pPr>
        <w:spacing w:before="32"/>
        <w:ind w:left="791" w:right="875" w:firstLine="0"/>
        <w:jc w:val="center"/>
        <w:rPr>
          <w:b/>
          <w:sz w:val="30"/>
        </w:rPr>
      </w:pPr>
    </w:p>
    <w:p w14:paraId="6B064FFF">
      <w:pPr>
        <w:spacing w:before="32"/>
        <w:ind w:left="791" w:right="875" w:firstLine="0"/>
        <w:jc w:val="center"/>
        <w:rPr>
          <w:b/>
          <w:sz w:val="30"/>
        </w:rPr>
      </w:pPr>
      <w:r>
        <w:rPr>
          <w:rFonts w:hint="eastAsia"/>
          <w:b/>
          <w:sz w:val="30"/>
          <w:lang w:eastAsia="zh-CN"/>
        </w:rPr>
        <w:t>二、</w:t>
      </w:r>
      <w:r>
        <w:rPr>
          <w:b/>
          <w:sz w:val="30"/>
        </w:rPr>
        <w:t>谈判报价表</w:t>
      </w:r>
    </w:p>
    <w:p w14:paraId="75A13ABB">
      <w:pPr>
        <w:pStyle w:val="9"/>
        <w:spacing w:before="4"/>
        <w:rPr>
          <w:b/>
          <w:sz w:val="10"/>
        </w:rPr>
      </w:pPr>
    </w:p>
    <w:p w14:paraId="7920E786">
      <w:pPr>
        <w:pStyle w:val="9"/>
        <w:spacing w:before="4"/>
        <w:rPr>
          <w:sz w:val="12"/>
        </w:rPr>
      </w:pPr>
    </w:p>
    <w:p w14:paraId="7A6F02E7">
      <w:pPr>
        <w:pStyle w:val="9"/>
      </w:pPr>
    </w:p>
    <w:tbl>
      <w:tblPr>
        <w:tblStyle w:val="18"/>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02F9E0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2448" w:type="dxa"/>
            <w:tcBorders>
              <w:bottom w:val="single" w:color="auto" w:sz="4" w:space="0"/>
            </w:tcBorders>
            <w:noWrap w:val="0"/>
            <w:vAlign w:val="center"/>
          </w:tcPr>
          <w:p w14:paraId="173C5DBD">
            <w:pPr>
              <w:ind w:firstLine="240" w:firstLineChars="100"/>
              <w:jc w:val="cente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采购项目名称</w:t>
            </w:r>
          </w:p>
        </w:tc>
        <w:tc>
          <w:tcPr>
            <w:tcW w:w="6300" w:type="dxa"/>
            <w:noWrap w:val="0"/>
            <w:vAlign w:val="center"/>
          </w:tcPr>
          <w:p w14:paraId="2C038444">
            <w:pPr>
              <w:ind w:firstLine="240" w:firstLineChars="100"/>
              <w:rPr>
                <w:rFonts w:hint="eastAsia" w:asciiTheme="majorEastAsia" w:hAnsiTheme="majorEastAsia" w:eastAsiaTheme="majorEastAsia" w:cstheme="majorEastAsia"/>
                <w:sz w:val="24"/>
                <w:shd w:val="clear" w:color="auto" w:fill="auto"/>
              </w:rPr>
            </w:pPr>
          </w:p>
        </w:tc>
      </w:tr>
      <w:tr w14:paraId="3987F5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0" w:hRule="atLeast"/>
          <w:jc w:val="center"/>
        </w:trPr>
        <w:tc>
          <w:tcPr>
            <w:tcW w:w="2448" w:type="dxa"/>
            <w:tcBorders>
              <w:bottom w:val="single" w:color="auto" w:sz="4" w:space="0"/>
            </w:tcBorders>
            <w:noWrap w:val="0"/>
            <w:vAlign w:val="center"/>
          </w:tcPr>
          <w:p w14:paraId="45A33EA8">
            <w:pPr>
              <w:ind w:firstLine="240" w:firstLineChars="100"/>
              <w:jc w:val="center"/>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采购项目编号</w:t>
            </w:r>
          </w:p>
        </w:tc>
        <w:tc>
          <w:tcPr>
            <w:tcW w:w="6300" w:type="dxa"/>
            <w:tcBorders>
              <w:bottom w:val="single" w:color="auto" w:sz="4" w:space="0"/>
            </w:tcBorders>
            <w:noWrap w:val="0"/>
            <w:vAlign w:val="center"/>
          </w:tcPr>
          <w:p w14:paraId="1BF2C47B">
            <w:pPr>
              <w:ind w:firstLine="240" w:firstLineChars="100"/>
              <w:rPr>
                <w:rFonts w:hint="eastAsia" w:asciiTheme="majorEastAsia" w:hAnsiTheme="majorEastAsia" w:eastAsiaTheme="majorEastAsia" w:cstheme="majorEastAsia"/>
                <w:sz w:val="24"/>
                <w:shd w:val="clear" w:color="auto" w:fill="auto"/>
              </w:rPr>
            </w:pPr>
          </w:p>
        </w:tc>
      </w:tr>
      <w:tr w14:paraId="162FC0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66" w:hRule="atLeast"/>
          <w:jc w:val="center"/>
        </w:trPr>
        <w:tc>
          <w:tcPr>
            <w:tcW w:w="2448" w:type="dxa"/>
            <w:noWrap w:val="0"/>
            <w:vAlign w:val="center"/>
          </w:tcPr>
          <w:p w14:paraId="3D2E3FA5">
            <w:pPr>
              <w:ind w:firstLine="240" w:firstLineChars="100"/>
              <w:jc w:val="center"/>
              <w:rPr>
                <w:rFonts w:hint="eastAsia" w:asciiTheme="majorEastAsia" w:hAnsiTheme="majorEastAsia" w:eastAsiaTheme="majorEastAsia" w:cstheme="majorEastAsia"/>
                <w:sz w:val="24"/>
                <w:shd w:val="clear" w:color="auto" w:fill="auto"/>
                <w:lang w:val="en-US" w:eastAsia="zh-CN"/>
              </w:rPr>
            </w:pPr>
            <w:r>
              <w:rPr>
                <w:rFonts w:hint="eastAsia" w:asciiTheme="majorEastAsia" w:hAnsiTheme="majorEastAsia" w:eastAsiaTheme="majorEastAsia" w:cstheme="majorEastAsia"/>
                <w:sz w:val="24"/>
                <w:shd w:val="clear" w:color="auto" w:fill="auto"/>
                <w:lang w:eastAsia="zh-CN"/>
              </w:rPr>
              <w:t>投标总</w:t>
            </w:r>
            <w:r>
              <w:rPr>
                <w:rFonts w:hint="eastAsia" w:asciiTheme="majorEastAsia" w:hAnsiTheme="majorEastAsia" w:eastAsiaTheme="majorEastAsia" w:cstheme="majorEastAsia"/>
                <w:sz w:val="24"/>
                <w:shd w:val="clear" w:color="auto" w:fill="auto"/>
              </w:rPr>
              <w:t>报价</w:t>
            </w:r>
            <w:r>
              <w:rPr>
                <w:rFonts w:hint="eastAsia" w:asciiTheme="majorEastAsia" w:hAnsiTheme="majorEastAsia" w:eastAsiaTheme="majorEastAsia" w:cstheme="majorEastAsia"/>
                <w:sz w:val="24"/>
                <w:shd w:val="clear" w:color="auto" w:fill="auto"/>
                <w:lang w:eastAsia="zh-CN"/>
              </w:rPr>
              <w:t>（元）</w:t>
            </w:r>
          </w:p>
        </w:tc>
        <w:tc>
          <w:tcPr>
            <w:tcW w:w="6300" w:type="dxa"/>
            <w:noWrap w:val="0"/>
            <w:vAlign w:val="top"/>
          </w:tcPr>
          <w:p w14:paraId="1DFBB653">
            <w:pPr>
              <w:ind w:firstLine="240" w:firstLineChars="100"/>
              <w:rPr>
                <w:rFonts w:hint="eastAsia" w:asciiTheme="majorEastAsia" w:hAnsiTheme="majorEastAsia" w:eastAsiaTheme="majorEastAsia" w:cstheme="majorEastAsia"/>
                <w:sz w:val="24"/>
                <w:shd w:val="clear" w:color="auto" w:fill="auto"/>
              </w:rPr>
            </w:pPr>
          </w:p>
          <w:p w14:paraId="23B409EE">
            <w:pPr>
              <w:ind w:firstLine="240" w:firstLineChars="1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大写：                              </w:t>
            </w:r>
          </w:p>
          <w:p w14:paraId="1C99CE01">
            <w:pPr>
              <w:ind w:firstLine="240" w:firstLineChars="100"/>
              <w:rPr>
                <w:rFonts w:hint="eastAsia" w:asciiTheme="majorEastAsia" w:hAnsiTheme="majorEastAsia" w:eastAsiaTheme="majorEastAsia" w:cstheme="majorEastAsia"/>
                <w:sz w:val="24"/>
                <w:shd w:val="clear" w:color="auto" w:fill="auto"/>
              </w:rPr>
            </w:pPr>
          </w:p>
          <w:p w14:paraId="4EDD0C5B">
            <w:pPr>
              <w:ind w:firstLine="240" w:firstLineChars="100"/>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小写：                              </w:t>
            </w:r>
          </w:p>
          <w:p w14:paraId="7CC088CF">
            <w:pPr>
              <w:ind w:firstLine="240" w:firstLineChars="100"/>
              <w:rPr>
                <w:rFonts w:hint="eastAsia" w:asciiTheme="majorEastAsia" w:hAnsiTheme="majorEastAsia" w:eastAsiaTheme="majorEastAsia" w:cstheme="majorEastAsia"/>
                <w:sz w:val="24"/>
                <w:shd w:val="clear" w:color="auto" w:fill="auto"/>
              </w:rPr>
            </w:pPr>
          </w:p>
        </w:tc>
      </w:tr>
      <w:tr w14:paraId="727E80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8" w:hRule="atLeast"/>
          <w:jc w:val="center"/>
        </w:trPr>
        <w:tc>
          <w:tcPr>
            <w:tcW w:w="2448" w:type="dxa"/>
            <w:tcBorders>
              <w:right w:val="single" w:color="auto" w:sz="4" w:space="0"/>
            </w:tcBorders>
            <w:noWrap w:val="0"/>
            <w:vAlign w:val="center"/>
          </w:tcPr>
          <w:p w14:paraId="49470425">
            <w:pPr>
              <w:ind w:firstLine="720" w:firstLineChars="300"/>
              <w:jc w:val="both"/>
              <w:rPr>
                <w:rFonts w:hint="eastAsia" w:asciiTheme="majorEastAsia" w:hAnsiTheme="majorEastAsia" w:eastAsiaTheme="majorEastAsia" w:cstheme="majorEastAsia"/>
                <w:sz w:val="24"/>
                <w:shd w:val="clear" w:color="auto" w:fill="auto"/>
                <w:lang w:val="en-US"/>
              </w:rPr>
            </w:pPr>
            <w:r>
              <w:rPr>
                <w:rFonts w:hint="eastAsia" w:asciiTheme="majorEastAsia" w:hAnsiTheme="majorEastAsia" w:eastAsiaTheme="majorEastAsia" w:cstheme="majorEastAsia"/>
                <w:sz w:val="24"/>
                <w:shd w:val="clear" w:color="auto" w:fill="auto"/>
                <w:lang w:val="en-US" w:eastAsia="zh-CN"/>
              </w:rPr>
              <w:t>合同期</w:t>
            </w:r>
          </w:p>
        </w:tc>
        <w:tc>
          <w:tcPr>
            <w:tcW w:w="6300" w:type="dxa"/>
            <w:tcBorders>
              <w:left w:val="single" w:color="auto" w:sz="4" w:space="0"/>
            </w:tcBorders>
            <w:noWrap w:val="0"/>
            <w:vAlign w:val="center"/>
          </w:tcPr>
          <w:p w14:paraId="3C144524">
            <w:pPr>
              <w:ind w:firstLine="240" w:firstLineChars="100"/>
              <w:rPr>
                <w:rFonts w:hint="eastAsia" w:asciiTheme="majorEastAsia" w:hAnsiTheme="majorEastAsia" w:eastAsiaTheme="majorEastAsia" w:cstheme="majorEastAsia"/>
                <w:sz w:val="24"/>
                <w:shd w:val="clear" w:color="auto" w:fill="auto"/>
                <w:lang w:val="en-US" w:eastAsia="zh-CN"/>
              </w:rPr>
            </w:pPr>
          </w:p>
        </w:tc>
      </w:tr>
      <w:tr w14:paraId="1C0C3E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5" w:hRule="atLeast"/>
          <w:jc w:val="center"/>
        </w:trPr>
        <w:tc>
          <w:tcPr>
            <w:tcW w:w="2448" w:type="dxa"/>
            <w:tcBorders>
              <w:right w:val="single" w:color="auto" w:sz="4" w:space="0"/>
            </w:tcBorders>
            <w:noWrap w:val="0"/>
            <w:vAlign w:val="center"/>
          </w:tcPr>
          <w:p w14:paraId="3DC2B969">
            <w:pPr>
              <w:ind w:firstLine="720" w:firstLineChars="300"/>
              <w:jc w:val="both"/>
              <w:rPr>
                <w:rFonts w:hint="eastAsia" w:asciiTheme="majorEastAsia" w:hAnsiTheme="majorEastAsia" w:eastAsiaTheme="majorEastAsia" w:cstheme="majorEastAsia"/>
                <w:sz w:val="24"/>
                <w:shd w:val="clear" w:color="auto" w:fill="auto"/>
                <w:lang w:eastAsia="zh-CN"/>
              </w:rPr>
            </w:pPr>
            <w:r>
              <w:rPr>
                <w:rFonts w:hint="eastAsia" w:asciiTheme="majorEastAsia" w:hAnsiTheme="majorEastAsia" w:eastAsiaTheme="majorEastAsia" w:cstheme="majorEastAsia"/>
                <w:sz w:val="24"/>
                <w:shd w:val="clear" w:color="auto" w:fill="auto"/>
                <w:lang w:eastAsia="zh-CN"/>
              </w:rPr>
              <w:t>质量</w:t>
            </w:r>
          </w:p>
        </w:tc>
        <w:tc>
          <w:tcPr>
            <w:tcW w:w="6300" w:type="dxa"/>
            <w:tcBorders>
              <w:left w:val="single" w:color="auto" w:sz="4" w:space="0"/>
            </w:tcBorders>
            <w:noWrap w:val="0"/>
            <w:vAlign w:val="center"/>
          </w:tcPr>
          <w:p w14:paraId="6CF2B287">
            <w:pPr>
              <w:rPr>
                <w:rFonts w:hint="eastAsia" w:asciiTheme="majorEastAsia" w:hAnsiTheme="majorEastAsia" w:eastAsiaTheme="majorEastAsia" w:cstheme="majorEastAsia"/>
                <w:sz w:val="24"/>
                <w:shd w:val="clear" w:color="auto" w:fill="auto"/>
                <w:lang w:eastAsia="zh-CN"/>
              </w:rPr>
            </w:pPr>
          </w:p>
        </w:tc>
      </w:tr>
    </w:tbl>
    <w:p w14:paraId="1DC9D4E4">
      <w:pPr>
        <w:pStyle w:val="9"/>
      </w:pPr>
    </w:p>
    <w:p w14:paraId="2E21C94B">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备注：1、</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报价系指供应商完成</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文件规定的各项工作所产生的费用合价；</w:t>
      </w:r>
    </w:p>
    <w:p w14:paraId="4F31865B">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Theme="majorEastAsia" w:hAnsiTheme="majorEastAsia" w:eastAsiaTheme="majorEastAsia" w:cstheme="majorEastAsia"/>
          <w:sz w:val="24"/>
          <w:shd w:val="clear" w:color="auto" w:fill="auto"/>
        </w:rPr>
      </w:pPr>
      <w:r>
        <w:rPr>
          <w:rFonts w:hint="eastAsia" w:asciiTheme="majorEastAsia" w:hAnsiTheme="majorEastAsia" w:eastAsiaTheme="majorEastAsia" w:cstheme="majorEastAsia"/>
          <w:sz w:val="24"/>
          <w:shd w:val="clear" w:color="auto" w:fill="auto"/>
        </w:rPr>
        <w:t xml:space="preserve">      2、</w:t>
      </w:r>
      <w:r>
        <w:rPr>
          <w:rFonts w:hint="eastAsia" w:asciiTheme="majorEastAsia" w:hAnsiTheme="majorEastAsia" w:eastAsiaTheme="majorEastAsia" w:cstheme="majorEastAsia"/>
          <w:sz w:val="24"/>
          <w:shd w:val="clear" w:color="auto" w:fill="auto"/>
          <w:lang w:eastAsia="zh-CN"/>
        </w:rPr>
        <w:t>投标</w:t>
      </w:r>
      <w:r>
        <w:rPr>
          <w:rFonts w:hint="eastAsia" w:asciiTheme="majorEastAsia" w:hAnsiTheme="majorEastAsia" w:eastAsiaTheme="majorEastAsia" w:cstheme="majorEastAsia"/>
          <w:sz w:val="24"/>
          <w:shd w:val="clear" w:color="auto" w:fill="auto"/>
        </w:rPr>
        <w:t>报价不得高于</w:t>
      </w:r>
      <w:r>
        <w:rPr>
          <w:rFonts w:hint="eastAsia" w:asciiTheme="majorEastAsia" w:hAnsiTheme="majorEastAsia" w:eastAsiaTheme="majorEastAsia" w:cstheme="majorEastAsia"/>
          <w:sz w:val="24"/>
          <w:shd w:val="clear" w:color="auto" w:fill="auto"/>
          <w:lang w:eastAsia="zh-CN"/>
        </w:rPr>
        <w:t>本项目的最高限价</w:t>
      </w:r>
      <w:r>
        <w:rPr>
          <w:rFonts w:hint="eastAsia" w:asciiTheme="majorEastAsia" w:hAnsiTheme="majorEastAsia" w:eastAsiaTheme="majorEastAsia" w:cstheme="majorEastAsia"/>
          <w:sz w:val="24"/>
          <w:shd w:val="clear" w:color="auto" w:fill="auto"/>
        </w:rPr>
        <w:t>。</w:t>
      </w:r>
    </w:p>
    <w:p w14:paraId="53BCD795">
      <w:pPr>
        <w:pStyle w:val="9"/>
      </w:pPr>
    </w:p>
    <w:p w14:paraId="3F22862F">
      <w:pPr>
        <w:pStyle w:val="9"/>
        <w:spacing w:before="8"/>
        <w:rPr>
          <w:sz w:val="25"/>
        </w:rPr>
      </w:pPr>
    </w:p>
    <w:p w14:paraId="7BA575BF">
      <w:pPr>
        <w:pStyle w:val="9"/>
        <w:tabs>
          <w:tab w:val="left" w:pos="5868"/>
        </w:tabs>
        <w:spacing w:before="1"/>
        <w:ind w:left="588"/>
      </w:pPr>
      <w:r>
        <w:t>供应商：</w:t>
      </w:r>
      <w:r>
        <w:rPr>
          <w:u w:val="single"/>
        </w:rPr>
        <w:t xml:space="preserve"> </w:t>
      </w:r>
      <w:r>
        <w:rPr>
          <w:u w:val="single"/>
        </w:rPr>
        <w:tab/>
      </w:r>
      <w:r>
        <w:t>（盖章）</w:t>
      </w:r>
    </w:p>
    <w:p w14:paraId="208C0D6B">
      <w:pPr>
        <w:pStyle w:val="9"/>
        <w:rPr>
          <w:sz w:val="26"/>
        </w:rPr>
      </w:pPr>
    </w:p>
    <w:p w14:paraId="1C20D404">
      <w:pPr>
        <w:pStyle w:val="9"/>
        <w:rPr>
          <w:sz w:val="23"/>
        </w:rPr>
      </w:pPr>
    </w:p>
    <w:p w14:paraId="3322436F">
      <w:pPr>
        <w:pStyle w:val="9"/>
        <w:tabs>
          <w:tab w:val="left" w:pos="6047"/>
        </w:tabs>
        <w:ind w:firstLine="476" w:firstLineChars="200"/>
        <w:rPr>
          <w:rFonts w:ascii="Times New Roman" w:eastAsia="Times New Roman"/>
        </w:rPr>
      </w:pPr>
      <w:r>
        <w:rPr>
          <w:spacing w:val="-1"/>
        </w:rPr>
        <w:t>法</w:t>
      </w:r>
      <w:r>
        <w:t>定代表人或授权代理人签字：</w:t>
      </w:r>
      <w:r>
        <w:rPr>
          <w:rFonts w:ascii="Times New Roman" w:eastAsia="Times New Roman"/>
          <w:u w:val="single"/>
        </w:rPr>
        <w:t xml:space="preserve"> </w:t>
      </w:r>
      <w:r>
        <w:rPr>
          <w:rFonts w:ascii="Times New Roman" w:eastAsia="Times New Roman"/>
          <w:u w:val="single"/>
        </w:rPr>
        <w:tab/>
      </w:r>
    </w:p>
    <w:p w14:paraId="3DB66D1D">
      <w:pPr>
        <w:pStyle w:val="9"/>
        <w:rPr>
          <w:rFonts w:ascii="Times New Roman"/>
          <w:sz w:val="20"/>
        </w:rPr>
      </w:pPr>
    </w:p>
    <w:p w14:paraId="07BE2FC3">
      <w:pPr>
        <w:pStyle w:val="9"/>
        <w:tabs>
          <w:tab w:val="left" w:pos="7032"/>
          <w:tab w:val="left" w:pos="7992"/>
          <w:tab w:val="left" w:pos="8952"/>
        </w:tabs>
        <w:spacing w:before="67"/>
        <w:ind w:left="5472"/>
      </w:pPr>
    </w:p>
    <w:p w14:paraId="3CFB51D1">
      <w:pPr>
        <w:pStyle w:val="9"/>
        <w:tabs>
          <w:tab w:val="left" w:pos="7032"/>
          <w:tab w:val="left" w:pos="7992"/>
          <w:tab w:val="left" w:pos="8952"/>
        </w:tabs>
        <w:spacing w:before="67"/>
        <w:ind w:left="5472"/>
      </w:pPr>
    </w:p>
    <w:p w14:paraId="39F095A9">
      <w:pPr>
        <w:pStyle w:val="9"/>
        <w:tabs>
          <w:tab w:val="left" w:pos="7032"/>
          <w:tab w:val="left" w:pos="7992"/>
          <w:tab w:val="left" w:pos="8952"/>
        </w:tabs>
        <w:spacing w:before="67"/>
        <w:ind w:left="5472"/>
      </w:pPr>
    </w:p>
    <w:p w14:paraId="227C215B">
      <w:pPr>
        <w:pStyle w:val="9"/>
        <w:tabs>
          <w:tab w:val="left" w:pos="7032"/>
          <w:tab w:val="left" w:pos="7992"/>
          <w:tab w:val="left" w:pos="8952"/>
        </w:tabs>
        <w:spacing w:before="67"/>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41883789">
      <w:pPr>
        <w:spacing w:after="0"/>
      </w:pPr>
    </w:p>
    <w:p w14:paraId="017717CE">
      <w:pPr>
        <w:pStyle w:val="14"/>
      </w:pPr>
    </w:p>
    <w:p w14:paraId="5D759398">
      <w:pPr>
        <w:pStyle w:val="14"/>
      </w:pPr>
    </w:p>
    <w:p w14:paraId="30F8FE1F">
      <w:pPr>
        <w:pStyle w:val="14"/>
      </w:pPr>
    </w:p>
    <w:p w14:paraId="67F92D54">
      <w:pPr>
        <w:pStyle w:val="14"/>
      </w:pPr>
    </w:p>
    <w:p w14:paraId="48243650">
      <w:pPr>
        <w:pStyle w:val="14"/>
      </w:pPr>
    </w:p>
    <w:p w14:paraId="68915FF5">
      <w:pPr>
        <w:pStyle w:val="14"/>
      </w:pPr>
    </w:p>
    <w:p w14:paraId="69951234">
      <w:pPr>
        <w:pStyle w:val="14"/>
      </w:pPr>
    </w:p>
    <w:p w14:paraId="300BBC7B">
      <w:pPr>
        <w:pStyle w:val="14"/>
      </w:pPr>
    </w:p>
    <w:p w14:paraId="7DB23CB3">
      <w:pPr>
        <w:pStyle w:val="14"/>
      </w:pPr>
    </w:p>
    <w:p w14:paraId="76F7BC22">
      <w:pPr>
        <w:spacing w:before="163" w:line="223" w:lineRule="auto"/>
        <w:ind w:left="3334"/>
        <w:rPr>
          <w:rFonts w:hint="eastAsia" w:asciiTheme="minorEastAsia" w:hAnsiTheme="minorEastAsia" w:eastAsiaTheme="minorEastAsia" w:cstheme="minorEastAsia"/>
          <w:b/>
          <w:bCs/>
          <w:color w:val="auto"/>
          <w:sz w:val="28"/>
          <w:szCs w:val="28"/>
          <w:lang w:val="zh-CN" w:eastAsia="zh-CN" w:bidi="zh-CN"/>
        </w:rPr>
      </w:pPr>
      <w:r>
        <w:rPr>
          <w:rFonts w:hint="eastAsia" w:asciiTheme="minorEastAsia" w:hAnsiTheme="minorEastAsia" w:eastAsiaTheme="minorEastAsia" w:cstheme="minorEastAsia"/>
          <w:b/>
          <w:bCs/>
          <w:color w:val="auto"/>
          <w:sz w:val="28"/>
          <w:szCs w:val="28"/>
          <w:lang w:val="zh-CN" w:eastAsia="zh-CN" w:bidi="zh-CN"/>
        </w:rPr>
        <w:t>（一） 货物分项报价表</w:t>
      </w:r>
    </w:p>
    <w:p w14:paraId="5731E3F8">
      <w:pPr>
        <w:rPr>
          <w:rFonts w:hint="eastAsia" w:asciiTheme="minorEastAsia" w:hAnsiTheme="minorEastAsia" w:eastAsiaTheme="minorEastAsia" w:cstheme="minorEastAsia"/>
          <w:color w:val="auto"/>
        </w:rPr>
      </w:pPr>
    </w:p>
    <w:p w14:paraId="392275E3">
      <w:pPr>
        <w:spacing w:line="99" w:lineRule="auto"/>
        <w:rPr>
          <w:rFonts w:hint="eastAsia" w:asciiTheme="minorEastAsia" w:hAnsiTheme="minorEastAsia" w:eastAsiaTheme="minorEastAsia" w:cstheme="minorEastAsia"/>
          <w:color w:val="auto"/>
          <w:sz w:val="2"/>
        </w:rPr>
      </w:pPr>
    </w:p>
    <w:tbl>
      <w:tblPr>
        <w:tblStyle w:val="33"/>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61"/>
        <w:gridCol w:w="1294"/>
        <w:gridCol w:w="1062"/>
        <w:gridCol w:w="730"/>
        <w:gridCol w:w="1303"/>
        <w:gridCol w:w="1487"/>
        <w:gridCol w:w="1171"/>
      </w:tblGrid>
      <w:tr w14:paraId="3B0A3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4" w:type="dxa"/>
            <w:vAlign w:val="center"/>
          </w:tcPr>
          <w:p w14:paraId="3719FD53">
            <w:pPr>
              <w:spacing w:before="77" w:line="229" w:lineRule="auto"/>
              <w:ind w:left="147"/>
              <w:jc w:val="center"/>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序</w:t>
            </w:r>
            <w:r>
              <w:rPr>
                <w:rFonts w:hint="eastAsia" w:asciiTheme="minorEastAsia" w:hAnsiTheme="minorEastAsia" w:eastAsiaTheme="minorEastAsia" w:cstheme="minorEastAsia"/>
                <w:color w:val="auto"/>
                <w:spacing w:val="5"/>
                <w:sz w:val="23"/>
                <w:szCs w:val="23"/>
              </w:rPr>
              <w:t>号</w:t>
            </w:r>
          </w:p>
        </w:tc>
        <w:tc>
          <w:tcPr>
            <w:tcW w:w="1161" w:type="dxa"/>
            <w:tcBorders>
              <w:right w:val="single" w:color="auto" w:sz="4" w:space="0"/>
            </w:tcBorders>
            <w:vAlign w:val="center"/>
          </w:tcPr>
          <w:p w14:paraId="0BADBB71">
            <w:pPr>
              <w:spacing w:before="77" w:line="230" w:lineRule="auto"/>
              <w:jc w:val="center"/>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z w:val="23"/>
                <w:szCs w:val="23"/>
                <w:lang w:eastAsia="zh-CN"/>
              </w:rPr>
              <w:t>货物名称</w:t>
            </w:r>
          </w:p>
        </w:tc>
        <w:tc>
          <w:tcPr>
            <w:tcW w:w="1294" w:type="dxa"/>
            <w:tcBorders>
              <w:left w:val="single" w:color="auto" w:sz="4" w:space="0"/>
              <w:right w:val="single" w:color="auto" w:sz="4" w:space="0"/>
            </w:tcBorders>
            <w:vAlign w:val="center"/>
          </w:tcPr>
          <w:p w14:paraId="0CAD4ACB">
            <w:pPr>
              <w:spacing w:before="77" w:line="230" w:lineRule="auto"/>
              <w:jc w:val="center"/>
              <w:rPr>
                <w:rFonts w:hint="default" w:asciiTheme="minorEastAsia" w:hAnsiTheme="minorEastAsia" w:eastAsiaTheme="minorEastAsia" w:cstheme="minorEastAsia"/>
                <w:color w:val="auto"/>
                <w:spacing w:val="4"/>
                <w:sz w:val="23"/>
                <w:szCs w:val="23"/>
                <w:lang w:val="en-US" w:eastAsia="zh-CN"/>
              </w:rPr>
            </w:pPr>
            <w:r>
              <w:rPr>
                <w:rFonts w:hint="eastAsia" w:asciiTheme="minorEastAsia" w:hAnsiTheme="minorEastAsia" w:eastAsiaTheme="minorEastAsia" w:cstheme="minorEastAsia"/>
                <w:color w:val="auto"/>
                <w:spacing w:val="4"/>
                <w:sz w:val="23"/>
                <w:szCs w:val="23"/>
                <w:lang w:eastAsia="zh-CN"/>
              </w:rPr>
              <w:t>生产厂家</w:t>
            </w:r>
            <w:r>
              <w:rPr>
                <w:rFonts w:hint="eastAsia" w:asciiTheme="minorEastAsia" w:hAnsiTheme="minorEastAsia" w:eastAsiaTheme="minorEastAsia" w:cstheme="minorEastAsia"/>
                <w:color w:val="auto"/>
                <w:spacing w:val="4"/>
                <w:sz w:val="23"/>
                <w:szCs w:val="23"/>
                <w:lang w:val="en-US" w:eastAsia="zh-CN"/>
              </w:rPr>
              <w:t>/品牌</w:t>
            </w:r>
          </w:p>
        </w:tc>
        <w:tc>
          <w:tcPr>
            <w:tcW w:w="1062" w:type="dxa"/>
            <w:tcBorders>
              <w:left w:val="single" w:color="auto" w:sz="4" w:space="0"/>
            </w:tcBorders>
            <w:vAlign w:val="center"/>
          </w:tcPr>
          <w:p w14:paraId="73441D89">
            <w:pPr>
              <w:spacing w:before="77" w:line="230" w:lineRule="auto"/>
              <w:jc w:val="center"/>
              <w:rPr>
                <w:rFonts w:hint="eastAsia" w:asciiTheme="minorEastAsia" w:hAnsiTheme="minorEastAsia" w:eastAsiaTheme="minorEastAsia" w:cstheme="minorEastAsia"/>
                <w:color w:val="auto"/>
                <w:spacing w:val="4"/>
                <w:sz w:val="23"/>
                <w:szCs w:val="23"/>
                <w:lang w:eastAsia="zh-CN"/>
              </w:rPr>
            </w:pPr>
            <w:r>
              <w:rPr>
                <w:rFonts w:hint="eastAsia" w:asciiTheme="minorEastAsia" w:hAnsiTheme="minorEastAsia" w:eastAsiaTheme="minorEastAsia" w:cstheme="minorEastAsia"/>
                <w:color w:val="auto"/>
                <w:spacing w:val="5"/>
                <w:sz w:val="23"/>
                <w:szCs w:val="23"/>
                <w:lang w:val="en-US" w:eastAsia="zh-CN"/>
              </w:rPr>
              <w:t>指标要求</w:t>
            </w:r>
          </w:p>
        </w:tc>
        <w:tc>
          <w:tcPr>
            <w:tcW w:w="730" w:type="dxa"/>
            <w:vAlign w:val="center"/>
          </w:tcPr>
          <w:p w14:paraId="51572F72">
            <w:pPr>
              <w:spacing w:before="78" w:line="227" w:lineRule="auto"/>
              <w:jc w:val="center"/>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z w:val="23"/>
                <w:szCs w:val="23"/>
                <w:lang w:eastAsia="zh-CN"/>
              </w:rPr>
              <w:t>单位</w:t>
            </w:r>
          </w:p>
        </w:tc>
        <w:tc>
          <w:tcPr>
            <w:tcW w:w="1303" w:type="dxa"/>
            <w:vAlign w:val="center"/>
          </w:tcPr>
          <w:p w14:paraId="790333E1">
            <w:pPr>
              <w:spacing w:before="77" w:line="228" w:lineRule="auto"/>
              <w:jc w:val="center"/>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z w:val="23"/>
                <w:szCs w:val="23"/>
                <w:lang w:eastAsia="zh-CN"/>
              </w:rPr>
              <w:t>数量</w:t>
            </w:r>
          </w:p>
        </w:tc>
        <w:tc>
          <w:tcPr>
            <w:tcW w:w="1487" w:type="dxa"/>
            <w:vAlign w:val="center"/>
          </w:tcPr>
          <w:p w14:paraId="40BA5148">
            <w:pPr>
              <w:spacing w:before="77" w:line="226" w:lineRule="auto"/>
              <w:ind w:left="152"/>
              <w:jc w:val="center"/>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单</w:t>
            </w:r>
            <w:r>
              <w:rPr>
                <w:rFonts w:hint="eastAsia" w:asciiTheme="minorEastAsia" w:hAnsiTheme="minorEastAsia" w:eastAsiaTheme="minorEastAsia" w:cstheme="minorEastAsia"/>
                <w:color w:val="auto"/>
                <w:spacing w:val="4"/>
                <w:sz w:val="23"/>
                <w:szCs w:val="23"/>
              </w:rPr>
              <w:t xml:space="preserve">价 </w:t>
            </w:r>
            <w:r>
              <w:rPr>
                <w:rFonts w:hint="eastAsia" w:asciiTheme="minorEastAsia" w:hAnsiTheme="minorEastAsia" w:eastAsiaTheme="minorEastAsia" w:cstheme="minorEastAsia"/>
                <w:color w:val="auto"/>
                <w:spacing w:val="4"/>
                <w:sz w:val="23"/>
                <w:szCs w:val="23"/>
                <w:lang w:eastAsia="zh-CN"/>
              </w:rPr>
              <w:t>（</w:t>
            </w:r>
            <w:r>
              <w:rPr>
                <w:rFonts w:hint="eastAsia" w:asciiTheme="minorEastAsia" w:hAnsiTheme="minorEastAsia" w:eastAsiaTheme="minorEastAsia" w:cstheme="minorEastAsia"/>
                <w:color w:val="auto"/>
                <w:spacing w:val="4"/>
                <w:sz w:val="23"/>
                <w:szCs w:val="23"/>
              </w:rPr>
              <w:t>元</w:t>
            </w:r>
            <w:r>
              <w:rPr>
                <w:rFonts w:hint="eastAsia" w:asciiTheme="minorEastAsia" w:hAnsiTheme="minorEastAsia" w:eastAsiaTheme="minorEastAsia" w:cstheme="minorEastAsia"/>
                <w:color w:val="auto"/>
                <w:spacing w:val="4"/>
                <w:sz w:val="23"/>
                <w:szCs w:val="23"/>
                <w:lang w:eastAsia="zh-CN"/>
              </w:rPr>
              <w:t>）</w:t>
            </w:r>
          </w:p>
        </w:tc>
        <w:tc>
          <w:tcPr>
            <w:tcW w:w="1171" w:type="dxa"/>
            <w:vAlign w:val="center"/>
          </w:tcPr>
          <w:p w14:paraId="48579797">
            <w:pPr>
              <w:spacing w:before="77" w:line="226" w:lineRule="auto"/>
              <w:ind w:left="72"/>
              <w:jc w:val="center"/>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lang w:eastAsia="zh-CN"/>
              </w:rPr>
              <w:t>小计</w:t>
            </w:r>
            <w:r>
              <w:rPr>
                <w:rFonts w:hint="eastAsia" w:asciiTheme="minorEastAsia" w:hAnsiTheme="minorEastAsia" w:eastAsiaTheme="minorEastAsia" w:cstheme="minorEastAsia"/>
                <w:color w:val="auto"/>
                <w:spacing w:val="-8"/>
                <w:sz w:val="23"/>
                <w:szCs w:val="23"/>
                <w:lang w:eastAsia="zh-CN"/>
              </w:rPr>
              <w:t>（</w:t>
            </w:r>
            <w:r>
              <w:rPr>
                <w:rFonts w:hint="eastAsia" w:asciiTheme="minorEastAsia" w:hAnsiTheme="minorEastAsia" w:eastAsiaTheme="minorEastAsia" w:cstheme="minorEastAsia"/>
                <w:color w:val="auto"/>
                <w:spacing w:val="-8"/>
                <w:sz w:val="23"/>
                <w:szCs w:val="23"/>
              </w:rPr>
              <w:t>元</w:t>
            </w:r>
            <w:r>
              <w:rPr>
                <w:rFonts w:hint="eastAsia" w:asciiTheme="minorEastAsia" w:hAnsiTheme="minorEastAsia" w:eastAsiaTheme="minorEastAsia" w:cstheme="minorEastAsia"/>
                <w:color w:val="auto"/>
                <w:spacing w:val="-8"/>
                <w:sz w:val="23"/>
                <w:szCs w:val="23"/>
                <w:lang w:eastAsia="zh-CN"/>
              </w:rPr>
              <w:t>）</w:t>
            </w:r>
          </w:p>
        </w:tc>
      </w:tr>
      <w:tr w14:paraId="6DAE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14:paraId="0751CF1A">
            <w:pPr>
              <w:spacing w:before="118" w:line="192" w:lineRule="auto"/>
              <w:ind w:left="34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1</w:t>
            </w:r>
          </w:p>
        </w:tc>
        <w:tc>
          <w:tcPr>
            <w:tcW w:w="1161" w:type="dxa"/>
            <w:tcBorders>
              <w:right w:val="single" w:color="auto" w:sz="4" w:space="0"/>
            </w:tcBorders>
            <w:vAlign w:val="top"/>
          </w:tcPr>
          <w:p w14:paraId="590B3A5E">
            <w:pPr>
              <w:rPr>
                <w:rFonts w:hint="eastAsia" w:asciiTheme="minorEastAsia" w:hAnsiTheme="minorEastAsia" w:eastAsiaTheme="minorEastAsia" w:cstheme="minorEastAsia"/>
                <w:color w:val="auto"/>
                <w:sz w:val="21"/>
              </w:rPr>
            </w:pPr>
          </w:p>
        </w:tc>
        <w:tc>
          <w:tcPr>
            <w:tcW w:w="1294" w:type="dxa"/>
            <w:tcBorders>
              <w:left w:val="single" w:color="auto" w:sz="4" w:space="0"/>
              <w:right w:val="single" w:color="auto" w:sz="4" w:space="0"/>
            </w:tcBorders>
            <w:vAlign w:val="top"/>
          </w:tcPr>
          <w:p w14:paraId="2E2DD753">
            <w:pPr>
              <w:rPr>
                <w:rFonts w:hint="eastAsia" w:asciiTheme="minorEastAsia" w:hAnsiTheme="minorEastAsia" w:eastAsiaTheme="minorEastAsia" w:cstheme="minorEastAsia"/>
                <w:color w:val="auto"/>
                <w:sz w:val="21"/>
              </w:rPr>
            </w:pPr>
          </w:p>
        </w:tc>
        <w:tc>
          <w:tcPr>
            <w:tcW w:w="1062" w:type="dxa"/>
            <w:tcBorders>
              <w:left w:val="single" w:color="auto" w:sz="4" w:space="0"/>
            </w:tcBorders>
            <w:vAlign w:val="top"/>
          </w:tcPr>
          <w:p w14:paraId="69C8DE07">
            <w:pPr>
              <w:rPr>
                <w:rFonts w:hint="eastAsia" w:asciiTheme="minorEastAsia" w:hAnsiTheme="minorEastAsia" w:eastAsiaTheme="minorEastAsia" w:cstheme="minorEastAsia"/>
                <w:color w:val="auto"/>
                <w:sz w:val="21"/>
              </w:rPr>
            </w:pPr>
          </w:p>
        </w:tc>
        <w:tc>
          <w:tcPr>
            <w:tcW w:w="730" w:type="dxa"/>
            <w:vAlign w:val="top"/>
          </w:tcPr>
          <w:p w14:paraId="04500F60">
            <w:pPr>
              <w:rPr>
                <w:rFonts w:hint="eastAsia" w:asciiTheme="minorEastAsia" w:hAnsiTheme="minorEastAsia" w:eastAsiaTheme="minorEastAsia" w:cstheme="minorEastAsia"/>
                <w:color w:val="auto"/>
                <w:sz w:val="21"/>
              </w:rPr>
            </w:pPr>
          </w:p>
        </w:tc>
        <w:tc>
          <w:tcPr>
            <w:tcW w:w="1303" w:type="dxa"/>
            <w:vAlign w:val="top"/>
          </w:tcPr>
          <w:p w14:paraId="7766A6F3">
            <w:pPr>
              <w:rPr>
                <w:rFonts w:hint="eastAsia" w:asciiTheme="minorEastAsia" w:hAnsiTheme="minorEastAsia" w:eastAsiaTheme="minorEastAsia" w:cstheme="minorEastAsia"/>
                <w:color w:val="auto"/>
                <w:sz w:val="21"/>
              </w:rPr>
            </w:pPr>
          </w:p>
        </w:tc>
        <w:tc>
          <w:tcPr>
            <w:tcW w:w="1487" w:type="dxa"/>
            <w:vAlign w:val="top"/>
          </w:tcPr>
          <w:p w14:paraId="1DC2B629">
            <w:pPr>
              <w:rPr>
                <w:rFonts w:hint="eastAsia" w:asciiTheme="minorEastAsia" w:hAnsiTheme="minorEastAsia" w:eastAsiaTheme="minorEastAsia" w:cstheme="minorEastAsia"/>
                <w:color w:val="auto"/>
                <w:sz w:val="21"/>
              </w:rPr>
            </w:pPr>
          </w:p>
        </w:tc>
        <w:tc>
          <w:tcPr>
            <w:tcW w:w="1171" w:type="dxa"/>
            <w:vAlign w:val="top"/>
          </w:tcPr>
          <w:p w14:paraId="3AF7238D">
            <w:pPr>
              <w:rPr>
                <w:rFonts w:hint="eastAsia" w:asciiTheme="minorEastAsia" w:hAnsiTheme="minorEastAsia" w:eastAsiaTheme="minorEastAsia" w:cstheme="minorEastAsia"/>
                <w:color w:val="auto"/>
                <w:sz w:val="21"/>
              </w:rPr>
            </w:pPr>
          </w:p>
        </w:tc>
      </w:tr>
      <w:tr w14:paraId="194F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14:paraId="78A2642F">
            <w:pPr>
              <w:spacing w:before="120" w:line="192" w:lineRule="auto"/>
              <w:ind w:left="3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2</w:t>
            </w:r>
          </w:p>
        </w:tc>
        <w:tc>
          <w:tcPr>
            <w:tcW w:w="1161" w:type="dxa"/>
            <w:tcBorders>
              <w:right w:val="single" w:color="auto" w:sz="4" w:space="0"/>
            </w:tcBorders>
            <w:vAlign w:val="top"/>
          </w:tcPr>
          <w:p w14:paraId="074C2B0E">
            <w:pPr>
              <w:rPr>
                <w:rFonts w:hint="eastAsia" w:asciiTheme="minorEastAsia" w:hAnsiTheme="minorEastAsia" w:eastAsiaTheme="minorEastAsia" w:cstheme="minorEastAsia"/>
                <w:color w:val="auto"/>
                <w:sz w:val="21"/>
                <w:lang w:val="en-US" w:eastAsia="zh-CN"/>
              </w:rPr>
            </w:pPr>
          </w:p>
        </w:tc>
        <w:tc>
          <w:tcPr>
            <w:tcW w:w="1294" w:type="dxa"/>
            <w:tcBorders>
              <w:left w:val="single" w:color="auto" w:sz="4" w:space="0"/>
              <w:right w:val="single" w:color="auto" w:sz="4" w:space="0"/>
            </w:tcBorders>
            <w:vAlign w:val="top"/>
          </w:tcPr>
          <w:p w14:paraId="10CC28EF">
            <w:pPr>
              <w:rPr>
                <w:rFonts w:hint="eastAsia" w:asciiTheme="minorEastAsia" w:hAnsiTheme="minorEastAsia" w:eastAsiaTheme="minorEastAsia" w:cstheme="minorEastAsia"/>
                <w:color w:val="auto"/>
                <w:sz w:val="21"/>
                <w:lang w:val="en-US" w:eastAsia="zh-CN"/>
              </w:rPr>
            </w:pPr>
          </w:p>
        </w:tc>
        <w:tc>
          <w:tcPr>
            <w:tcW w:w="1062" w:type="dxa"/>
            <w:tcBorders>
              <w:left w:val="single" w:color="auto" w:sz="4" w:space="0"/>
            </w:tcBorders>
            <w:vAlign w:val="top"/>
          </w:tcPr>
          <w:p w14:paraId="1022E6BB">
            <w:pPr>
              <w:rPr>
                <w:rFonts w:hint="eastAsia" w:asciiTheme="minorEastAsia" w:hAnsiTheme="minorEastAsia" w:eastAsiaTheme="minorEastAsia" w:cstheme="minorEastAsia"/>
                <w:color w:val="auto"/>
                <w:sz w:val="21"/>
                <w:lang w:val="en-US" w:eastAsia="zh-CN"/>
              </w:rPr>
            </w:pPr>
          </w:p>
        </w:tc>
        <w:tc>
          <w:tcPr>
            <w:tcW w:w="730" w:type="dxa"/>
            <w:vAlign w:val="top"/>
          </w:tcPr>
          <w:p w14:paraId="36FAE7EC">
            <w:pPr>
              <w:rPr>
                <w:rFonts w:hint="eastAsia" w:asciiTheme="minorEastAsia" w:hAnsiTheme="minorEastAsia" w:eastAsiaTheme="minorEastAsia" w:cstheme="minorEastAsia"/>
                <w:color w:val="auto"/>
                <w:sz w:val="21"/>
              </w:rPr>
            </w:pPr>
          </w:p>
        </w:tc>
        <w:tc>
          <w:tcPr>
            <w:tcW w:w="1303" w:type="dxa"/>
            <w:vAlign w:val="top"/>
          </w:tcPr>
          <w:p w14:paraId="095AA951">
            <w:pPr>
              <w:rPr>
                <w:rFonts w:hint="eastAsia" w:asciiTheme="minorEastAsia" w:hAnsiTheme="minorEastAsia" w:eastAsiaTheme="minorEastAsia" w:cstheme="minorEastAsia"/>
                <w:color w:val="auto"/>
                <w:sz w:val="21"/>
              </w:rPr>
            </w:pPr>
          </w:p>
        </w:tc>
        <w:tc>
          <w:tcPr>
            <w:tcW w:w="1487" w:type="dxa"/>
            <w:vAlign w:val="top"/>
          </w:tcPr>
          <w:p w14:paraId="30487539">
            <w:pPr>
              <w:rPr>
                <w:rFonts w:hint="eastAsia" w:asciiTheme="minorEastAsia" w:hAnsiTheme="minorEastAsia" w:eastAsiaTheme="minorEastAsia" w:cstheme="minorEastAsia"/>
                <w:color w:val="auto"/>
                <w:sz w:val="21"/>
              </w:rPr>
            </w:pPr>
          </w:p>
        </w:tc>
        <w:tc>
          <w:tcPr>
            <w:tcW w:w="1171" w:type="dxa"/>
            <w:vAlign w:val="top"/>
          </w:tcPr>
          <w:p w14:paraId="537EF2D7">
            <w:pPr>
              <w:rPr>
                <w:rFonts w:hint="eastAsia" w:asciiTheme="minorEastAsia" w:hAnsiTheme="minorEastAsia" w:eastAsiaTheme="minorEastAsia" w:cstheme="minorEastAsia"/>
                <w:color w:val="auto"/>
                <w:sz w:val="21"/>
              </w:rPr>
            </w:pPr>
          </w:p>
        </w:tc>
      </w:tr>
      <w:tr w14:paraId="060DB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14:paraId="235C795E">
            <w:pPr>
              <w:spacing w:before="119" w:line="190" w:lineRule="auto"/>
              <w:ind w:left="332"/>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3</w:t>
            </w:r>
          </w:p>
        </w:tc>
        <w:tc>
          <w:tcPr>
            <w:tcW w:w="1161" w:type="dxa"/>
            <w:tcBorders>
              <w:right w:val="single" w:color="auto" w:sz="4" w:space="0"/>
            </w:tcBorders>
            <w:vAlign w:val="top"/>
          </w:tcPr>
          <w:p w14:paraId="0CEB9F42">
            <w:pPr>
              <w:rPr>
                <w:rFonts w:hint="eastAsia" w:asciiTheme="minorEastAsia" w:hAnsiTheme="minorEastAsia" w:eastAsiaTheme="minorEastAsia" w:cstheme="minorEastAsia"/>
                <w:color w:val="auto"/>
                <w:sz w:val="21"/>
              </w:rPr>
            </w:pPr>
          </w:p>
        </w:tc>
        <w:tc>
          <w:tcPr>
            <w:tcW w:w="1294" w:type="dxa"/>
            <w:tcBorders>
              <w:left w:val="single" w:color="auto" w:sz="4" w:space="0"/>
              <w:right w:val="single" w:color="auto" w:sz="4" w:space="0"/>
            </w:tcBorders>
            <w:vAlign w:val="top"/>
          </w:tcPr>
          <w:p w14:paraId="0D596728">
            <w:pPr>
              <w:rPr>
                <w:rFonts w:hint="eastAsia" w:asciiTheme="minorEastAsia" w:hAnsiTheme="minorEastAsia" w:eastAsiaTheme="minorEastAsia" w:cstheme="minorEastAsia"/>
                <w:color w:val="auto"/>
                <w:sz w:val="21"/>
              </w:rPr>
            </w:pPr>
          </w:p>
        </w:tc>
        <w:tc>
          <w:tcPr>
            <w:tcW w:w="1062" w:type="dxa"/>
            <w:tcBorders>
              <w:left w:val="single" w:color="auto" w:sz="4" w:space="0"/>
            </w:tcBorders>
            <w:vAlign w:val="top"/>
          </w:tcPr>
          <w:p w14:paraId="1F017550">
            <w:pPr>
              <w:rPr>
                <w:rFonts w:hint="eastAsia" w:asciiTheme="minorEastAsia" w:hAnsiTheme="minorEastAsia" w:eastAsiaTheme="minorEastAsia" w:cstheme="minorEastAsia"/>
                <w:color w:val="auto"/>
                <w:sz w:val="21"/>
              </w:rPr>
            </w:pPr>
          </w:p>
        </w:tc>
        <w:tc>
          <w:tcPr>
            <w:tcW w:w="730" w:type="dxa"/>
            <w:vAlign w:val="top"/>
          </w:tcPr>
          <w:p w14:paraId="77ED1629">
            <w:pPr>
              <w:rPr>
                <w:rFonts w:hint="eastAsia" w:asciiTheme="minorEastAsia" w:hAnsiTheme="minorEastAsia" w:eastAsiaTheme="minorEastAsia" w:cstheme="minorEastAsia"/>
                <w:color w:val="auto"/>
                <w:sz w:val="21"/>
              </w:rPr>
            </w:pPr>
          </w:p>
        </w:tc>
        <w:tc>
          <w:tcPr>
            <w:tcW w:w="1303" w:type="dxa"/>
            <w:vAlign w:val="top"/>
          </w:tcPr>
          <w:p w14:paraId="7699127E">
            <w:pPr>
              <w:rPr>
                <w:rFonts w:hint="eastAsia" w:asciiTheme="minorEastAsia" w:hAnsiTheme="minorEastAsia" w:eastAsiaTheme="minorEastAsia" w:cstheme="minorEastAsia"/>
                <w:color w:val="auto"/>
                <w:sz w:val="21"/>
              </w:rPr>
            </w:pPr>
          </w:p>
        </w:tc>
        <w:tc>
          <w:tcPr>
            <w:tcW w:w="1487" w:type="dxa"/>
            <w:vAlign w:val="top"/>
          </w:tcPr>
          <w:p w14:paraId="1F556AED">
            <w:pPr>
              <w:rPr>
                <w:rFonts w:hint="eastAsia" w:asciiTheme="minorEastAsia" w:hAnsiTheme="minorEastAsia" w:eastAsiaTheme="minorEastAsia" w:cstheme="minorEastAsia"/>
                <w:color w:val="auto"/>
                <w:sz w:val="21"/>
              </w:rPr>
            </w:pPr>
          </w:p>
        </w:tc>
        <w:tc>
          <w:tcPr>
            <w:tcW w:w="1171" w:type="dxa"/>
            <w:vAlign w:val="top"/>
          </w:tcPr>
          <w:p w14:paraId="103B3317">
            <w:pPr>
              <w:rPr>
                <w:rFonts w:hint="eastAsia" w:asciiTheme="minorEastAsia" w:hAnsiTheme="minorEastAsia" w:eastAsiaTheme="minorEastAsia" w:cstheme="minorEastAsia"/>
                <w:color w:val="auto"/>
                <w:sz w:val="21"/>
              </w:rPr>
            </w:pPr>
          </w:p>
        </w:tc>
      </w:tr>
      <w:tr w14:paraId="373A1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14:paraId="0459F758">
            <w:pPr>
              <w:spacing w:before="120" w:line="192" w:lineRule="auto"/>
              <w:ind w:left="327"/>
              <w:rPr>
                <w:rFonts w:hint="eastAsia" w:asciiTheme="minorEastAsia" w:hAnsiTheme="minorEastAsia" w:eastAsiaTheme="minorEastAsia" w:cstheme="minorEastAsia"/>
                <w:color w:val="auto"/>
                <w:sz w:val="23"/>
                <w:szCs w:val="23"/>
              </w:rPr>
            </w:pPr>
          </w:p>
        </w:tc>
        <w:tc>
          <w:tcPr>
            <w:tcW w:w="1161" w:type="dxa"/>
            <w:tcBorders>
              <w:right w:val="single" w:color="auto" w:sz="4" w:space="0"/>
            </w:tcBorders>
            <w:vAlign w:val="top"/>
          </w:tcPr>
          <w:p w14:paraId="54E40664">
            <w:pPr>
              <w:rPr>
                <w:rFonts w:hint="eastAsia" w:asciiTheme="minorEastAsia" w:hAnsiTheme="minorEastAsia" w:eastAsiaTheme="minorEastAsia" w:cstheme="minorEastAsia"/>
                <w:color w:val="auto"/>
                <w:sz w:val="21"/>
              </w:rPr>
            </w:pPr>
          </w:p>
        </w:tc>
        <w:tc>
          <w:tcPr>
            <w:tcW w:w="1294" w:type="dxa"/>
            <w:tcBorders>
              <w:left w:val="single" w:color="auto" w:sz="4" w:space="0"/>
              <w:right w:val="single" w:color="auto" w:sz="4" w:space="0"/>
            </w:tcBorders>
            <w:vAlign w:val="top"/>
          </w:tcPr>
          <w:p w14:paraId="38CCC1B1">
            <w:pPr>
              <w:rPr>
                <w:rFonts w:hint="eastAsia" w:asciiTheme="minorEastAsia" w:hAnsiTheme="minorEastAsia" w:eastAsiaTheme="minorEastAsia" w:cstheme="minorEastAsia"/>
                <w:color w:val="auto"/>
                <w:sz w:val="21"/>
              </w:rPr>
            </w:pPr>
          </w:p>
        </w:tc>
        <w:tc>
          <w:tcPr>
            <w:tcW w:w="1062" w:type="dxa"/>
            <w:tcBorders>
              <w:left w:val="single" w:color="auto" w:sz="4" w:space="0"/>
            </w:tcBorders>
            <w:vAlign w:val="top"/>
          </w:tcPr>
          <w:p w14:paraId="77DF1D5D">
            <w:pPr>
              <w:rPr>
                <w:rFonts w:hint="eastAsia" w:asciiTheme="minorEastAsia" w:hAnsiTheme="minorEastAsia" w:eastAsiaTheme="minorEastAsia" w:cstheme="minorEastAsia"/>
                <w:color w:val="auto"/>
                <w:sz w:val="21"/>
              </w:rPr>
            </w:pPr>
          </w:p>
        </w:tc>
        <w:tc>
          <w:tcPr>
            <w:tcW w:w="730" w:type="dxa"/>
            <w:vAlign w:val="top"/>
          </w:tcPr>
          <w:p w14:paraId="3B64C10F">
            <w:pPr>
              <w:rPr>
                <w:rFonts w:hint="eastAsia" w:asciiTheme="minorEastAsia" w:hAnsiTheme="minorEastAsia" w:eastAsiaTheme="minorEastAsia" w:cstheme="minorEastAsia"/>
                <w:color w:val="auto"/>
                <w:sz w:val="21"/>
              </w:rPr>
            </w:pPr>
          </w:p>
        </w:tc>
        <w:tc>
          <w:tcPr>
            <w:tcW w:w="1303" w:type="dxa"/>
            <w:vAlign w:val="top"/>
          </w:tcPr>
          <w:p w14:paraId="12B30E89">
            <w:pPr>
              <w:rPr>
                <w:rFonts w:hint="eastAsia" w:asciiTheme="minorEastAsia" w:hAnsiTheme="minorEastAsia" w:eastAsiaTheme="minorEastAsia" w:cstheme="minorEastAsia"/>
                <w:color w:val="auto"/>
                <w:sz w:val="21"/>
              </w:rPr>
            </w:pPr>
          </w:p>
        </w:tc>
        <w:tc>
          <w:tcPr>
            <w:tcW w:w="1487" w:type="dxa"/>
            <w:vAlign w:val="top"/>
          </w:tcPr>
          <w:p w14:paraId="5F125B49">
            <w:pPr>
              <w:rPr>
                <w:rFonts w:hint="eastAsia" w:asciiTheme="minorEastAsia" w:hAnsiTheme="minorEastAsia" w:eastAsiaTheme="minorEastAsia" w:cstheme="minorEastAsia"/>
                <w:color w:val="auto"/>
                <w:sz w:val="21"/>
              </w:rPr>
            </w:pPr>
          </w:p>
        </w:tc>
        <w:tc>
          <w:tcPr>
            <w:tcW w:w="1171" w:type="dxa"/>
            <w:vAlign w:val="top"/>
          </w:tcPr>
          <w:p w14:paraId="0744ACFC">
            <w:pPr>
              <w:rPr>
                <w:rFonts w:hint="eastAsia" w:asciiTheme="minorEastAsia" w:hAnsiTheme="minorEastAsia" w:eastAsiaTheme="minorEastAsia" w:cstheme="minorEastAsia"/>
                <w:color w:val="auto"/>
                <w:sz w:val="21"/>
              </w:rPr>
            </w:pPr>
          </w:p>
        </w:tc>
      </w:tr>
      <w:tr w14:paraId="07FE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14:paraId="6D75C04D">
            <w:pPr>
              <w:rPr>
                <w:rFonts w:hint="eastAsia" w:asciiTheme="minorEastAsia" w:hAnsiTheme="minorEastAsia" w:eastAsiaTheme="minorEastAsia" w:cstheme="minorEastAsia"/>
                <w:color w:val="auto"/>
                <w:sz w:val="21"/>
              </w:rPr>
            </w:pPr>
          </w:p>
        </w:tc>
        <w:tc>
          <w:tcPr>
            <w:tcW w:w="1161" w:type="dxa"/>
            <w:tcBorders>
              <w:right w:val="single" w:color="auto" w:sz="4" w:space="0"/>
            </w:tcBorders>
            <w:vAlign w:val="top"/>
          </w:tcPr>
          <w:p w14:paraId="4D0A48DD">
            <w:pPr>
              <w:rPr>
                <w:rFonts w:hint="eastAsia" w:asciiTheme="minorEastAsia" w:hAnsiTheme="minorEastAsia" w:eastAsiaTheme="minorEastAsia" w:cstheme="minorEastAsia"/>
                <w:color w:val="auto"/>
                <w:sz w:val="21"/>
              </w:rPr>
            </w:pPr>
          </w:p>
        </w:tc>
        <w:tc>
          <w:tcPr>
            <w:tcW w:w="1294" w:type="dxa"/>
            <w:tcBorders>
              <w:left w:val="single" w:color="auto" w:sz="4" w:space="0"/>
              <w:right w:val="single" w:color="auto" w:sz="4" w:space="0"/>
            </w:tcBorders>
            <w:vAlign w:val="top"/>
          </w:tcPr>
          <w:p w14:paraId="1AC34D2F">
            <w:pPr>
              <w:rPr>
                <w:rFonts w:hint="eastAsia" w:asciiTheme="minorEastAsia" w:hAnsiTheme="minorEastAsia" w:eastAsiaTheme="minorEastAsia" w:cstheme="minorEastAsia"/>
                <w:color w:val="auto"/>
                <w:sz w:val="21"/>
              </w:rPr>
            </w:pPr>
          </w:p>
        </w:tc>
        <w:tc>
          <w:tcPr>
            <w:tcW w:w="1062" w:type="dxa"/>
            <w:tcBorders>
              <w:left w:val="single" w:color="auto" w:sz="4" w:space="0"/>
            </w:tcBorders>
            <w:vAlign w:val="top"/>
          </w:tcPr>
          <w:p w14:paraId="6816BA4E">
            <w:pPr>
              <w:rPr>
                <w:rFonts w:hint="eastAsia" w:asciiTheme="minorEastAsia" w:hAnsiTheme="minorEastAsia" w:eastAsiaTheme="minorEastAsia" w:cstheme="minorEastAsia"/>
                <w:color w:val="auto"/>
                <w:sz w:val="21"/>
              </w:rPr>
            </w:pPr>
          </w:p>
        </w:tc>
        <w:tc>
          <w:tcPr>
            <w:tcW w:w="730" w:type="dxa"/>
            <w:vAlign w:val="top"/>
          </w:tcPr>
          <w:p w14:paraId="6E7668F2">
            <w:pPr>
              <w:rPr>
                <w:rFonts w:hint="eastAsia" w:asciiTheme="minorEastAsia" w:hAnsiTheme="minorEastAsia" w:eastAsiaTheme="minorEastAsia" w:cstheme="minorEastAsia"/>
                <w:color w:val="auto"/>
                <w:sz w:val="21"/>
              </w:rPr>
            </w:pPr>
          </w:p>
        </w:tc>
        <w:tc>
          <w:tcPr>
            <w:tcW w:w="1303" w:type="dxa"/>
            <w:vAlign w:val="top"/>
          </w:tcPr>
          <w:p w14:paraId="227E3495">
            <w:pPr>
              <w:rPr>
                <w:rFonts w:hint="eastAsia" w:asciiTheme="minorEastAsia" w:hAnsiTheme="minorEastAsia" w:eastAsiaTheme="minorEastAsia" w:cstheme="minorEastAsia"/>
                <w:color w:val="auto"/>
                <w:sz w:val="21"/>
              </w:rPr>
            </w:pPr>
          </w:p>
        </w:tc>
        <w:tc>
          <w:tcPr>
            <w:tcW w:w="1487" w:type="dxa"/>
            <w:vAlign w:val="top"/>
          </w:tcPr>
          <w:p w14:paraId="7E8FC3DC">
            <w:pPr>
              <w:rPr>
                <w:rFonts w:hint="eastAsia" w:asciiTheme="minorEastAsia" w:hAnsiTheme="minorEastAsia" w:eastAsiaTheme="minorEastAsia" w:cstheme="minorEastAsia"/>
                <w:color w:val="auto"/>
                <w:sz w:val="21"/>
              </w:rPr>
            </w:pPr>
          </w:p>
        </w:tc>
        <w:tc>
          <w:tcPr>
            <w:tcW w:w="1171" w:type="dxa"/>
            <w:vAlign w:val="top"/>
          </w:tcPr>
          <w:p w14:paraId="0C932025">
            <w:pPr>
              <w:rPr>
                <w:rFonts w:hint="eastAsia" w:asciiTheme="minorEastAsia" w:hAnsiTheme="minorEastAsia" w:eastAsiaTheme="minorEastAsia" w:cstheme="minorEastAsia"/>
                <w:color w:val="auto"/>
                <w:sz w:val="21"/>
              </w:rPr>
            </w:pPr>
          </w:p>
        </w:tc>
      </w:tr>
      <w:tr w14:paraId="77B20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64" w:type="dxa"/>
            <w:vAlign w:val="top"/>
          </w:tcPr>
          <w:p w14:paraId="61A5646A">
            <w:pPr>
              <w:rPr>
                <w:rFonts w:hint="eastAsia" w:asciiTheme="minorEastAsia" w:hAnsiTheme="minorEastAsia" w:eastAsiaTheme="minorEastAsia" w:cstheme="minorEastAsia"/>
                <w:color w:val="auto"/>
                <w:sz w:val="21"/>
              </w:rPr>
            </w:pPr>
          </w:p>
        </w:tc>
        <w:tc>
          <w:tcPr>
            <w:tcW w:w="1161" w:type="dxa"/>
            <w:tcBorders>
              <w:right w:val="single" w:color="auto" w:sz="4" w:space="0"/>
            </w:tcBorders>
            <w:vAlign w:val="top"/>
          </w:tcPr>
          <w:p w14:paraId="548179DE">
            <w:pPr>
              <w:rPr>
                <w:rFonts w:hint="eastAsia" w:asciiTheme="minorEastAsia" w:hAnsiTheme="minorEastAsia" w:eastAsiaTheme="minorEastAsia" w:cstheme="minorEastAsia"/>
                <w:color w:val="auto"/>
                <w:sz w:val="21"/>
              </w:rPr>
            </w:pPr>
          </w:p>
        </w:tc>
        <w:tc>
          <w:tcPr>
            <w:tcW w:w="1294" w:type="dxa"/>
            <w:tcBorders>
              <w:left w:val="single" w:color="auto" w:sz="4" w:space="0"/>
              <w:right w:val="single" w:color="auto" w:sz="4" w:space="0"/>
            </w:tcBorders>
            <w:vAlign w:val="top"/>
          </w:tcPr>
          <w:p w14:paraId="3B009B9D">
            <w:pPr>
              <w:rPr>
                <w:rFonts w:hint="eastAsia" w:asciiTheme="minorEastAsia" w:hAnsiTheme="minorEastAsia" w:eastAsiaTheme="minorEastAsia" w:cstheme="minorEastAsia"/>
                <w:color w:val="auto"/>
                <w:sz w:val="21"/>
              </w:rPr>
            </w:pPr>
          </w:p>
        </w:tc>
        <w:tc>
          <w:tcPr>
            <w:tcW w:w="1062" w:type="dxa"/>
            <w:tcBorders>
              <w:left w:val="single" w:color="auto" w:sz="4" w:space="0"/>
            </w:tcBorders>
            <w:vAlign w:val="top"/>
          </w:tcPr>
          <w:p w14:paraId="4885418F">
            <w:pPr>
              <w:rPr>
                <w:rFonts w:hint="eastAsia" w:asciiTheme="minorEastAsia" w:hAnsiTheme="minorEastAsia" w:eastAsiaTheme="minorEastAsia" w:cstheme="minorEastAsia"/>
                <w:color w:val="auto"/>
                <w:sz w:val="21"/>
              </w:rPr>
            </w:pPr>
          </w:p>
        </w:tc>
        <w:tc>
          <w:tcPr>
            <w:tcW w:w="730" w:type="dxa"/>
            <w:vAlign w:val="top"/>
          </w:tcPr>
          <w:p w14:paraId="7F58CBA8">
            <w:pPr>
              <w:rPr>
                <w:rFonts w:hint="eastAsia" w:asciiTheme="minorEastAsia" w:hAnsiTheme="minorEastAsia" w:eastAsiaTheme="minorEastAsia" w:cstheme="minorEastAsia"/>
                <w:color w:val="auto"/>
                <w:sz w:val="21"/>
              </w:rPr>
            </w:pPr>
          </w:p>
        </w:tc>
        <w:tc>
          <w:tcPr>
            <w:tcW w:w="1303" w:type="dxa"/>
            <w:vAlign w:val="top"/>
          </w:tcPr>
          <w:p w14:paraId="5EDCFC58">
            <w:pPr>
              <w:rPr>
                <w:rFonts w:hint="eastAsia" w:asciiTheme="minorEastAsia" w:hAnsiTheme="minorEastAsia" w:eastAsiaTheme="minorEastAsia" w:cstheme="minorEastAsia"/>
                <w:color w:val="auto"/>
                <w:sz w:val="21"/>
              </w:rPr>
            </w:pPr>
          </w:p>
        </w:tc>
        <w:tc>
          <w:tcPr>
            <w:tcW w:w="1487" w:type="dxa"/>
            <w:vAlign w:val="top"/>
          </w:tcPr>
          <w:p w14:paraId="7286E331">
            <w:pPr>
              <w:rPr>
                <w:rFonts w:hint="eastAsia" w:asciiTheme="minorEastAsia" w:hAnsiTheme="minorEastAsia" w:eastAsiaTheme="minorEastAsia" w:cstheme="minorEastAsia"/>
                <w:color w:val="auto"/>
                <w:sz w:val="21"/>
              </w:rPr>
            </w:pPr>
          </w:p>
        </w:tc>
        <w:tc>
          <w:tcPr>
            <w:tcW w:w="1171" w:type="dxa"/>
            <w:vAlign w:val="top"/>
          </w:tcPr>
          <w:p w14:paraId="338EA404">
            <w:pPr>
              <w:rPr>
                <w:rFonts w:hint="eastAsia" w:asciiTheme="minorEastAsia" w:hAnsiTheme="minorEastAsia" w:eastAsiaTheme="minorEastAsia" w:cstheme="minorEastAsia"/>
                <w:color w:val="auto"/>
                <w:sz w:val="21"/>
              </w:rPr>
            </w:pPr>
          </w:p>
        </w:tc>
      </w:tr>
      <w:tr w14:paraId="1D79A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14:paraId="003D3906">
            <w:pPr>
              <w:rPr>
                <w:rFonts w:hint="eastAsia" w:asciiTheme="minorEastAsia" w:hAnsiTheme="minorEastAsia" w:eastAsiaTheme="minorEastAsia" w:cstheme="minorEastAsia"/>
                <w:color w:val="auto"/>
                <w:sz w:val="21"/>
              </w:rPr>
            </w:pPr>
          </w:p>
        </w:tc>
        <w:tc>
          <w:tcPr>
            <w:tcW w:w="1161" w:type="dxa"/>
            <w:tcBorders>
              <w:right w:val="single" w:color="auto" w:sz="4" w:space="0"/>
            </w:tcBorders>
            <w:vAlign w:val="top"/>
          </w:tcPr>
          <w:p w14:paraId="1111EED6">
            <w:pPr>
              <w:rPr>
                <w:rFonts w:hint="eastAsia" w:asciiTheme="minorEastAsia" w:hAnsiTheme="minorEastAsia" w:eastAsiaTheme="minorEastAsia" w:cstheme="minorEastAsia"/>
                <w:color w:val="auto"/>
                <w:sz w:val="21"/>
              </w:rPr>
            </w:pPr>
          </w:p>
        </w:tc>
        <w:tc>
          <w:tcPr>
            <w:tcW w:w="1294" w:type="dxa"/>
            <w:tcBorders>
              <w:left w:val="single" w:color="auto" w:sz="4" w:space="0"/>
              <w:right w:val="single" w:color="auto" w:sz="4" w:space="0"/>
            </w:tcBorders>
            <w:vAlign w:val="top"/>
          </w:tcPr>
          <w:p w14:paraId="133B1661">
            <w:pPr>
              <w:rPr>
                <w:rFonts w:hint="eastAsia" w:asciiTheme="minorEastAsia" w:hAnsiTheme="minorEastAsia" w:eastAsiaTheme="minorEastAsia" w:cstheme="minorEastAsia"/>
                <w:color w:val="auto"/>
                <w:sz w:val="21"/>
              </w:rPr>
            </w:pPr>
          </w:p>
        </w:tc>
        <w:tc>
          <w:tcPr>
            <w:tcW w:w="1062" w:type="dxa"/>
            <w:tcBorders>
              <w:left w:val="single" w:color="auto" w:sz="4" w:space="0"/>
            </w:tcBorders>
            <w:vAlign w:val="top"/>
          </w:tcPr>
          <w:p w14:paraId="60A3C77A">
            <w:pPr>
              <w:rPr>
                <w:rFonts w:hint="eastAsia" w:asciiTheme="minorEastAsia" w:hAnsiTheme="minorEastAsia" w:eastAsiaTheme="minorEastAsia" w:cstheme="minorEastAsia"/>
                <w:color w:val="auto"/>
                <w:sz w:val="21"/>
              </w:rPr>
            </w:pPr>
          </w:p>
        </w:tc>
        <w:tc>
          <w:tcPr>
            <w:tcW w:w="730" w:type="dxa"/>
            <w:vAlign w:val="top"/>
          </w:tcPr>
          <w:p w14:paraId="3438C8BF">
            <w:pPr>
              <w:rPr>
                <w:rFonts w:hint="eastAsia" w:asciiTheme="minorEastAsia" w:hAnsiTheme="minorEastAsia" w:eastAsiaTheme="minorEastAsia" w:cstheme="minorEastAsia"/>
                <w:color w:val="auto"/>
                <w:sz w:val="21"/>
              </w:rPr>
            </w:pPr>
          </w:p>
        </w:tc>
        <w:tc>
          <w:tcPr>
            <w:tcW w:w="1303" w:type="dxa"/>
            <w:vAlign w:val="top"/>
          </w:tcPr>
          <w:p w14:paraId="39F087F9">
            <w:pPr>
              <w:rPr>
                <w:rFonts w:hint="eastAsia" w:asciiTheme="minorEastAsia" w:hAnsiTheme="minorEastAsia" w:eastAsiaTheme="minorEastAsia" w:cstheme="minorEastAsia"/>
                <w:color w:val="auto"/>
                <w:sz w:val="21"/>
              </w:rPr>
            </w:pPr>
          </w:p>
        </w:tc>
        <w:tc>
          <w:tcPr>
            <w:tcW w:w="1487" w:type="dxa"/>
            <w:vAlign w:val="top"/>
          </w:tcPr>
          <w:p w14:paraId="385654E4">
            <w:pPr>
              <w:rPr>
                <w:rFonts w:hint="eastAsia" w:asciiTheme="minorEastAsia" w:hAnsiTheme="minorEastAsia" w:eastAsiaTheme="minorEastAsia" w:cstheme="minorEastAsia"/>
                <w:color w:val="auto"/>
                <w:sz w:val="21"/>
              </w:rPr>
            </w:pPr>
          </w:p>
        </w:tc>
        <w:tc>
          <w:tcPr>
            <w:tcW w:w="1171" w:type="dxa"/>
            <w:vAlign w:val="top"/>
          </w:tcPr>
          <w:p w14:paraId="2669AB15">
            <w:pPr>
              <w:rPr>
                <w:rFonts w:hint="eastAsia" w:asciiTheme="minorEastAsia" w:hAnsiTheme="minorEastAsia" w:eastAsiaTheme="minorEastAsia" w:cstheme="minorEastAsia"/>
                <w:color w:val="auto"/>
                <w:sz w:val="21"/>
              </w:rPr>
            </w:pPr>
          </w:p>
        </w:tc>
      </w:tr>
      <w:tr w14:paraId="3D932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764" w:type="dxa"/>
            <w:vAlign w:val="top"/>
          </w:tcPr>
          <w:p w14:paraId="214156BB">
            <w:pPr>
              <w:rPr>
                <w:rFonts w:hint="eastAsia" w:asciiTheme="minorEastAsia" w:hAnsiTheme="minorEastAsia" w:eastAsiaTheme="minorEastAsia" w:cstheme="minorEastAsia"/>
                <w:color w:val="auto"/>
                <w:sz w:val="21"/>
              </w:rPr>
            </w:pPr>
          </w:p>
        </w:tc>
        <w:tc>
          <w:tcPr>
            <w:tcW w:w="1161" w:type="dxa"/>
            <w:tcBorders>
              <w:right w:val="single" w:color="auto" w:sz="4" w:space="0"/>
            </w:tcBorders>
            <w:vAlign w:val="top"/>
          </w:tcPr>
          <w:p w14:paraId="0A4DD85B">
            <w:pPr>
              <w:rPr>
                <w:rFonts w:hint="eastAsia" w:asciiTheme="minorEastAsia" w:hAnsiTheme="minorEastAsia" w:eastAsiaTheme="minorEastAsia" w:cstheme="minorEastAsia"/>
                <w:color w:val="auto"/>
                <w:sz w:val="21"/>
              </w:rPr>
            </w:pPr>
          </w:p>
        </w:tc>
        <w:tc>
          <w:tcPr>
            <w:tcW w:w="1294" w:type="dxa"/>
            <w:tcBorders>
              <w:left w:val="single" w:color="auto" w:sz="4" w:space="0"/>
              <w:right w:val="single" w:color="auto" w:sz="4" w:space="0"/>
            </w:tcBorders>
            <w:vAlign w:val="top"/>
          </w:tcPr>
          <w:p w14:paraId="3313C7D1">
            <w:pPr>
              <w:rPr>
                <w:rFonts w:hint="eastAsia" w:asciiTheme="minorEastAsia" w:hAnsiTheme="minorEastAsia" w:eastAsiaTheme="minorEastAsia" w:cstheme="minorEastAsia"/>
                <w:color w:val="auto"/>
                <w:sz w:val="21"/>
              </w:rPr>
            </w:pPr>
          </w:p>
        </w:tc>
        <w:tc>
          <w:tcPr>
            <w:tcW w:w="1062" w:type="dxa"/>
            <w:tcBorders>
              <w:left w:val="single" w:color="auto" w:sz="4" w:space="0"/>
            </w:tcBorders>
            <w:vAlign w:val="top"/>
          </w:tcPr>
          <w:p w14:paraId="51270008">
            <w:pPr>
              <w:rPr>
                <w:rFonts w:hint="eastAsia" w:asciiTheme="minorEastAsia" w:hAnsiTheme="minorEastAsia" w:eastAsiaTheme="minorEastAsia" w:cstheme="minorEastAsia"/>
                <w:color w:val="auto"/>
                <w:sz w:val="21"/>
              </w:rPr>
            </w:pPr>
          </w:p>
        </w:tc>
        <w:tc>
          <w:tcPr>
            <w:tcW w:w="730" w:type="dxa"/>
            <w:vAlign w:val="top"/>
          </w:tcPr>
          <w:p w14:paraId="0F96CD71">
            <w:pPr>
              <w:rPr>
                <w:rFonts w:hint="eastAsia" w:asciiTheme="minorEastAsia" w:hAnsiTheme="minorEastAsia" w:eastAsiaTheme="minorEastAsia" w:cstheme="minorEastAsia"/>
                <w:color w:val="auto"/>
                <w:sz w:val="21"/>
              </w:rPr>
            </w:pPr>
          </w:p>
        </w:tc>
        <w:tc>
          <w:tcPr>
            <w:tcW w:w="1303" w:type="dxa"/>
            <w:vAlign w:val="top"/>
          </w:tcPr>
          <w:p w14:paraId="467881F0">
            <w:pPr>
              <w:rPr>
                <w:rFonts w:hint="eastAsia" w:asciiTheme="minorEastAsia" w:hAnsiTheme="minorEastAsia" w:eastAsiaTheme="minorEastAsia" w:cstheme="minorEastAsia"/>
                <w:color w:val="auto"/>
                <w:sz w:val="21"/>
              </w:rPr>
            </w:pPr>
          </w:p>
        </w:tc>
        <w:tc>
          <w:tcPr>
            <w:tcW w:w="1487" w:type="dxa"/>
            <w:vAlign w:val="top"/>
          </w:tcPr>
          <w:p w14:paraId="65C012D4">
            <w:pPr>
              <w:rPr>
                <w:rFonts w:hint="eastAsia" w:asciiTheme="minorEastAsia" w:hAnsiTheme="minorEastAsia" w:eastAsiaTheme="minorEastAsia" w:cstheme="minorEastAsia"/>
                <w:color w:val="auto"/>
                <w:sz w:val="21"/>
              </w:rPr>
            </w:pPr>
          </w:p>
        </w:tc>
        <w:tc>
          <w:tcPr>
            <w:tcW w:w="1171" w:type="dxa"/>
            <w:vAlign w:val="top"/>
          </w:tcPr>
          <w:p w14:paraId="57699404">
            <w:pPr>
              <w:rPr>
                <w:rFonts w:hint="eastAsia" w:asciiTheme="minorEastAsia" w:hAnsiTheme="minorEastAsia" w:eastAsiaTheme="minorEastAsia" w:cstheme="minorEastAsia"/>
                <w:color w:val="auto"/>
                <w:sz w:val="21"/>
              </w:rPr>
            </w:pPr>
          </w:p>
        </w:tc>
      </w:tr>
      <w:tr w14:paraId="69D80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4281" w:type="dxa"/>
            <w:gridSpan w:val="4"/>
            <w:vAlign w:val="top"/>
          </w:tcPr>
          <w:p w14:paraId="5D41824F">
            <w:pPr>
              <w:spacing w:before="156" w:line="228" w:lineRule="auto"/>
              <w:ind w:left="1258"/>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总</w:t>
            </w:r>
            <w:r>
              <w:rPr>
                <w:rFonts w:hint="eastAsia" w:asciiTheme="minorEastAsia" w:hAnsiTheme="minorEastAsia" w:eastAsiaTheme="minorEastAsia" w:cstheme="minorEastAsia"/>
                <w:color w:val="auto"/>
                <w:spacing w:val="4"/>
                <w:sz w:val="23"/>
                <w:szCs w:val="23"/>
              </w:rPr>
              <w:t xml:space="preserve"> 计 </w:t>
            </w:r>
            <w:r>
              <w:rPr>
                <w:rFonts w:hint="eastAsia" w:asciiTheme="minorEastAsia" w:hAnsiTheme="minorEastAsia" w:eastAsiaTheme="minorEastAsia" w:cstheme="minorEastAsia"/>
                <w:color w:val="auto"/>
                <w:spacing w:val="4"/>
                <w:sz w:val="23"/>
                <w:szCs w:val="23"/>
                <w:lang w:eastAsia="zh-CN"/>
              </w:rPr>
              <w:t>（</w:t>
            </w:r>
            <w:r>
              <w:rPr>
                <w:rFonts w:hint="eastAsia" w:asciiTheme="minorEastAsia" w:hAnsiTheme="minorEastAsia" w:eastAsiaTheme="minorEastAsia" w:cstheme="minorEastAsia"/>
                <w:color w:val="auto"/>
                <w:spacing w:val="4"/>
                <w:sz w:val="23"/>
                <w:szCs w:val="23"/>
              </w:rPr>
              <w:t>元</w:t>
            </w:r>
            <w:r>
              <w:rPr>
                <w:rFonts w:hint="eastAsia" w:asciiTheme="minorEastAsia" w:hAnsiTheme="minorEastAsia" w:eastAsiaTheme="minorEastAsia" w:cstheme="minorEastAsia"/>
                <w:color w:val="auto"/>
                <w:spacing w:val="4"/>
                <w:sz w:val="23"/>
                <w:szCs w:val="23"/>
                <w:lang w:eastAsia="zh-CN"/>
              </w:rPr>
              <w:t>）</w:t>
            </w:r>
          </w:p>
        </w:tc>
        <w:tc>
          <w:tcPr>
            <w:tcW w:w="730" w:type="dxa"/>
            <w:tcBorders>
              <w:right w:val="nil"/>
            </w:tcBorders>
            <w:vAlign w:val="top"/>
          </w:tcPr>
          <w:p w14:paraId="4902504B">
            <w:pPr>
              <w:spacing w:before="156" w:line="242" w:lineRule="auto"/>
              <w:ind w:left="77"/>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9"/>
                <w:sz w:val="23"/>
                <w:szCs w:val="23"/>
              </w:rPr>
              <w:t>￥</w:t>
            </w:r>
            <w:r>
              <w:rPr>
                <w:rFonts w:hint="eastAsia" w:asciiTheme="minorEastAsia" w:hAnsiTheme="minorEastAsia" w:eastAsiaTheme="minorEastAsia" w:cstheme="minorEastAsia"/>
                <w:color w:val="auto"/>
                <w:spacing w:val="-90"/>
                <w:sz w:val="23"/>
                <w:szCs w:val="23"/>
              </w:rPr>
              <w:t xml:space="preserve"> </w:t>
            </w:r>
            <w:r>
              <w:rPr>
                <w:rFonts w:hint="eastAsia" w:asciiTheme="minorEastAsia" w:hAnsiTheme="minorEastAsia" w:eastAsiaTheme="minorEastAsia" w:cstheme="minorEastAsia"/>
                <w:color w:val="auto"/>
                <w:spacing w:val="-19"/>
                <w:sz w:val="23"/>
                <w:szCs w:val="23"/>
              </w:rPr>
              <w:t>：</w:t>
            </w:r>
          </w:p>
        </w:tc>
        <w:tc>
          <w:tcPr>
            <w:tcW w:w="3961" w:type="dxa"/>
            <w:gridSpan w:val="3"/>
            <w:tcBorders>
              <w:left w:val="nil"/>
            </w:tcBorders>
            <w:vAlign w:val="top"/>
          </w:tcPr>
          <w:p w14:paraId="58F14572">
            <w:pPr>
              <w:spacing w:before="156" w:line="228" w:lineRule="auto"/>
              <w:ind w:left="55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31"/>
                <w:sz w:val="23"/>
                <w:szCs w:val="23"/>
                <w:lang w:eastAsia="zh-CN"/>
              </w:rPr>
              <w:t>（</w:t>
            </w:r>
            <w:r>
              <w:rPr>
                <w:rFonts w:hint="eastAsia" w:asciiTheme="minorEastAsia" w:hAnsiTheme="minorEastAsia" w:eastAsiaTheme="minorEastAsia" w:cstheme="minorEastAsia"/>
                <w:color w:val="auto"/>
                <w:spacing w:val="31"/>
                <w:sz w:val="23"/>
                <w:szCs w:val="23"/>
              </w:rPr>
              <w:t>大写</w:t>
            </w:r>
            <w:r>
              <w:rPr>
                <w:rFonts w:hint="eastAsia" w:asciiTheme="minorEastAsia" w:hAnsiTheme="minorEastAsia" w:eastAsiaTheme="minorEastAsia" w:cstheme="minorEastAsia"/>
                <w:color w:val="auto"/>
                <w:spacing w:val="31"/>
                <w:sz w:val="23"/>
                <w:szCs w:val="23"/>
                <w:lang w:eastAsia="zh-CN"/>
              </w:rPr>
              <w:t>）</w:t>
            </w:r>
          </w:p>
        </w:tc>
      </w:tr>
    </w:tbl>
    <w:p w14:paraId="34C78423">
      <w:pPr>
        <w:keepNext w:val="0"/>
        <w:keepLines w:val="0"/>
        <w:pageBreakBefore w:val="0"/>
        <w:widowControl w:val="0"/>
        <w:kinsoku/>
        <w:wordWrap/>
        <w:overflowPunct/>
        <w:topLinePunct w:val="0"/>
        <w:autoSpaceDE w:val="0"/>
        <w:autoSpaceDN w:val="0"/>
        <w:bidi w:val="0"/>
        <w:adjustRightInd/>
        <w:snapToGrid/>
        <w:spacing w:before="303" w:line="340" w:lineRule="exact"/>
        <w:textAlignment w:val="auto"/>
        <w:rPr>
          <w:rFonts w:hint="eastAsia" w:asciiTheme="minorEastAsia" w:hAnsiTheme="minorEastAsia" w:eastAsiaTheme="minorEastAsia" w:cstheme="minorEastAsia"/>
          <w:color w:val="auto"/>
          <w:spacing w:val="9"/>
          <w:sz w:val="23"/>
          <w:szCs w:val="23"/>
        </w:rPr>
      </w:pPr>
      <w:r>
        <w:rPr>
          <w:rFonts w:hint="eastAsia" w:asciiTheme="minorEastAsia" w:hAnsiTheme="minorEastAsia" w:eastAsiaTheme="minorEastAsia" w:cstheme="minorEastAsia"/>
          <w:color w:val="auto"/>
          <w:spacing w:val="9"/>
          <w:sz w:val="23"/>
          <w:szCs w:val="23"/>
        </w:rPr>
        <w:t>注：① 如果按单价计算的结果与总价不一致，以单价为准修正总价。</w:t>
      </w:r>
    </w:p>
    <w:p w14:paraId="0155B1BC">
      <w:pPr>
        <w:keepNext w:val="0"/>
        <w:keepLines w:val="0"/>
        <w:pageBreakBefore w:val="0"/>
        <w:widowControl w:val="0"/>
        <w:kinsoku/>
        <w:wordWrap/>
        <w:overflowPunct/>
        <w:topLinePunct w:val="0"/>
        <w:autoSpaceDE w:val="0"/>
        <w:autoSpaceDN w:val="0"/>
        <w:bidi w:val="0"/>
        <w:adjustRightInd/>
        <w:snapToGrid/>
        <w:spacing w:before="303" w:line="340" w:lineRule="exact"/>
        <w:ind w:firstLine="496" w:firstLineChars="200"/>
        <w:textAlignment w:val="auto"/>
        <w:rPr>
          <w:rFonts w:hint="default" w:asciiTheme="minorEastAsia" w:hAnsiTheme="minorEastAsia" w:eastAsiaTheme="minorEastAsia" w:cstheme="minorEastAsia"/>
          <w:color w:val="auto"/>
          <w:spacing w:val="9"/>
          <w:sz w:val="23"/>
          <w:szCs w:val="23"/>
          <w:lang w:val="en-US"/>
        </w:rPr>
      </w:pPr>
      <w:r>
        <w:rPr>
          <w:rFonts w:hint="eastAsia" w:asciiTheme="minorEastAsia" w:hAnsiTheme="minorEastAsia" w:eastAsiaTheme="minorEastAsia" w:cstheme="minorEastAsia"/>
          <w:color w:val="auto"/>
          <w:spacing w:val="9"/>
          <w:sz w:val="23"/>
          <w:szCs w:val="23"/>
        </w:rPr>
        <w:t xml:space="preserve">② </w:t>
      </w:r>
      <w:r>
        <w:rPr>
          <w:rFonts w:hint="eastAsia" w:asciiTheme="minorEastAsia" w:hAnsiTheme="minorEastAsia" w:eastAsiaTheme="minorEastAsia" w:cstheme="minorEastAsia"/>
          <w:color w:val="auto"/>
          <w:spacing w:val="9"/>
          <w:sz w:val="23"/>
          <w:szCs w:val="23"/>
          <w:lang w:eastAsia="zh-CN"/>
        </w:rPr>
        <w:t>各分项的报价不得超过各分项最高限价，任一分项小计报价超过对应分项最高限价的，其投标文件视为未实质性响应招标文件，按无效投标处理，分项内容严格按照采购需求填写。</w:t>
      </w:r>
    </w:p>
    <w:p w14:paraId="189A389F">
      <w:pPr>
        <w:keepNext w:val="0"/>
        <w:keepLines w:val="0"/>
        <w:pageBreakBefore w:val="0"/>
        <w:widowControl w:val="0"/>
        <w:shd w:val="clear"/>
        <w:kinsoku/>
        <w:wordWrap/>
        <w:overflowPunct/>
        <w:topLinePunct w:val="0"/>
        <w:autoSpaceDE w:val="0"/>
        <w:autoSpaceDN w:val="0"/>
        <w:bidi w:val="0"/>
        <w:adjustRightInd/>
        <w:snapToGrid/>
        <w:spacing w:before="303" w:line="340" w:lineRule="exact"/>
        <w:ind w:firstLine="496" w:firstLineChars="200"/>
        <w:textAlignment w:val="auto"/>
        <w:rPr>
          <w:rFonts w:hint="eastAsia" w:asciiTheme="minorEastAsia" w:hAnsiTheme="minorEastAsia" w:eastAsiaTheme="minorEastAsia" w:cstheme="minorEastAsia"/>
          <w:color w:val="auto"/>
          <w:spacing w:val="9"/>
          <w:sz w:val="23"/>
          <w:szCs w:val="23"/>
          <w:lang w:eastAsia="zh-CN"/>
        </w:rPr>
      </w:pPr>
      <w:r>
        <w:rPr>
          <w:rFonts w:hint="eastAsia" w:asciiTheme="minorEastAsia" w:hAnsiTheme="minorEastAsia" w:eastAsiaTheme="minorEastAsia" w:cstheme="minorEastAsia"/>
          <w:color w:val="auto"/>
          <w:spacing w:val="9"/>
          <w:sz w:val="23"/>
          <w:szCs w:val="23"/>
          <w:lang w:eastAsia="zh-CN"/>
        </w:rPr>
        <w:t>③ 此报价为 “一价全包”所有费用均为含税价</w:t>
      </w:r>
    </w:p>
    <w:p w14:paraId="5C6B37BE">
      <w:pPr>
        <w:keepNext w:val="0"/>
        <w:keepLines w:val="0"/>
        <w:pageBreakBefore w:val="0"/>
        <w:widowControl w:val="0"/>
        <w:kinsoku/>
        <w:wordWrap/>
        <w:overflowPunct/>
        <w:topLinePunct w:val="0"/>
        <w:autoSpaceDE w:val="0"/>
        <w:autoSpaceDN w:val="0"/>
        <w:bidi w:val="0"/>
        <w:adjustRightInd/>
        <w:snapToGrid/>
        <w:spacing w:before="303" w:line="340" w:lineRule="exact"/>
        <w:ind w:firstLine="496" w:firstLineChars="200"/>
        <w:textAlignment w:val="auto"/>
        <w:rPr>
          <w:rFonts w:hint="eastAsia" w:asciiTheme="minorEastAsia" w:hAnsiTheme="minorEastAsia" w:eastAsiaTheme="minorEastAsia" w:cstheme="minorEastAsia"/>
          <w:color w:val="auto"/>
          <w:spacing w:val="9"/>
          <w:sz w:val="23"/>
          <w:szCs w:val="23"/>
          <w:lang w:eastAsia="zh-CN"/>
        </w:rPr>
      </w:pPr>
    </w:p>
    <w:p w14:paraId="47F3AED3">
      <w:pPr>
        <w:keepNext w:val="0"/>
        <w:keepLines w:val="0"/>
        <w:pageBreakBefore w:val="0"/>
        <w:widowControl w:val="0"/>
        <w:kinsoku/>
        <w:wordWrap/>
        <w:overflowPunct/>
        <w:topLinePunct w:val="0"/>
        <w:autoSpaceDE w:val="0"/>
        <w:autoSpaceDN w:val="0"/>
        <w:bidi w:val="0"/>
        <w:adjustRightInd/>
        <w:snapToGrid/>
        <w:spacing w:line="420" w:lineRule="exact"/>
        <w:textAlignment w:val="auto"/>
        <w:rPr>
          <w:rFonts w:hint="eastAsia" w:asciiTheme="minorEastAsia" w:hAnsiTheme="minorEastAsia" w:eastAsiaTheme="minorEastAsia" w:cstheme="minorEastAsia"/>
          <w:color w:val="auto"/>
          <w:sz w:val="21"/>
        </w:rPr>
      </w:pPr>
    </w:p>
    <w:p w14:paraId="48DEA850">
      <w:pPr>
        <w:spacing w:line="319" w:lineRule="auto"/>
        <w:rPr>
          <w:rFonts w:hint="eastAsia" w:asciiTheme="minorEastAsia" w:hAnsiTheme="minorEastAsia" w:eastAsiaTheme="minorEastAsia" w:cstheme="minorEastAsia"/>
          <w:color w:val="auto"/>
          <w:sz w:val="21"/>
        </w:rPr>
      </w:pPr>
    </w:p>
    <w:p w14:paraId="18E9DFB4">
      <w:pPr>
        <w:spacing w:line="320" w:lineRule="auto"/>
        <w:rPr>
          <w:rFonts w:hint="eastAsia" w:asciiTheme="minorEastAsia" w:hAnsiTheme="minorEastAsia" w:eastAsiaTheme="minorEastAsia" w:cstheme="minorEastAsia"/>
          <w:color w:val="auto"/>
          <w:sz w:val="21"/>
        </w:rPr>
      </w:pPr>
    </w:p>
    <w:p w14:paraId="75037849">
      <w:pPr>
        <w:spacing w:before="75" w:line="227" w:lineRule="auto"/>
        <w:ind w:left="58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0"/>
          <w:sz w:val="23"/>
          <w:szCs w:val="23"/>
        </w:rPr>
        <w:t>供</w:t>
      </w:r>
      <w:r>
        <w:rPr>
          <w:rFonts w:hint="eastAsia" w:asciiTheme="minorEastAsia" w:hAnsiTheme="minorEastAsia" w:eastAsiaTheme="minorEastAsia" w:cstheme="minorEastAsia"/>
          <w:color w:val="auto"/>
          <w:spacing w:val="-6"/>
          <w:sz w:val="23"/>
          <w:szCs w:val="23"/>
        </w:rPr>
        <w:t>应</w:t>
      </w:r>
      <w:r>
        <w:rPr>
          <w:rFonts w:hint="eastAsia" w:asciiTheme="minorEastAsia" w:hAnsiTheme="minorEastAsia" w:eastAsiaTheme="minorEastAsia" w:cstheme="minorEastAsia"/>
          <w:color w:val="auto"/>
          <w:spacing w:val="-5"/>
          <w:sz w:val="23"/>
          <w:szCs w:val="23"/>
        </w:rPr>
        <w:t>商 ：</w:t>
      </w:r>
      <w:r>
        <w:rPr>
          <w:rFonts w:hint="eastAsia" w:asciiTheme="minorEastAsia" w:hAnsiTheme="minorEastAsia" w:eastAsiaTheme="minorEastAsia" w:cstheme="minorEastAsia"/>
          <w:color w:val="auto"/>
          <w:spacing w:val="-5"/>
          <w:sz w:val="23"/>
          <w:szCs w:val="23"/>
          <w:lang w:eastAsia="zh-CN"/>
        </w:rPr>
        <w:t>（</w:t>
      </w:r>
      <w:r>
        <w:rPr>
          <w:rFonts w:hint="eastAsia" w:asciiTheme="minorEastAsia" w:hAnsiTheme="minorEastAsia" w:eastAsiaTheme="minorEastAsia" w:cstheme="minorEastAsia"/>
          <w:color w:val="auto"/>
          <w:spacing w:val="-5"/>
          <w:sz w:val="23"/>
          <w:szCs w:val="23"/>
        </w:rPr>
        <w:t>盖章</w:t>
      </w:r>
      <w:r>
        <w:rPr>
          <w:rFonts w:hint="eastAsia" w:asciiTheme="minorEastAsia" w:hAnsiTheme="minorEastAsia" w:eastAsiaTheme="minorEastAsia" w:cstheme="minorEastAsia"/>
          <w:color w:val="auto"/>
          <w:spacing w:val="-5"/>
          <w:sz w:val="23"/>
          <w:szCs w:val="23"/>
          <w:lang w:eastAsia="zh-CN"/>
        </w:rPr>
        <w:t>）</w:t>
      </w:r>
      <w:r>
        <w:rPr>
          <w:rFonts w:hint="eastAsia" w:asciiTheme="minorEastAsia" w:hAnsiTheme="minorEastAsia" w:eastAsiaTheme="minorEastAsia" w:cstheme="minorEastAsia"/>
          <w:color w:val="auto"/>
          <w:sz w:val="23"/>
          <w:szCs w:val="23"/>
          <w:u w:val="single" w:color="auto"/>
        </w:rPr>
        <w:t xml:space="preserve">                          </w:t>
      </w:r>
    </w:p>
    <w:p w14:paraId="36254E64">
      <w:pPr>
        <w:spacing w:line="258" w:lineRule="auto"/>
        <w:rPr>
          <w:rFonts w:hint="eastAsia" w:asciiTheme="minorEastAsia" w:hAnsiTheme="minorEastAsia" w:eastAsiaTheme="minorEastAsia" w:cstheme="minorEastAsia"/>
          <w:color w:val="auto"/>
          <w:sz w:val="21"/>
        </w:rPr>
      </w:pPr>
    </w:p>
    <w:p w14:paraId="3626EB4D">
      <w:pPr>
        <w:spacing w:line="259" w:lineRule="auto"/>
        <w:rPr>
          <w:rFonts w:hint="eastAsia" w:asciiTheme="minorEastAsia" w:hAnsiTheme="minorEastAsia" w:eastAsiaTheme="minorEastAsia" w:cstheme="minorEastAsia"/>
          <w:color w:val="auto"/>
          <w:sz w:val="21"/>
        </w:rPr>
      </w:pPr>
    </w:p>
    <w:p w14:paraId="6B101ECF">
      <w:pPr>
        <w:spacing w:before="75" w:line="224" w:lineRule="auto"/>
        <w:ind w:left="58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法</w:t>
      </w:r>
      <w:r>
        <w:rPr>
          <w:rFonts w:hint="eastAsia" w:asciiTheme="minorEastAsia" w:hAnsiTheme="minorEastAsia" w:eastAsiaTheme="minorEastAsia" w:cstheme="minorEastAsia"/>
          <w:color w:val="auto"/>
          <w:spacing w:val="8"/>
          <w:sz w:val="23"/>
          <w:szCs w:val="23"/>
        </w:rPr>
        <w:t xml:space="preserve">定代表人或委托代理人 </w:t>
      </w:r>
      <w:r>
        <w:rPr>
          <w:rFonts w:hint="eastAsia" w:asciiTheme="minorEastAsia" w:hAnsiTheme="minorEastAsia" w:eastAsiaTheme="minorEastAsia" w:cstheme="minorEastAsia"/>
          <w:color w:val="auto"/>
          <w:spacing w:val="8"/>
          <w:sz w:val="23"/>
          <w:szCs w:val="23"/>
          <w:lang w:eastAsia="zh-CN"/>
        </w:rPr>
        <w:t>（</w:t>
      </w:r>
      <w:r>
        <w:rPr>
          <w:rFonts w:hint="eastAsia" w:asciiTheme="minorEastAsia" w:hAnsiTheme="minorEastAsia" w:eastAsiaTheme="minorEastAsia" w:cstheme="minorEastAsia"/>
          <w:color w:val="auto"/>
          <w:spacing w:val="8"/>
          <w:sz w:val="23"/>
          <w:szCs w:val="23"/>
        </w:rPr>
        <w:t>签字或盖章</w:t>
      </w:r>
      <w:r>
        <w:rPr>
          <w:rFonts w:hint="eastAsia" w:asciiTheme="minorEastAsia" w:hAnsiTheme="minorEastAsia" w:eastAsiaTheme="minorEastAsia" w:cstheme="minorEastAsia"/>
          <w:color w:val="auto"/>
          <w:spacing w:val="8"/>
          <w:sz w:val="23"/>
          <w:szCs w:val="23"/>
          <w:lang w:eastAsia="zh-CN"/>
        </w:rPr>
        <w:t>）</w:t>
      </w:r>
      <w:r>
        <w:rPr>
          <w:rFonts w:hint="eastAsia" w:asciiTheme="minorEastAsia" w:hAnsiTheme="minorEastAsia" w:eastAsiaTheme="minorEastAsia" w:cstheme="minorEastAsia"/>
          <w:color w:val="auto"/>
          <w:spacing w:val="8"/>
          <w:sz w:val="23"/>
          <w:szCs w:val="23"/>
        </w:rPr>
        <w:t xml:space="preserve"> ：</w:t>
      </w:r>
      <w:r>
        <w:rPr>
          <w:rFonts w:hint="eastAsia" w:asciiTheme="minorEastAsia" w:hAnsiTheme="minorEastAsia" w:eastAsiaTheme="minorEastAsia" w:cstheme="minorEastAsia"/>
          <w:color w:val="auto"/>
          <w:sz w:val="23"/>
          <w:szCs w:val="23"/>
          <w:u w:val="single" w:color="auto"/>
        </w:rPr>
        <w:t xml:space="preserve">                </w:t>
      </w:r>
    </w:p>
    <w:p w14:paraId="7C96191B">
      <w:pPr>
        <w:spacing w:line="262" w:lineRule="auto"/>
        <w:rPr>
          <w:rFonts w:hint="eastAsia" w:asciiTheme="minorEastAsia" w:hAnsiTheme="minorEastAsia" w:eastAsiaTheme="minorEastAsia" w:cstheme="minorEastAsia"/>
          <w:color w:val="auto"/>
          <w:sz w:val="21"/>
        </w:rPr>
      </w:pPr>
    </w:p>
    <w:p w14:paraId="40807626">
      <w:pPr>
        <w:spacing w:line="262" w:lineRule="auto"/>
        <w:rPr>
          <w:rFonts w:hint="eastAsia" w:asciiTheme="minorEastAsia" w:hAnsiTheme="minorEastAsia" w:eastAsiaTheme="minorEastAsia" w:cstheme="minorEastAsia"/>
          <w:color w:val="auto"/>
          <w:sz w:val="21"/>
        </w:rPr>
      </w:pPr>
    </w:p>
    <w:p w14:paraId="637B2599">
      <w:pPr>
        <w:spacing w:before="75" w:line="227" w:lineRule="auto"/>
        <w:ind w:right="294"/>
        <w:jc w:val="right"/>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
          <w:sz w:val="23"/>
          <w:szCs w:val="23"/>
        </w:rPr>
        <w:t>日</w:t>
      </w:r>
      <w:r>
        <w:rPr>
          <w:rFonts w:hint="eastAsia" w:asciiTheme="minorEastAsia" w:hAnsiTheme="minorEastAsia" w:eastAsiaTheme="minorEastAsia" w:cstheme="minorEastAsia"/>
          <w:color w:val="auto"/>
          <w:sz w:val="23"/>
          <w:szCs w:val="23"/>
        </w:rPr>
        <w:t>期：      年    月    日</w:t>
      </w:r>
    </w:p>
    <w:p w14:paraId="52DE3E98">
      <w:pPr>
        <w:rPr>
          <w:rFonts w:hint="eastAsia" w:asciiTheme="minorEastAsia" w:hAnsiTheme="minorEastAsia" w:eastAsiaTheme="minorEastAsia" w:cstheme="minorEastAsia"/>
          <w:color w:val="auto"/>
        </w:rPr>
        <w:sectPr>
          <w:footerReference r:id="rId14" w:type="default"/>
          <w:pgSz w:w="11906" w:h="16839"/>
          <w:pgMar w:top="1440" w:right="1080" w:bottom="1440" w:left="1080" w:header="0" w:footer="567" w:gutter="0"/>
          <w:pgNumType w:fmt="decimal"/>
          <w:cols w:space="720" w:num="1"/>
        </w:sectPr>
      </w:pPr>
    </w:p>
    <w:p w14:paraId="02039D03">
      <w:pPr>
        <w:spacing w:before="163" w:line="223" w:lineRule="auto"/>
        <w:ind w:left="3334"/>
        <w:rPr>
          <w:rFonts w:hint="eastAsia" w:asciiTheme="minorEastAsia" w:hAnsiTheme="minorEastAsia" w:eastAsiaTheme="minorEastAsia" w:cstheme="minorEastAsia"/>
          <w:b/>
          <w:bCs/>
          <w:color w:val="auto"/>
          <w:sz w:val="28"/>
          <w:szCs w:val="28"/>
          <w:lang w:val="zh-CN" w:eastAsia="zh-CN" w:bidi="zh-CN"/>
        </w:rPr>
      </w:pPr>
      <w:r>
        <w:rPr>
          <w:rFonts w:hint="eastAsia" w:asciiTheme="minorEastAsia" w:hAnsiTheme="minorEastAsia" w:eastAsiaTheme="minorEastAsia" w:cstheme="minorEastAsia"/>
          <w:b/>
          <w:bCs/>
          <w:color w:val="auto"/>
          <w:sz w:val="28"/>
          <w:szCs w:val="28"/>
          <w:lang w:val="zh-CN" w:eastAsia="zh-CN" w:bidi="zh-CN"/>
        </w:rPr>
        <w:t>（二） 技术响应一览表</w:t>
      </w:r>
    </w:p>
    <w:p w14:paraId="1DA31569">
      <w:pPr>
        <w:rPr>
          <w:rFonts w:hint="eastAsia" w:asciiTheme="minorEastAsia" w:hAnsiTheme="minorEastAsia" w:eastAsiaTheme="minorEastAsia" w:cstheme="minorEastAsia"/>
          <w:color w:val="auto"/>
        </w:rPr>
      </w:pPr>
    </w:p>
    <w:p w14:paraId="68653A60">
      <w:pPr>
        <w:spacing w:line="99" w:lineRule="auto"/>
        <w:rPr>
          <w:rFonts w:hint="eastAsia" w:asciiTheme="minorEastAsia" w:hAnsiTheme="minorEastAsia" w:eastAsiaTheme="minorEastAsia" w:cstheme="minorEastAsia"/>
          <w:color w:val="auto"/>
          <w:sz w:val="2"/>
        </w:rPr>
      </w:pPr>
    </w:p>
    <w:tbl>
      <w:tblPr>
        <w:tblStyle w:val="33"/>
        <w:tblW w:w="93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1638"/>
        <w:gridCol w:w="2923"/>
        <w:gridCol w:w="1814"/>
        <w:gridCol w:w="2002"/>
      </w:tblGrid>
      <w:tr w14:paraId="57105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940" w:type="dxa"/>
            <w:vAlign w:val="top"/>
          </w:tcPr>
          <w:p w14:paraId="61612011">
            <w:pPr>
              <w:spacing w:before="77" w:line="229" w:lineRule="auto"/>
              <w:ind w:left="147"/>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序</w:t>
            </w:r>
            <w:r>
              <w:rPr>
                <w:rFonts w:hint="eastAsia" w:asciiTheme="minorEastAsia" w:hAnsiTheme="minorEastAsia" w:eastAsiaTheme="minorEastAsia" w:cstheme="minorEastAsia"/>
                <w:color w:val="auto"/>
                <w:spacing w:val="5"/>
                <w:sz w:val="23"/>
                <w:szCs w:val="23"/>
              </w:rPr>
              <w:t>号</w:t>
            </w:r>
          </w:p>
        </w:tc>
        <w:tc>
          <w:tcPr>
            <w:tcW w:w="1638" w:type="dxa"/>
            <w:tcBorders>
              <w:right w:val="single" w:color="auto" w:sz="4" w:space="0"/>
            </w:tcBorders>
            <w:vAlign w:val="center"/>
          </w:tcPr>
          <w:p w14:paraId="11225AA3">
            <w:pPr>
              <w:spacing w:before="77" w:line="230" w:lineRule="auto"/>
              <w:jc w:val="both"/>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z w:val="23"/>
                <w:szCs w:val="23"/>
                <w:lang w:eastAsia="zh-CN"/>
              </w:rPr>
              <w:t>货物名称</w:t>
            </w:r>
          </w:p>
        </w:tc>
        <w:tc>
          <w:tcPr>
            <w:tcW w:w="2923" w:type="dxa"/>
            <w:tcBorders>
              <w:left w:val="single" w:color="auto" w:sz="4" w:space="0"/>
              <w:right w:val="single" w:color="auto" w:sz="4" w:space="0"/>
            </w:tcBorders>
            <w:vAlign w:val="center"/>
          </w:tcPr>
          <w:p w14:paraId="273D3094">
            <w:pPr>
              <w:spacing w:before="77" w:line="230" w:lineRule="auto"/>
              <w:jc w:val="both"/>
              <w:rPr>
                <w:rFonts w:hint="default" w:asciiTheme="minorEastAsia" w:hAnsiTheme="minorEastAsia" w:eastAsiaTheme="minorEastAsia" w:cstheme="minorEastAsia"/>
                <w:color w:val="auto"/>
                <w:spacing w:val="4"/>
                <w:sz w:val="23"/>
                <w:szCs w:val="23"/>
                <w:lang w:val="en-US" w:eastAsia="zh-CN"/>
              </w:rPr>
            </w:pPr>
            <w:r>
              <w:rPr>
                <w:rFonts w:hint="eastAsia" w:asciiTheme="minorEastAsia" w:hAnsiTheme="minorEastAsia" w:eastAsiaTheme="minorEastAsia" w:cstheme="minorEastAsia"/>
                <w:color w:val="auto"/>
                <w:spacing w:val="4"/>
                <w:sz w:val="23"/>
                <w:szCs w:val="23"/>
                <w:lang w:val="en-US" w:eastAsia="zh-CN"/>
              </w:rPr>
              <w:t xml:space="preserve"> 谈判文件技术指标要求</w:t>
            </w:r>
          </w:p>
        </w:tc>
        <w:tc>
          <w:tcPr>
            <w:tcW w:w="1814" w:type="dxa"/>
            <w:tcBorders>
              <w:left w:val="single" w:color="auto" w:sz="4" w:space="0"/>
            </w:tcBorders>
            <w:vAlign w:val="center"/>
          </w:tcPr>
          <w:p w14:paraId="08B5AE77">
            <w:pPr>
              <w:spacing w:before="77" w:line="230" w:lineRule="auto"/>
              <w:jc w:val="both"/>
              <w:rPr>
                <w:rFonts w:hint="eastAsia" w:asciiTheme="minorEastAsia" w:hAnsiTheme="minorEastAsia" w:eastAsiaTheme="minorEastAsia" w:cstheme="minorEastAsia"/>
                <w:color w:val="auto"/>
                <w:spacing w:val="4"/>
                <w:sz w:val="23"/>
                <w:szCs w:val="23"/>
                <w:lang w:eastAsia="zh-CN"/>
              </w:rPr>
            </w:pPr>
            <w:r>
              <w:rPr>
                <w:rFonts w:hint="eastAsia" w:asciiTheme="minorEastAsia" w:hAnsiTheme="minorEastAsia" w:eastAsiaTheme="minorEastAsia" w:cstheme="minorEastAsia"/>
                <w:color w:val="auto"/>
                <w:spacing w:val="5"/>
                <w:sz w:val="23"/>
                <w:szCs w:val="23"/>
                <w:lang w:val="en-US" w:eastAsia="zh-CN"/>
              </w:rPr>
              <w:t xml:space="preserve"> 供应商响应要求</w:t>
            </w:r>
          </w:p>
        </w:tc>
        <w:tc>
          <w:tcPr>
            <w:tcW w:w="2002" w:type="dxa"/>
            <w:vAlign w:val="center"/>
          </w:tcPr>
          <w:p w14:paraId="39887666">
            <w:pPr>
              <w:spacing w:before="77" w:line="226" w:lineRule="auto"/>
              <w:ind w:left="72"/>
              <w:jc w:val="center"/>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z w:val="23"/>
                <w:szCs w:val="23"/>
                <w:lang w:eastAsia="zh-CN"/>
              </w:rPr>
              <w:t>备注</w:t>
            </w:r>
          </w:p>
        </w:tc>
      </w:tr>
      <w:tr w14:paraId="38500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0" w:type="dxa"/>
            <w:vAlign w:val="top"/>
          </w:tcPr>
          <w:p w14:paraId="2AFD686A">
            <w:pPr>
              <w:spacing w:before="118" w:line="192" w:lineRule="auto"/>
              <w:ind w:left="34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1</w:t>
            </w:r>
          </w:p>
        </w:tc>
        <w:tc>
          <w:tcPr>
            <w:tcW w:w="1638" w:type="dxa"/>
            <w:tcBorders>
              <w:right w:val="single" w:color="auto" w:sz="4" w:space="0"/>
            </w:tcBorders>
            <w:vAlign w:val="top"/>
          </w:tcPr>
          <w:p w14:paraId="29129266">
            <w:pPr>
              <w:rPr>
                <w:rFonts w:hint="eastAsia" w:asciiTheme="minorEastAsia" w:hAnsiTheme="minorEastAsia" w:eastAsiaTheme="minorEastAsia" w:cstheme="minorEastAsia"/>
                <w:color w:val="auto"/>
                <w:sz w:val="21"/>
              </w:rPr>
            </w:pPr>
          </w:p>
        </w:tc>
        <w:tc>
          <w:tcPr>
            <w:tcW w:w="2923" w:type="dxa"/>
            <w:tcBorders>
              <w:left w:val="single" w:color="auto" w:sz="4" w:space="0"/>
              <w:right w:val="single" w:color="auto" w:sz="4" w:space="0"/>
            </w:tcBorders>
            <w:vAlign w:val="top"/>
          </w:tcPr>
          <w:p w14:paraId="14444067">
            <w:pPr>
              <w:rPr>
                <w:rFonts w:hint="eastAsia" w:asciiTheme="minorEastAsia" w:hAnsiTheme="minorEastAsia" w:eastAsiaTheme="minorEastAsia" w:cstheme="minorEastAsia"/>
                <w:color w:val="auto"/>
                <w:sz w:val="21"/>
              </w:rPr>
            </w:pPr>
          </w:p>
        </w:tc>
        <w:tc>
          <w:tcPr>
            <w:tcW w:w="1814" w:type="dxa"/>
            <w:tcBorders>
              <w:left w:val="single" w:color="auto" w:sz="4" w:space="0"/>
            </w:tcBorders>
            <w:vAlign w:val="top"/>
          </w:tcPr>
          <w:p w14:paraId="37D183AA">
            <w:pPr>
              <w:rPr>
                <w:rFonts w:hint="eastAsia" w:asciiTheme="minorEastAsia" w:hAnsiTheme="minorEastAsia" w:eastAsiaTheme="minorEastAsia" w:cstheme="minorEastAsia"/>
                <w:color w:val="auto"/>
                <w:sz w:val="21"/>
              </w:rPr>
            </w:pPr>
          </w:p>
        </w:tc>
        <w:tc>
          <w:tcPr>
            <w:tcW w:w="2002" w:type="dxa"/>
            <w:vAlign w:val="top"/>
          </w:tcPr>
          <w:p w14:paraId="32769C97">
            <w:pPr>
              <w:rPr>
                <w:rFonts w:hint="eastAsia" w:asciiTheme="minorEastAsia" w:hAnsiTheme="minorEastAsia" w:eastAsiaTheme="minorEastAsia" w:cstheme="minorEastAsia"/>
                <w:color w:val="auto"/>
                <w:sz w:val="21"/>
              </w:rPr>
            </w:pPr>
          </w:p>
        </w:tc>
      </w:tr>
      <w:tr w14:paraId="65AB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40" w:type="dxa"/>
            <w:vAlign w:val="top"/>
          </w:tcPr>
          <w:p w14:paraId="3DF1B24B">
            <w:pPr>
              <w:spacing w:before="120" w:line="192" w:lineRule="auto"/>
              <w:ind w:left="3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2</w:t>
            </w:r>
          </w:p>
        </w:tc>
        <w:tc>
          <w:tcPr>
            <w:tcW w:w="1638" w:type="dxa"/>
            <w:tcBorders>
              <w:right w:val="single" w:color="auto" w:sz="4" w:space="0"/>
            </w:tcBorders>
            <w:vAlign w:val="top"/>
          </w:tcPr>
          <w:p w14:paraId="2CE85EC9">
            <w:pPr>
              <w:rPr>
                <w:rFonts w:hint="eastAsia" w:asciiTheme="minorEastAsia" w:hAnsiTheme="minorEastAsia" w:eastAsiaTheme="minorEastAsia" w:cstheme="minorEastAsia"/>
                <w:color w:val="auto"/>
                <w:sz w:val="21"/>
                <w:lang w:val="en-US" w:eastAsia="zh-CN"/>
              </w:rPr>
            </w:pPr>
          </w:p>
        </w:tc>
        <w:tc>
          <w:tcPr>
            <w:tcW w:w="2923" w:type="dxa"/>
            <w:tcBorders>
              <w:left w:val="single" w:color="auto" w:sz="4" w:space="0"/>
              <w:right w:val="single" w:color="auto" w:sz="4" w:space="0"/>
            </w:tcBorders>
            <w:vAlign w:val="top"/>
          </w:tcPr>
          <w:p w14:paraId="447DDAC2">
            <w:pPr>
              <w:rPr>
                <w:rFonts w:hint="eastAsia" w:asciiTheme="minorEastAsia" w:hAnsiTheme="minorEastAsia" w:eastAsiaTheme="minorEastAsia" w:cstheme="minorEastAsia"/>
                <w:color w:val="auto"/>
                <w:sz w:val="21"/>
                <w:lang w:val="en-US" w:eastAsia="zh-CN"/>
              </w:rPr>
            </w:pPr>
          </w:p>
        </w:tc>
        <w:tc>
          <w:tcPr>
            <w:tcW w:w="1814" w:type="dxa"/>
            <w:tcBorders>
              <w:left w:val="single" w:color="auto" w:sz="4" w:space="0"/>
            </w:tcBorders>
            <w:vAlign w:val="top"/>
          </w:tcPr>
          <w:p w14:paraId="3570D6CB">
            <w:pPr>
              <w:rPr>
                <w:rFonts w:hint="eastAsia" w:asciiTheme="minorEastAsia" w:hAnsiTheme="minorEastAsia" w:eastAsiaTheme="minorEastAsia" w:cstheme="minorEastAsia"/>
                <w:color w:val="auto"/>
                <w:sz w:val="21"/>
                <w:lang w:val="en-US" w:eastAsia="zh-CN"/>
              </w:rPr>
            </w:pPr>
          </w:p>
        </w:tc>
        <w:tc>
          <w:tcPr>
            <w:tcW w:w="2002" w:type="dxa"/>
            <w:vAlign w:val="top"/>
          </w:tcPr>
          <w:p w14:paraId="215ACFA9">
            <w:pPr>
              <w:rPr>
                <w:rFonts w:hint="eastAsia" w:asciiTheme="minorEastAsia" w:hAnsiTheme="minorEastAsia" w:eastAsiaTheme="minorEastAsia" w:cstheme="minorEastAsia"/>
                <w:color w:val="auto"/>
                <w:sz w:val="21"/>
              </w:rPr>
            </w:pPr>
          </w:p>
        </w:tc>
      </w:tr>
      <w:tr w14:paraId="7449F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40" w:type="dxa"/>
            <w:vAlign w:val="top"/>
          </w:tcPr>
          <w:p w14:paraId="225A0432">
            <w:pPr>
              <w:spacing w:before="119" w:line="190" w:lineRule="auto"/>
              <w:ind w:left="332"/>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3</w:t>
            </w:r>
          </w:p>
        </w:tc>
        <w:tc>
          <w:tcPr>
            <w:tcW w:w="1638" w:type="dxa"/>
            <w:tcBorders>
              <w:right w:val="single" w:color="auto" w:sz="4" w:space="0"/>
            </w:tcBorders>
            <w:vAlign w:val="top"/>
          </w:tcPr>
          <w:p w14:paraId="5C77D044">
            <w:pPr>
              <w:rPr>
                <w:rFonts w:hint="eastAsia" w:asciiTheme="minorEastAsia" w:hAnsiTheme="minorEastAsia" w:eastAsiaTheme="minorEastAsia" w:cstheme="minorEastAsia"/>
                <w:color w:val="auto"/>
                <w:sz w:val="21"/>
              </w:rPr>
            </w:pPr>
          </w:p>
        </w:tc>
        <w:tc>
          <w:tcPr>
            <w:tcW w:w="2923" w:type="dxa"/>
            <w:tcBorders>
              <w:left w:val="single" w:color="auto" w:sz="4" w:space="0"/>
              <w:right w:val="single" w:color="auto" w:sz="4" w:space="0"/>
            </w:tcBorders>
            <w:vAlign w:val="top"/>
          </w:tcPr>
          <w:p w14:paraId="1B9546A4">
            <w:pPr>
              <w:rPr>
                <w:rFonts w:hint="eastAsia" w:asciiTheme="minorEastAsia" w:hAnsiTheme="minorEastAsia" w:eastAsiaTheme="minorEastAsia" w:cstheme="minorEastAsia"/>
                <w:color w:val="auto"/>
                <w:sz w:val="21"/>
              </w:rPr>
            </w:pPr>
          </w:p>
        </w:tc>
        <w:tc>
          <w:tcPr>
            <w:tcW w:w="1814" w:type="dxa"/>
            <w:tcBorders>
              <w:left w:val="single" w:color="auto" w:sz="4" w:space="0"/>
            </w:tcBorders>
            <w:vAlign w:val="top"/>
          </w:tcPr>
          <w:p w14:paraId="2B5D60FC">
            <w:pPr>
              <w:rPr>
                <w:rFonts w:hint="eastAsia" w:asciiTheme="minorEastAsia" w:hAnsiTheme="minorEastAsia" w:eastAsiaTheme="minorEastAsia" w:cstheme="minorEastAsia"/>
                <w:color w:val="auto"/>
                <w:sz w:val="21"/>
              </w:rPr>
            </w:pPr>
          </w:p>
        </w:tc>
        <w:tc>
          <w:tcPr>
            <w:tcW w:w="2002" w:type="dxa"/>
            <w:vAlign w:val="top"/>
          </w:tcPr>
          <w:p w14:paraId="35C21642">
            <w:pPr>
              <w:rPr>
                <w:rFonts w:hint="eastAsia" w:asciiTheme="minorEastAsia" w:hAnsiTheme="minorEastAsia" w:eastAsiaTheme="minorEastAsia" w:cstheme="minorEastAsia"/>
                <w:color w:val="auto"/>
                <w:sz w:val="21"/>
              </w:rPr>
            </w:pPr>
          </w:p>
        </w:tc>
      </w:tr>
      <w:tr w14:paraId="5BBF1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0" w:type="dxa"/>
            <w:vAlign w:val="top"/>
          </w:tcPr>
          <w:p w14:paraId="6D8A3895">
            <w:pPr>
              <w:spacing w:before="120" w:line="192" w:lineRule="auto"/>
              <w:ind w:left="327"/>
              <w:rPr>
                <w:rFonts w:hint="eastAsia" w:asciiTheme="minorEastAsia" w:hAnsiTheme="minorEastAsia" w:eastAsiaTheme="minorEastAsia" w:cstheme="minorEastAsia"/>
                <w:color w:val="auto"/>
                <w:sz w:val="23"/>
                <w:szCs w:val="23"/>
              </w:rPr>
            </w:pPr>
          </w:p>
        </w:tc>
        <w:tc>
          <w:tcPr>
            <w:tcW w:w="1638" w:type="dxa"/>
            <w:tcBorders>
              <w:right w:val="single" w:color="auto" w:sz="4" w:space="0"/>
            </w:tcBorders>
            <w:vAlign w:val="top"/>
          </w:tcPr>
          <w:p w14:paraId="2084835E">
            <w:pPr>
              <w:rPr>
                <w:rFonts w:hint="eastAsia" w:asciiTheme="minorEastAsia" w:hAnsiTheme="minorEastAsia" w:eastAsiaTheme="minorEastAsia" w:cstheme="minorEastAsia"/>
                <w:color w:val="auto"/>
                <w:sz w:val="21"/>
              </w:rPr>
            </w:pPr>
          </w:p>
        </w:tc>
        <w:tc>
          <w:tcPr>
            <w:tcW w:w="2923" w:type="dxa"/>
            <w:tcBorders>
              <w:left w:val="single" w:color="auto" w:sz="4" w:space="0"/>
              <w:right w:val="single" w:color="auto" w:sz="4" w:space="0"/>
            </w:tcBorders>
            <w:vAlign w:val="top"/>
          </w:tcPr>
          <w:p w14:paraId="71CF067B">
            <w:pPr>
              <w:rPr>
                <w:rFonts w:hint="eastAsia" w:asciiTheme="minorEastAsia" w:hAnsiTheme="minorEastAsia" w:eastAsiaTheme="minorEastAsia" w:cstheme="minorEastAsia"/>
                <w:color w:val="auto"/>
                <w:sz w:val="21"/>
              </w:rPr>
            </w:pPr>
          </w:p>
        </w:tc>
        <w:tc>
          <w:tcPr>
            <w:tcW w:w="1814" w:type="dxa"/>
            <w:tcBorders>
              <w:left w:val="single" w:color="auto" w:sz="4" w:space="0"/>
            </w:tcBorders>
            <w:vAlign w:val="top"/>
          </w:tcPr>
          <w:p w14:paraId="6C6028DC">
            <w:pPr>
              <w:rPr>
                <w:rFonts w:hint="eastAsia" w:asciiTheme="minorEastAsia" w:hAnsiTheme="minorEastAsia" w:eastAsiaTheme="minorEastAsia" w:cstheme="minorEastAsia"/>
                <w:color w:val="auto"/>
                <w:sz w:val="21"/>
              </w:rPr>
            </w:pPr>
          </w:p>
        </w:tc>
        <w:tc>
          <w:tcPr>
            <w:tcW w:w="2002" w:type="dxa"/>
            <w:vAlign w:val="top"/>
          </w:tcPr>
          <w:p w14:paraId="69E94F46">
            <w:pPr>
              <w:rPr>
                <w:rFonts w:hint="eastAsia" w:asciiTheme="minorEastAsia" w:hAnsiTheme="minorEastAsia" w:eastAsiaTheme="minorEastAsia" w:cstheme="minorEastAsia"/>
                <w:color w:val="auto"/>
                <w:sz w:val="21"/>
              </w:rPr>
            </w:pPr>
          </w:p>
        </w:tc>
      </w:tr>
      <w:tr w14:paraId="07799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40" w:type="dxa"/>
            <w:vAlign w:val="top"/>
          </w:tcPr>
          <w:p w14:paraId="391F9142">
            <w:pPr>
              <w:rPr>
                <w:rFonts w:hint="eastAsia" w:asciiTheme="minorEastAsia" w:hAnsiTheme="minorEastAsia" w:eastAsiaTheme="minorEastAsia" w:cstheme="minorEastAsia"/>
                <w:color w:val="auto"/>
                <w:sz w:val="21"/>
              </w:rPr>
            </w:pPr>
          </w:p>
        </w:tc>
        <w:tc>
          <w:tcPr>
            <w:tcW w:w="1638" w:type="dxa"/>
            <w:tcBorders>
              <w:right w:val="single" w:color="auto" w:sz="4" w:space="0"/>
            </w:tcBorders>
            <w:vAlign w:val="top"/>
          </w:tcPr>
          <w:p w14:paraId="3CDEAD58">
            <w:pPr>
              <w:rPr>
                <w:rFonts w:hint="eastAsia" w:asciiTheme="minorEastAsia" w:hAnsiTheme="minorEastAsia" w:eastAsiaTheme="minorEastAsia" w:cstheme="minorEastAsia"/>
                <w:color w:val="auto"/>
                <w:sz w:val="21"/>
              </w:rPr>
            </w:pPr>
          </w:p>
        </w:tc>
        <w:tc>
          <w:tcPr>
            <w:tcW w:w="2923" w:type="dxa"/>
            <w:tcBorders>
              <w:left w:val="single" w:color="auto" w:sz="4" w:space="0"/>
              <w:right w:val="single" w:color="auto" w:sz="4" w:space="0"/>
            </w:tcBorders>
            <w:vAlign w:val="top"/>
          </w:tcPr>
          <w:p w14:paraId="1214EAE6">
            <w:pPr>
              <w:rPr>
                <w:rFonts w:hint="eastAsia" w:asciiTheme="minorEastAsia" w:hAnsiTheme="minorEastAsia" w:eastAsiaTheme="minorEastAsia" w:cstheme="minorEastAsia"/>
                <w:color w:val="auto"/>
                <w:sz w:val="21"/>
              </w:rPr>
            </w:pPr>
          </w:p>
        </w:tc>
        <w:tc>
          <w:tcPr>
            <w:tcW w:w="1814" w:type="dxa"/>
            <w:tcBorders>
              <w:left w:val="single" w:color="auto" w:sz="4" w:space="0"/>
            </w:tcBorders>
            <w:vAlign w:val="top"/>
          </w:tcPr>
          <w:p w14:paraId="39D07ED7">
            <w:pPr>
              <w:rPr>
                <w:rFonts w:hint="eastAsia" w:asciiTheme="minorEastAsia" w:hAnsiTheme="minorEastAsia" w:eastAsiaTheme="minorEastAsia" w:cstheme="minorEastAsia"/>
                <w:color w:val="auto"/>
                <w:sz w:val="21"/>
              </w:rPr>
            </w:pPr>
          </w:p>
        </w:tc>
        <w:tc>
          <w:tcPr>
            <w:tcW w:w="2002" w:type="dxa"/>
            <w:vAlign w:val="top"/>
          </w:tcPr>
          <w:p w14:paraId="0DA7E023">
            <w:pPr>
              <w:rPr>
                <w:rFonts w:hint="eastAsia" w:asciiTheme="minorEastAsia" w:hAnsiTheme="minorEastAsia" w:eastAsiaTheme="minorEastAsia" w:cstheme="minorEastAsia"/>
                <w:color w:val="auto"/>
                <w:sz w:val="21"/>
              </w:rPr>
            </w:pPr>
          </w:p>
        </w:tc>
      </w:tr>
      <w:tr w14:paraId="44E5F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7" w:hRule="atLeast"/>
        </w:trPr>
        <w:tc>
          <w:tcPr>
            <w:tcW w:w="940" w:type="dxa"/>
            <w:vAlign w:val="top"/>
          </w:tcPr>
          <w:p w14:paraId="0B61FDE8">
            <w:pPr>
              <w:rPr>
                <w:rFonts w:hint="eastAsia" w:asciiTheme="minorEastAsia" w:hAnsiTheme="minorEastAsia" w:eastAsiaTheme="minorEastAsia" w:cstheme="minorEastAsia"/>
                <w:color w:val="auto"/>
                <w:sz w:val="21"/>
              </w:rPr>
            </w:pPr>
          </w:p>
        </w:tc>
        <w:tc>
          <w:tcPr>
            <w:tcW w:w="1638" w:type="dxa"/>
            <w:tcBorders>
              <w:right w:val="single" w:color="auto" w:sz="4" w:space="0"/>
            </w:tcBorders>
            <w:vAlign w:val="top"/>
          </w:tcPr>
          <w:p w14:paraId="040A9EB9">
            <w:pPr>
              <w:rPr>
                <w:rFonts w:hint="eastAsia" w:asciiTheme="minorEastAsia" w:hAnsiTheme="minorEastAsia" w:eastAsiaTheme="minorEastAsia" w:cstheme="minorEastAsia"/>
                <w:color w:val="auto"/>
                <w:sz w:val="21"/>
              </w:rPr>
            </w:pPr>
          </w:p>
        </w:tc>
        <w:tc>
          <w:tcPr>
            <w:tcW w:w="2923" w:type="dxa"/>
            <w:tcBorders>
              <w:left w:val="single" w:color="auto" w:sz="4" w:space="0"/>
              <w:right w:val="single" w:color="auto" w:sz="4" w:space="0"/>
            </w:tcBorders>
            <w:vAlign w:val="top"/>
          </w:tcPr>
          <w:p w14:paraId="3256042E">
            <w:pPr>
              <w:rPr>
                <w:rFonts w:hint="eastAsia" w:asciiTheme="minorEastAsia" w:hAnsiTheme="minorEastAsia" w:eastAsiaTheme="minorEastAsia" w:cstheme="minorEastAsia"/>
                <w:color w:val="auto"/>
                <w:sz w:val="21"/>
              </w:rPr>
            </w:pPr>
          </w:p>
        </w:tc>
        <w:tc>
          <w:tcPr>
            <w:tcW w:w="1814" w:type="dxa"/>
            <w:tcBorders>
              <w:left w:val="single" w:color="auto" w:sz="4" w:space="0"/>
            </w:tcBorders>
            <w:vAlign w:val="top"/>
          </w:tcPr>
          <w:p w14:paraId="3D3798BD">
            <w:pPr>
              <w:rPr>
                <w:rFonts w:hint="eastAsia" w:asciiTheme="minorEastAsia" w:hAnsiTheme="minorEastAsia" w:eastAsiaTheme="minorEastAsia" w:cstheme="minorEastAsia"/>
                <w:color w:val="auto"/>
                <w:sz w:val="21"/>
              </w:rPr>
            </w:pPr>
          </w:p>
        </w:tc>
        <w:tc>
          <w:tcPr>
            <w:tcW w:w="2002" w:type="dxa"/>
            <w:vAlign w:val="top"/>
          </w:tcPr>
          <w:p w14:paraId="597A6140">
            <w:pPr>
              <w:rPr>
                <w:rFonts w:hint="eastAsia" w:asciiTheme="minorEastAsia" w:hAnsiTheme="minorEastAsia" w:eastAsiaTheme="minorEastAsia" w:cstheme="minorEastAsia"/>
                <w:color w:val="auto"/>
                <w:sz w:val="21"/>
              </w:rPr>
            </w:pPr>
          </w:p>
        </w:tc>
      </w:tr>
      <w:tr w14:paraId="6FB66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trPr>
        <w:tc>
          <w:tcPr>
            <w:tcW w:w="940" w:type="dxa"/>
            <w:vAlign w:val="top"/>
          </w:tcPr>
          <w:p w14:paraId="15611235">
            <w:pPr>
              <w:rPr>
                <w:rFonts w:hint="eastAsia" w:asciiTheme="minorEastAsia" w:hAnsiTheme="minorEastAsia" w:eastAsiaTheme="minorEastAsia" w:cstheme="minorEastAsia"/>
                <w:color w:val="auto"/>
                <w:sz w:val="21"/>
              </w:rPr>
            </w:pPr>
          </w:p>
        </w:tc>
        <w:tc>
          <w:tcPr>
            <w:tcW w:w="1638" w:type="dxa"/>
            <w:tcBorders>
              <w:right w:val="single" w:color="auto" w:sz="4" w:space="0"/>
            </w:tcBorders>
            <w:vAlign w:val="top"/>
          </w:tcPr>
          <w:p w14:paraId="0B78E0A0">
            <w:pPr>
              <w:rPr>
                <w:rFonts w:hint="eastAsia" w:asciiTheme="minorEastAsia" w:hAnsiTheme="minorEastAsia" w:eastAsiaTheme="minorEastAsia" w:cstheme="minorEastAsia"/>
                <w:color w:val="auto"/>
                <w:sz w:val="21"/>
              </w:rPr>
            </w:pPr>
          </w:p>
        </w:tc>
        <w:tc>
          <w:tcPr>
            <w:tcW w:w="2923" w:type="dxa"/>
            <w:tcBorders>
              <w:left w:val="single" w:color="auto" w:sz="4" w:space="0"/>
              <w:right w:val="single" w:color="auto" w:sz="4" w:space="0"/>
            </w:tcBorders>
            <w:vAlign w:val="top"/>
          </w:tcPr>
          <w:p w14:paraId="4ACCFE80">
            <w:pPr>
              <w:rPr>
                <w:rFonts w:hint="eastAsia" w:asciiTheme="minorEastAsia" w:hAnsiTheme="minorEastAsia" w:eastAsiaTheme="minorEastAsia" w:cstheme="minorEastAsia"/>
                <w:color w:val="auto"/>
                <w:sz w:val="21"/>
              </w:rPr>
            </w:pPr>
          </w:p>
        </w:tc>
        <w:tc>
          <w:tcPr>
            <w:tcW w:w="1814" w:type="dxa"/>
            <w:tcBorders>
              <w:left w:val="single" w:color="auto" w:sz="4" w:space="0"/>
            </w:tcBorders>
            <w:vAlign w:val="top"/>
          </w:tcPr>
          <w:p w14:paraId="0AA8F82A">
            <w:pPr>
              <w:rPr>
                <w:rFonts w:hint="eastAsia" w:asciiTheme="minorEastAsia" w:hAnsiTheme="minorEastAsia" w:eastAsiaTheme="minorEastAsia" w:cstheme="minorEastAsia"/>
                <w:color w:val="auto"/>
                <w:sz w:val="21"/>
              </w:rPr>
            </w:pPr>
          </w:p>
        </w:tc>
        <w:tc>
          <w:tcPr>
            <w:tcW w:w="2002" w:type="dxa"/>
            <w:vAlign w:val="top"/>
          </w:tcPr>
          <w:p w14:paraId="29F9B08F">
            <w:pPr>
              <w:rPr>
                <w:rFonts w:hint="eastAsia" w:asciiTheme="minorEastAsia" w:hAnsiTheme="minorEastAsia" w:eastAsiaTheme="minorEastAsia" w:cstheme="minorEastAsia"/>
                <w:color w:val="auto"/>
                <w:sz w:val="21"/>
              </w:rPr>
            </w:pPr>
          </w:p>
        </w:tc>
      </w:tr>
      <w:tr w14:paraId="2C2F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40" w:type="dxa"/>
            <w:vAlign w:val="top"/>
          </w:tcPr>
          <w:p w14:paraId="007442D5">
            <w:pPr>
              <w:rPr>
                <w:rFonts w:hint="eastAsia" w:asciiTheme="minorEastAsia" w:hAnsiTheme="minorEastAsia" w:eastAsiaTheme="minorEastAsia" w:cstheme="minorEastAsia"/>
                <w:color w:val="auto"/>
                <w:sz w:val="21"/>
              </w:rPr>
            </w:pPr>
          </w:p>
        </w:tc>
        <w:tc>
          <w:tcPr>
            <w:tcW w:w="1638" w:type="dxa"/>
            <w:tcBorders>
              <w:right w:val="single" w:color="auto" w:sz="4" w:space="0"/>
            </w:tcBorders>
            <w:vAlign w:val="top"/>
          </w:tcPr>
          <w:p w14:paraId="7244D2AE">
            <w:pPr>
              <w:rPr>
                <w:rFonts w:hint="eastAsia" w:asciiTheme="minorEastAsia" w:hAnsiTheme="minorEastAsia" w:eastAsiaTheme="minorEastAsia" w:cstheme="minorEastAsia"/>
                <w:color w:val="auto"/>
                <w:sz w:val="21"/>
              </w:rPr>
            </w:pPr>
          </w:p>
        </w:tc>
        <w:tc>
          <w:tcPr>
            <w:tcW w:w="2923" w:type="dxa"/>
            <w:tcBorders>
              <w:left w:val="single" w:color="auto" w:sz="4" w:space="0"/>
              <w:right w:val="single" w:color="auto" w:sz="4" w:space="0"/>
            </w:tcBorders>
            <w:vAlign w:val="top"/>
          </w:tcPr>
          <w:p w14:paraId="724E5469">
            <w:pPr>
              <w:rPr>
                <w:rFonts w:hint="eastAsia" w:asciiTheme="minorEastAsia" w:hAnsiTheme="minorEastAsia" w:eastAsiaTheme="minorEastAsia" w:cstheme="minorEastAsia"/>
                <w:color w:val="auto"/>
                <w:sz w:val="21"/>
              </w:rPr>
            </w:pPr>
          </w:p>
        </w:tc>
        <w:tc>
          <w:tcPr>
            <w:tcW w:w="1814" w:type="dxa"/>
            <w:tcBorders>
              <w:left w:val="single" w:color="auto" w:sz="4" w:space="0"/>
            </w:tcBorders>
            <w:vAlign w:val="top"/>
          </w:tcPr>
          <w:p w14:paraId="3902968A">
            <w:pPr>
              <w:rPr>
                <w:rFonts w:hint="eastAsia" w:asciiTheme="minorEastAsia" w:hAnsiTheme="minorEastAsia" w:eastAsiaTheme="minorEastAsia" w:cstheme="minorEastAsia"/>
                <w:color w:val="auto"/>
                <w:sz w:val="21"/>
              </w:rPr>
            </w:pPr>
          </w:p>
        </w:tc>
        <w:tc>
          <w:tcPr>
            <w:tcW w:w="2002" w:type="dxa"/>
            <w:vAlign w:val="top"/>
          </w:tcPr>
          <w:p w14:paraId="596B8379">
            <w:pPr>
              <w:rPr>
                <w:rFonts w:hint="eastAsia" w:asciiTheme="minorEastAsia" w:hAnsiTheme="minorEastAsia" w:eastAsiaTheme="minorEastAsia" w:cstheme="minorEastAsia"/>
                <w:color w:val="auto"/>
                <w:sz w:val="21"/>
              </w:rPr>
            </w:pPr>
          </w:p>
        </w:tc>
      </w:tr>
    </w:tbl>
    <w:p w14:paraId="1ED65593">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2A0E3F0B">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7B084137">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093DA04E">
      <w:pPr>
        <w:spacing w:before="75" w:line="227" w:lineRule="auto"/>
        <w:ind w:left="58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0"/>
          <w:sz w:val="23"/>
          <w:szCs w:val="23"/>
        </w:rPr>
        <w:t>供</w:t>
      </w:r>
      <w:r>
        <w:rPr>
          <w:rFonts w:hint="eastAsia" w:asciiTheme="minorEastAsia" w:hAnsiTheme="minorEastAsia" w:eastAsiaTheme="minorEastAsia" w:cstheme="minorEastAsia"/>
          <w:color w:val="auto"/>
          <w:spacing w:val="-6"/>
          <w:sz w:val="23"/>
          <w:szCs w:val="23"/>
        </w:rPr>
        <w:t>应</w:t>
      </w:r>
      <w:r>
        <w:rPr>
          <w:rFonts w:hint="eastAsia" w:asciiTheme="minorEastAsia" w:hAnsiTheme="minorEastAsia" w:eastAsiaTheme="minorEastAsia" w:cstheme="minorEastAsia"/>
          <w:color w:val="auto"/>
          <w:spacing w:val="-5"/>
          <w:sz w:val="23"/>
          <w:szCs w:val="23"/>
        </w:rPr>
        <w:t>商 ：</w:t>
      </w:r>
      <w:r>
        <w:rPr>
          <w:rFonts w:hint="eastAsia" w:asciiTheme="minorEastAsia" w:hAnsiTheme="minorEastAsia" w:eastAsiaTheme="minorEastAsia" w:cstheme="minorEastAsia"/>
          <w:color w:val="auto"/>
          <w:spacing w:val="-5"/>
          <w:sz w:val="23"/>
          <w:szCs w:val="23"/>
          <w:lang w:eastAsia="zh-CN"/>
        </w:rPr>
        <w:t>（</w:t>
      </w:r>
      <w:r>
        <w:rPr>
          <w:rFonts w:hint="eastAsia" w:asciiTheme="minorEastAsia" w:hAnsiTheme="minorEastAsia" w:eastAsiaTheme="minorEastAsia" w:cstheme="minorEastAsia"/>
          <w:color w:val="auto"/>
          <w:spacing w:val="-5"/>
          <w:sz w:val="23"/>
          <w:szCs w:val="23"/>
        </w:rPr>
        <w:t>盖章</w:t>
      </w:r>
      <w:r>
        <w:rPr>
          <w:rFonts w:hint="eastAsia" w:asciiTheme="minorEastAsia" w:hAnsiTheme="minorEastAsia" w:eastAsiaTheme="minorEastAsia" w:cstheme="minorEastAsia"/>
          <w:color w:val="auto"/>
          <w:spacing w:val="-5"/>
          <w:sz w:val="23"/>
          <w:szCs w:val="23"/>
          <w:lang w:eastAsia="zh-CN"/>
        </w:rPr>
        <w:t>）</w:t>
      </w:r>
      <w:r>
        <w:rPr>
          <w:rFonts w:hint="eastAsia" w:asciiTheme="minorEastAsia" w:hAnsiTheme="minorEastAsia" w:eastAsiaTheme="minorEastAsia" w:cstheme="minorEastAsia"/>
          <w:color w:val="auto"/>
          <w:sz w:val="23"/>
          <w:szCs w:val="23"/>
          <w:u w:val="single" w:color="auto"/>
        </w:rPr>
        <w:t xml:space="preserve">                          </w:t>
      </w:r>
    </w:p>
    <w:p w14:paraId="0D06A232">
      <w:pPr>
        <w:spacing w:line="258" w:lineRule="auto"/>
        <w:rPr>
          <w:rFonts w:hint="eastAsia" w:asciiTheme="minorEastAsia" w:hAnsiTheme="minorEastAsia" w:eastAsiaTheme="minorEastAsia" w:cstheme="minorEastAsia"/>
          <w:color w:val="auto"/>
          <w:sz w:val="21"/>
        </w:rPr>
      </w:pPr>
    </w:p>
    <w:p w14:paraId="50E38E32">
      <w:pPr>
        <w:spacing w:line="259" w:lineRule="auto"/>
        <w:rPr>
          <w:rFonts w:hint="eastAsia" w:asciiTheme="minorEastAsia" w:hAnsiTheme="minorEastAsia" w:eastAsiaTheme="minorEastAsia" w:cstheme="minorEastAsia"/>
          <w:color w:val="auto"/>
          <w:sz w:val="21"/>
        </w:rPr>
      </w:pPr>
    </w:p>
    <w:p w14:paraId="652656B9">
      <w:pPr>
        <w:spacing w:before="75" w:line="224" w:lineRule="auto"/>
        <w:ind w:left="58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法</w:t>
      </w:r>
      <w:r>
        <w:rPr>
          <w:rFonts w:hint="eastAsia" w:asciiTheme="minorEastAsia" w:hAnsiTheme="minorEastAsia" w:eastAsiaTheme="minorEastAsia" w:cstheme="minorEastAsia"/>
          <w:color w:val="auto"/>
          <w:spacing w:val="8"/>
          <w:sz w:val="23"/>
          <w:szCs w:val="23"/>
        </w:rPr>
        <w:t xml:space="preserve">定代表人或委托代理人 </w:t>
      </w:r>
      <w:r>
        <w:rPr>
          <w:rFonts w:hint="eastAsia" w:asciiTheme="minorEastAsia" w:hAnsiTheme="minorEastAsia" w:eastAsiaTheme="minorEastAsia" w:cstheme="minorEastAsia"/>
          <w:color w:val="auto"/>
          <w:spacing w:val="8"/>
          <w:sz w:val="23"/>
          <w:szCs w:val="23"/>
          <w:lang w:eastAsia="zh-CN"/>
        </w:rPr>
        <w:t>（</w:t>
      </w:r>
      <w:r>
        <w:rPr>
          <w:rFonts w:hint="eastAsia" w:asciiTheme="minorEastAsia" w:hAnsiTheme="minorEastAsia" w:eastAsiaTheme="minorEastAsia" w:cstheme="minorEastAsia"/>
          <w:color w:val="auto"/>
          <w:spacing w:val="8"/>
          <w:sz w:val="23"/>
          <w:szCs w:val="23"/>
        </w:rPr>
        <w:t>签字或盖章</w:t>
      </w:r>
      <w:r>
        <w:rPr>
          <w:rFonts w:hint="eastAsia" w:asciiTheme="minorEastAsia" w:hAnsiTheme="minorEastAsia" w:eastAsiaTheme="minorEastAsia" w:cstheme="minorEastAsia"/>
          <w:color w:val="auto"/>
          <w:spacing w:val="8"/>
          <w:sz w:val="23"/>
          <w:szCs w:val="23"/>
          <w:lang w:eastAsia="zh-CN"/>
        </w:rPr>
        <w:t>）</w:t>
      </w:r>
      <w:r>
        <w:rPr>
          <w:rFonts w:hint="eastAsia" w:asciiTheme="minorEastAsia" w:hAnsiTheme="minorEastAsia" w:eastAsiaTheme="minorEastAsia" w:cstheme="minorEastAsia"/>
          <w:color w:val="auto"/>
          <w:spacing w:val="8"/>
          <w:sz w:val="23"/>
          <w:szCs w:val="23"/>
        </w:rPr>
        <w:t xml:space="preserve"> ：</w:t>
      </w:r>
      <w:r>
        <w:rPr>
          <w:rFonts w:hint="eastAsia" w:asciiTheme="minorEastAsia" w:hAnsiTheme="minorEastAsia" w:eastAsiaTheme="minorEastAsia" w:cstheme="minorEastAsia"/>
          <w:color w:val="auto"/>
          <w:sz w:val="23"/>
          <w:szCs w:val="23"/>
          <w:u w:val="single" w:color="auto"/>
        </w:rPr>
        <w:t xml:space="preserve">                </w:t>
      </w:r>
    </w:p>
    <w:p w14:paraId="778D7256">
      <w:pPr>
        <w:spacing w:line="262" w:lineRule="auto"/>
        <w:rPr>
          <w:rFonts w:hint="eastAsia" w:asciiTheme="minorEastAsia" w:hAnsiTheme="minorEastAsia" w:eastAsiaTheme="minorEastAsia" w:cstheme="minorEastAsia"/>
          <w:color w:val="auto"/>
          <w:sz w:val="21"/>
        </w:rPr>
      </w:pPr>
    </w:p>
    <w:p w14:paraId="4BED217A">
      <w:pPr>
        <w:spacing w:line="262" w:lineRule="auto"/>
        <w:rPr>
          <w:rFonts w:hint="eastAsia" w:asciiTheme="minorEastAsia" w:hAnsiTheme="minorEastAsia" w:eastAsiaTheme="minorEastAsia" w:cstheme="minorEastAsia"/>
          <w:color w:val="auto"/>
          <w:sz w:val="21"/>
        </w:rPr>
      </w:pPr>
    </w:p>
    <w:p w14:paraId="08DC29F5">
      <w:pPr>
        <w:spacing w:before="75" w:line="227" w:lineRule="auto"/>
        <w:ind w:right="294"/>
        <w:jc w:val="right"/>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
          <w:sz w:val="23"/>
          <w:szCs w:val="23"/>
        </w:rPr>
        <w:t>日</w:t>
      </w:r>
      <w:r>
        <w:rPr>
          <w:rFonts w:hint="eastAsia" w:asciiTheme="minorEastAsia" w:hAnsiTheme="minorEastAsia" w:eastAsiaTheme="minorEastAsia" w:cstheme="minorEastAsia"/>
          <w:color w:val="auto"/>
          <w:sz w:val="23"/>
          <w:szCs w:val="23"/>
        </w:rPr>
        <w:t>期：      年    月    日</w:t>
      </w:r>
    </w:p>
    <w:p w14:paraId="22C1B37C">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4E49AB06">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3F283E6D">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7036709A">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0ADC2767">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2CB6D94A">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4BBCDBD7">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458CD66C">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7C2278B0">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79EB5C8D">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4D90BB3C">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5681BBE0">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1D81F7B7">
      <w:pPr>
        <w:spacing w:before="163" w:line="223" w:lineRule="auto"/>
        <w:ind w:left="3334"/>
        <w:rPr>
          <w:rFonts w:hint="eastAsia" w:asciiTheme="minorEastAsia" w:hAnsiTheme="minorEastAsia" w:eastAsiaTheme="minorEastAsia" w:cstheme="minorEastAsia"/>
          <w:b/>
          <w:bCs/>
          <w:color w:val="auto"/>
          <w:sz w:val="28"/>
          <w:szCs w:val="28"/>
          <w:lang w:val="zh-CN" w:eastAsia="zh-CN" w:bidi="zh-CN"/>
        </w:rPr>
      </w:pPr>
      <w:r>
        <w:rPr>
          <w:rFonts w:hint="eastAsia" w:asciiTheme="minorEastAsia" w:hAnsiTheme="minorEastAsia" w:eastAsiaTheme="minorEastAsia" w:cstheme="minorEastAsia"/>
          <w:b/>
          <w:bCs/>
          <w:color w:val="auto"/>
          <w:sz w:val="28"/>
          <w:szCs w:val="28"/>
          <w:lang w:val="zh-CN" w:eastAsia="zh-CN" w:bidi="zh-CN"/>
        </w:rPr>
        <w:t>（三） 商务响应一览表</w:t>
      </w:r>
    </w:p>
    <w:p w14:paraId="3792733E">
      <w:pPr>
        <w:rPr>
          <w:rFonts w:hint="eastAsia" w:asciiTheme="minorEastAsia" w:hAnsiTheme="minorEastAsia" w:eastAsiaTheme="minorEastAsia" w:cstheme="minorEastAsia"/>
          <w:color w:val="auto"/>
        </w:rPr>
      </w:pPr>
    </w:p>
    <w:p w14:paraId="2E4559E7">
      <w:pPr>
        <w:spacing w:line="99" w:lineRule="auto"/>
        <w:rPr>
          <w:rFonts w:hint="eastAsia" w:asciiTheme="minorEastAsia" w:hAnsiTheme="minorEastAsia" w:eastAsiaTheme="minorEastAsia" w:cstheme="minorEastAsia"/>
          <w:color w:val="auto"/>
          <w:sz w:val="2"/>
        </w:rPr>
      </w:pPr>
    </w:p>
    <w:tbl>
      <w:tblPr>
        <w:tblStyle w:val="33"/>
        <w:tblW w:w="9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5"/>
        <w:gridCol w:w="4173"/>
        <w:gridCol w:w="1957"/>
        <w:gridCol w:w="2313"/>
      </w:tblGrid>
      <w:tr w14:paraId="1500D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455" w:type="dxa"/>
            <w:vAlign w:val="center"/>
          </w:tcPr>
          <w:p w14:paraId="20D56A1F">
            <w:pPr>
              <w:spacing w:before="77" w:line="229" w:lineRule="auto"/>
              <w:ind w:left="147"/>
              <w:jc w:val="center"/>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序</w:t>
            </w:r>
            <w:r>
              <w:rPr>
                <w:rFonts w:hint="eastAsia" w:asciiTheme="minorEastAsia" w:hAnsiTheme="minorEastAsia" w:eastAsiaTheme="minorEastAsia" w:cstheme="minorEastAsia"/>
                <w:color w:val="auto"/>
                <w:spacing w:val="5"/>
                <w:sz w:val="23"/>
                <w:szCs w:val="23"/>
              </w:rPr>
              <w:t>号</w:t>
            </w:r>
          </w:p>
        </w:tc>
        <w:tc>
          <w:tcPr>
            <w:tcW w:w="4173" w:type="dxa"/>
            <w:tcBorders>
              <w:right w:val="single" w:color="auto" w:sz="4" w:space="0"/>
            </w:tcBorders>
            <w:vAlign w:val="center"/>
          </w:tcPr>
          <w:p w14:paraId="66BA8BEB">
            <w:pPr>
              <w:spacing w:before="77" w:line="230" w:lineRule="auto"/>
              <w:jc w:val="center"/>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z w:val="23"/>
                <w:szCs w:val="23"/>
                <w:lang w:eastAsia="zh-CN"/>
              </w:rPr>
              <w:t>谈判文件商务条款要求</w:t>
            </w:r>
          </w:p>
        </w:tc>
        <w:tc>
          <w:tcPr>
            <w:tcW w:w="1957" w:type="dxa"/>
            <w:tcBorders>
              <w:left w:val="single" w:color="auto" w:sz="4" w:space="0"/>
            </w:tcBorders>
            <w:vAlign w:val="center"/>
          </w:tcPr>
          <w:p w14:paraId="2BE7235E">
            <w:pPr>
              <w:spacing w:before="77" w:line="230" w:lineRule="auto"/>
              <w:jc w:val="center"/>
              <w:rPr>
                <w:rFonts w:hint="eastAsia" w:asciiTheme="minorEastAsia" w:hAnsiTheme="minorEastAsia" w:eastAsiaTheme="minorEastAsia" w:cstheme="minorEastAsia"/>
                <w:color w:val="auto"/>
                <w:spacing w:val="4"/>
                <w:sz w:val="23"/>
                <w:szCs w:val="23"/>
                <w:lang w:eastAsia="zh-CN"/>
              </w:rPr>
            </w:pPr>
            <w:r>
              <w:rPr>
                <w:rFonts w:hint="eastAsia" w:asciiTheme="minorEastAsia" w:hAnsiTheme="minorEastAsia" w:eastAsiaTheme="minorEastAsia" w:cstheme="minorEastAsia"/>
                <w:color w:val="auto"/>
                <w:spacing w:val="5"/>
                <w:sz w:val="23"/>
                <w:szCs w:val="23"/>
                <w:lang w:val="en-US" w:eastAsia="zh-CN"/>
              </w:rPr>
              <w:t>供应商响应要求</w:t>
            </w:r>
          </w:p>
        </w:tc>
        <w:tc>
          <w:tcPr>
            <w:tcW w:w="2313" w:type="dxa"/>
            <w:vAlign w:val="center"/>
          </w:tcPr>
          <w:p w14:paraId="7A8A5F71">
            <w:pPr>
              <w:spacing w:before="77" w:line="226" w:lineRule="auto"/>
              <w:ind w:left="72"/>
              <w:jc w:val="center"/>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z w:val="23"/>
                <w:szCs w:val="23"/>
                <w:lang w:eastAsia="zh-CN"/>
              </w:rPr>
              <w:t>备注</w:t>
            </w:r>
          </w:p>
        </w:tc>
      </w:tr>
      <w:tr w14:paraId="5B01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55" w:type="dxa"/>
            <w:vAlign w:val="top"/>
          </w:tcPr>
          <w:p w14:paraId="2F6E2425">
            <w:pPr>
              <w:spacing w:before="118" w:line="192" w:lineRule="auto"/>
              <w:ind w:left="34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1</w:t>
            </w:r>
          </w:p>
        </w:tc>
        <w:tc>
          <w:tcPr>
            <w:tcW w:w="4173" w:type="dxa"/>
            <w:tcBorders>
              <w:right w:val="single" w:color="auto" w:sz="4" w:space="0"/>
            </w:tcBorders>
            <w:vAlign w:val="top"/>
          </w:tcPr>
          <w:p w14:paraId="23B5ECDC">
            <w:pPr>
              <w:rPr>
                <w:rFonts w:hint="eastAsia" w:asciiTheme="minorEastAsia" w:hAnsiTheme="minorEastAsia" w:eastAsiaTheme="minorEastAsia" w:cstheme="minorEastAsia"/>
                <w:color w:val="auto"/>
                <w:sz w:val="21"/>
              </w:rPr>
            </w:pPr>
          </w:p>
        </w:tc>
        <w:tc>
          <w:tcPr>
            <w:tcW w:w="1957" w:type="dxa"/>
            <w:tcBorders>
              <w:left w:val="single" w:color="auto" w:sz="4" w:space="0"/>
            </w:tcBorders>
            <w:vAlign w:val="top"/>
          </w:tcPr>
          <w:p w14:paraId="3EB831AB">
            <w:pPr>
              <w:rPr>
                <w:rFonts w:hint="eastAsia" w:asciiTheme="minorEastAsia" w:hAnsiTheme="minorEastAsia" w:eastAsiaTheme="minorEastAsia" w:cstheme="minorEastAsia"/>
                <w:color w:val="auto"/>
                <w:sz w:val="21"/>
              </w:rPr>
            </w:pPr>
          </w:p>
        </w:tc>
        <w:tc>
          <w:tcPr>
            <w:tcW w:w="2313" w:type="dxa"/>
            <w:vAlign w:val="top"/>
          </w:tcPr>
          <w:p w14:paraId="3218B81D">
            <w:pPr>
              <w:rPr>
                <w:rFonts w:hint="eastAsia" w:asciiTheme="minorEastAsia" w:hAnsiTheme="minorEastAsia" w:eastAsiaTheme="minorEastAsia" w:cstheme="minorEastAsia"/>
                <w:color w:val="auto"/>
                <w:sz w:val="21"/>
              </w:rPr>
            </w:pPr>
          </w:p>
        </w:tc>
      </w:tr>
      <w:tr w14:paraId="4F728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455" w:type="dxa"/>
            <w:vAlign w:val="top"/>
          </w:tcPr>
          <w:p w14:paraId="27F883B0">
            <w:pPr>
              <w:spacing w:before="120" w:line="192" w:lineRule="auto"/>
              <w:ind w:left="3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2</w:t>
            </w:r>
          </w:p>
        </w:tc>
        <w:tc>
          <w:tcPr>
            <w:tcW w:w="4173" w:type="dxa"/>
            <w:tcBorders>
              <w:right w:val="single" w:color="auto" w:sz="4" w:space="0"/>
            </w:tcBorders>
            <w:vAlign w:val="top"/>
          </w:tcPr>
          <w:p w14:paraId="599DE637">
            <w:pPr>
              <w:rPr>
                <w:rFonts w:hint="eastAsia" w:asciiTheme="minorEastAsia" w:hAnsiTheme="minorEastAsia" w:eastAsiaTheme="minorEastAsia" w:cstheme="minorEastAsia"/>
                <w:color w:val="auto"/>
                <w:sz w:val="21"/>
                <w:lang w:val="en-US" w:eastAsia="zh-CN"/>
              </w:rPr>
            </w:pPr>
          </w:p>
        </w:tc>
        <w:tc>
          <w:tcPr>
            <w:tcW w:w="1957" w:type="dxa"/>
            <w:tcBorders>
              <w:left w:val="single" w:color="auto" w:sz="4" w:space="0"/>
            </w:tcBorders>
            <w:vAlign w:val="top"/>
          </w:tcPr>
          <w:p w14:paraId="5BB64AB7">
            <w:pPr>
              <w:rPr>
                <w:rFonts w:hint="eastAsia" w:asciiTheme="minorEastAsia" w:hAnsiTheme="minorEastAsia" w:eastAsiaTheme="minorEastAsia" w:cstheme="minorEastAsia"/>
                <w:color w:val="auto"/>
                <w:sz w:val="21"/>
                <w:lang w:val="en-US" w:eastAsia="zh-CN"/>
              </w:rPr>
            </w:pPr>
          </w:p>
        </w:tc>
        <w:tc>
          <w:tcPr>
            <w:tcW w:w="2313" w:type="dxa"/>
            <w:vAlign w:val="top"/>
          </w:tcPr>
          <w:p w14:paraId="0C83941A">
            <w:pPr>
              <w:rPr>
                <w:rFonts w:hint="eastAsia" w:asciiTheme="minorEastAsia" w:hAnsiTheme="minorEastAsia" w:eastAsiaTheme="minorEastAsia" w:cstheme="minorEastAsia"/>
                <w:color w:val="auto"/>
                <w:sz w:val="21"/>
              </w:rPr>
            </w:pPr>
          </w:p>
        </w:tc>
      </w:tr>
      <w:tr w14:paraId="5BF6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455" w:type="dxa"/>
            <w:vAlign w:val="top"/>
          </w:tcPr>
          <w:p w14:paraId="36D62551">
            <w:pPr>
              <w:spacing w:before="119" w:line="190" w:lineRule="auto"/>
              <w:ind w:left="332"/>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3</w:t>
            </w:r>
          </w:p>
        </w:tc>
        <w:tc>
          <w:tcPr>
            <w:tcW w:w="4173" w:type="dxa"/>
            <w:tcBorders>
              <w:right w:val="single" w:color="auto" w:sz="4" w:space="0"/>
            </w:tcBorders>
            <w:vAlign w:val="top"/>
          </w:tcPr>
          <w:p w14:paraId="6991458E">
            <w:pPr>
              <w:rPr>
                <w:rFonts w:hint="eastAsia" w:asciiTheme="minorEastAsia" w:hAnsiTheme="minorEastAsia" w:eastAsiaTheme="minorEastAsia" w:cstheme="minorEastAsia"/>
                <w:color w:val="auto"/>
                <w:sz w:val="21"/>
              </w:rPr>
            </w:pPr>
          </w:p>
        </w:tc>
        <w:tc>
          <w:tcPr>
            <w:tcW w:w="1957" w:type="dxa"/>
            <w:tcBorders>
              <w:left w:val="single" w:color="auto" w:sz="4" w:space="0"/>
            </w:tcBorders>
            <w:vAlign w:val="top"/>
          </w:tcPr>
          <w:p w14:paraId="28D19F43">
            <w:pPr>
              <w:rPr>
                <w:rFonts w:hint="eastAsia" w:asciiTheme="minorEastAsia" w:hAnsiTheme="minorEastAsia" w:eastAsiaTheme="minorEastAsia" w:cstheme="minorEastAsia"/>
                <w:color w:val="auto"/>
                <w:sz w:val="21"/>
              </w:rPr>
            </w:pPr>
          </w:p>
        </w:tc>
        <w:tc>
          <w:tcPr>
            <w:tcW w:w="2313" w:type="dxa"/>
            <w:vAlign w:val="top"/>
          </w:tcPr>
          <w:p w14:paraId="00C5B7C0">
            <w:pPr>
              <w:rPr>
                <w:rFonts w:hint="eastAsia" w:asciiTheme="minorEastAsia" w:hAnsiTheme="minorEastAsia" w:eastAsiaTheme="minorEastAsia" w:cstheme="minorEastAsia"/>
                <w:color w:val="auto"/>
                <w:sz w:val="21"/>
              </w:rPr>
            </w:pPr>
          </w:p>
        </w:tc>
      </w:tr>
      <w:tr w14:paraId="680E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55" w:type="dxa"/>
            <w:vAlign w:val="top"/>
          </w:tcPr>
          <w:p w14:paraId="3BDAB8CF">
            <w:pPr>
              <w:spacing w:before="120" w:line="192" w:lineRule="auto"/>
              <w:ind w:left="327"/>
              <w:rPr>
                <w:rFonts w:hint="default" w:asciiTheme="minorEastAsia" w:hAnsiTheme="minorEastAsia" w:eastAsiaTheme="minorEastAsia" w:cstheme="minorEastAsia"/>
                <w:color w:val="auto"/>
                <w:sz w:val="23"/>
                <w:szCs w:val="23"/>
                <w:lang w:val="en-US" w:eastAsia="zh-CN"/>
              </w:rPr>
            </w:pPr>
            <w:r>
              <w:rPr>
                <w:rFonts w:hint="eastAsia" w:asciiTheme="minorEastAsia" w:hAnsiTheme="minorEastAsia" w:eastAsiaTheme="minorEastAsia" w:cstheme="minorEastAsia"/>
                <w:color w:val="auto"/>
                <w:sz w:val="23"/>
                <w:szCs w:val="23"/>
                <w:lang w:val="en-US" w:eastAsia="zh-CN"/>
              </w:rPr>
              <w:t>......</w:t>
            </w:r>
          </w:p>
        </w:tc>
        <w:tc>
          <w:tcPr>
            <w:tcW w:w="4173" w:type="dxa"/>
            <w:tcBorders>
              <w:right w:val="single" w:color="auto" w:sz="4" w:space="0"/>
            </w:tcBorders>
            <w:vAlign w:val="top"/>
          </w:tcPr>
          <w:p w14:paraId="6A0BF203">
            <w:pPr>
              <w:rPr>
                <w:rFonts w:hint="eastAsia" w:asciiTheme="minorEastAsia" w:hAnsiTheme="minorEastAsia" w:eastAsiaTheme="minorEastAsia" w:cstheme="minorEastAsia"/>
                <w:color w:val="auto"/>
                <w:sz w:val="21"/>
              </w:rPr>
            </w:pPr>
          </w:p>
        </w:tc>
        <w:tc>
          <w:tcPr>
            <w:tcW w:w="1957" w:type="dxa"/>
            <w:tcBorders>
              <w:left w:val="single" w:color="auto" w:sz="4" w:space="0"/>
            </w:tcBorders>
            <w:vAlign w:val="top"/>
          </w:tcPr>
          <w:p w14:paraId="02101864">
            <w:pPr>
              <w:rPr>
                <w:rFonts w:hint="eastAsia" w:asciiTheme="minorEastAsia" w:hAnsiTheme="minorEastAsia" w:eastAsiaTheme="minorEastAsia" w:cstheme="minorEastAsia"/>
                <w:color w:val="auto"/>
                <w:sz w:val="21"/>
              </w:rPr>
            </w:pPr>
          </w:p>
        </w:tc>
        <w:tc>
          <w:tcPr>
            <w:tcW w:w="2313" w:type="dxa"/>
            <w:vAlign w:val="top"/>
          </w:tcPr>
          <w:p w14:paraId="09485474">
            <w:pPr>
              <w:rPr>
                <w:rFonts w:hint="eastAsia" w:asciiTheme="minorEastAsia" w:hAnsiTheme="minorEastAsia" w:eastAsiaTheme="minorEastAsia" w:cstheme="minorEastAsia"/>
                <w:color w:val="auto"/>
                <w:sz w:val="21"/>
              </w:rPr>
            </w:pPr>
          </w:p>
        </w:tc>
      </w:tr>
      <w:tr w14:paraId="03D14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455" w:type="dxa"/>
            <w:vAlign w:val="top"/>
          </w:tcPr>
          <w:p w14:paraId="3A6570B8">
            <w:pPr>
              <w:rPr>
                <w:rFonts w:hint="eastAsia" w:asciiTheme="minorEastAsia" w:hAnsiTheme="minorEastAsia" w:eastAsiaTheme="minorEastAsia" w:cstheme="minorEastAsia"/>
                <w:color w:val="auto"/>
                <w:sz w:val="21"/>
              </w:rPr>
            </w:pPr>
          </w:p>
        </w:tc>
        <w:tc>
          <w:tcPr>
            <w:tcW w:w="4173" w:type="dxa"/>
            <w:tcBorders>
              <w:right w:val="single" w:color="auto" w:sz="4" w:space="0"/>
            </w:tcBorders>
            <w:vAlign w:val="top"/>
          </w:tcPr>
          <w:p w14:paraId="33CFC298">
            <w:pPr>
              <w:rPr>
                <w:rFonts w:hint="eastAsia" w:asciiTheme="minorEastAsia" w:hAnsiTheme="minorEastAsia" w:eastAsiaTheme="minorEastAsia" w:cstheme="minorEastAsia"/>
                <w:color w:val="auto"/>
                <w:sz w:val="21"/>
              </w:rPr>
            </w:pPr>
          </w:p>
        </w:tc>
        <w:tc>
          <w:tcPr>
            <w:tcW w:w="1957" w:type="dxa"/>
            <w:tcBorders>
              <w:left w:val="single" w:color="auto" w:sz="4" w:space="0"/>
            </w:tcBorders>
            <w:vAlign w:val="top"/>
          </w:tcPr>
          <w:p w14:paraId="5C4708F1">
            <w:pPr>
              <w:rPr>
                <w:rFonts w:hint="eastAsia" w:asciiTheme="minorEastAsia" w:hAnsiTheme="minorEastAsia" w:eastAsiaTheme="minorEastAsia" w:cstheme="minorEastAsia"/>
                <w:color w:val="auto"/>
                <w:sz w:val="21"/>
              </w:rPr>
            </w:pPr>
          </w:p>
        </w:tc>
        <w:tc>
          <w:tcPr>
            <w:tcW w:w="2313" w:type="dxa"/>
            <w:vAlign w:val="top"/>
          </w:tcPr>
          <w:p w14:paraId="4BCCFCB2">
            <w:pPr>
              <w:rPr>
                <w:rFonts w:hint="eastAsia" w:asciiTheme="minorEastAsia" w:hAnsiTheme="minorEastAsia" w:eastAsiaTheme="minorEastAsia" w:cstheme="minorEastAsia"/>
                <w:color w:val="auto"/>
                <w:sz w:val="21"/>
              </w:rPr>
            </w:pPr>
          </w:p>
        </w:tc>
      </w:tr>
      <w:tr w14:paraId="46BE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55" w:type="dxa"/>
            <w:vAlign w:val="top"/>
          </w:tcPr>
          <w:p w14:paraId="5F3EB93B">
            <w:pPr>
              <w:rPr>
                <w:rFonts w:hint="eastAsia" w:asciiTheme="minorEastAsia" w:hAnsiTheme="minorEastAsia" w:eastAsiaTheme="minorEastAsia" w:cstheme="minorEastAsia"/>
                <w:color w:val="auto"/>
                <w:sz w:val="21"/>
              </w:rPr>
            </w:pPr>
          </w:p>
        </w:tc>
        <w:tc>
          <w:tcPr>
            <w:tcW w:w="4173" w:type="dxa"/>
            <w:tcBorders>
              <w:right w:val="single" w:color="auto" w:sz="4" w:space="0"/>
            </w:tcBorders>
            <w:vAlign w:val="top"/>
          </w:tcPr>
          <w:p w14:paraId="5D7044A2">
            <w:pPr>
              <w:rPr>
                <w:rFonts w:hint="eastAsia" w:asciiTheme="minorEastAsia" w:hAnsiTheme="minorEastAsia" w:eastAsiaTheme="minorEastAsia" w:cstheme="minorEastAsia"/>
                <w:color w:val="auto"/>
                <w:sz w:val="21"/>
              </w:rPr>
            </w:pPr>
          </w:p>
        </w:tc>
        <w:tc>
          <w:tcPr>
            <w:tcW w:w="1957" w:type="dxa"/>
            <w:tcBorders>
              <w:left w:val="single" w:color="auto" w:sz="4" w:space="0"/>
            </w:tcBorders>
            <w:vAlign w:val="top"/>
          </w:tcPr>
          <w:p w14:paraId="0C704D11">
            <w:pPr>
              <w:rPr>
                <w:rFonts w:hint="eastAsia" w:asciiTheme="minorEastAsia" w:hAnsiTheme="minorEastAsia" w:eastAsiaTheme="minorEastAsia" w:cstheme="minorEastAsia"/>
                <w:color w:val="auto"/>
                <w:sz w:val="21"/>
              </w:rPr>
            </w:pPr>
          </w:p>
        </w:tc>
        <w:tc>
          <w:tcPr>
            <w:tcW w:w="2313" w:type="dxa"/>
            <w:vAlign w:val="top"/>
          </w:tcPr>
          <w:p w14:paraId="4E8DD89A">
            <w:pPr>
              <w:rPr>
                <w:rFonts w:hint="eastAsia" w:asciiTheme="minorEastAsia" w:hAnsiTheme="minorEastAsia" w:eastAsiaTheme="minorEastAsia" w:cstheme="minorEastAsia"/>
                <w:color w:val="auto"/>
                <w:sz w:val="21"/>
              </w:rPr>
            </w:pPr>
          </w:p>
        </w:tc>
      </w:tr>
      <w:tr w14:paraId="17B76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455" w:type="dxa"/>
            <w:vAlign w:val="top"/>
          </w:tcPr>
          <w:p w14:paraId="101EE8A3">
            <w:pPr>
              <w:rPr>
                <w:rFonts w:hint="eastAsia" w:asciiTheme="minorEastAsia" w:hAnsiTheme="minorEastAsia" w:eastAsiaTheme="minorEastAsia" w:cstheme="minorEastAsia"/>
                <w:color w:val="auto"/>
                <w:sz w:val="21"/>
              </w:rPr>
            </w:pPr>
          </w:p>
        </w:tc>
        <w:tc>
          <w:tcPr>
            <w:tcW w:w="4173" w:type="dxa"/>
            <w:tcBorders>
              <w:right w:val="single" w:color="auto" w:sz="4" w:space="0"/>
            </w:tcBorders>
            <w:vAlign w:val="top"/>
          </w:tcPr>
          <w:p w14:paraId="7998C53D">
            <w:pPr>
              <w:rPr>
                <w:rFonts w:hint="eastAsia" w:asciiTheme="minorEastAsia" w:hAnsiTheme="minorEastAsia" w:eastAsiaTheme="minorEastAsia" w:cstheme="minorEastAsia"/>
                <w:color w:val="auto"/>
                <w:sz w:val="21"/>
              </w:rPr>
            </w:pPr>
          </w:p>
        </w:tc>
        <w:tc>
          <w:tcPr>
            <w:tcW w:w="1957" w:type="dxa"/>
            <w:tcBorders>
              <w:left w:val="single" w:color="auto" w:sz="4" w:space="0"/>
            </w:tcBorders>
            <w:vAlign w:val="top"/>
          </w:tcPr>
          <w:p w14:paraId="129A96F0">
            <w:pPr>
              <w:rPr>
                <w:rFonts w:hint="eastAsia" w:asciiTheme="minorEastAsia" w:hAnsiTheme="minorEastAsia" w:eastAsiaTheme="minorEastAsia" w:cstheme="minorEastAsia"/>
                <w:color w:val="auto"/>
                <w:sz w:val="21"/>
              </w:rPr>
            </w:pPr>
          </w:p>
        </w:tc>
        <w:tc>
          <w:tcPr>
            <w:tcW w:w="2313" w:type="dxa"/>
            <w:vAlign w:val="top"/>
          </w:tcPr>
          <w:p w14:paraId="31A5160B">
            <w:pPr>
              <w:rPr>
                <w:rFonts w:hint="eastAsia" w:asciiTheme="minorEastAsia" w:hAnsiTheme="minorEastAsia" w:eastAsiaTheme="minorEastAsia" w:cstheme="minorEastAsia"/>
                <w:color w:val="auto"/>
                <w:sz w:val="21"/>
              </w:rPr>
            </w:pPr>
          </w:p>
        </w:tc>
      </w:tr>
      <w:tr w14:paraId="1BB46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55" w:type="dxa"/>
            <w:vAlign w:val="top"/>
          </w:tcPr>
          <w:p w14:paraId="16A8AB24">
            <w:pPr>
              <w:rPr>
                <w:rFonts w:hint="eastAsia" w:asciiTheme="minorEastAsia" w:hAnsiTheme="minorEastAsia" w:eastAsiaTheme="minorEastAsia" w:cstheme="minorEastAsia"/>
                <w:color w:val="auto"/>
                <w:sz w:val="21"/>
              </w:rPr>
            </w:pPr>
          </w:p>
        </w:tc>
        <w:tc>
          <w:tcPr>
            <w:tcW w:w="4173" w:type="dxa"/>
            <w:tcBorders>
              <w:right w:val="single" w:color="auto" w:sz="4" w:space="0"/>
            </w:tcBorders>
            <w:vAlign w:val="top"/>
          </w:tcPr>
          <w:p w14:paraId="45161C9F">
            <w:pPr>
              <w:rPr>
                <w:rFonts w:hint="eastAsia" w:asciiTheme="minorEastAsia" w:hAnsiTheme="minorEastAsia" w:eastAsiaTheme="minorEastAsia" w:cstheme="minorEastAsia"/>
                <w:color w:val="auto"/>
                <w:sz w:val="21"/>
              </w:rPr>
            </w:pPr>
          </w:p>
        </w:tc>
        <w:tc>
          <w:tcPr>
            <w:tcW w:w="1957" w:type="dxa"/>
            <w:tcBorders>
              <w:left w:val="single" w:color="auto" w:sz="4" w:space="0"/>
            </w:tcBorders>
            <w:vAlign w:val="top"/>
          </w:tcPr>
          <w:p w14:paraId="46721EAC">
            <w:pPr>
              <w:rPr>
                <w:rFonts w:hint="eastAsia" w:asciiTheme="minorEastAsia" w:hAnsiTheme="minorEastAsia" w:eastAsiaTheme="minorEastAsia" w:cstheme="minorEastAsia"/>
                <w:color w:val="auto"/>
                <w:sz w:val="21"/>
              </w:rPr>
            </w:pPr>
          </w:p>
        </w:tc>
        <w:tc>
          <w:tcPr>
            <w:tcW w:w="2313" w:type="dxa"/>
            <w:vAlign w:val="top"/>
          </w:tcPr>
          <w:p w14:paraId="01F8BC67">
            <w:pPr>
              <w:rPr>
                <w:rFonts w:hint="eastAsia" w:asciiTheme="minorEastAsia" w:hAnsiTheme="minorEastAsia" w:eastAsiaTheme="minorEastAsia" w:cstheme="minorEastAsia"/>
                <w:color w:val="auto"/>
                <w:sz w:val="21"/>
              </w:rPr>
            </w:pPr>
          </w:p>
        </w:tc>
      </w:tr>
    </w:tbl>
    <w:p w14:paraId="3139641B">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133CFA04">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15BC9AE5">
      <w:pPr>
        <w:spacing w:before="75" w:line="227" w:lineRule="auto"/>
        <w:ind w:left="58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0"/>
          <w:sz w:val="23"/>
          <w:szCs w:val="23"/>
        </w:rPr>
        <w:t>供</w:t>
      </w:r>
      <w:r>
        <w:rPr>
          <w:rFonts w:hint="eastAsia" w:asciiTheme="minorEastAsia" w:hAnsiTheme="minorEastAsia" w:eastAsiaTheme="minorEastAsia" w:cstheme="minorEastAsia"/>
          <w:color w:val="auto"/>
          <w:spacing w:val="-6"/>
          <w:sz w:val="23"/>
          <w:szCs w:val="23"/>
        </w:rPr>
        <w:t>应</w:t>
      </w:r>
      <w:r>
        <w:rPr>
          <w:rFonts w:hint="eastAsia" w:asciiTheme="minorEastAsia" w:hAnsiTheme="minorEastAsia" w:eastAsiaTheme="minorEastAsia" w:cstheme="minorEastAsia"/>
          <w:color w:val="auto"/>
          <w:spacing w:val="-5"/>
          <w:sz w:val="23"/>
          <w:szCs w:val="23"/>
        </w:rPr>
        <w:t xml:space="preserve">商 ： </w:t>
      </w:r>
      <w:r>
        <w:rPr>
          <w:rFonts w:hint="eastAsia" w:asciiTheme="minorEastAsia" w:hAnsiTheme="minorEastAsia" w:eastAsiaTheme="minorEastAsia" w:cstheme="minorEastAsia"/>
          <w:color w:val="auto"/>
          <w:spacing w:val="-5"/>
          <w:sz w:val="23"/>
          <w:szCs w:val="23"/>
          <w:lang w:eastAsia="zh-CN"/>
        </w:rPr>
        <w:t>（</w:t>
      </w:r>
      <w:r>
        <w:rPr>
          <w:rFonts w:hint="eastAsia" w:asciiTheme="minorEastAsia" w:hAnsiTheme="minorEastAsia" w:eastAsiaTheme="minorEastAsia" w:cstheme="minorEastAsia"/>
          <w:color w:val="auto"/>
          <w:spacing w:val="-5"/>
          <w:sz w:val="23"/>
          <w:szCs w:val="23"/>
        </w:rPr>
        <w:t>盖章</w:t>
      </w:r>
      <w:r>
        <w:rPr>
          <w:rFonts w:hint="eastAsia" w:asciiTheme="minorEastAsia" w:hAnsiTheme="minorEastAsia" w:eastAsiaTheme="minorEastAsia" w:cstheme="minorEastAsia"/>
          <w:color w:val="auto"/>
          <w:spacing w:val="-5"/>
          <w:sz w:val="23"/>
          <w:szCs w:val="23"/>
          <w:lang w:eastAsia="zh-CN"/>
        </w:rPr>
        <w:t>）</w:t>
      </w:r>
      <w:r>
        <w:rPr>
          <w:rFonts w:hint="eastAsia" w:asciiTheme="minorEastAsia" w:hAnsiTheme="minorEastAsia" w:eastAsiaTheme="minorEastAsia" w:cstheme="minorEastAsia"/>
          <w:color w:val="auto"/>
          <w:sz w:val="23"/>
          <w:szCs w:val="23"/>
          <w:u w:val="single" w:color="auto"/>
        </w:rPr>
        <w:t xml:space="preserve">                          </w:t>
      </w:r>
    </w:p>
    <w:p w14:paraId="11289983">
      <w:pPr>
        <w:spacing w:line="258" w:lineRule="auto"/>
        <w:rPr>
          <w:rFonts w:hint="eastAsia" w:asciiTheme="minorEastAsia" w:hAnsiTheme="minorEastAsia" w:eastAsiaTheme="minorEastAsia" w:cstheme="minorEastAsia"/>
          <w:color w:val="auto"/>
          <w:sz w:val="21"/>
        </w:rPr>
      </w:pPr>
    </w:p>
    <w:p w14:paraId="13B9325E">
      <w:pPr>
        <w:spacing w:line="259" w:lineRule="auto"/>
        <w:rPr>
          <w:rFonts w:hint="eastAsia" w:asciiTheme="minorEastAsia" w:hAnsiTheme="minorEastAsia" w:eastAsiaTheme="minorEastAsia" w:cstheme="minorEastAsia"/>
          <w:color w:val="auto"/>
          <w:sz w:val="21"/>
        </w:rPr>
      </w:pPr>
    </w:p>
    <w:p w14:paraId="160051BB">
      <w:pPr>
        <w:spacing w:before="75" w:line="224" w:lineRule="auto"/>
        <w:ind w:left="58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法</w:t>
      </w:r>
      <w:r>
        <w:rPr>
          <w:rFonts w:hint="eastAsia" w:asciiTheme="minorEastAsia" w:hAnsiTheme="minorEastAsia" w:eastAsiaTheme="minorEastAsia" w:cstheme="minorEastAsia"/>
          <w:color w:val="auto"/>
          <w:spacing w:val="8"/>
          <w:sz w:val="23"/>
          <w:szCs w:val="23"/>
        </w:rPr>
        <w:t xml:space="preserve">定代表人或委托代理人 </w:t>
      </w:r>
      <w:r>
        <w:rPr>
          <w:rFonts w:hint="eastAsia" w:asciiTheme="minorEastAsia" w:hAnsiTheme="minorEastAsia" w:eastAsiaTheme="minorEastAsia" w:cstheme="minorEastAsia"/>
          <w:color w:val="auto"/>
          <w:spacing w:val="8"/>
          <w:sz w:val="23"/>
          <w:szCs w:val="23"/>
          <w:lang w:eastAsia="zh-CN"/>
        </w:rPr>
        <w:t>（</w:t>
      </w:r>
      <w:r>
        <w:rPr>
          <w:rFonts w:hint="eastAsia" w:asciiTheme="minorEastAsia" w:hAnsiTheme="minorEastAsia" w:eastAsiaTheme="minorEastAsia" w:cstheme="minorEastAsia"/>
          <w:color w:val="auto"/>
          <w:spacing w:val="8"/>
          <w:sz w:val="23"/>
          <w:szCs w:val="23"/>
        </w:rPr>
        <w:t>签字或盖章</w:t>
      </w:r>
      <w:r>
        <w:rPr>
          <w:rFonts w:hint="eastAsia" w:asciiTheme="minorEastAsia" w:hAnsiTheme="minorEastAsia" w:eastAsiaTheme="minorEastAsia" w:cstheme="minorEastAsia"/>
          <w:color w:val="auto"/>
          <w:spacing w:val="8"/>
          <w:sz w:val="23"/>
          <w:szCs w:val="23"/>
          <w:lang w:eastAsia="zh-CN"/>
        </w:rPr>
        <w:t>）</w:t>
      </w:r>
      <w:r>
        <w:rPr>
          <w:rFonts w:hint="eastAsia" w:asciiTheme="minorEastAsia" w:hAnsiTheme="minorEastAsia" w:eastAsiaTheme="minorEastAsia" w:cstheme="minorEastAsia"/>
          <w:color w:val="auto"/>
          <w:spacing w:val="8"/>
          <w:sz w:val="23"/>
          <w:szCs w:val="23"/>
        </w:rPr>
        <w:t xml:space="preserve"> ：</w:t>
      </w:r>
      <w:r>
        <w:rPr>
          <w:rFonts w:hint="eastAsia" w:asciiTheme="minorEastAsia" w:hAnsiTheme="minorEastAsia" w:eastAsiaTheme="minorEastAsia" w:cstheme="minorEastAsia"/>
          <w:color w:val="auto"/>
          <w:sz w:val="23"/>
          <w:szCs w:val="23"/>
          <w:u w:val="single" w:color="auto"/>
        </w:rPr>
        <w:t xml:space="preserve">                </w:t>
      </w:r>
    </w:p>
    <w:p w14:paraId="2C5A7EEF">
      <w:pPr>
        <w:spacing w:line="262" w:lineRule="auto"/>
        <w:rPr>
          <w:rFonts w:hint="eastAsia" w:asciiTheme="minorEastAsia" w:hAnsiTheme="minorEastAsia" w:eastAsiaTheme="minorEastAsia" w:cstheme="minorEastAsia"/>
          <w:color w:val="auto"/>
          <w:sz w:val="21"/>
        </w:rPr>
      </w:pPr>
    </w:p>
    <w:p w14:paraId="55291A15">
      <w:pPr>
        <w:spacing w:line="262" w:lineRule="auto"/>
        <w:rPr>
          <w:rFonts w:hint="eastAsia" w:asciiTheme="minorEastAsia" w:hAnsiTheme="minorEastAsia" w:eastAsiaTheme="minorEastAsia" w:cstheme="minorEastAsia"/>
          <w:color w:val="auto"/>
          <w:sz w:val="21"/>
        </w:rPr>
      </w:pPr>
    </w:p>
    <w:p w14:paraId="00D7365A">
      <w:pPr>
        <w:spacing w:before="75" w:line="227" w:lineRule="auto"/>
        <w:ind w:right="294"/>
        <w:jc w:val="right"/>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
          <w:sz w:val="23"/>
          <w:szCs w:val="23"/>
        </w:rPr>
        <w:t>日</w:t>
      </w:r>
      <w:r>
        <w:rPr>
          <w:rFonts w:hint="eastAsia" w:asciiTheme="minorEastAsia" w:hAnsiTheme="minorEastAsia" w:eastAsiaTheme="minorEastAsia" w:cstheme="minorEastAsia"/>
          <w:color w:val="auto"/>
          <w:sz w:val="23"/>
          <w:szCs w:val="23"/>
        </w:rPr>
        <w:t>期：      年    月    日</w:t>
      </w:r>
    </w:p>
    <w:p w14:paraId="5D932415">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7D3A4693">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55FDD98C">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6B9D0202">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39C3D715">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14C20F89">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74B556FE">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76E5AD79">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4FE0062A">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69BDD41D">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38EF691D">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5285089D">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3443665D">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p>
    <w:p w14:paraId="005C4009">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r>
        <w:rPr>
          <w:rFonts w:hint="eastAsia" w:ascii="宋体" w:hAnsi="宋体" w:eastAsia="宋体" w:cs="宋体"/>
          <w:b/>
          <w:sz w:val="30"/>
          <w:szCs w:val="22"/>
          <w:lang w:val="zh-CN" w:eastAsia="zh-CN" w:bidi="zh-CN"/>
        </w:rPr>
        <w:t>三、供应商资格证明文件</w:t>
      </w:r>
    </w:p>
    <w:p w14:paraId="19E3AAC9">
      <w:pPr>
        <w:pStyle w:val="14"/>
        <w:rPr>
          <w:rFonts w:hint="eastAsia"/>
          <w:lang w:val="zh-CN" w:eastAsia="zh-CN"/>
        </w:rPr>
      </w:pPr>
    </w:p>
    <w:p w14:paraId="3DDD97D8">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 xml:space="preserve">具有独立承担民事责任的能力：提供营业执照、税务登记证、组织机构代码证或三证合一的营业执照副本（或《事业单位法人证书》或其他合法组织登记证书、 自然人只需提交身份证）； </w:t>
      </w:r>
    </w:p>
    <w:p w14:paraId="5A69331C">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2"/>
          <w:sz w:val="24"/>
          <w:szCs w:val="24"/>
          <w:lang w:eastAsia="zh-CN"/>
        </w:rPr>
        <w:t>）法定代表人直接参加投标的，须出具法定代表人身份证；法定代表人授权代表参加投标的，须出具法定代表人授权委托书、法定代表人身份证复印件以及被授权代表身份证复印件；</w:t>
      </w:r>
    </w:p>
    <w:p w14:paraId="2F75DBD1">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3</w:t>
      </w:r>
      <w:r>
        <w:rPr>
          <w:rFonts w:hint="eastAsia" w:asciiTheme="minorEastAsia" w:hAnsiTheme="minorEastAsia" w:eastAsiaTheme="minorEastAsia" w:cstheme="minorEastAsia"/>
          <w:color w:val="auto"/>
          <w:kern w:val="2"/>
          <w:sz w:val="24"/>
          <w:szCs w:val="24"/>
          <w:lang w:eastAsia="zh-CN"/>
        </w:rPr>
        <w:t>）财务状况报告：</w:t>
      </w:r>
      <w:r>
        <w:rPr>
          <w:rFonts w:hint="eastAsia" w:asciiTheme="minorEastAsia" w:hAnsiTheme="minorEastAsia" w:eastAsiaTheme="minorEastAsia" w:cstheme="minorEastAsia"/>
          <w:color w:val="auto"/>
          <w:kern w:val="2"/>
          <w:sz w:val="24"/>
          <w:szCs w:val="24"/>
          <w:lang w:val="en-US" w:eastAsia="zh-CN"/>
        </w:rPr>
        <w:t xml:space="preserve">提供2024年度经会计师事务所出具的财务审计报告（成立时间至提交投标文件截止时间不足一年的可提供成立后任意时间段的财务报表，至少应包括资产负债表、现金流量表和利润表（损益表））或提交投标文件截止时间前六个月内其基本账户开户银行出具的资信证明；    </w:t>
      </w:r>
    </w:p>
    <w:p w14:paraId="19E5F534">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4</w:t>
      </w:r>
      <w:r>
        <w:rPr>
          <w:rFonts w:hint="eastAsia" w:asciiTheme="minorEastAsia" w:hAnsiTheme="minorEastAsia" w:eastAsiaTheme="minorEastAsia" w:cstheme="minorEastAsia"/>
          <w:color w:val="auto"/>
          <w:kern w:val="2"/>
          <w:sz w:val="24"/>
          <w:szCs w:val="24"/>
          <w:lang w:eastAsia="zh-CN"/>
        </w:rPr>
        <w:t>）社会保障资金缴纳证明：自</w:t>
      </w:r>
      <w:r>
        <w:rPr>
          <w:rFonts w:hint="eastAsia" w:asciiTheme="minorEastAsia" w:hAnsiTheme="minorEastAsia" w:eastAsiaTheme="minorEastAsia" w:cstheme="minorEastAsia"/>
          <w:color w:val="auto"/>
          <w:kern w:val="2"/>
          <w:sz w:val="24"/>
          <w:szCs w:val="24"/>
          <w:lang w:val="en-US" w:eastAsia="zh-CN"/>
        </w:rPr>
        <w:t>2025</w:t>
      </w:r>
      <w:r>
        <w:rPr>
          <w:rFonts w:hint="eastAsia" w:asciiTheme="minorEastAsia" w:hAnsiTheme="minorEastAsia" w:eastAsiaTheme="minorEastAsia" w:cstheme="minorEastAsia"/>
          <w:color w:val="auto"/>
          <w:kern w:val="2"/>
          <w:sz w:val="24"/>
          <w:szCs w:val="24"/>
          <w:lang w:eastAsia="zh-CN"/>
        </w:rPr>
        <w:t>年</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月1日以来已缴存的至少</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个月的社会保障资金缴存单据或社保机构开具的社会保险参保缴费情况证明，单据或证明上应有社保机构或代收机构的印章。依法不需要缴纳社会保障资金的供应商应提供相关文件证明；</w:t>
      </w:r>
    </w:p>
    <w:p w14:paraId="79410C63">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5</w:t>
      </w:r>
      <w:r>
        <w:rPr>
          <w:rFonts w:hint="eastAsia" w:asciiTheme="minorEastAsia" w:hAnsiTheme="minorEastAsia" w:eastAsiaTheme="minorEastAsia" w:cstheme="minorEastAsia"/>
          <w:color w:val="auto"/>
          <w:kern w:val="2"/>
          <w:sz w:val="24"/>
          <w:szCs w:val="24"/>
          <w:lang w:eastAsia="zh-CN"/>
        </w:rPr>
        <w:t>）税收缴纳证明：自</w:t>
      </w:r>
      <w:r>
        <w:rPr>
          <w:rFonts w:hint="eastAsia" w:asciiTheme="minorEastAsia" w:hAnsiTheme="minorEastAsia" w:eastAsiaTheme="minorEastAsia" w:cstheme="minorEastAsia"/>
          <w:color w:val="auto"/>
          <w:kern w:val="2"/>
          <w:sz w:val="24"/>
          <w:szCs w:val="24"/>
          <w:lang w:val="en-US" w:eastAsia="zh-CN"/>
        </w:rPr>
        <w:t>2025</w:t>
      </w:r>
      <w:r>
        <w:rPr>
          <w:rFonts w:hint="eastAsia" w:asciiTheme="minorEastAsia" w:hAnsiTheme="minorEastAsia" w:eastAsiaTheme="minorEastAsia" w:cstheme="minorEastAsia"/>
          <w:color w:val="auto"/>
          <w:kern w:val="2"/>
          <w:sz w:val="24"/>
          <w:szCs w:val="24"/>
          <w:lang w:eastAsia="zh-CN"/>
        </w:rPr>
        <w:t>年</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月1日以来至少</w:t>
      </w:r>
      <w:r>
        <w:rPr>
          <w:rFonts w:hint="eastAsia" w:asciiTheme="minorEastAsia" w:hAnsiTheme="minorEastAsia" w:eastAsiaTheme="minorEastAsia" w:cstheme="minorEastAsia"/>
          <w:color w:val="auto"/>
          <w:kern w:val="2"/>
          <w:sz w:val="24"/>
          <w:szCs w:val="24"/>
          <w:lang w:val="en-US" w:eastAsia="zh-CN"/>
        </w:rPr>
        <w:t>1</w:t>
      </w:r>
      <w:r>
        <w:rPr>
          <w:rFonts w:hint="eastAsia" w:asciiTheme="minorEastAsia" w:hAnsiTheme="minorEastAsia" w:eastAsiaTheme="minorEastAsia" w:cstheme="minorEastAsia"/>
          <w:color w:val="auto"/>
          <w:kern w:val="2"/>
          <w:sz w:val="24"/>
          <w:szCs w:val="24"/>
          <w:lang w:eastAsia="zh-CN"/>
        </w:rPr>
        <w:t>个月的纳税证明或完税证明（提供增值税、企业所得税至少一种），纳税证明或完税证明上应有代收机构或税务机关的公章或业务专用章。依法免税的供应商应提供相关文件证明；</w:t>
      </w:r>
    </w:p>
    <w:p w14:paraId="31AAB705">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6</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6967E0EA">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（7）参加本次政府采购活动前三年内，在经营活动中没有重大违法记录声明；</w:t>
      </w:r>
    </w:p>
    <w:p w14:paraId="287EDC6E">
      <w:pPr>
        <w:pStyle w:val="3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（8）供应商具有履行合同所必需的设备和专业技术能力的书面声明；</w:t>
      </w:r>
    </w:p>
    <w:p w14:paraId="4F6FCCB4">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（9）供应商应提供中小企业声明函或残疾人福利性单位声明函或监狱企业证明文件；</w:t>
      </w:r>
    </w:p>
    <w:p w14:paraId="515FC407">
      <w:pPr>
        <w:pStyle w:val="36"/>
        <w:keepNext w:val="0"/>
        <w:keepLines w:val="0"/>
        <w:pageBreakBefore w:val="0"/>
        <w:widowControl w:val="0"/>
        <w:suppressLineNumbers w:val="0"/>
        <w:kinsoku/>
        <w:wordWrap/>
        <w:overflowPunct/>
        <w:topLinePunct w:val="0"/>
        <w:autoSpaceDE w:val="0"/>
        <w:bidi w:val="0"/>
        <w:adjustRightInd/>
        <w:snapToGrid/>
        <w:spacing w:before="0" w:beforeAutospacing="0" w:after="0" w:afterAutospacing="0" w:line="540" w:lineRule="exact"/>
        <w:ind w:left="0" w:right="0" w:rightChars="0" w:firstLine="480" w:firstLineChars="200"/>
        <w:jc w:val="left"/>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（10）本项目不接受联合体投标（提供书面声明）。</w:t>
      </w:r>
    </w:p>
    <w:p w14:paraId="359F5FFB">
      <w:pPr>
        <w:pStyle w:val="7"/>
        <w:rPr>
          <w:rFonts w:hint="eastAsia"/>
          <w:lang w:eastAsia="zh-CN"/>
        </w:rPr>
      </w:pPr>
    </w:p>
    <w:p w14:paraId="527FF111">
      <w:pPr>
        <w:pStyle w:val="4"/>
        <w:jc w:val="center"/>
        <w:rPr>
          <w:rFonts w:hint="eastAsia" w:ascii="宋体" w:hAnsi="宋体" w:eastAsia="宋体" w:cs="宋体"/>
          <w:color w:val="auto"/>
          <w:sz w:val="28"/>
          <w:szCs w:val="28"/>
        </w:rPr>
      </w:pP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法定代表人身份证明书</w:t>
      </w:r>
    </w:p>
    <w:p w14:paraId="7B44A148">
      <w:pPr>
        <w:rPr>
          <w:rFonts w:hint="eastAsia"/>
        </w:rPr>
      </w:pPr>
    </w:p>
    <w:p w14:paraId="70411D0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6B2540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C9E2B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C74238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C7B7D7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8E4C13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2D00447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名称）的法定代表人。</w:t>
      </w:r>
    </w:p>
    <w:p w14:paraId="6B97D5B7">
      <w:p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1BEC56E6">
      <w:pPr>
        <w:spacing w:line="360" w:lineRule="auto"/>
        <w:ind w:firstLine="480" w:firstLineChars="200"/>
        <w:rPr>
          <w:rFonts w:hint="eastAsia" w:ascii="宋体" w:hAnsi="宋体" w:eastAsia="宋体" w:cs="宋体"/>
          <w:color w:val="auto"/>
          <w:sz w:val="24"/>
          <w:szCs w:val="24"/>
        </w:rPr>
      </w:pPr>
    </w:p>
    <w:p w14:paraId="15A17DD5">
      <w:pPr>
        <w:spacing w:line="360" w:lineRule="auto"/>
        <w:ind w:firstLine="480" w:firstLineChars="200"/>
        <w:rPr>
          <w:rFonts w:hint="eastAsia" w:ascii="宋体" w:hAnsi="宋体" w:eastAsia="宋体" w:cs="宋体"/>
          <w:color w:val="auto"/>
          <w:sz w:val="24"/>
          <w:szCs w:val="24"/>
        </w:rPr>
      </w:pPr>
    </w:p>
    <w:p w14:paraId="03BE27BD">
      <w:pPr>
        <w:spacing w:line="360" w:lineRule="auto"/>
        <w:ind w:firstLine="480" w:firstLineChars="200"/>
        <w:rPr>
          <w:rFonts w:hint="eastAsia" w:ascii="宋体" w:hAnsi="宋体" w:eastAsia="宋体" w:cs="宋体"/>
          <w:color w:val="auto"/>
          <w:sz w:val="24"/>
          <w:szCs w:val="24"/>
        </w:rPr>
      </w:pPr>
    </w:p>
    <w:p w14:paraId="1D15AC6B">
      <w:pPr>
        <w:spacing w:line="360" w:lineRule="auto"/>
        <w:ind w:firstLine="3960" w:firstLineChars="16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44FEE90D">
      <w:pPr>
        <w:spacing w:line="360" w:lineRule="auto"/>
        <w:ind w:firstLine="5160" w:firstLineChars="2150"/>
        <w:rPr>
          <w:rFonts w:hint="eastAsia" w:ascii="宋体" w:hAnsi="宋体" w:eastAsia="宋体" w:cs="宋体"/>
          <w:color w:val="auto"/>
          <w:sz w:val="24"/>
          <w:szCs w:val="24"/>
          <w:u w:val="single"/>
        </w:rPr>
      </w:pPr>
    </w:p>
    <w:p w14:paraId="285539E2">
      <w:pPr>
        <w:spacing w:line="360" w:lineRule="auto"/>
        <w:ind w:firstLine="5160" w:firstLineChars="21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C82CA4D">
      <w:pPr>
        <w:spacing w:line="360" w:lineRule="auto"/>
        <w:ind w:firstLine="5160" w:firstLineChars="2150"/>
        <w:rPr>
          <w:rFonts w:hint="eastAsia" w:ascii="宋体" w:hAnsi="宋体" w:eastAsia="宋体" w:cs="宋体"/>
          <w:color w:val="auto"/>
          <w:sz w:val="24"/>
          <w:szCs w:val="24"/>
        </w:rPr>
      </w:pPr>
    </w:p>
    <w:p w14:paraId="2A8677F1">
      <w:pPr>
        <w:rPr>
          <w:rFonts w:hint="eastAsia" w:ascii="宋体" w:hAnsi="宋体" w:eastAsia="宋体" w:cs="宋体"/>
        </w:rPr>
      </w:pPr>
    </w:p>
    <w:p w14:paraId="4B87006A">
      <w:pPr>
        <w:pStyle w:val="8"/>
        <w:rPr>
          <w:rFonts w:hint="eastAsia" w:ascii="宋体" w:hAnsi="宋体" w:eastAsia="宋体" w:cs="宋体"/>
        </w:rPr>
      </w:pPr>
    </w:p>
    <w:p w14:paraId="0CD7D755">
      <w:pPr>
        <w:rPr>
          <w:rFonts w:hint="eastAsia" w:ascii="宋体" w:hAnsi="宋体" w:eastAsia="宋体" w:cs="宋体"/>
        </w:rPr>
      </w:pPr>
    </w:p>
    <w:p w14:paraId="765D9220">
      <w:pPr>
        <w:pStyle w:val="8"/>
        <w:rPr>
          <w:rFonts w:hint="eastAsia" w:ascii="宋体" w:hAnsi="宋体" w:eastAsia="宋体" w:cs="宋体"/>
        </w:rPr>
      </w:pPr>
    </w:p>
    <w:p w14:paraId="4B251FB5">
      <w:pPr>
        <w:rPr>
          <w:rFonts w:hint="eastAsia" w:ascii="宋体" w:hAnsi="宋体" w:eastAsia="宋体" w:cs="宋体"/>
        </w:rPr>
      </w:pPr>
    </w:p>
    <w:p w14:paraId="160A4469">
      <w:pPr>
        <w:pStyle w:val="8"/>
        <w:rPr>
          <w:rFonts w:hint="eastAsia" w:ascii="宋体" w:hAnsi="宋体" w:eastAsia="宋体" w:cs="宋体"/>
        </w:rPr>
      </w:pPr>
    </w:p>
    <w:p w14:paraId="7B52E3F2">
      <w:pPr>
        <w:rPr>
          <w:rFonts w:hint="eastAsia" w:ascii="宋体" w:hAnsi="宋体" w:eastAsia="宋体" w:cs="宋体"/>
        </w:rPr>
      </w:pPr>
    </w:p>
    <w:p w14:paraId="369D5B2E">
      <w:pPr>
        <w:pStyle w:val="32"/>
        <w:rPr>
          <w:rFonts w:hint="eastAsia" w:ascii="宋体" w:hAnsi="宋体" w:eastAsia="宋体" w:cs="宋体"/>
        </w:rPr>
      </w:pPr>
    </w:p>
    <w:p w14:paraId="3D94C2B7">
      <w:pPr>
        <w:pStyle w:val="32"/>
        <w:rPr>
          <w:rFonts w:hint="eastAsia" w:ascii="宋体" w:hAnsi="宋体" w:eastAsia="宋体" w:cs="宋体"/>
        </w:rPr>
      </w:pPr>
    </w:p>
    <w:p w14:paraId="23870A60">
      <w:pPr>
        <w:pStyle w:val="32"/>
        <w:rPr>
          <w:rFonts w:hint="eastAsia" w:ascii="宋体" w:hAnsi="宋体" w:eastAsia="宋体" w:cs="宋体"/>
        </w:rPr>
      </w:pPr>
    </w:p>
    <w:p w14:paraId="23A8C1C0">
      <w:pPr>
        <w:pStyle w:val="32"/>
        <w:rPr>
          <w:rFonts w:hint="eastAsia" w:ascii="宋体" w:hAnsi="宋体" w:eastAsia="宋体" w:cs="宋体"/>
        </w:rPr>
      </w:pPr>
    </w:p>
    <w:p w14:paraId="050196E7">
      <w:pPr>
        <w:pStyle w:val="32"/>
        <w:rPr>
          <w:rFonts w:hint="eastAsia" w:ascii="宋体" w:hAnsi="宋体" w:eastAsia="宋体" w:cs="宋体"/>
        </w:rPr>
      </w:pPr>
    </w:p>
    <w:p w14:paraId="39CB634B">
      <w:pPr>
        <w:pStyle w:val="32"/>
        <w:rPr>
          <w:rFonts w:hint="eastAsia" w:ascii="宋体" w:hAnsi="宋体" w:eastAsia="宋体" w:cs="宋体"/>
        </w:rPr>
      </w:pPr>
    </w:p>
    <w:p w14:paraId="43B1694C">
      <w:pPr>
        <w:pStyle w:val="32"/>
        <w:rPr>
          <w:rFonts w:hint="eastAsia" w:ascii="宋体" w:hAnsi="宋体" w:eastAsia="宋体" w:cs="宋体"/>
        </w:rPr>
      </w:pPr>
    </w:p>
    <w:p w14:paraId="15692385">
      <w:pPr>
        <w:pStyle w:val="32"/>
        <w:rPr>
          <w:rFonts w:hint="eastAsia" w:ascii="宋体" w:hAnsi="宋体" w:eastAsia="宋体" w:cs="宋体"/>
        </w:rPr>
      </w:pPr>
    </w:p>
    <w:p w14:paraId="0719D779">
      <w:pPr>
        <w:rPr>
          <w:rFonts w:hint="eastAsia" w:ascii="宋体" w:hAnsi="宋体" w:eastAsia="宋体" w:cs="宋体"/>
        </w:rPr>
      </w:pPr>
    </w:p>
    <w:p w14:paraId="784A5606">
      <w:pPr>
        <w:pStyle w:val="8"/>
        <w:rPr>
          <w:rFonts w:hint="eastAsia" w:ascii="宋体" w:hAnsi="宋体" w:eastAsia="宋体" w:cs="宋体"/>
        </w:rPr>
      </w:pPr>
    </w:p>
    <w:p w14:paraId="0D2B5CC9">
      <w:pPr>
        <w:rPr>
          <w:rFonts w:hint="eastAsia" w:ascii="宋体" w:hAnsi="宋体" w:eastAsia="宋体" w:cs="宋体"/>
        </w:rPr>
      </w:pPr>
    </w:p>
    <w:p w14:paraId="0B5B6CA1">
      <w:pPr>
        <w:pStyle w:val="8"/>
        <w:rPr>
          <w:rFonts w:hint="eastAsia" w:ascii="宋体" w:hAnsi="宋体" w:eastAsia="宋体" w:cs="宋体"/>
        </w:rPr>
      </w:pPr>
    </w:p>
    <w:p w14:paraId="357807DC">
      <w:pPr>
        <w:rPr>
          <w:rFonts w:hint="eastAsia"/>
        </w:rPr>
      </w:pPr>
    </w:p>
    <w:p w14:paraId="7944D978">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cs="宋体"/>
          <w:b/>
          <w:bCs/>
          <w:color w:val="auto"/>
          <w:sz w:val="28"/>
          <w:szCs w:val="28"/>
          <w:lang w:val="en-US" w:eastAsia="zh-CN" w:bidi="zh-CN"/>
        </w:rPr>
        <w:t>3</w:t>
      </w:r>
      <w:r>
        <w:rPr>
          <w:rFonts w:hint="eastAsia" w:ascii="宋体" w:hAnsi="宋体" w:eastAsia="宋体" w:cs="宋体"/>
          <w:b/>
          <w:bCs/>
          <w:color w:val="auto"/>
          <w:sz w:val="28"/>
          <w:szCs w:val="28"/>
          <w:lang w:val="en-US" w:eastAsia="zh-CN" w:bidi="zh-CN"/>
        </w:rPr>
        <w:t xml:space="preserve">.2 </w:t>
      </w:r>
      <w:r>
        <w:rPr>
          <w:rFonts w:hint="eastAsia" w:ascii="宋体" w:hAnsi="宋体" w:eastAsia="宋体" w:cs="宋体"/>
          <w:b/>
          <w:bCs/>
          <w:color w:val="auto"/>
          <w:sz w:val="28"/>
          <w:szCs w:val="28"/>
          <w:lang w:val="zh-CN" w:eastAsia="zh-CN" w:bidi="zh-CN"/>
        </w:rPr>
        <w:t>法定代表人授权委托书</w:t>
      </w:r>
    </w:p>
    <w:p w14:paraId="04440781">
      <w:pPr>
        <w:pStyle w:val="9"/>
        <w:rPr>
          <w:rFonts w:hint="eastAsia" w:ascii="宋体" w:hAnsi="宋体" w:eastAsia="宋体" w:cs="宋体"/>
        </w:rPr>
      </w:pPr>
    </w:p>
    <w:p w14:paraId="24F018B7">
      <w:pPr>
        <w:spacing w:line="360" w:lineRule="auto"/>
        <w:jc w:val="left"/>
        <w:rPr>
          <w:rFonts w:hint="eastAsia" w:ascii="宋体" w:hAnsi="宋体" w:eastAsia="宋体" w:cs="宋体"/>
          <w:b/>
          <w:sz w:val="24"/>
          <w:szCs w:val="24"/>
          <w:u w:val="single"/>
          <w:lang w:eastAsia="zh-CN"/>
        </w:rPr>
      </w:pPr>
      <w:r>
        <w:rPr>
          <w:rFonts w:hint="eastAsia" w:ascii="宋体" w:hAnsi="宋体" w:eastAsia="宋体" w:cs="宋体"/>
          <w:b/>
          <w:spacing w:val="4"/>
          <w:sz w:val="24"/>
          <w:szCs w:val="24"/>
        </w:rPr>
        <w:t>致：</w:t>
      </w:r>
      <w:r>
        <w:rPr>
          <w:rFonts w:hint="eastAsia" w:cs="宋体"/>
          <w:b/>
          <w:sz w:val="24"/>
          <w:szCs w:val="24"/>
          <w:u w:val="single"/>
          <w:lang w:eastAsia="zh-CN"/>
        </w:rPr>
        <w:t>亿诚建设项目管理有限公司</w:t>
      </w:r>
    </w:p>
    <w:p w14:paraId="414DB6D4">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按中华人民共和国法律于</w:t>
      </w:r>
      <w:r>
        <w:rPr>
          <w:rFonts w:hint="eastAsia" w:ascii="宋体" w:hAnsi="宋体" w:eastAsia="宋体" w:cs="宋体"/>
          <w:spacing w:val="4"/>
          <w:sz w:val="24"/>
          <w:szCs w:val="24"/>
          <w:u w:val="single"/>
        </w:rPr>
        <w:t>（  年  月  日 ）</w:t>
      </w:r>
      <w:r>
        <w:rPr>
          <w:rFonts w:hint="eastAsia" w:ascii="宋体" w:hAnsi="宋体" w:eastAsia="宋体" w:cs="宋体"/>
          <w:spacing w:val="4"/>
          <w:sz w:val="24"/>
          <w:szCs w:val="24"/>
        </w:rPr>
        <w:t xml:space="preserve">成立。  </w:t>
      </w:r>
      <w:r>
        <w:rPr>
          <w:rFonts w:hint="eastAsia" w:ascii="宋体" w:hAnsi="宋体" w:eastAsia="宋体" w:cs="宋体"/>
          <w:spacing w:val="4"/>
          <w:sz w:val="24"/>
          <w:szCs w:val="24"/>
          <w:u w:val="single"/>
        </w:rPr>
        <w:t xml:space="preserve">(法定代表人姓名)  </w:t>
      </w:r>
      <w:r>
        <w:rPr>
          <w:rFonts w:hint="eastAsia" w:ascii="宋体" w:hAnsi="宋体" w:eastAsia="宋体" w:cs="宋体"/>
          <w:spacing w:val="4"/>
          <w:sz w:val="24"/>
          <w:szCs w:val="24"/>
        </w:rPr>
        <w:t>特授权</w:t>
      </w:r>
      <w:r>
        <w:rPr>
          <w:rFonts w:hint="eastAsia" w:ascii="宋体" w:hAnsi="宋体" w:eastAsia="宋体" w:cs="宋体"/>
          <w:spacing w:val="4"/>
          <w:sz w:val="24"/>
          <w:szCs w:val="24"/>
          <w:u w:val="single"/>
        </w:rPr>
        <w:t xml:space="preserve"> （被授权人姓名）  </w:t>
      </w:r>
      <w:r>
        <w:rPr>
          <w:rFonts w:hint="eastAsia" w:ascii="宋体" w:hAnsi="宋体" w:eastAsia="宋体" w:cs="宋体"/>
          <w:spacing w:val="4"/>
          <w:sz w:val="24"/>
          <w:szCs w:val="24"/>
        </w:rPr>
        <w:t>代表我公司全权办理针对本次</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lang w:eastAsia="zh-CN"/>
        </w:rPr>
        <w:t>谈判</w:t>
      </w:r>
      <w:r>
        <w:rPr>
          <w:rFonts w:hint="eastAsia" w:ascii="宋体" w:hAnsi="宋体" w:eastAsia="宋体" w:cs="宋体"/>
          <w:spacing w:val="4"/>
          <w:sz w:val="24"/>
          <w:szCs w:val="24"/>
        </w:rPr>
        <w:t>、签约等具体工作，并签署全部有关的文件、协议及合同。</w:t>
      </w:r>
    </w:p>
    <w:p w14:paraId="6EDCA47F">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我公司对被授权人的签名负全部责任。</w:t>
      </w:r>
    </w:p>
    <w:p w14:paraId="3CD0628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9627837">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本授权书于</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日签</w:t>
      </w:r>
      <w:r>
        <w:rPr>
          <w:rFonts w:hint="eastAsia" w:ascii="宋体" w:hAnsi="宋体" w:eastAsia="宋体" w:cs="宋体"/>
          <w:spacing w:val="4"/>
          <w:sz w:val="24"/>
          <w:szCs w:val="24"/>
        </w:rPr>
        <w:t>字生效，特此证明。</w:t>
      </w:r>
    </w:p>
    <w:p w14:paraId="6A533BFF">
      <w:pPr>
        <w:spacing w:line="360" w:lineRule="auto"/>
        <w:ind w:firstLine="496" w:firstLineChars="200"/>
        <w:jc w:val="left"/>
        <w:rPr>
          <w:rFonts w:hint="eastAsia" w:ascii="宋体" w:hAnsi="宋体" w:eastAsia="宋体" w:cs="宋体"/>
          <w:spacing w:val="4"/>
          <w:sz w:val="24"/>
          <w:szCs w:val="24"/>
        </w:rPr>
      </w:pPr>
    </w:p>
    <w:tbl>
      <w:tblPr>
        <w:tblStyle w:val="18"/>
        <w:tblW w:w="9039" w:type="dxa"/>
        <w:tblInd w:w="0" w:type="dxa"/>
        <w:tblLayout w:type="fixed"/>
        <w:tblCellMar>
          <w:top w:w="0" w:type="dxa"/>
          <w:left w:w="108" w:type="dxa"/>
          <w:bottom w:w="0" w:type="dxa"/>
          <w:right w:w="108" w:type="dxa"/>
        </w:tblCellMar>
      </w:tblPr>
      <w:tblGrid>
        <w:gridCol w:w="4604"/>
        <w:gridCol w:w="4435"/>
      </w:tblGrid>
      <w:tr w14:paraId="28DBDF67">
        <w:tblPrEx>
          <w:tblCellMar>
            <w:top w:w="0" w:type="dxa"/>
            <w:left w:w="108" w:type="dxa"/>
            <w:bottom w:w="0" w:type="dxa"/>
            <w:right w:w="108" w:type="dxa"/>
          </w:tblCellMar>
        </w:tblPrEx>
        <w:trPr>
          <w:trHeight w:val="600" w:hRule="atLeast"/>
        </w:trPr>
        <w:tc>
          <w:tcPr>
            <w:tcW w:w="4604" w:type="dxa"/>
            <w:noWrap w:val="0"/>
            <w:vAlign w:val="top"/>
          </w:tcPr>
          <w:p w14:paraId="6EAD41EB">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tc>
        <w:tc>
          <w:tcPr>
            <w:tcW w:w="4435" w:type="dxa"/>
            <w:noWrap w:val="0"/>
            <w:vAlign w:val="top"/>
          </w:tcPr>
          <w:p w14:paraId="6ED7224E">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被授权人（签字）：</w:t>
            </w:r>
            <w:r>
              <w:rPr>
                <w:rFonts w:hint="eastAsia" w:ascii="宋体" w:hAnsi="宋体" w:eastAsia="宋体" w:cs="宋体"/>
                <w:spacing w:val="4"/>
                <w:sz w:val="24"/>
                <w:szCs w:val="24"/>
                <w:u w:val="single"/>
              </w:rPr>
              <w:t xml:space="preserve">              </w:t>
            </w:r>
          </w:p>
        </w:tc>
      </w:tr>
      <w:tr w14:paraId="4D8F95C6">
        <w:tblPrEx>
          <w:tblCellMar>
            <w:top w:w="0" w:type="dxa"/>
            <w:left w:w="108" w:type="dxa"/>
            <w:bottom w:w="0" w:type="dxa"/>
            <w:right w:w="108" w:type="dxa"/>
          </w:tblCellMar>
        </w:tblPrEx>
        <w:trPr>
          <w:trHeight w:val="600" w:hRule="atLeast"/>
        </w:trPr>
        <w:tc>
          <w:tcPr>
            <w:tcW w:w="4604" w:type="dxa"/>
            <w:noWrap w:val="0"/>
            <w:vAlign w:val="top"/>
          </w:tcPr>
          <w:p w14:paraId="16EDE176">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c>
          <w:tcPr>
            <w:tcW w:w="4435" w:type="dxa"/>
            <w:noWrap w:val="0"/>
            <w:vAlign w:val="top"/>
          </w:tcPr>
          <w:p w14:paraId="6EBEEB15">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r>
      <w:tr w14:paraId="034A0921">
        <w:tblPrEx>
          <w:tblCellMar>
            <w:top w:w="0" w:type="dxa"/>
            <w:left w:w="108" w:type="dxa"/>
            <w:bottom w:w="0" w:type="dxa"/>
            <w:right w:w="108" w:type="dxa"/>
          </w:tblCellMar>
        </w:tblPrEx>
        <w:trPr>
          <w:trHeight w:val="600" w:hRule="atLeast"/>
        </w:trPr>
        <w:tc>
          <w:tcPr>
            <w:tcW w:w="4604" w:type="dxa"/>
            <w:noWrap w:val="0"/>
            <w:vAlign w:val="top"/>
          </w:tcPr>
          <w:p w14:paraId="4A9C2DA3">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c>
          <w:tcPr>
            <w:tcW w:w="4435" w:type="dxa"/>
            <w:noWrap w:val="0"/>
            <w:vAlign w:val="top"/>
          </w:tcPr>
          <w:p w14:paraId="721CE864">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r>
      <w:tr w14:paraId="08D9975A">
        <w:tblPrEx>
          <w:tblCellMar>
            <w:top w:w="0" w:type="dxa"/>
            <w:left w:w="108" w:type="dxa"/>
            <w:bottom w:w="0" w:type="dxa"/>
            <w:right w:w="108" w:type="dxa"/>
          </w:tblCellMar>
        </w:tblPrEx>
        <w:trPr>
          <w:trHeight w:val="600" w:hRule="atLeast"/>
        </w:trPr>
        <w:tc>
          <w:tcPr>
            <w:tcW w:w="4604" w:type="dxa"/>
            <w:noWrap w:val="0"/>
            <w:vAlign w:val="top"/>
          </w:tcPr>
          <w:p w14:paraId="3453D741">
            <w:pPr>
              <w:spacing w:line="360" w:lineRule="auto"/>
              <w:jc w:val="left"/>
              <w:rPr>
                <w:rFonts w:hint="eastAsia" w:ascii="宋体" w:hAnsi="宋体" w:eastAsia="宋体" w:cs="宋体"/>
                <w:sz w:val="24"/>
                <w:szCs w:val="24"/>
              </w:rPr>
            </w:pPr>
          </w:p>
        </w:tc>
        <w:tc>
          <w:tcPr>
            <w:tcW w:w="4435" w:type="dxa"/>
            <w:noWrap w:val="0"/>
            <w:vAlign w:val="top"/>
          </w:tcPr>
          <w:p w14:paraId="35F76DCB">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所在部门：</w:t>
            </w:r>
            <w:r>
              <w:rPr>
                <w:rFonts w:hint="eastAsia" w:ascii="宋体" w:hAnsi="宋体" w:eastAsia="宋体" w:cs="宋体"/>
                <w:spacing w:val="4"/>
                <w:sz w:val="24"/>
                <w:szCs w:val="24"/>
                <w:u w:val="single"/>
              </w:rPr>
              <w:t xml:space="preserve">                  </w:t>
            </w:r>
          </w:p>
        </w:tc>
      </w:tr>
      <w:tr w14:paraId="23408A0A">
        <w:tblPrEx>
          <w:tblCellMar>
            <w:top w:w="0" w:type="dxa"/>
            <w:left w:w="108" w:type="dxa"/>
            <w:bottom w:w="0" w:type="dxa"/>
            <w:right w:w="108" w:type="dxa"/>
          </w:tblCellMar>
        </w:tblPrEx>
        <w:trPr>
          <w:trHeight w:val="600" w:hRule="atLeast"/>
        </w:trPr>
        <w:tc>
          <w:tcPr>
            <w:tcW w:w="4604" w:type="dxa"/>
            <w:noWrap w:val="0"/>
            <w:vAlign w:val="top"/>
          </w:tcPr>
          <w:p w14:paraId="7F16571A">
            <w:pPr>
              <w:spacing w:line="360" w:lineRule="auto"/>
              <w:jc w:val="left"/>
              <w:rPr>
                <w:rFonts w:hint="eastAsia" w:ascii="宋体" w:hAnsi="宋体" w:eastAsia="宋体" w:cs="宋体"/>
                <w:sz w:val="24"/>
                <w:szCs w:val="24"/>
              </w:rPr>
            </w:pPr>
          </w:p>
        </w:tc>
        <w:tc>
          <w:tcPr>
            <w:tcW w:w="4435" w:type="dxa"/>
            <w:noWrap w:val="0"/>
            <w:vAlign w:val="top"/>
          </w:tcPr>
          <w:p w14:paraId="5CD74388">
            <w:pPr>
              <w:spacing w:line="360" w:lineRule="auto"/>
              <w:jc w:val="left"/>
              <w:rPr>
                <w:rFonts w:hint="eastAsia" w:ascii="宋体" w:hAnsi="宋体" w:eastAsia="宋体" w:cs="宋体"/>
                <w:spacing w:val="4"/>
                <w:sz w:val="24"/>
                <w:szCs w:val="24"/>
              </w:rPr>
            </w:pPr>
          </w:p>
        </w:tc>
      </w:tr>
    </w:tbl>
    <w:p w14:paraId="384B351B">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附：法定代表人、被授权人二代身份证正反面复印件</w:t>
      </w:r>
    </w:p>
    <w:p w14:paraId="0AE38F7D">
      <w:pPr>
        <w:spacing w:line="360" w:lineRule="auto"/>
        <w:rPr>
          <w:rFonts w:hint="eastAsia" w:ascii="宋体" w:hAnsi="宋体" w:eastAsia="宋体" w:cs="宋体"/>
          <w:spacing w:val="4"/>
          <w:sz w:val="24"/>
          <w:szCs w:val="24"/>
        </w:rPr>
      </w:pPr>
    </w:p>
    <w:p w14:paraId="0EA3895D">
      <w:pPr>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rPr>
        <w:t xml:space="preserve">供应商名称（公章）:             </w:t>
      </w:r>
    </w:p>
    <w:p w14:paraId="2717EC74">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法定代表人/被授权人（签字或盖章）：</w:t>
      </w:r>
    </w:p>
    <w:p w14:paraId="475C67CB">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 xml:space="preserve">日期：                         </w:t>
      </w:r>
    </w:p>
    <w:p w14:paraId="6529FCBE">
      <w:pPr>
        <w:spacing w:line="360" w:lineRule="auto"/>
        <w:jc w:val="center"/>
        <w:rPr>
          <w:rFonts w:hint="eastAsia" w:ascii="宋体" w:hAnsi="宋体" w:eastAsia="宋体" w:cs="宋体"/>
          <w:b/>
          <w:spacing w:val="4"/>
          <w:sz w:val="28"/>
          <w:szCs w:val="28"/>
        </w:rPr>
      </w:pPr>
    </w:p>
    <w:p w14:paraId="53BFBF99">
      <w:pPr>
        <w:pStyle w:val="32"/>
        <w:rPr>
          <w:rFonts w:hint="eastAsia" w:ascii="宋体" w:hAnsi="宋体" w:eastAsia="宋体" w:cs="宋体"/>
          <w:b/>
          <w:spacing w:val="4"/>
          <w:sz w:val="28"/>
          <w:szCs w:val="28"/>
        </w:rPr>
      </w:pPr>
    </w:p>
    <w:p w14:paraId="698FCFDD">
      <w:pPr>
        <w:pStyle w:val="32"/>
        <w:rPr>
          <w:rFonts w:hint="eastAsia" w:ascii="宋体" w:hAnsi="宋体" w:eastAsia="宋体" w:cs="宋体"/>
          <w:b/>
          <w:spacing w:val="4"/>
          <w:sz w:val="28"/>
          <w:szCs w:val="28"/>
        </w:rPr>
      </w:pPr>
    </w:p>
    <w:p w14:paraId="408C4BAC">
      <w:pPr>
        <w:pStyle w:val="32"/>
        <w:rPr>
          <w:rFonts w:hint="eastAsia" w:ascii="宋体" w:hAnsi="宋体" w:eastAsia="宋体" w:cs="宋体"/>
          <w:b/>
          <w:spacing w:val="4"/>
          <w:sz w:val="28"/>
          <w:szCs w:val="28"/>
        </w:rPr>
      </w:pPr>
    </w:p>
    <w:p w14:paraId="0B45A4AF">
      <w:pPr>
        <w:pStyle w:val="32"/>
        <w:rPr>
          <w:rFonts w:hint="eastAsia" w:ascii="宋体" w:hAnsi="宋体" w:eastAsia="宋体" w:cs="宋体"/>
          <w:b/>
          <w:spacing w:val="4"/>
          <w:sz w:val="28"/>
          <w:szCs w:val="28"/>
        </w:rPr>
      </w:pPr>
    </w:p>
    <w:p w14:paraId="6259D372">
      <w:pPr>
        <w:pStyle w:val="32"/>
        <w:rPr>
          <w:rFonts w:hint="eastAsia" w:ascii="宋体" w:hAnsi="宋体" w:eastAsia="宋体" w:cs="宋体"/>
          <w:b/>
          <w:spacing w:val="4"/>
          <w:sz w:val="28"/>
          <w:szCs w:val="28"/>
        </w:rPr>
      </w:pPr>
    </w:p>
    <w:p w14:paraId="2D8B32C0">
      <w:pPr>
        <w:spacing w:before="32"/>
        <w:ind w:left="791" w:right="875" w:firstLine="0"/>
        <w:jc w:val="center"/>
        <w:rPr>
          <w:b/>
          <w:sz w:val="30"/>
        </w:rPr>
      </w:pPr>
    </w:p>
    <w:p w14:paraId="0B7EEEAD">
      <w:pPr>
        <w:spacing w:before="32"/>
        <w:ind w:left="791" w:right="875" w:firstLine="0"/>
        <w:jc w:val="center"/>
        <w:rPr>
          <w:b/>
          <w:sz w:val="30"/>
        </w:rPr>
      </w:pPr>
    </w:p>
    <w:p w14:paraId="70744D29">
      <w:pPr>
        <w:spacing w:before="47" w:line="227" w:lineRule="auto"/>
        <w:ind w:left="2301"/>
        <w:rPr>
          <w:rFonts w:ascii="宋体" w:hAnsi="宋体" w:eastAsia="宋体" w:cs="宋体"/>
          <w:spacing w:val="12"/>
          <w:sz w:val="23"/>
          <w:szCs w:val="23"/>
          <w14:textOutline w14:w="4358" w14:cap="sq" w14:cmpd="sng">
            <w14:solidFill>
              <w14:srgbClr w14:val="000000"/>
            </w14:solidFill>
            <w14:prstDash w14:val="solid"/>
            <w14:bevel/>
          </w14:textOutline>
        </w:rPr>
      </w:pPr>
    </w:p>
    <w:p w14:paraId="0B30304E">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ascii="宋体" w:hAnsi="宋体" w:eastAsia="宋体" w:cs="宋体"/>
          <w:b/>
          <w:bCs/>
          <w:color w:val="auto"/>
          <w:sz w:val="28"/>
          <w:szCs w:val="28"/>
          <w:lang w:val="zh-CN" w:eastAsia="zh-CN" w:bidi="zh-CN"/>
        </w:rPr>
        <w:t>3.3 供应商无重大违法记录的书面声明格式</w:t>
      </w:r>
    </w:p>
    <w:p w14:paraId="7928678C">
      <w:pPr>
        <w:spacing w:line="343" w:lineRule="auto"/>
        <w:rPr>
          <w:rFonts w:ascii="Arial"/>
          <w:sz w:val="21"/>
        </w:rPr>
      </w:pPr>
    </w:p>
    <w:p w14:paraId="3BD3F494">
      <w:pPr>
        <w:spacing w:before="75" w:line="227" w:lineRule="auto"/>
        <w:ind w:left="9"/>
        <w:rPr>
          <w:rFonts w:ascii="宋体" w:hAnsi="宋体" w:eastAsia="宋体" w:cs="宋体"/>
          <w:sz w:val="24"/>
          <w:szCs w:val="24"/>
        </w:rPr>
      </w:pPr>
      <w:r>
        <w:rPr>
          <w:sz w:val="24"/>
          <w:szCs w:val="24"/>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192405</wp:posOffset>
                </wp:positionV>
                <wp:extent cx="2306955" cy="7620"/>
                <wp:effectExtent l="0" t="0" r="0" b="0"/>
                <wp:wrapNone/>
                <wp:docPr id="2" name="矩形 2"/>
                <wp:cNvGraphicFramePr/>
                <a:graphic xmlns:a="http://schemas.openxmlformats.org/drawingml/2006/main">
                  <a:graphicData uri="http://schemas.microsoft.com/office/word/2010/wordprocessingShape">
                    <wps:wsp>
                      <wps:cNvSpPr/>
                      <wps:spPr>
                        <a:xfrm>
                          <a:off x="0" y="0"/>
                          <a:ext cx="2306955"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15.15pt;height:0.6pt;width:181.65pt;z-index:251673600;mso-width-relative:page;mso-height-relative:page;" fillcolor="#000000" filled="t" stroked="f" coordsize="21600,21600" o:gfxdata="UEsDBAoAAAAAAIdO4kAAAAAAAAAAAAAAAAAEAAAAZHJzL1BLAwQUAAAACACHTuJAak13TdYAAAAG&#10;AQAADwAAAGRycy9kb3ducmV2LnhtbE2PzU7DMBCE70i8g7WVuFE7Da1KGqdSkTgi0ZYDvTnxkkSN&#10;18F2f+DpWU5wm9WsZr4p11c3iDOG2HvSkE0VCKTG255aDW/75/sliJgMWTN4Qg1fGGFd3d6UprD+&#10;Qls871IrOIRiYTR0KY2FlLHp0Jk49SMSex8+OJP4DK20wVw43A1yptRCOtMTN3RmxKcOm+Pu5DRs&#10;Hpebz9cHevne1gc8vNfH+Swore8mmVqBSHhNf8/wi8/oUDFT7U9koxg08JCkIVc5CHbzRc6iZpHN&#10;QVal/I9f/QBQSwMEFAAAAAgAh07iQPdNgyKwAQAAXQMAAA4AAABkcnMvZTJvRG9jLnhtbK1TzY7T&#10;MBC+I/EOlu80adAWiJruYavlgmClhQdwHTux5D/NuE37NEjceAgeB/EajJ3SheWyh83BmfHMfDPf&#10;N8n6+ugsOyhAE3zHl4uaM+Vl6I0fOv7l8+2rt5xhEr4XNnjV8ZNCfr15+WI9xVY1YQy2V8AIxGM7&#10;xY6PKcW2qlCOyglchKg8BXUAJxK5MFQ9iInQna2aul5VU4A+QpAKkW63c5CfEeEpgEFrI9U2yL1T&#10;Ps2ooKxIRAlHE5FvyrRaK5k+aY0qMdtxYprKSU3I3uWz2qxFO4CIo5HnEcRTRnjEyQnjqekFaiuS&#10;YHsw/0E5IyFg0Gkhg6tmIkURYrGsH2lzP4qoCheSGuNFdHw+WPnxcAfM9B1vOPPC0cJ/ff3+88c3&#10;1mRtpogtpdzHOzh7SGYmetTg8psosGPR83TRUx0Tk3TZvK5X766uOJMUe7NqitzVQ20ETO9VcCwb&#10;HQfaVhFRHD5gon6U+iclt8JgTX9rrC0ODLsbC+wg8mbLkwemkn/SrM/JPuSyOZxvqsxrZpKtXehP&#10;pMI+ghlGGmRZkHKEVC+Y5y8kr/VvvyA9/BW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pNd03W&#10;AAAABgEAAA8AAAAAAAAAAQAgAAAAIgAAAGRycy9kb3ducmV2LnhtbFBLAQIUABQAAAAIAIdO4kD3&#10;TYMisAEAAF0DAAAOAAAAAAAAAAEAIAAAACUBAABkcnMvZTJvRG9jLnhtbFBLBQYAAAAABgAGAFkB&#10;AABHBQAAAAA=&#10;">
                <v:fill on="t" focussize="0,0"/>
                <v:stroke on="f"/>
                <v:imagedata o:title=""/>
                <o:lock v:ext="edit" aspectratio="f"/>
              </v:rect>
            </w:pict>
          </mc:Fallback>
        </mc:AlternateContent>
      </w:r>
      <w:r>
        <w:rPr>
          <w:rFonts w:ascii="宋体" w:hAnsi="宋体" w:eastAsia="宋体" w:cs="宋体"/>
          <w:spacing w:val="2"/>
          <w:sz w:val="24"/>
          <w:szCs w:val="24"/>
        </w:rPr>
        <w:t>致：        (采购人名称)</w:t>
      </w:r>
      <w:r>
        <w:rPr>
          <w:rFonts w:ascii="宋体" w:hAnsi="宋体" w:eastAsia="宋体" w:cs="宋体"/>
          <w:spacing w:val="1"/>
          <w:sz w:val="24"/>
          <w:szCs w:val="24"/>
        </w:rPr>
        <w:t xml:space="preserve"> ：</w:t>
      </w:r>
    </w:p>
    <w:p w14:paraId="2FDB4399">
      <w:pPr>
        <w:spacing w:line="349" w:lineRule="auto"/>
        <w:rPr>
          <w:rFonts w:ascii="Arial"/>
          <w:sz w:val="24"/>
          <w:szCs w:val="24"/>
        </w:rPr>
      </w:pPr>
    </w:p>
    <w:p w14:paraId="57BD1AF1">
      <w:pPr>
        <w:spacing w:before="75" w:line="381" w:lineRule="auto"/>
        <w:ind w:left="11" w:firstLine="309"/>
        <w:rPr>
          <w:rFonts w:ascii="宋体" w:hAnsi="宋体" w:eastAsia="宋体" w:cs="宋体"/>
          <w:sz w:val="24"/>
          <w:szCs w:val="24"/>
        </w:rPr>
      </w:pPr>
      <w:r>
        <w:rPr>
          <w:rFonts w:ascii="宋体" w:hAnsi="宋体" w:eastAsia="宋体" w:cs="宋体"/>
          <w:spacing w:val="10"/>
          <w:sz w:val="24"/>
          <w:szCs w:val="24"/>
        </w:rPr>
        <w:t>( -------公司) 为在中华人民共和国境内合法注册并经营的机构。在此郑重声明</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24"/>
          <w:sz w:val="24"/>
          <w:szCs w:val="24"/>
        </w:rPr>
        <w:t>我</w:t>
      </w:r>
      <w:r>
        <w:rPr>
          <w:rFonts w:ascii="宋体" w:hAnsi="宋体" w:eastAsia="宋体" w:cs="宋体"/>
          <w:spacing w:val="23"/>
          <w:sz w:val="24"/>
          <w:szCs w:val="24"/>
        </w:rPr>
        <w:t>公</w:t>
      </w:r>
      <w:r>
        <w:rPr>
          <w:rFonts w:ascii="宋体" w:hAnsi="宋体" w:eastAsia="宋体" w:cs="宋体"/>
          <w:spacing w:val="12"/>
          <w:sz w:val="24"/>
          <w:szCs w:val="24"/>
        </w:rPr>
        <w:t>司在参与本次政府采购活动前 3 年内在经营活动中没有重大违法记录。</w:t>
      </w:r>
    </w:p>
    <w:p w14:paraId="06AF3343">
      <w:pPr>
        <w:spacing w:line="250" w:lineRule="auto"/>
        <w:rPr>
          <w:rFonts w:ascii="Arial"/>
          <w:sz w:val="24"/>
          <w:szCs w:val="24"/>
        </w:rPr>
      </w:pPr>
    </w:p>
    <w:p w14:paraId="087265EE">
      <w:pPr>
        <w:spacing w:line="250" w:lineRule="auto"/>
        <w:rPr>
          <w:rFonts w:ascii="Arial"/>
          <w:sz w:val="24"/>
          <w:szCs w:val="24"/>
        </w:rPr>
      </w:pPr>
    </w:p>
    <w:p w14:paraId="63BF36D0">
      <w:pPr>
        <w:spacing w:line="250" w:lineRule="auto"/>
        <w:rPr>
          <w:rFonts w:ascii="Arial"/>
          <w:sz w:val="24"/>
          <w:szCs w:val="24"/>
        </w:rPr>
      </w:pPr>
    </w:p>
    <w:p w14:paraId="6DA77195">
      <w:pPr>
        <w:spacing w:line="250" w:lineRule="auto"/>
        <w:rPr>
          <w:rFonts w:ascii="Arial"/>
          <w:sz w:val="24"/>
          <w:szCs w:val="24"/>
        </w:rPr>
      </w:pPr>
    </w:p>
    <w:p w14:paraId="1CE662F4">
      <w:pPr>
        <w:spacing w:line="251" w:lineRule="auto"/>
        <w:rPr>
          <w:rFonts w:ascii="Arial"/>
          <w:sz w:val="24"/>
          <w:szCs w:val="24"/>
        </w:rPr>
      </w:pPr>
    </w:p>
    <w:p w14:paraId="573CA98A">
      <w:pPr>
        <w:spacing w:line="251" w:lineRule="auto"/>
        <w:rPr>
          <w:rFonts w:ascii="Arial"/>
          <w:sz w:val="24"/>
          <w:szCs w:val="24"/>
        </w:rPr>
      </w:pPr>
    </w:p>
    <w:p w14:paraId="3990992A">
      <w:pPr>
        <w:spacing w:before="75" w:line="227" w:lineRule="auto"/>
        <w:ind w:left="2490"/>
        <w:rPr>
          <w:rFonts w:ascii="宋体" w:hAnsi="宋体" w:eastAsia="宋体" w:cs="宋体"/>
          <w:sz w:val="24"/>
          <w:szCs w:val="24"/>
        </w:rPr>
      </w:pPr>
      <w:r>
        <w:rPr>
          <w:rFonts w:ascii="宋体" w:hAnsi="宋体" w:eastAsia="宋体" w:cs="宋体"/>
          <w:spacing w:val="16"/>
          <w:sz w:val="24"/>
          <w:szCs w:val="24"/>
        </w:rPr>
        <w:t>供</w:t>
      </w:r>
      <w:r>
        <w:rPr>
          <w:rFonts w:ascii="宋体" w:hAnsi="宋体" w:eastAsia="宋体" w:cs="宋体"/>
          <w:spacing w:val="14"/>
          <w:sz w:val="24"/>
          <w:szCs w:val="24"/>
        </w:rPr>
        <w:t>应</w:t>
      </w:r>
      <w:r>
        <w:rPr>
          <w:rFonts w:ascii="宋体" w:hAnsi="宋体" w:eastAsia="宋体" w:cs="宋体"/>
          <w:spacing w:val="8"/>
          <w:sz w:val="24"/>
          <w:szCs w:val="24"/>
        </w:rPr>
        <w:t xml:space="preserve">商名称 (盖章)： </w:t>
      </w:r>
      <w:r>
        <w:rPr>
          <w:rFonts w:ascii="宋体" w:hAnsi="宋体" w:eastAsia="宋体" w:cs="宋体"/>
          <w:spacing w:val="8"/>
          <w:sz w:val="24"/>
          <w:szCs w:val="24"/>
          <w:u w:val="single" w:color="auto"/>
        </w:rPr>
        <w:t xml:space="preserve">               (单位全称</w:t>
      </w:r>
      <w:r>
        <w:rPr>
          <w:rFonts w:ascii="宋体" w:hAnsi="宋体" w:eastAsia="宋体" w:cs="宋体"/>
          <w:spacing w:val="8"/>
          <w:sz w:val="24"/>
          <w:szCs w:val="24"/>
        </w:rPr>
        <w:t>)</w:t>
      </w:r>
    </w:p>
    <w:p w14:paraId="0CAA29ED">
      <w:pPr>
        <w:spacing w:before="75" w:line="226" w:lineRule="auto"/>
        <w:ind w:left="2614"/>
        <w:rPr>
          <w:rFonts w:ascii="宋体" w:hAnsi="宋体" w:eastAsia="宋体" w:cs="宋体"/>
          <w:spacing w:val="14"/>
          <w:sz w:val="24"/>
          <w:szCs w:val="24"/>
        </w:rPr>
      </w:pPr>
    </w:p>
    <w:p w14:paraId="02AC3B97">
      <w:pPr>
        <w:spacing w:before="75" w:line="226" w:lineRule="auto"/>
        <w:ind w:firstLine="2412" w:firstLineChars="900"/>
        <w:rPr>
          <w:rFonts w:ascii="宋体" w:hAnsi="宋体" w:eastAsia="宋体" w:cs="宋体"/>
          <w:sz w:val="24"/>
          <w:szCs w:val="24"/>
        </w:rPr>
      </w:pPr>
      <w:r>
        <w:rPr>
          <w:rFonts w:ascii="宋体" w:hAnsi="宋体" w:eastAsia="宋体" w:cs="宋体"/>
          <w:spacing w:val="14"/>
          <w:sz w:val="24"/>
          <w:szCs w:val="24"/>
        </w:rPr>
        <w:t xml:space="preserve">法定代表人 (签字或盖章)  </w:t>
      </w:r>
      <w:r>
        <w:rPr>
          <w:rFonts w:ascii="宋体" w:hAnsi="宋体" w:eastAsia="宋体" w:cs="宋体"/>
          <w:spacing w:val="13"/>
          <w:sz w:val="24"/>
          <w:szCs w:val="24"/>
        </w:rPr>
        <w:t>：</w:t>
      </w:r>
      <w:r>
        <w:rPr>
          <w:rFonts w:ascii="宋体" w:hAnsi="宋体" w:eastAsia="宋体" w:cs="宋体"/>
          <w:sz w:val="24"/>
          <w:szCs w:val="24"/>
          <w:u w:val="single" w:color="auto"/>
        </w:rPr>
        <w:t xml:space="preserve">                   </w:t>
      </w:r>
    </w:p>
    <w:p w14:paraId="3177D239">
      <w:pPr>
        <w:pStyle w:val="8"/>
      </w:pPr>
    </w:p>
    <w:p w14:paraId="6FC8282D">
      <w:pPr>
        <w:spacing w:before="75" w:line="227" w:lineRule="auto"/>
        <w:ind w:left="5251"/>
        <w:rPr>
          <w:rFonts w:ascii="宋体" w:hAnsi="宋体" w:eastAsia="宋体" w:cs="宋体"/>
          <w:sz w:val="24"/>
          <w:szCs w:val="24"/>
        </w:rPr>
      </w:pPr>
      <w:r>
        <w:rPr>
          <w:rFonts w:ascii="宋体" w:hAnsi="宋体" w:eastAsia="宋体" w:cs="宋体"/>
          <w:spacing w:val="1"/>
          <w:sz w:val="24"/>
          <w:szCs w:val="24"/>
        </w:rPr>
        <w:t xml:space="preserve">日期：   年   月 </w:t>
      </w:r>
      <w:r>
        <w:rPr>
          <w:rFonts w:ascii="宋体" w:hAnsi="宋体" w:eastAsia="宋体" w:cs="宋体"/>
          <w:sz w:val="24"/>
          <w:szCs w:val="24"/>
        </w:rPr>
        <w:t xml:space="preserve">  日</w:t>
      </w:r>
    </w:p>
    <w:p w14:paraId="6705FF67">
      <w:pPr>
        <w:rPr>
          <w:sz w:val="24"/>
          <w:szCs w:val="24"/>
        </w:rPr>
        <w:sectPr>
          <w:footerReference r:id="rId15" w:type="default"/>
          <w:pgSz w:w="11906" w:h="16839"/>
          <w:pgMar w:top="1440" w:right="1080" w:bottom="1440" w:left="1080" w:header="0" w:footer="680" w:gutter="0"/>
          <w:pgNumType w:fmt="decimal"/>
          <w:cols w:space="720" w:num="1"/>
        </w:sectPr>
      </w:pPr>
    </w:p>
    <w:p w14:paraId="0E882F53">
      <w:pPr>
        <w:numPr>
          <w:ilvl w:val="0"/>
          <w:numId w:val="0"/>
        </w:numPr>
        <w:spacing w:line="360" w:lineRule="auto"/>
        <w:ind w:leftChars="200"/>
        <w:jc w:val="center"/>
        <w:rPr>
          <w:rFonts w:hint="eastAsia" w:ascii="宋体" w:hAnsi="宋体" w:eastAsia="宋体" w:cs="宋体"/>
          <w:color w:val="333333"/>
          <w:kern w:val="0"/>
          <w:sz w:val="24"/>
          <w:szCs w:val="24"/>
          <w:lang w:eastAsia="zh-CN" w:bidi="ar"/>
        </w:rPr>
      </w:pPr>
      <w:r>
        <w:rPr>
          <w:rFonts w:hint="eastAsia" w:ascii="宋体" w:hAnsi="宋体" w:eastAsia="宋体" w:cs="宋体"/>
          <w:b/>
          <w:bCs/>
          <w:color w:val="auto"/>
          <w:sz w:val="28"/>
          <w:szCs w:val="28"/>
          <w:lang w:val="en-US" w:eastAsia="zh-CN" w:bidi="zh-CN"/>
        </w:rPr>
        <w:t xml:space="preserve">3.4 </w:t>
      </w:r>
      <w:r>
        <w:rPr>
          <w:rFonts w:hint="eastAsia" w:ascii="宋体" w:hAnsi="宋体" w:eastAsia="宋体" w:cs="宋体"/>
          <w:b/>
          <w:bCs/>
          <w:color w:val="auto"/>
          <w:sz w:val="28"/>
          <w:szCs w:val="28"/>
          <w:lang w:val="zh-CN" w:eastAsia="zh-CN" w:bidi="zh-CN"/>
        </w:rPr>
        <w:t>非联合体投标声明</w:t>
      </w:r>
    </w:p>
    <w:p w14:paraId="25E85B18">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本招标项目招标人及招标监管机构：</w:t>
      </w:r>
    </w:p>
    <w:p w14:paraId="11EBEF92">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本公司就参加投标工作，作出郑重声明：</w:t>
      </w:r>
    </w:p>
    <w:p w14:paraId="0E177D69">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一、本公司保证投标报名材料及其后提供的一切材料都是真实的。</w:t>
      </w:r>
    </w:p>
    <w:p w14:paraId="3945B2D8">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二、本公司保证在本项目投标中不与其他单位围标、串标，不出让投标资格，不向招标人或评标委员会成员行贿。</w:t>
      </w:r>
    </w:p>
    <w:p w14:paraId="6949A12D">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w:t>
      </w:r>
      <w:r>
        <w:rPr>
          <w:rFonts w:hint="eastAsia" w:cs="宋体"/>
          <w:color w:val="333333"/>
          <w:kern w:val="0"/>
          <w:sz w:val="24"/>
          <w:szCs w:val="24"/>
          <w:lang w:eastAsia="zh-CN" w:bidi="ar"/>
        </w:rPr>
        <w:t>项目</w:t>
      </w:r>
      <w:r>
        <w:rPr>
          <w:rFonts w:hint="eastAsia" w:ascii="宋体" w:hAnsi="宋体" w:eastAsia="宋体" w:cs="宋体"/>
          <w:color w:val="333333"/>
          <w:kern w:val="0"/>
          <w:sz w:val="24"/>
          <w:szCs w:val="24"/>
          <w:lang w:bidi="ar"/>
        </w:rPr>
        <w:t>质量问题；在陕西政府采购无失信记录查询结果中，本公司在投标报名截止时间前两年没有违法犯罪记录。</w:t>
      </w:r>
    </w:p>
    <w:p w14:paraId="1AE3E983">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14:paraId="5FC05C3D">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   </w:t>
      </w:r>
    </w:p>
    <w:p w14:paraId="39EB5BBF">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特此声明</w:t>
      </w:r>
    </w:p>
    <w:p w14:paraId="4CB25F23">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声明企业：(企业公章)</w:t>
      </w:r>
    </w:p>
    <w:p w14:paraId="36C44702">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p>
    <w:p w14:paraId="2C8ACF79">
      <w:pPr>
        <w:widowControl/>
        <w:wordWrap w:val="0"/>
        <w:spacing w:beforeLines="0" w:afterLines="0" w:line="480" w:lineRule="auto"/>
        <w:ind w:left="5654" w:leftChars="170" w:hanging="5280" w:hangingChars="22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法定代表人/被授权人（签字或盖章）：                                                   </w:t>
      </w:r>
    </w:p>
    <w:p w14:paraId="7024DB2E">
      <w:pPr>
        <w:widowControl/>
        <w:wordWrap w:val="0"/>
        <w:spacing w:beforeLines="0" w:afterLines="0" w:line="480" w:lineRule="auto"/>
        <w:ind w:left="5650" w:leftChars="2568" w:firstLine="480" w:firstLineChars="2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年  月  日</w:t>
      </w:r>
    </w:p>
    <w:p w14:paraId="21BFC650">
      <w:pPr>
        <w:pStyle w:val="9"/>
        <w:rPr>
          <w:rFonts w:hint="eastAsia"/>
          <w:lang w:eastAsia="zh-CN"/>
        </w:rPr>
      </w:pPr>
    </w:p>
    <w:p w14:paraId="707A771D">
      <w:pPr>
        <w:spacing w:before="156" w:beforeLines="50" w:after="156" w:afterLines="50" w:line="700" w:lineRule="exact"/>
        <w:jc w:val="center"/>
        <w:rPr>
          <w:rFonts w:hint="eastAsia" w:ascii="宋体" w:hAnsi="宋体" w:eastAsia="宋体" w:cs="宋体"/>
          <w:b/>
          <w:kern w:val="0"/>
          <w:sz w:val="32"/>
          <w:szCs w:val="32"/>
        </w:rPr>
      </w:pPr>
    </w:p>
    <w:p w14:paraId="3EC84961">
      <w:pPr>
        <w:spacing w:before="32"/>
        <w:ind w:left="791" w:right="875" w:firstLine="0"/>
        <w:jc w:val="center"/>
        <w:rPr>
          <w:rFonts w:hint="eastAsia"/>
          <w:b/>
          <w:sz w:val="30"/>
          <w:lang w:eastAsia="zh-CN"/>
        </w:rPr>
      </w:pPr>
    </w:p>
    <w:p w14:paraId="61475651">
      <w:pPr>
        <w:spacing w:before="32"/>
        <w:ind w:left="791" w:right="875" w:firstLine="0"/>
        <w:jc w:val="center"/>
        <w:rPr>
          <w:rFonts w:hint="eastAsia"/>
          <w:b/>
          <w:sz w:val="30"/>
          <w:lang w:eastAsia="zh-CN"/>
        </w:rPr>
      </w:pPr>
    </w:p>
    <w:p w14:paraId="3D91C02D">
      <w:pPr>
        <w:spacing w:before="32"/>
        <w:ind w:left="791" w:right="875" w:firstLine="0"/>
        <w:jc w:val="center"/>
        <w:rPr>
          <w:rFonts w:hint="eastAsia"/>
          <w:b/>
          <w:sz w:val="30"/>
          <w:lang w:eastAsia="zh-CN"/>
        </w:rPr>
      </w:pPr>
    </w:p>
    <w:p w14:paraId="2E0B9CA5">
      <w:pPr>
        <w:spacing w:before="32"/>
        <w:ind w:left="791" w:right="875" w:firstLine="0"/>
        <w:jc w:val="center"/>
        <w:rPr>
          <w:rFonts w:hint="eastAsia"/>
          <w:b/>
          <w:sz w:val="30"/>
          <w:lang w:eastAsia="zh-CN"/>
        </w:rPr>
      </w:pPr>
    </w:p>
    <w:p w14:paraId="288CB6E0">
      <w:pPr>
        <w:spacing w:before="32"/>
        <w:ind w:left="791" w:right="875" w:firstLine="0"/>
        <w:jc w:val="center"/>
        <w:rPr>
          <w:rFonts w:hint="eastAsia"/>
          <w:b/>
          <w:sz w:val="30"/>
          <w:lang w:eastAsia="zh-CN"/>
        </w:rPr>
      </w:pPr>
    </w:p>
    <w:p w14:paraId="4AEE2A8E">
      <w:pPr>
        <w:spacing w:before="32"/>
        <w:ind w:left="791" w:right="875" w:firstLine="0"/>
        <w:jc w:val="center"/>
        <w:rPr>
          <w:rFonts w:hint="eastAsia"/>
          <w:b/>
          <w:sz w:val="30"/>
          <w:lang w:eastAsia="zh-CN"/>
        </w:rPr>
      </w:pPr>
    </w:p>
    <w:p w14:paraId="52EEC1E2">
      <w:pPr>
        <w:spacing w:before="32"/>
        <w:ind w:left="791" w:right="875" w:firstLine="0"/>
        <w:jc w:val="center"/>
        <w:rPr>
          <w:rFonts w:hint="eastAsia"/>
          <w:b/>
          <w:sz w:val="30"/>
        </w:rPr>
      </w:pPr>
      <w:r>
        <w:rPr>
          <w:rFonts w:hint="eastAsia"/>
          <w:b/>
          <w:sz w:val="30"/>
          <w:lang w:eastAsia="zh-CN"/>
        </w:rPr>
        <w:t>四</w:t>
      </w:r>
      <w:r>
        <w:rPr>
          <w:rFonts w:hint="eastAsia"/>
          <w:b/>
          <w:sz w:val="30"/>
        </w:rPr>
        <w:t>、业绩证明</w:t>
      </w:r>
    </w:p>
    <w:p w14:paraId="1ABD8300">
      <w:pPr>
        <w:pStyle w:val="6"/>
        <w:rPr>
          <w:rFonts w:hint="eastAsia"/>
        </w:rPr>
      </w:pPr>
    </w:p>
    <w:tbl>
      <w:tblPr>
        <w:tblStyle w:val="33"/>
        <w:tblW w:w="92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516"/>
        <w:gridCol w:w="1295"/>
        <w:gridCol w:w="1888"/>
        <w:gridCol w:w="2000"/>
        <w:gridCol w:w="1351"/>
        <w:gridCol w:w="24"/>
      </w:tblGrid>
      <w:tr w14:paraId="0275F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62" w:type="dxa"/>
            <w:vAlign w:val="top"/>
          </w:tcPr>
          <w:p w14:paraId="0C3279F0">
            <w:pPr>
              <w:spacing w:before="256" w:line="227" w:lineRule="auto"/>
              <w:ind w:left="352"/>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年</w:t>
            </w:r>
            <w:r>
              <w:rPr>
                <w:rFonts w:ascii="宋体" w:hAnsi="宋体" w:eastAsia="宋体" w:cs="宋体"/>
                <w:spacing w:val="4"/>
                <w:sz w:val="24"/>
                <w:szCs w:val="24"/>
                <w14:textOutline w14:w="4358" w14:cap="sq" w14:cmpd="sng">
                  <w14:solidFill>
                    <w14:srgbClr w14:val="000000"/>
                  </w14:solidFill>
                  <w14:prstDash w14:val="solid"/>
                  <w14:bevel/>
                </w14:textOutline>
              </w:rPr>
              <w:t>份</w:t>
            </w:r>
          </w:p>
        </w:tc>
        <w:tc>
          <w:tcPr>
            <w:tcW w:w="1516" w:type="dxa"/>
            <w:vAlign w:val="top"/>
          </w:tcPr>
          <w:p w14:paraId="4DC94CE4">
            <w:pPr>
              <w:spacing w:before="255" w:line="227" w:lineRule="auto"/>
              <w:ind w:left="160"/>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采</w:t>
            </w:r>
            <w:r>
              <w:rPr>
                <w:rFonts w:ascii="宋体" w:hAnsi="宋体" w:eastAsia="宋体" w:cs="宋体"/>
                <w:spacing w:val="8"/>
                <w:sz w:val="24"/>
                <w:szCs w:val="24"/>
                <w14:textOutline w14:w="4358" w14:cap="sq" w14:cmpd="sng">
                  <w14:solidFill>
                    <w14:srgbClr w14:val="000000"/>
                  </w14:solidFill>
                  <w14:prstDash w14:val="solid"/>
                  <w14:bevel/>
                </w14:textOutline>
              </w:rPr>
              <w:t>购人名称</w:t>
            </w:r>
          </w:p>
        </w:tc>
        <w:tc>
          <w:tcPr>
            <w:tcW w:w="1295" w:type="dxa"/>
            <w:vAlign w:val="top"/>
          </w:tcPr>
          <w:p w14:paraId="317C11A0">
            <w:pPr>
              <w:spacing w:before="256" w:line="227" w:lineRule="auto"/>
              <w:ind w:left="118"/>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项</w:t>
            </w:r>
            <w:r>
              <w:rPr>
                <w:rFonts w:ascii="宋体" w:hAnsi="宋体" w:eastAsia="宋体" w:cs="宋体"/>
                <w:spacing w:val="7"/>
                <w:sz w:val="24"/>
                <w:szCs w:val="24"/>
                <w14:textOutline w14:w="4358" w14:cap="sq" w14:cmpd="sng">
                  <w14:solidFill>
                    <w14:srgbClr w14:val="000000"/>
                  </w14:solidFill>
                  <w14:prstDash w14:val="solid"/>
                  <w14:bevel/>
                </w14:textOutline>
              </w:rPr>
              <w:t>目名称</w:t>
            </w:r>
          </w:p>
        </w:tc>
        <w:tc>
          <w:tcPr>
            <w:tcW w:w="1888" w:type="dxa"/>
            <w:vAlign w:val="top"/>
          </w:tcPr>
          <w:p w14:paraId="3A0309AA">
            <w:pPr>
              <w:spacing w:before="256" w:line="226" w:lineRule="auto"/>
              <w:ind w:left="118"/>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合同金额</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(元</w:t>
            </w:r>
            <w:r>
              <w:rPr>
                <w:rFonts w:ascii="宋体" w:hAnsi="宋体" w:eastAsia="宋体" w:cs="宋体"/>
                <w:spacing w:val="5"/>
                <w:sz w:val="24"/>
                <w:szCs w:val="24"/>
                <w14:textOutline w14:w="4358" w14:cap="sq" w14:cmpd="sng">
                  <w14:solidFill>
                    <w14:srgbClr w14:val="000000"/>
                  </w14:solidFill>
                  <w14:prstDash w14:val="solid"/>
                  <w14:bevel/>
                </w14:textOutline>
              </w:rPr>
              <w:t>)</w:t>
            </w:r>
          </w:p>
        </w:tc>
        <w:tc>
          <w:tcPr>
            <w:tcW w:w="2000" w:type="dxa"/>
            <w:vAlign w:val="top"/>
          </w:tcPr>
          <w:p w14:paraId="6D3F7FB1">
            <w:pPr>
              <w:spacing w:before="256" w:line="227" w:lineRule="auto"/>
              <w:ind w:left="528"/>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完</w:t>
            </w:r>
            <w:r>
              <w:rPr>
                <w:rFonts w:ascii="宋体" w:hAnsi="宋体" w:eastAsia="宋体" w:cs="宋体"/>
                <w:spacing w:val="7"/>
                <w:sz w:val="24"/>
                <w:szCs w:val="24"/>
                <w14:textOutline w14:w="4358" w14:cap="sq" w14:cmpd="sng">
                  <w14:solidFill>
                    <w14:srgbClr w14:val="000000"/>
                  </w14:solidFill>
                  <w14:prstDash w14:val="solid"/>
                  <w14:bevel/>
                </w14:textOutline>
              </w:rPr>
              <w:t>成时间</w:t>
            </w:r>
          </w:p>
        </w:tc>
        <w:tc>
          <w:tcPr>
            <w:tcW w:w="1351" w:type="dxa"/>
            <w:vAlign w:val="top"/>
          </w:tcPr>
          <w:p w14:paraId="599F2BA4">
            <w:pPr>
              <w:spacing w:before="255" w:line="229" w:lineRule="auto"/>
              <w:ind w:left="45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备</w:t>
            </w:r>
            <w:r>
              <w:rPr>
                <w:rFonts w:ascii="宋体" w:hAnsi="宋体" w:eastAsia="宋体" w:cs="宋体"/>
                <w:spacing w:val="3"/>
                <w:sz w:val="24"/>
                <w:szCs w:val="24"/>
                <w14:textOutline w14:w="4358" w14:cap="sq" w14:cmpd="sng">
                  <w14:solidFill>
                    <w14:srgbClr w14:val="000000"/>
                  </w14:solidFill>
                  <w14:prstDash w14:val="solid"/>
                  <w14:bevel/>
                </w14:textOutline>
              </w:rPr>
              <w:t>注</w:t>
            </w:r>
          </w:p>
        </w:tc>
        <w:tc>
          <w:tcPr>
            <w:tcW w:w="24" w:type="dxa"/>
            <w:vAlign w:val="top"/>
          </w:tcPr>
          <w:p w14:paraId="40BF1C90">
            <w:pPr>
              <w:rPr>
                <w:rFonts w:ascii="Arial"/>
                <w:sz w:val="21"/>
              </w:rPr>
            </w:pPr>
          </w:p>
        </w:tc>
      </w:tr>
      <w:tr w14:paraId="32763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14:paraId="799CCFD5">
            <w:pPr>
              <w:rPr>
                <w:rFonts w:ascii="Arial"/>
                <w:sz w:val="21"/>
              </w:rPr>
            </w:pPr>
          </w:p>
        </w:tc>
        <w:tc>
          <w:tcPr>
            <w:tcW w:w="1516" w:type="dxa"/>
            <w:vAlign w:val="top"/>
          </w:tcPr>
          <w:p w14:paraId="1DC3DD82">
            <w:pPr>
              <w:rPr>
                <w:rFonts w:ascii="Arial"/>
                <w:sz w:val="21"/>
              </w:rPr>
            </w:pPr>
          </w:p>
        </w:tc>
        <w:tc>
          <w:tcPr>
            <w:tcW w:w="1295" w:type="dxa"/>
            <w:vAlign w:val="top"/>
          </w:tcPr>
          <w:p w14:paraId="0226DBB1">
            <w:pPr>
              <w:rPr>
                <w:rFonts w:ascii="Arial"/>
                <w:sz w:val="21"/>
              </w:rPr>
            </w:pPr>
          </w:p>
        </w:tc>
        <w:tc>
          <w:tcPr>
            <w:tcW w:w="1888" w:type="dxa"/>
            <w:vAlign w:val="top"/>
          </w:tcPr>
          <w:p w14:paraId="7DD27E72">
            <w:pPr>
              <w:rPr>
                <w:rFonts w:ascii="Arial"/>
                <w:sz w:val="21"/>
              </w:rPr>
            </w:pPr>
          </w:p>
        </w:tc>
        <w:tc>
          <w:tcPr>
            <w:tcW w:w="2000" w:type="dxa"/>
            <w:vAlign w:val="top"/>
          </w:tcPr>
          <w:p w14:paraId="610892C5">
            <w:pPr>
              <w:rPr>
                <w:rFonts w:ascii="Arial"/>
                <w:sz w:val="21"/>
              </w:rPr>
            </w:pPr>
          </w:p>
        </w:tc>
        <w:tc>
          <w:tcPr>
            <w:tcW w:w="1375" w:type="dxa"/>
            <w:gridSpan w:val="2"/>
            <w:vAlign w:val="top"/>
          </w:tcPr>
          <w:p w14:paraId="382E7FFD">
            <w:pPr>
              <w:rPr>
                <w:rFonts w:ascii="Arial"/>
                <w:sz w:val="21"/>
              </w:rPr>
            </w:pPr>
            <w:r>
              <mc:AlternateContent>
                <mc:Choice Requires="wps">
                  <w:drawing>
                    <wp:anchor distT="0" distB="0" distL="114300" distR="114300" simplePos="0" relativeHeight="251670528" behindDoc="0" locked="0" layoutInCell="1" allowOverlap="1">
                      <wp:simplePos x="0" y="0"/>
                      <wp:positionH relativeFrom="rightMargin">
                        <wp:posOffset>-13970</wp:posOffset>
                      </wp:positionH>
                      <wp:positionV relativeFrom="topMargin">
                        <wp:posOffset>-5080</wp:posOffset>
                      </wp:positionV>
                      <wp:extent cx="6350" cy="358140"/>
                      <wp:effectExtent l="0" t="0" r="8890" b="7620"/>
                      <wp:wrapNone/>
                      <wp:docPr id="15" name="矩形 15"/>
                      <wp:cNvGraphicFramePr/>
                      <a:graphic xmlns:a="http://schemas.openxmlformats.org/drawingml/2006/main">
                        <a:graphicData uri="http://schemas.microsoft.com/office/word/2010/wordprocessingShape">
                          <wps:wsp>
                            <wps:cNvSpPr/>
                            <wps:spPr>
                              <a:xfrm>
                                <a:off x="0" y="0"/>
                                <a:ext cx="6350" cy="35814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pt;width:0.5pt;mso-position-horizontal-relative:page;mso-position-vertical-relative:page;z-index:251670528;mso-width-relative:page;mso-height-relative:page;" fillcolor="#000000" filled="t" stroked="f" coordsize="21600,21600" o:gfxdata="UEsDBAoAAAAAAIdO4kAAAAAAAAAAAAAAAAAEAAAAZHJzL1BLAwQUAAAACACHTuJAFFTmJNUAAAAG&#10;AQAADwAAAGRycy9kb3ducmV2LnhtbE2PzU7DMBCE70i8g7VI3FI7EalKiFOpSByRaOFAb068JFHj&#10;dbDdH3h6lhOcVqMZzX5Try9uEicMcfSkIV8oEEidtyP1Gt5en7IViJgMWTN5Qg1fGGHdXF/VprL+&#10;TFs87VIvuIRiZTQMKc2VlLEb0Jm48DMSex8+OJNYhl7aYM5c7iZZKLWUzozEHwYz4+OA3WF3dBo2&#10;96vN58sdPX9v2z3u39tDWQSl9e1Nrh5AJLykvzD84jM6NMzU+iPZKCYNWVFwki8PYDvLWbYaynIJ&#10;sqnlf/zmB1BLAwQUAAAACACHTuJAA9LdjLABAABeAwAADgAAAGRycy9lMm9Eb2MueG1srVNLbtsw&#10;EN0X6B0I7mvaSR0EguUsaqSbog2Q9gA0RUoE+MMMbdmnKdBdD9HjFL1Gh5TjtMkmi2ghzY9v5r2h&#10;VjcH79heA9oYWr6YzTnTQcXOhr7l377evrvmDLMMnXQx6JYfNfKb9ds3qzE1+iIO0XUaGIEEbMbU&#10;8iHn1AiBatBe4iwmHShpIniZyYVedCBHQvdOXMznV2KM0CWISiNSdDMl+QkRXgIYjbFKb6LaeR3y&#10;hArayUyUcLAJ+bpOa4xW+YsxqDNzLSemub6pCdnb8hbrlWx6kGmw6jSCfMkITzh5aQM1PUNtZJZs&#10;B/YZlLcKIkaTZyp6MRGpihCLxfyJNveDTLpyIakxnUXH14NVn/d3wGxHN2HJWZCeNv7n+8/fv34w&#10;CpA6Y8KGiu7THZw8JLNQPRjw5Usk2KEqejwrqg+ZKQpeXS5JaUWJy+X14n3VWzweTYD5o46eFaPl&#10;QOuqKsr9J8zUjkofSkonjM52t9a56kC//eCA7WVZbX3KvHTkvzIXSnGI5diULhFRaE1EirWN3ZFk&#10;2CWw/UCDLCpSyZDsFfN0Rcpe//Ur0uNvsf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FTmJNUA&#10;AAAGAQAADwAAAAAAAAABACAAAAAiAAAAZHJzL2Rvd25yZXYueG1sUEsBAhQAFAAAAAgAh07iQAPS&#10;3YywAQAAXgMAAA4AAAAAAAAAAQAgAAAAJAEAAGRycy9lMm9Eb2MueG1sUEsFBgAAAAAGAAYAWQEA&#10;AEYFAAAAAA==&#10;">
                      <v:fill on="t" focussize="0,0"/>
                      <v:stroke on="f"/>
                      <v:imagedata o:title=""/>
                      <o:lock v:ext="edit" aspectratio="f"/>
                    </v:rect>
                  </w:pict>
                </mc:Fallback>
              </mc:AlternateContent>
            </w:r>
          </w:p>
        </w:tc>
      </w:tr>
      <w:tr w14:paraId="4C39E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14:paraId="4D808450">
            <w:pPr>
              <w:rPr>
                <w:rFonts w:ascii="Arial"/>
                <w:sz w:val="21"/>
              </w:rPr>
            </w:pPr>
          </w:p>
        </w:tc>
        <w:tc>
          <w:tcPr>
            <w:tcW w:w="1516" w:type="dxa"/>
            <w:vAlign w:val="top"/>
          </w:tcPr>
          <w:p w14:paraId="659ACDFB">
            <w:pPr>
              <w:rPr>
                <w:rFonts w:ascii="Arial"/>
                <w:sz w:val="21"/>
              </w:rPr>
            </w:pPr>
          </w:p>
        </w:tc>
        <w:tc>
          <w:tcPr>
            <w:tcW w:w="1295" w:type="dxa"/>
            <w:vAlign w:val="top"/>
          </w:tcPr>
          <w:p w14:paraId="33846270">
            <w:pPr>
              <w:rPr>
                <w:rFonts w:ascii="Arial"/>
                <w:sz w:val="21"/>
              </w:rPr>
            </w:pPr>
          </w:p>
        </w:tc>
        <w:tc>
          <w:tcPr>
            <w:tcW w:w="1888" w:type="dxa"/>
            <w:vAlign w:val="top"/>
          </w:tcPr>
          <w:p w14:paraId="65404F61">
            <w:pPr>
              <w:rPr>
                <w:rFonts w:ascii="Arial"/>
                <w:sz w:val="21"/>
              </w:rPr>
            </w:pPr>
          </w:p>
        </w:tc>
        <w:tc>
          <w:tcPr>
            <w:tcW w:w="2000" w:type="dxa"/>
            <w:vAlign w:val="top"/>
          </w:tcPr>
          <w:p w14:paraId="5F446C1A">
            <w:pPr>
              <w:rPr>
                <w:rFonts w:ascii="Arial"/>
                <w:sz w:val="21"/>
              </w:rPr>
            </w:pPr>
          </w:p>
        </w:tc>
        <w:tc>
          <w:tcPr>
            <w:tcW w:w="1375" w:type="dxa"/>
            <w:gridSpan w:val="2"/>
            <w:vAlign w:val="top"/>
          </w:tcPr>
          <w:p w14:paraId="74B6FBD1">
            <w:pPr>
              <w:rPr>
                <w:rFonts w:ascii="Arial"/>
                <w:sz w:val="21"/>
              </w:rPr>
            </w:pPr>
            <w:r>
              <mc:AlternateContent>
                <mc:Choice Requires="wps">
                  <w:drawing>
                    <wp:anchor distT="0" distB="0" distL="114300" distR="114300" simplePos="0" relativeHeight="251667456" behindDoc="0" locked="0" layoutInCell="1" allowOverlap="1">
                      <wp:simplePos x="0" y="0"/>
                      <wp:positionH relativeFrom="rightMargin">
                        <wp:posOffset>-13970</wp:posOffset>
                      </wp:positionH>
                      <wp:positionV relativeFrom="topMargin">
                        <wp:posOffset>-5080</wp:posOffset>
                      </wp:positionV>
                      <wp:extent cx="6350" cy="358775"/>
                      <wp:effectExtent l="0" t="0" r="8890" b="6985"/>
                      <wp:wrapNone/>
                      <wp:docPr id="16" name="矩形 16"/>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5pt;width:0.5pt;mso-position-horizontal-relative:page;mso-position-vertical-relative:page;z-index:251667456;mso-width-relative:page;mso-height-relative:page;" fillcolor="#000000" filled="t" stroked="f" coordsize="21600,21600" o:gfxdata="UEsDBAoAAAAAAIdO4kAAAAAAAAAAAAAAAAAEAAAAZHJzL1BLAwQUAAAACACHTuJATNQE89UAAAAG&#10;AQAADwAAAGRycy9kb3ducmV2LnhtbE2PzU7DMBCE70i8g7VI3FI7EYES4lQqEkckWjjQmxMvSdR4&#10;HWz3B56e5QSn1WhGs9/Uq7ObxBFDHD1pyBcKBFLn7Ui9hrfXp2wJIiZD1kyeUMMXRlg1lxe1qaw/&#10;0QaP29QLLqFYGQ1DSnMlZewGdCYu/IzE3ocPziSWoZc2mBOXu0kWSt1KZ0biD4OZ8XHAbr89OA3r&#10;++X68+WGnr837Q537+2+LILS+voqVw8gEp7TXxh+8RkdGmZq/YFsFJOGrCg4yZcHsJ3lLFsNZXkH&#10;sqnlf/zmB1BLAwQUAAAACACHTuJAt/Amza4BAABeAwAADgAAAGRycy9lMm9Eb2MueG1srVNLbtsw&#10;EN0X6B0I7mvaCewEguUsaqSbIg2Q9AA0RUkE+MMMbdmnCdBdD9HjFL1GhpTqtOkmi2pBzY+P896Q&#10;65ujs+ygAU3wNV/M5pxpr0JjfFfzr4+3H645wyR9I23wuuYnjfxm8/7deoiVvgh9sI0GRiAeqyHW&#10;vE8pVkKg6rWTOAtRe0q2AZxM5EInGpADoTsrLubzlRgCNBGC0ogU3Y5JPiHCWwBD2xqlt0HtnfZp&#10;RAVtZSJK2JuIfFO6bVut0pe2RZ2YrTkxTWWlQ8je5VVs1rLqQMbeqKkF+ZYWXnFy0ng69Ay1lUmy&#10;PZh/oJxREDC0aaaCEyORogixWMxfafPQy6gLF5Ia41l0/H+w6u5wD8w0dBNWnHnpaOK/nr7//PGN&#10;UYDUGSJWVPQQ72HykMxM9diCy38iwY5F0dNZUX1MTFFwdbkkpRUlLpfXV1fLjChetkbA9EkHx7JR&#10;c6BxFRXl4TOmsfR3ST4JgzXNrbG2ONDtPlpgB5lHW74J/a8y63OxD3nbiJgjItMaiWRrF5oTybCP&#10;YLqeGlkUpJwh2UvH0xXJc/3TL0gvz2LzD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UBPPVAAAA&#10;BgEAAA8AAAAAAAAAAQAgAAAAIgAAAGRycy9kb3ducmV2LnhtbFBLAQIUABQAAAAIAIdO4kC38CbN&#10;rgEAAF4DAAAOAAAAAAAAAAEAIAAAACQBAABkcnMvZTJvRG9jLnhtbFBLBQYAAAAABgAGAFkBAABE&#10;BQAAAAA=&#10;">
                      <v:fill on="t" focussize="0,0"/>
                      <v:stroke on="f"/>
                      <v:imagedata o:title=""/>
                      <o:lock v:ext="edit" aspectratio="f"/>
                    </v:rect>
                  </w:pict>
                </mc:Fallback>
              </mc:AlternateContent>
            </w:r>
          </w:p>
        </w:tc>
      </w:tr>
      <w:tr w14:paraId="510A1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62" w:type="dxa"/>
            <w:vAlign w:val="top"/>
          </w:tcPr>
          <w:p w14:paraId="2C57DBBA">
            <w:pPr>
              <w:rPr>
                <w:rFonts w:ascii="Arial"/>
                <w:sz w:val="21"/>
              </w:rPr>
            </w:pPr>
          </w:p>
        </w:tc>
        <w:tc>
          <w:tcPr>
            <w:tcW w:w="1516" w:type="dxa"/>
            <w:vAlign w:val="top"/>
          </w:tcPr>
          <w:p w14:paraId="509BDA43">
            <w:pPr>
              <w:rPr>
                <w:rFonts w:ascii="Arial"/>
                <w:sz w:val="21"/>
              </w:rPr>
            </w:pPr>
          </w:p>
        </w:tc>
        <w:tc>
          <w:tcPr>
            <w:tcW w:w="1295" w:type="dxa"/>
            <w:vAlign w:val="top"/>
          </w:tcPr>
          <w:p w14:paraId="5D2BFBF2">
            <w:pPr>
              <w:rPr>
                <w:rFonts w:ascii="Arial"/>
                <w:sz w:val="21"/>
              </w:rPr>
            </w:pPr>
          </w:p>
        </w:tc>
        <w:tc>
          <w:tcPr>
            <w:tcW w:w="1888" w:type="dxa"/>
            <w:vAlign w:val="top"/>
          </w:tcPr>
          <w:p w14:paraId="2353BC9A">
            <w:pPr>
              <w:rPr>
                <w:rFonts w:ascii="Arial"/>
                <w:sz w:val="21"/>
              </w:rPr>
            </w:pPr>
          </w:p>
        </w:tc>
        <w:tc>
          <w:tcPr>
            <w:tcW w:w="2000" w:type="dxa"/>
            <w:vAlign w:val="top"/>
          </w:tcPr>
          <w:p w14:paraId="454F5098">
            <w:pPr>
              <w:rPr>
                <w:rFonts w:ascii="Arial"/>
                <w:sz w:val="21"/>
              </w:rPr>
            </w:pPr>
          </w:p>
        </w:tc>
        <w:tc>
          <w:tcPr>
            <w:tcW w:w="1375" w:type="dxa"/>
            <w:gridSpan w:val="2"/>
            <w:vAlign w:val="top"/>
          </w:tcPr>
          <w:p w14:paraId="20C475E6">
            <w:pPr>
              <w:rPr>
                <w:rFonts w:ascii="Arial"/>
                <w:sz w:val="21"/>
              </w:rPr>
            </w:pPr>
            <w:r>
              <mc:AlternateContent>
                <mc:Choice Requires="wps">
                  <w:drawing>
                    <wp:anchor distT="0" distB="0" distL="114300" distR="114300" simplePos="0" relativeHeight="251668480" behindDoc="0" locked="0" layoutInCell="1" allowOverlap="1">
                      <wp:simplePos x="0" y="0"/>
                      <wp:positionH relativeFrom="rightMargin">
                        <wp:posOffset>-13970</wp:posOffset>
                      </wp:positionH>
                      <wp:positionV relativeFrom="topMargin">
                        <wp:posOffset>-4445</wp:posOffset>
                      </wp:positionV>
                      <wp:extent cx="6350" cy="336550"/>
                      <wp:effectExtent l="0" t="0" r="8890" b="13970"/>
                      <wp:wrapNone/>
                      <wp:docPr id="17" name="矩形 17"/>
                      <wp:cNvGraphicFramePr/>
                      <a:graphic xmlns:a="http://schemas.openxmlformats.org/drawingml/2006/main">
                        <a:graphicData uri="http://schemas.microsoft.com/office/word/2010/wordprocessingShape">
                          <wps:wsp>
                            <wps:cNvSpPr/>
                            <wps:spPr>
                              <a:xfrm>
                                <a:off x="0" y="0"/>
                                <a:ext cx="6350" cy="3365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6.5pt;width:0.5pt;mso-position-horizontal-relative:page;mso-position-vertical-relative:page;z-index:251668480;mso-width-relative:page;mso-height-relative:page;" fillcolor="#000000" filled="t" stroked="f" coordsize="21600,21600" o:gfxdata="UEsDBAoAAAAAAIdO4kAAAAAAAAAAAAAAAAAEAAAAZHJzL1BLAwQUAAAACACHTuJAg7MkMtUAAAAG&#10;AQAADwAAAGRycy9kb3ducmV2LnhtbE2OzU7DMBCE70i8g7VI3FI7hkIJcSoViSMSLRzozYmXJGq8&#10;DrH7A0/Pciqn0WhGM1+5PPlBHHCKfSAD+UyBQGqC66k18P72nC1AxGTJ2SEQGvjGCMvq8qK0hQtH&#10;WuNhk1rBIxQLa6BLaSykjE2H3sZZGJE4+wyTt4nt1Eo32SOP+0Fqpe6ktz3xQ2dHfOqw2W323sDq&#10;YbH6er2ll591vcXtR72b60kZc32Vq0cQCU/pXIY/fEaHipnqsCcXxWAg05qbrPcgOM5ytrWBub4B&#10;WZXyP371C1BLAwQUAAAACACHTuJA3XoUCK0BAABeAwAADgAAAGRycy9lMm9Eb2MueG1srVNLbtsw&#10;EN0X6B0I7mvZMeIWguUsYiSboAmQ9gA0RUoE+MMMbdmnKZBdD9HjFL1Gh5TqtOkmi2hBzY+P896Q&#10;66ujs+ygAE3wDV/M5pwpL0NrfNfwr19uPnziDJPwrbDBq4afFPKrzft36yHW6iL0wbYKGIF4rIfY&#10;8D6lWFcVyl45gbMQlaekDuBEIhe6qgUxELqz1cV8vqqGAG2EIBUiRbdjkk+I8BrAoLWRahvk3imf&#10;RlRQViSihL2JyDelW62VTPdao0rMNpyYprLSIWTv8lpt1qLuQMTeyKkF8ZoWXnBywng69Ay1FUmw&#10;PZj/oJyREDDoNJPBVSORogixWMxfaPPYi6gKF5Ia41l0fDtY+fnwAMy0dBM+cuaFo4n/+vb9548n&#10;RgFSZ4hYU9FjfIDJQzIz1aMGl/9Egh2LoqezouqYmKTganlJSktKLJerS7IJo3reGgHTrQqOZaPh&#10;QOMqKorDHaax9E9JPgmDNe2NsbY40O2uLbCDyKMt34T+T5n1udiHvG1EzJEq0xqJZGsX2hPJsI9g&#10;up4aWRSknCHZS8fTFclz/dsvSM/PYv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7MkMtUAAAAG&#10;AQAADwAAAAAAAAABACAAAAAiAAAAZHJzL2Rvd25yZXYueG1sUEsBAhQAFAAAAAgAh07iQN16FAit&#10;AQAAXgMAAA4AAAAAAAAAAQAgAAAAJAEAAGRycy9lMm9Eb2MueG1sUEsFBgAAAAAGAAYAWQEAAEMF&#10;AAAAAA==&#10;">
                      <v:fill on="t" focussize="0,0"/>
                      <v:stroke on="f"/>
                      <v:imagedata o:title=""/>
                      <o:lock v:ext="edit" aspectratio="f"/>
                    </v:rect>
                  </w:pict>
                </mc:Fallback>
              </mc:AlternateContent>
            </w:r>
          </w:p>
        </w:tc>
      </w:tr>
      <w:tr w14:paraId="1AA06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14:paraId="485CFF39">
            <w:pPr>
              <w:rPr>
                <w:rFonts w:ascii="Arial"/>
                <w:sz w:val="21"/>
              </w:rPr>
            </w:pPr>
          </w:p>
        </w:tc>
        <w:tc>
          <w:tcPr>
            <w:tcW w:w="1516" w:type="dxa"/>
            <w:vAlign w:val="top"/>
          </w:tcPr>
          <w:p w14:paraId="6A075C53">
            <w:pPr>
              <w:rPr>
                <w:rFonts w:ascii="Arial"/>
                <w:sz w:val="21"/>
              </w:rPr>
            </w:pPr>
          </w:p>
        </w:tc>
        <w:tc>
          <w:tcPr>
            <w:tcW w:w="1295" w:type="dxa"/>
            <w:vAlign w:val="top"/>
          </w:tcPr>
          <w:p w14:paraId="01084959">
            <w:pPr>
              <w:rPr>
                <w:rFonts w:ascii="Arial"/>
                <w:sz w:val="21"/>
              </w:rPr>
            </w:pPr>
          </w:p>
        </w:tc>
        <w:tc>
          <w:tcPr>
            <w:tcW w:w="1888" w:type="dxa"/>
            <w:vAlign w:val="top"/>
          </w:tcPr>
          <w:p w14:paraId="0FD72023">
            <w:pPr>
              <w:rPr>
                <w:rFonts w:ascii="Arial"/>
                <w:sz w:val="21"/>
              </w:rPr>
            </w:pPr>
          </w:p>
        </w:tc>
        <w:tc>
          <w:tcPr>
            <w:tcW w:w="2000" w:type="dxa"/>
            <w:vAlign w:val="top"/>
          </w:tcPr>
          <w:p w14:paraId="76587853">
            <w:pPr>
              <w:rPr>
                <w:rFonts w:ascii="Arial"/>
                <w:sz w:val="21"/>
              </w:rPr>
            </w:pPr>
          </w:p>
        </w:tc>
        <w:tc>
          <w:tcPr>
            <w:tcW w:w="1375" w:type="dxa"/>
            <w:gridSpan w:val="2"/>
            <w:vAlign w:val="top"/>
          </w:tcPr>
          <w:p w14:paraId="6444F635">
            <w:pPr>
              <w:rPr>
                <w:rFonts w:ascii="Arial"/>
                <w:sz w:val="21"/>
              </w:rPr>
            </w:pPr>
            <w:r>
              <mc:AlternateContent>
                <mc:Choice Requires="wps">
                  <w:drawing>
                    <wp:anchor distT="0" distB="0" distL="114300" distR="114300" simplePos="0" relativeHeight="251671552" behindDoc="0" locked="0" layoutInCell="1" allowOverlap="1">
                      <wp:simplePos x="0" y="0"/>
                      <wp:positionH relativeFrom="rightMargin">
                        <wp:posOffset>-13970</wp:posOffset>
                      </wp:positionH>
                      <wp:positionV relativeFrom="topMargin">
                        <wp:posOffset>-4445</wp:posOffset>
                      </wp:positionV>
                      <wp:extent cx="6350" cy="358775"/>
                      <wp:effectExtent l="0" t="0" r="8890" b="6985"/>
                      <wp:wrapNone/>
                      <wp:docPr id="18" name="矩形 18"/>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8.25pt;width:0.5pt;mso-position-horizontal-relative:page;mso-position-vertical-relative:page;z-index:251671552;mso-width-relative:page;mso-height-relative:page;" fillcolor="#000000" filled="t" stroked="f" coordsize="21600,21600" o:gfxdata="UEsDBAoAAAAAAIdO4kAAAAAAAAAAAAAAAAAEAAAAZHJzL1BLAwQUAAAACACHTuJAPI6XedUAAAAG&#10;AQAADwAAAGRycy9kb3ducmV2LnhtbE2OzU7DMBCE70i8g7VI3FI7EYE0xKlUJI5ItHCgNyfeJlHj&#10;dYjdH3h6lhOcRqMZzXzV6uJGccI5DJ40pAsFAqn1dqBOw/vbc1KACNGQNaMn1PCFAVb19VVlSuvP&#10;tMHTNnaCRyiURkMf41RKGdoenQkLPyFxtvezM5Ht3Ek7mzOPu1FmSt1LZwbih95M+NRje9genYb1&#10;slh/vt7Ry/em2eHuoznk2ay0vr1J1SOIiJf4V4ZffEaHmpkafyQbxKghyTJusj6A4DhJ2TYa8rwA&#10;WVfyP379A1BLAwQUAAAACACHTuJAPtQQ0q4BAABeAwAADgAAAGRycy9lMm9Eb2MueG1srVNLbtsw&#10;EN0X6B0I7mvaCZwEguUsYiSboAmQ9gA0RUkE+MMMbdmnKZBdD9HjFL1Gh5TqtOkmi2hBzY+P896Q&#10;q+uDs2yvAU3wNV/M5pxpr0JjfFfzr19uP11xhkn6Rtrgdc2PGvn1+uOH1RArfRb6YBsNjEA8VkOs&#10;eZ9SrIRA1WsncRai9pRsAziZyIVONCAHQndWnM3nF2II0EQISiNSdDMm+YQIbwEMbWuU3gS1c9qn&#10;ERW0lYkoYW8i8nXptm21Sg9tizoxW3NimspKh5C9zatYr2TVgYy9UVML8i0tvOLkpPF06AlqI5Nk&#10;OzD/QTmjIGBo00wFJ0YiRRFisZi/0uapl1EXLiQ1xpPo+H6w6vP+EZhp6CbQ3L10NPFf377//PHM&#10;KEDqDBErKnqKjzB5SGamemjB5T+RYIei6PGkqD4kpih4cb4kpRUlzpdXl5fLjChetkbAdKeDY9mo&#10;OdC4iopyf49pLP1Tkk/CYE1za6wtDnTbGwtsL/Noyzeh/1NmfS72IW8bEXNEZFojkWxtQ3MkGXYR&#10;TNdTI4uClDMke+l4uiJ5rn/7BenlW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yOl3nVAAAA&#10;BgEAAA8AAAAAAAAAAQAgAAAAIgAAAGRycy9kb3ducmV2LnhtbFBLAQIUABQAAAAIAIdO4kA+1BDS&#10;rgEAAF4DAAAOAAAAAAAAAAEAIAAAACQBAABkcnMvZTJvRG9jLnhtbFBLBQYAAAAABgAGAFkBAABE&#10;BQAAAAA=&#10;">
                      <v:fill on="t" focussize="0,0"/>
                      <v:stroke on="f"/>
                      <v:imagedata o:title=""/>
                      <o:lock v:ext="edit" aspectratio="f"/>
                    </v:rect>
                  </w:pict>
                </mc:Fallback>
              </mc:AlternateContent>
            </w:r>
          </w:p>
        </w:tc>
      </w:tr>
      <w:tr w14:paraId="747F8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14:paraId="2C67C320">
            <w:pPr>
              <w:rPr>
                <w:rFonts w:ascii="Arial"/>
                <w:sz w:val="21"/>
              </w:rPr>
            </w:pPr>
          </w:p>
        </w:tc>
        <w:tc>
          <w:tcPr>
            <w:tcW w:w="1516" w:type="dxa"/>
            <w:vAlign w:val="top"/>
          </w:tcPr>
          <w:p w14:paraId="7CF37BC7">
            <w:pPr>
              <w:rPr>
                <w:rFonts w:ascii="Arial"/>
                <w:sz w:val="21"/>
              </w:rPr>
            </w:pPr>
          </w:p>
        </w:tc>
        <w:tc>
          <w:tcPr>
            <w:tcW w:w="1295" w:type="dxa"/>
            <w:vAlign w:val="top"/>
          </w:tcPr>
          <w:p w14:paraId="3E57F912">
            <w:pPr>
              <w:rPr>
                <w:rFonts w:ascii="Arial"/>
                <w:sz w:val="21"/>
              </w:rPr>
            </w:pPr>
          </w:p>
        </w:tc>
        <w:tc>
          <w:tcPr>
            <w:tcW w:w="1888" w:type="dxa"/>
            <w:vAlign w:val="top"/>
          </w:tcPr>
          <w:p w14:paraId="10574FE5">
            <w:pPr>
              <w:rPr>
                <w:rFonts w:ascii="Arial"/>
                <w:sz w:val="21"/>
              </w:rPr>
            </w:pPr>
          </w:p>
        </w:tc>
        <w:tc>
          <w:tcPr>
            <w:tcW w:w="2000" w:type="dxa"/>
            <w:vAlign w:val="top"/>
          </w:tcPr>
          <w:p w14:paraId="4A5C5866">
            <w:pPr>
              <w:rPr>
                <w:rFonts w:ascii="Arial"/>
                <w:sz w:val="21"/>
              </w:rPr>
            </w:pPr>
          </w:p>
        </w:tc>
        <w:tc>
          <w:tcPr>
            <w:tcW w:w="1375" w:type="dxa"/>
            <w:gridSpan w:val="2"/>
            <w:vAlign w:val="top"/>
          </w:tcPr>
          <w:p w14:paraId="5803F911">
            <w:pPr>
              <w:rPr>
                <w:rFonts w:ascii="Arial"/>
                <w:sz w:val="21"/>
              </w:rPr>
            </w:pPr>
            <w:r>
              <mc:AlternateContent>
                <mc:Choice Requires="wps">
                  <w:drawing>
                    <wp:anchor distT="0" distB="0" distL="114300" distR="114300" simplePos="0" relativeHeight="251669504" behindDoc="0" locked="0" layoutInCell="1" allowOverlap="1">
                      <wp:simplePos x="0" y="0"/>
                      <wp:positionH relativeFrom="rightMargin">
                        <wp:posOffset>-13970</wp:posOffset>
                      </wp:positionH>
                      <wp:positionV relativeFrom="topMargin">
                        <wp:posOffset>-3810</wp:posOffset>
                      </wp:positionV>
                      <wp:extent cx="6350" cy="358775"/>
                      <wp:effectExtent l="0" t="0" r="8890" b="6985"/>
                      <wp:wrapNone/>
                      <wp:docPr id="19" name="矩形 19"/>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05pt;height:28.25pt;width:0.5pt;mso-position-horizontal-relative:page;mso-position-vertical-relative:page;z-index:251669504;mso-width-relative:page;mso-height-relative:page;" fillcolor="#000000" filled="t" stroked="f" coordsize="21600,21600" o:gfxdata="UEsDBAoAAAAAAIdO4kAAAAAAAAAAAAAAAAAEAAAAZHJzL1BLAwQUAAAACACHTuJArBnrYdUAAAAG&#10;AQAADwAAAGRycy9kb3ducmV2LnhtbE2OzU7DMBCE70h9B2srcUudRKRqQ5xKReKIRAsHenPiJYka&#10;r4Pt/sDTs5zoaTSa0cxXba52FGf0YXCkIFukIJBaZwbqFLy/PScrECFqMnp0hAq+McCmnt1VujTu&#10;Qjs872MneIRCqRX0MU6llKHt0eqwcBMSZ5/OWx3Z+k4ary88bkeZp+lSWj0QP/R6wqce2+P+ZBVs&#10;16vt1+sDvfzsmgMePppjkftUqft5lj6CiHiN/2X4w2d0qJmpcScyQYwKkjznJusSBMdJxrZRUBRr&#10;kHUlb/HrX1BLAwQUAAAACACHTuJA8onG8q4BAABeAwAADgAAAGRycy9lMm9Eb2MueG1srVNLbtsw&#10;EN0XyB0I7mvZCZykguUsaiSbIg2Q5gA0RUoE+MMMbdmnKZBdD9HjFL1Gh5TqtOkmi2pBzY+P896Q&#10;q5uDs2yvAE3wDV/M5pwpL0NrfNfwpy+37685wyR8K2zwquFHhfxmffZuNcRanYc+2FYBIxCP9RAb&#10;3qcU66pC2SsncBai8pTUAZxI5EJXtSAGQne2Op/PL6shQBshSIVI0c2Y5BMivAUwaG2k2gS5c8qn&#10;ERWUFYkoYW8i8nXpVmsl02etUSVmG05MU1npELK3ea3WK1F3IGJv5NSCeEsLrzg5YTwdeoLaiCTY&#10;Dsw/UM5ICBh0msngqpFIUYRYLOavtHnsRVSFC0mN8SQ6/j9Yeb9/AGZaugkfOPPC0cR/fv324/sz&#10;owCpM0SsqegxPsDkIZmZ6kGDy38iwQ5F0eNJUXVITFLw8mJJSktKXCyvr66WGbF62RoB050KjmWj&#10;4UDjKiqK/SdMY+nvknwSBmvaW2NtcaDbfrTA9iKPtnwT+l9l1udiH/K2ETFHqkxrJJKtbWiPJMMu&#10;gul6amRRkHKGZC8dT1ckz/VPvyC9PIv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wZ62HVAAAA&#10;BgEAAA8AAAAAAAAAAQAgAAAAIgAAAGRycy9kb3ducmV2LnhtbFBLAQIUABQAAAAIAIdO4kDyicby&#10;rgEAAF4DAAAOAAAAAAAAAAEAIAAAACQBAABkcnMvZTJvRG9jLnhtbFBLBQYAAAAABgAGAFkBAABE&#10;BQAAAAA=&#10;">
                      <v:fill on="t" focussize="0,0"/>
                      <v:stroke on="f"/>
                      <v:imagedata o:title=""/>
                      <o:lock v:ext="edit" aspectratio="f"/>
                    </v:rect>
                  </w:pict>
                </mc:Fallback>
              </mc:AlternateContent>
            </w:r>
          </w:p>
        </w:tc>
      </w:tr>
      <w:tr w14:paraId="2F0CA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62" w:type="dxa"/>
            <w:vAlign w:val="top"/>
          </w:tcPr>
          <w:p w14:paraId="1F69EAD6">
            <w:pPr>
              <w:rPr>
                <w:rFonts w:ascii="Arial"/>
                <w:sz w:val="21"/>
              </w:rPr>
            </w:pPr>
          </w:p>
        </w:tc>
        <w:tc>
          <w:tcPr>
            <w:tcW w:w="1516" w:type="dxa"/>
            <w:vAlign w:val="top"/>
          </w:tcPr>
          <w:p w14:paraId="71017401">
            <w:pPr>
              <w:rPr>
                <w:rFonts w:ascii="Arial"/>
                <w:sz w:val="21"/>
              </w:rPr>
            </w:pPr>
          </w:p>
        </w:tc>
        <w:tc>
          <w:tcPr>
            <w:tcW w:w="1295" w:type="dxa"/>
            <w:vAlign w:val="top"/>
          </w:tcPr>
          <w:p w14:paraId="40F29A81">
            <w:pPr>
              <w:rPr>
                <w:rFonts w:ascii="Arial"/>
                <w:sz w:val="21"/>
              </w:rPr>
            </w:pPr>
          </w:p>
        </w:tc>
        <w:tc>
          <w:tcPr>
            <w:tcW w:w="1888" w:type="dxa"/>
            <w:vAlign w:val="top"/>
          </w:tcPr>
          <w:p w14:paraId="1F7A46D8">
            <w:pPr>
              <w:rPr>
                <w:rFonts w:ascii="Arial"/>
                <w:sz w:val="21"/>
              </w:rPr>
            </w:pPr>
          </w:p>
        </w:tc>
        <w:tc>
          <w:tcPr>
            <w:tcW w:w="2000" w:type="dxa"/>
            <w:vAlign w:val="top"/>
          </w:tcPr>
          <w:p w14:paraId="0A0EFBF8">
            <w:pPr>
              <w:rPr>
                <w:rFonts w:ascii="Arial"/>
                <w:sz w:val="21"/>
              </w:rPr>
            </w:pPr>
          </w:p>
        </w:tc>
        <w:tc>
          <w:tcPr>
            <w:tcW w:w="1375" w:type="dxa"/>
            <w:gridSpan w:val="2"/>
            <w:vAlign w:val="top"/>
          </w:tcPr>
          <w:p w14:paraId="12C7ECF8">
            <w:pPr>
              <w:rPr>
                <w:rFonts w:ascii="Arial"/>
                <w:sz w:val="21"/>
              </w:rPr>
            </w:pPr>
            <w:r>
              <mc:AlternateContent>
                <mc:Choice Requires="wps">
                  <w:drawing>
                    <wp:anchor distT="0" distB="0" distL="114300" distR="114300" simplePos="0" relativeHeight="251672576" behindDoc="0" locked="0" layoutInCell="1" allowOverlap="1">
                      <wp:simplePos x="0" y="0"/>
                      <wp:positionH relativeFrom="rightMargin">
                        <wp:posOffset>-13970</wp:posOffset>
                      </wp:positionH>
                      <wp:positionV relativeFrom="topMargin">
                        <wp:posOffset>-3175</wp:posOffset>
                      </wp:positionV>
                      <wp:extent cx="6350" cy="386715"/>
                      <wp:effectExtent l="0" t="0" r="8890" b="9525"/>
                      <wp:wrapNone/>
                      <wp:docPr id="20" name="矩形 20"/>
                      <wp:cNvGraphicFramePr/>
                      <a:graphic xmlns:a="http://schemas.openxmlformats.org/drawingml/2006/main">
                        <a:graphicData uri="http://schemas.microsoft.com/office/word/2010/wordprocessingShape">
                          <wps:wsp>
                            <wps:cNvSpPr/>
                            <wps:spPr>
                              <a:xfrm>
                                <a:off x="0" y="0"/>
                                <a:ext cx="6350" cy="386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pt;height:30.45pt;width:0.5pt;mso-position-horizontal-relative:page;mso-position-vertical-relative:page;z-index:251672576;mso-width-relative:page;mso-height-relative:page;" fillcolor="#000000" filled="t" stroked="f" coordsize="21600,21600" o:gfxdata="UEsDBAoAAAAAAIdO4kAAAAAAAAAAAAAAAAAEAAAAZHJzL1BLAwQUAAAACACHTuJAduWHjdUAAAAG&#10;AQAADwAAAGRycy9kb3ducmV2LnhtbE2OzU7DMBCE70i8g7VI3FI7UVuVEKdSkTgi0dIDvTnxkkSN&#10;18F2f+DpWU5wGo1mNPNV66sbxRlDHDxpyGcKBFLr7UCdhv3bc7YCEZMha0ZPqOELI6zr25vKlNZf&#10;aIvnXeoEj1AsjYY+pamUMrY9OhNnfkLi7MMHZxLb0EkbzIXH3SgLpZbSmYH4oTcTPvXYHncnp2Hz&#10;sNp8vs7p5XvbHPDw3hwXRVBa39/l6hFEwmv6K8MvPqNDzUyNP5GNYtSQFQU3WRcgOM5yto2GpZqD&#10;rCv5H7/+AVBLAwQUAAAACACHTuJAKRFvcK0BAABeAwAADgAAAGRycy9lMm9Eb2MueG1srVNLbtsw&#10;EN0H6B0I7mvaDuIGguUsaqSbIA2Q5gA0RUkE+MMMbdmnKdBdD9HjFL1Gh5TitOkmi2pBzY9v5r2R&#10;1jdHZ9lBA5rga76YzTnTXoXG+K7mT19u319zhkn6Rtrgdc1PGvnN5t3FeoiVXoY+2EYDIxCP1RBr&#10;3qcUKyFQ9dpJnIWoPSXbAE4mcqETDciB0J0Vy/l8JYYATYSgNCJFt2OST4jwFsDQtkbpbVB7p30a&#10;UUFbmYgS9iYi35Rp21ar9LltUSdma05MUzmpCdm7fIrNWlYdyNgbNY0g3zLCK05OGk9Nz1BbmSTb&#10;g/kHyhkFAUObZio4MRIpihCLxfyVNo+9jLpwIakxnkXH/wer7g8PwExT8yVJ4qWjjf/6+v3nj2+M&#10;AqTOELGiosf4AJOHZGaqxxZcfhMJdiyKns6K6mNiioKryyuCVZS4vF59WFxlRPFyNQKmTzo4lo2a&#10;A62rqCgPd5jG0ueS3AmDNc2tsbY40O0+WmAHmVdbngn9rzLrc7EP+dqImCMi0xqJZGsXmhPJsI9g&#10;up4GWRSknCHZy8TTJ5L3+qdfkF5+i8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WHjdUAAAAG&#10;AQAADwAAAAAAAAABACAAAAAiAAAAZHJzL2Rvd25yZXYueG1sUEsBAhQAFAAAAAgAh07iQCkRb3Ct&#10;AQAAXgMAAA4AAAAAAAAAAQAgAAAAJAEAAGRycy9lMm9Eb2MueG1sUEsFBgAAAAAGAAYAWQEAAEMF&#10;AAAAAA==&#10;">
                      <v:fill on="t" focussize="0,0"/>
                      <v:stroke on="f"/>
                      <v:imagedata o:title=""/>
                      <o:lock v:ext="edit" aspectratio="f"/>
                    </v:rect>
                  </w:pict>
                </mc:Fallback>
              </mc:AlternateContent>
            </w:r>
          </w:p>
        </w:tc>
      </w:tr>
    </w:tbl>
    <w:p w14:paraId="4C243AC2">
      <w:pPr>
        <w:spacing w:before="212" w:line="227" w:lineRule="auto"/>
        <w:ind w:left="455"/>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说</w:t>
      </w:r>
      <w:r>
        <w:rPr>
          <w:rFonts w:ascii="宋体" w:hAnsi="宋体" w:eastAsia="宋体" w:cs="宋体"/>
          <w:spacing w:val="10"/>
          <w:sz w:val="24"/>
          <w:szCs w:val="24"/>
          <w14:textOutline w14:w="4358" w14:cap="sq" w14:cmpd="sng">
            <w14:solidFill>
              <w14:srgbClr w14:val="000000"/>
            </w14:solidFill>
            <w14:prstDash w14:val="solid"/>
            <w14:bevel/>
          </w14:textOutline>
        </w:rPr>
        <w:t>明</w:t>
      </w:r>
      <w:r>
        <w:rPr>
          <w:rFonts w:ascii="宋体" w:hAnsi="宋体" w:eastAsia="宋体" w:cs="宋体"/>
          <w:spacing w:val="8"/>
          <w:sz w:val="24"/>
          <w:szCs w:val="24"/>
          <w14:textOutline w14:w="4358" w14:cap="sq" w14:cmpd="sng">
            <w14:solidFill>
              <w14:srgbClr w14:val="000000"/>
            </w14:solidFill>
            <w14:prstDash w14:val="solid"/>
            <w14:bevel/>
          </w14:textOutline>
        </w:rPr>
        <w:t>：1、后附业绩证明材料</w:t>
      </w:r>
      <w:r>
        <w:rPr>
          <w:rFonts w:hint="eastAsia" w:cs="宋体"/>
          <w:spacing w:val="8"/>
          <w:sz w:val="24"/>
          <w:szCs w:val="24"/>
          <w:lang w:eastAsia="zh-CN"/>
          <w14:textOutline w14:w="4358" w14:cap="sq" w14:cmpd="sng">
            <w14:solidFill>
              <w14:srgbClr w14:val="000000"/>
            </w14:solidFill>
            <w14:prstDash w14:val="solid"/>
            <w14:bevel/>
          </w14:textOutline>
        </w:rPr>
        <w:t>（施工合同或中标通知书）</w:t>
      </w:r>
      <w:r>
        <w:rPr>
          <w:rFonts w:ascii="宋体" w:hAnsi="宋体" w:eastAsia="宋体" w:cs="宋体"/>
          <w:spacing w:val="8"/>
          <w:sz w:val="24"/>
          <w:szCs w:val="24"/>
          <w14:textOutline w14:w="4358" w14:cap="sq" w14:cmpd="sng">
            <w14:solidFill>
              <w14:srgbClr w14:val="000000"/>
            </w14:solidFill>
            <w14:prstDash w14:val="solid"/>
            <w14:bevel/>
          </w14:textOutline>
        </w:rPr>
        <w:t>。</w:t>
      </w:r>
    </w:p>
    <w:p w14:paraId="5631F3B1">
      <w:pPr>
        <w:spacing w:before="237" w:line="417" w:lineRule="auto"/>
        <w:ind w:left="452" w:right="463" w:firstLine="722"/>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2</w:t>
      </w:r>
      <w:r>
        <w:rPr>
          <w:rFonts w:ascii="宋体" w:hAnsi="宋体" w:eastAsia="宋体" w:cs="宋体"/>
          <w:spacing w:val="11"/>
          <w:sz w:val="24"/>
          <w:szCs w:val="24"/>
          <w14:textOutline w14:w="4358" w14:cap="sq" w14:cmpd="sng">
            <w14:solidFill>
              <w14:srgbClr w14:val="000000"/>
            </w14:solidFill>
            <w14:prstDash w14:val="solid"/>
            <w14:bevel/>
          </w14:textOutline>
        </w:rPr>
        <w:t>、供应商应如实列出以上情况，如有隐瞒，一经查实将导致其响应文件</w:t>
      </w:r>
      <w:r>
        <w:rPr>
          <w:rFonts w:ascii="宋体" w:hAnsi="宋体" w:eastAsia="宋体" w:cs="宋体"/>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被</w:t>
      </w:r>
      <w:r>
        <w:rPr>
          <w:rFonts w:ascii="宋体" w:hAnsi="宋体" w:eastAsia="宋体" w:cs="宋体"/>
          <w:spacing w:val="5"/>
          <w:sz w:val="24"/>
          <w:szCs w:val="24"/>
          <w14:textOutline w14:w="4358" w14:cap="sq" w14:cmpd="sng">
            <w14:solidFill>
              <w14:srgbClr w14:val="000000"/>
            </w14:solidFill>
            <w14:prstDash w14:val="solid"/>
            <w14:bevel/>
          </w14:textOutline>
        </w:rPr>
        <w:t>拒绝。</w:t>
      </w:r>
    </w:p>
    <w:p w14:paraId="00BF5E6D">
      <w:pPr>
        <w:spacing w:line="253" w:lineRule="auto"/>
        <w:rPr>
          <w:rFonts w:ascii="Arial"/>
          <w:sz w:val="21"/>
        </w:rPr>
      </w:pPr>
    </w:p>
    <w:p w14:paraId="25911C26">
      <w:pPr>
        <w:spacing w:line="253" w:lineRule="auto"/>
        <w:rPr>
          <w:rFonts w:ascii="Arial"/>
          <w:sz w:val="21"/>
        </w:rPr>
      </w:pPr>
    </w:p>
    <w:p w14:paraId="149019F7">
      <w:pPr>
        <w:spacing w:before="75" w:line="227" w:lineRule="auto"/>
        <w:ind w:left="2684"/>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(单位盖章)</w:t>
      </w:r>
    </w:p>
    <w:p w14:paraId="32BDEE1A">
      <w:pPr>
        <w:spacing w:line="287" w:lineRule="auto"/>
        <w:rPr>
          <w:rFonts w:ascii="Arial"/>
          <w:sz w:val="24"/>
          <w:szCs w:val="24"/>
        </w:rPr>
      </w:pPr>
    </w:p>
    <w:p w14:paraId="6311FFE5">
      <w:pPr>
        <w:spacing w:line="288" w:lineRule="auto"/>
        <w:rPr>
          <w:rFonts w:ascii="Arial"/>
          <w:sz w:val="24"/>
          <w:szCs w:val="24"/>
        </w:rPr>
      </w:pPr>
    </w:p>
    <w:p w14:paraId="4353D287">
      <w:pPr>
        <w:spacing w:before="75" w:line="224" w:lineRule="auto"/>
        <w:ind w:right="382"/>
        <w:jc w:val="right"/>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(签字或盖章)</w:t>
      </w:r>
    </w:p>
    <w:p w14:paraId="4CF186E3">
      <w:pPr>
        <w:spacing w:line="345" w:lineRule="auto"/>
        <w:rPr>
          <w:rFonts w:ascii="Arial"/>
          <w:sz w:val="21"/>
        </w:rPr>
      </w:pPr>
    </w:p>
    <w:p w14:paraId="6B159DEF">
      <w:pPr>
        <w:spacing w:before="75" w:line="227" w:lineRule="auto"/>
        <w:ind w:firstLine="4284" w:firstLineChars="1800"/>
        <w:rPr>
          <w:rFonts w:ascii="宋体" w:hAnsi="宋体" w:eastAsia="宋体" w:cs="宋体"/>
          <w:sz w:val="24"/>
          <w:szCs w:val="24"/>
        </w:rPr>
      </w:pPr>
      <w:r>
        <w:rPr>
          <w:rFonts w:ascii="宋体" w:hAnsi="宋体" w:eastAsia="宋体" w:cs="宋体"/>
          <w:spacing w:val="-1"/>
          <w:sz w:val="24"/>
          <w:szCs w:val="24"/>
        </w:rPr>
        <w:t xml:space="preserve">日期：      年   月 </w:t>
      </w:r>
      <w:r>
        <w:rPr>
          <w:rFonts w:ascii="宋体" w:hAnsi="宋体" w:eastAsia="宋体" w:cs="宋体"/>
          <w:sz w:val="24"/>
          <w:szCs w:val="24"/>
        </w:rPr>
        <w:t xml:space="preserve"> 日</w:t>
      </w:r>
    </w:p>
    <w:p w14:paraId="6C86D191">
      <w:pPr>
        <w:rPr>
          <w:sz w:val="24"/>
          <w:szCs w:val="24"/>
        </w:rPr>
        <w:sectPr>
          <w:footerReference r:id="rId16" w:type="default"/>
          <w:pgSz w:w="11906" w:h="16839"/>
          <w:pgMar w:top="1431" w:right="1307" w:bottom="1170" w:left="1356" w:header="0" w:footer="567" w:gutter="0"/>
          <w:pgNumType w:fmt="decimal"/>
          <w:cols w:space="720" w:num="1"/>
        </w:sectPr>
      </w:pPr>
    </w:p>
    <w:p w14:paraId="584E8D26">
      <w:pPr>
        <w:numPr>
          <w:ilvl w:val="0"/>
          <w:numId w:val="0"/>
        </w:numPr>
        <w:shd w:val="clear"/>
        <w:spacing w:before="32"/>
        <w:ind w:left="791" w:leftChars="0" w:right="875" w:rightChars="0"/>
        <w:jc w:val="center"/>
        <w:rPr>
          <w:rFonts w:hint="eastAsia"/>
          <w:b/>
          <w:sz w:val="30"/>
        </w:rPr>
      </w:pPr>
      <w:r>
        <w:rPr>
          <w:rFonts w:hint="eastAsia"/>
          <w:b/>
          <w:sz w:val="30"/>
          <w:lang w:eastAsia="zh-CN"/>
        </w:rPr>
        <w:t>五、</w:t>
      </w:r>
      <w:r>
        <w:rPr>
          <w:rFonts w:hint="eastAsia"/>
          <w:b/>
          <w:sz w:val="30"/>
        </w:rPr>
        <w:t>谈判方案说明书</w:t>
      </w:r>
    </w:p>
    <w:p w14:paraId="170A54D6">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36C75119">
      <w:pPr>
        <w:numPr>
          <w:ilvl w:val="0"/>
          <w:numId w:val="0"/>
        </w:numPr>
        <w:spacing w:line="360" w:lineRule="auto"/>
        <w:ind w:leftChars="200"/>
        <w:jc w:val="both"/>
        <w:rPr>
          <w:rFonts w:hint="eastAsia" w:cs="宋体"/>
          <w:sz w:val="24"/>
          <w:szCs w:val="24"/>
          <w:lang w:val="en-US" w:eastAsia="zh-CN" w:bidi="zh-CN"/>
        </w:rPr>
      </w:pPr>
      <w:r>
        <w:rPr>
          <w:rFonts w:hint="eastAsia" w:ascii="宋体" w:hAnsi="宋体" w:eastAsia="宋体" w:cs="宋体"/>
          <w:sz w:val="24"/>
          <w:szCs w:val="24"/>
          <w:lang w:val="en-US" w:eastAsia="zh-CN" w:bidi="zh-CN"/>
        </w:rPr>
        <w:t>方案需针对本项目采购清单中的药剂特性编写</w:t>
      </w:r>
      <w:r>
        <w:rPr>
          <w:rFonts w:hint="eastAsia" w:cs="宋体"/>
          <w:sz w:val="24"/>
          <w:szCs w:val="24"/>
          <w:lang w:val="en-US" w:eastAsia="zh-CN" w:bidi="zh-CN"/>
        </w:rPr>
        <w:t>，包括但不限于：</w:t>
      </w:r>
    </w:p>
    <w:p w14:paraId="3E9B09D4">
      <w:pPr>
        <w:numPr>
          <w:ilvl w:val="0"/>
          <w:numId w:val="0"/>
        </w:numPr>
        <w:spacing w:line="360" w:lineRule="auto"/>
        <w:ind w:leftChars="200"/>
        <w:jc w:val="both"/>
        <w:rPr>
          <w:rFonts w:hint="eastAsia" w:cs="宋体"/>
          <w:sz w:val="24"/>
          <w:szCs w:val="24"/>
          <w:lang w:val="en-US" w:eastAsia="zh-CN" w:bidi="zh-CN"/>
        </w:rPr>
      </w:pPr>
      <w:r>
        <w:rPr>
          <w:rFonts w:hint="eastAsia" w:cs="宋体"/>
          <w:sz w:val="24"/>
          <w:szCs w:val="24"/>
          <w:lang w:val="en-US" w:eastAsia="zh-CN" w:bidi="zh-CN"/>
        </w:rPr>
        <w:t>1、供货保障方措施</w:t>
      </w:r>
    </w:p>
    <w:p w14:paraId="0C17C9A9">
      <w:pPr>
        <w:numPr>
          <w:ilvl w:val="0"/>
          <w:numId w:val="0"/>
        </w:numPr>
        <w:spacing w:line="360" w:lineRule="auto"/>
        <w:ind w:leftChars="200"/>
        <w:jc w:val="both"/>
        <w:rPr>
          <w:rFonts w:hint="eastAsia" w:cs="宋体"/>
          <w:sz w:val="24"/>
          <w:szCs w:val="24"/>
          <w:lang w:val="en-US" w:eastAsia="zh-CN" w:bidi="zh-CN"/>
        </w:rPr>
      </w:pPr>
      <w:r>
        <w:rPr>
          <w:rFonts w:hint="eastAsia" w:cs="宋体"/>
          <w:sz w:val="24"/>
          <w:szCs w:val="24"/>
          <w:lang w:val="en-US" w:eastAsia="zh-CN" w:bidi="zh-CN"/>
        </w:rPr>
        <w:t>2、检测验收方案</w:t>
      </w:r>
    </w:p>
    <w:p w14:paraId="04B71729">
      <w:pPr>
        <w:numPr>
          <w:ilvl w:val="0"/>
          <w:numId w:val="0"/>
        </w:numPr>
        <w:spacing w:line="360" w:lineRule="auto"/>
        <w:ind w:leftChars="200"/>
        <w:jc w:val="both"/>
        <w:rPr>
          <w:rFonts w:hint="default" w:cs="宋体"/>
          <w:sz w:val="24"/>
          <w:szCs w:val="24"/>
          <w:lang w:val="en-US" w:eastAsia="zh-CN" w:bidi="zh-CN"/>
        </w:rPr>
      </w:pPr>
      <w:r>
        <w:rPr>
          <w:rFonts w:hint="eastAsia" w:cs="宋体"/>
          <w:sz w:val="24"/>
          <w:szCs w:val="24"/>
          <w:lang w:val="en-US" w:eastAsia="zh-CN" w:bidi="zh-CN"/>
        </w:rPr>
        <w:t>3、运输与包装方案</w:t>
      </w:r>
    </w:p>
    <w:p w14:paraId="37C400EF">
      <w:pPr>
        <w:numPr>
          <w:ilvl w:val="0"/>
          <w:numId w:val="0"/>
        </w:numPr>
        <w:spacing w:line="360" w:lineRule="auto"/>
        <w:ind w:leftChars="200"/>
        <w:jc w:val="both"/>
        <w:rPr>
          <w:rFonts w:hint="eastAsia" w:cs="宋体"/>
          <w:sz w:val="24"/>
          <w:szCs w:val="24"/>
          <w:lang w:val="en-US" w:eastAsia="zh-CN" w:bidi="zh-CN"/>
        </w:rPr>
      </w:pPr>
      <w:r>
        <w:rPr>
          <w:rFonts w:hint="eastAsia" w:cs="宋体"/>
          <w:sz w:val="24"/>
          <w:szCs w:val="24"/>
          <w:lang w:val="en-US" w:eastAsia="zh-CN" w:bidi="zh-CN"/>
        </w:rPr>
        <w:t>4、应急响应机制</w:t>
      </w:r>
    </w:p>
    <w:p w14:paraId="71A03D75">
      <w:pPr>
        <w:numPr>
          <w:ilvl w:val="0"/>
          <w:numId w:val="0"/>
        </w:numPr>
        <w:spacing w:line="360" w:lineRule="auto"/>
        <w:ind w:leftChars="200"/>
        <w:jc w:val="both"/>
        <w:rPr>
          <w:rFonts w:hint="default" w:cs="宋体"/>
          <w:sz w:val="24"/>
          <w:szCs w:val="24"/>
          <w:lang w:val="en-US" w:eastAsia="zh-CN" w:bidi="zh-CN"/>
        </w:rPr>
      </w:pPr>
      <w:r>
        <w:rPr>
          <w:rFonts w:hint="eastAsia" w:cs="宋体"/>
          <w:sz w:val="24"/>
          <w:szCs w:val="24"/>
          <w:lang w:val="en-US" w:eastAsia="zh-CN" w:bidi="zh-CN"/>
        </w:rPr>
        <w:t>5、售后服务</w:t>
      </w:r>
    </w:p>
    <w:p w14:paraId="01159195">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0DBCD5F8">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71856C2F">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6CEF4BA0">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43D604EA">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154F9C48">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19911347">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009B8A63">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31F93DB0">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53A61684">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679EE9CD">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4CED9D13">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54058C76">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4B5DD613">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2493AB9F">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45C48B34">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62879BB0">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000FFBA3">
      <w:pPr>
        <w:numPr>
          <w:ilvl w:val="0"/>
          <w:numId w:val="0"/>
        </w:numPr>
        <w:spacing w:line="360" w:lineRule="auto"/>
        <w:ind w:leftChars="200"/>
        <w:jc w:val="center"/>
        <w:rPr>
          <w:rFonts w:hint="eastAsia" w:ascii="宋体" w:hAnsi="宋体" w:eastAsia="宋体" w:cs="宋体"/>
          <w:b/>
          <w:bCs/>
          <w:color w:val="auto"/>
          <w:sz w:val="28"/>
          <w:szCs w:val="28"/>
          <w:lang w:val="en-US" w:eastAsia="zh-CN" w:bidi="zh-CN"/>
        </w:rPr>
      </w:pPr>
    </w:p>
    <w:p w14:paraId="1BE5946E">
      <w:pPr>
        <w:pStyle w:val="4"/>
        <w:spacing w:before="58"/>
        <w:ind w:left="793"/>
        <w:rPr>
          <w:b/>
          <w:sz w:val="30"/>
        </w:rPr>
      </w:pPr>
      <w:r>
        <w:rPr>
          <w:rFonts w:hint="eastAsia"/>
          <w:lang w:eastAsia="zh-CN"/>
        </w:rPr>
        <w:t>六、</w:t>
      </w:r>
      <w:r>
        <w:t>供应商拒绝政府采购领域商业贿赂承诺书</w:t>
      </w:r>
    </w:p>
    <w:p w14:paraId="7B920912">
      <w:pPr>
        <w:pStyle w:val="9"/>
        <w:spacing w:before="11"/>
        <w:rPr>
          <w:b/>
          <w:sz w:val="23"/>
        </w:rPr>
      </w:pPr>
    </w:p>
    <w:p w14:paraId="2D029EAB">
      <w:pPr>
        <w:pStyle w:val="9"/>
        <w:spacing w:before="1" w:line="405" w:lineRule="auto"/>
        <w:ind w:left="348" w:right="376" w:firstLine="480"/>
      </w:pPr>
      <w:r>
        <w:t>为响应党中央、国务院关于治理政府采购领域商业贿赂行为的号召，我单位在此庄严承诺：</w:t>
      </w:r>
    </w:p>
    <w:p w14:paraId="1AA9945D">
      <w:pPr>
        <w:pStyle w:val="34"/>
        <w:numPr>
          <w:ilvl w:val="0"/>
          <w:numId w:val="11"/>
        </w:numPr>
        <w:tabs>
          <w:tab w:val="left" w:pos="1070"/>
        </w:tabs>
        <w:spacing w:before="2" w:after="0" w:line="240" w:lineRule="auto"/>
        <w:ind w:left="1069" w:right="0" w:hanging="242"/>
        <w:jc w:val="left"/>
        <w:rPr>
          <w:sz w:val="24"/>
        </w:rPr>
      </w:pPr>
      <w:r>
        <w:rPr>
          <w:sz w:val="24"/>
        </w:rPr>
        <w:t>在参与政府采购活动中遵纪守法、诚信经营、公平竞标。</w:t>
      </w:r>
    </w:p>
    <w:p w14:paraId="1449DEBC">
      <w:pPr>
        <w:pStyle w:val="34"/>
        <w:numPr>
          <w:ilvl w:val="0"/>
          <w:numId w:val="11"/>
        </w:numPr>
        <w:tabs>
          <w:tab w:val="left" w:pos="1070"/>
        </w:tabs>
        <w:spacing w:before="211" w:after="0" w:line="405" w:lineRule="auto"/>
        <w:ind w:left="348" w:right="431" w:firstLine="480"/>
        <w:jc w:val="left"/>
        <w:rPr>
          <w:sz w:val="24"/>
        </w:rPr>
      </w:pPr>
      <w:r>
        <w:rPr>
          <w:spacing w:val="-6"/>
          <w:sz w:val="24"/>
        </w:rPr>
        <w:t>不向政府采购人、采购代理机构和政府采购评审专家进行任何形式的商业贿赂</w:t>
      </w:r>
      <w:r>
        <w:rPr>
          <w:sz w:val="24"/>
        </w:rPr>
        <w:t>以谋取交易机会。</w:t>
      </w:r>
    </w:p>
    <w:p w14:paraId="7E91192B">
      <w:pPr>
        <w:pStyle w:val="34"/>
        <w:numPr>
          <w:ilvl w:val="0"/>
          <w:numId w:val="11"/>
        </w:numPr>
        <w:tabs>
          <w:tab w:val="left" w:pos="1070"/>
        </w:tabs>
        <w:spacing w:before="2" w:after="0" w:line="405" w:lineRule="auto"/>
        <w:ind w:left="348" w:right="635" w:firstLine="480"/>
        <w:jc w:val="left"/>
        <w:rPr>
          <w:sz w:val="24"/>
        </w:rPr>
      </w:pPr>
      <w:r>
        <w:rPr>
          <w:spacing w:val="-1"/>
          <w:sz w:val="24"/>
        </w:rPr>
        <w:t>不向政府采购代理机构和采购人提供虚假资质文件或采用虚假应标方式参与</w:t>
      </w:r>
      <w:r>
        <w:rPr>
          <w:sz w:val="24"/>
        </w:rPr>
        <w:t>政府采购市场竞争并谋取中标、成交。</w:t>
      </w:r>
    </w:p>
    <w:p w14:paraId="14AA2231">
      <w:pPr>
        <w:pStyle w:val="34"/>
        <w:numPr>
          <w:ilvl w:val="0"/>
          <w:numId w:val="11"/>
        </w:numPr>
        <w:tabs>
          <w:tab w:val="left" w:pos="1070"/>
        </w:tabs>
        <w:spacing w:before="0" w:after="0" w:line="240" w:lineRule="auto"/>
        <w:ind w:left="1069" w:right="0" w:hanging="242"/>
        <w:jc w:val="left"/>
        <w:rPr>
          <w:sz w:val="24"/>
        </w:rPr>
      </w:pPr>
      <w:r>
        <w:rPr>
          <w:sz w:val="24"/>
        </w:rPr>
        <w:t>不采取“围标、陪标”等商业欺诈手段获得政府采购定单。</w:t>
      </w:r>
    </w:p>
    <w:p w14:paraId="2E8C19A9">
      <w:pPr>
        <w:pStyle w:val="34"/>
        <w:numPr>
          <w:ilvl w:val="0"/>
          <w:numId w:val="11"/>
        </w:numPr>
        <w:tabs>
          <w:tab w:val="left" w:pos="1070"/>
        </w:tabs>
        <w:spacing w:before="213" w:after="0" w:line="240" w:lineRule="auto"/>
        <w:ind w:left="1069" w:right="0" w:hanging="242"/>
        <w:jc w:val="left"/>
        <w:rPr>
          <w:sz w:val="24"/>
        </w:rPr>
      </w:pPr>
      <w:r>
        <w:rPr>
          <w:sz w:val="24"/>
        </w:rPr>
        <w:t>不采取不正当手段诋毁、排挤其他供应商。</w:t>
      </w:r>
    </w:p>
    <w:p w14:paraId="47F98C2F">
      <w:pPr>
        <w:pStyle w:val="34"/>
        <w:numPr>
          <w:ilvl w:val="0"/>
          <w:numId w:val="11"/>
        </w:numPr>
        <w:tabs>
          <w:tab w:val="left" w:pos="1070"/>
        </w:tabs>
        <w:spacing w:before="211" w:after="0" w:line="240" w:lineRule="auto"/>
        <w:ind w:left="1069" w:right="0" w:hanging="242"/>
        <w:jc w:val="left"/>
        <w:rPr>
          <w:sz w:val="24"/>
        </w:rPr>
      </w:pPr>
      <w:r>
        <w:rPr>
          <w:sz w:val="24"/>
        </w:rPr>
        <w:t>不在提供商品和服务时“偷梁换柱、以次充好”损害采购人的合法权益。</w:t>
      </w:r>
    </w:p>
    <w:p w14:paraId="100C3351">
      <w:pPr>
        <w:pStyle w:val="34"/>
        <w:numPr>
          <w:ilvl w:val="0"/>
          <w:numId w:val="11"/>
        </w:numPr>
        <w:tabs>
          <w:tab w:val="left" w:pos="1070"/>
        </w:tabs>
        <w:spacing w:before="213" w:after="0" w:line="405" w:lineRule="auto"/>
        <w:ind w:left="348" w:right="431" w:firstLine="480"/>
        <w:jc w:val="left"/>
        <w:rPr>
          <w:sz w:val="24"/>
        </w:rPr>
      </w:pPr>
      <w:r>
        <w:rPr>
          <w:spacing w:val="-6"/>
          <w:sz w:val="24"/>
        </w:rPr>
        <w:t>不与采购人、采购代理机构政府采购评审专家或其它供应商恶意串通，进行质</w:t>
      </w:r>
      <w:r>
        <w:rPr>
          <w:sz w:val="24"/>
        </w:rPr>
        <w:t>疑和投诉，维护政府采购市场秩序。</w:t>
      </w:r>
    </w:p>
    <w:p w14:paraId="7087FC08">
      <w:pPr>
        <w:pStyle w:val="34"/>
        <w:numPr>
          <w:ilvl w:val="0"/>
          <w:numId w:val="11"/>
        </w:numPr>
        <w:tabs>
          <w:tab w:val="left" w:pos="1070"/>
        </w:tabs>
        <w:spacing w:before="0" w:after="0" w:line="405" w:lineRule="auto"/>
        <w:ind w:left="348" w:right="395" w:firstLine="480"/>
        <w:jc w:val="left"/>
        <w:rPr>
          <w:sz w:val="24"/>
        </w:rPr>
      </w:pPr>
      <w:r>
        <w:rPr>
          <w:spacing w:val="-1"/>
          <w:sz w:val="24"/>
        </w:rPr>
        <w:t xml:space="preserve">尊重和接受政府采购监督管理部门的监督和政府采购代理机构招标采购要求， </w:t>
      </w:r>
      <w:r>
        <w:rPr>
          <w:sz w:val="24"/>
        </w:rPr>
        <w:t>承担因违约行为给采购人造成的损失。</w:t>
      </w:r>
    </w:p>
    <w:p w14:paraId="45ABE18F">
      <w:pPr>
        <w:pStyle w:val="34"/>
        <w:numPr>
          <w:ilvl w:val="0"/>
          <w:numId w:val="11"/>
        </w:numPr>
        <w:tabs>
          <w:tab w:val="left" w:pos="1070"/>
          <w:tab w:val="left" w:pos="5868"/>
        </w:tabs>
        <w:spacing w:before="2" w:after="0" w:line="405" w:lineRule="auto"/>
        <w:ind w:left="1068" w:right="1595" w:hanging="240"/>
        <w:jc w:val="left"/>
        <w:rPr>
          <w:sz w:val="24"/>
        </w:rPr>
      </w:pP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14:paraId="712666BE">
      <w:pPr>
        <w:pStyle w:val="9"/>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14:paraId="03BA0AB5">
      <w:pPr>
        <w:pStyle w:val="9"/>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14:paraId="161C19EC">
      <w:pPr>
        <w:pStyle w:val="9"/>
        <w:spacing w:before="1"/>
        <w:rPr>
          <w:rFonts w:ascii="Times New Roman"/>
          <w:sz w:val="12"/>
        </w:rPr>
      </w:pPr>
    </w:p>
    <w:p w14:paraId="3A9584A7">
      <w:pPr>
        <w:pStyle w:val="9"/>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14:paraId="1E5B981F">
      <w:pPr>
        <w:pStyle w:val="9"/>
        <w:rPr>
          <w:rFonts w:ascii="Times New Roman"/>
          <w:sz w:val="20"/>
        </w:rPr>
      </w:pPr>
    </w:p>
    <w:p w14:paraId="6279D6B2">
      <w:pPr>
        <w:pStyle w:val="9"/>
        <w:rPr>
          <w:rFonts w:ascii="Times New Roman"/>
          <w:sz w:val="20"/>
        </w:rPr>
      </w:pPr>
    </w:p>
    <w:p w14:paraId="356299F7">
      <w:pPr>
        <w:pStyle w:val="9"/>
        <w:spacing w:before="10"/>
        <w:rPr>
          <w:rFonts w:ascii="Times New Roman"/>
          <w:sz w:val="17"/>
        </w:rPr>
      </w:pPr>
    </w:p>
    <w:p w14:paraId="5173928F">
      <w:pPr>
        <w:pStyle w:val="9"/>
        <w:tabs>
          <w:tab w:val="left" w:pos="6108"/>
          <w:tab w:val="left" w:pos="6828"/>
        </w:tabs>
        <w:spacing w:before="67"/>
        <w:ind w:left="5388"/>
      </w:pPr>
      <w:r>
        <w:t>年</w:t>
      </w:r>
      <w:r>
        <w:tab/>
      </w:r>
      <w:r>
        <w:t>月</w:t>
      </w:r>
      <w:r>
        <w:tab/>
      </w:r>
      <w:r>
        <w:t>日</w:t>
      </w:r>
    </w:p>
    <w:p w14:paraId="7278F2C9">
      <w:pPr>
        <w:spacing w:after="0"/>
        <w:sectPr>
          <w:footerReference r:id="rId17" w:type="default"/>
          <w:pgSz w:w="11910" w:h="16840"/>
          <w:pgMar w:top="1580" w:right="1040" w:bottom="1420" w:left="1240" w:header="0" w:footer="680" w:gutter="0"/>
          <w:pgNumType w:fmt="decimal"/>
          <w:cols w:space="720" w:num="1"/>
        </w:sectPr>
      </w:pPr>
    </w:p>
    <w:p w14:paraId="181C6939">
      <w:pPr>
        <w:spacing w:before="71"/>
        <w:ind w:right="0"/>
        <w:jc w:val="center"/>
        <w:rPr>
          <w:rFonts w:hint="eastAsia" w:ascii="宋体" w:hAnsi="宋体" w:eastAsia="宋体" w:cs="宋体"/>
          <w:b/>
          <w:bCs/>
          <w:sz w:val="30"/>
          <w:szCs w:val="30"/>
          <w:lang w:val="zh-CN" w:eastAsia="zh-CN" w:bidi="zh-CN"/>
        </w:rPr>
      </w:pPr>
      <w:r>
        <w:rPr>
          <w:rFonts w:hint="eastAsia" w:cs="宋体"/>
          <w:b/>
          <w:bCs/>
          <w:sz w:val="30"/>
          <w:szCs w:val="30"/>
          <w:lang w:val="zh-CN" w:eastAsia="zh-CN" w:bidi="zh-CN"/>
        </w:rPr>
        <w:t>七</w:t>
      </w:r>
      <w:r>
        <w:rPr>
          <w:rFonts w:hint="eastAsia" w:ascii="宋体" w:hAnsi="宋体" w:eastAsia="宋体" w:cs="宋体"/>
          <w:b/>
          <w:bCs/>
          <w:sz w:val="30"/>
          <w:szCs w:val="30"/>
          <w:lang w:val="zh-CN" w:eastAsia="zh-CN" w:bidi="zh-CN"/>
        </w:rPr>
        <w:t>、其他材料</w:t>
      </w:r>
    </w:p>
    <w:p w14:paraId="47F29D61">
      <w:pPr>
        <w:widowControl w:val="0"/>
        <w:numPr>
          <w:ilvl w:val="0"/>
          <w:numId w:val="0"/>
        </w:numPr>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中小企业声明函（货物）</w:t>
      </w:r>
    </w:p>
    <w:p w14:paraId="271790DE">
      <w:pPr>
        <w:pStyle w:val="6"/>
        <w:rPr>
          <w:rFonts w:hint="eastAsia" w:asciiTheme="minorEastAsia" w:hAnsiTheme="minorEastAsia" w:eastAsiaTheme="minorEastAsia" w:cstheme="minorEastAsia"/>
          <w:color w:val="auto"/>
          <w:lang w:val="en-US" w:eastAsia="zh-CN"/>
        </w:rPr>
      </w:pPr>
    </w:p>
    <w:p w14:paraId="58584D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lang w:val="en-US" w:eastAsia="zh-CN"/>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val="0"/>
          <w:iCs w:val="0"/>
          <w:color w:val="auto"/>
          <w:sz w:val="24"/>
          <w:szCs w:val="24"/>
          <w:u w:val="single"/>
          <w:lang w:val="en-US" w:eastAsia="zh-CN"/>
        </w:rPr>
        <w:t>（单位名称）</w:t>
      </w:r>
      <w:r>
        <w:rPr>
          <w:rFonts w:hint="eastAsia" w:asciiTheme="minorEastAsia" w:hAnsiTheme="minorEastAsia" w:eastAsiaTheme="minorEastAsia" w:cstheme="minorEastAsia"/>
          <w:i w:val="0"/>
          <w:iCs w:val="0"/>
          <w:color w:val="auto"/>
          <w:sz w:val="24"/>
          <w:szCs w:val="24"/>
          <w:lang w:val="en-US" w:eastAsia="zh-CN"/>
        </w:rPr>
        <w:t>的</w:t>
      </w:r>
      <w:r>
        <w:rPr>
          <w:rFonts w:hint="eastAsia" w:asciiTheme="minorEastAsia" w:hAnsiTheme="minorEastAsia" w:eastAsiaTheme="minorEastAsia" w:cstheme="minorEastAsia"/>
          <w:i w:val="0"/>
          <w:iCs w:val="0"/>
          <w:color w:val="auto"/>
          <w:sz w:val="24"/>
          <w:szCs w:val="24"/>
          <w:u w:val="single"/>
          <w:lang w:val="en-US" w:eastAsia="zh-CN"/>
        </w:rPr>
        <w:t>（项目名称）</w:t>
      </w:r>
      <w:r>
        <w:rPr>
          <w:rFonts w:hint="eastAsia" w:asciiTheme="minorEastAsia" w:hAnsiTheme="minorEastAsia" w:eastAsiaTheme="minorEastAsia" w:cstheme="minorEastAsia"/>
          <w:i w:val="0"/>
          <w:iCs w:val="0"/>
          <w:color w:val="auto"/>
          <w:sz w:val="24"/>
          <w:szCs w:val="24"/>
          <w:lang w:val="en-US" w:eastAsia="zh-CN"/>
        </w:rPr>
        <w:t>采购活动，提供的货物全部由符合政策要求的中小企业制造。相关企业（含联合体中的中小企业、签订分包意向协议的中小企业）的具体情况如下：</w:t>
      </w:r>
    </w:p>
    <w:p w14:paraId="07F35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lang w:val="en-US" w:eastAsia="zh-CN"/>
        </w:rPr>
        <w:t>1.</w:t>
      </w:r>
      <w:r>
        <w:rPr>
          <w:rFonts w:hint="eastAsia" w:asciiTheme="minorEastAsia" w:hAnsiTheme="minorEastAsia" w:eastAsiaTheme="minorEastAsia" w:cstheme="minorEastAsia"/>
          <w:i w:val="0"/>
          <w:iCs w:val="0"/>
          <w:color w:val="auto"/>
          <w:sz w:val="24"/>
          <w:szCs w:val="24"/>
          <w:u w:val="single"/>
          <w:lang w:val="en-US" w:eastAsia="zh-CN"/>
        </w:rPr>
        <w:t xml:space="preserve"> （标的名称） </w:t>
      </w:r>
      <w:r>
        <w:rPr>
          <w:rFonts w:hint="eastAsia" w:asciiTheme="minorEastAsia" w:hAnsiTheme="minorEastAsia" w:eastAsiaTheme="minorEastAsia" w:cstheme="minorEastAsia"/>
          <w:i w:val="0"/>
          <w:iCs w:val="0"/>
          <w:color w:val="auto"/>
          <w:sz w:val="24"/>
          <w:szCs w:val="24"/>
          <w:lang w:val="en-US" w:eastAsia="zh-CN"/>
        </w:rPr>
        <w:t>，属于</w:t>
      </w:r>
      <w:r>
        <w:rPr>
          <w:rFonts w:hint="eastAsia" w:asciiTheme="minorEastAsia" w:hAnsiTheme="minorEastAsia" w:eastAsiaTheme="minorEastAsia" w:cstheme="minorEastAsia"/>
          <w:i w:val="0"/>
          <w:iCs w:val="0"/>
          <w:color w:val="auto"/>
          <w:sz w:val="24"/>
          <w:szCs w:val="24"/>
          <w:u w:val="single"/>
          <w:lang w:val="en-US" w:eastAsia="zh-CN"/>
        </w:rPr>
        <w:t xml:space="preserve"> （采购文件中明确的所属行业） </w:t>
      </w:r>
      <w:r>
        <w:rPr>
          <w:rFonts w:hint="eastAsia" w:asciiTheme="minorEastAsia" w:hAnsiTheme="minorEastAsia" w:eastAsiaTheme="minorEastAsia" w:cstheme="minorEastAsia"/>
          <w:i w:val="0"/>
          <w:iCs w:val="0"/>
          <w:color w:val="auto"/>
          <w:sz w:val="24"/>
          <w:szCs w:val="24"/>
          <w:lang w:val="en-US" w:eastAsia="zh-CN"/>
        </w:rPr>
        <w:t>行业；制造商为</w:t>
      </w:r>
      <w:r>
        <w:rPr>
          <w:rFonts w:hint="eastAsia" w:asciiTheme="minorEastAsia" w:hAnsiTheme="minorEastAsia" w:eastAsiaTheme="minorEastAsia" w:cstheme="minorEastAsia"/>
          <w:i w:val="0"/>
          <w:iCs w:val="0"/>
          <w:color w:val="auto"/>
          <w:sz w:val="24"/>
          <w:szCs w:val="24"/>
          <w:u w:val="single"/>
          <w:lang w:val="en-US" w:eastAsia="zh-CN"/>
        </w:rPr>
        <w:t>（企业名称）</w:t>
      </w:r>
      <w:r>
        <w:rPr>
          <w:rFonts w:hint="eastAsia" w:asciiTheme="minorEastAsia" w:hAnsiTheme="minorEastAsia" w:eastAsiaTheme="minorEastAsia" w:cstheme="minorEastAsia"/>
          <w:i w:val="0"/>
          <w:iCs w:val="0"/>
          <w:color w:val="auto"/>
          <w:sz w:val="24"/>
          <w:szCs w:val="24"/>
          <w:lang w:val="en-US" w:eastAsia="zh-CN"/>
        </w:rPr>
        <w:t>，从业人员</w:t>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lang w:val="en-US" w:eastAsia="zh-CN"/>
        </w:rPr>
        <w:t>人，营业收入为</w:t>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lang w:val="en-US" w:eastAsia="zh-CN"/>
        </w:rPr>
        <w:t>万元，资产总额为</w:t>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lang w:val="en-US" w:eastAsia="zh-CN"/>
        </w:rPr>
        <w:t>万元</w:t>
      </w:r>
      <w:r>
        <w:rPr>
          <w:rFonts w:hint="eastAsia" w:asciiTheme="minorEastAsia" w:hAnsiTheme="minorEastAsia" w:eastAsiaTheme="minorEastAsia" w:cstheme="minorEastAsia"/>
          <w:i w:val="0"/>
          <w:iCs w:val="0"/>
          <w:color w:val="auto"/>
          <w:sz w:val="24"/>
          <w:szCs w:val="24"/>
          <w:vertAlign w:val="superscript"/>
          <w:lang w:val="en-US" w:eastAsia="zh-CN"/>
        </w:rPr>
        <w:t>1</w:t>
      </w:r>
      <w:r>
        <w:rPr>
          <w:rFonts w:hint="eastAsia" w:asciiTheme="minorEastAsia" w:hAnsiTheme="minorEastAsia" w:eastAsiaTheme="minorEastAsia" w:cstheme="minorEastAsia"/>
          <w:i w:val="0"/>
          <w:iCs w:val="0"/>
          <w:color w:val="auto"/>
          <w:sz w:val="24"/>
          <w:szCs w:val="24"/>
          <w:lang w:val="en-US" w:eastAsia="zh-CN"/>
        </w:rPr>
        <w:t>，属于</w:t>
      </w:r>
      <w:r>
        <w:rPr>
          <w:rFonts w:hint="eastAsia" w:asciiTheme="minorEastAsia" w:hAnsiTheme="minorEastAsia" w:eastAsiaTheme="minorEastAsia" w:cstheme="minorEastAsia"/>
          <w:i w:val="0"/>
          <w:iCs w:val="0"/>
          <w:color w:val="auto"/>
          <w:sz w:val="24"/>
          <w:szCs w:val="24"/>
          <w:u w:val="single"/>
          <w:lang w:val="en-US" w:eastAsia="zh-CN"/>
        </w:rPr>
        <w:t>（中型企业、小型企业、微型企业）</w:t>
      </w:r>
      <w:r>
        <w:rPr>
          <w:rFonts w:hint="eastAsia" w:asciiTheme="minorEastAsia" w:hAnsiTheme="minorEastAsia" w:eastAsiaTheme="minorEastAsia" w:cstheme="minorEastAsia"/>
          <w:i w:val="0"/>
          <w:iCs w:val="0"/>
          <w:color w:val="auto"/>
          <w:sz w:val="24"/>
          <w:szCs w:val="24"/>
          <w:lang w:val="en-US" w:eastAsia="zh-CN"/>
        </w:rPr>
        <w:t>；</w:t>
      </w:r>
    </w:p>
    <w:p w14:paraId="7A779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lang w:val="en-US" w:eastAsia="zh-CN"/>
        </w:rPr>
        <w:t>2.</w:t>
      </w:r>
      <w:r>
        <w:rPr>
          <w:rFonts w:hint="eastAsia" w:asciiTheme="minorEastAsia" w:hAnsiTheme="minorEastAsia" w:eastAsiaTheme="minorEastAsia" w:cstheme="minorEastAsia"/>
          <w:i w:val="0"/>
          <w:iCs w:val="0"/>
          <w:color w:val="auto"/>
          <w:sz w:val="24"/>
          <w:szCs w:val="24"/>
          <w:u w:val="single"/>
          <w:lang w:val="en-US" w:eastAsia="zh-CN"/>
        </w:rPr>
        <w:t xml:space="preserve"> （标的名称） </w:t>
      </w:r>
      <w:r>
        <w:rPr>
          <w:rFonts w:hint="eastAsia" w:asciiTheme="minorEastAsia" w:hAnsiTheme="minorEastAsia" w:eastAsiaTheme="minorEastAsia" w:cstheme="minorEastAsia"/>
          <w:i w:val="0"/>
          <w:iCs w:val="0"/>
          <w:color w:val="auto"/>
          <w:sz w:val="24"/>
          <w:szCs w:val="24"/>
          <w:lang w:val="en-US" w:eastAsia="zh-CN"/>
        </w:rPr>
        <w:t>，属于</w:t>
      </w:r>
      <w:r>
        <w:rPr>
          <w:rFonts w:hint="eastAsia" w:asciiTheme="minorEastAsia" w:hAnsiTheme="minorEastAsia" w:eastAsiaTheme="minorEastAsia" w:cstheme="minorEastAsia"/>
          <w:i w:val="0"/>
          <w:iCs w:val="0"/>
          <w:color w:val="auto"/>
          <w:sz w:val="24"/>
          <w:szCs w:val="24"/>
          <w:u w:val="single"/>
          <w:lang w:val="en-US" w:eastAsia="zh-CN"/>
        </w:rPr>
        <w:t xml:space="preserve"> （采购文件中明确的所属行业） </w:t>
      </w:r>
      <w:r>
        <w:rPr>
          <w:rFonts w:hint="eastAsia" w:asciiTheme="minorEastAsia" w:hAnsiTheme="minorEastAsia" w:eastAsiaTheme="minorEastAsia" w:cstheme="minorEastAsia"/>
          <w:i w:val="0"/>
          <w:iCs w:val="0"/>
          <w:color w:val="auto"/>
          <w:sz w:val="24"/>
          <w:szCs w:val="24"/>
          <w:lang w:val="en-US" w:eastAsia="zh-CN"/>
        </w:rPr>
        <w:t>行业；制造商为</w:t>
      </w:r>
      <w:r>
        <w:rPr>
          <w:rFonts w:hint="eastAsia" w:asciiTheme="minorEastAsia" w:hAnsiTheme="minorEastAsia" w:eastAsiaTheme="minorEastAsia" w:cstheme="minorEastAsia"/>
          <w:i w:val="0"/>
          <w:iCs w:val="0"/>
          <w:color w:val="auto"/>
          <w:sz w:val="24"/>
          <w:szCs w:val="24"/>
          <w:u w:val="single"/>
          <w:lang w:val="en-US" w:eastAsia="zh-CN"/>
        </w:rPr>
        <w:t>（企业名称）</w:t>
      </w:r>
      <w:r>
        <w:rPr>
          <w:rFonts w:hint="eastAsia" w:asciiTheme="minorEastAsia" w:hAnsiTheme="minorEastAsia" w:eastAsiaTheme="minorEastAsia" w:cstheme="minorEastAsia"/>
          <w:i w:val="0"/>
          <w:iCs w:val="0"/>
          <w:color w:val="auto"/>
          <w:sz w:val="24"/>
          <w:szCs w:val="24"/>
          <w:lang w:val="en-US" w:eastAsia="zh-CN"/>
        </w:rPr>
        <w:t>，从业人员</w:t>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lang w:val="en-US" w:eastAsia="zh-CN"/>
        </w:rPr>
        <w:t>人，营业收入为</w:t>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lang w:val="en-US" w:eastAsia="zh-CN"/>
        </w:rPr>
        <w:t>万元，资产总额为</w:t>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u w:val="single"/>
          <w:lang w:val="en-US" w:eastAsia="zh-CN"/>
        </w:rPr>
        <w:t xml:space="preserve"> </w:t>
      </w:r>
      <w:r>
        <w:rPr>
          <w:rFonts w:hint="eastAsia" w:asciiTheme="minorEastAsia" w:hAnsiTheme="minorEastAsia" w:eastAsiaTheme="minorEastAsia" w:cstheme="minorEastAsia"/>
          <w:i w:val="0"/>
          <w:iCs w:val="0"/>
          <w:color w:val="auto"/>
          <w:sz w:val="24"/>
          <w:szCs w:val="24"/>
          <w:u w:val="single"/>
          <w:lang w:val="en-US" w:eastAsia="zh-CN"/>
        </w:rPr>
        <w:tab/>
      </w:r>
      <w:r>
        <w:rPr>
          <w:rFonts w:hint="eastAsia" w:asciiTheme="minorEastAsia" w:hAnsiTheme="minorEastAsia" w:eastAsiaTheme="minorEastAsia" w:cstheme="minorEastAsia"/>
          <w:i w:val="0"/>
          <w:iCs w:val="0"/>
          <w:color w:val="auto"/>
          <w:sz w:val="24"/>
          <w:szCs w:val="24"/>
          <w:lang w:val="en-US" w:eastAsia="zh-CN"/>
        </w:rPr>
        <w:t>万元，属于</w:t>
      </w:r>
      <w:r>
        <w:rPr>
          <w:rFonts w:hint="eastAsia" w:asciiTheme="minorEastAsia" w:hAnsiTheme="minorEastAsia" w:eastAsiaTheme="minorEastAsia" w:cstheme="minorEastAsia"/>
          <w:i w:val="0"/>
          <w:iCs w:val="0"/>
          <w:color w:val="auto"/>
          <w:sz w:val="24"/>
          <w:szCs w:val="24"/>
          <w:u w:val="single"/>
          <w:lang w:val="en-US" w:eastAsia="zh-CN"/>
        </w:rPr>
        <w:t>（中型企业、小型企业、微型企业）</w:t>
      </w:r>
      <w:r>
        <w:rPr>
          <w:rFonts w:hint="eastAsia" w:asciiTheme="minorEastAsia" w:hAnsiTheme="minorEastAsia" w:eastAsiaTheme="minorEastAsia" w:cstheme="minorEastAsia"/>
          <w:i w:val="0"/>
          <w:iCs w:val="0"/>
          <w:color w:val="auto"/>
          <w:sz w:val="24"/>
          <w:szCs w:val="24"/>
          <w:lang w:val="en-US" w:eastAsia="zh-CN"/>
        </w:rPr>
        <w:t>；</w:t>
      </w:r>
    </w:p>
    <w:p w14:paraId="6A88911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lang w:val="en-US" w:eastAsia="zh-CN"/>
        </w:rPr>
        <w:t>……</w:t>
      </w:r>
    </w:p>
    <w:p w14:paraId="3718D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lang w:val="en-US" w:eastAsia="zh-CN"/>
        </w:rPr>
        <w:t>以上企业，不属于大企业的分支机构，不存在控股股东为大企业的情形，也不存在与大企业的负责人为同一人的情形。</w:t>
      </w:r>
    </w:p>
    <w:p w14:paraId="6E256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lang w:val="en-US" w:eastAsia="zh-CN"/>
        </w:rPr>
        <w:t>本企业对上述声明内容的真实性负责。如有虚假，将依法承担相应责任。</w:t>
      </w:r>
    </w:p>
    <w:p w14:paraId="28C060C4">
      <w:pPr>
        <w:widowControl w:val="0"/>
        <w:numPr>
          <w:ilvl w:val="0"/>
          <w:numId w:val="0"/>
        </w:numPr>
        <w:ind w:left="0" w:leftChars="0" w:firstLine="3960" w:firstLineChars="1650"/>
        <w:jc w:val="left"/>
        <w:rPr>
          <w:rFonts w:hint="eastAsia" w:asciiTheme="minorEastAsia" w:hAnsiTheme="minorEastAsia" w:eastAsiaTheme="minorEastAsia" w:cstheme="minorEastAsia"/>
          <w:color w:val="auto"/>
          <w:sz w:val="24"/>
          <w:szCs w:val="24"/>
          <w:lang w:val="en-US" w:eastAsia="zh-CN"/>
        </w:rPr>
      </w:pPr>
    </w:p>
    <w:p w14:paraId="0A7E9BF7">
      <w:pPr>
        <w:widowControl w:val="0"/>
        <w:numPr>
          <w:ilvl w:val="0"/>
          <w:numId w:val="0"/>
        </w:numPr>
        <w:ind w:left="0" w:leftChars="0" w:firstLine="3960" w:firstLineChars="1650"/>
        <w:jc w:val="left"/>
        <w:rPr>
          <w:rFonts w:hint="eastAsia" w:asciiTheme="minorEastAsia" w:hAnsiTheme="minorEastAsia" w:eastAsiaTheme="minorEastAsia" w:cstheme="minorEastAsia"/>
          <w:color w:val="auto"/>
          <w:sz w:val="24"/>
          <w:szCs w:val="24"/>
          <w:lang w:val="en-US" w:eastAsia="zh-CN"/>
        </w:rPr>
      </w:pPr>
    </w:p>
    <w:p w14:paraId="3566B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lang w:val="en-US" w:eastAsia="zh-CN"/>
        </w:rPr>
        <w:t>企业名称（盖章）：</w:t>
      </w:r>
    </w:p>
    <w:p w14:paraId="77B4F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eastAsia" w:asciiTheme="minorEastAsia" w:hAnsiTheme="minorEastAsia" w:eastAsiaTheme="minorEastAsia" w:cstheme="minorEastAsia"/>
          <w:i w:val="0"/>
          <w:iCs w:val="0"/>
          <w:color w:val="auto"/>
          <w:sz w:val="24"/>
          <w:szCs w:val="24"/>
          <w:lang w:val="en-US" w:eastAsia="zh-CN"/>
        </w:rPr>
      </w:pPr>
    </w:p>
    <w:p w14:paraId="460332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sz w:val="24"/>
          <w:szCs w:val="24"/>
          <w:lang w:val="en-US" w:eastAsia="zh-CN"/>
        </w:rPr>
        <w:t xml:space="preserve">    日期：</w:t>
      </w:r>
    </w:p>
    <w:p w14:paraId="7710FD8B">
      <w:pPr>
        <w:pStyle w:val="3"/>
        <w:keepNext w:val="0"/>
        <w:keepLines w:val="0"/>
        <w:pageBreakBefore w:val="0"/>
        <w:tabs>
          <w:tab w:val="left" w:pos="720"/>
        </w:tabs>
        <w:kinsoku/>
        <w:wordWrap/>
        <w:overflowPunct/>
        <w:topLinePunct w:val="0"/>
        <w:bidi w:val="0"/>
        <w:adjustRightInd/>
        <w:snapToGrid/>
        <w:spacing w:line="480" w:lineRule="auto"/>
        <w:textAlignment w:val="auto"/>
        <w:rPr>
          <w:rFonts w:hint="eastAsia" w:asciiTheme="minorEastAsia" w:hAnsiTheme="minorEastAsia" w:eastAsiaTheme="minorEastAsia" w:cstheme="minorEastAsia"/>
          <w:color w:val="auto"/>
          <w:sz w:val="24"/>
          <w:szCs w:val="24"/>
        </w:rPr>
      </w:pPr>
    </w:p>
    <w:p w14:paraId="0C315D25">
      <w:pPr>
        <w:rPr>
          <w:rFonts w:hint="eastAsia" w:asciiTheme="minorEastAsia" w:hAnsiTheme="minorEastAsia" w:eastAsiaTheme="minorEastAsia" w:cstheme="minorEastAsia"/>
          <w:color w:val="auto"/>
          <w:sz w:val="24"/>
          <w:szCs w:val="24"/>
        </w:rPr>
      </w:pPr>
    </w:p>
    <w:p w14:paraId="6D0CE096">
      <w:pPr>
        <w:rPr>
          <w:rFonts w:hint="eastAsia" w:asciiTheme="minorEastAsia" w:hAnsiTheme="minorEastAsia" w:eastAsiaTheme="minorEastAsia" w:cstheme="minorEastAsia"/>
          <w:color w:val="auto"/>
          <w:sz w:val="24"/>
          <w:szCs w:val="24"/>
        </w:rPr>
      </w:pPr>
    </w:p>
    <w:p w14:paraId="5FAC6D72">
      <w:pPr>
        <w:rPr>
          <w:rFonts w:hint="eastAsia" w:asciiTheme="minorEastAsia" w:hAnsiTheme="minorEastAsia" w:eastAsiaTheme="minorEastAsia" w:cstheme="minorEastAsia"/>
          <w:color w:val="auto"/>
          <w:sz w:val="24"/>
          <w:szCs w:val="24"/>
        </w:rPr>
      </w:pPr>
    </w:p>
    <w:p w14:paraId="0462CC91">
      <w:pPr>
        <w:rPr>
          <w:rFonts w:hint="eastAsia" w:asciiTheme="minorEastAsia" w:hAnsiTheme="minorEastAsia" w:eastAsiaTheme="minorEastAsia" w:cstheme="minorEastAsia"/>
          <w:color w:val="auto"/>
          <w:sz w:val="24"/>
          <w:szCs w:val="24"/>
        </w:rPr>
      </w:pPr>
    </w:p>
    <w:p w14:paraId="6A3D008F">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从业人员、营业收入、资产总额填报上一年度数据，无上一年度数据的新成立企业可不填报。</w:t>
      </w:r>
    </w:p>
    <w:p w14:paraId="483CE56C">
      <w:pPr>
        <w:rPr>
          <w:rFonts w:hint="eastAsia" w:asciiTheme="minorEastAsia" w:hAnsiTheme="minorEastAsia" w:eastAsiaTheme="minorEastAsia" w:cstheme="minorEastAsia"/>
          <w:color w:val="auto"/>
          <w:sz w:val="24"/>
          <w:szCs w:val="24"/>
        </w:rPr>
      </w:pPr>
    </w:p>
    <w:p w14:paraId="528F32A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注：</w:t>
      </w:r>
      <w:r>
        <w:rPr>
          <w:rFonts w:hint="eastAsia" w:asciiTheme="minorEastAsia" w:hAnsiTheme="minorEastAsia" w:eastAsiaTheme="minorEastAsia" w:cstheme="minorEastAsia"/>
          <w:color w:val="auto"/>
          <w:sz w:val="24"/>
          <w:szCs w:val="24"/>
        </w:rPr>
        <w:t>投标人提交的《中小企业声明函》附件中，“制造商名称” 栏须填写所投货物实际制造主体的完整企业名称，且该名称须与投标文件《货物分项报价表》中载明的制造商名称完全一致。</w:t>
      </w:r>
    </w:p>
    <w:p w14:paraId="56B96A1E">
      <w:pPr>
        <w:pStyle w:val="9"/>
        <w:rPr>
          <w:b/>
        </w:rPr>
      </w:pPr>
    </w:p>
    <w:p w14:paraId="2531F7E0">
      <w:pPr>
        <w:pStyle w:val="5"/>
        <w:spacing w:before="135"/>
        <w:ind w:left="800" w:right="453"/>
        <w:jc w:val="center"/>
      </w:pPr>
    </w:p>
    <w:p w14:paraId="68E7D1AD">
      <w:pPr>
        <w:pStyle w:val="5"/>
        <w:spacing w:before="135"/>
        <w:ind w:left="800" w:right="453"/>
        <w:jc w:val="center"/>
      </w:pPr>
      <w:r>
        <w:t>残疾人福利性单位声明函（格式）</w:t>
      </w:r>
    </w:p>
    <w:p w14:paraId="185D03FC">
      <w:pPr>
        <w:pStyle w:val="9"/>
        <w:spacing w:before="8"/>
        <w:rPr>
          <w:b/>
          <w:sz w:val="25"/>
        </w:rPr>
      </w:pPr>
    </w:p>
    <w:p w14:paraId="71C19BF8">
      <w:pPr>
        <w:pStyle w:val="9"/>
        <w:tabs>
          <w:tab w:val="left" w:pos="4951"/>
          <w:tab w:val="left" w:pos="7743"/>
        </w:tabs>
        <w:spacing w:before="1" w:line="374" w:lineRule="auto"/>
        <w:ind w:left="348" w:right="431" w:firstLine="480"/>
        <w:jc w:val="both"/>
      </w:pPr>
      <w:r>
        <w:t>本单位郑重声明</w:t>
      </w:r>
      <w:r>
        <w:rPr>
          <w:spacing w:val="-20"/>
        </w:rPr>
        <w:t>，</w:t>
      </w:r>
      <w:r>
        <w:t>根</w:t>
      </w:r>
      <w:r>
        <w:rPr>
          <w:spacing w:val="-17"/>
        </w:rPr>
        <w:t>据</w:t>
      </w:r>
      <w:r>
        <w:t>《财政部 民政部 中国残疾人联合会关于促进残疾人就</w:t>
      </w:r>
      <w:r>
        <w:rPr>
          <w:spacing w:val="-16"/>
        </w:rPr>
        <w:t>业</w:t>
      </w:r>
      <w:r>
        <w:t>政府采购政策的通知》（财库</w:t>
      </w:r>
      <w:r>
        <w:rPr>
          <w:spacing w:val="-3"/>
        </w:rPr>
        <w:t>〔</w:t>
      </w:r>
      <w:r>
        <w:t>2017〕141</w:t>
      </w:r>
      <w:r>
        <w:rPr>
          <w:spacing w:val="-44"/>
        </w:rPr>
        <w:t xml:space="preserve"> </w:t>
      </w:r>
      <w:r>
        <w:t>号）的规定，本单位为符合条件的残疾</w:t>
      </w:r>
      <w:r>
        <w:rPr>
          <w:spacing w:val="-12"/>
        </w:rPr>
        <w:t>人</w:t>
      </w:r>
      <w:r>
        <w:t>福利性单位，且本单位参加</w:t>
      </w:r>
      <w:r>
        <w:rPr>
          <w:u w:val="single"/>
        </w:rPr>
        <w:t xml:space="preserve"> </w:t>
      </w:r>
      <w:r>
        <w:rPr>
          <w:u w:val="single"/>
        </w:rPr>
        <w:tab/>
      </w:r>
      <w:r>
        <w:t>（项目编号：</w:t>
      </w:r>
      <w:r>
        <w:tab/>
      </w:r>
      <w:r>
        <w:t>）采购活动</w:t>
      </w:r>
      <w:r>
        <w:rPr>
          <w:spacing w:val="-16"/>
        </w:rPr>
        <w:t>提</w:t>
      </w:r>
      <w:r>
        <w:t>供本单位制造的货物（由本单位承担工程/提供服务），或者提供其他残疾人福利性单位制造的货物（不包括使用非残疾人福利性单位注册商标的货物）。</w:t>
      </w:r>
    </w:p>
    <w:p w14:paraId="66CD661A">
      <w:pPr>
        <w:pStyle w:val="9"/>
        <w:spacing w:before="157"/>
        <w:ind w:left="828"/>
      </w:pPr>
      <w:r>
        <w:t>本单位对上述声明的真实性负责。如有虚假，将依法承担相应责任。</w:t>
      </w:r>
    </w:p>
    <w:p w14:paraId="04EBA80E">
      <w:pPr>
        <w:pStyle w:val="9"/>
      </w:pPr>
    </w:p>
    <w:p w14:paraId="32144F6C">
      <w:pPr>
        <w:pStyle w:val="9"/>
      </w:pPr>
    </w:p>
    <w:p w14:paraId="06A4E927">
      <w:pPr>
        <w:pStyle w:val="9"/>
        <w:spacing w:before="4"/>
        <w:rPr>
          <w:sz w:val="27"/>
        </w:rPr>
      </w:pPr>
    </w:p>
    <w:p w14:paraId="194B3601">
      <w:pPr>
        <w:pStyle w:val="9"/>
        <w:ind w:left="2026" w:right="875"/>
        <w:jc w:val="center"/>
      </w:pPr>
      <w:r>
        <w:t>供应商：（公章）</w:t>
      </w:r>
    </w:p>
    <w:p w14:paraId="74A59AE4">
      <w:pPr>
        <w:pStyle w:val="9"/>
        <w:spacing w:before="8"/>
        <w:rPr>
          <w:sz w:val="25"/>
        </w:rPr>
      </w:pPr>
    </w:p>
    <w:p w14:paraId="588F9902">
      <w:pPr>
        <w:pStyle w:val="9"/>
        <w:ind w:right="2555"/>
        <w:jc w:val="right"/>
      </w:pPr>
      <w:r>
        <w:t>法定代表人或被授权人：（签字或盖章）</w:t>
      </w:r>
    </w:p>
    <w:p w14:paraId="2C131FA5">
      <w:pPr>
        <w:pStyle w:val="9"/>
        <w:spacing w:before="8"/>
        <w:rPr>
          <w:sz w:val="25"/>
        </w:rPr>
      </w:pPr>
    </w:p>
    <w:p w14:paraId="233E8725">
      <w:pPr>
        <w:pStyle w:val="9"/>
        <w:tabs>
          <w:tab w:val="left" w:pos="1199"/>
          <w:tab w:val="left" w:pos="1799"/>
          <w:tab w:val="left" w:pos="2399"/>
        </w:tabs>
        <w:ind w:right="2555"/>
        <w:jc w:val="right"/>
      </w:pPr>
      <w:r>
        <w:t>日 期：</w:t>
      </w:r>
      <w:r>
        <w:tab/>
      </w:r>
      <w:r>
        <w:t>年</w:t>
      </w:r>
      <w:r>
        <w:tab/>
      </w:r>
      <w:r>
        <w:t>月</w:t>
      </w:r>
      <w:r>
        <w:tab/>
      </w:r>
      <w:bookmarkStart w:id="15" w:name="_GoBack"/>
      <w:bookmarkEnd w:id="15"/>
      <w:r>
        <w:t>日</w:t>
      </w:r>
    </w:p>
    <w:p w14:paraId="669BFB7A">
      <w:pPr>
        <w:spacing w:after="0"/>
        <w:jc w:val="right"/>
        <w:sectPr>
          <w:footerReference r:id="rId18" w:type="default"/>
          <w:pgSz w:w="11910" w:h="16840"/>
          <w:pgMar w:top="1580" w:right="1040" w:bottom="1420" w:left="1240" w:header="0" w:footer="680" w:gutter="0"/>
          <w:pgNumType w:fmt="decimal"/>
          <w:cols w:space="720" w:num="1"/>
        </w:sectPr>
      </w:pPr>
    </w:p>
    <w:p w14:paraId="47B37410">
      <w:pPr>
        <w:pStyle w:val="5"/>
        <w:spacing w:before="135"/>
        <w:ind w:left="795" w:right="875"/>
        <w:jc w:val="center"/>
      </w:pPr>
      <w:r>
        <w:t>监狱企业证明函</w:t>
      </w:r>
    </w:p>
    <w:p w14:paraId="09EEE51D">
      <w:pPr>
        <w:pStyle w:val="9"/>
        <w:spacing w:before="8"/>
        <w:rPr>
          <w:b/>
          <w:sz w:val="25"/>
        </w:rPr>
      </w:pPr>
    </w:p>
    <w:p w14:paraId="1627FEAD">
      <w:pPr>
        <w:pStyle w:val="9"/>
        <w:spacing w:before="1"/>
        <w:ind w:left="828"/>
      </w:pPr>
      <w:r>
        <w:t>根据财政部、司法部《关于政府采购支持监狱企业发展有关问题的通知》（财库</w:t>
      </w:r>
    </w:p>
    <w:p w14:paraId="5F91963D">
      <w:pPr>
        <w:pStyle w:val="9"/>
        <w:spacing w:before="172" w:line="374" w:lineRule="auto"/>
        <w:ind w:left="348" w:right="395"/>
        <w:jc w:val="both"/>
      </w:pPr>
      <w:r>
        <w:t>〔2014</w:t>
      </w:r>
      <w:r>
        <w:rPr>
          <w:spacing w:val="-24"/>
        </w:rPr>
        <w:t>〕</w:t>
      </w:r>
      <w:r>
        <w:t>68</w:t>
      </w:r>
      <w:r>
        <w:rPr>
          <w:spacing w:val="-30"/>
        </w:rPr>
        <w:t xml:space="preserve"> 号</w:t>
      </w:r>
      <w:r>
        <w:rPr>
          <w:spacing w:val="-24"/>
        </w:rPr>
        <w:t>）</w:t>
      </w:r>
      <w:r>
        <w:rPr>
          <w:spacing w:val="-6"/>
        </w:rPr>
        <w:t>的规定，监狱企业是指由司法部认定的为罪犯、戒毒人员提供生产项</w:t>
      </w:r>
      <w:r>
        <w:rPr>
          <w:spacing w:val="-7"/>
        </w:rPr>
        <w:t xml:space="preserve">目和劳动对象，且全部产权属于司法部监狱管理局、戒毒管理局、直属煤矿管理局， </w:t>
      </w:r>
      <w:r>
        <w:rPr>
          <w:spacing w:val="-6"/>
        </w:rPr>
        <w:t>各省、自治区、直辖市监狱管理局、戒毒管理局，各地</w:t>
      </w:r>
      <w:r>
        <w:t>（设区的市</w:t>
      </w:r>
      <w:r>
        <w:rPr>
          <w:spacing w:val="-5"/>
        </w:rPr>
        <w:t>）</w:t>
      </w:r>
      <w:r>
        <w:rPr>
          <w:spacing w:val="-2"/>
        </w:rPr>
        <w:t>监狱、强制隔离戒毒所、戒毒康复所，以及新疆生产建设兵团监狱管理局、戒毒管理局的企业。</w:t>
      </w:r>
    </w:p>
    <w:p w14:paraId="698204EF">
      <w:pPr>
        <w:pStyle w:val="9"/>
        <w:spacing w:before="157" w:line="374" w:lineRule="auto"/>
        <w:ind w:left="348" w:right="431" w:firstLine="480"/>
      </w:pPr>
      <w:r>
        <w:rPr>
          <w:spacing w:val="-13"/>
        </w:rPr>
        <w:t>监狱企业参加政府采购活动时，应当提供由省级以上监狱管理局、戒毒管理局</w:t>
      </w:r>
      <w:r>
        <w:t>（</w:t>
      </w:r>
      <w:r>
        <w:rPr>
          <w:spacing w:val="-16"/>
        </w:rPr>
        <w:t>含</w:t>
      </w:r>
      <w:r>
        <w:t>新疆生产建设兵团）出具的属于监狱企业的证明文件。</w:t>
      </w:r>
    </w:p>
    <w:p w14:paraId="40A7815A">
      <w:pPr>
        <w:pStyle w:val="9"/>
      </w:pPr>
    </w:p>
    <w:p w14:paraId="1D7D036D">
      <w:pPr>
        <w:pStyle w:val="9"/>
      </w:pPr>
    </w:p>
    <w:p w14:paraId="0EC312AA">
      <w:pPr>
        <w:pStyle w:val="9"/>
        <w:spacing w:before="178"/>
        <w:ind w:left="2026" w:right="875"/>
        <w:jc w:val="center"/>
      </w:pPr>
      <w:r>
        <w:t>供应商：（公章）</w:t>
      </w:r>
    </w:p>
    <w:p w14:paraId="5D68D015">
      <w:pPr>
        <w:pStyle w:val="9"/>
        <w:spacing w:before="8"/>
        <w:rPr>
          <w:sz w:val="25"/>
        </w:rPr>
      </w:pPr>
    </w:p>
    <w:p w14:paraId="4CB040BB">
      <w:pPr>
        <w:pStyle w:val="9"/>
        <w:ind w:right="2555"/>
        <w:jc w:val="right"/>
      </w:pPr>
      <w:r>
        <w:t>法定代表人或被授权人：（签字或盖章）</w:t>
      </w:r>
    </w:p>
    <w:p w14:paraId="3F431EB8">
      <w:pPr>
        <w:pStyle w:val="9"/>
        <w:spacing w:before="8"/>
        <w:rPr>
          <w:rFonts w:hint="eastAsia" w:eastAsia="宋体"/>
          <w:sz w:val="25"/>
          <w:lang w:eastAsia="zh-CN"/>
        </w:rPr>
      </w:pPr>
    </w:p>
    <w:p w14:paraId="73C653DB">
      <w:pPr>
        <w:pStyle w:val="9"/>
        <w:tabs>
          <w:tab w:val="left" w:pos="1199"/>
          <w:tab w:val="left" w:pos="1799"/>
          <w:tab w:val="left" w:pos="2399"/>
        </w:tabs>
        <w:ind w:right="2555"/>
        <w:jc w:val="right"/>
      </w:pPr>
      <w:r>
        <w:t>日 期：</w:t>
      </w:r>
      <w:r>
        <w:tab/>
      </w:r>
      <w:r>
        <w:t>年</w:t>
      </w:r>
      <w:r>
        <w:tab/>
      </w:r>
      <w:r>
        <w:t>月</w:t>
      </w:r>
      <w:r>
        <w:tab/>
      </w:r>
      <w:r>
        <w:t>日</w:t>
      </w:r>
    </w:p>
    <w:p w14:paraId="3A56CC86"/>
    <w:p w14:paraId="0DB1AD75">
      <w:pPr>
        <w:pStyle w:val="6"/>
      </w:pPr>
    </w:p>
    <w:p w14:paraId="2960FD2C">
      <w:pPr>
        <w:pStyle w:val="7"/>
      </w:pPr>
    </w:p>
    <w:p w14:paraId="141F40C7">
      <w:pPr>
        <w:spacing w:before="0"/>
        <w:ind w:right="0"/>
        <w:jc w:val="left"/>
        <w:rPr>
          <w:sz w:val="21"/>
        </w:rPr>
      </w:pPr>
    </w:p>
    <w:sectPr>
      <w:footerReference r:id="rId19" w:type="default"/>
      <w:pgSz w:w="11910" w:h="16840"/>
      <w:pgMar w:top="1580" w:right="1040" w:bottom="1420" w:left="1240" w:header="0" w:footer="6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1027D87-263D-4BE1-88E1-046A5B70DE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2" w:fontKey="{AB6EEDAE-92DA-4408-AD48-6ABFB751BF4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B3C9">
    <w:pPr>
      <w:pStyle w:val="12"/>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6AB2">
    <w:pPr>
      <w:pStyle w:val="9"/>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DACA6">
                          <w:pPr>
                            <w:pStyle w:val="12"/>
                          </w:pPr>
                          <w:r>
                            <w:t xml:space="preserve">— </w:t>
                          </w:r>
                          <w:r>
                            <w:fldChar w:fldCharType="begin"/>
                          </w:r>
                          <w:r>
                            <w:instrText xml:space="preserve"> PAGE  \* MERGEFORMAT </w:instrText>
                          </w:r>
                          <w:r>
                            <w:fldChar w:fldCharType="separate"/>
                          </w:r>
                          <w:r>
                            <w:t>60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76DACA6">
                    <w:pPr>
                      <w:pStyle w:val="12"/>
                    </w:pPr>
                    <w:r>
                      <w:t xml:space="preserve">— </w:t>
                    </w:r>
                    <w:r>
                      <w:fldChar w:fldCharType="begin"/>
                    </w:r>
                    <w:r>
                      <w:instrText xml:space="preserve"> PAGE  \* MERGEFORMAT </w:instrText>
                    </w:r>
                    <w:r>
                      <w:fldChar w:fldCharType="separate"/>
                    </w:r>
                    <w:r>
                      <w:t>60</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46CB">
    <w:pPr>
      <w:pStyle w:val="9"/>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0E4CC">
                          <w:pPr>
                            <w:pStyle w:val="12"/>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F0E4CC">
                    <w:pPr>
                      <w:pStyle w:val="12"/>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r>
      <w:rPr>
        <w:rFonts w:hint="eastAsia"/>
        <w:sz w:val="20"/>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BC0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F265">
    <w:pPr>
      <w:pStyle w:val="9"/>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83D10">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E83D10">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EBF8">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B74A7">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B74A7">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98B4">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2FA9F">
                          <w:pPr>
                            <w:pStyle w:val="12"/>
                          </w:pPr>
                          <w:r>
                            <w:t xml:space="preserve">— </w:t>
                          </w:r>
                          <w:r>
                            <w:fldChar w:fldCharType="begin"/>
                          </w:r>
                          <w:r>
                            <w:instrText xml:space="preserve"> PAGE  \* MERGEFORMAT </w:instrText>
                          </w:r>
                          <w:r>
                            <w:fldChar w:fldCharType="separate"/>
                          </w:r>
                          <w:r>
                            <w:t>42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D82FA9F">
                    <w:pPr>
                      <w:pStyle w:val="12"/>
                    </w:pPr>
                    <w:r>
                      <w:t xml:space="preserve">— </w:t>
                    </w:r>
                    <w:r>
                      <w:fldChar w:fldCharType="begin"/>
                    </w:r>
                    <w:r>
                      <w:instrText xml:space="preserve"> PAGE  \* MERGEFORMAT </w:instrText>
                    </w:r>
                    <w:r>
                      <w:fldChar w:fldCharType="separate"/>
                    </w:r>
                    <w:r>
                      <w:t>42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C789">
    <w:pPr>
      <w:spacing w:line="230" w:lineRule="auto"/>
      <w:ind w:left="3731"/>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71B1F">
                          <w:pPr>
                            <w:pStyle w:val="12"/>
                          </w:pPr>
                          <w:r>
                            <w:t xml:space="preserve">— </w:t>
                          </w:r>
                          <w:r>
                            <w:fldChar w:fldCharType="begin"/>
                          </w:r>
                          <w:r>
                            <w:instrText xml:space="preserve"> PAGE  \* MERGEFORMAT </w:instrText>
                          </w:r>
                          <w:r>
                            <w:fldChar w:fldCharType="separate"/>
                          </w:r>
                          <w:r>
                            <w:t>46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671B1F">
                    <w:pPr>
                      <w:pStyle w:val="12"/>
                    </w:pPr>
                    <w:r>
                      <w:t xml:space="preserve">— </w:t>
                    </w:r>
                    <w:r>
                      <w:fldChar w:fldCharType="begin"/>
                    </w:r>
                    <w:r>
                      <w:instrText xml:space="preserve"> PAGE  \* MERGEFORMAT </w:instrText>
                    </w:r>
                    <w:r>
                      <w:fldChar w:fldCharType="separate"/>
                    </w:r>
                    <w:r>
                      <w:t>46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619B">
    <w:pPr>
      <w:spacing w:line="196" w:lineRule="auto"/>
      <w:ind w:left="422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0F621">
                          <w:pPr>
                            <w:pStyle w:val="12"/>
                          </w:pPr>
                          <w:r>
                            <w:t xml:space="preserve">— </w:t>
                          </w:r>
                          <w:r>
                            <w:fldChar w:fldCharType="begin"/>
                          </w:r>
                          <w:r>
                            <w:instrText xml:space="preserve"> PAGE  \* MERGEFORMAT </w:instrText>
                          </w:r>
                          <w:r>
                            <w:fldChar w:fldCharType="separate"/>
                          </w:r>
                          <w:r>
                            <w:t>50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80F621">
                    <w:pPr>
                      <w:pStyle w:val="12"/>
                    </w:pPr>
                    <w:r>
                      <w:t xml:space="preserve">— </w:t>
                    </w:r>
                    <w:r>
                      <w:fldChar w:fldCharType="begin"/>
                    </w:r>
                    <w:r>
                      <w:instrText xml:space="preserve"> PAGE  \* MERGEFORMAT </w:instrText>
                    </w:r>
                    <w:r>
                      <w:fldChar w:fldCharType="separate"/>
                    </w:r>
                    <w:r>
                      <w:t>50</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86C4">
    <w:pPr>
      <w:spacing w:line="230" w:lineRule="auto"/>
      <w:ind w:left="3839"/>
      <w:rPr>
        <w:rFonts w:hint="default" w:ascii="宋体" w:hAnsi="宋体" w:eastAsia="宋体" w:cs="宋体"/>
        <w:sz w:val="17"/>
        <w:szCs w:val="17"/>
        <w:lang w:val="en-US"/>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0114F">
                          <w:pPr>
                            <w:pStyle w:val="12"/>
                          </w:pPr>
                          <w:r>
                            <w:t xml:space="preserve">— </w:t>
                          </w:r>
                          <w:r>
                            <w:fldChar w:fldCharType="begin"/>
                          </w:r>
                          <w:r>
                            <w:instrText xml:space="preserve"> PAGE  \* MERGEFORMAT </w:instrText>
                          </w:r>
                          <w:r>
                            <w:fldChar w:fldCharType="separate"/>
                          </w:r>
                          <w:r>
                            <w:t>56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9D0114F">
                    <w:pPr>
                      <w:pStyle w:val="12"/>
                    </w:pPr>
                    <w:r>
                      <w:t xml:space="preserve">— </w:t>
                    </w:r>
                    <w:r>
                      <w:fldChar w:fldCharType="begin"/>
                    </w:r>
                    <w:r>
                      <w:instrText xml:space="preserve"> PAGE  \* MERGEFORMAT </w:instrText>
                    </w:r>
                    <w:r>
                      <w:fldChar w:fldCharType="separate"/>
                    </w:r>
                    <w:r>
                      <w:t>56</w:t>
                    </w:r>
                    <w:r>
                      <w:fldChar w:fldCharType="end"/>
                    </w:r>
                    <w:r>
                      <w:t xml:space="preserve"> —</w:t>
                    </w:r>
                  </w:p>
                </w:txbxContent>
              </v:textbox>
            </v:shape>
          </w:pict>
        </mc:Fallback>
      </mc:AlternateContent>
    </w:r>
    <w:r>
      <w:rPr>
        <w:rFonts w:hint="eastAsia" w:cs="宋体"/>
        <w:sz w:val="17"/>
        <w:szCs w:val="17"/>
        <w:lang w:val="en-US"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AEED">
    <w:pPr>
      <w:spacing w:line="196" w:lineRule="auto"/>
      <w:ind w:left="430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33519">
                          <w:pPr>
                            <w:pStyle w:val="12"/>
                          </w:pPr>
                          <w:r>
                            <w:t xml:space="preserve">— </w:t>
                          </w:r>
                          <w:r>
                            <w:fldChar w:fldCharType="begin"/>
                          </w:r>
                          <w:r>
                            <w:instrText xml:space="preserve"> PAGE  \* MERGEFORMAT </w:instrText>
                          </w:r>
                          <w:r>
                            <w:fldChar w:fldCharType="separate"/>
                          </w:r>
                          <w:r>
                            <w:t>58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433519">
                    <w:pPr>
                      <w:pStyle w:val="12"/>
                    </w:pPr>
                    <w:r>
                      <w:t xml:space="preserve">— </w:t>
                    </w:r>
                    <w:r>
                      <w:fldChar w:fldCharType="begin"/>
                    </w:r>
                    <w:r>
                      <w:instrText xml:space="preserve"> PAGE  \* MERGEFORMAT </w:instrText>
                    </w:r>
                    <w:r>
                      <w:fldChar w:fldCharType="separate"/>
                    </w:r>
                    <w:r>
                      <w:t>58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57E7">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4327">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1C3C">
    <w:pPr>
      <w:widowControl/>
      <w:spacing w:line="480" w:lineRule="exact"/>
      <w:outlineLvl w:val="0"/>
      <w:rPr>
        <w:rFonts w:hint="eastAsia" w:ascii="宋体" w:hAnsi="宋体" w:cs="宋体"/>
        <w:b/>
        <w:color w:val="0000FF"/>
        <w:w w:val="99"/>
        <w:kern w:val="0"/>
        <w:szCs w:val="21"/>
        <w:u w:val="single"/>
      </w:rPr>
    </w:pPr>
  </w:p>
  <w:p w14:paraId="769F0FE6">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E678C">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95607C87"/>
    <w:multiLevelType w:val="singleLevel"/>
    <w:tmpl w:val="95607C87"/>
    <w:lvl w:ilvl="0" w:tentative="0">
      <w:start w:val="1"/>
      <w:numFmt w:val="chineseCounting"/>
      <w:lvlText w:val="第%1章"/>
      <w:lvlJc w:val="left"/>
      <w:rPr>
        <w:rFonts w:hint="eastAsia"/>
      </w:rPr>
    </w:lvl>
  </w:abstractNum>
  <w:abstractNum w:abstractNumId="2">
    <w:nsid w:val="A6552B8B"/>
    <w:multiLevelType w:val="singleLevel"/>
    <w:tmpl w:val="A6552B8B"/>
    <w:lvl w:ilvl="0" w:tentative="0">
      <w:start w:val="8"/>
      <w:numFmt w:val="chineseCounting"/>
      <w:suff w:val="nothing"/>
      <w:lvlText w:val="%1、"/>
      <w:lvlJc w:val="left"/>
      <w:rPr>
        <w:rFonts w:hint="eastAsia"/>
      </w:rPr>
    </w:lvl>
  </w:abstractNum>
  <w:abstractNum w:abstractNumId="3">
    <w:nsid w:val="B5E306ED"/>
    <w:multiLevelType w:val="multilevel"/>
    <w:tmpl w:val="B5E306ED"/>
    <w:lvl w:ilvl="0" w:tentative="0">
      <w:start w:val="1"/>
      <w:numFmt w:val="decimal"/>
      <w:lvlText w:val="（%1）"/>
      <w:lvlJc w:val="left"/>
      <w:pPr>
        <w:ind w:left="348" w:hanging="525"/>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125" w:hanging="241"/>
        <w:jc w:val="left"/>
      </w:pPr>
      <w:rPr>
        <w:rFonts w:hint="default" w:ascii="宋体" w:hAnsi="宋体" w:eastAsia="宋体" w:cs="宋体"/>
        <w:color w:val="333333"/>
        <w:w w:val="100"/>
        <w:sz w:val="22"/>
        <w:szCs w:val="22"/>
        <w:lang w:val="zh-CN" w:eastAsia="zh-CN" w:bidi="zh-CN"/>
      </w:rPr>
    </w:lvl>
    <w:lvl w:ilvl="2" w:tentative="0">
      <w:start w:val="0"/>
      <w:numFmt w:val="bullet"/>
      <w:lvlText w:val="•"/>
      <w:lvlJc w:val="left"/>
      <w:pPr>
        <w:ind w:left="2065" w:hanging="241"/>
      </w:pPr>
      <w:rPr>
        <w:rFonts w:hint="default"/>
        <w:lang w:val="zh-CN" w:eastAsia="zh-CN" w:bidi="zh-CN"/>
      </w:rPr>
    </w:lvl>
    <w:lvl w:ilvl="3" w:tentative="0">
      <w:start w:val="0"/>
      <w:numFmt w:val="bullet"/>
      <w:lvlText w:val="•"/>
      <w:lvlJc w:val="left"/>
      <w:pPr>
        <w:ind w:left="3010" w:hanging="241"/>
      </w:pPr>
      <w:rPr>
        <w:rFonts w:hint="default"/>
        <w:lang w:val="zh-CN" w:eastAsia="zh-CN" w:bidi="zh-CN"/>
      </w:rPr>
    </w:lvl>
    <w:lvl w:ilvl="4" w:tentative="0">
      <w:start w:val="0"/>
      <w:numFmt w:val="bullet"/>
      <w:lvlText w:val="•"/>
      <w:lvlJc w:val="left"/>
      <w:pPr>
        <w:ind w:left="3955" w:hanging="241"/>
      </w:pPr>
      <w:rPr>
        <w:rFonts w:hint="default"/>
        <w:lang w:val="zh-CN" w:eastAsia="zh-CN" w:bidi="zh-CN"/>
      </w:rPr>
    </w:lvl>
    <w:lvl w:ilvl="5" w:tentative="0">
      <w:start w:val="0"/>
      <w:numFmt w:val="bullet"/>
      <w:lvlText w:val="•"/>
      <w:lvlJc w:val="left"/>
      <w:pPr>
        <w:ind w:left="4900" w:hanging="241"/>
      </w:pPr>
      <w:rPr>
        <w:rFonts w:hint="default"/>
        <w:lang w:val="zh-CN" w:eastAsia="zh-CN" w:bidi="zh-CN"/>
      </w:rPr>
    </w:lvl>
    <w:lvl w:ilvl="6" w:tentative="0">
      <w:start w:val="0"/>
      <w:numFmt w:val="bullet"/>
      <w:lvlText w:val="•"/>
      <w:lvlJc w:val="left"/>
      <w:pPr>
        <w:ind w:left="5845" w:hanging="241"/>
      </w:pPr>
      <w:rPr>
        <w:rFonts w:hint="default"/>
        <w:lang w:val="zh-CN" w:eastAsia="zh-CN" w:bidi="zh-CN"/>
      </w:rPr>
    </w:lvl>
    <w:lvl w:ilvl="7" w:tentative="0">
      <w:start w:val="0"/>
      <w:numFmt w:val="bullet"/>
      <w:lvlText w:val="•"/>
      <w:lvlJc w:val="left"/>
      <w:pPr>
        <w:ind w:left="6790" w:hanging="241"/>
      </w:pPr>
      <w:rPr>
        <w:rFonts w:hint="default"/>
        <w:lang w:val="zh-CN" w:eastAsia="zh-CN" w:bidi="zh-CN"/>
      </w:rPr>
    </w:lvl>
    <w:lvl w:ilvl="8" w:tentative="0">
      <w:start w:val="0"/>
      <w:numFmt w:val="bullet"/>
      <w:lvlText w:val="•"/>
      <w:lvlJc w:val="left"/>
      <w:pPr>
        <w:ind w:left="7735" w:hanging="241"/>
      </w:pPr>
      <w:rPr>
        <w:rFonts w:hint="default"/>
        <w:lang w:val="zh-CN" w:eastAsia="zh-CN" w:bidi="zh-CN"/>
      </w:rPr>
    </w:lvl>
  </w:abstractNum>
  <w:abstractNum w:abstractNumId="4">
    <w:nsid w:val="BF205925"/>
    <w:multiLevelType w:val="multilevel"/>
    <w:tmpl w:val="BF205925"/>
    <w:lvl w:ilvl="0" w:tentative="0">
      <w:start w:val="1"/>
      <w:numFmt w:val="decimal"/>
      <w:lvlText w:val="（%1）"/>
      <w:lvlJc w:val="left"/>
      <w:pPr>
        <w:ind w:left="348" w:hanging="525"/>
        <w:jc w:val="left"/>
      </w:pPr>
      <w:rPr>
        <w:rFonts w:hint="default" w:ascii="宋体" w:hAnsi="宋体" w:eastAsia="宋体" w:cs="宋体"/>
        <w:spacing w:val="-41"/>
        <w:w w:val="99"/>
        <w:sz w:val="19"/>
        <w:szCs w:val="19"/>
        <w:lang w:val="zh-CN" w:eastAsia="zh-CN" w:bidi="zh-CN"/>
      </w:rPr>
    </w:lvl>
    <w:lvl w:ilvl="1" w:tentative="0">
      <w:start w:val="0"/>
      <w:numFmt w:val="bullet"/>
      <w:lvlText w:val="•"/>
      <w:lvlJc w:val="left"/>
      <w:pPr>
        <w:ind w:left="1268" w:hanging="525"/>
      </w:pPr>
      <w:rPr>
        <w:rFonts w:hint="default"/>
        <w:lang w:val="zh-CN" w:eastAsia="zh-CN" w:bidi="zh-CN"/>
      </w:rPr>
    </w:lvl>
    <w:lvl w:ilvl="2" w:tentative="0">
      <w:start w:val="0"/>
      <w:numFmt w:val="bullet"/>
      <w:lvlText w:val="•"/>
      <w:lvlJc w:val="left"/>
      <w:pPr>
        <w:ind w:left="2197" w:hanging="525"/>
      </w:pPr>
      <w:rPr>
        <w:rFonts w:hint="default"/>
        <w:lang w:val="zh-CN" w:eastAsia="zh-CN" w:bidi="zh-CN"/>
      </w:rPr>
    </w:lvl>
    <w:lvl w:ilvl="3" w:tentative="0">
      <w:start w:val="0"/>
      <w:numFmt w:val="bullet"/>
      <w:lvlText w:val="•"/>
      <w:lvlJc w:val="left"/>
      <w:pPr>
        <w:ind w:left="3125" w:hanging="525"/>
      </w:pPr>
      <w:rPr>
        <w:rFonts w:hint="default"/>
        <w:lang w:val="zh-CN" w:eastAsia="zh-CN" w:bidi="zh-CN"/>
      </w:rPr>
    </w:lvl>
    <w:lvl w:ilvl="4" w:tentative="0">
      <w:start w:val="0"/>
      <w:numFmt w:val="bullet"/>
      <w:lvlText w:val="•"/>
      <w:lvlJc w:val="left"/>
      <w:pPr>
        <w:ind w:left="4054" w:hanging="525"/>
      </w:pPr>
      <w:rPr>
        <w:rFonts w:hint="default"/>
        <w:lang w:val="zh-CN" w:eastAsia="zh-CN" w:bidi="zh-CN"/>
      </w:rPr>
    </w:lvl>
    <w:lvl w:ilvl="5" w:tentative="0">
      <w:start w:val="0"/>
      <w:numFmt w:val="bullet"/>
      <w:lvlText w:val="•"/>
      <w:lvlJc w:val="left"/>
      <w:pPr>
        <w:ind w:left="4983" w:hanging="525"/>
      </w:pPr>
      <w:rPr>
        <w:rFonts w:hint="default"/>
        <w:lang w:val="zh-CN" w:eastAsia="zh-CN" w:bidi="zh-CN"/>
      </w:rPr>
    </w:lvl>
    <w:lvl w:ilvl="6" w:tentative="0">
      <w:start w:val="0"/>
      <w:numFmt w:val="bullet"/>
      <w:lvlText w:val="•"/>
      <w:lvlJc w:val="left"/>
      <w:pPr>
        <w:ind w:left="5911" w:hanging="525"/>
      </w:pPr>
      <w:rPr>
        <w:rFonts w:hint="default"/>
        <w:lang w:val="zh-CN" w:eastAsia="zh-CN" w:bidi="zh-CN"/>
      </w:rPr>
    </w:lvl>
    <w:lvl w:ilvl="7" w:tentative="0">
      <w:start w:val="0"/>
      <w:numFmt w:val="bullet"/>
      <w:lvlText w:val="•"/>
      <w:lvlJc w:val="left"/>
      <w:pPr>
        <w:ind w:left="6840" w:hanging="525"/>
      </w:pPr>
      <w:rPr>
        <w:rFonts w:hint="default"/>
        <w:lang w:val="zh-CN" w:eastAsia="zh-CN" w:bidi="zh-CN"/>
      </w:rPr>
    </w:lvl>
    <w:lvl w:ilvl="8" w:tentative="0">
      <w:start w:val="0"/>
      <w:numFmt w:val="bullet"/>
      <w:lvlText w:val="•"/>
      <w:lvlJc w:val="left"/>
      <w:pPr>
        <w:ind w:left="7768" w:hanging="525"/>
      </w:pPr>
      <w:rPr>
        <w:rFonts w:hint="default"/>
        <w:lang w:val="zh-CN" w:eastAsia="zh-CN" w:bidi="zh-CN"/>
      </w:rPr>
    </w:lvl>
  </w:abstractNum>
  <w:abstractNum w:abstractNumId="5">
    <w:nsid w:val="CF092B84"/>
    <w:multiLevelType w:val="multilevel"/>
    <w:tmpl w:val="CF092B84"/>
    <w:lvl w:ilvl="0" w:tentative="0">
      <w:start w:val="1"/>
      <w:numFmt w:val="decimal"/>
      <w:lvlText w:val="（%1）"/>
      <w:lvlJc w:val="left"/>
      <w:pPr>
        <w:ind w:left="1293"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32" w:hanging="525"/>
      </w:pPr>
      <w:rPr>
        <w:rFonts w:hint="default"/>
        <w:lang w:val="zh-CN" w:eastAsia="zh-CN" w:bidi="zh-CN"/>
      </w:rPr>
    </w:lvl>
    <w:lvl w:ilvl="2" w:tentative="0">
      <w:start w:val="0"/>
      <w:numFmt w:val="bullet"/>
      <w:lvlText w:val="•"/>
      <w:lvlJc w:val="left"/>
      <w:pPr>
        <w:ind w:left="2965" w:hanging="525"/>
      </w:pPr>
      <w:rPr>
        <w:rFonts w:hint="default"/>
        <w:lang w:val="zh-CN" w:eastAsia="zh-CN" w:bidi="zh-CN"/>
      </w:rPr>
    </w:lvl>
    <w:lvl w:ilvl="3" w:tentative="0">
      <w:start w:val="0"/>
      <w:numFmt w:val="bullet"/>
      <w:lvlText w:val="•"/>
      <w:lvlJc w:val="left"/>
      <w:pPr>
        <w:ind w:left="3797" w:hanging="525"/>
      </w:pPr>
      <w:rPr>
        <w:rFonts w:hint="default"/>
        <w:lang w:val="zh-CN" w:eastAsia="zh-CN" w:bidi="zh-CN"/>
      </w:rPr>
    </w:lvl>
    <w:lvl w:ilvl="4" w:tentative="0">
      <w:start w:val="0"/>
      <w:numFmt w:val="bullet"/>
      <w:lvlText w:val="•"/>
      <w:lvlJc w:val="left"/>
      <w:pPr>
        <w:ind w:left="4630" w:hanging="525"/>
      </w:pPr>
      <w:rPr>
        <w:rFonts w:hint="default"/>
        <w:lang w:val="zh-CN" w:eastAsia="zh-CN" w:bidi="zh-CN"/>
      </w:rPr>
    </w:lvl>
    <w:lvl w:ilvl="5" w:tentative="0">
      <w:start w:val="0"/>
      <w:numFmt w:val="bullet"/>
      <w:lvlText w:val="•"/>
      <w:lvlJc w:val="left"/>
      <w:pPr>
        <w:ind w:left="5463" w:hanging="525"/>
      </w:pPr>
      <w:rPr>
        <w:rFonts w:hint="default"/>
        <w:lang w:val="zh-CN" w:eastAsia="zh-CN" w:bidi="zh-CN"/>
      </w:rPr>
    </w:lvl>
    <w:lvl w:ilvl="6" w:tentative="0">
      <w:start w:val="0"/>
      <w:numFmt w:val="bullet"/>
      <w:lvlText w:val="•"/>
      <w:lvlJc w:val="left"/>
      <w:pPr>
        <w:ind w:left="6295" w:hanging="525"/>
      </w:pPr>
      <w:rPr>
        <w:rFonts w:hint="default"/>
        <w:lang w:val="zh-CN" w:eastAsia="zh-CN" w:bidi="zh-CN"/>
      </w:rPr>
    </w:lvl>
    <w:lvl w:ilvl="7" w:tentative="0">
      <w:start w:val="0"/>
      <w:numFmt w:val="bullet"/>
      <w:lvlText w:val="•"/>
      <w:lvlJc w:val="left"/>
      <w:pPr>
        <w:ind w:left="7128" w:hanging="525"/>
      </w:pPr>
      <w:rPr>
        <w:rFonts w:hint="default"/>
        <w:lang w:val="zh-CN" w:eastAsia="zh-CN" w:bidi="zh-CN"/>
      </w:rPr>
    </w:lvl>
    <w:lvl w:ilvl="8" w:tentative="0">
      <w:start w:val="0"/>
      <w:numFmt w:val="bullet"/>
      <w:lvlText w:val="•"/>
      <w:lvlJc w:val="left"/>
      <w:pPr>
        <w:ind w:left="7960" w:hanging="525"/>
      </w:pPr>
      <w:rPr>
        <w:rFonts w:hint="default"/>
        <w:lang w:val="zh-CN" w:eastAsia="zh-CN" w:bidi="zh-CN"/>
      </w:rPr>
    </w:lvl>
  </w:abstractNum>
  <w:abstractNum w:abstractNumId="6">
    <w:nsid w:val="0053208E"/>
    <w:multiLevelType w:val="multilevel"/>
    <w:tmpl w:val="0053208E"/>
    <w:lvl w:ilvl="0" w:tentative="0">
      <w:start w:val="1"/>
      <w:numFmt w:val="decimal"/>
      <w:lvlText w:val="%1."/>
      <w:lvlJc w:val="left"/>
      <w:pPr>
        <w:ind w:left="348"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1268" w:hanging="159"/>
      </w:pPr>
      <w:rPr>
        <w:rFonts w:hint="default"/>
        <w:lang w:val="zh-CN" w:eastAsia="zh-CN" w:bidi="zh-CN"/>
      </w:rPr>
    </w:lvl>
    <w:lvl w:ilvl="2" w:tentative="0">
      <w:start w:val="0"/>
      <w:numFmt w:val="bullet"/>
      <w:lvlText w:val="•"/>
      <w:lvlJc w:val="left"/>
      <w:pPr>
        <w:ind w:left="2197" w:hanging="159"/>
      </w:pPr>
      <w:rPr>
        <w:rFonts w:hint="default"/>
        <w:lang w:val="zh-CN" w:eastAsia="zh-CN" w:bidi="zh-CN"/>
      </w:rPr>
    </w:lvl>
    <w:lvl w:ilvl="3" w:tentative="0">
      <w:start w:val="0"/>
      <w:numFmt w:val="bullet"/>
      <w:lvlText w:val="•"/>
      <w:lvlJc w:val="left"/>
      <w:pPr>
        <w:ind w:left="3125" w:hanging="159"/>
      </w:pPr>
      <w:rPr>
        <w:rFonts w:hint="default"/>
        <w:lang w:val="zh-CN" w:eastAsia="zh-CN" w:bidi="zh-CN"/>
      </w:rPr>
    </w:lvl>
    <w:lvl w:ilvl="4" w:tentative="0">
      <w:start w:val="0"/>
      <w:numFmt w:val="bullet"/>
      <w:lvlText w:val="•"/>
      <w:lvlJc w:val="left"/>
      <w:pPr>
        <w:ind w:left="4054" w:hanging="159"/>
      </w:pPr>
      <w:rPr>
        <w:rFonts w:hint="default"/>
        <w:lang w:val="zh-CN" w:eastAsia="zh-CN" w:bidi="zh-CN"/>
      </w:rPr>
    </w:lvl>
    <w:lvl w:ilvl="5" w:tentative="0">
      <w:start w:val="0"/>
      <w:numFmt w:val="bullet"/>
      <w:lvlText w:val="•"/>
      <w:lvlJc w:val="left"/>
      <w:pPr>
        <w:ind w:left="4983" w:hanging="159"/>
      </w:pPr>
      <w:rPr>
        <w:rFonts w:hint="default"/>
        <w:lang w:val="zh-CN" w:eastAsia="zh-CN" w:bidi="zh-CN"/>
      </w:rPr>
    </w:lvl>
    <w:lvl w:ilvl="6" w:tentative="0">
      <w:start w:val="0"/>
      <w:numFmt w:val="bullet"/>
      <w:lvlText w:val="•"/>
      <w:lvlJc w:val="left"/>
      <w:pPr>
        <w:ind w:left="5911" w:hanging="159"/>
      </w:pPr>
      <w:rPr>
        <w:rFonts w:hint="default"/>
        <w:lang w:val="zh-CN" w:eastAsia="zh-CN" w:bidi="zh-CN"/>
      </w:rPr>
    </w:lvl>
    <w:lvl w:ilvl="7" w:tentative="0">
      <w:start w:val="0"/>
      <w:numFmt w:val="bullet"/>
      <w:lvlText w:val="•"/>
      <w:lvlJc w:val="left"/>
      <w:pPr>
        <w:ind w:left="6840" w:hanging="159"/>
      </w:pPr>
      <w:rPr>
        <w:rFonts w:hint="default"/>
        <w:lang w:val="zh-CN" w:eastAsia="zh-CN" w:bidi="zh-CN"/>
      </w:rPr>
    </w:lvl>
    <w:lvl w:ilvl="8" w:tentative="0">
      <w:start w:val="0"/>
      <w:numFmt w:val="bullet"/>
      <w:lvlText w:val="•"/>
      <w:lvlJc w:val="left"/>
      <w:pPr>
        <w:ind w:left="7768" w:hanging="159"/>
      </w:pPr>
      <w:rPr>
        <w:rFonts w:hint="default"/>
        <w:lang w:val="zh-CN" w:eastAsia="zh-CN" w:bidi="zh-CN"/>
      </w:rPr>
    </w:lvl>
  </w:abstractNum>
  <w:abstractNum w:abstractNumId="7">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8">
    <w:nsid w:val="3E420CCA"/>
    <w:multiLevelType w:val="singleLevel"/>
    <w:tmpl w:val="3E420CCA"/>
    <w:lvl w:ilvl="0" w:tentative="0">
      <w:start w:val="1"/>
      <w:numFmt w:val="chineseCounting"/>
      <w:suff w:val="space"/>
      <w:lvlText w:val="%1、"/>
      <w:lvlJc w:val="left"/>
      <w:rPr>
        <w:rFonts w:hint="eastAsia"/>
      </w:rPr>
    </w:lvl>
  </w:abstractNum>
  <w:abstractNum w:abstractNumId="9">
    <w:nsid w:val="455B9F0D"/>
    <w:multiLevelType w:val="singleLevel"/>
    <w:tmpl w:val="455B9F0D"/>
    <w:lvl w:ilvl="0" w:tentative="0">
      <w:start w:val="1"/>
      <w:numFmt w:val="decimal"/>
      <w:suff w:val="nothing"/>
      <w:lvlText w:val="%1、"/>
      <w:lvlJc w:val="left"/>
    </w:lvl>
  </w:abstractNum>
  <w:abstractNum w:abstractNumId="10">
    <w:nsid w:val="59ADCABA"/>
    <w:multiLevelType w:val="multilevel"/>
    <w:tmpl w:val="59ADCABA"/>
    <w:lvl w:ilvl="0" w:tentative="0">
      <w:start w:val="1"/>
      <w:numFmt w:val="decimal"/>
      <w:lvlText w:val="%1."/>
      <w:lvlJc w:val="left"/>
      <w:pPr>
        <w:ind w:left="92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59"/>
      </w:pPr>
      <w:rPr>
        <w:rFonts w:hint="default"/>
        <w:lang w:val="zh-CN" w:eastAsia="zh-CN" w:bidi="zh-CN"/>
      </w:rPr>
    </w:lvl>
    <w:lvl w:ilvl="2" w:tentative="0">
      <w:start w:val="0"/>
      <w:numFmt w:val="bullet"/>
      <w:lvlText w:val="•"/>
      <w:lvlJc w:val="left"/>
      <w:pPr>
        <w:ind w:left="2661" w:hanging="159"/>
      </w:pPr>
      <w:rPr>
        <w:rFonts w:hint="default"/>
        <w:lang w:val="zh-CN" w:eastAsia="zh-CN" w:bidi="zh-CN"/>
      </w:rPr>
    </w:lvl>
    <w:lvl w:ilvl="3" w:tentative="0">
      <w:start w:val="0"/>
      <w:numFmt w:val="bullet"/>
      <w:lvlText w:val="•"/>
      <w:lvlJc w:val="left"/>
      <w:pPr>
        <w:ind w:left="3531" w:hanging="159"/>
      </w:pPr>
      <w:rPr>
        <w:rFonts w:hint="default"/>
        <w:lang w:val="zh-CN" w:eastAsia="zh-CN" w:bidi="zh-CN"/>
      </w:rPr>
    </w:lvl>
    <w:lvl w:ilvl="4" w:tentative="0">
      <w:start w:val="0"/>
      <w:numFmt w:val="bullet"/>
      <w:lvlText w:val="•"/>
      <w:lvlJc w:val="left"/>
      <w:pPr>
        <w:ind w:left="4402" w:hanging="159"/>
      </w:pPr>
      <w:rPr>
        <w:rFonts w:hint="default"/>
        <w:lang w:val="zh-CN" w:eastAsia="zh-CN" w:bidi="zh-CN"/>
      </w:rPr>
    </w:lvl>
    <w:lvl w:ilvl="5" w:tentative="0">
      <w:start w:val="0"/>
      <w:numFmt w:val="bullet"/>
      <w:lvlText w:val="•"/>
      <w:lvlJc w:val="left"/>
      <w:pPr>
        <w:ind w:left="5273" w:hanging="159"/>
      </w:pPr>
      <w:rPr>
        <w:rFonts w:hint="default"/>
        <w:lang w:val="zh-CN" w:eastAsia="zh-CN" w:bidi="zh-CN"/>
      </w:rPr>
    </w:lvl>
    <w:lvl w:ilvl="6" w:tentative="0">
      <w:start w:val="0"/>
      <w:numFmt w:val="bullet"/>
      <w:lvlText w:val="•"/>
      <w:lvlJc w:val="left"/>
      <w:pPr>
        <w:ind w:left="6143" w:hanging="159"/>
      </w:pPr>
      <w:rPr>
        <w:rFonts w:hint="default"/>
        <w:lang w:val="zh-CN" w:eastAsia="zh-CN" w:bidi="zh-CN"/>
      </w:rPr>
    </w:lvl>
    <w:lvl w:ilvl="7" w:tentative="0">
      <w:start w:val="0"/>
      <w:numFmt w:val="bullet"/>
      <w:lvlText w:val="•"/>
      <w:lvlJc w:val="left"/>
      <w:pPr>
        <w:ind w:left="7014" w:hanging="159"/>
      </w:pPr>
      <w:rPr>
        <w:rFonts w:hint="default"/>
        <w:lang w:val="zh-CN" w:eastAsia="zh-CN" w:bidi="zh-CN"/>
      </w:rPr>
    </w:lvl>
    <w:lvl w:ilvl="8" w:tentative="0">
      <w:start w:val="0"/>
      <w:numFmt w:val="bullet"/>
      <w:lvlText w:val="•"/>
      <w:lvlJc w:val="left"/>
      <w:pPr>
        <w:ind w:left="7884" w:hanging="159"/>
      </w:pPr>
      <w:rPr>
        <w:rFonts w:hint="default"/>
        <w:lang w:val="zh-CN" w:eastAsia="zh-CN" w:bidi="zh-CN"/>
      </w:rPr>
    </w:lvl>
  </w:abstractNum>
  <w:num w:numId="1">
    <w:abstractNumId w:val="6"/>
  </w:num>
  <w:num w:numId="2">
    <w:abstractNumId w:val="5"/>
  </w:num>
  <w:num w:numId="3">
    <w:abstractNumId w:val="10"/>
  </w:num>
  <w:num w:numId="4">
    <w:abstractNumId w:val="4"/>
  </w:num>
  <w:num w:numId="5">
    <w:abstractNumId w:val="3"/>
  </w:num>
  <w:num w:numId="6">
    <w:abstractNumId w:val="7"/>
  </w:num>
  <w:num w:numId="7">
    <w:abstractNumId w:val="1"/>
  </w:num>
  <w:num w:numId="8">
    <w:abstractNumId w:val="2"/>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NGQwNGI1M2U4ZjQ1OTk5ZjMyZGQ2MDlmM2RhNTYifQ=="/>
  </w:docVars>
  <w:rsids>
    <w:rsidRoot w:val="00000000"/>
    <w:rsid w:val="00020A29"/>
    <w:rsid w:val="00515C5E"/>
    <w:rsid w:val="00794CDA"/>
    <w:rsid w:val="00BF2383"/>
    <w:rsid w:val="0121527D"/>
    <w:rsid w:val="0168325F"/>
    <w:rsid w:val="02147E5A"/>
    <w:rsid w:val="029702A0"/>
    <w:rsid w:val="02DE7C7D"/>
    <w:rsid w:val="035E5316"/>
    <w:rsid w:val="036A049A"/>
    <w:rsid w:val="044833C7"/>
    <w:rsid w:val="047222FB"/>
    <w:rsid w:val="04C7181B"/>
    <w:rsid w:val="04D008A8"/>
    <w:rsid w:val="04E35A1E"/>
    <w:rsid w:val="04E85170"/>
    <w:rsid w:val="04E86B91"/>
    <w:rsid w:val="052D2A0C"/>
    <w:rsid w:val="05A420D6"/>
    <w:rsid w:val="06746A87"/>
    <w:rsid w:val="07320597"/>
    <w:rsid w:val="078132CC"/>
    <w:rsid w:val="07863D04"/>
    <w:rsid w:val="085D7896"/>
    <w:rsid w:val="087921F6"/>
    <w:rsid w:val="08FC0E5C"/>
    <w:rsid w:val="0A124F9F"/>
    <w:rsid w:val="0B157E36"/>
    <w:rsid w:val="0B380591"/>
    <w:rsid w:val="0B457E94"/>
    <w:rsid w:val="0B4C0ED6"/>
    <w:rsid w:val="0B4F05C1"/>
    <w:rsid w:val="0CB006DC"/>
    <w:rsid w:val="0D28739F"/>
    <w:rsid w:val="0D9F654D"/>
    <w:rsid w:val="0DF0237B"/>
    <w:rsid w:val="0EA72011"/>
    <w:rsid w:val="0EFD5ADD"/>
    <w:rsid w:val="0F210CBB"/>
    <w:rsid w:val="0F5F0B27"/>
    <w:rsid w:val="0FB730ED"/>
    <w:rsid w:val="0FCA0035"/>
    <w:rsid w:val="0FF028ED"/>
    <w:rsid w:val="10403FC4"/>
    <w:rsid w:val="106B68C8"/>
    <w:rsid w:val="109837DC"/>
    <w:rsid w:val="10B919E6"/>
    <w:rsid w:val="10D0355B"/>
    <w:rsid w:val="110034B4"/>
    <w:rsid w:val="11020FDA"/>
    <w:rsid w:val="11194576"/>
    <w:rsid w:val="114710E3"/>
    <w:rsid w:val="11771249"/>
    <w:rsid w:val="11FE44A0"/>
    <w:rsid w:val="12614426"/>
    <w:rsid w:val="13280AA0"/>
    <w:rsid w:val="141352AC"/>
    <w:rsid w:val="14634486"/>
    <w:rsid w:val="14653637"/>
    <w:rsid w:val="14EC7CED"/>
    <w:rsid w:val="15072868"/>
    <w:rsid w:val="15322B17"/>
    <w:rsid w:val="15C01464"/>
    <w:rsid w:val="168C5DC8"/>
    <w:rsid w:val="16F1484A"/>
    <w:rsid w:val="17891FCA"/>
    <w:rsid w:val="18743927"/>
    <w:rsid w:val="18A171DC"/>
    <w:rsid w:val="18A24E51"/>
    <w:rsid w:val="18C330B3"/>
    <w:rsid w:val="19073E0E"/>
    <w:rsid w:val="19874772"/>
    <w:rsid w:val="1A831F84"/>
    <w:rsid w:val="1BB750B7"/>
    <w:rsid w:val="1F212F73"/>
    <w:rsid w:val="1F6966C8"/>
    <w:rsid w:val="1FCF39ED"/>
    <w:rsid w:val="1FD8093F"/>
    <w:rsid w:val="1FE70C5E"/>
    <w:rsid w:val="1FEA6950"/>
    <w:rsid w:val="1FFC1F87"/>
    <w:rsid w:val="205778D8"/>
    <w:rsid w:val="2177331E"/>
    <w:rsid w:val="22250283"/>
    <w:rsid w:val="22A30143"/>
    <w:rsid w:val="239A32F4"/>
    <w:rsid w:val="23A50D24"/>
    <w:rsid w:val="23B173E8"/>
    <w:rsid w:val="280D3EE5"/>
    <w:rsid w:val="285A12A4"/>
    <w:rsid w:val="295B5073"/>
    <w:rsid w:val="2A6E3EA2"/>
    <w:rsid w:val="2AD87AAB"/>
    <w:rsid w:val="2AFD7109"/>
    <w:rsid w:val="2BD634E7"/>
    <w:rsid w:val="2C0559CB"/>
    <w:rsid w:val="2C843445"/>
    <w:rsid w:val="2C9B7ADD"/>
    <w:rsid w:val="2CE36C8B"/>
    <w:rsid w:val="2DC10CDD"/>
    <w:rsid w:val="2DE454AA"/>
    <w:rsid w:val="2DF45CF7"/>
    <w:rsid w:val="2DFD4BAB"/>
    <w:rsid w:val="2E0979F4"/>
    <w:rsid w:val="2E0A7A7E"/>
    <w:rsid w:val="2E254C81"/>
    <w:rsid w:val="2E530C6F"/>
    <w:rsid w:val="2E593C15"/>
    <w:rsid w:val="2E6609A2"/>
    <w:rsid w:val="2F324D29"/>
    <w:rsid w:val="2F847C5A"/>
    <w:rsid w:val="307B30B4"/>
    <w:rsid w:val="318774D4"/>
    <w:rsid w:val="3274113F"/>
    <w:rsid w:val="328A7AA2"/>
    <w:rsid w:val="33336170"/>
    <w:rsid w:val="33796EF5"/>
    <w:rsid w:val="34B44115"/>
    <w:rsid w:val="353D7F83"/>
    <w:rsid w:val="355C5D48"/>
    <w:rsid w:val="361C4DDB"/>
    <w:rsid w:val="36440654"/>
    <w:rsid w:val="36590DED"/>
    <w:rsid w:val="367C62C7"/>
    <w:rsid w:val="36BF7EE1"/>
    <w:rsid w:val="36DB7A54"/>
    <w:rsid w:val="37111750"/>
    <w:rsid w:val="37245AF1"/>
    <w:rsid w:val="3761063D"/>
    <w:rsid w:val="38A327F3"/>
    <w:rsid w:val="38BE762D"/>
    <w:rsid w:val="39221266"/>
    <w:rsid w:val="396226AE"/>
    <w:rsid w:val="3A80119F"/>
    <w:rsid w:val="3AA433E4"/>
    <w:rsid w:val="3ABE3914"/>
    <w:rsid w:val="3B134332"/>
    <w:rsid w:val="3B467CD8"/>
    <w:rsid w:val="3B6700D2"/>
    <w:rsid w:val="3CC3558C"/>
    <w:rsid w:val="3D3A532B"/>
    <w:rsid w:val="3DBF789F"/>
    <w:rsid w:val="3E1201FF"/>
    <w:rsid w:val="3E1432BC"/>
    <w:rsid w:val="3E22059D"/>
    <w:rsid w:val="3E371A14"/>
    <w:rsid w:val="3EFE69D5"/>
    <w:rsid w:val="3F0A35CC"/>
    <w:rsid w:val="3F1C2EEF"/>
    <w:rsid w:val="3F2E2499"/>
    <w:rsid w:val="3F4B6F96"/>
    <w:rsid w:val="3F631007"/>
    <w:rsid w:val="3F8E1B07"/>
    <w:rsid w:val="3FE47979"/>
    <w:rsid w:val="3FEE6372"/>
    <w:rsid w:val="3FF76E4E"/>
    <w:rsid w:val="4070490E"/>
    <w:rsid w:val="40DA2DE1"/>
    <w:rsid w:val="40F3421E"/>
    <w:rsid w:val="41DD0E37"/>
    <w:rsid w:val="41DF3952"/>
    <w:rsid w:val="4224168D"/>
    <w:rsid w:val="423D7815"/>
    <w:rsid w:val="42981DDC"/>
    <w:rsid w:val="42ED5C28"/>
    <w:rsid w:val="43654793"/>
    <w:rsid w:val="43B53EFD"/>
    <w:rsid w:val="440E2C61"/>
    <w:rsid w:val="449E63C5"/>
    <w:rsid w:val="453D587E"/>
    <w:rsid w:val="456574DF"/>
    <w:rsid w:val="459040FF"/>
    <w:rsid w:val="45C862C9"/>
    <w:rsid w:val="475136A8"/>
    <w:rsid w:val="4754482B"/>
    <w:rsid w:val="48335FCC"/>
    <w:rsid w:val="48C3600B"/>
    <w:rsid w:val="48C85624"/>
    <w:rsid w:val="49160438"/>
    <w:rsid w:val="49543251"/>
    <w:rsid w:val="497A3E09"/>
    <w:rsid w:val="49FE4D0F"/>
    <w:rsid w:val="4AA5137E"/>
    <w:rsid w:val="4BE507B5"/>
    <w:rsid w:val="4C641FE1"/>
    <w:rsid w:val="4D213165"/>
    <w:rsid w:val="4E4750F4"/>
    <w:rsid w:val="4E571C5E"/>
    <w:rsid w:val="4E760AB0"/>
    <w:rsid w:val="4F365D17"/>
    <w:rsid w:val="4F644F6F"/>
    <w:rsid w:val="509437EC"/>
    <w:rsid w:val="511D4F0A"/>
    <w:rsid w:val="51737FD2"/>
    <w:rsid w:val="51A139DE"/>
    <w:rsid w:val="51C02109"/>
    <w:rsid w:val="52B14033"/>
    <w:rsid w:val="52CD2A88"/>
    <w:rsid w:val="53066F10"/>
    <w:rsid w:val="537B65F1"/>
    <w:rsid w:val="54077C82"/>
    <w:rsid w:val="540A6FD7"/>
    <w:rsid w:val="54992FD0"/>
    <w:rsid w:val="54A0435F"/>
    <w:rsid w:val="550D12C8"/>
    <w:rsid w:val="552C3B2A"/>
    <w:rsid w:val="558858FC"/>
    <w:rsid w:val="55B77E63"/>
    <w:rsid w:val="55BB7659"/>
    <w:rsid w:val="56725887"/>
    <w:rsid w:val="577F43E0"/>
    <w:rsid w:val="58C049C6"/>
    <w:rsid w:val="5A87399A"/>
    <w:rsid w:val="5A8761E7"/>
    <w:rsid w:val="5AE12FDB"/>
    <w:rsid w:val="5B6A6DBE"/>
    <w:rsid w:val="5BC66606"/>
    <w:rsid w:val="5C5664C0"/>
    <w:rsid w:val="5C67772A"/>
    <w:rsid w:val="5CEB54D3"/>
    <w:rsid w:val="5D782B8F"/>
    <w:rsid w:val="5DA30AC3"/>
    <w:rsid w:val="5E0A0A9B"/>
    <w:rsid w:val="5E9F6884"/>
    <w:rsid w:val="5EA057F2"/>
    <w:rsid w:val="5EA74EE6"/>
    <w:rsid w:val="5F495AA5"/>
    <w:rsid w:val="5F8D75CD"/>
    <w:rsid w:val="5FAA3468"/>
    <w:rsid w:val="60B64A83"/>
    <w:rsid w:val="60E31BDE"/>
    <w:rsid w:val="60E779E6"/>
    <w:rsid w:val="60F62458"/>
    <w:rsid w:val="6123020A"/>
    <w:rsid w:val="616902B2"/>
    <w:rsid w:val="61C86BD6"/>
    <w:rsid w:val="61D10518"/>
    <w:rsid w:val="628741D9"/>
    <w:rsid w:val="62BB47A1"/>
    <w:rsid w:val="63AE755C"/>
    <w:rsid w:val="64656A2B"/>
    <w:rsid w:val="64A75115"/>
    <w:rsid w:val="651971EC"/>
    <w:rsid w:val="6535464F"/>
    <w:rsid w:val="65A4210E"/>
    <w:rsid w:val="65DC4D93"/>
    <w:rsid w:val="66BE2D49"/>
    <w:rsid w:val="66D26108"/>
    <w:rsid w:val="67FB2F3F"/>
    <w:rsid w:val="68D02692"/>
    <w:rsid w:val="69140A20"/>
    <w:rsid w:val="6B4929D6"/>
    <w:rsid w:val="6B731224"/>
    <w:rsid w:val="6C0D0BA9"/>
    <w:rsid w:val="6D114E3F"/>
    <w:rsid w:val="6D4329C0"/>
    <w:rsid w:val="6D8D6018"/>
    <w:rsid w:val="6EE74B2A"/>
    <w:rsid w:val="700A3F9C"/>
    <w:rsid w:val="70657DB3"/>
    <w:rsid w:val="709E5E80"/>
    <w:rsid w:val="70E60EF4"/>
    <w:rsid w:val="71B70FB2"/>
    <w:rsid w:val="727F4921"/>
    <w:rsid w:val="72EB43D7"/>
    <w:rsid w:val="74107931"/>
    <w:rsid w:val="741E2752"/>
    <w:rsid w:val="742C7210"/>
    <w:rsid w:val="74C57072"/>
    <w:rsid w:val="756D7AD2"/>
    <w:rsid w:val="75952365"/>
    <w:rsid w:val="77844FC2"/>
    <w:rsid w:val="780D6A49"/>
    <w:rsid w:val="788864BF"/>
    <w:rsid w:val="78C24C04"/>
    <w:rsid w:val="78E535ED"/>
    <w:rsid w:val="7911323B"/>
    <w:rsid w:val="79917960"/>
    <w:rsid w:val="7A104032"/>
    <w:rsid w:val="7B370572"/>
    <w:rsid w:val="7B716839"/>
    <w:rsid w:val="7BEF73F9"/>
    <w:rsid w:val="7C640082"/>
    <w:rsid w:val="7C7C095E"/>
    <w:rsid w:val="7C8E695D"/>
    <w:rsid w:val="7CBE4AD3"/>
    <w:rsid w:val="7CFE7672"/>
    <w:rsid w:val="7DEE7639"/>
    <w:rsid w:val="7E4157BF"/>
    <w:rsid w:val="7E7C4C45"/>
    <w:rsid w:val="7E8B6289"/>
    <w:rsid w:val="7E924469"/>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3">
    <w:name w:val="heading 2"/>
    <w:basedOn w:val="1"/>
    <w:next w:val="1"/>
    <w:autoRedefine/>
    <w:qFormat/>
    <w:uiPriority w:val="1"/>
    <w:pPr>
      <w:ind w:left="2676"/>
      <w:outlineLvl w:val="2"/>
    </w:pPr>
    <w:rPr>
      <w:rFonts w:ascii="宋体" w:hAnsi="宋体" w:eastAsia="宋体" w:cs="宋体"/>
      <w:b/>
      <w:bCs/>
      <w:sz w:val="32"/>
      <w:szCs w:val="32"/>
      <w:lang w:val="zh-CN" w:eastAsia="zh-CN" w:bidi="zh-CN"/>
    </w:rPr>
  </w:style>
  <w:style w:type="paragraph" w:styleId="4">
    <w:name w:val="heading 3"/>
    <w:basedOn w:val="1"/>
    <w:next w:val="1"/>
    <w:autoRedefine/>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5">
    <w:name w:val="heading 4"/>
    <w:basedOn w:val="1"/>
    <w:next w:val="1"/>
    <w:autoRedefine/>
    <w:qFormat/>
    <w:uiPriority w:val="1"/>
    <w:pPr>
      <w:ind w:left="1309"/>
      <w:outlineLvl w:val="4"/>
    </w:pPr>
    <w:rPr>
      <w:rFonts w:ascii="宋体" w:hAnsi="宋体" w:eastAsia="宋体" w:cs="宋体"/>
      <w:b/>
      <w:bCs/>
      <w:sz w:val="24"/>
      <w:szCs w:val="24"/>
      <w:lang w:val="zh-CN" w:eastAsia="zh-CN" w:bidi="zh-CN"/>
    </w:rPr>
  </w:style>
  <w:style w:type="character" w:default="1" w:styleId="20">
    <w:name w:val="Default Paragraph Font"/>
    <w:autoRedefine/>
    <w:semiHidden/>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firstLineChars="200"/>
    </w:pPr>
    <w:rPr>
      <w:rFonts w:ascii="Calibri" w:hAnsi="Calibri"/>
      <w:kern w:val="0"/>
      <w:sz w:val="20"/>
      <w:szCs w:val="20"/>
    </w:rPr>
  </w:style>
  <w:style w:type="paragraph" w:styleId="7">
    <w:name w:val="toc 4"/>
    <w:basedOn w:val="1"/>
    <w:next w:val="1"/>
    <w:autoRedefine/>
    <w:unhideWhenUsed/>
    <w:qFormat/>
    <w:uiPriority w:val="39"/>
    <w:pPr>
      <w:ind w:left="1260" w:leftChars="600"/>
    </w:pPr>
  </w:style>
  <w:style w:type="paragraph" w:styleId="8">
    <w:name w:val="toa heading"/>
    <w:basedOn w:val="1"/>
    <w:next w:val="1"/>
    <w:autoRedefine/>
    <w:qFormat/>
    <w:uiPriority w:val="0"/>
    <w:pPr>
      <w:spacing w:before="120" w:beforeLines="0" w:beforeAutospacing="0"/>
    </w:pPr>
    <w:rPr>
      <w:rFonts w:ascii="Arial" w:hAnsi="Arial"/>
      <w:sz w:val="24"/>
    </w:rPr>
  </w:style>
  <w:style w:type="paragraph" w:styleId="9">
    <w:name w:val="Body Text"/>
    <w:basedOn w:val="1"/>
    <w:autoRedefine/>
    <w:qFormat/>
    <w:uiPriority w:val="1"/>
    <w:rPr>
      <w:rFonts w:ascii="宋体" w:hAnsi="宋体" w:eastAsia="宋体" w:cs="宋体"/>
      <w:sz w:val="24"/>
      <w:szCs w:val="24"/>
      <w:lang w:val="zh-CN" w:eastAsia="zh-CN" w:bidi="zh-CN"/>
    </w:rPr>
  </w:style>
  <w:style w:type="paragraph" w:styleId="10">
    <w:name w:val="Body Text Indent"/>
    <w:basedOn w:val="1"/>
    <w:autoRedefine/>
    <w:qFormat/>
    <w:uiPriority w:val="0"/>
    <w:pPr>
      <w:spacing w:after="120"/>
      <w:ind w:left="420" w:leftChars="200"/>
    </w:pPr>
  </w:style>
  <w:style w:type="paragraph" w:styleId="11">
    <w:name w:val="Plain Text"/>
    <w:basedOn w:val="1"/>
    <w:autoRedefine/>
    <w:qFormat/>
    <w:uiPriority w:val="0"/>
    <w:rPr>
      <w:rFonts w:ascii="宋体" w:hAnsi="Courier New"/>
      <w:szCs w:val="21"/>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autoRedefine/>
    <w:qFormat/>
    <w:uiPriority w:val="0"/>
    <w:pPr>
      <w:snapToGrid w:val="0"/>
      <w:jc w:val="left"/>
    </w:pPr>
    <w:rPr>
      <w:kern w:val="0"/>
      <w:sz w:val="18"/>
      <w:szCs w:val="20"/>
    </w:rPr>
  </w:style>
  <w:style w:type="paragraph" w:styleId="15">
    <w:name w:val="Body Text 2"/>
    <w:basedOn w:val="1"/>
    <w:autoRedefine/>
    <w:qFormat/>
    <w:uiPriority w:val="0"/>
    <w:rPr>
      <w:rFonts w:ascii="楷体_GB2312" w:hAnsi="Copperplate Gothic Bold" w:eastAsia="楷体_GB2312"/>
      <w:kern w:val="2"/>
      <w:sz w:val="28"/>
    </w:rPr>
  </w:style>
  <w:style w:type="paragraph" w:styleId="16">
    <w:name w:val="Normal (Web)"/>
    <w:basedOn w:val="1"/>
    <w:autoRedefine/>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7">
    <w:name w:val="Body Text First Indent 2"/>
    <w:basedOn w:val="10"/>
    <w:autoRedefine/>
    <w:unhideWhenUsed/>
    <w:qFormat/>
    <w:uiPriority w:val="0"/>
    <w:pPr>
      <w:widowControl/>
      <w:spacing w:after="0"/>
      <w:ind w:left="0" w:leftChars="0" w:firstLine="233" w:firstLineChars="233"/>
    </w:pPr>
    <w:rPr>
      <w:rFonts w:ascii="Calibri"/>
      <w:sz w:val="28"/>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autoRedefine/>
    <w:qFormat/>
    <w:uiPriority w:val="0"/>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qFormat/>
    <w:uiPriority w:val="99"/>
    <w:rPr>
      <w:color w:val="0000FF"/>
      <w:u w:val="none"/>
    </w:rPr>
  </w:style>
  <w:style w:type="character" w:styleId="28">
    <w:name w:val="HTML Code"/>
    <w:basedOn w:val="20"/>
    <w:qFormat/>
    <w:uiPriority w:val="0"/>
    <w:rPr>
      <w:rFonts w:hint="default"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paragraph" w:customStyle="1" w:styleId="32">
    <w:name w:val="正文缩进1"/>
    <w:basedOn w:val="1"/>
    <w:autoRedefine/>
    <w:qFormat/>
    <w:uiPriority w:val="0"/>
    <w:pPr>
      <w:ind w:firstLine="420" w:firstLineChars="200"/>
    </w:pPr>
  </w:style>
  <w:style w:type="table" w:customStyle="1" w:styleId="33">
    <w:name w:val="Table Normal"/>
    <w:autoRedefine/>
    <w:semiHidden/>
    <w:unhideWhenUsed/>
    <w:qFormat/>
    <w:uiPriority w:val="2"/>
    <w:tblPr>
      <w:tblCellMar>
        <w:top w:w="0" w:type="dxa"/>
        <w:left w:w="0" w:type="dxa"/>
        <w:bottom w:w="0" w:type="dxa"/>
        <w:right w:w="0" w:type="dxa"/>
      </w:tblCellMar>
    </w:tblPr>
  </w:style>
  <w:style w:type="paragraph" w:styleId="34">
    <w:name w:val="List Paragraph"/>
    <w:basedOn w:val="1"/>
    <w:autoRedefine/>
    <w:qFormat/>
    <w:uiPriority w:val="1"/>
    <w:pPr>
      <w:ind w:left="348" w:firstLine="480"/>
    </w:pPr>
    <w:rPr>
      <w:rFonts w:ascii="宋体" w:hAnsi="宋体" w:eastAsia="宋体" w:cs="宋体"/>
      <w:lang w:val="zh-CN" w:eastAsia="zh-CN" w:bidi="zh-CN"/>
    </w:rPr>
  </w:style>
  <w:style w:type="paragraph" w:customStyle="1" w:styleId="35">
    <w:name w:val="Table Paragraph"/>
    <w:basedOn w:val="1"/>
    <w:autoRedefine/>
    <w:qFormat/>
    <w:uiPriority w:val="1"/>
    <w:rPr>
      <w:rFonts w:ascii="宋体" w:hAnsi="宋体" w:eastAsia="宋体" w:cs="宋体"/>
      <w:lang w:val="zh-CN" w:eastAsia="zh-CN" w:bidi="zh-CN"/>
    </w:rPr>
  </w:style>
  <w:style w:type="paragraph" w:customStyle="1" w:styleId="36">
    <w:name w:val="列出段落"/>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7">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character" w:customStyle="1" w:styleId="38">
    <w:name w:val="articleitemtext1"/>
    <w:basedOn w:val="20"/>
    <w:qFormat/>
    <w:uiPriority w:val="0"/>
    <w:rPr>
      <w:color w:val="000000"/>
      <w:sz w:val="18"/>
      <w:szCs w:val="18"/>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character" w:customStyle="1" w:styleId="40">
    <w:name w:val="first-child"/>
    <w:basedOn w:val="20"/>
    <w:qFormat/>
    <w:uiPriority w:val="0"/>
  </w:style>
  <w:style w:type="character" w:customStyle="1" w:styleId="41">
    <w:name w:val="layui-layer-tabnow"/>
    <w:basedOn w:val="20"/>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20884</Words>
  <Characters>22733</Characters>
  <TotalTime>30</TotalTime>
  <ScaleCrop>false</ScaleCrop>
  <LinksUpToDate>false</LinksUpToDate>
  <CharactersWithSpaces>23086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蒋零壹</cp:lastModifiedBy>
  <cp:lastPrinted>2026-01-14T09:02:12Z</cp:lastPrinted>
  <dcterms:modified xsi:type="dcterms:W3CDTF">2026-01-14T09:10:59Z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2052-12.1.0.24034</vt:lpwstr>
  </property>
  <property fmtid="{D5CDD505-2E9C-101B-9397-08002B2CF9AE}" pid="6" name="ICV">
    <vt:lpwstr>630A16D1BA5E4D32805527F7BC9AD520_13</vt:lpwstr>
  </property>
  <property fmtid="{D5CDD505-2E9C-101B-9397-08002B2CF9AE}" pid="7" name="KSOTemplateDocerSaveRecord">
    <vt:lpwstr>eyJoZGlkIjoiM2FiYjY5NjliZjg1MDVlN2RmNGZmODFjYjU5M2ViNmQiLCJ1c2VySWQiOiIxNDQ1NjI5MzAyIn0=</vt:lpwstr>
  </property>
</Properties>
</file>