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341A">
      <w:pPr>
        <w:rPr>
          <w:rFonts w:hint="eastAsia" w:ascii="黑体" w:hAnsi="黑体" w:eastAsia="黑体" w:cs="黑体"/>
          <w:b/>
          <w:sz w:val="32"/>
          <w:lang w:eastAsia="zh-CN"/>
        </w:rPr>
      </w:pPr>
      <w:r>
        <w:rPr>
          <w:rFonts w:hint="eastAsia" w:ascii="黑体" w:hAnsi="黑体" w:eastAsia="黑体" w:cs="黑体"/>
          <w:b/>
          <w:sz w:val="32"/>
        </w:rPr>
        <w:t>入</w:t>
      </w:r>
      <w:r>
        <w:rPr>
          <w:rFonts w:hint="eastAsia" w:ascii="黑体" w:hAnsi="黑体" w:eastAsia="黑体" w:cs="黑体"/>
          <w:b/>
          <w:sz w:val="32"/>
          <w:highlight w:val="none"/>
        </w:rPr>
        <w:t>场登记号：</w:t>
      </w:r>
      <w:r>
        <w:rPr>
          <w:rFonts w:hint="eastAsia" w:ascii="黑体" w:hAnsi="黑体" w:eastAsia="黑体" w:cs="黑体"/>
          <w:b/>
          <w:sz w:val="32"/>
          <w:highlight w:val="none"/>
          <w:lang w:eastAsia="zh-CN"/>
        </w:rPr>
        <w:t>XX-2025-000520-B01</w:t>
      </w:r>
    </w:p>
    <w:p w14:paraId="18DAD6C3">
      <w:pPr>
        <w:rPr>
          <w:rFonts w:hint="eastAsia" w:ascii="黑体" w:hAnsi="黑体" w:eastAsia="黑体" w:cs="黑体"/>
          <w:highlight w:val="yellow"/>
        </w:rPr>
      </w:pPr>
      <w:r>
        <w:rPr>
          <w:rFonts w:hint="eastAsia" w:ascii="黑体" w:hAnsi="黑体" w:eastAsia="黑体" w:cs="黑体"/>
          <w:b/>
          <w:sz w:val="32"/>
          <w:szCs w:val="32"/>
        </w:rPr>
        <w:drawing>
          <wp:anchor distT="0" distB="0" distL="114300" distR="114300" simplePos="0" relativeHeight="251663360" behindDoc="1" locked="0" layoutInCell="1" allowOverlap="1">
            <wp:simplePos x="0" y="0"/>
            <wp:positionH relativeFrom="column">
              <wp:posOffset>5060950</wp:posOffset>
            </wp:positionH>
            <wp:positionV relativeFrom="paragraph">
              <wp:posOffset>-22860</wp:posOffset>
            </wp:positionV>
            <wp:extent cx="924560" cy="924560"/>
            <wp:effectExtent l="0" t="0" r="8890" b="8890"/>
            <wp:wrapTight wrapText="bothSides">
              <wp:wrapPolygon>
                <wp:start x="0" y="0"/>
                <wp:lineTo x="0" y="21363"/>
                <wp:lineTo x="21363" y="21363"/>
                <wp:lineTo x="21363" y="0"/>
                <wp:lineTo x="0" y="0"/>
              </wp:wrapPolygon>
            </wp:wrapTight>
            <wp:docPr id="18" name="图片 18" descr="ccd5466f42950f5e2203851c1b4eb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cd5466f42950f5e2203851c1b4eb49"/>
                    <pic:cNvPicPr>
                      <a:picLocks noChangeAspect="1"/>
                    </pic:cNvPicPr>
                  </pic:nvPicPr>
                  <pic:blipFill>
                    <a:blip r:embed="rId13"/>
                    <a:stretch>
                      <a:fillRect/>
                    </a:stretch>
                  </pic:blipFill>
                  <pic:spPr>
                    <a:xfrm>
                      <a:off x="0" y="0"/>
                      <a:ext cx="924560" cy="924560"/>
                    </a:xfrm>
                    <a:prstGeom prst="rect">
                      <a:avLst/>
                    </a:prstGeom>
                  </pic:spPr>
                </pic:pic>
              </a:graphicData>
            </a:graphic>
          </wp:anchor>
        </w:drawing>
      </w:r>
    </w:p>
    <w:p w14:paraId="405EFE9B">
      <w:pPr>
        <w:rPr>
          <w:rFonts w:hint="eastAsia" w:ascii="黑体" w:hAnsi="黑体" w:eastAsia="黑体" w:cs="黑体"/>
        </w:rPr>
      </w:pPr>
    </w:p>
    <w:p w14:paraId="25C8A2E5">
      <w:pPr>
        <w:keepNext/>
        <w:widowControl/>
        <w:numPr>
          <w:ilvl w:val="3"/>
          <w:numId w:val="0"/>
        </w:numPr>
        <w:tabs>
          <w:tab w:val="left" w:pos="864"/>
        </w:tabs>
        <w:ind w:left="1259"/>
        <w:rPr>
          <w:rFonts w:hint="eastAsia" w:ascii="黑体" w:hAnsi="黑体" w:eastAsia="黑体" w:cs="黑体"/>
        </w:rPr>
      </w:pPr>
    </w:p>
    <w:p w14:paraId="2D2BFD4F">
      <w:pPr>
        <w:keepNext/>
        <w:widowControl/>
        <w:numPr>
          <w:ilvl w:val="3"/>
          <w:numId w:val="0"/>
        </w:numPr>
        <w:tabs>
          <w:tab w:val="left" w:pos="864"/>
        </w:tabs>
        <w:ind w:left="1259"/>
        <w:rPr>
          <w:rFonts w:hint="eastAsia" w:ascii="黑体" w:hAnsi="黑体" w:eastAsia="黑体" w:cs="黑体"/>
        </w:rPr>
      </w:pPr>
    </w:p>
    <w:p w14:paraId="2255E8B1">
      <w:pPr>
        <w:spacing w:before="218" w:beforeLines="50" w:after="654" w:afterLines="150"/>
        <w:jc w:val="center"/>
        <w:rPr>
          <w:rFonts w:hint="eastAsia" w:ascii="黑体" w:hAnsi="黑体" w:eastAsia="黑体" w:cs="黑体"/>
          <w:b/>
          <w:sz w:val="52"/>
          <w:szCs w:val="52"/>
        </w:rPr>
      </w:pPr>
      <w:r>
        <w:rPr>
          <w:rFonts w:hint="eastAsia" w:ascii="黑体" w:hAnsi="黑体" w:eastAsia="黑体" w:cs="黑体"/>
          <w:b/>
          <w:sz w:val="52"/>
          <w:szCs w:val="52"/>
        </w:rPr>
        <w:t>西咸新区地震监测台网建设</w:t>
      </w:r>
    </w:p>
    <w:p w14:paraId="3F1D92AB">
      <w:pPr>
        <w:jc w:val="center"/>
        <w:rPr>
          <w:rFonts w:hint="eastAsia" w:ascii="黑体" w:hAnsi="黑体" w:eastAsia="黑体" w:cs="黑体"/>
          <w:b/>
          <w:sz w:val="28"/>
          <w:szCs w:val="28"/>
        </w:rPr>
      </w:pPr>
      <w:r>
        <w:rPr>
          <w:rFonts w:hint="eastAsia" w:ascii="黑体" w:hAnsi="黑体" w:eastAsia="黑体" w:cs="黑体"/>
          <w:b/>
          <w:sz w:val="28"/>
          <w:szCs w:val="28"/>
        </w:rPr>
        <w:t>项目编号：ZBY2025119</w:t>
      </w:r>
    </w:p>
    <w:p w14:paraId="09F03696">
      <w:pPr>
        <w:pStyle w:val="19"/>
        <w:ind w:left="0" w:leftChars="0" w:firstLine="0" w:firstLineChars="0"/>
        <w:rPr>
          <w:rFonts w:hint="eastAsia" w:ascii="黑体" w:hAnsi="黑体" w:eastAsia="黑体" w:cs="黑体"/>
        </w:rPr>
      </w:pPr>
    </w:p>
    <w:p w14:paraId="4FA837A0">
      <w:pPr>
        <w:pStyle w:val="8"/>
        <w:rPr>
          <w:rFonts w:hint="eastAsia" w:ascii="黑体" w:hAnsi="黑体" w:eastAsia="黑体" w:cs="黑体"/>
        </w:rPr>
      </w:pPr>
      <w:r>
        <w:rPr>
          <w:rFonts w:hint="eastAsia" w:ascii="黑体" w:hAnsi="黑体" w:eastAsia="黑体" w:cs="黑体"/>
        </w:rPr>
        <w:t xml:space="preserve"> </w:t>
      </w:r>
    </w:p>
    <w:p w14:paraId="574D4DDC">
      <w:pPr>
        <w:rPr>
          <w:rFonts w:hint="eastAsia" w:ascii="黑体" w:hAnsi="黑体" w:eastAsia="黑体" w:cs="黑体"/>
        </w:rPr>
      </w:pPr>
    </w:p>
    <w:p w14:paraId="1B6C4E95">
      <w:pPr>
        <w:widowControl/>
        <w:autoSpaceDE w:val="0"/>
        <w:autoSpaceDN w:val="0"/>
        <w:spacing w:line="360" w:lineRule="auto"/>
        <w:jc w:val="center"/>
        <w:textAlignment w:val="bottom"/>
        <w:outlineLvl w:val="1"/>
        <w:rPr>
          <w:rFonts w:hint="eastAsia" w:ascii="黑体" w:hAnsi="黑体" w:eastAsia="黑体" w:cs="黑体"/>
          <w:b/>
          <w:sz w:val="72"/>
          <w:szCs w:val="72"/>
        </w:rPr>
      </w:pPr>
      <w:bookmarkStart w:id="0" w:name="_Toc26061"/>
      <w:bookmarkStart w:id="1" w:name="_Toc11694"/>
      <w:bookmarkStart w:id="2" w:name="_Toc2655"/>
      <w:bookmarkStart w:id="3" w:name="_Toc21576"/>
      <w:bookmarkStart w:id="4" w:name="_Toc9952"/>
      <w:bookmarkStart w:id="5" w:name="_Toc8376"/>
      <w:bookmarkStart w:id="6" w:name="_Toc17475"/>
      <w:bookmarkStart w:id="7" w:name="_Toc13620"/>
      <w:r>
        <w:rPr>
          <w:rFonts w:hint="eastAsia" w:ascii="黑体" w:hAnsi="黑体" w:eastAsia="黑体" w:cs="黑体"/>
          <w:b/>
          <w:sz w:val="72"/>
          <w:szCs w:val="72"/>
        </w:rPr>
        <w:t>招 标 文 件</w:t>
      </w:r>
      <w:bookmarkEnd w:id="0"/>
      <w:bookmarkEnd w:id="1"/>
      <w:bookmarkEnd w:id="2"/>
      <w:bookmarkEnd w:id="3"/>
      <w:bookmarkEnd w:id="4"/>
      <w:bookmarkEnd w:id="5"/>
      <w:bookmarkEnd w:id="6"/>
      <w:bookmarkEnd w:id="7"/>
    </w:p>
    <w:p w14:paraId="574C006D">
      <w:pPr>
        <w:widowControl/>
        <w:autoSpaceDE w:val="0"/>
        <w:autoSpaceDN w:val="0"/>
        <w:spacing w:line="360" w:lineRule="auto"/>
        <w:textAlignment w:val="bottom"/>
        <w:rPr>
          <w:rFonts w:hint="eastAsia" w:ascii="黑体" w:hAnsi="黑体" w:eastAsia="黑体" w:cs="黑体"/>
          <w:b/>
          <w:sz w:val="32"/>
          <w:szCs w:val="32"/>
        </w:rPr>
      </w:pPr>
    </w:p>
    <w:p w14:paraId="1867FD4F">
      <w:pPr>
        <w:pStyle w:val="8"/>
        <w:rPr>
          <w:rFonts w:hint="eastAsia" w:ascii="黑体" w:hAnsi="黑体" w:eastAsia="黑体" w:cs="黑体"/>
        </w:rPr>
      </w:pPr>
    </w:p>
    <w:p w14:paraId="1B72FCB0">
      <w:pPr>
        <w:keepNext/>
        <w:widowControl/>
        <w:numPr>
          <w:ilvl w:val="3"/>
          <w:numId w:val="0"/>
        </w:numPr>
        <w:tabs>
          <w:tab w:val="left" w:pos="864"/>
        </w:tabs>
        <w:ind w:left="1259"/>
        <w:rPr>
          <w:rFonts w:hint="eastAsia" w:ascii="黑体" w:hAnsi="黑体" w:eastAsia="黑体" w:cs="黑体"/>
        </w:rPr>
      </w:pPr>
    </w:p>
    <w:p w14:paraId="6935816C">
      <w:pPr>
        <w:rPr>
          <w:rFonts w:hint="eastAsia" w:ascii="黑体" w:hAnsi="黑体" w:eastAsia="黑体" w:cs="黑体"/>
        </w:rPr>
      </w:pPr>
    </w:p>
    <w:p w14:paraId="7CE38611">
      <w:pPr>
        <w:pStyle w:val="39"/>
        <w:spacing w:before="87"/>
        <w:jc w:val="both"/>
        <w:rPr>
          <w:rFonts w:hint="eastAsia" w:ascii="黑体" w:hAnsi="黑体" w:eastAsia="黑体" w:cs="黑体"/>
        </w:rPr>
      </w:pPr>
    </w:p>
    <w:p w14:paraId="7FD4C604">
      <w:pPr>
        <w:pStyle w:val="39"/>
        <w:spacing w:before="87"/>
        <w:jc w:val="both"/>
        <w:rPr>
          <w:rFonts w:hint="eastAsia" w:ascii="黑体" w:hAnsi="黑体" w:eastAsia="黑体" w:cs="黑体"/>
        </w:rPr>
      </w:pPr>
    </w:p>
    <w:p w14:paraId="2D71F08B">
      <w:pPr>
        <w:spacing w:line="360" w:lineRule="auto"/>
        <w:ind w:left="480" w:leftChars="200" w:firstLine="1405" w:firstLineChars="500"/>
        <w:jc w:val="left"/>
        <w:rPr>
          <w:rFonts w:hint="eastAsia" w:ascii="黑体" w:hAnsi="黑体" w:eastAsia="黑体" w:cs="黑体"/>
          <w:b/>
          <w:sz w:val="28"/>
          <w:szCs w:val="28"/>
        </w:rPr>
      </w:pPr>
      <w:r>
        <w:rPr>
          <w:rFonts w:hint="eastAsia" w:ascii="黑体" w:hAnsi="黑体" w:eastAsia="黑体" w:cs="黑体"/>
          <w:b/>
          <w:sz w:val="28"/>
          <w:szCs w:val="28"/>
        </w:rPr>
        <w:t>采   购   人：陕西省西咸新区应急管理局</w:t>
      </w:r>
    </w:p>
    <w:p w14:paraId="561E67CC">
      <w:pPr>
        <w:spacing w:line="360" w:lineRule="auto"/>
        <w:ind w:left="480" w:leftChars="200" w:firstLine="1405" w:firstLineChars="500"/>
        <w:jc w:val="left"/>
        <w:rPr>
          <w:rFonts w:hint="eastAsia" w:ascii="黑体" w:hAnsi="黑体" w:eastAsia="黑体" w:cs="黑体"/>
          <w:b/>
          <w:sz w:val="32"/>
          <w:szCs w:val="32"/>
        </w:rPr>
      </w:pPr>
      <w:r>
        <w:rPr>
          <w:rFonts w:hint="eastAsia" w:ascii="黑体" w:hAnsi="黑体" w:eastAsia="黑体" w:cs="黑体"/>
          <w:b/>
          <w:sz w:val="28"/>
          <w:szCs w:val="28"/>
        </w:rPr>
        <w:t>采购代理机构：西安中保研招标有限公司</w:t>
      </w:r>
    </w:p>
    <w:p w14:paraId="6497AD21">
      <w:pPr>
        <w:spacing w:line="360" w:lineRule="exact"/>
        <w:jc w:val="center"/>
        <w:rPr>
          <w:rFonts w:hint="eastAsia" w:ascii="黑体" w:hAnsi="黑体" w:eastAsia="黑体" w:cs="黑体"/>
          <w:b/>
          <w:sz w:val="32"/>
          <w:szCs w:val="32"/>
        </w:rPr>
      </w:pPr>
    </w:p>
    <w:p w14:paraId="65A6BD4F">
      <w:pPr>
        <w:spacing w:line="360" w:lineRule="auto"/>
        <w:ind w:firstLine="3654" w:firstLineChars="1300"/>
        <w:rPr>
          <w:rFonts w:hint="eastAsia" w:ascii="黑体" w:hAnsi="黑体" w:eastAsia="黑体" w:cs="黑体"/>
          <w:b/>
          <w:sz w:val="28"/>
          <w:szCs w:val="28"/>
        </w:rPr>
        <w:sectPr>
          <w:footerReference r:id="rId4" w:type="default"/>
          <w:headerReference r:id="rId3" w:type="even"/>
          <w:footerReference r:id="rId5" w:type="even"/>
          <w:pgSz w:w="11905" w:h="16838"/>
          <w:pgMar w:top="1417" w:right="1247" w:bottom="1474" w:left="1247" w:header="850" w:footer="992" w:gutter="0"/>
          <w:pgNumType w:start="1"/>
          <w:cols w:space="0" w:num="1"/>
          <w:docGrid w:type="lines" w:linePitch="436" w:charSpace="0"/>
        </w:sectPr>
      </w:pPr>
      <w:r>
        <w:rPr>
          <w:rFonts w:hint="eastAsia" w:ascii="黑体" w:hAnsi="黑体" w:eastAsia="黑体" w:cs="黑体"/>
          <w:b/>
          <w:sz w:val="28"/>
          <w:szCs w:val="28"/>
        </w:rPr>
        <w:t>202</w:t>
      </w:r>
      <w:r>
        <w:rPr>
          <w:rFonts w:hint="eastAsia" w:ascii="黑体" w:hAnsi="黑体" w:eastAsia="黑体" w:cs="黑体"/>
          <w:b/>
          <w:sz w:val="28"/>
          <w:szCs w:val="28"/>
          <w:lang w:val="en-US" w:eastAsia="zh-CN"/>
        </w:rPr>
        <w:t>5</w:t>
      </w:r>
      <w:r>
        <w:rPr>
          <w:rFonts w:hint="eastAsia" w:ascii="黑体" w:hAnsi="黑体" w:eastAsia="黑体" w:cs="黑体"/>
          <w:b/>
          <w:sz w:val="28"/>
          <w:szCs w:val="28"/>
        </w:rPr>
        <w:t>年</w:t>
      </w:r>
      <w:r>
        <w:rPr>
          <w:rFonts w:hint="eastAsia" w:ascii="黑体" w:hAnsi="黑体" w:eastAsia="黑体" w:cs="黑体"/>
          <w:b/>
          <w:sz w:val="28"/>
          <w:szCs w:val="28"/>
          <w:lang w:val="en-US" w:eastAsia="zh-CN"/>
        </w:rPr>
        <w:t>12</w:t>
      </w:r>
      <w:r>
        <w:rPr>
          <w:rFonts w:hint="eastAsia" w:ascii="黑体" w:hAnsi="黑体" w:eastAsia="黑体" w:cs="黑体"/>
          <w:b/>
          <w:sz w:val="28"/>
          <w:szCs w:val="28"/>
        </w:rPr>
        <w:t>月</w:t>
      </w:r>
    </w:p>
    <w:p w14:paraId="314C6981">
      <w:pPr>
        <w:pStyle w:val="14"/>
        <w:tabs>
          <w:tab w:val="right" w:leader="dot" w:pos="9072"/>
          <w:tab w:val="clear" w:pos="8948"/>
        </w:tabs>
        <w:spacing w:line="360" w:lineRule="auto"/>
        <w:rPr>
          <w:rFonts w:hint="eastAsia" w:cs="黑体"/>
          <w:sz w:val="19"/>
          <w:szCs w:val="19"/>
        </w:rPr>
      </w:pPr>
      <w:bookmarkStart w:id="8" w:name="_Toc738"/>
      <w:bookmarkStart w:id="9" w:name="_Toc21268"/>
      <w:bookmarkStart w:id="10" w:name="_Toc10177"/>
      <w:bookmarkStart w:id="11" w:name="_Toc10563088"/>
      <w:bookmarkStart w:id="12" w:name="_Toc12377613"/>
      <w:bookmarkStart w:id="13" w:name="_Toc25152"/>
      <w:bookmarkStart w:id="14" w:name="_Toc10621831"/>
      <w:bookmarkStart w:id="15" w:name="_Toc10563629"/>
      <w:bookmarkStart w:id="16" w:name="_Toc504605084"/>
      <w:bookmarkStart w:id="17" w:name="_Toc511316278"/>
      <w:r>
        <w:rPr>
          <w:rFonts w:hint="eastAsia" w:cs="黑体"/>
          <w:bCs/>
          <w:color w:val="000000" w:themeColor="text1"/>
          <w14:textFill>
            <w14:solidFill>
              <w14:schemeClr w14:val="tx1"/>
            </w14:solidFill>
          </w14:textFill>
        </w:rPr>
        <w:t>目 录</w:t>
      </w:r>
      <w:bookmarkEnd w:id="8"/>
      <w:bookmarkEnd w:id="9"/>
      <w:r>
        <w:rPr>
          <w:rFonts w:hint="eastAsia" w:cs="黑体"/>
          <w:sz w:val="19"/>
          <w:szCs w:val="19"/>
        </w:rPr>
        <w:fldChar w:fldCharType="begin"/>
      </w:r>
      <w:r>
        <w:rPr>
          <w:rFonts w:hint="eastAsia" w:cs="黑体"/>
          <w:sz w:val="19"/>
          <w:szCs w:val="19"/>
        </w:rPr>
        <w:instrText xml:space="preserve">TOC \o "1-2" \h \u </w:instrText>
      </w:r>
      <w:r>
        <w:rPr>
          <w:rFonts w:hint="eastAsia" w:cs="黑体"/>
          <w:sz w:val="19"/>
          <w:szCs w:val="19"/>
        </w:rPr>
        <w:fldChar w:fldCharType="separate"/>
      </w:r>
    </w:p>
    <w:p w14:paraId="2480C802">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"_Toc89" </w:instrText>
      </w:r>
      <w:r>
        <w:fldChar w:fldCharType="separate"/>
      </w:r>
      <w:r>
        <w:rPr>
          <w:rFonts w:hint="eastAsia" w:ascii="黑体" w:hAnsi="黑体" w:eastAsia="黑体" w:cs="黑体"/>
          <w:sz w:val="19"/>
          <w:szCs w:val="19"/>
        </w:rPr>
        <w:t>第一章 招标公告</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_Toc89 \h </w:instrText>
      </w:r>
      <w:r>
        <w:rPr>
          <w:rFonts w:hint="eastAsia" w:ascii="黑体" w:hAnsi="黑体" w:eastAsia="黑体" w:cs="黑体"/>
          <w:sz w:val="19"/>
          <w:szCs w:val="19"/>
        </w:rPr>
        <w:fldChar w:fldCharType="separate"/>
      </w:r>
      <w:r>
        <w:rPr>
          <w:rFonts w:hint="eastAsia" w:ascii="黑体" w:hAnsi="黑体" w:eastAsia="黑体" w:cs="黑体"/>
          <w:sz w:val="19"/>
          <w:szCs w:val="19"/>
        </w:rPr>
        <w:t>- 2 -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24D5E30E">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"_Toc22654" </w:instrText>
      </w:r>
      <w:r>
        <w:fldChar w:fldCharType="separate"/>
      </w:r>
      <w:r>
        <w:rPr>
          <w:rFonts w:hint="eastAsia" w:ascii="黑体" w:hAnsi="黑体" w:eastAsia="黑体" w:cs="黑体"/>
          <w:sz w:val="19"/>
          <w:szCs w:val="19"/>
        </w:rPr>
        <w:t>第二章 投标人须知</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_Toc22654 \h </w:instrText>
      </w:r>
      <w:r>
        <w:rPr>
          <w:rFonts w:hint="eastAsia" w:ascii="黑体" w:hAnsi="黑体" w:eastAsia="黑体" w:cs="黑体"/>
          <w:sz w:val="19"/>
          <w:szCs w:val="19"/>
        </w:rPr>
        <w:fldChar w:fldCharType="separate"/>
      </w:r>
      <w:r>
        <w:rPr>
          <w:rFonts w:hint="eastAsia" w:ascii="黑体" w:hAnsi="黑体" w:eastAsia="黑体" w:cs="黑体"/>
          <w:sz w:val="19"/>
          <w:szCs w:val="19"/>
        </w:rPr>
        <w:t>- 6 -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6B97B526">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"_Toc10377" </w:instrText>
      </w:r>
      <w:r>
        <w:fldChar w:fldCharType="separate"/>
      </w:r>
      <w:r>
        <w:rPr>
          <w:rFonts w:hint="eastAsia" w:ascii="黑体" w:hAnsi="黑体" w:eastAsia="黑体" w:cs="黑体"/>
          <w:sz w:val="19"/>
          <w:szCs w:val="19"/>
        </w:rPr>
        <w:t>投标人须知前附表</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_Toc10377 \h </w:instrText>
      </w:r>
      <w:r>
        <w:rPr>
          <w:rFonts w:hint="eastAsia" w:ascii="黑体" w:hAnsi="黑体" w:eastAsia="黑体" w:cs="黑体"/>
          <w:sz w:val="19"/>
          <w:szCs w:val="19"/>
        </w:rPr>
        <w:fldChar w:fldCharType="separate"/>
      </w:r>
      <w:r>
        <w:rPr>
          <w:rFonts w:hint="eastAsia" w:ascii="黑体" w:hAnsi="黑体" w:eastAsia="黑体" w:cs="黑体"/>
          <w:sz w:val="19"/>
          <w:szCs w:val="19"/>
        </w:rPr>
        <w:t>- 6 -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6B1E4C16">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"_Toc23272" </w:instrText>
      </w:r>
      <w:r>
        <w:fldChar w:fldCharType="separate"/>
      </w:r>
      <w:r>
        <w:rPr>
          <w:rFonts w:hint="eastAsia" w:ascii="黑体" w:hAnsi="黑体" w:eastAsia="黑体" w:cs="黑体"/>
          <w:sz w:val="19"/>
          <w:szCs w:val="19"/>
        </w:rPr>
        <w:t>投标人须知正文</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_Toc23272 \h </w:instrText>
      </w:r>
      <w:r>
        <w:rPr>
          <w:rFonts w:hint="eastAsia" w:ascii="黑体" w:hAnsi="黑体" w:eastAsia="黑体" w:cs="黑体"/>
          <w:sz w:val="19"/>
          <w:szCs w:val="19"/>
        </w:rPr>
        <w:fldChar w:fldCharType="separate"/>
      </w:r>
      <w:r>
        <w:rPr>
          <w:rFonts w:hint="eastAsia" w:ascii="黑体" w:hAnsi="黑体" w:eastAsia="黑体" w:cs="黑体"/>
          <w:sz w:val="19"/>
          <w:szCs w:val="19"/>
        </w:rPr>
        <w:t>- 12 -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4A077977">
      <w:pPr>
        <w:pStyle w:val="14"/>
        <w:tabs>
          <w:tab w:val="right" w:leader="dot" w:pos="9411"/>
          <w:tab w:val="clear" w:pos="8948"/>
        </w:tabs>
        <w:spacing w:line="360" w:lineRule="auto"/>
        <w:rPr>
          <w:rFonts w:hint="eastAsia" w:cs="黑体"/>
          <w:b w:val="0"/>
          <w:sz w:val="19"/>
          <w:szCs w:val="19"/>
        </w:rPr>
      </w:pPr>
      <w:r>
        <w:fldChar w:fldCharType="begin"/>
      </w:r>
      <w:r>
        <w:instrText xml:space="preserve"> HYPERLINK \l "_Toc6262" </w:instrText>
      </w:r>
      <w:r>
        <w:fldChar w:fldCharType="separate"/>
      </w:r>
      <w:r>
        <w:rPr>
          <w:rFonts w:hint="eastAsia" w:cs="黑体"/>
          <w:b w:val="0"/>
          <w:sz w:val="19"/>
          <w:szCs w:val="19"/>
        </w:rPr>
        <w:t>第三章 采购需求</w:t>
      </w:r>
      <w:r>
        <w:rPr>
          <w:rFonts w:hint="eastAsia" w:cs="黑体"/>
          <w:b w:val="0"/>
          <w:sz w:val="19"/>
          <w:szCs w:val="19"/>
        </w:rPr>
        <w:tab/>
      </w:r>
      <w:r>
        <w:rPr>
          <w:rFonts w:hint="eastAsia" w:cs="黑体"/>
          <w:b w:val="0"/>
          <w:sz w:val="19"/>
          <w:szCs w:val="19"/>
        </w:rPr>
        <w:fldChar w:fldCharType="begin"/>
      </w:r>
      <w:r>
        <w:rPr>
          <w:rFonts w:hint="eastAsia" w:cs="黑体"/>
          <w:b w:val="0"/>
          <w:sz w:val="19"/>
          <w:szCs w:val="19"/>
        </w:rPr>
        <w:instrText xml:space="preserve"> PAGEREF _Toc6262 \h </w:instrText>
      </w:r>
      <w:r>
        <w:rPr>
          <w:rFonts w:hint="eastAsia" w:cs="黑体"/>
          <w:b w:val="0"/>
          <w:sz w:val="19"/>
          <w:szCs w:val="19"/>
        </w:rPr>
        <w:fldChar w:fldCharType="separate"/>
      </w:r>
      <w:r>
        <w:rPr>
          <w:rFonts w:hint="eastAsia" w:cs="黑体"/>
          <w:b w:val="0"/>
          <w:sz w:val="19"/>
          <w:szCs w:val="19"/>
        </w:rPr>
        <w:t>- 22 -</w:t>
      </w:r>
      <w:r>
        <w:rPr>
          <w:rFonts w:hint="eastAsia" w:cs="黑体"/>
          <w:b w:val="0"/>
          <w:sz w:val="19"/>
          <w:szCs w:val="19"/>
        </w:rPr>
        <w:fldChar w:fldCharType="end"/>
      </w:r>
      <w:r>
        <w:rPr>
          <w:rFonts w:hint="eastAsia" w:cs="黑体"/>
          <w:b w:val="0"/>
          <w:sz w:val="19"/>
          <w:szCs w:val="19"/>
        </w:rPr>
        <w:fldChar w:fldCharType="end"/>
      </w:r>
    </w:p>
    <w:p w14:paraId="7BE6A5BF">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"_Toc1442" </w:instrText>
      </w:r>
      <w:r>
        <w:fldChar w:fldCharType="separate"/>
      </w:r>
      <w:r>
        <w:rPr>
          <w:rFonts w:hint="eastAsia" w:ascii="黑体" w:hAnsi="黑体" w:eastAsia="黑体" w:cs="黑体"/>
          <w:sz w:val="19"/>
          <w:szCs w:val="19"/>
        </w:rPr>
        <w:t>第四章 资格审查</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_Toc1442 \h </w:instrText>
      </w:r>
      <w:r>
        <w:rPr>
          <w:rFonts w:hint="eastAsia" w:ascii="黑体" w:hAnsi="黑体" w:eastAsia="黑体" w:cs="黑体"/>
          <w:sz w:val="19"/>
          <w:szCs w:val="19"/>
        </w:rPr>
        <w:fldChar w:fldCharType="separate"/>
      </w:r>
      <w:r>
        <w:rPr>
          <w:rFonts w:hint="eastAsia" w:ascii="黑体" w:hAnsi="黑体" w:eastAsia="黑体" w:cs="黑体"/>
          <w:sz w:val="19"/>
          <w:szCs w:val="19"/>
        </w:rPr>
        <w:t>- 35 -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50F6DBAF">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"_Toc6401" </w:instrText>
      </w:r>
      <w:r>
        <w:fldChar w:fldCharType="separate"/>
      </w:r>
      <w:r>
        <w:rPr>
          <w:rFonts w:hint="eastAsia" w:ascii="黑体" w:hAnsi="黑体" w:eastAsia="黑体" w:cs="黑体"/>
          <w:sz w:val="19"/>
          <w:szCs w:val="19"/>
        </w:rPr>
        <w:t>第五章 评标办法</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_Toc6401 \h </w:instrText>
      </w:r>
      <w:r>
        <w:rPr>
          <w:rFonts w:hint="eastAsia" w:ascii="黑体" w:hAnsi="黑体" w:eastAsia="黑体" w:cs="黑体"/>
          <w:sz w:val="19"/>
          <w:szCs w:val="19"/>
        </w:rPr>
        <w:fldChar w:fldCharType="separate"/>
      </w:r>
      <w:r>
        <w:rPr>
          <w:rFonts w:hint="eastAsia" w:ascii="黑体" w:hAnsi="黑体" w:eastAsia="黑体" w:cs="黑体"/>
          <w:sz w:val="19"/>
          <w:szCs w:val="19"/>
        </w:rPr>
        <w:t>- 36 -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2DD80282">
      <w:pPr>
        <w:pStyle w:val="14"/>
        <w:tabs>
          <w:tab w:val="right" w:leader="dot" w:pos="9411"/>
          <w:tab w:val="clear" w:pos="8948"/>
        </w:tabs>
        <w:spacing w:line="360" w:lineRule="auto"/>
        <w:rPr>
          <w:rFonts w:hint="eastAsia" w:cs="黑体"/>
          <w:b w:val="0"/>
          <w:sz w:val="19"/>
          <w:szCs w:val="19"/>
        </w:rPr>
      </w:pPr>
      <w:r>
        <w:fldChar w:fldCharType="begin"/>
      </w:r>
      <w:r>
        <w:instrText xml:space="preserve"> HYPERLINK \l "_Toc6068" </w:instrText>
      </w:r>
      <w:r>
        <w:fldChar w:fldCharType="separate"/>
      </w:r>
      <w:r>
        <w:rPr>
          <w:rFonts w:hint="eastAsia" w:cs="黑体"/>
          <w:b w:val="0"/>
          <w:sz w:val="19"/>
          <w:szCs w:val="19"/>
        </w:rPr>
        <w:t>符合性审查标准见下表：</w:t>
      </w:r>
      <w:r>
        <w:rPr>
          <w:rFonts w:hint="eastAsia" w:cs="黑体"/>
          <w:b w:val="0"/>
          <w:sz w:val="19"/>
          <w:szCs w:val="19"/>
        </w:rPr>
        <w:tab/>
      </w:r>
      <w:r>
        <w:rPr>
          <w:rFonts w:hint="eastAsia" w:cs="黑体"/>
          <w:b w:val="0"/>
          <w:sz w:val="19"/>
          <w:szCs w:val="19"/>
        </w:rPr>
        <w:fldChar w:fldCharType="begin"/>
      </w:r>
      <w:r>
        <w:rPr>
          <w:rFonts w:hint="eastAsia" w:cs="黑体"/>
          <w:b w:val="0"/>
          <w:sz w:val="19"/>
          <w:szCs w:val="19"/>
        </w:rPr>
        <w:instrText xml:space="preserve"> PAGEREF _Toc6068 \h </w:instrText>
      </w:r>
      <w:r>
        <w:rPr>
          <w:rFonts w:hint="eastAsia" w:cs="黑体"/>
          <w:b w:val="0"/>
          <w:sz w:val="19"/>
          <w:szCs w:val="19"/>
        </w:rPr>
        <w:fldChar w:fldCharType="separate"/>
      </w:r>
      <w:r>
        <w:rPr>
          <w:rFonts w:hint="eastAsia" w:cs="黑体"/>
          <w:b w:val="0"/>
          <w:sz w:val="19"/>
          <w:szCs w:val="19"/>
        </w:rPr>
        <w:t>- 39 -</w:t>
      </w:r>
      <w:r>
        <w:rPr>
          <w:rFonts w:hint="eastAsia" w:cs="黑体"/>
          <w:b w:val="0"/>
          <w:sz w:val="19"/>
          <w:szCs w:val="19"/>
        </w:rPr>
        <w:fldChar w:fldCharType="end"/>
      </w:r>
      <w:r>
        <w:rPr>
          <w:rFonts w:hint="eastAsia" w:cs="黑体"/>
          <w:b w:val="0"/>
          <w:sz w:val="19"/>
          <w:szCs w:val="19"/>
        </w:rPr>
        <w:fldChar w:fldCharType="end"/>
      </w:r>
    </w:p>
    <w:p w14:paraId="2553FDF3">
      <w:pPr>
        <w:pStyle w:val="14"/>
        <w:tabs>
          <w:tab w:val="right" w:leader="dot" w:pos="9411"/>
          <w:tab w:val="clear" w:pos="8948"/>
        </w:tabs>
        <w:spacing w:line="360" w:lineRule="auto"/>
        <w:rPr>
          <w:rFonts w:hint="eastAsia" w:cs="黑体"/>
          <w:b w:val="0"/>
          <w:sz w:val="19"/>
          <w:szCs w:val="19"/>
        </w:rPr>
      </w:pPr>
      <w:r>
        <w:fldChar w:fldCharType="begin"/>
      </w:r>
      <w:r>
        <w:instrText xml:space="preserve"> HYPERLINK \l "_Toc21974" </w:instrText>
      </w:r>
      <w:r>
        <w:fldChar w:fldCharType="separate"/>
      </w:r>
      <w:r>
        <w:rPr>
          <w:rFonts w:hint="eastAsia" w:cs="黑体"/>
          <w:b w:val="0"/>
          <w:sz w:val="19"/>
          <w:szCs w:val="19"/>
        </w:rPr>
        <w:t>评审要素及分值一览表</w:t>
      </w:r>
      <w:r>
        <w:rPr>
          <w:rFonts w:hint="eastAsia" w:cs="黑体"/>
          <w:b w:val="0"/>
          <w:sz w:val="19"/>
          <w:szCs w:val="19"/>
        </w:rPr>
        <w:tab/>
      </w:r>
      <w:r>
        <w:rPr>
          <w:rFonts w:hint="eastAsia" w:cs="黑体"/>
          <w:b w:val="0"/>
          <w:sz w:val="19"/>
          <w:szCs w:val="19"/>
        </w:rPr>
        <w:fldChar w:fldCharType="begin"/>
      </w:r>
      <w:r>
        <w:rPr>
          <w:rFonts w:hint="eastAsia" w:cs="黑体"/>
          <w:b w:val="0"/>
          <w:sz w:val="19"/>
          <w:szCs w:val="19"/>
        </w:rPr>
        <w:instrText xml:space="preserve"> PAGEREF _Toc21974 \h </w:instrText>
      </w:r>
      <w:r>
        <w:rPr>
          <w:rFonts w:hint="eastAsia" w:cs="黑体"/>
          <w:b w:val="0"/>
          <w:sz w:val="19"/>
          <w:szCs w:val="19"/>
        </w:rPr>
        <w:fldChar w:fldCharType="separate"/>
      </w:r>
      <w:r>
        <w:rPr>
          <w:rFonts w:hint="eastAsia" w:cs="黑体"/>
          <w:b w:val="0"/>
          <w:sz w:val="19"/>
          <w:szCs w:val="19"/>
        </w:rPr>
        <w:t>- 42 -</w:t>
      </w:r>
      <w:r>
        <w:rPr>
          <w:rFonts w:hint="eastAsia" w:cs="黑体"/>
          <w:b w:val="0"/>
          <w:sz w:val="19"/>
          <w:szCs w:val="19"/>
        </w:rPr>
        <w:fldChar w:fldCharType="end"/>
      </w:r>
      <w:r>
        <w:rPr>
          <w:rFonts w:hint="eastAsia" w:cs="黑体"/>
          <w:b w:val="0"/>
          <w:sz w:val="19"/>
          <w:szCs w:val="19"/>
        </w:rPr>
        <w:fldChar w:fldCharType="end"/>
      </w:r>
    </w:p>
    <w:p w14:paraId="2643FF69">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"_Toc32431" </w:instrText>
      </w:r>
      <w:r>
        <w:fldChar w:fldCharType="separate"/>
      </w:r>
      <w:r>
        <w:rPr>
          <w:rFonts w:hint="eastAsia" w:ascii="黑体" w:hAnsi="黑体" w:eastAsia="黑体" w:cs="黑体"/>
          <w:sz w:val="19"/>
          <w:szCs w:val="19"/>
        </w:rPr>
        <w:t>第六章 拟签订的合同文本</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_Toc32431 \h </w:instrText>
      </w:r>
      <w:r>
        <w:rPr>
          <w:rFonts w:hint="eastAsia" w:ascii="黑体" w:hAnsi="黑体" w:eastAsia="黑体" w:cs="黑体"/>
          <w:sz w:val="19"/>
          <w:szCs w:val="19"/>
        </w:rPr>
        <w:fldChar w:fldCharType="separate"/>
      </w:r>
      <w:r>
        <w:rPr>
          <w:rFonts w:hint="eastAsia" w:ascii="黑体" w:hAnsi="黑体" w:eastAsia="黑体" w:cs="黑体"/>
          <w:sz w:val="19"/>
          <w:szCs w:val="19"/>
        </w:rPr>
        <w:t>- 48 -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5221D69D">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"_Toc25757" </w:instrText>
      </w:r>
      <w:r>
        <w:fldChar w:fldCharType="separate"/>
      </w:r>
      <w:r>
        <w:rPr>
          <w:rFonts w:hint="eastAsia" w:ascii="黑体" w:hAnsi="黑体" w:eastAsia="黑体" w:cs="黑体"/>
          <w:sz w:val="19"/>
          <w:szCs w:val="19"/>
        </w:rPr>
        <w:t>第七章 应提交的有关格式范例</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_Toc25757 \h </w:instrText>
      </w:r>
      <w:r>
        <w:rPr>
          <w:rFonts w:hint="eastAsia" w:ascii="黑体" w:hAnsi="黑体" w:eastAsia="黑体" w:cs="黑体"/>
          <w:sz w:val="19"/>
          <w:szCs w:val="19"/>
        </w:rPr>
        <w:fldChar w:fldCharType="separate"/>
      </w:r>
      <w:r>
        <w:rPr>
          <w:rFonts w:hint="eastAsia" w:ascii="黑体" w:hAnsi="黑体" w:eastAsia="黑体" w:cs="黑体"/>
          <w:sz w:val="19"/>
          <w:szCs w:val="19"/>
        </w:rPr>
        <w:t>- 49 -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7E6836D6">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"_Toc13014" </w:instrText>
      </w:r>
      <w:r>
        <w:fldChar w:fldCharType="separate"/>
      </w:r>
      <w:r>
        <w:rPr>
          <w:rFonts w:hint="eastAsia" w:ascii="黑体" w:hAnsi="黑体" w:eastAsia="黑体" w:cs="黑体"/>
          <w:sz w:val="19"/>
          <w:szCs w:val="19"/>
        </w:rPr>
        <w:t>一、投标函</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_Toc13014 \h </w:instrText>
      </w:r>
      <w:r>
        <w:rPr>
          <w:rFonts w:hint="eastAsia" w:ascii="黑体" w:hAnsi="黑体" w:eastAsia="黑体" w:cs="黑体"/>
          <w:sz w:val="19"/>
          <w:szCs w:val="19"/>
        </w:rPr>
        <w:fldChar w:fldCharType="separate"/>
      </w:r>
      <w:r>
        <w:rPr>
          <w:rFonts w:hint="eastAsia" w:ascii="黑体" w:hAnsi="黑体" w:eastAsia="黑体" w:cs="黑体"/>
          <w:sz w:val="19"/>
          <w:szCs w:val="19"/>
        </w:rPr>
        <w:t>- 55 -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4E990B05">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"_Toc9168" </w:instrText>
      </w:r>
      <w:r>
        <w:fldChar w:fldCharType="separate"/>
      </w:r>
      <w:r>
        <w:rPr>
          <w:rFonts w:hint="eastAsia" w:ascii="黑体" w:hAnsi="黑体" w:eastAsia="黑体" w:cs="黑体"/>
          <w:sz w:val="19"/>
          <w:szCs w:val="19"/>
        </w:rPr>
        <w:t>二、开标一览表</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_Toc9168 \h </w:instrText>
      </w:r>
      <w:r>
        <w:rPr>
          <w:rFonts w:hint="eastAsia" w:ascii="黑体" w:hAnsi="黑体" w:eastAsia="黑体" w:cs="黑体"/>
          <w:sz w:val="19"/>
          <w:szCs w:val="19"/>
        </w:rPr>
        <w:fldChar w:fldCharType="separate"/>
      </w:r>
      <w:r>
        <w:rPr>
          <w:rFonts w:hint="eastAsia" w:ascii="黑体" w:hAnsi="黑体" w:eastAsia="黑体" w:cs="黑体"/>
          <w:sz w:val="19"/>
          <w:szCs w:val="19"/>
        </w:rPr>
        <w:t>- 58 -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1D688F3B">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"_Toc27358" </w:instrText>
      </w:r>
      <w:r>
        <w:fldChar w:fldCharType="separate"/>
      </w:r>
      <w:r>
        <w:rPr>
          <w:rFonts w:hint="eastAsia" w:ascii="黑体" w:hAnsi="黑体" w:eastAsia="黑体" w:cs="黑体"/>
          <w:sz w:val="19"/>
          <w:szCs w:val="19"/>
        </w:rPr>
        <w:t>三、资格证明文件目录</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_Toc27358 \h </w:instrText>
      </w:r>
      <w:r>
        <w:rPr>
          <w:rFonts w:hint="eastAsia" w:ascii="黑体" w:hAnsi="黑体" w:eastAsia="黑体" w:cs="黑体"/>
          <w:sz w:val="19"/>
          <w:szCs w:val="19"/>
        </w:rPr>
        <w:fldChar w:fldCharType="separate"/>
      </w:r>
      <w:r>
        <w:rPr>
          <w:rFonts w:hint="eastAsia" w:ascii="黑体" w:hAnsi="黑体" w:eastAsia="黑体" w:cs="黑体"/>
          <w:sz w:val="19"/>
          <w:szCs w:val="19"/>
        </w:rPr>
        <w:t>- 60 -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76AF5333">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"_Toc30858" </w:instrText>
      </w:r>
      <w:r>
        <w:fldChar w:fldCharType="separate"/>
      </w:r>
      <w:r>
        <w:rPr>
          <w:rFonts w:hint="eastAsia" w:ascii="黑体" w:hAnsi="黑体" w:eastAsia="黑体" w:cs="黑体"/>
          <w:sz w:val="19"/>
          <w:szCs w:val="19"/>
        </w:rPr>
        <w:t>四、评分细则相应的商务技术资料</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_Toc30858 \h </w:instrText>
      </w:r>
      <w:r>
        <w:rPr>
          <w:rFonts w:hint="eastAsia" w:ascii="黑体" w:hAnsi="黑体" w:eastAsia="黑体" w:cs="黑体"/>
          <w:sz w:val="19"/>
          <w:szCs w:val="19"/>
        </w:rPr>
        <w:fldChar w:fldCharType="separate"/>
      </w:r>
      <w:r>
        <w:rPr>
          <w:rFonts w:hint="eastAsia" w:ascii="黑体" w:hAnsi="黑体" w:eastAsia="黑体" w:cs="黑体"/>
          <w:sz w:val="19"/>
          <w:szCs w:val="19"/>
        </w:rPr>
        <w:t>- 67 -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47F06628">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"_Toc7161" </w:instrText>
      </w:r>
      <w:r>
        <w:fldChar w:fldCharType="separate"/>
      </w:r>
      <w:r>
        <w:rPr>
          <w:rFonts w:hint="eastAsia" w:ascii="黑体" w:hAnsi="黑体" w:eastAsia="黑体" w:cs="黑体"/>
          <w:sz w:val="19"/>
          <w:szCs w:val="19"/>
        </w:rPr>
        <w:t>五、商务技术偏离表</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_Toc7161 \h </w:instrText>
      </w:r>
      <w:r>
        <w:rPr>
          <w:rFonts w:hint="eastAsia" w:ascii="黑体" w:hAnsi="黑体" w:eastAsia="黑体" w:cs="黑体"/>
          <w:sz w:val="19"/>
          <w:szCs w:val="19"/>
        </w:rPr>
        <w:fldChar w:fldCharType="separate"/>
      </w:r>
      <w:r>
        <w:rPr>
          <w:rFonts w:hint="eastAsia" w:ascii="黑体" w:hAnsi="黑体" w:eastAsia="黑体" w:cs="黑体"/>
          <w:sz w:val="19"/>
          <w:szCs w:val="19"/>
        </w:rPr>
        <w:t>- 71 -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0CC8A5AC">
      <w:pPr>
        <w:pStyle w:val="15"/>
        <w:tabs>
          <w:tab w:val="right" w:leader="dot" w:pos="9411"/>
        </w:tabs>
        <w:spacing w:line="360" w:lineRule="auto"/>
        <w:ind w:left="0" w:leftChars="0"/>
        <w:rPr>
          <w:rFonts w:hint="eastAsia" w:ascii="黑体" w:hAnsi="黑体" w:eastAsia="黑体" w:cs="黑体"/>
          <w:sz w:val="19"/>
          <w:szCs w:val="19"/>
        </w:rPr>
      </w:pPr>
      <w:r>
        <w:fldChar w:fldCharType="begin"/>
      </w:r>
      <w:r>
        <w:instrText xml:space="preserve"> HYPERLINK \l "_Toc15990" </w:instrText>
      </w:r>
      <w:r>
        <w:fldChar w:fldCharType="separate"/>
      </w:r>
      <w:r>
        <w:rPr>
          <w:rFonts w:hint="eastAsia" w:ascii="黑体" w:hAnsi="黑体" w:eastAsia="黑体" w:cs="黑体"/>
          <w:sz w:val="19"/>
          <w:szCs w:val="19"/>
        </w:rPr>
        <w:t>六、政府采购供应商廉洁自律承诺书</w:t>
      </w:r>
      <w:r>
        <w:rPr>
          <w:rFonts w:hint="eastAsia" w:ascii="黑体" w:hAnsi="黑体" w:eastAsia="黑体" w:cs="黑体"/>
          <w:sz w:val="19"/>
          <w:szCs w:val="19"/>
        </w:rPr>
        <w:tab/>
      </w:r>
      <w:r>
        <w:rPr>
          <w:rFonts w:hint="eastAsia" w:ascii="黑体" w:hAnsi="黑体" w:eastAsia="黑体" w:cs="黑体"/>
          <w:sz w:val="19"/>
          <w:szCs w:val="19"/>
        </w:rPr>
        <w:fldChar w:fldCharType="begin"/>
      </w:r>
      <w:r>
        <w:rPr>
          <w:rFonts w:hint="eastAsia" w:ascii="黑体" w:hAnsi="黑体" w:eastAsia="黑体" w:cs="黑体"/>
          <w:sz w:val="19"/>
          <w:szCs w:val="19"/>
        </w:rPr>
        <w:instrText xml:space="preserve"> PAGEREF _Toc15990 \h </w:instrText>
      </w:r>
      <w:r>
        <w:rPr>
          <w:rFonts w:hint="eastAsia" w:ascii="黑体" w:hAnsi="黑体" w:eastAsia="黑体" w:cs="黑体"/>
          <w:sz w:val="19"/>
          <w:szCs w:val="19"/>
        </w:rPr>
        <w:fldChar w:fldCharType="separate"/>
      </w:r>
      <w:r>
        <w:rPr>
          <w:rFonts w:hint="eastAsia" w:ascii="黑体" w:hAnsi="黑体" w:eastAsia="黑体" w:cs="黑体"/>
          <w:sz w:val="19"/>
          <w:szCs w:val="19"/>
        </w:rPr>
        <w:t>- 72 -</w:t>
      </w:r>
      <w:r>
        <w:rPr>
          <w:rFonts w:hint="eastAsia" w:ascii="黑体" w:hAnsi="黑体" w:eastAsia="黑体" w:cs="黑体"/>
          <w:sz w:val="19"/>
          <w:szCs w:val="19"/>
        </w:rPr>
        <w:fldChar w:fldCharType="end"/>
      </w:r>
      <w:r>
        <w:rPr>
          <w:rFonts w:hint="eastAsia" w:ascii="黑体" w:hAnsi="黑体" w:eastAsia="黑体" w:cs="黑体"/>
          <w:sz w:val="19"/>
          <w:szCs w:val="19"/>
        </w:rPr>
        <w:fldChar w:fldCharType="end"/>
      </w:r>
    </w:p>
    <w:p w14:paraId="2057CAB1">
      <w:pPr>
        <w:spacing w:line="480" w:lineRule="exact"/>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szCs w:val="19"/>
        </w:rPr>
        <w:fldChar w:fldCharType="end"/>
      </w:r>
      <w:r>
        <w:rPr>
          <w:rFonts w:hint="eastAsia" w:ascii="黑体" w:hAnsi="黑体" w:eastAsia="黑体" w:cs="黑体"/>
          <w:color w:val="000000" w:themeColor="text1"/>
          <w:szCs w:val="21"/>
          <w14:textFill>
            <w14:solidFill>
              <w14:schemeClr w14:val="tx1"/>
            </w14:solidFill>
          </w14:textFill>
        </w:rPr>
        <w:br w:type="page"/>
      </w:r>
    </w:p>
    <w:p w14:paraId="28E77D13">
      <w:pPr>
        <w:pStyle w:val="36"/>
        <w:numPr>
          <w:ilvl w:val="0"/>
          <w:numId w:val="2"/>
        </w:numPr>
        <w:spacing w:after="211" w:afterLines="50"/>
        <w:jc w:val="center"/>
        <w:outlineLvl w:val="0"/>
        <w:rPr>
          <w:rFonts w:ascii="黑体" w:hAnsi="黑体" w:eastAsia="黑体" w:cs="黑体"/>
          <w:b/>
          <w:color w:val="000000" w:themeColor="text1"/>
          <w:sz w:val="28"/>
          <w:szCs w:val="28"/>
          <w:lang w:eastAsia="zh-CN"/>
          <w14:textFill>
            <w14:solidFill>
              <w14:schemeClr w14:val="tx1"/>
            </w14:solidFill>
          </w14:textFill>
        </w:rPr>
      </w:pPr>
      <w:bookmarkStart w:id="18" w:name="_Toc30676"/>
      <w:bookmarkStart w:id="19" w:name="_Toc89"/>
      <w:r>
        <w:rPr>
          <w:rFonts w:hint="eastAsia" w:ascii="黑体" w:hAnsi="黑体" w:eastAsia="黑体" w:cs="黑体"/>
          <w:b/>
          <w:color w:val="000000" w:themeColor="text1"/>
          <w:sz w:val="28"/>
          <w:szCs w:val="28"/>
          <w:lang w:val="en-US" w:eastAsia="zh-CN"/>
          <w14:textFill>
            <w14:solidFill>
              <w14:schemeClr w14:val="tx1"/>
            </w14:solidFill>
          </w14:textFill>
        </w:rPr>
        <w:t xml:space="preserve"> </w:t>
      </w:r>
      <w:r>
        <w:rPr>
          <w:rFonts w:ascii="黑体" w:hAnsi="黑体" w:eastAsia="黑体" w:cs="黑体"/>
          <w:b/>
          <w:color w:val="000000" w:themeColor="text1"/>
          <w:sz w:val="28"/>
          <w:szCs w:val="28"/>
          <w:lang w:eastAsia="zh-CN"/>
          <w14:textFill>
            <w14:solidFill>
              <w14:schemeClr w14:val="tx1"/>
            </w14:solidFill>
          </w14:textFill>
        </w:rPr>
        <w:t>招标公告</w:t>
      </w:r>
      <w:bookmarkEnd w:id="18"/>
      <w:bookmarkEnd w:id="19"/>
    </w:p>
    <w:p w14:paraId="2E19984F">
      <w:pPr>
        <w:pBdr>
          <w:top w:val="single" w:color="auto" w:sz="4" w:space="1"/>
          <w:left w:val="single" w:color="auto" w:sz="4" w:space="4"/>
          <w:bottom w:val="single" w:color="auto" w:sz="4" w:space="1"/>
          <w:right w:val="single" w:color="auto" w:sz="4" w:space="4"/>
        </w:pBdr>
        <w:spacing w:line="480" w:lineRule="exact"/>
        <w:rPr>
          <w:rFonts w:hint="eastAsia" w:ascii="黑体" w:hAnsi="黑体" w:eastAsia="黑体" w:cs="黑体"/>
          <w:sz w:val="19"/>
          <w:szCs w:val="19"/>
        </w:rPr>
      </w:pPr>
      <w:r>
        <w:rPr>
          <w:rFonts w:hint="eastAsia" w:ascii="黑体" w:hAnsi="黑体" w:eastAsia="黑体" w:cs="黑体"/>
          <w:sz w:val="19"/>
          <w:szCs w:val="19"/>
        </w:rPr>
        <w:t>项目概况</w:t>
      </w:r>
    </w:p>
    <w:p w14:paraId="1C0802D1">
      <w:pPr>
        <w:pBdr>
          <w:top w:val="single" w:color="auto" w:sz="4" w:space="1"/>
          <w:left w:val="single" w:color="auto" w:sz="4" w:space="4"/>
          <w:bottom w:val="single" w:color="auto" w:sz="4" w:space="1"/>
          <w:right w:val="single" w:color="auto" w:sz="4" w:space="4"/>
        </w:pBdr>
        <w:spacing w:line="480" w:lineRule="exact"/>
        <w:ind w:firstLine="380" w:firstLineChars="200"/>
        <w:rPr>
          <w:rFonts w:hint="eastAsia" w:ascii="黑体" w:hAnsi="黑体" w:eastAsia="黑体" w:cs="黑体"/>
          <w:sz w:val="19"/>
          <w:szCs w:val="19"/>
          <w:u w:val="single"/>
        </w:rPr>
      </w:pPr>
      <w:r>
        <w:rPr>
          <w:rFonts w:hint="eastAsia" w:ascii="黑体" w:hAnsi="黑体" w:eastAsia="黑体" w:cs="黑体"/>
          <w:sz w:val="19"/>
          <w:szCs w:val="19"/>
          <w:u w:val="single"/>
        </w:rPr>
        <w:t xml:space="preserve">西咸新区地震监测台网建设 </w:t>
      </w:r>
      <w:r>
        <w:rPr>
          <w:rFonts w:hint="eastAsia" w:ascii="黑体" w:hAnsi="黑体" w:eastAsia="黑体" w:cs="黑体"/>
          <w:sz w:val="19"/>
          <w:szCs w:val="19"/>
        </w:rPr>
        <w:t>的潜在供应商应在</w:t>
      </w:r>
      <w:r>
        <w:rPr>
          <w:rFonts w:hint="eastAsia" w:ascii="黑体" w:hAnsi="黑体" w:eastAsia="黑体" w:cs="黑体"/>
          <w:sz w:val="19"/>
          <w:szCs w:val="19"/>
          <w:u w:val="single"/>
        </w:rPr>
        <w:t xml:space="preserve"> 全国公共资源交易平台（陕西省.西咸新区）西咸新区公共资源交易中心 </w:t>
      </w:r>
      <w:r>
        <w:rPr>
          <w:rFonts w:hint="eastAsia" w:ascii="黑体" w:hAnsi="黑体" w:eastAsia="黑体" w:cs="黑体"/>
          <w:sz w:val="19"/>
          <w:szCs w:val="19"/>
        </w:rPr>
        <w:t>自行下载获取采购文件，</w:t>
      </w:r>
      <w:r>
        <w:rPr>
          <w:rFonts w:hint="eastAsia" w:ascii="黑体" w:hAnsi="黑体" w:eastAsia="黑体" w:cs="黑体"/>
          <w:sz w:val="19"/>
          <w:szCs w:val="19"/>
          <w:highlight w:val="none"/>
        </w:rPr>
        <w:t>并于</w:t>
      </w:r>
      <w:r>
        <w:rPr>
          <w:rFonts w:hint="eastAsia" w:ascii="黑体" w:hAnsi="黑体" w:eastAsia="黑体" w:cs="黑体"/>
          <w:sz w:val="19"/>
          <w:szCs w:val="19"/>
          <w:highlight w:val="none"/>
          <w:u w:val="single"/>
        </w:rPr>
        <w:t>2026年01月</w:t>
      </w:r>
      <w:r>
        <w:rPr>
          <w:rFonts w:hint="eastAsia" w:ascii="黑体" w:hAnsi="黑体" w:eastAsia="黑体" w:cs="黑体"/>
          <w:sz w:val="19"/>
          <w:szCs w:val="19"/>
          <w:highlight w:val="none"/>
          <w:u w:val="single"/>
          <w:lang w:val="en-US" w:eastAsia="zh-CN"/>
        </w:rPr>
        <w:t>19</w:t>
      </w:r>
      <w:r>
        <w:rPr>
          <w:rFonts w:hint="eastAsia" w:ascii="黑体" w:hAnsi="黑体" w:eastAsia="黑体" w:cs="黑体"/>
          <w:sz w:val="19"/>
          <w:szCs w:val="19"/>
          <w:highlight w:val="none"/>
          <w:u w:val="single"/>
        </w:rPr>
        <w:t>日</w:t>
      </w:r>
      <w:r>
        <w:rPr>
          <w:rFonts w:hint="eastAsia" w:ascii="黑体" w:hAnsi="黑体" w:eastAsia="黑体" w:cs="黑体"/>
          <w:sz w:val="19"/>
          <w:szCs w:val="19"/>
          <w:highlight w:val="none"/>
          <w:u w:val="single"/>
          <w:lang w:val="en-US" w:eastAsia="zh-CN"/>
        </w:rPr>
        <w:t>09</w:t>
      </w:r>
      <w:r>
        <w:rPr>
          <w:rFonts w:hint="eastAsia" w:ascii="黑体" w:hAnsi="黑体" w:eastAsia="黑体" w:cs="黑体"/>
          <w:sz w:val="19"/>
          <w:szCs w:val="19"/>
          <w:highlight w:val="none"/>
          <w:u w:val="single"/>
        </w:rPr>
        <w:t>时30分（北京时间）</w:t>
      </w:r>
      <w:r>
        <w:rPr>
          <w:rFonts w:hint="eastAsia" w:ascii="黑体" w:hAnsi="黑体" w:eastAsia="黑体" w:cs="黑体"/>
          <w:sz w:val="19"/>
          <w:szCs w:val="19"/>
        </w:rPr>
        <w:t>前提交投标文件。</w:t>
      </w:r>
    </w:p>
    <w:p w14:paraId="0FD2726A">
      <w:pPr>
        <w:pStyle w:val="7"/>
        <w:adjustRightInd w:val="0"/>
        <w:spacing w:before="84" w:beforeLines="20" w:line="480" w:lineRule="exact"/>
        <w:jc w:val="both"/>
        <w:rPr>
          <w:rFonts w:hint="eastAsia" w:ascii="黑体" w:hAnsi="黑体" w:eastAsia="黑体" w:cs="黑体"/>
          <w:b/>
          <w:bCs/>
          <w:sz w:val="19"/>
          <w:szCs w:val="19"/>
        </w:rPr>
      </w:pPr>
      <w:r>
        <w:rPr>
          <w:rFonts w:hint="eastAsia" w:ascii="黑体" w:hAnsi="黑体" w:eastAsia="黑体" w:cs="黑体"/>
          <w:b/>
          <w:bCs/>
          <w:sz w:val="19"/>
          <w:szCs w:val="19"/>
        </w:rPr>
        <w:t>一、项目基本情况</w:t>
      </w:r>
    </w:p>
    <w:p w14:paraId="1478251F">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 xml:space="preserve">项目编号：ZBY2025119 </w:t>
      </w:r>
    </w:p>
    <w:p w14:paraId="57E472BB">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项目名称：西咸新区地震监测台网建设</w:t>
      </w:r>
    </w:p>
    <w:p w14:paraId="6EF54385">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采购方式：公开招标</w:t>
      </w:r>
    </w:p>
    <w:p w14:paraId="0E3ACFBE">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预算金额：1,990,000.00元</w:t>
      </w:r>
    </w:p>
    <w:p w14:paraId="1E311410">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采购需求：</w:t>
      </w:r>
    </w:p>
    <w:p w14:paraId="4B59B663">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合同包1(西咸新区地震监测台网建设):</w:t>
      </w:r>
    </w:p>
    <w:p w14:paraId="2A371AEB">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合同包预算金额：1,990,000.00元</w:t>
      </w:r>
    </w:p>
    <w:p w14:paraId="535431FD">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合同包最高限价：1,990,000.00元</w:t>
      </w:r>
    </w:p>
    <w:tbl>
      <w:tblPr>
        <w:tblStyle w:val="21"/>
        <w:tblW w:w="9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172"/>
        <w:gridCol w:w="2016"/>
        <w:gridCol w:w="1400"/>
        <w:gridCol w:w="2260"/>
        <w:gridCol w:w="1652"/>
      </w:tblGrid>
      <w:tr w14:paraId="11C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6" w:type="dxa"/>
          </w:tcPr>
          <w:p w14:paraId="1BB6C96F">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品目号</w:t>
            </w:r>
          </w:p>
        </w:tc>
        <w:tc>
          <w:tcPr>
            <w:tcW w:w="1172" w:type="dxa"/>
          </w:tcPr>
          <w:p w14:paraId="55C124FD">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品目名称</w:t>
            </w:r>
          </w:p>
        </w:tc>
        <w:tc>
          <w:tcPr>
            <w:tcW w:w="2016" w:type="dxa"/>
          </w:tcPr>
          <w:p w14:paraId="74B6AC8F">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采购标的</w:t>
            </w:r>
          </w:p>
        </w:tc>
        <w:tc>
          <w:tcPr>
            <w:tcW w:w="1400" w:type="dxa"/>
          </w:tcPr>
          <w:p w14:paraId="0C07ED8E">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数量（单位）</w:t>
            </w:r>
          </w:p>
        </w:tc>
        <w:tc>
          <w:tcPr>
            <w:tcW w:w="2260" w:type="dxa"/>
          </w:tcPr>
          <w:p w14:paraId="74905E91">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技术规格、参数及要求</w:t>
            </w:r>
          </w:p>
        </w:tc>
        <w:tc>
          <w:tcPr>
            <w:tcW w:w="1652" w:type="dxa"/>
          </w:tcPr>
          <w:p w14:paraId="3336EE5B">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品目预算(元)</w:t>
            </w:r>
          </w:p>
        </w:tc>
      </w:tr>
      <w:tr w14:paraId="04C6E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16" w:type="dxa"/>
          </w:tcPr>
          <w:p w14:paraId="04C28590">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1-1</w:t>
            </w:r>
          </w:p>
        </w:tc>
        <w:tc>
          <w:tcPr>
            <w:tcW w:w="1172" w:type="dxa"/>
          </w:tcPr>
          <w:p w14:paraId="3CBFAA9C">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 xml:space="preserve"> 地震仪器</w:t>
            </w:r>
          </w:p>
        </w:tc>
        <w:tc>
          <w:tcPr>
            <w:tcW w:w="2016" w:type="dxa"/>
          </w:tcPr>
          <w:p w14:paraId="64160D17">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西咸新区地震监测台网建设</w:t>
            </w:r>
          </w:p>
        </w:tc>
        <w:tc>
          <w:tcPr>
            <w:tcW w:w="1400" w:type="dxa"/>
          </w:tcPr>
          <w:p w14:paraId="4E52A735">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1批</w:t>
            </w:r>
          </w:p>
        </w:tc>
        <w:tc>
          <w:tcPr>
            <w:tcW w:w="2260" w:type="dxa"/>
          </w:tcPr>
          <w:p w14:paraId="5FC6580F">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详见采购文件</w:t>
            </w:r>
          </w:p>
        </w:tc>
        <w:tc>
          <w:tcPr>
            <w:tcW w:w="1652" w:type="dxa"/>
          </w:tcPr>
          <w:p w14:paraId="22699863">
            <w:pPr>
              <w:spacing w:before="84" w:beforeLines="20" w:line="480" w:lineRule="exact"/>
              <w:rPr>
                <w:rFonts w:hint="eastAsia" w:ascii="黑体" w:hAnsi="黑体" w:eastAsia="黑体" w:cs="黑体"/>
                <w:sz w:val="19"/>
                <w:szCs w:val="19"/>
              </w:rPr>
            </w:pPr>
            <w:r>
              <w:rPr>
                <w:rFonts w:hint="eastAsia" w:ascii="黑体" w:hAnsi="黑体" w:eastAsia="黑体" w:cs="黑体"/>
                <w:sz w:val="19"/>
                <w:szCs w:val="19"/>
              </w:rPr>
              <w:t>1,990,000.00元</w:t>
            </w:r>
          </w:p>
        </w:tc>
      </w:tr>
    </w:tbl>
    <w:p w14:paraId="52D62814">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本合同包不接受联合体投标。</w:t>
      </w:r>
    </w:p>
    <w:p w14:paraId="5C050205">
      <w:pPr>
        <w:spacing w:before="84"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合同履行期</w:t>
      </w:r>
      <w:r>
        <w:rPr>
          <w:rFonts w:hint="eastAsia" w:ascii="黑体" w:hAnsi="黑体" w:eastAsia="黑体" w:cs="黑体"/>
          <w:sz w:val="19"/>
          <w:szCs w:val="19"/>
          <w:highlight w:val="none"/>
        </w:rPr>
        <w:t>限：自合同签订之日起</w:t>
      </w:r>
      <w:r>
        <w:rPr>
          <w:rFonts w:hint="eastAsia" w:ascii="黑体" w:hAnsi="黑体" w:eastAsia="黑体" w:cs="黑体"/>
          <w:sz w:val="19"/>
          <w:szCs w:val="19"/>
          <w:highlight w:val="none"/>
          <w:lang w:val="en-US" w:eastAsia="zh-CN"/>
        </w:rPr>
        <w:t>120</w:t>
      </w:r>
      <w:r>
        <w:rPr>
          <w:rFonts w:hint="eastAsia" w:ascii="黑体" w:hAnsi="黑体" w:eastAsia="黑体" w:cs="黑体"/>
          <w:sz w:val="19"/>
          <w:szCs w:val="19"/>
          <w:highlight w:val="none"/>
        </w:rPr>
        <w:t>天内安装调试完毕并验收使用</w:t>
      </w:r>
    </w:p>
    <w:p w14:paraId="13E0CDEA">
      <w:pPr>
        <w:pStyle w:val="7"/>
        <w:adjustRightInd w:val="0"/>
        <w:spacing w:before="84" w:beforeLines="20" w:line="480" w:lineRule="exact"/>
        <w:ind w:left="95"/>
        <w:jc w:val="both"/>
        <w:rPr>
          <w:rFonts w:hint="eastAsia" w:ascii="黑体" w:hAnsi="黑体" w:eastAsia="黑体" w:cs="黑体"/>
          <w:b/>
          <w:bCs/>
          <w:sz w:val="19"/>
          <w:szCs w:val="19"/>
        </w:rPr>
      </w:pPr>
      <w:r>
        <w:rPr>
          <w:rFonts w:hint="eastAsia" w:ascii="黑体" w:hAnsi="黑体" w:eastAsia="黑体" w:cs="黑体"/>
          <w:sz w:val="19"/>
          <w:szCs w:val="19"/>
        </w:rPr>
        <w:t xml:space="preserve"> </w:t>
      </w:r>
      <w:r>
        <w:rPr>
          <w:rFonts w:hint="eastAsia" w:ascii="黑体" w:hAnsi="黑体" w:eastAsia="黑体" w:cs="黑体"/>
          <w:b/>
          <w:bCs/>
          <w:sz w:val="19"/>
          <w:szCs w:val="19"/>
        </w:rPr>
        <w:t>二、申请人的资格要求：</w:t>
      </w:r>
    </w:p>
    <w:p w14:paraId="27FCAF25">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1、基本资格条件：满足《中华人民共和国政府采购法》第二十二条规定。</w:t>
      </w:r>
    </w:p>
    <w:p w14:paraId="6A5D1B28">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2、落实政府采购政策需满足的资格要求：</w:t>
      </w:r>
    </w:p>
    <w:p w14:paraId="0C746907">
      <w:pPr>
        <w:pStyle w:val="7"/>
        <w:adjustRightInd w:val="0"/>
        <w:spacing w:before="84" w:beforeLines="20" w:line="480" w:lineRule="exact"/>
        <w:ind w:firstLine="380" w:firstLineChars="200"/>
        <w:jc w:val="both"/>
        <w:rPr>
          <w:rFonts w:hint="eastAsia" w:ascii="黑体" w:hAnsi="黑体" w:eastAsia="黑体" w:cs="黑体"/>
          <w:sz w:val="19"/>
          <w:szCs w:val="19"/>
          <w:highlight w:val="yellow"/>
        </w:rPr>
      </w:pPr>
      <w:r>
        <w:rPr>
          <w:rFonts w:hint="eastAsia" w:ascii="黑体" w:hAnsi="黑体" w:eastAsia="黑体" w:cs="黑体"/>
          <w:sz w:val="19"/>
          <w:szCs w:val="19"/>
        </w:rPr>
        <w:t>（1）</w:t>
      </w:r>
      <w:r>
        <w:rPr>
          <w:rFonts w:hint="eastAsia" w:ascii="黑体" w:hAnsi="黑体" w:eastAsia="黑体" w:cs="黑体"/>
          <w:b/>
          <w:bCs/>
          <w:sz w:val="19"/>
          <w:szCs w:val="19"/>
        </w:rPr>
        <w:t>本项目</w:t>
      </w:r>
      <w:r>
        <w:rPr>
          <w:rFonts w:hint="eastAsia" w:ascii="黑体" w:hAnsi="黑体" w:eastAsia="黑体" w:cs="黑体"/>
          <w:b/>
          <w:bCs/>
          <w:sz w:val="19"/>
          <w:szCs w:val="19"/>
          <w:lang w:val="en-US" w:eastAsia="zh-CN"/>
        </w:rPr>
        <w:t>非</w:t>
      </w:r>
      <w:r>
        <w:rPr>
          <w:rFonts w:hint="eastAsia" w:ascii="黑体" w:hAnsi="黑体" w:eastAsia="黑体" w:cs="黑体"/>
          <w:b/>
          <w:bCs/>
          <w:sz w:val="19"/>
          <w:szCs w:val="19"/>
        </w:rPr>
        <w:t>专门面向中小企业采购</w:t>
      </w:r>
      <w:r>
        <w:rPr>
          <w:rFonts w:hint="eastAsia" w:ascii="黑体" w:hAnsi="黑体" w:eastAsia="黑体" w:cs="黑体"/>
          <w:sz w:val="19"/>
          <w:szCs w:val="19"/>
        </w:rPr>
        <w:t>，本项目将严格按《财政部、工业和信息化部关于印发《政府采购促进中小企业发展管理办法的通知》（财库〔2020〕46号）及《关于进一步加大政府采购支持中小企业力度的通知》（财库〔2022〕19 号）的政策规定，对符合条件的小微企业报价给予10%的扣除，用扣除后的价格参加评审。中小企业参加政府采购活动，应当出具政策规定的《中小企业声明函》，否则不得享受相关中小企业扶持政策。</w:t>
      </w:r>
    </w:p>
    <w:p w14:paraId="790E798A">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2）本项目将严格落实政府采购的相关政策，具体包括但不限于：强制或优先采购节能产品及环境标志产品、支持绿色发展、鼓励科技创新、促进中小企业发展、促进残疾人就业、支持监狱和戒毒企业、扶持不发达地区及少数民族地区发展、乡村振兴等政策。若有最新政策颁布实施，以已生效的最新政策为准，具体内容详见招标文件。</w:t>
      </w:r>
    </w:p>
    <w:p w14:paraId="2C369600">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3.本项目的特定资格要求：</w:t>
      </w:r>
    </w:p>
    <w:p w14:paraId="571B8800">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 xml:space="preserve"> 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DA34DC7">
      <w:pPr>
        <w:pStyle w:val="7"/>
        <w:adjustRightInd w:val="0"/>
        <w:spacing w:before="84" w:beforeLines="20" w:line="480" w:lineRule="exact"/>
        <w:jc w:val="both"/>
        <w:rPr>
          <w:rFonts w:hint="eastAsia" w:ascii="黑体" w:hAnsi="黑体" w:eastAsia="黑体" w:cs="黑体"/>
          <w:b/>
          <w:bCs/>
          <w:sz w:val="19"/>
          <w:szCs w:val="19"/>
        </w:rPr>
      </w:pPr>
      <w:r>
        <w:rPr>
          <w:rFonts w:hint="eastAsia" w:ascii="黑体" w:hAnsi="黑体" w:eastAsia="黑体" w:cs="黑体"/>
          <w:b/>
          <w:bCs/>
          <w:sz w:val="19"/>
          <w:szCs w:val="19"/>
        </w:rPr>
        <w:t>三、获取招标文件</w:t>
      </w:r>
    </w:p>
    <w:p w14:paraId="03BD96E9">
      <w:pPr>
        <w:pStyle w:val="7"/>
        <w:adjustRightInd w:val="0"/>
        <w:spacing w:before="84" w:beforeLines="20" w:line="480" w:lineRule="exact"/>
        <w:ind w:firstLine="380" w:firstLineChars="200"/>
        <w:jc w:val="both"/>
        <w:rPr>
          <w:rFonts w:hint="eastAsia" w:ascii="黑体" w:hAnsi="黑体" w:eastAsia="黑体" w:cs="黑体"/>
          <w:sz w:val="19"/>
          <w:szCs w:val="19"/>
          <w:highlight w:val="yellow"/>
          <w:lang w:eastAsia="zh-CN"/>
        </w:rPr>
      </w:pPr>
      <w:r>
        <w:rPr>
          <w:rFonts w:hint="eastAsia" w:ascii="黑体" w:hAnsi="黑体" w:eastAsia="黑体" w:cs="黑体"/>
          <w:sz w:val="19"/>
          <w:szCs w:val="19"/>
        </w:rPr>
        <w:t>时间：</w:t>
      </w:r>
      <w:r>
        <w:rPr>
          <w:rFonts w:hint="eastAsia" w:ascii="黑体" w:hAnsi="黑体" w:eastAsia="黑体" w:cs="黑体"/>
          <w:sz w:val="19"/>
          <w:szCs w:val="19"/>
          <w:highlight w:val="none"/>
        </w:rPr>
        <w:t xml:space="preserve"> 2025年12月</w:t>
      </w:r>
      <w:r>
        <w:rPr>
          <w:rFonts w:hint="eastAsia" w:ascii="黑体" w:hAnsi="黑体" w:eastAsia="黑体" w:cs="黑体"/>
          <w:sz w:val="19"/>
          <w:szCs w:val="19"/>
          <w:highlight w:val="none"/>
          <w:lang w:val="en-US" w:eastAsia="zh-CN"/>
        </w:rPr>
        <w:t>29</w:t>
      </w:r>
      <w:r>
        <w:rPr>
          <w:rFonts w:hint="eastAsia" w:ascii="黑体" w:hAnsi="黑体" w:eastAsia="黑体" w:cs="黑体"/>
          <w:sz w:val="19"/>
          <w:szCs w:val="19"/>
          <w:highlight w:val="none"/>
        </w:rPr>
        <w:t>日至202</w:t>
      </w:r>
      <w:r>
        <w:rPr>
          <w:rFonts w:hint="eastAsia" w:ascii="黑体" w:hAnsi="黑体" w:eastAsia="黑体" w:cs="黑体"/>
          <w:sz w:val="19"/>
          <w:szCs w:val="19"/>
          <w:highlight w:val="none"/>
          <w:lang w:val="en-US" w:eastAsia="zh-CN"/>
        </w:rPr>
        <w:t>6</w:t>
      </w:r>
      <w:r>
        <w:rPr>
          <w:rFonts w:hint="eastAsia" w:ascii="黑体" w:hAnsi="黑体" w:eastAsia="黑体" w:cs="黑体"/>
          <w:sz w:val="19"/>
          <w:szCs w:val="19"/>
          <w:highlight w:val="none"/>
        </w:rPr>
        <w:t>年</w:t>
      </w:r>
      <w:r>
        <w:rPr>
          <w:rFonts w:hint="eastAsia" w:ascii="黑体" w:hAnsi="黑体" w:eastAsia="黑体" w:cs="黑体"/>
          <w:sz w:val="19"/>
          <w:szCs w:val="19"/>
          <w:highlight w:val="none"/>
          <w:lang w:val="en-US" w:eastAsia="zh-CN"/>
        </w:rPr>
        <w:t>01</w:t>
      </w:r>
      <w:r>
        <w:rPr>
          <w:rFonts w:hint="eastAsia" w:ascii="黑体" w:hAnsi="黑体" w:eastAsia="黑体" w:cs="黑体"/>
          <w:sz w:val="19"/>
          <w:szCs w:val="19"/>
          <w:highlight w:val="none"/>
        </w:rPr>
        <w:t>月</w:t>
      </w:r>
      <w:r>
        <w:rPr>
          <w:rFonts w:hint="eastAsia" w:ascii="黑体" w:hAnsi="黑体" w:eastAsia="黑体" w:cs="黑体"/>
          <w:sz w:val="19"/>
          <w:szCs w:val="19"/>
          <w:highlight w:val="none"/>
          <w:lang w:val="en-US" w:eastAsia="zh-CN"/>
        </w:rPr>
        <w:t>05</w:t>
      </w:r>
      <w:r>
        <w:rPr>
          <w:rFonts w:hint="eastAsia" w:ascii="黑体" w:hAnsi="黑体" w:eastAsia="黑体" w:cs="黑体"/>
          <w:sz w:val="19"/>
          <w:szCs w:val="19"/>
          <w:highlight w:val="none"/>
        </w:rPr>
        <w:t xml:space="preserve">日，每天上午 00:00:00 至 12:00:00 ，下午 12:00:00 至 23:59:59 </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北京时间</w:t>
      </w:r>
      <w:r>
        <w:rPr>
          <w:rFonts w:hint="eastAsia" w:ascii="黑体" w:hAnsi="黑体" w:eastAsia="黑体" w:cs="黑体"/>
          <w:sz w:val="19"/>
          <w:szCs w:val="19"/>
          <w:highlight w:val="none"/>
          <w:lang w:eastAsia="zh-CN"/>
        </w:rPr>
        <w:t>）</w:t>
      </w:r>
    </w:p>
    <w:p w14:paraId="787686D9">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途径：全国公共资源交易平台（陕西省.西咸新区）西咸新区公共资源交易中心自行下载。</w:t>
      </w:r>
    </w:p>
    <w:p w14:paraId="0E05AFBD">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方式：在线获取</w:t>
      </w:r>
    </w:p>
    <w:p w14:paraId="19199B84">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 xml:space="preserve">售价：0元 </w:t>
      </w:r>
    </w:p>
    <w:p w14:paraId="25C1AB1E">
      <w:pPr>
        <w:pStyle w:val="7"/>
        <w:adjustRightInd w:val="0"/>
        <w:spacing w:before="84" w:beforeLines="20" w:line="480" w:lineRule="exact"/>
        <w:jc w:val="both"/>
        <w:rPr>
          <w:rFonts w:hint="eastAsia" w:ascii="黑体" w:hAnsi="黑体" w:eastAsia="黑体" w:cs="黑体"/>
          <w:b/>
          <w:bCs/>
          <w:sz w:val="19"/>
          <w:szCs w:val="19"/>
        </w:rPr>
      </w:pPr>
      <w:r>
        <w:rPr>
          <w:rFonts w:hint="eastAsia" w:ascii="黑体" w:hAnsi="黑体" w:eastAsia="黑体" w:cs="黑体"/>
          <w:b/>
          <w:bCs/>
          <w:sz w:val="19"/>
          <w:szCs w:val="19"/>
        </w:rPr>
        <w:t>四、提交投标文件截止时间、开标时间和地点</w:t>
      </w:r>
    </w:p>
    <w:p w14:paraId="2C1B8FA6">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时间：</w:t>
      </w:r>
      <w:r>
        <w:rPr>
          <w:rFonts w:hint="eastAsia" w:ascii="黑体" w:hAnsi="黑体" w:eastAsia="黑体" w:cs="黑体"/>
          <w:sz w:val="19"/>
          <w:szCs w:val="19"/>
          <w:highlight w:val="none"/>
        </w:rPr>
        <w:t>2026年01月19日09时30分</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lang w:val="en-US" w:eastAsia="zh-CN"/>
        </w:rPr>
        <w:t>北京时间</w:t>
      </w:r>
      <w:r>
        <w:rPr>
          <w:rFonts w:hint="eastAsia" w:ascii="黑体" w:hAnsi="黑体" w:eastAsia="黑体" w:cs="黑体"/>
          <w:sz w:val="19"/>
          <w:szCs w:val="19"/>
          <w:highlight w:val="none"/>
          <w:lang w:eastAsia="zh-CN"/>
        </w:rPr>
        <w:t>）</w:t>
      </w:r>
      <w:r>
        <w:rPr>
          <w:rFonts w:hint="eastAsia" w:ascii="黑体" w:hAnsi="黑体" w:eastAsia="黑体" w:cs="黑体"/>
          <w:sz w:val="19"/>
          <w:szCs w:val="19"/>
          <w:highlight w:val="none"/>
        </w:rPr>
        <w:t>；</w:t>
      </w:r>
    </w:p>
    <w:p w14:paraId="2630ED55">
      <w:pPr>
        <w:pStyle w:val="7"/>
        <w:wordWrap w:val="0"/>
        <w:adjustRightInd w:val="0"/>
        <w:spacing w:before="84" w:beforeLines="20" w:line="480" w:lineRule="exact"/>
        <w:ind w:firstLine="380" w:firstLineChars="200"/>
        <w:rPr>
          <w:rFonts w:hint="eastAsia" w:ascii="黑体" w:hAnsi="黑体" w:eastAsia="黑体" w:cs="黑体"/>
          <w:sz w:val="19"/>
          <w:szCs w:val="19"/>
          <w:lang w:eastAsia="zh-CN"/>
        </w:rPr>
      </w:pPr>
      <w:r>
        <w:rPr>
          <w:rFonts w:hint="eastAsia" w:ascii="黑体" w:hAnsi="黑体" w:eastAsia="黑体" w:cs="黑体"/>
          <w:sz w:val="19"/>
          <w:szCs w:val="19"/>
        </w:rPr>
        <w:t>提交投标文件地点：</w:t>
      </w:r>
      <w:r>
        <w:rPr>
          <w:rFonts w:hint="eastAsia" w:ascii="黑体" w:hAnsi="黑体" w:eastAsia="黑体" w:cs="黑体"/>
          <w:sz w:val="19"/>
          <w:szCs w:val="19"/>
          <w:lang w:val="en-US" w:eastAsia="zh-CN"/>
        </w:rPr>
        <w:t>全国公共资源交易平台（陕西省.西咸新区）</w:t>
      </w:r>
      <w:r>
        <w:rPr>
          <w:rFonts w:hint="eastAsia" w:ascii="黑体" w:hAnsi="黑体" w:eastAsia="黑体" w:cs="黑体"/>
          <w:sz w:val="19"/>
          <w:szCs w:val="19"/>
        </w:rPr>
        <w:t>西咸新区公共资源交易中心</w:t>
      </w:r>
      <w:r>
        <w:rPr>
          <w:rFonts w:hint="eastAsia" w:ascii="黑体" w:hAnsi="黑体" w:eastAsia="黑体" w:cs="黑体"/>
          <w:sz w:val="19"/>
          <w:szCs w:val="19"/>
          <w:lang w:val="en-US" w:eastAsia="zh-CN"/>
        </w:rPr>
        <w:t>（http://xxxq.sxggzyjy.cn）网上递交</w:t>
      </w:r>
      <w:r>
        <w:rPr>
          <w:rFonts w:hint="eastAsia" w:ascii="黑体" w:hAnsi="黑体" w:eastAsia="黑体" w:cs="黑体"/>
          <w:sz w:val="19"/>
          <w:szCs w:val="19"/>
          <w:lang w:eastAsia="zh-CN"/>
        </w:rPr>
        <w:t>。</w:t>
      </w:r>
    </w:p>
    <w:p w14:paraId="0BB97400">
      <w:pPr>
        <w:pStyle w:val="7"/>
        <w:wordWrap w:val="0"/>
        <w:adjustRightInd w:val="0"/>
        <w:spacing w:before="84" w:beforeLines="20" w:line="480" w:lineRule="exact"/>
        <w:ind w:firstLine="380" w:firstLineChars="200"/>
        <w:jc w:val="both"/>
        <w:rPr>
          <w:rFonts w:hint="eastAsia" w:ascii="黑体" w:hAnsi="黑体" w:eastAsia="黑体" w:cs="黑体"/>
          <w:sz w:val="19"/>
          <w:szCs w:val="19"/>
          <w:lang w:eastAsia="zh-CN"/>
        </w:rPr>
      </w:pPr>
      <w:r>
        <w:rPr>
          <w:rFonts w:hint="eastAsia" w:ascii="黑体" w:hAnsi="黑体" w:eastAsia="黑体" w:cs="黑体"/>
          <w:sz w:val="19"/>
          <w:szCs w:val="19"/>
        </w:rPr>
        <w:t>开标地点：陕西省西咸新区公共资源交易中心不见面开标大厅</w:t>
      </w:r>
      <w:r>
        <w:rPr>
          <w:rFonts w:hint="eastAsia" w:ascii="黑体" w:hAnsi="黑体" w:eastAsia="黑体" w:cs="黑体"/>
          <w:sz w:val="19"/>
          <w:szCs w:val="19"/>
          <w:lang w:eastAsia="zh-CN"/>
        </w:rPr>
        <w:t>，</w:t>
      </w:r>
      <w:r>
        <w:rPr>
          <w:rFonts w:hint="eastAsia" w:ascii="黑体" w:hAnsi="黑体" w:eastAsia="黑体" w:cs="黑体"/>
          <w:sz w:val="19"/>
          <w:szCs w:val="19"/>
        </w:rPr>
        <w:t>陕西省西咸新区公共资源交易中心开标室</w:t>
      </w:r>
      <w:r>
        <w:rPr>
          <w:rFonts w:hint="eastAsia" w:ascii="黑体" w:hAnsi="黑体" w:eastAsia="黑体" w:cs="黑体"/>
          <w:sz w:val="19"/>
          <w:szCs w:val="19"/>
          <w:lang w:val="en-US" w:eastAsia="zh-CN"/>
        </w:rPr>
        <w:t>8</w:t>
      </w:r>
      <w:r>
        <w:rPr>
          <w:rFonts w:hint="eastAsia" w:ascii="黑体" w:hAnsi="黑体" w:eastAsia="黑体" w:cs="黑体"/>
          <w:sz w:val="19"/>
          <w:szCs w:val="19"/>
          <w:lang w:eastAsia="zh-CN"/>
        </w:rPr>
        <w:t>。</w:t>
      </w:r>
    </w:p>
    <w:p w14:paraId="67167399">
      <w:pPr>
        <w:pStyle w:val="7"/>
        <w:adjustRightInd w:val="0"/>
        <w:spacing w:before="84" w:beforeLines="20" w:line="480" w:lineRule="exact"/>
        <w:jc w:val="both"/>
        <w:rPr>
          <w:rFonts w:hint="eastAsia" w:ascii="黑体" w:hAnsi="黑体" w:eastAsia="黑体" w:cs="黑体"/>
          <w:b/>
          <w:bCs/>
          <w:sz w:val="19"/>
          <w:szCs w:val="19"/>
        </w:rPr>
      </w:pPr>
      <w:r>
        <w:rPr>
          <w:rFonts w:hint="eastAsia" w:ascii="黑体" w:hAnsi="黑体" w:eastAsia="黑体" w:cs="黑体"/>
          <w:b/>
          <w:bCs/>
          <w:sz w:val="19"/>
          <w:szCs w:val="19"/>
        </w:rPr>
        <w:t>五、公告期限</w:t>
      </w:r>
    </w:p>
    <w:p w14:paraId="5CD1D84F">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自本公告发布之日起5个工作日。</w:t>
      </w:r>
    </w:p>
    <w:p w14:paraId="28E3EE80">
      <w:pPr>
        <w:pStyle w:val="7"/>
        <w:adjustRightInd w:val="0"/>
        <w:spacing w:before="84" w:beforeLines="20" w:line="480" w:lineRule="exact"/>
        <w:jc w:val="both"/>
        <w:rPr>
          <w:rFonts w:hint="eastAsia" w:ascii="黑体" w:hAnsi="黑体" w:eastAsia="黑体" w:cs="黑体"/>
          <w:b/>
          <w:bCs/>
          <w:sz w:val="19"/>
          <w:szCs w:val="19"/>
        </w:rPr>
      </w:pPr>
      <w:r>
        <w:rPr>
          <w:rFonts w:hint="eastAsia" w:ascii="黑体" w:hAnsi="黑体" w:eastAsia="黑体" w:cs="黑体"/>
          <w:b/>
          <w:bCs/>
          <w:sz w:val="19"/>
          <w:szCs w:val="19"/>
        </w:rPr>
        <w:t>六、其他补充事宜</w:t>
      </w:r>
    </w:p>
    <w:p w14:paraId="1BD0188F">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1、本次招标采用“不见面开标”方式。“不见面开标大厅”登录方式：全国公共资源交易平台（陕西省西咸新区）-电子交易平台-西咸新区公共资源交易平台不见面开标系统。电子响应文件在截止时间前签章加密上传至全国公共资源交易平台（陕西省.西咸新区）。关于使用不见面开标方式的相关事项详见“http://xxxq.sxggzyjy.cn/xwzx/002002/20210721/d7421699-e891-4f40-b441-dccc415e05b3.html”内容。</w:t>
      </w:r>
    </w:p>
    <w:p w14:paraId="13C13527">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2、操作流程：①网上投标确认流程：登录全国公共资源交易平台（陕西省 西咸新区）（http://xxxq.sxggzyjy.cn/），选择“电子交易平台-陕西政府采购交易系统”进行登录，登录后选择“交易乙方”选择本项目选择“我要投标”填写相关信息后提交确认。 ②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 ③办理CA锁方式：供应商初次使用交易平台，需前往陕西省数字证书认证中心股份有限公司办理 CA 锁，办理地址及咨询电话如下：西安市高新三路九号信息港大厦一层101室，咨询电话:4006369888 ；西安市长安北路14号省体育公寓B座一楼，咨询电话：029-88661241；西安市文景北路16号白桦林国际B座二层，咨询电话:029-86510073转80211。</w:t>
      </w:r>
    </w:p>
    <w:p w14:paraId="7D6FCE3C">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rPr>
        <w:t xml:space="preserve"> 3、落实的政府采购政策：（1）《关于在政府采购活动中查询及使用信用记录有关问题的通知》（财库〔2016〕125号）；（2）《政府采购促进中小企业发展管理办法》（财库〔2020〕46号）《关于进一步加大政府采购支持中小企业力度的通知》（财库〔2022〕</w:t>
      </w:r>
      <w:bookmarkStart w:id="72" w:name="_GoBack"/>
      <w:bookmarkEnd w:id="72"/>
      <w:r>
        <w:rPr>
          <w:rFonts w:hint="eastAsia" w:ascii="黑体" w:hAnsi="黑体" w:eastAsia="黑体" w:cs="黑体"/>
          <w:sz w:val="19"/>
          <w:szCs w:val="19"/>
        </w:rPr>
        <w:t>19 号）《关于政府采购支持监狱企业发展有关问题的通知》（财库〔2014〕68号）以及《关于促进残疾人就业政府采购政策的通知》（财库〔2017〕141号）； （3）国务院办公厅《关于建立政府强制采购节能产品制度的通知》（国办发〔2007〕51号）、财政部、国家发改委、生态环境部、市场监督管理总局联合印发《关于调整优化节能产品、环境标志产品政府采购执行机制的通知》（财库〔2019〕9号）；（4）《陕西省财政厅关于加快推进我省中小企业政府采购信用融资工作的通知》（陕财办采〔2020〕15 号）、陕西省财政厅关于印发《陕西省中小企业政府采购信用融资办法》（陕财办采〔2018〕23 号）；（5）如有颁布最新的政策，以最新已生效的政策为准。</w:t>
      </w:r>
    </w:p>
    <w:p w14:paraId="0D5C9CA2">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highlight w:val="none"/>
          <w:lang w:val="en-US" w:eastAsia="zh-CN"/>
        </w:rPr>
        <w:t>4、投标人满足《中华人民共和国政府采购法》第二十二条规定的基本资格条件，</w:t>
      </w:r>
      <w:r>
        <w:rPr>
          <w:rFonts w:hint="eastAsia" w:ascii="黑体" w:hAnsi="黑体" w:eastAsia="黑体" w:cs="黑体"/>
          <w:color w:val="000000" w:themeColor="text1"/>
          <w:sz w:val="19"/>
          <w:szCs w:val="19"/>
          <w:highlight w:val="none"/>
          <w14:textFill>
            <w14:solidFill>
              <w14:schemeClr w14:val="tx1"/>
            </w14:solidFill>
          </w14:textFill>
        </w:rPr>
        <w:t>应按照《陕西省西咸新区财政金融局关于全面推行政府采购供应商基本资格条件承诺制的通知》（陕西咸财金发〔2023〕119号）文件要求，需提供加盖投标人公章的《基本资格条件承诺函》。</w:t>
      </w:r>
      <w:r>
        <w:rPr>
          <w:rFonts w:hint="eastAsia" w:ascii="黑体" w:hAnsi="黑体" w:eastAsia="黑体" w:cs="黑体"/>
          <w:color w:val="000000" w:themeColor="text1"/>
          <w:sz w:val="19"/>
          <w:szCs w:val="19"/>
          <w:highlight w:val="none"/>
          <w:lang w:val="en-US" w:eastAsia="zh-CN"/>
          <w14:textFill>
            <w14:solidFill>
              <w14:schemeClr w14:val="tx1"/>
            </w14:solidFill>
          </w14:textFill>
        </w:rPr>
        <w:t xml:space="preserve"> </w:t>
      </w:r>
      <w:r>
        <w:rPr>
          <w:rFonts w:hint="eastAsia" w:ascii="黑体" w:hAnsi="黑体" w:eastAsia="黑体" w:cs="黑体"/>
          <w:sz w:val="19"/>
          <w:szCs w:val="19"/>
        </w:rPr>
        <w:br w:type="textWrapping"/>
      </w:r>
      <w:r>
        <w:rPr>
          <w:rFonts w:hint="eastAsia" w:ascii="黑体" w:hAnsi="黑体" w:eastAsia="黑体" w:cs="黑体"/>
          <w:sz w:val="19"/>
          <w:szCs w:val="19"/>
        </w:rPr>
        <w:t xml:space="preserve">    </w:t>
      </w:r>
      <w:r>
        <w:rPr>
          <w:rFonts w:hint="eastAsia" w:ascii="黑体" w:hAnsi="黑体" w:eastAsia="黑体" w:cs="黑体"/>
          <w:sz w:val="19"/>
          <w:szCs w:val="19"/>
          <w:lang w:val="en-US" w:eastAsia="zh-CN"/>
        </w:rPr>
        <w:t>5</w:t>
      </w:r>
      <w:r>
        <w:rPr>
          <w:rFonts w:hint="eastAsia" w:ascii="黑体" w:hAnsi="黑体" w:eastAsia="黑体" w:cs="黑体"/>
          <w:sz w:val="19"/>
          <w:szCs w:val="19"/>
        </w:rPr>
        <w:t>、供应商须按照陕西省财政厅《关于政府采购供应商注册登记有关事项的通知》中的要求，通过陕西省政府采购网（http://www.ccgp-shaanxi.gov.cn/）注册登记加入陕西省政府采购供应商库。</w:t>
      </w:r>
    </w:p>
    <w:p w14:paraId="1B618E4B">
      <w:pPr>
        <w:pStyle w:val="7"/>
        <w:adjustRightInd w:val="0"/>
        <w:spacing w:before="84" w:beforeLines="20" w:line="480" w:lineRule="exact"/>
        <w:ind w:firstLine="380" w:firstLineChars="200"/>
        <w:jc w:val="both"/>
        <w:rPr>
          <w:rFonts w:hint="eastAsia" w:ascii="黑体" w:hAnsi="黑体" w:eastAsia="黑体" w:cs="黑体"/>
          <w:sz w:val="19"/>
          <w:szCs w:val="19"/>
        </w:rPr>
      </w:pPr>
      <w:r>
        <w:rPr>
          <w:rFonts w:hint="eastAsia" w:ascii="黑体" w:hAnsi="黑体" w:eastAsia="黑体" w:cs="黑体"/>
          <w:sz w:val="19"/>
          <w:szCs w:val="19"/>
          <w:lang w:val="en-US" w:eastAsia="zh-CN"/>
        </w:rPr>
        <w:t>6</w:t>
      </w:r>
      <w:r>
        <w:rPr>
          <w:rFonts w:hint="eastAsia" w:ascii="黑体" w:hAnsi="黑体" w:eastAsia="黑体" w:cs="黑体"/>
          <w:sz w:val="19"/>
          <w:szCs w:val="19"/>
        </w:rPr>
        <w:t>、公告发布媒体：陕西省政府采购网（https://www.ccgp-shaanxi.gov.cn/）、全国公共资源交易平台（陕西省·西咸新区）（http://ggzyjy.xixianxinqu.gov.cn/）。</w:t>
      </w:r>
    </w:p>
    <w:p w14:paraId="5FF00F1F">
      <w:pPr>
        <w:pStyle w:val="7"/>
        <w:adjustRightInd w:val="0"/>
        <w:spacing w:before="84" w:beforeLines="20" w:line="480" w:lineRule="exact"/>
        <w:jc w:val="both"/>
        <w:rPr>
          <w:rFonts w:hint="eastAsia" w:ascii="黑体" w:hAnsi="黑体" w:eastAsia="黑体" w:cs="黑体"/>
          <w:b/>
          <w:bCs/>
          <w:sz w:val="19"/>
          <w:szCs w:val="19"/>
        </w:rPr>
      </w:pPr>
      <w:r>
        <w:rPr>
          <w:rFonts w:hint="eastAsia" w:ascii="黑体" w:hAnsi="黑体" w:eastAsia="黑体" w:cs="黑体"/>
          <w:b/>
          <w:bCs/>
          <w:sz w:val="19"/>
          <w:szCs w:val="19"/>
        </w:rPr>
        <w:t>七、对本次招标提出询问，请按以下方式联系。</w:t>
      </w:r>
    </w:p>
    <w:p w14:paraId="3D9F5BC1">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1. 采购人信息</w:t>
      </w:r>
    </w:p>
    <w:p w14:paraId="35F4C1E9">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名   称：陕西省西咸新区应急管理局</w:t>
      </w:r>
    </w:p>
    <w:p w14:paraId="692D26DD">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地   址：西咸新区沣泾大道西一路西咸大厦</w:t>
      </w:r>
    </w:p>
    <w:p w14:paraId="5A4BB88B">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联系人：高老师</w:t>
      </w:r>
    </w:p>
    <w:p w14:paraId="6EB4CEBD">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联系方式：029-33585892</w:t>
      </w:r>
    </w:p>
    <w:p w14:paraId="333A3350">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 xml:space="preserve">2.采购代理机构信息  </w:t>
      </w:r>
    </w:p>
    <w:p w14:paraId="4E443400">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名    称：西安中保研招标有限公司</w:t>
      </w:r>
    </w:p>
    <w:p w14:paraId="52641FBC">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地　  址：陕西省西安市新城区金花新都汇写字楼A座7楼</w:t>
      </w:r>
    </w:p>
    <w:p w14:paraId="3B1022C1">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联系方式：xa@zbyan.cn　</w:t>
      </w:r>
    </w:p>
    <w:p w14:paraId="1CBA2A1A">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3.项目联系方式</w:t>
      </w:r>
    </w:p>
    <w:p w14:paraId="53B9B265">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项目联系人：杨丹、朱小翠、李创、孙桐、聂俊丽</w:t>
      </w:r>
    </w:p>
    <w:p w14:paraId="65BC8778">
      <w:pPr>
        <w:pStyle w:val="7"/>
        <w:adjustRightInd w:val="0"/>
        <w:spacing w:before="84" w:beforeLines="20" w:line="480" w:lineRule="exact"/>
        <w:jc w:val="both"/>
        <w:rPr>
          <w:rFonts w:hint="eastAsia" w:ascii="黑体" w:hAnsi="黑体" w:eastAsia="黑体" w:cs="黑体"/>
          <w:sz w:val="19"/>
          <w:szCs w:val="19"/>
        </w:rPr>
      </w:pPr>
      <w:r>
        <w:rPr>
          <w:rFonts w:hint="eastAsia" w:ascii="黑体" w:hAnsi="黑体" w:eastAsia="黑体" w:cs="黑体"/>
          <w:sz w:val="19"/>
          <w:szCs w:val="19"/>
        </w:rPr>
        <w:t>电　话：13772150019</w:t>
      </w:r>
    </w:p>
    <w:p w14:paraId="6513AB18">
      <w:pPr>
        <w:rPr>
          <w:rFonts w:hint="eastAsia" w:ascii="黑体" w:hAnsi="黑体" w:eastAsia="黑体" w:cs="黑体"/>
          <w:b/>
          <w:color w:val="000000" w:themeColor="text1"/>
          <w:sz w:val="21"/>
          <w:szCs w:val="21"/>
          <w14:textFill>
            <w14:solidFill>
              <w14:schemeClr w14:val="tx1"/>
            </w14:solidFill>
          </w14:textFill>
        </w:rPr>
        <w:sectPr>
          <w:footerReference r:id="rId6" w:type="default"/>
          <w:pgSz w:w="11906" w:h="16838"/>
          <w:pgMar w:top="1417" w:right="1417" w:bottom="1417" w:left="1417" w:header="851" w:footer="992" w:gutter="0"/>
          <w:pgNumType w:fmt="numberInDash" w:start="1"/>
          <w:cols w:space="425" w:num="1"/>
          <w:docGrid w:type="lines" w:linePitch="423" w:charSpace="0"/>
        </w:sectPr>
      </w:pPr>
    </w:p>
    <w:bookmarkEnd w:id="10"/>
    <w:bookmarkEnd w:id="11"/>
    <w:bookmarkEnd w:id="12"/>
    <w:bookmarkEnd w:id="13"/>
    <w:bookmarkEnd w:id="14"/>
    <w:bookmarkEnd w:id="15"/>
    <w:bookmarkEnd w:id="16"/>
    <w:bookmarkEnd w:id="17"/>
    <w:p w14:paraId="29B004EF">
      <w:pPr>
        <w:pStyle w:val="36"/>
        <w:jc w:val="center"/>
        <w:outlineLvl w:val="0"/>
        <w:rPr>
          <w:rFonts w:ascii="黑体" w:hAnsi="黑体" w:eastAsia="黑体" w:cs="黑体"/>
          <w:b/>
          <w:bCs/>
          <w:color w:val="000000" w:themeColor="text1"/>
          <w:sz w:val="28"/>
          <w:szCs w:val="28"/>
          <w14:textFill>
            <w14:solidFill>
              <w14:schemeClr w14:val="tx1"/>
            </w14:solidFill>
          </w14:textFill>
        </w:rPr>
      </w:pPr>
      <w:bookmarkStart w:id="20" w:name="_Toc4129"/>
      <w:bookmarkStart w:id="21" w:name="_Toc22654"/>
      <w:r>
        <w:rPr>
          <w:rFonts w:ascii="黑体" w:hAnsi="黑体" w:eastAsia="黑体" w:cs="黑体"/>
          <w:b/>
          <w:color w:val="000000" w:themeColor="text1"/>
          <w:sz w:val="28"/>
          <w:szCs w:val="28"/>
          <w14:textFill>
            <w14:solidFill>
              <w14:schemeClr w14:val="tx1"/>
            </w14:solidFill>
          </w14:textFill>
        </w:rPr>
        <w:t>第</w:t>
      </w:r>
      <w:r>
        <w:rPr>
          <w:rFonts w:ascii="黑体" w:hAnsi="黑体" w:eastAsia="黑体" w:cs="黑体"/>
          <w:b/>
          <w:color w:val="000000" w:themeColor="text1"/>
          <w:sz w:val="28"/>
          <w:szCs w:val="28"/>
          <w:lang w:eastAsia="zh-CN"/>
          <w14:textFill>
            <w14:solidFill>
              <w14:schemeClr w14:val="tx1"/>
            </w14:solidFill>
          </w14:textFill>
        </w:rPr>
        <w:t>二</w:t>
      </w:r>
      <w:r>
        <w:rPr>
          <w:rFonts w:ascii="黑体" w:hAnsi="黑体" w:eastAsia="黑体" w:cs="黑体"/>
          <w:b/>
          <w:color w:val="000000" w:themeColor="text1"/>
          <w:sz w:val="28"/>
          <w:szCs w:val="28"/>
          <w14:textFill>
            <w14:solidFill>
              <w14:schemeClr w14:val="tx1"/>
            </w14:solidFill>
          </w14:textFill>
        </w:rPr>
        <w:t xml:space="preserve">章 </w:t>
      </w:r>
      <w:bookmarkEnd w:id="20"/>
      <w:bookmarkStart w:id="22" w:name="_Toc23862"/>
      <w:r>
        <w:rPr>
          <w:rFonts w:ascii="黑体" w:hAnsi="黑体" w:eastAsia="黑体" w:cs="黑体"/>
          <w:b/>
          <w:color w:val="000000" w:themeColor="text1"/>
          <w:sz w:val="28"/>
          <w:szCs w:val="28"/>
          <w14:textFill>
            <w14:solidFill>
              <w14:schemeClr w14:val="tx1"/>
            </w14:solidFill>
          </w14:textFill>
        </w:rPr>
        <w:t>投标人须知</w:t>
      </w:r>
      <w:bookmarkEnd w:id="21"/>
      <w:bookmarkEnd w:id="22"/>
    </w:p>
    <w:p w14:paraId="0BDA361F">
      <w:pPr>
        <w:adjustRightInd w:val="0"/>
        <w:snapToGrid w:val="0"/>
        <w:spacing w:before="87" w:beforeLines="20" w:after="218" w:afterLines="50" w:line="480" w:lineRule="exact"/>
        <w:ind w:firstLine="381" w:firstLineChars="200"/>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b/>
          <w:bCs/>
          <w:sz w:val="19"/>
          <w:szCs w:val="19"/>
        </w:rPr>
        <w:t>招标文件中带有★号标识内容（包括本级及其下级编号中所有内容）条款为实质性条款，若有缺失或无效，投标无效</w:t>
      </w:r>
      <w:r>
        <w:rPr>
          <w:rFonts w:hint="eastAsia" w:ascii="黑体" w:hAnsi="黑体" w:eastAsia="黑体" w:cs="黑体"/>
          <w:sz w:val="19"/>
          <w:szCs w:val="19"/>
        </w:rPr>
        <w:t>。带“▲”号条款为允许负偏离的参数需求，若未响应或者不满足，将在综合评审中予以扣分处理。“</w:t>
      </w:r>
      <w:r>
        <w:rPr>
          <w:rFonts w:hint="eastAsia" w:ascii="黑体" w:hAnsi="黑体" w:eastAsia="黑体" w:cs="黑体"/>
          <w:color w:val="000000" w:themeColor="text1"/>
          <w:sz w:val="19"/>
          <w:szCs w:val="19"/>
          <w14:textFill>
            <w14:solidFill>
              <w14:schemeClr w14:val="tx1"/>
            </w14:solidFill>
          </w14:textFill>
        </w:rPr>
        <w:sym w:font="Wingdings" w:char="00FE"/>
      </w:r>
      <w:r>
        <w:rPr>
          <w:rFonts w:hint="eastAsia" w:ascii="黑体" w:hAnsi="黑体" w:eastAsia="黑体" w:cs="黑体"/>
          <w:sz w:val="19"/>
          <w:szCs w:val="19"/>
        </w:rPr>
        <w:t>”系指适用本项目的要求，“☐”系指不适用本项目的要求。</w:t>
      </w:r>
    </w:p>
    <w:p w14:paraId="6A80FEEE">
      <w:pPr>
        <w:pStyle w:val="36"/>
        <w:spacing w:after="218" w:afterLines="50"/>
        <w:jc w:val="center"/>
        <w:outlineLvl w:val="1"/>
        <w:rPr>
          <w:rFonts w:ascii="黑体" w:hAnsi="黑体" w:eastAsia="黑体" w:cs="黑体"/>
          <w:b/>
          <w:color w:val="000000" w:themeColor="text1"/>
          <w:sz w:val="28"/>
          <w14:textFill>
            <w14:solidFill>
              <w14:schemeClr w14:val="tx1"/>
            </w14:solidFill>
          </w14:textFill>
        </w:rPr>
      </w:pPr>
      <w:bookmarkStart w:id="23" w:name="_Toc10377"/>
      <w:bookmarkStart w:id="24" w:name="_Toc29313"/>
      <w:r>
        <w:rPr>
          <w:rFonts w:ascii="黑体" w:hAnsi="黑体" w:eastAsia="黑体" w:cs="黑体"/>
          <w:b/>
          <w:color w:val="000000" w:themeColor="text1"/>
          <w:sz w:val="28"/>
          <w:szCs w:val="28"/>
          <w:lang w:eastAsia="zh-CN"/>
          <w14:textFill>
            <w14:solidFill>
              <w14:schemeClr w14:val="tx1"/>
            </w14:solidFill>
          </w14:textFill>
        </w:rPr>
        <w:t>投标人须知</w:t>
      </w:r>
      <w:r>
        <w:rPr>
          <w:rFonts w:ascii="黑体" w:hAnsi="黑体" w:eastAsia="黑体" w:cs="黑体"/>
          <w:b/>
          <w:color w:val="000000" w:themeColor="text1"/>
          <w:sz w:val="28"/>
          <w:szCs w:val="28"/>
          <w14:textFill>
            <w14:solidFill>
              <w14:schemeClr w14:val="tx1"/>
            </w14:solidFill>
          </w14:textFill>
        </w:rPr>
        <w:t>前附表</w:t>
      </w:r>
      <w:bookmarkEnd w:id="23"/>
      <w:bookmarkEnd w:id="24"/>
    </w:p>
    <w:tbl>
      <w:tblPr>
        <w:tblStyle w:val="20"/>
        <w:tblW w:w="9518"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291"/>
        <w:gridCol w:w="6555"/>
      </w:tblGrid>
      <w:tr w14:paraId="0B99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vAlign w:val="center"/>
          </w:tcPr>
          <w:p w14:paraId="130FFF0E">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序号</w:t>
            </w:r>
          </w:p>
        </w:tc>
        <w:tc>
          <w:tcPr>
            <w:tcW w:w="2291" w:type="dxa"/>
            <w:vAlign w:val="center"/>
          </w:tcPr>
          <w:p w14:paraId="5B21B5A4">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名称</w:t>
            </w:r>
          </w:p>
        </w:tc>
        <w:tc>
          <w:tcPr>
            <w:tcW w:w="6555" w:type="dxa"/>
            <w:vAlign w:val="center"/>
          </w:tcPr>
          <w:p w14:paraId="601239A0">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具体内容和要求</w:t>
            </w:r>
          </w:p>
        </w:tc>
      </w:tr>
      <w:tr w14:paraId="44F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2" w:type="dxa"/>
            <w:vMerge w:val="restart"/>
            <w:vAlign w:val="center"/>
          </w:tcPr>
          <w:p w14:paraId="15CDD553">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w:t>
            </w:r>
          </w:p>
        </w:tc>
        <w:tc>
          <w:tcPr>
            <w:tcW w:w="2291" w:type="dxa"/>
            <w:vAlign w:val="center"/>
          </w:tcPr>
          <w:p w14:paraId="07B0EE5F">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采购项目</w:t>
            </w:r>
          </w:p>
        </w:tc>
        <w:tc>
          <w:tcPr>
            <w:tcW w:w="6555" w:type="dxa"/>
            <w:vAlign w:val="center"/>
          </w:tcPr>
          <w:p w14:paraId="46D7CD48">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西咸新区地震监测台网建设</w:t>
            </w:r>
          </w:p>
        </w:tc>
      </w:tr>
      <w:tr w14:paraId="5E9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2" w:type="dxa"/>
            <w:vMerge w:val="continue"/>
            <w:vAlign w:val="center"/>
          </w:tcPr>
          <w:p w14:paraId="500C978E">
            <w:pPr>
              <w:pStyle w:val="11"/>
              <w:spacing w:line="480" w:lineRule="exact"/>
              <w:rPr>
                <w:rFonts w:hint="eastAsia" w:ascii="黑体" w:hAnsi="黑体" w:eastAsia="黑体" w:cs="黑体"/>
                <w:color w:val="auto"/>
                <w:kern w:val="2"/>
                <w:sz w:val="19"/>
                <w:szCs w:val="19"/>
              </w:rPr>
            </w:pPr>
          </w:p>
        </w:tc>
        <w:tc>
          <w:tcPr>
            <w:tcW w:w="2291" w:type="dxa"/>
            <w:vAlign w:val="center"/>
          </w:tcPr>
          <w:p w14:paraId="379739F5">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采购预算</w:t>
            </w:r>
          </w:p>
        </w:tc>
        <w:tc>
          <w:tcPr>
            <w:tcW w:w="6555" w:type="dxa"/>
            <w:vAlign w:val="center"/>
          </w:tcPr>
          <w:p w14:paraId="6E55331D">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1990000元</w:t>
            </w:r>
          </w:p>
        </w:tc>
      </w:tr>
      <w:tr w14:paraId="288B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72" w:type="dxa"/>
            <w:vMerge w:val="continue"/>
            <w:vAlign w:val="center"/>
          </w:tcPr>
          <w:p w14:paraId="009D5B03">
            <w:pPr>
              <w:pStyle w:val="11"/>
              <w:spacing w:line="480" w:lineRule="exact"/>
              <w:rPr>
                <w:rFonts w:hint="eastAsia" w:ascii="黑体" w:hAnsi="黑体" w:eastAsia="黑体" w:cs="黑体"/>
                <w:color w:val="auto"/>
                <w:kern w:val="2"/>
                <w:sz w:val="19"/>
                <w:szCs w:val="19"/>
              </w:rPr>
            </w:pPr>
          </w:p>
        </w:tc>
        <w:tc>
          <w:tcPr>
            <w:tcW w:w="2291" w:type="dxa"/>
            <w:vAlign w:val="center"/>
          </w:tcPr>
          <w:p w14:paraId="3D138DAF">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最高限价</w:t>
            </w:r>
          </w:p>
        </w:tc>
        <w:tc>
          <w:tcPr>
            <w:tcW w:w="6555" w:type="dxa"/>
            <w:vAlign w:val="center"/>
          </w:tcPr>
          <w:p w14:paraId="381B9AEA">
            <w:pPr>
              <w:pStyle w:val="11"/>
              <w:widowControl w:val="0"/>
              <w:spacing w:before="0" w:beforeAutospacing="0" w:after="0" w:afterAutospacing="0" w:line="480" w:lineRule="exact"/>
              <w:ind w:right="-86" w:rightChars="-36"/>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1990000元</w:t>
            </w:r>
          </w:p>
          <w:p w14:paraId="3CD43341">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★投标人应有明确报价，超过最高限价或者无报价响应的，投标无效。</w:t>
            </w:r>
          </w:p>
        </w:tc>
      </w:tr>
      <w:tr w14:paraId="52D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2" w:type="dxa"/>
            <w:vMerge w:val="continue"/>
            <w:vAlign w:val="center"/>
          </w:tcPr>
          <w:p w14:paraId="243405BF">
            <w:pPr>
              <w:pStyle w:val="11"/>
              <w:spacing w:line="480" w:lineRule="exact"/>
              <w:rPr>
                <w:rFonts w:hint="eastAsia" w:ascii="黑体" w:hAnsi="黑体" w:eastAsia="黑体" w:cs="黑体"/>
                <w:color w:val="auto"/>
                <w:kern w:val="2"/>
                <w:sz w:val="19"/>
                <w:szCs w:val="19"/>
              </w:rPr>
            </w:pPr>
          </w:p>
        </w:tc>
        <w:tc>
          <w:tcPr>
            <w:tcW w:w="2291" w:type="dxa"/>
            <w:vMerge w:val="restart"/>
            <w:vAlign w:val="center"/>
          </w:tcPr>
          <w:p w14:paraId="53780CAF">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采购资金的支付方式、时间、条件</w:t>
            </w:r>
          </w:p>
        </w:tc>
        <w:tc>
          <w:tcPr>
            <w:tcW w:w="6555" w:type="dxa"/>
            <w:vAlign w:val="center"/>
          </w:tcPr>
          <w:p w14:paraId="067079D1">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详见采购需求</w:t>
            </w:r>
          </w:p>
        </w:tc>
      </w:tr>
      <w:tr w14:paraId="4904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2" w:type="dxa"/>
            <w:vMerge w:val="continue"/>
            <w:vAlign w:val="center"/>
          </w:tcPr>
          <w:p w14:paraId="1B341746">
            <w:pPr>
              <w:pStyle w:val="11"/>
              <w:spacing w:line="480" w:lineRule="exact"/>
              <w:rPr>
                <w:rFonts w:hint="eastAsia" w:ascii="黑体" w:hAnsi="黑体" w:eastAsia="黑体" w:cs="黑体"/>
                <w:color w:val="auto"/>
                <w:kern w:val="2"/>
                <w:sz w:val="19"/>
                <w:szCs w:val="19"/>
              </w:rPr>
            </w:pPr>
          </w:p>
        </w:tc>
        <w:tc>
          <w:tcPr>
            <w:tcW w:w="2291" w:type="dxa"/>
            <w:vMerge w:val="continue"/>
            <w:vAlign w:val="center"/>
          </w:tcPr>
          <w:p w14:paraId="37B58B3D">
            <w:pPr>
              <w:pStyle w:val="11"/>
              <w:spacing w:line="480" w:lineRule="exact"/>
              <w:rPr>
                <w:rFonts w:hint="eastAsia" w:ascii="黑体" w:hAnsi="黑体" w:eastAsia="黑体" w:cs="黑体"/>
                <w:color w:val="auto"/>
                <w:kern w:val="2"/>
                <w:sz w:val="19"/>
                <w:szCs w:val="19"/>
              </w:rPr>
            </w:pPr>
          </w:p>
        </w:tc>
        <w:tc>
          <w:tcPr>
            <w:tcW w:w="6555" w:type="dxa"/>
            <w:vAlign w:val="center"/>
          </w:tcPr>
          <w:p w14:paraId="565C8DD9">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如中标单位为中小企业，资金支付等事项按照《保障中小企业款项支付条例》（国务院令第802 号）要求执行。</w:t>
            </w:r>
          </w:p>
        </w:tc>
      </w:tr>
      <w:tr w14:paraId="7F2C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2" w:type="dxa"/>
            <w:vMerge w:val="continue"/>
            <w:vAlign w:val="center"/>
          </w:tcPr>
          <w:p w14:paraId="1C5848A8">
            <w:pPr>
              <w:pStyle w:val="11"/>
              <w:spacing w:line="480" w:lineRule="exact"/>
              <w:rPr>
                <w:rFonts w:hint="eastAsia" w:ascii="黑体" w:hAnsi="黑体" w:eastAsia="黑体" w:cs="黑体"/>
                <w:color w:val="auto"/>
                <w:kern w:val="2"/>
                <w:sz w:val="19"/>
                <w:szCs w:val="19"/>
              </w:rPr>
            </w:pPr>
          </w:p>
        </w:tc>
        <w:tc>
          <w:tcPr>
            <w:tcW w:w="2291" w:type="dxa"/>
            <w:vAlign w:val="center"/>
          </w:tcPr>
          <w:p w14:paraId="3D5A4153">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信息发布媒体</w:t>
            </w:r>
          </w:p>
        </w:tc>
        <w:tc>
          <w:tcPr>
            <w:tcW w:w="6555" w:type="dxa"/>
            <w:vAlign w:val="center"/>
          </w:tcPr>
          <w:p w14:paraId="4736E90C">
            <w:pPr>
              <w:spacing w:line="480" w:lineRule="exact"/>
              <w:rPr>
                <w:rFonts w:hint="eastAsia" w:ascii="黑体" w:hAnsi="黑体" w:eastAsia="黑体" w:cs="黑体"/>
                <w:sz w:val="19"/>
                <w:szCs w:val="19"/>
              </w:rPr>
            </w:pPr>
            <w:r>
              <w:rPr>
                <w:rFonts w:hint="eastAsia" w:ascii="黑体" w:hAnsi="黑体" w:eastAsia="黑体" w:cs="黑体"/>
                <w:kern w:val="0"/>
                <w:sz w:val="19"/>
                <w:szCs w:val="19"/>
              </w:rPr>
              <w:t>陕西省政府采购网（http://www.ccgp-shaanxi.gov.cn）、全国公共资源交易平台（陕西省·西咸新区）（http://ggzyjy.xixianxinqu.gov.cn/）</w:t>
            </w:r>
          </w:p>
        </w:tc>
      </w:tr>
      <w:tr w14:paraId="20BD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672" w:type="dxa"/>
            <w:vAlign w:val="center"/>
          </w:tcPr>
          <w:p w14:paraId="7BBD5B23">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w:t>
            </w:r>
          </w:p>
        </w:tc>
        <w:tc>
          <w:tcPr>
            <w:tcW w:w="2291" w:type="dxa"/>
            <w:vAlign w:val="center"/>
          </w:tcPr>
          <w:p w14:paraId="06A2D70D">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采购人</w:t>
            </w:r>
          </w:p>
        </w:tc>
        <w:tc>
          <w:tcPr>
            <w:tcW w:w="6555" w:type="dxa"/>
            <w:vAlign w:val="center"/>
          </w:tcPr>
          <w:p w14:paraId="02F88153">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名称：陕西省西咸新区应急管理局</w:t>
            </w:r>
          </w:p>
          <w:p w14:paraId="4A279F5A">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地址：西咸新区沣泾大道西一路西咸大厦　　</w:t>
            </w:r>
          </w:p>
          <w:p w14:paraId="0712233D">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联系人：高老师　　</w:t>
            </w:r>
          </w:p>
          <w:p w14:paraId="64587E53">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电话：029-33585892</w:t>
            </w:r>
          </w:p>
        </w:tc>
      </w:tr>
      <w:tr w14:paraId="6BE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672" w:type="dxa"/>
            <w:vAlign w:val="center"/>
          </w:tcPr>
          <w:p w14:paraId="4B2A04EE">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3</w:t>
            </w:r>
          </w:p>
        </w:tc>
        <w:tc>
          <w:tcPr>
            <w:tcW w:w="2291" w:type="dxa"/>
            <w:vAlign w:val="center"/>
          </w:tcPr>
          <w:p w14:paraId="5E4AD87A">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采购代理机构</w:t>
            </w:r>
          </w:p>
        </w:tc>
        <w:tc>
          <w:tcPr>
            <w:tcW w:w="6555" w:type="dxa"/>
            <w:vAlign w:val="center"/>
          </w:tcPr>
          <w:p w14:paraId="452C4AE0">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名称：西安中保研招标有限公司</w:t>
            </w:r>
          </w:p>
          <w:p w14:paraId="6AEE306D">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地址：陕西省西安市新城区金花新都汇写字楼A座7楼</w:t>
            </w:r>
          </w:p>
          <w:p w14:paraId="51871C3B">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联系人：</w:t>
            </w:r>
            <w:r>
              <w:rPr>
                <w:rFonts w:hint="eastAsia" w:ascii="黑体" w:hAnsi="黑体" w:eastAsia="黑体" w:cs="黑体"/>
                <w:sz w:val="19"/>
                <w:szCs w:val="19"/>
              </w:rPr>
              <w:t>杨丹、朱小翠、李创、孙桐、聂俊丽</w:t>
            </w:r>
          </w:p>
          <w:p w14:paraId="1F7285E2">
            <w:pPr>
              <w:pStyle w:val="11"/>
              <w:widowControl w:val="0"/>
              <w:spacing w:before="0" w:beforeAutospacing="0" w:after="0" w:afterAutospacing="0" w:line="480" w:lineRule="exact"/>
              <w:rPr>
                <w:rFonts w:hint="eastAsia" w:ascii="黑体" w:hAnsi="黑体" w:eastAsia="黑体" w:cs="黑体"/>
                <w:color w:val="auto"/>
                <w:sz w:val="19"/>
                <w:szCs w:val="19"/>
              </w:rPr>
            </w:pPr>
            <w:r>
              <w:rPr>
                <w:rFonts w:hint="eastAsia" w:ascii="黑体" w:hAnsi="黑体" w:eastAsia="黑体" w:cs="黑体"/>
                <w:color w:val="auto"/>
                <w:kern w:val="2"/>
                <w:sz w:val="19"/>
                <w:szCs w:val="19"/>
              </w:rPr>
              <w:t>电话：13772150019</w:t>
            </w:r>
          </w:p>
        </w:tc>
      </w:tr>
      <w:tr w14:paraId="03BE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672" w:type="dxa"/>
            <w:vAlign w:val="center"/>
          </w:tcPr>
          <w:p w14:paraId="21717FC1">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4</w:t>
            </w:r>
          </w:p>
        </w:tc>
        <w:tc>
          <w:tcPr>
            <w:tcW w:w="2291" w:type="dxa"/>
            <w:vAlign w:val="center"/>
          </w:tcPr>
          <w:p w14:paraId="795DA951">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项目属性与核心产品</w:t>
            </w:r>
          </w:p>
        </w:tc>
        <w:tc>
          <w:tcPr>
            <w:tcW w:w="6555" w:type="dxa"/>
            <w:vAlign w:val="center"/>
          </w:tcPr>
          <w:p w14:paraId="586C3EA0">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sz w:val="19"/>
                <w:szCs w:val="19"/>
              </w:rPr>
              <w:sym w:font="Wingdings" w:char="00A8"/>
            </w:r>
            <w:r>
              <w:rPr>
                <w:rFonts w:hint="eastAsia" w:ascii="黑体" w:hAnsi="黑体" w:eastAsia="黑体" w:cs="黑体"/>
                <w:color w:val="auto"/>
                <w:sz w:val="19"/>
                <w:szCs w:val="19"/>
              </w:rPr>
              <w:t>服</w:t>
            </w:r>
            <w:r>
              <w:rPr>
                <w:rFonts w:hint="eastAsia" w:ascii="黑体" w:hAnsi="黑体" w:eastAsia="黑体" w:cs="黑体"/>
                <w:color w:val="auto"/>
                <w:kern w:val="2"/>
                <w:sz w:val="19"/>
                <w:szCs w:val="19"/>
              </w:rPr>
              <w:t>务类</w:t>
            </w:r>
          </w:p>
          <w:p w14:paraId="3CBD6B60">
            <w:pPr>
              <w:pStyle w:val="11"/>
              <w:widowControl w:val="0"/>
              <w:spacing w:before="0" w:beforeAutospacing="0" w:after="0" w:afterAutospacing="0" w:line="480" w:lineRule="exact"/>
              <w:rPr>
                <w:rFonts w:hint="eastAsia" w:ascii="黑体" w:hAnsi="黑体" w:eastAsia="黑体" w:cs="黑体"/>
                <w:color w:val="auto"/>
                <w:sz w:val="19"/>
                <w:szCs w:val="19"/>
              </w:rPr>
            </w:pPr>
            <w:r>
              <w:rPr>
                <w:rFonts w:hint="eastAsia" w:ascii="黑体" w:hAnsi="黑体" w:eastAsia="黑体" w:cs="黑体"/>
                <w:color w:val="auto"/>
                <w:kern w:val="2"/>
                <w:sz w:val="19"/>
                <w:szCs w:val="19"/>
              </w:rPr>
              <w:sym w:font="Wingdings" w:char="00FE"/>
            </w:r>
            <w:r>
              <w:rPr>
                <w:rFonts w:hint="eastAsia" w:ascii="黑体" w:hAnsi="黑体" w:eastAsia="黑体" w:cs="黑体"/>
                <w:color w:val="auto"/>
                <w:kern w:val="2"/>
                <w:sz w:val="19"/>
                <w:szCs w:val="19"/>
              </w:rPr>
              <w:t>货物类，</w:t>
            </w:r>
            <w:r>
              <w:rPr>
                <w:rFonts w:hint="eastAsia" w:ascii="黑体" w:hAnsi="黑体" w:eastAsia="黑体" w:cs="黑体"/>
                <w:color w:val="auto"/>
                <w:kern w:val="2"/>
                <w:sz w:val="19"/>
                <w:szCs w:val="19"/>
                <w:highlight w:val="none"/>
              </w:rPr>
              <w:t>单一产品或核心产品为：</w:t>
            </w:r>
            <w:r>
              <w:rPr>
                <w:rFonts w:hint="eastAsia" w:ascii="黑体" w:hAnsi="黑体" w:eastAsia="黑体" w:cs="黑体"/>
                <w:color w:val="auto"/>
                <w:sz w:val="19"/>
                <w:szCs w:val="19"/>
                <w:highlight w:val="none"/>
                <w:u w:val="single"/>
              </w:rPr>
              <w:t xml:space="preserve">   地震数据采集器（三通道）   </w:t>
            </w:r>
          </w:p>
        </w:tc>
      </w:tr>
      <w:tr w14:paraId="2086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672" w:type="dxa"/>
            <w:vAlign w:val="center"/>
          </w:tcPr>
          <w:p w14:paraId="29F22727">
            <w:pPr>
              <w:spacing w:line="360" w:lineRule="auto"/>
              <w:jc w:val="left"/>
              <w:rPr>
                <w:rFonts w:hint="eastAsia" w:ascii="黑体" w:hAnsi="黑体" w:eastAsia="黑体" w:cs="黑体"/>
                <w:sz w:val="19"/>
                <w:szCs w:val="19"/>
              </w:rPr>
            </w:pPr>
            <w:r>
              <w:rPr>
                <w:rFonts w:hint="eastAsia" w:ascii="黑体" w:hAnsi="黑体" w:eastAsia="黑体" w:cs="黑体"/>
                <w:sz w:val="19"/>
                <w:szCs w:val="19"/>
              </w:rPr>
              <w:t>5</w:t>
            </w:r>
          </w:p>
        </w:tc>
        <w:tc>
          <w:tcPr>
            <w:tcW w:w="2291" w:type="dxa"/>
            <w:vAlign w:val="center"/>
          </w:tcPr>
          <w:p w14:paraId="427BB933">
            <w:pPr>
              <w:spacing w:line="360" w:lineRule="auto"/>
              <w:rPr>
                <w:rFonts w:hint="eastAsia" w:ascii="黑体" w:hAnsi="黑体" w:eastAsia="黑体" w:cs="黑体"/>
                <w:sz w:val="19"/>
                <w:szCs w:val="19"/>
              </w:rPr>
            </w:pPr>
            <w:r>
              <w:rPr>
                <w:rFonts w:hint="eastAsia" w:ascii="黑体" w:hAnsi="黑体" w:eastAsia="黑体" w:cs="黑体"/>
                <w:sz w:val="19"/>
                <w:szCs w:val="19"/>
              </w:rPr>
              <w:t>是否为专门面向中小</w:t>
            </w:r>
          </w:p>
          <w:p w14:paraId="3A65E2A5">
            <w:pPr>
              <w:spacing w:line="360" w:lineRule="auto"/>
              <w:rPr>
                <w:rFonts w:hint="eastAsia" w:ascii="黑体" w:hAnsi="黑体" w:eastAsia="黑体" w:cs="黑体"/>
                <w:sz w:val="19"/>
                <w:szCs w:val="19"/>
              </w:rPr>
            </w:pPr>
            <w:r>
              <w:rPr>
                <w:rFonts w:hint="eastAsia" w:ascii="黑体" w:hAnsi="黑体" w:eastAsia="黑体" w:cs="黑体"/>
                <w:sz w:val="19"/>
                <w:szCs w:val="19"/>
              </w:rPr>
              <w:t>企业采购</w:t>
            </w:r>
          </w:p>
        </w:tc>
        <w:tc>
          <w:tcPr>
            <w:tcW w:w="6555" w:type="dxa"/>
            <w:vAlign w:val="center"/>
          </w:tcPr>
          <w:p w14:paraId="2AA338B0">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sym w:font="Wingdings" w:char="00A8"/>
            </w:r>
            <w:r>
              <w:rPr>
                <w:rFonts w:hint="eastAsia" w:ascii="黑体" w:hAnsi="黑体" w:eastAsia="黑体" w:cs="黑体"/>
                <w:kern w:val="0"/>
                <w:sz w:val="19"/>
                <w:szCs w:val="19"/>
              </w:rPr>
              <w:t>专门面向中小企业采购项目。专门面向中小企业采购的项目或者采购包，中小企业不再执行价格评审优惠扶持政策。</w:t>
            </w:r>
          </w:p>
          <w:p w14:paraId="4079A963">
            <w:pPr>
              <w:spacing w:line="480" w:lineRule="exact"/>
              <w:rPr>
                <w:rFonts w:hint="eastAsia" w:ascii="黑体" w:hAnsi="黑体" w:eastAsia="黑体" w:cs="黑体"/>
                <w:sz w:val="19"/>
                <w:szCs w:val="19"/>
              </w:rPr>
            </w:pPr>
            <w:r>
              <w:rPr>
                <w:rFonts w:hint="eastAsia" w:ascii="黑体" w:hAnsi="黑体" w:eastAsia="黑体" w:cs="黑体"/>
                <w:kern w:val="0"/>
                <w:sz w:val="19"/>
                <w:szCs w:val="19"/>
              </w:rPr>
              <w:sym w:font="Wingdings" w:char="00FE"/>
            </w:r>
            <w:r>
              <w:rPr>
                <w:rFonts w:hint="eastAsia" w:ascii="黑体" w:hAnsi="黑体" w:eastAsia="黑体" w:cs="黑体"/>
                <w:kern w:val="0"/>
                <w:sz w:val="19"/>
                <w:szCs w:val="19"/>
              </w:rPr>
              <w:t>非专门面向中小企业采购项目，落实政策详见第五章评标办法。</w:t>
            </w:r>
          </w:p>
        </w:tc>
      </w:tr>
      <w:tr w14:paraId="4F24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2" w:type="dxa"/>
            <w:vAlign w:val="center"/>
          </w:tcPr>
          <w:p w14:paraId="0AAC306E">
            <w:pPr>
              <w:spacing w:line="360" w:lineRule="auto"/>
              <w:jc w:val="left"/>
              <w:rPr>
                <w:rFonts w:hint="eastAsia" w:ascii="黑体" w:hAnsi="黑体" w:eastAsia="黑体" w:cs="黑体"/>
                <w:sz w:val="19"/>
                <w:szCs w:val="19"/>
              </w:rPr>
            </w:pPr>
            <w:r>
              <w:rPr>
                <w:rFonts w:hint="eastAsia" w:ascii="黑体" w:hAnsi="黑体" w:eastAsia="黑体" w:cs="黑体"/>
                <w:sz w:val="19"/>
                <w:szCs w:val="19"/>
              </w:rPr>
              <w:t>6</w:t>
            </w:r>
          </w:p>
        </w:tc>
        <w:tc>
          <w:tcPr>
            <w:tcW w:w="2291" w:type="dxa"/>
            <w:vAlign w:val="center"/>
          </w:tcPr>
          <w:p w14:paraId="481F750D">
            <w:pPr>
              <w:spacing w:line="360" w:lineRule="auto"/>
              <w:rPr>
                <w:rFonts w:hint="eastAsia" w:ascii="黑体" w:hAnsi="黑体" w:eastAsia="黑体" w:cs="黑体"/>
                <w:sz w:val="19"/>
                <w:szCs w:val="19"/>
              </w:rPr>
            </w:pPr>
            <w:r>
              <w:rPr>
                <w:rFonts w:hint="eastAsia" w:ascii="黑体" w:hAnsi="黑体" w:eastAsia="黑体" w:cs="黑体"/>
                <w:sz w:val="19"/>
                <w:szCs w:val="19"/>
              </w:rPr>
              <w:t>采购项目对应的中小企业划分标准所属行业</w:t>
            </w:r>
          </w:p>
        </w:tc>
        <w:tc>
          <w:tcPr>
            <w:tcW w:w="6555" w:type="dxa"/>
            <w:vAlign w:val="center"/>
          </w:tcPr>
          <w:p w14:paraId="152EF0E4">
            <w:pPr>
              <w:spacing w:line="480" w:lineRule="exact"/>
              <w:rPr>
                <w:rFonts w:hint="eastAsia" w:ascii="黑体" w:hAnsi="黑体" w:eastAsia="黑体" w:cs="黑体"/>
                <w:sz w:val="19"/>
                <w:szCs w:val="19"/>
              </w:rPr>
            </w:pPr>
            <w:r>
              <w:rPr>
                <w:rFonts w:hint="eastAsia" w:ascii="黑体" w:hAnsi="黑体" w:eastAsia="黑体" w:cs="黑体"/>
                <w:sz w:val="19"/>
                <w:szCs w:val="19"/>
              </w:rPr>
              <w:t>所属行业：</w:t>
            </w:r>
            <w:r>
              <w:rPr>
                <w:rFonts w:hint="eastAsia" w:ascii="黑体" w:hAnsi="黑体" w:eastAsia="黑体" w:cs="黑体"/>
                <w:sz w:val="19"/>
                <w:szCs w:val="19"/>
                <w:u w:val="single"/>
              </w:rPr>
              <w:t xml:space="preserve"> 工业。 </w:t>
            </w:r>
          </w:p>
          <w:p w14:paraId="5E20FB24">
            <w:pPr>
              <w:spacing w:line="480" w:lineRule="exact"/>
              <w:rPr>
                <w:rFonts w:hint="eastAsia" w:ascii="黑体" w:hAnsi="黑体" w:eastAsia="黑体" w:cs="黑体"/>
                <w:sz w:val="19"/>
                <w:szCs w:val="19"/>
              </w:rPr>
            </w:pPr>
            <w:r>
              <w:rPr>
                <w:rFonts w:hint="eastAsia" w:ascii="黑体" w:hAnsi="黑体" w:eastAsia="黑体" w:cs="黑体"/>
                <w:sz w:val="19"/>
                <w:szCs w:val="19"/>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3C02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72" w:type="dxa"/>
            <w:vAlign w:val="center"/>
          </w:tcPr>
          <w:p w14:paraId="1F3CE50E">
            <w:pPr>
              <w:spacing w:line="360" w:lineRule="auto"/>
              <w:jc w:val="left"/>
              <w:rPr>
                <w:rFonts w:hint="eastAsia" w:ascii="黑体" w:hAnsi="黑体" w:eastAsia="黑体" w:cs="黑体"/>
                <w:sz w:val="19"/>
                <w:szCs w:val="19"/>
              </w:rPr>
            </w:pPr>
            <w:r>
              <w:rPr>
                <w:rFonts w:hint="eastAsia" w:ascii="黑体" w:hAnsi="黑体" w:eastAsia="黑体" w:cs="黑体"/>
                <w:sz w:val="19"/>
                <w:szCs w:val="19"/>
              </w:rPr>
              <w:t>7</w:t>
            </w:r>
          </w:p>
        </w:tc>
        <w:tc>
          <w:tcPr>
            <w:tcW w:w="2291" w:type="dxa"/>
            <w:vAlign w:val="center"/>
          </w:tcPr>
          <w:p w14:paraId="22D128A6">
            <w:pPr>
              <w:spacing w:line="360" w:lineRule="auto"/>
              <w:jc w:val="left"/>
              <w:rPr>
                <w:rFonts w:hint="eastAsia" w:ascii="黑体" w:hAnsi="黑体" w:eastAsia="黑体" w:cs="黑体"/>
                <w:sz w:val="19"/>
                <w:szCs w:val="19"/>
              </w:rPr>
            </w:pPr>
            <w:r>
              <w:rPr>
                <w:rFonts w:hint="eastAsia" w:ascii="黑体" w:hAnsi="黑体" w:eastAsia="黑体" w:cs="黑体"/>
                <w:sz w:val="19"/>
                <w:szCs w:val="19"/>
              </w:rPr>
              <w:t>是否允许联合体参加政府采购活动</w:t>
            </w:r>
          </w:p>
        </w:tc>
        <w:tc>
          <w:tcPr>
            <w:tcW w:w="6555" w:type="dxa"/>
            <w:vAlign w:val="center"/>
          </w:tcPr>
          <w:p w14:paraId="2815DD0A">
            <w:pPr>
              <w:pStyle w:val="11"/>
              <w:widowControl w:val="0"/>
              <w:spacing w:before="0" w:beforeAutospacing="0" w:after="0" w:afterAutospacing="0" w:line="480" w:lineRule="exact"/>
              <w:rPr>
                <w:rFonts w:hint="eastAsia" w:ascii="黑体" w:hAnsi="黑体" w:eastAsia="黑体" w:cs="黑体"/>
                <w:sz w:val="19"/>
                <w:szCs w:val="19"/>
              </w:rPr>
            </w:pPr>
            <w:r>
              <w:rPr>
                <w:rFonts w:hint="eastAsia" w:ascii="黑体" w:hAnsi="黑体" w:eastAsia="黑体" w:cs="黑体"/>
                <w:sz w:val="19"/>
                <w:szCs w:val="19"/>
              </w:rPr>
              <w:sym w:font="Wingdings" w:char="00A8"/>
            </w:r>
            <w:r>
              <w:rPr>
                <w:rFonts w:hint="eastAsia" w:ascii="黑体" w:hAnsi="黑体" w:eastAsia="黑体" w:cs="黑体"/>
                <w:sz w:val="19"/>
                <w:szCs w:val="19"/>
              </w:rPr>
              <w:t>是</w:t>
            </w:r>
          </w:p>
          <w:p w14:paraId="369AAFBB">
            <w:pPr>
              <w:pStyle w:val="11"/>
              <w:widowControl w:val="0"/>
              <w:spacing w:before="0" w:beforeAutospacing="0" w:after="0" w:afterAutospacing="0" w:line="480" w:lineRule="exact"/>
              <w:rPr>
                <w:rFonts w:hint="eastAsia" w:ascii="黑体" w:hAnsi="黑体" w:eastAsia="黑体" w:cs="黑体"/>
                <w:sz w:val="19"/>
                <w:szCs w:val="19"/>
              </w:rPr>
            </w:pPr>
            <w:r>
              <w:rPr>
                <w:rFonts w:hint="eastAsia" w:ascii="黑体" w:hAnsi="黑体" w:eastAsia="黑体" w:cs="黑体"/>
                <w:sz w:val="19"/>
                <w:szCs w:val="19"/>
              </w:rPr>
              <w:sym w:font="Wingdings" w:char="00FE"/>
            </w:r>
            <w:r>
              <w:rPr>
                <w:rFonts w:hint="eastAsia" w:ascii="黑体" w:hAnsi="黑体" w:eastAsia="黑体" w:cs="黑体"/>
                <w:sz w:val="19"/>
                <w:szCs w:val="19"/>
              </w:rPr>
              <w:t>否</w:t>
            </w:r>
          </w:p>
        </w:tc>
      </w:tr>
      <w:tr w14:paraId="724F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72" w:type="dxa"/>
            <w:vAlign w:val="center"/>
          </w:tcPr>
          <w:p w14:paraId="49318741">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8</w:t>
            </w:r>
          </w:p>
        </w:tc>
        <w:tc>
          <w:tcPr>
            <w:tcW w:w="2291" w:type="dxa"/>
            <w:vAlign w:val="center"/>
          </w:tcPr>
          <w:p w14:paraId="4B4D0A6F">
            <w:pPr>
              <w:snapToGrid w:val="0"/>
              <w:spacing w:line="360" w:lineRule="auto"/>
              <w:jc w:val="left"/>
              <w:rPr>
                <w:rFonts w:hint="eastAsia" w:ascii="黑体" w:hAnsi="黑体" w:eastAsia="黑体" w:cs="黑体"/>
                <w:sz w:val="19"/>
                <w:szCs w:val="19"/>
              </w:rPr>
            </w:pPr>
            <w:r>
              <w:rPr>
                <w:rFonts w:hint="eastAsia" w:ascii="黑体" w:hAnsi="黑体" w:eastAsia="黑体" w:cs="黑体"/>
                <w:sz w:val="19"/>
                <w:szCs w:val="19"/>
              </w:rPr>
              <w:t>是否同意分包</w:t>
            </w:r>
          </w:p>
        </w:tc>
        <w:tc>
          <w:tcPr>
            <w:tcW w:w="6555" w:type="dxa"/>
            <w:vAlign w:val="center"/>
          </w:tcPr>
          <w:p w14:paraId="0C17082E">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sym w:font="Wingdings" w:char="00A8"/>
            </w:r>
            <w:r>
              <w:rPr>
                <w:rFonts w:hint="eastAsia" w:ascii="黑体" w:hAnsi="黑体" w:eastAsia="黑体" w:cs="黑体"/>
                <w:color w:val="auto"/>
                <w:kern w:val="2"/>
                <w:sz w:val="19"/>
                <w:szCs w:val="19"/>
              </w:rPr>
              <w:t>同意将非主体、非关键性的</w:t>
            </w:r>
            <w:r>
              <w:rPr>
                <w:rFonts w:hint="eastAsia" w:ascii="黑体" w:hAnsi="黑体" w:eastAsia="黑体" w:cs="黑体"/>
                <w:color w:val="auto"/>
                <w:kern w:val="2"/>
                <w:sz w:val="19"/>
                <w:szCs w:val="19"/>
                <w:u w:val="single"/>
              </w:rPr>
              <w:t xml:space="preserve">         </w:t>
            </w:r>
            <w:r>
              <w:rPr>
                <w:rFonts w:hint="eastAsia" w:ascii="黑体" w:hAnsi="黑体" w:eastAsia="黑体" w:cs="黑体"/>
                <w:color w:val="auto"/>
                <w:kern w:val="2"/>
                <w:sz w:val="19"/>
                <w:szCs w:val="19"/>
              </w:rPr>
              <w:t>工作分包</w:t>
            </w:r>
          </w:p>
          <w:p w14:paraId="6C8F24F0">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sym w:font="Wingdings" w:char="00FE"/>
            </w:r>
            <w:r>
              <w:rPr>
                <w:rFonts w:hint="eastAsia" w:ascii="黑体" w:hAnsi="黑体" w:eastAsia="黑体" w:cs="黑体"/>
                <w:color w:val="auto"/>
                <w:kern w:val="2"/>
                <w:sz w:val="19"/>
                <w:szCs w:val="19"/>
              </w:rPr>
              <w:t>不同意分包</w:t>
            </w:r>
          </w:p>
        </w:tc>
      </w:tr>
      <w:tr w14:paraId="26AC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672" w:type="dxa"/>
            <w:vAlign w:val="center"/>
          </w:tcPr>
          <w:p w14:paraId="59D9A502">
            <w:pPr>
              <w:spacing w:line="360" w:lineRule="auto"/>
              <w:jc w:val="left"/>
              <w:rPr>
                <w:rFonts w:hint="eastAsia" w:ascii="黑体" w:hAnsi="黑体" w:eastAsia="黑体" w:cs="黑体"/>
                <w:sz w:val="19"/>
                <w:szCs w:val="19"/>
              </w:rPr>
            </w:pPr>
            <w:r>
              <w:rPr>
                <w:rFonts w:hint="eastAsia" w:ascii="黑体" w:hAnsi="黑体" w:eastAsia="黑体" w:cs="黑体"/>
                <w:sz w:val="19"/>
                <w:szCs w:val="19"/>
              </w:rPr>
              <w:t>9</w:t>
            </w:r>
          </w:p>
        </w:tc>
        <w:tc>
          <w:tcPr>
            <w:tcW w:w="2291" w:type="dxa"/>
            <w:vAlign w:val="center"/>
          </w:tcPr>
          <w:p w14:paraId="25A74050">
            <w:pPr>
              <w:jc w:val="left"/>
              <w:rPr>
                <w:rFonts w:hint="eastAsia" w:ascii="黑体" w:hAnsi="黑体" w:eastAsia="黑体" w:cs="黑体"/>
                <w:sz w:val="19"/>
                <w:szCs w:val="19"/>
              </w:rPr>
            </w:pPr>
            <w:r>
              <w:rPr>
                <w:rFonts w:hint="eastAsia" w:ascii="黑体" w:hAnsi="黑体" w:eastAsia="黑体" w:cs="黑体"/>
                <w:sz w:val="19"/>
                <w:szCs w:val="19"/>
              </w:rPr>
              <w:t>进口产品</w:t>
            </w:r>
          </w:p>
        </w:tc>
        <w:tc>
          <w:tcPr>
            <w:tcW w:w="6555" w:type="dxa"/>
            <w:vAlign w:val="center"/>
          </w:tcPr>
          <w:p w14:paraId="54C36992">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sym w:font="Wingdings" w:char="00FE"/>
            </w:r>
            <w:r>
              <w:rPr>
                <w:rFonts w:hint="eastAsia" w:ascii="黑体" w:hAnsi="黑体" w:eastAsia="黑体" w:cs="黑体"/>
                <w:color w:val="auto"/>
                <w:kern w:val="2"/>
                <w:sz w:val="19"/>
                <w:szCs w:val="19"/>
              </w:rPr>
              <w:t>本项目不允许采购进口产品。</w:t>
            </w:r>
          </w:p>
          <w:p w14:paraId="1B297489">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sym w:font="Wingdings" w:char="00A8"/>
            </w:r>
            <w:r>
              <w:rPr>
                <w:rFonts w:hint="eastAsia" w:ascii="黑体" w:hAnsi="黑体" w:eastAsia="黑体" w:cs="黑体"/>
                <w:color w:val="auto"/>
                <w:kern w:val="2"/>
                <w:sz w:val="19"/>
                <w:szCs w:val="19"/>
              </w:rPr>
              <w:t>允许采购进口产品，进口产品是指通过中国海关报关验放进入中国境内且产自境外的产品；但如果因信息不对称等原因，仍有满足需求的国内产品要求参与采购竞争的，将按照公平竞争原则实施采购。</w:t>
            </w:r>
          </w:p>
          <w:p w14:paraId="4808EEEF">
            <w:pPr>
              <w:pStyle w:val="11"/>
              <w:widowControl w:val="0"/>
              <w:spacing w:before="0" w:beforeAutospacing="0" w:after="0" w:afterAutospacing="0" w:line="480" w:lineRule="exact"/>
              <w:rPr>
                <w:rFonts w:hint="eastAsia" w:ascii="黑体" w:hAnsi="黑体" w:eastAsia="黑体" w:cs="黑体"/>
                <w:sz w:val="19"/>
                <w:szCs w:val="19"/>
              </w:rPr>
            </w:pPr>
            <w:r>
              <w:rPr>
                <w:rFonts w:hint="eastAsia" w:ascii="黑体" w:hAnsi="黑体" w:eastAsia="黑体" w:cs="黑体"/>
                <w:color w:val="auto"/>
                <w:kern w:val="2"/>
                <w:sz w:val="19"/>
                <w:szCs w:val="19"/>
              </w:rPr>
              <w:sym w:font="Wingdings" w:char="00A8"/>
            </w:r>
            <w:r>
              <w:rPr>
                <w:rFonts w:hint="eastAsia" w:ascii="黑体" w:hAnsi="黑体" w:eastAsia="黑体" w:cs="黑体"/>
                <w:color w:val="auto"/>
                <w:kern w:val="2"/>
                <w:sz w:val="19"/>
                <w:szCs w:val="19"/>
              </w:rPr>
              <w:t>本项目不涉及进口产品。</w:t>
            </w:r>
          </w:p>
        </w:tc>
      </w:tr>
      <w:tr w14:paraId="3A67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72" w:type="dxa"/>
            <w:vAlign w:val="center"/>
          </w:tcPr>
          <w:p w14:paraId="494B26B0">
            <w:pPr>
              <w:spacing w:line="360" w:lineRule="auto"/>
              <w:jc w:val="left"/>
              <w:rPr>
                <w:rFonts w:hint="eastAsia" w:ascii="黑体" w:hAnsi="黑体" w:eastAsia="黑体" w:cs="黑体"/>
                <w:sz w:val="19"/>
                <w:szCs w:val="19"/>
              </w:rPr>
            </w:pPr>
            <w:r>
              <w:rPr>
                <w:rFonts w:hint="eastAsia" w:ascii="黑体" w:hAnsi="黑体" w:eastAsia="黑体" w:cs="黑体"/>
                <w:sz w:val="19"/>
                <w:szCs w:val="19"/>
              </w:rPr>
              <w:t>10</w:t>
            </w:r>
          </w:p>
        </w:tc>
        <w:tc>
          <w:tcPr>
            <w:tcW w:w="2291" w:type="dxa"/>
            <w:vAlign w:val="center"/>
          </w:tcPr>
          <w:p w14:paraId="3E097A48">
            <w:pPr>
              <w:spacing w:line="360" w:lineRule="auto"/>
              <w:jc w:val="left"/>
              <w:rPr>
                <w:rFonts w:hint="eastAsia" w:ascii="黑体" w:hAnsi="黑体" w:eastAsia="黑体" w:cs="黑体"/>
                <w:sz w:val="19"/>
                <w:szCs w:val="19"/>
              </w:rPr>
            </w:pPr>
            <w:r>
              <w:rPr>
                <w:rFonts w:hint="eastAsia" w:ascii="黑体" w:hAnsi="黑体" w:eastAsia="黑体" w:cs="黑体"/>
                <w:sz w:val="19"/>
                <w:szCs w:val="19"/>
              </w:rPr>
              <w:t>交付期限和地点</w:t>
            </w:r>
          </w:p>
        </w:tc>
        <w:tc>
          <w:tcPr>
            <w:tcW w:w="6555" w:type="dxa"/>
            <w:vAlign w:val="center"/>
          </w:tcPr>
          <w:p w14:paraId="73CF256A">
            <w:pPr>
              <w:pStyle w:val="11"/>
              <w:widowControl w:val="0"/>
              <w:spacing w:before="0" w:beforeAutospacing="0" w:after="0" w:afterAutospacing="0" w:line="480" w:lineRule="exact"/>
              <w:rPr>
                <w:rFonts w:hint="eastAsia" w:ascii="黑体" w:hAnsi="黑体" w:eastAsia="黑体" w:cs="黑体"/>
                <w:sz w:val="19"/>
                <w:szCs w:val="19"/>
              </w:rPr>
            </w:pPr>
            <w:r>
              <w:rPr>
                <w:rFonts w:hint="eastAsia" w:ascii="黑体" w:hAnsi="黑体" w:eastAsia="黑体" w:cs="黑体"/>
                <w:sz w:val="19"/>
                <w:szCs w:val="19"/>
              </w:rPr>
              <w:t>交付期限</w:t>
            </w:r>
            <w:r>
              <w:rPr>
                <w:rFonts w:hint="eastAsia" w:ascii="黑体" w:hAnsi="黑体" w:eastAsia="黑体" w:cs="黑体"/>
                <w:sz w:val="19"/>
                <w:szCs w:val="19"/>
                <w:highlight w:val="none"/>
              </w:rPr>
              <w:t>：自合同签订之日起</w:t>
            </w:r>
            <w:r>
              <w:rPr>
                <w:rFonts w:hint="eastAsia" w:ascii="黑体" w:hAnsi="黑体" w:eastAsia="黑体" w:cs="黑体"/>
                <w:sz w:val="19"/>
                <w:szCs w:val="19"/>
                <w:highlight w:val="none"/>
                <w:lang w:val="en-US" w:eastAsia="zh-CN"/>
              </w:rPr>
              <w:t>120</w:t>
            </w:r>
            <w:r>
              <w:rPr>
                <w:rFonts w:hint="eastAsia" w:ascii="黑体" w:hAnsi="黑体" w:eastAsia="黑体" w:cs="黑体"/>
                <w:sz w:val="19"/>
                <w:szCs w:val="19"/>
                <w:highlight w:val="none"/>
              </w:rPr>
              <w:t>天内安装调试完毕并验收使用。</w:t>
            </w:r>
          </w:p>
          <w:p w14:paraId="77243DE0">
            <w:pPr>
              <w:pStyle w:val="11"/>
              <w:widowControl w:val="0"/>
              <w:spacing w:before="0" w:beforeAutospacing="0" w:after="0" w:afterAutospacing="0" w:line="480" w:lineRule="exact"/>
              <w:rPr>
                <w:rFonts w:hint="eastAsia" w:ascii="黑体" w:hAnsi="黑体" w:eastAsia="黑体" w:cs="黑体"/>
                <w:color w:val="auto"/>
                <w:sz w:val="19"/>
                <w:szCs w:val="19"/>
              </w:rPr>
            </w:pPr>
            <w:r>
              <w:rPr>
                <w:rFonts w:hint="eastAsia" w:ascii="黑体" w:hAnsi="黑体" w:eastAsia="黑体" w:cs="黑体"/>
                <w:sz w:val="19"/>
                <w:szCs w:val="19"/>
              </w:rPr>
              <w:t>交付地点：采购人指定地点。</w:t>
            </w:r>
          </w:p>
        </w:tc>
      </w:tr>
      <w:tr w14:paraId="6FED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672" w:type="dxa"/>
            <w:vAlign w:val="center"/>
          </w:tcPr>
          <w:p w14:paraId="032A078E">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11</w:t>
            </w:r>
          </w:p>
        </w:tc>
        <w:tc>
          <w:tcPr>
            <w:tcW w:w="2291" w:type="dxa"/>
            <w:vAlign w:val="center"/>
          </w:tcPr>
          <w:p w14:paraId="087BD997">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现场考察、开标前答疑会</w:t>
            </w:r>
          </w:p>
        </w:tc>
        <w:tc>
          <w:tcPr>
            <w:tcW w:w="6555" w:type="dxa"/>
            <w:vAlign w:val="center"/>
          </w:tcPr>
          <w:p w14:paraId="076CBDEB">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sym w:font="Wingdings" w:char="00FE"/>
            </w:r>
            <w:r>
              <w:rPr>
                <w:rFonts w:hint="eastAsia" w:ascii="黑体" w:hAnsi="黑体" w:eastAsia="黑体" w:cs="黑体"/>
                <w:color w:val="auto"/>
                <w:kern w:val="2"/>
                <w:sz w:val="19"/>
                <w:szCs w:val="19"/>
              </w:rPr>
              <w:t>不组织</w:t>
            </w:r>
          </w:p>
          <w:p w14:paraId="34C5675F">
            <w:pPr>
              <w:pStyle w:val="11"/>
              <w:widowControl w:val="0"/>
              <w:spacing w:before="0" w:beforeAutospacing="0" w:after="0" w:afterAutospacing="0" w:line="480" w:lineRule="exact"/>
              <w:rPr>
                <w:rFonts w:hint="eastAsia" w:ascii="黑体" w:hAnsi="黑体" w:eastAsia="黑体" w:cs="黑体"/>
                <w:color w:val="auto"/>
                <w:sz w:val="19"/>
                <w:szCs w:val="19"/>
              </w:rPr>
            </w:pPr>
            <w:r>
              <w:rPr>
                <w:rFonts w:hint="eastAsia" w:ascii="黑体" w:hAnsi="黑体" w:eastAsia="黑体" w:cs="黑体"/>
                <w:color w:val="auto"/>
                <w:kern w:val="2"/>
                <w:sz w:val="19"/>
                <w:szCs w:val="19"/>
              </w:rPr>
              <w:sym w:font="Wingdings" w:char="00A8"/>
            </w:r>
            <w:r>
              <w:rPr>
                <w:rFonts w:hint="eastAsia" w:ascii="黑体" w:hAnsi="黑体" w:eastAsia="黑体" w:cs="黑体"/>
                <w:color w:val="auto"/>
                <w:kern w:val="2"/>
                <w:sz w:val="19"/>
                <w:szCs w:val="19"/>
              </w:rPr>
              <w:t>组织，投标文件提供期限截止后以书面形式通知。</w:t>
            </w:r>
          </w:p>
          <w:p w14:paraId="34A1AF43">
            <w:pPr>
              <w:pStyle w:val="11"/>
              <w:widowControl w:val="0"/>
              <w:spacing w:before="0" w:beforeAutospacing="0" w:after="0" w:afterAutospacing="0" w:line="480" w:lineRule="exact"/>
              <w:rPr>
                <w:rFonts w:hint="eastAsia" w:ascii="黑体" w:hAnsi="黑体" w:eastAsia="黑体" w:cs="黑体"/>
                <w:color w:val="auto"/>
                <w:sz w:val="19"/>
                <w:szCs w:val="19"/>
              </w:rPr>
            </w:pPr>
            <w:r>
              <w:rPr>
                <w:rFonts w:hint="eastAsia" w:ascii="黑体" w:hAnsi="黑体" w:eastAsia="黑体" w:cs="黑体"/>
                <w:color w:val="auto"/>
                <w:kern w:val="2"/>
                <w:sz w:val="19"/>
                <w:szCs w:val="19"/>
              </w:rPr>
              <w:sym w:font="Wingdings" w:char="00A8"/>
            </w:r>
            <w:r>
              <w:rPr>
                <w:rFonts w:hint="eastAsia" w:ascii="黑体" w:hAnsi="黑体" w:eastAsia="黑体" w:cs="黑体"/>
                <w:color w:val="auto"/>
                <w:sz w:val="19"/>
                <w:szCs w:val="19"/>
              </w:rPr>
              <w:t>组织，时间：</w:t>
            </w:r>
            <w:r>
              <w:rPr>
                <w:rFonts w:hint="eastAsia" w:ascii="黑体" w:hAnsi="黑体" w:eastAsia="黑体" w:cs="黑体"/>
                <w:color w:val="auto"/>
                <w:sz w:val="19"/>
                <w:szCs w:val="19"/>
                <w:u w:val="single"/>
              </w:rPr>
              <w:t xml:space="preserve">      </w:t>
            </w:r>
            <w:r>
              <w:rPr>
                <w:rFonts w:hint="eastAsia" w:ascii="黑体" w:hAnsi="黑体" w:eastAsia="黑体" w:cs="黑体"/>
                <w:color w:val="auto"/>
                <w:sz w:val="19"/>
                <w:szCs w:val="19"/>
              </w:rPr>
              <w:t>,地点：</w:t>
            </w:r>
            <w:r>
              <w:rPr>
                <w:rFonts w:hint="eastAsia" w:ascii="黑体" w:hAnsi="黑体" w:eastAsia="黑体" w:cs="黑体"/>
                <w:color w:val="auto"/>
                <w:sz w:val="19"/>
                <w:szCs w:val="19"/>
                <w:u w:val="single"/>
              </w:rPr>
              <w:t xml:space="preserve">      </w:t>
            </w:r>
            <w:r>
              <w:rPr>
                <w:rFonts w:hint="eastAsia" w:ascii="黑体" w:hAnsi="黑体" w:eastAsia="黑体" w:cs="黑体"/>
                <w:color w:val="auto"/>
                <w:sz w:val="19"/>
                <w:szCs w:val="19"/>
              </w:rPr>
              <w:t>，</w:t>
            </w:r>
          </w:p>
          <w:p w14:paraId="7A09D991">
            <w:pPr>
              <w:pStyle w:val="11"/>
              <w:widowControl w:val="0"/>
              <w:spacing w:before="0" w:beforeAutospacing="0" w:after="0" w:afterAutospacing="0" w:line="480" w:lineRule="exact"/>
              <w:rPr>
                <w:rFonts w:hint="eastAsia" w:ascii="黑体" w:hAnsi="黑体" w:eastAsia="黑体" w:cs="黑体"/>
                <w:color w:val="auto"/>
                <w:sz w:val="19"/>
                <w:szCs w:val="19"/>
              </w:rPr>
            </w:pPr>
            <w:r>
              <w:rPr>
                <w:rFonts w:hint="eastAsia" w:ascii="黑体" w:hAnsi="黑体" w:eastAsia="黑体" w:cs="黑体"/>
                <w:color w:val="auto"/>
                <w:sz w:val="19"/>
                <w:szCs w:val="19"/>
              </w:rPr>
              <w:t>联系人：</w:t>
            </w:r>
            <w:r>
              <w:rPr>
                <w:rFonts w:hint="eastAsia" w:ascii="黑体" w:hAnsi="黑体" w:eastAsia="黑体" w:cs="黑体"/>
                <w:color w:val="auto"/>
                <w:sz w:val="19"/>
                <w:szCs w:val="19"/>
                <w:u w:val="single"/>
              </w:rPr>
              <w:t xml:space="preserve">      </w:t>
            </w:r>
            <w:r>
              <w:rPr>
                <w:rFonts w:hint="eastAsia" w:ascii="黑体" w:hAnsi="黑体" w:eastAsia="黑体" w:cs="黑体"/>
                <w:color w:val="auto"/>
                <w:sz w:val="19"/>
                <w:szCs w:val="19"/>
              </w:rPr>
              <w:t>，联系方式：</w:t>
            </w:r>
            <w:r>
              <w:rPr>
                <w:rFonts w:hint="eastAsia" w:ascii="黑体" w:hAnsi="黑体" w:eastAsia="黑体" w:cs="黑体"/>
                <w:color w:val="auto"/>
                <w:sz w:val="19"/>
                <w:szCs w:val="19"/>
                <w:u w:val="single"/>
              </w:rPr>
              <w:t xml:space="preserve">      </w:t>
            </w:r>
            <w:r>
              <w:rPr>
                <w:rFonts w:hint="eastAsia" w:ascii="黑体" w:hAnsi="黑体" w:eastAsia="黑体" w:cs="黑体"/>
                <w:color w:val="auto"/>
                <w:sz w:val="19"/>
                <w:szCs w:val="19"/>
              </w:rPr>
              <w:t>。</w:t>
            </w:r>
          </w:p>
        </w:tc>
      </w:tr>
      <w:tr w14:paraId="7E94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2" w:type="dxa"/>
            <w:vAlign w:val="center"/>
          </w:tcPr>
          <w:p w14:paraId="7B6DE4D3">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12</w:t>
            </w:r>
          </w:p>
        </w:tc>
        <w:tc>
          <w:tcPr>
            <w:tcW w:w="2291" w:type="dxa"/>
            <w:vAlign w:val="center"/>
          </w:tcPr>
          <w:p w14:paraId="5AC0E995">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样品或现场演示</w:t>
            </w:r>
          </w:p>
        </w:tc>
        <w:tc>
          <w:tcPr>
            <w:tcW w:w="6555" w:type="dxa"/>
            <w:vAlign w:val="center"/>
          </w:tcPr>
          <w:p w14:paraId="06084A78">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sym w:font="Wingdings" w:char="00FE"/>
            </w:r>
            <w:r>
              <w:rPr>
                <w:rFonts w:hint="eastAsia" w:ascii="黑体" w:hAnsi="黑体" w:eastAsia="黑体" w:cs="黑体"/>
                <w:color w:val="auto"/>
                <w:kern w:val="2"/>
                <w:sz w:val="19"/>
                <w:szCs w:val="19"/>
              </w:rPr>
              <w:t>不要求提供</w:t>
            </w:r>
          </w:p>
          <w:p w14:paraId="391F1766">
            <w:pPr>
              <w:pStyle w:val="11"/>
              <w:widowControl w:val="0"/>
              <w:spacing w:before="0" w:beforeAutospacing="0" w:after="0" w:afterAutospacing="0" w:line="480" w:lineRule="exact"/>
              <w:rPr>
                <w:rFonts w:hint="eastAsia" w:ascii="黑体" w:hAnsi="黑体" w:eastAsia="黑体" w:cs="黑体"/>
                <w:sz w:val="19"/>
                <w:szCs w:val="19"/>
              </w:rPr>
            </w:pPr>
            <w:r>
              <w:rPr>
                <w:rFonts w:hint="eastAsia" w:ascii="黑体" w:hAnsi="黑体" w:eastAsia="黑体" w:cs="黑体"/>
                <w:color w:val="auto"/>
                <w:kern w:val="2"/>
                <w:sz w:val="19"/>
                <w:szCs w:val="19"/>
              </w:rPr>
              <w:sym w:font="Wingdings" w:char="00A8"/>
            </w:r>
            <w:r>
              <w:rPr>
                <w:rFonts w:hint="eastAsia" w:ascii="黑体" w:hAnsi="黑体" w:eastAsia="黑体" w:cs="黑体"/>
                <w:color w:val="auto"/>
                <w:kern w:val="2"/>
                <w:sz w:val="19"/>
                <w:szCs w:val="19"/>
              </w:rPr>
              <w:t>要求提供：</w:t>
            </w:r>
          </w:p>
          <w:p w14:paraId="7FBC31A2">
            <w:pPr>
              <w:numPr>
                <w:ilvl w:val="0"/>
                <w:numId w:val="3"/>
              </w:numPr>
              <w:spacing w:line="480" w:lineRule="exact"/>
              <w:rPr>
                <w:rFonts w:hint="eastAsia" w:ascii="黑体" w:hAnsi="黑体" w:eastAsia="黑体" w:cs="黑体"/>
                <w:kern w:val="0"/>
                <w:sz w:val="19"/>
                <w:szCs w:val="19"/>
              </w:rPr>
            </w:pPr>
            <w:r>
              <w:rPr>
                <w:rFonts w:hint="eastAsia" w:ascii="黑体" w:hAnsi="黑体" w:eastAsia="黑体" w:cs="黑体"/>
                <w:snapToGrid w:val="0"/>
                <w:kern w:val="28"/>
                <w:sz w:val="19"/>
                <w:szCs w:val="19"/>
              </w:rPr>
              <w:t>样品：</w:t>
            </w:r>
            <w:r>
              <w:rPr>
                <w:rFonts w:hint="eastAsia" w:ascii="黑体" w:hAnsi="黑体" w:eastAsia="黑体" w:cs="黑体"/>
                <w:snapToGrid w:val="0"/>
                <w:kern w:val="28"/>
                <w:sz w:val="19"/>
                <w:szCs w:val="19"/>
                <w:u w:val="single"/>
              </w:rPr>
              <w:t xml:space="preserve">        </w:t>
            </w:r>
            <w:r>
              <w:rPr>
                <w:rFonts w:hint="eastAsia" w:ascii="黑体" w:hAnsi="黑体" w:eastAsia="黑体" w:cs="黑体"/>
                <w:sz w:val="19"/>
                <w:szCs w:val="19"/>
                <w:u w:val="single"/>
              </w:rPr>
              <w:t>；</w:t>
            </w:r>
          </w:p>
          <w:p w14:paraId="6A494A25">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（2）</w:t>
            </w:r>
            <w:r>
              <w:rPr>
                <w:rFonts w:hint="eastAsia" w:ascii="黑体" w:hAnsi="黑体" w:eastAsia="黑体" w:cs="黑体"/>
                <w:snapToGrid w:val="0"/>
                <w:kern w:val="28"/>
                <w:sz w:val="19"/>
                <w:szCs w:val="19"/>
              </w:rPr>
              <w:t>样品制作的标准和要求：</w:t>
            </w:r>
            <w:r>
              <w:rPr>
                <w:rFonts w:hint="eastAsia" w:ascii="黑体" w:hAnsi="黑体" w:eastAsia="黑体" w:cs="黑体"/>
                <w:snapToGrid w:val="0"/>
                <w:kern w:val="28"/>
                <w:sz w:val="19"/>
                <w:szCs w:val="19"/>
                <w:u w:val="single"/>
              </w:rPr>
              <w:t>同采购需求中技术参数要求；</w:t>
            </w:r>
            <w:r>
              <w:rPr>
                <w:rFonts w:hint="eastAsia" w:ascii="黑体" w:hAnsi="黑体" w:eastAsia="黑体" w:cs="黑体"/>
                <w:sz w:val="19"/>
                <w:szCs w:val="19"/>
                <w:u w:val="single"/>
              </w:rPr>
              <w:t xml:space="preserve"> </w:t>
            </w:r>
          </w:p>
          <w:p w14:paraId="51DA0B72">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（3）样品的评审办法以及评审标准</w:t>
            </w:r>
            <w:r>
              <w:rPr>
                <w:rFonts w:hint="eastAsia" w:ascii="黑体" w:hAnsi="黑体" w:eastAsia="黑体" w:cs="黑体"/>
                <w:snapToGrid w:val="0"/>
                <w:kern w:val="28"/>
                <w:sz w:val="19"/>
                <w:szCs w:val="19"/>
              </w:rPr>
              <w:t>：</w:t>
            </w:r>
            <w:r>
              <w:rPr>
                <w:rFonts w:hint="eastAsia" w:ascii="黑体" w:hAnsi="黑体" w:eastAsia="黑体" w:cs="黑体"/>
                <w:snapToGrid w:val="0"/>
                <w:kern w:val="28"/>
                <w:sz w:val="19"/>
                <w:szCs w:val="19"/>
                <w:u w:val="single"/>
              </w:rPr>
              <w:t>详见第五章评标办法</w:t>
            </w:r>
            <w:r>
              <w:rPr>
                <w:rFonts w:hint="eastAsia" w:ascii="黑体" w:hAnsi="黑体" w:eastAsia="黑体" w:cs="黑体"/>
                <w:kern w:val="0"/>
                <w:sz w:val="19"/>
                <w:szCs w:val="19"/>
              </w:rPr>
              <w:t>；</w:t>
            </w:r>
          </w:p>
          <w:p w14:paraId="61B6D730">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（4）是否需要随样品提交检测报告：是，检测机构的要求</w:t>
            </w:r>
            <w:r>
              <w:rPr>
                <w:rFonts w:hint="eastAsia" w:ascii="黑体" w:hAnsi="黑体" w:eastAsia="黑体" w:cs="黑体"/>
                <w:sz w:val="19"/>
                <w:szCs w:val="19"/>
              </w:rPr>
              <w:t>：</w:t>
            </w:r>
            <w:r>
              <w:rPr>
                <w:rFonts w:hint="eastAsia" w:ascii="黑体" w:hAnsi="黑体" w:eastAsia="黑体" w:cs="黑体"/>
                <w:sz w:val="19"/>
                <w:szCs w:val="19"/>
                <w:u w:val="single"/>
              </w:rPr>
              <w:t xml:space="preserve"> 提供检测报告 </w:t>
            </w:r>
            <w:r>
              <w:rPr>
                <w:rFonts w:hint="eastAsia" w:ascii="黑体" w:hAnsi="黑体" w:eastAsia="黑体" w:cs="黑体"/>
                <w:kern w:val="0"/>
                <w:sz w:val="19"/>
                <w:szCs w:val="19"/>
              </w:rPr>
              <w:t>；检测内容</w:t>
            </w:r>
            <w:r>
              <w:rPr>
                <w:rFonts w:hint="eastAsia" w:ascii="黑体" w:hAnsi="黑体" w:eastAsia="黑体" w:cs="黑体"/>
                <w:sz w:val="19"/>
                <w:szCs w:val="19"/>
              </w:rPr>
              <w:t>：</w:t>
            </w:r>
            <w:r>
              <w:rPr>
                <w:rFonts w:hint="eastAsia" w:ascii="黑体" w:hAnsi="黑体" w:eastAsia="黑体" w:cs="黑体"/>
                <w:sz w:val="19"/>
                <w:szCs w:val="19"/>
                <w:u w:val="single"/>
              </w:rPr>
              <w:t xml:space="preserve">        ，具体详见第五章评标办法 </w:t>
            </w:r>
            <w:r>
              <w:rPr>
                <w:rFonts w:hint="eastAsia" w:ascii="黑体" w:hAnsi="黑体" w:eastAsia="黑体" w:cs="黑体"/>
                <w:kern w:val="0"/>
                <w:sz w:val="19"/>
                <w:szCs w:val="19"/>
              </w:rPr>
              <w:t xml:space="preserve">。 </w:t>
            </w:r>
          </w:p>
          <w:p w14:paraId="6F29CF9B">
            <w:pPr>
              <w:spacing w:line="480" w:lineRule="exact"/>
              <w:rPr>
                <w:rFonts w:hint="eastAsia" w:ascii="黑体" w:hAnsi="黑体" w:eastAsia="黑体" w:cs="黑体"/>
                <w:sz w:val="19"/>
                <w:szCs w:val="19"/>
                <w:highlight w:val="yellow"/>
              </w:rPr>
            </w:pPr>
            <w:r>
              <w:rPr>
                <w:rFonts w:hint="eastAsia" w:ascii="黑体" w:hAnsi="黑体" w:eastAsia="黑体" w:cs="黑体"/>
                <w:sz w:val="19"/>
                <w:szCs w:val="19"/>
              </w:rPr>
              <w:t>（5）样品需注明样品名称，不得体现任何投标人名称信息，应与投标文件同时提交。请投标人在投标文件提交截止时间前提交样品，并按要求位置放置完毕。超过截止时间的，采购代理机构将不予接收，并将对样品现场进行清场和封闭处理。</w:t>
            </w:r>
          </w:p>
          <w:p w14:paraId="746C9D43">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(6)采购活动结束后，对于未中标人提供的样品，采购人或采购代理机构将通知未中标人授权代表自行取回，逾期未取回的，采购人或采购代理机构不负保管义务；对于中标人提供的样品，采购人将进行保管、封存，并作为履约验收的参考。</w:t>
            </w:r>
          </w:p>
        </w:tc>
      </w:tr>
      <w:tr w14:paraId="2A9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1" w:hRule="atLeast"/>
        </w:trPr>
        <w:tc>
          <w:tcPr>
            <w:tcW w:w="672" w:type="dxa"/>
            <w:vAlign w:val="center"/>
          </w:tcPr>
          <w:p w14:paraId="4244915E">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13</w:t>
            </w:r>
          </w:p>
        </w:tc>
        <w:tc>
          <w:tcPr>
            <w:tcW w:w="2291" w:type="dxa"/>
            <w:vAlign w:val="center"/>
          </w:tcPr>
          <w:p w14:paraId="4A301D6D">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投标保证金</w:t>
            </w:r>
          </w:p>
        </w:tc>
        <w:tc>
          <w:tcPr>
            <w:tcW w:w="6555" w:type="dxa"/>
            <w:vAlign w:val="center"/>
          </w:tcPr>
          <w:p w14:paraId="1591CB79">
            <w:pPr>
              <w:spacing w:line="480" w:lineRule="exact"/>
              <w:jc w:val="left"/>
              <w:rPr>
                <w:rFonts w:hint="eastAsia" w:ascii="黑体" w:hAnsi="黑体" w:eastAsia="黑体" w:cs="黑体"/>
                <w:sz w:val="19"/>
                <w:szCs w:val="19"/>
              </w:rPr>
            </w:pPr>
            <w:r>
              <w:rPr>
                <w:rFonts w:hint="eastAsia" w:ascii="黑体" w:hAnsi="黑体" w:eastAsia="黑体" w:cs="黑体"/>
                <w:sz w:val="19"/>
                <w:szCs w:val="19"/>
              </w:rPr>
              <w:sym w:font="Wingdings" w:char="00FE"/>
            </w:r>
            <w:r>
              <w:rPr>
                <w:rFonts w:hint="eastAsia" w:ascii="黑体" w:hAnsi="黑体" w:eastAsia="黑体" w:cs="黑体"/>
                <w:sz w:val="19"/>
                <w:szCs w:val="19"/>
              </w:rPr>
              <w:t>不要求提供</w:t>
            </w:r>
          </w:p>
          <w:p w14:paraId="0DECEE7B">
            <w:pPr>
              <w:spacing w:line="480" w:lineRule="exact"/>
              <w:jc w:val="left"/>
              <w:rPr>
                <w:rFonts w:hint="eastAsia" w:ascii="黑体" w:hAnsi="黑体" w:eastAsia="黑体" w:cs="黑体"/>
                <w:sz w:val="19"/>
                <w:szCs w:val="19"/>
              </w:rPr>
            </w:pPr>
            <w:r>
              <w:rPr>
                <w:rFonts w:hint="eastAsia" w:ascii="黑体" w:hAnsi="黑体" w:eastAsia="黑体" w:cs="黑体"/>
                <w:sz w:val="19"/>
                <w:szCs w:val="19"/>
              </w:rPr>
              <w:sym w:font="Wingdings" w:char="00A8"/>
            </w:r>
            <w:r>
              <w:rPr>
                <w:rFonts w:hint="eastAsia" w:ascii="黑体" w:hAnsi="黑体" w:eastAsia="黑体" w:cs="黑体"/>
                <w:sz w:val="19"/>
                <w:szCs w:val="19"/>
              </w:rPr>
              <w:t>要求提供</w:t>
            </w:r>
          </w:p>
          <w:p w14:paraId="230C652A">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1.本项目的投标保证金为人民币：</w:t>
            </w:r>
            <w:r>
              <w:rPr>
                <w:rFonts w:hint="eastAsia" w:ascii="黑体" w:hAnsi="黑体" w:eastAsia="黑体" w:cs="黑体"/>
                <w:bCs/>
                <w:sz w:val="19"/>
                <w:szCs w:val="19"/>
                <w:u w:val="single"/>
              </w:rPr>
              <w:t xml:space="preserve"> / </w:t>
            </w:r>
            <w:r>
              <w:rPr>
                <w:rFonts w:hint="eastAsia" w:ascii="黑体" w:hAnsi="黑体" w:eastAsia="黑体" w:cs="黑体"/>
                <w:sz w:val="19"/>
                <w:szCs w:val="19"/>
              </w:rPr>
              <w:t>元；</w:t>
            </w:r>
          </w:p>
          <w:p w14:paraId="03731132">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2.</w:t>
            </w:r>
            <w:r>
              <w:rPr>
                <w:rFonts w:ascii="黑体" w:hAnsi="黑体" w:eastAsia="黑体" w:cs="黑体"/>
                <w:sz w:val="19"/>
                <w:szCs w:val="19"/>
              </w:rPr>
              <w:t>如同时</w:t>
            </w:r>
            <w:r>
              <w:rPr>
                <w:rFonts w:hint="eastAsia" w:ascii="黑体" w:hAnsi="黑体" w:eastAsia="黑体" w:cs="黑体"/>
                <w:sz w:val="19"/>
                <w:szCs w:val="19"/>
              </w:rPr>
              <w:t>参与多</w:t>
            </w:r>
            <w:r>
              <w:rPr>
                <w:rFonts w:ascii="黑体" w:hAnsi="黑体" w:eastAsia="黑体" w:cs="黑体"/>
                <w:sz w:val="19"/>
                <w:szCs w:val="19"/>
              </w:rPr>
              <w:t>个标包，</w:t>
            </w:r>
            <w:r>
              <w:rPr>
                <w:rFonts w:hint="eastAsia" w:ascii="黑体" w:hAnsi="黑体" w:eastAsia="黑体" w:cs="黑体"/>
                <w:sz w:val="19"/>
                <w:szCs w:val="19"/>
              </w:rPr>
              <w:t>按标包</w:t>
            </w:r>
            <w:r>
              <w:rPr>
                <w:rFonts w:ascii="黑体" w:hAnsi="黑体" w:eastAsia="黑体" w:cs="黑体"/>
                <w:sz w:val="19"/>
                <w:szCs w:val="19"/>
              </w:rPr>
              <w:t>分别递交。</w:t>
            </w:r>
          </w:p>
          <w:p w14:paraId="35F090F7">
            <w:pPr>
              <w:spacing w:line="480" w:lineRule="exact"/>
              <w:rPr>
                <w:rFonts w:hint="eastAsia" w:ascii="黑体" w:hAnsi="黑体" w:eastAsia="黑体" w:cs="黑体"/>
                <w:sz w:val="19"/>
                <w:szCs w:val="19"/>
              </w:rPr>
            </w:pPr>
            <w:r>
              <w:rPr>
                <w:rFonts w:hint="eastAsia" w:ascii="黑体" w:hAnsi="黑体" w:eastAsia="黑体" w:cs="黑体"/>
                <w:sz w:val="19"/>
                <w:szCs w:val="19"/>
              </w:rPr>
              <w:t>3.投标保证金到账时间：提交投标文件截止时间前。</w:t>
            </w:r>
          </w:p>
          <w:p w14:paraId="63EA60C7">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4.保证金收款账号</w:t>
            </w:r>
          </w:p>
          <w:p w14:paraId="1488E2B9">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户名：西安中保研招标有限公司</w:t>
            </w:r>
          </w:p>
          <w:p w14:paraId="6F2CA381">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开户银行：中国建设银行西安电子城支行</w:t>
            </w:r>
          </w:p>
          <w:p w14:paraId="36DE16DC">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银行账号：6105 0192 3800 0951 6518</w:t>
            </w:r>
          </w:p>
          <w:p w14:paraId="666F8B98">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开户行行号：105791000459</w:t>
            </w:r>
          </w:p>
          <w:p w14:paraId="15F37B06">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5.须在支付凭据附言栏写明项目简称、标包号及用途（项目保证金）。</w:t>
            </w:r>
          </w:p>
          <w:p w14:paraId="2D89886B">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6.保证金应当采用对公转账、支票、汇票、本票或者金融机构、担保机构出具的保函等非现金形式交纳。</w:t>
            </w:r>
          </w:p>
          <w:p w14:paraId="5586F18F">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7.投标人若以保函方式缴纳，应在提交投标文件截止时间前将保函电子版扫描件发送至指定邮箱</w:t>
            </w:r>
            <w:r>
              <w:rPr>
                <w:rFonts w:hint="eastAsia" w:ascii="黑体" w:hAnsi="黑体" w:eastAsia="黑体" w:cs="黑体"/>
                <w:sz w:val="19"/>
                <w:szCs w:val="19"/>
                <w:u w:val="single"/>
              </w:rPr>
              <w:fldChar w:fldCharType="begin"/>
            </w:r>
            <w:r>
              <w:rPr>
                <w:rFonts w:hint="eastAsia" w:ascii="黑体" w:hAnsi="黑体" w:eastAsia="黑体" w:cs="黑体"/>
                <w:sz w:val="19"/>
                <w:szCs w:val="19"/>
                <w:u w:val="single"/>
              </w:rPr>
              <w:instrText xml:space="preserve"> HYPERLINK "mailto:xa@zbyan.cn" </w:instrText>
            </w:r>
            <w:r>
              <w:rPr>
                <w:rFonts w:hint="eastAsia" w:ascii="黑体" w:hAnsi="黑体" w:eastAsia="黑体" w:cs="黑体"/>
                <w:sz w:val="19"/>
                <w:szCs w:val="19"/>
                <w:u w:val="single"/>
              </w:rPr>
              <w:fldChar w:fldCharType="separate"/>
            </w:r>
            <w:r>
              <w:rPr>
                <w:rFonts w:hint="eastAsia" w:ascii="黑体" w:hAnsi="黑体" w:eastAsia="黑体" w:cs="黑体"/>
                <w:sz w:val="19"/>
                <w:szCs w:val="19"/>
                <w:u w:val="single"/>
              </w:rPr>
              <w:t>xa@zbyan.cn</w:t>
            </w:r>
            <w:r>
              <w:rPr>
                <w:rFonts w:hint="eastAsia" w:ascii="黑体" w:hAnsi="黑体" w:eastAsia="黑体" w:cs="黑体"/>
                <w:sz w:val="19"/>
                <w:szCs w:val="19"/>
                <w:u w:val="single"/>
              </w:rPr>
              <w:fldChar w:fldCharType="end"/>
            </w:r>
            <w:r>
              <w:rPr>
                <w:rFonts w:hint="eastAsia" w:ascii="黑体" w:hAnsi="黑体" w:eastAsia="黑体" w:cs="黑体"/>
                <w:sz w:val="19"/>
                <w:szCs w:val="19"/>
              </w:rPr>
              <w:t>。采购代理机构将在开标时间前核查保函原件。</w:t>
            </w:r>
          </w:p>
        </w:tc>
      </w:tr>
      <w:tr w14:paraId="1A12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72" w:type="dxa"/>
            <w:vAlign w:val="center"/>
          </w:tcPr>
          <w:p w14:paraId="133A927B">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14</w:t>
            </w:r>
          </w:p>
        </w:tc>
        <w:tc>
          <w:tcPr>
            <w:tcW w:w="2291" w:type="dxa"/>
            <w:vAlign w:val="center"/>
          </w:tcPr>
          <w:p w14:paraId="605724EA">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投标文件编制</w:t>
            </w:r>
          </w:p>
        </w:tc>
        <w:tc>
          <w:tcPr>
            <w:tcW w:w="6555" w:type="dxa"/>
            <w:vAlign w:val="center"/>
          </w:tcPr>
          <w:p w14:paraId="3BD7D2F2">
            <w:pPr>
              <w:pStyle w:val="11"/>
              <w:widowControl w:val="0"/>
              <w:wordWrap w:val="0"/>
              <w:spacing w:before="0" w:beforeAutospacing="0" w:after="0" w:afterAutospacing="0" w:line="480" w:lineRule="exact"/>
              <w:rPr>
                <w:rFonts w:hint="eastAsia" w:ascii="黑体" w:hAnsi="黑体" w:cs="黑体"/>
                <w:color w:val="auto"/>
                <w:sz w:val="19"/>
                <w:szCs w:val="19"/>
                <w:lang w:bidi="ar"/>
              </w:rPr>
            </w:pPr>
            <w:r>
              <w:rPr>
                <w:rFonts w:hint="eastAsia" w:ascii="黑体" w:hAnsi="黑体" w:eastAsia="黑体" w:cs="黑体"/>
                <w:sz w:val="19"/>
                <w:szCs w:val="19"/>
              </w:rPr>
              <w:t>供应商须在“全国公共资源交易平台（陕西省.西咸新区）（http://xxxq.sxggzyjy.cn/）”的“服务指南”栏目“下载专区”中，免费下载“陕西省公共资源交易平台政府采购电子标的要求书制作工具”，并使用该客户端制作扩展名为“.SXSTF”的电子化投标文件。供应商须使用数字认证证书对电子化投标文件进行签章、加密、递交时解密等相关招投标事宜。</w:t>
            </w:r>
          </w:p>
        </w:tc>
      </w:tr>
      <w:tr w14:paraId="70AE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72" w:type="dxa"/>
            <w:vAlign w:val="center"/>
          </w:tcPr>
          <w:p w14:paraId="524A2F5D">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15</w:t>
            </w:r>
          </w:p>
        </w:tc>
        <w:tc>
          <w:tcPr>
            <w:tcW w:w="2291" w:type="dxa"/>
            <w:vAlign w:val="center"/>
          </w:tcPr>
          <w:p w14:paraId="38B7DB69">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投标文件封套上应载明的信息</w:t>
            </w:r>
          </w:p>
        </w:tc>
        <w:tc>
          <w:tcPr>
            <w:tcW w:w="6555" w:type="dxa"/>
            <w:vAlign w:val="center"/>
          </w:tcPr>
          <w:p w14:paraId="27181117">
            <w:pPr>
              <w:pStyle w:val="11"/>
              <w:spacing w:before="0" w:beforeAutospacing="0" w:after="0" w:afterAutospacing="0" w:line="480" w:lineRule="exact"/>
              <w:rPr>
                <w:rFonts w:hint="eastAsia" w:ascii="黑体" w:hAnsi="黑体" w:cs="黑体"/>
                <w:color w:val="auto"/>
                <w:kern w:val="2"/>
                <w:sz w:val="19"/>
                <w:szCs w:val="19"/>
              </w:rPr>
            </w:pPr>
            <w:r>
              <w:rPr>
                <w:rFonts w:hint="eastAsia"/>
              </w:rPr>
              <w:t>/</w:t>
            </w:r>
          </w:p>
        </w:tc>
      </w:tr>
      <w:tr w14:paraId="311E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72" w:type="dxa"/>
            <w:vAlign w:val="center"/>
          </w:tcPr>
          <w:p w14:paraId="77E3ED5B">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16</w:t>
            </w:r>
          </w:p>
        </w:tc>
        <w:tc>
          <w:tcPr>
            <w:tcW w:w="2291" w:type="dxa"/>
            <w:vAlign w:val="center"/>
          </w:tcPr>
          <w:p w14:paraId="6D030B3A">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投标文件提交截止时间、地点</w:t>
            </w:r>
          </w:p>
        </w:tc>
        <w:tc>
          <w:tcPr>
            <w:tcW w:w="6555" w:type="dxa"/>
            <w:vAlign w:val="center"/>
          </w:tcPr>
          <w:p w14:paraId="6C590AF3">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投标文件递交截止时间：</w:t>
            </w:r>
            <w:r>
              <w:rPr>
                <w:rFonts w:hint="eastAsia" w:ascii="黑体" w:hAnsi="黑体" w:eastAsia="黑体" w:cs="黑体"/>
                <w:color w:val="auto"/>
                <w:kern w:val="2"/>
                <w:sz w:val="19"/>
                <w:szCs w:val="19"/>
                <w:lang w:val="en-US" w:eastAsia="zh-CN"/>
              </w:rPr>
              <w:t>以</w:t>
            </w:r>
            <w:r>
              <w:rPr>
                <w:rFonts w:hint="eastAsia" w:ascii="黑体" w:hAnsi="黑体" w:eastAsia="黑体" w:cs="黑体"/>
                <w:color w:val="auto"/>
                <w:kern w:val="2"/>
                <w:sz w:val="19"/>
                <w:szCs w:val="19"/>
              </w:rPr>
              <w:t>陕西省西咸新区公共资源交易中心系统公示的开标时间为准</w:t>
            </w:r>
            <w:r>
              <w:rPr>
                <w:rFonts w:hint="eastAsia" w:ascii="黑体" w:hAnsi="黑体" w:eastAsia="黑体" w:cs="黑体"/>
                <w:sz w:val="19"/>
                <w:szCs w:val="19"/>
              </w:rPr>
              <w:t>；</w:t>
            </w:r>
          </w:p>
          <w:p w14:paraId="1DBB6A68">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投标文件递交地点:</w:t>
            </w:r>
            <w:r>
              <w:rPr>
                <w:rFonts w:hint="eastAsia" w:ascii="黑体" w:hAnsi="黑体" w:eastAsia="黑体" w:cs="黑体"/>
                <w:sz w:val="19"/>
                <w:szCs w:val="19"/>
                <w:lang w:val="en-US" w:eastAsia="zh-CN"/>
              </w:rPr>
              <w:t>全国公共资源交易平台（陕西省.西咸新区）</w:t>
            </w:r>
            <w:r>
              <w:rPr>
                <w:rFonts w:hint="eastAsia" w:ascii="黑体" w:hAnsi="黑体" w:eastAsia="黑体" w:cs="黑体"/>
                <w:sz w:val="19"/>
                <w:szCs w:val="19"/>
              </w:rPr>
              <w:t>西咸新区公共资源交易中心</w:t>
            </w:r>
            <w:r>
              <w:rPr>
                <w:rFonts w:hint="eastAsia" w:ascii="黑体" w:hAnsi="黑体" w:eastAsia="黑体" w:cs="黑体"/>
                <w:sz w:val="19"/>
                <w:szCs w:val="19"/>
                <w:lang w:val="en-US" w:eastAsia="zh-CN"/>
              </w:rPr>
              <w:t>（http://xxxq.sxggzyjy.cn）网上递交；</w:t>
            </w:r>
          </w:p>
          <w:p w14:paraId="2F4005C9">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注：</w:t>
            </w:r>
          </w:p>
          <w:p w14:paraId="6EC599D3">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w:t>
            </w:r>
            <w:r>
              <w:rPr>
                <w:rFonts w:hint="eastAsia" w:ascii="黑体" w:hAnsi="黑体" w:eastAsia="黑体" w:cs="黑体"/>
                <w:color w:val="auto"/>
                <w:kern w:val="2"/>
                <w:sz w:val="19"/>
                <w:szCs w:val="19"/>
                <w:lang w:val="en-US" w:eastAsia="zh-CN"/>
              </w:rPr>
              <w:t>以</w:t>
            </w:r>
            <w:r>
              <w:rPr>
                <w:rFonts w:hint="eastAsia" w:ascii="黑体" w:hAnsi="黑体" w:eastAsia="黑体" w:cs="黑体"/>
                <w:color w:val="auto"/>
                <w:kern w:val="2"/>
                <w:sz w:val="19"/>
                <w:szCs w:val="19"/>
              </w:rPr>
              <w:t>陕西省西咸新区公共资源交易中心系统公示的开标时间为准，在开标前上传至陕西省西咸新区公共资源交易中心系统。</w:t>
            </w:r>
          </w:p>
          <w:p w14:paraId="612928FF">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投标人应在投标截止时间前登录招标文件载明的“不见面开标系统”网址，按系统提示完成开标流程。因投标人自身设施故障或自身原因导致无法完成投标的，由投标人自行承担后果。</w:t>
            </w:r>
          </w:p>
          <w:p w14:paraId="0608620A">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投标人在全国公共资源交易平台（陕西省·西咸新区）上传加密投标文件（扩展名为“.SXSTF”）。</w:t>
            </w:r>
          </w:p>
          <w:p w14:paraId="4F39151A">
            <w:pPr>
              <w:pStyle w:val="11"/>
              <w:widowControl w:val="0"/>
              <w:spacing w:before="0" w:beforeAutospacing="0" w:after="0" w:afterAutospacing="0"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本次招标采用“不见面开标”方式。“不见面开标大厅”登录方式：全国公共资源交易平台（陕西省西咸新区）-电子交易平台-西咸新区公共资源交易平台不见面开标系统。电子响应文件在截止时间前签章加密上传至全国公共资源交易平台（陕西省.西咸新区）。关于使用不见面开标方式的相关事项详见“http://xxxq.sxggzyjy.cn/xwzx/002002/20210721/d7421699-e891-4f40-b441-dccc415e05b3.html”内容。</w:t>
            </w:r>
          </w:p>
        </w:tc>
      </w:tr>
      <w:tr w14:paraId="0504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72" w:type="dxa"/>
            <w:vAlign w:val="center"/>
          </w:tcPr>
          <w:p w14:paraId="675C1526">
            <w:pPr>
              <w:pStyle w:val="11"/>
              <w:spacing w:line="480" w:lineRule="exact"/>
              <w:jc w:val="both"/>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17</w:t>
            </w:r>
          </w:p>
        </w:tc>
        <w:tc>
          <w:tcPr>
            <w:tcW w:w="2291" w:type="dxa"/>
            <w:vAlign w:val="center"/>
          </w:tcPr>
          <w:p w14:paraId="355F60CE">
            <w:pPr>
              <w:spacing w:line="480" w:lineRule="exact"/>
              <w:jc w:val="left"/>
              <w:rPr>
                <w:rFonts w:hint="eastAsia" w:ascii="黑体" w:hAnsi="黑体" w:eastAsia="黑体" w:cs="黑体"/>
                <w:sz w:val="19"/>
                <w:szCs w:val="19"/>
              </w:rPr>
            </w:pPr>
            <w:r>
              <w:rPr>
                <w:rFonts w:hint="eastAsia" w:ascii="黑体" w:hAnsi="黑体" w:eastAsia="黑体" w:cs="黑体"/>
                <w:sz w:val="19"/>
                <w:szCs w:val="19"/>
              </w:rPr>
              <w:t>如发生此列情况之一，投标人的投标文件将拒绝接收</w:t>
            </w:r>
          </w:p>
        </w:tc>
        <w:tc>
          <w:tcPr>
            <w:tcW w:w="6555" w:type="dxa"/>
            <w:vAlign w:val="center"/>
          </w:tcPr>
          <w:p w14:paraId="37DD2849">
            <w:pPr>
              <w:spacing w:line="480" w:lineRule="exact"/>
              <w:ind w:left="2" w:leftChars="-52" w:hanging="127" w:hangingChars="67"/>
              <w:jc w:val="left"/>
              <w:rPr>
                <w:rFonts w:hint="eastAsia" w:ascii="黑体" w:hAnsi="黑体" w:eastAsia="黑体" w:cs="黑体"/>
                <w:sz w:val="19"/>
                <w:szCs w:val="19"/>
              </w:rPr>
            </w:pPr>
            <w:r>
              <w:rPr>
                <w:rFonts w:hint="eastAsia" w:ascii="黑体" w:hAnsi="黑体" w:eastAsia="黑体" w:cs="黑体"/>
                <w:sz w:val="19"/>
                <w:szCs w:val="19"/>
              </w:rPr>
              <w:t>（1）未按招标公告规定获取招标文件的；</w:t>
            </w:r>
          </w:p>
          <w:p w14:paraId="3DF9C57A">
            <w:pPr>
              <w:spacing w:line="480" w:lineRule="exact"/>
              <w:ind w:left="2" w:leftChars="-52" w:hanging="127" w:hangingChars="67"/>
              <w:jc w:val="left"/>
              <w:rPr>
                <w:rFonts w:hint="eastAsia" w:ascii="黑体" w:hAnsi="黑体" w:eastAsia="黑体" w:cs="黑体"/>
                <w:sz w:val="19"/>
                <w:szCs w:val="19"/>
              </w:rPr>
            </w:pPr>
            <w:r>
              <w:rPr>
                <w:rFonts w:hint="eastAsia" w:ascii="黑体" w:hAnsi="黑体" w:eastAsia="黑体" w:cs="黑体"/>
                <w:sz w:val="19"/>
                <w:szCs w:val="19"/>
              </w:rPr>
              <w:t>（2）投标人名称与获取招标文件时不一致的；</w:t>
            </w:r>
          </w:p>
          <w:p w14:paraId="2CB38ECE">
            <w:pPr>
              <w:spacing w:line="480" w:lineRule="exact"/>
              <w:ind w:left="2" w:leftChars="-52" w:hanging="127" w:hangingChars="67"/>
              <w:jc w:val="left"/>
              <w:rPr>
                <w:rFonts w:hint="eastAsia" w:ascii="黑体" w:hAnsi="黑体" w:eastAsia="黑体" w:cs="黑体"/>
                <w:sz w:val="19"/>
                <w:szCs w:val="19"/>
              </w:rPr>
            </w:pPr>
            <w:r>
              <w:rPr>
                <w:rFonts w:hint="eastAsia" w:ascii="黑体" w:hAnsi="黑体" w:eastAsia="黑体" w:cs="黑体"/>
                <w:sz w:val="19"/>
                <w:szCs w:val="19"/>
              </w:rPr>
              <w:t>（3）未在投标截止时间前递交投标文件的；</w:t>
            </w:r>
          </w:p>
          <w:p w14:paraId="44D9D8E5">
            <w:pPr>
              <w:spacing w:line="480" w:lineRule="exact"/>
              <w:ind w:left="2" w:leftChars="-52" w:hanging="127" w:hangingChars="67"/>
              <w:jc w:val="left"/>
              <w:rPr>
                <w:rFonts w:hint="eastAsia" w:ascii="黑体" w:hAnsi="黑体" w:eastAsia="黑体" w:cs="黑体"/>
                <w:sz w:val="19"/>
                <w:szCs w:val="19"/>
              </w:rPr>
            </w:pPr>
            <w:r>
              <w:rPr>
                <w:rFonts w:hint="eastAsia" w:ascii="黑体" w:hAnsi="黑体" w:eastAsia="黑体" w:cs="黑体"/>
                <w:sz w:val="19"/>
                <w:szCs w:val="19"/>
              </w:rPr>
              <w:t>（4）未按招标文件规定进行密封和标记的。</w:t>
            </w:r>
          </w:p>
        </w:tc>
      </w:tr>
      <w:tr w14:paraId="37ED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2" w:type="dxa"/>
            <w:vAlign w:val="center"/>
          </w:tcPr>
          <w:p w14:paraId="0DD1C5F5">
            <w:pPr>
              <w:jc w:val="left"/>
              <w:rPr>
                <w:rFonts w:hint="eastAsia" w:ascii="黑体" w:hAnsi="黑体" w:eastAsia="黑体" w:cs="黑体"/>
                <w:sz w:val="19"/>
                <w:szCs w:val="19"/>
              </w:rPr>
            </w:pPr>
            <w:r>
              <w:rPr>
                <w:rFonts w:hint="eastAsia" w:ascii="黑体" w:hAnsi="黑体" w:eastAsia="黑体" w:cs="黑体"/>
                <w:sz w:val="19"/>
                <w:szCs w:val="19"/>
              </w:rPr>
              <w:t>18</w:t>
            </w:r>
          </w:p>
        </w:tc>
        <w:tc>
          <w:tcPr>
            <w:tcW w:w="2291" w:type="dxa"/>
            <w:vAlign w:val="center"/>
          </w:tcPr>
          <w:p w14:paraId="51E22DB0">
            <w:pPr>
              <w:jc w:val="left"/>
              <w:rPr>
                <w:rFonts w:hint="eastAsia" w:ascii="黑体" w:hAnsi="黑体" w:eastAsia="黑体" w:cs="黑体"/>
                <w:sz w:val="19"/>
                <w:szCs w:val="19"/>
              </w:rPr>
            </w:pPr>
            <w:r>
              <w:rPr>
                <w:rFonts w:hint="eastAsia" w:ascii="黑体" w:hAnsi="黑体" w:eastAsia="黑体" w:cs="黑体"/>
                <w:sz w:val="19"/>
                <w:szCs w:val="19"/>
              </w:rPr>
              <w:t>投标有效期</w:t>
            </w:r>
          </w:p>
        </w:tc>
        <w:tc>
          <w:tcPr>
            <w:tcW w:w="6555" w:type="dxa"/>
            <w:vAlign w:val="center"/>
          </w:tcPr>
          <w:p w14:paraId="3558C855">
            <w:pPr>
              <w:rPr>
                <w:rFonts w:hint="eastAsia" w:ascii="黑体" w:hAnsi="黑体" w:eastAsia="黑体" w:cs="黑体"/>
                <w:sz w:val="19"/>
                <w:szCs w:val="19"/>
              </w:rPr>
            </w:pPr>
            <w:r>
              <w:rPr>
                <w:rFonts w:hint="eastAsia" w:ascii="黑体" w:hAnsi="黑体" w:eastAsia="黑体" w:cs="黑体"/>
                <w:sz w:val="19"/>
                <w:szCs w:val="19"/>
              </w:rPr>
              <w:t>提交投标文件的截止之日起90日历日。</w:t>
            </w:r>
          </w:p>
        </w:tc>
      </w:tr>
      <w:tr w14:paraId="636C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72" w:type="dxa"/>
            <w:vAlign w:val="center"/>
          </w:tcPr>
          <w:p w14:paraId="050D5823">
            <w:pPr>
              <w:pStyle w:val="11"/>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19</w:t>
            </w:r>
          </w:p>
        </w:tc>
        <w:tc>
          <w:tcPr>
            <w:tcW w:w="2291" w:type="dxa"/>
            <w:vAlign w:val="center"/>
          </w:tcPr>
          <w:p w14:paraId="6C0FADD0">
            <w:pPr>
              <w:pStyle w:val="11"/>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履约保证金</w:t>
            </w:r>
          </w:p>
        </w:tc>
        <w:tc>
          <w:tcPr>
            <w:tcW w:w="6555" w:type="dxa"/>
            <w:vAlign w:val="center"/>
          </w:tcPr>
          <w:p w14:paraId="553A3736">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sym w:font="Wingdings" w:char="00FE"/>
            </w:r>
            <w:r>
              <w:rPr>
                <w:rFonts w:hint="eastAsia" w:ascii="黑体" w:hAnsi="黑体" w:eastAsia="黑体" w:cs="黑体"/>
                <w:sz w:val="19"/>
                <w:szCs w:val="19"/>
              </w:rPr>
              <w:t>不要求提供。</w:t>
            </w:r>
          </w:p>
          <w:p w14:paraId="564E51EC">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sym w:font="Wingdings" w:char="00A8"/>
            </w:r>
            <w:r>
              <w:rPr>
                <w:rFonts w:hint="eastAsia" w:ascii="黑体" w:hAnsi="黑体" w:eastAsia="黑体" w:cs="黑体"/>
                <w:sz w:val="19"/>
                <w:szCs w:val="19"/>
              </w:rPr>
              <w:t>要求提供，本采购项目履约保证金为合同金额的</w:t>
            </w:r>
            <w:r>
              <w:rPr>
                <w:rFonts w:hint="eastAsia" w:ascii="黑体" w:hAnsi="黑体" w:eastAsia="黑体" w:cs="黑体"/>
                <w:sz w:val="19"/>
                <w:szCs w:val="19"/>
                <w:u w:val="single"/>
              </w:rPr>
              <w:t xml:space="preserve">    </w:t>
            </w:r>
            <w:r>
              <w:rPr>
                <w:rFonts w:hint="eastAsia" w:ascii="黑体" w:hAnsi="黑体" w:eastAsia="黑体" w:cs="黑体"/>
                <w:sz w:val="19"/>
                <w:szCs w:val="19"/>
              </w:rPr>
              <w:t>%</w:t>
            </w:r>
          </w:p>
        </w:tc>
      </w:tr>
      <w:tr w14:paraId="2632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672" w:type="dxa"/>
            <w:vAlign w:val="center"/>
          </w:tcPr>
          <w:p w14:paraId="3F6C70AD">
            <w:pPr>
              <w:pStyle w:val="11"/>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20</w:t>
            </w:r>
          </w:p>
        </w:tc>
        <w:tc>
          <w:tcPr>
            <w:tcW w:w="2291" w:type="dxa"/>
            <w:vAlign w:val="center"/>
          </w:tcPr>
          <w:p w14:paraId="4D428BA8">
            <w:pPr>
              <w:pStyle w:val="11"/>
              <w:rPr>
                <w:rFonts w:hint="eastAsia" w:ascii="黑体" w:hAnsi="黑体" w:eastAsia="黑体" w:cs="黑体"/>
                <w:color w:val="auto"/>
                <w:kern w:val="2"/>
                <w:sz w:val="19"/>
                <w:szCs w:val="19"/>
              </w:rPr>
            </w:pPr>
            <w:r>
              <w:rPr>
                <w:rFonts w:hint="eastAsia" w:ascii="黑体" w:hAnsi="黑体" w:eastAsia="黑体" w:cs="黑体"/>
                <w:sz w:val="19"/>
                <w:szCs w:val="19"/>
              </w:rPr>
              <w:t>是否委托采购代理机构组织履约验收</w:t>
            </w:r>
          </w:p>
        </w:tc>
        <w:tc>
          <w:tcPr>
            <w:tcW w:w="6555" w:type="dxa"/>
            <w:vAlign w:val="center"/>
          </w:tcPr>
          <w:p w14:paraId="279C6904">
            <w:pPr>
              <w:widowControl/>
              <w:spacing w:before="87" w:beforeLines="20" w:line="360" w:lineRule="auto"/>
              <w:jc w:val="left"/>
              <w:rPr>
                <w:rFonts w:hint="eastAsia" w:ascii="黑体" w:hAnsi="黑体" w:eastAsia="黑体" w:cs="黑体"/>
                <w:sz w:val="19"/>
                <w:szCs w:val="19"/>
              </w:rPr>
            </w:pPr>
            <w:r>
              <w:rPr>
                <w:rFonts w:hint="eastAsia" w:ascii="黑体" w:hAnsi="黑体" w:eastAsia="黑体" w:cs="黑体"/>
                <w:sz w:val="19"/>
                <w:szCs w:val="19"/>
              </w:rPr>
              <w:t>□是，验收费用由采购人支付，费用标准</w:t>
            </w:r>
            <w:r>
              <w:rPr>
                <w:rFonts w:hint="eastAsia" w:ascii="黑体" w:hAnsi="黑体" w:eastAsia="黑体" w:cs="黑体"/>
                <w:sz w:val="19"/>
                <w:szCs w:val="19"/>
                <w:u w:val="single"/>
              </w:rPr>
              <w:t xml:space="preserve">  /    </w:t>
            </w:r>
            <w:r>
              <w:rPr>
                <w:rFonts w:hint="eastAsia" w:ascii="黑体" w:hAnsi="黑体" w:eastAsia="黑体" w:cs="黑体"/>
                <w:sz w:val="19"/>
                <w:szCs w:val="19"/>
              </w:rPr>
              <w:t>。</w:t>
            </w:r>
          </w:p>
          <w:p w14:paraId="78C9C084">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☑否。</w:t>
            </w:r>
          </w:p>
        </w:tc>
      </w:tr>
      <w:tr w14:paraId="0A4B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trPr>
        <w:tc>
          <w:tcPr>
            <w:tcW w:w="672" w:type="dxa"/>
            <w:vAlign w:val="center"/>
          </w:tcPr>
          <w:p w14:paraId="0D97569B">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21</w:t>
            </w:r>
          </w:p>
        </w:tc>
        <w:tc>
          <w:tcPr>
            <w:tcW w:w="2291" w:type="dxa"/>
            <w:vAlign w:val="center"/>
          </w:tcPr>
          <w:p w14:paraId="06D4A341">
            <w:pPr>
              <w:widowControl/>
              <w:spacing w:line="480" w:lineRule="exact"/>
              <w:jc w:val="left"/>
              <w:rPr>
                <w:rFonts w:hint="eastAsia" w:ascii="黑体" w:hAnsi="黑体" w:eastAsia="黑体" w:cs="黑体"/>
                <w:kern w:val="0"/>
                <w:sz w:val="19"/>
                <w:szCs w:val="19"/>
                <w:lang w:bidi="ar"/>
              </w:rPr>
            </w:pPr>
            <w:r>
              <w:rPr>
                <w:rFonts w:hint="eastAsia" w:ascii="黑体" w:hAnsi="黑体" w:eastAsia="黑体" w:cs="黑体"/>
                <w:kern w:val="0"/>
                <w:sz w:val="19"/>
                <w:szCs w:val="19"/>
                <w:lang w:bidi="ar"/>
              </w:rPr>
              <w:t>代理机构代理费用的收取标准和方式</w:t>
            </w:r>
          </w:p>
        </w:tc>
        <w:tc>
          <w:tcPr>
            <w:tcW w:w="6555" w:type="dxa"/>
            <w:vAlign w:val="center"/>
          </w:tcPr>
          <w:p w14:paraId="3B3049D5">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1.本项目招标代理服务费由中标人支付。</w:t>
            </w:r>
          </w:p>
          <w:p w14:paraId="23E8A8D2">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2.中标人领取中标通知书时，按以下标准一次性向采购代理机构支付服务费。</w:t>
            </w:r>
          </w:p>
          <w:p w14:paraId="5FE99F07">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（1）本项目按中标金额作为收费的计算基数；</w:t>
            </w:r>
          </w:p>
          <w:p w14:paraId="37AF57FF">
            <w:pPr>
              <w:widowControl/>
              <w:spacing w:line="480" w:lineRule="exact"/>
              <w:jc w:val="left"/>
              <w:rPr>
                <w:rFonts w:hint="eastAsia"/>
              </w:rPr>
            </w:pPr>
            <w:r>
              <w:rPr>
                <w:rFonts w:hint="eastAsia" w:ascii="黑体" w:hAnsi="黑体" w:eastAsia="黑体" w:cs="黑体"/>
                <w:sz w:val="19"/>
                <w:szCs w:val="19"/>
              </w:rPr>
              <w:t>（2）招标代理服务费的收取参见国家计委颁布的《招标代理服务收费管理暂行办法》（计价格〔2002〕1980号）和（发改办价格〔2003〕857号）收费标准收取。</w:t>
            </w:r>
          </w:p>
        </w:tc>
      </w:tr>
      <w:tr w14:paraId="325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672" w:type="dxa"/>
            <w:vAlign w:val="center"/>
          </w:tcPr>
          <w:p w14:paraId="39B5C468">
            <w:pPr>
              <w:pStyle w:val="11"/>
              <w:spacing w:line="48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22</w:t>
            </w:r>
          </w:p>
        </w:tc>
        <w:tc>
          <w:tcPr>
            <w:tcW w:w="2291" w:type="dxa"/>
            <w:vAlign w:val="center"/>
          </w:tcPr>
          <w:p w14:paraId="186EEFCF">
            <w:pPr>
              <w:widowControl/>
              <w:spacing w:line="480" w:lineRule="exact"/>
              <w:jc w:val="left"/>
              <w:rPr>
                <w:rFonts w:hint="eastAsia" w:ascii="黑体" w:hAnsi="黑体" w:eastAsia="黑体" w:cs="黑体"/>
                <w:kern w:val="0"/>
                <w:sz w:val="19"/>
                <w:szCs w:val="19"/>
                <w:lang w:bidi="ar"/>
              </w:rPr>
            </w:pPr>
            <w:r>
              <w:rPr>
                <w:rFonts w:hint="eastAsia" w:ascii="黑体" w:hAnsi="黑体" w:eastAsia="黑体" w:cs="黑体"/>
                <w:kern w:val="0"/>
                <w:sz w:val="19"/>
                <w:szCs w:val="19"/>
                <w:lang w:bidi="ar"/>
              </w:rPr>
              <w:t>其他</w:t>
            </w:r>
          </w:p>
        </w:tc>
        <w:tc>
          <w:tcPr>
            <w:tcW w:w="6555" w:type="dxa"/>
            <w:vAlign w:val="center"/>
          </w:tcPr>
          <w:p w14:paraId="2AA34F6F">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1、融资政策：</w:t>
            </w:r>
            <w:r>
              <w:rPr>
                <w:rFonts w:hint="eastAsia" w:ascii="黑体" w:hAnsi="黑体" w:eastAsia="黑体" w:cs="黑体"/>
                <w:color w:val="000000" w:themeColor="text1"/>
                <w:sz w:val="19"/>
                <w:szCs w:val="19"/>
                <w14:textFill>
                  <w14:solidFill>
                    <w14:schemeClr w14:val="tx1"/>
                  </w14:solidFill>
                </w14:textFill>
              </w:rPr>
              <w:t>对于有融资需求的供应商，可根据《陕西省财政厅关于加快推进我省中小企业政府采购信用融资工作的通知》（陕财办采〔2020〕15号）、陕西省财政厅关于印发《陕西省中小企业政府采购信用融资办法》（陕财办采〔2018〕23号），在陕西省政府采购金融服务平台（</w:t>
            </w:r>
            <w:r>
              <w:rPr>
                <w:rFonts w:hint="eastAsia" w:ascii="黑体" w:hAnsi="黑体" w:eastAsia="黑体" w:cs="黑体"/>
                <w:sz w:val="19"/>
                <w:szCs w:val="19"/>
              </w:rPr>
              <w:t>http://www.ccgp-shaanxi.gov.cn/zcdservice/zcd/shanxi/</w:t>
            </w:r>
            <w:r>
              <w:rPr>
                <w:rFonts w:hint="eastAsia" w:ascii="黑体" w:hAnsi="黑体" w:eastAsia="黑体" w:cs="黑体"/>
                <w:color w:val="000000" w:themeColor="text1"/>
                <w:sz w:val="19"/>
                <w:szCs w:val="19"/>
                <w14:textFill>
                  <w14:solidFill>
                    <w14:schemeClr w14:val="tx1"/>
                  </w14:solidFill>
                </w14:textFill>
              </w:rPr>
              <w:t>）进一步了解。</w:t>
            </w:r>
          </w:p>
          <w:p w14:paraId="4CC687E7">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2、根据西咸新区财政局《关于促进政府采购公平竞争优化营商环境的通知》要求。投标人若不参与项目投标，应在递交投标文件截止前一日以书面形式（格式如下，签字盖章后发回代理机构邮箱xa@zbyan.cn即可）告知采购代理机构。否则，采购代理机构可以向财政部门反映情况并提供相应的佐证。投标人一年内出现累计三次该情形，将被监管部门记录为失信行为。</w:t>
            </w:r>
          </w:p>
          <w:p w14:paraId="436A9814">
            <w:pPr>
              <w:widowControl/>
              <w:spacing w:line="480" w:lineRule="exact"/>
              <w:ind w:firstLine="1900" w:firstLineChars="1000"/>
              <w:jc w:val="left"/>
              <w:rPr>
                <w:rFonts w:hint="eastAsia" w:ascii="黑体" w:hAnsi="黑体" w:eastAsia="黑体" w:cs="黑体"/>
                <w:sz w:val="19"/>
                <w:szCs w:val="19"/>
              </w:rPr>
            </w:pPr>
            <w:r>
              <w:rPr>
                <w:rFonts w:hint="eastAsia" w:ascii="黑体" w:hAnsi="黑体" w:eastAsia="黑体" w:cs="黑体"/>
                <w:sz w:val="19"/>
                <w:szCs w:val="19"/>
              </w:rPr>
              <w:t>不参与投标告知函</w:t>
            </w:r>
          </w:p>
          <w:p w14:paraId="6E2C4BA2">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（招标代理机构名称）：</w:t>
            </w:r>
          </w:p>
          <w:p w14:paraId="4315A5BA">
            <w:pPr>
              <w:widowControl/>
              <w:spacing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经研究决定，由于</w:t>
            </w:r>
            <w:r>
              <w:rPr>
                <w:rFonts w:hint="eastAsia" w:ascii="黑体" w:hAnsi="黑体" w:eastAsia="黑体" w:cs="黑体"/>
                <w:sz w:val="19"/>
                <w:szCs w:val="19"/>
                <w:u w:val="single"/>
              </w:rPr>
              <w:t xml:space="preserve">    （不参与原因）</w:t>
            </w:r>
            <w:r>
              <w:rPr>
                <w:rFonts w:hint="eastAsia" w:ascii="黑体" w:hAnsi="黑体" w:eastAsia="黑体" w:cs="黑体"/>
                <w:sz w:val="19"/>
                <w:szCs w:val="19"/>
              </w:rPr>
              <w:t>，我单位</w:t>
            </w:r>
            <w:r>
              <w:rPr>
                <w:rFonts w:hint="eastAsia" w:ascii="黑体" w:hAnsi="黑体" w:eastAsia="黑体" w:cs="黑体"/>
                <w:sz w:val="19"/>
                <w:szCs w:val="19"/>
                <w:u w:val="single"/>
              </w:rPr>
              <w:t xml:space="preserve">  （单位名称）  </w:t>
            </w:r>
            <w:r>
              <w:rPr>
                <w:rFonts w:hint="eastAsia" w:ascii="黑体" w:hAnsi="黑体" w:eastAsia="黑体" w:cs="黑体"/>
                <w:sz w:val="19"/>
                <w:szCs w:val="19"/>
              </w:rPr>
              <w:t>确认不参与关于</w:t>
            </w:r>
            <w:r>
              <w:rPr>
                <w:rFonts w:hint="eastAsia" w:ascii="黑体" w:hAnsi="黑体" w:eastAsia="黑体" w:cs="黑体"/>
                <w:sz w:val="19"/>
                <w:szCs w:val="19"/>
                <w:u w:val="single"/>
              </w:rPr>
              <w:t xml:space="preserve"> （项目名称）</w:t>
            </w:r>
            <w:r>
              <w:rPr>
                <w:rFonts w:hint="eastAsia" w:ascii="黑体" w:hAnsi="黑体" w:eastAsia="黑体" w:cs="黑体"/>
                <w:sz w:val="19"/>
                <w:szCs w:val="19"/>
              </w:rPr>
              <w:t>的投标活动。</w:t>
            </w:r>
          </w:p>
          <w:p w14:paraId="04659323">
            <w:pPr>
              <w:widowControl/>
              <w:spacing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特此说明！</w:t>
            </w:r>
          </w:p>
          <w:p w14:paraId="544CA0E2">
            <w:pPr>
              <w:widowControl/>
              <w:spacing w:line="480" w:lineRule="exact"/>
              <w:ind w:firstLine="3230" w:firstLineChars="1700"/>
              <w:jc w:val="left"/>
              <w:rPr>
                <w:rFonts w:hint="eastAsia" w:ascii="黑体" w:hAnsi="黑体" w:eastAsia="黑体" w:cs="黑体"/>
                <w:sz w:val="19"/>
                <w:szCs w:val="19"/>
              </w:rPr>
            </w:pPr>
            <w:r>
              <w:rPr>
                <w:rFonts w:hint="eastAsia" w:ascii="黑体" w:hAnsi="黑体" w:eastAsia="黑体" w:cs="黑体"/>
                <w:sz w:val="19"/>
                <w:szCs w:val="19"/>
              </w:rPr>
              <w:t>单位名称（盖章）：</w:t>
            </w:r>
          </w:p>
          <w:p w14:paraId="29F27FC2">
            <w:pPr>
              <w:widowControl/>
              <w:spacing w:line="480" w:lineRule="exact"/>
              <w:ind w:firstLine="2660" w:firstLineChars="1400"/>
              <w:jc w:val="left"/>
              <w:rPr>
                <w:rFonts w:hint="eastAsia" w:ascii="黑体" w:hAnsi="黑体" w:eastAsia="黑体" w:cs="黑体"/>
                <w:sz w:val="19"/>
                <w:szCs w:val="19"/>
              </w:rPr>
            </w:pPr>
            <w:r>
              <w:rPr>
                <w:rFonts w:hint="eastAsia" w:ascii="黑体" w:hAnsi="黑体" w:eastAsia="黑体" w:cs="黑体"/>
                <w:sz w:val="19"/>
                <w:szCs w:val="19"/>
              </w:rPr>
              <w:t>法定代表人或授权代表（签字或盖章）：</w:t>
            </w:r>
          </w:p>
          <w:p w14:paraId="142B3ED7">
            <w:pPr>
              <w:widowControl/>
              <w:spacing w:line="480" w:lineRule="exact"/>
              <w:ind w:firstLine="3230" w:firstLineChars="1700"/>
              <w:jc w:val="left"/>
              <w:rPr>
                <w:rFonts w:hint="eastAsia" w:ascii="黑体" w:hAnsi="黑体" w:eastAsia="黑体" w:cs="黑体"/>
                <w:sz w:val="19"/>
                <w:szCs w:val="19"/>
              </w:rPr>
            </w:pPr>
            <w:r>
              <w:rPr>
                <w:rFonts w:hint="eastAsia" w:ascii="黑体" w:hAnsi="黑体" w:eastAsia="黑体" w:cs="黑体"/>
                <w:sz w:val="19"/>
                <w:szCs w:val="19"/>
              </w:rPr>
              <w:t>日期：年 月 日</w:t>
            </w:r>
          </w:p>
        </w:tc>
      </w:tr>
    </w:tbl>
    <w:p w14:paraId="79444D46">
      <w:pPr>
        <w:pStyle w:val="36"/>
        <w:rPr>
          <w:rFonts w:ascii="黑体" w:hAnsi="黑体" w:eastAsia="黑体" w:cs="黑体"/>
          <w:b/>
          <w:color w:val="000000" w:themeColor="text1"/>
          <w:sz w:val="28"/>
          <w14:textFill>
            <w14:solidFill>
              <w14:schemeClr w14:val="tx1"/>
            </w14:solidFill>
          </w14:textFill>
        </w:rPr>
        <w:sectPr>
          <w:footerReference r:id="rId7" w:type="default"/>
          <w:pgSz w:w="11905" w:h="16838"/>
          <w:pgMar w:top="1417" w:right="1247" w:bottom="1474" w:left="1247" w:header="850" w:footer="992" w:gutter="0"/>
          <w:pgNumType w:fmt="numberInDash"/>
          <w:cols w:space="0" w:num="1"/>
          <w:docGrid w:type="lines" w:linePitch="436" w:charSpace="0"/>
        </w:sectPr>
      </w:pPr>
    </w:p>
    <w:p w14:paraId="5065E1B6">
      <w:pPr>
        <w:pStyle w:val="36"/>
        <w:spacing w:line="500" w:lineRule="exact"/>
        <w:jc w:val="center"/>
        <w:outlineLvl w:val="1"/>
        <w:rPr>
          <w:rFonts w:ascii="黑体" w:hAnsi="黑体" w:eastAsia="黑体" w:cs="黑体"/>
          <w:b/>
          <w:sz w:val="28"/>
          <w:szCs w:val="28"/>
        </w:rPr>
      </w:pPr>
      <w:bookmarkStart w:id="25" w:name="_Toc18198"/>
      <w:bookmarkStart w:id="26" w:name="_Toc23272"/>
      <w:bookmarkStart w:id="27" w:name="_Toc11534"/>
      <w:r>
        <w:rPr>
          <w:rFonts w:ascii="黑体" w:hAnsi="黑体" w:eastAsia="黑体" w:cs="黑体"/>
          <w:b/>
          <w:sz w:val="28"/>
          <w:szCs w:val="28"/>
          <w:lang w:eastAsia="zh-CN"/>
        </w:rPr>
        <w:t>投标人须知</w:t>
      </w:r>
      <w:r>
        <w:rPr>
          <w:rFonts w:ascii="黑体" w:hAnsi="黑体" w:eastAsia="黑体" w:cs="黑体"/>
          <w:b/>
          <w:sz w:val="28"/>
          <w:szCs w:val="28"/>
        </w:rPr>
        <w:t>正文</w:t>
      </w:r>
      <w:bookmarkEnd w:id="25"/>
      <w:bookmarkEnd w:id="26"/>
    </w:p>
    <w:p w14:paraId="5D685B50">
      <w:pPr>
        <w:numPr>
          <w:ilvl w:val="1"/>
          <w:numId w:val="0"/>
        </w:numPr>
        <w:tabs>
          <w:tab w:val="left" w:pos="576"/>
        </w:tabs>
        <w:adjustRightInd w:val="0"/>
        <w:snapToGrid w:val="0"/>
        <w:spacing w:before="218" w:beforeLines="50" w:after="218" w:afterLines="50" w:line="480" w:lineRule="exact"/>
        <w:jc w:val="center"/>
        <w:rPr>
          <w:rFonts w:hint="eastAsia" w:ascii="黑体" w:hAnsi="黑体" w:eastAsia="黑体" w:cs="黑体"/>
          <w:sz w:val="28"/>
          <w:szCs w:val="28"/>
        </w:rPr>
      </w:pPr>
      <w:bookmarkStart w:id="28" w:name="_Toc22449"/>
      <w:bookmarkStart w:id="29" w:name="_Toc21567"/>
      <w:bookmarkStart w:id="30" w:name="_Toc14655"/>
      <w:r>
        <w:rPr>
          <w:rFonts w:hint="eastAsia" w:ascii="黑体" w:hAnsi="黑体" w:eastAsia="黑体" w:cs="黑体"/>
          <w:b/>
          <w:bCs/>
          <w:sz w:val="28"/>
          <w:szCs w:val="28"/>
        </w:rPr>
        <w:t>（一）总则</w:t>
      </w:r>
      <w:bookmarkEnd w:id="28"/>
      <w:bookmarkEnd w:id="29"/>
      <w:bookmarkEnd w:id="30"/>
    </w:p>
    <w:p w14:paraId="21669C53">
      <w:pPr>
        <w:numPr>
          <w:ilvl w:val="0"/>
          <w:numId w:val="4"/>
        </w:numPr>
        <w:snapToGrid w:val="0"/>
        <w:spacing w:before="87" w:beforeLines="20" w:line="480" w:lineRule="exact"/>
        <w:jc w:val="left"/>
        <w:rPr>
          <w:rFonts w:hint="eastAsia" w:ascii="黑体" w:hAnsi="黑体" w:eastAsia="黑体" w:cs="黑体"/>
          <w:b/>
          <w:sz w:val="19"/>
          <w:szCs w:val="19"/>
        </w:rPr>
      </w:pPr>
      <w:r>
        <w:rPr>
          <w:rFonts w:hint="eastAsia" w:ascii="黑体" w:hAnsi="黑体" w:eastAsia="黑体" w:cs="黑体"/>
          <w:b/>
          <w:sz w:val="19"/>
          <w:szCs w:val="19"/>
        </w:rPr>
        <w:t>适用范围</w:t>
      </w:r>
    </w:p>
    <w:p w14:paraId="1C610EF1">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本须知和前附表不一致的，以投标人须知前附表为准。</w:t>
      </w:r>
    </w:p>
    <w:p w14:paraId="18EB7BA2">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本招标文件由采购人和采购代理机构享有，对招标文件中供应商参加本次政府采购活动应当具备的条件，采购需求，评审细则及标准等文件所有内容由采购代理机构统一负责解释。</w:t>
      </w:r>
    </w:p>
    <w:p w14:paraId="44D5B95F">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有关定义</w:t>
      </w:r>
    </w:p>
    <w:p w14:paraId="588AA164">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“采购人”是指依法进行政府采购的各级国家机关、事业单位、团体组织。本项目的采购人详见招标公告。</w:t>
      </w:r>
    </w:p>
    <w:p w14:paraId="36F0112A">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“投标人”是指按照采购公告规定获取了招标文件，拟参加投标和向采购人提供货物、工程或服务的法人、其他组织或者自然人。本项目的投标人须满足以下条件：</w:t>
      </w:r>
    </w:p>
    <w:p w14:paraId="4A7A446F">
      <w:pPr>
        <w:numPr>
          <w:ilvl w:val="0"/>
          <w:numId w:val="5"/>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满足《中华人民共和国政府采购法》第二十二条规定及采购项目特定资格要求。</w:t>
      </w:r>
    </w:p>
    <w:p w14:paraId="60B758A1">
      <w:pPr>
        <w:numPr>
          <w:ilvl w:val="0"/>
          <w:numId w:val="5"/>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银行、保险、石油石化、电力、电信等有行业特殊情况的，允许以分支机构名义参加投标，招标文件中涉及的“法定代表人”在前述特殊行业中即对应为“负责人”。</w:t>
      </w:r>
    </w:p>
    <w:p w14:paraId="41E6AEC8">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“采购代理机构”是指从事政府采购代理业务的社会中介机构。本项目的采购代理机构详见招标公告。</w:t>
      </w:r>
    </w:p>
    <w:p w14:paraId="48F18E68">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参加采购活动费用</w:t>
      </w:r>
    </w:p>
    <w:p w14:paraId="2BA5F584">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投标人应自行承担参加采购活动的全部费用。</w:t>
      </w:r>
    </w:p>
    <w:p w14:paraId="5267E6FF">
      <w:pPr>
        <w:numPr>
          <w:ilvl w:val="0"/>
          <w:numId w:val="6"/>
        </w:numPr>
        <w:autoSpaceDE w:val="0"/>
        <w:autoSpaceDN w:val="0"/>
        <w:adjustRightInd w:val="0"/>
        <w:spacing w:before="218" w:beforeLines="50" w:after="218" w:afterLines="50" w:line="480" w:lineRule="exact"/>
        <w:jc w:val="center"/>
        <w:rPr>
          <w:rFonts w:hint="eastAsia" w:ascii="黑体" w:hAnsi="黑体" w:eastAsia="黑体" w:cs="黑体"/>
          <w:b/>
          <w:bCs/>
          <w:kern w:val="0"/>
          <w:sz w:val="28"/>
          <w:szCs w:val="28"/>
        </w:rPr>
      </w:pPr>
      <w:r>
        <w:rPr>
          <w:rFonts w:hint="eastAsia" w:ascii="黑体" w:hAnsi="黑体" w:eastAsia="黑体" w:cs="黑体"/>
          <w:b/>
          <w:bCs/>
          <w:kern w:val="0"/>
          <w:sz w:val="28"/>
          <w:szCs w:val="28"/>
        </w:rPr>
        <w:t>招标文件</w:t>
      </w:r>
    </w:p>
    <w:p w14:paraId="3D816F3A">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招标文件的构成</w:t>
      </w:r>
    </w:p>
    <w:p w14:paraId="2968EB75">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招标文件不仅是投标人准备投标文件和参与投标的重要依据，同时也是进行资格审查和评标的关键依据。该文件详细阐述招标项目所需的资质、技术、服务及报价等具体要求，明确招标投标的程序、相关规定和注意事项，并包含合同的主要条款等内容。本招标文件包括以下内容：</w:t>
      </w:r>
    </w:p>
    <w:p w14:paraId="5E91B47C">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1</w:t>
      </w: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招标公告</w:t>
      </w:r>
      <w:r>
        <w:rPr>
          <w:rFonts w:ascii="黑体" w:hAnsi="黑体" w:eastAsia="黑体" w:cs="黑体"/>
          <w:color w:val="000000" w:themeColor="text1"/>
          <w:sz w:val="19"/>
          <w:szCs w:val="19"/>
          <w14:textFill>
            <w14:solidFill>
              <w14:schemeClr w14:val="tx1"/>
            </w14:solidFill>
          </w14:textFill>
        </w:rPr>
        <w:t>；</w:t>
      </w:r>
    </w:p>
    <w:p w14:paraId="262691EF">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2</w:t>
      </w: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投标人须知</w:t>
      </w:r>
      <w:r>
        <w:rPr>
          <w:rFonts w:ascii="黑体" w:hAnsi="黑体" w:eastAsia="黑体" w:cs="黑体"/>
          <w:color w:val="000000" w:themeColor="text1"/>
          <w:sz w:val="19"/>
          <w:szCs w:val="19"/>
          <w14:textFill>
            <w14:solidFill>
              <w14:schemeClr w14:val="tx1"/>
            </w14:solidFill>
          </w14:textFill>
        </w:rPr>
        <w:t>；</w:t>
      </w:r>
    </w:p>
    <w:p w14:paraId="569FFF5B">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3</w:t>
      </w: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采购需求</w:t>
      </w:r>
      <w:r>
        <w:rPr>
          <w:rFonts w:ascii="黑体" w:hAnsi="黑体" w:eastAsia="黑体" w:cs="黑体"/>
          <w:color w:val="000000" w:themeColor="text1"/>
          <w:sz w:val="19"/>
          <w:szCs w:val="19"/>
          <w14:textFill>
            <w14:solidFill>
              <w14:schemeClr w14:val="tx1"/>
            </w14:solidFill>
          </w14:textFill>
        </w:rPr>
        <w:t>；</w:t>
      </w:r>
    </w:p>
    <w:p w14:paraId="73D0C0FF">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4</w:t>
      </w:r>
      <w:r>
        <w:rPr>
          <w:rFonts w:ascii="黑体" w:hAnsi="黑体" w:eastAsia="黑体" w:cs="黑体"/>
          <w:color w:val="000000" w:themeColor="text1"/>
          <w:sz w:val="19"/>
          <w:szCs w:val="19"/>
          <w14:textFill>
            <w14:solidFill>
              <w14:schemeClr w14:val="tx1"/>
            </w14:solidFill>
          </w14:textFill>
        </w:rPr>
        <w:t>）资格审查；</w:t>
      </w:r>
    </w:p>
    <w:p w14:paraId="38E37CF3">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5</w:t>
      </w:r>
      <w:r>
        <w:rPr>
          <w:rFonts w:ascii="黑体" w:hAnsi="黑体" w:eastAsia="黑体" w:cs="黑体"/>
          <w:color w:val="000000" w:themeColor="text1"/>
          <w:sz w:val="19"/>
          <w:szCs w:val="19"/>
          <w14:textFill>
            <w14:solidFill>
              <w14:schemeClr w14:val="tx1"/>
            </w14:solidFill>
          </w14:textFill>
        </w:rPr>
        <w:t>）评标办法；</w:t>
      </w:r>
    </w:p>
    <w:p w14:paraId="30BDDF85">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6</w:t>
      </w: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拟签订采购合同文本</w:t>
      </w:r>
      <w:r>
        <w:rPr>
          <w:rFonts w:ascii="黑体" w:hAnsi="黑体" w:eastAsia="黑体" w:cs="黑体"/>
          <w:color w:val="000000" w:themeColor="text1"/>
          <w:sz w:val="19"/>
          <w:szCs w:val="19"/>
          <w14:textFill>
            <w14:solidFill>
              <w14:schemeClr w14:val="tx1"/>
            </w14:solidFill>
          </w14:textFill>
        </w:rPr>
        <w:t>；</w:t>
      </w:r>
    </w:p>
    <w:p w14:paraId="0D4234B4">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7</w:t>
      </w: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应提交的有关格式范例</w:t>
      </w:r>
      <w:r>
        <w:rPr>
          <w:rFonts w:ascii="黑体" w:hAnsi="黑体" w:eastAsia="黑体" w:cs="黑体"/>
          <w:color w:val="000000" w:themeColor="text1"/>
          <w:sz w:val="19"/>
          <w:szCs w:val="19"/>
          <w14:textFill>
            <w14:solidFill>
              <w14:schemeClr w14:val="tx1"/>
            </w14:solidFill>
          </w14:textFill>
        </w:rPr>
        <w:t>。</w:t>
      </w:r>
    </w:p>
    <w:p w14:paraId="7399640D">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 投标人应认真阅读和充分理解招标文件中所有的事项、格式条款和规范要求。投标人没有对招标文件全面作出实质性响应所产生的风险由投标人承担。 </w:t>
      </w:r>
    </w:p>
    <w:p w14:paraId="2100EA38">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招标文件的澄清和修改</w:t>
      </w:r>
    </w:p>
    <w:p w14:paraId="744CE914">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在投标文件提交截止时间前，采购人或者采购代理机构可以对已发出的招标文件进行必要的澄清或者修改，澄清或者修改的内容为招标文件的组成部分。</w:t>
      </w:r>
    </w:p>
    <w:p w14:paraId="513240B0">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DCEBA4E">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14:paraId="52B92848">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采购人或者采购代理机构将在投标人须知前附表指定的信息发布媒体上发布更正公告，投标人应及时关注本项目更正公告信息，投标人应依据更正后的招标文件响应和编制投标文件。若投标人未按前述要求进行投标响应的，自行承担不利后果。</w:t>
      </w:r>
    </w:p>
    <w:p w14:paraId="1E3FAD32">
      <w:pPr>
        <w:numPr>
          <w:ilvl w:val="0"/>
          <w:numId w:val="6"/>
        </w:numPr>
        <w:autoSpaceDE w:val="0"/>
        <w:autoSpaceDN w:val="0"/>
        <w:adjustRightInd w:val="0"/>
        <w:spacing w:before="218" w:beforeLines="50" w:after="218" w:afterLines="50" w:line="480" w:lineRule="exact"/>
        <w:jc w:val="center"/>
        <w:rPr>
          <w:rFonts w:hint="eastAsia" w:ascii="黑体" w:hAnsi="黑体" w:eastAsia="黑体" w:cs="黑体"/>
          <w:b/>
          <w:sz w:val="28"/>
          <w:szCs w:val="28"/>
        </w:rPr>
      </w:pPr>
      <w:r>
        <w:rPr>
          <w:rFonts w:hint="eastAsia" w:ascii="黑体" w:hAnsi="黑体" w:eastAsia="黑体" w:cs="黑体"/>
          <w:b/>
          <w:bCs/>
          <w:kern w:val="0"/>
          <w:sz w:val="28"/>
          <w:szCs w:val="28"/>
        </w:rPr>
        <w:t>投标文件</w:t>
      </w:r>
    </w:p>
    <w:p w14:paraId="1F6126E6">
      <w:pPr>
        <w:numPr>
          <w:ilvl w:val="0"/>
          <w:numId w:val="4"/>
        </w:numPr>
        <w:spacing w:before="43" w:beforeLines="10" w:line="480" w:lineRule="exact"/>
        <w:rPr>
          <w:rFonts w:hint="eastAsia" w:ascii="黑体" w:hAnsi="黑体" w:eastAsia="黑体" w:cs="黑体"/>
          <w:b/>
          <w:sz w:val="19"/>
          <w:szCs w:val="19"/>
        </w:rPr>
      </w:pPr>
      <w:r>
        <w:rPr>
          <w:rFonts w:hint="eastAsia" w:ascii="黑体" w:hAnsi="黑体" w:eastAsia="黑体" w:cs="黑体"/>
          <w:b/>
          <w:sz w:val="19"/>
          <w:szCs w:val="19"/>
        </w:rPr>
        <w:t>投标文件的语言</w:t>
      </w:r>
    </w:p>
    <w:p w14:paraId="7ED60C4E">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所有来往书面文件均须使用中文。投标文件中如附有外文资料，主要部分要对应翻译成中文并附在相关外文资料后面。未翻译的外文资料，评标委员会将其视为无效材料。</w:t>
      </w:r>
    </w:p>
    <w:p w14:paraId="4E5D76D7">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翻译的中文资料与外文资料如果出现差异和矛盾时，以中文为准。涉嫌提供虚假材料的按照相关法律法规处理。</w:t>
      </w:r>
    </w:p>
    <w:p w14:paraId="204E9278">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如因未翻译而造成对投标人的不利后果，由投标人承担。</w:t>
      </w:r>
    </w:p>
    <w:p w14:paraId="10C05001">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投标保证金交纳单位必须与投标单位名称保持一致，保证金有效期应与</w:t>
      </w:r>
      <w:r>
        <w:rPr>
          <w:rFonts w:hint="eastAsia" w:ascii="黑体" w:hAnsi="黑体" w:eastAsia="黑体" w:cs="黑体"/>
          <w:sz w:val="19"/>
          <w:szCs w:val="19"/>
          <w:u w:val="single"/>
        </w:rPr>
        <w:t>投标人须知前附表</w:t>
      </w:r>
      <w:r>
        <w:rPr>
          <w:rFonts w:hint="eastAsia" w:ascii="黑体" w:hAnsi="黑体" w:eastAsia="黑体" w:cs="黑体"/>
          <w:sz w:val="19"/>
          <w:szCs w:val="19"/>
        </w:rPr>
        <w:t>规定的投标有效期一致。</w:t>
      </w:r>
    </w:p>
    <w:p w14:paraId="7E32CDB6">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计量单位</w:t>
      </w:r>
    </w:p>
    <w:p w14:paraId="72C23583">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 xml:space="preserve"> 除招标文件中另有规定外，本项目均采用国家法定的计量单位。</w:t>
      </w:r>
    </w:p>
    <w:p w14:paraId="4118DE7A">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投标货币</w:t>
      </w:r>
    </w:p>
    <w:p w14:paraId="201762D3">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本次项目均以人民币报价。</w:t>
      </w:r>
    </w:p>
    <w:p w14:paraId="3B4EF5C6">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知识产权</w:t>
      </w:r>
    </w:p>
    <w:p w14:paraId="0C695D7E">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应保证在本项目中使用的任何技术、产品和服务（包括部分使用），不会产生因第三方提出侵犯其专利权、商标权或其他知识产权而引起的法律和经济纠纷，如因专利权、商标权或其他知识产权而引起法律和经济纠纷，由投标人承担所有相关责任。采购人享有本项目实施过程中产生的知识成果及知识产权。</w:t>
      </w:r>
    </w:p>
    <w:p w14:paraId="7CD63F04">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将在采购项目实施过程中采用自有或者第三方知识成果的，使用该知识成果后，投标人需提供开发接口和开发手册等技术资料，并承诺提供无限期支持，采购人享有使用权（含采购人委托第三方在该项目后续开发的使用权）。</w:t>
      </w:r>
    </w:p>
    <w:p w14:paraId="41986648">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如采用投标人所不拥有的知识产权，则在投标报价中必须包括合法使用该知识产权的相关费用。</w:t>
      </w:r>
    </w:p>
    <w:p w14:paraId="293DCB0E">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现场踏勘</w:t>
      </w:r>
    </w:p>
    <w:p w14:paraId="396D391E">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本项目是否组织现场踏勘详见</w:t>
      </w:r>
      <w:r>
        <w:rPr>
          <w:rFonts w:hint="eastAsia" w:ascii="黑体" w:hAnsi="黑体" w:eastAsia="黑体" w:cs="黑体"/>
          <w:sz w:val="19"/>
          <w:szCs w:val="19"/>
          <w:u w:val="single"/>
        </w:rPr>
        <w:t>投标人须知前附表</w:t>
      </w:r>
      <w:r>
        <w:rPr>
          <w:rFonts w:hint="eastAsia" w:ascii="黑体" w:hAnsi="黑体" w:eastAsia="黑体" w:cs="黑体"/>
          <w:sz w:val="19"/>
          <w:szCs w:val="19"/>
        </w:rPr>
        <w:t xml:space="preserve">。 </w:t>
      </w:r>
    </w:p>
    <w:p w14:paraId="7082BCA8">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投标人应按</w:t>
      </w:r>
      <w:r>
        <w:rPr>
          <w:rFonts w:hint="eastAsia" w:ascii="黑体" w:hAnsi="黑体" w:eastAsia="黑体" w:cs="黑体"/>
          <w:sz w:val="19"/>
          <w:szCs w:val="19"/>
          <w:u w:val="single"/>
        </w:rPr>
        <w:t>投标人须知前附表</w:t>
      </w:r>
      <w:r>
        <w:rPr>
          <w:rFonts w:hint="eastAsia" w:ascii="黑体" w:hAnsi="黑体" w:eastAsia="黑体" w:cs="黑体"/>
          <w:sz w:val="19"/>
          <w:szCs w:val="19"/>
        </w:rPr>
        <w:t>中规定的时间及地点，对采购项目现场和周围环境进行踏勘。投标人未在指定时间进行踏勘的，其造成的损失及后果由投标人自行承担。</w:t>
      </w:r>
    </w:p>
    <w:p w14:paraId="38D5E8FF">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考察现场的费用由投标人自己承担，考察期间所发生的人身伤害及财产损失由投标人自己负责。 </w:t>
      </w:r>
    </w:p>
    <w:p w14:paraId="07BBEC51">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采购人不对投标人据此而做出的推论、理解和结论负责。中标后，投标人不得以任何借口，提出额外补偿，或延长合同期限的要求。 </w:t>
      </w:r>
    </w:p>
    <w:p w14:paraId="450A54F4">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投标保证金</w:t>
      </w:r>
    </w:p>
    <w:p w14:paraId="05EB2898">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b/>
          <w:sz w:val="19"/>
          <w:szCs w:val="19"/>
        </w:rPr>
        <w:t>★</w:t>
      </w:r>
      <w:r>
        <w:rPr>
          <w:rFonts w:hint="eastAsia" w:ascii="黑体" w:hAnsi="黑体" w:eastAsia="黑体" w:cs="黑体"/>
          <w:sz w:val="19"/>
          <w:szCs w:val="19"/>
          <w:u w:val="single"/>
        </w:rPr>
        <w:t>投标人须知前附表</w:t>
      </w:r>
      <w:r>
        <w:rPr>
          <w:rFonts w:hint="eastAsia" w:ascii="黑体" w:hAnsi="黑体" w:eastAsia="黑体" w:cs="黑体"/>
          <w:sz w:val="19"/>
          <w:szCs w:val="19"/>
        </w:rPr>
        <w:t>规定项目要交纳投标保证金的，投标人应以银行转账、支票、汇票、本票或金融机构、担保机构出具的保函等非现金形式，在投标截止时间前，向采购代理机构提交。</w:t>
      </w:r>
    </w:p>
    <w:p w14:paraId="3E9FD679">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采购人或者采购代理机构应当在采购活动结束后及时退还供应商的投标保证金，但因供应商自身原因导致无法及时退还的除外。未中标人的投标保证金应当在中标通知书发出后5个工作日内退还，中标人的投标保证金应当在采购合同签订后5个工作日内退还投标保证金或者转为中标人的履约保证金。</w:t>
      </w:r>
    </w:p>
    <w:p w14:paraId="280715AA">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有下列情形之一的，投标保证金不予退还：</w:t>
      </w:r>
    </w:p>
    <w:p w14:paraId="06193BC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（1）供应商在提交投标文件截止时间后撤回投标文件的；</w:t>
      </w:r>
    </w:p>
    <w:p w14:paraId="3999AD09">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（2）供应商在投标文件中提供虚假材料的；</w:t>
      </w:r>
    </w:p>
    <w:p w14:paraId="5B2A48D2">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（3）除因不可抗力或招标文件认可的情形以外，中标人不与采购人签订合同的；</w:t>
      </w:r>
    </w:p>
    <w:p w14:paraId="696E5576">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（4）供应商与采购人、其他供应商或者采购代理机构恶意串通的；</w:t>
      </w:r>
    </w:p>
    <w:p w14:paraId="78AC342D">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投标文件的组成</w:t>
      </w:r>
    </w:p>
    <w:p w14:paraId="547FD337">
      <w:pPr>
        <w:pStyle w:val="36"/>
        <w:spacing w:before="87" w:beforeLines="20" w:line="480" w:lineRule="exact"/>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投标人应当按照招标文件的要求编制投标文件。投标文件应当对招标文件提出的要求和条件作出明确响应。投标文件的份数详见</w:t>
      </w:r>
      <w:r>
        <w:rPr>
          <w:rFonts w:ascii="黑体" w:hAnsi="黑体" w:eastAsia="黑体" w:cs="黑体"/>
          <w:color w:val="000000" w:themeColor="text1"/>
          <w:sz w:val="19"/>
          <w:szCs w:val="19"/>
          <w:u w:val="single"/>
          <w14:textFill>
            <w14:solidFill>
              <w14:schemeClr w14:val="tx1"/>
            </w14:solidFill>
          </w14:textFill>
        </w:rPr>
        <w:t>投标人须知前附表</w:t>
      </w:r>
      <w:r>
        <w:rPr>
          <w:rFonts w:ascii="黑体" w:hAnsi="黑体" w:eastAsia="黑体" w:cs="黑体"/>
          <w:color w:val="000000" w:themeColor="text1"/>
          <w:sz w:val="19"/>
          <w:szCs w:val="19"/>
          <w14:textFill>
            <w14:solidFill>
              <w14:schemeClr w14:val="tx1"/>
            </w14:solidFill>
          </w14:textFill>
        </w:rPr>
        <w:t>。</w:t>
      </w:r>
    </w:p>
    <w:p w14:paraId="7B53C285">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应提交的有关格式范例</w:t>
      </w:r>
    </w:p>
    <w:p w14:paraId="69841F5A">
      <w:pPr>
        <w:numPr>
          <w:ilvl w:val="1"/>
          <w:numId w:val="4"/>
        </w:num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投标人应按照招标文件第七章中提供的“应提交的有关格式范例”填写相关内容。</w:t>
      </w:r>
    </w:p>
    <w:p w14:paraId="696DB863">
      <w:pPr>
        <w:numPr>
          <w:ilvl w:val="1"/>
          <w:numId w:val="4"/>
        </w:num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对于没有格式要求的投标文件由投标人自行编写。</w:t>
      </w:r>
    </w:p>
    <w:p w14:paraId="6215E264">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投标报价</w:t>
      </w:r>
    </w:p>
    <w:p w14:paraId="23317172">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的报价是投标人响应招标项目要求的全部工作内容的价格体现，包括完成本项目和后续服务的所有费用。投标人依据招标文件提供的采购需求、示意性图纸等资料自行考虑风险因素计算投标报价，一旦中标，投标报价将不会因市场变化因素而得到调整。投标报价中应包括采购需求项目所发生的人工费、材料费、机械使用费、管理费、利润、项目措施费、规费、税金、配合费、预留金以及招标文件包含的所有风险、责任等各项应有费用，投标人漏报或不报，招标人将视为有关费用已包含在采购需求项目的其它单价及合价中而不予支付。</w:t>
      </w:r>
    </w:p>
    <w:p w14:paraId="33F3E4E5">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除招标文件另有约定，投标人提供的货物只允许有一个报价，并且在合同履行过程中是固定不变的，任何有选择或可调整的报价将不予接受，并按无效投标处理。</w:t>
      </w:r>
    </w:p>
    <w:p w14:paraId="536F5F31">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投标文件报价出现前后不一致的，按照招标文件第五章评标办法规定予以修正，修正后的报价经投标人进行确认。确认须由法定代表人或授权代表签字，或加盖单位公章。投标人不确认的，其投标无效。</w:t>
      </w:r>
    </w:p>
    <w:p w14:paraId="5EAA8F6F">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★投标有效期</w:t>
      </w:r>
    </w:p>
    <w:p w14:paraId="7DCC7976">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投标有效期详见投标人须知前附表，投标文件未明确投标有效期或者投标有效期小于投标人须知前附表中投标有效期要求的，其投标文件按无效处理。</w:t>
      </w:r>
    </w:p>
    <w:p w14:paraId="05D8B882">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投标文件的编制</w:t>
      </w:r>
    </w:p>
    <w:p w14:paraId="6A9E4963">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各投标人在编制投标文件时请按照招标文件规定的格式进行，混乱的编排导致投标文件被误读或评标委员会查找不到有效文件产生的风险由投标人自己承担。 </w:t>
      </w:r>
    </w:p>
    <w:p w14:paraId="12059A80">
      <w:pPr>
        <w:numPr>
          <w:ilvl w:val="1"/>
          <w:numId w:val="4"/>
        </w:numPr>
        <w:wordWrap w:val="0"/>
        <w:spacing w:before="87" w:beforeLines="20" w:line="480" w:lineRule="exact"/>
        <w:ind w:left="6" w:hanging="6"/>
        <w:jc w:val="left"/>
        <w:rPr>
          <w:rFonts w:hint="eastAsia" w:ascii="黑体" w:hAnsi="黑体" w:eastAsia="黑体" w:cs="黑体"/>
          <w:sz w:val="19"/>
          <w:szCs w:val="19"/>
        </w:rPr>
      </w:pPr>
      <w:r>
        <w:rPr>
          <w:rFonts w:hint="eastAsia" w:ascii="黑体" w:hAnsi="黑体" w:eastAsia="黑体" w:cs="黑体"/>
          <w:sz w:val="19"/>
          <w:szCs w:val="19"/>
        </w:rPr>
        <w:t xml:space="preserve">本项目采用电子化投标的方式。投标人须在“全国公共资源交易平台（陕西省.西咸新区）（ </w:t>
      </w:r>
      <w:r>
        <w:fldChar w:fldCharType="begin"/>
      </w:r>
      <w:r>
        <w:instrText xml:space="preserve"> HYPERLINK "http://xxxq.sxggzyjy.cn/）" </w:instrText>
      </w:r>
      <w:r>
        <w:fldChar w:fldCharType="separate"/>
      </w:r>
      <w:r>
        <w:rPr>
          <w:rFonts w:hint="eastAsia" w:ascii="黑体" w:hAnsi="黑体" w:eastAsia="黑体" w:cs="黑体"/>
          <w:sz w:val="19"/>
          <w:szCs w:val="19"/>
        </w:rPr>
        <w:t>http://xxxq.sxggzyjy.cn/）”的“服务指南”栏目“下载专区”中，免费下载“陕西省公共资源交易平台政府采购电子标书制作工具”，并使用该客户端制作扩展名为“.SXSTF”的电子投标文件。</w:t>
      </w:r>
      <w:r>
        <w:rPr>
          <w:rFonts w:hint="eastAsia" w:ascii="黑体" w:hAnsi="黑体" w:eastAsia="黑体" w:cs="黑体"/>
          <w:sz w:val="19"/>
          <w:szCs w:val="19"/>
        </w:rPr>
        <w:fldChar w:fldCharType="end"/>
      </w:r>
      <w:r>
        <w:rPr>
          <w:rFonts w:hint="eastAsia" w:ascii="黑体" w:hAnsi="黑体" w:eastAsia="黑体" w:cs="黑体"/>
          <w:sz w:val="19"/>
          <w:szCs w:val="19"/>
        </w:rPr>
        <w:t>供应商须使用数字认证证书对电子化投标文件进行签章、加密、递交及开标时解密等相关招投标事宜。</w:t>
      </w:r>
    </w:p>
    <w:p w14:paraId="4AD0D0FC">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投标文件的签署、盖章</w:t>
      </w:r>
    </w:p>
    <w:p w14:paraId="68277452">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投标人应按照投标人须知前附表的规定提交投标文件。</w:t>
      </w:r>
    </w:p>
    <w:p w14:paraId="5E89F5F5">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投标文件应按招标文件要求在签字盖章处盖单位公章和由法定代表人或授权代表签字。投标文件中的任何行间插字、涂改和增删，应加盖单位公章或由投标人的法定代表人或授权代表签字确认。否则，在评标时将其视为无效投标。 </w:t>
      </w:r>
    </w:p>
    <w:p w14:paraId="0A8D0EB5">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招标文件澄清或者修改的内容可能影响投标文件编制的，采购代理机构将重新发布澄清或者修改后的招标文件，投标人应重新获取澄清或者修改后的招标文件，按照澄清或者修改后的招标文件进行投标文件编制、签章。</w:t>
      </w:r>
    </w:p>
    <w:p w14:paraId="235990C2">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投标文件的提交</w:t>
      </w:r>
    </w:p>
    <w:p w14:paraId="0F0B799D">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投标人应按招标公告规定的时间和地点提交投标文件。</w:t>
      </w:r>
    </w:p>
    <w:p w14:paraId="29CA62F2">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投标人进入全国公共资源交易平台（陕西省.西咸新区）（ http://xxxq.sxggzyjy.cn/），选择“电子交易平台-陕西政府采购交易系统-陕西省西咸新区公共资源交易平台-供应商”进行登录，登录后选择“交易乙方”身份进入，选择“上传响应文件”菜单页面，上传加密的电子响应文件。上传成功后，电子化平台将予以记录。</w:t>
      </w:r>
    </w:p>
    <w:p w14:paraId="436DE52B">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投标文件以陕西省西咸新区公共资源交易中心系统公示的开标时间为准，在开标前上传至陕西省西咸新区公共资源交易中心系统。因供应商自身原因造成无法解密投标文件，按无效投标处理。 </w:t>
      </w:r>
    </w:p>
    <w:p w14:paraId="747BB713">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投标文件的补充、修改、撤回</w:t>
      </w:r>
    </w:p>
    <w:p w14:paraId="7F8ACD55">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投标人在投标截止时间前，可以对所递交的投标文件进行补充、修改或者撤回，并书面通知采购人或者采购代理机构。补充、修改的内容应当按照招标文件投标人须知17.2的要求签署、盖章后，按照投标人须知18.2的方式提交后，作为投标文件的组成部分。</w:t>
      </w:r>
    </w:p>
    <w:p w14:paraId="218D96C9">
      <w:pPr>
        <w:numPr>
          <w:ilvl w:val="0"/>
          <w:numId w:val="6"/>
        </w:numPr>
        <w:autoSpaceDE w:val="0"/>
        <w:autoSpaceDN w:val="0"/>
        <w:adjustRightInd w:val="0"/>
        <w:spacing w:before="218" w:beforeLines="50" w:after="218" w:afterLines="50" w:line="480" w:lineRule="exact"/>
        <w:jc w:val="center"/>
        <w:rPr>
          <w:rFonts w:hint="eastAsia" w:ascii="黑体" w:hAnsi="黑体" w:eastAsia="黑体" w:cs="黑体"/>
          <w:b/>
          <w:bCs/>
          <w:kern w:val="0"/>
          <w:sz w:val="28"/>
          <w:szCs w:val="28"/>
        </w:rPr>
      </w:pPr>
      <w:r>
        <w:rPr>
          <w:rFonts w:hint="eastAsia" w:ascii="黑体" w:hAnsi="黑体" w:eastAsia="黑体" w:cs="黑体"/>
          <w:b/>
          <w:bCs/>
          <w:kern w:val="0"/>
          <w:sz w:val="28"/>
          <w:szCs w:val="28"/>
        </w:rPr>
        <w:t>开标、资格审查、评标和中标</w:t>
      </w:r>
    </w:p>
    <w:p w14:paraId="2CA7795F">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开标及开标程序</w:t>
      </w:r>
    </w:p>
    <w:p w14:paraId="0041A374">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采购人和采购代理机构将按招标公告中规定的开标时间和地点组织开标，并邀请所有投标人代表参加，评标委员会成员不得参加开标活动。投标人不足3家的，不予开标，采购代理机构将作废标处理。 </w:t>
      </w:r>
    </w:p>
    <w:p w14:paraId="7817A51C">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开标程序将根据全国公共资源交易平台（陕西省.西咸新区）（ http://xxxq.sxggzyjy.cn/）“电子交易平台-西咸新区公共资源交易不见面开标大厅”相关程序执行。</w:t>
      </w:r>
    </w:p>
    <w:p w14:paraId="583324E2">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采购人或采购代理机构将对开标过程进行记录，由参加开标的各投标人代表和相关工作人员签字确认，并存档备查。投标人未派代表参加开标的，视同投标人认可开标结果。</w:t>
      </w:r>
    </w:p>
    <w:p w14:paraId="210D6F8C">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 xml:space="preserve">投标人代表对开标过程和开标记录有疑义，以及认为采购人、采购代理机构相关工作人员有需要回避的情形的，应当场提出询问或者回避申请。采购人、采购代理机构对投标人代表提出的询问或者回避申请应当及时处理。  </w:t>
      </w:r>
    </w:p>
    <w:p w14:paraId="2BBD5F55">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查询及使用信用记录</w:t>
      </w:r>
    </w:p>
    <w:p w14:paraId="64422751">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开标结束后，采购人或采购代理机构根据《关于在政府采购活动中查询及使用信用记录有关问题的通知》（财库〔2016〕125号）的要求，通过“信用中国”网站（www.creditchina.gov.cn）、“中国政府采购网”网站（www.ccgp.gov.cn）等渠道，查询投标人在投标文件提交截止时间前的信用记录，并编制《信用信息查询记录报告》作为证据留存与其他采购文件一并保存。拒绝列入失信被执行人名单、重大税收违法案件当事人名单、政府采购严重违法失信行为记录名单中的供应商参加本项目的采购活动。</w:t>
      </w:r>
    </w:p>
    <w:p w14:paraId="5298DFB9">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投标人不良信用记录以采购人或采购代理机构查询结果为准。投标人自行提供的与网站信息不一致的其他证明材料亦不作为资格审查依据。在本招标文件规定的查询时间之外，网站信息发生的任何变更均不作为资格审查依据。</w:t>
      </w:r>
    </w:p>
    <w:p w14:paraId="7D538534">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两个以上的自然人、法人或者其他组织组成一个联合体，以一个投标人的身份共同参加政府采购活动的，将对所有联合体成员进行信用记录查询，联合体成员存在不良信用记录的，视同联合体存在不良信用记录。</w:t>
      </w:r>
    </w:p>
    <w:p w14:paraId="603CE401">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资格审查</w:t>
      </w:r>
    </w:p>
    <w:p w14:paraId="07A53DB4">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详见招标文件第四章。</w:t>
      </w:r>
    </w:p>
    <w:p w14:paraId="1254A92C">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评标</w:t>
      </w:r>
    </w:p>
    <w:p w14:paraId="595703F5">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详见招标文件第五章。</w:t>
      </w:r>
    </w:p>
    <w:p w14:paraId="64D5078D">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中标通知书</w:t>
      </w:r>
    </w:p>
    <w:p w14:paraId="122E6AED">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采购人或者评标委员会确认中标人后，采购代理机构在投标人须知前附表指定的信息发布媒体上发布中标公告，同时发出中标通知书。</w:t>
      </w:r>
    </w:p>
    <w:p w14:paraId="721EC2C2">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中标公告期限为1个工作日。</w:t>
      </w:r>
    </w:p>
    <w:p w14:paraId="6FFC8D53">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中标通知书是采购人和中标人签订政府采购合同的依据，是合同的有效组成部分。如果出现政府采购法律法规、规章制度规定的中标无效情形的，将以公告形式宣布发出的中标通知书无效，中标通知书将自动失效，并依法重新确定中标人或者重新开展采购活动。</w:t>
      </w:r>
    </w:p>
    <w:p w14:paraId="5DC8EB59">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中标通知书对采购人和中标人均具有法律效力。</w:t>
      </w:r>
    </w:p>
    <w:p w14:paraId="1CAE4FD1">
      <w:pPr>
        <w:numPr>
          <w:ilvl w:val="0"/>
          <w:numId w:val="6"/>
        </w:numPr>
        <w:autoSpaceDE w:val="0"/>
        <w:autoSpaceDN w:val="0"/>
        <w:adjustRightInd w:val="0"/>
        <w:spacing w:before="218" w:beforeLines="50" w:after="218" w:afterLines="50" w:line="480" w:lineRule="exact"/>
        <w:jc w:val="center"/>
        <w:rPr>
          <w:rFonts w:hint="eastAsia" w:ascii="黑体" w:hAnsi="黑体" w:eastAsia="黑体" w:cs="黑体"/>
          <w:b/>
          <w:bCs/>
          <w:kern w:val="0"/>
          <w:sz w:val="28"/>
          <w:szCs w:val="28"/>
        </w:rPr>
      </w:pPr>
      <w:r>
        <w:rPr>
          <w:rFonts w:hint="eastAsia" w:ascii="黑体" w:hAnsi="黑体" w:eastAsia="黑体" w:cs="黑体"/>
          <w:b/>
          <w:bCs/>
          <w:kern w:val="0"/>
          <w:sz w:val="28"/>
          <w:szCs w:val="28"/>
        </w:rPr>
        <w:t>签订及履行合同和验收</w:t>
      </w:r>
    </w:p>
    <w:p w14:paraId="31F4D335">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签订合同</w:t>
      </w:r>
    </w:p>
    <w:p w14:paraId="16693D82">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采购人应在中标通知书发出之日起25日内与中标人签订采购合同。</w:t>
      </w:r>
    </w:p>
    <w:p w14:paraId="5270BA11">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采购人和中标人签订的采购合同不得对招标文件确定的事项以及中标人的投标文件作实质性修改。</w:t>
      </w:r>
    </w:p>
    <w:p w14:paraId="5E5AF772">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合同分包和转包</w:t>
      </w:r>
    </w:p>
    <w:p w14:paraId="115CD93E">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合同分包</w:t>
      </w:r>
    </w:p>
    <w:p w14:paraId="7D70D4CE">
      <w:pPr>
        <w:autoSpaceDE w:val="0"/>
        <w:autoSpaceDN w:val="0"/>
        <w:adjustRightInd w:val="0"/>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（1）</w:t>
      </w:r>
      <w:r>
        <w:rPr>
          <w:rFonts w:hint="eastAsia" w:ascii="黑体" w:hAnsi="黑体" w:eastAsia="黑体" w:cs="黑体"/>
          <w:sz w:val="19"/>
          <w:szCs w:val="19"/>
        </w:rPr>
        <w:t>是否允许分包详</w:t>
      </w:r>
      <w:r>
        <w:rPr>
          <w:rFonts w:hint="eastAsia" w:ascii="黑体" w:hAnsi="黑体" w:eastAsia="黑体" w:cs="黑体"/>
          <w:color w:val="000000" w:themeColor="text1"/>
          <w:sz w:val="19"/>
          <w:szCs w:val="19"/>
          <w14:textFill>
            <w14:solidFill>
              <w14:schemeClr w14:val="tx1"/>
            </w14:solidFill>
          </w14:textFill>
        </w:rPr>
        <w:t>见</w:t>
      </w:r>
      <w:r>
        <w:rPr>
          <w:rFonts w:hint="eastAsia" w:ascii="黑体" w:hAnsi="黑体" w:eastAsia="黑体" w:cs="黑体"/>
          <w:color w:val="000000" w:themeColor="text1"/>
          <w:sz w:val="19"/>
          <w:szCs w:val="19"/>
          <w:u w:val="single"/>
          <w14:textFill>
            <w14:solidFill>
              <w14:schemeClr w14:val="tx1"/>
            </w14:solidFill>
          </w14:textFill>
        </w:rPr>
        <w:t>投标人须知前附表</w:t>
      </w:r>
      <w:r>
        <w:rPr>
          <w:rFonts w:hint="eastAsia" w:ascii="黑体" w:hAnsi="黑体" w:eastAsia="黑体" w:cs="黑体"/>
          <w:color w:val="000000" w:themeColor="text1"/>
          <w:sz w:val="19"/>
          <w:szCs w:val="19"/>
          <w14:textFill>
            <w14:solidFill>
              <w14:schemeClr w14:val="tx1"/>
            </w14:solidFill>
          </w14:textFill>
        </w:rPr>
        <w:t>。</w:t>
      </w:r>
    </w:p>
    <w:p w14:paraId="08F6A7CF">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2</w:t>
      </w:r>
      <w:r>
        <w:rPr>
          <w:rFonts w:ascii="黑体" w:hAnsi="黑体" w:eastAsia="黑体" w:cs="黑体"/>
          <w:color w:val="000000" w:themeColor="text1"/>
          <w:sz w:val="19"/>
          <w:szCs w:val="19"/>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40B6A8E6">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（3）</w:t>
      </w:r>
      <w:r>
        <w:rPr>
          <w:rFonts w:ascii="黑体" w:hAnsi="黑体" w:eastAsia="黑体" w:cs="黑体"/>
          <w:color w:val="000000" w:themeColor="text1"/>
          <w:sz w:val="19"/>
          <w:szCs w:val="19"/>
          <w14:textFill>
            <w14:solidFill>
              <w14:schemeClr w14:val="tx1"/>
            </w14:solidFill>
          </w14:textFill>
        </w:rPr>
        <w:t>采购合同实行分包履行的，中标人就采购项目和分包项目向采购人负责，分包供应商就分包项目承担责任。</w:t>
      </w:r>
    </w:p>
    <w:p w14:paraId="5FABE429">
      <w:pPr>
        <w:pStyle w:val="36"/>
        <w:spacing w:before="87" w:beforeLines="20" w:line="480" w:lineRule="exact"/>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（4）</w:t>
      </w:r>
      <w:r>
        <w:rPr>
          <w:rFonts w:ascii="黑体" w:hAnsi="黑体" w:eastAsia="黑体" w:cs="黑体"/>
          <w:color w:val="000000" w:themeColor="text1"/>
          <w:sz w:val="19"/>
          <w:szCs w:val="19"/>
          <w14:textFill>
            <w14:solidFill>
              <w14:schemeClr w14:val="tx1"/>
            </w14:solidFill>
          </w14:textFill>
        </w:rPr>
        <w:t>中小企业依据《政府采购促进中小企业发展管理办法》（财库〔2020〕46号）规定的政策获取政府采购合同后，小型、微型企业不得将合同分包或转包给大型、中型企业，中型企业不得将合同分包或转包给大型企业。</w:t>
      </w:r>
    </w:p>
    <w:p w14:paraId="3DA0ABB6">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合同转包</w:t>
      </w:r>
    </w:p>
    <w:p w14:paraId="277B1633">
      <w:pPr>
        <w:pStyle w:val="36"/>
        <w:spacing w:before="87" w:beforeLines="20" w:line="480" w:lineRule="exact"/>
        <w:ind w:firstLine="190" w:firstLineChars="100"/>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1</w:t>
      </w:r>
      <w:r>
        <w:rPr>
          <w:rFonts w:ascii="黑体" w:hAnsi="黑体" w:eastAsia="黑体" w:cs="黑体"/>
          <w:color w:val="000000" w:themeColor="text1"/>
          <w:sz w:val="19"/>
          <w:szCs w:val="19"/>
          <w14:textFill>
            <w14:solidFill>
              <w14:schemeClr w14:val="tx1"/>
            </w14:solidFill>
          </w14:textFill>
        </w:rPr>
        <w:t>）严禁</w:t>
      </w:r>
      <w:r>
        <w:rPr>
          <w:rFonts w:ascii="黑体" w:hAnsi="黑体" w:eastAsia="黑体" w:cs="黑体"/>
          <w:color w:val="000000" w:themeColor="text1"/>
          <w:sz w:val="19"/>
          <w:szCs w:val="19"/>
          <w:lang w:eastAsia="zh-CN"/>
          <w14:textFill>
            <w14:solidFill>
              <w14:schemeClr w14:val="tx1"/>
            </w14:solidFill>
          </w14:textFill>
        </w:rPr>
        <w:t>中标人</w:t>
      </w:r>
      <w:r>
        <w:rPr>
          <w:rFonts w:ascii="黑体" w:hAnsi="黑体" w:eastAsia="黑体" w:cs="黑体"/>
          <w:color w:val="000000" w:themeColor="text1"/>
          <w:sz w:val="19"/>
          <w:szCs w:val="19"/>
          <w14:textFill>
            <w14:solidFill>
              <w14:schemeClr w14:val="tx1"/>
            </w14:solidFill>
          </w14:textFill>
        </w:rPr>
        <w:t>将本项目转包。本项目所称转包，是指将本项目转给他人或者将本项目全部肢解以后以分包的名义分别转给他人的行为。</w:t>
      </w:r>
    </w:p>
    <w:p w14:paraId="2932B1FC">
      <w:pPr>
        <w:pStyle w:val="36"/>
        <w:spacing w:before="87" w:beforeLines="20" w:line="480" w:lineRule="exact"/>
        <w:ind w:firstLine="190" w:firstLineChars="100"/>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2</w:t>
      </w:r>
      <w:r>
        <w:rPr>
          <w:rFonts w:ascii="黑体" w:hAnsi="黑体" w:eastAsia="黑体" w:cs="黑体"/>
          <w:color w:val="000000" w:themeColor="text1"/>
          <w:sz w:val="19"/>
          <w:szCs w:val="19"/>
          <w14:textFill>
            <w14:solidFill>
              <w14:schemeClr w14:val="tx1"/>
            </w14:solidFill>
          </w14:textFill>
        </w:rPr>
        <w:t>）</w:t>
      </w:r>
      <w:r>
        <w:rPr>
          <w:rFonts w:ascii="黑体" w:hAnsi="黑体" w:eastAsia="黑体" w:cs="黑体"/>
          <w:color w:val="000000" w:themeColor="text1"/>
          <w:sz w:val="19"/>
          <w:szCs w:val="19"/>
          <w:lang w:eastAsia="zh-CN"/>
          <w14:textFill>
            <w14:solidFill>
              <w14:schemeClr w14:val="tx1"/>
            </w14:solidFill>
          </w14:textFill>
        </w:rPr>
        <w:t>中标人</w:t>
      </w:r>
      <w:r>
        <w:rPr>
          <w:rFonts w:ascii="黑体" w:hAnsi="黑体" w:eastAsia="黑体" w:cs="黑体"/>
          <w:color w:val="000000" w:themeColor="text1"/>
          <w:sz w:val="19"/>
          <w:szCs w:val="19"/>
          <w14:textFill>
            <w14:solidFill>
              <w14:schemeClr w14:val="tx1"/>
            </w14:solidFill>
          </w14:textFill>
        </w:rPr>
        <w:t>转包的，视同拒绝履行政府采购合同，将依法追究法律责任。</w:t>
      </w:r>
    </w:p>
    <w:p w14:paraId="3A6453A4">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采购人增加合同标的的权利</w:t>
      </w:r>
    </w:p>
    <w:p w14:paraId="37B51AD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采购合同履行过程中，采购人需要追加与合同标的相同的货物的，在不改变合同其他条款的前提下，可以与中标人协商签订补充合同，但所有补充合同的采购金额不得超过原合同采购金额的10%。</w:t>
      </w:r>
    </w:p>
    <w:p w14:paraId="0A543C49">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合同公告</w:t>
      </w:r>
    </w:p>
    <w:p w14:paraId="617FD4BD">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采购人应当自政府采购合同签订之日起2个工作日内，</w:t>
      </w:r>
      <w:r>
        <w:rPr>
          <w:rFonts w:ascii="黑体" w:hAnsi="黑体" w:eastAsia="黑体" w:cs="黑体"/>
          <w:color w:val="000000" w:themeColor="text1"/>
          <w:sz w:val="19"/>
          <w:szCs w:val="19"/>
          <w:lang w:eastAsia="zh-CN"/>
          <w14:textFill>
            <w14:solidFill>
              <w14:schemeClr w14:val="tx1"/>
            </w14:solidFill>
          </w14:textFill>
        </w:rPr>
        <w:t>按相关规定公告</w:t>
      </w:r>
      <w:r>
        <w:rPr>
          <w:rFonts w:ascii="黑体" w:hAnsi="黑体" w:eastAsia="黑体" w:cs="黑体"/>
          <w:color w:val="000000" w:themeColor="text1"/>
          <w:sz w:val="19"/>
          <w:szCs w:val="19"/>
          <w14:textFill>
            <w14:solidFill>
              <w14:schemeClr w14:val="tx1"/>
            </w14:solidFill>
          </w14:textFill>
        </w:rPr>
        <w:t>本项目采购合同，但合同中涉及国家秘密、商业秘密的内容除外。</w:t>
      </w:r>
    </w:p>
    <w:p w14:paraId="7894E128">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履行合同</w:t>
      </w:r>
    </w:p>
    <w:p w14:paraId="5EA5D181">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合同一经签订，双方应严格履行合同规定的义务。</w:t>
      </w:r>
    </w:p>
    <w:p w14:paraId="64246E1A">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在合同履行中若产生纠纷，双方应按《中华人民共和国民法典》及合同条款处理。</w:t>
      </w:r>
    </w:p>
    <w:p w14:paraId="60E0340E">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履约验收方案</w:t>
      </w:r>
    </w:p>
    <w:p w14:paraId="334C0305">
      <w:pPr>
        <w:pStyle w:val="36"/>
        <w:spacing w:before="87" w:beforeLines="20" w:line="480" w:lineRule="exact"/>
        <w:ind w:firstLine="380" w:firstLineChars="200"/>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根据</w:t>
      </w:r>
      <w:r>
        <w:rPr>
          <w:rFonts w:ascii="黑体" w:hAnsi="黑体" w:eastAsia="黑体" w:cs="黑体"/>
          <w:color w:val="000000" w:themeColor="text1"/>
          <w:sz w:val="19"/>
          <w:szCs w:val="19"/>
          <w:lang w:eastAsia="zh-CN"/>
          <w14:textFill>
            <w14:solidFill>
              <w14:schemeClr w14:val="tx1"/>
            </w14:solidFill>
          </w14:textFill>
        </w:rPr>
        <w:t>招标文件</w:t>
      </w:r>
      <w:r>
        <w:rPr>
          <w:rFonts w:ascii="黑体" w:hAnsi="黑体" w:eastAsia="黑体" w:cs="黑体"/>
          <w:color w:val="000000" w:themeColor="text1"/>
          <w:sz w:val="19"/>
          <w:szCs w:val="19"/>
          <w14:textFill>
            <w14:solidFill>
              <w14:schemeClr w14:val="tx1"/>
            </w14:solidFill>
          </w14:textFill>
        </w:rPr>
        <w:t>要求及合同约定执行。</w:t>
      </w:r>
    </w:p>
    <w:p w14:paraId="13F11B50">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资金支付</w:t>
      </w:r>
    </w:p>
    <w:p w14:paraId="565DAAB9">
      <w:pPr>
        <w:pStyle w:val="36"/>
        <w:spacing w:before="87" w:beforeLines="20" w:line="480" w:lineRule="exact"/>
        <w:ind w:firstLine="380" w:firstLineChars="200"/>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采购人按财政部门的相关规定及采购合同的约定进行支付。</w:t>
      </w:r>
    </w:p>
    <w:p w14:paraId="300619DF">
      <w:pPr>
        <w:numPr>
          <w:ilvl w:val="0"/>
          <w:numId w:val="6"/>
        </w:numPr>
        <w:autoSpaceDE w:val="0"/>
        <w:autoSpaceDN w:val="0"/>
        <w:adjustRightInd w:val="0"/>
        <w:spacing w:before="218" w:beforeLines="50" w:after="218" w:afterLines="50" w:line="480" w:lineRule="exact"/>
        <w:jc w:val="center"/>
        <w:rPr>
          <w:rFonts w:hint="eastAsia" w:ascii="黑体" w:hAnsi="黑体" w:eastAsia="黑体" w:cs="黑体"/>
          <w:b/>
          <w:bCs/>
          <w:kern w:val="0"/>
          <w:sz w:val="28"/>
          <w:szCs w:val="28"/>
        </w:rPr>
      </w:pPr>
      <w:r>
        <w:rPr>
          <w:rFonts w:hint="eastAsia" w:ascii="黑体" w:hAnsi="黑体" w:eastAsia="黑体" w:cs="黑体"/>
          <w:b/>
          <w:bCs/>
          <w:kern w:val="0"/>
          <w:sz w:val="28"/>
          <w:szCs w:val="28"/>
        </w:rPr>
        <w:t>纪律要求</w:t>
      </w:r>
    </w:p>
    <w:p w14:paraId="63BB6E89">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评标活动纪律要求</w:t>
      </w:r>
    </w:p>
    <w:p w14:paraId="1D938117">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采购人、采购代理机构应保证评标活动在严格保密的情况下进行，采购人、采购代理机构、投标人和评标委员会成员应当严格遵守政府采购法律法规规章制度和本项目招标文件以及采购代理机构现场管理规定，接受采购人委派的监督人员的监督，任何单位和个人不得非法干预和影响评标过程和结果。</w:t>
      </w:r>
    </w:p>
    <w:p w14:paraId="37BB9257">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对各投标人的商业秘密，评标委员会成员应予以保密，不得泄露给其他投标人。</w:t>
      </w:r>
    </w:p>
    <w:p w14:paraId="5B261AD5">
      <w:pPr>
        <w:numPr>
          <w:ilvl w:val="0"/>
          <w:numId w:val="4"/>
        </w:numPr>
        <w:spacing w:before="87" w:beforeLines="20" w:line="480" w:lineRule="exact"/>
        <w:rPr>
          <w:rFonts w:hint="eastAsia" w:ascii="黑体" w:hAnsi="黑体" w:eastAsia="黑体" w:cs="黑体"/>
          <w:sz w:val="19"/>
          <w:szCs w:val="19"/>
        </w:rPr>
      </w:pPr>
      <w:r>
        <w:rPr>
          <w:rFonts w:hint="eastAsia" w:ascii="黑体" w:hAnsi="黑体" w:eastAsia="黑体" w:cs="黑体"/>
          <w:b/>
          <w:sz w:val="19"/>
          <w:szCs w:val="19"/>
        </w:rPr>
        <w:t>投标人不得具有的情形</w:t>
      </w:r>
    </w:p>
    <w:p w14:paraId="1FFB3D8D">
      <w:pPr>
        <w:numPr>
          <w:ilvl w:val="1"/>
          <w:numId w:val="4"/>
        </w:numPr>
        <w:spacing w:before="87" w:beforeLines="20" w:line="480" w:lineRule="exact"/>
        <w:ind w:left="7" w:hanging="7"/>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有下列情形之一的，视为投标人串通投标：</w:t>
      </w:r>
    </w:p>
    <w:p w14:paraId="623278A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（1）不同投标人的投标文件由同一单位或者个人编制；</w:t>
      </w:r>
    </w:p>
    <w:p w14:paraId="6E4FA7E2">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（2）不同投标人委托同一单位或者个人办理投标事宜；</w:t>
      </w:r>
    </w:p>
    <w:p w14:paraId="286DCCC7">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（3）不同投标人的投标文件载明的项目管理成员或者联系人员为同一人；</w:t>
      </w:r>
    </w:p>
    <w:p w14:paraId="12A47A4E">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（4）不同投标人的投标文件异常一致或者投标报价呈规律性差异；</w:t>
      </w:r>
    </w:p>
    <w:p w14:paraId="33950FD2">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（5）不同投标人的投标文件相互混装；</w:t>
      </w:r>
    </w:p>
    <w:p w14:paraId="5A7B3D17">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提供虚假材料谋取中标；</w:t>
      </w:r>
    </w:p>
    <w:p w14:paraId="5D67CB57">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采取不正当手段诋毁、排挤其他投标人；</w:t>
      </w:r>
    </w:p>
    <w:p w14:paraId="670A2F24">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中标后无正当理由拒不与采购人签订政府采购合同；</w:t>
      </w:r>
    </w:p>
    <w:p w14:paraId="3B3F2E57">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未按照招标文件确定的事项签订政府采购合同；</w:t>
      </w:r>
    </w:p>
    <w:p w14:paraId="5729E869">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将政府采购合同转包或者违规分包；</w:t>
      </w:r>
    </w:p>
    <w:p w14:paraId="70A93AE3">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擅自变更、中止或者终止政府采购合同；</w:t>
      </w:r>
    </w:p>
    <w:p w14:paraId="2D8563B0">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拒绝有关部门的监督检查或者向监督检查部门提供虚假情况；</w:t>
      </w:r>
    </w:p>
    <w:p w14:paraId="4B555931">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投标人有上述情形的，按照规定追究法律责任，具有前述一至</w:t>
      </w:r>
      <w:r>
        <w:rPr>
          <w:rFonts w:ascii="黑体" w:hAnsi="黑体" w:eastAsia="黑体" w:cs="黑体"/>
          <w:color w:val="000000" w:themeColor="text1"/>
          <w:sz w:val="19"/>
          <w:szCs w:val="19"/>
          <w:lang w:eastAsia="zh-CN"/>
          <w14:textFill>
            <w14:solidFill>
              <w14:schemeClr w14:val="tx1"/>
            </w14:solidFill>
          </w14:textFill>
        </w:rPr>
        <w:t>八</w:t>
      </w:r>
      <w:r>
        <w:rPr>
          <w:rFonts w:ascii="黑体" w:hAnsi="黑体" w:eastAsia="黑体" w:cs="黑体"/>
          <w:color w:val="000000" w:themeColor="text1"/>
          <w:sz w:val="19"/>
          <w:szCs w:val="19"/>
          <w14:textFill>
            <w14:solidFill>
              <w14:schemeClr w14:val="tx1"/>
            </w14:solidFill>
          </w14:textFill>
        </w:rPr>
        <w:t>条情形之一的，其投标文件无效，或取消被确认为</w:t>
      </w:r>
      <w:r>
        <w:rPr>
          <w:rFonts w:ascii="黑体" w:hAnsi="黑体" w:eastAsia="黑体" w:cs="黑体"/>
          <w:color w:val="000000" w:themeColor="text1"/>
          <w:sz w:val="19"/>
          <w:szCs w:val="19"/>
          <w:lang w:eastAsia="zh-CN"/>
          <w14:textFill>
            <w14:solidFill>
              <w14:schemeClr w14:val="tx1"/>
            </w14:solidFill>
          </w14:textFill>
        </w:rPr>
        <w:t>中标人</w:t>
      </w:r>
      <w:r>
        <w:rPr>
          <w:rFonts w:ascii="黑体" w:hAnsi="黑体" w:eastAsia="黑体" w:cs="黑体"/>
          <w:color w:val="000000" w:themeColor="text1"/>
          <w:sz w:val="19"/>
          <w:szCs w:val="19"/>
          <w14:textFill>
            <w14:solidFill>
              <w14:schemeClr w14:val="tx1"/>
            </w14:solidFill>
          </w14:textFill>
        </w:rPr>
        <w:t>的资格或认定中标无效。</w:t>
      </w:r>
    </w:p>
    <w:p w14:paraId="498D3350">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采购人员及相关人员回避要求</w:t>
      </w:r>
    </w:p>
    <w:p w14:paraId="4B68AFC6">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政府采购活动中，采购人员及相关人员与投标人有下列利害关系之一的，应当回避：</w:t>
      </w:r>
    </w:p>
    <w:p w14:paraId="151868D7">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（1）参加采购活动前3年内与投标人存在劳动关系；</w:t>
      </w:r>
    </w:p>
    <w:p w14:paraId="532D40AE">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（2）参加采购活动前3年内担任投标人的董事、监事；</w:t>
      </w:r>
    </w:p>
    <w:p w14:paraId="4901D36D">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（3）参加采购活动前3年内是投标人的控股股东或者实际控制人；</w:t>
      </w:r>
    </w:p>
    <w:p w14:paraId="0A642285">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（4）与投标人的法定代表人或者负责人有夫妻、直系血亲、三代以内旁系血亲或者近姻亲关系；</w:t>
      </w:r>
    </w:p>
    <w:p w14:paraId="5BBD3BBC">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（5）与投标人有其他可能影响政府采购活动公平、公正进行的关系。</w:t>
      </w:r>
    </w:p>
    <w:p w14:paraId="46607130">
      <w:pPr>
        <w:numPr>
          <w:ilvl w:val="0"/>
          <w:numId w:val="6"/>
        </w:numPr>
        <w:autoSpaceDE w:val="0"/>
        <w:autoSpaceDN w:val="0"/>
        <w:adjustRightInd w:val="0"/>
        <w:spacing w:before="218" w:beforeLines="50" w:after="218" w:afterLines="50" w:line="480" w:lineRule="exact"/>
        <w:jc w:val="center"/>
        <w:rPr>
          <w:rFonts w:hint="eastAsia" w:ascii="黑体" w:hAnsi="黑体" w:eastAsia="黑体" w:cs="黑体"/>
          <w:b/>
          <w:bCs/>
          <w:kern w:val="0"/>
          <w:sz w:val="28"/>
          <w:szCs w:val="28"/>
        </w:rPr>
      </w:pPr>
      <w:r>
        <w:rPr>
          <w:rFonts w:hint="eastAsia" w:ascii="黑体" w:hAnsi="黑体" w:eastAsia="黑体" w:cs="黑体"/>
          <w:b/>
          <w:bCs/>
          <w:kern w:val="0"/>
          <w:sz w:val="28"/>
          <w:szCs w:val="28"/>
        </w:rPr>
        <w:t>询问、质疑和投诉</w:t>
      </w:r>
    </w:p>
    <w:p w14:paraId="7A76A3EC">
      <w:pPr>
        <w:numPr>
          <w:ilvl w:val="0"/>
          <w:numId w:val="4"/>
        </w:numPr>
        <w:spacing w:before="87" w:beforeLines="20" w:line="480" w:lineRule="exact"/>
        <w:rPr>
          <w:rFonts w:hint="eastAsia" w:ascii="黑体" w:hAnsi="黑体" w:eastAsia="黑体" w:cs="黑体"/>
          <w:b/>
          <w:sz w:val="19"/>
          <w:szCs w:val="19"/>
        </w:rPr>
      </w:pPr>
      <w:r>
        <w:rPr>
          <w:rFonts w:hint="eastAsia" w:ascii="黑体" w:hAnsi="黑体" w:eastAsia="黑体" w:cs="黑体"/>
          <w:b/>
          <w:sz w:val="19"/>
          <w:szCs w:val="19"/>
        </w:rPr>
        <w:t>询问、质疑和投诉</w:t>
      </w:r>
    </w:p>
    <w:p w14:paraId="0D5D163D">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询问、质疑、投诉的接收和处理严格按照《中华人民共和国政府采购法》《中华人民共和国政府采购法实施条例》《政府采购质疑和投诉办法》等规定办理。</w:t>
      </w:r>
    </w:p>
    <w:p w14:paraId="0BE834A4">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供应商询问、质疑的答复主体：</w:t>
      </w:r>
    </w:p>
    <w:p w14:paraId="1AECFC9F">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根据委托代理协议约定，供应商对招标文件中采购需求的询问、质疑由采购代理机构负责答复；供应商对除采购需求外的招标文件的询问、质疑由采购代理机构负责答复；供应商对采购过程、采购结果的询问、质疑由采购代理机构负责答复。</w:t>
      </w:r>
    </w:p>
    <w:p w14:paraId="40D6D624">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供应商提出的询问，应当明确询问事项，如以书面形式提出的，应由供应商签字并加盖公章。</w:t>
      </w:r>
    </w:p>
    <w:p w14:paraId="29673486">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为提高采购效率，降低社会成本，鼓励询问主体对于不损害国家及社会利益或自身合法权益的问题或情形采用询问方式处理解决（包含但不限于文字错误、标点符号、不影响投标文件的编制的情形）。</w:t>
      </w:r>
    </w:p>
    <w:p w14:paraId="6F619EED">
      <w:pPr>
        <w:numPr>
          <w:ilvl w:val="1"/>
          <w:numId w:val="4"/>
        </w:numPr>
        <w:spacing w:before="87" w:beforeLines="20" w:line="480" w:lineRule="exact"/>
        <w:ind w:left="7" w:hanging="7"/>
        <w:jc w:val="left"/>
        <w:rPr>
          <w:rFonts w:hint="eastAsia" w:ascii="黑体" w:hAnsi="黑体" w:eastAsia="黑体" w:cs="黑体"/>
          <w:sz w:val="19"/>
          <w:szCs w:val="19"/>
        </w:rPr>
      </w:pPr>
      <w:r>
        <w:rPr>
          <w:rFonts w:hint="eastAsia" w:ascii="黑体" w:hAnsi="黑体" w:eastAsia="黑体" w:cs="黑体"/>
          <w:sz w:val="19"/>
          <w:szCs w:val="19"/>
        </w:rPr>
        <w:t>供应商认为招标文件、采购过程、中标结果使自己的权益受到损害的，可以在知道或者应知其权益受到损害之日起7个工作日内，以书面形式向采购代理机构提出质疑。供应商应在法定质疑期内一次性提出针对同一采购程序环节的质疑。</w:t>
      </w:r>
    </w:p>
    <w:p w14:paraId="1472418A">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本项目不接受在线提交质疑，供应商通过书面形式线下向采购代理机构提交质疑资料。</w:t>
      </w:r>
    </w:p>
    <w:p w14:paraId="5426CAEC">
      <w:pPr>
        <w:numPr>
          <w:ilvl w:val="1"/>
          <w:numId w:val="4"/>
        </w:num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供应商提出质疑应当提交质疑函和必要的证明材料。质疑函应当包括下列内容：</w:t>
      </w:r>
    </w:p>
    <w:p w14:paraId="727D1300">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（1）供应商的姓名或者名称、地址、邮编、联系人及联系电话；</w:t>
      </w:r>
    </w:p>
    <w:p w14:paraId="3FE399A6">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（2）质疑项目的名称、编号；</w:t>
      </w:r>
    </w:p>
    <w:p w14:paraId="1371F45E">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（3）具体、明确的质疑事项和与质疑事项相关的请求；</w:t>
      </w:r>
    </w:p>
    <w:p w14:paraId="060C7669">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（4）事实依据；</w:t>
      </w:r>
    </w:p>
    <w:p w14:paraId="2B918B3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（5）必要的法律依据；</w:t>
      </w:r>
    </w:p>
    <w:p w14:paraId="38305730">
      <w:pPr>
        <w:spacing w:before="87" w:beforeLines="20" w:line="480" w:lineRule="exact"/>
        <w:ind w:left="380" w:hanging="380" w:hangingChars="200"/>
        <w:jc w:val="left"/>
        <w:rPr>
          <w:rFonts w:hint="eastAsia" w:ascii="黑体" w:hAnsi="黑体" w:eastAsia="黑体" w:cs="黑体"/>
          <w:sz w:val="19"/>
          <w:szCs w:val="19"/>
        </w:rPr>
      </w:pPr>
      <w:r>
        <w:rPr>
          <w:rFonts w:hint="eastAsia" w:ascii="黑体" w:hAnsi="黑体" w:eastAsia="黑体" w:cs="黑体"/>
          <w:sz w:val="19"/>
          <w:szCs w:val="19"/>
        </w:rPr>
        <w:t>（6）提出质疑的日期。</w:t>
      </w:r>
    </w:p>
    <w:p w14:paraId="07BFE361">
      <w:pPr>
        <w:spacing w:before="87" w:beforeLines="20" w:line="480" w:lineRule="exact"/>
        <w:ind w:left="380" w:hanging="380" w:hangingChars="200"/>
        <w:jc w:val="left"/>
        <w:rPr>
          <w:rFonts w:hint="eastAsia" w:ascii="黑体" w:hAnsi="黑体" w:eastAsia="黑体" w:cs="黑体"/>
          <w:sz w:val="19"/>
          <w:szCs w:val="19"/>
        </w:rPr>
      </w:pPr>
      <w:r>
        <w:rPr>
          <w:rFonts w:hint="eastAsia" w:ascii="黑体" w:hAnsi="黑体" w:eastAsia="黑体" w:cs="黑体"/>
          <w:sz w:val="19"/>
          <w:szCs w:val="19"/>
        </w:rPr>
        <w:t>质疑函应当由法定代表人、主要负责人，或者授权代表签字或者盖章，并加盖公章。</w:t>
      </w:r>
    </w:p>
    <w:p w14:paraId="45B6F84B">
      <w:pPr>
        <w:pStyle w:val="36"/>
        <w:spacing w:before="87" w:beforeLines="20" w:line="480" w:lineRule="exact"/>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答复主体：</w:t>
      </w:r>
      <w:r>
        <w:rPr>
          <w:rFonts w:ascii="黑体" w:hAnsi="黑体" w:eastAsia="黑体" w:cs="黑体"/>
          <w:color w:val="000000" w:themeColor="text1"/>
          <w:sz w:val="19"/>
          <w:szCs w:val="19"/>
          <w:lang w:eastAsia="zh-CN"/>
          <w14:textFill>
            <w14:solidFill>
              <w14:schemeClr w14:val="tx1"/>
            </w14:solidFill>
          </w14:textFill>
        </w:rPr>
        <w:t>采购</w:t>
      </w:r>
      <w:r>
        <w:rPr>
          <w:rFonts w:ascii="黑体" w:hAnsi="黑体" w:eastAsia="黑体" w:cs="黑体"/>
          <w:color w:val="000000" w:themeColor="text1"/>
          <w:sz w:val="19"/>
          <w:szCs w:val="19"/>
          <w14:textFill>
            <w14:solidFill>
              <w14:schemeClr w14:val="tx1"/>
            </w14:solidFill>
          </w14:textFill>
        </w:rPr>
        <w:t>代理机构</w:t>
      </w:r>
    </w:p>
    <w:p w14:paraId="6EB4C717">
      <w:pPr>
        <w:pStyle w:val="36"/>
        <w:spacing w:before="87" w:beforeLines="20" w:line="480" w:lineRule="exact"/>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联系人：</w:t>
      </w:r>
      <w:r>
        <w:rPr>
          <w:rFonts w:ascii="黑体" w:hAnsi="黑体" w:eastAsia="黑体" w:cs="黑体"/>
          <w:color w:val="000000" w:themeColor="text1"/>
          <w:sz w:val="19"/>
          <w:szCs w:val="19"/>
          <w:lang w:eastAsia="zh-CN"/>
          <w14:textFill>
            <w14:solidFill>
              <w14:schemeClr w14:val="tx1"/>
            </w14:solidFill>
          </w14:textFill>
        </w:rPr>
        <w:t>复核办公室</w:t>
      </w:r>
    </w:p>
    <w:p w14:paraId="06CF3EC9">
      <w:pPr>
        <w:pStyle w:val="36"/>
        <w:spacing w:before="87" w:beforeLines="20" w:line="480" w:lineRule="exact"/>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联系电话：</w:t>
      </w:r>
      <w:r>
        <w:rPr>
          <w:rFonts w:ascii="黑体" w:hAnsi="黑体" w:eastAsia="黑体" w:cs="黑体"/>
          <w:color w:val="000000" w:themeColor="text1"/>
          <w:sz w:val="19"/>
          <w:szCs w:val="19"/>
          <w:lang w:eastAsia="zh-CN"/>
          <w14:textFill>
            <w14:solidFill>
              <w14:schemeClr w14:val="tx1"/>
            </w14:solidFill>
          </w14:textFill>
        </w:rPr>
        <w:t>13772150019</w:t>
      </w:r>
    </w:p>
    <w:p w14:paraId="36DED00F">
      <w:pPr>
        <w:pStyle w:val="36"/>
        <w:spacing w:before="87" w:beforeLines="20" w:line="480" w:lineRule="exact"/>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地址：</w:t>
      </w:r>
      <w:r>
        <w:rPr>
          <w:rFonts w:ascii="黑体" w:hAnsi="黑体" w:eastAsia="黑体" w:cs="黑体"/>
          <w:color w:val="000000" w:themeColor="text1"/>
          <w:sz w:val="19"/>
          <w:szCs w:val="19"/>
          <w:lang w:eastAsia="zh-CN"/>
          <w14:textFill>
            <w14:solidFill>
              <w14:schemeClr w14:val="tx1"/>
            </w14:solidFill>
          </w14:textFill>
        </w:rPr>
        <w:t>陕西省西安市新城区金花新都汇写字楼A座7楼</w:t>
      </w:r>
    </w:p>
    <w:p w14:paraId="6D25B0FE">
      <w:pPr>
        <w:spacing w:line="480" w:lineRule="exact"/>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br w:type="page"/>
      </w:r>
    </w:p>
    <w:p w14:paraId="222CC6D5">
      <w:pPr>
        <w:pStyle w:val="2"/>
        <w:numPr>
          <w:ilvl w:val="0"/>
          <w:numId w:val="7"/>
        </w:numPr>
        <w:rPr>
          <w:rFonts w:hint="eastAsia" w:ascii="黑体" w:hAnsi="黑体" w:cs="黑体"/>
          <w:color w:val="000000" w:themeColor="text1"/>
          <w:sz w:val="28"/>
          <w:szCs w:val="28"/>
          <w14:textFill>
            <w14:solidFill>
              <w14:schemeClr w14:val="tx1"/>
            </w14:solidFill>
          </w14:textFill>
        </w:rPr>
      </w:pPr>
      <w:bookmarkStart w:id="31" w:name="_Toc6262"/>
      <w:r>
        <w:rPr>
          <w:rFonts w:hint="eastAsia" w:ascii="黑体" w:hAnsi="黑体" w:cs="黑体"/>
          <w:color w:val="000000" w:themeColor="text1"/>
          <w:sz w:val="28"/>
          <w:szCs w:val="28"/>
          <w14:textFill>
            <w14:solidFill>
              <w14:schemeClr w14:val="tx1"/>
            </w14:solidFill>
          </w14:textFill>
        </w:rPr>
        <w:t>采购需求</w:t>
      </w:r>
      <w:bookmarkEnd w:id="31"/>
    </w:p>
    <w:p w14:paraId="3BB25212">
      <w:pPr>
        <w:numPr>
          <w:ilvl w:val="2"/>
          <w:numId w:val="0"/>
        </w:numPr>
        <w:tabs>
          <w:tab w:val="left" w:pos="709"/>
        </w:tabs>
        <w:spacing w:line="480" w:lineRule="atLeast"/>
        <w:ind w:left="-1" w:firstLine="381" w:firstLineChars="200"/>
        <w:rPr>
          <w:rFonts w:hint="eastAsia" w:ascii="黑体" w:hAnsi="黑体" w:eastAsia="黑体" w:cs="黑体"/>
          <w:b/>
          <w:color w:val="000000"/>
          <w:sz w:val="19"/>
          <w:szCs w:val="19"/>
        </w:rPr>
      </w:pPr>
      <w:r>
        <w:rPr>
          <w:rFonts w:hint="eastAsia" w:ascii="黑体" w:hAnsi="黑体" w:eastAsia="黑体" w:cs="黑体"/>
          <w:b/>
          <w:color w:val="000000"/>
          <w:sz w:val="19"/>
          <w:szCs w:val="19"/>
        </w:rPr>
        <w:t>指标说明：</w:t>
      </w:r>
    </w:p>
    <w:p w14:paraId="73F775F6">
      <w:pPr>
        <w:numPr>
          <w:ilvl w:val="2"/>
          <w:numId w:val="0"/>
        </w:numPr>
        <w:tabs>
          <w:tab w:val="left" w:pos="709"/>
        </w:tabs>
        <w:spacing w:line="480" w:lineRule="atLeast"/>
        <w:ind w:left="-1" w:firstLine="380" w:firstLineChars="200"/>
        <w:rPr>
          <w:rFonts w:hint="eastAsia" w:ascii="黑体" w:hAnsi="黑体" w:eastAsia="黑体" w:cs="黑体"/>
          <w:bCs/>
          <w:color w:val="000000"/>
          <w:sz w:val="19"/>
          <w:szCs w:val="19"/>
        </w:rPr>
      </w:pPr>
      <w:r>
        <w:rPr>
          <w:rFonts w:hint="eastAsia" w:ascii="黑体" w:hAnsi="黑体" w:eastAsia="黑体" w:cs="黑体"/>
          <w:bCs/>
          <w:color w:val="000000"/>
          <w:sz w:val="19"/>
          <w:szCs w:val="19"/>
        </w:rPr>
        <w:t>1.</w:t>
      </w:r>
      <w:r>
        <w:rPr>
          <w:rFonts w:hint="eastAsia" w:ascii="黑体" w:hAnsi="黑体" w:eastAsia="黑体" w:cs="黑体"/>
          <w:b/>
          <w:bCs/>
          <w:sz w:val="19"/>
          <w:szCs w:val="19"/>
        </w:rPr>
        <w:t>采购需求中标注★号标识内容（包括本级及其下级编号中所有内容）条款为实质性条款，若有缺失或无效，投标无效</w:t>
      </w:r>
      <w:r>
        <w:rPr>
          <w:rFonts w:hint="eastAsia" w:ascii="黑体" w:hAnsi="黑体" w:eastAsia="黑体" w:cs="黑体"/>
          <w:sz w:val="19"/>
          <w:szCs w:val="19"/>
        </w:rPr>
        <w:t>。标注“▲”号条款为允许负偏离的参数需求，若未响应或者不满足，将在综合评审中予以扣分处理。</w:t>
      </w:r>
    </w:p>
    <w:p w14:paraId="6C92A4AF">
      <w:pPr>
        <w:numPr>
          <w:ilvl w:val="2"/>
          <w:numId w:val="0"/>
        </w:numPr>
        <w:tabs>
          <w:tab w:val="left" w:pos="709"/>
        </w:tabs>
        <w:spacing w:line="480" w:lineRule="atLeast"/>
        <w:ind w:left="-1" w:firstLine="380" w:firstLineChars="200"/>
        <w:rPr>
          <w:rFonts w:hint="eastAsia" w:ascii="黑体" w:hAnsi="黑体" w:eastAsia="黑体" w:cs="黑体"/>
          <w:sz w:val="19"/>
          <w:szCs w:val="19"/>
          <w:lang w:val="zh-CN"/>
        </w:rPr>
      </w:pPr>
      <w:r>
        <w:rPr>
          <w:rFonts w:hint="eastAsia" w:ascii="黑体" w:hAnsi="黑体" w:eastAsia="黑体" w:cs="黑体"/>
          <w:bCs/>
          <w:color w:val="000000"/>
          <w:sz w:val="19"/>
          <w:szCs w:val="19"/>
        </w:rPr>
        <w:t>2.</w:t>
      </w:r>
      <w:r>
        <w:rPr>
          <w:rFonts w:hint="eastAsia" w:ascii="黑体" w:hAnsi="黑体" w:eastAsia="黑体" w:cs="黑体"/>
          <w:sz w:val="19"/>
          <w:szCs w:val="19"/>
          <w:lang w:val="zh-CN"/>
        </w:rPr>
        <w:t>采购需求中</w:t>
      </w:r>
      <w:r>
        <w:rPr>
          <w:rFonts w:hint="eastAsia" w:ascii="黑体" w:hAnsi="黑体" w:eastAsia="黑体" w:cs="黑体"/>
          <w:sz w:val="19"/>
          <w:szCs w:val="19"/>
        </w:rPr>
        <w:t>标注</w:t>
      </w:r>
      <w:r>
        <w:rPr>
          <w:rFonts w:hint="eastAsia" w:ascii="黑体" w:hAnsi="黑体" w:eastAsia="黑体" w:cs="黑体"/>
          <w:sz w:val="19"/>
          <w:szCs w:val="19"/>
          <w:lang w:val="zh-CN"/>
        </w:rPr>
        <w:t>“▲”技术指标项至少须提供下列证明材料之一：①国家认可的检测机构出具的检测报告；②制造商检验报告；③产品彩页；④官网功能截图；若采购需求明确指出，技术指标“▲”项需提供有资质的第三方出具的检验报告，则以</w:t>
      </w:r>
      <w:r>
        <w:rPr>
          <w:rFonts w:hint="eastAsia" w:ascii="黑体" w:hAnsi="黑体" w:eastAsia="黑体" w:cs="黑体"/>
          <w:sz w:val="19"/>
          <w:szCs w:val="19"/>
        </w:rPr>
        <w:t>提供的</w:t>
      </w:r>
      <w:r>
        <w:rPr>
          <w:rFonts w:hint="eastAsia" w:ascii="黑体" w:hAnsi="黑体" w:eastAsia="黑体" w:cs="黑体"/>
          <w:sz w:val="19"/>
          <w:szCs w:val="19"/>
          <w:lang w:val="zh-CN"/>
        </w:rPr>
        <w:t>检测报告为准。如所提交的技术支持资料为英文版，请同时提供中文简体字译本，否则将不予认定。未提供或不符合要求的证明材料视为负偏离。</w:t>
      </w:r>
    </w:p>
    <w:p w14:paraId="13402EA3">
      <w:pPr>
        <w:keepNext/>
        <w:keepLines/>
        <w:numPr>
          <w:ilvl w:val="1"/>
          <w:numId w:val="0"/>
        </w:numPr>
        <w:tabs>
          <w:tab w:val="left" w:pos="576"/>
        </w:tabs>
        <w:spacing w:line="480" w:lineRule="atLeast"/>
        <w:rPr>
          <w:rFonts w:hint="eastAsia" w:ascii="黑体" w:hAnsi="黑体" w:eastAsia="黑体" w:cs="黑体"/>
          <w:b/>
          <w:color w:val="000000"/>
          <w:sz w:val="19"/>
          <w:szCs w:val="19"/>
          <w:lang w:val="zh-CN"/>
        </w:rPr>
      </w:pPr>
      <w:r>
        <w:rPr>
          <w:rFonts w:hint="eastAsia" w:ascii="黑体" w:hAnsi="黑体" w:eastAsia="黑体" w:cs="黑体"/>
          <w:b/>
          <w:color w:val="000000"/>
          <w:sz w:val="19"/>
          <w:szCs w:val="19"/>
        </w:rPr>
        <w:t xml:space="preserve">3.1 </w:t>
      </w:r>
      <w:r>
        <w:rPr>
          <w:rFonts w:hint="eastAsia" w:ascii="黑体" w:hAnsi="黑体" w:eastAsia="黑体" w:cs="黑体"/>
          <w:b/>
          <w:color w:val="000000"/>
          <w:sz w:val="19"/>
          <w:szCs w:val="19"/>
          <w:lang w:val="zh-CN"/>
        </w:rPr>
        <w:t>采购项目概况</w:t>
      </w:r>
    </w:p>
    <w:p w14:paraId="3FCB16AD">
      <w:pPr>
        <w:pStyle w:val="36"/>
        <w:spacing w:before="87" w:beforeLines="20" w:line="480" w:lineRule="atLeast"/>
        <w:ind w:firstLine="380" w:firstLineChars="200"/>
        <w:rPr>
          <w:rFonts w:ascii="黑体" w:hAnsi="黑体" w:eastAsia="黑体" w:cs="黑体"/>
          <w:color w:val="000000"/>
          <w:sz w:val="19"/>
          <w:szCs w:val="19"/>
          <w:lang w:eastAsia="zh-CN"/>
        </w:rPr>
      </w:pPr>
      <w:r>
        <w:rPr>
          <w:rFonts w:ascii="黑体" w:hAnsi="黑体" w:eastAsia="黑体" w:cs="黑体"/>
          <w:sz w:val="19"/>
          <w:szCs w:val="19"/>
          <w:lang w:eastAsia="zh-CN"/>
        </w:rPr>
        <w:t>本项目为地震监测台网建设，主要</w:t>
      </w:r>
      <w:r>
        <w:rPr>
          <w:rFonts w:ascii="黑体" w:hAnsi="黑体" w:eastAsia="黑体" w:cs="黑体"/>
          <w:color w:val="000000"/>
          <w:sz w:val="19"/>
          <w:szCs w:val="19"/>
          <w:lang w:eastAsia="zh-CN"/>
        </w:rPr>
        <w:t>建设11处基本站和11处一般站，具体内容如下：</w:t>
      </w:r>
    </w:p>
    <w:p w14:paraId="59E8E46E">
      <w:pPr>
        <w:keepNext/>
        <w:keepLines/>
        <w:numPr>
          <w:ilvl w:val="1"/>
          <w:numId w:val="0"/>
        </w:numPr>
        <w:tabs>
          <w:tab w:val="left" w:pos="576"/>
        </w:tabs>
        <w:spacing w:line="480" w:lineRule="atLeast"/>
        <w:rPr>
          <w:rFonts w:hint="eastAsia" w:ascii="黑体" w:hAnsi="黑体" w:eastAsia="黑体" w:cs="黑体"/>
          <w:b/>
          <w:color w:val="000000"/>
          <w:sz w:val="19"/>
          <w:szCs w:val="19"/>
        </w:rPr>
      </w:pPr>
      <w:bookmarkStart w:id="32" w:name="_Toc11692"/>
      <w:bookmarkStart w:id="33" w:name="_Toc7692"/>
      <w:r>
        <w:rPr>
          <w:rFonts w:hint="eastAsia" w:ascii="黑体" w:hAnsi="黑体" w:eastAsia="黑体" w:cs="黑体"/>
          <w:b/>
          <w:color w:val="000000"/>
          <w:sz w:val="19"/>
          <w:szCs w:val="19"/>
        </w:rPr>
        <w:t>3.2</w:t>
      </w:r>
      <w:bookmarkEnd w:id="32"/>
      <w:bookmarkEnd w:id="33"/>
      <w:r>
        <w:rPr>
          <w:rFonts w:hint="eastAsia" w:ascii="黑体" w:hAnsi="黑体" w:eastAsia="黑体" w:cs="黑体"/>
          <w:b/>
          <w:color w:val="000000"/>
          <w:sz w:val="19"/>
          <w:szCs w:val="19"/>
        </w:rPr>
        <w:t>采购内容</w:t>
      </w:r>
    </w:p>
    <w:p w14:paraId="4987D601">
      <w:pPr>
        <w:numPr>
          <w:ilvl w:val="2"/>
          <w:numId w:val="0"/>
        </w:numPr>
        <w:tabs>
          <w:tab w:val="left" w:pos="709"/>
        </w:tabs>
        <w:spacing w:line="480" w:lineRule="atLeast"/>
        <w:rPr>
          <w:rFonts w:hint="eastAsia" w:ascii="黑体" w:hAnsi="黑体" w:eastAsia="黑体" w:cs="黑体"/>
          <w:b/>
          <w:color w:val="000000"/>
          <w:sz w:val="19"/>
          <w:szCs w:val="19"/>
        </w:rPr>
      </w:pPr>
      <w:r>
        <w:rPr>
          <w:rFonts w:hint="eastAsia" w:ascii="黑体" w:hAnsi="黑体" w:eastAsia="黑体" w:cs="黑体"/>
          <w:b/>
          <w:color w:val="000000"/>
          <w:sz w:val="19"/>
          <w:szCs w:val="19"/>
        </w:rPr>
        <w:t>3.2.1 采购标的</w:t>
      </w:r>
    </w:p>
    <w:tbl>
      <w:tblPr>
        <w:tblStyle w:val="20"/>
        <w:tblW w:w="949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3"/>
        <w:gridCol w:w="2890"/>
        <w:gridCol w:w="740"/>
        <w:gridCol w:w="1190"/>
        <w:gridCol w:w="810"/>
        <w:gridCol w:w="1444"/>
        <w:gridCol w:w="1740"/>
      </w:tblGrid>
      <w:tr w14:paraId="05341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8" w:hRule="atLeast"/>
        </w:trPr>
        <w:tc>
          <w:tcPr>
            <w:tcW w:w="683" w:type="dxa"/>
          </w:tcPr>
          <w:p w14:paraId="2D504EA5">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序号</w:t>
            </w:r>
          </w:p>
        </w:tc>
        <w:tc>
          <w:tcPr>
            <w:tcW w:w="2890" w:type="dxa"/>
          </w:tcPr>
          <w:p w14:paraId="73385C1B">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标的名称</w:t>
            </w:r>
          </w:p>
        </w:tc>
        <w:tc>
          <w:tcPr>
            <w:tcW w:w="740" w:type="dxa"/>
          </w:tcPr>
          <w:p w14:paraId="0DA09B39">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数量</w:t>
            </w:r>
          </w:p>
        </w:tc>
        <w:tc>
          <w:tcPr>
            <w:tcW w:w="1190" w:type="dxa"/>
          </w:tcPr>
          <w:p w14:paraId="5B593A82">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标的金额 （元）</w:t>
            </w:r>
          </w:p>
        </w:tc>
        <w:tc>
          <w:tcPr>
            <w:tcW w:w="810" w:type="dxa"/>
          </w:tcPr>
          <w:p w14:paraId="5670E56F">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计量</w:t>
            </w:r>
          </w:p>
          <w:p w14:paraId="6C23C367">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单位</w:t>
            </w:r>
          </w:p>
        </w:tc>
        <w:tc>
          <w:tcPr>
            <w:tcW w:w="1444" w:type="dxa"/>
          </w:tcPr>
          <w:p w14:paraId="242B0B8A">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所属行业</w:t>
            </w:r>
          </w:p>
        </w:tc>
        <w:tc>
          <w:tcPr>
            <w:tcW w:w="1740" w:type="dxa"/>
          </w:tcPr>
          <w:p w14:paraId="4327E55C">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rPr>
              <w:t>是否核心产品</w:t>
            </w:r>
          </w:p>
        </w:tc>
      </w:tr>
      <w:tr w14:paraId="1E7EE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9" w:hRule="atLeast"/>
        </w:trPr>
        <w:tc>
          <w:tcPr>
            <w:tcW w:w="683" w:type="dxa"/>
            <w:vAlign w:val="center"/>
          </w:tcPr>
          <w:p w14:paraId="7E11BBCA">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w:t>
            </w:r>
          </w:p>
        </w:tc>
        <w:tc>
          <w:tcPr>
            <w:tcW w:w="2890" w:type="dxa"/>
            <w:vAlign w:val="center"/>
          </w:tcPr>
          <w:p w14:paraId="041492ED">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地震数据采集器（三通道）</w:t>
            </w:r>
          </w:p>
        </w:tc>
        <w:tc>
          <w:tcPr>
            <w:tcW w:w="740" w:type="dxa"/>
            <w:vAlign w:val="center"/>
          </w:tcPr>
          <w:p w14:paraId="16A8030B">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restart"/>
            <w:vAlign w:val="center"/>
          </w:tcPr>
          <w:p w14:paraId="38FE9D26">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1990000元</w:t>
            </w:r>
          </w:p>
        </w:tc>
        <w:tc>
          <w:tcPr>
            <w:tcW w:w="810" w:type="dxa"/>
            <w:vAlign w:val="center"/>
          </w:tcPr>
          <w:p w14:paraId="6EE2ACED">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lang w:eastAsia="zh-CN"/>
              </w:rPr>
              <w:t>套</w:t>
            </w:r>
          </w:p>
        </w:tc>
        <w:tc>
          <w:tcPr>
            <w:tcW w:w="1444" w:type="dxa"/>
            <w:vAlign w:val="center"/>
          </w:tcPr>
          <w:p w14:paraId="43FC1A4F">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37AFE77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是</w:t>
            </w:r>
          </w:p>
        </w:tc>
      </w:tr>
      <w:tr w14:paraId="39CDA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25B7C994">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2</w:t>
            </w:r>
          </w:p>
        </w:tc>
        <w:tc>
          <w:tcPr>
            <w:tcW w:w="2890" w:type="dxa"/>
            <w:vAlign w:val="center"/>
          </w:tcPr>
          <w:p w14:paraId="419E4EC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力平衡加速度计</w:t>
            </w:r>
          </w:p>
        </w:tc>
        <w:tc>
          <w:tcPr>
            <w:tcW w:w="740" w:type="dxa"/>
            <w:vAlign w:val="center"/>
          </w:tcPr>
          <w:p w14:paraId="1F328432">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2536EA0F">
            <w:pPr>
              <w:pStyle w:val="36"/>
              <w:spacing w:before="87" w:beforeLines="20" w:line="480" w:lineRule="atLeast"/>
              <w:jc w:val="center"/>
              <w:rPr>
                <w:rFonts w:ascii="黑体" w:hAnsi="黑体" w:eastAsia="黑体" w:cs="黑体"/>
                <w:sz w:val="19"/>
                <w:szCs w:val="19"/>
              </w:rPr>
            </w:pPr>
          </w:p>
        </w:tc>
        <w:tc>
          <w:tcPr>
            <w:tcW w:w="810" w:type="dxa"/>
            <w:vAlign w:val="center"/>
          </w:tcPr>
          <w:p w14:paraId="738B7B28">
            <w:pPr>
              <w:pStyle w:val="36"/>
              <w:spacing w:before="87" w:beforeLines="20" w:line="480" w:lineRule="atLeast"/>
              <w:jc w:val="center"/>
              <w:rPr>
                <w:rFonts w:ascii="黑体" w:hAnsi="黑体" w:eastAsia="黑体" w:cs="黑体"/>
                <w:sz w:val="19"/>
                <w:szCs w:val="19"/>
              </w:rPr>
            </w:pPr>
            <w:r>
              <w:rPr>
                <w:rFonts w:ascii="黑体" w:hAnsi="黑体" w:eastAsia="黑体" w:cs="黑体"/>
                <w:sz w:val="19"/>
                <w:szCs w:val="19"/>
                <w:lang w:eastAsia="zh-CN"/>
              </w:rPr>
              <w:t>台</w:t>
            </w:r>
          </w:p>
        </w:tc>
        <w:tc>
          <w:tcPr>
            <w:tcW w:w="1444" w:type="dxa"/>
            <w:vAlign w:val="center"/>
          </w:tcPr>
          <w:p w14:paraId="2ACD04B7">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3E645BD8">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76A09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62103F7F">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3</w:t>
            </w:r>
          </w:p>
        </w:tc>
        <w:tc>
          <w:tcPr>
            <w:tcW w:w="2890" w:type="dxa"/>
            <w:vAlign w:val="center"/>
          </w:tcPr>
          <w:p w14:paraId="062B9015">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智能电源</w:t>
            </w:r>
          </w:p>
        </w:tc>
        <w:tc>
          <w:tcPr>
            <w:tcW w:w="740" w:type="dxa"/>
            <w:vAlign w:val="center"/>
          </w:tcPr>
          <w:p w14:paraId="0258EE29">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65D7486F">
            <w:pPr>
              <w:pStyle w:val="36"/>
              <w:spacing w:before="87" w:beforeLines="20" w:line="480" w:lineRule="atLeast"/>
              <w:jc w:val="center"/>
              <w:rPr>
                <w:rFonts w:ascii="黑体" w:hAnsi="黑体" w:eastAsia="黑体" w:cs="黑体"/>
                <w:sz w:val="19"/>
                <w:szCs w:val="19"/>
              </w:rPr>
            </w:pPr>
          </w:p>
        </w:tc>
        <w:tc>
          <w:tcPr>
            <w:tcW w:w="810" w:type="dxa"/>
            <w:vAlign w:val="center"/>
          </w:tcPr>
          <w:p w14:paraId="5C629920">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台</w:t>
            </w:r>
          </w:p>
        </w:tc>
        <w:tc>
          <w:tcPr>
            <w:tcW w:w="1444" w:type="dxa"/>
            <w:vAlign w:val="center"/>
          </w:tcPr>
          <w:p w14:paraId="365CECE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4267182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55C09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4EA2616A">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4</w:t>
            </w:r>
          </w:p>
        </w:tc>
        <w:tc>
          <w:tcPr>
            <w:tcW w:w="2890" w:type="dxa"/>
            <w:vAlign w:val="center"/>
          </w:tcPr>
          <w:p w14:paraId="5E203F01">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环境监测设备</w:t>
            </w:r>
          </w:p>
        </w:tc>
        <w:tc>
          <w:tcPr>
            <w:tcW w:w="740" w:type="dxa"/>
            <w:vAlign w:val="center"/>
          </w:tcPr>
          <w:p w14:paraId="7952C06D">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44E64D4C">
            <w:pPr>
              <w:pStyle w:val="36"/>
              <w:spacing w:before="87" w:beforeLines="20" w:line="480" w:lineRule="atLeast"/>
              <w:jc w:val="center"/>
              <w:rPr>
                <w:rFonts w:ascii="黑体" w:hAnsi="黑体" w:eastAsia="黑体" w:cs="黑体"/>
                <w:sz w:val="19"/>
                <w:szCs w:val="19"/>
              </w:rPr>
            </w:pPr>
          </w:p>
        </w:tc>
        <w:tc>
          <w:tcPr>
            <w:tcW w:w="810" w:type="dxa"/>
            <w:vAlign w:val="center"/>
          </w:tcPr>
          <w:p w14:paraId="151AE22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套</w:t>
            </w:r>
          </w:p>
        </w:tc>
        <w:tc>
          <w:tcPr>
            <w:tcW w:w="1444" w:type="dxa"/>
            <w:vAlign w:val="center"/>
          </w:tcPr>
          <w:p w14:paraId="3C649BA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5C379274">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796FE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6C40F595">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5</w:t>
            </w:r>
          </w:p>
        </w:tc>
        <w:tc>
          <w:tcPr>
            <w:tcW w:w="2890" w:type="dxa"/>
            <w:vAlign w:val="center"/>
          </w:tcPr>
          <w:p w14:paraId="472E778C">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220VAC电源避雷器</w:t>
            </w:r>
          </w:p>
        </w:tc>
        <w:tc>
          <w:tcPr>
            <w:tcW w:w="740" w:type="dxa"/>
            <w:vAlign w:val="center"/>
          </w:tcPr>
          <w:p w14:paraId="18F81A06">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534A8C87">
            <w:pPr>
              <w:pStyle w:val="36"/>
              <w:spacing w:before="87" w:beforeLines="20" w:line="480" w:lineRule="atLeast"/>
              <w:jc w:val="center"/>
              <w:rPr>
                <w:rFonts w:ascii="黑体" w:hAnsi="黑体" w:eastAsia="黑体" w:cs="黑体"/>
                <w:sz w:val="19"/>
                <w:szCs w:val="19"/>
              </w:rPr>
            </w:pPr>
          </w:p>
        </w:tc>
        <w:tc>
          <w:tcPr>
            <w:tcW w:w="810" w:type="dxa"/>
            <w:vAlign w:val="center"/>
          </w:tcPr>
          <w:p w14:paraId="7463E008">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台</w:t>
            </w:r>
          </w:p>
        </w:tc>
        <w:tc>
          <w:tcPr>
            <w:tcW w:w="1444" w:type="dxa"/>
            <w:vAlign w:val="center"/>
          </w:tcPr>
          <w:p w14:paraId="45C05F05">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32307C5D">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59E8F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78F93A72">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6</w:t>
            </w:r>
          </w:p>
        </w:tc>
        <w:tc>
          <w:tcPr>
            <w:tcW w:w="2890" w:type="dxa"/>
            <w:vAlign w:val="center"/>
          </w:tcPr>
          <w:p w14:paraId="401BA4CF">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GPS 通讯避雷器</w:t>
            </w:r>
          </w:p>
        </w:tc>
        <w:tc>
          <w:tcPr>
            <w:tcW w:w="740" w:type="dxa"/>
            <w:vAlign w:val="center"/>
          </w:tcPr>
          <w:p w14:paraId="627D4C58">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4E047D74">
            <w:pPr>
              <w:pStyle w:val="36"/>
              <w:spacing w:before="87" w:beforeLines="20" w:line="480" w:lineRule="atLeast"/>
              <w:jc w:val="center"/>
              <w:rPr>
                <w:rFonts w:ascii="黑体" w:hAnsi="黑体" w:eastAsia="黑体" w:cs="黑体"/>
                <w:sz w:val="19"/>
                <w:szCs w:val="19"/>
              </w:rPr>
            </w:pPr>
          </w:p>
        </w:tc>
        <w:tc>
          <w:tcPr>
            <w:tcW w:w="810" w:type="dxa"/>
            <w:vAlign w:val="center"/>
          </w:tcPr>
          <w:p w14:paraId="254FF7E1">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台</w:t>
            </w:r>
          </w:p>
        </w:tc>
        <w:tc>
          <w:tcPr>
            <w:tcW w:w="1444" w:type="dxa"/>
            <w:vAlign w:val="center"/>
          </w:tcPr>
          <w:p w14:paraId="34C22DE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17E73BB5">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7A3A4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0C149F2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7</w:t>
            </w:r>
          </w:p>
        </w:tc>
        <w:tc>
          <w:tcPr>
            <w:tcW w:w="2890" w:type="dxa"/>
            <w:vAlign w:val="center"/>
          </w:tcPr>
          <w:p w14:paraId="14AE4450">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台站蓄电池组</w:t>
            </w:r>
          </w:p>
        </w:tc>
        <w:tc>
          <w:tcPr>
            <w:tcW w:w="740" w:type="dxa"/>
            <w:vAlign w:val="center"/>
          </w:tcPr>
          <w:p w14:paraId="002C167F">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082BE971">
            <w:pPr>
              <w:pStyle w:val="36"/>
              <w:spacing w:before="87" w:beforeLines="20" w:line="480" w:lineRule="atLeast"/>
              <w:jc w:val="center"/>
              <w:rPr>
                <w:rFonts w:ascii="黑体" w:hAnsi="黑体" w:eastAsia="黑体" w:cs="黑体"/>
                <w:sz w:val="19"/>
                <w:szCs w:val="19"/>
              </w:rPr>
            </w:pPr>
          </w:p>
        </w:tc>
        <w:tc>
          <w:tcPr>
            <w:tcW w:w="810" w:type="dxa"/>
            <w:vAlign w:val="center"/>
          </w:tcPr>
          <w:p w14:paraId="2D197DED">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套</w:t>
            </w:r>
          </w:p>
        </w:tc>
        <w:tc>
          <w:tcPr>
            <w:tcW w:w="1444" w:type="dxa"/>
            <w:vAlign w:val="center"/>
          </w:tcPr>
          <w:p w14:paraId="54003F79">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082E12C4">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7C24F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4D0509D0">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8</w:t>
            </w:r>
          </w:p>
        </w:tc>
        <w:tc>
          <w:tcPr>
            <w:tcW w:w="2890" w:type="dxa"/>
            <w:vAlign w:val="center"/>
          </w:tcPr>
          <w:p w14:paraId="21F1FD14">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27U室外不锈钢机柜</w:t>
            </w:r>
          </w:p>
        </w:tc>
        <w:tc>
          <w:tcPr>
            <w:tcW w:w="740" w:type="dxa"/>
            <w:vAlign w:val="center"/>
          </w:tcPr>
          <w:p w14:paraId="01BA25F9">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4934BDA4">
            <w:pPr>
              <w:pStyle w:val="36"/>
              <w:spacing w:before="87" w:beforeLines="20" w:line="480" w:lineRule="atLeast"/>
              <w:jc w:val="center"/>
              <w:rPr>
                <w:rFonts w:ascii="黑体" w:hAnsi="黑体" w:eastAsia="黑体" w:cs="黑体"/>
                <w:sz w:val="19"/>
                <w:szCs w:val="19"/>
              </w:rPr>
            </w:pPr>
          </w:p>
        </w:tc>
        <w:tc>
          <w:tcPr>
            <w:tcW w:w="810" w:type="dxa"/>
            <w:vAlign w:val="center"/>
          </w:tcPr>
          <w:p w14:paraId="7AFA9FE2">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台</w:t>
            </w:r>
          </w:p>
        </w:tc>
        <w:tc>
          <w:tcPr>
            <w:tcW w:w="1444" w:type="dxa"/>
            <w:vAlign w:val="center"/>
          </w:tcPr>
          <w:p w14:paraId="782DAEA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55AB4BE4">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2D005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79D16687">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9</w:t>
            </w:r>
          </w:p>
        </w:tc>
        <w:tc>
          <w:tcPr>
            <w:tcW w:w="2890" w:type="dxa"/>
            <w:vAlign w:val="center"/>
          </w:tcPr>
          <w:p w14:paraId="02CCFD9C">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4G路由器(包括4G全向天馈线)</w:t>
            </w:r>
          </w:p>
        </w:tc>
        <w:tc>
          <w:tcPr>
            <w:tcW w:w="740" w:type="dxa"/>
            <w:vAlign w:val="center"/>
          </w:tcPr>
          <w:p w14:paraId="5F1CDF65">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0BEBE3C0">
            <w:pPr>
              <w:pStyle w:val="36"/>
              <w:spacing w:before="87" w:beforeLines="20" w:line="480" w:lineRule="atLeast"/>
              <w:jc w:val="center"/>
              <w:rPr>
                <w:rFonts w:ascii="黑体" w:hAnsi="黑体" w:eastAsia="黑体" w:cs="黑体"/>
                <w:sz w:val="19"/>
                <w:szCs w:val="19"/>
                <w:lang w:eastAsia="zh-CN"/>
              </w:rPr>
            </w:pPr>
          </w:p>
        </w:tc>
        <w:tc>
          <w:tcPr>
            <w:tcW w:w="810" w:type="dxa"/>
            <w:vAlign w:val="center"/>
          </w:tcPr>
          <w:p w14:paraId="1CC035F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套</w:t>
            </w:r>
          </w:p>
        </w:tc>
        <w:tc>
          <w:tcPr>
            <w:tcW w:w="1444" w:type="dxa"/>
            <w:vAlign w:val="center"/>
          </w:tcPr>
          <w:p w14:paraId="60709A7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25E207DA">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55655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223049A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10</w:t>
            </w:r>
          </w:p>
        </w:tc>
        <w:tc>
          <w:tcPr>
            <w:tcW w:w="2890" w:type="dxa"/>
            <w:vAlign w:val="center"/>
          </w:tcPr>
          <w:p w14:paraId="5EADC78C">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4G通讯避雷器</w:t>
            </w:r>
          </w:p>
        </w:tc>
        <w:tc>
          <w:tcPr>
            <w:tcW w:w="740" w:type="dxa"/>
            <w:vAlign w:val="center"/>
          </w:tcPr>
          <w:p w14:paraId="20F09E2C">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77D1A2A8">
            <w:pPr>
              <w:pStyle w:val="36"/>
              <w:spacing w:before="87" w:beforeLines="20" w:line="480" w:lineRule="atLeast"/>
              <w:jc w:val="center"/>
              <w:rPr>
                <w:rFonts w:ascii="黑体" w:hAnsi="黑体" w:eastAsia="黑体" w:cs="黑体"/>
                <w:sz w:val="19"/>
                <w:szCs w:val="19"/>
                <w:lang w:eastAsia="zh-CN"/>
              </w:rPr>
            </w:pPr>
          </w:p>
        </w:tc>
        <w:tc>
          <w:tcPr>
            <w:tcW w:w="810" w:type="dxa"/>
            <w:vAlign w:val="center"/>
          </w:tcPr>
          <w:p w14:paraId="7267C57B">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台</w:t>
            </w:r>
          </w:p>
        </w:tc>
        <w:tc>
          <w:tcPr>
            <w:tcW w:w="1444" w:type="dxa"/>
            <w:vAlign w:val="center"/>
          </w:tcPr>
          <w:p w14:paraId="54787DF9">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17C95EA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5D901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67" w:hRule="atLeast"/>
        </w:trPr>
        <w:tc>
          <w:tcPr>
            <w:tcW w:w="683" w:type="dxa"/>
            <w:vAlign w:val="center"/>
          </w:tcPr>
          <w:p w14:paraId="4451297C">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2890" w:type="dxa"/>
            <w:vAlign w:val="center"/>
          </w:tcPr>
          <w:p w14:paraId="2B9D98E2">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室外机柜式观测房</w:t>
            </w:r>
          </w:p>
        </w:tc>
        <w:tc>
          <w:tcPr>
            <w:tcW w:w="740" w:type="dxa"/>
            <w:vAlign w:val="center"/>
          </w:tcPr>
          <w:p w14:paraId="507687AE">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44FB96BD">
            <w:pPr>
              <w:pStyle w:val="36"/>
              <w:spacing w:before="87" w:beforeLines="20" w:line="480" w:lineRule="atLeast"/>
              <w:jc w:val="center"/>
              <w:rPr>
                <w:rFonts w:ascii="黑体" w:hAnsi="黑体" w:eastAsia="黑体" w:cs="黑体"/>
                <w:sz w:val="19"/>
                <w:szCs w:val="19"/>
                <w:lang w:eastAsia="zh-CN"/>
              </w:rPr>
            </w:pPr>
          </w:p>
        </w:tc>
        <w:tc>
          <w:tcPr>
            <w:tcW w:w="810" w:type="dxa"/>
            <w:vAlign w:val="center"/>
          </w:tcPr>
          <w:p w14:paraId="50E02ED1">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项</w:t>
            </w:r>
          </w:p>
        </w:tc>
        <w:tc>
          <w:tcPr>
            <w:tcW w:w="1444" w:type="dxa"/>
            <w:vAlign w:val="center"/>
          </w:tcPr>
          <w:p w14:paraId="15C3B694">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1DAD744D">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否</w:t>
            </w:r>
          </w:p>
        </w:tc>
      </w:tr>
      <w:tr w14:paraId="323B0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2" w:hRule="atLeast"/>
        </w:trPr>
        <w:tc>
          <w:tcPr>
            <w:tcW w:w="683" w:type="dxa"/>
            <w:vAlign w:val="center"/>
          </w:tcPr>
          <w:p w14:paraId="6B40C98D">
            <w:pPr>
              <w:pStyle w:val="36"/>
              <w:spacing w:before="87" w:beforeLines="20" w:line="480" w:lineRule="atLeast"/>
              <w:jc w:val="center"/>
              <w:rPr>
                <w:rFonts w:hint="default" w:ascii="黑体" w:hAnsi="黑体" w:eastAsia="黑体" w:cs="黑体"/>
                <w:sz w:val="19"/>
                <w:szCs w:val="19"/>
                <w:lang w:val="en-US" w:eastAsia="zh-CN"/>
              </w:rPr>
            </w:pPr>
            <w:r>
              <w:rPr>
                <w:rFonts w:hint="eastAsia" w:ascii="黑体" w:hAnsi="黑体" w:eastAsia="黑体" w:cs="黑体"/>
                <w:sz w:val="19"/>
                <w:szCs w:val="19"/>
                <w:lang w:val="en-US" w:eastAsia="zh-CN"/>
              </w:rPr>
              <w:t>12</w:t>
            </w:r>
          </w:p>
        </w:tc>
        <w:tc>
          <w:tcPr>
            <w:tcW w:w="2890" w:type="dxa"/>
            <w:vAlign w:val="center"/>
          </w:tcPr>
          <w:p w14:paraId="67D8654F">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地震烈度仪</w:t>
            </w:r>
          </w:p>
        </w:tc>
        <w:tc>
          <w:tcPr>
            <w:tcW w:w="740" w:type="dxa"/>
            <w:vAlign w:val="center"/>
          </w:tcPr>
          <w:p w14:paraId="2F3D4D73">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11</w:t>
            </w:r>
          </w:p>
        </w:tc>
        <w:tc>
          <w:tcPr>
            <w:tcW w:w="1190" w:type="dxa"/>
            <w:vMerge w:val="continue"/>
            <w:vAlign w:val="center"/>
          </w:tcPr>
          <w:p w14:paraId="12CE690B">
            <w:pPr>
              <w:pStyle w:val="36"/>
              <w:spacing w:before="87" w:beforeLines="20" w:line="480" w:lineRule="atLeast"/>
              <w:jc w:val="center"/>
              <w:rPr>
                <w:rFonts w:ascii="黑体" w:hAnsi="黑体" w:eastAsia="黑体" w:cs="黑体"/>
                <w:sz w:val="19"/>
                <w:szCs w:val="19"/>
                <w:lang w:eastAsia="zh-CN"/>
              </w:rPr>
            </w:pPr>
          </w:p>
        </w:tc>
        <w:tc>
          <w:tcPr>
            <w:tcW w:w="810" w:type="dxa"/>
            <w:vAlign w:val="center"/>
          </w:tcPr>
          <w:p w14:paraId="640A0902">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套</w:t>
            </w:r>
          </w:p>
        </w:tc>
        <w:tc>
          <w:tcPr>
            <w:tcW w:w="1444" w:type="dxa"/>
            <w:vAlign w:val="center"/>
          </w:tcPr>
          <w:p w14:paraId="0273CE39">
            <w:pPr>
              <w:pStyle w:val="36"/>
              <w:spacing w:before="87" w:beforeLines="20" w:line="480" w:lineRule="atLeast"/>
              <w:jc w:val="center"/>
              <w:rPr>
                <w:rFonts w:ascii="黑体" w:hAnsi="黑体" w:eastAsia="黑体" w:cs="黑体"/>
                <w:sz w:val="19"/>
                <w:szCs w:val="19"/>
                <w:lang w:eastAsia="zh-CN"/>
              </w:rPr>
            </w:pPr>
            <w:r>
              <w:rPr>
                <w:rFonts w:ascii="黑体" w:hAnsi="黑体" w:eastAsia="黑体" w:cs="黑体"/>
                <w:sz w:val="19"/>
                <w:szCs w:val="19"/>
                <w:lang w:eastAsia="zh-CN"/>
              </w:rPr>
              <w:t>工业</w:t>
            </w:r>
          </w:p>
        </w:tc>
        <w:tc>
          <w:tcPr>
            <w:tcW w:w="1740" w:type="dxa"/>
            <w:vAlign w:val="center"/>
          </w:tcPr>
          <w:p w14:paraId="421B7D04">
            <w:pPr>
              <w:pStyle w:val="36"/>
              <w:spacing w:before="87" w:beforeLines="20" w:line="480" w:lineRule="atLeast"/>
              <w:jc w:val="center"/>
              <w:rPr>
                <w:rFonts w:ascii="黑体" w:hAnsi="黑体" w:eastAsia="黑体" w:cs="黑体"/>
                <w:sz w:val="19"/>
                <w:szCs w:val="19"/>
                <w:lang w:eastAsia="zh-CN"/>
              </w:rPr>
            </w:pPr>
            <w:r>
              <w:rPr>
                <w:rFonts w:hint="eastAsia" w:ascii="黑体" w:hAnsi="黑体" w:eastAsia="黑体" w:cs="黑体"/>
                <w:sz w:val="19"/>
                <w:szCs w:val="19"/>
                <w:lang w:val="en-US" w:eastAsia="zh-CN"/>
              </w:rPr>
              <w:t>否</w:t>
            </w:r>
          </w:p>
        </w:tc>
      </w:tr>
    </w:tbl>
    <w:p w14:paraId="0B56BAFB">
      <w:pPr>
        <w:pStyle w:val="4"/>
        <w:numPr>
          <w:ilvl w:val="2"/>
          <w:numId w:val="0"/>
        </w:numPr>
        <w:spacing w:line="480" w:lineRule="exact"/>
        <w:rPr>
          <w:rFonts w:hint="eastAsia" w:hAnsi="黑体" w:cs="黑体"/>
          <w:sz w:val="19"/>
          <w:szCs w:val="19"/>
        </w:rPr>
      </w:pPr>
      <w:r>
        <w:rPr>
          <w:rFonts w:hint="eastAsia" w:hAnsi="黑体" w:cs="黑体"/>
          <w:sz w:val="19"/>
          <w:szCs w:val="19"/>
        </w:rPr>
        <w:t>3.2.2 技术要求</w:t>
      </w:r>
    </w:p>
    <w:p w14:paraId="188E3BDA">
      <w:pPr>
        <w:numPr>
          <w:ilvl w:val="2"/>
          <w:numId w:val="0"/>
        </w:numPr>
        <w:tabs>
          <w:tab w:val="left" w:pos="709"/>
        </w:tabs>
        <w:spacing w:line="480" w:lineRule="atLeast"/>
        <w:rPr>
          <w:rFonts w:hint="eastAsia" w:ascii="黑体" w:hAnsi="黑体" w:eastAsia="黑体" w:cs="黑体"/>
          <w:b/>
          <w:color w:val="000000"/>
          <w:sz w:val="19"/>
          <w:szCs w:val="19"/>
        </w:rPr>
      </w:pPr>
      <w:r>
        <w:rPr>
          <w:rFonts w:hint="eastAsia" w:ascii="黑体" w:hAnsi="黑体" w:eastAsia="黑体" w:cs="黑体"/>
          <w:b/>
          <w:color w:val="000000"/>
          <w:sz w:val="19"/>
          <w:szCs w:val="19"/>
        </w:rPr>
        <w:t>（一）产品技术参数与性能指标</w:t>
      </w:r>
    </w:p>
    <w:tbl>
      <w:tblPr>
        <w:tblStyle w:val="20"/>
        <w:tblW w:w="93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1189"/>
        <w:gridCol w:w="845"/>
        <w:gridCol w:w="1936"/>
        <w:gridCol w:w="4580"/>
      </w:tblGrid>
      <w:tr w14:paraId="7A0C1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308" w:type="dxa"/>
            <w:gridSpan w:val="5"/>
          </w:tcPr>
          <w:p w14:paraId="3110333D">
            <w:pPr>
              <w:pStyle w:val="41"/>
              <w:spacing w:before="204" w:line="218" w:lineRule="auto"/>
              <w:ind w:left="114"/>
              <w:jc w:val="left"/>
              <w:rPr>
                <w:rFonts w:hint="eastAsia" w:ascii="黑体" w:hAnsi="黑体" w:eastAsia="黑体" w:cs="黑体"/>
                <w:b/>
                <w:bCs/>
                <w:spacing w:val="6"/>
                <w:sz w:val="19"/>
                <w:szCs w:val="19"/>
                <w:lang w:eastAsia="zh-CN"/>
              </w:rPr>
            </w:pPr>
            <w:r>
              <w:rPr>
                <w:rFonts w:hint="eastAsia" w:ascii="黑体" w:hAnsi="黑体" w:eastAsia="黑体" w:cs="黑体"/>
                <w:b/>
                <w:bCs/>
                <w:spacing w:val="6"/>
                <w:sz w:val="19"/>
                <w:szCs w:val="19"/>
                <w:lang w:eastAsia="zh-CN"/>
              </w:rPr>
              <w:t>一、烈度速报台站</w:t>
            </w:r>
            <w:r>
              <w:rPr>
                <w:rFonts w:hint="eastAsia" w:ascii="黑体" w:hAnsi="黑体" w:eastAsia="黑体" w:cs="黑体"/>
                <w:b/>
                <w:bCs/>
                <w:spacing w:val="6"/>
                <w:sz w:val="19"/>
                <w:szCs w:val="19"/>
                <w:lang w:val="en-US" w:eastAsia="zh-CN"/>
              </w:rPr>
              <w:t xml:space="preserve"> </w:t>
            </w:r>
          </w:p>
        </w:tc>
      </w:tr>
      <w:tr w14:paraId="15D5E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758" w:type="dxa"/>
            <w:vMerge w:val="restart"/>
          </w:tcPr>
          <w:p w14:paraId="053B5BE2">
            <w:pPr>
              <w:pStyle w:val="41"/>
              <w:spacing w:before="204" w:line="218" w:lineRule="auto"/>
              <w:ind w:left="114"/>
              <w:rPr>
                <w:rFonts w:hint="eastAsia" w:ascii="黑体" w:hAnsi="黑体" w:eastAsia="黑体" w:cs="黑体"/>
                <w:b/>
                <w:bCs/>
                <w:spacing w:val="6"/>
                <w:sz w:val="19"/>
                <w:szCs w:val="19"/>
                <w:lang w:eastAsia="zh-CN"/>
              </w:rPr>
            </w:pPr>
            <w:r>
              <w:rPr>
                <w:rFonts w:hint="eastAsia" w:ascii="黑体" w:hAnsi="黑体" w:eastAsia="黑体" w:cs="黑体"/>
                <w:b/>
                <w:bCs/>
                <w:spacing w:val="6"/>
                <w:sz w:val="19"/>
                <w:szCs w:val="19"/>
                <w:lang w:eastAsia="zh-CN"/>
              </w:rPr>
              <w:t>序号</w:t>
            </w:r>
          </w:p>
        </w:tc>
        <w:tc>
          <w:tcPr>
            <w:tcW w:w="1189" w:type="dxa"/>
            <w:vMerge w:val="restart"/>
          </w:tcPr>
          <w:p w14:paraId="71B47736">
            <w:pPr>
              <w:pStyle w:val="41"/>
              <w:spacing w:before="204" w:line="218" w:lineRule="auto"/>
              <w:ind w:left="114"/>
              <w:rPr>
                <w:rFonts w:hint="eastAsia" w:ascii="黑体" w:hAnsi="黑体" w:eastAsia="黑体" w:cs="黑体"/>
                <w:b/>
                <w:bCs/>
                <w:spacing w:val="6"/>
                <w:sz w:val="19"/>
                <w:szCs w:val="19"/>
                <w:lang w:eastAsia="zh-CN"/>
              </w:rPr>
            </w:pPr>
            <w:r>
              <w:rPr>
                <w:rFonts w:hint="eastAsia" w:ascii="黑体" w:hAnsi="黑体" w:eastAsia="黑体" w:cs="黑体"/>
                <w:b/>
                <w:bCs/>
                <w:spacing w:val="6"/>
                <w:sz w:val="19"/>
                <w:szCs w:val="19"/>
                <w:lang w:eastAsia="zh-CN"/>
              </w:rPr>
              <w:t>产品名称</w:t>
            </w:r>
          </w:p>
        </w:tc>
        <w:tc>
          <w:tcPr>
            <w:tcW w:w="845" w:type="dxa"/>
            <w:vMerge w:val="restart"/>
            <w:vAlign w:val="center"/>
          </w:tcPr>
          <w:p w14:paraId="3E38E77A">
            <w:pPr>
              <w:pStyle w:val="41"/>
              <w:spacing w:before="204" w:line="218" w:lineRule="auto"/>
              <w:rPr>
                <w:rFonts w:hint="eastAsia" w:ascii="黑体" w:hAnsi="黑体" w:eastAsia="黑体" w:cs="黑体"/>
                <w:b/>
                <w:bCs/>
                <w:spacing w:val="6"/>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1E2C931C">
            <w:pPr>
              <w:pStyle w:val="41"/>
              <w:spacing w:before="204" w:line="218" w:lineRule="auto"/>
              <w:ind w:left="114"/>
              <w:jc w:val="center"/>
              <w:rPr>
                <w:rFonts w:hint="eastAsia" w:ascii="黑体" w:hAnsi="黑体" w:eastAsia="黑体" w:cs="黑体"/>
                <w:b/>
                <w:bCs/>
                <w:spacing w:val="6"/>
                <w:sz w:val="19"/>
                <w:szCs w:val="19"/>
                <w:lang w:eastAsia="zh-CN"/>
              </w:rPr>
            </w:pPr>
            <w:r>
              <w:rPr>
                <w:rFonts w:hint="eastAsia" w:ascii="黑体" w:hAnsi="黑体" w:eastAsia="黑体" w:cs="黑体"/>
                <w:b/>
                <w:bCs/>
                <w:spacing w:val="6"/>
                <w:sz w:val="19"/>
                <w:szCs w:val="19"/>
                <w:lang w:eastAsia="zh-CN"/>
              </w:rPr>
              <w:t>技术参数与性能指标</w:t>
            </w:r>
          </w:p>
        </w:tc>
      </w:tr>
      <w:tr w14:paraId="2DC5A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58" w:type="dxa"/>
            <w:vMerge w:val="continue"/>
            <w:vAlign w:val="center"/>
          </w:tcPr>
          <w:p w14:paraId="027CF39D">
            <w:pPr>
              <w:spacing w:line="480" w:lineRule="exact"/>
              <w:jc w:val="center"/>
              <w:rPr>
                <w:rFonts w:hint="eastAsia" w:ascii="黑体" w:hAnsi="黑体" w:eastAsia="黑体" w:cs="黑体"/>
                <w:sz w:val="19"/>
                <w:szCs w:val="19"/>
              </w:rPr>
            </w:pPr>
          </w:p>
        </w:tc>
        <w:tc>
          <w:tcPr>
            <w:tcW w:w="1189" w:type="dxa"/>
            <w:vMerge w:val="continue"/>
            <w:vAlign w:val="center"/>
          </w:tcPr>
          <w:p w14:paraId="53E588FA">
            <w:pPr>
              <w:spacing w:line="480" w:lineRule="exact"/>
              <w:jc w:val="center"/>
              <w:rPr>
                <w:rFonts w:hint="eastAsia" w:ascii="黑体" w:hAnsi="黑体" w:eastAsia="黑体" w:cs="黑体"/>
                <w:sz w:val="19"/>
                <w:szCs w:val="19"/>
              </w:rPr>
            </w:pPr>
          </w:p>
        </w:tc>
        <w:tc>
          <w:tcPr>
            <w:tcW w:w="845" w:type="dxa"/>
            <w:vMerge w:val="continue"/>
            <w:vAlign w:val="center"/>
          </w:tcPr>
          <w:p w14:paraId="3B7ABD11">
            <w:pPr>
              <w:spacing w:line="480" w:lineRule="exact"/>
              <w:jc w:val="center"/>
              <w:rPr>
                <w:rFonts w:hint="eastAsia" w:ascii="黑体" w:hAnsi="黑体" w:eastAsia="黑体" w:cs="黑体"/>
                <w:sz w:val="19"/>
                <w:szCs w:val="19"/>
              </w:rPr>
            </w:pPr>
          </w:p>
        </w:tc>
        <w:tc>
          <w:tcPr>
            <w:tcW w:w="1936" w:type="dxa"/>
            <w:vAlign w:val="center"/>
          </w:tcPr>
          <w:p w14:paraId="7D51059B">
            <w:pPr>
              <w:spacing w:line="480" w:lineRule="exact"/>
              <w:jc w:val="center"/>
              <w:rPr>
                <w:rFonts w:hint="eastAsia" w:ascii="黑体" w:hAnsi="黑体" w:eastAsia="黑体" w:cs="黑体"/>
                <w:b/>
                <w:bCs/>
                <w:spacing w:val="6"/>
                <w:sz w:val="19"/>
                <w:szCs w:val="19"/>
              </w:rPr>
            </w:pPr>
            <w:r>
              <w:rPr>
                <w:rFonts w:hint="eastAsia" w:ascii="黑体" w:hAnsi="黑体" w:eastAsia="黑体" w:cs="黑体"/>
                <w:b/>
                <w:bCs/>
                <w:spacing w:val="6"/>
                <w:sz w:val="19"/>
                <w:szCs w:val="19"/>
              </w:rPr>
              <w:t>指标项</w:t>
            </w:r>
          </w:p>
        </w:tc>
        <w:tc>
          <w:tcPr>
            <w:tcW w:w="4580" w:type="dxa"/>
            <w:vAlign w:val="center"/>
          </w:tcPr>
          <w:p w14:paraId="11411A7B">
            <w:pPr>
              <w:spacing w:line="480" w:lineRule="exact"/>
              <w:jc w:val="center"/>
              <w:rPr>
                <w:rFonts w:hint="eastAsia" w:ascii="黑体" w:hAnsi="黑体" w:eastAsia="黑体" w:cs="黑体"/>
                <w:b/>
                <w:bCs/>
                <w:spacing w:val="6"/>
                <w:sz w:val="19"/>
                <w:szCs w:val="19"/>
                <w:lang w:eastAsia="en-US"/>
              </w:rPr>
            </w:pPr>
            <w:r>
              <w:rPr>
                <w:rFonts w:hint="eastAsia" w:ascii="黑体" w:hAnsi="黑体" w:eastAsia="黑体" w:cs="黑体"/>
                <w:b/>
                <w:bCs/>
                <w:spacing w:val="6"/>
                <w:sz w:val="19"/>
                <w:szCs w:val="19"/>
                <w:lang w:eastAsia="en-US"/>
              </w:rPr>
              <w:t>技术指标</w:t>
            </w:r>
          </w:p>
        </w:tc>
      </w:tr>
      <w:tr w14:paraId="7B4ED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restart"/>
            <w:vAlign w:val="center"/>
          </w:tcPr>
          <w:p w14:paraId="4E3B0390">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1</w:t>
            </w:r>
          </w:p>
        </w:tc>
        <w:tc>
          <w:tcPr>
            <w:tcW w:w="1189" w:type="dxa"/>
            <w:vMerge w:val="restart"/>
            <w:vAlign w:val="center"/>
          </w:tcPr>
          <w:p w14:paraId="7A36D0F9">
            <w:pPr>
              <w:spacing w:line="480" w:lineRule="exact"/>
              <w:rPr>
                <w:rFonts w:hint="eastAsia" w:ascii="黑体" w:hAnsi="黑体" w:eastAsia="黑体" w:cs="黑体"/>
                <w:sz w:val="19"/>
                <w:szCs w:val="19"/>
              </w:rPr>
            </w:pPr>
            <w:r>
              <w:rPr>
                <w:rFonts w:hint="eastAsia" w:ascii="黑体" w:hAnsi="黑体" w:eastAsia="黑体" w:cs="黑体"/>
                <w:bCs/>
                <w:sz w:val="19"/>
                <w:szCs w:val="19"/>
              </w:rPr>
              <w:t>地震数据采集器（三通道）</w:t>
            </w:r>
          </w:p>
        </w:tc>
        <w:tc>
          <w:tcPr>
            <w:tcW w:w="845" w:type="dxa"/>
            <w:vAlign w:val="center"/>
          </w:tcPr>
          <w:p w14:paraId="528504C0">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w:t>
            </w:r>
          </w:p>
        </w:tc>
        <w:tc>
          <w:tcPr>
            <w:tcW w:w="1936" w:type="dxa"/>
            <w:vAlign w:val="center"/>
          </w:tcPr>
          <w:p w14:paraId="363C3D90">
            <w:pPr>
              <w:spacing w:line="480" w:lineRule="exact"/>
              <w:rPr>
                <w:rFonts w:hint="eastAsia" w:ascii="黑体" w:hAnsi="黑体" w:eastAsia="黑体" w:cs="黑体"/>
                <w:sz w:val="19"/>
                <w:szCs w:val="19"/>
              </w:rPr>
            </w:pPr>
            <w:r>
              <w:rPr>
                <w:rFonts w:hint="eastAsia" w:ascii="黑体" w:hAnsi="黑体" w:eastAsia="黑体" w:cs="黑体"/>
                <w:kern w:val="0"/>
                <w:sz w:val="19"/>
                <w:szCs w:val="19"/>
              </w:rPr>
              <w:t>主通道分辨率</w:t>
            </w:r>
          </w:p>
        </w:tc>
        <w:tc>
          <w:tcPr>
            <w:tcW w:w="4580" w:type="dxa"/>
            <w:vAlign w:val="center"/>
          </w:tcPr>
          <w:p w14:paraId="0D3FF7BB">
            <w:pPr>
              <w:spacing w:line="480" w:lineRule="exact"/>
              <w:rPr>
                <w:rFonts w:hint="eastAsia" w:ascii="黑体" w:hAnsi="黑体" w:eastAsia="黑体" w:cs="黑体"/>
                <w:sz w:val="19"/>
                <w:szCs w:val="19"/>
              </w:rPr>
            </w:pPr>
            <w:r>
              <w:rPr>
                <w:rFonts w:hint="eastAsia" w:ascii="黑体" w:hAnsi="黑体" w:eastAsia="黑体" w:cs="黑体"/>
                <w:sz w:val="19"/>
                <w:szCs w:val="19"/>
              </w:rPr>
              <w:t>真26位，可设置为24位</w:t>
            </w:r>
          </w:p>
        </w:tc>
      </w:tr>
      <w:tr w14:paraId="2ACA7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7161B99">
            <w:pPr>
              <w:spacing w:line="480" w:lineRule="exact"/>
              <w:jc w:val="center"/>
              <w:rPr>
                <w:rFonts w:hint="eastAsia" w:ascii="黑体" w:hAnsi="黑体" w:eastAsia="黑体" w:cs="黑体"/>
                <w:sz w:val="19"/>
                <w:szCs w:val="19"/>
              </w:rPr>
            </w:pPr>
          </w:p>
        </w:tc>
        <w:tc>
          <w:tcPr>
            <w:tcW w:w="1189" w:type="dxa"/>
            <w:vMerge w:val="continue"/>
            <w:vAlign w:val="center"/>
          </w:tcPr>
          <w:p w14:paraId="72FC4AD6">
            <w:pPr>
              <w:spacing w:line="480" w:lineRule="exact"/>
              <w:rPr>
                <w:rFonts w:hint="eastAsia" w:ascii="黑体" w:hAnsi="黑体" w:eastAsia="黑体" w:cs="黑体"/>
                <w:bCs/>
                <w:sz w:val="19"/>
                <w:szCs w:val="19"/>
              </w:rPr>
            </w:pPr>
          </w:p>
        </w:tc>
        <w:tc>
          <w:tcPr>
            <w:tcW w:w="845" w:type="dxa"/>
            <w:shd w:val="clear" w:color="auto" w:fill="auto"/>
            <w:vAlign w:val="center"/>
          </w:tcPr>
          <w:p w14:paraId="06260CD6">
            <w:pPr>
              <w:spacing w:line="480" w:lineRule="exact"/>
              <w:jc w:val="center"/>
              <w:rPr>
                <w:rFonts w:hint="eastAsia" w:ascii="黑体" w:hAnsi="黑体" w:eastAsia="黑体" w:cs="黑体"/>
                <w:kern w:val="2"/>
                <w:sz w:val="19"/>
                <w:szCs w:val="19"/>
                <w:lang w:val="en-US" w:eastAsia="zh-CN" w:bidi="ar-SA"/>
              </w:rPr>
            </w:pPr>
            <w:r>
              <w:rPr>
                <w:rFonts w:hint="eastAsia" w:ascii="黑体" w:hAnsi="黑体" w:eastAsia="黑体" w:cs="黑体"/>
                <w:sz w:val="19"/>
                <w:szCs w:val="19"/>
              </w:rPr>
              <w:t>▲</w:t>
            </w:r>
          </w:p>
        </w:tc>
        <w:tc>
          <w:tcPr>
            <w:tcW w:w="1936" w:type="dxa"/>
            <w:shd w:val="clear" w:color="auto" w:fill="auto"/>
            <w:vAlign w:val="center"/>
          </w:tcPr>
          <w:p w14:paraId="4F1DEAEA">
            <w:pPr>
              <w:widowControl/>
              <w:spacing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kern w:val="0"/>
                <w:sz w:val="19"/>
                <w:szCs w:val="19"/>
              </w:rPr>
              <w:t>零输入噪声</w:t>
            </w:r>
          </w:p>
        </w:tc>
        <w:tc>
          <w:tcPr>
            <w:tcW w:w="4580" w:type="dxa"/>
            <w:shd w:val="clear" w:color="auto" w:fill="auto"/>
            <w:vAlign w:val="center"/>
          </w:tcPr>
          <w:p w14:paraId="40BC8455">
            <w:pPr>
              <w:widowControl/>
              <w:spacing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kern w:val="0"/>
                <w:sz w:val="19"/>
                <w:szCs w:val="19"/>
              </w:rPr>
              <w:t>≤ 1.0μV（±20 V量程）</w:t>
            </w:r>
          </w:p>
        </w:tc>
      </w:tr>
      <w:tr w14:paraId="075EC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1702A761">
            <w:pPr>
              <w:spacing w:line="480" w:lineRule="exact"/>
              <w:jc w:val="center"/>
              <w:rPr>
                <w:rFonts w:hint="eastAsia" w:ascii="黑体" w:hAnsi="黑体" w:eastAsia="黑体" w:cs="黑体"/>
                <w:sz w:val="19"/>
                <w:szCs w:val="19"/>
              </w:rPr>
            </w:pPr>
          </w:p>
        </w:tc>
        <w:tc>
          <w:tcPr>
            <w:tcW w:w="1189" w:type="dxa"/>
            <w:vMerge w:val="continue"/>
            <w:vAlign w:val="center"/>
          </w:tcPr>
          <w:p w14:paraId="615EB7B6">
            <w:pPr>
              <w:spacing w:line="480" w:lineRule="exact"/>
              <w:jc w:val="center"/>
              <w:rPr>
                <w:rFonts w:hint="eastAsia" w:ascii="黑体" w:hAnsi="黑体" w:eastAsia="黑体" w:cs="黑体"/>
                <w:sz w:val="19"/>
                <w:szCs w:val="19"/>
              </w:rPr>
            </w:pPr>
          </w:p>
        </w:tc>
        <w:tc>
          <w:tcPr>
            <w:tcW w:w="845" w:type="dxa"/>
            <w:vAlign w:val="center"/>
          </w:tcPr>
          <w:p w14:paraId="6CB00095">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1936" w:type="dxa"/>
            <w:vAlign w:val="center"/>
          </w:tcPr>
          <w:p w14:paraId="174355FB">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数据存储</w:t>
            </w:r>
          </w:p>
          <w:p w14:paraId="7ED4A0AF">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容量</w:t>
            </w:r>
          </w:p>
        </w:tc>
        <w:tc>
          <w:tcPr>
            <w:tcW w:w="4580" w:type="dxa"/>
            <w:vAlign w:val="center"/>
          </w:tcPr>
          <w:p w14:paraId="449F89F7">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标配≥ 32G电子硬盘，可存储≥ 180天以上连续记录数据文件，支持多种采样率数据存储</w:t>
            </w:r>
          </w:p>
        </w:tc>
      </w:tr>
      <w:tr w14:paraId="771A7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5B3AA57B">
            <w:pPr>
              <w:spacing w:line="480" w:lineRule="exact"/>
              <w:rPr>
                <w:rFonts w:hint="eastAsia" w:ascii="黑体" w:hAnsi="黑体" w:eastAsia="黑体" w:cs="黑体"/>
                <w:sz w:val="19"/>
                <w:szCs w:val="19"/>
              </w:rPr>
            </w:pPr>
          </w:p>
        </w:tc>
        <w:tc>
          <w:tcPr>
            <w:tcW w:w="1189" w:type="dxa"/>
            <w:vMerge w:val="continue"/>
            <w:vAlign w:val="center"/>
          </w:tcPr>
          <w:p w14:paraId="4352B67B">
            <w:pPr>
              <w:spacing w:line="480" w:lineRule="exact"/>
              <w:rPr>
                <w:rFonts w:hint="eastAsia" w:ascii="黑体" w:hAnsi="黑体" w:eastAsia="黑体" w:cs="黑体"/>
                <w:sz w:val="19"/>
                <w:szCs w:val="19"/>
              </w:rPr>
            </w:pPr>
          </w:p>
        </w:tc>
        <w:tc>
          <w:tcPr>
            <w:tcW w:w="845" w:type="dxa"/>
            <w:vAlign w:val="center"/>
          </w:tcPr>
          <w:p w14:paraId="59E36596">
            <w:pPr>
              <w:spacing w:line="480" w:lineRule="exact"/>
              <w:rPr>
                <w:rFonts w:hint="eastAsia" w:ascii="黑体" w:hAnsi="黑体" w:eastAsia="黑体" w:cs="黑体"/>
                <w:sz w:val="19"/>
                <w:szCs w:val="19"/>
              </w:rPr>
            </w:pPr>
          </w:p>
        </w:tc>
        <w:tc>
          <w:tcPr>
            <w:tcW w:w="1936" w:type="dxa"/>
            <w:vAlign w:val="center"/>
          </w:tcPr>
          <w:p w14:paraId="03F25804">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主通道</w:t>
            </w:r>
          </w:p>
        </w:tc>
        <w:tc>
          <w:tcPr>
            <w:tcW w:w="4580" w:type="dxa"/>
            <w:vAlign w:val="center"/>
          </w:tcPr>
          <w:p w14:paraId="73B8F90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xml:space="preserve">3通道    </w:t>
            </w:r>
          </w:p>
        </w:tc>
      </w:tr>
      <w:tr w14:paraId="70D4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55468602">
            <w:pPr>
              <w:spacing w:line="480" w:lineRule="exact"/>
              <w:rPr>
                <w:rFonts w:hint="eastAsia" w:ascii="黑体" w:hAnsi="黑体" w:eastAsia="黑体" w:cs="黑体"/>
                <w:sz w:val="19"/>
                <w:szCs w:val="19"/>
              </w:rPr>
            </w:pPr>
          </w:p>
        </w:tc>
        <w:tc>
          <w:tcPr>
            <w:tcW w:w="1189" w:type="dxa"/>
            <w:vMerge w:val="continue"/>
            <w:vAlign w:val="center"/>
          </w:tcPr>
          <w:p w14:paraId="587DC57A">
            <w:pPr>
              <w:spacing w:line="480" w:lineRule="exact"/>
              <w:rPr>
                <w:rFonts w:hint="eastAsia" w:ascii="黑体" w:hAnsi="黑体" w:eastAsia="黑体" w:cs="黑体"/>
                <w:sz w:val="19"/>
                <w:szCs w:val="19"/>
              </w:rPr>
            </w:pPr>
          </w:p>
        </w:tc>
        <w:tc>
          <w:tcPr>
            <w:tcW w:w="845" w:type="dxa"/>
            <w:vAlign w:val="center"/>
          </w:tcPr>
          <w:p w14:paraId="6966E775">
            <w:pPr>
              <w:spacing w:line="480" w:lineRule="exact"/>
              <w:rPr>
                <w:rFonts w:hint="eastAsia" w:ascii="黑体" w:hAnsi="黑体" w:eastAsia="黑体" w:cs="黑体"/>
                <w:sz w:val="19"/>
                <w:szCs w:val="19"/>
              </w:rPr>
            </w:pPr>
          </w:p>
        </w:tc>
        <w:tc>
          <w:tcPr>
            <w:tcW w:w="1936" w:type="dxa"/>
            <w:vAlign w:val="center"/>
          </w:tcPr>
          <w:p w14:paraId="7DDD22B8">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信号输入方式</w:t>
            </w:r>
          </w:p>
        </w:tc>
        <w:tc>
          <w:tcPr>
            <w:tcW w:w="4580" w:type="dxa"/>
            <w:vAlign w:val="center"/>
          </w:tcPr>
          <w:p w14:paraId="38FE6BF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双端平衡差分输入，满量程±20V，多档程控可调</w:t>
            </w:r>
          </w:p>
        </w:tc>
      </w:tr>
      <w:tr w14:paraId="15CD2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1C359300">
            <w:pPr>
              <w:spacing w:line="480" w:lineRule="exact"/>
              <w:rPr>
                <w:rFonts w:hint="eastAsia" w:ascii="黑体" w:hAnsi="黑体" w:eastAsia="黑体" w:cs="黑体"/>
                <w:sz w:val="19"/>
                <w:szCs w:val="19"/>
              </w:rPr>
            </w:pPr>
          </w:p>
        </w:tc>
        <w:tc>
          <w:tcPr>
            <w:tcW w:w="1189" w:type="dxa"/>
            <w:vMerge w:val="continue"/>
            <w:vAlign w:val="center"/>
          </w:tcPr>
          <w:p w14:paraId="133F9407">
            <w:pPr>
              <w:spacing w:line="480" w:lineRule="exact"/>
              <w:rPr>
                <w:rFonts w:hint="eastAsia" w:ascii="黑体" w:hAnsi="黑体" w:eastAsia="黑体" w:cs="黑体"/>
                <w:sz w:val="19"/>
                <w:szCs w:val="19"/>
              </w:rPr>
            </w:pPr>
          </w:p>
        </w:tc>
        <w:tc>
          <w:tcPr>
            <w:tcW w:w="845" w:type="dxa"/>
            <w:vAlign w:val="center"/>
          </w:tcPr>
          <w:p w14:paraId="143FD712">
            <w:pPr>
              <w:spacing w:line="480" w:lineRule="exact"/>
              <w:rPr>
                <w:rFonts w:hint="eastAsia" w:ascii="黑体" w:hAnsi="黑体" w:eastAsia="黑体" w:cs="黑体"/>
                <w:sz w:val="19"/>
                <w:szCs w:val="19"/>
              </w:rPr>
            </w:pPr>
          </w:p>
        </w:tc>
        <w:tc>
          <w:tcPr>
            <w:tcW w:w="1936" w:type="dxa"/>
            <w:vAlign w:val="center"/>
          </w:tcPr>
          <w:p w14:paraId="660FC750">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动态范围</w:t>
            </w:r>
          </w:p>
        </w:tc>
        <w:tc>
          <w:tcPr>
            <w:tcW w:w="4580" w:type="dxa"/>
            <w:vAlign w:val="center"/>
          </w:tcPr>
          <w:p w14:paraId="4526A237">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145dB @ 100sps/chn</w:t>
            </w:r>
          </w:p>
        </w:tc>
      </w:tr>
      <w:tr w14:paraId="50A92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76664A54">
            <w:pPr>
              <w:spacing w:line="480" w:lineRule="exact"/>
              <w:rPr>
                <w:rFonts w:hint="eastAsia" w:ascii="黑体" w:hAnsi="黑体" w:eastAsia="黑体" w:cs="黑体"/>
                <w:sz w:val="19"/>
                <w:szCs w:val="19"/>
              </w:rPr>
            </w:pPr>
          </w:p>
        </w:tc>
        <w:tc>
          <w:tcPr>
            <w:tcW w:w="1189" w:type="dxa"/>
            <w:vMerge w:val="continue"/>
            <w:vAlign w:val="center"/>
          </w:tcPr>
          <w:p w14:paraId="345859EC">
            <w:pPr>
              <w:spacing w:line="480" w:lineRule="exact"/>
              <w:rPr>
                <w:rFonts w:hint="eastAsia" w:ascii="黑体" w:hAnsi="黑体" w:eastAsia="黑体" w:cs="黑体"/>
                <w:sz w:val="19"/>
                <w:szCs w:val="19"/>
              </w:rPr>
            </w:pPr>
          </w:p>
        </w:tc>
        <w:tc>
          <w:tcPr>
            <w:tcW w:w="845" w:type="dxa"/>
            <w:vAlign w:val="center"/>
          </w:tcPr>
          <w:p w14:paraId="15A32A3E">
            <w:pPr>
              <w:spacing w:line="480" w:lineRule="exact"/>
              <w:rPr>
                <w:rFonts w:hint="eastAsia" w:ascii="黑体" w:hAnsi="黑体" w:eastAsia="黑体" w:cs="黑体"/>
                <w:sz w:val="19"/>
                <w:szCs w:val="19"/>
              </w:rPr>
            </w:pPr>
          </w:p>
        </w:tc>
        <w:tc>
          <w:tcPr>
            <w:tcW w:w="1936" w:type="dxa"/>
            <w:vAlign w:val="center"/>
          </w:tcPr>
          <w:p w14:paraId="68140676">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路际串扰</w:t>
            </w:r>
          </w:p>
        </w:tc>
        <w:tc>
          <w:tcPr>
            <w:tcW w:w="4580" w:type="dxa"/>
            <w:vAlign w:val="center"/>
          </w:tcPr>
          <w:p w14:paraId="43743D8E">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-150dB</w:t>
            </w:r>
          </w:p>
        </w:tc>
      </w:tr>
      <w:tr w14:paraId="16125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C6E4A69">
            <w:pPr>
              <w:spacing w:line="480" w:lineRule="exact"/>
              <w:rPr>
                <w:rFonts w:hint="eastAsia" w:ascii="黑体" w:hAnsi="黑体" w:eastAsia="黑体" w:cs="黑体"/>
                <w:sz w:val="19"/>
                <w:szCs w:val="19"/>
              </w:rPr>
            </w:pPr>
          </w:p>
        </w:tc>
        <w:tc>
          <w:tcPr>
            <w:tcW w:w="1189" w:type="dxa"/>
            <w:vMerge w:val="continue"/>
            <w:vAlign w:val="center"/>
          </w:tcPr>
          <w:p w14:paraId="2804054D">
            <w:pPr>
              <w:spacing w:line="480" w:lineRule="exact"/>
              <w:rPr>
                <w:rFonts w:hint="eastAsia" w:ascii="黑体" w:hAnsi="黑体" w:eastAsia="黑体" w:cs="黑体"/>
                <w:sz w:val="19"/>
                <w:szCs w:val="19"/>
              </w:rPr>
            </w:pPr>
          </w:p>
        </w:tc>
        <w:tc>
          <w:tcPr>
            <w:tcW w:w="845" w:type="dxa"/>
            <w:vAlign w:val="center"/>
          </w:tcPr>
          <w:p w14:paraId="603634FE">
            <w:pPr>
              <w:spacing w:line="480" w:lineRule="exact"/>
              <w:rPr>
                <w:rFonts w:hint="eastAsia" w:ascii="黑体" w:hAnsi="黑体" w:eastAsia="黑体" w:cs="黑体"/>
                <w:sz w:val="19"/>
                <w:szCs w:val="19"/>
              </w:rPr>
            </w:pPr>
          </w:p>
        </w:tc>
        <w:tc>
          <w:tcPr>
            <w:tcW w:w="1936" w:type="dxa"/>
            <w:vAlign w:val="center"/>
          </w:tcPr>
          <w:p w14:paraId="39B4A748">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总谐波失真</w:t>
            </w:r>
          </w:p>
        </w:tc>
        <w:tc>
          <w:tcPr>
            <w:tcW w:w="4580" w:type="dxa"/>
            <w:vAlign w:val="center"/>
          </w:tcPr>
          <w:p w14:paraId="10769B8E">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0.003%</w:t>
            </w:r>
          </w:p>
        </w:tc>
      </w:tr>
      <w:tr w14:paraId="19859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446445D5">
            <w:pPr>
              <w:spacing w:line="480" w:lineRule="exact"/>
              <w:rPr>
                <w:rFonts w:hint="eastAsia" w:ascii="黑体" w:hAnsi="黑体" w:eastAsia="黑体" w:cs="黑体"/>
                <w:sz w:val="19"/>
                <w:szCs w:val="19"/>
              </w:rPr>
            </w:pPr>
          </w:p>
        </w:tc>
        <w:tc>
          <w:tcPr>
            <w:tcW w:w="1189" w:type="dxa"/>
            <w:vMerge w:val="continue"/>
            <w:vAlign w:val="center"/>
          </w:tcPr>
          <w:p w14:paraId="75B7D991">
            <w:pPr>
              <w:spacing w:line="480" w:lineRule="exact"/>
              <w:rPr>
                <w:rFonts w:hint="eastAsia" w:ascii="黑体" w:hAnsi="黑体" w:eastAsia="黑体" w:cs="黑体"/>
                <w:sz w:val="19"/>
                <w:szCs w:val="19"/>
              </w:rPr>
            </w:pPr>
          </w:p>
        </w:tc>
        <w:tc>
          <w:tcPr>
            <w:tcW w:w="845" w:type="dxa"/>
            <w:vAlign w:val="center"/>
          </w:tcPr>
          <w:p w14:paraId="5CEF5B9D">
            <w:pPr>
              <w:spacing w:line="480" w:lineRule="exact"/>
              <w:rPr>
                <w:rFonts w:hint="eastAsia" w:ascii="黑体" w:hAnsi="黑体" w:eastAsia="黑体" w:cs="黑体"/>
                <w:sz w:val="19"/>
                <w:szCs w:val="19"/>
              </w:rPr>
            </w:pPr>
          </w:p>
        </w:tc>
        <w:tc>
          <w:tcPr>
            <w:tcW w:w="1936" w:type="dxa"/>
            <w:vAlign w:val="center"/>
          </w:tcPr>
          <w:p w14:paraId="1C885556">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采样率</w:t>
            </w:r>
          </w:p>
        </w:tc>
        <w:tc>
          <w:tcPr>
            <w:tcW w:w="4580" w:type="dxa"/>
            <w:vAlign w:val="center"/>
          </w:tcPr>
          <w:p w14:paraId="79B4AAE4">
            <w:pPr>
              <w:widowControl/>
              <w:spacing w:line="480" w:lineRule="exact"/>
              <w:jc w:val="left"/>
              <w:rPr>
                <w:rFonts w:hint="default" w:ascii="黑体" w:hAnsi="黑体" w:eastAsia="黑体" w:cs="黑体"/>
                <w:sz w:val="19"/>
                <w:szCs w:val="19"/>
                <w:lang w:val="en-US" w:eastAsia="zh-CN"/>
              </w:rPr>
            </w:pPr>
            <w:r>
              <w:rPr>
                <w:rFonts w:hint="eastAsia" w:ascii="黑体" w:hAnsi="黑体" w:eastAsia="黑体" w:cs="黑体"/>
                <w:kern w:val="0"/>
                <w:sz w:val="19"/>
                <w:szCs w:val="19"/>
              </w:rPr>
              <w:t>1sps、10sps、20sps、50sps、100sps、200sps、500sps</w:t>
            </w:r>
          </w:p>
        </w:tc>
      </w:tr>
      <w:tr w14:paraId="27F74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95A5CA4">
            <w:pPr>
              <w:spacing w:line="480" w:lineRule="exact"/>
              <w:rPr>
                <w:rFonts w:hint="eastAsia" w:ascii="黑体" w:hAnsi="黑体" w:eastAsia="黑体" w:cs="黑体"/>
                <w:sz w:val="19"/>
                <w:szCs w:val="19"/>
              </w:rPr>
            </w:pPr>
          </w:p>
        </w:tc>
        <w:tc>
          <w:tcPr>
            <w:tcW w:w="1189" w:type="dxa"/>
            <w:vMerge w:val="continue"/>
            <w:vAlign w:val="center"/>
          </w:tcPr>
          <w:p w14:paraId="49CE0B82">
            <w:pPr>
              <w:spacing w:line="480" w:lineRule="exact"/>
              <w:rPr>
                <w:rFonts w:hint="eastAsia" w:ascii="黑体" w:hAnsi="黑体" w:eastAsia="黑体" w:cs="黑体"/>
                <w:sz w:val="19"/>
                <w:szCs w:val="19"/>
              </w:rPr>
            </w:pPr>
          </w:p>
        </w:tc>
        <w:tc>
          <w:tcPr>
            <w:tcW w:w="845" w:type="dxa"/>
            <w:vMerge w:val="restart"/>
            <w:vAlign w:val="center"/>
          </w:tcPr>
          <w:p w14:paraId="65006931">
            <w:pPr>
              <w:spacing w:line="480" w:lineRule="exact"/>
              <w:rPr>
                <w:rFonts w:hint="eastAsia" w:ascii="黑体" w:hAnsi="黑体" w:eastAsia="黑体" w:cs="黑体"/>
                <w:sz w:val="19"/>
                <w:szCs w:val="19"/>
              </w:rPr>
            </w:pPr>
          </w:p>
        </w:tc>
        <w:tc>
          <w:tcPr>
            <w:tcW w:w="1936" w:type="dxa"/>
            <w:vAlign w:val="center"/>
          </w:tcPr>
          <w:p w14:paraId="1DC2F4B3">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频带范围</w:t>
            </w:r>
          </w:p>
        </w:tc>
        <w:tc>
          <w:tcPr>
            <w:tcW w:w="4580" w:type="dxa"/>
            <w:vAlign w:val="center"/>
          </w:tcPr>
          <w:p w14:paraId="29F8247B">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0Hz～0.4Hz、4Hz、10Hz、20 Hz、40 Hz、80 Hz、200Hz</w:t>
            </w:r>
          </w:p>
        </w:tc>
      </w:tr>
      <w:tr w14:paraId="1D589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4795B10">
            <w:pPr>
              <w:spacing w:line="480" w:lineRule="exact"/>
              <w:rPr>
                <w:rFonts w:hint="eastAsia" w:ascii="黑体" w:hAnsi="黑体" w:eastAsia="黑体" w:cs="黑体"/>
                <w:sz w:val="19"/>
                <w:szCs w:val="19"/>
              </w:rPr>
            </w:pPr>
          </w:p>
        </w:tc>
        <w:tc>
          <w:tcPr>
            <w:tcW w:w="1189" w:type="dxa"/>
            <w:vMerge w:val="continue"/>
            <w:vAlign w:val="center"/>
          </w:tcPr>
          <w:p w14:paraId="6F145F9E">
            <w:pPr>
              <w:spacing w:line="480" w:lineRule="exact"/>
              <w:rPr>
                <w:rFonts w:hint="eastAsia" w:ascii="黑体" w:hAnsi="黑体" w:eastAsia="黑体" w:cs="黑体"/>
                <w:sz w:val="19"/>
                <w:szCs w:val="19"/>
              </w:rPr>
            </w:pPr>
          </w:p>
        </w:tc>
        <w:tc>
          <w:tcPr>
            <w:tcW w:w="845" w:type="dxa"/>
            <w:vMerge w:val="continue"/>
            <w:vAlign w:val="center"/>
          </w:tcPr>
          <w:p w14:paraId="6EB73DA4">
            <w:pPr>
              <w:spacing w:line="480" w:lineRule="exact"/>
              <w:rPr>
                <w:rFonts w:hint="eastAsia" w:ascii="黑体" w:hAnsi="黑体" w:eastAsia="黑体" w:cs="黑体"/>
                <w:sz w:val="19"/>
                <w:szCs w:val="19"/>
              </w:rPr>
            </w:pPr>
          </w:p>
        </w:tc>
        <w:tc>
          <w:tcPr>
            <w:tcW w:w="1936" w:type="dxa"/>
            <w:vAlign w:val="center"/>
          </w:tcPr>
          <w:p w14:paraId="7E00AA09">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数字滤波器</w:t>
            </w:r>
          </w:p>
        </w:tc>
        <w:tc>
          <w:tcPr>
            <w:tcW w:w="4580" w:type="dxa"/>
            <w:vAlign w:val="center"/>
          </w:tcPr>
          <w:p w14:paraId="71A35A28">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通带波动 ≤ 0.05 dB        </w:t>
            </w:r>
          </w:p>
          <w:p w14:paraId="3CCFA6DC">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阻带衰减 ≥ 130 dB</w:t>
            </w:r>
          </w:p>
        </w:tc>
      </w:tr>
      <w:tr w14:paraId="22BC7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86E087E">
            <w:pPr>
              <w:spacing w:line="480" w:lineRule="exact"/>
              <w:rPr>
                <w:rFonts w:hint="eastAsia" w:ascii="黑体" w:hAnsi="黑体" w:eastAsia="黑体" w:cs="黑体"/>
                <w:sz w:val="19"/>
                <w:szCs w:val="19"/>
              </w:rPr>
            </w:pPr>
          </w:p>
        </w:tc>
        <w:tc>
          <w:tcPr>
            <w:tcW w:w="1189" w:type="dxa"/>
            <w:vMerge w:val="continue"/>
            <w:vAlign w:val="center"/>
          </w:tcPr>
          <w:p w14:paraId="23FB996D">
            <w:pPr>
              <w:spacing w:line="480" w:lineRule="exact"/>
              <w:rPr>
                <w:rFonts w:hint="eastAsia" w:ascii="黑体" w:hAnsi="黑体" w:eastAsia="黑体" w:cs="黑体"/>
                <w:sz w:val="19"/>
                <w:szCs w:val="19"/>
              </w:rPr>
            </w:pPr>
          </w:p>
        </w:tc>
        <w:tc>
          <w:tcPr>
            <w:tcW w:w="845" w:type="dxa"/>
            <w:vMerge w:val="continue"/>
            <w:vAlign w:val="center"/>
          </w:tcPr>
          <w:p w14:paraId="12FA4030">
            <w:pPr>
              <w:spacing w:line="480" w:lineRule="exact"/>
              <w:rPr>
                <w:rFonts w:hint="eastAsia" w:ascii="黑体" w:hAnsi="黑体" w:eastAsia="黑体" w:cs="黑体"/>
                <w:sz w:val="19"/>
                <w:szCs w:val="19"/>
              </w:rPr>
            </w:pPr>
          </w:p>
        </w:tc>
        <w:tc>
          <w:tcPr>
            <w:tcW w:w="1936" w:type="dxa"/>
            <w:vAlign w:val="center"/>
          </w:tcPr>
          <w:p w14:paraId="06E6FD8F">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辅助通道</w:t>
            </w:r>
          </w:p>
        </w:tc>
        <w:tc>
          <w:tcPr>
            <w:tcW w:w="4580" w:type="dxa"/>
            <w:vAlign w:val="center"/>
          </w:tcPr>
          <w:p w14:paraId="5A941555">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xml:space="preserve">3通道          </w:t>
            </w:r>
          </w:p>
        </w:tc>
      </w:tr>
      <w:tr w14:paraId="0587D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B38C5FD">
            <w:pPr>
              <w:spacing w:line="480" w:lineRule="exact"/>
              <w:rPr>
                <w:rFonts w:hint="eastAsia" w:ascii="黑体" w:hAnsi="黑体" w:eastAsia="黑体" w:cs="黑体"/>
                <w:sz w:val="19"/>
                <w:szCs w:val="19"/>
              </w:rPr>
            </w:pPr>
          </w:p>
        </w:tc>
        <w:tc>
          <w:tcPr>
            <w:tcW w:w="1189" w:type="dxa"/>
            <w:vMerge w:val="continue"/>
            <w:vAlign w:val="center"/>
          </w:tcPr>
          <w:p w14:paraId="6D997B76">
            <w:pPr>
              <w:spacing w:line="480" w:lineRule="exact"/>
              <w:rPr>
                <w:rFonts w:hint="eastAsia" w:ascii="黑体" w:hAnsi="黑体" w:eastAsia="黑体" w:cs="黑体"/>
                <w:sz w:val="19"/>
                <w:szCs w:val="19"/>
              </w:rPr>
            </w:pPr>
          </w:p>
        </w:tc>
        <w:tc>
          <w:tcPr>
            <w:tcW w:w="845" w:type="dxa"/>
            <w:vMerge w:val="continue"/>
            <w:vAlign w:val="center"/>
          </w:tcPr>
          <w:p w14:paraId="4880B81E">
            <w:pPr>
              <w:spacing w:line="480" w:lineRule="exact"/>
              <w:rPr>
                <w:rFonts w:hint="eastAsia" w:ascii="黑体" w:hAnsi="黑体" w:eastAsia="黑体" w:cs="黑体"/>
                <w:sz w:val="19"/>
                <w:szCs w:val="19"/>
              </w:rPr>
            </w:pPr>
          </w:p>
        </w:tc>
        <w:tc>
          <w:tcPr>
            <w:tcW w:w="1936" w:type="dxa"/>
            <w:vAlign w:val="center"/>
          </w:tcPr>
          <w:p w14:paraId="54EA568D">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辅助通道        </w:t>
            </w:r>
          </w:p>
          <w:p w14:paraId="644D02AE">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分辨率</w:t>
            </w:r>
          </w:p>
        </w:tc>
        <w:tc>
          <w:tcPr>
            <w:tcW w:w="4580" w:type="dxa"/>
            <w:vAlign w:val="center"/>
          </w:tcPr>
          <w:p w14:paraId="09911DB6">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16位，±10 V（单端）</w:t>
            </w:r>
          </w:p>
        </w:tc>
      </w:tr>
      <w:tr w14:paraId="7BEC8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19FCB49">
            <w:pPr>
              <w:spacing w:line="480" w:lineRule="exact"/>
              <w:rPr>
                <w:rFonts w:hint="eastAsia" w:ascii="黑体" w:hAnsi="黑体" w:eastAsia="黑体" w:cs="黑体"/>
                <w:sz w:val="19"/>
                <w:szCs w:val="19"/>
              </w:rPr>
            </w:pPr>
          </w:p>
        </w:tc>
        <w:tc>
          <w:tcPr>
            <w:tcW w:w="1189" w:type="dxa"/>
            <w:vMerge w:val="continue"/>
            <w:vAlign w:val="center"/>
          </w:tcPr>
          <w:p w14:paraId="788F9F74">
            <w:pPr>
              <w:spacing w:line="480" w:lineRule="exact"/>
              <w:rPr>
                <w:rFonts w:hint="eastAsia" w:ascii="黑体" w:hAnsi="黑体" w:eastAsia="黑体" w:cs="黑体"/>
                <w:sz w:val="19"/>
                <w:szCs w:val="19"/>
              </w:rPr>
            </w:pPr>
          </w:p>
        </w:tc>
        <w:tc>
          <w:tcPr>
            <w:tcW w:w="845" w:type="dxa"/>
            <w:vMerge w:val="continue"/>
            <w:vAlign w:val="center"/>
          </w:tcPr>
          <w:p w14:paraId="04501567">
            <w:pPr>
              <w:spacing w:line="480" w:lineRule="exact"/>
              <w:rPr>
                <w:rFonts w:hint="eastAsia" w:ascii="黑体" w:hAnsi="黑体" w:eastAsia="黑体" w:cs="黑体"/>
                <w:sz w:val="19"/>
                <w:szCs w:val="19"/>
              </w:rPr>
            </w:pPr>
          </w:p>
        </w:tc>
        <w:tc>
          <w:tcPr>
            <w:tcW w:w="1936" w:type="dxa"/>
            <w:vAlign w:val="center"/>
          </w:tcPr>
          <w:p w14:paraId="5DA53F1B">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辅助通道        </w:t>
            </w:r>
          </w:p>
          <w:p w14:paraId="4E7822A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频带</w:t>
            </w:r>
          </w:p>
        </w:tc>
        <w:tc>
          <w:tcPr>
            <w:tcW w:w="4580" w:type="dxa"/>
            <w:vAlign w:val="center"/>
          </w:tcPr>
          <w:p w14:paraId="33CDAF99">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1sps，带宽优于0Hz～0.2Hz   </w:t>
            </w:r>
          </w:p>
          <w:p w14:paraId="66A47FB3">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通带波动&lt;1dB，阻带衰减&gt;90dB</w:t>
            </w:r>
          </w:p>
        </w:tc>
      </w:tr>
      <w:tr w14:paraId="376DA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4684757B">
            <w:pPr>
              <w:spacing w:line="480" w:lineRule="exact"/>
              <w:rPr>
                <w:rFonts w:hint="eastAsia" w:ascii="黑体" w:hAnsi="黑体" w:eastAsia="黑体" w:cs="黑体"/>
                <w:sz w:val="19"/>
                <w:szCs w:val="19"/>
              </w:rPr>
            </w:pPr>
          </w:p>
        </w:tc>
        <w:tc>
          <w:tcPr>
            <w:tcW w:w="1189" w:type="dxa"/>
            <w:vMerge w:val="continue"/>
            <w:vAlign w:val="center"/>
          </w:tcPr>
          <w:p w14:paraId="60E89476">
            <w:pPr>
              <w:spacing w:line="480" w:lineRule="exact"/>
              <w:rPr>
                <w:rFonts w:hint="eastAsia" w:ascii="黑体" w:hAnsi="黑体" w:eastAsia="黑体" w:cs="黑体"/>
                <w:sz w:val="19"/>
                <w:szCs w:val="19"/>
              </w:rPr>
            </w:pPr>
          </w:p>
        </w:tc>
        <w:tc>
          <w:tcPr>
            <w:tcW w:w="845" w:type="dxa"/>
            <w:vMerge w:val="continue"/>
            <w:vAlign w:val="center"/>
          </w:tcPr>
          <w:p w14:paraId="6C2306E6">
            <w:pPr>
              <w:spacing w:line="480" w:lineRule="exact"/>
              <w:rPr>
                <w:rFonts w:hint="eastAsia" w:ascii="黑体" w:hAnsi="黑体" w:eastAsia="黑体" w:cs="黑体"/>
                <w:sz w:val="19"/>
                <w:szCs w:val="19"/>
              </w:rPr>
            </w:pPr>
          </w:p>
        </w:tc>
        <w:tc>
          <w:tcPr>
            <w:tcW w:w="1936" w:type="dxa"/>
            <w:vAlign w:val="center"/>
          </w:tcPr>
          <w:p w14:paraId="704795E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标定信号        </w:t>
            </w:r>
          </w:p>
          <w:p w14:paraId="604329D0">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发生器</w:t>
            </w:r>
          </w:p>
        </w:tc>
        <w:tc>
          <w:tcPr>
            <w:tcW w:w="4580" w:type="dxa"/>
            <w:vAlign w:val="center"/>
          </w:tcPr>
          <w:p w14:paraId="3F66B8DE">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10位程控增益+16位DAC       </w:t>
            </w:r>
          </w:p>
          <w:p w14:paraId="5A5E9FCA">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xml:space="preserve"> 电流标定、电压标定程控可选</w:t>
            </w:r>
          </w:p>
        </w:tc>
      </w:tr>
      <w:tr w14:paraId="57039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3A41589">
            <w:pPr>
              <w:spacing w:line="480" w:lineRule="exact"/>
              <w:rPr>
                <w:rFonts w:hint="eastAsia" w:ascii="黑体" w:hAnsi="黑体" w:eastAsia="黑体" w:cs="黑体"/>
                <w:sz w:val="19"/>
                <w:szCs w:val="19"/>
              </w:rPr>
            </w:pPr>
          </w:p>
        </w:tc>
        <w:tc>
          <w:tcPr>
            <w:tcW w:w="1189" w:type="dxa"/>
            <w:vMerge w:val="continue"/>
            <w:vAlign w:val="center"/>
          </w:tcPr>
          <w:p w14:paraId="043025E0">
            <w:pPr>
              <w:spacing w:line="480" w:lineRule="exact"/>
              <w:rPr>
                <w:rFonts w:hint="eastAsia" w:ascii="黑体" w:hAnsi="黑体" w:eastAsia="黑体" w:cs="黑体"/>
                <w:sz w:val="19"/>
                <w:szCs w:val="19"/>
              </w:rPr>
            </w:pPr>
          </w:p>
        </w:tc>
        <w:tc>
          <w:tcPr>
            <w:tcW w:w="845" w:type="dxa"/>
            <w:vMerge w:val="continue"/>
            <w:vAlign w:val="center"/>
          </w:tcPr>
          <w:p w14:paraId="3F7BBA99">
            <w:pPr>
              <w:spacing w:line="480" w:lineRule="exact"/>
              <w:rPr>
                <w:rFonts w:hint="eastAsia" w:ascii="黑体" w:hAnsi="黑体" w:eastAsia="黑体" w:cs="黑体"/>
                <w:sz w:val="19"/>
                <w:szCs w:val="19"/>
              </w:rPr>
            </w:pPr>
          </w:p>
        </w:tc>
        <w:tc>
          <w:tcPr>
            <w:tcW w:w="1936" w:type="dxa"/>
            <w:vAlign w:val="center"/>
          </w:tcPr>
          <w:p w14:paraId="41C9E430">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标定幅度</w:t>
            </w:r>
          </w:p>
        </w:tc>
        <w:tc>
          <w:tcPr>
            <w:tcW w:w="4580" w:type="dxa"/>
            <w:vAlign w:val="center"/>
          </w:tcPr>
          <w:p w14:paraId="23998FCA">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电流源输出：0-5mA 程控    电压源输出：0-5V  程控</w:t>
            </w:r>
          </w:p>
        </w:tc>
      </w:tr>
      <w:tr w14:paraId="0EBAC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3685A35F">
            <w:pPr>
              <w:spacing w:line="480" w:lineRule="exact"/>
              <w:rPr>
                <w:rFonts w:hint="eastAsia" w:ascii="黑体" w:hAnsi="黑体" w:eastAsia="黑体" w:cs="黑体"/>
                <w:sz w:val="19"/>
                <w:szCs w:val="19"/>
              </w:rPr>
            </w:pPr>
          </w:p>
        </w:tc>
        <w:tc>
          <w:tcPr>
            <w:tcW w:w="1189" w:type="dxa"/>
            <w:vMerge w:val="continue"/>
            <w:vAlign w:val="center"/>
          </w:tcPr>
          <w:p w14:paraId="068A83FF">
            <w:pPr>
              <w:spacing w:line="480" w:lineRule="exact"/>
              <w:rPr>
                <w:rFonts w:hint="eastAsia" w:ascii="黑体" w:hAnsi="黑体" w:eastAsia="黑体" w:cs="黑体"/>
                <w:sz w:val="19"/>
                <w:szCs w:val="19"/>
              </w:rPr>
            </w:pPr>
          </w:p>
        </w:tc>
        <w:tc>
          <w:tcPr>
            <w:tcW w:w="845" w:type="dxa"/>
            <w:vMerge w:val="continue"/>
            <w:vAlign w:val="center"/>
          </w:tcPr>
          <w:p w14:paraId="3F222D2E">
            <w:pPr>
              <w:spacing w:line="480" w:lineRule="exact"/>
              <w:rPr>
                <w:rFonts w:hint="eastAsia" w:ascii="黑体" w:hAnsi="黑体" w:eastAsia="黑体" w:cs="黑体"/>
                <w:sz w:val="19"/>
                <w:szCs w:val="19"/>
              </w:rPr>
            </w:pPr>
          </w:p>
        </w:tc>
        <w:tc>
          <w:tcPr>
            <w:tcW w:w="1936" w:type="dxa"/>
            <w:vAlign w:val="center"/>
          </w:tcPr>
          <w:p w14:paraId="4BE5ACF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标定模式</w:t>
            </w:r>
          </w:p>
        </w:tc>
        <w:tc>
          <w:tcPr>
            <w:tcW w:w="4580" w:type="dxa"/>
            <w:vAlign w:val="center"/>
          </w:tcPr>
          <w:p w14:paraId="27481E8F">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指令方式、定时方式</w:t>
            </w:r>
          </w:p>
        </w:tc>
      </w:tr>
      <w:tr w14:paraId="44B15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49B8AC1E">
            <w:pPr>
              <w:spacing w:line="480" w:lineRule="exact"/>
              <w:rPr>
                <w:rFonts w:hint="eastAsia" w:ascii="黑体" w:hAnsi="黑体" w:eastAsia="黑体" w:cs="黑体"/>
                <w:sz w:val="19"/>
                <w:szCs w:val="19"/>
              </w:rPr>
            </w:pPr>
          </w:p>
        </w:tc>
        <w:tc>
          <w:tcPr>
            <w:tcW w:w="1189" w:type="dxa"/>
            <w:vMerge w:val="continue"/>
            <w:vAlign w:val="center"/>
          </w:tcPr>
          <w:p w14:paraId="0F6424BE">
            <w:pPr>
              <w:spacing w:line="480" w:lineRule="exact"/>
              <w:rPr>
                <w:rFonts w:hint="eastAsia" w:ascii="黑体" w:hAnsi="黑体" w:eastAsia="黑体" w:cs="黑体"/>
                <w:sz w:val="19"/>
                <w:szCs w:val="19"/>
              </w:rPr>
            </w:pPr>
          </w:p>
        </w:tc>
        <w:tc>
          <w:tcPr>
            <w:tcW w:w="845" w:type="dxa"/>
            <w:vMerge w:val="continue"/>
            <w:vAlign w:val="center"/>
          </w:tcPr>
          <w:p w14:paraId="43E47857">
            <w:pPr>
              <w:spacing w:line="480" w:lineRule="exact"/>
              <w:rPr>
                <w:rFonts w:hint="eastAsia" w:ascii="黑体" w:hAnsi="黑体" w:eastAsia="黑体" w:cs="黑体"/>
                <w:sz w:val="19"/>
                <w:szCs w:val="19"/>
              </w:rPr>
            </w:pPr>
          </w:p>
        </w:tc>
        <w:tc>
          <w:tcPr>
            <w:tcW w:w="1936" w:type="dxa"/>
            <w:vAlign w:val="center"/>
          </w:tcPr>
          <w:p w14:paraId="1E01ABA3">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标定类型</w:t>
            </w:r>
          </w:p>
        </w:tc>
        <w:tc>
          <w:tcPr>
            <w:tcW w:w="4580" w:type="dxa"/>
            <w:vAlign w:val="center"/>
          </w:tcPr>
          <w:p w14:paraId="35670425">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阶跃、正弦波、伪随机码</w:t>
            </w:r>
          </w:p>
        </w:tc>
      </w:tr>
      <w:tr w14:paraId="76D38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5E61FB36">
            <w:pPr>
              <w:spacing w:line="480" w:lineRule="exact"/>
              <w:rPr>
                <w:rFonts w:hint="eastAsia" w:ascii="黑体" w:hAnsi="黑体" w:eastAsia="黑体" w:cs="黑体"/>
                <w:sz w:val="19"/>
                <w:szCs w:val="19"/>
              </w:rPr>
            </w:pPr>
          </w:p>
        </w:tc>
        <w:tc>
          <w:tcPr>
            <w:tcW w:w="1189" w:type="dxa"/>
            <w:vMerge w:val="continue"/>
            <w:vAlign w:val="center"/>
          </w:tcPr>
          <w:p w14:paraId="71A54274">
            <w:pPr>
              <w:spacing w:line="480" w:lineRule="exact"/>
              <w:rPr>
                <w:rFonts w:hint="eastAsia" w:ascii="黑体" w:hAnsi="黑体" w:eastAsia="黑体" w:cs="黑体"/>
                <w:sz w:val="19"/>
                <w:szCs w:val="19"/>
              </w:rPr>
            </w:pPr>
          </w:p>
        </w:tc>
        <w:tc>
          <w:tcPr>
            <w:tcW w:w="845" w:type="dxa"/>
            <w:vMerge w:val="continue"/>
            <w:vAlign w:val="center"/>
          </w:tcPr>
          <w:p w14:paraId="741AC978">
            <w:pPr>
              <w:spacing w:line="480" w:lineRule="exact"/>
              <w:rPr>
                <w:rFonts w:hint="eastAsia" w:ascii="黑体" w:hAnsi="黑体" w:eastAsia="黑体" w:cs="黑体"/>
                <w:sz w:val="19"/>
                <w:szCs w:val="19"/>
              </w:rPr>
            </w:pPr>
          </w:p>
        </w:tc>
        <w:tc>
          <w:tcPr>
            <w:tcW w:w="1936" w:type="dxa"/>
            <w:vAlign w:val="center"/>
          </w:tcPr>
          <w:p w14:paraId="32C5EF47">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幅度误差</w:t>
            </w:r>
          </w:p>
        </w:tc>
        <w:tc>
          <w:tcPr>
            <w:tcW w:w="4580" w:type="dxa"/>
            <w:vAlign w:val="center"/>
          </w:tcPr>
          <w:p w14:paraId="132B44D4">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0.5%，脉冲宽度1s～1000s</w:t>
            </w:r>
          </w:p>
        </w:tc>
      </w:tr>
      <w:tr w14:paraId="50688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AAF7C56">
            <w:pPr>
              <w:spacing w:line="480" w:lineRule="exact"/>
              <w:rPr>
                <w:rFonts w:hint="eastAsia" w:ascii="黑体" w:hAnsi="黑体" w:eastAsia="黑体" w:cs="黑体"/>
                <w:sz w:val="19"/>
                <w:szCs w:val="19"/>
              </w:rPr>
            </w:pPr>
          </w:p>
        </w:tc>
        <w:tc>
          <w:tcPr>
            <w:tcW w:w="1189" w:type="dxa"/>
            <w:vMerge w:val="continue"/>
            <w:vAlign w:val="center"/>
          </w:tcPr>
          <w:p w14:paraId="36ADAAD2">
            <w:pPr>
              <w:spacing w:line="480" w:lineRule="exact"/>
              <w:rPr>
                <w:rFonts w:hint="eastAsia" w:ascii="黑体" w:hAnsi="黑体" w:eastAsia="黑体" w:cs="黑体"/>
                <w:sz w:val="19"/>
                <w:szCs w:val="19"/>
              </w:rPr>
            </w:pPr>
          </w:p>
        </w:tc>
        <w:tc>
          <w:tcPr>
            <w:tcW w:w="845" w:type="dxa"/>
            <w:vMerge w:val="continue"/>
            <w:vAlign w:val="center"/>
          </w:tcPr>
          <w:p w14:paraId="23DA65F2">
            <w:pPr>
              <w:spacing w:line="480" w:lineRule="exact"/>
              <w:rPr>
                <w:rFonts w:hint="eastAsia" w:ascii="黑体" w:hAnsi="黑体" w:eastAsia="黑体" w:cs="黑体"/>
                <w:sz w:val="19"/>
                <w:szCs w:val="19"/>
              </w:rPr>
            </w:pPr>
          </w:p>
        </w:tc>
        <w:tc>
          <w:tcPr>
            <w:tcW w:w="1936" w:type="dxa"/>
            <w:vAlign w:val="center"/>
          </w:tcPr>
          <w:p w14:paraId="60FF00EB">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时间服务</w:t>
            </w:r>
          </w:p>
        </w:tc>
        <w:tc>
          <w:tcPr>
            <w:tcW w:w="4580" w:type="dxa"/>
            <w:vAlign w:val="center"/>
          </w:tcPr>
          <w:p w14:paraId="634155EE">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 xml:space="preserve">北斗、GPS、Glonass和Galileo等多种卫星授时，PLL锁相  </w:t>
            </w:r>
          </w:p>
          <w:p w14:paraId="51FD9A89">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卫星授时误差：≥0.01ms</w:t>
            </w:r>
          </w:p>
          <w:p w14:paraId="3E6A382D">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守时精度：≥0.05ppm</w:t>
            </w:r>
          </w:p>
        </w:tc>
      </w:tr>
      <w:tr w14:paraId="5C65E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33B8E7B">
            <w:pPr>
              <w:spacing w:line="480" w:lineRule="exact"/>
              <w:rPr>
                <w:rFonts w:hint="eastAsia" w:ascii="黑体" w:hAnsi="黑体" w:eastAsia="黑体" w:cs="黑体"/>
                <w:sz w:val="19"/>
                <w:szCs w:val="19"/>
              </w:rPr>
            </w:pPr>
          </w:p>
        </w:tc>
        <w:tc>
          <w:tcPr>
            <w:tcW w:w="1189" w:type="dxa"/>
            <w:vMerge w:val="continue"/>
            <w:vAlign w:val="center"/>
          </w:tcPr>
          <w:p w14:paraId="4C39D1C8">
            <w:pPr>
              <w:spacing w:line="480" w:lineRule="exact"/>
              <w:rPr>
                <w:rFonts w:hint="eastAsia" w:ascii="黑体" w:hAnsi="黑体" w:eastAsia="黑体" w:cs="黑体"/>
                <w:sz w:val="19"/>
                <w:szCs w:val="19"/>
              </w:rPr>
            </w:pPr>
          </w:p>
        </w:tc>
        <w:tc>
          <w:tcPr>
            <w:tcW w:w="845" w:type="dxa"/>
            <w:vMerge w:val="continue"/>
            <w:vAlign w:val="center"/>
          </w:tcPr>
          <w:p w14:paraId="33D92833">
            <w:pPr>
              <w:spacing w:line="480" w:lineRule="exact"/>
              <w:rPr>
                <w:rFonts w:hint="eastAsia" w:ascii="黑体" w:hAnsi="黑体" w:eastAsia="黑体" w:cs="黑体"/>
                <w:sz w:val="19"/>
                <w:szCs w:val="19"/>
              </w:rPr>
            </w:pPr>
          </w:p>
        </w:tc>
        <w:tc>
          <w:tcPr>
            <w:tcW w:w="1936" w:type="dxa"/>
            <w:vAlign w:val="center"/>
          </w:tcPr>
          <w:p w14:paraId="490EE4A6">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授时输入</w:t>
            </w:r>
          </w:p>
          <w:p w14:paraId="395166B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输出</w:t>
            </w:r>
          </w:p>
        </w:tc>
        <w:tc>
          <w:tcPr>
            <w:tcW w:w="4580" w:type="dxa"/>
            <w:vAlign w:val="center"/>
          </w:tcPr>
          <w:p w14:paraId="59781DB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PPS+RS485、IRIG-B输入</w:t>
            </w:r>
          </w:p>
          <w:p w14:paraId="1303C68A">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IRIG-B输出</w:t>
            </w:r>
          </w:p>
        </w:tc>
      </w:tr>
      <w:tr w14:paraId="6534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4A66FE0C">
            <w:pPr>
              <w:spacing w:line="480" w:lineRule="exact"/>
              <w:rPr>
                <w:rFonts w:hint="eastAsia" w:ascii="黑体" w:hAnsi="黑体" w:eastAsia="黑体" w:cs="黑体"/>
                <w:sz w:val="19"/>
                <w:szCs w:val="19"/>
              </w:rPr>
            </w:pPr>
          </w:p>
        </w:tc>
        <w:tc>
          <w:tcPr>
            <w:tcW w:w="1189" w:type="dxa"/>
            <w:vMerge w:val="continue"/>
            <w:vAlign w:val="center"/>
          </w:tcPr>
          <w:p w14:paraId="5FDE71EA">
            <w:pPr>
              <w:spacing w:line="480" w:lineRule="exact"/>
              <w:rPr>
                <w:rFonts w:hint="eastAsia" w:ascii="黑体" w:hAnsi="黑体" w:eastAsia="黑体" w:cs="黑体"/>
                <w:sz w:val="19"/>
                <w:szCs w:val="19"/>
              </w:rPr>
            </w:pPr>
          </w:p>
        </w:tc>
        <w:tc>
          <w:tcPr>
            <w:tcW w:w="845" w:type="dxa"/>
            <w:vMerge w:val="continue"/>
            <w:vAlign w:val="center"/>
          </w:tcPr>
          <w:p w14:paraId="316976DB">
            <w:pPr>
              <w:spacing w:line="480" w:lineRule="exact"/>
              <w:rPr>
                <w:rFonts w:hint="eastAsia" w:ascii="黑体" w:hAnsi="黑体" w:eastAsia="黑体" w:cs="黑体"/>
                <w:sz w:val="19"/>
                <w:szCs w:val="19"/>
              </w:rPr>
            </w:pPr>
          </w:p>
        </w:tc>
        <w:tc>
          <w:tcPr>
            <w:tcW w:w="1936" w:type="dxa"/>
            <w:vAlign w:val="center"/>
          </w:tcPr>
          <w:p w14:paraId="04F4CEB1">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其他授时</w:t>
            </w:r>
          </w:p>
        </w:tc>
        <w:tc>
          <w:tcPr>
            <w:tcW w:w="4580" w:type="dxa"/>
            <w:vAlign w:val="center"/>
          </w:tcPr>
          <w:p w14:paraId="1B59E460">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NTP授时</w:t>
            </w:r>
          </w:p>
        </w:tc>
      </w:tr>
      <w:tr w14:paraId="4A2B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DAE1A1A">
            <w:pPr>
              <w:spacing w:line="480" w:lineRule="exact"/>
              <w:rPr>
                <w:rFonts w:hint="eastAsia" w:ascii="黑体" w:hAnsi="黑体" w:eastAsia="黑体" w:cs="黑体"/>
                <w:sz w:val="19"/>
                <w:szCs w:val="19"/>
              </w:rPr>
            </w:pPr>
          </w:p>
        </w:tc>
        <w:tc>
          <w:tcPr>
            <w:tcW w:w="1189" w:type="dxa"/>
            <w:vMerge w:val="continue"/>
            <w:vAlign w:val="center"/>
          </w:tcPr>
          <w:p w14:paraId="2DA921E1">
            <w:pPr>
              <w:spacing w:line="480" w:lineRule="exact"/>
              <w:rPr>
                <w:rFonts w:hint="eastAsia" w:ascii="黑体" w:hAnsi="黑体" w:eastAsia="黑体" w:cs="黑体"/>
                <w:sz w:val="19"/>
                <w:szCs w:val="19"/>
              </w:rPr>
            </w:pPr>
          </w:p>
        </w:tc>
        <w:tc>
          <w:tcPr>
            <w:tcW w:w="845" w:type="dxa"/>
            <w:vMerge w:val="continue"/>
            <w:vAlign w:val="center"/>
          </w:tcPr>
          <w:p w14:paraId="40575441">
            <w:pPr>
              <w:spacing w:line="480" w:lineRule="exact"/>
              <w:rPr>
                <w:rFonts w:hint="eastAsia" w:ascii="黑体" w:hAnsi="黑体" w:eastAsia="黑体" w:cs="黑体"/>
                <w:sz w:val="19"/>
                <w:szCs w:val="19"/>
              </w:rPr>
            </w:pPr>
          </w:p>
        </w:tc>
        <w:tc>
          <w:tcPr>
            <w:tcW w:w="1936" w:type="dxa"/>
            <w:vAlign w:val="center"/>
          </w:tcPr>
          <w:p w14:paraId="536FDB7F">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看门狗</w:t>
            </w:r>
          </w:p>
        </w:tc>
        <w:tc>
          <w:tcPr>
            <w:tcW w:w="4580" w:type="dxa"/>
            <w:vAlign w:val="center"/>
          </w:tcPr>
          <w:p w14:paraId="1A61A467">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内置硬件看门狗</w:t>
            </w:r>
          </w:p>
          <w:p w14:paraId="17F5CE00">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自检、死机自复位</w:t>
            </w:r>
          </w:p>
        </w:tc>
      </w:tr>
      <w:tr w14:paraId="6CB8C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1C80C918">
            <w:pPr>
              <w:spacing w:line="480" w:lineRule="exact"/>
              <w:rPr>
                <w:rFonts w:hint="eastAsia" w:ascii="黑体" w:hAnsi="黑体" w:eastAsia="黑体" w:cs="黑体"/>
                <w:sz w:val="19"/>
                <w:szCs w:val="19"/>
              </w:rPr>
            </w:pPr>
          </w:p>
        </w:tc>
        <w:tc>
          <w:tcPr>
            <w:tcW w:w="1189" w:type="dxa"/>
            <w:vMerge w:val="continue"/>
            <w:vAlign w:val="center"/>
          </w:tcPr>
          <w:p w14:paraId="22358DBB">
            <w:pPr>
              <w:spacing w:line="480" w:lineRule="exact"/>
              <w:rPr>
                <w:rFonts w:hint="eastAsia" w:ascii="黑体" w:hAnsi="黑体" w:eastAsia="黑体" w:cs="黑体"/>
                <w:sz w:val="19"/>
                <w:szCs w:val="19"/>
              </w:rPr>
            </w:pPr>
          </w:p>
        </w:tc>
        <w:tc>
          <w:tcPr>
            <w:tcW w:w="845" w:type="dxa"/>
            <w:vMerge w:val="continue"/>
            <w:vAlign w:val="center"/>
          </w:tcPr>
          <w:p w14:paraId="00D5EEE1">
            <w:pPr>
              <w:spacing w:line="480" w:lineRule="exact"/>
              <w:rPr>
                <w:rFonts w:hint="eastAsia" w:ascii="黑体" w:hAnsi="黑体" w:eastAsia="黑体" w:cs="黑体"/>
                <w:sz w:val="19"/>
                <w:szCs w:val="19"/>
              </w:rPr>
            </w:pPr>
          </w:p>
        </w:tc>
        <w:tc>
          <w:tcPr>
            <w:tcW w:w="1936" w:type="dxa"/>
            <w:vAlign w:val="center"/>
          </w:tcPr>
          <w:p w14:paraId="5DBF8A98">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工作环境</w:t>
            </w:r>
          </w:p>
        </w:tc>
        <w:tc>
          <w:tcPr>
            <w:tcW w:w="4580" w:type="dxa"/>
            <w:vAlign w:val="center"/>
          </w:tcPr>
          <w:p w14:paraId="3EE6DE7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工作温度：-20℃～65℃</w:t>
            </w:r>
          </w:p>
          <w:p w14:paraId="2E7921E7">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工作湿度：10%～98%（无结露）</w:t>
            </w:r>
          </w:p>
        </w:tc>
      </w:tr>
      <w:tr w14:paraId="0A26E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5FE9918A">
            <w:pPr>
              <w:spacing w:line="480" w:lineRule="exact"/>
              <w:rPr>
                <w:rFonts w:hint="eastAsia" w:ascii="黑体" w:hAnsi="黑体" w:eastAsia="黑体" w:cs="黑体"/>
                <w:sz w:val="19"/>
                <w:szCs w:val="19"/>
              </w:rPr>
            </w:pPr>
          </w:p>
        </w:tc>
        <w:tc>
          <w:tcPr>
            <w:tcW w:w="1189" w:type="dxa"/>
            <w:vMerge w:val="continue"/>
            <w:vAlign w:val="center"/>
          </w:tcPr>
          <w:p w14:paraId="6D4DB7B2">
            <w:pPr>
              <w:spacing w:line="480" w:lineRule="exact"/>
              <w:rPr>
                <w:rFonts w:hint="eastAsia" w:ascii="黑体" w:hAnsi="黑体" w:eastAsia="黑体" w:cs="黑体"/>
                <w:sz w:val="19"/>
                <w:szCs w:val="19"/>
              </w:rPr>
            </w:pPr>
          </w:p>
        </w:tc>
        <w:tc>
          <w:tcPr>
            <w:tcW w:w="845" w:type="dxa"/>
            <w:vMerge w:val="continue"/>
            <w:vAlign w:val="center"/>
          </w:tcPr>
          <w:p w14:paraId="18B6ABCA">
            <w:pPr>
              <w:spacing w:line="480" w:lineRule="exact"/>
              <w:rPr>
                <w:rFonts w:hint="eastAsia" w:ascii="黑体" w:hAnsi="黑体" w:eastAsia="黑体" w:cs="黑体"/>
                <w:sz w:val="19"/>
                <w:szCs w:val="19"/>
              </w:rPr>
            </w:pPr>
          </w:p>
        </w:tc>
        <w:tc>
          <w:tcPr>
            <w:tcW w:w="1936" w:type="dxa"/>
            <w:vAlign w:val="center"/>
          </w:tcPr>
          <w:p w14:paraId="7232E171">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通信接口</w:t>
            </w:r>
          </w:p>
        </w:tc>
        <w:tc>
          <w:tcPr>
            <w:tcW w:w="4580" w:type="dxa"/>
            <w:vAlign w:val="center"/>
          </w:tcPr>
          <w:p w14:paraId="71F7C8AD">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标准10/100M RJ45/LAN</w:t>
            </w:r>
          </w:p>
        </w:tc>
      </w:tr>
      <w:tr w14:paraId="20D9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3F8CC89">
            <w:pPr>
              <w:spacing w:line="480" w:lineRule="exact"/>
              <w:rPr>
                <w:rFonts w:hint="eastAsia" w:ascii="黑体" w:hAnsi="黑体" w:eastAsia="黑体" w:cs="黑体"/>
                <w:sz w:val="19"/>
                <w:szCs w:val="19"/>
              </w:rPr>
            </w:pPr>
          </w:p>
        </w:tc>
        <w:tc>
          <w:tcPr>
            <w:tcW w:w="1189" w:type="dxa"/>
            <w:vMerge w:val="continue"/>
            <w:vAlign w:val="center"/>
          </w:tcPr>
          <w:p w14:paraId="4A4591AB">
            <w:pPr>
              <w:spacing w:line="480" w:lineRule="exact"/>
              <w:rPr>
                <w:rFonts w:hint="eastAsia" w:ascii="黑体" w:hAnsi="黑体" w:eastAsia="黑体" w:cs="黑体"/>
                <w:sz w:val="19"/>
                <w:szCs w:val="19"/>
              </w:rPr>
            </w:pPr>
          </w:p>
        </w:tc>
        <w:tc>
          <w:tcPr>
            <w:tcW w:w="845" w:type="dxa"/>
            <w:vMerge w:val="continue"/>
            <w:vAlign w:val="center"/>
          </w:tcPr>
          <w:p w14:paraId="11841867">
            <w:pPr>
              <w:spacing w:line="480" w:lineRule="exact"/>
              <w:rPr>
                <w:rFonts w:hint="eastAsia" w:ascii="黑体" w:hAnsi="黑体" w:eastAsia="黑体" w:cs="黑体"/>
                <w:sz w:val="19"/>
                <w:szCs w:val="19"/>
              </w:rPr>
            </w:pPr>
          </w:p>
        </w:tc>
        <w:tc>
          <w:tcPr>
            <w:tcW w:w="1936" w:type="dxa"/>
            <w:vAlign w:val="center"/>
          </w:tcPr>
          <w:p w14:paraId="6712ADBD">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防雷保护</w:t>
            </w:r>
          </w:p>
        </w:tc>
        <w:tc>
          <w:tcPr>
            <w:tcW w:w="4580" w:type="dxa"/>
            <w:vAlign w:val="center"/>
          </w:tcPr>
          <w:p w14:paraId="5DB5293B">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电源、网络、信号多级防雷保护</w:t>
            </w:r>
          </w:p>
        </w:tc>
      </w:tr>
      <w:tr w14:paraId="6DA59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6D6D5189">
            <w:pPr>
              <w:spacing w:line="480" w:lineRule="exact"/>
              <w:rPr>
                <w:rFonts w:hint="eastAsia" w:ascii="黑体" w:hAnsi="黑体" w:eastAsia="黑体" w:cs="黑体"/>
                <w:sz w:val="19"/>
                <w:szCs w:val="19"/>
              </w:rPr>
            </w:pPr>
          </w:p>
        </w:tc>
        <w:tc>
          <w:tcPr>
            <w:tcW w:w="1189" w:type="dxa"/>
            <w:vMerge w:val="continue"/>
            <w:vAlign w:val="center"/>
          </w:tcPr>
          <w:p w14:paraId="5A066885">
            <w:pPr>
              <w:spacing w:line="480" w:lineRule="exact"/>
              <w:rPr>
                <w:rFonts w:hint="eastAsia" w:ascii="黑体" w:hAnsi="黑体" w:eastAsia="黑体" w:cs="黑体"/>
                <w:sz w:val="19"/>
                <w:szCs w:val="19"/>
              </w:rPr>
            </w:pPr>
          </w:p>
        </w:tc>
        <w:tc>
          <w:tcPr>
            <w:tcW w:w="845" w:type="dxa"/>
            <w:vMerge w:val="continue"/>
            <w:vAlign w:val="center"/>
          </w:tcPr>
          <w:p w14:paraId="20CDFDC3">
            <w:pPr>
              <w:spacing w:line="480" w:lineRule="exact"/>
              <w:rPr>
                <w:rFonts w:hint="eastAsia" w:ascii="黑体" w:hAnsi="黑体" w:eastAsia="黑体" w:cs="黑体"/>
                <w:sz w:val="19"/>
                <w:szCs w:val="19"/>
              </w:rPr>
            </w:pPr>
          </w:p>
        </w:tc>
        <w:tc>
          <w:tcPr>
            <w:tcW w:w="1936" w:type="dxa"/>
            <w:vAlign w:val="center"/>
          </w:tcPr>
          <w:p w14:paraId="5E076534">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机壳防护</w:t>
            </w:r>
          </w:p>
        </w:tc>
        <w:tc>
          <w:tcPr>
            <w:tcW w:w="4580" w:type="dxa"/>
            <w:vAlign w:val="center"/>
          </w:tcPr>
          <w:p w14:paraId="3FF0AEC1">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 IP67</w:t>
            </w:r>
          </w:p>
        </w:tc>
      </w:tr>
      <w:tr w14:paraId="70A8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09B7ED80">
            <w:pPr>
              <w:spacing w:line="480" w:lineRule="exact"/>
              <w:rPr>
                <w:rFonts w:hint="eastAsia" w:ascii="黑体" w:hAnsi="黑体" w:eastAsia="黑体" w:cs="黑体"/>
                <w:sz w:val="19"/>
                <w:szCs w:val="19"/>
              </w:rPr>
            </w:pPr>
          </w:p>
        </w:tc>
        <w:tc>
          <w:tcPr>
            <w:tcW w:w="1189" w:type="dxa"/>
            <w:vMerge w:val="continue"/>
            <w:vAlign w:val="center"/>
          </w:tcPr>
          <w:p w14:paraId="299EBB31">
            <w:pPr>
              <w:spacing w:line="480" w:lineRule="exact"/>
              <w:rPr>
                <w:rFonts w:hint="eastAsia" w:ascii="黑体" w:hAnsi="黑体" w:eastAsia="黑体" w:cs="黑体"/>
                <w:sz w:val="19"/>
                <w:szCs w:val="19"/>
              </w:rPr>
            </w:pPr>
          </w:p>
        </w:tc>
        <w:tc>
          <w:tcPr>
            <w:tcW w:w="845" w:type="dxa"/>
            <w:vMerge w:val="continue"/>
            <w:vAlign w:val="center"/>
          </w:tcPr>
          <w:p w14:paraId="2073C254">
            <w:pPr>
              <w:spacing w:line="480" w:lineRule="exact"/>
              <w:rPr>
                <w:rFonts w:hint="eastAsia" w:ascii="黑体" w:hAnsi="黑体" w:eastAsia="黑体" w:cs="黑体"/>
                <w:sz w:val="19"/>
                <w:szCs w:val="19"/>
              </w:rPr>
            </w:pPr>
          </w:p>
        </w:tc>
        <w:tc>
          <w:tcPr>
            <w:tcW w:w="1936" w:type="dxa"/>
            <w:vAlign w:val="center"/>
          </w:tcPr>
          <w:p w14:paraId="1E6E143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通信协议</w:t>
            </w:r>
          </w:p>
        </w:tc>
        <w:tc>
          <w:tcPr>
            <w:tcW w:w="4580" w:type="dxa"/>
            <w:vAlign w:val="center"/>
          </w:tcPr>
          <w:p w14:paraId="636515CD">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中国地震局行业标准、接口和协议支持TCP/IP协议，支持基于Internet/VPN等等多种传输协议</w:t>
            </w:r>
          </w:p>
        </w:tc>
      </w:tr>
      <w:tr w14:paraId="7A07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1D0A0A6C">
            <w:pPr>
              <w:spacing w:line="480" w:lineRule="exact"/>
              <w:rPr>
                <w:rFonts w:hint="eastAsia" w:ascii="黑体" w:hAnsi="黑体" w:eastAsia="黑体" w:cs="黑体"/>
                <w:sz w:val="19"/>
                <w:szCs w:val="19"/>
              </w:rPr>
            </w:pPr>
          </w:p>
        </w:tc>
        <w:tc>
          <w:tcPr>
            <w:tcW w:w="1189" w:type="dxa"/>
            <w:vMerge w:val="continue"/>
            <w:vAlign w:val="center"/>
          </w:tcPr>
          <w:p w14:paraId="5F8B4913">
            <w:pPr>
              <w:spacing w:line="480" w:lineRule="exact"/>
              <w:rPr>
                <w:rFonts w:hint="eastAsia" w:ascii="黑体" w:hAnsi="黑体" w:eastAsia="黑体" w:cs="黑体"/>
                <w:sz w:val="19"/>
                <w:szCs w:val="19"/>
              </w:rPr>
            </w:pPr>
          </w:p>
        </w:tc>
        <w:tc>
          <w:tcPr>
            <w:tcW w:w="845" w:type="dxa"/>
            <w:vMerge w:val="continue"/>
            <w:vAlign w:val="center"/>
          </w:tcPr>
          <w:p w14:paraId="1ADBC659">
            <w:pPr>
              <w:spacing w:line="480" w:lineRule="exact"/>
              <w:rPr>
                <w:rFonts w:hint="eastAsia" w:ascii="黑体" w:hAnsi="黑体" w:eastAsia="黑体" w:cs="黑体"/>
                <w:sz w:val="19"/>
                <w:szCs w:val="19"/>
              </w:rPr>
            </w:pPr>
          </w:p>
        </w:tc>
        <w:tc>
          <w:tcPr>
            <w:tcW w:w="1936" w:type="dxa"/>
            <w:vAlign w:val="center"/>
          </w:tcPr>
          <w:p w14:paraId="3C5C7ACB">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实时</w:t>
            </w:r>
          </w:p>
          <w:p w14:paraId="06D502A6">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传输用户数</w:t>
            </w:r>
          </w:p>
        </w:tc>
        <w:tc>
          <w:tcPr>
            <w:tcW w:w="4580" w:type="dxa"/>
            <w:vAlign w:val="center"/>
          </w:tcPr>
          <w:p w14:paraId="7F13798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8个以上用户同时传输；</w:t>
            </w:r>
          </w:p>
          <w:p w14:paraId="02B04104">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支持JOPENS、Liss、SeisComp、Earthworm等国内外地震通信协议</w:t>
            </w:r>
          </w:p>
        </w:tc>
      </w:tr>
      <w:tr w14:paraId="55BA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758" w:type="dxa"/>
            <w:vMerge w:val="continue"/>
            <w:vAlign w:val="center"/>
          </w:tcPr>
          <w:p w14:paraId="1DE6267A">
            <w:pPr>
              <w:spacing w:line="480" w:lineRule="exact"/>
              <w:rPr>
                <w:rFonts w:hint="eastAsia" w:ascii="黑体" w:hAnsi="黑体" w:eastAsia="黑体" w:cs="黑体"/>
                <w:sz w:val="19"/>
                <w:szCs w:val="19"/>
              </w:rPr>
            </w:pPr>
          </w:p>
        </w:tc>
        <w:tc>
          <w:tcPr>
            <w:tcW w:w="1189" w:type="dxa"/>
            <w:vMerge w:val="continue"/>
            <w:vAlign w:val="center"/>
          </w:tcPr>
          <w:p w14:paraId="2975EA69">
            <w:pPr>
              <w:spacing w:line="480" w:lineRule="exact"/>
              <w:rPr>
                <w:rFonts w:hint="eastAsia" w:ascii="黑体" w:hAnsi="黑体" w:eastAsia="黑体" w:cs="黑体"/>
                <w:sz w:val="19"/>
                <w:szCs w:val="19"/>
              </w:rPr>
            </w:pPr>
          </w:p>
        </w:tc>
        <w:tc>
          <w:tcPr>
            <w:tcW w:w="845" w:type="dxa"/>
            <w:vMerge w:val="continue"/>
            <w:vAlign w:val="center"/>
          </w:tcPr>
          <w:p w14:paraId="0E2631B3">
            <w:pPr>
              <w:spacing w:line="480" w:lineRule="exact"/>
              <w:rPr>
                <w:rFonts w:hint="eastAsia" w:ascii="黑体" w:hAnsi="黑体" w:eastAsia="黑体" w:cs="黑体"/>
                <w:sz w:val="19"/>
                <w:szCs w:val="19"/>
              </w:rPr>
            </w:pPr>
          </w:p>
        </w:tc>
        <w:tc>
          <w:tcPr>
            <w:tcW w:w="1936" w:type="dxa"/>
            <w:vAlign w:val="center"/>
          </w:tcPr>
          <w:p w14:paraId="053D2CBC">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超快传输</w:t>
            </w:r>
          </w:p>
        </w:tc>
        <w:tc>
          <w:tcPr>
            <w:tcW w:w="4580" w:type="dxa"/>
            <w:vAlign w:val="center"/>
          </w:tcPr>
          <w:p w14:paraId="534576A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支持 0.2、0.5、1秒超快传输</w:t>
            </w:r>
          </w:p>
          <w:p w14:paraId="51294014">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支持数据重传</w:t>
            </w:r>
          </w:p>
        </w:tc>
      </w:tr>
      <w:tr w14:paraId="02C63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58" w:type="dxa"/>
            <w:vMerge w:val="continue"/>
            <w:vAlign w:val="center"/>
          </w:tcPr>
          <w:p w14:paraId="715C112F">
            <w:pPr>
              <w:spacing w:line="480" w:lineRule="exact"/>
              <w:rPr>
                <w:rFonts w:hint="eastAsia" w:ascii="黑体" w:hAnsi="黑体" w:eastAsia="黑体" w:cs="黑体"/>
                <w:sz w:val="19"/>
                <w:szCs w:val="19"/>
              </w:rPr>
            </w:pPr>
          </w:p>
        </w:tc>
        <w:tc>
          <w:tcPr>
            <w:tcW w:w="1189" w:type="dxa"/>
            <w:vMerge w:val="continue"/>
            <w:vAlign w:val="center"/>
          </w:tcPr>
          <w:p w14:paraId="60ADFFF1">
            <w:pPr>
              <w:spacing w:line="480" w:lineRule="exact"/>
              <w:rPr>
                <w:rFonts w:hint="eastAsia" w:ascii="黑体" w:hAnsi="黑体" w:eastAsia="黑体" w:cs="黑体"/>
                <w:sz w:val="19"/>
                <w:szCs w:val="19"/>
              </w:rPr>
            </w:pPr>
          </w:p>
        </w:tc>
        <w:tc>
          <w:tcPr>
            <w:tcW w:w="845" w:type="dxa"/>
            <w:vMerge w:val="continue"/>
            <w:vAlign w:val="center"/>
          </w:tcPr>
          <w:p w14:paraId="75105BBC">
            <w:pPr>
              <w:spacing w:line="480" w:lineRule="exact"/>
              <w:rPr>
                <w:rFonts w:hint="eastAsia" w:ascii="黑体" w:hAnsi="黑体" w:eastAsia="黑体" w:cs="黑体"/>
                <w:sz w:val="19"/>
                <w:szCs w:val="19"/>
              </w:rPr>
            </w:pPr>
          </w:p>
        </w:tc>
        <w:tc>
          <w:tcPr>
            <w:tcW w:w="1936" w:type="dxa"/>
            <w:vAlign w:val="center"/>
          </w:tcPr>
          <w:p w14:paraId="7536A492">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接入地震计</w:t>
            </w:r>
          </w:p>
        </w:tc>
        <w:tc>
          <w:tcPr>
            <w:tcW w:w="4580" w:type="dxa"/>
            <w:vAlign w:val="center"/>
          </w:tcPr>
          <w:p w14:paraId="195255E8">
            <w:pPr>
              <w:widowControl/>
              <w:spacing w:line="480" w:lineRule="exact"/>
              <w:jc w:val="left"/>
              <w:rPr>
                <w:rFonts w:hint="eastAsia" w:ascii="黑体" w:hAnsi="黑体" w:eastAsia="黑体" w:cs="黑体"/>
                <w:sz w:val="19"/>
                <w:szCs w:val="19"/>
              </w:rPr>
            </w:pPr>
            <w:r>
              <w:rPr>
                <w:rFonts w:hint="eastAsia" w:ascii="黑体" w:hAnsi="黑体" w:eastAsia="黑体" w:cs="黑体"/>
                <w:kern w:val="0"/>
                <w:sz w:val="19"/>
                <w:szCs w:val="19"/>
              </w:rPr>
              <w:t>通配国内外多种地震计、加速度计</w:t>
            </w:r>
          </w:p>
        </w:tc>
      </w:tr>
      <w:tr w14:paraId="2A597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77A563C9">
            <w:pPr>
              <w:spacing w:line="480" w:lineRule="exact"/>
              <w:rPr>
                <w:rFonts w:hint="eastAsia" w:ascii="黑体" w:hAnsi="黑体" w:eastAsia="黑体" w:cs="黑体"/>
                <w:sz w:val="19"/>
                <w:szCs w:val="19"/>
              </w:rPr>
            </w:pPr>
          </w:p>
        </w:tc>
        <w:tc>
          <w:tcPr>
            <w:tcW w:w="1189" w:type="dxa"/>
            <w:vMerge w:val="continue"/>
            <w:vAlign w:val="center"/>
          </w:tcPr>
          <w:p w14:paraId="4ABF922D">
            <w:pPr>
              <w:spacing w:line="480" w:lineRule="exact"/>
              <w:rPr>
                <w:rFonts w:hint="eastAsia" w:ascii="黑体" w:hAnsi="黑体" w:eastAsia="黑体" w:cs="黑体"/>
                <w:sz w:val="19"/>
                <w:szCs w:val="19"/>
              </w:rPr>
            </w:pPr>
          </w:p>
        </w:tc>
        <w:tc>
          <w:tcPr>
            <w:tcW w:w="845" w:type="dxa"/>
            <w:vMerge w:val="continue"/>
            <w:vAlign w:val="center"/>
          </w:tcPr>
          <w:p w14:paraId="1F9C9A77">
            <w:pPr>
              <w:spacing w:line="480" w:lineRule="exact"/>
              <w:rPr>
                <w:rFonts w:hint="eastAsia" w:ascii="黑体" w:hAnsi="黑体" w:eastAsia="黑体" w:cs="黑体"/>
                <w:sz w:val="19"/>
                <w:szCs w:val="19"/>
              </w:rPr>
            </w:pPr>
          </w:p>
        </w:tc>
        <w:tc>
          <w:tcPr>
            <w:tcW w:w="1936" w:type="dxa"/>
            <w:shd w:val="clear" w:color="auto" w:fill="auto"/>
            <w:vAlign w:val="center"/>
          </w:tcPr>
          <w:p w14:paraId="48BF190D">
            <w:pPr>
              <w:widowControl/>
              <w:spacing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kern w:val="0"/>
                <w:sz w:val="19"/>
                <w:szCs w:val="19"/>
              </w:rPr>
              <w:t>设置、管理</w:t>
            </w:r>
          </w:p>
        </w:tc>
        <w:tc>
          <w:tcPr>
            <w:tcW w:w="4580" w:type="dxa"/>
            <w:shd w:val="clear" w:color="auto" w:fill="auto"/>
            <w:vAlign w:val="center"/>
          </w:tcPr>
          <w:p w14:paraId="505D8D43">
            <w:pPr>
              <w:widowControl/>
              <w:spacing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kern w:val="0"/>
                <w:sz w:val="19"/>
                <w:szCs w:val="19"/>
              </w:rPr>
              <w:t>支持基于移动APP的参数查询和设置，系统升级、维护、标定服务，支持基于WEB的远程运维监控</w:t>
            </w:r>
          </w:p>
        </w:tc>
      </w:tr>
      <w:tr w14:paraId="7BEF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758" w:type="dxa"/>
            <w:vMerge w:val="restart"/>
          </w:tcPr>
          <w:p w14:paraId="74F151A5">
            <w:pPr>
              <w:pStyle w:val="41"/>
              <w:spacing w:before="204" w:line="218" w:lineRule="auto"/>
              <w:ind w:left="114"/>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tc>
        <w:tc>
          <w:tcPr>
            <w:tcW w:w="1189" w:type="dxa"/>
            <w:vMerge w:val="restart"/>
          </w:tcPr>
          <w:p w14:paraId="605E0BD3">
            <w:pPr>
              <w:pStyle w:val="41"/>
              <w:spacing w:before="204" w:line="218" w:lineRule="auto"/>
              <w:ind w:left="114"/>
              <w:rPr>
                <w:rFonts w:hint="eastAsia" w:ascii="黑体" w:hAnsi="黑体" w:eastAsia="黑体" w:cs="黑体"/>
                <w:sz w:val="19"/>
                <w:szCs w:val="19"/>
              </w:rPr>
            </w:pPr>
            <w:r>
              <w:rPr>
                <w:rFonts w:hint="eastAsia" w:ascii="黑体" w:hAnsi="黑体" w:eastAsia="黑体" w:cs="黑体"/>
                <w:b/>
                <w:bCs/>
                <w:spacing w:val="6"/>
                <w:sz w:val="19"/>
                <w:szCs w:val="19"/>
                <w:lang w:eastAsia="zh-CN"/>
              </w:rPr>
              <w:t>产品名称</w:t>
            </w:r>
          </w:p>
        </w:tc>
        <w:tc>
          <w:tcPr>
            <w:tcW w:w="845" w:type="dxa"/>
            <w:vMerge w:val="restart"/>
            <w:vAlign w:val="center"/>
          </w:tcPr>
          <w:p w14:paraId="3A11BA79">
            <w:pPr>
              <w:pStyle w:val="41"/>
              <w:spacing w:before="204" w:line="218" w:lineRule="auto"/>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28111034">
            <w:pPr>
              <w:pStyle w:val="41"/>
              <w:spacing w:before="204" w:line="218" w:lineRule="auto"/>
              <w:ind w:left="114"/>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zh-CN"/>
              </w:rPr>
              <w:t>技术参数与性能指标</w:t>
            </w:r>
          </w:p>
        </w:tc>
      </w:tr>
      <w:tr w14:paraId="63D2D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758" w:type="dxa"/>
            <w:vMerge w:val="continue"/>
            <w:vAlign w:val="center"/>
          </w:tcPr>
          <w:p w14:paraId="691B5A67">
            <w:pPr>
              <w:spacing w:line="480" w:lineRule="exact"/>
              <w:jc w:val="center"/>
              <w:rPr>
                <w:rFonts w:hint="eastAsia" w:ascii="黑体" w:hAnsi="黑体" w:eastAsia="黑体" w:cs="黑体"/>
                <w:sz w:val="19"/>
                <w:szCs w:val="19"/>
              </w:rPr>
            </w:pPr>
          </w:p>
        </w:tc>
        <w:tc>
          <w:tcPr>
            <w:tcW w:w="1189" w:type="dxa"/>
            <w:vMerge w:val="continue"/>
            <w:vAlign w:val="center"/>
          </w:tcPr>
          <w:p w14:paraId="575C2754">
            <w:pPr>
              <w:spacing w:line="480" w:lineRule="exact"/>
              <w:jc w:val="center"/>
              <w:rPr>
                <w:rFonts w:hint="eastAsia" w:ascii="黑体" w:hAnsi="黑体" w:eastAsia="黑体" w:cs="黑体"/>
                <w:sz w:val="19"/>
                <w:szCs w:val="19"/>
              </w:rPr>
            </w:pPr>
          </w:p>
        </w:tc>
        <w:tc>
          <w:tcPr>
            <w:tcW w:w="845" w:type="dxa"/>
            <w:vMerge w:val="continue"/>
            <w:vAlign w:val="center"/>
          </w:tcPr>
          <w:p w14:paraId="45A46F76">
            <w:pPr>
              <w:spacing w:line="480" w:lineRule="exact"/>
              <w:jc w:val="center"/>
              <w:rPr>
                <w:rFonts w:hint="eastAsia" w:ascii="黑体" w:hAnsi="黑体" w:eastAsia="黑体" w:cs="黑体"/>
                <w:sz w:val="19"/>
                <w:szCs w:val="19"/>
              </w:rPr>
            </w:pPr>
          </w:p>
        </w:tc>
        <w:tc>
          <w:tcPr>
            <w:tcW w:w="1936" w:type="dxa"/>
            <w:vAlign w:val="center"/>
          </w:tcPr>
          <w:p w14:paraId="784F31C1">
            <w:pPr>
              <w:spacing w:line="480" w:lineRule="exact"/>
              <w:jc w:val="center"/>
              <w:rPr>
                <w:rFonts w:hint="eastAsia" w:ascii="黑体" w:hAnsi="黑体" w:eastAsia="黑体" w:cs="黑体"/>
                <w:sz w:val="19"/>
                <w:szCs w:val="19"/>
              </w:rPr>
            </w:pPr>
            <w:r>
              <w:rPr>
                <w:rFonts w:hint="eastAsia" w:ascii="黑体" w:hAnsi="黑体" w:eastAsia="黑体" w:cs="黑体"/>
                <w:b/>
                <w:bCs/>
                <w:spacing w:val="6"/>
                <w:sz w:val="19"/>
                <w:szCs w:val="19"/>
              </w:rPr>
              <w:t>指标项</w:t>
            </w:r>
          </w:p>
        </w:tc>
        <w:tc>
          <w:tcPr>
            <w:tcW w:w="4580" w:type="dxa"/>
            <w:vAlign w:val="center"/>
          </w:tcPr>
          <w:p w14:paraId="5AFE45C2">
            <w:pPr>
              <w:spacing w:line="480" w:lineRule="exact"/>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en-US"/>
              </w:rPr>
              <w:t>技术指标</w:t>
            </w:r>
          </w:p>
        </w:tc>
      </w:tr>
      <w:tr w14:paraId="222A4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758" w:type="dxa"/>
            <w:vMerge w:val="restart"/>
            <w:vAlign w:val="center"/>
          </w:tcPr>
          <w:p w14:paraId="01D993A0">
            <w:pPr>
              <w:spacing w:line="480" w:lineRule="exact"/>
              <w:rPr>
                <w:rFonts w:hint="eastAsia" w:ascii="黑体" w:hAnsi="黑体" w:eastAsia="黑体" w:cs="黑体"/>
                <w:sz w:val="19"/>
                <w:szCs w:val="19"/>
              </w:rPr>
            </w:pPr>
            <w:r>
              <w:rPr>
                <w:rFonts w:hint="eastAsia" w:ascii="黑体" w:hAnsi="黑体" w:eastAsia="黑体" w:cs="黑体"/>
                <w:sz w:val="19"/>
                <w:szCs w:val="19"/>
              </w:rPr>
              <w:t>2</w:t>
            </w:r>
          </w:p>
        </w:tc>
        <w:tc>
          <w:tcPr>
            <w:tcW w:w="1189" w:type="dxa"/>
            <w:vMerge w:val="restart"/>
            <w:vAlign w:val="center"/>
          </w:tcPr>
          <w:p w14:paraId="7AC4A408">
            <w:pPr>
              <w:spacing w:line="480" w:lineRule="exact"/>
              <w:rPr>
                <w:rFonts w:hint="eastAsia" w:ascii="黑体" w:hAnsi="黑体" w:eastAsia="黑体" w:cs="黑体"/>
                <w:sz w:val="19"/>
                <w:szCs w:val="19"/>
              </w:rPr>
            </w:pPr>
            <w:r>
              <w:rPr>
                <w:rFonts w:hint="eastAsia" w:ascii="黑体" w:hAnsi="黑体" w:eastAsia="黑体" w:cs="黑体"/>
                <w:sz w:val="19"/>
                <w:szCs w:val="19"/>
              </w:rPr>
              <w:t>力平衡加速度计</w:t>
            </w:r>
          </w:p>
        </w:tc>
        <w:tc>
          <w:tcPr>
            <w:tcW w:w="845" w:type="dxa"/>
            <w:shd w:val="clear" w:color="auto" w:fill="auto"/>
            <w:vAlign w:val="center"/>
          </w:tcPr>
          <w:p w14:paraId="6F509892">
            <w:pPr>
              <w:spacing w:line="480" w:lineRule="exact"/>
              <w:jc w:val="center"/>
              <w:rPr>
                <w:rFonts w:hint="eastAsia" w:ascii="黑体" w:hAnsi="黑体" w:eastAsia="黑体" w:cs="黑体"/>
                <w:kern w:val="2"/>
                <w:sz w:val="19"/>
                <w:szCs w:val="19"/>
                <w:lang w:val="en-US" w:eastAsia="zh-CN" w:bidi="ar-SA"/>
              </w:rPr>
            </w:pPr>
            <w:r>
              <w:rPr>
                <w:rFonts w:hint="eastAsia" w:ascii="黑体" w:hAnsi="黑体" w:eastAsia="黑体" w:cs="黑体"/>
                <w:sz w:val="19"/>
                <w:szCs w:val="19"/>
              </w:rPr>
              <w:t>▲</w:t>
            </w:r>
          </w:p>
        </w:tc>
        <w:tc>
          <w:tcPr>
            <w:tcW w:w="1936" w:type="dxa"/>
            <w:shd w:val="clear" w:color="auto" w:fill="auto"/>
            <w:vAlign w:val="center"/>
          </w:tcPr>
          <w:p w14:paraId="11EA4599">
            <w:pPr>
              <w:widowControl/>
              <w:spacing w:line="480" w:lineRule="exact"/>
              <w:rPr>
                <w:rFonts w:hint="eastAsia" w:ascii="黑体" w:hAnsi="黑体" w:eastAsia="黑体" w:cs="黑体"/>
                <w:kern w:val="0"/>
                <w:sz w:val="19"/>
                <w:szCs w:val="19"/>
                <w:lang w:val="en-US" w:eastAsia="zh-CN" w:bidi="ar-SA"/>
              </w:rPr>
            </w:pPr>
            <w:r>
              <w:rPr>
                <w:rFonts w:hint="eastAsia" w:ascii="黑体" w:hAnsi="黑体" w:eastAsia="黑体" w:cs="黑体"/>
                <w:kern w:val="0"/>
                <w:sz w:val="19"/>
                <w:szCs w:val="19"/>
              </w:rPr>
              <w:t>动态范围</w:t>
            </w:r>
          </w:p>
        </w:tc>
        <w:tc>
          <w:tcPr>
            <w:tcW w:w="4580" w:type="dxa"/>
            <w:shd w:val="clear" w:color="auto" w:fill="auto"/>
            <w:vAlign w:val="center"/>
          </w:tcPr>
          <w:p w14:paraId="272C0BE3">
            <w:pPr>
              <w:widowControl/>
              <w:spacing w:line="480" w:lineRule="exact"/>
              <w:rPr>
                <w:rFonts w:hint="eastAsia" w:ascii="黑体" w:hAnsi="黑体" w:eastAsia="黑体" w:cs="黑体"/>
                <w:kern w:val="0"/>
                <w:sz w:val="19"/>
                <w:szCs w:val="19"/>
                <w:lang w:val="en-US" w:eastAsia="en-US" w:bidi="ar-SA"/>
              </w:rPr>
            </w:pPr>
            <w:r>
              <w:rPr>
                <w:rFonts w:hint="eastAsia" w:ascii="黑体" w:hAnsi="黑体" w:eastAsia="黑体" w:cs="黑体"/>
                <w:kern w:val="0"/>
                <w:sz w:val="19"/>
                <w:szCs w:val="19"/>
              </w:rPr>
              <w:t>≥145dB</w:t>
            </w:r>
          </w:p>
        </w:tc>
      </w:tr>
      <w:tr w14:paraId="24C8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758" w:type="dxa"/>
            <w:vMerge w:val="continue"/>
            <w:vAlign w:val="center"/>
          </w:tcPr>
          <w:p w14:paraId="106B1ABF">
            <w:pPr>
              <w:spacing w:line="480" w:lineRule="exact"/>
              <w:jc w:val="center"/>
              <w:rPr>
                <w:rFonts w:hint="eastAsia" w:ascii="黑体" w:hAnsi="黑体" w:eastAsia="黑体" w:cs="黑体"/>
                <w:sz w:val="19"/>
                <w:szCs w:val="19"/>
              </w:rPr>
            </w:pPr>
          </w:p>
        </w:tc>
        <w:tc>
          <w:tcPr>
            <w:tcW w:w="1189" w:type="dxa"/>
            <w:vMerge w:val="continue"/>
            <w:vAlign w:val="center"/>
          </w:tcPr>
          <w:p w14:paraId="7B720166">
            <w:pPr>
              <w:spacing w:line="480" w:lineRule="exact"/>
              <w:jc w:val="center"/>
              <w:rPr>
                <w:rFonts w:hint="eastAsia" w:ascii="黑体" w:hAnsi="黑体" w:eastAsia="黑体" w:cs="黑体"/>
                <w:sz w:val="19"/>
                <w:szCs w:val="19"/>
              </w:rPr>
            </w:pPr>
          </w:p>
        </w:tc>
        <w:tc>
          <w:tcPr>
            <w:tcW w:w="845" w:type="dxa"/>
            <w:shd w:val="clear" w:color="auto" w:fill="auto"/>
            <w:vAlign w:val="center"/>
          </w:tcPr>
          <w:p w14:paraId="2E04BA9D">
            <w:pPr>
              <w:spacing w:line="480" w:lineRule="exact"/>
              <w:jc w:val="center"/>
              <w:rPr>
                <w:rFonts w:hint="eastAsia" w:ascii="黑体" w:hAnsi="黑体" w:eastAsia="黑体" w:cs="黑体"/>
                <w:kern w:val="2"/>
                <w:sz w:val="19"/>
                <w:szCs w:val="19"/>
                <w:lang w:val="en-US" w:eastAsia="zh-CN" w:bidi="ar-SA"/>
              </w:rPr>
            </w:pPr>
            <w:r>
              <w:rPr>
                <w:rFonts w:hint="eastAsia" w:ascii="黑体" w:hAnsi="黑体" w:eastAsia="黑体" w:cs="黑体"/>
                <w:sz w:val="19"/>
                <w:szCs w:val="19"/>
              </w:rPr>
              <w:t>▲</w:t>
            </w:r>
          </w:p>
        </w:tc>
        <w:tc>
          <w:tcPr>
            <w:tcW w:w="1936" w:type="dxa"/>
            <w:shd w:val="clear" w:color="auto" w:fill="auto"/>
            <w:vAlign w:val="center"/>
          </w:tcPr>
          <w:p w14:paraId="5539803E">
            <w:pPr>
              <w:widowControl/>
              <w:spacing w:line="480" w:lineRule="exact"/>
              <w:rPr>
                <w:rFonts w:hint="eastAsia" w:ascii="黑体" w:hAnsi="黑体" w:eastAsia="黑体" w:cs="黑体"/>
                <w:kern w:val="0"/>
                <w:sz w:val="19"/>
                <w:szCs w:val="19"/>
                <w:lang w:val="en-US" w:eastAsia="zh-CN" w:bidi="ar-SA"/>
              </w:rPr>
            </w:pPr>
            <w:r>
              <w:rPr>
                <w:rFonts w:hint="eastAsia" w:ascii="黑体" w:hAnsi="黑体" w:eastAsia="黑体" w:cs="黑体"/>
                <w:kern w:val="0"/>
                <w:sz w:val="19"/>
                <w:szCs w:val="19"/>
              </w:rPr>
              <w:t>线性度误差</w:t>
            </w:r>
          </w:p>
        </w:tc>
        <w:tc>
          <w:tcPr>
            <w:tcW w:w="4580" w:type="dxa"/>
            <w:shd w:val="clear" w:color="auto" w:fill="auto"/>
            <w:vAlign w:val="center"/>
          </w:tcPr>
          <w:p w14:paraId="65C3F471">
            <w:pPr>
              <w:widowControl/>
              <w:spacing w:line="480" w:lineRule="exact"/>
              <w:rPr>
                <w:rFonts w:hint="eastAsia" w:ascii="黑体" w:hAnsi="黑体" w:eastAsia="黑体" w:cs="黑体"/>
                <w:kern w:val="0"/>
                <w:sz w:val="19"/>
                <w:szCs w:val="19"/>
                <w:lang w:val="en-US" w:eastAsia="en-US" w:bidi="ar-SA"/>
              </w:rPr>
            </w:pPr>
            <w:r>
              <w:rPr>
                <w:rFonts w:hint="eastAsia" w:ascii="黑体" w:hAnsi="黑体" w:eastAsia="黑体" w:cs="黑体"/>
                <w:kern w:val="0"/>
                <w:sz w:val="19"/>
                <w:szCs w:val="19"/>
              </w:rPr>
              <w:t>&lt;1%</w:t>
            </w:r>
          </w:p>
        </w:tc>
      </w:tr>
      <w:tr w14:paraId="3E7B8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1736D96D">
            <w:pPr>
              <w:spacing w:line="480" w:lineRule="exact"/>
              <w:rPr>
                <w:rFonts w:hint="eastAsia" w:ascii="黑体" w:hAnsi="黑体" w:eastAsia="黑体" w:cs="黑体"/>
                <w:sz w:val="19"/>
                <w:szCs w:val="19"/>
              </w:rPr>
            </w:pPr>
          </w:p>
        </w:tc>
        <w:tc>
          <w:tcPr>
            <w:tcW w:w="1189" w:type="dxa"/>
            <w:vMerge w:val="continue"/>
            <w:vAlign w:val="center"/>
          </w:tcPr>
          <w:p w14:paraId="079A824D">
            <w:pPr>
              <w:spacing w:line="480" w:lineRule="exact"/>
              <w:rPr>
                <w:rFonts w:hint="eastAsia" w:ascii="黑体" w:hAnsi="黑体" w:eastAsia="黑体" w:cs="黑体"/>
                <w:sz w:val="19"/>
                <w:szCs w:val="19"/>
              </w:rPr>
            </w:pPr>
          </w:p>
        </w:tc>
        <w:tc>
          <w:tcPr>
            <w:tcW w:w="845" w:type="dxa"/>
            <w:vMerge w:val="restart"/>
            <w:vAlign w:val="center"/>
          </w:tcPr>
          <w:p w14:paraId="53F0D9BE">
            <w:pPr>
              <w:spacing w:line="480" w:lineRule="exact"/>
              <w:rPr>
                <w:rFonts w:hint="eastAsia" w:ascii="黑体" w:hAnsi="黑体" w:eastAsia="黑体" w:cs="黑体"/>
                <w:sz w:val="19"/>
                <w:szCs w:val="19"/>
              </w:rPr>
            </w:pPr>
          </w:p>
        </w:tc>
        <w:tc>
          <w:tcPr>
            <w:tcW w:w="1936" w:type="dxa"/>
            <w:shd w:val="clear" w:color="auto" w:fill="auto"/>
            <w:vAlign w:val="center"/>
          </w:tcPr>
          <w:p w14:paraId="4590597E">
            <w:pPr>
              <w:widowControl/>
              <w:spacing w:line="480" w:lineRule="exact"/>
              <w:rPr>
                <w:rFonts w:hint="eastAsia" w:ascii="黑体" w:hAnsi="黑体" w:eastAsia="黑体" w:cs="黑体"/>
                <w:kern w:val="0"/>
                <w:sz w:val="19"/>
                <w:szCs w:val="19"/>
                <w:lang w:val="en-US" w:eastAsia="zh-CN" w:bidi="ar-SA"/>
              </w:rPr>
            </w:pPr>
            <w:r>
              <w:rPr>
                <w:rFonts w:hint="eastAsia" w:ascii="黑体" w:hAnsi="黑体" w:eastAsia="黑体" w:cs="黑体"/>
                <w:kern w:val="0"/>
                <w:sz w:val="19"/>
                <w:szCs w:val="19"/>
              </w:rPr>
              <w:t>传感器类型</w:t>
            </w:r>
          </w:p>
        </w:tc>
        <w:tc>
          <w:tcPr>
            <w:tcW w:w="4580" w:type="dxa"/>
            <w:shd w:val="clear" w:color="auto" w:fill="auto"/>
            <w:vAlign w:val="center"/>
          </w:tcPr>
          <w:p w14:paraId="20ECA855">
            <w:pPr>
              <w:widowControl/>
              <w:spacing w:line="480" w:lineRule="exact"/>
              <w:jc w:val="left"/>
              <w:rPr>
                <w:rFonts w:hint="eastAsia" w:ascii="黑体" w:hAnsi="黑体" w:eastAsia="黑体" w:cs="黑体"/>
                <w:kern w:val="0"/>
                <w:sz w:val="19"/>
                <w:szCs w:val="19"/>
                <w:lang w:val="en-US" w:eastAsia="en-US" w:bidi="ar-SA"/>
              </w:rPr>
            </w:pPr>
            <w:r>
              <w:rPr>
                <w:rFonts w:hint="eastAsia" w:ascii="黑体" w:hAnsi="黑体" w:eastAsia="黑体" w:cs="黑体"/>
                <w:kern w:val="0"/>
                <w:sz w:val="19"/>
                <w:szCs w:val="19"/>
              </w:rPr>
              <w:t>UD、EW、NS三分向正交，力平衡加速度计</w:t>
            </w:r>
          </w:p>
        </w:tc>
      </w:tr>
      <w:tr w14:paraId="23A49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DD30991">
            <w:pPr>
              <w:spacing w:line="480" w:lineRule="exact"/>
              <w:rPr>
                <w:rFonts w:hint="eastAsia" w:ascii="黑体" w:hAnsi="黑体" w:eastAsia="黑体" w:cs="黑体"/>
                <w:sz w:val="19"/>
                <w:szCs w:val="19"/>
              </w:rPr>
            </w:pPr>
          </w:p>
        </w:tc>
        <w:tc>
          <w:tcPr>
            <w:tcW w:w="1189" w:type="dxa"/>
            <w:vMerge w:val="continue"/>
            <w:vAlign w:val="center"/>
          </w:tcPr>
          <w:p w14:paraId="5857597D">
            <w:pPr>
              <w:spacing w:line="480" w:lineRule="exact"/>
              <w:rPr>
                <w:rFonts w:hint="eastAsia" w:ascii="黑体" w:hAnsi="黑体" w:eastAsia="黑体" w:cs="黑体"/>
                <w:sz w:val="19"/>
                <w:szCs w:val="19"/>
              </w:rPr>
            </w:pPr>
          </w:p>
        </w:tc>
        <w:tc>
          <w:tcPr>
            <w:tcW w:w="845" w:type="dxa"/>
            <w:vMerge w:val="continue"/>
            <w:vAlign w:val="center"/>
          </w:tcPr>
          <w:p w14:paraId="06100167">
            <w:pPr>
              <w:spacing w:line="480" w:lineRule="exact"/>
              <w:rPr>
                <w:rFonts w:hint="eastAsia" w:ascii="黑体" w:hAnsi="黑体" w:eastAsia="黑体" w:cs="黑体"/>
                <w:sz w:val="19"/>
                <w:szCs w:val="19"/>
              </w:rPr>
            </w:pPr>
          </w:p>
        </w:tc>
        <w:tc>
          <w:tcPr>
            <w:tcW w:w="1936" w:type="dxa"/>
            <w:vAlign w:val="center"/>
          </w:tcPr>
          <w:p w14:paraId="432ADE95">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满量程</w:t>
            </w:r>
          </w:p>
        </w:tc>
        <w:tc>
          <w:tcPr>
            <w:tcW w:w="4580" w:type="dxa"/>
            <w:vAlign w:val="center"/>
          </w:tcPr>
          <w:p w14:paraId="3C6FCC11">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-2.0gn ～ 2.0gn</w:t>
            </w:r>
          </w:p>
        </w:tc>
      </w:tr>
      <w:tr w14:paraId="1A17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33E97A59">
            <w:pPr>
              <w:spacing w:line="480" w:lineRule="exact"/>
              <w:rPr>
                <w:rFonts w:hint="eastAsia" w:ascii="黑体" w:hAnsi="黑体" w:eastAsia="黑体" w:cs="黑体"/>
                <w:sz w:val="19"/>
                <w:szCs w:val="19"/>
              </w:rPr>
            </w:pPr>
          </w:p>
        </w:tc>
        <w:tc>
          <w:tcPr>
            <w:tcW w:w="1189" w:type="dxa"/>
            <w:vMerge w:val="continue"/>
            <w:vAlign w:val="center"/>
          </w:tcPr>
          <w:p w14:paraId="3677C594">
            <w:pPr>
              <w:spacing w:line="480" w:lineRule="exact"/>
              <w:rPr>
                <w:rFonts w:hint="eastAsia" w:ascii="黑体" w:hAnsi="黑体" w:eastAsia="黑体" w:cs="黑体"/>
                <w:sz w:val="19"/>
                <w:szCs w:val="19"/>
              </w:rPr>
            </w:pPr>
          </w:p>
        </w:tc>
        <w:tc>
          <w:tcPr>
            <w:tcW w:w="845" w:type="dxa"/>
            <w:vMerge w:val="continue"/>
            <w:vAlign w:val="center"/>
          </w:tcPr>
          <w:p w14:paraId="26EC9E49">
            <w:pPr>
              <w:spacing w:line="480" w:lineRule="exact"/>
              <w:rPr>
                <w:rFonts w:hint="eastAsia" w:ascii="黑体" w:hAnsi="黑体" w:eastAsia="黑体" w:cs="黑体"/>
                <w:sz w:val="19"/>
                <w:szCs w:val="19"/>
              </w:rPr>
            </w:pPr>
          </w:p>
        </w:tc>
        <w:tc>
          <w:tcPr>
            <w:tcW w:w="1936" w:type="dxa"/>
            <w:vAlign w:val="center"/>
          </w:tcPr>
          <w:p w14:paraId="44475EC0">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灵敏度</w:t>
            </w:r>
          </w:p>
        </w:tc>
        <w:tc>
          <w:tcPr>
            <w:tcW w:w="4580" w:type="dxa"/>
            <w:vAlign w:val="center"/>
          </w:tcPr>
          <w:p w14:paraId="47A4A8B4">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10.0V/ gn和2.5V/gn （可选择）</w:t>
            </w:r>
          </w:p>
        </w:tc>
      </w:tr>
      <w:tr w14:paraId="5CE5B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42E62ADB">
            <w:pPr>
              <w:spacing w:line="480" w:lineRule="exact"/>
              <w:rPr>
                <w:rFonts w:hint="eastAsia" w:ascii="黑体" w:hAnsi="黑体" w:eastAsia="黑体" w:cs="黑体"/>
                <w:sz w:val="19"/>
                <w:szCs w:val="19"/>
              </w:rPr>
            </w:pPr>
          </w:p>
        </w:tc>
        <w:tc>
          <w:tcPr>
            <w:tcW w:w="1189" w:type="dxa"/>
            <w:vMerge w:val="continue"/>
            <w:vAlign w:val="center"/>
          </w:tcPr>
          <w:p w14:paraId="2075062F">
            <w:pPr>
              <w:spacing w:line="480" w:lineRule="exact"/>
              <w:rPr>
                <w:rFonts w:hint="eastAsia" w:ascii="黑体" w:hAnsi="黑体" w:eastAsia="黑体" w:cs="黑体"/>
                <w:sz w:val="19"/>
                <w:szCs w:val="19"/>
              </w:rPr>
            </w:pPr>
          </w:p>
        </w:tc>
        <w:tc>
          <w:tcPr>
            <w:tcW w:w="845" w:type="dxa"/>
            <w:vMerge w:val="continue"/>
            <w:vAlign w:val="center"/>
          </w:tcPr>
          <w:p w14:paraId="6FC79FFF">
            <w:pPr>
              <w:spacing w:line="480" w:lineRule="exact"/>
              <w:rPr>
                <w:rFonts w:hint="eastAsia" w:ascii="黑体" w:hAnsi="黑体" w:eastAsia="黑体" w:cs="黑体"/>
                <w:sz w:val="19"/>
                <w:szCs w:val="19"/>
              </w:rPr>
            </w:pPr>
          </w:p>
        </w:tc>
        <w:tc>
          <w:tcPr>
            <w:tcW w:w="1936" w:type="dxa"/>
            <w:vAlign w:val="center"/>
          </w:tcPr>
          <w:p w14:paraId="6CB825BB">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灵敏度误差</w:t>
            </w:r>
          </w:p>
        </w:tc>
        <w:tc>
          <w:tcPr>
            <w:tcW w:w="4580" w:type="dxa"/>
            <w:vAlign w:val="center"/>
          </w:tcPr>
          <w:p w14:paraId="304752DF">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≤3%</w:t>
            </w:r>
          </w:p>
        </w:tc>
      </w:tr>
      <w:tr w14:paraId="2905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74BFAE7B">
            <w:pPr>
              <w:spacing w:line="480" w:lineRule="exact"/>
              <w:rPr>
                <w:rFonts w:hint="eastAsia" w:ascii="黑体" w:hAnsi="黑体" w:eastAsia="黑体" w:cs="黑体"/>
                <w:sz w:val="19"/>
                <w:szCs w:val="19"/>
              </w:rPr>
            </w:pPr>
          </w:p>
        </w:tc>
        <w:tc>
          <w:tcPr>
            <w:tcW w:w="1189" w:type="dxa"/>
            <w:vMerge w:val="continue"/>
            <w:vAlign w:val="center"/>
          </w:tcPr>
          <w:p w14:paraId="109615DF">
            <w:pPr>
              <w:spacing w:line="480" w:lineRule="exact"/>
              <w:rPr>
                <w:rFonts w:hint="eastAsia" w:ascii="黑体" w:hAnsi="黑体" w:eastAsia="黑体" w:cs="黑体"/>
                <w:sz w:val="19"/>
                <w:szCs w:val="19"/>
              </w:rPr>
            </w:pPr>
          </w:p>
        </w:tc>
        <w:tc>
          <w:tcPr>
            <w:tcW w:w="845" w:type="dxa"/>
            <w:vMerge w:val="continue"/>
            <w:vAlign w:val="center"/>
          </w:tcPr>
          <w:p w14:paraId="399060FA">
            <w:pPr>
              <w:spacing w:line="480" w:lineRule="exact"/>
              <w:rPr>
                <w:rFonts w:hint="eastAsia" w:ascii="黑体" w:hAnsi="黑体" w:eastAsia="黑体" w:cs="黑体"/>
                <w:sz w:val="19"/>
                <w:szCs w:val="19"/>
              </w:rPr>
            </w:pPr>
          </w:p>
        </w:tc>
        <w:tc>
          <w:tcPr>
            <w:tcW w:w="1936" w:type="dxa"/>
            <w:vAlign w:val="center"/>
          </w:tcPr>
          <w:p w14:paraId="6437A4CC">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幅频特性</w:t>
            </w:r>
          </w:p>
        </w:tc>
        <w:tc>
          <w:tcPr>
            <w:tcW w:w="4580" w:type="dxa"/>
            <w:vAlign w:val="center"/>
          </w:tcPr>
          <w:p w14:paraId="4532346B">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-0.3dB ～ 0.3dB （0.1Hz～50Hz）</w:t>
            </w:r>
          </w:p>
          <w:p w14:paraId="545F4AB9">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-3dB ～ 1dB（50Hz～200Hz）</w:t>
            </w:r>
          </w:p>
        </w:tc>
      </w:tr>
      <w:tr w14:paraId="602EB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9015E51">
            <w:pPr>
              <w:spacing w:line="480" w:lineRule="exact"/>
              <w:rPr>
                <w:rFonts w:hint="eastAsia" w:ascii="黑体" w:hAnsi="黑体" w:eastAsia="黑体" w:cs="黑体"/>
                <w:sz w:val="19"/>
                <w:szCs w:val="19"/>
              </w:rPr>
            </w:pPr>
          </w:p>
        </w:tc>
        <w:tc>
          <w:tcPr>
            <w:tcW w:w="1189" w:type="dxa"/>
            <w:vMerge w:val="continue"/>
            <w:vAlign w:val="center"/>
          </w:tcPr>
          <w:p w14:paraId="7678C493">
            <w:pPr>
              <w:spacing w:line="480" w:lineRule="exact"/>
              <w:rPr>
                <w:rFonts w:hint="eastAsia" w:ascii="黑体" w:hAnsi="黑体" w:eastAsia="黑体" w:cs="黑体"/>
                <w:sz w:val="19"/>
                <w:szCs w:val="19"/>
              </w:rPr>
            </w:pPr>
          </w:p>
        </w:tc>
        <w:tc>
          <w:tcPr>
            <w:tcW w:w="845" w:type="dxa"/>
            <w:vMerge w:val="continue"/>
            <w:vAlign w:val="center"/>
          </w:tcPr>
          <w:p w14:paraId="081BCEBA">
            <w:pPr>
              <w:spacing w:line="480" w:lineRule="exact"/>
              <w:rPr>
                <w:rFonts w:hint="eastAsia" w:ascii="黑体" w:hAnsi="黑体" w:eastAsia="黑体" w:cs="黑体"/>
                <w:sz w:val="19"/>
                <w:szCs w:val="19"/>
              </w:rPr>
            </w:pPr>
          </w:p>
        </w:tc>
        <w:tc>
          <w:tcPr>
            <w:tcW w:w="1936" w:type="dxa"/>
            <w:vAlign w:val="center"/>
          </w:tcPr>
          <w:p w14:paraId="02574990">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频率响应</w:t>
            </w:r>
          </w:p>
        </w:tc>
        <w:tc>
          <w:tcPr>
            <w:tcW w:w="4580" w:type="dxa"/>
            <w:vAlign w:val="center"/>
          </w:tcPr>
          <w:p w14:paraId="64DB7EA6">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DC～200Hz，3dB平坦</w:t>
            </w:r>
          </w:p>
        </w:tc>
      </w:tr>
      <w:tr w14:paraId="56303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69DF8C1">
            <w:pPr>
              <w:spacing w:line="480" w:lineRule="exact"/>
              <w:rPr>
                <w:rFonts w:hint="eastAsia" w:ascii="黑体" w:hAnsi="黑体" w:eastAsia="黑体" w:cs="黑体"/>
                <w:sz w:val="19"/>
                <w:szCs w:val="19"/>
              </w:rPr>
            </w:pPr>
          </w:p>
        </w:tc>
        <w:tc>
          <w:tcPr>
            <w:tcW w:w="1189" w:type="dxa"/>
            <w:vMerge w:val="continue"/>
            <w:vAlign w:val="center"/>
          </w:tcPr>
          <w:p w14:paraId="3A4A38F0">
            <w:pPr>
              <w:spacing w:line="480" w:lineRule="exact"/>
              <w:rPr>
                <w:rFonts w:hint="eastAsia" w:ascii="黑体" w:hAnsi="黑体" w:eastAsia="黑体" w:cs="黑体"/>
                <w:sz w:val="19"/>
                <w:szCs w:val="19"/>
              </w:rPr>
            </w:pPr>
          </w:p>
        </w:tc>
        <w:tc>
          <w:tcPr>
            <w:tcW w:w="845" w:type="dxa"/>
            <w:vMerge w:val="continue"/>
            <w:vAlign w:val="center"/>
          </w:tcPr>
          <w:p w14:paraId="321A3E13">
            <w:pPr>
              <w:spacing w:line="480" w:lineRule="exact"/>
              <w:rPr>
                <w:rFonts w:hint="eastAsia" w:ascii="黑体" w:hAnsi="黑体" w:eastAsia="黑体" w:cs="黑体"/>
                <w:sz w:val="19"/>
                <w:szCs w:val="19"/>
              </w:rPr>
            </w:pPr>
          </w:p>
        </w:tc>
        <w:tc>
          <w:tcPr>
            <w:tcW w:w="1936" w:type="dxa"/>
            <w:vAlign w:val="center"/>
          </w:tcPr>
          <w:p w14:paraId="36543F11">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安装标识</w:t>
            </w:r>
          </w:p>
        </w:tc>
        <w:tc>
          <w:tcPr>
            <w:tcW w:w="4580" w:type="dxa"/>
            <w:vAlign w:val="center"/>
          </w:tcPr>
          <w:p w14:paraId="12E11042">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具有安装方位标识，三个可调节底脚螺丝，带锁紧装置和水平泡。</w:t>
            </w:r>
          </w:p>
        </w:tc>
      </w:tr>
      <w:tr w14:paraId="4ACB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594C0D9D">
            <w:pPr>
              <w:spacing w:line="480" w:lineRule="exact"/>
              <w:rPr>
                <w:rFonts w:hint="eastAsia" w:ascii="黑体" w:hAnsi="黑体" w:eastAsia="黑体" w:cs="黑体"/>
                <w:sz w:val="19"/>
                <w:szCs w:val="19"/>
              </w:rPr>
            </w:pPr>
          </w:p>
        </w:tc>
        <w:tc>
          <w:tcPr>
            <w:tcW w:w="1189" w:type="dxa"/>
            <w:vMerge w:val="continue"/>
            <w:vAlign w:val="center"/>
          </w:tcPr>
          <w:p w14:paraId="2C7F2069">
            <w:pPr>
              <w:spacing w:line="480" w:lineRule="exact"/>
              <w:rPr>
                <w:rFonts w:hint="eastAsia" w:ascii="黑体" w:hAnsi="黑体" w:eastAsia="黑体" w:cs="黑体"/>
                <w:sz w:val="19"/>
                <w:szCs w:val="19"/>
              </w:rPr>
            </w:pPr>
          </w:p>
        </w:tc>
        <w:tc>
          <w:tcPr>
            <w:tcW w:w="845" w:type="dxa"/>
            <w:vMerge w:val="continue"/>
            <w:vAlign w:val="center"/>
          </w:tcPr>
          <w:p w14:paraId="36B8E93D">
            <w:pPr>
              <w:spacing w:line="480" w:lineRule="exact"/>
              <w:rPr>
                <w:rFonts w:hint="eastAsia" w:ascii="黑体" w:hAnsi="黑体" w:eastAsia="黑体" w:cs="黑体"/>
                <w:sz w:val="19"/>
                <w:szCs w:val="19"/>
              </w:rPr>
            </w:pPr>
          </w:p>
        </w:tc>
        <w:tc>
          <w:tcPr>
            <w:tcW w:w="1936" w:type="dxa"/>
            <w:vAlign w:val="center"/>
          </w:tcPr>
          <w:p w14:paraId="7D237813">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零点漂移</w:t>
            </w:r>
          </w:p>
        </w:tc>
        <w:tc>
          <w:tcPr>
            <w:tcW w:w="4580" w:type="dxa"/>
            <w:vAlign w:val="center"/>
          </w:tcPr>
          <w:p w14:paraId="73FD66B0">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≤500ug/℃</w:t>
            </w:r>
          </w:p>
        </w:tc>
      </w:tr>
      <w:tr w14:paraId="290E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776F62C2">
            <w:pPr>
              <w:spacing w:line="480" w:lineRule="exact"/>
              <w:rPr>
                <w:rFonts w:hint="eastAsia" w:ascii="黑体" w:hAnsi="黑体" w:eastAsia="黑体" w:cs="黑体"/>
                <w:sz w:val="19"/>
                <w:szCs w:val="19"/>
              </w:rPr>
            </w:pPr>
          </w:p>
        </w:tc>
        <w:tc>
          <w:tcPr>
            <w:tcW w:w="1189" w:type="dxa"/>
            <w:vMerge w:val="continue"/>
            <w:vAlign w:val="center"/>
          </w:tcPr>
          <w:p w14:paraId="3D4FCDD2">
            <w:pPr>
              <w:spacing w:line="480" w:lineRule="exact"/>
              <w:rPr>
                <w:rFonts w:hint="eastAsia" w:ascii="黑体" w:hAnsi="黑体" w:eastAsia="黑体" w:cs="黑体"/>
                <w:sz w:val="19"/>
                <w:szCs w:val="19"/>
              </w:rPr>
            </w:pPr>
          </w:p>
        </w:tc>
        <w:tc>
          <w:tcPr>
            <w:tcW w:w="845" w:type="dxa"/>
            <w:vMerge w:val="continue"/>
            <w:vAlign w:val="center"/>
          </w:tcPr>
          <w:p w14:paraId="5BDF6BDB">
            <w:pPr>
              <w:spacing w:line="480" w:lineRule="exact"/>
              <w:rPr>
                <w:rFonts w:hint="eastAsia" w:ascii="黑体" w:hAnsi="黑体" w:eastAsia="黑体" w:cs="黑体"/>
                <w:sz w:val="19"/>
                <w:szCs w:val="19"/>
              </w:rPr>
            </w:pPr>
          </w:p>
        </w:tc>
        <w:tc>
          <w:tcPr>
            <w:tcW w:w="1936" w:type="dxa"/>
            <w:vAlign w:val="center"/>
          </w:tcPr>
          <w:p w14:paraId="00CC7DCA">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噪声</w:t>
            </w:r>
          </w:p>
        </w:tc>
        <w:tc>
          <w:tcPr>
            <w:tcW w:w="4580" w:type="dxa"/>
            <w:vAlign w:val="center"/>
          </w:tcPr>
          <w:p w14:paraId="23AC15C3">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≤10</w:t>
            </w:r>
            <w:r>
              <w:rPr>
                <w:rFonts w:hint="eastAsia" w:ascii="黑体" w:hAnsi="黑体" w:eastAsia="黑体" w:cs="黑体"/>
                <w:kern w:val="0"/>
                <w:sz w:val="19"/>
                <w:szCs w:val="19"/>
                <w:vertAlign w:val="superscript"/>
              </w:rPr>
              <w:t>-6</w:t>
            </w:r>
            <w:r>
              <w:rPr>
                <w:rFonts w:hint="eastAsia" w:ascii="黑体" w:hAnsi="黑体" w:eastAsia="黑体" w:cs="黑体"/>
                <w:kern w:val="0"/>
                <w:sz w:val="19"/>
                <w:szCs w:val="19"/>
              </w:rPr>
              <w:t>g</w:t>
            </w:r>
            <w:r>
              <w:rPr>
                <w:rFonts w:hint="eastAsia" w:ascii="黑体" w:hAnsi="黑体" w:eastAsia="黑体" w:cs="黑体"/>
                <w:kern w:val="0"/>
                <w:sz w:val="19"/>
                <w:szCs w:val="19"/>
                <w:vertAlign w:val="subscript"/>
              </w:rPr>
              <w:t>n</w:t>
            </w:r>
          </w:p>
        </w:tc>
      </w:tr>
      <w:tr w14:paraId="5BDE7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03B01588">
            <w:pPr>
              <w:spacing w:line="480" w:lineRule="exact"/>
              <w:rPr>
                <w:rFonts w:hint="eastAsia" w:ascii="黑体" w:hAnsi="黑体" w:eastAsia="黑体" w:cs="黑体"/>
                <w:sz w:val="19"/>
                <w:szCs w:val="19"/>
              </w:rPr>
            </w:pPr>
          </w:p>
        </w:tc>
        <w:tc>
          <w:tcPr>
            <w:tcW w:w="1189" w:type="dxa"/>
            <w:vMerge w:val="continue"/>
            <w:vAlign w:val="center"/>
          </w:tcPr>
          <w:p w14:paraId="2BD9D9EB">
            <w:pPr>
              <w:spacing w:line="480" w:lineRule="exact"/>
              <w:rPr>
                <w:rFonts w:hint="eastAsia" w:ascii="黑体" w:hAnsi="黑体" w:eastAsia="黑体" w:cs="黑体"/>
                <w:sz w:val="19"/>
                <w:szCs w:val="19"/>
              </w:rPr>
            </w:pPr>
          </w:p>
        </w:tc>
        <w:tc>
          <w:tcPr>
            <w:tcW w:w="845" w:type="dxa"/>
            <w:vMerge w:val="continue"/>
            <w:vAlign w:val="center"/>
          </w:tcPr>
          <w:p w14:paraId="7C9163FE">
            <w:pPr>
              <w:spacing w:line="480" w:lineRule="exact"/>
              <w:rPr>
                <w:rFonts w:hint="eastAsia" w:ascii="黑体" w:hAnsi="黑体" w:eastAsia="黑体" w:cs="黑体"/>
                <w:sz w:val="19"/>
                <w:szCs w:val="19"/>
              </w:rPr>
            </w:pPr>
          </w:p>
        </w:tc>
        <w:tc>
          <w:tcPr>
            <w:tcW w:w="1936" w:type="dxa"/>
            <w:vAlign w:val="center"/>
          </w:tcPr>
          <w:p w14:paraId="18B80E57">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正交性误差</w:t>
            </w:r>
          </w:p>
        </w:tc>
        <w:tc>
          <w:tcPr>
            <w:tcW w:w="4580" w:type="dxa"/>
            <w:vAlign w:val="center"/>
          </w:tcPr>
          <w:p w14:paraId="328329D6">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&lt;0.6%</w:t>
            </w:r>
          </w:p>
        </w:tc>
      </w:tr>
      <w:tr w14:paraId="572EB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78074EE0">
            <w:pPr>
              <w:spacing w:line="480" w:lineRule="exact"/>
              <w:rPr>
                <w:rFonts w:hint="eastAsia" w:ascii="黑体" w:hAnsi="黑体" w:eastAsia="黑体" w:cs="黑体"/>
                <w:sz w:val="19"/>
                <w:szCs w:val="19"/>
              </w:rPr>
            </w:pPr>
          </w:p>
        </w:tc>
        <w:tc>
          <w:tcPr>
            <w:tcW w:w="1189" w:type="dxa"/>
            <w:vMerge w:val="continue"/>
            <w:vAlign w:val="center"/>
          </w:tcPr>
          <w:p w14:paraId="475AB9A1">
            <w:pPr>
              <w:spacing w:line="480" w:lineRule="exact"/>
              <w:rPr>
                <w:rFonts w:hint="eastAsia" w:ascii="黑体" w:hAnsi="黑体" w:eastAsia="黑体" w:cs="黑体"/>
                <w:sz w:val="19"/>
                <w:szCs w:val="19"/>
              </w:rPr>
            </w:pPr>
          </w:p>
        </w:tc>
        <w:tc>
          <w:tcPr>
            <w:tcW w:w="845" w:type="dxa"/>
            <w:vMerge w:val="continue"/>
            <w:vAlign w:val="center"/>
          </w:tcPr>
          <w:p w14:paraId="78B73D4E">
            <w:pPr>
              <w:spacing w:line="480" w:lineRule="exact"/>
              <w:rPr>
                <w:rFonts w:hint="eastAsia" w:ascii="黑体" w:hAnsi="黑体" w:eastAsia="黑体" w:cs="黑体"/>
                <w:sz w:val="19"/>
                <w:szCs w:val="19"/>
              </w:rPr>
            </w:pPr>
          </w:p>
        </w:tc>
        <w:tc>
          <w:tcPr>
            <w:tcW w:w="1936" w:type="dxa"/>
            <w:vAlign w:val="center"/>
          </w:tcPr>
          <w:p w14:paraId="2961953E">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标定装置</w:t>
            </w:r>
          </w:p>
        </w:tc>
        <w:tc>
          <w:tcPr>
            <w:tcW w:w="4580" w:type="dxa"/>
            <w:vAlign w:val="center"/>
          </w:tcPr>
          <w:p w14:paraId="220313BE">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内置标定线圈，可标定、去阻尼</w:t>
            </w:r>
          </w:p>
        </w:tc>
      </w:tr>
      <w:tr w14:paraId="115C3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2490C640">
            <w:pPr>
              <w:spacing w:line="480" w:lineRule="exact"/>
              <w:rPr>
                <w:rFonts w:hint="eastAsia" w:ascii="黑体" w:hAnsi="黑体" w:eastAsia="黑体" w:cs="黑体"/>
                <w:sz w:val="19"/>
                <w:szCs w:val="19"/>
              </w:rPr>
            </w:pPr>
          </w:p>
        </w:tc>
        <w:tc>
          <w:tcPr>
            <w:tcW w:w="1189" w:type="dxa"/>
            <w:vMerge w:val="continue"/>
            <w:vAlign w:val="center"/>
          </w:tcPr>
          <w:p w14:paraId="02CABCB6">
            <w:pPr>
              <w:spacing w:line="480" w:lineRule="exact"/>
              <w:rPr>
                <w:rFonts w:hint="eastAsia" w:ascii="黑体" w:hAnsi="黑体" w:eastAsia="黑体" w:cs="黑体"/>
                <w:sz w:val="19"/>
                <w:szCs w:val="19"/>
              </w:rPr>
            </w:pPr>
          </w:p>
        </w:tc>
        <w:tc>
          <w:tcPr>
            <w:tcW w:w="845" w:type="dxa"/>
            <w:vMerge w:val="continue"/>
            <w:vAlign w:val="center"/>
          </w:tcPr>
          <w:p w14:paraId="67F0FF66">
            <w:pPr>
              <w:spacing w:line="480" w:lineRule="exact"/>
              <w:rPr>
                <w:rFonts w:hint="eastAsia" w:ascii="黑体" w:hAnsi="黑体" w:eastAsia="黑体" w:cs="黑体"/>
                <w:sz w:val="19"/>
                <w:szCs w:val="19"/>
              </w:rPr>
            </w:pPr>
          </w:p>
        </w:tc>
        <w:tc>
          <w:tcPr>
            <w:tcW w:w="1936" w:type="dxa"/>
            <w:vMerge w:val="restart"/>
            <w:vAlign w:val="center"/>
          </w:tcPr>
          <w:p w14:paraId="3DD8B3F3">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工作环境</w:t>
            </w:r>
          </w:p>
        </w:tc>
        <w:tc>
          <w:tcPr>
            <w:tcW w:w="4580" w:type="dxa"/>
            <w:vAlign w:val="center"/>
          </w:tcPr>
          <w:p w14:paraId="135C64C7">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温度：-20～60℃</w:t>
            </w:r>
          </w:p>
        </w:tc>
      </w:tr>
      <w:tr w14:paraId="4CA4F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316288AA">
            <w:pPr>
              <w:spacing w:line="480" w:lineRule="exact"/>
              <w:rPr>
                <w:rFonts w:hint="eastAsia" w:ascii="黑体" w:hAnsi="黑体" w:eastAsia="黑体" w:cs="黑体"/>
                <w:sz w:val="19"/>
                <w:szCs w:val="19"/>
              </w:rPr>
            </w:pPr>
          </w:p>
        </w:tc>
        <w:tc>
          <w:tcPr>
            <w:tcW w:w="1189" w:type="dxa"/>
            <w:vMerge w:val="continue"/>
            <w:vAlign w:val="center"/>
          </w:tcPr>
          <w:p w14:paraId="5006C1B3">
            <w:pPr>
              <w:spacing w:line="480" w:lineRule="exact"/>
              <w:rPr>
                <w:rFonts w:hint="eastAsia" w:ascii="黑体" w:hAnsi="黑体" w:eastAsia="黑体" w:cs="黑体"/>
                <w:sz w:val="19"/>
                <w:szCs w:val="19"/>
              </w:rPr>
            </w:pPr>
          </w:p>
        </w:tc>
        <w:tc>
          <w:tcPr>
            <w:tcW w:w="845" w:type="dxa"/>
            <w:vMerge w:val="continue"/>
            <w:vAlign w:val="center"/>
          </w:tcPr>
          <w:p w14:paraId="0AE3255C">
            <w:pPr>
              <w:spacing w:line="480" w:lineRule="exact"/>
              <w:rPr>
                <w:rFonts w:hint="eastAsia" w:ascii="黑体" w:hAnsi="黑体" w:eastAsia="黑体" w:cs="黑体"/>
                <w:sz w:val="19"/>
                <w:szCs w:val="19"/>
              </w:rPr>
            </w:pPr>
          </w:p>
        </w:tc>
        <w:tc>
          <w:tcPr>
            <w:tcW w:w="1936" w:type="dxa"/>
            <w:vMerge w:val="continue"/>
            <w:vAlign w:val="center"/>
          </w:tcPr>
          <w:p w14:paraId="7ACD2901">
            <w:pPr>
              <w:widowControl/>
              <w:spacing w:line="480" w:lineRule="exact"/>
              <w:rPr>
                <w:rFonts w:hint="eastAsia" w:ascii="黑体" w:hAnsi="黑体" w:eastAsia="黑体" w:cs="黑体"/>
                <w:kern w:val="0"/>
                <w:sz w:val="19"/>
                <w:szCs w:val="19"/>
              </w:rPr>
            </w:pPr>
          </w:p>
        </w:tc>
        <w:tc>
          <w:tcPr>
            <w:tcW w:w="4580" w:type="dxa"/>
            <w:vAlign w:val="center"/>
          </w:tcPr>
          <w:p w14:paraId="7D659716">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湿度：10～98%</w:t>
            </w:r>
          </w:p>
        </w:tc>
      </w:tr>
      <w:tr w14:paraId="6CEF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758" w:type="dxa"/>
            <w:vMerge w:val="continue"/>
            <w:vAlign w:val="center"/>
          </w:tcPr>
          <w:p w14:paraId="73B6461B">
            <w:pPr>
              <w:spacing w:line="480" w:lineRule="exact"/>
              <w:rPr>
                <w:rFonts w:hint="eastAsia" w:ascii="黑体" w:hAnsi="黑体" w:eastAsia="黑体" w:cs="黑体"/>
                <w:sz w:val="19"/>
                <w:szCs w:val="19"/>
              </w:rPr>
            </w:pPr>
          </w:p>
        </w:tc>
        <w:tc>
          <w:tcPr>
            <w:tcW w:w="1189" w:type="dxa"/>
            <w:vMerge w:val="continue"/>
            <w:vAlign w:val="center"/>
          </w:tcPr>
          <w:p w14:paraId="4EF8BFA5">
            <w:pPr>
              <w:spacing w:line="480" w:lineRule="exact"/>
              <w:rPr>
                <w:rFonts w:hint="eastAsia" w:ascii="黑体" w:hAnsi="黑体" w:eastAsia="黑体" w:cs="黑体"/>
                <w:sz w:val="19"/>
                <w:szCs w:val="19"/>
              </w:rPr>
            </w:pPr>
          </w:p>
        </w:tc>
        <w:tc>
          <w:tcPr>
            <w:tcW w:w="845" w:type="dxa"/>
            <w:vMerge w:val="continue"/>
            <w:vAlign w:val="center"/>
          </w:tcPr>
          <w:p w14:paraId="23B73775">
            <w:pPr>
              <w:spacing w:line="480" w:lineRule="exact"/>
              <w:rPr>
                <w:rFonts w:hint="eastAsia" w:ascii="黑体" w:hAnsi="黑体" w:eastAsia="黑体" w:cs="黑体"/>
                <w:sz w:val="19"/>
                <w:szCs w:val="19"/>
              </w:rPr>
            </w:pPr>
          </w:p>
        </w:tc>
        <w:tc>
          <w:tcPr>
            <w:tcW w:w="1936" w:type="dxa"/>
            <w:vAlign w:val="center"/>
          </w:tcPr>
          <w:p w14:paraId="7617A110">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供电</w:t>
            </w:r>
          </w:p>
        </w:tc>
        <w:tc>
          <w:tcPr>
            <w:tcW w:w="4580" w:type="dxa"/>
            <w:vAlign w:val="center"/>
          </w:tcPr>
          <w:p w14:paraId="526FC7B0">
            <w:pPr>
              <w:widowControl/>
              <w:spacing w:line="480" w:lineRule="exact"/>
              <w:rPr>
                <w:rFonts w:hint="eastAsia" w:ascii="黑体" w:hAnsi="黑体" w:eastAsia="黑体" w:cs="黑体"/>
                <w:kern w:val="0"/>
                <w:sz w:val="19"/>
                <w:szCs w:val="19"/>
                <w:lang w:val="en-US" w:eastAsia="zh-CN"/>
              </w:rPr>
            </w:pPr>
            <w:r>
              <w:rPr>
                <w:rFonts w:hint="eastAsia" w:ascii="黑体" w:hAnsi="黑体" w:eastAsia="黑体" w:cs="黑体"/>
                <w:kern w:val="0"/>
                <w:sz w:val="19"/>
                <w:szCs w:val="19"/>
              </w:rPr>
              <w:t>9V～18VDC，&lt;50mA( 12VDC)</w:t>
            </w:r>
            <w:r>
              <w:rPr>
                <w:rFonts w:hint="eastAsia" w:ascii="黑体" w:hAnsi="黑体" w:eastAsia="黑体" w:cs="黑体"/>
                <w:kern w:val="0"/>
                <w:sz w:val="19"/>
                <w:szCs w:val="19"/>
                <w:lang w:val="en-US" w:eastAsia="zh-CN"/>
              </w:rPr>
              <w:t xml:space="preserve"> </w:t>
            </w:r>
          </w:p>
        </w:tc>
      </w:tr>
      <w:tr w14:paraId="77FD2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58" w:type="dxa"/>
            <w:vMerge w:val="continue"/>
            <w:vAlign w:val="center"/>
          </w:tcPr>
          <w:p w14:paraId="27BD07CE">
            <w:pPr>
              <w:spacing w:line="480" w:lineRule="exact"/>
              <w:rPr>
                <w:rFonts w:hint="eastAsia" w:ascii="黑体" w:hAnsi="黑体" w:eastAsia="黑体" w:cs="黑体"/>
                <w:sz w:val="19"/>
                <w:szCs w:val="19"/>
              </w:rPr>
            </w:pPr>
          </w:p>
        </w:tc>
        <w:tc>
          <w:tcPr>
            <w:tcW w:w="1189" w:type="dxa"/>
            <w:vMerge w:val="continue"/>
            <w:vAlign w:val="center"/>
          </w:tcPr>
          <w:p w14:paraId="3AE297A0">
            <w:pPr>
              <w:spacing w:line="480" w:lineRule="exact"/>
              <w:rPr>
                <w:rFonts w:hint="eastAsia" w:ascii="黑体" w:hAnsi="黑体" w:eastAsia="黑体" w:cs="黑体"/>
                <w:sz w:val="19"/>
                <w:szCs w:val="19"/>
              </w:rPr>
            </w:pPr>
          </w:p>
        </w:tc>
        <w:tc>
          <w:tcPr>
            <w:tcW w:w="845" w:type="dxa"/>
            <w:vMerge w:val="continue"/>
            <w:vAlign w:val="center"/>
          </w:tcPr>
          <w:p w14:paraId="685AFAF5">
            <w:pPr>
              <w:spacing w:line="480" w:lineRule="exact"/>
              <w:rPr>
                <w:rFonts w:hint="eastAsia" w:ascii="黑体" w:hAnsi="黑体" w:eastAsia="黑体" w:cs="黑体"/>
                <w:sz w:val="19"/>
                <w:szCs w:val="19"/>
              </w:rPr>
            </w:pPr>
          </w:p>
        </w:tc>
        <w:tc>
          <w:tcPr>
            <w:tcW w:w="1936" w:type="dxa"/>
            <w:vAlign w:val="center"/>
          </w:tcPr>
          <w:p w14:paraId="1A6F4693">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机壳密封</w:t>
            </w:r>
          </w:p>
        </w:tc>
        <w:tc>
          <w:tcPr>
            <w:tcW w:w="4580" w:type="dxa"/>
            <w:vAlign w:val="center"/>
          </w:tcPr>
          <w:p w14:paraId="4CD99E07">
            <w:pPr>
              <w:widowControl/>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≥IP67，防尘防水、防潮</w:t>
            </w:r>
          </w:p>
        </w:tc>
      </w:tr>
      <w:tr w14:paraId="7527B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2" w:hRule="atLeast"/>
          <w:jc w:val="center"/>
        </w:trPr>
        <w:tc>
          <w:tcPr>
            <w:tcW w:w="758" w:type="dxa"/>
            <w:vMerge w:val="continue"/>
            <w:vAlign w:val="center"/>
          </w:tcPr>
          <w:p w14:paraId="7E1A1E82">
            <w:pPr>
              <w:spacing w:line="480" w:lineRule="exact"/>
              <w:rPr>
                <w:rFonts w:hint="eastAsia" w:ascii="黑体" w:hAnsi="黑体" w:eastAsia="黑体" w:cs="黑体"/>
                <w:sz w:val="19"/>
                <w:szCs w:val="19"/>
              </w:rPr>
            </w:pPr>
          </w:p>
        </w:tc>
        <w:tc>
          <w:tcPr>
            <w:tcW w:w="1189" w:type="dxa"/>
            <w:vMerge w:val="continue"/>
            <w:vAlign w:val="center"/>
          </w:tcPr>
          <w:p w14:paraId="0EA075A6">
            <w:pPr>
              <w:spacing w:line="480" w:lineRule="exact"/>
              <w:rPr>
                <w:rFonts w:hint="eastAsia" w:ascii="黑体" w:hAnsi="黑体" w:eastAsia="黑体" w:cs="黑体"/>
                <w:sz w:val="19"/>
                <w:szCs w:val="19"/>
              </w:rPr>
            </w:pPr>
          </w:p>
        </w:tc>
        <w:tc>
          <w:tcPr>
            <w:tcW w:w="845" w:type="dxa"/>
            <w:vMerge w:val="continue"/>
            <w:vAlign w:val="center"/>
          </w:tcPr>
          <w:p w14:paraId="253D40C6">
            <w:pPr>
              <w:spacing w:line="480" w:lineRule="exact"/>
              <w:rPr>
                <w:rFonts w:hint="eastAsia" w:ascii="黑体" w:hAnsi="黑体" w:eastAsia="黑体" w:cs="黑体"/>
                <w:sz w:val="19"/>
                <w:szCs w:val="19"/>
              </w:rPr>
            </w:pPr>
          </w:p>
        </w:tc>
        <w:tc>
          <w:tcPr>
            <w:tcW w:w="1936" w:type="dxa"/>
            <w:vAlign w:val="center"/>
          </w:tcPr>
          <w:p w14:paraId="2B996994">
            <w:pPr>
              <w:widowControl/>
              <w:spacing w:line="480" w:lineRule="exact"/>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接口标准</w:t>
            </w:r>
          </w:p>
        </w:tc>
        <w:tc>
          <w:tcPr>
            <w:tcW w:w="4580" w:type="dxa"/>
            <w:vAlign w:val="center"/>
          </w:tcPr>
          <w:p w14:paraId="60AD95B5">
            <w:pPr>
              <w:widowControl/>
              <w:spacing w:line="480" w:lineRule="exact"/>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lang w:val="en-US" w:eastAsia="zh-CN"/>
              </w:rPr>
              <w:t>支持</w:t>
            </w:r>
            <w:r>
              <w:rPr>
                <w:rFonts w:hint="eastAsia" w:ascii="黑体" w:hAnsi="黑体" w:eastAsia="黑体" w:cs="黑体"/>
                <w:kern w:val="0"/>
                <w:sz w:val="19"/>
                <w:szCs w:val="19"/>
                <w:highlight w:val="none"/>
              </w:rPr>
              <w:t>国家地震烈度速报与预警工程—地震观测仪器接口和远程监控规程、台站数据包格式规程、台站数据传输协议（采购人可提供测试环境）；</w:t>
            </w:r>
          </w:p>
        </w:tc>
      </w:tr>
      <w:tr w14:paraId="14EC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restart"/>
            <w:vAlign w:val="center"/>
          </w:tcPr>
          <w:p w14:paraId="270FFA2D">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tc>
        <w:tc>
          <w:tcPr>
            <w:tcW w:w="1189" w:type="dxa"/>
            <w:vMerge w:val="restart"/>
            <w:vAlign w:val="center"/>
          </w:tcPr>
          <w:p w14:paraId="4B2C794D">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产品名称</w:t>
            </w:r>
          </w:p>
        </w:tc>
        <w:tc>
          <w:tcPr>
            <w:tcW w:w="845" w:type="dxa"/>
            <w:vMerge w:val="restart"/>
            <w:vAlign w:val="center"/>
          </w:tcPr>
          <w:p w14:paraId="44AF05DD">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210EE4AF">
            <w:pPr>
              <w:pStyle w:val="41"/>
              <w:spacing w:before="204" w:line="218" w:lineRule="auto"/>
              <w:ind w:left="114"/>
              <w:jc w:val="center"/>
              <w:rPr>
                <w:rFonts w:hint="eastAsia" w:ascii="黑体" w:hAnsi="黑体" w:eastAsia="黑体" w:cs="黑体"/>
                <w:kern w:val="0"/>
                <w:sz w:val="19"/>
                <w:szCs w:val="19"/>
                <w:lang w:eastAsia="zh-CN"/>
              </w:rPr>
            </w:pPr>
            <w:r>
              <w:rPr>
                <w:rFonts w:hint="eastAsia" w:ascii="黑体" w:hAnsi="黑体" w:eastAsia="黑体" w:cs="黑体"/>
                <w:b/>
                <w:bCs/>
                <w:spacing w:val="6"/>
                <w:sz w:val="19"/>
                <w:szCs w:val="19"/>
                <w:lang w:eastAsia="zh-CN"/>
              </w:rPr>
              <w:t>技术参数与性能指标</w:t>
            </w:r>
          </w:p>
        </w:tc>
      </w:tr>
      <w:tr w14:paraId="3BD03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continue"/>
          </w:tcPr>
          <w:p w14:paraId="3423B3A6">
            <w:pPr>
              <w:widowControl/>
              <w:spacing w:line="480" w:lineRule="exact"/>
              <w:jc w:val="left"/>
              <w:rPr>
                <w:rFonts w:hint="eastAsia"/>
              </w:rPr>
            </w:pPr>
          </w:p>
        </w:tc>
        <w:tc>
          <w:tcPr>
            <w:tcW w:w="1189" w:type="dxa"/>
            <w:vMerge w:val="continue"/>
          </w:tcPr>
          <w:p w14:paraId="647D7799">
            <w:pPr>
              <w:widowControl/>
              <w:spacing w:line="480" w:lineRule="exact"/>
              <w:jc w:val="left"/>
              <w:rPr>
                <w:rFonts w:hint="eastAsia"/>
              </w:rPr>
            </w:pPr>
          </w:p>
        </w:tc>
        <w:tc>
          <w:tcPr>
            <w:tcW w:w="845" w:type="dxa"/>
            <w:vMerge w:val="continue"/>
            <w:vAlign w:val="center"/>
          </w:tcPr>
          <w:p w14:paraId="34939F8F">
            <w:pPr>
              <w:widowControl/>
              <w:spacing w:line="480" w:lineRule="exact"/>
              <w:jc w:val="center"/>
              <w:rPr>
                <w:rFonts w:hint="eastAsia"/>
              </w:rPr>
            </w:pPr>
          </w:p>
        </w:tc>
        <w:tc>
          <w:tcPr>
            <w:tcW w:w="1936" w:type="dxa"/>
            <w:vAlign w:val="center"/>
          </w:tcPr>
          <w:p w14:paraId="4664ECDD">
            <w:pPr>
              <w:spacing w:line="480" w:lineRule="exact"/>
              <w:jc w:val="center"/>
              <w:rPr>
                <w:rFonts w:hint="eastAsia" w:ascii="黑体" w:hAnsi="黑体" w:eastAsia="黑体" w:cs="黑体"/>
                <w:sz w:val="19"/>
                <w:szCs w:val="19"/>
              </w:rPr>
            </w:pPr>
            <w:r>
              <w:rPr>
                <w:rFonts w:hint="eastAsia" w:ascii="黑体" w:hAnsi="黑体" w:eastAsia="黑体" w:cs="黑体"/>
                <w:b/>
                <w:bCs/>
                <w:spacing w:val="6"/>
                <w:sz w:val="19"/>
                <w:szCs w:val="19"/>
              </w:rPr>
              <w:t>指标项</w:t>
            </w:r>
          </w:p>
        </w:tc>
        <w:tc>
          <w:tcPr>
            <w:tcW w:w="4580" w:type="dxa"/>
            <w:vAlign w:val="center"/>
          </w:tcPr>
          <w:p w14:paraId="245B0F50">
            <w:pPr>
              <w:spacing w:line="480" w:lineRule="exact"/>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en-US"/>
              </w:rPr>
              <w:t>技术指标</w:t>
            </w:r>
          </w:p>
        </w:tc>
      </w:tr>
      <w:tr w14:paraId="0580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restart"/>
          </w:tcPr>
          <w:p w14:paraId="7CFF832D">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3</w:t>
            </w:r>
          </w:p>
        </w:tc>
        <w:tc>
          <w:tcPr>
            <w:tcW w:w="1189" w:type="dxa"/>
            <w:vMerge w:val="restart"/>
          </w:tcPr>
          <w:p w14:paraId="7633BF25">
            <w:pPr>
              <w:spacing w:line="480" w:lineRule="exact"/>
              <w:rPr>
                <w:rFonts w:hint="eastAsia" w:ascii="黑体" w:hAnsi="黑体" w:eastAsia="黑体" w:cs="黑体"/>
                <w:sz w:val="19"/>
                <w:szCs w:val="19"/>
              </w:rPr>
            </w:pPr>
            <w:r>
              <w:rPr>
                <w:rFonts w:hint="eastAsia" w:ascii="黑体" w:hAnsi="黑体" w:eastAsia="黑体" w:cs="黑体"/>
                <w:sz w:val="19"/>
                <w:szCs w:val="19"/>
              </w:rPr>
              <w:t>智能电源</w:t>
            </w:r>
          </w:p>
        </w:tc>
        <w:tc>
          <w:tcPr>
            <w:tcW w:w="845" w:type="dxa"/>
            <w:vAlign w:val="center"/>
          </w:tcPr>
          <w:p w14:paraId="1DE0F684">
            <w:pPr>
              <w:widowControl/>
              <w:spacing w:line="480" w:lineRule="exact"/>
              <w:jc w:val="center"/>
              <w:rPr>
                <w:rFonts w:hint="eastAsia"/>
              </w:rPr>
            </w:pPr>
            <w:r>
              <w:rPr>
                <w:rFonts w:hint="eastAsia" w:ascii="黑体" w:hAnsi="黑体" w:eastAsia="黑体" w:cs="黑体"/>
                <w:sz w:val="19"/>
                <w:szCs w:val="19"/>
              </w:rPr>
              <w:t>▲</w:t>
            </w:r>
          </w:p>
        </w:tc>
        <w:tc>
          <w:tcPr>
            <w:tcW w:w="1936" w:type="dxa"/>
            <w:vAlign w:val="center"/>
          </w:tcPr>
          <w:p w14:paraId="1C97CDBC">
            <w:pPr>
              <w:spacing w:line="480" w:lineRule="exact"/>
              <w:rPr>
                <w:rFonts w:hint="eastAsia" w:ascii="黑体" w:hAnsi="黑体" w:eastAsia="黑体" w:cs="黑体"/>
                <w:sz w:val="19"/>
                <w:szCs w:val="19"/>
              </w:rPr>
            </w:pPr>
            <w:r>
              <w:rPr>
                <w:rFonts w:hint="eastAsia" w:ascii="黑体" w:hAnsi="黑体" w:eastAsia="黑体" w:cs="黑体"/>
                <w:sz w:val="19"/>
                <w:szCs w:val="19"/>
              </w:rPr>
              <w:t>交流输入</w:t>
            </w:r>
          </w:p>
        </w:tc>
        <w:tc>
          <w:tcPr>
            <w:tcW w:w="4580" w:type="dxa"/>
            <w:vAlign w:val="center"/>
          </w:tcPr>
          <w:p w14:paraId="47365C2F">
            <w:pPr>
              <w:spacing w:line="480" w:lineRule="exact"/>
              <w:rPr>
                <w:rFonts w:hint="eastAsia" w:ascii="黑体" w:hAnsi="黑体" w:eastAsia="黑体" w:cs="黑体"/>
                <w:sz w:val="19"/>
                <w:szCs w:val="19"/>
              </w:rPr>
            </w:pPr>
            <w:r>
              <w:rPr>
                <w:rFonts w:hint="eastAsia" w:ascii="黑体" w:hAnsi="黑体" w:eastAsia="黑体" w:cs="黑体"/>
                <w:sz w:val="19"/>
                <w:szCs w:val="19"/>
              </w:rPr>
              <w:t>80～264VAC（兼容110V和220V标准电压，±20%容忍度）</w:t>
            </w:r>
          </w:p>
        </w:tc>
      </w:tr>
      <w:tr w14:paraId="255F1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continue"/>
          </w:tcPr>
          <w:p w14:paraId="4864FBFF">
            <w:pPr>
              <w:widowControl/>
              <w:spacing w:line="480" w:lineRule="exact"/>
              <w:jc w:val="left"/>
              <w:rPr>
                <w:rFonts w:hint="eastAsia"/>
              </w:rPr>
            </w:pPr>
          </w:p>
        </w:tc>
        <w:tc>
          <w:tcPr>
            <w:tcW w:w="1189" w:type="dxa"/>
            <w:vMerge w:val="continue"/>
          </w:tcPr>
          <w:p w14:paraId="6266C989">
            <w:pPr>
              <w:widowControl/>
              <w:spacing w:line="480" w:lineRule="exact"/>
              <w:jc w:val="left"/>
              <w:rPr>
                <w:rFonts w:hint="eastAsia"/>
              </w:rPr>
            </w:pPr>
          </w:p>
        </w:tc>
        <w:tc>
          <w:tcPr>
            <w:tcW w:w="845" w:type="dxa"/>
            <w:vAlign w:val="center"/>
          </w:tcPr>
          <w:p w14:paraId="551A56CC">
            <w:pPr>
              <w:widowControl/>
              <w:spacing w:line="480" w:lineRule="exact"/>
              <w:jc w:val="center"/>
              <w:rPr>
                <w:rFonts w:hint="eastAsia"/>
              </w:rPr>
            </w:pPr>
            <w:r>
              <w:rPr>
                <w:rFonts w:hint="eastAsia" w:ascii="黑体" w:hAnsi="黑体" w:eastAsia="黑体" w:cs="黑体"/>
                <w:sz w:val="19"/>
                <w:szCs w:val="19"/>
              </w:rPr>
              <w:t>▲</w:t>
            </w:r>
          </w:p>
        </w:tc>
        <w:tc>
          <w:tcPr>
            <w:tcW w:w="1936" w:type="dxa"/>
            <w:vAlign w:val="center"/>
          </w:tcPr>
          <w:p w14:paraId="23C0FBFD">
            <w:pPr>
              <w:spacing w:line="480" w:lineRule="exact"/>
              <w:rPr>
                <w:rFonts w:hint="eastAsia" w:ascii="黑体" w:hAnsi="黑体" w:eastAsia="黑体" w:cs="黑体"/>
                <w:sz w:val="19"/>
                <w:szCs w:val="19"/>
              </w:rPr>
            </w:pPr>
            <w:r>
              <w:rPr>
                <w:rFonts w:hint="eastAsia" w:ascii="黑体" w:hAnsi="黑体" w:eastAsia="黑体" w:cs="黑体"/>
                <w:sz w:val="19"/>
                <w:szCs w:val="19"/>
              </w:rPr>
              <w:t>充电模式</w:t>
            </w:r>
          </w:p>
        </w:tc>
        <w:tc>
          <w:tcPr>
            <w:tcW w:w="4580" w:type="dxa"/>
            <w:vAlign w:val="center"/>
          </w:tcPr>
          <w:p w14:paraId="22E496AD">
            <w:pPr>
              <w:spacing w:line="480" w:lineRule="exact"/>
              <w:rPr>
                <w:rFonts w:hint="eastAsia" w:ascii="黑体" w:hAnsi="黑体" w:eastAsia="黑体" w:cs="黑体"/>
                <w:sz w:val="19"/>
                <w:szCs w:val="19"/>
              </w:rPr>
            </w:pPr>
            <w:r>
              <w:rPr>
                <w:rFonts w:hint="eastAsia" w:ascii="黑体" w:hAnsi="黑体" w:eastAsia="黑体" w:cs="黑体"/>
                <w:sz w:val="19"/>
                <w:szCs w:val="19"/>
              </w:rPr>
              <w:t>支持两组电池交替隔离充电，兼容铅酸/锂电等多种电池；</w:t>
            </w:r>
          </w:p>
        </w:tc>
      </w:tr>
      <w:tr w14:paraId="08180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758" w:type="dxa"/>
            <w:vMerge w:val="continue"/>
          </w:tcPr>
          <w:p w14:paraId="54117D7E">
            <w:pPr>
              <w:widowControl/>
              <w:spacing w:line="480" w:lineRule="exact"/>
              <w:jc w:val="left"/>
              <w:rPr>
                <w:rFonts w:hint="eastAsia"/>
              </w:rPr>
            </w:pPr>
          </w:p>
        </w:tc>
        <w:tc>
          <w:tcPr>
            <w:tcW w:w="1189" w:type="dxa"/>
            <w:vMerge w:val="continue"/>
          </w:tcPr>
          <w:p w14:paraId="5E9A03E4">
            <w:pPr>
              <w:widowControl/>
              <w:spacing w:line="480" w:lineRule="exact"/>
              <w:jc w:val="left"/>
              <w:rPr>
                <w:rFonts w:hint="eastAsia"/>
              </w:rPr>
            </w:pPr>
          </w:p>
        </w:tc>
        <w:tc>
          <w:tcPr>
            <w:tcW w:w="845" w:type="dxa"/>
            <w:vAlign w:val="center"/>
          </w:tcPr>
          <w:p w14:paraId="752C1088">
            <w:pPr>
              <w:widowControl/>
              <w:spacing w:line="480" w:lineRule="exact"/>
              <w:jc w:val="center"/>
              <w:rPr>
                <w:rFonts w:hint="eastAsia"/>
              </w:rPr>
            </w:pPr>
            <w:r>
              <w:rPr>
                <w:rFonts w:hint="eastAsia" w:ascii="黑体" w:hAnsi="黑体" w:eastAsia="黑体" w:cs="黑体"/>
                <w:sz w:val="19"/>
                <w:szCs w:val="19"/>
              </w:rPr>
              <w:t>▲</w:t>
            </w:r>
          </w:p>
        </w:tc>
        <w:tc>
          <w:tcPr>
            <w:tcW w:w="1936" w:type="dxa"/>
            <w:vAlign w:val="center"/>
          </w:tcPr>
          <w:p w14:paraId="27558470">
            <w:pPr>
              <w:spacing w:line="480" w:lineRule="exact"/>
              <w:rPr>
                <w:rFonts w:hint="eastAsia" w:ascii="黑体" w:hAnsi="黑体" w:eastAsia="黑体" w:cs="黑体"/>
                <w:sz w:val="19"/>
                <w:szCs w:val="19"/>
              </w:rPr>
            </w:pPr>
            <w:r>
              <w:rPr>
                <w:rFonts w:hint="eastAsia" w:ascii="黑体" w:hAnsi="黑体" w:eastAsia="黑体" w:cs="黑体"/>
                <w:sz w:val="19"/>
                <w:szCs w:val="19"/>
              </w:rPr>
              <w:t>监控方式</w:t>
            </w:r>
          </w:p>
        </w:tc>
        <w:tc>
          <w:tcPr>
            <w:tcW w:w="4580" w:type="dxa"/>
            <w:vAlign w:val="center"/>
          </w:tcPr>
          <w:p w14:paraId="5C0FA0EF">
            <w:pPr>
              <w:spacing w:line="480" w:lineRule="exact"/>
              <w:rPr>
                <w:rFonts w:hint="eastAsia" w:ascii="黑体" w:hAnsi="黑体" w:eastAsia="黑体" w:cs="黑体"/>
                <w:sz w:val="19"/>
                <w:szCs w:val="19"/>
              </w:rPr>
            </w:pPr>
            <w:r>
              <w:rPr>
                <w:rFonts w:hint="eastAsia" w:ascii="黑体" w:hAnsi="黑体" w:eastAsia="黑体" w:cs="黑体"/>
                <w:sz w:val="19"/>
                <w:szCs w:val="19"/>
              </w:rPr>
              <w:t>支持数码管显示、IP远程监控</w:t>
            </w:r>
          </w:p>
        </w:tc>
      </w:tr>
      <w:tr w14:paraId="72E1F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58" w:type="dxa"/>
            <w:vMerge w:val="continue"/>
          </w:tcPr>
          <w:p w14:paraId="1ADA7EBE">
            <w:pPr>
              <w:widowControl/>
              <w:spacing w:line="480" w:lineRule="exact"/>
              <w:jc w:val="left"/>
              <w:rPr>
                <w:rFonts w:hint="eastAsia"/>
              </w:rPr>
            </w:pPr>
          </w:p>
        </w:tc>
        <w:tc>
          <w:tcPr>
            <w:tcW w:w="1189" w:type="dxa"/>
            <w:vMerge w:val="continue"/>
          </w:tcPr>
          <w:p w14:paraId="366D95CA">
            <w:pPr>
              <w:widowControl/>
              <w:spacing w:line="480" w:lineRule="exact"/>
              <w:jc w:val="left"/>
              <w:rPr>
                <w:rFonts w:hint="eastAsia"/>
              </w:rPr>
            </w:pPr>
          </w:p>
        </w:tc>
        <w:tc>
          <w:tcPr>
            <w:tcW w:w="845" w:type="dxa"/>
            <w:vAlign w:val="center"/>
          </w:tcPr>
          <w:p w14:paraId="2B8E1399">
            <w:pPr>
              <w:widowControl/>
              <w:spacing w:line="480" w:lineRule="exact"/>
              <w:jc w:val="center"/>
              <w:rPr>
                <w:rFonts w:hint="eastAsia"/>
              </w:rPr>
            </w:pPr>
            <w:r>
              <w:rPr>
                <w:rFonts w:hint="eastAsia" w:ascii="黑体" w:hAnsi="黑体" w:eastAsia="黑体" w:cs="黑体"/>
                <w:sz w:val="19"/>
                <w:szCs w:val="19"/>
              </w:rPr>
              <w:t>▲</w:t>
            </w:r>
          </w:p>
        </w:tc>
        <w:tc>
          <w:tcPr>
            <w:tcW w:w="1936" w:type="dxa"/>
            <w:vAlign w:val="center"/>
          </w:tcPr>
          <w:p w14:paraId="026831EB">
            <w:pPr>
              <w:spacing w:line="480" w:lineRule="exact"/>
              <w:rPr>
                <w:rFonts w:hint="eastAsia" w:ascii="黑体" w:hAnsi="黑体" w:eastAsia="黑体" w:cs="黑体"/>
                <w:sz w:val="19"/>
                <w:szCs w:val="19"/>
              </w:rPr>
            </w:pPr>
            <w:r>
              <w:rPr>
                <w:rFonts w:hint="eastAsia" w:ascii="黑体" w:hAnsi="黑体" w:eastAsia="黑体" w:cs="黑体"/>
                <w:sz w:val="19"/>
                <w:szCs w:val="19"/>
              </w:rPr>
              <w:t>接口</w:t>
            </w:r>
          </w:p>
        </w:tc>
        <w:tc>
          <w:tcPr>
            <w:tcW w:w="4580" w:type="dxa"/>
            <w:vAlign w:val="center"/>
          </w:tcPr>
          <w:p w14:paraId="0A3122C9">
            <w:pPr>
              <w:spacing w:line="480" w:lineRule="exact"/>
              <w:rPr>
                <w:rFonts w:hint="eastAsia" w:ascii="黑体" w:hAnsi="黑体" w:eastAsia="黑体" w:cs="黑体"/>
                <w:sz w:val="19"/>
                <w:szCs w:val="19"/>
              </w:rPr>
            </w:pPr>
            <w:r>
              <w:rPr>
                <w:rFonts w:hint="eastAsia" w:ascii="黑体" w:hAnsi="黑体" w:eastAsia="黑体" w:cs="黑体"/>
                <w:sz w:val="19"/>
                <w:szCs w:val="19"/>
              </w:rPr>
              <w:t>具备2个RS485接口、1个RJ45网络10/100M接口，8个DI接口，2个DO接口；</w:t>
            </w:r>
          </w:p>
        </w:tc>
      </w:tr>
      <w:tr w14:paraId="60E02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758" w:type="dxa"/>
            <w:vMerge w:val="continue"/>
          </w:tcPr>
          <w:p w14:paraId="23AF0B09">
            <w:pPr>
              <w:widowControl/>
              <w:spacing w:line="480" w:lineRule="exact"/>
              <w:jc w:val="left"/>
              <w:rPr>
                <w:rFonts w:hint="eastAsia"/>
              </w:rPr>
            </w:pPr>
          </w:p>
        </w:tc>
        <w:tc>
          <w:tcPr>
            <w:tcW w:w="1189" w:type="dxa"/>
            <w:vMerge w:val="continue"/>
          </w:tcPr>
          <w:p w14:paraId="64705DF9">
            <w:pPr>
              <w:widowControl/>
              <w:spacing w:line="480" w:lineRule="exact"/>
              <w:jc w:val="left"/>
              <w:rPr>
                <w:rFonts w:hint="eastAsia"/>
              </w:rPr>
            </w:pPr>
          </w:p>
        </w:tc>
        <w:tc>
          <w:tcPr>
            <w:tcW w:w="845" w:type="dxa"/>
            <w:vAlign w:val="center"/>
          </w:tcPr>
          <w:p w14:paraId="6E3C5D19">
            <w:pPr>
              <w:widowControl/>
              <w:spacing w:line="480" w:lineRule="exact"/>
              <w:jc w:val="center"/>
              <w:rPr>
                <w:rFonts w:hint="eastAsia"/>
              </w:rPr>
            </w:pPr>
            <w:r>
              <w:rPr>
                <w:rFonts w:hint="eastAsia" w:ascii="黑体" w:hAnsi="黑体" w:eastAsia="黑体" w:cs="黑体"/>
                <w:sz w:val="19"/>
                <w:szCs w:val="19"/>
              </w:rPr>
              <w:t>▲</w:t>
            </w:r>
          </w:p>
        </w:tc>
        <w:tc>
          <w:tcPr>
            <w:tcW w:w="1936" w:type="dxa"/>
            <w:vAlign w:val="center"/>
          </w:tcPr>
          <w:p w14:paraId="02EE28AC">
            <w:pPr>
              <w:spacing w:line="480" w:lineRule="exact"/>
              <w:rPr>
                <w:rFonts w:hint="eastAsia" w:ascii="黑体" w:hAnsi="黑体" w:eastAsia="黑体" w:cs="黑体"/>
                <w:sz w:val="19"/>
                <w:szCs w:val="19"/>
              </w:rPr>
            </w:pPr>
            <w:r>
              <w:rPr>
                <w:rFonts w:hint="eastAsia" w:ascii="黑体" w:hAnsi="黑体" w:eastAsia="黑体" w:cs="黑体"/>
                <w:sz w:val="19"/>
                <w:szCs w:val="19"/>
              </w:rPr>
              <w:t>报警功能</w:t>
            </w:r>
          </w:p>
        </w:tc>
        <w:tc>
          <w:tcPr>
            <w:tcW w:w="4580" w:type="dxa"/>
            <w:vAlign w:val="center"/>
          </w:tcPr>
          <w:p w14:paraId="5B47CDA6">
            <w:pPr>
              <w:spacing w:line="480" w:lineRule="exact"/>
              <w:rPr>
                <w:rFonts w:hint="eastAsia" w:ascii="黑体" w:hAnsi="黑体" w:eastAsia="黑体" w:cs="黑体"/>
                <w:sz w:val="19"/>
                <w:szCs w:val="19"/>
              </w:rPr>
            </w:pPr>
            <w:r>
              <w:rPr>
                <w:rFonts w:hint="eastAsia" w:ascii="黑体" w:hAnsi="黑体" w:eastAsia="黑体" w:cs="黑体"/>
                <w:sz w:val="19"/>
                <w:szCs w:val="19"/>
              </w:rPr>
              <w:t>支持台站故障警报短信自动推送功能</w:t>
            </w:r>
          </w:p>
        </w:tc>
      </w:tr>
      <w:tr w14:paraId="5AFDC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5" w:hRule="atLeast"/>
          <w:jc w:val="center"/>
        </w:trPr>
        <w:tc>
          <w:tcPr>
            <w:tcW w:w="758" w:type="dxa"/>
            <w:vMerge w:val="continue"/>
          </w:tcPr>
          <w:p w14:paraId="38F899FB">
            <w:pPr>
              <w:widowControl/>
              <w:spacing w:line="480" w:lineRule="exact"/>
              <w:jc w:val="left"/>
              <w:rPr>
                <w:rFonts w:hint="eastAsia"/>
              </w:rPr>
            </w:pPr>
          </w:p>
        </w:tc>
        <w:tc>
          <w:tcPr>
            <w:tcW w:w="1189" w:type="dxa"/>
            <w:vMerge w:val="continue"/>
          </w:tcPr>
          <w:p w14:paraId="3DCEB31B">
            <w:pPr>
              <w:widowControl/>
              <w:spacing w:line="480" w:lineRule="exact"/>
              <w:jc w:val="left"/>
              <w:rPr>
                <w:rFonts w:hint="eastAsia"/>
              </w:rPr>
            </w:pPr>
          </w:p>
        </w:tc>
        <w:tc>
          <w:tcPr>
            <w:tcW w:w="845" w:type="dxa"/>
            <w:vAlign w:val="center"/>
          </w:tcPr>
          <w:p w14:paraId="7514B1BA">
            <w:pPr>
              <w:widowControl/>
              <w:spacing w:line="480" w:lineRule="exact"/>
              <w:jc w:val="center"/>
              <w:rPr>
                <w:rFonts w:hint="eastAsia"/>
              </w:rPr>
            </w:pPr>
            <w:r>
              <w:rPr>
                <w:rFonts w:hint="eastAsia" w:ascii="黑体" w:hAnsi="黑体" w:eastAsia="黑体" w:cs="黑体"/>
                <w:sz w:val="19"/>
                <w:szCs w:val="19"/>
              </w:rPr>
              <w:t>▲</w:t>
            </w:r>
          </w:p>
        </w:tc>
        <w:tc>
          <w:tcPr>
            <w:tcW w:w="1936" w:type="dxa"/>
            <w:vAlign w:val="center"/>
          </w:tcPr>
          <w:p w14:paraId="7FCA2596">
            <w:pPr>
              <w:spacing w:line="480" w:lineRule="exact"/>
              <w:rPr>
                <w:rFonts w:hint="eastAsia" w:ascii="黑体" w:hAnsi="黑体" w:eastAsia="黑体" w:cs="黑体"/>
                <w:sz w:val="19"/>
                <w:szCs w:val="19"/>
              </w:rPr>
            </w:pPr>
            <w:r>
              <w:rPr>
                <w:rFonts w:hint="eastAsia" w:ascii="黑体" w:hAnsi="黑体" w:eastAsia="黑体" w:cs="黑体"/>
                <w:sz w:val="19"/>
                <w:szCs w:val="19"/>
              </w:rPr>
              <w:t>功能要求</w:t>
            </w:r>
          </w:p>
        </w:tc>
        <w:tc>
          <w:tcPr>
            <w:tcW w:w="4580" w:type="dxa"/>
            <w:vAlign w:val="center"/>
          </w:tcPr>
          <w:p w14:paraId="08316831">
            <w:pPr>
              <w:spacing w:line="480" w:lineRule="exact"/>
              <w:rPr>
                <w:rFonts w:hint="eastAsia" w:ascii="黑体" w:hAnsi="黑体" w:eastAsia="黑体" w:cs="黑体"/>
                <w:sz w:val="19"/>
                <w:szCs w:val="19"/>
              </w:rPr>
            </w:pPr>
            <w:r>
              <w:rPr>
                <w:rFonts w:hint="eastAsia" w:ascii="黑体" w:hAnsi="黑体" w:eastAsia="黑体" w:cs="黑体"/>
                <w:sz w:val="19"/>
                <w:szCs w:val="19"/>
              </w:rPr>
              <w:t>监控管理、运维管理、数据管理、设备管理、统计分析、智能采集、智能判断、智能策略、智能监控、智能运维、故障管理、报表与分析</w:t>
            </w:r>
          </w:p>
        </w:tc>
      </w:tr>
      <w:tr w14:paraId="44177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224A1248">
            <w:pPr>
              <w:spacing w:line="480" w:lineRule="exact"/>
              <w:rPr>
                <w:rFonts w:hint="eastAsia" w:ascii="黑体" w:hAnsi="黑体" w:eastAsia="黑体" w:cs="黑体"/>
                <w:sz w:val="19"/>
                <w:szCs w:val="19"/>
              </w:rPr>
            </w:pPr>
          </w:p>
        </w:tc>
        <w:tc>
          <w:tcPr>
            <w:tcW w:w="1189" w:type="dxa"/>
            <w:vMerge w:val="continue"/>
            <w:vAlign w:val="center"/>
          </w:tcPr>
          <w:p w14:paraId="7366044C">
            <w:pPr>
              <w:spacing w:line="480" w:lineRule="exact"/>
              <w:rPr>
                <w:rFonts w:hint="eastAsia" w:ascii="黑体" w:hAnsi="黑体" w:eastAsia="黑体" w:cs="黑体"/>
                <w:sz w:val="19"/>
                <w:szCs w:val="19"/>
              </w:rPr>
            </w:pPr>
          </w:p>
        </w:tc>
        <w:tc>
          <w:tcPr>
            <w:tcW w:w="845" w:type="dxa"/>
            <w:vMerge w:val="restart"/>
            <w:vAlign w:val="center"/>
          </w:tcPr>
          <w:p w14:paraId="72BC1234">
            <w:pPr>
              <w:spacing w:line="480" w:lineRule="exact"/>
              <w:rPr>
                <w:rFonts w:hint="eastAsia" w:ascii="黑体" w:hAnsi="黑体" w:eastAsia="黑体" w:cs="黑体"/>
                <w:sz w:val="19"/>
                <w:szCs w:val="19"/>
              </w:rPr>
            </w:pPr>
          </w:p>
        </w:tc>
        <w:tc>
          <w:tcPr>
            <w:tcW w:w="1936" w:type="dxa"/>
            <w:vAlign w:val="center"/>
          </w:tcPr>
          <w:p w14:paraId="1733A442">
            <w:pPr>
              <w:spacing w:line="480" w:lineRule="exact"/>
              <w:rPr>
                <w:rFonts w:hint="eastAsia" w:ascii="黑体" w:hAnsi="黑体" w:eastAsia="黑体" w:cs="黑体"/>
                <w:sz w:val="19"/>
                <w:szCs w:val="19"/>
              </w:rPr>
            </w:pPr>
            <w:r>
              <w:rPr>
                <w:rFonts w:hint="eastAsia" w:ascii="黑体" w:hAnsi="黑体" w:eastAsia="黑体" w:cs="黑体"/>
                <w:sz w:val="19"/>
                <w:szCs w:val="19"/>
              </w:rPr>
              <w:t>直流输入</w:t>
            </w:r>
          </w:p>
        </w:tc>
        <w:tc>
          <w:tcPr>
            <w:tcW w:w="4580" w:type="dxa"/>
            <w:vAlign w:val="center"/>
          </w:tcPr>
          <w:p w14:paraId="0328B9B4">
            <w:pPr>
              <w:spacing w:line="480" w:lineRule="exact"/>
              <w:rPr>
                <w:rFonts w:hint="eastAsia" w:ascii="黑体" w:hAnsi="黑体" w:eastAsia="黑体" w:cs="黑体"/>
                <w:sz w:val="19"/>
                <w:szCs w:val="19"/>
              </w:rPr>
            </w:pPr>
            <w:r>
              <w:rPr>
                <w:rFonts w:hint="eastAsia" w:ascii="黑体" w:hAnsi="黑体" w:eastAsia="黑体" w:cs="黑体"/>
                <w:sz w:val="19"/>
                <w:szCs w:val="19"/>
              </w:rPr>
              <w:t>48VDC可调</w:t>
            </w:r>
          </w:p>
        </w:tc>
      </w:tr>
      <w:tr w14:paraId="0873C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3ACF304">
            <w:pPr>
              <w:spacing w:line="480" w:lineRule="exact"/>
              <w:rPr>
                <w:rFonts w:hint="eastAsia" w:ascii="黑体" w:hAnsi="黑体" w:eastAsia="黑体" w:cs="黑体"/>
                <w:sz w:val="19"/>
                <w:szCs w:val="19"/>
              </w:rPr>
            </w:pPr>
          </w:p>
        </w:tc>
        <w:tc>
          <w:tcPr>
            <w:tcW w:w="1189" w:type="dxa"/>
            <w:vMerge w:val="continue"/>
            <w:vAlign w:val="center"/>
          </w:tcPr>
          <w:p w14:paraId="771CE867">
            <w:pPr>
              <w:spacing w:line="480" w:lineRule="exact"/>
              <w:rPr>
                <w:rFonts w:hint="eastAsia" w:ascii="黑体" w:hAnsi="黑体" w:eastAsia="黑体" w:cs="黑体"/>
                <w:sz w:val="19"/>
                <w:szCs w:val="19"/>
              </w:rPr>
            </w:pPr>
          </w:p>
        </w:tc>
        <w:tc>
          <w:tcPr>
            <w:tcW w:w="845" w:type="dxa"/>
            <w:vMerge w:val="continue"/>
            <w:vAlign w:val="center"/>
          </w:tcPr>
          <w:p w14:paraId="301DE2F7">
            <w:pPr>
              <w:spacing w:line="480" w:lineRule="exact"/>
              <w:rPr>
                <w:rFonts w:hint="eastAsia" w:ascii="黑体" w:hAnsi="黑体" w:eastAsia="黑体" w:cs="黑体"/>
                <w:sz w:val="19"/>
                <w:szCs w:val="19"/>
              </w:rPr>
            </w:pPr>
          </w:p>
        </w:tc>
        <w:tc>
          <w:tcPr>
            <w:tcW w:w="1936" w:type="dxa"/>
            <w:vAlign w:val="center"/>
          </w:tcPr>
          <w:p w14:paraId="22881DAE">
            <w:pPr>
              <w:spacing w:line="480" w:lineRule="exact"/>
              <w:rPr>
                <w:rFonts w:hint="eastAsia" w:ascii="黑体" w:hAnsi="黑体" w:eastAsia="黑体" w:cs="黑体"/>
                <w:sz w:val="19"/>
                <w:szCs w:val="19"/>
              </w:rPr>
            </w:pPr>
            <w:r>
              <w:rPr>
                <w:rFonts w:hint="eastAsia" w:ascii="黑体" w:hAnsi="黑体" w:eastAsia="黑体" w:cs="黑体"/>
                <w:sz w:val="19"/>
                <w:szCs w:val="19"/>
              </w:rPr>
              <w:t>适用电池</w:t>
            </w:r>
          </w:p>
        </w:tc>
        <w:tc>
          <w:tcPr>
            <w:tcW w:w="4580" w:type="dxa"/>
            <w:vAlign w:val="center"/>
          </w:tcPr>
          <w:p w14:paraId="35E9B015">
            <w:pPr>
              <w:spacing w:line="480" w:lineRule="exact"/>
              <w:rPr>
                <w:rFonts w:hint="eastAsia" w:ascii="黑体" w:hAnsi="黑体" w:eastAsia="黑体" w:cs="黑体"/>
                <w:sz w:val="19"/>
                <w:szCs w:val="19"/>
              </w:rPr>
            </w:pPr>
            <w:r>
              <w:rPr>
                <w:rFonts w:hint="eastAsia" w:ascii="黑体" w:hAnsi="黑体" w:eastAsia="黑体" w:cs="黑体"/>
                <w:sz w:val="19"/>
                <w:szCs w:val="19"/>
              </w:rPr>
              <w:t>铅酸电池组、锂电池组</w:t>
            </w:r>
          </w:p>
        </w:tc>
      </w:tr>
      <w:tr w14:paraId="6F419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6A6DA3C8">
            <w:pPr>
              <w:spacing w:line="480" w:lineRule="exact"/>
              <w:rPr>
                <w:rFonts w:hint="eastAsia" w:ascii="黑体" w:hAnsi="黑体" w:eastAsia="黑体" w:cs="黑体"/>
                <w:sz w:val="19"/>
                <w:szCs w:val="19"/>
              </w:rPr>
            </w:pPr>
          </w:p>
        </w:tc>
        <w:tc>
          <w:tcPr>
            <w:tcW w:w="1189" w:type="dxa"/>
            <w:vMerge w:val="continue"/>
            <w:vAlign w:val="center"/>
          </w:tcPr>
          <w:p w14:paraId="16BCCE30">
            <w:pPr>
              <w:spacing w:line="480" w:lineRule="exact"/>
              <w:rPr>
                <w:rFonts w:hint="eastAsia" w:ascii="黑体" w:hAnsi="黑体" w:eastAsia="黑体" w:cs="黑体"/>
                <w:sz w:val="19"/>
                <w:szCs w:val="19"/>
              </w:rPr>
            </w:pPr>
          </w:p>
        </w:tc>
        <w:tc>
          <w:tcPr>
            <w:tcW w:w="845" w:type="dxa"/>
            <w:vMerge w:val="continue"/>
            <w:vAlign w:val="center"/>
          </w:tcPr>
          <w:p w14:paraId="51B3C2C1">
            <w:pPr>
              <w:spacing w:line="480" w:lineRule="exact"/>
              <w:rPr>
                <w:rFonts w:hint="eastAsia" w:ascii="黑体" w:hAnsi="黑体" w:eastAsia="黑体" w:cs="黑体"/>
                <w:sz w:val="19"/>
                <w:szCs w:val="19"/>
              </w:rPr>
            </w:pPr>
          </w:p>
        </w:tc>
        <w:tc>
          <w:tcPr>
            <w:tcW w:w="1936" w:type="dxa"/>
            <w:vAlign w:val="center"/>
          </w:tcPr>
          <w:p w14:paraId="5321B026">
            <w:pPr>
              <w:spacing w:line="480" w:lineRule="exact"/>
              <w:rPr>
                <w:rFonts w:hint="eastAsia" w:ascii="黑体" w:hAnsi="黑体" w:eastAsia="黑体" w:cs="黑体"/>
                <w:sz w:val="19"/>
                <w:szCs w:val="19"/>
              </w:rPr>
            </w:pPr>
            <w:r>
              <w:rPr>
                <w:rFonts w:hint="eastAsia" w:ascii="黑体" w:hAnsi="黑体" w:eastAsia="黑体" w:cs="黑体"/>
                <w:sz w:val="19"/>
                <w:szCs w:val="19"/>
              </w:rPr>
              <w:t>浮充电压</w:t>
            </w:r>
          </w:p>
        </w:tc>
        <w:tc>
          <w:tcPr>
            <w:tcW w:w="4580" w:type="dxa"/>
            <w:vAlign w:val="center"/>
          </w:tcPr>
          <w:p w14:paraId="4BDE6285">
            <w:pPr>
              <w:spacing w:line="480" w:lineRule="exact"/>
              <w:rPr>
                <w:rFonts w:hint="eastAsia" w:ascii="黑体" w:hAnsi="黑体" w:eastAsia="黑体" w:cs="黑体"/>
                <w:sz w:val="19"/>
                <w:szCs w:val="19"/>
              </w:rPr>
            </w:pPr>
            <w:r>
              <w:rPr>
                <w:rFonts w:hint="eastAsia" w:ascii="黑体" w:hAnsi="黑体" w:eastAsia="黑体" w:cs="黑体"/>
                <w:sz w:val="19"/>
                <w:szCs w:val="19"/>
              </w:rPr>
              <w:t>56V±0.5V</w:t>
            </w:r>
          </w:p>
        </w:tc>
      </w:tr>
      <w:tr w14:paraId="0D69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2DA07FF0">
            <w:pPr>
              <w:spacing w:line="480" w:lineRule="exact"/>
              <w:rPr>
                <w:rFonts w:hint="eastAsia" w:ascii="黑体" w:hAnsi="黑体" w:eastAsia="黑体" w:cs="黑体"/>
                <w:sz w:val="19"/>
                <w:szCs w:val="19"/>
              </w:rPr>
            </w:pPr>
          </w:p>
        </w:tc>
        <w:tc>
          <w:tcPr>
            <w:tcW w:w="1189" w:type="dxa"/>
            <w:vMerge w:val="continue"/>
            <w:vAlign w:val="center"/>
          </w:tcPr>
          <w:p w14:paraId="64678DD0">
            <w:pPr>
              <w:spacing w:line="480" w:lineRule="exact"/>
              <w:rPr>
                <w:rFonts w:hint="eastAsia" w:ascii="黑体" w:hAnsi="黑体" w:eastAsia="黑体" w:cs="黑体"/>
                <w:sz w:val="19"/>
                <w:szCs w:val="19"/>
              </w:rPr>
            </w:pPr>
          </w:p>
        </w:tc>
        <w:tc>
          <w:tcPr>
            <w:tcW w:w="845" w:type="dxa"/>
            <w:vMerge w:val="continue"/>
            <w:vAlign w:val="center"/>
          </w:tcPr>
          <w:p w14:paraId="04E479EE">
            <w:pPr>
              <w:spacing w:line="480" w:lineRule="exact"/>
              <w:rPr>
                <w:rFonts w:hint="eastAsia" w:ascii="黑体" w:hAnsi="黑体" w:eastAsia="黑体" w:cs="黑体"/>
                <w:sz w:val="19"/>
                <w:szCs w:val="19"/>
              </w:rPr>
            </w:pPr>
          </w:p>
        </w:tc>
        <w:tc>
          <w:tcPr>
            <w:tcW w:w="1936" w:type="dxa"/>
            <w:vAlign w:val="center"/>
          </w:tcPr>
          <w:p w14:paraId="0D18AE85">
            <w:pPr>
              <w:spacing w:line="480" w:lineRule="exact"/>
              <w:rPr>
                <w:rFonts w:hint="eastAsia" w:ascii="黑体" w:hAnsi="黑体" w:eastAsia="黑体" w:cs="黑体"/>
                <w:sz w:val="19"/>
                <w:szCs w:val="19"/>
              </w:rPr>
            </w:pPr>
            <w:r>
              <w:rPr>
                <w:rFonts w:hint="eastAsia" w:ascii="黑体" w:hAnsi="黑体" w:eastAsia="黑体" w:cs="黑体"/>
                <w:sz w:val="19"/>
                <w:szCs w:val="19"/>
              </w:rPr>
              <w:t>充电电流</w:t>
            </w:r>
          </w:p>
        </w:tc>
        <w:tc>
          <w:tcPr>
            <w:tcW w:w="4580" w:type="dxa"/>
            <w:vAlign w:val="center"/>
          </w:tcPr>
          <w:p w14:paraId="4825D8EE">
            <w:pPr>
              <w:spacing w:line="480" w:lineRule="exact"/>
              <w:rPr>
                <w:rFonts w:hint="eastAsia" w:ascii="黑体" w:hAnsi="黑体" w:eastAsia="黑体" w:cs="黑体"/>
                <w:sz w:val="19"/>
                <w:szCs w:val="19"/>
              </w:rPr>
            </w:pPr>
            <w:r>
              <w:rPr>
                <w:rFonts w:hint="eastAsia" w:ascii="黑体" w:hAnsi="黑体" w:eastAsia="黑体" w:cs="黑体"/>
                <w:sz w:val="19"/>
                <w:szCs w:val="19"/>
              </w:rPr>
              <w:t>20AMax</w:t>
            </w:r>
          </w:p>
        </w:tc>
      </w:tr>
      <w:tr w14:paraId="72DF1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5F769A11">
            <w:pPr>
              <w:spacing w:line="480" w:lineRule="exact"/>
              <w:rPr>
                <w:rFonts w:hint="eastAsia" w:ascii="黑体" w:hAnsi="黑体" w:eastAsia="黑体" w:cs="黑体"/>
                <w:sz w:val="19"/>
                <w:szCs w:val="19"/>
              </w:rPr>
            </w:pPr>
          </w:p>
        </w:tc>
        <w:tc>
          <w:tcPr>
            <w:tcW w:w="1189" w:type="dxa"/>
            <w:vMerge w:val="continue"/>
            <w:vAlign w:val="center"/>
          </w:tcPr>
          <w:p w14:paraId="5E91016F">
            <w:pPr>
              <w:spacing w:line="480" w:lineRule="exact"/>
              <w:rPr>
                <w:rFonts w:hint="eastAsia" w:ascii="黑体" w:hAnsi="黑体" w:eastAsia="黑体" w:cs="黑体"/>
                <w:sz w:val="19"/>
                <w:szCs w:val="19"/>
              </w:rPr>
            </w:pPr>
          </w:p>
        </w:tc>
        <w:tc>
          <w:tcPr>
            <w:tcW w:w="845" w:type="dxa"/>
            <w:vMerge w:val="continue"/>
            <w:vAlign w:val="center"/>
          </w:tcPr>
          <w:p w14:paraId="09324C7A">
            <w:pPr>
              <w:spacing w:line="480" w:lineRule="exact"/>
              <w:rPr>
                <w:rFonts w:hint="eastAsia" w:ascii="黑体" w:hAnsi="黑体" w:eastAsia="黑体" w:cs="黑体"/>
                <w:sz w:val="19"/>
                <w:szCs w:val="19"/>
              </w:rPr>
            </w:pPr>
          </w:p>
        </w:tc>
        <w:tc>
          <w:tcPr>
            <w:tcW w:w="1936" w:type="dxa"/>
            <w:vAlign w:val="center"/>
          </w:tcPr>
          <w:p w14:paraId="7B3572DC">
            <w:pPr>
              <w:spacing w:line="480" w:lineRule="exact"/>
              <w:rPr>
                <w:rFonts w:hint="eastAsia" w:ascii="黑体" w:hAnsi="黑体" w:eastAsia="黑体" w:cs="黑体"/>
                <w:sz w:val="19"/>
                <w:szCs w:val="19"/>
              </w:rPr>
            </w:pPr>
            <w:r>
              <w:rPr>
                <w:rFonts w:hint="eastAsia" w:ascii="黑体" w:hAnsi="黑体" w:eastAsia="黑体" w:cs="黑体"/>
                <w:sz w:val="19"/>
                <w:szCs w:val="19"/>
              </w:rPr>
              <w:t>供电输出</w:t>
            </w:r>
          </w:p>
        </w:tc>
        <w:tc>
          <w:tcPr>
            <w:tcW w:w="4580" w:type="dxa"/>
            <w:vAlign w:val="center"/>
          </w:tcPr>
          <w:p w14:paraId="48F2E7D5">
            <w:pPr>
              <w:spacing w:line="480" w:lineRule="exact"/>
              <w:rPr>
                <w:rFonts w:hint="eastAsia" w:ascii="黑体" w:hAnsi="黑体" w:eastAsia="黑体" w:cs="黑体"/>
                <w:sz w:val="19"/>
                <w:szCs w:val="19"/>
              </w:rPr>
            </w:pPr>
            <w:r>
              <w:rPr>
                <w:rFonts w:hint="eastAsia" w:ascii="黑体" w:hAnsi="黑体" w:eastAsia="黑体" w:cs="黑体"/>
                <w:sz w:val="19"/>
                <w:szCs w:val="19"/>
              </w:rPr>
              <w:t>12VDC /5A Max（60W）；24VDC/5A Max（120W）；48VDC/2A Max  (100W)</w:t>
            </w:r>
          </w:p>
        </w:tc>
      </w:tr>
      <w:tr w14:paraId="1915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6ED85C7">
            <w:pPr>
              <w:spacing w:line="480" w:lineRule="exact"/>
              <w:rPr>
                <w:rFonts w:hint="eastAsia" w:ascii="黑体" w:hAnsi="黑体" w:eastAsia="黑体" w:cs="黑体"/>
                <w:sz w:val="19"/>
                <w:szCs w:val="19"/>
              </w:rPr>
            </w:pPr>
          </w:p>
        </w:tc>
        <w:tc>
          <w:tcPr>
            <w:tcW w:w="1189" w:type="dxa"/>
            <w:vMerge w:val="continue"/>
            <w:vAlign w:val="center"/>
          </w:tcPr>
          <w:p w14:paraId="16D13C35">
            <w:pPr>
              <w:spacing w:line="480" w:lineRule="exact"/>
              <w:rPr>
                <w:rFonts w:hint="eastAsia" w:ascii="黑体" w:hAnsi="黑体" w:eastAsia="黑体" w:cs="黑体"/>
                <w:sz w:val="19"/>
                <w:szCs w:val="19"/>
              </w:rPr>
            </w:pPr>
          </w:p>
        </w:tc>
        <w:tc>
          <w:tcPr>
            <w:tcW w:w="845" w:type="dxa"/>
            <w:vMerge w:val="continue"/>
            <w:vAlign w:val="center"/>
          </w:tcPr>
          <w:p w14:paraId="1B0EF5D8">
            <w:pPr>
              <w:spacing w:line="480" w:lineRule="exact"/>
              <w:rPr>
                <w:rFonts w:hint="eastAsia" w:ascii="黑体" w:hAnsi="黑体" w:eastAsia="黑体" w:cs="黑体"/>
                <w:sz w:val="19"/>
                <w:szCs w:val="19"/>
              </w:rPr>
            </w:pPr>
          </w:p>
        </w:tc>
        <w:tc>
          <w:tcPr>
            <w:tcW w:w="1936" w:type="dxa"/>
            <w:vAlign w:val="center"/>
          </w:tcPr>
          <w:p w14:paraId="4539ECC0">
            <w:pPr>
              <w:spacing w:line="480" w:lineRule="exact"/>
              <w:rPr>
                <w:rFonts w:hint="eastAsia" w:ascii="黑体" w:hAnsi="黑体" w:eastAsia="黑体" w:cs="黑体"/>
                <w:sz w:val="19"/>
                <w:szCs w:val="19"/>
              </w:rPr>
            </w:pPr>
            <w:r>
              <w:rPr>
                <w:rFonts w:hint="eastAsia" w:ascii="黑体" w:hAnsi="黑体" w:eastAsia="黑体" w:cs="黑体"/>
                <w:sz w:val="19"/>
                <w:szCs w:val="19"/>
              </w:rPr>
              <w:t>动态响应</w:t>
            </w:r>
          </w:p>
        </w:tc>
        <w:tc>
          <w:tcPr>
            <w:tcW w:w="4580" w:type="dxa"/>
            <w:vAlign w:val="center"/>
          </w:tcPr>
          <w:p w14:paraId="59CAF51B">
            <w:pPr>
              <w:spacing w:line="480" w:lineRule="exact"/>
              <w:rPr>
                <w:rFonts w:hint="eastAsia" w:ascii="黑体" w:hAnsi="黑体" w:eastAsia="黑体" w:cs="黑体"/>
                <w:sz w:val="19"/>
                <w:szCs w:val="19"/>
              </w:rPr>
            </w:pPr>
            <w:r>
              <w:rPr>
                <w:rFonts w:hint="eastAsia" w:ascii="黑体" w:hAnsi="黑体" w:eastAsia="黑体" w:cs="黑体"/>
                <w:sz w:val="19"/>
                <w:szCs w:val="19"/>
              </w:rPr>
              <w:t>负载在20%～100%变化时，输出电压调整至稳定值的时间≤200μs；交流供电在所在国标准电压±20%变化时，输出电压调整至稳定值的时间≤200μs；</w:t>
            </w:r>
          </w:p>
        </w:tc>
      </w:tr>
      <w:tr w14:paraId="29BB1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2CC39C44">
            <w:pPr>
              <w:spacing w:line="480" w:lineRule="exact"/>
              <w:rPr>
                <w:rFonts w:hint="eastAsia" w:ascii="黑体" w:hAnsi="黑体" w:eastAsia="黑体" w:cs="黑体"/>
                <w:sz w:val="19"/>
                <w:szCs w:val="19"/>
              </w:rPr>
            </w:pPr>
          </w:p>
        </w:tc>
        <w:tc>
          <w:tcPr>
            <w:tcW w:w="1189" w:type="dxa"/>
            <w:vMerge w:val="continue"/>
            <w:vAlign w:val="center"/>
          </w:tcPr>
          <w:p w14:paraId="53BF2877">
            <w:pPr>
              <w:spacing w:line="480" w:lineRule="exact"/>
              <w:rPr>
                <w:rFonts w:hint="eastAsia" w:ascii="黑体" w:hAnsi="黑体" w:eastAsia="黑体" w:cs="黑体"/>
                <w:sz w:val="19"/>
                <w:szCs w:val="19"/>
              </w:rPr>
            </w:pPr>
          </w:p>
        </w:tc>
        <w:tc>
          <w:tcPr>
            <w:tcW w:w="845" w:type="dxa"/>
            <w:vMerge w:val="continue"/>
            <w:vAlign w:val="center"/>
          </w:tcPr>
          <w:p w14:paraId="38B88B4F">
            <w:pPr>
              <w:spacing w:line="480" w:lineRule="exact"/>
              <w:rPr>
                <w:rFonts w:hint="eastAsia" w:ascii="黑体" w:hAnsi="黑体" w:eastAsia="黑体" w:cs="黑体"/>
                <w:sz w:val="19"/>
                <w:szCs w:val="19"/>
              </w:rPr>
            </w:pPr>
          </w:p>
        </w:tc>
        <w:tc>
          <w:tcPr>
            <w:tcW w:w="1936" w:type="dxa"/>
            <w:vAlign w:val="center"/>
          </w:tcPr>
          <w:p w14:paraId="0A0734AD">
            <w:pPr>
              <w:spacing w:line="480" w:lineRule="exact"/>
              <w:rPr>
                <w:rFonts w:hint="eastAsia" w:ascii="黑体" w:hAnsi="黑体" w:eastAsia="黑体" w:cs="黑体"/>
                <w:sz w:val="19"/>
                <w:szCs w:val="19"/>
              </w:rPr>
            </w:pPr>
            <w:r>
              <w:rPr>
                <w:rFonts w:hint="eastAsia" w:ascii="黑体" w:hAnsi="黑体" w:eastAsia="黑体" w:cs="黑体"/>
                <w:sz w:val="19"/>
                <w:szCs w:val="19"/>
              </w:rPr>
              <w:t>保护复位</w:t>
            </w:r>
          </w:p>
        </w:tc>
        <w:tc>
          <w:tcPr>
            <w:tcW w:w="4580" w:type="dxa"/>
            <w:vAlign w:val="center"/>
          </w:tcPr>
          <w:p w14:paraId="376026EE">
            <w:pPr>
              <w:spacing w:line="480" w:lineRule="exact"/>
              <w:rPr>
                <w:rFonts w:hint="eastAsia" w:ascii="黑体" w:hAnsi="黑体" w:eastAsia="黑体" w:cs="黑体"/>
                <w:sz w:val="19"/>
                <w:szCs w:val="19"/>
              </w:rPr>
            </w:pPr>
            <w:r>
              <w:rPr>
                <w:rFonts w:hint="eastAsia" w:ascii="黑体" w:hAnsi="黑体" w:eastAsia="黑体" w:cs="黑体"/>
                <w:sz w:val="19"/>
                <w:szCs w:val="19"/>
              </w:rPr>
              <w:t>蓄电池端电压高于50V ±0.2V自动恢复输出；正常充电时自动复位保护，恢复输出（旁路输出）</w:t>
            </w:r>
          </w:p>
        </w:tc>
      </w:tr>
      <w:tr w14:paraId="5686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1C59D75">
            <w:pPr>
              <w:spacing w:line="480" w:lineRule="exact"/>
              <w:rPr>
                <w:rFonts w:hint="eastAsia" w:ascii="黑体" w:hAnsi="黑体" w:eastAsia="黑体" w:cs="黑体"/>
                <w:sz w:val="19"/>
                <w:szCs w:val="19"/>
              </w:rPr>
            </w:pPr>
          </w:p>
        </w:tc>
        <w:tc>
          <w:tcPr>
            <w:tcW w:w="1189" w:type="dxa"/>
            <w:vMerge w:val="continue"/>
            <w:vAlign w:val="center"/>
          </w:tcPr>
          <w:p w14:paraId="2E8459E6">
            <w:pPr>
              <w:spacing w:line="480" w:lineRule="exact"/>
              <w:rPr>
                <w:rFonts w:hint="eastAsia" w:ascii="黑体" w:hAnsi="黑体" w:eastAsia="黑体" w:cs="黑体"/>
                <w:sz w:val="19"/>
                <w:szCs w:val="19"/>
              </w:rPr>
            </w:pPr>
          </w:p>
        </w:tc>
        <w:tc>
          <w:tcPr>
            <w:tcW w:w="845" w:type="dxa"/>
            <w:vMerge w:val="continue"/>
            <w:vAlign w:val="center"/>
          </w:tcPr>
          <w:p w14:paraId="1F8E3A38">
            <w:pPr>
              <w:spacing w:line="480" w:lineRule="exact"/>
              <w:rPr>
                <w:rFonts w:hint="eastAsia" w:ascii="黑体" w:hAnsi="黑体" w:eastAsia="黑体" w:cs="黑体"/>
                <w:sz w:val="19"/>
                <w:szCs w:val="19"/>
              </w:rPr>
            </w:pPr>
          </w:p>
        </w:tc>
        <w:tc>
          <w:tcPr>
            <w:tcW w:w="1936" w:type="dxa"/>
            <w:vAlign w:val="center"/>
          </w:tcPr>
          <w:p w14:paraId="6D629045">
            <w:pPr>
              <w:spacing w:line="480" w:lineRule="exact"/>
              <w:rPr>
                <w:rFonts w:hint="eastAsia" w:ascii="黑体" w:hAnsi="黑体" w:eastAsia="黑体" w:cs="黑体"/>
                <w:sz w:val="19"/>
                <w:szCs w:val="19"/>
              </w:rPr>
            </w:pPr>
            <w:r>
              <w:rPr>
                <w:rFonts w:hint="eastAsia" w:ascii="黑体" w:hAnsi="黑体" w:eastAsia="黑体" w:cs="黑体"/>
                <w:sz w:val="19"/>
                <w:szCs w:val="19"/>
              </w:rPr>
              <w:t>监测项目</w:t>
            </w:r>
          </w:p>
        </w:tc>
        <w:tc>
          <w:tcPr>
            <w:tcW w:w="4580" w:type="dxa"/>
            <w:vAlign w:val="center"/>
          </w:tcPr>
          <w:p w14:paraId="17EE6C7E">
            <w:pPr>
              <w:spacing w:line="480" w:lineRule="exact"/>
              <w:rPr>
                <w:rFonts w:hint="eastAsia" w:ascii="黑体" w:hAnsi="黑体" w:eastAsia="黑体" w:cs="黑体"/>
                <w:sz w:val="19"/>
                <w:szCs w:val="19"/>
              </w:rPr>
            </w:pPr>
            <w:r>
              <w:rPr>
                <w:rFonts w:hint="eastAsia" w:ascii="黑体" w:hAnsi="黑体" w:eastAsia="黑体" w:cs="黑体"/>
                <w:sz w:val="19"/>
                <w:szCs w:val="19"/>
              </w:rPr>
              <w:t>蓄电池电压；蓄电池电流；输出1电压/电流；输出2电压/电流；输出3电压/电流、温度/湿度，</w:t>
            </w:r>
          </w:p>
          <w:p w14:paraId="72885507">
            <w:pPr>
              <w:spacing w:line="480" w:lineRule="exact"/>
              <w:rPr>
                <w:rFonts w:hint="eastAsia" w:ascii="黑体" w:hAnsi="黑体" w:eastAsia="黑体" w:cs="黑体"/>
                <w:sz w:val="19"/>
                <w:szCs w:val="19"/>
              </w:rPr>
            </w:pPr>
            <w:r>
              <w:rPr>
                <w:rFonts w:hint="eastAsia" w:ascii="黑体" w:hAnsi="黑体" w:eastAsia="黑体" w:cs="黑体"/>
                <w:sz w:val="19"/>
                <w:szCs w:val="19"/>
              </w:rPr>
              <w:t>交流电压/交流电流等</w:t>
            </w:r>
          </w:p>
        </w:tc>
      </w:tr>
      <w:tr w14:paraId="61F4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228EDB0">
            <w:pPr>
              <w:spacing w:line="480" w:lineRule="exact"/>
              <w:rPr>
                <w:rFonts w:hint="eastAsia" w:ascii="黑体" w:hAnsi="黑体" w:eastAsia="黑体" w:cs="黑体"/>
                <w:sz w:val="19"/>
                <w:szCs w:val="19"/>
              </w:rPr>
            </w:pPr>
          </w:p>
        </w:tc>
        <w:tc>
          <w:tcPr>
            <w:tcW w:w="1189" w:type="dxa"/>
            <w:vMerge w:val="continue"/>
            <w:vAlign w:val="center"/>
          </w:tcPr>
          <w:p w14:paraId="191DBE3C">
            <w:pPr>
              <w:spacing w:line="480" w:lineRule="exact"/>
              <w:rPr>
                <w:rFonts w:hint="eastAsia" w:ascii="黑体" w:hAnsi="黑体" w:eastAsia="黑体" w:cs="黑体"/>
                <w:sz w:val="19"/>
                <w:szCs w:val="19"/>
              </w:rPr>
            </w:pPr>
          </w:p>
        </w:tc>
        <w:tc>
          <w:tcPr>
            <w:tcW w:w="845" w:type="dxa"/>
            <w:vMerge w:val="continue"/>
            <w:vAlign w:val="center"/>
          </w:tcPr>
          <w:p w14:paraId="0D45EB5A">
            <w:pPr>
              <w:spacing w:line="480" w:lineRule="exact"/>
              <w:rPr>
                <w:rFonts w:hint="eastAsia" w:ascii="黑体" w:hAnsi="黑体" w:eastAsia="黑体" w:cs="黑体"/>
                <w:sz w:val="19"/>
                <w:szCs w:val="19"/>
              </w:rPr>
            </w:pPr>
          </w:p>
        </w:tc>
        <w:tc>
          <w:tcPr>
            <w:tcW w:w="1936" w:type="dxa"/>
            <w:vAlign w:val="center"/>
          </w:tcPr>
          <w:p w14:paraId="3390B2FE">
            <w:pPr>
              <w:spacing w:line="480" w:lineRule="exact"/>
              <w:rPr>
                <w:rFonts w:hint="eastAsia" w:ascii="黑体" w:hAnsi="黑体" w:eastAsia="黑体" w:cs="黑体"/>
                <w:sz w:val="19"/>
                <w:szCs w:val="19"/>
              </w:rPr>
            </w:pPr>
            <w:r>
              <w:rPr>
                <w:rFonts w:hint="eastAsia" w:ascii="黑体" w:hAnsi="黑体" w:eastAsia="黑体" w:cs="黑体"/>
                <w:sz w:val="19"/>
                <w:szCs w:val="19"/>
              </w:rPr>
              <w:t>监控服务</w:t>
            </w:r>
          </w:p>
        </w:tc>
        <w:tc>
          <w:tcPr>
            <w:tcW w:w="4580" w:type="dxa"/>
            <w:vAlign w:val="center"/>
          </w:tcPr>
          <w:p w14:paraId="6730D31C">
            <w:pPr>
              <w:spacing w:line="480" w:lineRule="exact"/>
              <w:rPr>
                <w:rFonts w:hint="eastAsia" w:ascii="黑体" w:hAnsi="黑体" w:eastAsia="黑体" w:cs="黑体"/>
                <w:sz w:val="19"/>
                <w:szCs w:val="19"/>
              </w:rPr>
            </w:pPr>
            <w:r>
              <w:rPr>
                <w:rFonts w:hint="eastAsia" w:ascii="黑体" w:hAnsi="黑体" w:eastAsia="黑体" w:cs="黑体"/>
                <w:sz w:val="19"/>
                <w:szCs w:val="19"/>
              </w:rPr>
              <w:t>支持各项运行状态监测数据，如交流电压、充电电压电流、负载电压电流、光</w:t>
            </w:r>
            <w:r>
              <w:rPr>
                <w:rFonts w:hint="eastAsia" w:ascii="黑体" w:hAnsi="黑体" w:eastAsia="黑体" w:cs="黑体"/>
                <w:sz w:val="19"/>
                <w:szCs w:val="19"/>
              </w:rPr>
              <w:softHyphen/>
            </w:r>
            <w:r>
              <w:rPr>
                <w:rFonts w:hint="eastAsia" w:ascii="黑体" w:hAnsi="黑体" w:eastAsia="黑体" w:cs="黑体"/>
                <w:sz w:val="19"/>
                <w:szCs w:val="19"/>
              </w:rPr>
              <w:t>伏状态、温湿度、电池健康状态等，并可远程查询、所采集数据定期推送到指定设备；</w:t>
            </w:r>
          </w:p>
        </w:tc>
      </w:tr>
      <w:tr w14:paraId="01026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0250F694">
            <w:pPr>
              <w:spacing w:line="480" w:lineRule="exact"/>
              <w:rPr>
                <w:rFonts w:hint="eastAsia" w:ascii="黑体" w:hAnsi="黑体" w:eastAsia="黑体" w:cs="黑体"/>
                <w:sz w:val="19"/>
                <w:szCs w:val="19"/>
              </w:rPr>
            </w:pPr>
          </w:p>
        </w:tc>
        <w:tc>
          <w:tcPr>
            <w:tcW w:w="1189" w:type="dxa"/>
            <w:vMerge w:val="continue"/>
            <w:vAlign w:val="center"/>
          </w:tcPr>
          <w:p w14:paraId="7757ECF0">
            <w:pPr>
              <w:spacing w:line="480" w:lineRule="exact"/>
              <w:rPr>
                <w:rFonts w:hint="eastAsia" w:ascii="黑体" w:hAnsi="黑体" w:eastAsia="黑体" w:cs="黑体"/>
                <w:sz w:val="19"/>
                <w:szCs w:val="19"/>
              </w:rPr>
            </w:pPr>
          </w:p>
        </w:tc>
        <w:tc>
          <w:tcPr>
            <w:tcW w:w="845" w:type="dxa"/>
            <w:vMerge w:val="continue"/>
            <w:vAlign w:val="center"/>
          </w:tcPr>
          <w:p w14:paraId="073EE96E">
            <w:pPr>
              <w:spacing w:line="480" w:lineRule="exact"/>
              <w:rPr>
                <w:rFonts w:hint="eastAsia" w:ascii="黑体" w:hAnsi="黑体" w:eastAsia="黑体" w:cs="黑体"/>
                <w:sz w:val="19"/>
                <w:szCs w:val="19"/>
              </w:rPr>
            </w:pPr>
          </w:p>
        </w:tc>
        <w:tc>
          <w:tcPr>
            <w:tcW w:w="1936" w:type="dxa"/>
            <w:vAlign w:val="center"/>
          </w:tcPr>
          <w:p w14:paraId="1BB5D785">
            <w:pPr>
              <w:spacing w:line="480" w:lineRule="exact"/>
              <w:rPr>
                <w:rFonts w:hint="eastAsia" w:ascii="黑体" w:hAnsi="黑体" w:eastAsia="黑体" w:cs="黑体"/>
                <w:sz w:val="19"/>
                <w:szCs w:val="19"/>
              </w:rPr>
            </w:pPr>
            <w:r>
              <w:rPr>
                <w:rFonts w:hint="eastAsia" w:ascii="黑体" w:hAnsi="黑体" w:eastAsia="黑体" w:cs="黑体"/>
                <w:sz w:val="19"/>
                <w:szCs w:val="19"/>
              </w:rPr>
              <w:t>监测分辨率</w:t>
            </w:r>
          </w:p>
        </w:tc>
        <w:tc>
          <w:tcPr>
            <w:tcW w:w="4580" w:type="dxa"/>
            <w:vAlign w:val="center"/>
          </w:tcPr>
          <w:p w14:paraId="6FA95375">
            <w:pPr>
              <w:spacing w:line="480" w:lineRule="exact"/>
              <w:rPr>
                <w:rFonts w:hint="eastAsia" w:ascii="黑体" w:hAnsi="黑体" w:eastAsia="黑体" w:cs="黑体"/>
                <w:sz w:val="19"/>
                <w:szCs w:val="19"/>
              </w:rPr>
            </w:pPr>
            <w:r>
              <w:rPr>
                <w:rFonts w:hint="eastAsia" w:ascii="黑体" w:hAnsi="黑体" w:eastAsia="黑体" w:cs="黑体"/>
                <w:sz w:val="19"/>
                <w:szCs w:val="19"/>
              </w:rPr>
              <w:t>16Bit</w:t>
            </w:r>
          </w:p>
        </w:tc>
      </w:tr>
      <w:tr w14:paraId="5A3BD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jc w:val="center"/>
        </w:trPr>
        <w:tc>
          <w:tcPr>
            <w:tcW w:w="758" w:type="dxa"/>
            <w:vMerge w:val="continue"/>
            <w:vAlign w:val="center"/>
          </w:tcPr>
          <w:p w14:paraId="5CD33894">
            <w:pPr>
              <w:spacing w:line="480" w:lineRule="exact"/>
              <w:rPr>
                <w:rFonts w:hint="eastAsia" w:ascii="黑体" w:hAnsi="黑体" w:eastAsia="黑体" w:cs="黑体"/>
                <w:sz w:val="19"/>
                <w:szCs w:val="19"/>
              </w:rPr>
            </w:pPr>
          </w:p>
        </w:tc>
        <w:tc>
          <w:tcPr>
            <w:tcW w:w="1189" w:type="dxa"/>
            <w:vMerge w:val="continue"/>
            <w:vAlign w:val="center"/>
          </w:tcPr>
          <w:p w14:paraId="31EBC8B9">
            <w:pPr>
              <w:spacing w:line="480" w:lineRule="exact"/>
              <w:rPr>
                <w:rFonts w:hint="eastAsia" w:ascii="黑体" w:hAnsi="黑体" w:eastAsia="黑体" w:cs="黑体"/>
                <w:sz w:val="19"/>
                <w:szCs w:val="19"/>
              </w:rPr>
            </w:pPr>
          </w:p>
        </w:tc>
        <w:tc>
          <w:tcPr>
            <w:tcW w:w="845" w:type="dxa"/>
            <w:vMerge w:val="continue"/>
            <w:vAlign w:val="center"/>
          </w:tcPr>
          <w:p w14:paraId="5A0C6CB3">
            <w:pPr>
              <w:spacing w:line="480" w:lineRule="exact"/>
              <w:rPr>
                <w:rFonts w:hint="eastAsia" w:ascii="黑体" w:hAnsi="黑体" w:eastAsia="黑体" w:cs="黑体"/>
                <w:sz w:val="19"/>
                <w:szCs w:val="19"/>
              </w:rPr>
            </w:pPr>
          </w:p>
        </w:tc>
        <w:tc>
          <w:tcPr>
            <w:tcW w:w="1936" w:type="dxa"/>
            <w:vAlign w:val="center"/>
          </w:tcPr>
          <w:p w14:paraId="6E25D357">
            <w:pPr>
              <w:spacing w:line="480" w:lineRule="exact"/>
              <w:rPr>
                <w:rFonts w:hint="eastAsia" w:ascii="黑体" w:hAnsi="黑体" w:eastAsia="黑体" w:cs="黑体"/>
                <w:sz w:val="19"/>
                <w:szCs w:val="19"/>
              </w:rPr>
            </w:pPr>
            <w:r>
              <w:rPr>
                <w:rFonts w:hint="eastAsia" w:ascii="黑体" w:hAnsi="黑体" w:eastAsia="黑体" w:cs="黑体"/>
                <w:sz w:val="19"/>
                <w:szCs w:val="19"/>
              </w:rPr>
              <w:t>其他功能</w:t>
            </w:r>
          </w:p>
        </w:tc>
        <w:tc>
          <w:tcPr>
            <w:tcW w:w="4580" w:type="dxa"/>
            <w:vAlign w:val="center"/>
          </w:tcPr>
          <w:p w14:paraId="0A0F5AE7">
            <w:pPr>
              <w:spacing w:line="480" w:lineRule="exact"/>
              <w:rPr>
                <w:rFonts w:hint="eastAsia" w:ascii="黑体" w:hAnsi="黑体" w:eastAsia="黑体" w:cs="黑体"/>
                <w:sz w:val="19"/>
                <w:szCs w:val="19"/>
              </w:rPr>
            </w:pPr>
            <w:r>
              <w:rPr>
                <w:rFonts w:hint="eastAsia" w:ascii="黑体" w:hAnsi="黑体" w:eastAsia="黑体" w:cs="黑体"/>
                <w:sz w:val="19"/>
                <w:szCs w:val="19"/>
              </w:rPr>
              <w:t>远程复位输出、Ping校验自动复位输出、SNTP自动对时、监控状态数据存储等</w:t>
            </w:r>
          </w:p>
        </w:tc>
      </w:tr>
      <w:tr w14:paraId="44647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758" w:type="dxa"/>
            <w:vMerge w:val="restart"/>
            <w:vAlign w:val="center"/>
          </w:tcPr>
          <w:p w14:paraId="61E53B24">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p w14:paraId="0ADC6ED4">
            <w:pPr>
              <w:spacing w:line="480" w:lineRule="exact"/>
              <w:rPr>
                <w:rFonts w:hint="eastAsia" w:ascii="黑体" w:hAnsi="黑体" w:eastAsia="黑体" w:cs="黑体"/>
                <w:sz w:val="19"/>
                <w:szCs w:val="19"/>
              </w:rPr>
            </w:pPr>
          </w:p>
        </w:tc>
        <w:tc>
          <w:tcPr>
            <w:tcW w:w="1189" w:type="dxa"/>
            <w:vMerge w:val="restart"/>
            <w:vAlign w:val="center"/>
          </w:tcPr>
          <w:p w14:paraId="1F74DFF7">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产品名称</w:t>
            </w:r>
          </w:p>
          <w:p w14:paraId="1D04A0EB">
            <w:pPr>
              <w:spacing w:line="480" w:lineRule="exact"/>
              <w:rPr>
                <w:rFonts w:hint="eastAsia" w:ascii="黑体" w:hAnsi="黑体" w:eastAsia="黑体" w:cs="黑体"/>
                <w:sz w:val="19"/>
                <w:szCs w:val="19"/>
              </w:rPr>
            </w:pPr>
          </w:p>
        </w:tc>
        <w:tc>
          <w:tcPr>
            <w:tcW w:w="845" w:type="dxa"/>
            <w:vMerge w:val="restart"/>
            <w:vAlign w:val="center"/>
          </w:tcPr>
          <w:p w14:paraId="63A14DA8">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p w14:paraId="63F3E6B6">
            <w:pPr>
              <w:spacing w:line="480" w:lineRule="exact"/>
              <w:rPr>
                <w:rFonts w:hint="eastAsia" w:ascii="黑体" w:hAnsi="黑体" w:eastAsia="黑体" w:cs="黑体"/>
                <w:sz w:val="19"/>
                <w:szCs w:val="19"/>
              </w:rPr>
            </w:pPr>
          </w:p>
        </w:tc>
        <w:tc>
          <w:tcPr>
            <w:tcW w:w="6516" w:type="dxa"/>
            <w:gridSpan w:val="2"/>
            <w:vAlign w:val="center"/>
          </w:tcPr>
          <w:p w14:paraId="7CE58A36">
            <w:pPr>
              <w:pStyle w:val="41"/>
              <w:spacing w:before="204" w:line="218" w:lineRule="auto"/>
              <w:ind w:left="114"/>
              <w:jc w:val="center"/>
              <w:rPr>
                <w:rFonts w:hint="eastAsia" w:ascii="黑体" w:hAnsi="黑体" w:eastAsia="黑体" w:cs="黑体"/>
                <w:kern w:val="0"/>
                <w:sz w:val="19"/>
                <w:szCs w:val="19"/>
                <w:lang w:eastAsia="zh-CN"/>
              </w:rPr>
            </w:pPr>
            <w:r>
              <w:rPr>
                <w:rFonts w:hint="eastAsia" w:ascii="黑体" w:hAnsi="黑体" w:eastAsia="黑体" w:cs="黑体"/>
                <w:b/>
                <w:bCs/>
                <w:spacing w:val="6"/>
                <w:sz w:val="19"/>
                <w:szCs w:val="19"/>
                <w:lang w:eastAsia="zh-CN"/>
              </w:rPr>
              <w:t>技术参数与性能指标</w:t>
            </w:r>
          </w:p>
        </w:tc>
      </w:tr>
      <w:tr w14:paraId="4F03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758" w:type="dxa"/>
            <w:vMerge w:val="continue"/>
            <w:vAlign w:val="center"/>
          </w:tcPr>
          <w:p w14:paraId="12612D5F">
            <w:pPr>
              <w:spacing w:line="480" w:lineRule="exact"/>
              <w:rPr>
                <w:rFonts w:hint="eastAsia"/>
              </w:rPr>
            </w:pPr>
          </w:p>
        </w:tc>
        <w:tc>
          <w:tcPr>
            <w:tcW w:w="1189" w:type="dxa"/>
            <w:vMerge w:val="continue"/>
            <w:vAlign w:val="center"/>
          </w:tcPr>
          <w:p w14:paraId="45A36E9D">
            <w:pPr>
              <w:spacing w:line="480" w:lineRule="exact"/>
              <w:rPr>
                <w:rFonts w:hint="eastAsia"/>
              </w:rPr>
            </w:pPr>
          </w:p>
        </w:tc>
        <w:tc>
          <w:tcPr>
            <w:tcW w:w="845" w:type="dxa"/>
            <w:vMerge w:val="continue"/>
            <w:vAlign w:val="center"/>
          </w:tcPr>
          <w:p w14:paraId="7E3525A2">
            <w:pPr>
              <w:spacing w:line="480" w:lineRule="exact"/>
              <w:rPr>
                <w:rFonts w:hint="eastAsia"/>
              </w:rPr>
            </w:pPr>
          </w:p>
        </w:tc>
        <w:tc>
          <w:tcPr>
            <w:tcW w:w="1936" w:type="dxa"/>
            <w:vAlign w:val="center"/>
          </w:tcPr>
          <w:p w14:paraId="3E5E1D8C">
            <w:pPr>
              <w:spacing w:line="480" w:lineRule="exact"/>
              <w:jc w:val="center"/>
              <w:rPr>
                <w:rFonts w:hint="eastAsia" w:ascii="黑体" w:hAnsi="黑体" w:eastAsia="黑体" w:cs="黑体"/>
                <w:sz w:val="19"/>
                <w:szCs w:val="19"/>
              </w:rPr>
            </w:pPr>
            <w:r>
              <w:rPr>
                <w:rFonts w:hint="eastAsia" w:ascii="黑体" w:hAnsi="黑体" w:eastAsia="黑体" w:cs="黑体"/>
                <w:b/>
                <w:bCs/>
                <w:spacing w:val="6"/>
                <w:sz w:val="19"/>
                <w:szCs w:val="19"/>
              </w:rPr>
              <w:t>指标项</w:t>
            </w:r>
          </w:p>
        </w:tc>
        <w:tc>
          <w:tcPr>
            <w:tcW w:w="4580" w:type="dxa"/>
            <w:vAlign w:val="center"/>
          </w:tcPr>
          <w:p w14:paraId="2C0A2B86">
            <w:pPr>
              <w:spacing w:line="480" w:lineRule="exact"/>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en-US"/>
              </w:rPr>
              <w:t>技术指标</w:t>
            </w:r>
          </w:p>
        </w:tc>
      </w:tr>
      <w:tr w14:paraId="633D4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restart"/>
            <w:vAlign w:val="center"/>
          </w:tcPr>
          <w:p w14:paraId="6DAE6F85">
            <w:pPr>
              <w:spacing w:line="480" w:lineRule="exact"/>
              <w:rPr>
                <w:rFonts w:hint="eastAsia" w:ascii="黑体" w:hAnsi="黑体" w:eastAsia="黑体" w:cs="黑体"/>
                <w:sz w:val="19"/>
                <w:szCs w:val="19"/>
              </w:rPr>
            </w:pPr>
            <w:r>
              <w:rPr>
                <w:rFonts w:hint="eastAsia" w:ascii="黑体" w:hAnsi="黑体" w:eastAsia="黑体" w:cs="黑体"/>
                <w:sz w:val="19"/>
                <w:szCs w:val="19"/>
              </w:rPr>
              <w:t>4</w:t>
            </w:r>
          </w:p>
        </w:tc>
        <w:tc>
          <w:tcPr>
            <w:tcW w:w="1189" w:type="dxa"/>
            <w:vMerge w:val="restart"/>
            <w:vAlign w:val="center"/>
          </w:tcPr>
          <w:p w14:paraId="6D091413">
            <w:pPr>
              <w:spacing w:line="480" w:lineRule="exact"/>
              <w:rPr>
                <w:rFonts w:hint="eastAsia" w:ascii="黑体" w:hAnsi="黑体" w:eastAsia="黑体" w:cs="黑体"/>
                <w:sz w:val="19"/>
                <w:szCs w:val="19"/>
              </w:rPr>
            </w:pPr>
            <w:r>
              <w:rPr>
                <w:rFonts w:hint="eastAsia" w:ascii="黑体" w:hAnsi="黑体" w:eastAsia="黑体" w:cs="黑体"/>
                <w:sz w:val="19"/>
                <w:szCs w:val="19"/>
              </w:rPr>
              <w:t>环境监测设备</w:t>
            </w:r>
          </w:p>
        </w:tc>
        <w:tc>
          <w:tcPr>
            <w:tcW w:w="845" w:type="dxa"/>
            <w:vMerge w:val="restart"/>
            <w:vAlign w:val="center"/>
          </w:tcPr>
          <w:p w14:paraId="1C045A5C">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1936" w:type="dxa"/>
            <w:vAlign w:val="center"/>
          </w:tcPr>
          <w:p w14:paraId="277DD6D8">
            <w:pPr>
              <w:widowControl/>
              <w:spacing w:line="480" w:lineRule="exact"/>
              <w:textAlignment w:val="center"/>
              <w:rPr>
                <w:rFonts w:hint="eastAsia" w:ascii="黑体" w:hAnsi="黑体" w:eastAsia="黑体" w:cs="黑体"/>
                <w:sz w:val="19"/>
                <w:szCs w:val="19"/>
              </w:rPr>
            </w:pPr>
            <w:r>
              <w:rPr>
                <w:rFonts w:hint="eastAsia" w:ascii="黑体" w:hAnsi="黑体" w:eastAsia="黑体" w:cs="黑体"/>
                <w:sz w:val="19"/>
                <w:szCs w:val="19"/>
              </w:rPr>
              <w:t>温湿度、气压传感器</w:t>
            </w:r>
          </w:p>
        </w:tc>
        <w:tc>
          <w:tcPr>
            <w:tcW w:w="4580" w:type="dxa"/>
            <w:vAlign w:val="center"/>
          </w:tcPr>
          <w:p w14:paraId="39447B12">
            <w:pPr>
              <w:widowControl/>
              <w:spacing w:line="480" w:lineRule="exact"/>
              <w:textAlignment w:val="center"/>
              <w:rPr>
                <w:rFonts w:hint="eastAsia" w:ascii="黑体" w:hAnsi="黑体" w:eastAsia="黑体" w:cs="黑体"/>
                <w:sz w:val="19"/>
                <w:szCs w:val="19"/>
              </w:rPr>
            </w:pPr>
            <w:r>
              <w:rPr>
                <w:rFonts w:hint="eastAsia" w:ascii="黑体" w:hAnsi="黑体" w:eastAsia="黑体" w:cs="黑体"/>
                <w:sz w:val="19"/>
                <w:szCs w:val="19"/>
              </w:rPr>
              <w:t>1、温度测项:量程-40℃～80℃，精度优于±0.1℃</w:t>
            </w:r>
          </w:p>
          <w:p w14:paraId="6292F335">
            <w:pPr>
              <w:widowControl/>
              <w:spacing w:line="480" w:lineRule="exact"/>
              <w:textAlignment w:val="center"/>
              <w:rPr>
                <w:rFonts w:hint="eastAsia" w:ascii="黑体" w:hAnsi="黑体" w:eastAsia="黑体" w:cs="黑体"/>
                <w:sz w:val="19"/>
                <w:szCs w:val="19"/>
              </w:rPr>
            </w:pPr>
            <w:r>
              <w:rPr>
                <w:rFonts w:hint="eastAsia" w:ascii="黑体" w:hAnsi="黑体" w:eastAsia="黑体" w:cs="黑体"/>
                <w:sz w:val="19"/>
                <w:szCs w:val="19"/>
              </w:rPr>
              <w:t>2、湿度测项：相对湿度量程0～100%，分辨力高于0.1%RH，精度优于±2%RH</w:t>
            </w:r>
          </w:p>
          <w:p w14:paraId="7539FE1A">
            <w:pPr>
              <w:spacing w:line="480" w:lineRule="exact"/>
              <w:rPr>
                <w:rFonts w:hint="eastAsia" w:ascii="黑体" w:hAnsi="黑体" w:eastAsia="黑体" w:cs="黑体"/>
                <w:sz w:val="19"/>
                <w:szCs w:val="19"/>
              </w:rPr>
            </w:pPr>
            <w:r>
              <w:rPr>
                <w:rFonts w:hint="eastAsia" w:ascii="黑体" w:hAnsi="黑体" w:eastAsia="黑体" w:cs="黑体"/>
                <w:kern w:val="0"/>
                <w:sz w:val="19"/>
                <w:szCs w:val="19"/>
                <w:lang w:bidi="ar"/>
              </w:rPr>
              <w:t>3、气压</w:t>
            </w:r>
            <w:r>
              <w:rPr>
                <w:rFonts w:hint="eastAsia" w:ascii="黑体" w:hAnsi="黑体" w:eastAsia="黑体" w:cs="黑体"/>
                <w:sz w:val="19"/>
                <w:szCs w:val="19"/>
              </w:rPr>
              <w:t>测项</w:t>
            </w:r>
            <w:r>
              <w:rPr>
                <w:rFonts w:hint="eastAsia" w:ascii="黑体" w:hAnsi="黑体" w:eastAsia="黑体" w:cs="黑体"/>
                <w:kern w:val="0"/>
                <w:sz w:val="19"/>
                <w:szCs w:val="19"/>
                <w:lang w:bidi="ar"/>
              </w:rPr>
              <w:t>:量程300hPa</w:t>
            </w:r>
            <w:r>
              <w:rPr>
                <w:rFonts w:hint="eastAsia" w:ascii="黑体" w:hAnsi="黑体" w:eastAsia="黑体" w:cs="黑体"/>
                <w:kern w:val="0"/>
                <w:sz w:val="19"/>
                <w:szCs w:val="19"/>
              </w:rPr>
              <w:t>～</w:t>
            </w:r>
            <w:r>
              <w:rPr>
                <w:rFonts w:hint="eastAsia" w:ascii="黑体" w:hAnsi="黑体" w:eastAsia="黑体" w:cs="黑体"/>
                <w:kern w:val="0"/>
                <w:sz w:val="19"/>
                <w:szCs w:val="19"/>
                <w:lang w:bidi="ar"/>
              </w:rPr>
              <w:t>1100hPa，综合精度优于0.5%FS</w:t>
            </w:r>
          </w:p>
        </w:tc>
      </w:tr>
      <w:tr w14:paraId="6693F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5A4D49B8">
            <w:pPr>
              <w:spacing w:line="480" w:lineRule="exact"/>
              <w:rPr>
                <w:rFonts w:hint="eastAsia" w:ascii="黑体" w:hAnsi="黑体" w:eastAsia="黑体" w:cs="黑体"/>
                <w:sz w:val="19"/>
                <w:szCs w:val="19"/>
              </w:rPr>
            </w:pPr>
          </w:p>
        </w:tc>
        <w:tc>
          <w:tcPr>
            <w:tcW w:w="1189" w:type="dxa"/>
            <w:vMerge w:val="continue"/>
            <w:vAlign w:val="center"/>
          </w:tcPr>
          <w:p w14:paraId="23DF6595">
            <w:pPr>
              <w:spacing w:line="480" w:lineRule="exact"/>
              <w:rPr>
                <w:rFonts w:hint="eastAsia" w:ascii="黑体" w:hAnsi="黑体" w:eastAsia="黑体" w:cs="黑体"/>
                <w:sz w:val="19"/>
                <w:szCs w:val="19"/>
              </w:rPr>
            </w:pPr>
          </w:p>
        </w:tc>
        <w:tc>
          <w:tcPr>
            <w:tcW w:w="845" w:type="dxa"/>
            <w:vMerge w:val="continue"/>
            <w:vAlign w:val="center"/>
          </w:tcPr>
          <w:p w14:paraId="1954338B">
            <w:pPr>
              <w:spacing w:line="480" w:lineRule="exact"/>
              <w:rPr>
                <w:rFonts w:hint="eastAsia" w:ascii="黑体" w:hAnsi="黑体" w:eastAsia="黑体" w:cs="黑体"/>
                <w:sz w:val="19"/>
                <w:szCs w:val="19"/>
              </w:rPr>
            </w:pPr>
          </w:p>
        </w:tc>
        <w:tc>
          <w:tcPr>
            <w:tcW w:w="1936" w:type="dxa"/>
            <w:vAlign w:val="center"/>
          </w:tcPr>
          <w:p w14:paraId="7CD72F29">
            <w:pPr>
              <w:spacing w:line="480" w:lineRule="exact"/>
              <w:rPr>
                <w:rFonts w:hint="eastAsia" w:ascii="黑体" w:hAnsi="黑体" w:eastAsia="黑体" w:cs="黑体"/>
                <w:sz w:val="19"/>
                <w:szCs w:val="19"/>
              </w:rPr>
            </w:pPr>
            <w:r>
              <w:rPr>
                <w:rFonts w:hint="eastAsia" w:ascii="黑体" w:hAnsi="黑体" w:eastAsia="黑体" w:cs="黑体"/>
                <w:kern w:val="0"/>
                <w:sz w:val="19"/>
                <w:szCs w:val="19"/>
                <w:lang w:bidi="ar"/>
              </w:rPr>
              <w:t>门磁探头</w:t>
            </w:r>
          </w:p>
        </w:tc>
        <w:tc>
          <w:tcPr>
            <w:tcW w:w="4580" w:type="dxa"/>
            <w:vAlign w:val="center"/>
          </w:tcPr>
          <w:p w14:paraId="4D7A9EB5">
            <w:pPr>
              <w:spacing w:line="480" w:lineRule="exact"/>
              <w:rPr>
                <w:rFonts w:hint="eastAsia" w:ascii="黑体" w:hAnsi="黑体" w:eastAsia="黑体" w:cs="黑体"/>
                <w:sz w:val="19"/>
                <w:szCs w:val="19"/>
              </w:rPr>
            </w:pPr>
            <w:r>
              <w:rPr>
                <w:rFonts w:hint="eastAsia" w:ascii="黑体" w:hAnsi="黑体" w:eastAsia="黑体" w:cs="黑体"/>
                <w:kern w:val="0"/>
                <w:sz w:val="19"/>
                <w:szCs w:val="19"/>
                <w:lang w:bidi="ar"/>
              </w:rPr>
              <w:t>1、感应距离优于 1.5厘米；直流12伏供电；开关量输出</w:t>
            </w:r>
          </w:p>
        </w:tc>
      </w:tr>
      <w:tr w14:paraId="1498A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47D3390">
            <w:pPr>
              <w:spacing w:line="480" w:lineRule="exact"/>
              <w:rPr>
                <w:rFonts w:hint="eastAsia" w:ascii="黑体" w:hAnsi="黑体" w:eastAsia="黑体" w:cs="黑体"/>
                <w:sz w:val="19"/>
                <w:szCs w:val="19"/>
              </w:rPr>
            </w:pPr>
          </w:p>
        </w:tc>
        <w:tc>
          <w:tcPr>
            <w:tcW w:w="1189" w:type="dxa"/>
            <w:vMerge w:val="continue"/>
            <w:vAlign w:val="center"/>
          </w:tcPr>
          <w:p w14:paraId="00447D5E">
            <w:pPr>
              <w:spacing w:line="480" w:lineRule="exact"/>
              <w:rPr>
                <w:rFonts w:hint="eastAsia" w:ascii="黑体" w:hAnsi="黑体" w:eastAsia="黑体" w:cs="黑体"/>
                <w:sz w:val="19"/>
                <w:szCs w:val="19"/>
              </w:rPr>
            </w:pPr>
          </w:p>
        </w:tc>
        <w:tc>
          <w:tcPr>
            <w:tcW w:w="845" w:type="dxa"/>
            <w:vMerge w:val="continue"/>
            <w:vAlign w:val="center"/>
          </w:tcPr>
          <w:p w14:paraId="6EF0F81C">
            <w:pPr>
              <w:spacing w:line="480" w:lineRule="exact"/>
              <w:rPr>
                <w:rFonts w:hint="eastAsia" w:ascii="黑体" w:hAnsi="黑体" w:eastAsia="黑体" w:cs="黑体"/>
                <w:sz w:val="19"/>
                <w:szCs w:val="19"/>
              </w:rPr>
            </w:pPr>
          </w:p>
        </w:tc>
        <w:tc>
          <w:tcPr>
            <w:tcW w:w="1936" w:type="dxa"/>
            <w:vAlign w:val="center"/>
          </w:tcPr>
          <w:p w14:paraId="37CA9E3D">
            <w:pPr>
              <w:spacing w:line="480" w:lineRule="exact"/>
              <w:rPr>
                <w:rFonts w:hint="eastAsia" w:ascii="黑体" w:hAnsi="黑体" w:eastAsia="黑体" w:cs="黑体"/>
                <w:sz w:val="19"/>
                <w:szCs w:val="19"/>
              </w:rPr>
            </w:pPr>
            <w:r>
              <w:rPr>
                <w:rFonts w:hint="eastAsia" w:ascii="黑体" w:hAnsi="黑体" w:eastAsia="黑体" w:cs="黑体"/>
                <w:kern w:val="0"/>
                <w:sz w:val="19"/>
                <w:szCs w:val="19"/>
                <w:lang w:bidi="ar"/>
              </w:rPr>
              <w:t>水浸探头</w:t>
            </w:r>
          </w:p>
        </w:tc>
        <w:tc>
          <w:tcPr>
            <w:tcW w:w="4580" w:type="dxa"/>
            <w:vAlign w:val="center"/>
          </w:tcPr>
          <w:p w14:paraId="64796C25">
            <w:pPr>
              <w:spacing w:line="480" w:lineRule="exact"/>
              <w:rPr>
                <w:rFonts w:hint="eastAsia" w:ascii="黑体" w:hAnsi="黑体" w:eastAsia="黑体" w:cs="黑体"/>
                <w:sz w:val="19"/>
                <w:szCs w:val="19"/>
              </w:rPr>
            </w:pPr>
            <w:r>
              <w:rPr>
                <w:rFonts w:hint="eastAsia" w:ascii="黑体" w:hAnsi="黑体" w:eastAsia="黑体" w:cs="黑体"/>
                <w:kern w:val="0"/>
                <w:sz w:val="19"/>
                <w:szCs w:val="19"/>
                <w:lang w:bidi="ar"/>
              </w:rPr>
              <w:t>1、电极式，灵敏度0-50K无级调节；响应时间小于1秒；直流12伏供电；开关量输出。</w:t>
            </w:r>
          </w:p>
        </w:tc>
      </w:tr>
      <w:tr w14:paraId="3CB7E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5A7C2400">
            <w:pPr>
              <w:spacing w:line="480" w:lineRule="exact"/>
              <w:rPr>
                <w:rFonts w:hint="eastAsia" w:ascii="黑体" w:hAnsi="黑体" w:eastAsia="黑体" w:cs="黑体"/>
                <w:sz w:val="19"/>
                <w:szCs w:val="19"/>
              </w:rPr>
            </w:pPr>
          </w:p>
        </w:tc>
        <w:tc>
          <w:tcPr>
            <w:tcW w:w="1189" w:type="dxa"/>
            <w:vMerge w:val="continue"/>
            <w:vAlign w:val="center"/>
          </w:tcPr>
          <w:p w14:paraId="4912FFC7">
            <w:pPr>
              <w:spacing w:line="480" w:lineRule="exact"/>
              <w:rPr>
                <w:rFonts w:hint="eastAsia" w:ascii="黑体" w:hAnsi="黑体" w:eastAsia="黑体" w:cs="黑体"/>
                <w:sz w:val="19"/>
                <w:szCs w:val="19"/>
              </w:rPr>
            </w:pPr>
          </w:p>
        </w:tc>
        <w:tc>
          <w:tcPr>
            <w:tcW w:w="845" w:type="dxa"/>
            <w:vMerge w:val="continue"/>
            <w:vAlign w:val="center"/>
          </w:tcPr>
          <w:p w14:paraId="0C25F671">
            <w:pPr>
              <w:spacing w:line="480" w:lineRule="exact"/>
              <w:rPr>
                <w:rFonts w:hint="eastAsia" w:ascii="黑体" w:hAnsi="黑体" w:eastAsia="黑体" w:cs="黑体"/>
                <w:sz w:val="19"/>
                <w:szCs w:val="19"/>
              </w:rPr>
            </w:pPr>
          </w:p>
        </w:tc>
        <w:tc>
          <w:tcPr>
            <w:tcW w:w="1936" w:type="dxa"/>
            <w:vAlign w:val="center"/>
          </w:tcPr>
          <w:p w14:paraId="102C117F">
            <w:pPr>
              <w:spacing w:line="480" w:lineRule="exact"/>
              <w:rPr>
                <w:rFonts w:hint="eastAsia" w:ascii="黑体" w:hAnsi="黑体" w:eastAsia="黑体" w:cs="黑体"/>
                <w:sz w:val="19"/>
                <w:szCs w:val="19"/>
              </w:rPr>
            </w:pPr>
            <w:r>
              <w:rPr>
                <w:rFonts w:hint="eastAsia" w:ascii="黑体" w:hAnsi="黑体" w:eastAsia="黑体" w:cs="黑体"/>
                <w:kern w:val="0"/>
                <w:sz w:val="19"/>
                <w:szCs w:val="19"/>
                <w:lang w:bidi="ar"/>
              </w:rPr>
              <w:t>红外探头</w:t>
            </w:r>
          </w:p>
        </w:tc>
        <w:tc>
          <w:tcPr>
            <w:tcW w:w="4580" w:type="dxa"/>
            <w:vAlign w:val="center"/>
          </w:tcPr>
          <w:p w14:paraId="046BCDCB">
            <w:pPr>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lang w:bidi="ar"/>
              </w:rPr>
              <w:t>1、探测角度90度；探测距离不低于8米；直流12伏供电；开关量输出。</w:t>
            </w:r>
          </w:p>
        </w:tc>
      </w:tr>
      <w:tr w14:paraId="3AAC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758" w:type="dxa"/>
            <w:vMerge w:val="continue"/>
            <w:vAlign w:val="center"/>
          </w:tcPr>
          <w:p w14:paraId="7E13A857">
            <w:pPr>
              <w:spacing w:line="480" w:lineRule="exact"/>
              <w:rPr>
                <w:rFonts w:hint="eastAsia" w:ascii="黑体" w:hAnsi="黑体" w:eastAsia="黑体" w:cs="黑体"/>
                <w:sz w:val="19"/>
                <w:szCs w:val="19"/>
              </w:rPr>
            </w:pPr>
          </w:p>
        </w:tc>
        <w:tc>
          <w:tcPr>
            <w:tcW w:w="1189" w:type="dxa"/>
            <w:vMerge w:val="continue"/>
            <w:vAlign w:val="center"/>
          </w:tcPr>
          <w:p w14:paraId="55F5965B">
            <w:pPr>
              <w:spacing w:line="480" w:lineRule="exact"/>
              <w:rPr>
                <w:rFonts w:hint="eastAsia" w:ascii="黑体" w:hAnsi="黑体" w:eastAsia="黑体" w:cs="黑体"/>
                <w:sz w:val="19"/>
                <w:szCs w:val="19"/>
              </w:rPr>
            </w:pPr>
          </w:p>
        </w:tc>
        <w:tc>
          <w:tcPr>
            <w:tcW w:w="845" w:type="dxa"/>
            <w:vMerge w:val="continue"/>
            <w:vAlign w:val="center"/>
          </w:tcPr>
          <w:p w14:paraId="1A3955E5">
            <w:pPr>
              <w:spacing w:line="480" w:lineRule="exact"/>
              <w:rPr>
                <w:rFonts w:hint="eastAsia" w:ascii="黑体" w:hAnsi="黑体" w:eastAsia="黑体" w:cs="黑体"/>
                <w:sz w:val="19"/>
                <w:szCs w:val="19"/>
              </w:rPr>
            </w:pPr>
          </w:p>
        </w:tc>
        <w:tc>
          <w:tcPr>
            <w:tcW w:w="1936" w:type="dxa"/>
            <w:vAlign w:val="center"/>
          </w:tcPr>
          <w:p w14:paraId="06CD15A6">
            <w:pPr>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lang w:bidi="ar"/>
              </w:rPr>
              <w:t>摄像头</w:t>
            </w:r>
          </w:p>
        </w:tc>
        <w:tc>
          <w:tcPr>
            <w:tcW w:w="4580" w:type="dxa"/>
            <w:vAlign w:val="center"/>
          </w:tcPr>
          <w:p w14:paraId="7A1D7C37">
            <w:pPr>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lang w:bidi="ar"/>
              </w:rPr>
              <w:t>400万高清全彩夜视</w:t>
            </w:r>
          </w:p>
        </w:tc>
      </w:tr>
      <w:tr w14:paraId="5A1A9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58" w:type="dxa"/>
            <w:vMerge w:val="restart"/>
            <w:vAlign w:val="center"/>
          </w:tcPr>
          <w:p w14:paraId="4D51EF14">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p w14:paraId="703CD6F9">
            <w:pPr>
              <w:spacing w:line="480" w:lineRule="exact"/>
              <w:rPr>
                <w:rFonts w:hint="eastAsia" w:ascii="黑体" w:hAnsi="黑体" w:eastAsia="黑体" w:cs="黑体"/>
                <w:sz w:val="19"/>
                <w:szCs w:val="19"/>
              </w:rPr>
            </w:pPr>
          </w:p>
        </w:tc>
        <w:tc>
          <w:tcPr>
            <w:tcW w:w="1189" w:type="dxa"/>
            <w:vMerge w:val="restart"/>
            <w:vAlign w:val="center"/>
          </w:tcPr>
          <w:p w14:paraId="3DCE1C46">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产品名称</w:t>
            </w:r>
          </w:p>
          <w:p w14:paraId="715A2D51">
            <w:pPr>
              <w:spacing w:line="480" w:lineRule="exact"/>
              <w:rPr>
                <w:rFonts w:hint="eastAsia" w:ascii="黑体" w:hAnsi="黑体" w:eastAsia="黑体" w:cs="黑体"/>
                <w:sz w:val="19"/>
                <w:szCs w:val="19"/>
              </w:rPr>
            </w:pPr>
          </w:p>
        </w:tc>
        <w:tc>
          <w:tcPr>
            <w:tcW w:w="845" w:type="dxa"/>
            <w:vMerge w:val="restart"/>
            <w:vAlign w:val="center"/>
          </w:tcPr>
          <w:p w14:paraId="097F87E0">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p w14:paraId="31418713">
            <w:pPr>
              <w:spacing w:line="480" w:lineRule="exact"/>
              <w:rPr>
                <w:rFonts w:hint="eastAsia" w:ascii="黑体" w:hAnsi="黑体" w:eastAsia="黑体" w:cs="黑体"/>
                <w:sz w:val="19"/>
                <w:szCs w:val="19"/>
              </w:rPr>
            </w:pPr>
          </w:p>
        </w:tc>
        <w:tc>
          <w:tcPr>
            <w:tcW w:w="6516" w:type="dxa"/>
            <w:gridSpan w:val="2"/>
            <w:vAlign w:val="center"/>
          </w:tcPr>
          <w:p w14:paraId="4A6001E8">
            <w:pPr>
              <w:spacing w:line="480" w:lineRule="exact"/>
              <w:jc w:val="center"/>
              <w:rPr>
                <w:rFonts w:hint="eastAsia" w:ascii="黑体" w:hAnsi="黑体" w:eastAsia="黑体" w:cs="黑体"/>
                <w:sz w:val="19"/>
                <w:szCs w:val="19"/>
              </w:rPr>
            </w:pPr>
            <w:r>
              <w:rPr>
                <w:rFonts w:hint="eastAsia" w:ascii="黑体" w:hAnsi="黑体" w:eastAsia="黑体" w:cs="黑体"/>
                <w:b/>
                <w:bCs/>
                <w:spacing w:val="6"/>
                <w:sz w:val="19"/>
                <w:szCs w:val="19"/>
              </w:rPr>
              <w:t>技术参数与性能指标</w:t>
            </w:r>
          </w:p>
        </w:tc>
      </w:tr>
      <w:tr w14:paraId="6EFC2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758" w:type="dxa"/>
            <w:vMerge w:val="continue"/>
            <w:vAlign w:val="center"/>
          </w:tcPr>
          <w:p w14:paraId="3A092D57">
            <w:pPr>
              <w:spacing w:line="480" w:lineRule="exact"/>
              <w:rPr>
                <w:rFonts w:hint="eastAsia"/>
              </w:rPr>
            </w:pPr>
          </w:p>
        </w:tc>
        <w:tc>
          <w:tcPr>
            <w:tcW w:w="1189" w:type="dxa"/>
            <w:vMerge w:val="continue"/>
            <w:vAlign w:val="center"/>
          </w:tcPr>
          <w:p w14:paraId="7E8C3678">
            <w:pPr>
              <w:spacing w:line="480" w:lineRule="exact"/>
              <w:rPr>
                <w:rFonts w:hint="eastAsia"/>
              </w:rPr>
            </w:pPr>
          </w:p>
        </w:tc>
        <w:tc>
          <w:tcPr>
            <w:tcW w:w="845" w:type="dxa"/>
            <w:vMerge w:val="continue"/>
            <w:vAlign w:val="center"/>
          </w:tcPr>
          <w:p w14:paraId="084B49EB">
            <w:pPr>
              <w:spacing w:line="480" w:lineRule="exact"/>
              <w:rPr>
                <w:rFonts w:hint="eastAsia"/>
              </w:rPr>
            </w:pPr>
          </w:p>
        </w:tc>
        <w:tc>
          <w:tcPr>
            <w:tcW w:w="1936" w:type="dxa"/>
            <w:vAlign w:val="center"/>
          </w:tcPr>
          <w:p w14:paraId="539A929A">
            <w:pPr>
              <w:spacing w:line="480" w:lineRule="exact"/>
              <w:jc w:val="center"/>
              <w:rPr>
                <w:rFonts w:hint="eastAsia" w:ascii="黑体" w:hAnsi="黑体" w:eastAsia="黑体" w:cs="黑体"/>
                <w:sz w:val="19"/>
                <w:szCs w:val="19"/>
              </w:rPr>
            </w:pPr>
            <w:r>
              <w:rPr>
                <w:rFonts w:hint="eastAsia" w:ascii="黑体" w:hAnsi="黑体" w:eastAsia="黑体" w:cs="黑体"/>
                <w:b/>
                <w:bCs/>
                <w:spacing w:val="6"/>
                <w:sz w:val="19"/>
                <w:szCs w:val="19"/>
              </w:rPr>
              <w:t>指标项</w:t>
            </w:r>
          </w:p>
        </w:tc>
        <w:tc>
          <w:tcPr>
            <w:tcW w:w="4580" w:type="dxa"/>
            <w:vAlign w:val="center"/>
          </w:tcPr>
          <w:p w14:paraId="0ED3DD71">
            <w:pPr>
              <w:spacing w:line="480" w:lineRule="exact"/>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en-US"/>
              </w:rPr>
              <w:t>技术指标</w:t>
            </w:r>
          </w:p>
        </w:tc>
      </w:tr>
      <w:tr w14:paraId="68162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restart"/>
            <w:vAlign w:val="center"/>
          </w:tcPr>
          <w:p w14:paraId="5497089F">
            <w:pPr>
              <w:spacing w:line="480" w:lineRule="exact"/>
              <w:rPr>
                <w:rFonts w:hint="eastAsia" w:ascii="黑体" w:hAnsi="黑体" w:eastAsia="黑体" w:cs="黑体"/>
                <w:sz w:val="19"/>
                <w:szCs w:val="19"/>
              </w:rPr>
            </w:pPr>
            <w:r>
              <w:rPr>
                <w:rFonts w:hint="eastAsia" w:ascii="黑体" w:hAnsi="黑体" w:eastAsia="黑体" w:cs="黑体"/>
                <w:sz w:val="19"/>
                <w:szCs w:val="19"/>
              </w:rPr>
              <w:t>5</w:t>
            </w:r>
          </w:p>
        </w:tc>
        <w:tc>
          <w:tcPr>
            <w:tcW w:w="1189" w:type="dxa"/>
            <w:vMerge w:val="restart"/>
            <w:vAlign w:val="center"/>
          </w:tcPr>
          <w:p w14:paraId="02E9B5FD">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220VAC</w:t>
            </w:r>
          </w:p>
          <w:p w14:paraId="7198519B">
            <w:pPr>
              <w:spacing w:line="480" w:lineRule="exact"/>
              <w:rPr>
                <w:rFonts w:hint="eastAsia" w:ascii="黑体" w:hAnsi="黑体" w:eastAsia="黑体" w:cs="黑体"/>
                <w:sz w:val="19"/>
                <w:szCs w:val="19"/>
              </w:rPr>
            </w:pPr>
            <w:r>
              <w:rPr>
                <w:rFonts w:hint="eastAsia" w:ascii="黑体" w:hAnsi="黑体" w:eastAsia="黑体" w:cs="黑体"/>
                <w:kern w:val="0"/>
                <w:sz w:val="19"/>
                <w:szCs w:val="19"/>
              </w:rPr>
              <w:t>电源避雷器</w:t>
            </w:r>
          </w:p>
        </w:tc>
        <w:tc>
          <w:tcPr>
            <w:tcW w:w="845" w:type="dxa"/>
            <w:vMerge w:val="restart"/>
            <w:vAlign w:val="center"/>
          </w:tcPr>
          <w:p w14:paraId="69415134">
            <w:pPr>
              <w:spacing w:line="480" w:lineRule="exact"/>
              <w:rPr>
                <w:rFonts w:hint="eastAsia" w:ascii="黑体" w:hAnsi="黑体" w:eastAsia="黑体" w:cs="黑体"/>
                <w:sz w:val="19"/>
                <w:szCs w:val="19"/>
              </w:rPr>
            </w:pPr>
          </w:p>
        </w:tc>
        <w:tc>
          <w:tcPr>
            <w:tcW w:w="1936" w:type="dxa"/>
          </w:tcPr>
          <w:p w14:paraId="371DECAE">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标称电压</w:t>
            </w:r>
          </w:p>
        </w:tc>
        <w:tc>
          <w:tcPr>
            <w:tcW w:w="4580" w:type="dxa"/>
          </w:tcPr>
          <w:p w14:paraId="3243DED5">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220V</w:t>
            </w:r>
          </w:p>
        </w:tc>
      </w:tr>
      <w:tr w14:paraId="1D55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073FA129">
            <w:pPr>
              <w:spacing w:line="480" w:lineRule="exact"/>
              <w:rPr>
                <w:rFonts w:hint="eastAsia" w:ascii="黑体" w:hAnsi="黑体" w:eastAsia="黑体" w:cs="黑体"/>
                <w:sz w:val="19"/>
                <w:szCs w:val="19"/>
              </w:rPr>
            </w:pPr>
          </w:p>
        </w:tc>
        <w:tc>
          <w:tcPr>
            <w:tcW w:w="1189" w:type="dxa"/>
            <w:vMerge w:val="continue"/>
            <w:vAlign w:val="center"/>
          </w:tcPr>
          <w:p w14:paraId="19A62A14">
            <w:pPr>
              <w:spacing w:line="480" w:lineRule="exact"/>
              <w:rPr>
                <w:rFonts w:hint="eastAsia" w:ascii="黑体" w:hAnsi="黑体" w:eastAsia="黑体" w:cs="黑体"/>
                <w:kern w:val="0"/>
                <w:sz w:val="19"/>
                <w:szCs w:val="19"/>
              </w:rPr>
            </w:pPr>
          </w:p>
        </w:tc>
        <w:tc>
          <w:tcPr>
            <w:tcW w:w="845" w:type="dxa"/>
            <w:vMerge w:val="continue"/>
            <w:vAlign w:val="center"/>
          </w:tcPr>
          <w:p w14:paraId="7F929C5B">
            <w:pPr>
              <w:spacing w:line="480" w:lineRule="exact"/>
              <w:rPr>
                <w:rFonts w:hint="eastAsia" w:ascii="黑体" w:hAnsi="黑体" w:eastAsia="黑体" w:cs="黑体"/>
                <w:sz w:val="19"/>
                <w:szCs w:val="19"/>
              </w:rPr>
            </w:pPr>
          </w:p>
        </w:tc>
        <w:tc>
          <w:tcPr>
            <w:tcW w:w="1936" w:type="dxa"/>
          </w:tcPr>
          <w:p w14:paraId="0E4ED410">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额定电压（最大持续工作电压）</w:t>
            </w:r>
          </w:p>
        </w:tc>
        <w:tc>
          <w:tcPr>
            <w:tcW w:w="4580" w:type="dxa"/>
          </w:tcPr>
          <w:p w14:paraId="746D73DB">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385V</w:t>
            </w:r>
          </w:p>
        </w:tc>
      </w:tr>
      <w:tr w14:paraId="465AB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07111F61">
            <w:pPr>
              <w:spacing w:line="480" w:lineRule="exact"/>
              <w:rPr>
                <w:rFonts w:hint="eastAsia" w:ascii="黑体" w:hAnsi="黑体" w:eastAsia="黑体" w:cs="黑体"/>
                <w:sz w:val="19"/>
                <w:szCs w:val="19"/>
              </w:rPr>
            </w:pPr>
          </w:p>
        </w:tc>
        <w:tc>
          <w:tcPr>
            <w:tcW w:w="1189" w:type="dxa"/>
            <w:vMerge w:val="continue"/>
            <w:vAlign w:val="center"/>
          </w:tcPr>
          <w:p w14:paraId="4D03802C">
            <w:pPr>
              <w:spacing w:line="480" w:lineRule="exact"/>
              <w:rPr>
                <w:rFonts w:hint="eastAsia" w:ascii="黑体" w:hAnsi="黑体" w:eastAsia="黑体" w:cs="黑体"/>
                <w:kern w:val="0"/>
                <w:sz w:val="19"/>
                <w:szCs w:val="19"/>
              </w:rPr>
            </w:pPr>
          </w:p>
        </w:tc>
        <w:tc>
          <w:tcPr>
            <w:tcW w:w="845" w:type="dxa"/>
            <w:vMerge w:val="continue"/>
            <w:vAlign w:val="center"/>
          </w:tcPr>
          <w:p w14:paraId="2D3D974F">
            <w:pPr>
              <w:spacing w:line="480" w:lineRule="exact"/>
              <w:rPr>
                <w:rFonts w:hint="eastAsia" w:ascii="黑体" w:hAnsi="黑体" w:eastAsia="黑体" w:cs="黑体"/>
                <w:sz w:val="19"/>
                <w:szCs w:val="19"/>
              </w:rPr>
            </w:pPr>
          </w:p>
        </w:tc>
        <w:tc>
          <w:tcPr>
            <w:tcW w:w="1936" w:type="dxa"/>
          </w:tcPr>
          <w:p w14:paraId="017FE47E">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标称放电电流</w:t>
            </w:r>
          </w:p>
        </w:tc>
        <w:tc>
          <w:tcPr>
            <w:tcW w:w="4580" w:type="dxa"/>
          </w:tcPr>
          <w:p w14:paraId="7D94225A">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20 kA</w:t>
            </w:r>
          </w:p>
        </w:tc>
      </w:tr>
      <w:tr w14:paraId="714D4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1BCAD7D4">
            <w:pPr>
              <w:spacing w:line="480" w:lineRule="exact"/>
              <w:rPr>
                <w:rFonts w:hint="eastAsia" w:ascii="黑体" w:hAnsi="黑体" w:eastAsia="黑体" w:cs="黑体"/>
                <w:sz w:val="19"/>
                <w:szCs w:val="19"/>
              </w:rPr>
            </w:pPr>
          </w:p>
        </w:tc>
        <w:tc>
          <w:tcPr>
            <w:tcW w:w="1189" w:type="dxa"/>
            <w:vMerge w:val="continue"/>
            <w:vAlign w:val="center"/>
          </w:tcPr>
          <w:p w14:paraId="7B9D2325">
            <w:pPr>
              <w:spacing w:line="480" w:lineRule="exact"/>
              <w:rPr>
                <w:rFonts w:hint="eastAsia" w:ascii="黑体" w:hAnsi="黑体" w:eastAsia="黑体" w:cs="黑体"/>
                <w:kern w:val="0"/>
                <w:sz w:val="19"/>
                <w:szCs w:val="19"/>
              </w:rPr>
            </w:pPr>
          </w:p>
        </w:tc>
        <w:tc>
          <w:tcPr>
            <w:tcW w:w="845" w:type="dxa"/>
            <w:vMerge w:val="continue"/>
            <w:vAlign w:val="center"/>
          </w:tcPr>
          <w:p w14:paraId="3F31070A">
            <w:pPr>
              <w:spacing w:line="480" w:lineRule="exact"/>
              <w:rPr>
                <w:rFonts w:hint="eastAsia" w:ascii="黑体" w:hAnsi="黑体" w:eastAsia="黑体" w:cs="黑体"/>
                <w:sz w:val="19"/>
                <w:szCs w:val="19"/>
              </w:rPr>
            </w:pPr>
          </w:p>
        </w:tc>
        <w:tc>
          <w:tcPr>
            <w:tcW w:w="1936" w:type="dxa"/>
          </w:tcPr>
          <w:p w14:paraId="6DFC3BBB">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最大放电浪涌电流</w:t>
            </w:r>
          </w:p>
        </w:tc>
        <w:tc>
          <w:tcPr>
            <w:tcW w:w="4580" w:type="dxa"/>
          </w:tcPr>
          <w:p w14:paraId="374F455A">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40 kA</w:t>
            </w:r>
          </w:p>
        </w:tc>
      </w:tr>
      <w:tr w14:paraId="0A0FC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36AC2E89">
            <w:pPr>
              <w:spacing w:line="480" w:lineRule="exact"/>
              <w:rPr>
                <w:rFonts w:hint="eastAsia" w:ascii="黑体" w:hAnsi="黑体" w:eastAsia="黑体" w:cs="黑体"/>
                <w:sz w:val="19"/>
                <w:szCs w:val="19"/>
              </w:rPr>
            </w:pPr>
          </w:p>
        </w:tc>
        <w:tc>
          <w:tcPr>
            <w:tcW w:w="1189" w:type="dxa"/>
            <w:vMerge w:val="continue"/>
            <w:vAlign w:val="center"/>
          </w:tcPr>
          <w:p w14:paraId="70AB3932">
            <w:pPr>
              <w:spacing w:line="480" w:lineRule="exact"/>
              <w:rPr>
                <w:rFonts w:hint="eastAsia" w:ascii="黑体" w:hAnsi="黑体" w:eastAsia="黑体" w:cs="黑体"/>
                <w:kern w:val="0"/>
                <w:sz w:val="19"/>
                <w:szCs w:val="19"/>
              </w:rPr>
            </w:pPr>
          </w:p>
        </w:tc>
        <w:tc>
          <w:tcPr>
            <w:tcW w:w="845" w:type="dxa"/>
            <w:vMerge w:val="continue"/>
            <w:vAlign w:val="center"/>
          </w:tcPr>
          <w:p w14:paraId="143836A7">
            <w:pPr>
              <w:spacing w:line="480" w:lineRule="exact"/>
              <w:rPr>
                <w:rFonts w:hint="eastAsia" w:ascii="黑体" w:hAnsi="黑体" w:eastAsia="黑体" w:cs="黑体"/>
                <w:sz w:val="19"/>
                <w:szCs w:val="19"/>
              </w:rPr>
            </w:pPr>
          </w:p>
        </w:tc>
        <w:tc>
          <w:tcPr>
            <w:tcW w:w="1936" w:type="dxa"/>
          </w:tcPr>
          <w:p w14:paraId="7B5925D5">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电压保护等级</w:t>
            </w:r>
          </w:p>
        </w:tc>
        <w:tc>
          <w:tcPr>
            <w:tcW w:w="4580" w:type="dxa"/>
          </w:tcPr>
          <w:p w14:paraId="71D293A1">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5KA(8/20)≤1.5KV</w:t>
            </w:r>
          </w:p>
        </w:tc>
      </w:tr>
      <w:tr w14:paraId="38AF9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7982AC23">
            <w:pPr>
              <w:spacing w:line="480" w:lineRule="exact"/>
              <w:rPr>
                <w:rFonts w:hint="eastAsia" w:ascii="黑体" w:hAnsi="黑体" w:eastAsia="黑体" w:cs="黑体"/>
                <w:sz w:val="19"/>
                <w:szCs w:val="19"/>
              </w:rPr>
            </w:pPr>
          </w:p>
        </w:tc>
        <w:tc>
          <w:tcPr>
            <w:tcW w:w="1189" w:type="dxa"/>
            <w:vMerge w:val="continue"/>
            <w:vAlign w:val="center"/>
          </w:tcPr>
          <w:p w14:paraId="743AB3C0">
            <w:pPr>
              <w:spacing w:line="480" w:lineRule="exact"/>
              <w:rPr>
                <w:rFonts w:hint="eastAsia" w:ascii="黑体" w:hAnsi="黑体" w:eastAsia="黑体" w:cs="黑体"/>
                <w:kern w:val="0"/>
                <w:sz w:val="19"/>
                <w:szCs w:val="19"/>
              </w:rPr>
            </w:pPr>
          </w:p>
        </w:tc>
        <w:tc>
          <w:tcPr>
            <w:tcW w:w="845" w:type="dxa"/>
            <w:vMerge w:val="continue"/>
            <w:vAlign w:val="center"/>
          </w:tcPr>
          <w:p w14:paraId="4343886B">
            <w:pPr>
              <w:spacing w:line="480" w:lineRule="exact"/>
              <w:rPr>
                <w:rFonts w:hint="eastAsia" w:ascii="黑体" w:hAnsi="黑体" w:eastAsia="黑体" w:cs="黑体"/>
                <w:sz w:val="19"/>
                <w:szCs w:val="19"/>
              </w:rPr>
            </w:pPr>
          </w:p>
        </w:tc>
        <w:tc>
          <w:tcPr>
            <w:tcW w:w="1936" w:type="dxa"/>
          </w:tcPr>
          <w:p w14:paraId="7A4C1E36">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雷电脉冲冲击电压</w:t>
            </w:r>
          </w:p>
        </w:tc>
        <w:tc>
          <w:tcPr>
            <w:tcW w:w="4580" w:type="dxa"/>
          </w:tcPr>
          <w:p w14:paraId="760D7506">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1.2/50≤2.0KV</w:t>
            </w:r>
          </w:p>
        </w:tc>
      </w:tr>
      <w:tr w14:paraId="6643B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E2871D4">
            <w:pPr>
              <w:spacing w:line="480" w:lineRule="exact"/>
              <w:rPr>
                <w:rFonts w:hint="eastAsia" w:ascii="黑体" w:hAnsi="黑体" w:eastAsia="黑体" w:cs="黑体"/>
                <w:sz w:val="19"/>
                <w:szCs w:val="19"/>
              </w:rPr>
            </w:pPr>
          </w:p>
        </w:tc>
        <w:tc>
          <w:tcPr>
            <w:tcW w:w="1189" w:type="dxa"/>
            <w:vMerge w:val="continue"/>
            <w:vAlign w:val="center"/>
          </w:tcPr>
          <w:p w14:paraId="67963E6B">
            <w:pPr>
              <w:spacing w:line="480" w:lineRule="exact"/>
              <w:rPr>
                <w:rFonts w:hint="eastAsia" w:ascii="黑体" w:hAnsi="黑体" w:eastAsia="黑体" w:cs="黑体"/>
                <w:kern w:val="0"/>
                <w:sz w:val="19"/>
                <w:szCs w:val="19"/>
              </w:rPr>
            </w:pPr>
          </w:p>
        </w:tc>
        <w:tc>
          <w:tcPr>
            <w:tcW w:w="845" w:type="dxa"/>
            <w:vMerge w:val="continue"/>
            <w:vAlign w:val="center"/>
          </w:tcPr>
          <w:p w14:paraId="7A0AF18E">
            <w:pPr>
              <w:spacing w:line="480" w:lineRule="exact"/>
              <w:rPr>
                <w:rFonts w:hint="eastAsia" w:ascii="黑体" w:hAnsi="黑体" w:eastAsia="黑体" w:cs="黑体"/>
                <w:sz w:val="19"/>
                <w:szCs w:val="19"/>
              </w:rPr>
            </w:pPr>
          </w:p>
        </w:tc>
        <w:tc>
          <w:tcPr>
            <w:tcW w:w="1936" w:type="dxa"/>
          </w:tcPr>
          <w:p w14:paraId="234A9672">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响应时间</w:t>
            </w:r>
          </w:p>
        </w:tc>
        <w:tc>
          <w:tcPr>
            <w:tcW w:w="4580" w:type="dxa"/>
          </w:tcPr>
          <w:p w14:paraId="2557051A">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≤25ns</w:t>
            </w:r>
          </w:p>
        </w:tc>
      </w:tr>
      <w:tr w14:paraId="4B35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58" w:type="dxa"/>
            <w:vMerge w:val="continue"/>
            <w:vAlign w:val="center"/>
          </w:tcPr>
          <w:p w14:paraId="005FB7FE">
            <w:pPr>
              <w:spacing w:line="480" w:lineRule="exact"/>
              <w:rPr>
                <w:rFonts w:hint="eastAsia" w:ascii="黑体" w:hAnsi="黑体" w:eastAsia="黑体" w:cs="黑体"/>
                <w:sz w:val="19"/>
                <w:szCs w:val="19"/>
              </w:rPr>
            </w:pPr>
          </w:p>
        </w:tc>
        <w:tc>
          <w:tcPr>
            <w:tcW w:w="1189" w:type="dxa"/>
            <w:vMerge w:val="continue"/>
            <w:vAlign w:val="center"/>
          </w:tcPr>
          <w:p w14:paraId="6B698BFD">
            <w:pPr>
              <w:spacing w:line="480" w:lineRule="exact"/>
              <w:rPr>
                <w:rFonts w:hint="eastAsia" w:ascii="黑体" w:hAnsi="黑体" w:eastAsia="黑体" w:cs="黑体"/>
                <w:kern w:val="0"/>
                <w:sz w:val="19"/>
                <w:szCs w:val="19"/>
              </w:rPr>
            </w:pPr>
          </w:p>
        </w:tc>
        <w:tc>
          <w:tcPr>
            <w:tcW w:w="845" w:type="dxa"/>
            <w:vMerge w:val="continue"/>
            <w:vAlign w:val="center"/>
          </w:tcPr>
          <w:p w14:paraId="3906F3F3">
            <w:pPr>
              <w:spacing w:line="480" w:lineRule="exact"/>
              <w:rPr>
                <w:rFonts w:hint="eastAsia" w:ascii="黑体" w:hAnsi="黑体" w:eastAsia="黑体" w:cs="黑体"/>
                <w:sz w:val="19"/>
                <w:szCs w:val="19"/>
              </w:rPr>
            </w:pPr>
          </w:p>
        </w:tc>
        <w:tc>
          <w:tcPr>
            <w:tcW w:w="1936" w:type="dxa"/>
          </w:tcPr>
          <w:p w14:paraId="1C713389">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最大保险丝强度</w:t>
            </w:r>
          </w:p>
        </w:tc>
        <w:tc>
          <w:tcPr>
            <w:tcW w:w="4580" w:type="dxa"/>
          </w:tcPr>
          <w:p w14:paraId="4C9420F2">
            <w:pPr>
              <w:widowControl/>
              <w:spacing w:line="480" w:lineRule="exact"/>
              <w:rPr>
                <w:rFonts w:hint="eastAsia" w:ascii="黑体" w:hAnsi="黑体" w:eastAsia="黑体" w:cs="黑体"/>
                <w:kern w:val="0"/>
                <w:sz w:val="19"/>
                <w:szCs w:val="19"/>
                <w:lang w:bidi="ar"/>
              </w:rPr>
            </w:pPr>
            <w:r>
              <w:rPr>
                <w:rFonts w:hint="eastAsia" w:ascii="黑体" w:hAnsi="黑体" w:eastAsia="黑体" w:cs="黑体"/>
                <w:kern w:val="0"/>
                <w:sz w:val="19"/>
                <w:szCs w:val="19"/>
              </w:rPr>
              <w:t>125A gL/gG </w:t>
            </w:r>
          </w:p>
        </w:tc>
      </w:tr>
      <w:tr w14:paraId="20555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758" w:type="dxa"/>
            <w:vAlign w:val="center"/>
          </w:tcPr>
          <w:p w14:paraId="007B0296">
            <w:pPr>
              <w:pStyle w:val="41"/>
              <w:spacing w:before="204" w:line="218" w:lineRule="auto"/>
              <w:ind w:left="114"/>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序号</w:t>
            </w:r>
          </w:p>
        </w:tc>
        <w:tc>
          <w:tcPr>
            <w:tcW w:w="1189" w:type="dxa"/>
            <w:vAlign w:val="center"/>
          </w:tcPr>
          <w:p w14:paraId="1322D7F7">
            <w:pPr>
              <w:pStyle w:val="41"/>
              <w:spacing w:before="204" w:line="218" w:lineRule="auto"/>
              <w:ind w:left="114"/>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产品名称</w:t>
            </w:r>
          </w:p>
        </w:tc>
        <w:tc>
          <w:tcPr>
            <w:tcW w:w="845" w:type="dxa"/>
            <w:vAlign w:val="center"/>
          </w:tcPr>
          <w:p w14:paraId="5575C5F4">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73C77C6B">
            <w:pPr>
              <w:spacing w:line="480" w:lineRule="exact"/>
              <w:jc w:val="center"/>
              <w:rPr>
                <w:rFonts w:hint="eastAsia" w:ascii="黑体" w:hAnsi="黑体" w:eastAsia="黑体" w:cs="黑体"/>
                <w:kern w:val="0"/>
                <w:sz w:val="19"/>
                <w:szCs w:val="19"/>
                <w:lang w:bidi="ar"/>
              </w:rPr>
            </w:pPr>
            <w:r>
              <w:rPr>
                <w:rFonts w:hint="eastAsia" w:ascii="黑体" w:hAnsi="黑体" w:eastAsia="黑体" w:cs="黑体"/>
                <w:b/>
                <w:bCs/>
                <w:spacing w:val="6"/>
                <w:sz w:val="19"/>
                <w:szCs w:val="19"/>
              </w:rPr>
              <w:t>技术参数与性能指标</w:t>
            </w:r>
          </w:p>
        </w:tc>
      </w:tr>
      <w:tr w14:paraId="30569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8" w:type="dxa"/>
            <w:vAlign w:val="center"/>
          </w:tcPr>
          <w:p w14:paraId="4AF3A585">
            <w:pPr>
              <w:spacing w:line="480" w:lineRule="exact"/>
              <w:rPr>
                <w:rFonts w:hint="eastAsia" w:ascii="黑体" w:hAnsi="黑体" w:eastAsia="黑体" w:cs="黑体"/>
                <w:sz w:val="19"/>
                <w:szCs w:val="19"/>
              </w:rPr>
            </w:pPr>
            <w:r>
              <w:rPr>
                <w:rFonts w:hint="eastAsia" w:ascii="黑体" w:hAnsi="黑体" w:eastAsia="黑体" w:cs="黑体"/>
                <w:sz w:val="19"/>
                <w:szCs w:val="19"/>
              </w:rPr>
              <w:t>6</w:t>
            </w:r>
          </w:p>
        </w:tc>
        <w:tc>
          <w:tcPr>
            <w:tcW w:w="1189" w:type="dxa"/>
            <w:vAlign w:val="center"/>
          </w:tcPr>
          <w:p w14:paraId="009D584A">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GPS 通讯避雷器</w:t>
            </w:r>
          </w:p>
        </w:tc>
        <w:tc>
          <w:tcPr>
            <w:tcW w:w="845" w:type="dxa"/>
            <w:vAlign w:val="center"/>
          </w:tcPr>
          <w:p w14:paraId="538FD07F">
            <w:pPr>
              <w:spacing w:line="480" w:lineRule="exact"/>
              <w:rPr>
                <w:rFonts w:hint="eastAsia" w:ascii="黑体" w:hAnsi="黑体" w:eastAsia="黑体" w:cs="黑体"/>
                <w:sz w:val="19"/>
                <w:szCs w:val="19"/>
              </w:rPr>
            </w:pPr>
          </w:p>
        </w:tc>
        <w:tc>
          <w:tcPr>
            <w:tcW w:w="6516" w:type="dxa"/>
            <w:gridSpan w:val="2"/>
            <w:vAlign w:val="center"/>
          </w:tcPr>
          <w:p w14:paraId="21B6B4E1">
            <w:pPr>
              <w:spacing w:line="480" w:lineRule="exact"/>
              <w:rPr>
                <w:rFonts w:hint="eastAsia" w:ascii="黑体" w:hAnsi="黑体" w:eastAsia="黑体" w:cs="黑体"/>
                <w:kern w:val="0"/>
                <w:sz w:val="19"/>
                <w:szCs w:val="19"/>
                <w:lang w:bidi="ar"/>
              </w:rPr>
            </w:pPr>
            <w:r>
              <w:rPr>
                <w:rFonts w:hint="eastAsia" w:ascii="黑体" w:hAnsi="黑体" w:eastAsia="黑体" w:cs="黑体"/>
                <w:sz w:val="19"/>
                <w:szCs w:val="19"/>
              </w:rPr>
              <w:t xml:space="preserve"> 测震数采专用GNSS信号避雷器</w:t>
            </w:r>
          </w:p>
        </w:tc>
      </w:tr>
      <w:tr w14:paraId="5EA0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58" w:type="dxa"/>
            <w:vAlign w:val="center"/>
          </w:tcPr>
          <w:p w14:paraId="52A6F6EB">
            <w:pPr>
              <w:pStyle w:val="41"/>
              <w:spacing w:before="204" w:line="218" w:lineRule="auto"/>
              <w:ind w:left="114"/>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序号</w:t>
            </w:r>
          </w:p>
        </w:tc>
        <w:tc>
          <w:tcPr>
            <w:tcW w:w="1189" w:type="dxa"/>
            <w:vAlign w:val="center"/>
          </w:tcPr>
          <w:p w14:paraId="03A85547">
            <w:pPr>
              <w:pStyle w:val="41"/>
              <w:spacing w:before="204" w:line="218" w:lineRule="auto"/>
              <w:ind w:left="114"/>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产品名称</w:t>
            </w:r>
          </w:p>
        </w:tc>
        <w:tc>
          <w:tcPr>
            <w:tcW w:w="845" w:type="dxa"/>
            <w:vAlign w:val="center"/>
          </w:tcPr>
          <w:p w14:paraId="1DA3DC20">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30160783">
            <w:pPr>
              <w:widowControl/>
              <w:spacing w:line="480" w:lineRule="exact"/>
              <w:jc w:val="center"/>
              <w:rPr>
                <w:rFonts w:hint="eastAsia" w:ascii="黑体" w:hAnsi="黑体" w:eastAsia="黑体" w:cs="黑体"/>
                <w:kern w:val="0"/>
                <w:sz w:val="19"/>
                <w:szCs w:val="19"/>
              </w:rPr>
            </w:pPr>
            <w:r>
              <w:rPr>
                <w:rFonts w:hint="eastAsia" w:ascii="黑体" w:hAnsi="黑体" w:eastAsia="黑体" w:cs="黑体"/>
                <w:b/>
                <w:bCs/>
                <w:spacing w:val="6"/>
                <w:sz w:val="19"/>
                <w:szCs w:val="19"/>
              </w:rPr>
              <w:t>技术参数与性能指标</w:t>
            </w:r>
          </w:p>
        </w:tc>
      </w:tr>
      <w:tr w14:paraId="6BDB4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58" w:type="dxa"/>
            <w:vAlign w:val="center"/>
          </w:tcPr>
          <w:p w14:paraId="2BA4AB6B">
            <w:pPr>
              <w:spacing w:line="480" w:lineRule="exact"/>
              <w:rPr>
                <w:rFonts w:hint="eastAsia" w:ascii="黑体" w:hAnsi="黑体" w:eastAsia="黑体" w:cs="黑体"/>
                <w:sz w:val="19"/>
                <w:szCs w:val="19"/>
              </w:rPr>
            </w:pPr>
            <w:r>
              <w:rPr>
                <w:rFonts w:hint="eastAsia" w:ascii="黑体" w:hAnsi="黑体" w:eastAsia="黑体" w:cs="黑体"/>
                <w:sz w:val="19"/>
                <w:szCs w:val="19"/>
              </w:rPr>
              <w:t>7</w:t>
            </w:r>
          </w:p>
        </w:tc>
        <w:tc>
          <w:tcPr>
            <w:tcW w:w="1189" w:type="dxa"/>
            <w:vAlign w:val="center"/>
          </w:tcPr>
          <w:p w14:paraId="71CDEA60">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台站蓄电池组</w:t>
            </w:r>
          </w:p>
        </w:tc>
        <w:tc>
          <w:tcPr>
            <w:tcW w:w="845" w:type="dxa"/>
            <w:vAlign w:val="center"/>
          </w:tcPr>
          <w:p w14:paraId="5F6BB0D3">
            <w:pPr>
              <w:spacing w:line="480" w:lineRule="exact"/>
              <w:rPr>
                <w:rFonts w:hint="eastAsia" w:ascii="黑体" w:hAnsi="黑体" w:eastAsia="黑体" w:cs="黑体"/>
                <w:sz w:val="19"/>
                <w:szCs w:val="19"/>
              </w:rPr>
            </w:pPr>
          </w:p>
        </w:tc>
        <w:tc>
          <w:tcPr>
            <w:tcW w:w="6516" w:type="dxa"/>
            <w:gridSpan w:val="2"/>
            <w:vAlign w:val="center"/>
          </w:tcPr>
          <w:p w14:paraId="711BC8CD">
            <w:pPr>
              <w:spacing w:line="480" w:lineRule="exact"/>
              <w:rPr>
                <w:rFonts w:hint="eastAsia" w:ascii="黑体" w:hAnsi="黑体" w:eastAsia="黑体" w:cs="黑体"/>
                <w:kern w:val="0"/>
                <w:sz w:val="19"/>
                <w:szCs w:val="19"/>
                <w:lang w:bidi="ar"/>
              </w:rPr>
            </w:pPr>
            <w:r>
              <w:rPr>
                <w:rFonts w:hint="eastAsia" w:ascii="黑体" w:hAnsi="黑体" w:eastAsia="黑体" w:cs="黑体"/>
                <w:sz w:val="19"/>
                <w:szCs w:val="19"/>
              </w:rPr>
              <w:t>12V输出，免维护，容量为单块容量100AH</w:t>
            </w:r>
          </w:p>
        </w:tc>
      </w:tr>
      <w:tr w14:paraId="442E7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758" w:type="dxa"/>
            <w:vMerge w:val="restart"/>
            <w:vAlign w:val="center"/>
          </w:tcPr>
          <w:p w14:paraId="5CCB6F05">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tc>
        <w:tc>
          <w:tcPr>
            <w:tcW w:w="1189" w:type="dxa"/>
            <w:vMerge w:val="restart"/>
            <w:vAlign w:val="center"/>
          </w:tcPr>
          <w:p w14:paraId="61C23E83">
            <w:pPr>
              <w:pStyle w:val="41"/>
              <w:spacing w:before="204" w:line="218" w:lineRule="auto"/>
              <w:ind w:left="114"/>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zh-CN"/>
              </w:rPr>
              <w:t>产品名称</w:t>
            </w:r>
          </w:p>
        </w:tc>
        <w:tc>
          <w:tcPr>
            <w:tcW w:w="845" w:type="dxa"/>
            <w:vMerge w:val="restart"/>
            <w:vAlign w:val="center"/>
          </w:tcPr>
          <w:p w14:paraId="165C3BCA">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5B23E62D">
            <w:pPr>
              <w:spacing w:line="480" w:lineRule="exact"/>
              <w:jc w:val="center"/>
              <w:rPr>
                <w:rFonts w:hint="eastAsia" w:ascii="黑体" w:hAnsi="黑体" w:eastAsia="黑体" w:cs="黑体"/>
                <w:b/>
                <w:bCs/>
                <w:spacing w:val="6"/>
                <w:sz w:val="19"/>
                <w:szCs w:val="19"/>
              </w:rPr>
            </w:pPr>
            <w:r>
              <w:rPr>
                <w:rFonts w:hint="eastAsia" w:ascii="黑体" w:hAnsi="黑体" w:eastAsia="黑体" w:cs="黑体"/>
                <w:b/>
                <w:bCs/>
                <w:spacing w:val="6"/>
                <w:sz w:val="19"/>
                <w:szCs w:val="19"/>
              </w:rPr>
              <w:t>技术参数与性能指标</w:t>
            </w:r>
          </w:p>
        </w:tc>
      </w:tr>
      <w:tr w14:paraId="0819E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58" w:type="dxa"/>
            <w:vMerge w:val="continue"/>
            <w:vAlign w:val="center"/>
          </w:tcPr>
          <w:p w14:paraId="5C6F881C">
            <w:pPr>
              <w:spacing w:line="480" w:lineRule="exact"/>
              <w:jc w:val="center"/>
              <w:rPr>
                <w:rFonts w:hint="eastAsia"/>
              </w:rPr>
            </w:pPr>
          </w:p>
        </w:tc>
        <w:tc>
          <w:tcPr>
            <w:tcW w:w="1189" w:type="dxa"/>
            <w:vMerge w:val="continue"/>
            <w:vAlign w:val="center"/>
          </w:tcPr>
          <w:p w14:paraId="616C85FE">
            <w:pPr>
              <w:spacing w:line="480" w:lineRule="exact"/>
              <w:jc w:val="center"/>
              <w:rPr>
                <w:rFonts w:hint="eastAsia"/>
              </w:rPr>
            </w:pPr>
          </w:p>
        </w:tc>
        <w:tc>
          <w:tcPr>
            <w:tcW w:w="845" w:type="dxa"/>
            <w:vMerge w:val="continue"/>
            <w:vAlign w:val="center"/>
          </w:tcPr>
          <w:p w14:paraId="180DE24B">
            <w:pPr>
              <w:spacing w:line="480" w:lineRule="exact"/>
              <w:jc w:val="center"/>
              <w:rPr>
                <w:rFonts w:hint="eastAsia"/>
              </w:rPr>
            </w:pPr>
          </w:p>
        </w:tc>
        <w:tc>
          <w:tcPr>
            <w:tcW w:w="1936" w:type="dxa"/>
            <w:vAlign w:val="center"/>
          </w:tcPr>
          <w:p w14:paraId="1F888A09">
            <w:pPr>
              <w:spacing w:line="480" w:lineRule="exact"/>
              <w:jc w:val="center"/>
              <w:rPr>
                <w:rFonts w:hint="eastAsia"/>
              </w:rPr>
            </w:pPr>
            <w:r>
              <w:rPr>
                <w:rFonts w:hint="eastAsia" w:ascii="黑体" w:hAnsi="黑体" w:eastAsia="黑体" w:cs="黑体"/>
                <w:b/>
                <w:bCs/>
                <w:spacing w:val="6"/>
                <w:sz w:val="19"/>
                <w:szCs w:val="19"/>
              </w:rPr>
              <w:t>指标项</w:t>
            </w:r>
          </w:p>
        </w:tc>
        <w:tc>
          <w:tcPr>
            <w:tcW w:w="4580" w:type="dxa"/>
            <w:vAlign w:val="center"/>
          </w:tcPr>
          <w:p w14:paraId="73F56075">
            <w:pPr>
              <w:spacing w:line="480" w:lineRule="exact"/>
              <w:jc w:val="center"/>
              <w:rPr>
                <w:rFonts w:hint="eastAsia"/>
              </w:rPr>
            </w:pPr>
            <w:r>
              <w:rPr>
                <w:rFonts w:hint="eastAsia" w:ascii="黑体" w:hAnsi="黑体" w:eastAsia="黑体" w:cs="黑体"/>
                <w:b/>
                <w:bCs/>
                <w:spacing w:val="6"/>
                <w:sz w:val="19"/>
                <w:szCs w:val="19"/>
                <w:lang w:eastAsia="en-US"/>
              </w:rPr>
              <w:t>技术指标</w:t>
            </w:r>
          </w:p>
        </w:tc>
      </w:tr>
      <w:tr w14:paraId="0A79A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758" w:type="dxa"/>
            <w:vMerge w:val="restart"/>
            <w:vAlign w:val="center"/>
          </w:tcPr>
          <w:p w14:paraId="4CDF0C9E">
            <w:pPr>
              <w:spacing w:line="480" w:lineRule="exact"/>
              <w:rPr>
                <w:rFonts w:hint="eastAsia" w:ascii="黑体" w:hAnsi="黑体" w:eastAsia="黑体" w:cs="黑体"/>
                <w:sz w:val="19"/>
                <w:szCs w:val="19"/>
              </w:rPr>
            </w:pPr>
            <w:r>
              <w:rPr>
                <w:rFonts w:hint="eastAsia" w:ascii="黑体" w:hAnsi="黑体" w:eastAsia="黑体" w:cs="黑体"/>
                <w:sz w:val="19"/>
                <w:szCs w:val="19"/>
              </w:rPr>
              <w:t>8</w:t>
            </w:r>
          </w:p>
        </w:tc>
        <w:tc>
          <w:tcPr>
            <w:tcW w:w="1189" w:type="dxa"/>
            <w:vMerge w:val="restart"/>
            <w:vAlign w:val="center"/>
          </w:tcPr>
          <w:p w14:paraId="0CDFEE94">
            <w:pPr>
              <w:spacing w:line="480" w:lineRule="exact"/>
              <w:rPr>
                <w:rFonts w:hint="eastAsia" w:ascii="黑体" w:hAnsi="黑体" w:eastAsia="黑体" w:cs="黑体"/>
                <w:sz w:val="19"/>
                <w:szCs w:val="19"/>
              </w:rPr>
            </w:pPr>
            <w:r>
              <w:rPr>
                <w:rFonts w:hint="eastAsia" w:ascii="黑体" w:hAnsi="黑体" w:eastAsia="黑体" w:cs="黑体"/>
                <w:kern w:val="0"/>
                <w:sz w:val="19"/>
                <w:szCs w:val="19"/>
              </w:rPr>
              <w:t>27U室外不锈钢机柜</w:t>
            </w:r>
          </w:p>
        </w:tc>
        <w:tc>
          <w:tcPr>
            <w:tcW w:w="845" w:type="dxa"/>
            <w:vAlign w:val="center"/>
          </w:tcPr>
          <w:p w14:paraId="28D12CE4">
            <w:pPr>
              <w:spacing w:line="480" w:lineRule="exact"/>
              <w:jc w:val="center"/>
              <w:rPr>
                <w:rFonts w:hint="eastAsia"/>
              </w:rPr>
            </w:pPr>
          </w:p>
        </w:tc>
        <w:tc>
          <w:tcPr>
            <w:tcW w:w="1936" w:type="dxa"/>
            <w:vAlign w:val="center"/>
          </w:tcPr>
          <w:p w14:paraId="22F8669B">
            <w:pPr>
              <w:spacing w:line="480" w:lineRule="exact"/>
              <w:rPr>
                <w:rFonts w:hint="eastAsia"/>
              </w:rPr>
            </w:pPr>
            <w:r>
              <w:rPr>
                <w:rFonts w:hint="eastAsia" w:ascii="黑体" w:hAnsi="黑体" w:eastAsia="黑体" w:cs="黑体"/>
                <w:sz w:val="19"/>
                <w:szCs w:val="19"/>
              </w:rPr>
              <w:t>材质</w:t>
            </w:r>
          </w:p>
        </w:tc>
        <w:tc>
          <w:tcPr>
            <w:tcW w:w="4580" w:type="dxa"/>
            <w:vAlign w:val="center"/>
          </w:tcPr>
          <w:p w14:paraId="244F346E">
            <w:pPr>
              <w:spacing w:line="480" w:lineRule="exact"/>
              <w:rPr>
                <w:rFonts w:hint="eastAsia"/>
              </w:rPr>
            </w:pPr>
            <w:r>
              <w:rPr>
                <w:rFonts w:hint="eastAsia" w:ascii="黑体" w:hAnsi="黑体" w:eastAsia="黑体" w:cs="黑体"/>
                <w:sz w:val="19"/>
                <w:szCs w:val="19"/>
              </w:rPr>
              <w:t>国标304不锈钢，防雨、抗腐蚀、抗老化</w:t>
            </w:r>
          </w:p>
        </w:tc>
      </w:tr>
      <w:tr w14:paraId="0532E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758" w:type="dxa"/>
            <w:vMerge w:val="continue"/>
            <w:vAlign w:val="center"/>
          </w:tcPr>
          <w:p w14:paraId="2E76C61E">
            <w:pPr>
              <w:spacing w:line="480" w:lineRule="exact"/>
              <w:jc w:val="center"/>
              <w:rPr>
                <w:rFonts w:hint="eastAsia"/>
              </w:rPr>
            </w:pPr>
          </w:p>
        </w:tc>
        <w:tc>
          <w:tcPr>
            <w:tcW w:w="1189" w:type="dxa"/>
            <w:vMerge w:val="continue"/>
            <w:vAlign w:val="center"/>
          </w:tcPr>
          <w:p w14:paraId="4DDBBE60">
            <w:pPr>
              <w:spacing w:line="480" w:lineRule="exact"/>
              <w:rPr>
                <w:rFonts w:hint="eastAsia" w:ascii="黑体" w:hAnsi="黑体" w:eastAsia="黑体" w:cs="黑体"/>
                <w:sz w:val="19"/>
                <w:szCs w:val="19"/>
              </w:rPr>
            </w:pPr>
          </w:p>
        </w:tc>
        <w:tc>
          <w:tcPr>
            <w:tcW w:w="845" w:type="dxa"/>
            <w:vAlign w:val="center"/>
          </w:tcPr>
          <w:p w14:paraId="30BC053E">
            <w:pPr>
              <w:spacing w:line="480" w:lineRule="exact"/>
              <w:jc w:val="center"/>
              <w:rPr>
                <w:rFonts w:hint="eastAsia"/>
              </w:rPr>
            </w:pPr>
          </w:p>
        </w:tc>
        <w:tc>
          <w:tcPr>
            <w:tcW w:w="1936" w:type="dxa"/>
            <w:vAlign w:val="center"/>
          </w:tcPr>
          <w:p w14:paraId="1ED14727">
            <w:pPr>
              <w:spacing w:line="480" w:lineRule="exact"/>
              <w:rPr>
                <w:rFonts w:hint="eastAsia"/>
              </w:rPr>
            </w:pPr>
            <w:r>
              <w:rPr>
                <w:rFonts w:hint="eastAsia" w:ascii="黑体" w:hAnsi="黑体" w:eastAsia="黑体" w:cs="黑体"/>
                <w:sz w:val="19"/>
                <w:szCs w:val="19"/>
              </w:rPr>
              <w:t>材质厚度</w:t>
            </w:r>
          </w:p>
        </w:tc>
        <w:tc>
          <w:tcPr>
            <w:tcW w:w="4580" w:type="dxa"/>
            <w:vAlign w:val="center"/>
          </w:tcPr>
          <w:p w14:paraId="2FECEEDC">
            <w:pPr>
              <w:spacing w:line="480" w:lineRule="exact"/>
              <w:rPr>
                <w:rFonts w:hint="eastAsia" w:ascii="黑体" w:hAnsi="黑体" w:eastAsia="黑体" w:cs="黑体"/>
                <w:sz w:val="19"/>
                <w:szCs w:val="19"/>
              </w:rPr>
            </w:pPr>
            <w:r>
              <w:rPr>
                <w:rFonts w:hint="eastAsia" w:ascii="黑体" w:hAnsi="黑体" w:eastAsia="黑体" w:cs="黑体"/>
                <w:sz w:val="19"/>
                <w:szCs w:val="19"/>
              </w:rPr>
              <w:t>柜体，门板1.2mm，底座、顶罩1.5mm、国标304不锈钢</w:t>
            </w:r>
          </w:p>
          <w:p w14:paraId="32A1C5BC">
            <w:pPr>
              <w:spacing w:line="480" w:lineRule="exact"/>
              <w:rPr>
                <w:rFonts w:hint="eastAsia"/>
              </w:rPr>
            </w:pPr>
            <w:r>
              <w:rPr>
                <w:rFonts w:hint="eastAsia" w:ascii="黑体" w:hAnsi="黑体" w:eastAsia="黑体" w:cs="黑体"/>
                <w:sz w:val="19"/>
                <w:szCs w:val="19"/>
              </w:rPr>
              <w:t>前后门、侧门四周均安装保温隔热棉，并加装1.0mm铝板压紧，机柜内部配2.0mm安装立柱四根，1.2mm镀锌层板3块</w:t>
            </w:r>
          </w:p>
        </w:tc>
      </w:tr>
      <w:tr w14:paraId="2C3CC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758" w:type="dxa"/>
            <w:vMerge w:val="continue"/>
            <w:vAlign w:val="center"/>
          </w:tcPr>
          <w:p w14:paraId="75C0E342">
            <w:pPr>
              <w:spacing w:line="480" w:lineRule="exact"/>
              <w:jc w:val="center"/>
              <w:rPr>
                <w:rFonts w:hint="eastAsia"/>
              </w:rPr>
            </w:pPr>
          </w:p>
        </w:tc>
        <w:tc>
          <w:tcPr>
            <w:tcW w:w="1189" w:type="dxa"/>
            <w:vMerge w:val="continue"/>
            <w:vAlign w:val="center"/>
          </w:tcPr>
          <w:p w14:paraId="3A5A2D7E">
            <w:pPr>
              <w:spacing w:line="480" w:lineRule="exact"/>
              <w:jc w:val="center"/>
              <w:rPr>
                <w:rFonts w:hint="eastAsia"/>
              </w:rPr>
            </w:pPr>
          </w:p>
        </w:tc>
        <w:tc>
          <w:tcPr>
            <w:tcW w:w="845" w:type="dxa"/>
            <w:vAlign w:val="center"/>
          </w:tcPr>
          <w:p w14:paraId="063420BC">
            <w:pPr>
              <w:spacing w:line="480" w:lineRule="exact"/>
              <w:jc w:val="center"/>
              <w:rPr>
                <w:rFonts w:hint="eastAsia"/>
              </w:rPr>
            </w:pPr>
          </w:p>
        </w:tc>
        <w:tc>
          <w:tcPr>
            <w:tcW w:w="1936" w:type="dxa"/>
            <w:vAlign w:val="center"/>
          </w:tcPr>
          <w:p w14:paraId="2CCEBDC4">
            <w:pPr>
              <w:spacing w:line="480" w:lineRule="exact"/>
              <w:rPr>
                <w:rFonts w:hint="eastAsia"/>
              </w:rPr>
            </w:pPr>
            <w:r>
              <w:rPr>
                <w:rFonts w:hint="eastAsia" w:ascii="黑体" w:hAnsi="黑体" w:eastAsia="黑体" w:cs="黑体"/>
                <w:sz w:val="19"/>
                <w:szCs w:val="19"/>
              </w:rPr>
              <w:t>机柜尺寸</w:t>
            </w:r>
          </w:p>
        </w:tc>
        <w:tc>
          <w:tcPr>
            <w:tcW w:w="4580" w:type="dxa"/>
            <w:vAlign w:val="center"/>
          </w:tcPr>
          <w:p w14:paraId="1243B7F2">
            <w:pPr>
              <w:spacing w:line="480" w:lineRule="exact"/>
              <w:rPr>
                <w:rFonts w:hint="eastAsia" w:ascii="黑体" w:hAnsi="黑体" w:eastAsia="黑体" w:cs="黑体"/>
                <w:sz w:val="19"/>
                <w:szCs w:val="19"/>
              </w:rPr>
            </w:pPr>
            <w:r>
              <w:rPr>
                <w:rFonts w:hint="eastAsia" w:ascii="黑体" w:hAnsi="黑体" w:eastAsia="黑体" w:cs="黑体"/>
                <w:sz w:val="19"/>
                <w:szCs w:val="19"/>
              </w:rPr>
              <w:t>底边和高不小于600*600*1200（mm），内部为标准机柜式，有托盆（可调整）。</w:t>
            </w:r>
          </w:p>
        </w:tc>
      </w:tr>
      <w:tr w14:paraId="2B9A2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758" w:type="dxa"/>
            <w:vMerge w:val="continue"/>
            <w:vAlign w:val="center"/>
          </w:tcPr>
          <w:p w14:paraId="245ACB09">
            <w:pPr>
              <w:spacing w:line="480" w:lineRule="exact"/>
              <w:jc w:val="center"/>
              <w:rPr>
                <w:rFonts w:hint="eastAsia"/>
              </w:rPr>
            </w:pPr>
          </w:p>
        </w:tc>
        <w:tc>
          <w:tcPr>
            <w:tcW w:w="1189" w:type="dxa"/>
            <w:vMerge w:val="continue"/>
            <w:vAlign w:val="center"/>
          </w:tcPr>
          <w:p w14:paraId="0BFCB593">
            <w:pPr>
              <w:spacing w:line="480" w:lineRule="exact"/>
              <w:jc w:val="center"/>
              <w:rPr>
                <w:rFonts w:hint="eastAsia"/>
              </w:rPr>
            </w:pPr>
          </w:p>
        </w:tc>
        <w:tc>
          <w:tcPr>
            <w:tcW w:w="845" w:type="dxa"/>
            <w:vAlign w:val="center"/>
          </w:tcPr>
          <w:p w14:paraId="2846D388">
            <w:pPr>
              <w:spacing w:line="480" w:lineRule="exact"/>
              <w:jc w:val="center"/>
              <w:rPr>
                <w:rFonts w:hint="eastAsia"/>
              </w:rPr>
            </w:pPr>
          </w:p>
        </w:tc>
        <w:tc>
          <w:tcPr>
            <w:tcW w:w="1936" w:type="dxa"/>
            <w:vAlign w:val="center"/>
          </w:tcPr>
          <w:p w14:paraId="31E6B74B">
            <w:pPr>
              <w:spacing w:line="480" w:lineRule="exact"/>
              <w:rPr>
                <w:rFonts w:hint="eastAsia"/>
              </w:rPr>
            </w:pPr>
            <w:r>
              <w:rPr>
                <w:rFonts w:hint="eastAsia" w:ascii="黑体" w:hAnsi="黑体" w:eastAsia="黑体" w:cs="黑体"/>
                <w:sz w:val="19"/>
                <w:szCs w:val="19"/>
              </w:rPr>
              <w:t>机柜式样</w:t>
            </w:r>
          </w:p>
        </w:tc>
        <w:tc>
          <w:tcPr>
            <w:tcW w:w="4580" w:type="dxa"/>
            <w:vAlign w:val="center"/>
          </w:tcPr>
          <w:p w14:paraId="7F3D4F58">
            <w:pPr>
              <w:spacing w:line="480" w:lineRule="exact"/>
              <w:rPr>
                <w:rFonts w:hint="eastAsia" w:ascii="黑体" w:hAnsi="黑体" w:eastAsia="黑体" w:cs="黑体"/>
                <w:sz w:val="19"/>
                <w:szCs w:val="19"/>
              </w:rPr>
            </w:pPr>
            <w:r>
              <w:rPr>
                <w:rFonts w:hint="eastAsia" w:ascii="黑体" w:hAnsi="黑体" w:eastAsia="黑体" w:cs="黑体"/>
                <w:sz w:val="19"/>
                <w:szCs w:val="19"/>
              </w:rPr>
              <w:t>前后开门，侧面密封</w:t>
            </w:r>
          </w:p>
        </w:tc>
      </w:tr>
      <w:tr w14:paraId="73015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jc w:val="center"/>
        </w:trPr>
        <w:tc>
          <w:tcPr>
            <w:tcW w:w="758" w:type="dxa"/>
            <w:vMerge w:val="continue"/>
            <w:vAlign w:val="center"/>
          </w:tcPr>
          <w:p w14:paraId="174B74FF">
            <w:pPr>
              <w:spacing w:line="480" w:lineRule="exact"/>
              <w:jc w:val="center"/>
              <w:rPr>
                <w:rFonts w:hint="eastAsia"/>
              </w:rPr>
            </w:pPr>
          </w:p>
        </w:tc>
        <w:tc>
          <w:tcPr>
            <w:tcW w:w="1189" w:type="dxa"/>
            <w:vMerge w:val="continue"/>
            <w:vAlign w:val="center"/>
          </w:tcPr>
          <w:p w14:paraId="4281E569">
            <w:pPr>
              <w:spacing w:line="480" w:lineRule="exact"/>
              <w:jc w:val="center"/>
              <w:rPr>
                <w:rFonts w:hint="eastAsia"/>
              </w:rPr>
            </w:pPr>
          </w:p>
        </w:tc>
        <w:tc>
          <w:tcPr>
            <w:tcW w:w="845" w:type="dxa"/>
            <w:vAlign w:val="center"/>
          </w:tcPr>
          <w:p w14:paraId="29C32094">
            <w:pPr>
              <w:spacing w:line="480" w:lineRule="exact"/>
              <w:jc w:val="center"/>
              <w:rPr>
                <w:rFonts w:hint="eastAsia"/>
              </w:rPr>
            </w:pPr>
          </w:p>
        </w:tc>
        <w:tc>
          <w:tcPr>
            <w:tcW w:w="1936" w:type="dxa"/>
            <w:vAlign w:val="center"/>
          </w:tcPr>
          <w:p w14:paraId="3C8A2665">
            <w:pPr>
              <w:spacing w:line="480" w:lineRule="exact"/>
              <w:rPr>
                <w:rFonts w:hint="eastAsia"/>
              </w:rPr>
            </w:pPr>
            <w:r>
              <w:rPr>
                <w:rFonts w:hint="eastAsia" w:ascii="黑体" w:hAnsi="黑体" w:eastAsia="黑体" w:cs="黑体"/>
                <w:sz w:val="19"/>
                <w:szCs w:val="19"/>
              </w:rPr>
              <w:t>防水性能</w:t>
            </w:r>
          </w:p>
        </w:tc>
        <w:tc>
          <w:tcPr>
            <w:tcW w:w="4580" w:type="dxa"/>
            <w:vAlign w:val="center"/>
          </w:tcPr>
          <w:p w14:paraId="47336DE7">
            <w:pPr>
              <w:spacing w:line="480" w:lineRule="exact"/>
              <w:rPr>
                <w:rFonts w:hint="eastAsia" w:ascii="黑体" w:hAnsi="黑体" w:eastAsia="黑体" w:cs="黑体"/>
                <w:sz w:val="19"/>
                <w:szCs w:val="19"/>
              </w:rPr>
            </w:pPr>
            <w:r>
              <w:rPr>
                <w:rFonts w:hint="eastAsia" w:ascii="黑体" w:hAnsi="黑体" w:eastAsia="黑体" w:cs="黑体"/>
                <w:kern w:val="0"/>
                <w:sz w:val="19"/>
                <w:szCs w:val="19"/>
              </w:rPr>
              <w:t>≥</w:t>
            </w:r>
            <w:r>
              <w:rPr>
                <w:rFonts w:hint="eastAsia" w:ascii="黑体" w:hAnsi="黑体" w:eastAsia="黑体" w:cs="黑体"/>
                <w:sz w:val="19"/>
                <w:szCs w:val="19"/>
              </w:rPr>
              <w:t>IP55级</w:t>
            </w:r>
          </w:p>
        </w:tc>
      </w:tr>
      <w:tr w14:paraId="2E17D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6" w:hRule="atLeast"/>
          <w:jc w:val="center"/>
        </w:trPr>
        <w:tc>
          <w:tcPr>
            <w:tcW w:w="758" w:type="dxa"/>
            <w:vAlign w:val="center"/>
          </w:tcPr>
          <w:p w14:paraId="2FBD952D">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Align w:val="center"/>
          </w:tcPr>
          <w:p w14:paraId="1FADA1A7">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Align w:val="center"/>
          </w:tcPr>
          <w:p w14:paraId="37580B61">
            <w:pPr>
              <w:pStyle w:val="41"/>
              <w:spacing w:before="204" w:line="218" w:lineRule="auto"/>
              <w:jc w:val="center"/>
              <w:rPr>
                <w:rFonts w:hint="eastAsia"/>
              </w:rPr>
            </w:pPr>
            <w:r>
              <w:rPr>
                <w:rFonts w:hint="eastAsia" w:ascii="黑体" w:hAnsi="黑体" w:eastAsia="黑体" w:cs="黑体"/>
                <w:b/>
                <w:bCs/>
                <w:spacing w:val="6"/>
                <w:sz w:val="19"/>
                <w:szCs w:val="19"/>
                <w:lang w:eastAsia="zh-CN"/>
              </w:rPr>
              <w:t>重要性</w:t>
            </w:r>
          </w:p>
        </w:tc>
        <w:tc>
          <w:tcPr>
            <w:tcW w:w="6516" w:type="dxa"/>
            <w:gridSpan w:val="2"/>
            <w:vAlign w:val="center"/>
          </w:tcPr>
          <w:p w14:paraId="170C6918">
            <w:pPr>
              <w:pStyle w:val="41"/>
              <w:spacing w:before="204" w:line="218" w:lineRule="auto"/>
              <w:rPr>
                <w:rFonts w:hint="eastAsia" w:ascii="黑体" w:hAnsi="黑体" w:eastAsia="黑体" w:cs="黑体"/>
                <w:kern w:val="0"/>
                <w:sz w:val="19"/>
                <w:szCs w:val="19"/>
              </w:rPr>
            </w:pPr>
            <w:r>
              <w:rPr>
                <w:rFonts w:hint="eastAsia" w:ascii="黑体" w:hAnsi="黑体" w:eastAsia="黑体" w:cs="黑体"/>
                <w:b/>
                <w:bCs/>
                <w:spacing w:val="6"/>
                <w:sz w:val="19"/>
                <w:szCs w:val="19"/>
                <w:lang w:eastAsia="zh-CN"/>
              </w:rPr>
              <w:t>技术参数与性能指标</w:t>
            </w:r>
          </w:p>
        </w:tc>
      </w:tr>
      <w:tr w14:paraId="3815B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5F8C3D5F">
            <w:pPr>
              <w:spacing w:line="480" w:lineRule="exact"/>
              <w:rPr>
                <w:rFonts w:hint="eastAsia" w:ascii="黑体" w:hAnsi="黑体" w:eastAsia="黑体" w:cs="黑体"/>
                <w:sz w:val="19"/>
                <w:szCs w:val="19"/>
              </w:rPr>
            </w:pPr>
            <w:r>
              <w:rPr>
                <w:rFonts w:hint="eastAsia" w:ascii="黑体" w:hAnsi="黑体" w:eastAsia="黑体" w:cs="黑体"/>
                <w:sz w:val="19"/>
                <w:szCs w:val="19"/>
              </w:rPr>
              <w:t>9</w:t>
            </w:r>
          </w:p>
        </w:tc>
        <w:tc>
          <w:tcPr>
            <w:tcW w:w="1189" w:type="dxa"/>
            <w:vAlign w:val="center"/>
          </w:tcPr>
          <w:p w14:paraId="3C1846B8">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4G路由器(包括4G全向天馈线)</w:t>
            </w:r>
          </w:p>
        </w:tc>
        <w:tc>
          <w:tcPr>
            <w:tcW w:w="845" w:type="dxa"/>
            <w:vAlign w:val="center"/>
          </w:tcPr>
          <w:p w14:paraId="10AF39AB">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6516" w:type="dxa"/>
            <w:gridSpan w:val="2"/>
            <w:vAlign w:val="center"/>
          </w:tcPr>
          <w:p w14:paraId="4EEE37CB">
            <w:pPr>
              <w:spacing w:line="480" w:lineRule="exact"/>
              <w:rPr>
                <w:rFonts w:hint="eastAsia" w:ascii="黑体" w:hAnsi="黑体" w:eastAsia="黑体" w:cs="黑体"/>
                <w:bCs/>
                <w:sz w:val="19"/>
                <w:szCs w:val="19"/>
              </w:rPr>
            </w:pPr>
            <w:r>
              <w:rPr>
                <w:rFonts w:hint="eastAsia" w:ascii="黑体" w:hAnsi="黑体" w:eastAsia="黑体" w:cs="黑体"/>
                <w:bCs/>
                <w:sz w:val="19"/>
                <w:szCs w:val="19"/>
              </w:rPr>
              <w:t>可同时支持：LTE-TDD、LTE-FDD、TD-SCDAM、WCDMA、EVDO、CDMA1x、EDGE/GPRS/GSM工业级嵌入式处理器</w:t>
            </w:r>
          </w:p>
          <w:p w14:paraId="26C3B4E2">
            <w:pPr>
              <w:spacing w:line="480" w:lineRule="exact"/>
              <w:jc w:val="left"/>
              <w:rPr>
                <w:rFonts w:hint="eastAsia" w:ascii="黑体" w:hAnsi="黑体" w:eastAsia="黑体" w:cs="黑体"/>
                <w:bCs/>
                <w:sz w:val="19"/>
                <w:szCs w:val="19"/>
              </w:rPr>
            </w:pPr>
            <w:r>
              <w:rPr>
                <w:rFonts w:hint="eastAsia" w:ascii="黑体" w:hAnsi="黑体" w:eastAsia="黑体" w:cs="黑体"/>
                <w:bCs/>
                <w:sz w:val="19"/>
                <w:szCs w:val="19"/>
              </w:rPr>
              <w:t>10/100M自适应以太网口</w:t>
            </w:r>
          </w:p>
          <w:p w14:paraId="5E935A1B">
            <w:pPr>
              <w:spacing w:line="480" w:lineRule="exact"/>
              <w:jc w:val="left"/>
              <w:rPr>
                <w:rFonts w:hint="eastAsia" w:ascii="黑体" w:hAnsi="黑体" w:eastAsia="黑体" w:cs="黑体"/>
                <w:sz w:val="19"/>
                <w:szCs w:val="19"/>
              </w:rPr>
            </w:pPr>
            <w:r>
              <w:rPr>
                <w:rFonts w:hint="eastAsia" w:ascii="黑体" w:hAnsi="黑体" w:eastAsia="黑体" w:cs="黑体"/>
                <w:bCs/>
                <w:sz w:val="19"/>
                <w:szCs w:val="19"/>
              </w:rPr>
              <w:t>专网VPDN认证</w:t>
            </w:r>
          </w:p>
        </w:tc>
      </w:tr>
      <w:tr w14:paraId="35275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758" w:type="dxa"/>
            <w:vAlign w:val="center"/>
          </w:tcPr>
          <w:p w14:paraId="22CB0DBB">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Align w:val="center"/>
          </w:tcPr>
          <w:p w14:paraId="68F80F90">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Align w:val="center"/>
          </w:tcPr>
          <w:p w14:paraId="7969B72E">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241220FE">
            <w:pPr>
              <w:pStyle w:val="41"/>
              <w:spacing w:before="204" w:line="218" w:lineRule="auto"/>
              <w:rPr>
                <w:rFonts w:hint="eastAsia" w:ascii="黑体" w:hAnsi="黑体" w:eastAsia="黑体" w:cs="黑体"/>
                <w:kern w:val="0"/>
                <w:sz w:val="19"/>
                <w:szCs w:val="19"/>
              </w:rPr>
            </w:pPr>
            <w:r>
              <w:rPr>
                <w:rFonts w:hint="eastAsia" w:ascii="黑体" w:hAnsi="黑体" w:eastAsia="黑体" w:cs="黑体"/>
                <w:b/>
                <w:bCs/>
                <w:spacing w:val="6"/>
                <w:sz w:val="19"/>
                <w:szCs w:val="19"/>
                <w:lang w:eastAsia="zh-CN"/>
              </w:rPr>
              <w:t>技术参数与性能指标</w:t>
            </w:r>
          </w:p>
        </w:tc>
      </w:tr>
      <w:tr w14:paraId="70A54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4" w:hRule="atLeast"/>
          <w:jc w:val="center"/>
        </w:trPr>
        <w:tc>
          <w:tcPr>
            <w:tcW w:w="758" w:type="dxa"/>
            <w:vAlign w:val="center"/>
          </w:tcPr>
          <w:p w14:paraId="13E50716">
            <w:pPr>
              <w:spacing w:line="480" w:lineRule="exact"/>
              <w:rPr>
                <w:rFonts w:hint="eastAsia" w:ascii="黑体" w:hAnsi="黑体" w:eastAsia="黑体" w:cs="黑体"/>
                <w:sz w:val="19"/>
                <w:szCs w:val="19"/>
              </w:rPr>
            </w:pPr>
            <w:r>
              <w:rPr>
                <w:rFonts w:hint="eastAsia" w:ascii="黑体" w:hAnsi="黑体" w:eastAsia="黑体" w:cs="黑体"/>
                <w:sz w:val="19"/>
                <w:szCs w:val="19"/>
              </w:rPr>
              <w:t>10</w:t>
            </w:r>
          </w:p>
        </w:tc>
        <w:tc>
          <w:tcPr>
            <w:tcW w:w="1189" w:type="dxa"/>
            <w:vAlign w:val="center"/>
          </w:tcPr>
          <w:p w14:paraId="24D84E9E">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4G通讯避雷器</w:t>
            </w:r>
          </w:p>
        </w:tc>
        <w:tc>
          <w:tcPr>
            <w:tcW w:w="845" w:type="dxa"/>
            <w:vAlign w:val="center"/>
          </w:tcPr>
          <w:p w14:paraId="20E527FD">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6516" w:type="dxa"/>
            <w:gridSpan w:val="2"/>
            <w:vAlign w:val="center"/>
          </w:tcPr>
          <w:p w14:paraId="5D0A5AAB">
            <w:pPr>
              <w:spacing w:line="480" w:lineRule="exact"/>
              <w:rPr>
                <w:rFonts w:hint="eastAsia" w:ascii="黑体" w:hAnsi="黑体" w:eastAsia="黑体" w:cs="黑体"/>
                <w:sz w:val="19"/>
                <w:szCs w:val="19"/>
              </w:rPr>
            </w:pPr>
            <w:r>
              <w:rPr>
                <w:rFonts w:hint="eastAsia" w:ascii="黑体" w:hAnsi="黑体" w:eastAsia="黑体" w:cs="黑体"/>
                <w:sz w:val="19"/>
                <w:szCs w:val="19"/>
              </w:rPr>
              <w:t>驻波系数小于1.3、通流容量大于5KA</w:t>
            </w:r>
          </w:p>
        </w:tc>
      </w:tr>
      <w:tr w14:paraId="4375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758" w:type="dxa"/>
            <w:vMerge w:val="restart"/>
            <w:vAlign w:val="center"/>
          </w:tcPr>
          <w:p w14:paraId="3D241000">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Merge w:val="restart"/>
            <w:vAlign w:val="center"/>
          </w:tcPr>
          <w:p w14:paraId="09A190CE">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Merge w:val="restart"/>
            <w:vAlign w:val="center"/>
          </w:tcPr>
          <w:p w14:paraId="78DF36F4">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20F970DD">
            <w:pPr>
              <w:pStyle w:val="41"/>
              <w:spacing w:before="204" w:line="218" w:lineRule="auto"/>
              <w:jc w:val="center"/>
              <w:rPr>
                <w:rFonts w:hint="eastAsia" w:ascii="黑体" w:hAnsi="黑体" w:eastAsia="黑体" w:cs="黑体"/>
                <w:b/>
                <w:bCs/>
                <w:spacing w:val="6"/>
                <w:sz w:val="19"/>
                <w:szCs w:val="19"/>
                <w:lang w:eastAsia="zh-CN"/>
              </w:rPr>
            </w:pPr>
            <w:r>
              <w:rPr>
                <w:rFonts w:hint="eastAsia" w:ascii="黑体" w:hAnsi="黑体" w:eastAsia="黑体" w:cs="黑体"/>
                <w:b/>
                <w:bCs/>
                <w:spacing w:val="6"/>
                <w:sz w:val="19"/>
                <w:szCs w:val="19"/>
                <w:lang w:eastAsia="zh-CN"/>
              </w:rPr>
              <w:t>技术参数与性能指标</w:t>
            </w:r>
          </w:p>
        </w:tc>
      </w:tr>
      <w:tr w14:paraId="1BB9B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758" w:type="dxa"/>
            <w:vMerge w:val="continue"/>
            <w:vAlign w:val="center"/>
          </w:tcPr>
          <w:p w14:paraId="3F9BA622">
            <w:pPr>
              <w:pStyle w:val="41"/>
              <w:spacing w:before="204" w:line="218" w:lineRule="auto"/>
              <w:rPr>
                <w:rFonts w:hint="eastAsia"/>
                <w:lang w:eastAsia="zh-CN"/>
              </w:rPr>
            </w:pPr>
          </w:p>
        </w:tc>
        <w:tc>
          <w:tcPr>
            <w:tcW w:w="1189" w:type="dxa"/>
            <w:vMerge w:val="continue"/>
            <w:vAlign w:val="center"/>
          </w:tcPr>
          <w:p w14:paraId="52DF39F0">
            <w:pPr>
              <w:pStyle w:val="41"/>
              <w:spacing w:before="204" w:line="218" w:lineRule="auto"/>
              <w:rPr>
                <w:rFonts w:hint="eastAsia"/>
                <w:lang w:eastAsia="zh-CN"/>
              </w:rPr>
            </w:pPr>
          </w:p>
        </w:tc>
        <w:tc>
          <w:tcPr>
            <w:tcW w:w="845" w:type="dxa"/>
            <w:vMerge w:val="continue"/>
            <w:vAlign w:val="center"/>
          </w:tcPr>
          <w:p w14:paraId="4727CD9C">
            <w:pPr>
              <w:pStyle w:val="41"/>
              <w:spacing w:before="204" w:line="218" w:lineRule="auto"/>
              <w:rPr>
                <w:rFonts w:hint="eastAsia"/>
                <w:lang w:eastAsia="zh-CN"/>
              </w:rPr>
            </w:pPr>
          </w:p>
        </w:tc>
        <w:tc>
          <w:tcPr>
            <w:tcW w:w="1936" w:type="dxa"/>
            <w:vAlign w:val="center"/>
          </w:tcPr>
          <w:p w14:paraId="57D1ABEA">
            <w:pPr>
              <w:spacing w:line="480" w:lineRule="exact"/>
              <w:jc w:val="center"/>
              <w:rPr>
                <w:rFonts w:hint="eastAsia"/>
              </w:rPr>
            </w:pPr>
            <w:r>
              <w:rPr>
                <w:rFonts w:hint="eastAsia" w:ascii="黑体" w:hAnsi="黑体" w:eastAsia="黑体" w:cs="黑体"/>
                <w:b/>
                <w:bCs/>
                <w:spacing w:val="6"/>
                <w:sz w:val="19"/>
                <w:szCs w:val="19"/>
              </w:rPr>
              <w:t>指标项</w:t>
            </w:r>
          </w:p>
        </w:tc>
        <w:tc>
          <w:tcPr>
            <w:tcW w:w="4580" w:type="dxa"/>
            <w:vAlign w:val="center"/>
          </w:tcPr>
          <w:p w14:paraId="641331C2">
            <w:pPr>
              <w:spacing w:line="480" w:lineRule="exact"/>
              <w:jc w:val="center"/>
              <w:rPr>
                <w:rFonts w:hint="eastAsia"/>
              </w:rPr>
            </w:pPr>
            <w:r>
              <w:rPr>
                <w:rFonts w:hint="eastAsia" w:ascii="黑体" w:hAnsi="黑体" w:eastAsia="黑体" w:cs="黑体"/>
                <w:b/>
                <w:bCs/>
                <w:spacing w:val="6"/>
                <w:sz w:val="19"/>
                <w:szCs w:val="19"/>
                <w:lang w:eastAsia="en-US"/>
              </w:rPr>
              <w:t>技术指标</w:t>
            </w:r>
          </w:p>
        </w:tc>
      </w:tr>
      <w:tr w14:paraId="6206E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restart"/>
            <w:vAlign w:val="center"/>
          </w:tcPr>
          <w:p w14:paraId="74F1C0AC">
            <w:pPr>
              <w:spacing w:line="480" w:lineRule="exact"/>
              <w:rPr>
                <w:rFonts w:hint="eastAsia" w:ascii="黑体" w:hAnsi="黑体" w:eastAsia="黑体" w:cs="黑体"/>
                <w:sz w:val="19"/>
                <w:szCs w:val="19"/>
              </w:rPr>
            </w:pPr>
            <w:r>
              <w:rPr>
                <w:rFonts w:hint="eastAsia" w:ascii="黑体" w:hAnsi="黑体" w:eastAsia="黑体" w:cs="黑体"/>
                <w:sz w:val="19"/>
                <w:szCs w:val="19"/>
              </w:rPr>
              <w:t>11</w:t>
            </w:r>
          </w:p>
        </w:tc>
        <w:tc>
          <w:tcPr>
            <w:tcW w:w="1189" w:type="dxa"/>
            <w:vMerge w:val="restart"/>
            <w:vAlign w:val="center"/>
          </w:tcPr>
          <w:p w14:paraId="7A3F0E17">
            <w:pPr>
              <w:spacing w:line="480" w:lineRule="exact"/>
              <w:rPr>
                <w:rFonts w:hint="eastAsia" w:ascii="黑体" w:hAnsi="黑体" w:eastAsia="黑体" w:cs="黑体"/>
                <w:kern w:val="0"/>
                <w:sz w:val="19"/>
                <w:szCs w:val="19"/>
              </w:rPr>
            </w:pPr>
            <w:r>
              <w:rPr>
                <w:rFonts w:hint="eastAsia" w:ascii="黑体" w:hAnsi="黑体" w:eastAsia="黑体" w:cs="黑体"/>
                <w:sz w:val="19"/>
                <w:szCs w:val="19"/>
              </w:rPr>
              <w:t>室外机柜式观测房</w:t>
            </w:r>
          </w:p>
        </w:tc>
        <w:tc>
          <w:tcPr>
            <w:tcW w:w="845" w:type="dxa"/>
            <w:vMerge w:val="restart"/>
            <w:vAlign w:val="center"/>
          </w:tcPr>
          <w:p w14:paraId="7B58708C">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1936" w:type="dxa"/>
            <w:vAlign w:val="center"/>
          </w:tcPr>
          <w:p w14:paraId="5BABBDA7">
            <w:pPr>
              <w:spacing w:line="480" w:lineRule="exact"/>
              <w:rPr>
                <w:rFonts w:hint="eastAsia" w:ascii="黑体" w:hAnsi="黑体" w:eastAsia="黑体" w:cs="黑体"/>
                <w:sz w:val="19"/>
                <w:szCs w:val="19"/>
              </w:rPr>
            </w:pPr>
            <w:r>
              <w:rPr>
                <w:rFonts w:hint="eastAsia" w:ascii="黑体" w:hAnsi="黑体" w:eastAsia="黑体" w:cs="黑体"/>
                <w:sz w:val="19"/>
                <w:szCs w:val="19"/>
              </w:rPr>
              <w:t>室外机柜基墩及水泥平台要求</w:t>
            </w:r>
          </w:p>
          <w:p w14:paraId="35F72F97">
            <w:pPr>
              <w:spacing w:line="480" w:lineRule="exact"/>
              <w:rPr>
                <w:rFonts w:hint="eastAsia" w:ascii="黑体" w:hAnsi="黑体" w:eastAsia="黑体" w:cs="黑体"/>
                <w:sz w:val="19"/>
                <w:szCs w:val="19"/>
              </w:rPr>
            </w:pPr>
          </w:p>
        </w:tc>
        <w:tc>
          <w:tcPr>
            <w:tcW w:w="4580" w:type="dxa"/>
            <w:vAlign w:val="center"/>
          </w:tcPr>
          <w:p w14:paraId="53491184">
            <w:pPr>
              <w:spacing w:line="480" w:lineRule="exact"/>
              <w:rPr>
                <w:rFonts w:hint="eastAsia" w:ascii="黑体" w:hAnsi="黑体" w:eastAsia="黑体" w:cs="黑体"/>
                <w:sz w:val="19"/>
                <w:szCs w:val="19"/>
              </w:rPr>
            </w:pPr>
            <w:r>
              <w:rPr>
                <w:rFonts w:hint="eastAsia" w:ascii="黑体" w:hAnsi="黑体" w:eastAsia="黑体" w:cs="黑体"/>
                <w:sz w:val="19"/>
                <w:szCs w:val="19"/>
              </w:rPr>
              <w:t>1、结构要求：机柜平台一体成型；</w:t>
            </w:r>
          </w:p>
          <w:p w14:paraId="60C9F21B">
            <w:pPr>
              <w:spacing w:line="480" w:lineRule="exact"/>
              <w:rPr>
                <w:rFonts w:hint="eastAsia" w:ascii="黑体" w:hAnsi="黑体" w:eastAsia="黑体" w:cs="黑体"/>
                <w:sz w:val="19"/>
                <w:szCs w:val="19"/>
              </w:rPr>
            </w:pPr>
            <w:r>
              <w:rPr>
                <w:rFonts w:hint="eastAsia" w:ascii="黑体" w:hAnsi="黑体" w:eastAsia="黑体" w:cs="黑体"/>
                <w:sz w:val="19"/>
                <w:szCs w:val="19"/>
              </w:rPr>
              <w:t>2、操作平台1600mm×2400mm，高出地面100mm；</w:t>
            </w:r>
          </w:p>
          <w:p w14:paraId="6B8B0B21">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3、机柜墩800mm×800mm，高出地面300mm； </w:t>
            </w:r>
          </w:p>
          <w:p w14:paraId="70D80283">
            <w:pPr>
              <w:spacing w:line="480" w:lineRule="exact"/>
              <w:rPr>
                <w:rFonts w:hint="eastAsia" w:ascii="黑体" w:hAnsi="黑体" w:eastAsia="黑体" w:cs="黑体"/>
                <w:sz w:val="19"/>
                <w:szCs w:val="19"/>
              </w:rPr>
            </w:pPr>
            <w:r>
              <w:rPr>
                <w:rFonts w:hint="eastAsia" w:ascii="黑体" w:hAnsi="黑体" w:eastAsia="黑体" w:cs="黑体"/>
                <w:sz w:val="19"/>
                <w:szCs w:val="19"/>
              </w:rPr>
              <w:t>4、平台表面贴大理石板；</w:t>
            </w:r>
          </w:p>
        </w:tc>
      </w:tr>
      <w:tr w14:paraId="788A2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2D05FF8C">
            <w:pPr>
              <w:spacing w:line="480" w:lineRule="exact"/>
              <w:rPr>
                <w:rFonts w:hint="eastAsia" w:ascii="黑体" w:hAnsi="黑体" w:eastAsia="黑体" w:cs="黑体"/>
                <w:sz w:val="19"/>
                <w:szCs w:val="19"/>
              </w:rPr>
            </w:pPr>
          </w:p>
        </w:tc>
        <w:tc>
          <w:tcPr>
            <w:tcW w:w="1189" w:type="dxa"/>
            <w:vMerge w:val="continue"/>
            <w:vAlign w:val="center"/>
          </w:tcPr>
          <w:p w14:paraId="7E1FE1B7">
            <w:pPr>
              <w:spacing w:line="480" w:lineRule="exact"/>
              <w:rPr>
                <w:rFonts w:hint="eastAsia" w:ascii="黑体" w:hAnsi="黑体" w:eastAsia="黑体" w:cs="黑体"/>
                <w:kern w:val="0"/>
                <w:sz w:val="19"/>
                <w:szCs w:val="19"/>
              </w:rPr>
            </w:pPr>
          </w:p>
        </w:tc>
        <w:tc>
          <w:tcPr>
            <w:tcW w:w="845" w:type="dxa"/>
            <w:vMerge w:val="continue"/>
            <w:vAlign w:val="center"/>
          </w:tcPr>
          <w:p w14:paraId="51CE7540">
            <w:pPr>
              <w:spacing w:line="480" w:lineRule="exact"/>
              <w:rPr>
                <w:rFonts w:hint="eastAsia" w:ascii="黑体" w:hAnsi="黑体" w:eastAsia="黑体" w:cs="黑体"/>
                <w:sz w:val="19"/>
                <w:szCs w:val="19"/>
              </w:rPr>
            </w:pPr>
          </w:p>
        </w:tc>
        <w:tc>
          <w:tcPr>
            <w:tcW w:w="1936" w:type="dxa"/>
            <w:vAlign w:val="center"/>
          </w:tcPr>
          <w:p w14:paraId="3CC8DFA1">
            <w:pPr>
              <w:spacing w:line="480" w:lineRule="exact"/>
              <w:rPr>
                <w:rFonts w:hint="eastAsia" w:ascii="黑体" w:hAnsi="黑体" w:eastAsia="黑体" w:cs="黑体"/>
                <w:sz w:val="19"/>
                <w:szCs w:val="19"/>
              </w:rPr>
            </w:pPr>
            <w:r>
              <w:rPr>
                <w:rFonts w:hint="eastAsia" w:ascii="黑体" w:hAnsi="黑体" w:eastAsia="黑体" w:cs="黑体"/>
                <w:sz w:val="19"/>
                <w:szCs w:val="19"/>
              </w:rPr>
              <w:t>仪器墩要求</w:t>
            </w:r>
          </w:p>
          <w:p w14:paraId="192F1825">
            <w:pPr>
              <w:spacing w:line="480" w:lineRule="exact"/>
              <w:rPr>
                <w:rFonts w:hint="eastAsia" w:ascii="黑体" w:hAnsi="黑体" w:eastAsia="黑体" w:cs="黑体"/>
                <w:sz w:val="19"/>
                <w:szCs w:val="19"/>
              </w:rPr>
            </w:pPr>
          </w:p>
        </w:tc>
        <w:tc>
          <w:tcPr>
            <w:tcW w:w="4580" w:type="dxa"/>
            <w:vAlign w:val="center"/>
          </w:tcPr>
          <w:p w14:paraId="09666392">
            <w:pPr>
              <w:spacing w:line="480" w:lineRule="exact"/>
              <w:rPr>
                <w:rFonts w:hint="eastAsia" w:ascii="黑体" w:hAnsi="黑体" w:eastAsia="黑体" w:cs="黑体"/>
                <w:sz w:val="19"/>
                <w:szCs w:val="19"/>
              </w:rPr>
            </w:pPr>
            <w:r>
              <w:rPr>
                <w:rFonts w:hint="eastAsia" w:ascii="黑体" w:hAnsi="黑体" w:eastAsia="黑体" w:cs="黑体"/>
                <w:sz w:val="19"/>
                <w:szCs w:val="19"/>
              </w:rPr>
              <w:t>1、尺寸：350mm×350mm；</w:t>
            </w:r>
          </w:p>
          <w:p w14:paraId="2EB6FE85">
            <w:pPr>
              <w:spacing w:line="480" w:lineRule="exact"/>
              <w:rPr>
                <w:rFonts w:hint="eastAsia" w:ascii="黑体" w:hAnsi="黑体" w:eastAsia="黑体" w:cs="黑体"/>
                <w:sz w:val="19"/>
                <w:szCs w:val="19"/>
              </w:rPr>
            </w:pPr>
            <w:r>
              <w:rPr>
                <w:rFonts w:hint="eastAsia" w:ascii="黑体" w:hAnsi="黑体" w:eastAsia="黑体" w:cs="黑体"/>
                <w:sz w:val="19"/>
                <w:szCs w:val="19"/>
              </w:rPr>
              <w:t>2、C30混凝土一次性浇筑成型；</w:t>
            </w:r>
          </w:p>
        </w:tc>
      </w:tr>
      <w:tr w14:paraId="1A370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58" w:type="dxa"/>
            <w:vAlign w:val="center"/>
          </w:tcPr>
          <w:p w14:paraId="7E59BCD0">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Align w:val="center"/>
          </w:tcPr>
          <w:p w14:paraId="33CE810F">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Align w:val="center"/>
          </w:tcPr>
          <w:p w14:paraId="60BBC2E0">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4184B6F8">
            <w:pPr>
              <w:pStyle w:val="41"/>
              <w:spacing w:before="204" w:line="218" w:lineRule="auto"/>
              <w:rPr>
                <w:rFonts w:hint="eastAsia"/>
              </w:rPr>
            </w:pPr>
            <w:r>
              <w:rPr>
                <w:rFonts w:hint="eastAsia" w:ascii="黑体" w:hAnsi="黑体" w:eastAsia="黑体" w:cs="黑体"/>
                <w:b/>
                <w:bCs/>
                <w:spacing w:val="6"/>
                <w:sz w:val="19"/>
                <w:szCs w:val="19"/>
                <w:lang w:eastAsia="zh-CN"/>
              </w:rPr>
              <w:t>技术参数与性能指标</w:t>
            </w:r>
          </w:p>
        </w:tc>
      </w:tr>
      <w:tr w14:paraId="4A89A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2260770A">
            <w:pPr>
              <w:spacing w:line="480" w:lineRule="exact"/>
              <w:rPr>
                <w:rFonts w:hint="eastAsia" w:ascii="黑体" w:hAnsi="黑体" w:eastAsia="黑体" w:cs="黑体"/>
                <w:sz w:val="19"/>
                <w:szCs w:val="19"/>
              </w:rPr>
            </w:pPr>
            <w:r>
              <w:rPr>
                <w:rFonts w:hint="eastAsia" w:ascii="黑体" w:hAnsi="黑体" w:eastAsia="黑体" w:cs="黑体"/>
                <w:sz w:val="19"/>
                <w:szCs w:val="19"/>
              </w:rPr>
              <w:t>12</w:t>
            </w:r>
          </w:p>
        </w:tc>
        <w:tc>
          <w:tcPr>
            <w:tcW w:w="1189" w:type="dxa"/>
            <w:vAlign w:val="center"/>
          </w:tcPr>
          <w:p w14:paraId="5F5DD00D">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供电线路铺设</w:t>
            </w:r>
          </w:p>
        </w:tc>
        <w:tc>
          <w:tcPr>
            <w:tcW w:w="845" w:type="dxa"/>
            <w:vAlign w:val="center"/>
          </w:tcPr>
          <w:p w14:paraId="5EE16EEC">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6516" w:type="dxa"/>
            <w:gridSpan w:val="2"/>
            <w:vAlign w:val="center"/>
          </w:tcPr>
          <w:p w14:paraId="70AE2822">
            <w:pPr>
              <w:spacing w:line="480" w:lineRule="exact"/>
              <w:rPr>
                <w:rFonts w:hint="eastAsia" w:ascii="黑体" w:hAnsi="黑体" w:eastAsia="黑体" w:cs="黑体"/>
                <w:sz w:val="19"/>
                <w:szCs w:val="19"/>
              </w:rPr>
            </w:pPr>
            <w:r>
              <w:rPr>
                <w:rFonts w:hint="eastAsia" w:ascii="黑体" w:hAnsi="黑体" w:eastAsia="黑体" w:cs="黑体"/>
                <w:sz w:val="19"/>
                <w:szCs w:val="19"/>
              </w:rPr>
              <w:t>总体要求：</w:t>
            </w:r>
          </w:p>
          <w:p w14:paraId="64D33DD0">
            <w:pPr>
              <w:spacing w:line="480" w:lineRule="exact"/>
              <w:rPr>
                <w:rFonts w:hint="eastAsia" w:ascii="黑体" w:hAnsi="黑体" w:eastAsia="黑体" w:cs="黑体"/>
                <w:sz w:val="19"/>
                <w:szCs w:val="19"/>
              </w:rPr>
            </w:pPr>
            <w:r>
              <w:rPr>
                <w:rFonts w:hint="eastAsia" w:ascii="黑体" w:hAnsi="黑体" w:eastAsia="黑体" w:cs="黑体"/>
                <w:sz w:val="19"/>
                <w:szCs w:val="19"/>
              </w:rPr>
              <w:t>交流电进入观测室前30m采用镀锌水管埋地铺设，电源线一律采用国标3×2.5方多股铜芯电缆，插座、开关等一律使用高质量的名牌，埋设铺管地沟要求深度30－50cm为宜，沟体直而底部平整，坡度适宜，较低处铺，水管铺设前应将所用水管绞牙处用锉刀将水管锋利处锉平打磨光滑，后用水管护套将其套上后再进行穿线作业，以免损坏电缆；</w:t>
            </w:r>
          </w:p>
        </w:tc>
      </w:tr>
      <w:tr w14:paraId="3100B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58" w:type="dxa"/>
            <w:vAlign w:val="center"/>
          </w:tcPr>
          <w:p w14:paraId="073D8138">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Align w:val="center"/>
          </w:tcPr>
          <w:p w14:paraId="4F43B719">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Align w:val="center"/>
          </w:tcPr>
          <w:p w14:paraId="50CE655F">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4BB69EF8">
            <w:pPr>
              <w:pStyle w:val="41"/>
              <w:spacing w:before="204" w:line="218" w:lineRule="auto"/>
              <w:rPr>
                <w:rFonts w:hint="eastAsia"/>
              </w:rPr>
            </w:pPr>
            <w:r>
              <w:rPr>
                <w:rFonts w:hint="eastAsia" w:ascii="黑体" w:hAnsi="黑体" w:eastAsia="黑体" w:cs="黑体"/>
                <w:b/>
                <w:bCs/>
                <w:spacing w:val="6"/>
                <w:sz w:val="19"/>
                <w:szCs w:val="19"/>
                <w:lang w:eastAsia="zh-CN"/>
              </w:rPr>
              <w:t>技术参数与性能指标</w:t>
            </w:r>
          </w:p>
        </w:tc>
      </w:tr>
      <w:tr w14:paraId="1BB94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5CED7B2A">
            <w:pPr>
              <w:spacing w:line="480" w:lineRule="exact"/>
              <w:rPr>
                <w:rFonts w:hint="eastAsia" w:ascii="黑体" w:hAnsi="黑体" w:eastAsia="黑体" w:cs="黑体"/>
                <w:sz w:val="19"/>
                <w:szCs w:val="19"/>
              </w:rPr>
            </w:pPr>
            <w:r>
              <w:rPr>
                <w:rFonts w:hint="eastAsia" w:ascii="黑体" w:hAnsi="黑体" w:eastAsia="黑体" w:cs="黑体"/>
                <w:sz w:val="19"/>
                <w:szCs w:val="19"/>
              </w:rPr>
              <w:t>13</w:t>
            </w:r>
          </w:p>
        </w:tc>
        <w:tc>
          <w:tcPr>
            <w:tcW w:w="1189" w:type="dxa"/>
            <w:vAlign w:val="center"/>
          </w:tcPr>
          <w:p w14:paraId="55295DFC">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避雷地网建设</w:t>
            </w:r>
          </w:p>
        </w:tc>
        <w:tc>
          <w:tcPr>
            <w:tcW w:w="845" w:type="dxa"/>
            <w:vAlign w:val="center"/>
          </w:tcPr>
          <w:p w14:paraId="04D7EB7F">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6516" w:type="dxa"/>
            <w:gridSpan w:val="2"/>
            <w:vAlign w:val="center"/>
          </w:tcPr>
          <w:p w14:paraId="3DFF66C5">
            <w:pPr>
              <w:spacing w:line="480" w:lineRule="exact"/>
              <w:rPr>
                <w:rFonts w:hint="eastAsia" w:ascii="黑体" w:hAnsi="黑体" w:eastAsia="黑体" w:cs="黑体"/>
                <w:sz w:val="19"/>
                <w:szCs w:val="19"/>
              </w:rPr>
            </w:pPr>
            <w:r>
              <w:rPr>
                <w:rFonts w:hint="eastAsia" w:ascii="黑体" w:hAnsi="黑体" w:eastAsia="黑体" w:cs="黑体"/>
                <w:sz w:val="19"/>
                <w:szCs w:val="19"/>
              </w:rPr>
              <w:t>总体要求：</w:t>
            </w:r>
          </w:p>
          <w:p w14:paraId="6B342499">
            <w:pPr>
              <w:spacing w:line="480" w:lineRule="exact"/>
              <w:rPr>
                <w:rFonts w:hint="eastAsia" w:ascii="黑体" w:hAnsi="黑体" w:eastAsia="黑体" w:cs="黑体"/>
                <w:sz w:val="19"/>
                <w:szCs w:val="19"/>
              </w:rPr>
            </w:pPr>
            <w:r>
              <w:rPr>
                <w:rFonts w:hint="eastAsia" w:ascii="黑体" w:hAnsi="黑体" w:eastAsia="黑体" w:cs="黑体"/>
                <w:sz w:val="19"/>
                <w:szCs w:val="19"/>
              </w:rPr>
              <w:t>1、接地使用专用接地体，接地体间用热镀锌扁铁串接，降阻材料使用长效化学降阻剂，以保证接地效果的持久性。要求接地电阻小于4Ω。</w:t>
            </w:r>
          </w:p>
          <w:p w14:paraId="418F4F5A">
            <w:pPr>
              <w:spacing w:line="480" w:lineRule="exact"/>
              <w:rPr>
                <w:rFonts w:hint="eastAsia" w:ascii="黑体" w:hAnsi="黑体" w:eastAsia="黑体" w:cs="黑体"/>
                <w:sz w:val="19"/>
                <w:szCs w:val="19"/>
              </w:rPr>
            </w:pPr>
            <w:r>
              <w:rPr>
                <w:rFonts w:hint="eastAsia" w:ascii="黑体" w:hAnsi="黑体" w:eastAsia="黑体" w:cs="黑体"/>
                <w:sz w:val="19"/>
                <w:szCs w:val="19"/>
              </w:rPr>
              <w:t>2、避雷和仪器接地使用25mm2以上标准黄绿接地电缆引入接地体。</w:t>
            </w:r>
          </w:p>
        </w:tc>
      </w:tr>
      <w:tr w14:paraId="07E7D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758" w:type="dxa"/>
            <w:vAlign w:val="center"/>
          </w:tcPr>
          <w:p w14:paraId="33AC7208">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Align w:val="center"/>
          </w:tcPr>
          <w:p w14:paraId="6D8FE40B">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Align w:val="center"/>
          </w:tcPr>
          <w:p w14:paraId="48D10A57">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7CE562F3">
            <w:pPr>
              <w:pStyle w:val="41"/>
              <w:spacing w:before="204" w:line="218" w:lineRule="auto"/>
              <w:rPr>
                <w:rFonts w:hint="eastAsia"/>
              </w:rPr>
            </w:pPr>
            <w:r>
              <w:rPr>
                <w:rFonts w:hint="eastAsia" w:ascii="黑体" w:hAnsi="黑体" w:eastAsia="黑体" w:cs="黑体"/>
                <w:b/>
                <w:bCs/>
                <w:spacing w:val="6"/>
                <w:sz w:val="19"/>
                <w:szCs w:val="19"/>
                <w:lang w:eastAsia="zh-CN"/>
              </w:rPr>
              <w:t>技术参数与性能指标</w:t>
            </w:r>
          </w:p>
        </w:tc>
      </w:tr>
      <w:tr w14:paraId="1F71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29DC9BB8">
            <w:pPr>
              <w:spacing w:line="480" w:lineRule="exact"/>
              <w:rPr>
                <w:rFonts w:hint="eastAsia" w:ascii="黑体" w:hAnsi="黑体" w:eastAsia="黑体" w:cs="黑体"/>
                <w:sz w:val="19"/>
                <w:szCs w:val="19"/>
              </w:rPr>
            </w:pPr>
            <w:r>
              <w:rPr>
                <w:rFonts w:hint="eastAsia" w:ascii="黑体" w:hAnsi="黑体" w:eastAsia="黑体" w:cs="黑体"/>
                <w:sz w:val="19"/>
                <w:szCs w:val="19"/>
              </w:rPr>
              <w:t>14</w:t>
            </w:r>
          </w:p>
        </w:tc>
        <w:tc>
          <w:tcPr>
            <w:tcW w:w="1189" w:type="dxa"/>
            <w:vAlign w:val="center"/>
          </w:tcPr>
          <w:p w14:paraId="656924F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子台安装</w:t>
            </w:r>
          </w:p>
          <w:p w14:paraId="0B5932E0">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调试</w:t>
            </w:r>
          </w:p>
        </w:tc>
        <w:tc>
          <w:tcPr>
            <w:tcW w:w="845" w:type="dxa"/>
            <w:vAlign w:val="center"/>
          </w:tcPr>
          <w:p w14:paraId="55E079D4">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6516" w:type="dxa"/>
            <w:gridSpan w:val="2"/>
            <w:vAlign w:val="center"/>
          </w:tcPr>
          <w:p w14:paraId="2082D3B5">
            <w:pPr>
              <w:spacing w:line="480" w:lineRule="exact"/>
              <w:rPr>
                <w:rFonts w:hint="eastAsia" w:ascii="黑体" w:hAnsi="黑体" w:eastAsia="黑体" w:cs="黑体"/>
                <w:sz w:val="19"/>
                <w:szCs w:val="19"/>
              </w:rPr>
            </w:pPr>
            <w:r>
              <w:rPr>
                <w:rFonts w:hint="eastAsia" w:ascii="黑体" w:hAnsi="黑体" w:eastAsia="黑体" w:cs="黑体"/>
                <w:sz w:val="19"/>
                <w:szCs w:val="19"/>
              </w:rPr>
              <w:t>总体要求：</w:t>
            </w:r>
          </w:p>
          <w:p w14:paraId="591CC6C3">
            <w:pPr>
              <w:spacing w:line="480" w:lineRule="exact"/>
              <w:rPr>
                <w:rFonts w:hint="eastAsia" w:ascii="黑体" w:hAnsi="黑体" w:eastAsia="黑体" w:cs="黑体"/>
                <w:sz w:val="19"/>
                <w:szCs w:val="19"/>
              </w:rPr>
            </w:pPr>
            <w:r>
              <w:rPr>
                <w:rFonts w:hint="eastAsia" w:ascii="黑体" w:hAnsi="黑体" w:eastAsia="黑体" w:cs="黑体"/>
                <w:sz w:val="19"/>
                <w:szCs w:val="19"/>
              </w:rPr>
              <w:t>1、完成台站的测试、安装、系统联调及试运行，并将台站设备有机地结合在一起，通过通讯线路传输到台网中心；</w:t>
            </w:r>
          </w:p>
          <w:p w14:paraId="405A0CD9">
            <w:pPr>
              <w:spacing w:line="480" w:lineRule="exact"/>
              <w:rPr>
                <w:rFonts w:hint="eastAsia" w:ascii="黑体" w:hAnsi="黑体" w:eastAsia="黑体" w:cs="黑体"/>
                <w:sz w:val="19"/>
                <w:szCs w:val="19"/>
              </w:rPr>
            </w:pPr>
            <w:r>
              <w:rPr>
                <w:rFonts w:hint="eastAsia" w:ascii="黑体" w:hAnsi="黑体" w:eastAsia="黑体" w:cs="黑体"/>
                <w:sz w:val="19"/>
                <w:szCs w:val="19"/>
              </w:rPr>
              <w:t>2、系统调试完成后，提交详细的系统集成方案，包括台站所有的接线定义及台站所有参数的设置，以保障台站的可靠运行及维护）。</w:t>
            </w:r>
          </w:p>
        </w:tc>
      </w:tr>
      <w:tr w14:paraId="480C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758" w:type="dxa"/>
            <w:vAlign w:val="center"/>
          </w:tcPr>
          <w:p w14:paraId="62D09BC9">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Align w:val="center"/>
          </w:tcPr>
          <w:p w14:paraId="2930EDB7">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Align w:val="center"/>
          </w:tcPr>
          <w:p w14:paraId="6278BAE3">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44EF3D97">
            <w:pPr>
              <w:pStyle w:val="41"/>
              <w:spacing w:before="204" w:line="218" w:lineRule="auto"/>
              <w:rPr>
                <w:rFonts w:hint="eastAsia"/>
              </w:rPr>
            </w:pPr>
            <w:r>
              <w:rPr>
                <w:rFonts w:hint="eastAsia" w:ascii="黑体" w:hAnsi="黑体" w:eastAsia="黑体" w:cs="黑体"/>
                <w:b/>
                <w:bCs/>
                <w:spacing w:val="6"/>
                <w:sz w:val="19"/>
                <w:szCs w:val="19"/>
                <w:lang w:eastAsia="zh-CN"/>
              </w:rPr>
              <w:t>技术参数与性能指标</w:t>
            </w:r>
          </w:p>
        </w:tc>
      </w:tr>
      <w:tr w14:paraId="7D9B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restart"/>
            <w:vAlign w:val="center"/>
          </w:tcPr>
          <w:p w14:paraId="45FCA237">
            <w:pPr>
              <w:spacing w:line="480" w:lineRule="exact"/>
              <w:rPr>
                <w:rFonts w:hint="eastAsia" w:ascii="黑体" w:hAnsi="黑体" w:eastAsia="黑体" w:cs="黑体"/>
                <w:sz w:val="19"/>
                <w:szCs w:val="19"/>
              </w:rPr>
            </w:pPr>
            <w:r>
              <w:rPr>
                <w:rFonts w:hint="eastAsia" w:ascii="黑体" w:hAnsi="黑体" w:eastAsia="黑体" w:cs="黑体"/>
                <w:sz w:val="19"/>
                <w:szCs w:val="19"/>
              </w:rPr>
              <w:t>15</w:t>
            </w:r>
          </w:p>
        </w:tc>
        <w:tc>
          <w:tcPr>
            <w:tcW w:w="1189" w:type="dxa"/>
            <w:vMerge w:val="restart"/>
            <w:vAlign w:val="center"/>
          </w:tcPr>
          <w:p w14:paraId="73268E57">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强震烈度速报台台站堪选及测试</w:t>
            </w:r>
          </w:p>
        </w:tc>
        <w:tc>
          <w:tcPr>
            <w:tcW w:w="845" w:type="dxa"/>
            <w:vMerge w:val="restart"/>
            <w:vAlign w:val="center"/>
          </w:tcPr>
          <w:p w14:paraId="3D90E66F">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1936" w:type="dxa"/>
            <w:vAlign w:val="center"/>
          </w:tcPr>
          <w:p w14:paraId="3E8C497E">
            <w:pPr>
              <w:spacing w:line="480" w:lineRule="exact"/>
              <w:rPr>
                <w:rFonts w:hint="eastAsia" w:ascii="黑体" w:hAnsi="黑体" w:eastAsia="黑体" w:cs="黑体"/>
                <w:sz w:val="19"/>
                <w:szCs w:val="19"/>
              </w:rPr>
            </w:pPr>
            <w:r>
              <w:rPr>
                <w:rFonts w:hint="eastAsia" w:ascii="黑体" w:hAnsi="黑体" w:eastAsia="黑体" w:cs="黑体"/>
                <w:kern w:val="0"/>
                <w:sz w:val="19"/>
                <w:szCs w:val="19"/>
              </w:rPr>
              <w:t>台站堪选</w:t>
            </w:r>
          </w:p>
        </w:tc>
        <w:tc>
          <w:tcPr>
            <w:tcW w:w="4580" w:type="dxa"/>
          </w:tcPr>
          <w:p w14:paraId="206D6246">
            <w:pPr>
              <w:spacing w:line="480" w:lineRule="exact"/>
              <w:rPr>
                <w:rFonts w:hint="eastAsia" w:ascii="黑体" w:hAnsi="黑体" w:eastAsia="黑体" w:cs="黑体"/>
                <w:sz w:val="19"/>
                <w:szCs w:val="19"/>
              </w:rPr>
            </w:pPr>
            <w:r>
              <w:rPr>
                <w:rFonts w:hint="eastAsia" w:ascii="黑体" w:hAnsi="黑体" w:eastAsia="黑体" w:cs="黑体"/>
                <w:sz w:val="19"/>
                <w:szCs w:val="19"/>
              </w:rPr>
              <w:t>配合采购人完成现场位置堪选工作</w:t>
            </w:r>
          </w:p>
        </w:tc>
      </w:tr>
      <w:tr w14:paraId="3D16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5C4BC77C">
            <w:pPr>
              <w:spacing w:line="480" w:lineRule="exact"/>
              <w:rPr>
                <w:rFonts w:hint="eastAsia" w:ascii="黑体" w:hAnsi="黑体" w:eastAsia="黑体" w:cs="黑体"/>
                <w:sz w:val="19"/>
                <w:szCs w:val="19"/>
              </w:rPr>
            </w:pPr>
          </w:p>
        </w:tc>
        <w:tc>
          <w:tcPr>
            <w:tcW w:w="1189" w:type="dxa"/>
            <w:vMerge w:val="continue"/>
            <w:vAlign w:val="center"/>
          </w:tcPr>
          <w:p w14:paraId="05878167">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72009B16">
            <w:pPr>
              <w:spacing w:line="480" w:lineRule="exact"/>
              <w:rPr>
                <w:rFonts w:hint="eastAsia" w:ascii="黑体" w:hAnsi="黑体" w:eastAsia="黑体" w:cs="黑体"/>
                <w:sz w:val="19"/>
                <w:szCs w:val="19"/>
              </w:rPr>
            </w:pPr>
          </w:p>
        </w:tc>
        <w:tc>
          <w:tcPr>
            <w:tcW w:w="1936" w:type="dxa"/>
            <w:vAlign w:val="center"/>
          </w:tcPr>
          <w:p w14:paraId="7D69BF7F">
            <w:pPr>
              <w:spacing w:line="480" w:lineRule="exact"/>
              <w:rPr>
                <w:rFonts w:hint="eastAsia" w:ascii="黑体" w:hAnsi="黑体" w:eastAsia="黑体" w:cs="黑体"/>
                <w:kern w:val="0"/>
                <w:sz w:val="19"/>
                <w:szCs w:val="19"/>
              </w:rPr>
            </w:pPr>
            <w:r>
              <w:rPr>
                <w:rFonts w:hint="eastAsia" w:ascii="黑体" w:hAnsi="黑体" w:eastAsia="黑体" w:cs="黑体"/>
                <w:kern w:val="0"/>
                <w:sz w:val="19"/>
                <w:szCs w:val="19"/>
              </w:rPr>
              <w:t>测试及报告</w:t>
            </w:r>
          </w:p>
        </w:tc>
        <w:tc>
          <w:tcPr>
            <w:tcW w:w="4580" w:type="dxa"/>
          </w:tcPr>
          <w:p w14:paraId="74BB0E9B">
            <w:pPr>
              <w:spacing w:line="480" w:lineRule="exact"/>
              <w:rPr>
                <w:rFonts w:hint="eastAsia" w:ascii="黑体" w:hAnsi="黑体" w:eastAsia="黑体" w:cs="黑体"/>
                <w:sz w:val="19"/>
                <w:szCs w:val="19"/>
              </w:rPr>
            </w:pPr>
            <w:r>
              <w:rPr>
                <w:rFonts w:hint="eastAsia" w:ascii="黑体" w:hAnsi="黑体" w:eastAsia="黑体" w:cs="黑体"/>
                <w:sz w:val="19"/>
                <w:szCs w:val="19"/>
              </w:rPr>
              <w:t>提供一体化强震仪进行台基测试，并提供台基测试报告</w:t>
            </w:r>
          </w:p>
        </w:tc>
      </w:tr>
      <w:tr w14:paraId="6B415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restart"/>
            <w:vAlign w:val="center"/>
          </w:tcPr>
          <w:p w14:paraId="28D6C88B">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序号</w:t>
            </w:r>
          </w:p>
        </w:tc>
        <w:tc>
          <w:tcPr>
            <w:tcW w:w="1189" w:type="dxa"/>
            <w:vMerge w:val="restart"/>
            <w:vAlign w:val="center"/>
          </w:tcPr>
          <w:p w14:paraId="47F346A5">
            <w:pPr>
              <w:pStyle w:val="41"/>
              <w:spacing w:before="204" w:line="218" w:lineRule="auto"/>
              <w:ind w:left="114"/>
              <w:jc w:val="center"/>
              <w:rPr>
                <w:rFonts w:hint="eastAsia"/>
              </w:rPr>
            </w:pPr>
            <w:r>
              <w:rPr>
                <w:rFonts w:hint="eastAsia" w:ascii="黑体" w:hAnsi="黑体" w:eastAsia="黑体" w:cs="黑体"/>
                <w:b/>
                <w:bCs/>
                <w:spacing w:val="6"/>
                <w:sz w:val="19"/>
                <w:szCs w:val="19"/>
                <w:lang w:eastAsia="zh-CN"/>
              </w:rPr>
              <w:t>产品名称</w:t>
            </w:r>
          </w:p>
        </w:tc>
        <w:tc>
          <w:tcPr>
            <w:tcW w:w="845" w:type="dxa"/>
            <w:vMerge w:val="restart"/>
            <w:vAlign w:val="center"/>
          </w:tcPr>
          <w:p w14:paraId="021D812D">
            <w:pPr>
              <w:pStyle w:val="41"/>
              <w:spacing w:before="204" w:line="218" w:lineRule="auto"/>
              <w:jc w:val="center"/>
              <w:rPr>
                <w:rFonts w:hint="eastAsia"/>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28C067EA">
            <w:pPr>
              <w:spacing w:line="480" w:lineRule="exact"/>
              <w:jc w:val="center"/>
              <w:rPr>
                <w:rFonts w:hint="eastAsia" w:ascii="黑体" w:hAnsi="黑体" w:eastAsia="黑体" w:cs="黑体"/>
                <w:sz w:val="19"/>
                <w:szCs w:val="19"/>
              </w:rPr>
            </w:pPr>
            <w:r>
              <w:rPr>
                <w:rFonts w:hint="eastAsia" w:ascii="黑体" w:hAnsi="黑体" w:eastAsia="黑体" w:cs="黑体"/>
                <w:b/>
                <w:bCs/>
                <w:spacing w:val="6"/>
                <w:sz w:val="19"/>
                <w:szCs w:val="19"/>
              </w:rPr>
              <w:t>技术参数与性能指标</w:t>
            </w:r>
          </w:p>
        </w:tc>
      </w:tr>
      <w:tr w14:paraId="7E7B6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continue"/>
            <w:vAlign w:val="center"/>
          </w:tcPr>
          <w:p w14:paraId="4CB077C5">
            <w:pPr>
              <w:spacing w:line="480" w:lineRule="exact"/>
              <w:rPr>
                <w:rFonts w:hint="eastAsia"/>
              </w:rPr>
            </w:pPr>
          </w:p>
        </w:tc>
        <w:tc>
          <w:tcPr>
            <w:tcW w:w="1189" w:type="dxa"/>
            <w:vMerge w:val="continue"/>
            <w:vAlign w:val="center"/>
          </w:tcPr>
          <w:p w14:paraId="5B7BE890">
            <w:pPr>
              <w:spacing w:line="480" w:lineRule="exact"/>
              <w:rPr>
                <w:rFonts w:hint="eastAsia"/>
              </w:rPr>
            </w:pPr>
          </w:p>
        </w:tc>
        <w:tc>
          <w:tcPr>
            <w:tcW w:w="845" w:type="dxa"/>
            <w:vMerge w:val="continue"/>
            <w:vAlign w:val="center"/>
          </w:tcPr>
          <w:p w14:paraId="59243E5C">
            <w:pPr>
              <w:spacing w:line="480" w:lineRule="exact"/>
              <w:rPr>
                <w:rFonts w:hint="eastAsia"/>
              </w:rPr>
            </w:pPr>
          </w:p>
        </w:tc>
        <w:tc>
          <w:tcPr>
            <w:tcW w:w="1936" w:type="dxa"/>
            <w:vAlign w:val="center"/>
          </w:tcPr>
          <w:p w14:paraId="5FA94376">
            <w:pPr>
              <w:spacing w:line="480" w:lineRule="exact"/>
              <w:jc w:val="center"/>
              <w:rPr>
                <w:rFonts w:hint="eastAsia" w:ascii="黑体" w:hAnsi="黑体" w:eastAsia="黑体" w:cs="黑体"/>
                <w:b/>
                <w:bCs/>
                <w:spacing w:val="6"/>
                <w:sz w:val="19"/>
                <w:szCs w:val="19"/>
              </w:rPr>
            </w:pPr>
            <w:r>
              <w:rPr>
                <w:rFonts w:hint="eastAsia" w:ascii="黑体" w:hAnsi="黑体" w:eastAsia="黑体" w:cs="黑体"/>
                <w:b/>
                <w:bCs/>
                <w:spacing w:val="6"/>
                <w:sz w:val="19"/>
                <w:szCs w:val="19"/>
              </w:rPr>
              <w:t>指标项</w:t>
            </w:r>
          </w:p>
        </w:tc>
        <w:tc>
          <w:tcPr>
            <w:tcW w:w="4580" w:type="dxa"/>
            <w:vAlign w:val="center"/>
          </w:tcPr>
          <w:p w14:paraId="1AF9052C">
            <w:pPr>
              <w:spacing w:line="480" w:lineRule="exact"/>
              <w:jc w:val="center"/>
              <w:rPr>
                <w:rFonts w:hint="eastAsia" w:ascii="黑体" w:hAnsi="黑体" w:eastAsia="黑体" w:cs="黑体"/>
                <w:b/>
                <w:bCs/>
                <w:spacing w:val="6"/>
                <w:sz w:val="19"/>
                <w:szCs w:val="19"/>
              </w:rPr>
            </w:pPr>
            <w:r>
              <w:rPr>
                <w:rFonts w:hint="eastAsia" w:ascii="黑体" w:hAnsi="黑体" w:eastAsia="黑体" w:cs="黑体"/>
                <w:b/>
                <w:bCs/>
                <w:spacing w:val="6"/>
                <w:sz w:val="19"/>
                <w:szCs w:val="19"/>
                <w:lang w:eastAsia="en-US"/>
              </w:rPr>
              <w:t>技术指标</w:t>
            </w:r>
          </w:p>
        </w:tc>
      </w:tr>
      <w:tr w14:paraId="5E299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restart"/>
            <w:vAlign w:val="center"/>
          </w:tcPr>
          <w:p w14:paraId="4BAB8236">
            <w:pPr>
              <w:spacing w:line="480" w:lineRule="exact"/>
              <w:rPr>
                <w:rFonts w:hint="eastAsia" w:ascii="黑体" w:hAnsi="黑体" w:eastAsia="黑体" w:cs="黑体"/>
                <w:sz w:val="19"/>
                <w:szCs w:val="19"/>
              </w:rPr>
            </w:pPr>
            <w:r>
              <w:rPr>
                <w:rFonts w:hint="eastAsia" w:ascii="黑体" w:hAnsi="黑体" w:eastAsia="黑体" w:cs="黑体"/>
                <w:sz w:val="19"/>
                <w:szCs w:val="19"/>
              </w:rPr>
              <w:t>16</w:t>
            </w:r>
          </w:p>
        </w:tc>
        <w:tc>
          <w:tcPr>
            <w:tcW w:w="1189" w:type="dxa"/>
            <w:vMerge w:val="restart"/>
            <w:vAlign w:val="center"/>
          </w:tcPr>
          <w:p w14:paraId="1E4DB28E">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地震烈度仪</w:t>
            </w:r>
          </w:p>
        </w:tc>
        <w:tc>
          <w:tcPr>
            <w:tcW w:w="845" w:type="dxa"/>
            <w:vAlign w:val="center"/>
          </w:tcPr>
          <w:p w14:paraId="5BCCF76F">
            <w:pPr>
              <w:spacing w:line="480" w:lineRule="exact"/>
              <w:jc w:val="center"/>
              <w:rPr>
                <w:rFonts w:hint="eastAsia"/>
              </w:rPr>
            </w:pPr>
          </w:p>
        </w:tc>
        <w:tc>
          <w:tcPr>
            <w:tcW w:w="1936" w:type="dxa"/>
            <w:vAlign w:val="center"/>
          </w:tcPr>
          <w:p w14:paraId="1BB0E7C8">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满量程范围</w:t>
            </w:r>
          </w:p>
        </w:tc>
        <w:tc>
          <w:tcPr>
            <w:tcW w:w="4580" w:type="dxa"/>
            <w:vAlign w:val="center"/>
          </w:tcPr>
          <w:p w14:paraId="606800F2">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水平:</w:t>
            </w:r>
            <w:r>
              <w:rPr>
                <w:rFonts w:hint="eastAsia" w:ascii="黑体" w:hAnsi="黑体" w:eastAsia="黑体" w:cs="黑体"/>
                <w:bCs/>
                <w:sz w:val="19"/>
                <w:szCs w:val="19"/>
              </w:rPr>
              <w:t>-19.6 m/s</w:t>
            </w:r>
            <w:r>
              <w:rPr>
                <w:rFonts w:hint="eastAsia" w:ascii="黑体" w:hAnsi="黑体" w:eastAsia="黑体" w:cs="黑体"/>
                <w:bCs/>
                <w:sz w:val="19"/>
                <w:szCs w:val="19"/>
                <w:vertAlign w:val="superscript"/>
              </w:rPr>
              <w:t>2</w:t>
            </w:r>
            <w:r>
              <w:rPr>
                <w:rFonts w:hint="eastAsia" w:ascii="黑体" w:hAnsi="黑体" w:eastAsia="黑体" w:cs="黑体"/>
                <w:bCs/>
                <w:sz w:val="19"/>
                <w:szCs w:val="19"/>
              </w:rPr>
              <w:t xml:space="preserve"> ～ 19.6m/s</w:t>
            </w:r>
            <w:r>
              <w:rPr>
                <w:rFonts w:hint="eastAsia" w:ascii="黑体" w:hAnsi="黑体" w:eastAsia="黑体" w:cs="黑体"/>
                <w:bCs/>
                <w:sz w:val="19"/>
                <w:szCs w:val="19"/>
                <w:vertAlign w:val="superscript"/>
              </w:rPr>
              <w:t>2</w:t>
            </w:r>
            <w:r>
              <w:rPr>
                <w:rFonts w:hint="eastAsia" w:ascii="黑体" w:hAnsi="黑体" w:eastAsia="黑体" w:cs="黑体"/>
                <w:kern w:val="0"/>
                <w:sz w:val="19"/>
                <w:szCs w:val="19"/>
              </w:rPr>
              <w:t>；</w:t>
            </w:r>
          </w:p>
          <w:p w14:paraId="44C584E1">
            <w:pPr>
              <w:widowControl/>
              <w:spacing w:line="480" w:lineRule="exact"/>
              <w:jc w:val="left"/>
              <w:textAlignment w:val="center"/>
              <w:rPr>
                <w:rFonts w:hint="eastAsia" w:ascii="黑体" w:hAnsi="黑体" w:eastAsia="黑体" w:cs="黑体"/>
                <w:sz w:val="19"/>
                <w:szCs w:val="19"/>
                <w:lang w:eastAsia="en-US"/>
              </w:rPr>
            </w:pPr>
            <w:r>
              <w:rPr>
                <w:rFonts w:hint="eastAsia" w:ascii="黑体" w:hAnsi="黑体" w:eastAsia="黑体" w:cs="黑体"/>
                <w:kern w:val="0"/>
                <w:sz w:val="19"/>
                <w:szCs w:val="19"/>
              </w:rPr>
              <w:t>垂直：</w:t>
            </w:r>
            <w:r>
              <w:rPr>
                <w:rFonts w:hint="eastAsia" w:ascii="黑体" w:hAnsi="黑体" w:eastAsia="黑体" w:cs="黑体"/>
                <w:bCs/>
                <w:sz w:val="19"/>
                <w:szCs w:val="19"/>
              </w:rPr>
              <w:t>-29.4 m/s</w:t>
            </w:r>
            <w:r>
              <w:rPr>
                <w:rFonts w:hint="eastAsia" w:ascii="黑体" w:hAnsi="黑体" w:eastAsia="黑体" w:cs="黑体"/>
                <w:bCs/>
                <w:sz w:val="19"/>
                <w:szCs w:val="19"/>
                <w:vertAlign w:val="superscript"/>
              </w:rPr>
              <w:t>2</w:t>
            </w:r>
            <w:r>
              <w:rPr>
                <w:rFonts w:hint="eastAsia" w:ascii="黑体" w:hAnsi="黑体" w:eastAsia="黑体" w:cs="黑体"/>
                <w:bCs/>
                <w:sz w:val="19"/>
                <w:szCs w:val="19"/>
              </w:rPr>
              <w:t>～ 9.8 m/s</w:t>
            </w:r>
            <w:r>
              <w:rPr>
                <w:rFonts w:hint="eastAsia" w:ascii="黑体" w:hAnsi="黑体" w:eastAsia="黑体" w:cs="黑体"/>
                <w:bCs/>
                <w:sz w:val="19"/>
                <w:szCs w:val="19"/>
                <w:vertAlign w:val="superscript"/>
              </w:rPr>
              <w:t>2</w:t>
            </w:r>
          </w:p>
        </w:tc>
      </w:tr>
      <w:tr w14:paraId="2CBC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jc w:val="center"/>
        </w:trPr>
        <w:tc>
          <w:tcPr>
            <w:tcW w:w="758" w:type="dxa"/>
            <w:vMerge w:val="continue"/>
            <w:vAlign w:val="center"/>
          </w:tcPr>
          <w:p w14:paraId="5BCE9F5C">
            <w:pPr>
              <w:spacing w:line="480" w:lineRule="exact"/>
              <w:rPr>
                <w:rFonts w:hint="eastAsia"/>
              </w:rPr>
            </w:pPr>
          </w:p>
        </w:tc>
        <w:tc>
          <w:tcPr>
            <w:tcW w:w="1189" w:type="dxa"/>
            <w:vMerge w:val="continue"/>
            <w:vAlign w:val="center"/>
          </w:tcPr>
          <w:p w14:paraId="7407653D">
            <w:pPr>
              <w:spacing w:line="480" w:lineRule="exact"/>
              <w:rPr>
                <w:rFonts w:hint="eastAsia"/>
              </w:rPr>
            </w:pPr>
          </w:p>
        </w:tc>
        <w:tc>
          <w:tcPr>
            <w:tcW w:w="845" w:type="dxa"/>
            <w:vAlign w:val="center"/>
          </w:tcPr>
          <w:p w14:paraId="7EA874EC">
            <w:pPr>
              <w:spacing w:line="480" w:lineRule="exact"/>
              <w:jc w:val="center"/>
              <w:rPr>
                <w:rFonts w:hint="eastAsia"/>
              </w:rPr>
            </w:pPr>
          </w:p>
        </w:tc>
        <w:tc>
          <w:tcPr>
            <w:tcW w:w="1936" w:type="dxa"/>
            <w:vAlign w:val="center"/>
          </w:tcPr>
          <w:p w14:paraId="061F61EE">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AD转换</w:t>
            </w:r>
          </w:p>
        </w:tc>
        <w:tc>
          <w:tcPr>
            <w:tcW w:w="4580" w:type="dxa"/>
            <w:vAlign w:val="center"/>
          </w:tcPr>
          <w:p w14:paraId="643CE937">
            <w:pPr>
              <w:widowControl/>
              <w:spacing w:line="480" w:lineRule="exact"/>
              <w:jc w:val="left"/>
              <w:textAlignment w:val="center"/>
              <w:rPr>
                <w:rFonts w:hint="eastAsia" w:ascii="黑体" w:hAnsi="黑体" w:eastAsia="黑体" w:cs="黑体"/>
                <w:sz w:val="19"/>
                <w:szCs w:val="19"/>
                <w:lang w:eastAsia="en-US"/>
              </w:rPr>
            </w:pPr>
            <w:r>
              <w:rPr>
                <w:rFonts w:hint="eastAsia" w:ascii="黑体" w:hAnsi="黑体" w:eastAsia="黑体" w:cs="黑体"/>
                <w:kern w:val="0"/>
                <w:sz w:val="19"/>
                <w:szCs w:val="19"/>
              </w:rPr>
              <w:t>24bits delta-sigma ADC</w:t>
            </w:r>
          </w:p>
        </w:tc>
      </w:tr>
      <w:tr w14:paraId="3152D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3CB8D7D">
            <w:pPr>
              <w:spacing w:line="480" w:lineRule="exact"/>
              <w:rPr>
                <w:rFonts w:hint="eastAsia" w:ascii="黑体" w:hAnsi="黑体" w:eastAsia="黑体" w:cs="黑体"/>
                <w:sz w:val="19"/>
                <w:szCs w:val="19"/>
              </w:rPr>
            </w:pPr>
          </w:p>
        </w:tc>
        <w:tc>
          <w:tcPr>
            <w:tcW w:w="1189" w:type="dxa"/>
            <w:vMerge w:val="continue"/>
            <w:vAlign w:val="center"/>
          </w:tcPr>
          <w:p w14:paraId="5F2AE25A">
            <w:pPr>
              <w:widowControl/>
              <w:spacing w:line="480" w:lineRule="exact"/>
              <w:jc w:val="left"/>
              <w:rPr>
                <w:rFonts w:hint="eastAsia" w:ascii="黑体" w:hAnsi="黑体" w:eastAsia="黑体" w:cs="黑体"/>
                <w:kern w:val="0"/>
                <w:sz w:val="19"/>
                <w:szCs w:val="19"/>
              </w:rPr>
            </w:pPr>
          </w:p>
        </w:tc>
        <w:tc>
          <w:tcPr>
            <w:tcW w:w="845" w:type="dxa"/>
            <w:vMerge w:val="restart"/>
            <w:vAlign w:val="center"/>
          </w:tcPr>
          <w:p w14:paraId="39537B94">
            <w:pPr>
              <w:spacing w:line="480" w:lineRule="exact"/>
              <w:rPr>
                <w:rFonts w:hint="eastAsia" w:ascii="黑体" w:hAnsi="黑体" w:eastAsia="黑体" w:cs="黑体"/>
                <w:sz w:val="19"/>
                <w:szCs w:val="19"/>
              </w:rPr>
            </w:pPr>
          </w:p>
        </w:tc>
        <w:tc>
          <w:tcPr>
            <w:tcW w:w="1936" w:type="dxa"/>
            <w:vAlign w:val="center"/>
          </w:tcPr>
          <w:p w14:paraId="7A49F4FC">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采样率</w:t>
            </w:r>
          </w:p>
        </w:tc>
        <w:tc>
          <w:tcPr>
            <w:tcW w:w="4580" w:type="dxa"/>
            <w:vAlign w:val="center"/>
          </w:tcPr>
          <w:p w14:paraId="3E79443A">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50、100、200sps/ch</w:t>
            </w:r>
          </w:p>
        </w:tc>
      </w:tr>
      <w:tr w14:paraId="5C01D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334F824">
            <w:pPr>
              <w:spacing w:line="480" w:lineRule="exact"/>
              <w:rPr>
                <w:rFonts w:hint="eastAsia" w:ascii="黑体" w:hAnsi="黑体" w:eastAsia="黑体" w:cs="黑体"/>
                <w:sz w:val="19"/>
                <w:szCs w:val="19"/>
              </w:rPr>
            </w:pPr>
          </w:p>
        </w:tc>
        <w:tc>
          <w:tcPr>
            <w:tcW w:w="1189" w:type="dxa"/>
            <w:vMerge w:val="continue"/>
            <w:vAlign w:val="center"/>
          </w:tcPr>
          <w:p w14:paraId="4A80C7BA">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34B0B895">
            <w:pPr>
              <w:spacing w:line="480" w:lineRule="exact"/>
              <w:rPr>
                <w:rFonts w:hint="eastAsia" w:ascii="黑体" w:hAnsi="黑体" w:eastAsia="黑体" w:cs="黑体"/>
                <w:sz w:val="19"/>
                <w:szCs w:val="19"/>
              </w:rPr>
            </w:pPr>
          </w:p>
        </w:tc>
        <w:tc>
          <w:tcPr>
            <w:tcW w:w="1936" w:type="dxa"/>
            <w:vAlign w:val="center"/>
          </w:tcPr>
          <w:p w14:paraId="3348FDFD">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sz w:val="19"/>
                <w:szCs w:val="19"/>
              </w:rPr>
              <w:t>噪声</w:t>
            </w:r>
          </w:p>
        </w:tc>
        <w:tc>
          <w:tcPr>
            <w:tcW w:w="4580" w:type="dxa"/>
            <w:vAlign w:val="center"/>
          </w:tcPr>
          <w:p w14:paraId="62A33D83">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≤4.0</w:t>
            </w:r>
            <w:r>
              <w:rPr>
                <w:rFonts w:hint="eastAsia" w:ascii="黑体" w:hAnsi="黑体" w:eastAsia="黑体" w:cs="黑体"/>
                <w:sz w:val="19"/>
                <w:szCs w:val="19"/>
              </w:rPr>
              <w:t>×10</w:t>
            </w:r>
            <w:r>
              <w:rPr>
                <w:rFonts w:hint="eastAsia" w:ascii="黑体" w:hAnsi="黑体" w:eastAsia="黑体" w:cs="黑体"/>
                <w:sz w:val="19"/>
                <w:szCs w:val="19"/>
                <w:vertAlign w:val="superscript"/>
              </w:rPr>
              <w:t>-4</w:t>
            </w:r>
            <w:r>
              <w:rPr>
                <w:rFonts w:hint="eastAsia" w:ascii="黑体" w:hAnsi="黑体" w:eastAsia="黑体" w:cs="黑体"/>
                <w:sz w:val="19"/>
                <w:szCs w:val="19"/>
              </w:rPr>
              <w:t xml:space="preserve"> m/s</w:t>
            </w:r>
            <w:r>
              <w:rPr>
                <w:rFonts w:hint="eastAsia" w:ascii="黑体" w:hAnsi="黑体" w:eastAsia="黑体" w:cs="黑体"/>
                <w:sz w:val="19"/>
                <w:szCs w:val="19"/>
                <w:vertAlign w:val="superscript"/>
              </w:rPr>
              <w:t>2</w:t>
            </w:r>
            <w:r>
              <w:rPr>
                <w:rFonts w:hint="eastAsia" w:ascii="黑体" w:hAnsi="黑体" w:eastAsia="黑体" w:cs="黑体"/>
                <w:sz w:val="19"/>
                <w:szCs w:val="19"/>
              </w:rPr>
              <w:t>（0.1Hz～20Hz）</w:t>
            </w:r>
          </w:p>
        </w:tc>
      </w:tr>
      <w:tr w14:paraId="237F2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1424CAEF">
            <w:pPr>
              <w:spacing w:line="480" w:lineRule="exact"/>
              <w:rPr>
                <w:rFonts w:hint="eastAsia" w:ascii="黑体" w:hAnsi="黑体" w:eastAsia="黑体" w:cs="黑体"/>
                <w:sz w:val="19"/>
                <w:szCs w:val="19"/>
              </w:rPr>
            </w:pPr>
          </w:p>
        </w:tc>
        <w:tc>
          <w:tcPr>
            <w:tcW w:w="1189" w:type="dxa"/>
            <w:vMerge w:val="continue"/>
            <w:vAlign w:val="center"/>
          </w:tcPr>
          <w:p w14:paraId="0C3D5C10">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19D95D65">
            <w:pPr>
              <w:spacing w:line="480" w:lineRule="exact"/>
              <w:rPr>
                <w:rFonts w:hint="eastAsia" w:ascii="黑体" w:hAnsi="黑体" w:eastAsia="黑体" w:cs="黑体"/>
                <w:sz w:val="19"/>
                <w:szCs w:val="19"/>
              </w:rPr>
            </w:pPr>
          </w:p>
        </w:tc>
        <w:tc>
          <w:tcPr>
            <w:tcW w:w="1936" w:type="dxa"/>
            <w:vAlign w:val="center"/>
          </w:tcPr>
          <w:p w14:paraId="4D1C1F1D">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灵敏度</w:t>
            </w:r>
          </w:p>
        </w:tc>
        <w:tc>
          <w:tcPr>
            <w:tcW w:w="4580" w:type="dxa"/>
            <w:vAlign w:val="center"/>
          </w:tcPr>
          <w:p w14:paraId="17931C09">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kern w:val="0"/>
                <w:sz w:val="19"/>
                <w:szCs w:val="19"/>
              </w:rPr>
              <w:t>500Ct/gal</w:t>
            </w:r>
          </w:p>
        </w:tc>
      </w:tr>
      <w:tr w14:paraId="4356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61B80BEC">
            <w:pPr>
              <w:spacing w:line="480" w:lineRule="exact"/>
              <w:rPr>
                <w:rFonts w:hint="eastAsia" w:ascii="黑体" w:hAnsi="黑体" w:eastAsia="黑体" w:cs="黑体"/>
                <w:sz w:val="19"/>
                <w:szCs w:val="19"/>
              </w:rPr>
            </w:pPr>
          </w:p>
        </w:tc>
        <w:tc>
          <w:tcPr>
            <w:tcW w:w="1189" w:type="dxa"/>
            <w:vMerge w:val="continue"/>
            <w:vAlign w:val="center"/>
          </w:tcPr>
          <w:p w14:paraId="7E97BDE0">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62C1058B">
            <w:pPr>
              <w:spacing w:line="480" w:lineRule="exact"/>
              <w:rPr>
                <w:rFonts w:hint="eastAsia" w:ascii="黑体" w:hAnsi="黑体" w:eastAsia="黑体" w:cs="黑体"/>
                <w:sz w:val="19"/>
                <w:szCs w:val="19"/>
              </w:rPr>
            </w:pPr>
          </w:p>
        </w:tc>
        <w:tc>
          <w:tcPr>
            <w:tcW w:w="1936" w:type="dxa"/>
            <w:vAlign w:val="center"/>
          </w:tcPr>
          <w:p w14:paraId="1CF3AAD0">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动态范围</w:t>
            </w:r>
          </w:p>
        </w:tc>
        <w:tc>
          <w:tcPr>
            <w:tcW w:w="4580" w:type="dxa"/>
            <w:vAlign w:val="center"/>
          </w:tcPr>
          <w:p w14:paraId="150FCC1B">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kern w:val="0"/>
                <w:sz w:val="19"/>
                <w:szCs w:val="19"/>
              </w:rPr>
              <w:t>&gt;90dB@100Hz</w:t>
            </w:r>
          </w:p>
        </w:tc>
      </w:tr>
      <w:tr w14:paraId="05C92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3B812931">
            <w:pPr>
              <w:spacing w:line="480" w:lineRule="exact"/>
              <w:rPr>
                <w:rFonts w:hint="eastAsia" w:ascii="黑体" w:hAnsi="黑体" w:eastAsia="黑体" w:cs="黑体"/>
                <w:sz w:val="19"/>
                <w:szCs w:val="19"/>
              </w:rPr>
            </w:pPr>
          </w:p>
        </w:tc>
        <w:tc>
          <w:tcPr>
            <w:tcW w:w="1189" w:type="dxa"/>
            <w:vMerge w:val="continue"/>
            <w:vAlign w:val="center"/>
          </w:tcPr>
          <w:p w14:paraId="39575462">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1947ACCA">
            <w:pPr>
              <w:spacing w:line="480" w:lineRule="exact"/>
              <w:rPr>
                <w:rFonts w:hint="eastAsia" w:ascii="黑体" w:hAnsi="黑体" w:eastAsia="黑体" w:cs="黑体"/>
                <w:sz w:val="19"/>
                <w:szCs w:val="19"/>
              </w:rPr>
            </w:pPr>
          </w:p>
        </w:tc>
        <w:tc>
          <w:tcPr>
            <w:tcW w:w="1936" w:type="dxa"/>
            <w:vAlign w:val="center"/>
          </w:tcPr>
          <w:p w14:paraId="77552F0B">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带宽</w:t>
            </w:r>
          </w:p>
        </w:tc>
        <w:tc>
          <w:tcPr>
            <w:tcW w:w="4580" w:type="dxa"/>
            <w:vAlign w:val="center"/>
          </w:tcPr>
          <w:p w14:paraId="302A3694">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kern w:val="0"/>
                <w:sz w:val="19"/>
                <w:szCs w:val="19"/>
              </w:rPr>
              <w:t>DC~80Hz</w:t>
            </w:r>
          </w:p>
        </w:tc>
      </w:tr>
      <w:tr w14:paraId="16320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7ED610C3">
            <w:pPr>
              <w:spacing w:line="480" w:lineRule="exact"/>
              <w:rPr>
                <w:rFonts w:hint="eastAsia" w:ascii="黑体" w:hAnsi="黑体" w:eastAsia="黑体" w:cs="黑体"/>
                <w:sz w:val="19"/>
                <w:szCs w:val="19"/>
              </w:rPr>
            </w:pPr>
          </w:p>
        </w:tc>
        <w:tc>
          <w:tcPr>
            <w:tcW w:w="1189" w:type="dxa"/>
            <w:vMerge w:val="continue"/>
            <w:vAlign w:val="center"/>
          </w:tcPr>
          <w:p w14:paraId="103A66AB">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1AD16A50">
            <w:pPr>
              <w:spacing w:line="480" w:lineRule="exact"/>
              <w:rPr>
                <w:rFonts w:hint="eastAsia" w:ascii="黑体" w:hAnsi="黑体" w:eastAsia="黑体" w:cs="黑体"/>
                <w:sz w:val="19"/>
                <w:szCs w:val="19"/>
              </w:rPr>
            </w:pPr>
          </w:p>
        </w:tc>
        <w:tc>
          <w:tcPr>
            <w:tcW w:w="1936" w:type="dxa"/>
            <w:vAlign w:val="center"/>
          </w:tcPr>
          <w:p w14:paraId="338383A4">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线性度</w:t>
            </w:r>
          </w:p>
        </w:tc>
        <w:tc>
          <w:tcPr>
            <w:tcW w:w="4580" w:type="dxa"/>
            <w:vAlign w:val="center"/>
          </w:tcPr>
          <w:p w14:paraId="2A00C26C">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kern w:val="0"/>
                <w:sz w:val="19"/>
                <w:szCs w:val="19"/>
              </w:rPr>
              <w:t>≤ 1%</w:t>
            </w:r>
          </w:p>
        </w:tc>
      </w:tr>
      <w:tr w14:paraId="0BE12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72A9A65A">
            <w:pPr>
              <w:spacing w:line="480" w:lineRule="exact"/>
              <w:rPr>
                <w:rFonts w:hint="eastAsia" w:ascii="黑体" w:hAnsi="黑体" w:eastAsia="黑体" w:cs="黑体"/>
                <w:sz w:val="19"/>
                <w:szCs w:val="19"/>
              </w:rPr>
            </w:pPr>
          </w:p>
        </w:tc>
        <w:tc>
          <w:tcPr>
            <w:tcW w:w="1189" w:type="dxa"/>
            <w:vMerge w:val="continue"/>
            <w:vAlign w:val="center"/>
          </w:tcPr>
          <w:p w14:paraId="3C909882">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0AFB5A86">
            <w:pPr>
              <w:spacing w:line="480" w:lineRule="exact"/>
              <w:rPr>
                <w:rFonts w:hint="eastAsia" w:ascii="黑体" w:hAnsi="黑体" w:eastAsia="黑体" w:cs="黑体"/>
                <w:sz w:val="19"/>
                <w:szCs w:val="19"/>
              </w:rPr>
            </w:pPr>
          </w:p>
        </w:tc>
        <w:tc>
          <w:tcPr>
            <w:tcW w:w="1936" w:type="dxa"/>
            <w:vAlign w:val="center"/>
          </w:tcPr>
          <w:p w14:paraId="7A022AD3">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横向灵敏度比</w:t>
            </w:r>
          </w:p>
        </w:tc>
        <w:tc>
          <w:tcPr>
            <w:tcW w:w="4580" w:type="dxa"/>
            <w:vAlign w:val="center"/>
          </w:tcPr>
          <w:p w14:paraId="61860D8A">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kern w:val="0"/>
                <w:sz w:val="19"/>
                <w:szCs w:val="19"/>
              </w:rPr>
              <w:t>&lt;1%</w:t>
            </w:r>
          </w:p>
        </w:tc>
      </w:tr>
      <w:tr w14:paraId="52572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5FADA66C">
            <w:pPr>
              <w:spacing w:line="480" w:lineRule="exact"/>
              <w:rPr>
                <w:rFonts w:hint="eastAsia" w:ascii="黑体" w:hAnsi="黑体" w:eastAsia="黑体" w:cs="黑体"/>
                <w:sz w:val="19"/>
                <w:szCs w:val="19"/>
              </w:rPr>
            </w:pPr>
          </w:p>
        </w:tc>
        <w:tc>
          <w:tcPr>
            <w:tcW w:w="1189" w:type="dxa"/>
            <w:vMerge w:val="continue"/>
            <w:vAlign w:val="center"/>
          </w:tcPr>
          <w:p w14:paraId="1602DCD1">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7CCCCF37">
            <w:pPr>
              <w:spacing w:line="480" w:lineRule="exact"/>
              <w:rPr>
                <w:rFonts w:hint="eastAsia" w:ascii="黑体" w:hAnsi="黑体" w:eastAsia="黑体" w:cs="黑体"/>
                <w:sz w:val="19"/>
                <w:szCs w:val="19"/>
              </w:rPr>
            </w:pPr>
          </w:p>
        </w:tc>
        <w:tc>
          <w:tcPr>
            <w:tcW w:w="1936" w:type="dxa"/>
            <w:vAlign w:val="center"/>
          </w:tcPr>
          <w:p w14:paraId="29996690">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sz w:val="19"/>
                <w:szCs w:val="19"/>
              </w:rPr>
              <w:t>供电</w:t>
            </w:r>
          </w:p>
        </w:tc>
        <w:tc>
          <w:tcPr>
            <w:tcW w:w="4580" w:type="dxa"/>
            <w:vAlign w:val="center"/>
          </w:tcPr>
          <w:p w14:paraId="4E7186DA">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sz w:val="19"/>
                <w:szCs w:val="19"/>
              </w:rPr>
              <w:t>9V ～ 18V DC</w:t>
            </w:r>
          </w:p>
        </w:tc>
      </w:tr>
      <w:tr w14:paraId="658E5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28D492AE">
            <w:pPr>
              <w:spacing w:line="480" w:lineRule="exact"/>
              <w:rPr>
                <w:rFonts w:hint="eastAsia" w:ascii="黑体" w:hAnsi="黑体" w:eastAsia="黑体" w:cs="黑体"/>
                <w:sz w:val="19"/>
                <w:szCs w:val="19"/>
              </w:rPr>
            </w:pPr>
          </w:p>
        </w:tc>
        <w:tc>
          <w:tcPr>
            <w:tcW w:w="1189" w:type="dxa"/>
            <w:vMerge w:val="continue"/>
            <w:vAlign w:val="center"/>
          </w:tcPr>
          <w:p w14:paraId="285C4EBC">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1D7854B1">
            <w:pPr>
              <w:spacing w:line="480" w:lineRule="exact"/>
              <w:rPr>
                <w:rFonts w:hint="eastAsia" w:ascii="黑体" w:hAnsi="黑体" w:eastAsia="黑体" w:cs="黑体"/>
                <w:sz w:val="19"/>
                <w:szCs w:val="19"/>
              </w:rPr>
            </w:pPr>
          </w:p>
        </w:tc>
        <w:tc>
          <w:tcPr>
            <w:tcW w:w="1936" w:type="dxa"/>
            <w:vAlign w:val="center"/>
          </w:tcPr>
          <w:p w14:paraId="1F0A64F7">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sz w:val="19"/>
                <w:szCs w:val="19"/>
              </w:rPr>
              <w:t>功耗</w:t>
            </w:r>
          </w:p>
        </w:tc>
        <w:tc>
          <w:tcPr>
            <w:tcW w:w="4580" w:type="dxa"/>
            <w:vAlign w:val="center"/>
          </w:tcPr>
          <w:p w14:paraId="2A928BE4">
            <w:pPr>
              <w:widowControl/>
              <w:spacing w:line="480" w:lineRule="exact"/>
              <w:ind w:firstLine="420"/>
              <w:jc w:val="left"/>
              <w:textAlignment w:val="center"/>
              <w:rPr>
                <w:rFonts w:hint="eastAsia" w:ascii="黑体" w:hAnsi="黑体" w:eastAsia="黑体" w:cs="黑体"/>
                <w:sz w:val="19"/>
                <w:szCs w:val="19"/>
              </w:rPr>
            </w:pPr>
            <w:r>
              <w:rPr>
                <w:rFonts w:hint="eastAsia" w:ascii="黑体" w:hAnsi="黑体" w:eastAsia="黑体" w:cs="黑体"/>
                <w:kern w:val="0"/>
                <w:sz w:val="19"/>
                <w:szCs w:val="19"/>
              </w:rPr>
              <w:t>≤ 2W</w:t>
            </w:r>
          </w:p>
        </w:tc>
      </w:tr>
      <w:tr w14:paraId="01B1D3EC">
        <w:tblPrEx>
          <w:tblCellMar>
            <w:top w:w="0" w:type="dxa"/>
            <w:left w:w="108" w:type="dxa"/>
            <w:bottom w:w="0" w:type="dxa"/>
            <w:right w:w="108" w:type="dxa"/>
          </w:tblCellMar>
        </w:tblPrEx>
        <w:trPr>
          <w:trHeight w:val="56" w:hRule="atLeast"/>
          <w:jc w:val="center"/>
        </w:trPr>
        <w:tc>
          <w:tcPr>
            <w:tcW w:w="758" w:type="dxa"/>
            <w:vMerge w:val="continue"/>
            <w:vAlign w:val="center"/>
          </w:tcPr>
          <w:p w14:paraId="657065B7">
            <w:pPr>
              <w:spacing w:line="480" w:lineRule="exact"/>
              <w:rPr>
                <w:rFonts w:hint="eastAsia" w:ascii="黑体" w:hAnsi="黑体" w:eastAsia="黑体" w:cs="黑体"/>
                <w:sz w:val="19"/>
                <w:szCs w:val="19"/>
              </w:rPr>
            </w:pPr>
          </w:p>
        </w:tc>
        <w:tc>
          <w:tcPr>
            <w:tcW w:w="1189" w:type="dxa"/>
            <w:vMerge w:val="continue"/>
            <w:vAlign w:val="center"/>
          </w:tcPr>
          <w:p w14:paraId="7C31CE63">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27A02DCA">
            <w:pPr>
              <w:spacing w:line="480" w:lineRule="exact"/>
              <w:rPr>
                <w:rFonts w:hint="eastAsia" w:ascii="黑体" w:hAnsi="黑体" w:eastAsia="黑体" w:cs="黑体"/>
                <w:sz w:val="19"/>
                <w:szCs w:val="19"/>
              </w:rPr>
            </w:pPr>
          </w:p>
        </w:tc>
        <w:tc>
          <w:tcPr>
            <w:tcW w:w="1936" w:type="dxa"/>
            <w:vAlign w:val="center"/>
          </w:tcPr>
          <w:p w14:paraId="2433E8CD">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授时服务</w:t>
            </w:r>
          </w:p>
        </w:tc>
        <w:tc>
          <w:tcPr>
            <w:tcW w:w="4580" w:type="dxa"/>
            <w:vAlign w:val="center"/>
          </w:tcPr>
          <w:p w14:paraId="508CC31C">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NTP网络授时、GNSS（可选）</w:t>
            </w:r>
          </w:p>
        </w:tc>
      </w:tr>
      <w:tr w14:paraId="15FC7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3C7F2E0B">
            <w:pPr>
              <w:spacing w:line="480" w:lineRule="exact"/>
              <w:rPr>
                <w:rFonts w:hint="eastAsia" w:ascii="黑体" w:hAnsi="黑体" w:eastAsia="黑体" w:cs="黑体"/>
                <w:sz w:val="19"/>
                <w:szCs w:val="19"/>
              </w:rPr>
            </w:pPr>
          </w:p>
        </w:tc>
        <w:tc>
          <w:tcPr>
            <w:tcW w:w="1189" w:type="dxa"/>
            <w:vMerge w:val="continue"/>
            <w:vAlign w:val="center"/>
          </w:tcPr>
          <w:p w14:paraId="6EE4F484">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66DE6883">
            <w:pPr>
              <w:spacing w:line="480" w:lineRule="exact"/>
              <w:rPr>
                <w:rFonts w:hint="eastAsia" w:ascii="黑体" w:hAnsi="黑体" w:eastAsia="黑体" w:cs="黑体"/>
                <w:sz w:val="19"/>
                <w:szCs w:val="19"/>
              </w:rPr>
            </w:pPr>
          </w:p>
        </w:tc>
        <w:tc>
          <w:tcPr>
            <w:tcW w:w="1936" w:type="dxa"/>
            <w:vAlign w:val="center"/>
          </w:tcPr>
          <w:p w14:paraId="32432507">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sz w:val="19"/>
                <w:szCs w:val="19"/>
              </w:rPr>
              <w:t>授时精度</w:t>
            </w:r>
          </w:p>
        </w:tc>
        <w:tc>
          <w:tcPr>
            <w:tcW w:w="4580" w:type="dxa"/>
            <w:vAlign w:val="center"/>
          </w:tcPr>
          <w:p w14:paraId="4E187E1C">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bCs/>
                <w:sz w:val="19"/>
                <w:szCs w:val="19"/>
              </w:rPr>
              <w:t>优于0.1s</w:t>
            </w:r>
          </w:p>
        </w:tc>
      </w:tr>
      <w:tr w14:paraId="1C5DC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01C0B4C0">
            <w:pPr>
              <w:spacing w:line="480" w:lineRule="exact"/>
              <w:rPr>
                <w:rFonts w:hint="eastAsia" w:ascii="黑体" w:hAnsi="黑体" w:eastAsia="黑体" w:cs="黑体"/>
                <w:sz w:val="19"/>
                <w:szCs w:val="19"/>
              </w:rPr>
            </w:pPr>
          </w:p>
        </w:tc>
        <w:tc>
          <w:tcPr>
            <w:tcW w:w="1189" w:type="dxa"/>
            <w:vMerge w:val="continue"/>
            <w:vAlign w:val="center"/>
          </w:tcPr>
          <w:p w14:paraId="6062811F">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09B3C361">
            <w:pPr>
              <w:spacing w:line="480" w:lineRule="exact"/>
              <w:rPr>
                <w:rFonts w:hint="eastAsia" w:ascii="黑体" w:hAnsi="黑体" w:eastAsia="黑体" w:cs="黑体"/>
                <w:sz w:val="19"/>
                <w:szCs w:val="19"/>
              </w:rPr>
            </w:pPr>
          </w:p>
        </w:tc>
        <w:tc>
          <w:tcPr>
            <w:tcW w:w="1936" w:type="dxa"/>
            <w:vAlign w:val="center"/>
          </w:tcPr>
          <w:p w14:paraId="639DFC3F">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sz w:val="19"/>
                <w:szCs w:val="19"/>
              </w:rPr>
              <w:t>守时精度</w:t>
            </w:r>
          </w:p>
        </w:tc>
        <w:tc>
          <w:tcPr>
            <w:tcW w:w="4580" w:type="dxa"/>
            <w:vAlign w:val="center"/>
          </w:tcPr>
          <w:p w14:paraId="5695CC98">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bCs/>
                <w:sz w:val="19"/>
                <w:szCs w:val="19"/>
              </w:rPr>
              <w:t>优于1000ppm</w:t>
            </w:r>
          </w:p>
        </w:tc>
      </w:tr>
      <w:tr w14:paraId="768C9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4456F25A">
            <w:pPr>
              <w:spacing w:line="480" w:lineRule="exact"/>
              <w:rPr>
                <w:rFonts w:hint="eastAsia" w:ascii="黑体" w:hAnsi="黑体" w:eastAsia="黑体" w:cs="黑体"/>
                <w:sz w:val="19"/>
                <w:szCs w:val="19"/>
              </w:rPr>
            </w:pPr>
          </w:p>
        </w:tc>
        <w:tc>
          <w:tcPr>
            <w:tcW w:w="1189" w:type="dxa"/>
            <w:vMerge w:val="continue"/>
            <w:vAlign w:val="center"/>
          </w:tcPr>
          <w:p w14:paraId="4441584B">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61013928">
            <w:pPr>
              <w:spacing w:line="480" w:lineRule="exact"/>
              <w:rPr>
                <w:rFonts w:hint="eastAsia" w:ascii="黑体" w:hAnsi="黑体" w:eastAsia="黑体" w:cs="黑体"/>
                <w:sz w:val="19"/>
                <w:szCs w:val="19"/>
              </w:rPr>
            </w:pPr>
          </w:p>
        </w:tc>
        <w:tc>
          <w:tcPr>
            <w:tcW w:w="1936" w:type="dxa"/>
            <w:vAlign w:val="center"/>
          </w:tcPr>
          <w:p w14:paraId="38026F51">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环境和状态监控</w:t>
            </w:r>
          </w:p>
        </w:tc>
        <w:tc>
          <w:tcPr>
            <w:tcW w:w="4580" w:type="dxa"/>
            <w:vAlign w:val="center"/>
          </w:tcPr>
          <w:p w14:paraId="3A4007F5">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温度、电压和电流等</w:t>
            </w:r>
          </w:p>
        </w:tc>
      </w:tr>
      <w:tr w14:paraId="25EC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0AE80AD8">
            <w:pPr>
              <w:spacing w:line="480" w:lineRule="exact"/>
              <w:rPr>
                <w:rFonts w:hint="eastAsia" w:ascii="黑体" w:hAnsi="黑体" w:eastAsia="黑体" w:cs="黑体"/>
                <w:sz w:val="19"/>
                <w:szCs w:val="19"/>
              </w:rPr>
            </w:pPr>
          </w:p>
        </w:tc>
        <w:tc>
          <w:tcPr>
            <w:tcW w:w="1189" w:type="dxa"/>
            <w:vMerge w:val="continue"/>
            <w:vAlign w:val="center"/>
          </w:tcPr>
          <w:p w14:paraId="19983199">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4B93965B">
            <w:pPr>
              <w:spacing w:line="480" w:lineRule="exact"/>
              <w:rPr>
                <w:rFonts w:hint="eastAsia" w:ascii="黑体" w:hAnsi="黑体" w:eastAsia="黑体" w:cs="黑体"/>
                <w:sz w:val="19"/>
                <w:szCs w:val="19"/>
              </w:rPr>
            </w:pPr>
          </w:p>
        </w:tc>
        <w:tc>
          <w:tcPr>
            <w:tcW w:w="1936" w:type="dxa"/>
            <w:vAlign w:val="center"/>
          </w:tcPr>
          <w:p w14:paraId="06102BD1">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烈度计算</w:t>
            </w:r>
          </w:p>
        </w:tc>
        <w:tc>
          <w:tcPr>
            <w:tcW w:w="4580" w:type="dxa"/>
            <w:vAlign w:val="center"/>
          </w:tcPr>
          <w:p w14:paraId="332A237D">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具备STA/LTA触发阈值、实时地震峰值加速度PGA、地震峰值速度PGV、地震峰值位移PGD的实时计算，实时地震烈度、卓越频率的计算</w:t>
            </w:r>
          </w:p>
        </w:tc>
      </w:tr>
      <w:tr w14:paraId="67420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351CFC4B">
            <w:pPr>
              <w:spacing w:line="480" w:lineRule="exact"/>
              <w:rPr>
                <w:rFonts w:hint="eastAsia" w:ascii="黑体" w:hAnsi="黑体" w:eastAsia="黑体" w:cs="黑体"/>
                <w:sz w:val="19"/>
                <w:szCs w:val="19"/>
              </w:rPr>
            </w:pPr>
          </w:p>
        </w:tc>
        <w:tc>
          <w:tcPr>
            <w:tcW w:w="1189" w:type="dxa"/>
            <w:vMerge w:val="continue"/>
            <w:vAlign w:val="center"/>
          </w:tcPr>
          <w:p w14:paraId="044C7941">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6E66CC96">
            <w:pPr>
              <w:spacing w:line="480" w:lineRule="exact"/>
              <w:rPr>
                <w:rFonts w:hint="eastAsia" w:ascii="黑体" w:hAnsi="黑体" w:eastAsia="黑体" w:cs="黑体"/>
                <w:sz w:val="19"/>
                <w:szCs w:val="19"/>
              </w:rPr>
            </w:pPr>
          </w:p>
        </w:tc>
        <w:tc>
          <w:tcPr>
            <w:tcW w:w="1936" w:type="dxa"/>
            <w:vAlign w:val="center"/>
          </w:tcPr>
          <w:p w14:paraId="166A96C4">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存储介质</w:t>
            </w:r>
          </w:p>
        </w:tc>
        <w:tc>
          <w:tcPr>
            <w:tcW w:w="4580" w:type="dxa"/>
            <w:vAlign w:val="center"/>
          </w:tcPr>
          <w:p w14:paraId="27F75811">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U盘存储, ≥16G</w:t>
            </w:r>
          </w:p>
        </w:tc>
      </w:tr>
      <w:tr w14:paraId="197E5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6C168145">
            <w:pPr>
              <w:spacing w:line="480" w:lineRule="exact"/>
              <w:rPr>
                <w:rFonts w:hint="eastAsia" w:ascii="黑体" w:hAnsi="黑体" w:eastAsia="黑体" w:cs="黑体"/>
                <w:sz w:val="19"/>
                <w:szCs w:val="19"/>
              </w:rPr>
            </w:pPr>
          </w:p>
        </w:tc>
        <w:tc>
          <w:tcPr>
            <w:tcW w:w="1189" w:type="dxa"/>
            <w:vMerge w:val="continue"/>
            <w:vAlign w:val="center"/>
          </w:tcPr>
          <w:p w14:paraId="1A6EDF2C">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51D14FCC">
            <w:pPr>
              <w:spacing w:line="480" w:lineRule="exact"/>
              <w:rPr>
                <w:rFonts w:hint="eastAsia" w:ascii="黑体" w:hAnsi="黑体" w:eastAsia="黑体" w:cs="黑体"/>
                <w:sz w:val="19"/>
                <w:szCs w:val="19"/>
              </w:rPr>
            </w:pPr>
          </w:p>
        </w:tc>
        <w:tc>
          <w:tcPr>
            <w:tcW w:w="1936" w:type="dxa"/>
            <w:vAlign w:val="center"/>
          </w:tcPr>
          <w:p w14:paraId="7DA04A3F">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通信接口</w:t>
            </w:r>
          </w:p>
        </w:tc>
        <w:tc>
          <w:tcPr>
            <w:tcW w:w="4580" w:type="dxa"/>
            <w:vAlign w:val="center"/>
          </w:tcPr>
          <w:p w14:paraId="462EEBE8">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标准10/100M LAN以太网接口；</w:t>
            </w:r>
          </w:p>
        </w:tc>
      </w:tr>
      <w:tr w14:paraId="101EF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1D981AA3">
            <w:pPr>
              <w:spacing w:line="480" w:lineRule="exact"/>
              <w:rPr>
                <w:rFonts w:hint="eastAsia" w:ascii="黑体" w:hAnsi="黑体" w:eastAsia="黑体" w:cs="黑体"/>
                <w:sz w:val="19"/>
                <w:szCs w:val="19"/>
              </w:rPr>
            </w:pPr>
          </w:p>
        </w:tc>
        <w:tc>
          <w:tcPr>
            <w:tcW w:w="1189" w:type="dxa"/>
            <w:vMerge w:val="continue"/>
            <w:vAlign w:val="center"/>
          </w:tcPr>
          <w:p w14:paraId="6ADCC7F9">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265533B1">
            <w:pPr>
              <w:spacing w:line="480" w:lineRule="exact"/>
              <w:rPr>
                <w:rFonts w:hint="eastAsia" w:ascii="黑体" w:hAnsi="黑体" w:eastAsia="黑体" w:cs="黑体"/>
                <w:sz w:val="19"/>
                <w:szCs w:val="19"/>
              </w:rPr>
            </w:pPr>
          </w:p>
        </w:tc>
        <w:tc>
          <w:tcPr>
            <w:tcW w:w="1936" w:type="dxa"/>
            <w:vAlign w:val="center"/>
          </w:tcPr>
          <w:p w14:paraId="11D2E757">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传输模式</w:t>
            </w:r>
          </w:p>
        </w:tc>
        <w:tc>
          <w:tcPr>
            <w:tcW w:w="4580" w:type="dxa"/>
            <w:vAlign w:val="center"/>
          </w:tcPr>
          <w:p w14:paraId="67F1D297">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支持数据远程自动断点续传、远程自动补数的功能</w:t>
            </w:r>
          </w:p>
        </w:tc>
      </w:tr>
      <w:tr w14:paraId="783A6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Merge w:val="continue"/>
            <w:vAlign w:val="center"/>
          </w:tcPr>
          <w:p w14:paraId="0B3FB2F4">
            <w:pPr>
              <w:spacing w:line="480" w:lineRule="exact"/>
              <w:rPr>
                <w:rFonts w:hint="eastAsia" w:ascii="黑体" w:hAnsi="黑体" w:eastAsia="黑体" w:cs="黑体"/>
                <w:sz w:val="19"/>
                <w:szCs w:val="19"/>
              </w:rPr>
            </w:pPr>
          </w:p>
        </w:tc>
        <w:tc>
          <w:tcPr>
            <w:tcW w:w="1189" w:type="dxa"/>
            <w:vMerge w:val="continue"/>
            <w:vAlign w:val="center"/>
          </w:tcPr>
          <w:p w14:paraId="0D876DB3">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6B954A90">
            <w:pPr>
              <w:spacing w:line="480" w:lineRule="exact"/>
              <w:rPr>
                <w:rFonts w:hint="eastAsia" w:ascii="黑体" w:hAnsi="黑体" w:eastAsia="黑体" w:cs="黑体"/>
                <w:sz w:val="19"/>
                <w:szCs w:val="19"/>
              </w:rPr>
            </w:pPr>
          </w:p>
        </w:tc>
        <w:tc>
          <w:tcPr>
            <w:tcW w:w="1936" w:type="dxa"/>
            <w:vAlign w:val="center"/>
          </w:tcPr>
          <w:p w14:paraId="12262B70">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密封性</w:t>
            </w:r>
          </w:p>
        </w:tc>
        <w:tc>
          <w:tcPr>
            <w:tcW w:w="4580" w:type="dxa"/>
            <w:vAlign w:val="center"/>
          </w:tcPr>
          <w:p w14:paraId="78E07C20">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≥IP67</w:t>
            </w:r>
          </w:p>
        </w:tc>
      </w:tr>
      <w:tr w14:paraId="6693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58" w:type="dxa"/>
            <w:vMerge w:val="continue"/>
            <w:vAlign w:val="center"/>
          </w:tcPr>
          <w:p w14:paraId="5AE9E301">
            <w:pPr>
              <w:spacing w:line="480" w:lineRule="exact"/>
              <w:rPr>
                <w:rFonts w:hint="eastAsia" w:ascii="黑体" w:hAnsi="黑体" w:eastAsia="黑体" w:cs="黑体"/>
                <w:sz w:val="19"/>
                <w:szCs w:val="19"/>
              </w:rPr>
            </w:pPr>
          </w:p>
        </w:tc>
        <w:tc>
          <w:tcPr>
            <w:tcW w:w="1189" w:type="dxa"/>
            <w:vMerge w:val="continue"/>
            <w:vAlign w:val="center"/>
          </w:tcPr>
          <w:p w14:paraId="09A05258">
            <w:pPr>
              <w:widowControl/>
              <w:spacing w:line="480" w:lineRule="exact"/>
              <w:jc w:val="left"/>
              <w:rPr>
                <w:rFonts w:hint="eastAsia" w:ascii="黑体" w:hAnsi="黑体" w:eastAsia="黑体" w:cs="黑体"/>
                <w:kern w:val="0"/>
                <w:sz w:val="19"/>
                <w:szCs w:val="19"/>
              </w:rPr>
            </w:pPr>
          </w:p>
        </w:tc>
        <w:tc>
          <w:tcPr>
            <w:tcW w:w="845" w:type="dxa"/>
            <w:vMerge w:val="continue"/>
            <w:vAlign w:val="center"/>
          </w:tcPr>
          <w:p w14:paraId="1323CDEB">
            <w:pPr>
              <w:spacing w:line="480" w:lineRule="exact"/>
              <w:rPr>
                <w:rFonts w:hint="eastAsia" w:ascii="黑体" w:hAnsi="黑体" w:eastAsia="黑体" w:cs="黑体"/>
                <w:sz w:val="19"/>
                <w:szCs w:val="19"/>
              </w:rPr>
            </w:pPr>
          </w:p>
        </w:tc>
        <w:tc>
          <w:tcPr>
            <w:tcW w:w="1936" w:type="dxa"/>
            <w:vAlign w:val="center"/>
          </w:tcPr>
          <w:p w14:paraId="2BAA0257">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kern w:val="0"/>
                <w:sz w:val="19"/>
                <w:szCs w:val="19"/>
              </w:rPr>
              <w:t>安装方式</w:t>
            </w:r>
          </w:p>
        </w:tc>
        <w:tc>
          <w:tcPr>
            <w:tcW w:w="4580" w:type="dxa"/>
            <w:vAlign w:val="center"/>
          </w:tcPr>
          <w:p w14:paraId="3BA61992">
            <w:pPr>
              <w:widowControl/>
              <w:spacing w:line="480" w:lineRule="exact"/>
              <w:jc w:val="left"/>
              <w:textAlignment w:val="center"/>
              <w:rPr>
                <w:rFonts w:hint="eastAsia" w:ascii="黑体" w:hAnsi="黑体" w:eastAsia="黑体" w:cs="黑体"/>
                <w:sz w:val="19"/>
                <w:szCs w:val="19"/>
              </w:rPr>
            </w:pPr>
            <w:r>
              <w:rPr>
                <w:rFonts w:hint="eastAsia" w:ascii="黑体" w:hAnsi="黑体" w:eastAsia="黑体" w:cs="黑体"/>
                <w:bCs/>
                <w:sz w:val="19"/>
                <w:szCs w:val="19"/>
              </w:rPr>
              <w:t>支持地面和壁挂安装，方向可调，水平可调</w:t>
            </w:r>
          </w:p>
        </w:tc>
      </w:tr>
      <w:tr w14:paraId="0885E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758" w:type="dxa"/>
            <w:vAlign w:val="center"/>
          </w:tcPr>
          <w:p w14:paraId="46B18BC1">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tc>
        <w:tc>
          <w:tcPr>
            <w:tcW w:w="1189" w:type="dxa"/>
            <w:vAlign w:val="center"/>
          </w:tcPr>
          <w:p w14:paraId="2A2FAC61">
            <w:pPr>
              <w:pStyle w:val="41"/>
              <w:spacing w:before="204" w:line="218" w:lineRule="auto"/>
              <w:ind w:left="114"/>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zh-CN"/>
              </w:rPr>
              <w:t>产品名称</w:t>
            </w:r>
          </w:p>
        </w:tc>
        <w:tc>
          <w:tcPr>
            <w:tcW w:w="845" w:type="dxa"/>
            <w:vAlign w:val="center"/>
          </w:tcPr>
          <w:p w14:paraId="11A72BA5">
            <w:pPr>
              <w:pStyle w:val="41"/>
              <w:spacing w:before="204" w:line="218" w:lineRule="auto"/>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重要性</w:t>
            </w:r>
          </w:p>
        </w:tc>
        <w:tc>
          <w:tcPr>
            <w:tcW w:w="6516" w:type="dxa"/>
            <w:gridSpan w:val="2"/>
            <w:vAlign w:val="center"/>
          </w:tcPr>
          <w:p w14:paraId="4C19878C">
            <w:pPr>
              <w:spacing w:line="480" w:lineRule="exact"/>
              <w:jc w:val="center"/>
              <w:rPr>
                <w:rFonts w:hint="eastAsia" w:ascii="黑体" w:hAnsi="黑体" w:eastAsia="黑体" w:cs="黑体"/>
                <w:bCs/>
                <w:sz w:val="19"/>
                <w:szCs w:val="19"/>
              </w:rPr>
            </w:pPr>
            <w:r>
              <w:rPr>
                <w:rFonts w:hint="eastAsia" w:ascii="黑体" w:hAnsi="黑体" w:eastAsia="黑体" w:cs="黑体"/>
                <w:b/>
                <w:bCs/>
                <w:spacing w:val="6"/>
                <w:sz w:val="19"/>
                <w:szCs w:val="19"/>
              </w:rPr>
              <w:t>技术参数与性能指标</w:t>
            </w:r>
          </w:p>
        </w:tc>
      </w:tr>
      <w:tr w14:paraId="7571D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6C9892F0">
            <w:pPr>
              <w:spacing w:line="480" w:lineRule="exact"/>
              <w:rPr>
                <w:rFonts w:hint="eastAsia" w:ascii="黑体" w:hAnsi="黑体" w:eastAsia="黑体" w:cs="黑体"/>
                <w:sz w:val="19"/>
                <w:szCs w:val="19"/>
              </w:rPr>
            </w:pPr>
            <w:r>
              <w:rPr>
                <w:rFonts w:hint="eastAsia" w:ascii="黑体" w:hAnsi="黑体" w:eastAsia="黑体" w:cs="黑体"/>
                <w:sz w:val="19"/>
                <w:szCs w:val="19"/>
              </w:rPr>
              <w:t>17</w:t>
            </w:r>
          </w:p>
        </w:tc>
        <w:tc>
          <w:tcPr>
            <w:tcW w:w="1189" w:type="dxa"/>
            <w:vAlign w:val="center"/>
          </w:tcPr>
          <w:p w14:paraId="6E45F8EC">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子台安装</w:t>
            </w:r>
          </w:p>
          <w:p w14:paraId="00A0831A">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联调</w:t>
            </w:r>
          </w:p>
        </w:tc>
        <w:tc>
          <w:tcPr>
            <w:tcW w:w="845" w:type="dxa"/>
            <w:vAlign w:val="center"/>
          </w:tcPr>
          <w:p w14:paraId="0B756614">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 </w:t>
            </w:r>
          </w:p>
        </w:tc>
        <w:tc>
          <w:tcPr>
            <w:tcW w:w="6516" w:type="dxa"/>
            <w:gridSpan w:val="2"/>
            <w:vAlign w:val="center"/>
          </w:tcPr>
          <w:p w14:paraId="40364DD5">
            <w:pPr>
              <w:spacing w:line="480" w:lineRule="exact"/>
              <w:rPr>
                <w:rFonts w:hint="eastAsia" w:ascii="黑体" w:hAnsi="黑体" w:eastAsia="黑体" w:cs="黑体"/>
                <w:sz w:val="19"/>
                <w:szCs w:val="19"/>
              </w:rPr>
            </w:pPr>
            <w:r>
              <w:rPr>
                <w:rFonts w:hint="eastAsia" w:ascii="黑体" w:hAnsi="黑体" w:eastAsia="黑体" w:cs="黑体"/>
                <w:sz w:val="19"/>
                <w:szCs w:val="19"/>
              </w:rPr>
              <w:t>总体要求：</w:t>
            </w:r>
          </w:p>
          <w:p w14:paraId="1293BB25">
            <w:pPr>
              <w:spacing w:line="480" w:lineRule="exact"/>
              <w:rPr>
                <w:rFonts w:hint="eastAsia" w:ascii="黑体" w:hAnsi="黑体" w:eastAsia="黑体" w:cs="黑体"/>
                <w:sz w:val="19"/>
                <w:szCs w:val="19"/>
              </w:rPr>
            </w:pPr>
            <w:r>
              <w:rPr>
                <w:rFonts w:hint="eastAsia" w:ascii="黑体" w:hAnsi="黑体" w:eastAsia="黑体" w:cs="黑体"/>
                <w:sz w:val="19"/>
                <w:szCs w:val="19"/>
              </w:rPr>
              <w:t>1、完成台站的测试、安装、系统联调及试运行，并将台站设备有机地结合在一起，通过通讯线路传输到台网中心；</w:t>
            </w:r>
          </w:p>
          <w:p w14:paraId="7F895981">
            <w:pPr>
              <w:spacing w:line="480" w:lineRule="exact"/>
              <w:rPr>
                <w:rFonts w:hint="eastAsia" w:ascii="黑体" w:hAnsi="黑体" w:eastAsia="黑体" w:cs="黑体"/>
                <w:sz w:val="19"/>
                <w:szCs w:val="19"/>
              </w:rPr>
            </w:pPr>
            <w:r>
              <w:rPr>
                <w:rFonts w:hint="eastAsia" w:ascii="黑体" w:hAnsi="黑体" w:eastAsia="黑体" w:cs="黑体"/>
                <w:sz w:val="19"/>
                <w:szCs w:val="19"/>
              </w:rPr>
              <w:t>2、系统调试完成后，提交详细的系统集成方案，包括台站所有的接线定义及台站所有参数的设置，以保障台站的可靠运行及维护）。</w:t>
            </w:r>
          </w:p>
        </w:tc>
      </w:tr>
      <w:tr w14:paraId="730D6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76B93EA7">
            <w:pPr>
              <w:pStyle w:val="41"/>
              <w:spacing w:before="204" w:line="218" w:lineRule="auto"/>
              <w:ind w:left="114"/>
              <w:jc w:val="center"/>
              <w:rPr>
                <w:rFonts w:hint="eastAsia" w:ascii="黑体" w:hAnsi="黑体" w:eastAsia="黑体" w:cs="黑体"/>
                <w:sz w:val="19"/>
                <w:szCs w:val="19"/>
              </w:rPr>
            </w:pPr>
            <w:r>
              <w:rPr>
                <w:rFonts w:hint="eastAsia" w:ascii="黑体" w:hAnsi="黑体" w:eastAsia="黑体" w:cs="黑体"/>
                <w:b/>
                <w:bCs/>
                <w:spacing w:val="6"/>
                <w:sz w:val="19"/>
                <w:szCs w:val="19"/>
                <w:lang w:eastAsia="zh-CN"/>
              </w:rPr>
              <w:t>序号</w:t>
            </w:r>
          </w:p>
        </w:tc>
        <w:tc>
          <w:tcPr>
            <w:tcW w:w="1189" w:type="dxa"/>
            <w:vAlign w:val="center"/>
          </w:tcPr>
          <w:p w14:paraId="5DE94DF8">
            <w:pPr>
              <w:pStyle w:val="41"/>
              <w:spacing w:before="204" w:line="218" w:lineRule="auto"/>
              <w:ind w:left="114"/>
              <w:jc w:val="center"/>
              <w:rPr>
                <w:rFonts w:hint="eastAsia" w:ascii="黑体" w:hAnsi="黑体" w:eastAsia="黑体" w:cs="黑体"/>
                <w:kern w:val="0"/>
                <w:sz w:val="19"/>
                <w:szCs w:val="19"/>
              </w:rPr>
            </w:pPr>
            <w:r>
              <w:rPr>
                <w:rFonts w:hint="eastAsia" w:ascii="黑体" w:hAnsi="黑体" w:eastAsia="黑体" w:cs="黑体"/>
                <w:b/>
                <w:bCs/>
                <w:spacing w:val="6"/>
                <w:sz w:val="19"/>
                <w:szCs w:val="19"/>
                <w:lang w:eastAsia="zh-CN"/>
              </w:rPr>
              <w:t>产品名称</w:t>
            </w:r>
          </w:p>
        </w:tc>
        <w:tc>
          <w:tcPr>
            <w:tcW w:w="845" w:type="dxa"/>
            <w:vAlign w:val="center"/>
          </w:tcPr>
          <w:p w14:paraId="78F13B7F">
            <w:pPr>
              <w:pStyle w:val="41"/>
              <w:spacing w:before="204" w:line="218" w:lineRule="auto"/>
              <w:jc w:val="center"/>
              <w:rPr>
                <w:rFonts w:hint="eastAsia" w:ascii="黑体" w:hAnsi="黑体" w:eastAsia="黑体" w:cs="黑体"/>
                <w:sz w:val="19"/>
                <w:szCs w:val="19"/>
                <w:lang w:eastAsia="zh-CN"/>
              </w:rPr>
            </w:pPr>
            <w:r>
              <w:rPr>
                <w:rFonts w:hint="eastAsia" w:ascii="黑体" w:hAnsi="黑体" w:eastAsia="黑体" w:cs="黑体"/>
                <w:b/>
                <w:bCs/>
                <w:spacing w:val="6"/>
                <w:sz w:val="19"/>
                <w:szCs w:val="19"/>
                <w:lang w:eastAsia="zh-CN"/>
              </w:rPr>
              <w:t>重要性</w:t>
            </w:r>
          </w:p>
        </w:tc>
        <w:tc>
          <w:tcPr>
            <w:tcW w:w="6516" w:type="dxa"/>
            <w:gridSpan w:val="2"/>
            <w:vAlign w:val="center"/>
          </w:tcPr>
          <w:p w14:paraId="2FF694F7">
            <w:pPr>
              <w:spacing w:line="480" w:lineRule="exact"/>
              <w:jc w:val="center"/>
              <w:rPr>
                <w:rFonts w:hint="eastAsia" w:ascii="黑体" w:hAnsi="黑体" w:eastAsia="黑体" w:cs="黑体"/>
                <w:bCs/>
                <w:sz w:val="19"/>
                <w:szCs w:val="19"/>
              </w:rPr>
            </w:pPr>
            <w:r>
              <w:rPr>
                <w:rFonts w:hint="eastAsia" w:ascii="黑体" w:hAnsi="黑体" w:eastAsia="黑体" w:cs="黑体"/>
                <w:b/>
                <w:bCs/>
                <w:spacing w:val="6"/>
                <w:sz w:val="19"/>
                <w:szCs w:val="19"/>
              </w:rPr>
              <w:t>技术参数与性能指标</w:t>
            </w:r>
          </w:p>
        </w:tc>
      </w:tr>
      <w:tr w14:paraId="53CEA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758" w:type="dxa"/>
            <w:vAlign w:val="center"/>
          </w:tcPr>
          <w:p w14:paraId="032CE1A2">
            <w:pPr>
              <w:spacing w:line="480" w:lineRule="exact"/>
              <w:rPr>
                <w:rFonts w:hint="eastAsia" w:ascii="黑体" w:hAnsi="黑体" w:eastAsia="黑体" w:cs="黑体"/>
                <w:sz w:val="19"/>
                <w:szCs w:val="19"/>
              </w:rPr>
            </w:pPr>
            <w:r>
              <w:rPr>
                <w:rFonts w:hint="eastAsia" w:ascii="黑体" w:hAnsi="黑体" w:eastAsia="黑体" w:cs="黑体"/>
                <w:sz w:val="19"/>
                <w:szCs w:val="19"/>
              </w:rPr>
              <w:t>18</w:t>
            </w:r>
          </w:p>
        </w:tc>
        <w:tc>
          <w:tcPr>
            <w:tcW w:w="1189" w:type="dxa"/>
            <w:vAlign w:val="center"/>
          </w:tcPr>
          <w:p w14:paraId="48B40630">
            <w:pPr>
              <w:widowControl/>
              <w:spacing w:line="480" w:lineRule="exact"/>
              <w:jc w:val="left"/>
              <w:rPr>
                <w:rFonts w:hint="eastAsia" w:ascii="黑体" w:hAnsi="黑体" w:eastAsia="黑体" w:cs="黑体"/>
                <w:kern w:val="0"/>
                <w:sz w:val="19"/>
                <w:szCs w:val="19"/>
              </w:rPr>
            </w:pPr>
            <w:r>
              <w:rPr>
                <w:rFonts w:hint="eastAsia" w:ascii="黑体" w:hAnsi="黑体" w:eastAsia="黑体" w:cs="黑体"/>
                <w:kern w:val="0"/>
                <w:sz w:val="19"/>
                <w:szCs w:val="19"/>
              </w:rPr>
              <w:t>台网中心软件集成</w:t>
            </w:r>
          </w:p>
        </w:tc>
        <w:tc>
          <w:tcPr>
            <w:tcW w:w="845" w:type="dxa"/>
            <w:vAlign w:val="center"/>
          </w:tcPr>
          <w:p w14:paraId="2942E2CF">
            <w:pPr>
              <w:spacing w:line="480" w:lineRule="exact"/>
              <w:rPr>
                <w:rFonts w:hint="eastAsia" w:ascii="黑体" w:hAnsi="黑体" w:eastAsia="黑体" w:cs="黑体"/>
                <w:sz w:val="19"/>
                <w:szCs w:val="19"/>
              </w:rPr>
            </w:pPr>
          </w:p>
        </w:tc>
        <w:tc>
          <w:tcPr>
            <w:tcW w:w="6516" w:type="dxa"/>
            <w:gridSpan w:val="2"/>
            <w:vAlign w:val="center"/>
          </w:tcPr>
          <w:p w14:paraId="7CEEFB30">
            <w:pPr>
              <w:spacing w:line="480" w:lineRule="exact"/>
              <w:rPr>
                <w:rFonts w:hint="eastAsia" w:ascii="黑体" w:hAnsi="黑体" w:eastAsia="黑体" w:cs="黑体"/>
                <w:sz w:val="19"/>
                <w:szCs w:val="19"/>
              </w:rPr>
            </w:pPr>
            <w:r>
              <w:rPr>
                <w:rFonts w:hint="eastAsia" w:ascii="黑体" w:hAnsi="黑体" w:eastAsia="黑体" w:cs="黑体"/>
                <w:sz w:val="19"/>
                <w:szCs w:val="19"/>
              </w:rPr>
              <w:t>总体要求：</w:t>
            </w:r>
          </w:p>
          <w:p w14:paraId="27E57BCA">
            <w:pPr>
              <w:spacing w:line="480" w:lineRule="exact"/>
              <w:rPr>
                <w:rFonts w:hint="eastAsia" w:ascii="黑体" w:hAnsi="黑体" w:eastAsia="黑体" w:cs="黑体"/>
                <w:sz w:val="19"/>
                <w:szCs w:val="19"/>
              </w:rPr>
            </w:pPr>
            <w:r>
              <w:rPr>
                <w:rFonts w:hint="eastAsia" w:ascii="黑体" w:hAnsi="黑体" w:eastAsia="黑体" w:cs="黑体"/>
                <w:sz w:val="19"/>
                <w:szCs w:val="19"/>
              </w:rPr>
              <w:t>将所有烈度速报台站、烈度仪监测子台数据接入台网中心服务器相应软件，并完成系统集成。</w:t>
            </w:r>
          </w:p>
        </w:tc>
      </w:tr>
    </w:tbl>
    <w:p w14:paraId="23115EFA">
      <w:pPr>
        <w:pStyle w:val="4"/>
        <w:numPr>
          <w:ilvl w:val="2"/>
          <w:numId w:val="0"/>
        </w:numPr>
        <w:spacing w:before="87" w:beforeLines="20" w:line="480" w:lineRule="atLeast"/>
        <w:rPr>
          <w:rFonts w:hint="eastAsia" w:hAnsi="黑体" w:cs="黑体"/>
          <w:sz w:val="19"/>
          <w:szCs w:val="19"/>
        </w:rPr>
      </w:pPr>
      <w:r>
        <w:rPr>
          <w:rFonts w:hint="eastAsia" w:hAnsi="黑体" w:cs="黑体"/>
          <w:sz w:val="19"/>
          <w:szCs w:val="19"/>
        </w:rPr>
        <w:t>3.2.3 人员配置要求</w:t>
      </w:r>
    </w:p>
    <w:p w14:paraId="4D51157D">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投标人应提供满足本项目采购需求的团队人员配置。在售后服务时期，根据项目需求安排专业技术人员进行现场支持服务。</w:t>
      </w:r>
    </w:p>
    <w:p w14:paraId="637AD831">
      <w:pPr>
        <w:pStyle w:val="4"/>
        <w:numPr>
          <w:ilvl w:val="2"/>
          <w:numId w:val="0"/>
        </w:numPr>
        <w:spacing w:before="87" w:beforeLines="20" w:line="480" w:lineRule="atLeast"/>
        <w:rPr>
          <w:rFonts w:hint="eastAsia" w:hAnsi="黑体" w:cs="黑体"/>
          <w:sz w:val="19"/>
          <w:szCs w:val="19"/>
        </w:rPr>
      </w:pPr>
      <w:r>
        <w:rPr>
          <w:rFonts w:hint="eastAsia" w:hAnsi="黑体" w:cs="黑体"/>
          <w:sz w:val="19"/>
          <w:szCs w:val="19"/>
        </w:rPr>
        <w:t>3.2.4 安装调试要求</w:t>
      </w:r>
    </w:p>
    <w:p w14:paraId="304DC85F">
      <w:pPr>
        <w:numPr>
          <w:ilvl w:val="2"/>
          <w:numId w:val="0"/>
        </w:numPr>
        <w:tabs>
          <w:tab w:val="left" w:pos="709"/>
        </w:tabs>
        <w:spacing w:before="87" w:beforeLines="20" w:line="480" w:lineRule="atLeast"/>
        <w:ind w:firstLine="380" w:firstLineChars="200"/>
        <w:rPr>
          <w:rFonts w:hint="eastAsia" w:ascii="黑体" w:hAnsi="黑体" w:eastAsia="黑体" w:cs="黑体"/>
          <w:sz w:val="19"/>
          <w:szCs w:val="19"/>
          <w:highlight w:val="none"/>
        </w:rPr>
      </w:pPr>
      <w:r>
        <w:rPr>
          <w:rFonts w:hint="eastAsia" w:ascii="黑体" w:hAnsi="黑体" w:eastAsia="黑体" w:cs="黑体"/>
          <w:sz w:val="19"/>
          <w:szCs w:val="19"/>
          <w:highlight w:val="none"/>
        </w:rPr>
        <w:t>安装和调试过程中需要的专用器具和物资由投标人负责，投标人提供安装调试方案，采购人负责相应的现场协调等方面的协调配合工作，安装与调试所产生费用由中标人承担。</w:t>
      </w:r>
    </w:p>
    <w:p w14:paraId="60130449">
      <w:pPr>
        <w:pStyle w:val="4"/>
        <w:numPr>
          <w:ilvl w:val="2"/>
          <w:numId w:val="0"/>
        </w:numPr>
        <w:spacing w:before="87" w:beforeLines="20" w:line="480" w:lineRule="atLeast"/>
        <w:rPr>
          <w:rFonts w:hint="eastAsia" w:hAnsi="黑体" w:cs="黑体"/>
          <w:sz w:val="19"/>
          <w:szCs w:val="19"/>
          <w:highlight w:val="none"/>
        </w:rPr>
      </w:pPr>
      <w:r>
        <w:rPr>
          <w:rFonts w:hint="eastAsia" w:hAnsi="黑体" w:cs="黑体"/>
          <w:sz w:val="19"/>
          <w:szCs w:val="19"/>
          <w:highlight w:val="none"/>
        </w:rPr>
        <w:t xml:space="preserve">3.2.5 其他要求 </w:t>
      </w:r>
    </w:p>
    <w:p w14:paraId="39752469">
      <w:pPr>
        <w:spacing w:before="87" w:beforeLines="20" w:line="480" w:lineRule="atLeast"/>
        <w:rPr>
          <w:rFonts w:hint="eastAsia" w:ascii="黑体" w:hAnsi="黑体" w:eastAsia="黑体" w:cs="黑体"/>
          <w:color w:val="000000"/>
          <w:kern w:val="0"/>
          <w:sz w:val="19"/>
          <w:szCs w:val="19"/>
          <w:highlight w:val="none"/>
        </w:rPr>
      </w:pPr>
      <w:r>
        <w:rPr>
          <w:rFonts w:hint="eastAsia" w:ascii="黑体" w:hAnsi="黑体" w:eastAsia="黑体" w:cs="黑体"/>
          <w:color w:val="000000"/>
          <w:kern w:val="0"/>
          <w:sz w:val="19"/>
          <w:szCs w:val="19"/>
          <w:highlight w:val="none"/>
        </w:rPr>
        <w:t xml:space="preserve">（一）需要由投标人提供的服务方案、解决方案或者组织方案 </w:t>
      </w:r>
    </w:p>
    <w:p w14:paraId="572AEF2F">
      <w:pPr>
        <w:pStyle w:val="36"/>
        <w:spacing w:before="87" w:beforeLines="20" w:line="480" w:lineRule="atLeast"/>
        <w:ind w:firstLine="380" w:firstLineChars="200"/>
        <w:rPr>
          <w:rFonts w:ascii="黑体" w:hAnsi="黑体" w:eastAsia="黑体" w:cs="黑体"/>
          <w:color w:val="000000"/>
          <w:sz w:val="19"/>
          <w:szCs w:val="19"/>
          <w:highlight w:val="none"/>
          <w:lang w:eastAsia="zh-CN"/>
        </w:rPr>
      </w:pPr>
      <w:r>
        <w:rPr>
          <w:rFonts w:ascii="黑体" w:hAnsi="黑体" w:eastAsia="黑体" w:cs="黑体"/>
          <w:color w:val="000000"/>
          <w:sz w:val="19"/>
          <w:szCs w:val="19"/>
          <w:highlight w:val="none"/>
          <w:lang w:eastAsia="zh-CN"/>
        </w:rPr>
        <w:t>1、重点难点分析及解决方案</w:t>
      </w:r>
    </w:p>
    <w:p w14:paraId="15496D0A">
      <w:pPr>
        <w:pStyle w:val="36"/>
        <w:spacing w:before="87" w:beforeLines="20" w:line="480" w:lineRule="atLeast"/>
        <w:ind w:firstLine="380" w:firstLineChars="200"/>
        <w:rPr>
          <w:rFonts w:ascii="黑体" w:hAnsi="黑体" w:eastAsia="黑体" w:cs="黑体"/>
          <w:color w:val="000000"/>
          <w:sz w:val="19"/>
          <w:szCs w:val="19"/>
          <w:highlight w:val="none"/>
          <w:lang w:eastAsia="zh-CN"/>
        </w:rPr>
      </w:pPr>
      <w:r>
        <w:rPr>
          <w:rFonts w:hint="eastAsia" w:ascii="黑体" w:hAnsi="黑体" w:eastAsia="黑体" w:cs="黑体"/>
          <w:color w:val="000000"/>
          <w:sz w:val="19"/>
          <w:szCs w:val="19"/>
          <w:highlight w:val="none"/>
          <w:lang w:eastAsia="zh-CN"/>
        </w:rPr>
        <w:t>投标人</w:t>
      </w:r>
      <w:r>
        <w:rPr>
          <w:rFonts w:ascii="黑体" w:hAnsi="黑体" w:eastAsia="黑体" w:cs="黑体"/>
          <w:color w:val="000000"/>
          <w:sz w:val="19"/>
          <w:szCs w:val="19"/>
          <w:highlight w:val="none"/>
        </w:rPr>
        <w:t xml:space="preserve">应针对本项目实际情况结合过往经验分析并指出项目实施过程中潜在的困难点、风险点，并能够给出妥善的解决方案。 </w:t>
      </w:r>
      <w:r>
        <w:rPr>
          <w:rFonts w:ascii="黑体" w:hAnsi="黑体" w:eastAsia="黑体" w:cs="黑体"/>
          <w:color w:val="000000"/>
          <w:sz w:val="19"/>
          <w:szCs w:val="19"/>
          <w:highlight w:val="none"/>
          <w:lang w:eastAsia="zh-CN"/>
        </w:rPr>
        <w:t xml:space="preserve"> </w:t>
      </w:r>
    </w:p>
    <w:p w14:paraId="642CE5E7">
      <w:pPr>
        <w:pStyle w:val="36"/>
        <w:spacing w:before="87" w:beforeLines="20" w:line="480" w:lineRule="atLeast"/>
        <w:ind w:firstLine="380" w:firstLineChars="200"/>
        <w:rPr>
          <w:rFonts w:ascii="黑体" w:hAnsi="黑体" w:eastAsia="黑体" w:cs="黑体"/>
          <w:color w:val="000000"/>
          <w:sz w:val="19"/>
          <w:szCs w:val="19"/>
          <w:highlight w:val="none"/>
        </w:rPr>
      </w:pPr>
      <w:r>
        <w:rPr>
          <w:rFonts w:ascii="黑体" w:hAnsi="黑体" w:eastAsia="黑体" w:cs="黑体"/>
          <w:color w:val="000000"/>
          <w:sz w:val="19"/>
          <w:szCs w:val="19"/>
          <w:highlight w:val="none"/>
        </w:rPr>
        <w:t xml:space="preserve">2、应急保障组织方案 </w:t>
      </w:r>
    </w:p>
    <w:p w14:paraId="651C870B">
      <w:pPr>
        <w:pStyle w:val="36"/>
        <w:spacing w:before="87" w:beforeLines="20" w:line="480" w:lineRule="atLeast"/>
        <w:ind w:firstLine="380" w:firstLineChars="200"/>
        <w:rPr>
          <w:rFonts w:ascii="黑体" w:hAnsi="黑体" w:eastAsia="黑体" w:cs="黑体"/>
          <w:color w:val="000000"/>
          <w:sz w:val="19"/>
          <w:szCs w:val="19"/>
          <w:highlight w:val="none"/>
        </w:rPr>
      </w:pPr>
      <w:r>
        <w:rPr>
          <w:rFonts w:hint="eastAsia" w:ascii="黑体" w:hAnsi="黑体" w:eastAsia="黑体" w:cs="黑体"/>
          <w:color w:val="000000"/>
          <w:sz w:val="19"/>
          <w:szCs w:val="19"/>
          <w:highlight w:val="none"/>
          <w:lang w:eastAsia="zh-CN"/>
        </w:rPr>
        <w:t>投标人</w:t>
      </w:r>
      <w:r>
        <w:rPr>
          <w:rFonts w:ascii="黑体" w:hAnsi="黑体" w:eastAsia="黑体" w:cs="黑体"/>
          <w:color w:val="000000"/>
          <w:sz w:val="19"/>
          <w:szCs w:val="19"/>
          <w:highlight w:val="none"/>
        </w:rPr>
        <w:t xml:space="preserve">应制定合理可行的应急保障组织方案，通过优化组织程序，提高不可预见事件的处理效率、加强控制保障等多种手段，确保项目顺利进行。 </w:t>
      </w:r>
    </w:p>
    <w:p w14:paraId="5BFEE0E9">
      <w:pPr>
        <w:pStyle w:val="36"/>
        <w:spacing w:before="87" w:beforeLines="20" w:line="480" w:lineRule="atLeast"/>
        <w:ind w:firstLine="380" w:firstLineChars="200"/>
        <w:rPr>
          <w:rFonts w:ascii="黑体" w:hAnsi="黑体" w:eastAsia="黑体" w:cs="黑体"/>
          <w:color w:val="000000"/>
          <w:sz w:val="19"/>
          <w:szCs w:val="19"/>
          <w:highlight w:val="none"/>
        </w:rPr>
      </w:pPr>
      <w:r>
        <w:rPr>
          <w:rFonts w:ascii="黑体" w:hAnsi="黑体" w:eastAsia="黑体" w:cs="黑体"/>
          <w:color w:val="000000"/>
          <w:sz w:val="19"/>
          <w:szCs w:val="19"/>
          <w:highlight w:val="none"/>
        </w:rPr>
        <w:t>3、增值服务组织方案及合理化建议</w:t>
      </w:r>
    </w:p>
    <w:p w14:paraId="366AB0EB">
      <w:pPr>
        <w:pStyle w:val="36"/>
        <w:spacing w:before="87" w:beforeLines="20" w:line="480" w:lineRule="atLeast"/>
        <w:ind w:firstLine="380" w:firstLineChars="200"/>
        <w:rPr>
          <w:rFonts w:ascii="黑体" w:hAnsi="黑体" w:eastAsia="黑体" w:cs="黑体"/>
          <w:color w:val="000000"/>
          <w:sz w:val="19"/>
          <w:szCs w:val="19"/>
          <w:highlight w:val="none"/>
        </w:rPr>
      </w:pPr>
      <w:r>
        <w:rPr>
          <w:rFonts w:ascii="黑体" w:hAnsi="黑体" w:eastAsia="黑体" w:cs="黑体"/>
          <w:color w:val="000000"/>
          <w:sz w:val="19"/>
          <w:szCs w:val="19"/>
          <w:highlight w:val="none"/>
          <w:lang w:eastAsia="zh-CN"/>
        </w:rPr>
        <w:t>投标人</w:t>
      </w:r>
      <w:r>
        <w:rPr>
          <w:rFonts w:ascii="黑体" w:hAnsi="黑体" w:eastAsia="黑体" w:cs="黑体"/>
          <w:color w:val="000000"/>
          <w:sz w:val="19"/>
          <w:szCs w:val="19"/>
          <w:highlight w:val="none"/>
        </w:rPr>
        <w:t xml:space="preserve">根据自身情况提供组织方案及合理化建议。 </w:t>
      </w:r>
    </w:p>
    <w:p w14:paraId="3A20B074">
      <w:pPr>
        <w:pStyle w:val="36"/>
        <w:spacing w:before="87" w:beforeLines="20" w:line="480" w:lineRule="atLeast"/>
        <w:ind w:firstLine="380" w:firstLineChars="200"/>
        <w:rPr>
          <w:rFonts w:hint="eastAsia" w:ascii="黑体" w:hAnsi="黑体" w:eastAsia="黑体" w:cs="黑体"/>
          <w:color w:val="000000"/>
          <w:sz w:val="19"/>
          <w:szCs w:val="19"/>
          <w:highlight w:val="none"/>
          <w:lang w:val="en-US" w:eastAsia="zh-CN"/>
        </w:rPr>
      </w:pPr>
      <w:r>
        <w:rPr>
          <w:rFonts w:ascii="黑体" w:hAnsi="黑体" w:eastAsia="黑体" w:cs="黑体"/>
          <w:color w:val="000000"/>
          <w:sz w:val="19"/>
          <w:szCs w:val="19"/>
          <w:highlight w:val="none"/>
        </w:rPr>
        <w:t>4、保密措施</w:t>
      </w:r>
      <w:r>
        <w:rPr>
          <w:rFonts w:hint="eastAsia" w:ascii="黑体" w:hAnsi="黑体" w:eastAsia="黑体" w:cs="黑体"/>
          <w:color w:val="000000"/>
          <w:sz w:val="19"/>
          <w:szCs w:val="19"/>
          <w:highlight w:val="none"/>
          <w:lang w:val="en-US" w:eastAsia="zh-CN"/>
        </w:rPr>
        <w:t xml:space="preserve"> </w:t>
      </w:r>
    </w:p>
    <w:p w14:paraId="7E98945C">
      <w:pPr>
        <w:pStyle w:val="36"/>
        <w:spacing w:before="87" w:beforeLines="20" w:line="480" w:lineRule="atLeast"/>
        <w:ind w:firstLine="380" w:firstLineChars="200"/>
        <w:rPr>
          <w:rFonts w:ascii="黑体" w:hAnsi="黑体" w:eastAsia="黑体" w:cs="黑体"/>
          <w:sz w:val="19"/>
          <w:szCs w:val="19"/>
          <w:highlight w:val="none"/>
          <w:lang w:eastAsia="zh-CN"/>
        </w:rPr>
      </w:pPr>
      <w:r>
        <w:rPr>
          <w:rFonts w:hint="eastAsia" w:ascii="黑体" w:hAnsi="黑体" w:eastAsia="黑体" w:cs="黑体"/>
          <w:sz w:val="19"/>
          <w:szCs w:val="19"/>
          <w:highlight w:val="none"/>
          <w:lang w:eastAsia="zh-CN"/>
        </w:rPr>
        <w:t>投标人</w:t>
      </w:r>
      <w:r>
        <w:rPr>
          <w:rFonts w:ascii="黑体" w:hAnsi="黑体" w:eastAsia="黑体" w:cs="黑体"/>
          <w:sz w:val="19"/>
          <w:szCs w:val="19"/>
          <w:highlight w:val="none"/>
          <w:lang w:eastAsia="zh-CN"/>
        </w:rPr>
        <w:t>应制定合理保密措施解决方案，确保项目团队对项目执行中所获知信息保密。本项目所形成的数据成果归采购人所有。未经采购人同意，</w:t>
      </w:r>
      <w:r>
        <w:rPr>
          <w:rFonts w:hint="eastAsia" w:ascii="黑体" w:hAnsi="黑体" w:eastAsia="黑体" w:cs="黑体"/>
          <w:sz w:val="19"/>
          <w:szCs w:val="19"/>
          <w:highlight w:val="none"/>
          <w:lang w:eastAsia="zh-CN"/>
        </w:rPr>
        <w:t>投标人</w:t>
      </w:r>
      <w:r>
        <w:rPr>
          <w:rFonts w:ascii="黑体" w:hAnsi="黑体" w:eastAsia="黑体" w:cs="黑体"/>
          <w:sz w:val="19"/>
          <w:szCs w:val="19"/>
          <w:highlight w:val="none"/>
          <w:lang w:eastAsia="zh-CN"/>
        </w:rPr>
        <w:t>不得以商业目的使用该资料或者开发和生产其他产品。</w:t>
      </w:r>
    </w:p>
    <w:p w14:paraId="1B38BBCA">
      <w:pPr>
        <w:pStyle w:val="36"/>
        <w:numPr>
          <w:ilvl w:val="0"/>
          <w:numId w:val="0"/>
        </w:numPr>
        <w:spacing w:before="87" w:beforeLines="20" w:line="480" w:lineRule="atLeast"/>
        <w:ind w:firstLine="380" w:firstLineChars="200"/>
        <w:rPr>
          <w:rFonts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bidi="ar-SA"/>
        </w:rPr>
        <w:t>（二）</w:t>
      </w:r>
      <w:r>
        <w:rPr>
          <w:rFonts w:hint="eastAsia" w:ascii="黑体" w:hAnsi="黑体" w:eastAsia="黑体" w:cs="黑体"/>
          <w:sz w:val="19"/>
          <w:szCs w:val="19"/>
          <w:highlight w:val="none"/>
          <w:lang w:eastAsia="zh-CN"/>
        </w:rPr>
        <w:t>投标人所提供的产品</w:t>
      </w:r>
      <w:r>
        <w:rPr>
          <w:rFonts w:hint="eastAsia" w:ascii="黑体" w:hAnsi="黑体" w:eastAsia="黑体" w:cs="黑体"/>
          <w:sz w:val="19"/>
          <w:szCs w:val="19"/>
          <w:highlight w:val="none"/>
          <w:lang w:val="en-US" w:eastAsia="zh-CN"/>
        </w:rPr>
        <w:t>应</w:t>
      </w:r>
      <w:r>
        <w:rPr>
          <w:rFonts w:hint="eastAsia" w:ascii="黑体" w:hAnsi="黑体" w:eastAsia="黑体" w:cs="黑体"/>
          <w:sz w:val="19"/>
          <w:szCs w:val="19"/>
          <w:highlight w:val="none"/>
          <w:lang w:eastAsia="zh-CN"/>
        </w:rPr>
        <w:t>符合国家相关标准要求。</w:t>
      </w:r>
    </w:p>
    <w:p w14:paraId="09A7BEC1">
      <w:pPr>
        <w:pStyle w:val="3"/>
        <w:numPr>
          <w:ilvl w:val="1"/>
          <w:numId w:val="0"/>
        </w:numPr>
        <w:spacing w:before="87" w:beforeLines="20" w:after="87" w:afterLines="20" w:line="480" w:lineRule="atLeast"/>
        <w:rPr>
          <w:rFonts w:hint="eastAsia" w:ascii="黑体" w:hAnsi="黑体" w:eastAsia="黑体" w:cs="黑体"/>
          <w:sz w:val="19"/>
          <w:szCs w:val="19"/>
          <w:highlight w:val="none"/>
          <w:lang w:eastAsia="zh-CN"/>
        </w:rPr>
      </w:pPr>
      <w:r>
        <w:rPr>
          <w:rFonts w:hint="eastAsia" w:ascii="黑体" w:hAnsi="黑体" w:cs="黑体"/>
          <w:sz w:val="19"/>
          <w:szCs w:val="19"/>
          <w:highlight w:val="none"/>
        </w:rPr>
        <w:t>3.3商务</w:t>
      </w:r>
      <w:r>
        <w:rPr>
          <w:rFonts w:hint="eastAsia" w:ascii="黑体" w:hAnsi="黑体" w:cs="黑体"/>
          <w:color w:val="000000"/>
          <w:sz w:val="19"/>
          <w:szCs w:val="19"/>
          <w:highlight w:val="none"/>
        </w:rPr>
        <w:t>要求</w:t>
      </w:r>
    </w:p>
    <w:p w14:paraId="6994481E">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b/>
          <w:color w:val="000000"/>
          <w:kern w:val="0"/>
          <w:sz w:val="19"/>
          <w:szCs w:val="19"/>
        </w:rPr>
      </w:pPr>
      <w:r>
        <w:rPr>
          <w:rFonts w:hint="eastAsia" w:ascii="黑体" w:hAnsi="黑体" w:eastAsia="黑体" w:cs="黑体"/>
          <w:b/>
          <w:color w:val="000000"/>
          <w:kern w:val="0"/>
          <w:sz w:val="19"/>
          <w:szCs w:val="19"/>
        </w:rPr>
        <w:t xml:space="preserve">3.3.1 交付时间 </w:t>
      </w:r>
    </w:p>
    <w:p w14:paraId="1601C583">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自合同签订之日起</w:t>
      </w:r>
      <w:r>
        <w:rPr>
          <w:rFonts w:hint="eastAsia" w:ascii="黑体" w:hAnsi="黑体" w:eastAsia="黑体" w:cs="黑体"/>
          <w:sz w:val="19"/>
          <w:szCs w:val="19"/>
          <w:highlight w:val="none"/>
          <w:lang w:val="en-US" w:eastAsia="zh-CN"/>
        </w:rPr>
        <w:t>120</w:t>
      </w:r>
      <w:r>
        <w:rPr>
          <w:rFonts w:hint="eastAsia" w:ascii="黑体" w:hAnsi="黑体" w:eastAsia="黑体" w:cs="黑体"/>
          <w:sz w:val="19"/>
          <w:szCs w:val="19"/>
          <w:highlight w:val="none"/>
        </w:rPr>
        <w:t>天内安装调试完毕并验收使用。</w:t>
      </w:r>
    </w:p>
    <w:p w14:paraId="1823EE06">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b/>
          <w:color w:val="000000"/>
          <w:kern w:val="0"/>
          <w:sz w:val="19"/>
          <w:szCs w:val="19"/>
        </w:rPr>
      </w:pPr>
      <w:r>
        <w:rPr>
          <w:rFonts w:hint="eastAsia" w:ascii="黑体" w:hAnsi="黑体" w:eastAsia="黑体" w:cs="黑体"/>
          <w:b/>
          <w:color w:val="000000"/>
          <w:kern w:val="0"/>
          <w:sz w:val="19"/>
          <w:szCs w:val="19"/>
        </w:rPr>
        <w:t xml:space="preserve">3.3.2 交付地点 </w:t>
      </w:r>
    </w:p>
    <w:p w14:paraId="69F319B1">
      <w:pPr>
        <w:spacing w:before="87" w:beforeLines="20" w:line="480" w:lineRule="atLeast"/>
        <w:ind w:firstLine="380" w:firstLineChars="200"/>
        <w:rPr>
          <w:rFonts w:hint="eastAsia" w:ascii="黑体" w:hAnsi="黑体" w:eastAsia="黑体" w:cs="黑体"/>
          <w:kern w:val="0"/>
          <w:sz w:val="19"/>
          <w:szCs w:val="19"/>
        </w:rPr>
      </w:pPr>
      <w:r>
        <w:rPr>
          <w:rFonts w:hint="eastAsia" w:ascii="黑体" w:hAnsi="黑体" w:eastAsia="黑体" w:cs="黑体"/>
          <w:kern w:val="0"/>
          <w:sz w:val="19"/>
          <w:szCs w:val="19"/>
        </w:rPr>
        <w:t>采购人</w:t>
      </w:r>
      <w:r>
        <w:rPr>
          <w:rFonts w:hint="eastAsia" w:ascii="黑体" w:hAnsi="黑体" w:eastAsia="黑体" w:cs="黑体"/>
          <w:kern w:val="0"/>
          <w:sz w:val="19"/>
          <w:szCs w:val="19"/>
          <w:lang w:eastAsia="zh-Hans"/>
        </w:rPr>
        <w:t>指定地点</w:t>
      </w:r>
      <w:r>
        <w:rPr>
          <w:rFonts w:hint="eastAsia" w:ascii="黑体" w:hAnsi="黑体" w:eastAsia="黑体" w:cs="黑体"/>
          <w:kern w:val="0"/>
          <w:sz w:val="19"/>
          <w:szCs w:val="19"/>
        </w:rPr>
        <w:t>。</w:t>
      </w:r>
    </w:p>
    <w:p w14:paraId="3D239F8F">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sz w:val="19"/>
          <w:szCs w:val="19"/>
        </w:rPr>
      </w:pPr>
      <w:r>
        <w:rPr>
          <w:rFonts w:hint="eastAsia" w:ascii="黑体" w:hAnsi="黑体" w:eastAsia="黑体" w:cs="黑体"/>
          <w:b/>
          <w:color w:val="000000"/>
          <w:kern w:val="0"/>
          <w:sz w:val="19"/>
          <w:szCs w:val="19"/>
        </w:rPr>
        <w:t>3.3.3  售后服务要求</w:t>
      </w:r>
      <w:r>
        <w:rPr>
          <w:rFonts w:hint="eastAsia" w:ascii="黑体" w:hAnsi="黑体" w:eastAsia="黑体" w:cs="黑体"/>
          <w:sz w:val="19"/>
          <w:szCs w:val="19"/>
        </w:rPr>
        <w:t xml:space="preserve">  </w:t>
      </w:r>
    </w:p>
    <w:p w14:paraId="02BECEA8">
      <w:pPr>
        <w:snapToGrid w:val="0"/>
        <w:spacing w:before="87" w:beforeLines="20" w:line="480" w:lineRule="atLeast"/>
        <w:ind w:firstLine="380" w:firstLineChars="200"/>
        <w:jc w:val="left"/>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rPr>
        <w:t>1、质保期要求：</w:t>
      </w:r>
      <w:r>
        <w:rPr>
          <w:rFonts w:hint="eastAsia" w:ascii="黑体" w:hAnsi="黑体" w:eastAsia="黑体" w:cs="黑体"/>
          <w:sz w:val="19"/>
          <w:szCs w:val="19"/>
          <w:highlight w:val="none"/>
          <w:lang w:val="en-US" w:eastAsia="zh-CN"/>
        </w:rPr>
        <w:t>自</w:t>
      </w:r>
      <w:r>
        <w:rPr>
          <w:rFonts w:hint="eastAsia" w:ascii="黑体" w:hAnsi="黑体" w:eastAsia="黑体" w:cs="黑体"/>
          <w:sz w:val="19"/>
          <w:szCs w:val="19"/>
          <w:highlight w:val="none"/>
        </w:rPr>
        <w:t>验收合格</w:t>
      </w:r>
      <w:r>
        <w:rPr>
          <w:rFonts w:hint="eastAsia" w:ascii="黑体" w:hAnsi="黑体" w:eastAsia="黑体" w:cs="黑体"/>
          <w:sz w:val="19"/>
          <w:szCs w:val="19"/>
          <w:highlight w:val="none"/>
          <w:lang w:val="en-US" w:eastAsia="zh-CN"/>
        </w:rPr>
        <w:t>之日起</w:t>
      </w:r>
      <w:r>
        <w:rPr>
          <w:rFonts w:hint="eastAsia" w:ascii="黑体" w:hAnsi="黑体" w:eastAsia="黑体" w:cs="黑体"/>
          <w:sz w:val="19"/>
          <w:szCs w:val="19"/>
          <w:highlight w:val="none"/>
        </w:rPr>
        <w:t xml:space="preserve">提供不少于 </w:t>
      </w: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rPr>
        <w:t xml:space="preserve"> 年的免费维修服务</w:t>
      </w:r>
      <w:r>
        <w:rPr>
          <w:rFonts w:hint="eastAsia" w:ascii="黑体" w:hAnsi="黑体" w:eastAsia="黑体" w:cs="黑体"/>
          <w:sz w:val="19"/>
          <w:szCs w:val="19"/>
          <w:highlight w:val="none"/>
          <w:lang w:eastAsia="zh-CN"/>
        </w:rPr>
        <w:t>。</w:t>
      </w:r>
    </w:p>
    <w:p w14:paraId="100DBE00">
      <w:pPr>
        <w:snapToGrid w:val="0"/>
        <w:spacing w:before="87" w:beforeLines="20" w:line="480" w:lineRule="atLeast"/>
        <w:ind w:firstLine="380" w:firstLineChars="200"/>
        <w:jc w:val="left"/>
        <w:rPr>
          <w:rFonts w:hint="eastAsia" w:ascii="黑体" w:hAnsi="黑体" w:eastAsia="黑体" w:cs="黑体"/>
          <w:sz w:val="19"/>
          <w:szCs w:val="19"/>
          <w:highlight w:val="green"/>
        </w:rPr>
      </w:pPr>
      <w:r>
        <w:rPr>
          <w:rFonts w:hint="eastAsia" w:ascii="黑体" w:hAnsi="黑体" w:eastAsia="黑体" w:cs="黑体"/>
          <w:sz w:val="19"/>
          <w:szCs w:val="19"/>
          <w:highlight w:val="none"/>
          <w:lang w:val="en-US" w:eastAsia="zh-CN"/>
        </w:rPr>
        <w:t>投标人须承诺，在质保期届满后，仍须确保每台设备提供一次免费维修服务，维修内容及具体要求详见保修条款，</w:t>
      </w:r>
      <w:r>
        <w:rPr>
          <w:rFonts w:hint="eastAsia" w:ascii="黑体" w:hAnsi="黑体" w:eastAsia="黑体" w:cs="黑体"/>
          <w:sz w:val="19"/>
          <w:szCs w:val="19"/>
          <w:highlight w:val="none"/>
        </w:rPr>
        <w:t>同时，</w:t>
      </w:r>
      <w:r>
        <w:rPr>
          <w:rFonts w:hint="eastAsia" w:ascii="黑体" w:hAnsi="黑体" w:eastAsia="黑体" w:cs="黑体"/>
          <w:sz w:val="19"/>
          <w:szCs w:val="19"/>
          <w:highlight w:val="none"/>
          <w:lang w:val="en-US" w:eastAsia="zh-CN"/>
        </w:rPr>
        <w:t>投标人</w:t>
      </w:r>
      <w:r>
        <w:rPr>
          <w:rFonts w:hint="eastAsia" w:ascii="黑体" w:hAnsi="黑体" w:eastAsia="黑体" w:cs="黑体"/>
          <w:sz w:val="19"/>
          <w:szCs w:val="19"/>
          <w:highlight w:val="none"/>
        </w:rPr>
        <w:t>需确保在订货合同执行完毕后 5 年内，仍可继续供应所有部件及整套设备；在验收合格后 10 年内，提供维修维护服务。此外，</w:t>
      </w:r>
      <w:r>
        <w:rPr>
          <w:rFonts w:hint="eastAsia" w:ascii="黑体" w:hAnsi="黑体" w:eastAsia="黑体" w:cs="黑体"/>
          <w:sz w:val="19"/>
          <w:szCs w:val="19"/>
          <w:highlight w:val="none"/>
          <w:lang w:val="en-US" w:eastAsia="zh-CN"/>
        </w:rPr>
        <w:t>投标人</w:t>
      </w:r>
      <w:r>
        <w:rPr>
          <w:rFonts w:hint="eastAsia" w:ascii="黑体" w:hAnsi="黑体" w:eastAsia="黑体" w:cs="黑体"/>
          <w:sz w:val="19"/>
          <w:szCs w:val="19"/>
          <w:highlight w:val="none"/>
        </w:rPr>
        <w:t xml:space="preserve">还应保证在订货合同执行完毕后，继续提供有关设备技术升级和换型的所有资料。 </w:t>
      </w:r>
    </w:p>
    <w:p w14:paraId="1F31C519">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2、保修要求：</w:t>
      </w:r>
    </w:p>
    <w:p w14:paraId="532667F9">
      <w:pPr>
        <w:snapToGrid w:val="0"/>
        <w:spacing w:before="87" w:beforeLines="20" w:line="480" w:lineRule="atLeast"/>
        <w:ind w:firstLine="380" w:firstLineChars="200"/>
        <w:jc w:val="left"/>
        <w:rPr>
          <w:rFonts w:hint="eastAsia"/>
          <w:highlight w:val="none"/>
        </w:rPr>
      </w:pPr>
      <w:r>
        <w:rPr>
          <w:rFonts w:hint="eastAsia" w:ascii="黑体" w:hAnsi="黑体" w:eastAsia="黑体" w:cs="黑体"/>
          <w:sz w:val="19"/>
          <w:szCs w:val="19"/>
          <w:highlight w:val="none"/>
        </w:rPr>
        <w:t>（1）在质保期内，</w:t>
      </w:r>
      <w:r>
        <w:rPr>
          <w:rFonts w:hint="eastAsia" w:ascii="黑体" w:hAnsi="黑体" w:eastAsia="黑体" w:cs="黑体"/>
          <w:sz w:val="19"/>
          <w:szCs w:val="19"/>
          <w:highlight w:val="none"/>
          <w:lang w:eastAsia="zh-CN"/>
        </w:rPr>
        <w:t>投标人</w:t>
      </w:r>
      <w:r>
        <w:rPr>
          <w:rFonts w:hint="eastAsia" w:ascii="黑体" w:hAnsi="黑体" w:eastAsia="黑体" w:cs="黑体"/>
          <w:sz w:val="19"/>
          <w:szCs w:val="19"/>
          <w:highlight w:val="none"/>
        </w:rPr>
        <w:t>需免费承担所有硬件设备及其配件的维修工作，并补充提供维修过程中损耗的零部件。此期间，对于所采购配件出现的损坏和故障，</w:t>
      </w:r>
      <w:r>
        <w:rPr>
          <w:rFonts w:hint="eastAsia" w:ascii="黑体" w:hAnsi="黑体" w:eastAsia="黑体" w:cs="黑体"/>
          <w:sz w:val="19"/>
          <w:szCs w:val="19"/>
          <w:highlight w:val="none"/>
          <w:lang w:eastAsia="zh-CN"/>
        </w:rPr>
        <w:t>投标人</w:t>
      </w:r>
      <w:r>
        <w:rPr>
          <w:rFonts w:hint="eastAsia" w:ascii="黑体" w:hAnsi="黑体" w:eastAsia="黑体" w:cs="黑体"/>
          <w:sz w:val="19"/>
          <w:szCs w:val="19"/>
          <w:highlight w:val="none"/>
        </w:rPr>
        <w:t>应负责维修和排除。</w:t>
      </w:r>
      <w:r>
        <w:rPr>
          <w:rFonts w:hint="eastAsia" w:ascii="黑体" w:hAnsi="黑体" w:eastAsia="黑体" w:cs="黑体"/>
          <w:sz w:val="19"/>
          <w:szCs w:val="19"/>
          <w:highlight w:val="none"/>
          <w:lang w:eastAsia="zh-CN"/>
        </w:rPr>
        <w:t>投标人</w:t>
      </w:r>
      <w:r>
        <w:rPr>
          <w:rFonts w:hint="eastAsia" w:ascii="黑体" w:hAnsi="黑体" w:eastAsia="黑体" w:cs="黑体"/>
          <w:sz w:val="19"/>
          <w:szCs w:val="19"/>
          <w:highlight w:val="none"/>
        </w:rPr>
        <w:t>需承担所有维修、更换的费用，以及所需的备品备件和材料（生产厂家原装材料），以确保产品能够恢复正常运行。此项服务已包含在本次报价中，采购人无需另行支付费用。</w:t>
      </w:r>
    </w:p>
    <w:p w14:paraId="6387770B">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 xml:space="preserve">（2）质保期满后，中标人应提供终身技术支持和维修服务，相关售后费用将按成本收取。 </w:t>
      </w:r>
    </w:p>
    <w:p w14:paraId="1D85BF1B">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3、设备故障报修的响应时间：接到用户方故障电话申报后不超过2小时内响应，12小时内解决问题。如故障导致业务中断，中断时间不超过24小时，如超过24小时，需提供备件先恢复业务。保修期内，</w:t>
      </w:r>
      <w:r>
        <w:rPr>
          <w:rFonts w:hint="eastAsia" w:ascii="黑体" w:hAnsi="黑体" w:eastAsia="黑体" w:cs="黑体"/>
          <w:sz w:val="19"/>
          <w:szCs w:val="19"/>
          <w:highlight w:val="none"/>
          <w:lang w:eastAsia="zh-CN"/>
        </w:rPr>
        <w:t>投标人</w:t>
      </w:r>
      <w:r>
        <w:rPr>
          <w:rFonts w:hint="eastAsia" w:ascii="黑体" w:hAnsi="黑体" w:eastAsia="黑体" w:cs="黑体"/>
          <w:sz w:val="19"/>
          <w:szCs w:val="19"/>
          <w:highlight w:val="none"/>
        </w:rPr>
        <w:t>对所有设备提供7*24小时免费维护服务，免费人工、部件。</w:t>
      </w:r>
    </w:p>
    <w:p w14:paraId="4B37F258">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4、应急保障资源支持：</w:t>
      </w:r>
    </w:p>
    <w:p w14:paraId="54FE9984">
      <w:pPr>
        <w:snapToGrid w:val="0"/>
        <w:spacing w:before="87" w:beforeLines="20" w:line="480" w:lineRule="atLeast"/>
        <w:ind w:firstLine="380" w:firstLineChars="200"/>
        <w:jc w:val="left"/>
        <w:rPr>
          <w:rFonts w:hint="eastAsia" w:ascii="黑体" w:hAnsi="黑体" w:eastAsia="黑体" w:cs="黑体"/>
          <w:sz w:val="19"/>
          <w:szCs w:val="19"/>
          <w:highlight w:val="none"/>
        </w:rPr>
      </w:pPr>
      <w:r>
        <w:rPr>
          <w:rFonts w:hint="eastAsia" w:ascii="黑体" w:hAnsi="黑体" w:eastAsia="黑体" w:cs="黑体"/>
          <w:sz w:val="19"/>
          <w:szCs w:val="19"/>
          <w:highlight w:val="none"/>
        </w:rPr>
        <w:t>在规划实施关键性项目（如安装、升级、联网、数据迁移、业务合并或拓展等）时，若需配合或协助，接获通知后将迅速响应，并派遣工程师前往现场提供支持服务。</w:t>
      </w:r>
    </w:p>
    <w:p w14:paraId="14CC6788">
      <w:pPr>
        <w:numPr>
          <w:ilvl w:val="2"/>
          <w:numId w:val="0"/>
        </w:numPr>
        <w:tabs>
          <w:tab w:val="left" w:pos="709"/>
        </w:tabs>
        <w:autoSpaceDE w:val="0"/>
        <w:autoSpaceDN w:val="0"/>
        <w:adjustRightInd w:val="0"/>
        <w:spacing w:before="87" w:beforeLines="20" w:line="480" w:lineRule="atLeast"/>
        <w:ind w:firstLine="381" w:firstLineChars="200"/>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b/>
          <w:color w:val="000000"/>
          <w:kern w:val="0"/>
          <w:sz w:val="19"/>
          <w:szCs w:val="19"/>
          <w:highlight w:val="none"/>
        </w:rPr>
        <w:t xml:space="preserve">5、 培训要求 </w:t>
      </w:r>
    </w:p>
    <w:p w14:paraId="5673B207">
      <w:pPr>
        <w:numPr>
          <w:ilvl w:val="2"/>
          <w:numId w:val="0"/>
        </w:numPr>
        <w:tabs>
          <w:tab w:val="left" w:pos="709"/>
        </w:tabs>
        <w:autoSpaceDE w:val="0"/>
        <w:autoSpaceDN w:val="0"/>
        <w:adjustRightInd w:val="0"/>
        <w:spacing w:before="87" w:beforeLines="20" w:line="480" w:lineRule="atLeast"/>
        <w:ind w:firstLine="380" w:firstLineChars="200"/>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bCs/>
          <w:color w:val="000000"/>
          <w:kern w:val="0"/>
          <w:sz w:val="19"/>
          <w:szCs w:val="19"/>
          <w:highlight w:val="none"/>
        </w:rPr>
        <w:t>中标人需结合本项目实际情况及采购要求，制定明确、具体且有针对性的技术培训方案。方案内容应至少包括：培训人员配备方案、现场培训组织计划、技术培训资料清单等要素。</w:t>
      </w:r>
    </w:p>
    <w:p w14:paraId="55BA48C8">
      <w:pPr>
        <w:numPr>
          <w:ilvl w:val="0"/>
          <w:numId w:val="0"/>
        </w:numPr>
        <w:tabs>
          <w:tab w:val="left" w:pos="709"/>
        </w:tabs>
        <w:autoSpaceDE w:val="0"/>
        <w:autoSpaceDN w:val="0"/>
        <w:adjustRightInd w:val="0"/>
        <w:spacing w:before="87" w:beforeLines="20" w:line="480" w:lineRule="atLeast"/>
        <w:ind w:firstLine="190" w:firstLineChars="100"/>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bCs/>
          <w:color w:val="000000"/>
          <w:kern w:val="0"/>
          <w:sz w:val="19"/>
          <w:szCs w:val="19"/>
          <w:highlight w:val="none"/>
          <w:lang w:val="en-US" w:eastAsia="zh-CN" w:bidi="ar-SA"/>
        </w:rPr>
        <w:t>（1）</w:t>
      </w:r>
      <w:r>
        <w:rPr>
          <w:rFonts w:hint="eastAsia" w:ascii="黑体" w:hAnsi="黑体" w:eastAsia="黑体" w:cs="黑体"/>
          <w:bCs/>
          <w:color w:val="000000"/>
          <w:kern w:val="0"/>
          <w:sz w:val="19"/>
          <w:szCs w:val="19"/>
          <w:highlight w:val="none"/>
        </w:rPr>
        <w:t>培训目的：使采购人使用人员能够熟练掌握产品使用与维护技能，并能处理大部分技术故障。</w:t>
      </w:r>
    </w:p>
    <w:p w14:paraId="36EA56CE">
      <w:pPr>
        <w:numPr>
          <w:ilvl w:val="0"/>
          <w:numId w:val="0"/>
        </w:numPr>
        <w:tabs>
          <w:tab w:val="left" w:pos="709"/>
        </w:tabs>
        <w:autoSpaceDE w:val="0"/>
        <w:autoSpaceDN w:val="0"/>
        <w:adjustRightInd w:val="0"/>
        <w:spacing w:before="87" w:beforeLines="20" w:line="480" w:lineRule="atLeast"/>
        <w:ind w:firstLine="190" w:firstLineChars="100"/>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bCs/>
          <w:color w:val="000000"/>
          <w:kern w:val="0"/>
          <w:sz w:val="19"/>
          <w:szCs w:val="19"/>
          <w:highlight w:val="none"/>
          <w:lang w:val="en-US" w:eastAsia="zh-CN" w:bidi="ar-SA"/>
        </w:rPr>
        <w:t>（2）</w:t>
      </w:r>
      <w:r>
        <w:rPr>
          <w:rFonts w:hint="eastAsia" w:ascii="黑体" w:hAnsi="黑体" w:eastAsia="黑体" w:cs="黑体"/>
          <w:bCs/>
          <w:color w:val="000000"/>
          <w:kern w:val="0"/>
          <w:sz w:val="19"/>
          <w:szCs w:val="19"/>
          <w:highlight w:val="none"/>
        </w:rPr>
        <w:t>人员配备方案：配备的人员应具备相应技术管理能力，掌握产品使用与操作方法，熟悉产品各项功能。</w:t>
      </w:r>
    </w:p>
    <w:p w14:paraId="4F74059A">
      <w:pPr>
        <w:numPr>
          <w:ilvl w:val="0"/>
          <w:numId w:val="0"/>
        </w:numPr>
        <w:tabs>
          <w:tab w:val="left" w:pos="709"/>
        </w:tabs>
        <w:autoSpaceDE w:val="0"/>
        <w:autoSpaceDN w:val="0"/>
        <w:adjustRightInd w:val="0"/>
        <w:spacing w:before="87" w:beforeLines="20" w:line="480" w:lineRule="atLeast"/>
        <w:ind w:firstLine="190" w:firstLineChars="100"/>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bCs/>
          <w:color w:val="000000"/>
          <w:kern w:val="0"/>
          <w:sz w:val="19"/>
          <w:szCs w:val="19"/>
          <w:highlight w:val="none"/>
          <w:lang w:val="en-US" w:eastAsia="zh-CN" w:bidi="ar-SA"/>
        </w:rPr>
        <w:t>（3）</w:t>
      </w:r>
      <w:r>
        <w:rPr>
          <w:rFonts w:hint="eastAsia" w:ascii="黑体" w:hAnsi="黑体" w:eastAsia="黑体" w:cs="黑体"/>
          <w:bCs/>
          <w:color w:val="000000"/>
          <w:kern w:val="0"/>
          <w:sz w:val="19"/>
          <w:szCs w:val="19"/>
          <w:highlight w:val="none"/>
        </w:rPr>
        <w:t>培训方式：采用现场培训。</w:t>
      </w:r>
    </w:p>
    <w:p w14:paraId="00C38AD9">
      <w:pPr>
        <w:tabs>
          <w:tab w:val="left" w:pos="709"/>
        </w:tabs>
        <w:autoSpaceDE w:val="0"/>
        <w:autoSpaceDN w:val="0"/>
        <w:adjustRightInd w:val="0"/>
        <w:spacing w:before="87" w:beforeLines="20" w:line="480" w:lineRule="atLeast"/>
        <w:ind w:firstLine="190" w:firstLineChars="100"/>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bCs/>
          <w:color w:val="000000"/>
          <w:kern w:val="0"/>
          <w:sz w:val="19"/>
          <w:szCs w:val="19"/>
          <w:highlight w:val="none"/>
        </w:rPr>
        <w:t>（4）培训时间：安装调试完成后一周内。</w:t>
      </w:r>
    </w:p>
    <w:p w14:paraId="26D25FF2">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sz w:val="19"/>
          <w:szCs w:val="19"/>
          <w:highlight w:val="none"/>
        </w:rPr>
      </w:pPr>
      <w:r>
        <w:rPr>
          <w:rFonts w:hint="eastAsia" w:ascii="黑体" w:hAnsi="黑体" w:eastAsia="黑体" w:cs="黑体"/>
          <w:b/>
          <w:sz w:val="19"/>
          <w:szCs w:val="19"/>
          <w:highlight w:val="none"/>
        </w:rPr>
        <w:t xml:space="preserve">3.3.4 支付方式 </w:t>
      </w:r>
    </w:p>
    <w:p w14:paraId="6C534180">
      <w:pPr>
        <w:pStyle w:val="8"/>
        <w:widowControl/>
        <w:kinsoku w:val="0"/>
        <w:autoSpaceDE w:val="0"/>
        <w:autoSpaceDN w:val="0"/>
        <w:adjustRightInd w:val="0"/>
        <w:snapToGrid w:val="0"/>
        <w:spacing w:before="87" w:beforeLines="20" w:after="0" w:line="480" w:lineRule="atLeast"/>
        <w:ind w:firstLine="380" w:firstLineChars="200"/>
        <w:textAlignment w:val="baseline"/>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rPr>
        <w:t>结算前中标人须开具等额发票给采购人，采购人收到发票后，按照以下付款方式结算，否则导致的付款延误，责任由中标人自行承担。</w:t>
      </w:r>
      <w:r>
        <w:rPr>
          <w:rFonts w:hint="eastAsia" w:ascii="黑体" w:hAnsi="黑体" w:eastAsia="黑体" w:cs="黑体"/>
          <w:sz w:val="19"/>
          <w:szCs w:val="19"/>
          <w:highlight w:val="none"/>
          <w:lang w:val="en-US" w:eastAsia="zh-CN"/>
        </w:rPr>
        <w:t xml:space="preserve"> </w:t>
      </w:r>
    </w:p>
    <w:p w14:paraId="42F0D310">
      <w:pPr>
        <w:pStyle w:val="8"/>
        <w:widowControl/>
        <w:kinsoku w:val="0"/>
        <w:autoSpaceDE w:val="0"/>
        <w:autoSpaceDN w:val="0"/>
        <w:adjustRightInd w:val="0"/>
        <w:snapToGrid w:val="0"/>
        <w:spacing w:before="87" w:beforeLines="20" w:after="0" w:line="480" w:lineRule="atLeast"/>
        <w:ind w:firstLine="380" w:firstLineChars="200"/>
        <w:textAlignment w:val="baseline"/>
        <w:rPr>
          <w:rFonts w:hint="eastAsia" w:ascii="黑体" w:hAnsi="黑体" w:eastAsia="黑体" w:cs="黑体"/>
          <w:sz w:val="19"/>
          <w:szCs w:val="19"/>
          <w:highlight w:val="none"/>
        </w:rPr>
      </w:pPr>
      <w:r>
        <w:rPr>
          <w:rFonts w:hint="eastAsia" w:ascii="黑体" w:hAnsi="黑体" w:eastAsia="黑体" w:cs="黑体"/>
          <w:sz w:val="19"/>
          <w:szCs w:val="19"/>
          <w:highlight w:val="none"/>
        </w:rPr>
        <w:t>项目验收合格无质量问题后，支付合同总金额的</w:t>
      </w:r>
      <w:r>
        <w:rPr>
          <w:rFonts w:hint="eastAsia" w:ascii="黑体" w:hAnsi="黑体" w:eastAsia="黑体" w:cs="黑体"/>
          <w:sz w:val="19"/>
          <w:szCs w:val="19"/>
          <w:highlight w:val="none"/>
          <w:lang w:val="en-US" w:eastAsia="zh-CN"/>
        </w:rPr>
        <w:t>10</w:t>
      </w:r>
      <w:r>
        <w:rPr>
          <w:rFonts w:hint="eastAsia" w:ascii="黑体" w:hAnsi="黑体" w:eastAsia="黑体" w:cs="黑体"/>
          <w:sz w:val="19"/>
          <w:szCs w:val="19"/>
          <w:highlight w:val="none"/>
        </w:rPr>
        <w:t>0.00%。</w:t>
      </w:r>
    </w:p>
    <w:p w14:paraId="4522BCCB">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sz w:val="19"/>
          <w:szCs w:val="19"/>
          <w:highlight w:val="none"/>
        </w:rPr>
      </w:pPr>
      <w:r>
        <w:rPr>
          <w:rFonts w:hint="eastAsia" w:ascii="黑体" w:hAnsi="黑体" w:eastAsia="黑体" w:cs="黑体"/>
          <w:b/>
          <w:sz w:val="19"/>
          <w:szCs w:val="19"/>
          <w:highlight w:val="none"/>
        </w:rPr>
        <w:t>3.3.5 验收标准和方法</w:t>
      </w:r>
    </w:p>
    <w:p w14:paraId="469E922B">
      <w:pPr>
        <w:adjustRightInd w:val="0"/>
        <w:snapToGrid w:val="0"/>
        <w:spacing w:before="87" w:beforeLines="20" w:line="480" w:lineRule="atLeast"/>
        <w:ind w:firstLine="380" w:firstLineChars="200"/>
        <w:rPr>
          <w:rFonts w:hint="eastAsia" w:ascii="黑体" w:hAnsi="黑体" w:eastAsia="黑体" w:cs="黑体"/>
          <w:kern w:val="0"/>
          <w:sz w:val="19"/>
          <w:szCs w:val="19"/>
          <w:highlight w:val="none"/>
          <w:lang w:eastAsia="zh-Hans"/>
        </w:rPr>
      </w:pPr>
      <w:r>
        <w:rPr>
          <w:rFonts w:hint="eastAsia" w:ascii="黑体" w:hAnsi="黑体" w:eastAsia="黑体" w:cs="黑体"/>
          <w:kern w:val="0"/>
          <w:sz w:val="19"/>
          <w:szCs w:val="19"/>
          <w:highlight w:val="none"/>
        </w:rPr>
        <w:t>1、验收标准：</w:t>
      </w:r>
      <w:r>
        <w:rPr>
          <w:rFonts w:hint="eastAsia" w:ascii="黑体" w:hAnsi="黑体" w:eastAsia="黑体" w:cs="黑体"/>
          <w:kern w:val="0"/>
          <w:sz w:val="19"/>
          <w:szCs w:val="19"/>
          <w:highlight w:val="none"/>
          <w:lang w:eastAsia="zh-Hans"/>
        </w:rPr>
        <w:t>遵循相关国家标准、行业标准、地方标准等规范，按照招标文件的质量要求、技术参数要求，中标</w:t>
      </w:r>
      <w:r>
        <w:rPr>
          <w:rFonts w:hint="eastAsia" w:ascii="黑体" w:hAnsi="黑体" w:eastAsia="黑体" w:cs="黑体"/>
          <w:kern w:val="0"/>
          <w:sz w:val="19"/>
          <w:szCs w:val="19"/>
          <w:highlight w:val="none"/>
          <w:lang w:eastAsia="zh-CN"/>
        </w:rPr>
        <w:t>投标人</w:t>
      </w:r>
      <w:r>
        <w:rPr>
          <w:rFonts w:hint="eastAsia" w:ascii="黑体" w:hAnsi="黑体" w:eastAsia="黑体" w:cs="黑体"/>
          <w:kern w:val="0"/>
          <w:sz w:val="19"/>
          <w:szCs w:val="19"/>
          <w:highlight w:val="none"/>
          <w:lang w:eastAsia="zh-Hans"/>
        </w:rPr>
        <w:t>的投标文件以及合同约定标准逐条进行验收。</w:t>
      </w:r>
    </w:p>
    <w:p w14:paraId="29BFC87F">
      <w:pPr>
        <w:adjustRightInd w:val="0"/>
        <w:snapToGrid w:val="0"/>
        <w:spacing w:before="87" w:beforeLines="20" w:line="480" w:lineRule="atLeast"/>
        <w:ind w:firstLine="380" w:firstLineChars="200"/>
        <w:rPr>
          <w:rFonts w:hint="eastAsia" w:ascii="黑体" w:hAnsi="黑体" w:eastAsia="黑体" w:cs="黑体"/>
          <w:kern w:val="0"/>
          <w:sz w:val="19"/>
          <w:szCs w:val="19"/>
          <w:highlight w:val="none"/>
        </w:rPr>
      </w:pPr>
      <w:r>
        <w:rPr>
          <w:rFonts w:hint="eastAsia" w:ascii="黑体" w:hAnsi="黑体" w:eastAsia="黑体" w:cs="黑体"/>
          <w:kern w:val="0"/>
          <w:sz w:val="19"/>
          <w:szCs w:val="19"/>
          <w:highlight w:val="none"/>
        </w:rPr>
        <w:t>2、验收方式：供货完成后，中标人进行设备安装、调试、培训、试用。</w:t>
      </w:r>
      <w:r>
        <w:rPr>
          <w:rFonts w:hint="eastAsia" w:ascii="黑体" w:hAnsi="黑体" w:eastAsia="黑体" w:cs="黑体"/>
          <w:kern w:val="0"/>
          <w:sz w:val="19"/>
          <w:szCs w:val="19"/>
          <w:highlight w:val="none"/>
          <w:lang w:eastAsia="zh-Hans"/>
        </w:rPr>
        <w:t>由采购人组织</w:t>
      </w:r>
      <w:r>
        <w:rPr>
          <w:rFonts w:hint="eastAsia" w:ascii="黑体" w:hAnsi="黑体" w:eastAsia="黑体" w:cs="黑体"/>
          <w:kern w:val="0"/>
          <w:sz w:val="19"/>
          <w:szCs w:val="19"/>
          <w:highlight w:val="none"/>
        </w:rPr>
        <w:t>，中标人负责并会同采购人及有关管理部门按规定标准验收</w:t>
      </w:r>
      <w:r>
        <w:rPr>
          <w:rFonts w:hint="eastAsia" w:ascii="黑体" w:hAnsi="黑体" w:eastAsia="黑体" w:cs="黑体"/>
          <w:kern w:val="0"/>
          <w:sz w:val="19"/>
          <w:szCs w:val="19"/>
          <w:highlight w:val="none"/>
          <w:lang w:eastAsia="zh-Hans"/>
        </w:rPr>
        <w:t>验收</w:t>
      </w:r>
      <w:r>
        <w:rPr>
          <w:rFonts w:hint="eastAsia" w:ascii="黑体" w:hAnsi="黑体" w:eastAsia="黑体" w:cs="黑体"/>
          <w:kern w:val="0"/>
          <w:sz w:val="19"/>
          <w:szCs w:val="19"/>
          <w:highlight w:val="none"/>
        </w:rPr>
        <w:t>。</w:t>
      </w:r>
    </w:p>
    <w:p w14:paraId="7E3CC431">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sz w:val="19"/>
          <w:szCs w:val="19"/>
          <w:highlight w:val="none"/>
        </w:rPr>
      </w:pPr>
      <w:r>
        <w:rPr>
          <w:rFonts w:hint="eastAsia" w:ascii="黑体" w:hAnsi="黑体" w:eastAsia="黑体" w:cs="黑体"/>
          <w:b/>
          <w:sz w:val="19"/>
          <w:szCs w:val="19"/>
          <w:highlight w:val="none"/>
        </w:rPr>
        <w:t>3.3.6 包装方式及运输</w:t>
      </w:r>
    </w:p>
    <w:p w14:paraId="7D9CAAD0">
      <w:pPr>
        <w:pStyle w:val="36"/>
        <w:spacing w:before="87" w:beforeLines="20" w:line="480" w:lineRule="atLeast"/>
        <w:ind w:firstLine="380" w:firstLineChars="200"/>
        <w:rPr>
          <w:rFonts w:ascii="黑体" w:hAnsi="黑体" w:eastAsia="黑体" w:cs="黑体"/>
          <w:sz w:val="19"/>
          <w:szCs w:val="19"/>
        </w:rPr>
      </w:pPr>
      <w:r>
        <w:rPr>
          <w:rFonts w:ascii="黑体" w:hAnsi="黑体" w:eastAsia="黑体" w:cs="黑体"/>
          <w:sz w:val="19"/>
          <w:szCs w:val="19"/>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3D3052AC">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b/>
          <w:sz w:val="19"/>
          <w:szCs w:val="19"/>
        </w:rPr>
      </w:pPr>
      <w:r>
        <w:rPr>
          <w:rFonts w:hint="eastAsia" w:ascii="黑体" w:hAnsi="黑体" w:eastAsia="黑体" w:cs="黑体"/>
          <w:b/>
          <w:sz w:val="19"/>
          <w:szCs w:val="19"/>
        </w:rPr>
        <w:t>3.3.7 质量保修范围和保修期</w:t>
      </w:r>
    </w:p>
    <w:p w14:paraId="7DAAD2D2">
      <w:pPr>
        <w:spacing w:before="87" w:beforeLines="20" w:line="480" w:lineRule="atLeast"/>
        <w:ind w:firstLine="380" w:firstLineChars="200"/>
        <w:rPr>
          <w:rFonts w:hint="eastAsia" w:ascii="黑体" w:hAnsi="黑体" w:eastAsia="黑体" w:cs="黑体"/>
          <w:kern w:val="0"/>
          <w:sz w:val="19"/>
          <w:szCs w:val="19"/>
        </w:rPr>
      </w:pPr>
      <w:r>
        <w:rPr>
          <w:rFonts w:hint="eastAsia" w:ascii="黑体" w:hAnsi="黑体" w:eastAsia="黑体" w:cs="黑体"/>
          <w:kern w:val="0"/>
          <w:sz w:val="19"/>
          <w:szCs w:val="19"/>
        </w:rPr>
        <w:t xml:space="preserve">根据招标文件要求、投标文件及合同约定执行。 </w:t>
      </w:r>
    </w:p>
    <w:p w14:paraId="5E8F59FE">
      <w:pPr>
        <w:numPr>
          <w:ilvl w:val="2"/>
          <w:numId w:val="0"/>
        </w:numPr>
        <w:tabs>
          <w:tab w:val="left" w:pos="709"/>
        </w:tabs>
        <w:autoSpaceDE w:val="0"/>
        <w:autoSpaceDN w:val="0"/>
        <w:adjustRightInd w:val="0"/>
        <w:spacing w:before="87" w:beforeLines="20" w:line="480" w:lineRule="atLeast"/>
        <w:textAlignment w:val="baseline"/>
        <w:rPr>
          <w:rFonts w:hint="eastAsia" w:ascii="黑体" w:hAnsi="黑体" w:eastAsia="黑体" w:cs="黑体"/>
          <w:b/>
          <w:sz w:val="19"/>
          <w:szCs w:val="19"/>
        </w:rPr>
      </w:pPr>
      <w:r>
        <w:rPr>
          <w:rFonts w:hint="eastAsia" w:ascii="黑体" w:hAnsi="黑体" w:eastAsia="黑体" w:cs="黑体"/>
          <w:b/>
          <w:sz w:val="19"/>
          <w:szCs w:val="19"/>
        </w:rPr>
        <w:t>3.3.8 违约责任与解决争议的方法</w:t>
      </w:r>
    </w:p>
    <w:p w14:paraId="1B9828E2">
      <w:pPr>
        <w:spacing w:before="87" w:beforeLines="20" w:line="480" w:lineRule="atLeast"/>
        <w:ind w:firstLine="380" w:firstLineChars="200"/>
        <w:rPr>
          <w:rFonts w:hint="eastAsia" w:ascii="黑体" w:hAnsi="黑体" w:eastAsia="黑体" w:cs="黑体"/>
          <w:kern w:val="0"/>
          <w:sz w:val="19"/>
          <w:szCs w:val="19"/>
        </w:rPr>
      </w:pPr>
      <w:r>
        <w:rPr>
          <w:rFonts w:hint="eastAsia" w:ascii="黑体" w:hAnsi="黑体" w:eastAsia="黑体" w:cs="黑体"/>
          <w:kern w:val="0"/>
          <w:sz w:val="19"/>
          <w:szCs w:val="19"/>
        </w:rPr>
        <w:t xml:space="preserve">根据招标文件要求、投标文件及合同约定执行。 </w:t>
      </w:r>
    </w:p>
    <w:p w14:paraId="08D81766">
      <w:pPr>
        <w:pStyle w:val="36"/>
        <w:spacing w:line="480" w:lineRule="exact"/>
        <w:rPr>
          <w:rFonts w:ascii="黑体" w:hAnsi="黑体" w:eastAsia="黑体" w:cs="黑体"/>
          <w:color w:val="000000" w:themeColor="text1"/>
          <w14:textFill>
            <w14:solidFill>
              <w14:schemeClr w14:val="tx1"/>
            </w14:solidFill>
          </w14:textFill>
        </w:rPr>
      </w:pPr>
      <w:r>
        <w:rPr>
          <w:rFonts w:ascii="黑体" w:hAnsi="黑体" w:eastAsia="黑体" w:cs="黑体"/>
          <w:color w:val="000000" w:themeColor="text1"/>
          <w14:textFill>
            <w14:solidFill>
              <w14:schemeClr w14:val="tx1"/>
            </w14:solidFill>
          </w14:textFill>
        </w:rPr>
        <w:br w:type="page"/>
      </w:r>
    </w:p>
    <w:bookmarkEnd w:id="27"/>
    <w:p w14:paraId="4EAFEFDE">
      <w:pPr>
        <w:pStyle w:val="36"/>
        <w:jc w:val="center"/>
        <w:outlineLvl w:val="0"/>
        <w:rPr>
          <w:rFonts w:ascii="黑体" w:hAnsi="黑体" w:eastAsia="黑体" w:cs="黑体"/>
          <w:color w:val="000000" w:themeColor="text1"/>
          <w:sz w:val="28"/>
          <w:szCs w:val="28"/>
          <w14:textFill>
            <w14:solidFill>
              <w14:schemeClr w14:val="tx1"/>
            </w14:solidFill>
          </w14:textFill>
        </w:rPr>
      </w:pPr>
      <w:bookmarkStart w:id="34" w:name="_Toc1442"/>
      <w:bookmarkStart w:id="35" w:name="_Toc18892"/>
      <w:r>
        <w:rPr>
          <w:rFonts w:ascii="黑体" w:hAnsi="黑体" w:eastAsia="黑体" w:cs="黑体"/>
          <w:b/>
          <w:color w:val="000000" w:themeColor="text1"/>
          <w:sz w:val="28"/>
          <w:szCs w:val="28"/>
          <w14:textFill>
            <w14:solidFill>
              <w14:schemeClr w14:val="tx1"/>
            </w14:solidFill>
          </w14:textFill>
        </w:rPr>
        <w:t>第四章 资格审查</w:t>
      </w:r>
      <w:bookmarkEnd w:id="34"/>
      <w:bookmarkEnd w:id="35"/>
    </w:p>
    <w:p w14:paraId="7F859CE9">
      <w:pPr>
        <w:spacing w:before="87" w:beforeLines="20" w:line="480" w:lineRule="exact"/>
        <w:ind w:firstLine="380" w:firstLineChars="200"/>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rPr>
        <w:t>资格审查由采购人依据法律法规和招标文件的规定，对投标文件中的资格证明文件等进行审查，以确定投标人是否具备投标资格，并出具《</w:t>
      </w:r>
      <w:r>
        <w:rPr>
          <w:rFonts w:hint="eastAsia" w:ascii="黑体" w:hAnsi="黑体" w:eastAsia="黑体" w:cs="黑体"/>
          <w:color w:val="000000" w:themeColor="text1"/>
          <w:sz w:val="19"/>
          <w:szCs w:val="19"/>
          <w14:textFill>
            <w14:solidFill>
              <w14:schemeClr w14:val="tx1"/>
            </w14:solidFill>
          </w14:textFill>
        </w:rPr>
        <w:t>资格审查一览表》。通过资格审查的投标人不足三家，不得评标。</w:t>
      </w:r>
    </w:p>
    <w:p w14:paraId="38677B2E">
      <w:pPr>
        <w:spacing w:before="87" w:beforeLines="20" w:line="480" w:lineRule="exact"/>
        <w:ind w:firstLine="380" w:firstLineChars="200"/>
        <w:rPr>
          <w:rFonts w:hint="eastAsia" w:ascii="黑体" w:hAnsi="黑体" w:eastAsia="黑体" w:cs="黑体"/>
          <w:b/>
          <w:bCs/>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具体资格审查要求如下：</w:t>
      </w:r>
    </w:p>
    <w:p w14:paraId="3B6F85BB">
      <w:pPr>
        <w:numPr>
          <w:ilvl w:val="0"/>
          <w:numId w:val="8"/>
        </w:numPr>
        <w:snapToGrid w:val="0"/>
        <w:spacing w:before="87" w:beforeLines="20" w:line="480" w:lineRule="exact"/>
        <w:jc w:val="left"/>
        <w:rPr>
          <w:rFonts w:hint="eastAsia" w:ascii="黑体" w:hAnsi="黑体" w:eastAsia="黑体" w:cs="黑体"/>
          <w:b/>
          <w:sz w:val="20"/>
          <w:szCs w:val="20"/>
        </w:rPr>
      </w:pPr>
      <w:r>
        <w:rPr>
          <w:rFonts w:hint="eastAsia" w:ascii="黑体" w:hAnsi="黑体" w:eastAsia="黑体" w:cs="黑体"/>
          <w:b/>
          <w:sz w:val="20"/>
          <w:szCs w:val="20"/>
        </w:rPr>
        <w:t>一般资格审查：基本资格条件</w:t>
      </w:r>
    </w:p>
    <w:tbl>
      <w:tblPr>
        <w:tblStyle w:val="20"/>
        <w:tblW w:w="951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2633"/>
        <w:gridCol w:w="6210"/>
      </w:tblGrid>
      <w:tr w14:paraId="68A77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9" w:hRule="atLeast"/>
        </w:trPr>
        <w:tc>
          <w:tcPr>
            <w:tcW w:w="674" w:type="dxa"/>
            <w:vAlign w:val="center"/>
          </w:tcPr>
          <w:p w14:paraId="4F027AA4">
            <w:pPr>
              <w:pStyle w:val="36"/>
              <w:spacing w:line="480" w:lineRule="exact"/>
              <w:jc w:val="both"/>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序号</w:t>
            </w:r>
          </w:p>
        </w:tc>
        <w:tc>
          <w:tcPr>
            <w:tcW w:w="2633" w:type="dxa"/>
            <w:vAlign w:val="center"/>
          </w:tcPr>
          <w:p w14:paraId="4D33B9C6">
            <w:pPr>
              <w:pStyle w:val="36"/>
              <w:spacing w:line="480" w:lineRule="exact"/>
              <w:jc w:val="both"/>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资格审查要求概况</w:t>
            </w:r>
          </w:p>
        </w:tc>
        <w:tc>
          <w:tcPr>
            <w:tcW w:w="6210" w:type="dxa"/>
            <w:vAlign w:val="center"/>
          </w:tcPr>
          <w:p w14:paraId="2FC3DE14">
            <w:pPr>
              <w:pStyle w:val="36"/>
              <w:spacing w:line="480" w:lineRule="exact"/>
              <w:jc w:val="both"/>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评审点具体描述</w:t>
            </w:r>
          </w:p>
        </w:tc>
      </w:tr>
      <w:tr w14:paraId="5506A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rPr>
        <w:tc>
          <w:tcPr>
            <w:tcW w:w="674" w:type="dxa"/>
            <w:vAlign w:val="center"/>
          </w:tcPr>
          <w:p w14:paraId="28FF0649">
            <w:pPr>
              <w:pStyle w:val="36"/>
              <w:spacing w:line="480" w:lineRule="exact"/>
              <w:jc w:val="both"/>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1</w:t>
            </w:r>
          </w:p>
        </w:tc>
        <w:tc>
          <w:tcPr>
            <w:tcW w:w="2633" w:type="dxa"/>
            <w:vAlign w:val="center"/>
          </w:tcPr>
          <w:p w14:paraId="6018B62F">
            <w:pPr>
              <w:pStyle w:val="36"/>
              <w:spacing w:line="480" w:lineRule="exact"/>
              <w:jc w:val="both"/>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主体资格</w:t>
            </w:r>
          </w:p>
        </w:tc>
        <w:tc>
          <w:tcPr>
            <w:tcW w:w="6210" w:type="dxa"/>
            <w:vAlign w:val="center"/>
          </w:tcPr>
          <w:p w14:paraId="465CB42F">
            <w:pPr>
              <w:pStyle w:val="36"/>
              <w:spacing w:line="480" w:lineRule="exact"/>
              <w:jc w:val="both"/>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kern w:val="2"/>
                <w:sz w:val="19"/>
                <w:szCs w:val="19"/>
                <w:lang w:eastAsia="zh-CN"/>
                <w14:textFill>
                  <w14:solidFill>
                    <w14:schemeClr w14:val="tx1"/>
                  </w14:solidFill>
                </w14:textFill>
              </w:rPr>
              <w:t>具有独立承担民事责任能力的法人、其他组织或自然人；提供有效存续的证明文件。</w:t>
            </w:r>
          </w:p>
        </w:tc>
      </w:tr>
      <w:tr w14:paraId="6F14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9" w:hRule="atLeast"/>
        </w:trPr>
        <w:tc>
          <w:tcPr>
            <w:tcW w:w="674" w:type="dxa"/>
            <w:vAlign w:val="center"/>
          </w:tcPr>
          <w:p w14:paraId="04522302">
            <w:pPr>
              <w:pStyle w:val="36"/>
              <w:spacing w:line="480" w:lineRule="exact"/>
              <w:jc w:val="both"/>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2</w:t>
            </w:r>
          </w:p>
        </w:tc>
        <w:tc>
          <w:tcPr>
            <w:tcW w:w="2633" w:type="dxa"/>
            <w:vAlign w:val="center"/>
          </w:tcPr>
          <w:p w14:paraId="30B949EE">
            <w:pPr>
              <w:adjustRightInd w:val="0"/>
              <w:snapToGrid w:val="0"/>
              <w:spacing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基本资格条件承诺函</w:t>
            </w:r>
          </w:p>
        </w:tc>
        <w:tc>
          <w:tcPr>
            <w:tcW w:w="6210" w:type="dxa"/>
            <w:vAlign w:val="center"/>
          </w:tcPr>
          <w:p w14:paraId="134424C3">
            <w:pPr>
              <w:adjustRightInd w:val="0"/>
              <w:snapToGrid w:val="0"/>
              <w:spacing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投标人应按照《陕西省西咸新区财政金融局关于全面推行政府采购供应商基本资格条件承诺制的通知》（陕西咸财金发〔2023】119号）文件要求，需提供加盖投标人公章的《基本资格条件承诺函》。</w:t>
            </w:r>
          </w:p>
        </w:tc>
      </w:tr>
    </w:tbl>
    <w:p w14:paraId="11C2BA3E">
      <w:pPr>
        <w:rPr>
          <w:rFonts w:hint="eastAsia" w:ascii="黑体" w:hAnsi="黑体" w:eastAsia="黑体" w:cs="黑体"/>
          <w:sz w:val="19"/>
          <w:szCs w:val="19"/>
        </w:rPr>
      </w:pPr>
    </w:p>
    <w:p w14:paraId="5CBA04E2">
      <w:pPr>
        <w:numPr>
          <w:ilvl w:val="0"/>
          <w:numId w:val="8"/>
        </w:numPr>
        <w:snapToGrid w:val="0"/>
        <w:spacing w:before="87" w:beforeLines="20" w:line="480" w:lineRule="exact"/>
        <w:jc w:val="left"/>
        <w:rPr>
          <w:rFonts w:hint="eastAsia" w:ascii="黑体" w:hAnsi="黑体" w:eastAsia="黑体" w:cs="黑体"/>
          <w:b/>
          <w:sz w:val="20"/>
          <w:szCs w:val="20"/>
        </w:rPr>
      </w:pPr>
      <w:r>
        <w:rPr>
          <w:rFonts w:hint="eastAsia" w:ascii="黑体" w:hAnsi="黑体" w:eastAsia="黑体" w:cs="黑体"/>
          <w:b/>
          <w:sz w:val="20"/>
          <w:szCs w:val="20"/>
        </w:rPr>
        <w:t>落实政府采购政策资格审查</w:t>
      </w:r>
    </w:p>
    <w:tbl>
      <w:tblPr>
        <w:tblStyle w:val="20"/>
        <w:tblW w:w="9477" w:type="dxa"/>
        <w:tblInd w:w="-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2760"/>
        <w:gridCol w:w="5926"/>
      </w:tblGrid>
      <w:tr w14:paraId="3C04B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770" w:hRule="atLeast"/>
        </w:trPr>
        <w:tc>
          <w:tcPr>
            <w:tcW w:w="791" w:type="dxa"/>
            <w:vAlign w:val="center"/>
          </w:tcPr>
          <w:p w14:paraId="68910A21">
            <w:pPr>
              <w:pStyle w:val="36"/>
              <w:jc w:val="center"/>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序号</w:t>
            </w:r>
          </w:p>
        </w:tc>
        <w:tc>
          <w:tcPr>
            <w:tcW w:w="2760" w:type="dxa"/>
            <w:vAlign w:val="center"/>
          </w:tcPr>
          <w:p w14:paraId="2D637F78">
            <w:pPr>
              <w:pStyle w:val="36"/>
              <w:jc w:val="center"/>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资格审查要求概况</w:t>
            </w:r>
          </w:p>
        </w:tc>
        <w:tc>
          <w:tcPr>
            <w:tcW w:w="5926" w:type="dxa"/>
            <w:vAlign w:val="center"/>
          </w:tcPr>
          <w:p w14:paraId="031484B2">
            <w:pPr>
              <w:pStyle w:val="36"/>
              <w:jc w:val="center"/>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评审点具体描述</w:t>
            </w:r>
          </w:p>
        </w:tc>
      </w:tr>
      <w:tr w14:paraId="19460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1" w:hRule="atLeast"/>
        </w:trPr>
        <w:tc>
          <w:tcPr>
            <w:tcW w:w="791" w:type="dxa"/>
            <w:vAlign w:val="center"/>
          </w:tcPr>
          <w:p w14:paraId="03387309">
            <w:pPr>
              <w:pStyle w:val="36"/>
              <w:jc w:val="center"/>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1</w:t>
            </w:r>
          </w:p>
        </w:tc>
        <w:tc>
          <w:tcPr>
            <w:tcW w:w="2760" w:type="dxa"/>
            <w:vAlign w:val="center"/>
          </w:tcPr>
          <w:p w14:paraId="72CF5BDA">
            <w:pPr>
              <w:pStyle w:val="36"/>
              <w:jc w:val="center"/>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w:t>
            </w:r>
          </w:p>
        </w:tc>
        <w:tc>
          <w:tcPr>
            <w:tcW w:w="5926" w:type="dxa"/>
            <w:vAlign w:val="center"/>
          </w:tcPr>
          <w:p w14:paraId="3441554A">
            <w:pPr>
              <w:pStyle w:val="36"/>
              <w:spacing w:line="480" w:lineRule="exact"/>
              <w:jc w:val="center"/>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w:t>
            </w:r>
          </w:p>
        </w:tc>
      </w:tr>
    </w:tbl>
    <w:p w14:paraId="4FB2C22B">
      <w:pPr>
        <w:rPr>
          <w:rFonts w:hint="eastAsia" w:ascii="黑体" w:hAnsi="黑体" w:eastAsia="黑体" w:cs="黑体"/>
          <w:sz w:val="19"/>
          <w:szCs w:val="19"/>
        </w:rPr>
      </w:pPr>
    </w:p>
    <w:p w14:paraId="5FAE8547">
      <w:pPr>
        <w:numPr>
          <w:ilvl w:val="0"/>
          <w:numId w:val="8"/>
        </w:numPr>
        <w:snapToGrid w:val="0"/>
        <w:spacing w:before="87" w:beforeLines="20" w:line="480" w:lineRule="exact"/>
        <w:jc w:val="left"/>
        <w:rPr>
          <w:rFonts w:hint="eastAsia" w:ascii="黑体" w:hAnsi="黑体" w:eastAsia="黑体" w:cs="黑体"/>
          <w:b/>
          <w:sz w:val="20"/>
          <w:szCs w:val="20"/>
        </w:rPr>
      </w:pPr>
      <w:r>
        <w:rPr>
          <w:rFonts w:hint="eastAsia" w:ascii="黑体" w:hAnsi="黑体" w:eastAsia="黑体" w:cs="黑体"/>
          <w:b/>
          <w:sz w:val="20"/>
          <w:szCs w:val="20"/>
        </w:rPr>
        <w:t>特殊资格审查</w:t>
      </w:r>
    </w:p>
    <w:tbl>
      <w:tblPr>
        <w:tblStyle w:val="20"/>
        <w:tblW w:w="945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2752"/>
        <w:gridCol w:w="5926"/>
      </w:tblGrid>
      <w:tr w14:paraId="1951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7" w:hRule="atLeast"/>
        </w:trPr>
        <w:tc>
          <w:tcPr>
            <w:tcW w:w="780" w:type="dxa"/>
            <w:vAlign w:val="center"/>
          </w:tcPr>
          <w:p w14:paraId="7937C307">
            <w:pPr>
              <w:pStyle w:val="36"/>
              <w:jc w:val="center"/>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序号</w:t>
            </w:r>
          </w:p>
        </w:tc>
        <w:tc>
          <w:tcPr>
            <w:tcW w:w="2752" w:type="dxa"/>
            <w:vAlign w:val="center"/>
          </w:tcPr>
          <w:p w14:paraId="06A45BB2">
            <w:pPr>
              <w:pStyle w:val="36"/>
              <w:jc w:val="center"/>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资格审查要求概况</w:t>
            </w:r>
          </w:p>
        </w:tc>
        <w:tc>
          <w:tcPr>
            <w:tcW w:w="5926" w:type="dxa"/>
            <w:vAlign w:val="center"/>
          </w:tcPr>
          <w:p w14:paraId="14AC3FA6">
            <w:pPr>
              <w:pStyle w:val="36"/>
              <w:jc w:val="center"/>
              <w:rPr>
                <w:rFonts w:ascii="黑体" w:hAnsi="黑体" w:eastAsia="黑体" w:cs="黑体"/>
                <w:color w:val="000000" w:themeColor="text1"/>
                <w:sz w:val="19"/>
                <w:szCs w:val="19"/>
                <w14:textFill>
                  <w14:solidFill>
                    <w14:schemeClr w14:val="tx1"/>
                  </w14:solidFill>
                </w14:textFill>
              </w:rPr>
            </w:pPr>
            <w:r>
              <w:rPr>
                <w:rFonts w:ascii="黑体" w:hAnsi="黑体" w:eastAsia="黑体" w:cs="黑体"/>
                <w:color w:val="000000" w:themeColor="text1"/>
                <w:sz w:val="19"/>
                <w:szCs w:val="19"/>
                <w14:textFill>
                  <w14:solidFill>
                    <w14:schemeClr w14:val="tx1"/>
                  </w14:solidFill>
                </w14:textFill>
              </w:rPr>
              <w:t>评审点具体描述</w:t>
            </w:r>
          </w:p>
        </w:tc>
      </w:tr>
      <w:tr w14:paraId="2A90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0" w:hRule="atLeast"/>
        </w:trPr>
        <w:tc>
          <w:tcPr>
            <w:tcW w:w="780" w:type="dxa"/>
            <w:vAlign w:val="center"/>
          </w:tcPr>
          <w:p w14:paraId="1D0F8A6A">
            <w:pPr>
              <w:pStyle w:val="36"/>
              <w:jc w:val="center"/>
              <w:rPr>
                <w:rFonts w:ascii="黑体" w:hAnsi="黑体" w:eastAsia="黑体" w:cs="黑体"/>
                <w:color w:val="000000" w:themeColor="text1"/>
                <w:kern w:val="2"/>
                <w:sz w:val="19"/>
                <w:szCs w:val="19"/>
                <w:lang w:eastAsia="zh-CN"/>
                <w14:textFill>
                  <w14:solidFill>
                    <w14:schemeClr w14:val="tx1"/>
                  </w14:solidFill>
                </w14:textFill>
              </w:rPr>
            </w:pPr>
            <w:r>
              <w:rPr>
                <w:rFonts w:ascii="黑体" w:hAnsi="黑体" w:eastAsia="黑体" w:cs="黑体"/>
                <w:color w:val="000000" w:themeColor="text1"/>
                <w:kern w:val="2"/>
                <w:sz w:val="19"/>
                <w:szCs w:val="19"/>
                <w:lang w:eastAsia="zh-CN"/>
                <w14:textFill>
                  <w14:solidFill>
                    <w14:schemeClr w14:val="tx1"/>
                  </w14:solidFill>
                </w14:textFill>
              </w:rPr>
              <w:t>1</w:t>
            </w:r>
          </w:p>
        </w:tc>
        <w:tc>
          <w:tcPr>
            <w:tcW w:w="2752" w:type="dxa"/>
            <w:vAlign w:val="center"/>
          </w:tcPr>
          <w:p w14:paraId="79857EBF">
            <w:pPr>
              <w:adjustRightInd w:val="0"/>
              <w:snapToGrid w:val="0"/>
              <w:spacing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c>
          <w:tcPr>
            <w:tcW w:w="5926" w:type="dxa"/>
            <w:vAlign w:val="center"/>
          </w:tcPr>
          <w:p w14:paraId="5BB099B8">
            <w:pPr>
              <w:adjustRightInd w:val="0"/>
              <w:snapToGrid w:val="0"/>
              <w:spacing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提供国家企业信用信息公示系统https://shiming.gsxt.gov.cn“股东及出资信息”查询页面截图或承诺函；</w:t>
            </w:r>
          </w:p>
        </w:tc>
      </w:tr>
    </w:tbl>
    <w:p w14:paraId="56590A10">
      <w:pPr>
        <w:pStyle w:val="36"/>
        <w:rPr>
          <w:rFonts w:ascii="黑体" w:hAnsi="黑体" w:eastAsia="黑体" w:cs="黑体"/>
          <w:b/>
          <w:color w:val="000000" w:themeColor="text1"/>
          <w:sz w:val="28"/>
          <w:szCs w:val="28"/>
          <w14:textFill>
            <w14:solidFill>
              <w14:schemeClr w14:val="tx1"/>
            </w14:solidFill>
          </w14:textFill>
        </w:rPr>
        <w:sectPr>
          <w:headerReference r:id="rId8" w:type="default"/>
          <w:pgSz w:w="11905" w:h="16838"/>
          <w:pgMar w:top="1417" w:right="1247" w:bottom="1474" w:left="1247" w:header="850" w:footer="992" w:gutter="0"/>
          <w:pgNumType w:fmt="numberInDash"/>
          <w:cols w:space="0" w:num="1"/>
          <w:docGrid w:type="lines" w:linePitch="436" w:charSpace="0"/>
        </w:sectPr>
      </w:pPr>
      <w:bookmarkStart w:id="36" w:name="_Toc31245"/>
    </w:p>
    <w:bookmarkEnd w:id="36"/>
    <w:p w14:paraId="0620C05E">
      <w:pPr>
        <w:pStyle w:val="36"/>
        <w:jc w:val="center"/>
        <w:outlineLvl w:val="0"/>
        <w:rPr>
          <w:rFonts w:ascii="黑体" w:hAnsi="黑体" w:eastAsia="黑体" w:cs="黑体"/>
          <w:b/>
          <w:color w:val="000000" w:themeColor="text1"/>
          <w:sz w:val="28"/>
          <w:szCs w:val="28"/>
          <w14:textFill>
            <w14:solidFill>
              <w14:schemeClr w14:val="tx1"/>
            </w14:solidFill>
          </w14:textFill>
        </w:rPr>
      </w:pPr>
      <w:bookmarkStart w:id="37" w:name="_Toc21196"/>
      <w:bookmarkStart w:id="38" w:name="_Toc6401"/>
      <w:r>
        <w:rPr>
          <w:rFonts w:ascii="黑体" w:hAnsi="黑体" w:eastAsia="黑体" w:cs="黑体"/>
          <w:b/>
          <w:color w:val="000000" w:themeColor="text1"/>
          <w:sz w:val="28"/>
          <w:szCs w:val="28"/>
          <w14:textFill>
            <w14:solidFill>
              <w14:schemeClr w14:val="tx1"/>
            </w14:solidFill>
          </w14:textFill>
        </w:rPr>
        <w:t>第</w:t>
      </w:r>
      <w:r>
        <w:rPr>
          <w:rFonts w:ascii="黑体" w:hAnsi="黑体" w:eastAsia="黑体" w:cs="黑体"/>
          <w:b/>
          <w:color w:val="000000" w:themeColor="text1"/>
          <w:sz w:val="28"/>
          <w:szCs w:val="28"/>
          <w:lang w:eastAsia="zh-CN"/>
          <w14:textFill>
            <w14:solidFill>
              <w14:schemeClr w14:val="tx1"/>
            </w14:solidFill>
          </w14:textFill>
        </w:rPr>
        <w:t>五</w:t>
      </w:r>
      <w:r>
        <w:rPr>
          <w:rFonts w:ascii="黑体" w:hAnsi="黑体" w:eastAsia="黑体" w:cs="黑体"/>
          <w:b/>
          <w:color w:val="000000" w:themeColor="text1"/>
          <w:sz w:val="28"/>
          <w:szCs w:val="28"/>
          <w14:textFill>
            <w14:solidFill>
              <w14:schemeClr w14:val="tx1"/>
            </w14:solidFill>
          </w14:textFill>
        </w:rPr>
        <w:t>章 评标办法</w:t>
      </w:r>
      <w:bookmarkEnd w:id="37"/>
      <w:bookmarkEnd w:id="38"/>
    </w:p>
    <w:p w14:paraId="65524F93">
      <w:pPr>
        <w:snapToGrid w:val="0"/>
        <w:spacing w:before="87" w:beforeLines="20" w:line="480" w:lineRule="exact"/>
        <w:ind w:left="425" w:hanging="425"/>
        <w:jc w:val="left"/>
        <w:rPr>
          <w:rFonts w:hint="eastAsia" w:ascii="黑体" w:hAnsi="黑体" w:eastAsia="黑体" w:cs="黑体"/>
          <w:b/>
          <w:sz w:val="20"/>
          <w:szCs w:val="20"/>
        </w:rPr>
      </w:pPr>
      <w:r>
        <w:rPr>
          <w:rFonts w:ascii="黑体" w:hAnsi="黑体" w:eastAsia="黑体" w:cs="黑体"/>
          <w:b/>
          <w:sz w:val="20"/>
          <w:szCs w:val="20"/>
        </w:rPr>
        <w:t>1.</w:t>
      </w:r>
      <w:r>
        <w:rPr>
          <w:rFonts w:hint="eastAsia" w:ascii="黑体" w:hAnsi="黑体" w:eastAsia="黑体" w:cs="黑体"/>
          <w:b/>
          <w:sz w:val="20"/>
          <w:szCs w:val="20"/>
        </w:rPr>
        <w:t>总则</w:t>
      </w:r>
    </w:p>
    <w:p w14:paraId="5F3917B0">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20"/>
          <w:szCs w:val="20"/>
        </w:rPr>
        <w:t>1.1 根据《中华人民共和国政府采购法》《中华人民共和国政府采购法实施条例》《政府采购货物和服务招标投标管理办法》等法律规章，结合采购项目特点制定本评标办法</w:t>
      </w:r>
      <w:r>
        <w:rPr>
          <w:rFonts w:hint="eastAsia" w:ascii="黑体" w:hAnsi="黑体" w:eastAsia="黑体" w:cs="黑体"/>
          <w:sz w:val="19"/>
          <w:szCs w:val="19"/>
        </w:rPr>
        <w:t>。</w:t>
      </w:r>
    </w:p>
    <w:p w14:paraId="02E8970D">
      <w:pPr>
        <w:spacing w:before="87" w:beforeLines="20" w:line="480" w:lineRule="exact"/>
        <w:jc w:val="left"/>
        <w:rPr>
          <w:rFonts w:hint="eastAsia" w:ascii="黑体" w:hAnsi="黑体" w:eastAsia="黑体" w:cs="黑体"/>
          <w:sz w:val="20"/>
          <w:szCs w:val="20"/>
        </w:rPr>
      </w:pPr>
      <w:r>
        <w:rPr>
          <w:rFonts w:ascii="黑体" w:hAnsi="黑体" w:eastAsia="黑体" w:cs="黑体"/>
          <w:sz w:val="19"/>
          <w:szCs w:val="19"/>
        </w:rPr>
        <w:t>1.</w:t>
      </w:r>
      <w:r>
        <w:rPr>
          <w:rFonts w:hint="eastAsia" w:ascii="黑体" w:hAnsi="黑体" w:eastAsia="黑体" w:cs="黑体"/>
          <w:sz w:val="19"/>
          <w:szCs w:val="19"/>
        </w:rPr>
        <w:t>2</w:t>
      </w:r>
      <w:r>
        <w:rPr>
          <w:rFonts w:hint="eastAsia" w:ascii="黑体" w:hAnsi="黑体" w:eastAsia="黑体" w:cs="黑体"/>
          <w:sz w:val="20"/>
          <w:szCs w:val="20"/>
        </w:rPr>
        <w:t xml:space="preserve"> 评标工作由采购代理机构负责组织，具体评标事务由采购人或采购代理机构依法组建的评标委员会负责。评标委员会由采购人代表和评审专家组成。</w:t>
      </w:r>
    </w:p>
    <w:p w14:paraId="4A7C3CEE">
      <w:pPr>
        <w:spacing w:before="87" w:beforeLines="20" w:line="480" w:lineRule="exact"/>
        <w:jc w:val="left"/>
        <w:rPr>
          <w:rFonts w:hint="eastAsia" w:ascii="黑体" w:hAnsi="黑体" w:eastAsia="黑体" w:cs="黑体"/>
          <w:sz w:val="20"/>
          <w:szCs w:val="20"/>
        </w:rPr>
      </w:pPr>
      <w:r>
        <w:rPr>
          <w:rFonts w:ascii="黑体" w:hAnsi="黑体" w:eastAsia="黑体" w:cs="黑体"/>
          <w:sz w:val="20"/>
          <w:szCs w:val="20"/>
        </w:rPr>
        <w:t>1.</w:t>
      </w:r>
      <w:r>
        <w:rPr>
          <w:rFonts w:hint="eastAsia" w:ascii="黑体" w:hAnsi="黑体" w:eastAsia="黑体" w:cs="黑体"/>
          <w:sz w:val="20"/>
          <w:szCs w:val="20"/>
        </w:rPr>
        <w:t>3 评标工作应遵循公平、公正、科学及择优的原则，并以相同的评标程序和标准对待所有的投标人。</w:t>
      </w:r>
    </w:p>
    <w:p w14:paraId="5F082544">
      <w:pPr>
        <w:spacing w:before="87" w:beforeLines="20" w:line="480" w:lineRule="exact"/>
        <w:jc w:val="left"/>
        <w:rPr>
          <w:rFonts w:hint="eastAsia" w:ascii="黑体" w:hAnsi="黑体" w:eastAsia="黑体" w:cs="黑体"/>
          <w:sz w:val="20"/>
          <w:szCs w:val="20"/>
        </w:rPr>
      </w:pPr>
      <w:r>
        <w:rPr>
          <w:rFonts w:ascii="黑体" w:hAnsi="黑体" w:eastAsia="黑体" w:cs="黑体"/>
          <w:sz w:val="20"/>
          <w:szCs w:val="20"/>
        </w:rPr>
        <w:t>1.</w:t>
      </w:r>
      <w:r>
        <w:rPr>
          <w:rFonts w:hint="eastAsia" w:ascii="黑体" w:hAnsi="黑体" w:eastAsia="黑体" w:cs="黑体"/>
          <w:sz w:val="20"/>
          <w:szCs w:val="20"/>
        </w:rPr>
        <w:t>4 评标过程应当独立、保密，任何单位和个人不得非法干预评标活动。投标人非法干预评标活动的，其投标文件将作无效处理；采购代理机构、采购人及其工作人员、采购人监督人员非法干预评标活动的，将依法追究其责任。</w:t>
      </w:r>
    </w:p>
    <w:p w14:paraId="60CA3D81">
      <w:pPr>
        <w:snapToGrid w:val="0"/>
        <w:spacing w:before="87" w:beforeLines="20" w:line="480" w:lineRule="exact"/>
        <w:ind w:left="425" w:hanging="425"/>
        <w:jc w:val="left"/>
        <w:rPr>
          <w:rFonts w:hint="eastAsia" w:ascii="黑体" w:hAnsi="黑体" w:eastAsia="黑体" w:cs="黑体"/>
          <w:b/>
          <w:sz w:val="19"/>
          <w:szCs w:val="19"/>
        </w:rPr>
      </w:pPr>
      <w:r>
        <w:rPr>
          <w:rFonts w:ascii="黑体" w:hAnsi="黑体" w:eastAsia="黑体" w:cs="黑体"/>
          <w:b/>
          <w:sz w:val="19"/>
          <w:szCs w:val="19"/>
        </w:rPr>
        <w:t>2.</w:t>
      </w:r>
      <w:r>
        <w:rPr>
          <w:rFonts w:hint="eastAsia" w:ascii="黑体" w:hAnsi="黑体" w:eastAsia="黑体" w:cs="黑体"/>
          <w:b/>
          <w:sz w:val="19"/>
          <w:szCs w:val="19"/>
        </w:rPr>
        <w:t>评标委员会</w:t>
      </w:r>
    </w:p>
    <w:p w14:paraId="2C1597FD">
      <w:pPr>
        <w:numPr>
          <w:ilvl w:val="1"/>
          <w:numId w:val="0"/>
        </w:numPr>
        <w:spacing w:before="87" w:beforeLines="20" w:line="480" w:lineRule="exact"/>
        <w:ind w:left="567" w:hanging="567"/>
        <w:jc w:val="left"/>
        <w:rPr>
          <w:rFonts w:hint="eastAsia" w:ascii="黑体" w:hAnsi="黑体" w:eastAsia="黑体" w:cs="黑体"/>
          <w:sz w:val="19"/>
          <w:szCs w:val="19"/>
        </w:rPr>
      </w:pPr>
      <w:r>
        <w:rPr>
          <w:rFonts w:ascii="黑体" w:hAnsi="黑体" w:eastAsia="黑体" w:cs="黑体"/>
          <w:sz w:val="19"/>
          <w:szCs w:val="19"/>
        </w:rPr>
        <w:t>2.1.</w:t>
      </w:r>
      <w:r>
        <w:rPr>
          <w:rFonts w:hint="eastAsia" w:ascii="黑体" w:hAnsi="黑体" w:eastAsia="黑体" w:cs="黑体"/>
          <w:sz w:val="19"/>
          <w:szCs w:val="19"/>
        </w:rPr>
        <w:t>采购人委派采购人代表参加评标委员会的，要向采购代理机构出具授权函。</w:t>
      </w:r>
    </w:p>
    <w:p w14:paraId="624DFD8F">
      <w:pPr>
        <w:numPr>
          <w:ilvl w:val="1"/>
          <w:numId w:val="0"/>
        </w:numPr>
        <w:spacing w:before="87" w:beforeLines="20" w:line="480" w:lineRule="exact"/>
        <w:ind w:left="567" w:hanging="567"/>
        <w:jc w:val="left"/>
        <w:rPr>
          <w:rFonts w:hint="eastAsia" w:ascii="黑体" w:hAnsi="黑体" w:eastAsia="黑体" w:cs="黑体"/>
          <w:sz w:val="19"/>
          <w:szCs w:val="19"/>
        </w:rPr>
      </w:pPr>
      <w:r>
        <w:rPr>
          <w:rFonts w:ascii="黑体" w:hAnsi="黑体" w:eastAsia="黑体" w:cs="黑体"/>
          <w:sz w:val="19"/>
          <w:szCs w:val="19"/>
        </w:rPr>
        <w:t>2.2.</w:t>
      </w:r>
      <w:r>
        <w:rPr>
          <w:rFonts w:hint="eastAsia" w:ascii="黑体" w:hAnsi="黑体" w:eastAsia="黑体" w:cs="黑体"/>
          <w:sz w:val="19"/>
          <w:szCs w:val="19"/>
        </w:rPr>
        <w:t>评标委员会按照招标文件规定的评标程序、评标方法和标准进行评审，并独立履行下列职责：</w:t>
      </w:r>
    </w:p>
    <w:p w14:paraId="6F224E40">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（1）熟悉和理解招标文件；</w:t>
      </w:r>
    </w:p>
    <w:p w14:paraId="7E40102F">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w:t>
      </w:r>
      <w:r>
        <w:rPr>
          <w:rFonts w:hint="eastAsia" w:ascii="黑体" w:hAnsi="黑体" w:eastAsia="黑体" w:cs="黑体"/>
          <w:color w:val="000000" w:themeColor="text1"/>
          <w:sz w:val="19"/>
          <w:szCs w:val="19"/>
          <w14:textFill>
            <w14:solidFill>
              <w14:schemeClr w14:val="tx1"/>
            </w14:solidFill>
          </w14:textFill>
        </w:rPr>
        <w:t>审查、评价投标文件是否符合招标文件的商务、技术等实质性要求；</w:t>
      </w:r>
    </w:p>
    <w:p w14:paraId="453441BA">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（3）</w:t>
      </w:r>
      <w:r>
        <w:rPr>
          <w:rFonts w:hint="eastAsia" w:ascii="黑体" w:hAnsi="黑体" w:eastAsia="黑体" w:cs="黑体"/>
          <w:color w:val="000000" w:themeColor="text1"/>
          <w:sz w:val="19"/>
          <w:szCs w:val="19"/>
          <w14:textFill>
            <w14:solidFill>
              <w14:schemeClr w14:val="tx1"/>
            </w14:solidFill>
          </w14:textFill>
        </w:rPr>
        <w:t>要求投标人对投标文件有关事项作出澄清或者说明</w:t>
      </w:r>
    </w:p>
    <w:p w14:paraId="1C51878A">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w:t>
      </w:r>
      <w:r>
        <w:rPr>
          <w:rFonts w:hint="eastAsia" w:ascii="黑体" w:hAnsi="黑体" w:eastAsia="黑体" w:cs="黑体"/>
          <w:color w:val="000000" w:themeColor="text1"/>
          <w:sz w:val="19"/>
          <w:szCs w:val="19"/>
          <w14:textFill>
            <w14:solidFill>
              <w14:schemeClr w14:val="tx1"/>
            </w14:solidFill>
          </w14:textFill>
        </w:rPr>
        <w:t>对投标文件进行比较和评价；</w:t>
      </w:r>
    </w:p>
    <w:p w14:paraId="6C114A05">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（5）起草评标报告并进行签署；</w:t>
      </w:r>
    </w:p>
    <w:p w14:paraId="4836578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（6）</w:t>
      </w:r>
      <w:r>
        <w:rPr>
          <w:rFonts w:hint="eastAsia" w:ascii="黑体" w:hAnsi="黑体" w:eastAsia="黑体" w:cs="黑体"/>
          <w:color w:val="000000" w:themeColor="text1"/>
          <w:sz w:val="19"/>
          <w:szCs w:val="19"/>
          <w14:textFill>
            <w14:solidFill>
              <w14:schemeClr w14:val="tx1"/>
            </w14:solidFill>
          </w14:textFill>
        </w:rPr>
        <w:t>确定中标候选人名单，以及根据采购人委托直接确定中标人；</w:t>
      </w:r>
    </w:p>
    <w:p w14:paraId="48101B9F">
      <w:p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rPr>
        <w:t>（7）</w:t>
      </w:r>
      <w:r>
        <w:rPr>
          <w:rFonts w:hint="eastAsia" w:ascii="黑体" w:hAnsi="黑体" w:eastAsia="黑体" w:cs="黑体"/>
          <w:color w:val="000000" w:themeColor="text1"/>
          <w:sz w:val="19"/>
          <w:szCs w:val="19"/>
          <w14:textFill>
            <w14:solidFill>
              <w14:schemeClr w14:val="tx1"/>
            </w14:solidFill>
          </w14:textFill>
        </w:rPr>
        <w:t>向采购人、采购代理机构或者有关部门报告评标中发现的违法行为。</w:t>
      </w:r>
    </w:p>
    <w:p w14:paraId="074500C9">
      <w:pPr>
        <w:spacing w:before="87" w:beforeLines="20" w:line="480" w:lineRule="exact"/>
        <w:jc w:val="left"/>
        <w:rPr>
          <w:rFonts w:hint="eastAsia" w:ascii="黑体" w:hAnsi="黑体" w:eastAsia="黑体" w:cs="黑体"/>
          <w:b/>
          <w:bCs/>
          <w:sz w:val="19"/>
          <w:szCs w:val="19"/>
        </w:rPr>
      </w:pPr>
      <w:r>
        <w:rPr>
          <w:rFonts w:ascii="黑体" w:hAnsi="黑体" w:eastAsia="黑体" w:cs="黑体"/>
          <w:b/>
          <w:bCs/>
          <w:sz w:val="19"/>
          <w:szCs w:val="19"/>
        </w:rPr>
        <w:t>3.</w:t>
      </w:r>
      <w:r>
        <w:rPr>
          <w:rFonts w:hint="eastAsia" w:ascii="黑体" w:hAnsi="黑体" w:eastAsia="黑体" w:cs="黑体"/>
          <w:b/>
          <w:bCs/>
          <w:sz w:val="19"/>
          <w:szCs w:val="19"/>
        </w:rPr>
        <w:t>评标方法</w:t>
      </w:r>
      <w:r>
        <w:rPr>
          <w:rFonts w:hint="eastAsia"/>
          <w:b/>
          <w:bCs/>
          <w:sz w:val="19"/>
          <w:szCs w:val="19"/>
        </w:rPr>
        <w:t>：</w:t>
      </w:r>
      <w:r>
        <w:rPr>
          <w:rFonts w:hint="eastAsia" w:ascii="黑体" w:hAnsi="黑体" w:eastAsia="黑体" w:cs="黑体"/>
          <w:b/>
          <w:bCs/>
          <w:sz w:val="19"/>
          <w:szCs w:val="19"/>
        </w:rPr>
        <w:t>综合评分法</w:t>
      </w:r>
    </w:p>
    <w:p w14:paraId="33DFA8BA">
      <w:pPr>
        <w:snapToGrid w:val="0"/>
        <w:spacing w:before="87" w:beforeLines="20" w:line="480" w:lineRule="exact"/>
        <w:ind w:left="425" w:hanging="425"/>
        <w:jc w:val="left"/>
        <w:rPr>
          <w:rFonts w:hint="eastAsia" w:ascii="黑体" w:hAnsi="黑体" w:eastAsia="黑体" w:cs="黑体"/>
          <w:b/>
          <w:bCs/>
          <w:sz w:val="19"/>
          <w:szCs w:val="19"/>
        </w:rPr>
      </w:pPr>
      <w:r>
        <w:rPr>
          <w:rFonts w:ascii="黑体" w:hAnsi="黑体" w:eastAsia="黑体" w:cs="黑体"/>
          <w:b/>
          <w:bCs/>
          <w:sz w:val="19"/>
          <w:szCs w:val="19"/>
        </w:rPr>
        <w:t>4.</w:t>
      </w:r>
      <w:r>
        <w:rPr>
          <w:rFonts w:hint="eastAsia" w:ascii="黑体" w:hAnsi="黑体" w:eastAsia="黑体" w:cs="黑体"/>
          <w:b/>
          <w:bCs/>
          <w:sz w:val="19"/>
          <w:szCs w:val="19"/>
        </w:rPr>
        <w:t>需要落实的政府采购政策性规定</w:t>
      </w:r>
    </w:p>
    <w:p w14:paraId="772B8099">
      <w:pPr>
        <w:numPr>
          <w:ilvl w:val="1"/>
          <w:numId w:val="0"/>
        </w:numPr>
        <w:spacing w:before="87" w:beforeLines="20" w:line="480" w:lineRule="exact"/>
        <w:ind w:left="567" w:hanging="567"/>
        <w:jc w:val="left"/>
        <w:rPr>
          <w:rFonts w:hint="eastAsia" w:ascii="黑体" w:hAnsi="黑体" w:eastAsia="黑体" w:cs="黑体"/>
          <w:sz w:val="19"/>
          <w:szCs w:val="19"/>
        </w:rPr>
      </w:pPr>
      <w:r>
        <w:rPr>
          <w:rFonts w:ascii="黑体" w:hAnsi="黑体" w:eastAsia="黑体" w:cs="黑体"/>
          <w:sz w:val="19"/>
          <w:szCs w:val="19"/>
        </w:rPr>
        <w:t>4.1.</w:t>
      </w:r>
      <w:r>
        <w:rPr>
          <w:rFonts w:hint="eastAsia" w:ascii="黑体" w:hAnsi="黑体" w:eastAsia="黑体" w:cs="黑体"/>
          <w:sz w:val="19"/>
          <w:szCs w:val="19"/>
        </w:rPr>
        <w:t>对于中小微企业的相关规定</w:t>
      </w:r>
    </w:p>
    <w:p w14:paraId="5D64C471">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根据《政府采购促进中小企业发展管理办法》（财库〔2020〕46号）、《关于进一步加大政府采购支持中小企业力度的通知》（财库〔2022〕19号），其相关政策落实如下：</w:t>
      </w:r>
    </w:p>
    <w:p w14:paraId="0E217018">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1.对于非专门面向中小企业的采购项目（详见投标人须知前附表），在满足价格扣除条件且在投标文件中按要求提交了《中小企业声明函》，对投标报价给予价格扣除，用扣除后的价格参与评审。投标报价扣除比例如下：</w:t>
      </w:r>
    </w:p>
    <w:p w14:paraId="3AAE457A">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（1）非联合体投标</w:t>
      </w:r>
    </w:p>
    <w:p w14:paraId="4E4C7C87">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小型和微型企业投标报价扣除比例：</w:t>
      </w:r>
      <w:r>
        <w:rPr>
          <w:rFonts w:hint="eastAsia" w:ascii="黑体" w:hAnsi="黑体" w:eastAsia="黑体" w:cs="黑体"/>
          <w:sz w:val="19"/>
          <w:szCs w:val="19"/>
          <w:u w:val="single"/>
        </w:rPr>
        <w:t xml:space="preserve">10% </w:t>
      </w:r>
      <w:r>
        <w:rPr>
          <w:rFonts w:hint="eastAsia" w:ascii="黑体" w:hAnsi="黑体" w:eastAsia="黑体" w:cs="黑体"/>
          <w:sz w:val="19"/>
          <w:szCs w:val="19"/>
        </w:rPr>
        <w:t>。</w:t>
      </w:r>
    </w:p>
    <w:p w14:paraId="192BD217">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（2）联合体投标</w:t>
      </w:r>
    </w:p>
    <w:p w14:paraId="28236480">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的扣除比例：</w:t>
      </w:r>
      <w:r>
        <w:rPr>
          <w:rFonts w:hint="eastAsia" w:ascii="黑体" w:hAnsi="黑体" w:eastAsia="黑体" w:cs="黑体"/>
          <w:sz w:val="19"/>
          <w:szCs w:val="19"/>
          <w:u w:val="single"/>
        </w:rPr>
        <w:t xml:space="preserve"> 5% </w:t>
      </w:r>
      <w:r>
        <w:rPr>
          <w:rFonts w:hint="eastAsia" w:ascii="黑体" w:hAnsi="黑体" w:eastAsia="黑体" w:cs="黑体"/>
          <w:sz w:val="19"/>
          <w:szCs w:val="19"/>
        </w:rPr>
        <w:t>。</w:t>
      </w:r>
    </w:p>
    <w:p w14:paraId="12B8608A">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 xml:space="preserve">联合体各方均为小型、微型企业的，联合体视同为小型、微型企业，按本款（1）条规定享受扶持政策。组成联合体的大中型企业和其他自然人、法人或者其他组织，与小型、微型企业之间不得存在投资关系。  </w:t>
      </w:r>
    </w:p>
    <w:p w14:paraId="5C8A39A1">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2.根据《关于政府采购支持监狱企业发展有关问题的通知》（财库〔2014〕68号），监狱企业视同小型、微型企业，在满足价格扣除条件且在投标文件中按要求提交了省级以上监狱管理局、戒毒管理局（含新疆生产建设兵团）出具的属于监狱企业的证明文件的，用扣除后的价格参与评审。监狱企业属于小型、微型企业的，不重复享受政策。</w:t>
      </w:r>
    </w:p>
    <w:p w14:paraId="4D0FF8FA">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3.根据《关于促进残疾人就业政府采购政策的通知》（财库〔2017〕141号），残疾人福利性单位视同小型、微型企业，在满足价格扣除条件且在投标文件中提供了《残疾人福利性单位声明函》的，用扣除后的价格参与评审。残疾人福利性单位属于小型、微型企业的，不重复享受政策。</w:t>
      </w:r>
    </w:p>
    <w:p w14:paraId="1C585D16">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4.2 对于节能产品、环境标志产品的相关规定</w:t>
      </w:r>
    </w:p>
    <w:p w14:paraId="3B7AC861">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根据国务院办公厅《关于建立政府强制采购节能产品制度的通知》（国办发〔2007〕51号）、财政部、国家发展改革委、生态环境部、市场监督管理总局联合印发《关于调整优化节能产品、环境标志产品政府采购执行机制的通知》（财库〔2019〕9号），对节能产品、环境标志产品的政策落实如下：</w:t>
      </w:r>
    </w:p>
    <w:p w14:paraId="09156BED">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采购人采购的货物属于节能产品或环境标志产品，依据品目清单和认证证书实施政府优先采购。投标人应能够提供国家确定的认证机构出具的、处于有效期之内的节能产品、环境标志产品认证证书，方可对获得证书的产品优先推荐。评审时，对清单中产品给予相应的加分。</w:t>
      </w:r>
    </w:p>
    <w:p w14:paraId="7F402BE7">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（2）投标人应同时提供品目清单网络截图，并明确标注所报产品信息和位置，用以方便评审。</w:t>
      </w:r>
    </w:p>
    <w:p w14:paraId="6515CE85">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（3）认证机构和获证产品信息发布媒体：详见中国政府采购网（www.ccgp.gov.cn）建立的与认证结果信息发布平台的链接。</w:t>
      </w:r>
    </w:p>
    <w:p w14:paraId="3051A0D2">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4.3对于聘用建档立卡贫困人员物业公司的相关规定（如有）</w:t>
      </w:r>
    </w:p>
    <w:p w14:paraId="038285AD">
      <w:pPr>
        <w:pStyle w:val="36"/>
        <w:spacing w:before="87" w:beforeLines="20" w:line="480" w:lineRule="exact"/>
        <w:ind w:firstLine="380" w:firstLineChars="200"/>
        <w:rPr>
          <w:rFonts w:ascii="黑体" w:hAnsi="黑体" w:eastAsia="黑体" w:cs="黑体"/>
          <w:sz w:val="19"/>
          <w:szCs w:val="19"/>
          <w:lang w:eastAsia="zh-CN"/>
        </w:rPr>
      </w:pPr>
      <w:r>
        <w:rPr>
          <w:rFonts w:ascii="黑体" w:hAnsi="黑体" w:eastAsia="黑体" w:cs="黑体"/>
          <w:color w:val="000000" w:themeColor="text1"/>
          <w:sz w:val="19"/>
          <w:szCs w:val="19"/>
          <w14:textFill>
            <w14:solidFill>
              <w14:schemeClr w14:val="tx1"/>
            </w14:solidFill>
          </w14:textFill>
        </w:rPr>
        <w:t>在满足价格扣除条件且在</w:t>
      </w:r>
      <w:r>
        <w:rPr>
          <w:rFonts w:ascii="黑体" w:hAnsi="黑体" w:eastAsia="黑体" w:cs="黑体"/>
          <w:color w:val="000000" w:themeColor="text1"/>
          <w:sz w:val="19"/>
          <w:szCs w:val="19"/>
          <w:lang w:eastAsia="zh-CN"/>
          <w14:textFill>
            <w14:solidFill>
              <w14:schemeClr w14:val="tx1"/>
            </w14:solidFill>
          </w14:textFill>
        </w:rPr>
        <w:t>投标文件</w:t>
      </w:r>
      <w:r>
        <w:rPr>
          <w:rFonts w:ascii="黑体" w:hAnsi="黑体" w:eastAsia="黑体" w:cs="黑体"/>
          <w:color w:val="000000" w:themeColor="text1"/>
          <w:sz w:val="19"/>
          <w:szCs w:val="19"/>
          <w14:textFill>
            <w14:solidFill>
              <w14:schemeClr w14:val="tx1"/>
            </w14:solidFill>
          </w14:textFill>
        </w:rPr>
        <w:t>中按要求提交了《聘用建档立卡贫困人员物业公司声明函》的</w:t>
      </w:r>
      <w:r>
        <w:rPr>
          <w:rFonts w:ascii="黑体" w:hAnsi="黑体" w:eastAsia="黑体" w:cs="黑体"/>
          <w:color w:val="000000" w:themeColor="text1"/>
          <w:sz w:val="19"/>
          <w:szCs w:val="19"/>
          <w:lang w:eastAsia="zh-CN"/>
          <w14:textFill>
            <w14:solidFill>
              <w14:schemeClr w14:val="tx1"/>
            </w14:solidFill>
          </w14:textFill>
        </w:rPr>
        <w:t>投标人</w:t>
      </w:r>
      <w:r>
        <w:rPr>
          <w:rFonts w:ascii="黑体" w:hAnsi="黑体" w:eastAsia="黑体" w:cs="黑体"/>
          <w:color w:val="000000" w:themeColor="text1"/>
          <w:sz w:val="19"/>
          <w:szCs w:val="19"/>
          <w14:textFill>
            <w14:solidFill>
              <w14:schemeClr w14:val="tx1"/>
            </w14:solidFill>
          </w14:textFill>
        </w:rPr>
        <w:t>，对</w:t>
      </w:r>
      <w:r>
        <w:rPr>
          <w:rFonts w:ascii="黑体" w:hAnsi="黑体" w:eastAsia="黑体" w:cs="黑体"/>
          <w:color w:val="000000" w:themeColor="text1"/>
          <w:sz w:val="19"/>
          <w:szCs w:val="19"/>
          <w:lang w:eastAsia="zh-CN"/>
          <w14:textFill>
            <w14:solidFill>
              <w14:schemeClr w14:val="tx1"/>
            </w14:solidFill>
          </w14:textFill>
        </w:rPr>
        <w:t>投标报价</w:t>
      </w:r>
      <w:r>
        <w:rPr>
          <w:rFonts w:ascii="黑体" w:hAnsi="黑体" w:eastAsia="黑体" w:cs="黑体"/>
          <w:color w:val="000000" w:themeColor="text1"/>
          <w:sz w:val="19"/>
          <w:szCs w:val="19"/>
          <w14:textFill>
            <w14:solidFill>
              <w14:schemeClr w14:val="tx1"/>
            </w14:solidFill>
          </w14:textFill>
        </w:rPr>
        <w:t>给予价格扣除，用扣除后的价格参与评审。扣除比例为</w:t>
      </w:r>
      <w:r>
        <w:rPr>
          <w:rFonts w:ascii="黑体" w:hAnsi="黑体" w:eastAsia="黑体" w:cs="黑体"/>
          <w:color w:val="000000" w:themeColor="text1"/>
          <w:sz w:val="19"/>
          <w:szCs w:val="19"/>
          <w:lang w:eastAsia="zh-CN"/>
          <w14:textFill>
            <w14:solidFill>
              <w14:schemeClr w14:val="tx1"/>
            </w14:solidFill>
          </w14:textFill>
        </w:rPr>
        <w:t>投标报价</w:t>
      </w:r>
      <w:r>
        <w:rPr>
          <w:rFonts w:ascii="黑体" w:hAnsi="黑体" w:eastAsia="黑体" w:cs="黑体"/>
          <w:color w:val="000000" w:themeColor="text1"/>
          <w:sz w:val="19"/>
          <w:szCs w:val="19"/>
          <w14:textFill>
            <w14:solidFill>
              <w14:schemeClr w14:val="tx1"/>
            </w14:solidFill>
          </w14:textFill>
        </w:rPr>
        <w:t>的</w:t>
      </w:r>
      <w:r>
        <w:rPr>
          <w:rFonts w:ascii="黑体" w:hAnsi="黑体" w:eastAsia="黑体" w:cs="黑体"/>
          <w:color w:val="000000" w:themeColor="text1"/>
          <w:sz w:val="19"/>
          <w:szCs w:val="19"/>
          <w:u w:val="single"/>
          <w14:textFill>
            <w14:solidFill>
              <w14:schemeClr w14:val="tx1"/>
            </w14:solidFill>
          </w14:textFill>
        </w:rPr>
        <w:t xml:space="preserve">  %</w:t>
      </w:r>
      <w:r>
        <w:rPr>
          <w:rFonts w:ascii="黑体" w:hAnsi="黑体" w:eastAsia="黑体" w:cs="黑体"/>
          <w:sz w:val="19"/>
          <w:szCs w:val="19"/>
          <w:u w:val="single"/>
          <w:lang w:eastAsia="zh-CN"/>
        </w:rPr>
        <w:t>。</w:t>
      </w:r>
    </w:p>
    <w:p w14:paraId="5399984E">
      <w:p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rPr>
        <w:t xml:space="preserve">4.4 </w:t>
      </w:r>
      <w:r>
        <w:rPr>
          <w:rFonts w:hint="eastAsia" w:ascii="黑体" w:hAnsi="黑体" w:eastAsia="黑体" w:cs="黑体"/>
          <w:color w:val="000000" w:themeColor="text1"/>
          <w:sz w:val="19"/>
          <w:szCs w:val="19"/>
          <w14:textFill>
            <w14:solidFill>
              <w14:schemeClr w14:val="tx1"/>
            </w14:solidFill>
          </w14:textFill>
        </w:rPr>
        <w:t>对于有融资需求的供应商，可根据《陕西省财政厅关于加快推进我省中小企业政府采购信用融资工作的通知》（陕财办采〔2020〕15号）、陕西省财政厅关于印发《陕西省中小企业政府采购信用融资办法》（陕财办采〔2018〕23号），在陕西省政府采购金融服务平台进一步了解。</w:t>
      </w:r>
    </w:p>
    <w:p w14:paraId="45D001CF">
      <w:pPr>
        <w:spacing w:before="87" w:beforeLines="20" w:line="480" w:lineRule="exact"/>
        <w:jc w:val="left"/>
        <w:rPr>
          <w:rFonts w:hint="eastAsia"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4.5</w:t>
      </w:r>
      <w:r>
        <w:rPr>
          <w:rFonts w:hint="eastAsia" w:ascii="黑体" w:hAnsi="黑体" w:eastAsia="黑体" w:cs="黑体"/>
          <w:color w:val="000000" w:themeColor="text1"/>
          <w:sz w:val="19"/>
          <w:szCs w:val="19"/>
          <w14:textFill>
            <w14:solidFill>
              <w14:schemeClr w14:val="tx1"/>
            </w14:solidFill>
          </w14:textFill>
        </w:rPr>
        <w:t>本项目严格落实《财政部关于在政府采购活动中对自欧盟进口的医疗器械采取相关措施的通知》</w:t>
      </w:r>
      <w:r>
        <w:rPr>
          <w:rFonts w:hint="eastAsia" w:ascii="黑体" w:hAnsi="黑体" w:eastAsia="黑体" w:cs="黑体"/>
          <w:color w:val="000000" w:themeColor="text1"/>
          <w:sz w:val="19"/>
          <w:szCs w:val="19"/>
          <w:lang w:eastAsia="zh-CN"/>
          <w14:textFill>
            <w14:solidFill>
              <w14:schemeClr w14:val="tx1"/>
            </w14:solidFill>
          </w14:textFill>
        </w:rPr>
        <w:t>（</w:t>
      </w:r>
      <w:r>
        <w:rPr>
          <w:rFonts w:hint="eastAsia" w:ascii="黑体" w:hAnsi="黑体" w:eastAsia="黑体" w:cs="黑体"/>
          <w:color w:val="000000" w:themeColor="text1"/>
          <w:sz w:val="19"/>
          <w:szCs w:val="19"/>
          <w14:textFill>
            <w14:solidFill>
              <w14:schemeClr w14:val="tx1"/>
            </w14:solidFill>
          </w14:textFill>
        </w:rPr>
        <w:t>财库〔2025〕19号</w:t>
      </w:r>
      <w:r>
        <w:rPr>
          <w:rFonts w:hint="eastAsia" w:ascii="黑体" w:hAnsi="黑体" w:eastAsia="黑体" w:cs="黑体"/>
          <w:color w:val="000000" w:themeColor="text1"/>
          <w:sz w:val="19"/>
          <w:szCs w:val="19"/>
          <w:lang w:eastAsia="zh-CN"/>
          <w14:textFill>
            <w14:solidFill>
              <w14:schemeClr w14:val="tx1"/>
            </w14:solidFill>
          </w14:textFill>
        </w:rPr>
        <w:t>）。</w:t>
      </w:r>
    </w:p>
    <w:p w14:paraId="73F54175">
      <w:pPr>
        <w:spacing w:before="87" w:beforeLines="20" w:line="480" w:lineRule="exact"/>
        <w:jc w:val="left"/>
        <w:rPr>
          <w:rFonts w:hint="default" w:ascii="黑体" w:hAnsi="黑体" w:eastAsia="黑体" w:cs="黑体"/>
          <w:color w:val="000000" w:themeColor="text1"/>
          <w:sz w:val="19"/>
          <w:szCs w:val="19"/>
          <w:lang w:val="en-US" w:eastAsia="zh-CN"/>
          <w14:textFill>
            <w14:solidFill>
              <w14:schemeClr w14:val="tx1"/>
            </w14:solidFill>
          </w14:textFill>
        </w:rPr>
      </w:pPr>
      <w:r>
        <w:rPr>
          <w:rFonts w:hint="eastAsia" w:ascii="黑体" w:hAnsi="黑体" w:eastAsia="黑体" w:cs="黑体"/>
          <w:color w:val="000000" w:themeColor="text1"/>
          <w:sz w:val="19"/>
          <w:szCs w:val="19"/>
          <w:lang w:val="en-US" w:eastAsia="zh-CN"/>
          <w14:textFill>
            <w14:solidFill>
              <w14:schemeClr w14:val="tx1"/>
            </w14:solidFill>
          </w14:textFill>
        </w:rPr>
        <w:t>4.6</w:t>
      </w:r>
      <w:r>
        <w:rPr>
          <w:rFonts w:hint="eastAsia" w:ascii="黑体" w:hAnsi="黑体" w:eastAsia="黑体" w:cs="黑体"/>
          <w:color w:val="000000" w:themeColor="text1"/>
          <w:sz w:val="19"/>
          <w:szCs w:val="19"/>
          <w14:textFill>
            <w14:solidFill>
              <w14:schemeClr w14:val="tx1"/>
            </w14:solidFill>
          </w14:textFill>
        </w:rPr>
        <w:t>本项目严格落实《国务院办公厅关于在政府采购中实施本国产品标准及相关政策的通知》</w:t>
      </w:r>
      <w:r>
        <w:rPr>
          <w:rFonts w:hint="eastAsia" w:ascii="黑体" w:hAnsi="黑体" w:eastAsia="黑体" w:cs="黑体"/>
          <w:color w:val="000000" w:themeColor="text1"/>
          <w:sz w:val="19"/>
          <w:szCs w:val="19"/>
          <w:lang w:eastAsia="zh-CN"/>
          <w14:textFill>
            <w14:solidFill>
              <w14:schemeClr w14:val="tx1"/>
            </w14:solidFill>
          </w14:textFill>
        </w:rPr>
        <w:t>（国办发〔2025〕34号）、《关于贯彻落实《国务院办公厅关于在政府采购中实施本国产品标准及相关政策的通知》的意见》（财库〔2025〕30号）</w:t>
      </w:r>
      <w:r>
        <w:rPr>
          <w:rFonts w:hint="eastAsia" w:ascii="黑体" w:hAnsi="黑体" w:eastAsia="黑体" w:cs="黑体"/>
          <w:color w:val="000000" w:themeColor="text1"/>
          <w:sz w:val="19"/>
          <w:szCs w:val="19"/>
          <w14:textFill>
            <w14:solidFill>
              <w14:schemeClr w14:val="tx1"/>
            </w14:solidFill>
          </w14:textFill>
        </w:rPr>
        <w:t>的政策要求，具体如下：</w:t>
      </w:r>
      <w:r>
        <w:rPr>
          <w:rFonts w:hint="eastAsia" w:ascii="黑体" w:hAnsi="黑体" w:eastAsia="黑体" w:cs="黑体"/>
          <w:color w:val="000000" w:themeColor="text1"/>
          <w:sz w:val="19"/>
          <w:szCs w:val="19"/>
          <w:lang w:val="en-US" w:eastAsia="zh-CN"/>
          <w14:textFill>
            <w14:solidFill>
              <w14:schemeClr w14:val="tx1"/>
            </w14:solidFill>
          </w14:textFill>
        </w:rPr>
        <w:t xml:space="preserve">  </w:t>
      </w:r>
    </w:p>
    <w:p w14:paraId="1777961B">
      <w:p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（1）政府采购活动中既有本国产品又有非本国产品参与竞争的，依法对本国产品给予价格评审优惠，对本国产品的报价给20%</w:t>
      </w:r>
      <w:r>
        <w:rPr>
          <w:rFonts w:hint="eastAsia" w:ascii="黑体" w:hAnsi="黑体" w:eastAsia="黑体" w:cs="黑体"/>
          <w:color w:val="000000" w:themeColor="text1"/>
          <w:sz w:val="19"/>
          <w:szCs w:val="19"/>
          <w:lang w:val="en-US" w:eastAsia="zh-CN"/>
          <w14:textFill>
            <w14:solidFill>
              <w14:schemeClr w14:val="tx1"/>
            </w14:solidFill>
          </w14:textFill>
        </w:rPr>
        <w:t xml:space="preserve"> </w:t>
      </w:r>
      <w:r>
        <w:rPr>
          <w:rFonts w:hint="eastAsia" w:ascii="黑体" w:hAnsi="黑体" w:eastAsia="黑体" w:cs="黑体"/>
          <w:color w:val="000000" w:themeColor="text1"/>
          <w:sz w:val="19"/>
          <w:szCs w:val="19"/>
          <w14:textFill>
            <w14:solidFill>
              <w14:schemeClr w14:val="tx1"/>
            </w14:solidFill>
          </w14:textFill>
        </w:rPr>
        <w:t>的价格扣除，用扣除后的价格参与评审。</w:t>
      </w:r>
    </w:p>
    <w:p w14:paraId="14241977">
      <w:p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9E2C0B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w:t>
      </w:r>
      <w:r>
        <w:rPr>
          <w:rFonts w:hint="eastAsia" w:ascii="黑体" w:hAnsi="黑体" w:eastAsia="黑体" w:cs="黑体"/>
          <w:sz w:val="19"/>
          <w:szCs w:val="19"/>
          <w:lang w:val="en-US" w:eastAsia="zh-CN"/>
        </w:rPr>
        <w:t>7</w:t>
      </w:r>
      <w:r>
        <w:rPr>
          <w:rFonts w:hint="eastAsia" w:ascii="黑体" w:hAnsi="黑体" w:eastAsia="黑体" w:cs="黑体"/>
          <w:sz w:val="19"/>
          <w:szCs w:val="19"/>
        </w:rPr>
        <w:t xml:space="preserve">本项目严格落实各项政府采购政策，如有颁布最新政策，以最新已生效的政策为准。 </w:t>
      </w:r>
    </w:p>
    <w:p w14:paraId="7E86F1B8">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5.评标程序</w:t>
      </w:r>
    </w:p>
    <w:p w14:paraId="1E931EAE">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5.1熟悉和理解招标文件和停止评标</w:t>
      </w:r>
    </w:p>
    <w:p w14:paraId="43D22158">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1.评标委员会正式评审前，应当对招标文件进行熟悉和理解，内容主要包括招标文件中供应商资格资质性要求、采购项目技术、服务和商务要求、评审方法和标准以及可能涉及签订政府采购合同的内容等。</w:t>
      </w:r>
    </w:p>
    <w:p w14:paraId="39CB4436">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2.本招标文件有下列情形之一的，评标委员会应当停止评标：</w:t>
      </w:r>
    </w:p>
    <w:p w14:paraId="12DFCAFE">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（1）招标文件的规定存在歧义、重大缺陷的；</w:t>
      </w:r>
    </w:p>
    <w:p w14:paraId="445ED8DC">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（2）招标文件明显以不合理条件对供应商实行差别待遇或者歧视待遇的；</w:t>
      </w:r>
    </w:p>
    <w:p w14:paraId="38804CBE">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（3）招标文件将投标人的资格条件列为评分因素的；</w:t>
      </w:r>
    </w:p>
    <w:p w14:paraId="2AF5C758">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（4）招标文件有违反国家其他有关强制性规定的情形。</w:t>
      </w:r>
    </w:p>
    <w:p w14:paraId="52541289">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出现上述应当停止评标情形的，评标委员会应当书面向采购组织单位提交相关说明材料，说明停止评审的情形和具体理由。除上述情形外，评标委员会不得以任何方式和理由停止评标。</w:t>
      </w:r>
    </w:p>
    <w:p w14:paraId="1FCEBEAB">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出现上述应当停止评标情形的，采购代理机构应当告知参加采购活动的供应商，并说明具体原因，同时在投标人须知前附表指定的信息发布媒体上公告。采购组织单位认为评标委员会不应当停止评标的，可以书面报告采购项目同级财政部门依法处理，并提供相关证明材料。</w:t>
      </w:r>
    </w:p>
    <w:p w14:paraId="1531FEFF">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5.2符合性审查</w:t>
      </w:r>
    </w:p>
    <w:p w14:paraId="56B735C4">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评标委员会依据本招标文件的实质性要求，对符合资格的投标文件进行审查，以确定其是否满足本招标文件的实质性要求。本项目符合性审查事项，必须以本招标文件明确规定的实质性要求作为依据。</w:t>
      </w:r>
    </w:p>
    <w:p w14:paraId="7CFA6231">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在符合性审查过程中，如果出现评标委员会成员意见不一致的情况，按照少数服从多数的原则确定，但不得违背政府采购基本原则和招标文件规定。</w:t>
      </w:r>
    </w:p>
    <w:p w14:paraId="352CE5D8">
      <w:pPr>
        <w:spacing w:before="87" w:beforeLines="20" w:line="480" w:lineRule="exact"/>
        <w:jc w:val="left"/>
        <w:outlineLvl w:val="0"/>
        <w:rPr>
          <w:rFonts w:hint="eastAsia" w:ascii="黑体" w:hAnsi="黑体" w:eastAsia="黑体" w:cs="黑体"/>
          <w:sz w:val="19"/>
          <w:szCs w:val="19"/>
        </w:rPr>
      </w:pPr>
      <w:bookmarkStart w:id="39" w:name="_Toc6068"/>
      <w:r>
        <w:rPr>
          <w:rFonts w:hint="eastAsia" w:ascii="黑体" w:hAnsi="黑体" w:eastAsia="黑体" w:cs="黑体"/>
          <w:sz w:val="19"/>
          <w:szCs w:val="19"/>
        </w:rPr>
        <w:t>符合性审查标准见下表：</w:t>
      </w:r>
      <w:bookmarkEnd w:id="39"/>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5"/>
        <w:gridCol w:w="3461"/>
        <w:gridCol w:w="5143"/>
      </w:tblGrid>
      <w:tr w14:paraId="74191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4" w:hRule="atLeast"/>
        </w:trPr>
        <w:tc>
          <w:tcPr>
            <w:tcW w:w="835" w:type="dxa"/>
          </w:tcPr>
          <w:p w14:paraId="4612828B">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 xml:space="preserve"> 序号</w:t>
            </w:r>
          </w:p>
        </w:tc>
        <w:tc>
          <w:tcPr>
            <w:tcW w:w="3461" w:type="dxa"/>
          </w:tcPr>
          <w:p w14:paraId="4F21BDA1">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 xml:space="preserve"> 符合审查要求概况</w:t>
            </w:r>
          </w:p>
        </w:tc>
        <w:tc>
          <w:tcPr>
            <w:tcW w:w="5143" w:type="dxa"/>
          </w:tcPr>
          <w:p w14:paraId="06A683E9">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 xml:space="preserve"> 评审点具体描述</w:t>
            </w:r>
          </w:p>
        </w:tc>
      </w:tr>
      <w:tr w14:paraId="5A647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03" w:hRule="atLeast"/>
        </w:trPr>
        <w:tc>
          <w:tcPr>
            <w:tcW w:w="835" w:type="dxa"/>
          </w:tcPr>
          <w:p w14:paraId="5E8CE989">
            <w:pPr>
              <w:spacing w:before="87" w:beforeLines="20" w:line="480" w:lineRule="exact"/>
              <w:jc w:val="center"/>
              <w:rPr>
                <w:rFonts w:hint="eastAsia" w:ascii="黑体" w:hAnsi="黑体" w:eastAsia="黑体" w:cs="黑体"/>
                <w:sz w:val="19"/>
                <w:szCs w:val="19"/>
              </w:rPr>
            </w:pPr>
            <w:r>
              <w:rPr>
                <w:rFonts w:hint="eastAsia" w:ascii="黑体" w:hAnsi="黑体" w:eastAsia="黑体" w:cs="黑体"/>
                <w:sz w:val="19"/>
                <w:szCs w:val="19"/>
              </w:rPr>
              <w:t>1</w:t>
            </w:r>
          </w:p>
        </w:tc>
        <w:tc>
          <w:tcPr>
            <w:tcW w:w="3461" w:type="dxa"/>
          </w:tcPr>
          <w:p w14:paraId="5D03DDE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不正当竞争预防措施</w:t>
            </w:r>
          </w:p>
        </w:tc>
        <w:tc>
          <w:tcPr>
            <w:tcW w:w="5143" w:type="dxa"/>
          </w:tcPr>
          <w:p w14:paraId="18D835DE">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在评标过程中，评标委员会认为投标人报价明显低于其他实质性响应的投标人报价，有可能影响服务质量或者不能诚信履约的，评标委员会应当要求其在1小时内提供成本构成书面说明，并提交相关证明材料。书面说明应当按照国家财务会计制度的规定要求，逐项就投标人提供服务的主营业务成本（应根据投标人企业类型予以区别）、税金及附加、销售费用、管理费用、财务费用等成本构成事项详细陈述。 2.投标人提交的相关说明和证明材料，应当加盖投标人印章，在评标委员会要求的时间内书面提交，否则提交的相关证明材料无效。投标人不能证明其投标报价合理性的，评标委员会应当将其投标文件作无效处理。</w:t>
            </w:r>
          </w:p>
        </w:tc>
      </w:tr>
      <w:tr w14:paraId="52EB3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835" w:type="dxa"/>
            <w:vAlign w:val="center"/>
          </w:tcPr>
          <w:p w14:paraId="118A5F11">
            <w:pPr>
              <w:pStyle w:val="36"/>
              <w:jc w:val="center"/>
              <w:rPr>
                <w:rFonts w:ascii="黑体" w:hAnsi="黑体" w:eastAsia="黑体" w:cs="黑体"/>
                <w:sz w:val="19"/>
                <w:szCs w:val="19"/>
                <w:highlight w:val="yellow"/>
                <w:lang w:eastAsia="zh-CN"/>
              </w:rPr>
            </w:pPr>
            <w:r>
              <w:rPr>
                <w:rFonts w:ascii="黑体" w:hAnsi="黑体" w:eastAsia="黑体" w:cs="黑体"/>
                <w:color w:val="000000" w:themeColor="text1"/>
                <w:sz w:val="19"/>
                <w:szCs w:val="19"/>
                <w:lang w:eastAsia="zh-CN"/>
                <w14:textFill>
                  <w14:solidFill>
                    <w14:schemeClr w14:val="tx1"/>
                  </w14:solidFill>
                </w14:textFill>
              </w:rPr>
              <w:t>2</w:t>
            </w:r>
          </w:p>
        </w:tc>
        <w:tc>
          <w:tcPr>
            <w:tcW w:w="3461" w:type="dxa"/>
            <w:vAlign w:val="center"/>
          </w:tcPr>
          <w:p w14:paraId="5B6E598E">
            <w:pPr>
              <w:pStyle w:val="36"/>
              <w:rPr>
                <w:rFonts w:ascii="黑体" w:hAnsi="黑体" w:eastAsia="黑体" w:cs="黑体"/>
                <w:sz w:val="19"/>
                <w:szCs w:val="19"/>
                <w:lang w:eastAsia="zh-CN"/>
              </w:rPr>
            </w:pPr>
            <w:r>
              <w:rPr>
                <w:rFonts w:ascii="黑体" w:hAnsi="黑体" w:eastAsia="黑体" w:cs="黑体"/>
                <w:color w:val="000000" w:themeColor="text1"/>
                <w:sz w:val="19"/>
                <w:szCs w:val="19"/>
                <w14:textFill>
                  <w14:solidFill>
                    <w14:schemeClr w14:val="tx1"/>
                  </w14:solidFill>
                </w14:textFill>
              </w:rPr>
              <w:t>签署</w:t>
            </w:r>
            <w:r>
              <w:rPr>
                <w:rFonts w:ascii="黑体" w:hAnsi="黑体" w:eastAsia="黑体" w:cs="黑体"/>
                <w:color w:val="000000" w:themeColor="text1"/>
                <w:sz w:val="19"/>
                <w:szCs w:val="19"/>
                <w:lang w:eastAsia="zh-CN"/>
                <w14:textFill>
                  <w14:solidFill>
                    <w14:schemeClr w14:val="tx1"/>
                  </w14:solidFill>
                </w14:textFill>
              </w:rPr>
              <w:t>、</w:t>
            </w:r>
            <w:r>
              <w:rPr>
                <w:rFonts w:ascii="黑体" w:hAnsi="黑体" w:eastAsia="黑体" w:cs="黑体"/>
                <w:color w:val="000000" w:themeColor="text1"/>
                <w:sz w:val="19"/>
                <w:szCs w:val="19"/>
                <w14:textFill>
                  <w14:solidFill>
                    <w14:schemeClr w14:val="tx1"/>
                  </w14:solidFill>
                </w14:textFill>
              </w:rPr>
              <w:t>盖章</w:t>
            </w:r>
          </w:p>
        </w:tc>
        <w:tc>
          <w:tcPr>
            <w:tcW w:w="5143" w:type="dxa"/>
            <w:vAlign w:val="center"/>
          </w:tcPr>
          <w:p w14:paraId="6A373182">
            <w:pPr>
              <w:pStyle w:val="36"/>
              <w:rPr>
                <w:rFonts w:ascii="黑体" w:hAnsi="黑体" w:eastAsia="黑体" w:cs="黑体"/>
                <w:sz w:val="19"/>
                <w:szCs w:val="19"/>
                <w:lang w:eastAsia="zh-CN"/>
              </w:rPr>
            </w:pPr>
            <w:r>
              <w:rPr>
                <w:rFonts w:ascii="黑体" w:hAnsi="黑体" w:eastAsia="黑体" w:cs="黑体"/>
                <w:color w:val="000000" w:themeColor="text1"/>
                <w:sz w:val="19"/>
                <w:szCs w:val="19"/>
                <w14:textFill>
                  <w14:solidFill>
                    <w14:schemeClr w14:val="tx1"/>
                  </w14:solidFill>
                </w14:textFill>
              </w:rPr>
              <w:t>投标文件按招标文件要求签署、盖章</w:t>
            </w:r>
            <w:r>
              <w:rPr>
                <w:rFonts w:ascii="黑体" w:hAnsi="黑体" w:eastAsia="黑体" w:cs="黑体"/>
                <w:color w:val="000000" w:themeColor="text1"/>
                <w:sz w:val="19"/>
                <w:szCs w:val="19"/>
                <w:lang w:eastAsia="zh-CN"/>
                <w14:textFill>
                  <w14:solidFill>
                    <w14:schemeClr w14:val="tx1"/>
                  </w14:solidFill>
                </w14:textFill>
              </w:rPr>
              <w:t>的</w:t>
            </w:r>
          </w:p>
        </w:tc>
      </w:tr>
      <w:tr w14:paraId="233F8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835" w:type="dxa"/>
            <w:vAlign w:val="center"/>
          </w:tcPr>
          <w:p w14:paraId="544DCD22">
            <w:pPr>
              <w:pStyle w:val="36"/>
              <w:jc w:val="center"/>
              <w:rPr>
                <w:rFonts w:ascii="黑体" w:hAnsi="黑体" w:eastAsia="黑体" w:cs="黑体"/>
                <w:sz w:val="19"/>
                <w:szCs w:val="19"/>
                <w:highlight w:val="yellow"/>
                <w:lang w:eastAsia="zh-CN"/>
              </w:rPr>
            </w:pPr>
            <w:r>
              <w:rPr>
                <w:rFonts w:ascii="黑体" w:hAnsi="黑体" w:eastAsia="黑体" w:cs="黑体"/>
                <w:color w:val="000000" w:themeColor="text1"/>
                <w:sz w:val="19"/>
                <w:szCs w:val="19"/>
                <w:lang w:eastAsia="zh-CN"/>
                <w14:textFill>
                  <w14:solidFill>
                    <w14:schemeClr w14:val="tx1"/>
                  </w14:solidFill>
                </w14:textFill>
              </w:rPr>
              <w:t>3</w:t>
            </w:r>
          </w:p>
        </w:tc>
        <w:tc>
          <w:tcPr>
            <w:tcW w:w="3461" w:type="dxa"/>
            <w:vAlign w:val="center"/>
          </w:tcPr>
          <w:p w14:paraId="0691A5E8">
            <w:pPr>
              <w:pStyle w:val="36"/>
              <w:rPr>
                <w:rFonts w:ascii="黑体" w:hAnsi="黑体" w:eastAsia="黑体" w:cs="黑体"/>
                <w:sz w:val="19"/>
                <w:szCs w:val="19"/>
                <w:lang w:eastAsia="zh-CN"/>
              </w:rPr>
            </w:pPr>
            <w:r>
              <w:rPr>
                <w:rFonts w:ascii="黑体" w:hAnsi="黑体" w:eastAsia="黑体" w:cs="黑体"/>
                <w:color w:val="000000" w:themeColor="text1"/>
                <w:sz w:val="19"/>
                <w:szCs w:val="19"/>
                <w:lang w:eastAsia="zh-CN"/>
                <w14:textFill>
                  <w14:solidFill>
                    <w14:schemeClr w14:val="tx1"/>
                  </w14:solidFill>
                </w14:textFill>
              </w:rPr>
              <w:t>投标</w:t>
            </w:r>
            <w:r>
              <w:rPr>
                <w:rFonts w:ascii="黑体" w:hAnsi="黑体" w:eastAsia="黑体" w:cs="黑体"/>
                <w:color w:val="000000" w:themeColor="text1"/>
                <w:sz w:val="19"/>
                <w:szCs w:val="19"/>
                <w14:textFill>
                  <w14:solidFill>
                    <w14:schemeClr w14:val="tx1"/>
                  </w14:solidFill>
                </w14:textFill>
              </w:rPr>
              <w:t>报价</w:t>
            </w:r>
          </w:p>
        </w:tc>
        <w:tc>
          <w:tcPr>
            <w:tcW w:w="5143" w:type="dxa"/>
            <w:vAlign w:val="center"/>
          </w:tcPr>
          <w:p w14:paraId="72D3B93C">
            <w:pPr>
              <w:pStyle w:val="36"/>
              <w:rPr>
                <w:rFonts w:ascii="黑体" w:hAnsi="黑体" w:eastAsia="黑体" w:cs="黑体"/>
                <w:sz w:val="19"/>
                <w:szCs w:val="19"/>
                <w:lang w:eastAsia="zh-CN"/>
              </w:rPr>
            </w:pPr>
            <w:r>
              <w:rPr>
                <w:rFonts w:ascii="黑体" w:hAnsi="黑体" w:eastAsia="黑体" w:cs="黑体"/>
                <w:color w:val="000000" w:themeColor="text1"/>
                <w:sz w:val="19"/>
                <w:szCs w:val="19"/>
                <w:lang w:eastAsia="zh-CN"/>
                <w14:textFill>
                  <w14:solidFill>
                    <w14:schemeClr w14:val="tx1"/>
                  </w14:solidFill>
                </w14:textFill>
              </w:rPr>
              <w:t>报价未超过招标文件中规定的预算金额或者最高限价的</w:t>
            </w:r>
          </w:p>
        </w:tc>
      </w:tr>
      <w:tr w14:paraId="39958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835" w:type="dxa"/>
            <w:vAlign w:val="center"/>
          </w:tcPr>
          <w:p w14:paraId="68F271FF">
            <w:pPr>
              <w:pStyle w:val="36"/>
              <w:jc w:val="center"/>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4</w:t>
            </w:r>
          </w:p>
        </w:tc>
        <w:tc>
          <w:tcPr>
            <w:tcW w:w="3461" w:type="dxa"/>
            <w:vAlign w:val="center"/>
          </w:tcPr>
          <w:p w14:paraId="74B54B3A">
            <w:pPr>
              <w:pStyle w:val="36"/>
              <w:rPr>
                <w:rFonts w:ascii="黑体" w:hAnsi="黑体" w:eastAsia="黑体" w:cs="黑体"/>
                <w:color w:val="000000" w:themeColor="text1"/>
                <w:sz w:val="19"/>
                <w:szCs w:val="19"/>
                <w:lang w:eastAsia="zh-CN"/>
                <w14:textFill>
                  <w14:solidFill>
                    <w14:schemeClr w14:val="tx1"/>
                  </w14:solidFill>
                </w14:textFill>
              </w:rPr>
            </w:pPr>
            <w:r>
              <w:rPr>
                <w:rFonts w:ascii="黑体" w:hAnsi="黑体" w:eastAsia="黑体" w:cs="黑体"/>
                <w:color w:val="000000" w:themeColor="text1"/>
                <w:sz w:val="19"/>
                <w:szCs w:val="19"/>
                <w:lang w:eastAsia="zh-CN"/>
                <w14:textFill>
                  <w14:solidFill>
                    <w14:schemeClr w14:val="tx1"/>
                  </w14:solidFill>
                </w14:textFill>
              </w:rPr>
              <w:t>附加条件</w:t>
            </w:r>
          </w:p>
        </w:tc>
        <w:tc>
          <w:tcPr>
            <w:tcW w:w="5143" w:type="dxa"/>
            <w:vAlign w:val="center"/>
          </w:tcPr>
          <w:p w14:paraId="0391DB34">
            <w:pPr>
              <w:pStyle w:val="36"/>
              <w:rPr>
                <w:rFonts w:ascii="黑体" w:hAnsi="黑体" w:eastAsia="黑体" w:cs="黑体"/>
                <w:sz w:val="19"/>
                <w:szCs w:val="19"/>
                <w:lang w:eastAsia="zh-CN"/>
              </w:rPr>
            </w:pPr>
            <w:r>
              <w:rPr>
                <w:rFonts w:ascii="黑体" w:hAnsi="黑体" w:eastAsia="黑体" w:cs="黑体"/>
                <w:sz w:val="19"/>
                <w:szCs w:val="19"/>
                <w:lang w:eastAsia="zh-CN"/>
              </w:rPr>
              <w:t>投标文件未含有采购人不能接受的附加条件的</w:t>
            </w:r>
          </w:p>
        </w:tc>
      </w:tr>
      <w:tr w14:paraId="0BBD8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835" w:type="dxa"/>
            <w:vAlign w:val="center"/>
          </w:tcPr>
          <w:p w14:paraId="1AE0C012">
            <w:pPr>
              <w:pStyle w:val="36"/>
              <w:jc w:val="center"/>
              <w:rPr>
                <w:rFonts w:ascii="黑体" w:hAnsi="黑体" w:eastAsia="黑体" w:cs="黑体"/>
                <w:sz w:val="19"/>
                <w:szCs w:val="19"/>
                <w:highlight w:val="yellow"/>
                <w:lang w:eastAsia="zh-CN"/>
              </w:rPr>
            </w:pPr>
            <w:r>
              <w:rPr>
                <w:rFonts w:ascii="黑体" w:hAnsi="黑体" w:eastAsia="黑体" w:cs="黑体"/>
                <w:color w:val="000000" w:themeColor="text1"/>
                <w:sz w:val="19"/>
                <w:szCs w:val="19"/>
                <w:lang w:eastAsia="zh-CN"/>
                <w14:textFill>
                  <w14:solidFill>
                    <w14:schemeClr w14:val="tx1"/>
                  </w14:solidFill>
                </w14:textFill>
              </w:rPr>
              <w:t>5</w:t>
            </w:r>
          </w:p>
        </w:tc>
        <w:tc>
          <w:tcPr>
            <w:tcW w:w="3461" w:type="dxa"/>
            <w:vAlign w:val="center"/>
          </w:tcPr>
          <w:p w14:paraId="1BDE8AF0">
            <w:pPr>
              <w:pStyle w:val="36"/>
              <w:rPr>
                <w:rFonts w:ascii="黑体" w:hAnsi="黑体" w:eastAsia="黑体" w:cs="黑体"/>
                <w:sz w:val="19"/>
                <w:szCs w:val="19"/>
                <w:lang w:eastAsia="zh-CN"/>
              </w:rPr>
            </w:pPr>
            <w:r>
              <w:rPr>
                <w:rFonts w:ascii="黑体" w:hAnsi="黑体" w:eastAsia="黑体" w:cs="黑体"/>
                <w:color w:val="000000" w:themeColor="text1"/>
                <w:sz w:val="19"/>
                <w:szCs w:val="19"/>
                <w:lang w:eastAsia="zh-CN"/>
                <w14:textFill>
                  <w14:solidFill>
                    <w14:schemeClr w14:val="tx1"/>
                  </w14:solidFill>
                </w14:textFill>
              </w:rPr>
              <w:t>投标</w:t>
            </w:r>
            <w:r>
              <w:rPr>
                <w:rFonts w:ascii="黑体" w:hAnsi="黑体" w:eastAsia="黑体" w:cs="黑体"/>
                <w:color w:val="000000" w:themeColor="text1"/>
                <w:sz w:val="19"/>
                <w:szCs w:val="19"/>
                <w14:textFill>
                  <w14:solidFill>
                    <w14:schemeClr w14:val="tx1"/>
                  </w14:solidFill>
                </w14:textFill>
              </w:rPr>
              <w:t>有效期</w:t>
            </w:r>
          </w:p>
        </w:tc>
        <w:tc>
          <w:tcPr>
            <w:tcW w:w="5143" w:type="dxa"/>
            <w:vAlign w:val="center"/>
          </w:tcPr>
          <w:p w14:paraId="78E64E92">
            <w:pPr>
              <w:pStyle w:val="36"/>
              <w:rPr>
                <w:rFonts w:ascii="黑体" w:hAnsi="黑体" w:eastAsia="黑体" w:cs="黑体"/>
                <w:sz w:val="19"/>
                <w:szCs w:val="19"/>
                <w:lang w:eastAsia="zh-CN"/>
              </w:rPr>
            </w:pPr>
            <w:r>
              <w:rPr>
                <w:rFonts w:ascii="黑体" w:hAnsi="黑体" w:eastAsia="黑体" w:cs="黑体"/>
                <w:sz w:val="19"/>
                <w:szCs w:val="19"/>
                <w:lang w:eastAsia="zh-CN"/>
              </w:rPr>
              <w:t>投标文件中承诺的投标有效期不少于招标文件载明的投标有效期的</w:t>
            </w:r>
          </w:p>
        </w:tc>
      </w:tr>
      <w:tr w14:paraId="29231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8" w:hRule="atLeast"/>
        </w:trPr>
        <w:tc>
          <w:tcPr>
            <w:tcW w:w="835" w:type="dxa"/>
            <w:vAlign w:val="center"/>
          </w:tcPr>
          <w:p w14:paraId="14CB81A2">
            <w:pPr>
              <w:pStyle w:val="36"/>
              <w:jc w:val="center"/>
              <w:rPr>
                <w:rFonts w:ascii="黑体" w:hAnsi="黑体" w:eastAsia="黑体" w:cs="黑体"/>
                <w:sz w:val="19"/>
                <w:szCs w:val="19"/>
                <w:highlight w:val="yellow"/>
                <w:lang w:eastAsia="zh-CN"/>
              </w:rPr>
            </w:pPr>
            <w:r>
              <w:rPr>
                <w:rFonts w:ascii="黑体" w:hAnsi="黑体" w:eastAsia="黑体" w:cs="黑体"/>
                <w:color w:val="000000" w:themeColor="text1"/>
                <w:sz w:val="19"/>
                <w:szCs w:val="19"/>
                <w:lang w:eastAsia="zh-CN"/>
                <w14:textFill>
                  <w14:solidFill>
                    <w14:schemeClr w14:val="tx1"/>
                  </w14:solidFill>
                </w14:textFill>
              </w:rPr>
              <w:t>6</w:t>
            </w:r>
          </w:p>
        </w:tc>
        <w:tc>
          <w:tcPr>
            <w:tcW w:w="3461" w:type="dxa"/>
            <w:vAlign w:val="center"/>
          </w:tcPr>
          <w:p w14:paraId="040CBC2E">
            <w:pPr>
              <w:pStyle w:val="36"/>
              <w:rPr>
                <w:rFonts w:ascii="黑体" w:hAnsi="黑体" w:eastAsia="黑体" w:cs="黑体"/>
                <w:sz w:val="19"/>
                <w:szCs w:val="19"/>
                <w:lang w:eastAsia="zh-CN"/>
              </w:rPr>
            </w:pPr>
            <w:r>
              <w:rPr>
                <w:rFonts w:ascii="黑体" w:hAnsi="黑体" w:eastAsia="黑体" w:cs="黑体"/>
                <w:color w:val="000000" w:themeColor="text1"/>
                <w:sz w:val="19"/>
                <w:szCs w:val="19"/>
                <w14:textFill>
                  <w14:solidFill>
                    <w14:schemeClr w14:val="tx1"/>
                  </w14:solidFill>
                </w14:textFill>
              </w:rPr>
              <w:t>实质性条款</w:t>
            </w:r>
          </w:p>
        </w:tc>
        <w:tc>
          <w:tcPr>
            <w:tcW w:w="5143" w:type="dxa"/>
            <w:vAlign w:val="center"/>
          </w:tcPr>
          <w:p w14:paraId="071ECDD2">
            <w:pPr>
              <w:pStyle w:val="36"/>
              <w:rPr>
                <w:rFonts w:ascii="黑体" w:hAnsi="黑体" w:eastAsia="黑体" w:cs="黑体"/>
                <w:sz w:val="19"/>
                <w:szCs w:val="19"/>
                <w:lang w:eastAsia="zh-CN"/>
              </w:rPr>
            </w:pPr>
            <w:r>
              <w:rPr>
                <w:rFonts w:ascii="黑体" w:hAnsi="黑体" w:eastAsia="黑体" w:cs="黑体"/>
                <w:color w:val="000000" w:themeColor="text1"/>
                <w:sz w:val="19"/>
                <w:szCs w:val="19"/>
                <w:lang w:eastAsia="zh-CN"/>
                <w14:textFill>
                  <w14:solidFill>
                    <w14:schemeClr w14:val="tx1"/>
                  </w14:solidFill>
                </w14:textFill>
              </w:rPr>
              <w:t>投标文件符合法律、法规和招标文件</w:t>
            </w:r>
            <w:r>
              <w:rPr>
                <w:rFonts w:ascii="黑体" w:hAnsi="黑体" w:eastAsia="黑体" w:cs="黑体"/>
                <w:color w:val="000000" w:themeColor="text1"/>
                <w:sz w:val="19"/>
                <w:szCs w:val="19"/>
                <w14:textFill>
                  <w14:solidFill>
                    <w14:schemeClr w14:val="tx1"/>
                  </w14:solidFill>
                </w14:textFill>
              </w:rPr>
              <w:t>中标注 “★”的实质性条款要求</w:t>
            </w:r>
            <w:r>
              <w:rPr>
                <w:rFonts w:ascii="黑体" w:hAnsi="黑体" w:eastAsia="黑体" w:cs="黑体"/>
                <w:color w:val="000000" w:themeColor="text1"/>
                <w:sz w:val="19"/>
                <w:szCs w:val="19"/>
                <w:lang w:eastAsia="zh-CN"/>
                <w14:textFill>
                  <w14:solidFill>
                    <w14:schemeClr w14:val="tx1"/>
                  </w14:solidFill>
                </w14:textFill>
              </w:rPr>
              <w:t>的</w:t>
            </w:r>
          </w:p>
        </w:tc>
      </w:tr>
    </w:tbl>
    <w:p w14:paraId="56B3246C">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以上实质性要求全部响应并满足采购需求的，则通过符合性审查；如有任意一项未响应或不满足采购需求的，则按无效投标文件处理。</w:t>
      </w:r>
    </w:p>
    <w:p w14:paraId="02EE5BE3">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6.解释、澄清有关问题</w:t>
      </w:r>
    </w:p>
    <w:p w14:paraId="5FEE77C1">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6.1评标过程中，评标委员会认为招标文件有关事项表述不明确或需要说明的，可以提请采购代理机构书面解释。</w:t>
      </w:r>
    </w:p>
    <w:p w14:paraId="23670AFE">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6.2对投标文件中含义不明确、同类问题表述不一致或者有明显文字和计算错误的内容，评标委员会应当要求投标人作出必要的澄清、说明或更正，并给予投标人必要的反馈时间。投标人应当按评标委员会的要求进行澄清、说明或者更正。投标人的澄清、说明或者更正不得超出投标文件的范围或者改变投标文件的实质性内容。澄清、说明或者更正不影响投标文件的效力，有效的澄清、说明或者更正材料是投标文件的组成部分。</w:t>
      </w:r>
    </w:p>
    <w:p w14:paraId="79642CBD">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6.3投标人的澄清、说明或者更正应当不超出投标文件的范围、不实质性改变投标文件的内容、不影响投标人的公平竞争、不导致投标文件从不响应招标文件变为响应招标文件的条件。下列内容不得澄清：</w:t>
      </w:r>
    </w:p>
    <w:p w14:paraId="625D9CD0">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（1）投标人投标文件中不响应招标文件规定的技术参数指标；</w:t>
      </w:r>
    </w:p>
    <w:p w14:paraId="0A7481C9">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（2）投标人投标文件中未提供的证明其是否符合招标文件资格、符合性规定要求的相关材料。</w:t>
      </w:r>
    </w:p>
    <w:p w14:paraId="6072AFAC">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（3）投标人投标文件中的材料因印刷、影印等不清晰而难以辨认的。</w:t>
      </w:r>
    </w:p>
    <w:p w14:paraId="2843C1BB">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6.4投标文件报价出现下列情况的，按以下原则处理：</w:t>
      </w:r>
    </w:p>
    <w:p w14:paraId="3B55C4F1">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（1）投标文件中开标一览表内容与投标文件中相应内容不一致的，以开标一览表为准；</w:t>
      </w:r>
    </w:p>
    <w:p w14:paraId="19F20F9F">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（2）大写金额和小写金额不一致的，以大写金额为准，但大写金额出现文字错误，导致金额无法判断的除外；</w:t>
      </w:r>
    </w:p>
    <w:p w14:paraId="339C2EF3">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（3）单价金额小数点或者百分比有明显错位的，以开标一览表总价为准，并修改单价；</w:t>
      </w:r>
    </w:p>
    <w:p w14:paraId="0CA71466">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（4）总价金额与按单价汇总金额不一致的，以单价金额计算结果为准。</w:t>
      </w:r>
    </w:p>
    <w:p w14:paraId="7584E22D">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同时出现两种以上不一致的，按照前款规定的顺序修正。修正后的报价经投标人确认后产生约束力，投标人不确认的，其投标无效。</w:t>
      </w:r>
    </w:p>
    <w:p w14:paraId="4B98B392">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6.5.对不同语言文本投标文件的解释发生异议的，以中文文本为准。评标委员会应当积极履行澄清、说明或者更正的职责，不得滥用权力。</w:t>
      </w:r>
    </w:p>
    <w:p w14:paraId="34F2C0D5">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7.比较与评价</w:t>
      </w:r>
    </w:p>
    <w:p w14:paraId="7F0CA24D">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7.1评标委员会应当按照招标文件规定的评标细则及标准，对符合性审查合格的投标文件进行商务和技术评估，综合比较和评价。</w:t>
      </w:r>
    </w:p>
    <w:p w14:paraId="73E54DA0">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7.2.多家投标人提供相同品牌产品（单一产品采购项目中的该产品或者非单一产品采购项目的核心产品）且通过资格审查、符合性审查的不同投标人参加同一合同项下投标的，按一家供应商计算，评审后得分最高的同品牌供应商获得中标人推荐资格；评审得分相同的，采取随机抽取方式确定，其他同品牌供应商不作为中标候选人。若核心产品不止1个，各投标人所投任一核心产品的品牌相同，则按一家投标人计算。</w:t>
      </w:r>
    </w:p>
    <w:p w14:paraId="28C555A7">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8.复核</w:t>
      </w:r>
    </w:p>
    <w:p w14:paraId="7FD6D0D8">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评分汇总结束后，评标委员会应当进行复核，对拟推荐为中标候选供应商、报价最低、投标文件被认定为无效等情形进行重点复核。评标结果汇总完成后，评标委员会拟出具评标报告前，采购代理机构依据有关的法律制度和招标文件对评标结果进行复核。评标结果汇总完成后，除下列情形外，任何人不得修改评标结果：</w:t>
      </w:r>
    </w:p>
    <w:p w14:paraId="65052C0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（1）分值汇总计算错误的；</w:t>
      </w:r>
    </w:p>
    <w:p w14:paraId="41C3657A">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（2）分项评分超出评分标准范围的；</w:t>
      </w:r>
    </w:p>
    <w:p w14:paraId="756E77B5">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（3）评标委员会成员对客观评审因素评分不一致的；</w:t>
      </w:r>
    </w:p>
    <w:p w14:paraId="4152AF1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（4）经评标委员会认定评分畸高、畸低的。</w:t>
      </w:r>
    </w:p>
    <w:p w14:paraId="1AD214AD">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7179A08">
      <w:pPr>
        <w:spacing w:before="87" w:beforeLines="20" w:line="480" w:lineRule="exact"/>
        <w:jc w:val="left"/>
        <w:rPr>
          <w:rFonts w:hint="eastAsia" w:ascii="黑体" w:hAnsi="黑体" w:eastAsia="黑体" w:cs="黑体"/>
          <w:b/>
          <w:bCs/>
          <w:sz w:val="19"/>
          <w:szCs w:val="19"/>
          <w:highlight w:val="yellow"/>
        </w:rPr>
      </w:pPr>
      <w:r>
        <w:rPr>
          <w:rFonts w:hint="eastAsia" w:ascii="黑体" w:hAnsi="黑体" w:eastAsia="黑体" w:cs="黑体"/>
          <w:b/>
          <w:bCs/>
          <w:sz w:val="19"/>
          <w:szCs w:val="19"/>
        </w:rPr>
        <w:t>9.确定中标候选人名单</w:t>
      </w:r>
    </w:p>
    <w:p w14:paraId="52A5AFFF">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本项目采用综合评分法，评标结果按评审后综合得分由高到低顺序排列，确定3名中标候选人。得分相同的，按投标报价由低到高顺序排列，得分且投标报价相同的排序并列。</w:t>
      </w:r>
    </w:p>
    <w:p w14:paraId="770261C8">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10.编写评标报告</w:t>
      </w:r>
    </w:p>
    <w:p w14:paraId="26059C0B">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评标报告是评标委员会根据全体评标成员签字的评标记录和评标结果编写的报告，其主要内容包括：</w:t>
      </w:r>
    </w:p>
    <w:p w14:paraId="1BC8F052">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10.</w:t>
      </w:r>
      <w:r>
        <w:rPr>
          <w:rFonts w:ascii="黑体" w:hAnsi="黑体" w:eastAsia="黑体" w:cs="黑体"/>
          <w:sz w:val="19"/>
          <w:szCs w:val="19"/>
        </w:rPr>
        <w:t>1.</w:t>
      </w:r>
      <w:r>
        <w:rPr>
          <w:rFonts w:hint="eastAsia" w:ascii="黑体" w:hAnsi="黑体" w:eastAsia="黑体" w:cs="黑体"/>
          <w:sz w:val="19"/>
          <w:szCs w:val="19"/>
        </w:rPr>
        <w:t>招标公告刊登的媒体名称、开标日期和地点；</w:t>
      </w:r>
    </w:p>
    <w:p w14:paraId="65A9EDA7">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10.</w:t>
      </w:r>
      <w:r>
        <w:rPr>
          <w:rFonts w:ascii="黑体" w:hAnsi="黑体" w:eastAsia="黑体" w:cs="黑体"/>
          <w:sz w:val="19"/>
          <w:szCs w:val="19"/>
        </w:rPr>
        <w:t>2.</w:t>
      </w:r>
      <w:r>
        <w:rPr>
          <w:rFonts w:hint="eastAsia" w:ascii="黑体" w:hAnsi="黑体" w:eastAsia="黑体" w:cs="黑体"/>
          <w:sz w:val="19"/>
          <w:szCs w:val="19"/>
        </w:rPr>
        <w:t>投标人名单和评标委员会成员名单；</w:t>
      </w:r>
    </w:p>
    <w:p w14:paraId="0BC1F0A8">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10.</w:t>
      </w:r>
      <w:r>
        <w:rPr>
          <w:rFonts w:ascii="黑体" w:hAnsi="黑体" w:eastAsia="黑体" w:cs="黑体"/>
          <w:sz w:val="19"/>
          <w:szCs w:val="19"/>
        </w:rPr>
        <w:t>3.</w:t>
      </w:r>
      <w:r>
        <w:rPr>
          <w:rFonts w:hint="eastAsia" w:ascii="黑体" w:hAnsi="黑体" w:eastAsia="黑体" w:cs="黑体"/>
          <w:sz w:val="19"/>
          <w:szCs w:val="19"/>
        </w:rPr>
        <w:t>评标方法和标准；</w:t>
      </w:r>
    </w:p>
    <w:p w14:paraId="06EA86B5">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10.</w:t>
      </w:r>
      <w:r>
        <w:rPr>
          <w:rFonts w:ascii="黑体" w:hAnsi="黑体" w:eastAsia="黑体" w:cs="黑体"/>
          <w:sz w:val="19"/>
          <w:szCs w:val="19"/>
        </w:rPr>
        <w:t>4.</w:t>
      </w:r>
      <w:r>
        <w:rPr>
          <w:rFonts w:hint="eastAsia" w:ascii="黑体" w:hAnsi="黑体" w:eastAsia="黑体" w:cs="黑体"/>
          <w:sz w:val="19"/>
          <w:szCs w:val="19"/>
        </w:rPr>
        <w:t>开标记录和评标情况及说明，包括无效投标人名单及原因；</w:t>
      </w:r>
    </w:p>
    <w:p w14:paraId="32E2F2E0">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10.</w:t>
      </w:r>
      <w:r>
        <w:rPr>
          <w:rFonts w:ascii="黑体" w:hAnsi="黑体" w:eastAsia="黑体" w:cs="黑体"/>
          <w:sz w:val="19"/>
          <w:szCs w:val="19"/>
        </w:rPr>
        <w:t>5.</w:t>
      </w:r>
      <w:r>
        <w:rPr>
          <w:rFonts w:hint="eastAsia" w:ascii="黑体" w:hAnsi="黑体" w:eastAsia="黑体" w:cs="黑体"/>
          <w:sz w:val="19"/>
          <w:szCs w:val="19"/>
        </w:rPr>
        <w:t>评标结果，确定的中标候选人名单；</w:t>
      </w:r>
    </w:p>
    <w:p w14:paraId="7AC75540">
      <w:pPr>
        <w:spacing w:before="87" w:beforeLines="20" w:line="480" w:lineRule="exact"/>
        <w:ind w:firstLine="190" w:firstLineChars="100"/>
        <w:jc w:val="left"/>
        <w:rPr>
          <w:rFonts w:hint="eastAsia" w:ascii="黑体" w:hAnsi="黑体" w:eastAsia="黑体" w:cs="黑体"/>
          <w:sz w:val="19"/>
          <w:szCs w:val="19"/>
        </w:rPr>
      </w:pPr>
      <w:r>
        <w:rPr>
          <w:rFonts w:hint="eastAsia" w:ascii="黑体" w:hAnsi="黑体" w:eastAsia="黑体" w:cs="黑体"/>
          <w:sz w:val="19"/>
          <w:szCs w:val="19"/>
        </w:rPr>
        <w:t>10.</w:t>
      </w:r>
      <w:r>
        <w:rPr>
          <w:rFonts w:ascii="黑体" w:hAnsi="黑体" w:eastAsia="黑体" w:cs="黑体"/>
          <w:sz w:val="19"/>
          <w:szCs w:val="19"/>
        </w:rPr>
        <w:t>6.</w:t>
      </w:r>
      <w:r>
        <w:rPr>
          <w:rFonts w:hint="eastAsia" w:ascii="黑体" w:hAnsi="黑体" w:eastAsia="黑体" w:cs="黑体"/>
          <w:sz w:val="19"/>
          <w:szCs w:val="19"/>
        </w:rPr>
        <w:t>其他需要说明的情况，包括评标过程中投标人根据评标委员会要求进行的澄清、说明或者更正，评标委员会成员的更换等；</w:t>
      </w:r>
    </w:p>
    <w:p w14:paraId="006C3AFF">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评标委员会成员应当在评标报告中签字确认，对评标过程和结果有不同意见的，应当在评标报告中写明并说明理由。签字但未写明不同意见或者未说明理由的，视同无意见。拒不签字又未另行说明其不同意见和理由的，视同同意评标结果。</w:t>
      </w:r>
    </w:p>
    <w:p w14:paraId="4EA85C43">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11.评标争议处理规则</w:t>
      </w:r>
    </w:p>
    <w:p w14:paraId="142D84DB">
      <w:pPr>
        <w:spacing w:before="87" w:beforeLines="20"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评标委员会在评标过程中，对于符合性审查、对投标人文件作无效投标处理及其他需要共同认定的事项存在争议的，应当以少数服从多数的原则作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采购代理机构书面反映。采购人或采购代理机构收到书面反映后，应当书面报告采购项目同级财政部门依法处理。</w:t>
      </w:r>
    </w:p>
    <w:p w14:paraId="42807AFF">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12.评标细则及标准</w:t>
      </w:r>
    </w:p>
    <w:p w14:paraId="17DC9140">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12.1评标委员会对通过资格审查、符合性审查的投标文件采用相同的评标程序、评分办法及标准进行评价和比较。</w:t>
      </w:r>
    </w:p>
    <w:p w14:paraId="6B7259D0">
      <w:pPr>
        <w:spacing w:before="87" w:beforeLines="20" w:line="480" w:lineRule="exact"/>
        <w:jc w:val="left"/>
        <w:rPr>
          <w:rFonts w:hint="eastAsia" w:ascii="黑体" w:hAnsi="黑体" w:eastAsia="黑体" w:cs="黑体"/>
          <w:b/>
          <w:bCs/>
          <w:sz w:val="19"/>
          <w:szCs w:val="19"/>
        </w:rPr>
      </w:pPr>
      <w:r>
        <w:rPr>
          <w:rFonts w:hint="eastAsia" w:ascii="黑体" w:hAnsi="黑体" w:eastAsia="黑体" w:cs="黑体"/>
          <w:b/>
          <w:bCs/>
          <w:sz w:val="19"/>
          <w:szCs w:val="19"/>
        </w:rPr>
        <w:t>12.3评分办法</w:t>
      </w:r>
    </w:p>
    <w:p w14:paraId="2DB11C5B">
      <w:pPr>
        <w:spacing w:before="87" w:beforeLines="20" w:line="480" w:lineRule="exact"/>
        <w:ind w:firstLine="380" w:firstLineChars="200"/>
        <w:jc w:val="left"/>
        <w:rPr>
          <w:rFonts w:hint="eastAsia"/>
          <w:sz w:val="19"/>
          <w:szCs w:val="19"/>
        </w:rPr>
      </w:pPr>
      <w:r>
        <w:rPr>
          <w:rFonts w:hint="eastAsia" w:ascii="黑体" w:hAnsi="黑体" w:eastAsia="黑体" w:cs="黑体"/>
          <w:sz w:val="19"/>
          <w:szCs w:val="19"/>
        </w:rPr>
        <w:t>采用综合评分法的，评标委员会成员应依据招标文件规定的评分标准和方法独立评审。投标文件满足招标文件全部实质性要求，且按照评审因素的量化指标评审综合得分最高的投标人为排名第一的中标候选人。</w:t>
      </w:r>
    </w:p>
    <w:p w14:paraId="09F7B6F0">
      <w:pPr>
        <w:spacing w:before="87" w:beforeLines="20" w:line="480" w:lineRule="exact"/>
        <w:jc w:val="left"/>
        <w:outlineLvl w:val="0"/>
        <w:rPr>
          <w:rFonts w:hint="eastAsia" w:ascii="黑体" w:hAnsi="黑体" w:eastAsia="黑体" w:cs="黑体"/>
          <w:b/>
          <w:bCs/>
          <w:sz w:val="19"/>
          <w:szCs w:val="19"/>
        </w:rPr>
      </w:pPr>
      <w:bookmarkStart w:id="40" w:name="_Toc21974"/>
      <w:r>
        <w:rPr>
          <w:rFonts w:hint="eastAsia" w:ascii="黑体" w:hAnsi="黑体" w:eastAsia="黑体" w:cs="黑体"/>
          <w:b/>
          <w:bCs/>
          <w:sz w:val="19"/>
          <w:szCs w:val="19"/>
        </w:rPr>
        <w:t>12.4评审要素及分值一览表</w:t>
      </w:r>
      <w:bookmarkEnd w:id="40"/>
    </w:p>
    <w:p w14:paraId="3EC5A14D">
      <w:pPr>
        <w:spacing w:before="87" w:beforeLines="20" w:line="480" w:lineRule="exact"/>
        <w:jc w:val="center"/>
        <w:rPr>
          <w:rFonts w:hint="eastAsia" w:ascii="黑体" w:hAnsi="黑体" w:eastAsia="黑体" w:cs="黑体"/>
          <w:b/>
          <w:bCs/>
          <w:sz w:val="19"/>
          <w:szCs w:val="19"/>
        </w:rPr>
      </w:pPr>
      <w:r>
        <w:rPr>
          <w:rFonts w:hint="eastAsia" w:ascii="黑体" w:hAnsi="黑体" w:eastAsia="黑体" w:cs="黑体"/>
          <w:b/>
          <w:bCs/>
          <w:sz w:val="19"/>
          <w:szCs w:val="19"/>
        </w:rPr>
        <w:t>（一）价格评分（30分）</w:t>
      </w:r>
    </w:p>
    <w:tbl>
      <w:tblPr>
        <w:tblStyle w:val="20"/>
        <w:tblW w:w="9935" w:type="dxa"/>
        <w:tblInd w:w="-17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0"/>
        <w:gridCol w:w="1308"/>
        <w:gridCol w:w="1073"/>
        <w:gridCol w:w="6744"/>
      </w:tblGrid>
      <w:tr w14:paraId="153BE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810" w:type="dxa"/>
            <w:tcBorders>
              <w:top w:val="single" w:color="auto" w:sz="4" w:space="0"/>
            </w:tcBorders>
            <w:vAlign w:val="center"/>
          </w:tcPr>
          <w:p w14:paraId="292FE946">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序号</w:t>
            </w:r>
          </w:p>
        </w:tc>
        <w:tc>
          <w:tcPr>
            <w:tcW w:w="1308" w:type="dxa"/>
            <w:tcBorders>
              <w:top w:val="single" w:color="auto" w:sz="4" w:space="0"/>
            </w:tcBorders>
            <w:vAlign w:val="center"/>
          </w:tcPr>
          <w:p w14:paraId="2AECCCD5">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评审因素</w:t>
            </w:r>
          </w:p>
        </w:tc>
        <w:tc>
          <w:tcPr>
            <w:tcW w:w="1073" w:type="dxa"/>
            <w:tcBorders>
              <w:top w:val="single" w:color="auto" w:sz="4" w:space="0"/>
            </w:tcBorders>
            <w:vAlign w:val="center"/>
          </w:tcPr>
          <w:p w14:paraId="5BBC4B82">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分值权重</w:t>
            </w:r>
          </w:p>
        </w:tc>
        <w:tc>
          <w:tcPr>
            <w:tcW w:w="6744" w:type="dxa"/>
            <w:tcBorders>
              <w:top w:val="single" w:color="auto" w:sz="4" w:space="0"/>
            </w:tcBorders>
            <w:vAlign w:val="center"/>
          </w:tcPr>
          <w:p w14:paraId="2A8CD31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评分说明</w:t>
            </w:r>
          </w:p>
        </w:tc>
      </w:tr>
      <w:tr w14:paraId="59AE9E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810" w:type="dxa"/>
            <w:tcBorders>
              <w:top w:val="single" w:color="auto" w:sz="4" w:space="0"/>
            </w:tcBorders>
            <w:shd w:val="clear" w:color="auto" w:fill="auto"/>
            <w:vAlign w:val="center"/>
          </w:tcPr>
          <w:p w14:paraId="248F8FA9">
            <w:pPr>
              <w:spacing w:before="87" w:beforeLines="20"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sz w:val="19"/>
                <w:szCs w:val="19"/>
              </w:rPr>
              <w:t>1</w:t>
            </w:r>
          </w:p>
        </w:tc>
        <w:tc>
          <w:tcPr>
            <w:tcW w:w="1308" w:type="dxa"/>
            <w:tcBorders>
              <w:top w:val="single" w:color="auto" w:sz="4" w:space="0"/>
            </w:tcBorders>
            <w:shd w:val="clear" w:color="auto" w:fill="auto"/>
            <w:vAlign w:val="center"/>
          </w:tcPr>
          <w:p w14:paraId="1E46B5A3">
            <w:pPr>
              <w:spacing w:before="87" w:beforeLines="20"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sz w:val="19"/>
                <w:szCs w:val="19"/>
              </w:rPr>
              <w:t>投标报价</w:t>
            </w:r>
          </w:p>
        </w:tc>
        <w:tc>
          <w:tcPr>
            <w:tcW w:w="1073" w:type="dxa"/>
            <w:tcBorders>
              <w:top w:val="single" w:color="auto" w:sz="4" w:space="0"/>
            </w:tcBorders>
            <w:shd w:val="clear" w:color="auto" w:fill="auto"/>
            <w:vAlign w:val="center"/>
          </w:tcPr>
          <w:p w14:paraId="1B3D90D3">
            <w:pPr>
              <w:spacing w:before="87" w:beforeLines="20"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sz w:val="19"/>
                <w:szCs w:val="19"/>
              </w:rPr>
              <w:t>30分</w:t>
            </w:r>
          </w:p>
        </w:tc>
        <w:tc>
          <w:tcPr>
            <w:tcW w:w="6744" w:type="dxa"/>
            <w:tcBorders>
              <w:top w:val="single" w:color="auto" w:sz="4" w:space="0"/>
            </w:tcBorders>
            <w:shd w:val="clear" w:color="auto" w:fill="auto"/>
            <w:vAlign w:val="center"/>
          </w:tcPr>
          <w:p w14:paraId="41EAEB1E">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 xml:space="preserve">1.根据财政部令第87号《政府采购货物和服务招标投标管理办法》，综合评分法中的价格分统一采用低价优先法计算，即满足招标文件要求且投标价格最低的投标报价为评标基准价，其价格分为满分。投标人的价格分统一按照下列公式计算： </w:t>
            </w:r>
          </w:p>
          <w:p w14:paraId="5F9D9731">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投标报价得分=(评标基准价／投标报价)×30</w:t>
            </w:r>
          </w:p>
          <w:p w14:paraId="120A2343">
            <w:pPr>
              <w:spacing w:before="87" w:beforeLines="20" w:line="480" w:lineRule="exact"/>
              <w:jc w:val="left"/>
              <w:rPr>
                <w:rFonts w:hint="eastAsia" w:ascii="黑体" w:hAnsi="黑体" w:eastAsia="黑体" w:cs="黑体"/>
                <w:kern w:val="2"/>
                <w:sz w:val="19"/>
                <w:szCs w:val="19"/>
                <w:lang w:val="en-US" w:eastAsia="zh-CN" w:bidi="ar-SA"/>
              </w:rPr>
            </w:pPr>
            <w:r>
              <w:rPr>
                <w:rFonts w:hint="eastAsia" w:ascii="黑体" w:hAnsi="黑体" w:eastAsia="黑体" w:cs="黑体"/>
                <w:sz w:val="19"/>
                <w:szCs w:val="19"/>
              </w:rPr>
              <w:t>2.若落实政府采购政策的，以享受政策调整后的价格参与评审。</w:t>
            </w:r>
          </w:p>
        </w:tc>
      </w:tr>
    </w:tbl>
    <w:p w14:paraId="1239AAD8">
      <w:pPr>
        <w:numPr>
          <w:ilvl w:val="0"/>
          <w:numId w:val="9"/>
        </w:numPr>
        <w:spacing w:before="87" w:beforeLines="20" w:line="480" w:lineRule="exact"/>
        <w:jc w:val="center"/>
        <w:rPr>
          <w:rFonts w:hint="eastAsia" w:ascii="黑体" w:hAnsi="黑体" w:eastAsia="黑体" w:cs="黑体"/>
          <w:b/>
          <w:bCs/>
          <w:sz w:val="19"/>
          <w:szCs w:val="19"/>
        </w:rPr>
      </w:pPr>
      <w:r>
        <w:rPr>
          <w:rFonts w:hint="eastAsia" w:ascii="黑体" w:hAnsi="黑体" w:eastAsia="黑体" w:cs="黑体"/>
          <w:b/>
          <w:bCs/>
          <w:sz w:val="19"/>
          <w:szCs w:val="19"/>
        </w:rPr>
        <w:t>技术商务评分表（70分）</w:t>
      </w:r>
    </w:p>
    <w:p w14:paraId="3CB5D4E8">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评分说明：</w:t>
      </w:r>
    </w:p>
    <w:p w14:paraId="7B7FC3DA">
      <w:pPr>
        <w:spacing w:before="87" w:beforeLines="20" w:line="480" w:lineRule="exact"/>
        <w:jc w:val="left"/>
        <w:rPr>
          <w:rFonts w:hint="eastAsia" w:ascii="黑体" w:hAnsi="黑体" w:eastAsia="黑体" w:cs="黑体"/>
          <w:bCs/>
          <w:color w:val="000000" w:themeColor="text1"/>
          <w:sz w:val="19"/>
          <w:szCs w:val="19"/>
          <w14:textFill>
            <w14:solidFill>
              <w14:schemeClr w14:val="tx1"/>
            </w14:solidFill>
          </w14:textFill>
        </w:rPr>
      </w:pPr>
      <w:r>
        <w:rPr>
          <w:rFonts w:hint="eastAsia" w:ascii="黑体" w:hAnsi="黑体" w:eastAsia="黑体" w:cs="黑体"/>
          <w:bCs/>
          <w:color w:val="000000" w:themeColor="text1"/>
          <w:sz w:val="19"/>
          <w:szCs w:val="19"/>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w:t>
      </w:r>
    </w:p>
    <w:p w14:paraId="34E142AF">
      <w:pPr>
        <w:spacing w:before="87" w:beforeLines="20" w:after="218" w:afterLines="50" w:line="480" w:lineRule="exact"/>
        <w:jc w:val="left"/>
        <w:rPr>
          <w:rFonts w:hint="eastAsia" w:ascii="黑体" w:hAnsi="黑体" w:eastAsia="黑体" w:cs="黑体"/>
          <w:bCs/>
          <w:color w:val="000000" w:themeColor="text1"/>
          <w:sz w:val="19"/>
          <w:szCs w:val="19"/>
          <w14:textFill>
            <w14:solidFill>
              <w14:schemeClr w14:val="tx1"/>
            </w14:solidFill>
          </w14:textFill>
        </w:rPr>
      </w:pPr>
      <w:r>
        <w:rPr>
          <w:rFonts w:hint="eastAsia" w:ascii="黑体" w:hAnsi="黑体" w:eastAsia="黑体" w:cs="黑体"/>
          <w:bCs/>
          <w:color w:val="000000" w:themeColor="text1"/>
          <w:sz w:val="19"/>
          <w:szCs w:val="19"/>
          <w14:textFill>
            <w14:solidFill>
              <w14:schemeClr w14:val="tx1"/>
            </w14:solidFill>
          </w14:textFill>
        </w:rPr>
        <w:t>（2）内容存在部分瑕疵是指：方案内容大体上完备，具备一定的可行性，但在某些方面与项目的实际需求不符；商务技术方案的响应与评分标准不完全对应；或存在细节上的错误；不利于项目等任意一种情形。</w:t>
      </w:r>
    </w:p>
    <w:tbl>
      <w:tblPr>
        <w:tblStyle w:val="20"/>
        <w:tblW w:w="9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490"/>
        <w:gridCol w:w="1043"/>
        <w:gridCol w:w="736"/>
        <w:gridCol w:w="5597"/>
      </w:tblGrid>
      <w:tr w14:paraId="4C63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2" w:type="dxa"/>
            <w:vAlign w:val="center"/>
          </w:tcPr>
          <w:p w14:paraId="481182FF">
            <w:pPr>
              <w:spacing w:line="480" w:lineRule="exact"/>
              <w:jc w:val="left"/>
              <w:rPr>
                <w:rFonts w:hint="eastAsia" w:ascii="黑体" w:hAnsi="黑体" w:eastAsia="黑体" w:cs="黑体"/>
                <w:sz w:val="19"/>
                <w:szCs w:val="19"/>
              </w:rPr>
            </w:pPr>
            <w:r>
              <w:rPr>
                <w:rFonts w:hint="eastAsia" w:ascii="黑体" w:hAnsi="黑体" w:eastAsia="黑体" w:cs="黑体"/>
                <w:sz w:val="19"/>
                <w:szCs w:val="19"/>
              </w:rPr>
              <w:t>序号</w:t>
            </w:r>
          </w:p>
        </w:tc>
        <w:tc>
          <w:tcPr>
            <w:tcW w:w="1490" w:type="dxa"/>
            <w:vAlign w:val="center"/>
          </w:tcPr>
          <w:p w14:paraId="2938C198">
            <w:pPr>
              <w:spacing w:line="480" w:lineRule="exact"/>
              <w:jc w:val="left"/>
              <w:rPr>
                <w:rFonts w:hint="eastAsia" w:ascii="黑体" w:hAnsi="黑体" w:eastAsia="黑体" w:cs="黑体"/>
                <w:sz w:val="19"/>
                <w:szCs w:val="19"/>
              </w:rPr>
            </w:pPr>
            <w:r>
              <w:rPr>
                <w:rFonts w:hint="eastAsia" w:ascii="黑体" w:hAnsi="黑体" w:eastAsia="黑体" w:cs="黑体"/>
                <w:sz w:val="19"/>
                <w:szCs w:val="19"/>
              </w:rPr>
              <w:t>评审因素</w:t>
            </w:r>
          </w:p>
        </w:tc>
        <w:tc>
          <w:tcPr>
            <w:tcW w:w="1043" w:type="dxa"/>
            <w:vAlign w:val="center"/>
          </w:tcPr>
          <w:p w14:paraId="1DB89412">
            <w:pPr>
              <w:spacing w:line="480" w:lineRule="exact"/>
              <w:jc w:val="left"/>
              <w:rPr>
                <w:rFonts w:hint="eastAsia" w:ascii="黑体" w:hAnsi="黑体" w:eastAsia="黑体" w:cs="黑体"/>
                <w:sz w:val="19"/>
                <w:szCs w:val="19"/>
              </w:rPr>
            </w:pPr>
            <w:r>
              <w:rPr>
                <w:rFonts w:hint="eastAsia" w:ascii="黑体" w:hAnsi="黑体" w:eastAsia="黑体" w:cs="黑体"/>
                <w:sz w:val="19"/>
                <w:szCs w:val="19"/>
              </w:rPr>
              <w:t>最小分差</w:t>
            </w:r>
          </w:p>
        </w:tc>
        <w:tc>
          <w:tcPr>
            <w:tcW w:w="736" w:type="dxa"/>
            <w:vAlign w:val="center"/>
          </w:tcPr>
          <w:p w14:paraId="5DBAFD41">
            <w:pPr>
              <w:spacing w:line="480" w:lineRule="exact"/>
              <w:jc w:val="left"/>
              <w:rPr>
                <w:rFonts w:hint="eastAsia" w:ascii="黑体" w:hAnsi="黑体" w:eastAsia="黑体" w:cs="黑体"/>
                <w:sz w:val="19"/>
                <w:szCs w:val="19"/>
              </w:rPr>
            </w:pPr>
            <w:r>
              <w:rPr>
                <w:rFonts w:hint="eastAsia" w:ascii="黑体" w:hAnsi="黑体" w:eastAsia="黑体" w:cs="黑体"/>
                <w:sz w:val="19"/>
                <w:szCs w:val="19"/>
              </w:rPr>
              <w:t>分值</w:t>
            </w:r>
          </w:p>
        </w:tc>
        <w:tc>
          <w:tcPr>
            <w:tcW w:w="5597" w:type="dxa"/>
            <w:vAlign w:val="center"/>
          </w:tcPr>
          <w:p w14:paraId="0E766748">
            <w:pPr>
              <w:spacing w:line="480" w:lineRule="exact"/>
              <w:jc w:val="left"/>
              <w:rPr>
                <w:rFonts w:hint="eastAsia" w:ascii="黑体" w:hAnsi="黑体" w:eastAsia="黑体" w:cs="黑体"/>
                <w:sz w:val="19"/>
                <w:szCs w:val="19"/>
              </w:rPr>
            </w:pPr>
            <w:r>
              <w:rPr>
                <w:rFonts w:hint="eastAsia" w:ascii="黑体" w:hAnsi="黑体" w:eastAsia="黑体" w:cs="黑体"/>
                <w:sz w:val="19"/>
                <w:szCs w:val="19"/>
              </w:rPr>
              <w:t>评分标准说明</w:t>
            </w:r>
          </w:p>
        </w:tc>
      </w:tr>
      <w:tr w14:paraId="185F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vAlign w:val="center"/>
          </w:tcPr>
          <w:p w14:paraId="13D0B04E">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1</w:t>
            </w:r>
          </w:p>
        </w:tc>
        <w:tc>
          <w:tcPr>
            <w:tcW w:w="1490" w:type="dxa"/>
            <w:vAlign w:val="center"/>
          </w:tcPr>
          <w:p w14:paraId="194FB3CD">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技术参数响应</w:t>
            </w:r>
          </w:p>
        </w:tc>
        <w:tc>
          <w:tcPr>
            <w:tcW w:w="1043" w:type="dxa"/>
            <w:vAlign w:val="center"/>
          </w:tcPr>
          <w:p w14:paraId="4ED38302">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1分</w:t>
            </w:r>
          </w:p>
        </w:tc>
        <w:tc>
          <w:tcPr>
            <w:tcW w:w="736" w:type="dxa"/>
            <w:vAlign w:val="center"/>
          </w:tcPr>
          <w:p w14:paraId="15462F13">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10分</w:t>
            </w:r>
          </w:p>
        </w:tc>
        <w:tc>
          <w:tcPr>
            <w:tcW w:w="5597" w:type="dxa"/>
            <w:vAlign w:val="center"/>
          </w:tcPr>
          <w:p w14:paraId="5F755DFD">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投标人应将产品的技术参数响应与招标文件采购需求规定的产品技术要求进行偏离对比，并按第七章格式要求提供“商务技术偏离表”。其中标记“▲”项是重要指标，若投标人所投产品的技术参数完全符合招标文件采购需求中“技术参数与性能指标”且无负偏离，得满分。</w:t>
            </w:r>
          </w:p>
          <w:p w14:paraId="180A3AC9">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（1）标记“▲”项有一项负偏离或不满足扣1分，扣完为止。</w:t>
            </w:r>
          </w:p>
          <w:p w14:paraId="2E0DEA87">
            <w:pPr>
              <w:widowControl/>
              <w:spacing w:line="360" w:lineRule="auto"/>
              <w:jc w:val="left"/>
              <w:rPr>
                <w:rFonts w:hint="eastAsia" w:ascii="黑体" w:hAnsi="黑体" w:cs="黑体"/>
                <w:sz w:val="19"/>
                <w:szCs w:val="19"/>
                <w:lang w:val="zh-CN"/>
              </w:rPr>
            </w:pPr>
            <w:r>
              <w:rPr>
                <w:rFonts w:hint="eastAsia" w:ascii="黑体" w:hAnsi="黑体" w:eastAsia="黑体" w:cs="黑体"/>
                <w:sz w:val="19"/>
                <w:szCs w:val="19"/>
              </w:rPr>
              <w:t>注：</w:t>
            </w:r>
            <w:r>
              <w:rPr>
                <w:rFonts w:hint="eastAsia" w:ascii="黑体" w:hAnsi="黑体" w:eastAsia="黑体" w:cs="黑体"/>
                <w:sz w:val="19"/>
                <w:szCs w:val="19"/>
                <w:lang w:val="zh-CN"/>
              </w:rPr>
              <w:t>采购需求中</w:t>
            </w:r>
            <w:r>
              <w:rPr>
                <w:rFonts w:hint="eastAsia" w:ascii="黑体" w:hAnsi="黑体" w:eastAsia="黑体" w:cs="黑体"/>
                <w:sz w:val="19"/>
                <w:szCs w:val="19"/>
              </w:rPr>
              <w:t>标注</w:t>
            </w:r>
            <w:r>
              <w:rPr>
                <w:rFonts w:hint="eastAsia" w:ascii="黑体" w:hAnsi="黑体" w:eastAsia="黑体" w:cs="黑体"/>
                <w:sz w:val="19"/>
                <w:szCs w:val="19"/>
                <w:lang w:val="zh-CN"/>
              </w:rPr>
              <w:t>“▲”技术指标项至少须提供下列证明材料之一：①国家认可的检测机构出具的检测报告；②制造商检验报告；③产品彩页；④官网功能截图；若采购需求明确指出，技术指标“▲”项需提供有资质的第三方出具的检验报告，则以检测报告为准。如所提交的技术支持资料为英文版，请同时提供中文简体字译本，否则将不予认定。未提供或不符合要求的证明材料视为负偏离。</w:t>
            </w:r>
          </w:p>
        </w:tc>
      </w:tr>
      <w:tr w14:paraId="3517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jc w:val="center"/>
        </w:trPr>
        <w:tc>
          <w:tcPr>
            <w:tcW w:w="812" w:type="dxa"/>
            <w:vAlign w:val="center"/>
          </w:tcPr>
          <w:p w14:paraId="79FD37A7">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2</w:t>
            </w:r>
          </w:p>
        </w:tc>
        <w:tc>
          <w:tcPr>
            <w:tcW w:w="1490" w:type="dxa"/>
            <w:vAlign w:val="center"/>
          </w:tcPr>
          <w:p w14:paraId="09252AF2">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供货实施方案</w:t>
            </w:r>
          </w:p>
        </w:tc>
        <w:tc>
          <w:tcPr>
            <w:tcW w:w="1043" w:type="dxa"/>
            <w:vAlign w:val="center"/>
          </w:tcPr>
          <w:p w14:paraId="169E7F70">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1分</w:t>
            </w:r>
          </w:p>
        </w:tc>
        <w:tc>
          <w:tcPr>
            <w:tcW w:w="736" w:type="dxa"/>
            <w:vAlign w:val="center"/>
          </w:tcPr>
          <w:p w14:paraId="7FD97182">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30分</w:t>
            </w:r>
          </w:p>
        </w:tc>
        <w:tc>
          <w:tcPr>
            <w:tcW w:w="5597" w:type="dxa"/>
            <w:vAlign w:val="center"/>
          </w:tcPr>
          <w:p w14:paraId="1346B186">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根据投标人针对本项目提供的供货实施方案，至少包含：①核心服务内容和个性化方案；②难点分析与创新性解决方案；③供货资源配置方案；④标准化服务规范；⑤安装调试与验收建议；⑥风险管控与应急预案。包含但不限于上述全部内容，且方案详细，清晰有利于项目的得满分。(如有缺陷或不足在此分数基础上进行扣分)，以上6项中：</w:t>
            </w:r>
          </w:p>
          <w:p w14:paraId="3E525AE8">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（1）每有1项缺失或完全无法满足项目需求的扣5分；</w:t>
            </w:r>
          </w:p>
          <w:p w14:paraId="70A20195">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（2）每有1项中内容存在缺陷或不足扣3分；</w:t>
            </w:r>
          </w:p>
          <w:p w14:paraId="45ADF558">
            <w:pPr>
              <w:widowControl/>
              <w:spacing w:line="360" w:lineRule="atLeast"/>
              <w:jc w:val="left"/>
              <w:rPr>
                <w:rFonts w:hint="eastAsia" w:ascii="黑体" w:hAnsi="黑体" w:eastAsia="黑体" w:cs="黑体"/>
                <w:sz w:val="19"/>
                <w:szCs w:val="19"/>
                <w:lang w:val="zh-CN"/>
              </w:rPr>
            </w:pPr>
            <w:r>
              <w:rPr>
                <w:rFonts w:hint="eastAsia" w:ascii="黑体" w:hAnsi="黑体" w:eastAsia="黑体" w:cs="黑体"/>
                <w:sz w:val="19"/>
                <w:szCs w:val="19"/>
              </w:rPr>
              <w:t>（3）每有 1 项总体内容完备但存在部分瑕疵之处扣1分。</w:t>
            </w:r>
          </w:p>
        </w:tc>
      </w:tr>
      <w:tr w14:paraId="6334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jc w:val="center"/>
        </w:trPr>
        <w:tc>
          <w:tcPr>
            <w:tcW w:w="812" w:type="dxa"/>
            <w:vAlign w:val="center"/>
          </w:tcPr>
          <w:p w14:paraId="6C2A37C2">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3</w:t>
            </w:r>
          </w:p>
        </w:tc>
        <w:tc>
          <w:tcPr>
            <w:tcW w:w="1490" w:type="dxa"/>
            <w:vAlign w:val="center"/>
          </w:tcPr>
          <w:p w14:paraId="273D8C7C">
            <w:pPr>
              <w:pStyle w:val="17"/>
              <w:spacing w:before="0" w:beforeAutospacing="0" w:after="0" w:afterAutospacing="0" w:line="360" w:lineRule="atLeast"/>
              <w:jc w:val="center"/>
              <w:rPr>
                <w:rFonts w:hint="eastAsia" w:ascii="黑体" w:hAnsi="黑体" w:eastAsia="黑体" w:cs="黑体"/>
                <w:sz w:val="19"/>
                <w:szCs w:val="19"/>
              </w:rPr>
            </w:pPr>
            <w:r>
              <w:rPr>
                <w:rFonts w:hint="eastAsia" w:ascii="黑体" w:hAnsi="黑体" w:eastAsia="黑体" w:cs="黑体"/>
                <w:sz w:val="19"/>
                <w:szCs w:val="19"/>
                <w:lang w:bidi="ar"/>
              </w:rPr>
              <w:t>质量管理方案</w:t>
            </w:r>
          </w:p>
        </w:tc>
        <w:tc>
          <w:tcPr>
            <w:tcW w:w="1043" w:type="dxa"/>
            <w:vAlign w:val="center"/>
          </w:tcPr>
          <w:p w14:paraId="7B0C58A3">
            <w:pPr>
              <w:widowControl/>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0.5分</w:t>
            </w:r>
          </w:p>
        </w:tc>
        <w:tc>
          <w:tcPr>
            <w:tcW w:w="736" w:type="dxa"/>
            <w:vAlign w:val="center"/>
          </w:tcPr>
          <w:p w14:paraId="1C18C236">
            <w:pPr>
              <w:widowControl/>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rPr>
              <w:t>6分</w:t>
            </w:r>
          </w:p>
        </w:tc>
        <w:tc>
          <w:tcPr>
            <w:tcW w:w="5597" w:type="dxa"/>
            <w:vAlign w:val="center"/>
          </w:tcPr>
          <w:p w14:paraId="3943F750">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 xml:space="preserve">提供针对项目的项目质量管理方案，至少应包括：①技术力量配备方案；②全流程质量管控方案；③质量管理体系建设及证明文件。 </w:t>
            </w:r>
          </w:p>
          <w:p w14:paraId="1B833747">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包含但不限于上述全部内容，且方案详细，清晰有利于项目的得满分。(如有缺陷或不足在此分数基础上进行扣分)，以上3项中：</w:t>
            </w:r>
          </w:p>
          <w:p w14:paraId="71861C5F">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（1）每有1项缺失或完全无法满足项目需求的扣2分；</w:t>
            </w:r>
          </w:p>
          <w:p w14:paraId="582FA74A">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（2）每有1项中内容存在缺陷或不足扣1分；</w:t>
            </w:r>
          </w:p>
          <w:p w14:paraId="473B09FE">
            <w:pPr>
              <w:widowControl/>
              <w:spacing w:line="360" w:lineRule="atLeast"/>
              <w:jc w:val="left"/>
              <w:rPr>
                <w:rFonts w:hint="eastAsia" w:ascii="黑体" w:hAnsi="黑体" w:eastAsia="黑体" w:cs="黑体"/>
                <w:sz w:val="19"/>
                <w:szCs w:val="19"/>
              </w:rPr>
            </w:pPr>
            <w:r>
              <w:rPr>
                <w:rFonts w:hint="eastAsia" w:ascii="黑体" w:hAnsi="黑体" w:eastAsia="黑体" w:cs="黑体"/>
                <w:sz w:val="19"/>
                <w:szCs w:val="19"/>
              </w:rPr>
              <w:t>（3）每有 1 项总体内容完备但存在部分瑕疵之处扣0.5分。</w:t>
            </w:r>
          </w:p>
        </w:tc>
      </w:tr>
      <w:tr w14:paraId="0136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812" w:type="dxa"/>
            <w:vAlign w:val="center"/>
          </w:tcPr>
          <w:p w14:paraId="34D70EB0">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4</w:t>
            </w:r>
          </w:p>
        </w:tc>
        <w:tc>
          <w:tcPr>
            <w:tcW w:w="1490" w:type="dxa"/>
            <w:vAlign w:val="center"/>
          </w:tcPr>
          <w:p w14:paraId="1614FB8C">
            <w:pPr>
              <w:wordWrap/>
              <w:adjustRightInd w:val="0"/>
              <w:snapToGrid w:val="0"/>
              <w:ind w:right="-87" w:rightChars="0"/>
              <w:jc w:val="center"/>
              <w:rPr>
                <w:rFonts w:hint="eastAsia" w:ascii="黑体" w:hAnsi="黑体" w:eastAsia="黑体" w:cs="黑体"/>
                <w:sz w:val="19"/>
                <w:szCs w:val="19"/>
              </w:rPr>
            </w:pPr>
            <w:r>
              <w:rPr>
                <w:rFonts w:hint="eastAsia" w:ascii="黑体" w:hAnsi="黑体" w:eastAsia="黑体" w:cs="黑体"/>
                <w:color w:val="auto"/>
                <w:sz w:val="19"/>
                <w:szCs w:val="19"/>
                <w:lang w:val="en-US" w:eastAsia="zh-CN"/>
              </w:rPr>
              <w:t>产品供货渠道</w:t>
            </w:r>
          </w:p>
        </w:tc>
        <w:tc>
          <w:tcPr>
            <w:tcW w:w="1043" w:type="dxa"/>
            <w:vAlign w:val="center"/>
          </w:tcPr>
          <w:p w14:paraId="3491801D">
            <w:pPr>
              <w:widowControl/>
              <w:wordWrap/>
              <w:jc w:val="center"/>
              <w:rPr>
                <w:rFonts w:hint="eastAsia" w:ascii="黑体" w:hAnsi="黑体" w:eastAsia="黑体" w:cs="黑体"/>
                <w:sz w:val="19"/>
                <w:szCs w:val="19"/>
              </w:rPr>
            </w:pPr>
            <w:r>
              <w:rPr>
                <w:rFonts w:hint="eastAsia" w:ascii="黑体" w:hAnsi="黑体" w:eastAsia="黑体" w:cs="黑体"/>
                <w:color w:val="auto"/>
                <w:sz w:val="19"/>
                <w:szCs w:val="19"/>
                <w:lang w:val="en-US" w:eastAsia="zh-CN"/>
              </w:rPr>
              <w:t>1</w:t>
            </w:r>
            <w:r>
              <w:rPr>
                <w:rFonts w:hint="eastAsia" w:ascii="黑体" w:hAnsi="黑体" w:eastAsia="黑体" w:cs="黑体"/>
                <w:sz w:val="19"/>
                <w:szCs w:val="19"/>
              </w:rPr>
              <w:t>分</w:t>
            </w:r>
          </w:p>
        </w:tc>
        <w:tc>
          <w:tcPr>
            <w:tcW w:w="736" w:type="dxa"/>
            <w:vAlign w:val="center"/>
          </w:tcPr>
          <w:p w14:paraId="1B0F479B">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lang w:val="en-US" w:eastAsia="zh-CN"/>
              </w:rPr>
              <w:t>1</w:t>
            </w:r>
            <w:r>
              <w:rPr>
                <w:rFonts w:hint="eastAsia" w:ascii="黑体" w:hAnsi="黑体" w:eastAsia="黑体" w:cs="黑体"/>
                <w:sz w:val="19"/>
                <w:szCs w:val="19"/>
              </w:rPr>
              <w:t>分</w:t>
            </w:r>
          </w:p>
        </w:tc>
        <w:tc>
          <w:tcPr>
            <w:tcW w:w="5597" w:type="dxa"/>
            <w:vAlign w:val="center"/>
          </w:tcPr>
          <w:p w14:paraId="1BB3AB14">
            <w:pPr>
              <w:widowControl/>
              <w:wordWrap/>
              <w:spacing w:line="360" w:lineRule="atLeast"/>
              <w:jc w:val="left"/>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投标人</w:t>
            </w:r>
            <w:r>
              <w:rPr>
                <w:rFonts w:hint="eastAsia" w:ascii="黑体" w:hAnsi="黑体" w:eastAsia="黑体" w:cs="黑体"/>
                <w:sz w:val="19"/>
                <w:szCs w:val="19"/>
                <w:highlight w:val="none"/>
                <w:lang w:eastAsia="zh-CN"/>
              </w:rPr>
              <w:t>提供所投核心产品的合法来源渠道证明文件（包括但不限于经销授权书、销售代理协议、产品制造商授权、</w:t>
            </w:r>
            <w:r>
              <w:rPr>
                <w:rFonts w:hint="eastAsia" w:ascii="黑体" w:hAnsi="黑体" w:eastAsia="黑体" w:cs="黑体"/>
                <w:sz w:val="19"/>
                <w:szCs w:val="19"/>
                <w:highlight w:val="none"/>
                <w:lang w:val="en-US" w:eastAsia="zh-CN"/>
              </w:rPr>
              <w:t>制造商原厂声明函</w:t>
            </w:r>
            <w:r>
              <w:rPr>
                <w:rFonts w:hint="eastAsia" w:ascii="黑体" w:hAnsi="黑体" w:eastAsia="黑体" w:cs="黑体"/>
                <w:sz w:val="19"/>
                <w:szCs w:val="19"/>
                <w:highlight w:val="none"/>
                <w:lang w:eastAsia="zh-CN"/>
              </w:rPr>
              <w:t>等），提供</w:t>
            </w:r>
            <w:r>
              <w:rPr>
                <w:rFonts w:hint="eastAsia" w:ascii="黑体" w:hAnsi="黑体" w:eastAsia="黑体" w:cs="黑体"/>
                <w:sz w:val="19"/>
                <w:szCs w:val="19"/>
                <w:highlight w:val="none"/>
                <w:lang w:val="en-US" w:eastAsia="zh-CN"/>
              </w:rPr>
              <w:t>得1</w:t>
            </w:r>
            <w:r>
              <w:rPr>
                <w:rFonts w:hint="eastAsia" w:ascii="黑体" w:hAnsi="黑体" w:eastAsia="黑体" w:cs="黑体"/>
                <w:sz w:val="19"/>
                <w:szCs w:val="19"/>
                <w:highlight w:val="none"/>
                <w:lang w:eastAsia="zh-CN"/>
              </w:rPr>
              <w:t>分，</w:t>
            </w:r>
            <w:r>
              <w:rPr>
                <w:rFonts w:hint="eastAsia" w:ascii="黑体" w:hAnsi="黑体" w:eastAsia="黑体" w:cs="黑体"/>
                <w:sz w:val="19"/>
                <w:szCs w:val="19"/>
                <w:highlight w:val="none"/>
                <w:lang w:val="en-US" w:eastAsia="zh-CN"/>
              </w:rPr>
              <w:t>提供不全或无法辨识的不得分</w:t>
            </w:r>
            <w:r>
              <w:rPr>
                <w:rFonts w:hint="eastAsia" w:ascii="黑体" w:hAnsi="黑体" w:eastAsia="黑体" w:cs="黑体"/>
                <w:sz w:val="19"/>
                <w:szCs w:val="19"/>
                <w:highlight w:val="none"/>
                <w:lang w:eastAsia="zh-CN"/>
              </w:rPr>
              <w:t>。</w:t>
            </w:r>
          </w:p>
        </w:tc>
      </w:tr>
      <w:tr w14:paraId="10C4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812" w:type="dxa"/>
            <w:vAlign w:val="center"/>
          </w:tcPr>
          <w:p w14:paraId="48FD0576">
            <w:pPr>
              <w:adjustRightInd w:val="0"/>
              <w:snapToGrid w:val="0"/>
              <w:jc w:val="center"/>
              <w:rPr>
                <w:rFonts w:hint="eastAsia" w:ascii="黑体" w:hAnsi="黑体" w:eastAsia="黑体" w:cs="黑体"/>
                <w:sz w:val="19"/>
                <w:szCs w:val="19"/>
              </w:rPr>
            </w:pPr>
            <w:r>
              <w:rPr>
                <w:rFonts w:ascii="黑体" w:hAnsi="黑体" w:eastAsia="黑体" w:cs="黑体"/>
                <w:sz w:val="19"/>
                <w:szCs w:val="19"/>
              </w:rPr>
              <w:t>5</w:t>
            </w:r>
          </w:p>
        </w:tc>
        <w:tc>
          <w:tcPr>
            <w:tcW w:w="1490" w:type="dxa"/>
            <w:vAlign w:val="center"/>
          </w:tcPr>
          <w:p w14:paraId="30BDBD7C">
            <w:pPr>
              <w:pStyle w:val="17"/>
              <w:wordWrap/>
              <w:spacing w:before="0" w:beforeAutospacing="0" w:after="0" w:afterAutospacing="0" w:line="360" w:lineRule="atLeast"/>
              <w:jc w:val="center"/>
              <w:rPr>
                <w:rFonts w:hint="eastAsia" w:ascii="黑体" w:hAnsi="黑体" w:eastAsia="黑体" w:cs="黑体"/>
                <w:sz w:val="19"/>
                <w:szCs w:val="19"/>
                <w:lang w:bidi="ar"/>
              </w:rPr>
            </w:pPr>
            <w:r>
              <w:rPr>
                <w:rFonts w:hint="eastAsia" w:ascii="黑体" w:hAnsi="黑体" w:eastAsia="黑体" w:cs="黑体"/>
                <w:color w:val="auto"/>
                <w:sz w:val="19"/>
                <w:szCs w:val="19"/>
                <w:highlight w:val="none"/>
                <w:lang w:val="en-US" w:eastAsia="zh-CN" w:bidi="ar"/>
              </w:rPr>
              <w:t>节能环保</w:t>
            </w:r>
          </w:p>
        </w:tc>
        <w:tc>
          <w:tcPr>
            <w:tcW w:w="1043" w:type="dxa"/>
            <w:vAlign w:val="center"/>
          </w:tcPr>
          <w:p w14:paraId="26836EBF">
            <w:pPr>
              <w:widowControl/>
              <w:wordWrap/>
              <w:spacing w:line="360" w:lineRule="atLeast"/>
              <w:jc w:val="center"/>
              <w:textAlignment w:val="center"/>
              <w:rPr>
                <w:rFonts w:hint="eastAsia" w:ascii="黑体" w:hAnsi="黑体" w:eastAsia="黑体" w:cs="黑体"/>
                <w:sz w:val="19"/>
                <w:szCs w:val="19"/>
              </w:rPr>
            </w:pPr>
            <w:r>
              <w:rPr>
                <w:rFonts w:hint="eastAsia" w:ascii="黑体" w:hAnsi="黑体" w:eastAsia="黑体" w:cs="黑体"/>
                <w:sz w:val="19"/>
                <w:szCs w:val="19"/>
                <w:highlight w:val="none"/>
                <w:lang w:val="en-US" w:eastAsia="zh-CN"/>
              </w:rPr>
              <w:t>0.5分</w:t>
            </w:r>
          </w:p>
        </w:tc>
        <w:tc>
          <w:tcPr>
            <w:tcW w:w="736" w:type="dxa"/>
            <w:vAlign w:val="center"/>
          </w:tcPr>
          <w:p w14:paraId="1026C846">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lang w:val="en-US" w:eastAsia="zh-CN"/>
              </w:rPr>
              <w:t>1分</w:t>
            </w:r>
          </w:p>
        </w:tc>
        <w:tc>
          <w:tcPr>
            <w:tcW w:w="5597" w:type="dxa"/>
            <w:vAlign w:val="center"/>
          </w:tcPr>
          <w:p w14:paraId="4FFE81DA">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lang w:val="en-US" w:eastAsia="zh-CN"/>
              </w:rPr>
              <w:t>若投标人所投产品属于节能产品或环境标志产品政府采购品目清单中优先采购的范围，应提供由国家认可的认证机构颁发的、在有效期内的节能产品或环境标志产品认证证书复印件。每提供一个得0.5分，满分1分，需加盖投标单位公章。否则，不予认定。</w:t>
            </w:r>
          </w:p>
        </w:tc>
      </w:tr>
      <w:tr w14:paraId="0275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812" w:type="dxa"/>
            <w:vAlign w:val="center"/>
          </w:tcPr>
          <w:p w14:paraId="0007625D">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6</w:t>
            </w:r>
          </w:p>
        </w:tc>
        <w:tc>
          <w:tcPr>
            <w:tcW w:w="1490" w:type="dxa"/>
            <w:vAlign w:val="center"/>
          </w:tcPr>
          <w:p w14:paraId="6F679935">
            <w:pPr>
              <w:adjustRightInd w:val="0"/>
              <w:snapToGrid w:val="0"/>
              <w:ind w:right="-87"/>
              <w:jc w:val="center"/>
              <w:rPr>
                <w:rFonts w:hint="eastAsia" w:ascii="黑体" w:hAnsi="黑体" w:eastAsia="黑体" w:cs="黑体"/>
                <w:sz w:val="19"/>
                <w:szCs w:val="19"/>
                <w:highlight w:val="yellow"/>
                <w:lang w:bidi="ar"/>
              </w:rPr>
            </w:pPr>
            <w:r>
              <w:rPr>
                <w:rFonts w:hint="eastAsia" w:ascii="黑体" w:hAnsi="黑体" w:eastAsia="黑体" w:cs="黑体"/>
                <w:sz w:val="19"/>
                <w:szCs w:val="19"/>
              </w:rPr>
              <w:t>售后服务</w:t>
            </w:r>
          </w:p>
        </w:tc>
        <w:tc>
          <w:tcPr>
            <w:tcW w:w="1043" w:type="dxa"/>
            <w:vAlign w:val="center"/>
          </w:tcPr>
          <w:p w14:paraId="11F6F64C">
            <w:pPr>
              <w:widowControl/>
              <w:wordWrap/>
              <w:jc w:val="center"/>
              <w:rPr>
                <w:rFonts w:hint="eastAsia" w:ascii="黑体" w:hAnsi="黑体" w:eastAsia="黑体" w:cs="黑体"/>
                <w:sz w:val="19"/>
                <w:szCs w:val="19"/>
                <w:highlight w:val="yellow"/>
              </w:rPr>
            </w:pPr>
            <w:r>
              <w:rPr>
                <w:rFonts w:hint="eastAsia" w:ascii="黑体" w:hAnsi="黑体" w:eastAsia="黑体" w:cs="黑体"/>
                <w:sz w:val="19"/>
                <w:szCs w:val="19"/>
                <w:lang w:val="en-US" w:eastAsia="zh-CN"/>
              </w:rPr>
              <w:t>0.5分</w:t>
            </w:r>
          </w:p>
        </w:tc>
        <w:tc>
          <w:tcPr>
            <w:tcW w:w="736" w:type="dxa"/>
            <w:vAlign w:val="center"/>
          </w:tcPr>
          <w:p w14:paraId="5B08CBA5">
            <w:pPr>
              <w:wordWrap/>
              <w:adjustRightInd w:val="0"/>
              <w:snapToGrid w:val="0"/>
              <w:ind w:right="-87" w:rightChars="0"/>
              <w:jc w:val="center"/>
              <w:rPr>
                <w:rFonts w:hint="eastAsia" w:ascii="黑体" w:hAnsi="黑体" w:eastAsia="黑体" w:cs="黑体"/>
                <w:sz w:val="19"/>
                <w:szCs w:val="19"/>
                <w:highlight w:val="yellow"/>
              </w:rPr>
            </w:pPr>
            <w:r>
              <w:rPr>
                <w:rFonts w:hint="eastAsia" w:ascii="黑体" w:hAnsi="黑体" w:eastAsia="黑体" w:cs="黑体"/>
                <w:color w:val="auto"/>
                <w:sz w:val="19"/>
                <w:szCs w:val="19"/>
                <w:lang w:val="en-US" w:eastAsia="zh-CN"/>
              </w:rPr>
              <w:t>10</w:t>
            </w:r>
            <w:r>
              <w:rPr>
                <w:rFonts w:hint="eastAsia" w:ascii="黑体" w:hAnsi="黑体" w:eastAsia="黑体" w:cs="黑体"/>
                <w:sz w:val="19"/>
                <w:szCs w:val="19"/>
              </w:rPr>
              <w:t>分</w:t>
            </w:r>
          </w:p>
        </w:tc>
        <w:tc>
          <w:tcPr>
            <w:tcW w:w="5597" w:type="dxa"/>
            <w:vAlign w:val="center"/>
          </w:tcPr>
          <w:p w14:paraId="1550DFB1">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投标人针对本项目提供的售后服务方案，至少包含：①用户培训方案；②现场服务支持能力；③备品备件保障能力；④售后服务创新和便利化；⑤服务承诺与标准。</w:t>
            </w:r>
          </w:p>
          <w:p w14:paraId="26E717C9">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包含但不限于上述全部内容，且方案详细，清晰有利于项目的得满分。(如有缺陷或不足在此分数基础上进行扣分)，以上5项中：</w:t>
            </w:r>
          </w:p>
          <w:p w14:paraId="37FEA5DD">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（1）每有1项缺失或完全无法满足项目需求的扣2分；</w:t>
            </w:r>
          </w:p>
          <w:p w14:paraId="6F6691FA">
            <w:pPr>
              <w:widowControl/>
              <w:wordWrap/>
              <w:spacing w:line="360" w:lineRule="atLeast"/>
              <w:jc w:val="left"/>
              <w:rPr>
                <w:rFonts w:hint="eastAsia" w:ascii="黑体" w:hAnsi="黑体" w:eastAsia="黑体" w:cs="黑体"/>
                <w:sz w:val="19"/>
                <w:szCs w:val="19"/>
                <w:lang w:val="en-US" w:eastAsia="zh-CN"/>
              </w:rPr>
            </w:pPr>
            <w:r>
              <w:rPr>
                <w:rFonts w:hint="eastAsia" w:ascii="黑体" w:hAnsi="黑体" w:eastAsia="黑体" w:cs="黑体"/>
                <w:sz w:val="19"/>
                <w:szCs w:val="19"/>
                <w:lang w:val="en-US" w:eastAsia="zh-CN"/>
              </w:rPr>
              <w:t>（2）每有1项中内容存在缺陷或不足扣1分；</w:t>
            </w:r>
          </w:p>
          <w:p w14:paraId="7F7F4A2E">
            <w:pPr>
              <w:widowControl/>
              <w:wordWrap/>
              <w:spacing w:line="360" w:lineRule="atLeast"/>
              <w:jc w:val="left"/>
              <w:rPr>
                <w:rFonts w:hint="eastAsia" w:ascii="黑体" w:hAnsi="黑体" w:eastAsia="黑体" w:cs="黑体"/>
                <w:sz w:val="19"/>
                <w:szCs w:val="19"/>
              </w:rPr>
            </w:pPr>
            <w:r>
              <w:rPr>
                <w:rFonts w:hint="eastAsia" w:ascii="黑体" w:hAnsi="黑体" w:eastAsia="黑体" w:cs="黑体"/>
                <w:sz w:val="19"/>
                <w:szCs w:val="19"/>
                <w:lang w:val="en-US" w:eastAsia="zh-CN"/>
              </w:rPr>
              <w:t>（3）每有 1 项总体内容完备但存在部分瑕疵之处扣0.5分。</w:t>
            </w:r>
          </w:p>
        </w:tc>
      </w:tr>
      <w:tr w14:paraId="417D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812" w:type="dxa"/>
            <w:vAlign w:val="center"/>
          </w:tcPr>
          <w:p w14:paraId="4CA170F8">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7</w:t>
            </w:r>
          </w:p>
        </w:tc>
        <w:tc>
          <w:tcPr>
            <w:tcW w:w="1490" w:type="dxa"/>
            <w:vAlign w:val="center"/>
          </w:tcPr>
          <w:p w14:paraId="09A35C08">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增值服务</w:t>
            </w:r>
          </w:p>
        </w:tc>
        <w:tc>
          <w:tcPr>
            <w:tcW w:w="1043" w:type="dxa"/>
            <w:vAlign w:val="center"/>
          </w:tcPr>
          <w:p w14:paraId="076AC3B3">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0.5分</w:t>
            </w:r>
          </w:p>
        </w:tc>
        <w:tc>
          <w:tcPr>
            <w:tcW w:w="736" w:type="dxa"/>
            <w:vAlign w:val="center"/>
          </w:tcPr>
          <w:p w14:paraId="0C87B608">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2分</w:t>
            </w:r>
          </w:p>
        </w:tc>
        <w:tc>
          <w:tcPr>
            <w:tcW w:w="5597" w:type="dxa"/>
            <w:vAlign w:val="bottom"/>
          </w:tcPr>
          <w:p w14:paraId="67E9D59E">
            <w:pPr>
              <w:widowControl/>
              <w:spacing w:line="360" w:lineRule="auto"/>
              <w:jc w:val="both"/>
              <w:rPr>
                <w:rFonts w:hint="eastAsia" w:ascii="黑体" w:hAnsi="黑体" w:eastAsia="黑体" w:cs="黑体"/>
                <w:sz w:val="19"/>
                <w:szCs w:val="19"/>
              </w:rPr>
            </w:pPr>
            <w:r>
              <w:rPr>
                <w:rFonts w:hint="eastAsia" w:ascii="黑体" w:hAnsi="黑体" w:eastAsia="黑体" w:cs="黑体"/>
                <w:sz w:val="19"/>
                <w:szCs w:val="19"/>
              </w:rPr>
              <w:t>（1）在招标文件要求的质保期基础上，承诺每增加1年质保期得0.5分，最高得1分；</w:t>
            </w:r>
          </w:p>
          <w:p w14:paraId="1E302C96">
            <w:pPr>
              <w:widowControl/>
              <w:spacing w:line="360" w:lineRule="auto"/>
              <w:jc w:val="both"/>
              <w:rPr>
                <w:rFonts w:hint="eastAsia"/>
              </w:rPr>
            </w:pPr>
            <w:r>
              <w:rPr>
                <w:rFonts w:hint="eastAsia" w:ascii="黑体" w:hAnsi="黑体" w:eastAsia="黑体" w:cs="黑体"/>
                <w:sz w:val="19"/>
                <w:szCs w:val="19"/>
              </w:rPr>
              <w:t>（2）针对本项目常见质量和服务问题进行梳理，根据自身情况对服务标准、过程管理、质量保证、后续服务等方面作出有利于本项目开展的承诺，每提供1条有效承诺，得0.5分，最高得1分。</w:t>
            </w:r>
          </w:p>
        </w:tc>
      </w:tr>
      <w:tr w14:paraId="7543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12" w:type="dxa"/>
            <w:vAlign w:val="center"/>
          </w:tcPr>
          <w:p w14:paraId="7927A6F3">
            <w:pPr>
              <w:adjustRightInd w:val="0"/>
              <w:snapToGrid w:val="0"/>
              <w:jc w:val="center"/>
              <w:rPr>
                <w:rFonts w:hint="eastAsia" w:ascii="黑体" w:hAnsi="黑体" w:eastAsia="黑体" w:cs="黑体"/>
                <w:sz w:val="19"/>
                <w:szCs w:val="19"/>
              </w:rPr>
            </w:pPr>
            <w:r>
              <w:rPr>
                <w:rFonts w:hint="eastAsia" w:ascii="黑体" w:hAnsi="黑体" w:eastAsia="黑体" w:cs="黑体"/>
                <w:sz w:val="19"/>
                <w:szCs w:val="19"/>
              </w:rPr>
              <w:t>8</w:t>
            </w:r>
          </w:p>
        </w:tc>
        <w:tc>
          <w:tcPr>
            <w:tcW w:w="1490" w:type="dxa"/>
            <w:vAlign w:val="center"/>
          </w:tcPr>
          <w:p w14:paraId="0D7A9909">
            <w:pPr>
              <w:adjustRightInd w:val="0"/>
              <w:snapToGrid w:val="0"/>
              <w:ind w:right="-87"/>
              <w:jc w:val="center"/>
              <w:rPr>
                <w:rFonts w:hint="eastAsia" w:ascii="黑体" w:hAnsi="黑体" w:eastAsia="黑体" w:cs="黑体"/>
                <w:sz w:val="19"/>
                <w:szCs w:val="19"/>
              </w:rPr>
            </w:pPr>
            <w:r>
              <w:rPr>
                <w:rFonts w:hint="eastAsia" w:ascii="黑体" w:hAnsi="黑体" w:eastAsia="黑体" w:cs="黑体"/>
                <w:sz w:val="19"/>
                <w:szCs w:val="19"/>
              </w:rPr>
              <w:t>项目业绩</w:t>
            </w:r>
          </w:p>
        </w:tc>
        <w:tc>
          <w:tcPr>
            <w:tcW w:w="1043" w:type="dxa"/>
            <w:vAlign w:val="center"/>
          </w:tcPr>
          <w:p w14:paraId="65CD000D">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2分</w:t>
            </w:r>
          </w:p>
        </w:tc>
        <w:tc>
          <w:tcPr>
            <w:tcW w:w="736" w:type="dxa"/>
            <w:vAlign w:val="center"/>
          </w:tcPr>
          <w:p w14:paraId="7F7142B6">
            <w:pPr>
              <w:widowControl/>
              <w:spacing w:line="360" w:lineRule="auto"/>
              <w:jc w:val="left"/>
              <w:rPr>
                <w:rFonts w:hint="eastAsia" w:ascii="黑体" w:hAnsi="黑体" w:eastAsia="黑体" w:cs="黑体"/>
                <w:sz w:val="19"/>
                <w:szCs w:val="19"/>
              </w:rPr>
            </w:pPr>
            <w:r>
              <w:rPr>
                <w:rFonts w:hint="eastAsia" w:ascii="黑体" w:hAnsi="黑体" w:eastAsia="黑体" w:cs="黑体"/>
                <w:sz w:val="19"/>
                <w:szCs w:val="19"/>
              </w:rPr>
              <w:t>10分</w:t>
            </w:r>
          </w:p>
        </w:tc>
        <w:tc>
          <w:tcPr>
            <w:tcW w:w="5597" w:type="dxa"/>
            <w:vAlign w:val="center"/>
          </w:tcPr>
          <w:p w14:paraId="249050F9">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投标人提供2022年1月1日至投标截止日期承接的类似业绩，每份合格业绩计2分，满分10分。</w:t>
            </w:r>
          </w:p>
          <w:p w14:paraId="7AA98F54">
            <w:pPr>
              <w:widowControl/>
              <w:spacing w:line="480" w:lineRule="exact"/>
              <w:jc w:val="left"/>
              <w:rPr>
                <w:rFonts w:hint="eastAsia" w:ascii="黑体" w:hAnsi="黑体" w:eastAsia="黑体" w:cs="黑体"/>
                <w:sz w:val="19"/>
                <w:szCs w:val="19"/>
              </w:rPr>
            </w:pPr>
            <w:r>
              <w:rPr>
                <w:rFonts w:hint="eastAsia" w:ascii="黑体" w:hAnsi="黑体" w:eastAsia="黑体" w:cs="黑体"/>
                <w:sz w:val="19"/>
                <w:szCs w:val="19"/>
              </w:rPr>
              <w:t>备注：投标人需提供业绩合同证明材料（至少应包含内容关键页、签订日期与签章页），提供不全或无法辨识的不得分。</w:t>
            </w:r>
          </w:p>
        </w:tc>
      </w:tr>
      <w:tr w14:paraId="13EB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345" w:type="dxa"/>
            <w:gridSpan w:val="3"/>
            <w:vAlign w:val="center"/>
          </w:tcPr>
          <w:p w14:paraId="34EA6EC7">
            <w:pPr>
              <w:spacing w:line="480" w:lineRule="exact"/>
              <w:jc w:val="left"/>
              <w:rPr>
                <w:rFonts w:hint="eastAsia" w:ascii="黑体" w:hAnsi="黑体" w:eastAsia="黑体" w:cs="黑体"/>
                <w:sz w:val="19"/>
                <w:szCs w:val="19"/>
              </w:rPr>
            </w:pPr>
            <w:r>
              <w:rPr>
                <w:rFonts w:hint="eastAsia" w:ascii="黑体" w:hAnsi="黑体" w:eastAsia="黑体" w:cs="黑体"/>
                <w:sz w:val="19"/>
                <w:szCs w:val="19"/>
              </w:rPr>
              <w:t>合计</w:t>
            </w:r>
          </w:p>
        </w:tc>
        <w:tc>
          <w:tcPr>
            <w:tcW w:w="736" w:type="dxa"/>
            <w:vAlign w:val="center"/>
          </w:tcPr>
          <w:p w14:paraId="74E4FE7F">
            <w:pPr>
              <w:spacing w:line="480" w:lineRule="exact"/>
              <w:jc w:val="left"/>
              <w:rPr>
                <w:rFonts w:hint="eastAsia" w:ascii="黑体" w:hAnsi="黑体" w:eastAsia="黑体" w:cs="黑体"/>
                <w:sz w:val="19"/>
                <w:szCs w:val="19"/>
              </w:rPr>
            </w:pPr>
            <w:r>
              <w:rPr>
                <w:rFonts w:hint="eastAsia" w:ascii="黑体" w:hAnsi="黑体" w:eastAsia="黑体" w:cs="黑体"/>
                <w:sz w:val="19"/>
                <w:szCs w:val="19"/>
              </w:rPr>
              <w:t>70分</w:t>
            </w:r>
          </w:p>
        </w:tc>
        <w:tc>
          <w:tcPr>
            <w:tcW w:w="5597" w:type="dxa"/>
          </w:tcPr>
          <w:p w14:paraId="01ECB2AC">
            <w:pPr>
              <w:spacing w:line="480" w:lineRule="exact"/>
              <w:jc w:val="left"/>
              <w:rPr>
                <w:rFonts w:hint="eastAsia" w:ascii="黑体" w:hAnsi="黑体" w:eastAsia="黑体" w:cs="黑体"/>
                <w:sz w:val="19"/>
                <w:szCs w:val="19"/>
              </w:rPr>
            </w:pPr>
          </w:p>
        </w:tc>
      </w:tr>
    </w:tbl>
    <w:p w14:paraId="30CD2E0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注：以上各项评分内容，如投标人未提供相对应内容，评标委员会不受最低评分标准限制，可予以零分计算。</w:t>
      </w:r>
    </w:p>
    <w:p w14:paraId="16B3B54F">
      <w:pPr>
        <w:numPr>
          <w:ilvl w:val="0"/>
          <w:numId w:val="9"/>
        </w:numPr>
        <w:spacing w:before="87" w:beforeLines="20" w:line="480" w:lineRule="exact"/>
        <w:jc w:val="center"/>
        <w:rPr>
          <w:rFonts w:hint="eastAsia" w:ascii="黑体" w:hAnsi="黑体" w:eastAsia="黑体" w:cs="黑体"/>
          <w:b/>
          <w:bCs/>
          <w:sz w:val="19"/>
          <w:szCs w:val="19"/>
        </w:rPr>
      </w:pPr>
      <w:r>
        <w:rPr>
          <w:rFonts w:hint="eastAsia" w:ascii="黑体" w:hAnsi="黑体" w:eastAsia="黑体" w:cs="黑体"/>
          <w:b/>
          <w:bCs/>
          <w:sz w:val="19"/>
          <w:szCs w:val="19"/>
        </w:rPr>
        <w:t>总分计算</w:t>
      </w:r>
    </w:p>
    <w:p w14:paraId="5C64BFE4">
      <w:pPr>
        <w:spacing w:before="87" w:beforeLines="20" w:line="480" w:lineRule="exact"/>
        <w:jc w:val="left"/>
        <w:rPr>
          <w:rFonts w:hint="eastAsia" w:ascii="黑体" w:hAnsi="黑体" w:eastAsia="黑体" w:cs="黑体"/>
          <w:color w:val="000000" w:themeColor="text1"/>
          <w:sz w:val="19"/>
          <w:szCs w:val="19"/>
          <w:u w:val="single"/>
          <w14:textFill>
            <w14:solidFill>
              <w14:schemeClr w14:val="tx1"/>
            </w14:solidFill>
          </w14:textFill>
        </w:rPr>
      </w:pPr>
      <w:r>
        <w:rPr>
          <w:rFonts w:hint="eastAsia" w:ascii="黑体" w:hAnsi="黑体" w:eastAsia="黑体" w:cs="黑体"/>
          <w:sz w:val="19"/>
          <w:szCs w:val="19"/>
        </w:rPr>
        <w:t>由评标委员会成员对每一份投标文件进行独立评分，然后取算术平均值（保留小数点两位）。计算每个投标人的实际得分（价格得分+技术商务得分），并按得分高低排出名次。</w:t>
      </w:r>
    </w:p>
    <w:p w14:paraId="0BDD7C3B">
      <w:pPr>
        <w:numPr>
          <w:ilvl w:val="0"/>
          <w:numId w:val="9"/>
        </w:numPr>
        <w:spacing w:line="480" w:lineRule="exact"/>
        <w:jc w:val="center"/>
        <w:rPr>
          <w:rFonts w:hint="eastAsia" w:ascii="黑体" w:hAnsi="黑体" w:eastAsia="黑体" w:cs="黑体"/>
          <w:b/>
          <w:bCs/>
          <w:sz w:val="19"/>
          <w:szCs w:val="19"/>
        </w:rPr>
      </w:pPr>
      <w:r>
        <w:rPr>
          <w:rFonts w:hint="eastAsia" w:ascii="黑体" w:hAnsi="黑体" w:eastAsia="黑体" w:cs="黑体"/>
          <w:b/>
          <w:bCs/>
          <w:sz w:val="19"/>
          <w:szCs w:val="19"/>
        </w:rPr>
        <w:t>评分标准释义</w:t>
      </w:r>
    </w:p>
    <w:p w14:paraId="464A2E7C">
      <w:pPr>
        <w:spacing w:before="87" w:beforeLines="20" w:line="480" w:lineRule="exact"/>
        <w:rPr>
          <w:rFonts w:hint="eastAsia" w:ascii="黑体" w:hAnsi="黑体" w:eastAsia="黑体" w:cs="黑体"/>
          <w:bCs/>
          <w:color w:val="000000" w:themeColor="text1"/>
          <w:sz w:val="19"/>
          <w:szCs w:val="19"/>
          <w14:textFill>
            <w14:solidFill>
              <w14:schemeClr w14:val="tx1"/>
            </w14:solidFill>
          </w14:textFill>
        </w:rPr>
      </w:pPr>
      <w:r>
        <w:rPr>
          <w:rFonts w:hint="eastAsia" w:ascii="黑体" w:hAnsi="黑体" w:eastAsia="黑体" w:cs="黑体"/>
          <w:bCs/>
          <w:color w:val="000000" w:themeColor="text1"/>
          <w:sz w:val="19"/>
          <w:szCs w:val="19"/>
          <w14:textFill>
            <w14:solidFill>
              <w14:schemeClr w14:val="tx1"/>
            </w14:solidFill>
          </w14:textFill>
        </w:rPr>
        <w:t>1.内容不足或存在缺陷是指：方案内容不完整或缺少关键要素；对同一问题的阐述前后矛盾；存在逻辑漏洞、科学原理错误或违背常识；不利于实现本项目采购目标等任意一种情形，包括但不限于：</w:t>
      </w:r>
    </w:p>
    <w:p w14:paraId="1DE9474B">
      <w:pPr>
        <w:spacing w:before="87" w:beforeLines="20" w:line="480" w:lineRule="exact"/>
        <w:jc w:val="left"/>
        <w:rPr>
          <w:rFonts w:hint="eastAsia" w:ascii="黑体" w:hAnsi="黑体" w:eastAsia="黑体" w:cs="黑体"/>
          <w:sz w:val="19"/>
          <w:szCs w:val="19"/>
        </w:rPr>
      </w:pPr>
      <w:r>
        <w:rPr>
          <w:rFonts w:hint="eastAsia" w:ascii="黑体" w:hAnsi="黑体" w:eastAsia="黑体" w:cs="黑体"/>
          <w:bCs/>
          <w:color w:val="000000" w:themeColor="text1"/>
          <w:sz w:val="19"/>
          <w:szCs w:val="19"/>
          <w14:textFill>
            <w14:solidFill>
              <w14:schemeClr w14:val="tx1"/>
            </w14:solidFill>
          </w14:textFill>
        </w:rPr>
        <w:t>关键</w:t>
      </w:r>
      <w:r>
        <w:rPr>
          <w:rFonts w:hint="eastAsia" w:ascii="黑体" w:hAnsi="黑体" w:eastAsia="黑体" w:cs="黑体"/>
          <w:sz w:val="19"/>
          <w:szCs w:val="19"/>
        </w:rPr>
        <w:t>要素缺失：对项目实施起决定性作用的关键要素有遗漏，致使方案完整性与可操作性严重不足，无法为项目开展提供充分指导，严重影响采购目标实现。</w:t>
      </w:r>
    </w:p>
    <w:p w14:paraId="30D60B0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前后表述矛盾：针对关键问题或重要事项，方案不同章节、段落、条款的阐述相互冲突，破坏逻辑连贯性与准确性，严重影响方案可信度与有效性。</w:t>
      </w:r>
    </w:p>
    <w:p w14:paraId="03752F9B">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逻辑性、科学性或常识性错误：方案存在明显逻辑推理错误，如前提与结论脱节、论证不合理；涉及专业技术、科学原理、行业常识时，表述与公认标准、理论相悖；或者出现常识性错误，脱离实际，难以付诸实践。</w:t>
      </w:r>
    </w:p>
    <w:p w14:paraId="2FD2739A">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不利于采购目标实现：方案未围绕本项目采购核心需求响应，在项目范围、质量标准、交付成果等关键方面，与采购预期方向和实际要求偏差过大，无法保障采购目标达成，甚至对项目实施产生负面影响。</w:t>
      </w:r>
    </w:p>
    <w:p w14:paraId="51B187B0">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2.内容存在部分瑕疵是指：方案内容大体上完备，具备一定的可行性，但在某些方面与项目的实际需求不符；商务技术方案的响应与评分标准不完全对应；或存在细节上的错误；不利于项目等任意一种情形，包括但不限于：</w:t>
      </w:r>
    </w:p>
    <w:p w14:paraId="06B60653">
      <w:pPr>
        <w:spacing w:before="87" w:beforeLines="20" w:line="480" w:lineRule="exact"/>
        <w:jc w:val="left"/>
        <w:rPr>
          <w:rFonts w:hint="eastAsia" w:ascii="黑体" w:hAnsi="黑体" w:eastAsia="黑体" w:cs="黑体"/>
          <w:sz w:val="19"/>
          <w:szCs w:val="19"/>
        </w:rPr>
      </w:pPr>
      <w:r>
        <w:rPr>
          <w:rFonts w:hint="eastAsia" w:ascii="黑体" w:hAnsi="黑体" w:eastAsia="黑体" w:cs="黑体"/>
          <w:sz w:val="19"/>
          <w:szCs w:val="19"/>
        </w:rPr>
        <w:t>适配性问题：方案整体框架完整，主要内容可行，有实施基础，但部分细节未结合项目特定环境、资源条件、业务流程等进行针对性设计，实际应用可能出现适配问题，影响项目采购目标实现。</w:t>
      </w:r>
    </w:p>
    <w:p w14:paraId="459381BB">
      <w:pPr>
        <w:spacing w:before="87" w:beforeLines="20" w:line="480" w:lineRule="exact"/>
        <w:jc w:val="lef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sz w:val="19"/>
          <w:szCs w:val="19"/>
        </w:rPr>
        <w:t>细节错误：方案存在数据精度不准、商务技术方案响应与评分</w:t>
      </w:r>
      <w:r>
        <w:rPr>
          <w:rFonts w:hint="eastAsia" w:ascii="黑体" w:hAnsi="黑体" w:eastAsia="黑体" w:cs="黑体"/>
          <w:bCs/>
          <w:color w:val="000000" w:themeColor="text1"/>
          <w:sz w:val="19"/>
          <w:szCs w:val="19"/>
          <w14:textFill>
            <w14:solidFill>
              <w14:schemeClr w14:val="tx1"/>
            </w14:solidFill>
          </w14:textFill>
        </w:rPr>
        <w:t>标准未能完全对应、格式不合项目规范、文字表述有歧义或错别字等细节问题。这些虽不改变方案整体方向与可行性，但降低专业性和严谨性，对采购目标实现和高质量实施产生不利影响。</w:t>
      </w:r>
    </w:p>
    <w:p w14:paraId="7C16FBBF">
      <w:pPr>
        <w:spacing w:before="87" w:beforeLines="20" w:line="480" w:lineRule="exact"/>
        <w:ind w:left="190" w:hanging="190" w:hangingChars="100"/>
        <w:jc w:val="left"/>
        <w:rPr>
          <w:rFonts w:hint="eastAsia" w:ascii="黑体" w:hAnsi="黑体" w:eastAsia="黑体" w:cs="黑体"/>
          <w:sz w:val="19"/>
          <w:szCs w:val="19"/>
        </w:rPr>
      </w:pPr>
      <w:r>
        <w:rPr>
          <w:rFonts w:hint="eastAsia" w:ascii="黑体" w:hAnsi="黑体" w:eastAsia="黑体" w:cs="黑体"/>
          <w:sz w:val="19"/>
          <w:szCs w:val="19"/>
        </w:rPr>
        <w:t>13.废标</w:t>
      </w:r>
      <w:r>
        <w:rPr>
          <w:rFonts w:hint="eastAsia" w:ascii="黑体" w:hAnsi="黑体" w:eastAsia="黑体" w:cs="黑体"/>
          <w:sz w:val="19"/>
          <w:szCs w:val="19"/>
        </w:rPr>
        <w:br w:type="textWrapping"/>
      </w:r>
      <w:r>
        <w:rPr>
          <w:rFonts w:ascii="黑体" w:hAnsi="黑体" w:eastAsia="黑体" w:cs="黑体"/>
          <w:sz w:val="19"/>
          <w:szCs w:val="19"/>
        </w:rPr>
        <w:t>本次政府采购活动中，出现下列情形之一的，予以废标：</w:t>
      </w:r>
    </w:p>
    <w:p w14:paraId="068912B6">
      <w:pPr>
        <w:pStyle w:val="36"/>
        <w:numPr>
          <w:ilvl w:val="0"/>
          <w:numId w:val="10"/>
        </w:numPr>
        <w:spacing w:before="87" w:beforeLines="20" w:line="480" w:lineRule="exact"/>
        <w:rPr>
          <w:rFonts w:ascii="黑体" w:hAnsi="黑体" w:eastAsia="黑体" w:cs="黑体"/>
          <w:kern w:val="2"/>
          <w:sz w:val="19"/>
          <w:szCs w:val="19"/>
          <w:lang w:eastAsia="zh-CN"/>
        </w:rPr>
      </w:pPr>
      <w:r>
        <w:rPr>
          <w:rFonts w:hint="default" w:ascii="黑体" w:hAnsi="黑体" w:eastAsia="黑体" w:cs="黑体"/>
          <w:kern w:val="2"/>
          <w:sz w:val="19"/>
          <w:szCs w:val="19"/>
          <w:lang w:eastAsia="zh-CN"/>
        </w:rPr>
        <w:t>符合专业条件的投标人或者对招标文件作实质响应的投标人不足三家的；</w:t>
      </w:r>
    </w:p>
    <w:p w14:paraId="6A666A51">
      <w:pPr>
        <w:pStyle w:val="36"/>
        <w:numPr>
          <w:ilvl w:val="0"/>
          <w:numId w:val="10"/>
        </w:numPr>
        <w:spacing w:before="87" w:beforeLines="20" w:line="480" w:lineRule="exact"/>
        <w:rPr>
          <w:rFonts w:ascii="黑体" w:hAnsi="黑体" w:eastAsia="黑体" w:cs="黑体"/>
          <w:kern w:val="2"/>
          <w:sz w:val="19"/>
          <w:szCs w:val="19"/>
          <w:lang w:eastAsia="zh-CN"/>
        </w:rPr>
      </w:pPr>
      <w:r>
        <w:rPr>
          <w:rFonts w:hint="default" w:ascii="黑体" w:hAnsi="黑体" w:eastAsia="黑体" w:cs="黑体"/>
          <w:kern w:val="2"/>
          <w:sz w:val="19"/>
          <w:szCs w:val="19"/>
          <w:lang w:eastAsia="zh-CN"/>
        </w:rPr>
        <w:t>出现影响采购公正的违法、违规行为的；</w:t>
      </w:r>
    </w:p>
    <w:p w14:paraId="6B732458">
      <w:pPr>
        <w:pStyle w:val="36"/>
        <w:numPr>
          <w:ilvl w:val="0"/>
          <w:numId w:val="10"/>
        </w:numPr>
        <w:spacing w:before="87" w:beforeLines="20" w:line="480" w:lineRule="exact"/>
        <w:rPr>
          <w:rFonts w:ascii="黑体" w:hAnsi="黑体" w:eastAsia="黑体" w:cs="黑体"/>
          <w:kern w:val="2"/>
          <w:sz w:val="19"/>
          <w:szCs w:val="19"/>
          <w:lang w:eastAsia="zh-CN"/>
        </w:rPr>
      </w:pPr>
      <w:r>
        <w:rPr>
          <w:rFonts w:hint="default" w:ascii="黑体" w:hAnsi="黑体" w:eastAsia="黑体" w:cs="黑体"/>
          <w:kern w:val="2"/>
          <w:sz w:val="19"/>
          <w:szCs w:val="19"/>
          <w:lang w:eastAsia="zh-CN"/>
        </w:rPr>
        <w:t>投标人的报价均超过了采购预算，采购人不能支付的；</w:t>
      </w:r>
    </w:p>
    <w:p w14:paraId="47761BCA">
      <w:pPr>
        <w:pStyle w:val="36"/>
        <w:numPr>
          <w:ilvl w:val="0"/>
          <w:numId w:val="10"/>
        </w:numPr>
        <w:spacing w:before="87" w:beforeLines="20" w:line="480" w:lineRule="exact"/>
        <w:rPr>
          <w:rFonts w:ascii="黑体" w:hAnsi="黑体" w:eastAsia="黑体" w:cs="黑体"/>
          <w:kern w:val="2"/>
          <w:sz w:val="19"/>
          <w:szCs w:val="19"/>
          <w:lang w:eastAsia="zh-CN"/>
        </w:rPr>
      </w:pPr>
      <w:r>
        <w:rPr>
          <w:rFonts w:hint="default" w:ascii="黑体" w:hAnsi="黑体" w:eastAsia="黑体" w:cs="黑体"/>
          <w:kern w:val="2"/>
          <w:sz w:val="19"/>
          <w:szCs w:val="19"/>
          <w:lang w:eastAsia="zh-CN"/>
        </w:rPr>
        <w:t>因重大变故，采购任务取消的；</w:t>
      </w:r>
    </w:p>
    <w:p w14:paraId="4EA6960A">
      <w:pPr>
        <w:pStyle w:val="36"/>
        <w:spacing w:before="87" w:beforeLines="20" w:line="480" w:lineRule="exact"/>
        <w:ind w:firstLine="190" w:firstLineChars="100"/>
        <w:rPr>
          <w:rFonts w:ascii="黑体" w:hAnsi="黑体" w:eastAsia="黑体" w:cs="黑体"/>
          <w:sz w:val="19"/>
          <w:szCs w:val="19"/>
          <w:lang w:eastAsia="zh-CN"/>
        </w:rPr>
      </w:pPr>
      <w:r>
        <w:rPr>
          <w:rFonts w:hint="default" w:ascii="黑体" w:hAnsi="黑体" w:eastAsia="黑体" w:cs="黑体"/>
          <w:kern w:val="2"/>
          <w:sz w:val="19"/>
          <w:szCs w:val="19"/>
          <w:lang w:eastAsia="zh-CN"/>
        </w:rPr>
        <w:t>废标后，采购代理机构将在</w:t>
      </w:r>
      <w:r>
        <w:rPr>
          <w:rFonts w:ascii="黑体" w:hAnsi="黑体" w:eastAsia="黑体" w:cs="黑体"/>
          <w:kern w:val="2"/>
          <w:sz w:val="19"/>
          <w:szCs w:val="19"/>
          <w:lang w:eastAsia="zh-CN"/>
        </w:rPr>
        <w:t>投标人须知前附表指定的信息发布媒体上</w:t>
      </w:r>
      <w:r>
        <w:rPr>
          <w:rFonts w:hint="default" w:ascii="黑体" w:hAnsi="黑体" w:eastAsia="黑体" w:cs="黑体"/>
          <w:kern w:val="2"/>
          <w:sz w:val="19"/>
          <w:szCs w:val="19"/>
          <w:lang w:eastAsia="zh-CN"/>
        </w:rPr>
        <w:t>公告。对于评标过程中废标的采购项目，评标委员会应当对招标文件是否存在倾向性和歧视性、是否存在不合理条款进行论证，并出具书面论证意见。</w:t>
      </w:r>
    </w:p>
    <w:p w14:paraId="1E41A977">
      <w:pPr>
        <w:spacing w:before="87" w:beforeLines="20" w:line="480" w:lineRule="exact"/>
        <w:rPr>
          <w:rFonts w:hint="eastAsia" w:ascii="黑体" w:hAnsi="黑体" w:eastAsia="黑体" w:cs="黑体"/>
          <w:kern w:val="0"/>
          <w:sz w:val="19"/>
          <w:szCs w:val="19"/>
        </w:rPr>
      </w:pPr>
      <w:r>
        <w:rPr>
          <w:rFonts w:hint="eastAsia" w:ascii="黑体" w:hAnsi="黑体" w:eastAsia="黑体" w:cs="黑体"/>
          <w:kern w:val="0"/>
          <w:sz w:val="19"/>
          <w:szCs w:val="19"/>
        </w:rPr>
        <w:t>14</w:t>
      </w:r>
      <w:r>
        <w:rPr>
          <w:rFonts w:ascii="黑体" w:hAnsi="黑体" w:eastAsia="黑体" w:cs="黑体"/>
          <w:kern w:val="0"/>
          <w:sz w:val="19"/>
          <w:szCs w:val="19"/>
        </w:rPr>
        <w:t>.废标</w:t>
      </w:r>
      <w:r>
        <w:rPr>
          <w:rFonts w:ascii="黑体" w:hAnsi="黑体" w:eastAsia="黑体" w:cs="黑体"/>
          <w:kern w:val="0"/>
          <w:sz w:val="19"/>
          <w:szCs w:val="19"/>
        </w:rPr>
        <w:br w:type="textWrapping"/>
      </w:r>
      <w:r>
        <w:rPr>
          <w:rFonts w:hint="eastAsia" w:ascii="黑体" w:hAnsi="黑体" w:eastAsia="黑体" w:cs="黑体"/>
          <w:kern w:val="0"/>
          <w:sz w:val="19"/>
          <w:szCs w:val="19"/>
        </w:rPr>
        <w:t>14</w:t>
      </w:r>
      <w:r>
        <w:rPr>
          <w:rFonts w:ascii="黑体" w:hAnsi="黑体" w:eastAsia="黑体" w:cs="黑体"/>
          <w:kern w:val="0"/>
          <w:sz w:val="19"/>
          <w:szCs w:val="19"/>
        </w:rPr>
        <w:t>.1 定标原则</w:t>
      </w:r>
    </w:p>
    <w:p w14:paraId="677280AA">
      <w:pPr>
        <w:spacing w:before="87" w:beforeLines="20" w:line="480" w:lineRule="exact"/>
        <w:ind w:firstLine="380" w:firstLineChars="200"/>
        <w:rPr>
          <w:rFonts w:hint="eastAsia" w:ascii="黑体" w:hAnsi="黑体" w:eastAsia="黑体" w:cs="黑体"/>
          <w:kern w:val="0"/>
          <w:sz w:val="19"/>
          <w:szCs w:val="19"/>
        </w:rPr>
      </w:pPr>
      <w:r>
        <w:rPr>
          <w:rFonts w:ascii="黑体" w:hAnsi="黑体" w:eastAsia="黑体" w:cs="黑体"/>
          <w:kern w:val="0"/>
          <w:sz w:val="19"/>
          <w:szCs w:val="19"/>
        </w:rPr>
        <w:t>采购人在评标报告确定的中标候选人名单中按顺序确定1名中标人。中标候选人并列的，由采购人采取随机抽取的方式确定中标人。</w:t>
      </w:r>
    </w:p>
    <w:p w14:paraId="793366FB">
      <w:pPr>
        <w:spacing w:before="87" w:beforeLines="20" w:line="480" w:lineRule="exact"/>
        <w:rPr>
          <w:rFonts w:hint="eastAsia" w:ascii="黑体" w:hAnsi="黑体" w:eastAsia="黑体" w:cs="黑体"/>
          <w:kern w:val="0"/>
          <w:sz w:val="19"/>
          <w:szCs w:val="19"/>
        </w:rPr>
      </w:pPr>
      <w:r>
        <w:rPr>
          <w:rFonts w:hint="eastAsia" w:ascii="黑体" w:hAnsi="黑体" w:eastAsia="黑体" w:cs="黑体"/>
          <w:kern w:val="0"/>
          <w:sz w:val="19"/>
          <w:szCs w:val="19"/>
        </w:rPr>
        <w:t>14</w:t>
      </w:r>
      <w:r>
        <w:rPr>
          <w:rFonts w:ascii="黑体" w:hAnsi="黑体" w:eastAsia="黑体" w:cs="黑体"/>
          <w:kern w:val="0"/>
          <w:sz w:val="19"/>
          <w:szCs w:val="19"/>
        </w:rPr>
        <w:t>.2定标程序</w:t>
      </w:r>
    </w:p>
    <w:p w14:paraId="73D360AA">
      <w:pPr>
        <w:numPr>
          <w:ilvl w:val="0"/>
          <w:numId w:val="11"/>
        </w:numPr>
        <w:spacing w:before="87" w:beforeLines="20" w:line="480" w:lineRule="exact"/>
        <w:ind w:left="424" w:leftChars="100" w:hanging="184" w:hangingChars="97"/>
        <w:rPr>
          <w:rFonts w:hint="eastAsia" w:ascii="黑体" w:hAnsi="黑体" w:eastAsia="黑体" w:cs="黑体"/>
          <w:kern w:val="0"/>
          <w:sz w:val="19"/>
          <w:szCs w:val="19"/>
        </w:rPr>
      </w:pPr>
      <w:r>
        <w:rPr>
          <w:rFonts w:ascii="黑体" w:hAnsi="黑体" w:eastAsia="黑体" w:cs="黑体"/>
          <w:kern w:val="0"/>
          <w:sz w:val="19"/>
          <w:szCs w:val="19"/>
        </w:rPr>
        <w:t>评标委员会编制评标报告。</w:t>
      </w:r>
    </w:p>
    <w:p w14:paraId="0A0EEC8C">
      <w:pPr>
        <w:numPr>
          <w:ilvl w:val="0"/>
          <w:numId w:val="11"/>
        </w:numPr>
        <w:spacing w:before="87" w:beforeLines="20" w:line="480" w:lineRule="exact"/>
        <w:ind w:left="424" w:leftChars="100" w:hanging="184" w:hangingChars="97"/>
        <w:rPr>
          <w:rFonts w:hint="eastAsia" w:ascii="黑体" w:hAnsi="黑体" w:eastAsia="黑体" w:cs="黑体"/>
          <w:kern w:val="0"/>
          <w:sz w:val="19"/>
          <w:szCs w:val="19"/>
        </w:rPr>
      </w:pPr>
      <w:r>
        <w:rPr>
          <w:rFonts w:ascii="黑体" w:hAnsi="黑体" w:eastAsia="黑体" w:cs="黑体"/>
          <w:kern w:val="0"/>
          <w:sz w:val="19"/>
          <w:szCs w:val="19"/>
        </w:rPr>
        <w:t>采购代理机构在评标结束之日起2个工作日内将评标报告送采购人。</w:t>
      </w:r>
    </w:p>
    <w:p w14:paraId="75210372">
      <w:pPr>
        <w:numPr>
          <w:ilvl w:val="0"/>
          <w:numId w:val="11"/>
        </w:numPr>
        <w:spacing w:before="87" w:beforeLines="20" w:line="480" w:lineRule="exact"/>
        <w:ind w:left="4" w:firstLine="235" w:firstLineChars="124"/>
        <w:rPr>
          <w:rFonts w:hint="eastAsia" w:ascii="黑体" w:hAnsi="黑体" w:eastAsia="黑体" w:cs="黑体"/>
          <w:kern w:val="0"/>
          <w:sz w:val="19"/>
          <w:szCs w:val="19"/>
        </w:rPr>
      </w:pPr>
      <w:r>
        <w:rPr>
          <w:rFonts w:ascii="黑体" w:hAnsi="黑体" w:eastAsia="黑体" w:cs="黑体"/>
          <w:kern w:val="0"/>
          <w:sz w:val="19"/>
          <w:szCs w:val="19"/>
        </w:rPr>
        <w:t>采购人在收到评标报告后5个工作日内，按照评标报告中推荐的中标候选人顺序确定</w:t>
      </w:r>
      <w:r>
        <w:rPr>
          <w:rFonts w:hint="eastAsia" w:ascii="黑体" w:hAnsi="黑体" w:eastAsia="黑体" w:cs="黑体"/>
          <w:kern w:val="0"/>
          <w:sz w:val="19"/>
          <w:szCs w:val="19"/>
        </w:rPr>
        <w:t>中标人</w:t>
      </w:r>
      <w:r>
        <w:rPr>
          <w:rFonts w:ascii="黑体" w:hAnsi="黑体" w:eastAsia="黑体" w:cs="黑体"/>
          <w:kern w:val="0"/>
          <w:sz w:val="19"/>
          <w:szCs w:val="19"/>
        </w:rPr>
        <w:t>。逾期未确认的，又不能说明合法理由的，视同按评标报告推荐的顺序确定排名第一的中标候选人为</w:t>
      </w:r>
      <w:r>
        <w:rPr>
          <w:rFonts w:hint="eastAsia" w:ascii="黑体" w:hAnsi="黑体" w:eastAsia="黑体" w:cs="黑体"/>
          <w:kern w:val="0"/>
          <w:sz w:val="19"/>
          <w:szCs w:val="19"/>
        </w:rPr>
        <w:t>中标人</w:t>
      </w:r>
      <w:r>
        <w:rPr>
          <w:rFonts w:ascii="黑体" w:hAnsi="黑体" w:eastAsia="黑体" w:cs="黑体"/>
          <w:kern w:val="0"/>
          <w:sz w:val="19"/>
          <w:szCs w:val="19"/>
        </w:rPr>
        <w:t>。</w:t>
      </w:r>
    </w:p>
    <w:p w14:paraId="0DD1DC06">
      <w:pPr>
        <w:numPr>
          <w:ilvl w:val="0"/>
          <w:numId w:val="11"/>
        </w:numPr>
        <w:spacing w:before="87" w:beforeLines="20" w:line="480" w:lineRule="exact"/>
        <w:ind w:left="424" w:leftChars="100" w:hanging="184" w:hangingChars="97"/>
        <w:rPr>
          <w:rFonts w:hint="eastAsia" w:ascii="黑体" w:hAnsi="黑体" w:eastAsia="黑体" w:cs="黑体"/>
          <w:kern w:val="0"/>
          <w:sz w:val="19"/>
          <w:szCs w:val="19"/>
        </w:rPr>
      </w:pPr>
      <w:r>
        <w:rPr>
          <w:rFonts w:ascii="黑体" w:hAnsi="黑体" w:eastAsia="黑体" w:cs="黑体"/>
          <w:kern w:val="0"/>
          <w:sz w:val="19"/>
          <w:szCs w:val="19"/>
        </w:rPr>
        <w:t>根据确定的</w:t>
      </w:r>
      <w:r>
        <w:rPr>
          <w:rFonts w:hint="eastAsia" w:ascii="黑体" w:hAnsi="黑体" w:eastAsia="黑体" w:cs="黑体"/>
          <w:kern w:val="0"/>
          <w:sz w:val="19"/>
          <w:szCs w:val="19"/>
        </w:rPr>
        <w:t>中标人</w:t>
      </w:r>
      <w:r>
        <w:rPr>
          <w:rFonts w:ascii="黑体" w:hAnsi="黑体" w:eastAsia="黑体" w:cs="黑体"/>
          <w:kern w:val="0"/>
          <w:sz w:val="19"/>
          <w:szCs w:val="19"/>
        </w:rPr>
        <w:t>，采购代理机构发布中标结果公告，同时发出中标通知书。</w:t>
      </w:r>
    </w:p>
    <w:p w14:paraId="310EC21A">
      <w:pPr>
        <w:numPr>
          <w:ilvl w:val="0"/>
          <w:numId w:val="11"/>
        </w:numPr>
        <w:spacing w:before="87" w:beforeLines="20" w:line="480" w:lineRule="exact"/>
        <w:ind w:left="424" w:leftChars="100" w:hanging="184" w:hangingChars="97"/>
        <w:rPr>
          <w:rFonts w:hint="eastAsia" w:ascii="黑体" w:hAnsi="黑体" w:eastAsia="黑体" w:cs="黑体"/>
          <w:kern w:val="0"/>
          <w:sz w:val="19"/>
          <w:szCs w:val="19"/>
        </w:rPr>
      </w:pPr>
      <w:r>
        <w:rPr>
          <w:rFonts w:ascii="黑体" w:hAnsi="黑体" w:eastAsia="黑体" w:cs="黑体"/>
          <w:kern w:val="0"/>
          <w:sz w:val="19"/>
          <w:szCs w:val="19"/>
        </w:rPr>
        <w:t>若出现排名第一的中标候选人放弃中标或不能按招标文件规定签订合同等原因取消中标资格，则按排名顺序依次确定排名其后的中标候选人为中标人或重新招标。</w:t>
      </w:r>
    </w:p>
    <w:p w14:paraId="50746F68">
      <w:pPr>
        <w:spacing w:before="87" w:beforeLines="20" w:line="480" w:lineRule="exact"/>
        <w:rPr>
          <w:rFonts w:hint="eastAsia" w:ascii="黑体" w:hAnsi="黑体" w:eastAsia="黑体" w:cs="黑体"/>
          <w:kern w:val="0"/>
          <w:sz w:val="19"/>
          <w:szCs w:val="19"/>
        </w:rPr>
      </w:pPr>
      <w:r>
        <w:rPr>
          <w:rFonts w:hint="eastAsia" w:ascii="黑体" w:hAnsi="黑体" w:eastAsia="黑体" w:cs="黑体"/>
          <w:kern w:val="0"/>
          <w:sz w:val="19"/>
          <w:szCs w:val="19"/>
        </w:rPr>
        <w:t>14.3</w:t>
      </w:r>
      <w:r>
        <w:rPr>
          <w:rFonts w:ascii="黑体" w:hAnsi="黑体" w:eastAsia="黑体" w:cs="黑体"/>
          <w:kern w:val="0"/>
          <w:sz w:val="19"/>
          <w:szCs w:val="19"/>
        </w:rPr>
        <w:t>评审专家在政府采购活动中承担以下义务</w:t>
      </w:r>
    </w:p>
    <w:p w14:paraId="03DCE365">
      <w:pPr>
        <w:numPr>
          <w:ilvl w:val="0"/>
          <w:numId w:val="12"/>
        </w:numPr>
        <w:spacing w:before="87" w:beforeLines="20" w:line="480" w:lineRule="exact"/>
        <w:ind w:left="-235" w:firstLine="475"/>
        <w:rPr>
          <w:rFonts w:hint="eastAsia" w:ascii="黑体" w:hAnsi="黑体" w:eastAsia="黑体" w:cs="黑体"/>
          <w:kern w:val="0"/>
          <w:sz w:val="19"/>
          <w:szCs w:val="19"/>
        </w:rPr>
      </w:pPr>
      <w:r>
        <w:rPr>
          <w:rFonts w:ascii="黑体" w:hAnsi="黑体" w:eastAsia="黑体" w:cs="黑体"/>
          <w:kern w:val="0"/>
          <w:sz w:val="19"/>
          <w:szCs w:val="19"/>
        </w:rPr>
        <w:t>遵守评审工作纪律；</w:t>
      </w:r>
    </w:p>
    <w:p w14:paraId="70DFB185">
      <w:pPr>
        <w:numPr>
          <w:ilvl w:val="0"/>
          <w:numId w:val="12"/>
        </w:numPr>
        <w:spacing w:before="87" w:beforeLines="20" w:line="480" w:lineRule="exact"/>
        <w:ind w:left="-235" w:firstLine="475"/>
        <w:rPr>
          <w:rFonts w:hint="eastAsia" w:ascii="黑体" w:hAnsi="黑体" w:eastAsia="黑体" w:cs="黑体"/>
          <w:kern w:val="0"/>
          <w:sz w:val="19"/>
          <w:szCs w:val="19"/>
        </w:rPr>
      </w:pPr>
      <w:r>
        <w:rPr>
          <w:rFonts w:ascii="黑体" w:hAnsi="黑体" w:eastAsia="黑体" w:cs="黑体"/>
          <w:kern w:val="0"/>
          <w:sz w:val="19"/>
          <w:szCs w:val="19"/>
        </w:rPr>
        <w:t>按照客观、公正、审慎的原则，独立评审；</w:t>
      </w:r>
    </w:p>
    <w:p w14:paraId="5860D0CC">
      <w:pPr>
        <w:numPr>
          <w:ilvl w:val="0"/>
          <w:numId w:val="12"/>
        </w:numPr>
        <w:spacing w:before="87" w:beforeLines="20" w:line="480" w:lineRule="exact"/>
        <w:ind w:left="-235" w:firstLine="475"/>
        <w:rPr>
          <w:rFonts w:hint="eastAsia" w:ascii="黑体" w:hAnsi="黑体" w:eastAsia="黑体" w:cs="黑体"/>
          <w:kern w:val="0"/>
          <w:sz w:val="19"/>
          <w:szCs w:val="19"/>
        </w:rPr>
      </w:pPr>
      <w:r>
        <w:rPr>
          <w:rFonts w:ascii="黑体" w:hAnsi="黑体" w:eastAsia="黑体" w:cs="黑体"/>
          <w:kern w:val="0"/>
          <w:sz w:val="19"/>
          <w:szCs w:val="19"/>
        </w:rPr>
        <w:t>不得泄露评审文件、评审情况和在评审过程中获悉的商业秘密；</w:t>
      </w:r>
    </w:p>
    <w:p w14:paraId="3A985415">
      <w:pPr>
        <w:numPr>
          <w:ilvl w:val="0"/>
          <w:numId w:val="12"/>
        </w:numPr>
        <w:spacing w:before="87" w:beforeLines="20" w:line="480" w:lineRule="exact"/>
        <w:ind w:left="-235" w:firstLine="475"/>
        <w:rPr>
          <w:rFonts w:hint="eastAsia" w:ascii="黑体" w:hAnsi="黑体" w:eastAsia="黑体" w:cs="黑体"/>
          <w:kern w:val="0"/>
          <w:sz w:val="19"/>
          <w:szCs w:val="19"/>
        </w:rPr>
      </w:pPr>
      <w:r>
        <w:rPr>
          <w:rFonts w:ascii="黑体" w:hAnsi="黑体" w:eastAsia="黑体" w:cs="黑体"/>
          <w:kern w:val="0"/>
          <w:sz w:val="19"/>
          <w:szCs w:val="19"/>
        </w:rPr>
        <w:t>及时向监督管理部门报告评审过程中的违法违规情况；</w:t>
      </w:r>
    </w:p>
    <w:p w14:paraId="5092E14C">
      <w:pPr>
        <w:numPr>
          <w:ilvl w:val="0"/>
          <w:numId w:val="12"/>
        </w:numPr>
        <w:spacing w:before="87" w:beforeLines="20" w:line="480" w:lineRule="exact"/>
        <w:ind w:left="-235" w:firstLine="475"/>
        <w:rPr>
          <w:rFonts w:hint="eastAsia" w:ascii="黑体" w:hAnsi="黑体" w:eastAsia="黑体" w:cs="黑体"/>
          <w:kern w:val="0"/>
          <w:sz w:val="19"/>
          <w:szCs w:val="19"/>
        </w:rPr>
      </w:pPr>
      <w:r>
        <w:rPr>
          <w:rFonts w:ascii="黑体" w:hAnsi="黑体" w:eastAsia="黑体" w:cs="黑体"/>
          <w:kern w:val="0"/>
          <w:sz w:val="19"/>
          <w:szCs w:val="19"/>
        </w:rPr>
        <w:t>发现招标文件内容违反国家有关强制性规定或者存在歧义、重大缺陷导致评审工作无法进行时，停止评审并向采购组织单位书面说明情况，说明停止评审的情形和具体理由；</w:t>
      </w:r>
    </w:p>
    <w:p w14:paraId="2F27BC8C">
      <w:pPr>
        <w:numPr>
          <w:ilvl w:val="0"/>
          <w:numId w:val="12"/>
        </w:numPr>
        <w:spacing w:before="87" w:beforeLines="20" w:line="480" w:lineRule="exact"/>
        <w:ind w:left="-235" w:firstLine="475"/>
        <w:rPr>
          <w:rFonts w:hint="eastAsia" w:ascii="黑体" w:hAnsi="黑体" w:eastAsia="黑体" w:cs="黑体"/>
          <w:kern w:val="0"/>
          <w:sz w:val="19"/>
          <w:szCs w:val="19"/>
        </w:rPr>
      </w:pPr>
      <w:r>
        <w:rPr>
          <w:rFonts w:ascii="黑体" w:hAnsi="黑体" w:eastAsia="黑体" w:cs="黑体"/>
          <w:kern w:val="0"/>
          <w:sz w:val="19"/>
          <w:szCs w:val="19"/>
        </w:rPr>
        <w:t>配合答复处理供应商的询问、质疑和投诉等事项；</w:t>
      </w:r>
    </w:p>
    <w:p w14:paraId="46E02CFB">
      <w:pPr>
        <w:numPr>
          <w:ilvl w:val="0"/>
          <w:numId w:val="12"/>
        </w:numPr>
        <w:spacing w:before="87" w:beforeLines="20" w:line="480" w:lineRule="exact"/>
        <w:ind w:left="-235" w:firstLine="475"/>
        <w:rPr>
          <w:rFonts w:hint="eastAsia" w:ascii="黑体" w:hAnsi="黑体" w:eastAsia="黑体" w:cs="黑体"/>
          <w:kern w:val="0"/>
          <w:sz w:val="19"/>
          <w:szCs w:val="19"/>
        </w:rPr>
        <w:sectPr>
          <w:pgSz w:w="11905" w:h="16838"/>
          <w:pgMar w:top="1417" w:right="1247" w:bottom="1474" w:left="1247" w:header="850" w:footer="992" w:gutter="0"/>
          <w:pgNumType w:fmt="numberInDash"/>
          <w:cols w:space="0" w:num="1"/>
          <w:docGrid w:type="lines" w:linePitch="436" w:charSpace="0"/>
        </w:sectPr>
      </w:pPr>
      <w:r>
        <w:rPr>
          <w:rFonts w:hint="eastAsia" w:ascii="黑体" w:hAnsi="黑体" w:eastAsia="黑体" w:cs="黑体"/>
          <w:kern w:val="0"/>
          <w:sz w:val="19"/>
          <w:szCs w:val="19"/>
        </w:rPr>
        <w:t>法律法规</w:t>
      </w:r>
      <w:r>
        <w:rPr>
          <w:rFonts w:ascii="黑体" w:hAnsi="黑体" w:eastAsia="黑体" w:cs="黑体"/>
          <w:kern w:val="0"/>
          <w:sz w:val="19"/>
          <w:szCs w:val="19"/>
        </w:rPr>
        <w:t xml:space="preserve">和规章规定的其他义务。 </w:t>
      </w:r>
    </w:p>
    <w:p w14:paraId="61A41F35">
      <w:pPr>
        <w:pStyle w:val="36"/>
        <w:spacing w:line="480" w:lineRule="exact"/>
        <w:jc w:val="center"/>
        <w:outlineLvl w:val="0"/>
        <w:rPr>
          <w:rFonts w:ascii="黑体" w:hAnsi="黑体" w:eastAsia="黑体" w:cs="黑体"/>
          <w:color w:val="000000" w:themeColor="text1"/>
          <w:sz w:val="28"/>
          <w:szCs w:val="28"/>
          <w:lang w:eastAsia="zh-CN"/>
          <w14:textFill>
            <w14:solidFill>
              <w14:schemeClr w14:val="tx1"/>
            </w14:solidFill>
          </w14:textFill>
        </w:rPr>
      </w:pPr>
      <w:bookmarkStart w:id="41" w:name="_Toc3152"/>
      <w:bookmarkStart w:id="42" w:name="_Toc32431"/>
      <w:r>
        <w:rPr>
          <w:rFonts w:ascii="黑体" w:hAnsi="黑体" w:eastAsia="黑体" w:cs="黑体"/>
          <w:b/>
          <w:color w:val="000000" w:themeColor="text1"/>
          <w:sz w:val="28"/>
          <w:szCs w:val="28"/>
          <w14:textFill>
            <w14:solidFill>
              <w14:schemeClr w14:val="tx1"/>
            </w14:solidFill>
          </w14:textFill>
        </w:rPr>
        <w:t>第</w:t>
      </w:r>
      <w:r>
        <w:rPr>
          <w:rFonts w:ascii="黑体" w:hAnsi="黑体" w:eastAsia="黑体" w:cs="黑体"/>
          <w:b/>
          <w:color w:val="000000" w:themeColor="text1"/>
          <w:sz w:val="28"/>
          <w:szCs w:val="28"/>
          <w:lang w:eastAsia="zh-CN"/>
          <w14:textFill>
            <w14:solidFill>
              <w14:schemeClr w14:val="tx1"/>
            </w14:solidFill>
          </w14:textFill>
        </w:rPr>
        <w:t>六</w:t>
      </w:r>
      <w:r>
        <w:rPr>
          <w:rFonts w:ascii="黑体" w:hAnsi="黑体" w:eastAsia="黑体" w:cs="黑体"/>
          <w:b/>
          <w:color w:val="000000" w:themeColor="text1"/>
          <w:sz w:val="28"/>
          <w:szCs w:val="28"/>
          <w14:textFill>
            <w14:solidFill>
              <w14:schemeClr w14:val="tx1"/>
            </w14:solidFill>
          </w14:textFill>
        </w:rPr>
        <w:t xml:space="preserve">章 </w:t>
      </w:r>
      <w:r>
        <w:rPr>
          <w:rFonts w:ascii="黑体" w:hAnsi="黑体" w:eastAsia="黑体" w:cs="黑体"/>
          <w:b/>
          <w:color w:val="000000" w:themeColor="text1"/>
          <w:sz w:val="28"/>
          <w:szCs w:val="28"/>
          <w:lang w:eastAsia="zh-CN"/>
          <w14:textFill>
            <w14:solidFill>
              <w14:schemeClr w14:val="tx1"/>
            </w14:solidFill>
          </w14:textFill>
        </w:rPr>
        <w:t>拟签订的合同文本</w:t>
      </w:r>
      <w:bookmarkEnd w:id="41"/>
      <w:bookmarkEnd w:id="42"/>
    </w:p>
    <w:p w14:paraId="5953C06A">
      <w:pPr>
        <w:keepNext/>
        <w:keepLines/>
        <w:numPr>
          <w:ilvl w:val="1"/>
          <w:numId w:val="0"/>
        </w:numPr>
        <w:tabs>
          <w:tab w:val="left" w:pos="576"/>
        </w:tabs>
        <w:spacing w:line="410" w:lineRule="exact"/>
        <w:rPr>
          <w:rFonts w:hint="eastAsia" w:ascii="黑体" w:hAnsi="黑体" w:eastAsia="黑体" w:cs="黑体"/>
          <w:b/>
          <w:sz w:val="28"/>
          <w:szCs w:val="28"/>
        </w:rPr>
      </w:pPr>
    </w:p>
    <w:p w14:paraId="5F94CFC9">
      <w:pPr>
        <w:spacing w:before="2" w:line="460" w:lineRule="exact"/>
        <w:jc w:val="center"/>
        <w:rPr>
          <w:rFonts w:hint="eastAsia" w:ascii="黑体" w:hAnsi="黑体" w:eastAsia="黑体" w:cs="黑体"/>
          <w:bCs/>
          <w:color w:val="000000"/>
          <w:sz w:val="19"/>
          <w:szCs w:val="19"/>
        </w:rPr>
      </w:pPr>
      <w:r>
        <w:rPr>
          <w:rFonts w:hint="eastAsia" w:ascii="黑体" w:hAnsi="黑体" w:eastAsia="黑体" w:cs="黑体"/>
          <w:bCs/>
          <w:color w:val="000000"/>
          <w:sz w:val="19"/>
          <w:szCs w:val="19"/>
        </w:rPr>
        <w:t>（此合同只作为参考，最终签订的合同以采购人确定的合同内容为准）</w:t>
      </w:r>
    </w:p>
    <w:p w14:paraId="35618F2E">
      <w:pPr>
        <w:spacing w:before="4" w:line="480" w:lineRule="exact"/>
        <w:rPr>
          <w:rFonts w:hint="eastAsia" w:ascii="黑体" w:hAnsi="黑体" w:eastAsia="黑体" w:cs="黑体"/>
          <w:sz w:val="22"/>
          <w:szCs w:val="22"/>
        </w:rPr>
      </w:pPr>
    </w:p>
    <w:p w14:paraId="60997C12">
      <w:pPr>
        <w:jc w:val="center"/>
        <w:rPr>
          <w:rFonts w:hint="eastAsia" w:ascii="黑体" w:hAnsi="黑体" w:eastAsia="黑体" w:cs="黑体"/>
          <w:b/>
          <w:kern w:val="44"/>
          <w:sz w:val="28"/>
          <w:szCs w:val="28"/>
          <w:highlight w:val="yellow"/>
        </w:rPr>
      </w:pPr>
    </w:p>
    <w:p w14:paraId="6C63E2ED">
      <w:pPr>
        <w:jc w:val="center"/>
        <w:rPr>
          <w:rFonts w:hint="eastAsia" w:ascii="黑体" w:hAnsi="黑体" w:eastAsia="黑体" w:cs="黑体"/>
          <w:b/>
          <w:kern w:val="44"/>
          <w:sz w:val="28"/>
          <w:szCs w:val="28"/>
          <w:highlight w:val="yellow"/>
        </w:rPr>
      </w:pPr>
    </w:p>
    <w:p w14:paraId="726AD4EA">
      <w:pPr>
        <w:jc w:val="center"/>
        <w:rPr>
          <w:rFonts w:hint="eastAsia" w:ascii="黑体" w:hAnsi="黑体" w:eastAsia="黑体" w:cs="黑体"/>
          <w:b/>
          <w:kern w:val="44"/>
          <w:sz w:val="28"/>
          <w:szCs w:val="28"/>
          <w:highlight w:val="yellow"/>
        </w:rPr>
      </w:pPr>
    </w:p>
    <w:p w14:paraId="3A8E2C07">
      <w:pPr>
        <w:widowControl/>
        <w:spacing w:line="480" w:lineRule="exact"/>
        <w:jc w:val="center"/>
        <w:textAlignment w:val="baseline"/>
        <w:rPr>
          <w:rFonts w:hint="eastAsia" w:ascii="黑体" w:hAnsi="黑体" w:eastAsia="黑体" w:cs="黑体"/>
          <w:b/>
          <w:sz w:val="28"/>
          <w:szCs w:val="28"/>
        </w:rPr>
      </w:pPr>
      <w:r>
        <w:rPr>
          <w:rFonts w:hint="eastAsia" w:ascii="黑体" w:hAnsi="黑体" w:eastAsia="黑体" w:cs="黑体"/>
          <w:bCs/>
          <w:sz w:val="28"/>
          <w:szCs w:val="28"/>
        </w:rPr>
        <w:t>_____</w:t>
      </w:r>
      <w:r>
        <w:rPr>
          <w:rFonts w:hint="eastAsia" w:ascii="黑体" w:hAnsi="黑体" w:eastAsia="黑体" w:cs="黑体"/>
          <w:b/>
          <w:sz w:val="28"/>
          <w:szCs w:val="28"/>
        </w:rPr>
        <w:t>项目</w:t>
      </w:r>
    </w:p>
    <w:p w14:paraId="2BA1E5D9">
      <w:pPr>
        <w:widowControl/>
        <w:spacing w:line="480" w:lineRule="exact"/>
        <w:jc w:val="center"/>
        <w:textAlignment w:val="baseline"/>
        <w:rPr>
          <w:rFonts w:hint="eastAsia" w:ascii="黑体" w:hAnsi="黑体" w:eastAsia="黑体" w:cs="黑体"/>
          <w:b/>
          <w:sz w:val="28"/>
          <w:szCs w:val="28"/>
        </w:rPr>
      </w:pPr>
    </w:p>
    <w:p w14:paraId="35201C56">
      <w:pPr>
        <w:widowControl/>
        <w:spacing w:line="480" w:lineRule="exact"/>
        <w:jc w:val="center"/>
        <w:textAlignment w:val="baseline"/>
        <w:rPr>
          <w:rFonts w:hint="eastAsia" w:ascii="黑体" w:hAnsi="黑体" w:eastAsia="黑体" w:cs="黑体"/>
          <w:b/>
          <w:kern w:val="44"/>
          <w:sz w:val="28"/>
          <w:szCs w:val="28"/>
        </w:rPr>
      </w:pPr>
      <w:r>
        <w:rPr>
          <w:rFonts w:hint="eastAsia" w:ascii="黑体" w:hAnsi="黑体" w:eastAsia="黑体" w:cs="黑体"/>
          <w:b/>
          <w:sz w:val="28"/>
          <w:szCs w:val="28"/>
        </w:rPr>
        <w:t>采购合同</w:t>
      </w:r>
    </w:p>
    <w:p w14:paraId="0CEDE9B2">
      <w:pPr>
        <w:widowControl/>
        <w:spacing w:line="480" w:lineRule="exact"/>
        <w:jc w:val="center"/>
        <w:textAlignment w:val="baseline"/>
        <w:rPr>
          <w:rFonts w:hint="eastAsia" w:ascii="黑体" w:hAnsi="黑体" w:eastAsia="黑体" w:cs="黑体"/>
          <w:b/>
          <w:kern w:val="44"/>
          <w:sz w:val="28"/>
          <w:szCs w:val="28"/>
        </w:rPr>
      </w:pPr>
    </w:p>
    <w:p w14:paraId="347996DC">
      <w:pPr>
        <w:pStyle w:val="8"/>
        <w:spacing w:line="243" w:lineRule="auto"/>
        <w:rPr>
          <w:rFonts w:hint="eastAsia" w:ascii="黑体" w:hAnsi="黑体" w:eastAsia="黑体" w:cs="黑体"/>
        </w:rPr>
      </w:pPr>
    </w:p>
    <w:p w14:paraId="4703427A">
      <w:pPr>
        <w:pStyle w:val="8"/>
        <w:spacing w:line="243" w:lineRule="auto"/>
        <w:rPr>
          <w:rFonts w:hint="eastAsia" w:ascii="黑体" w:hAnsi="黑体" w:eastAsia="黑体" w:cs="黑体"/>
        </w:rPr>
      </w:pPr>
    </w:p>
    <w:p w14:paraId="265620D8">
      <w:pPr>
        <w:pStyle w:val="8"/>
        <w:spacing w:line="244" w:lineRule="auto"/>
        <w:rPr>
          <w:rFonts w:hint="eastAsia" w:ascii="黑体" w:hAnsi="黑体" w:eastAsia="黑体" w:cs="黑体"/>
        </w:rPr>
      </w:pPr>
    </w:p>
    <w:p w14:paraId="4FB6F94F">
      <w:pPr>
        <w:pStyle w:val="8"/>
        <w:spacing w:line="600" w:lineRule="exact"/>
        <w:rPr>
          <w:rFonts w:hint="eastAsia" w:ascii="黑体" w:hAnsi="黑体" w:eastAsia="黑体" w:cs="黑体"/>
        </w:rPr>
      </w:pPr>
    </w:p>
    <w:p w14:paraId="2539150F">
      <w:pPr>
        <w:widowControl/>
        <w:kinsoku w:val="0"/>
        <w:autoSpaceDE w:val="0"/>
        <w:autoSpaceDN w:val="0"/>
        <w:adjustRightInd w:val="0"/>
        <w:snapToGrid w:val="0"/>
        <w:spacing w:line="600" w:lineRule="exact"/>
        <w:ind w:left="1327"/>
        <w:textAlignment w:val="baseline"/>
        <w:rPr>
          <w:rFonts w:hint="eastAsia" w:ascii="黑体" w:hAnsi="黑体" w:eastAsia="黑体" w:cs="黑体"/>
          <w:sz w:val="19"/>
          <w:szCs w:val="19"/>
        </w:rPr>
      </w:pPr>
      <w:r>
        <w:rPr>
          <w:rFonts w:hint="eastAsia" w:ascii="黑体" w:hAnsi="黑体" w:eastAsia="黑体" w:cs="黑体"/>
          <w:spacing w:val="-9"/>
          <w:sz w:val="19"/>
          <w:szCs w:val="19"/>
        </w:rPr>
        <w:t>采购项目名称：西咸新区地震监测台网建设</w:t>
      </w:r>
    </w:p>
    <w:p w14:paraId="5A58EC96">
      <w:pPr>
        <w:widowControl/>
        <w:kinsoku w:val="0"/>
        <w:autoSpaceDE w:val="0"/>
        <w:autoSpaceDN w:val="0"/>
        <w:adjustRightInd w:val="0"/>
        <w:snapToGrid w:val="0"/>
        <w:spacing w:line="600" w:lineRule="exact"/>
        <w:ind w:left="1327"/>
        <w:textAlignment w:val="baseline"/>
        <w:rPr>
          <w:rFonts w:hint="eastAsia" w:ascii="黑体" w:hAnsi="黑体" w:eastAsia="黑体" w:cs="黑体"/>
          <w:spacing w:val="-9"/>
          <w:sz w:val="19"/>
          <w:szCs w:val="19"/>
        </w:rPr>
      </w:pPr>
      <w:r>
        <w:rPr>
          <w:rFonts w:hint="eastAsia" w:ascii="黑体" w:hAnsi="黑体" w:eastAsia="黑体" w:cs="黑体"/>
          <w:spacing w:val="-9"/>
          <w:sz w:val="19"/>
          <w:szCs w:val="19"/>
        </w:rPr>
        <w:t>采购项目编号：ZBY2025119</w:t>
      </w:r>
    </w:p>
    <w:p w14:paraId="16696977">
      <w:pPr>
        <w:pStyle w:val="8"/>
        <w:spacing w:line="254" w:lineRule="auto"/>
        <w:rPr>
          <w:rFonts w:hint="eastAsia" w:ascii="黑体" w:hAnsi="黑体" w:eastAsia="黑体" w:cs="黑体"/>
          <w:sz w:val="19"/>
          <w:szCs w:val="19"/>
        </w:rPr>
      </w:pPr>
    </w:p>
    <w:p w14:paraId="40FDFC04">
      <w:pPr>
        <w:pStyle w:val="8"/>
        <w:spacing w:line="254" w:lineRule="auto"/>
        <w:rPr>
          <w:rFonts w:hint="eastAsia" w:ascii="黑体" w:hAnsi="黑体" w:eastAsia="黑体" w:cs="黑体"/>
          <w:sz w:val="19"/>
          <w:szCs w:val="19"/>
        </w:rPr>
      </w:pPr>
    </w:p>
    <w:p w14:paraId="6C3395AC">
      <w:pPr>
        <w:pStyle w:val="8"/>
        <w:spacing w:line="255" w:lineRule="auto"/>
        <w:rPr>
          <w:rFonts w:hint="eastAsia" w:ascii="黑体" w:hAnsi="黑体" w:eastAsia="黑体" w:cs="黑体"/>
          <w:sz w:val="19"/>
          <w:szCs w:val="19"/>
        </w:rPr>
      </w:pPr>
    </w:p>
    <w:p w14:paraId="12942AF2">
      <w:pPr>
        <w:pStyle w:val="8"/>
        <w:rPr>
          <w:rFonts w:hint="eastAsia" w:ascii="黑体" w:hAnsi="黑体" w:eastAsia="黑体" w:cs="黑体"/>
          <w:sz w:val="19"/>
          <w:szCs w:val="19"/>
        </w:rPr>
      </w:pPr>
    </w:p>
    <w:p w14:paraId="5020AFE5">
      <w:pPr>
        <w:pStyle w:val="8"/>
        <w:spacing w:line="255" w:lineRule="auto"/>
        <w:rPr>
          <w:rFonts w:hint="eastAsia" w:ascii="黑体" w:hAnsi="黑体" w:eastAsia="黑体" w:cs="黑体"/>
          <w:sz w:val="19"/>
          <w:szCs w:val="19"/>
        </w:rPr>
      </w:pPr>
    </w:p>
    <w:p w14:paraId="19E8DC2C">
      <w:pPr>
        <w:spacing w:before="268" w:line="219" w:lineRule="auto"/>
        <w:ind w:left="1324"/>
        <w:rPr>
          <w:rFonts w:hint="eastAsia" w:ascii="黑体" w:hAnsi="黑体" w:eastAsia="黑体" w:cs="黑体"/>
          <w:spacing w:val="-9"/>
          <w:sz w:val="19"/>
          <w:szCs w:val="19"/>
        </w:rPr>
      </w:pPr>
      <w:r>
        <w:rPr>
          <w:rFonts w:hint="eastAsia" w:ascii="黑体" w:hAnsi="黑体" w:eastAsia="黑体" w:cs="黑体"/>
          <w:b/>
          <w:bCs/>
          <w:spacing w:val="-9"/>
          <w:sz w:val="19"/>
          <w:szCs w:val="19"/>
        </w:rPr>
        <w:t>甲方：</w:t>
      </w:r>
      <w:r>
        <w:rPr>
          <w:rFonts w:hint="eastAsia" w:ascii="黑体" w:hAnsi="黑体" w:eastAsia="黑体" w:cs="黑体"/>
          <w:spacing w:val="-9"/>
          <w:sz w:val="19"/>
          <w:szCs w:val="19"/>
        </w:rPr>
        <w:t>陕西省西咸新区应急管理局</w:t>
      </w:r>
    </w:p>
    <w:p w14:paraId="3C55650D">
      <w:pPr>
        <w:spacing w:before="268" w:line="219" w:lineRule="auto"/>
        <w:ind w:left="1324"/>
        <w:rPr>
          <w:rFonts w:hint="eastAsia" w:ascii="黑体" w:hAnsi="黑体" w:eastAsia="黑体" w:cs="黑体"/>
          <w:b/>
          <w:bCs/>
          <w:sz w:val="19"/>
          <w:szCs w:val="19"/>
        </w:rPr>
      </w:pPr>
      <w:r>
        <w:rPr>
          <w:rFonts w:hint="eastAsia" w:ascii="黑体" w:hAnsi="黑体" w:eastAsia="黑体" w:cs="黑体"/>
          <w:b/>
          <w:bCs/>
          <w:spacing w:val="-8"/>
          <w:sz w:val="19"/>
          <w:szCs w:val="19"/>
        </w:rPr>
        <w:t>乙方：</w:t>
      </w:r>
    </w:p>
    <w:p w14:paraId="1BEA716B">
      <w:pPr>
        <w:spacing w:before="262" w:line="219" w:lineRule="auto"/>
        <w:ind w:left="1324"/>
        <w:rPr>
          <w:rFonts w:hint="eastAsia" w:ascii="黑体" w:hAnsi="黑体" w:eastAsia="黑体" w:cs="黑体"/>
          <w:b/>
          <w:bCs/>
          <w:sz w:val="19"/>
          <w:szCs w:val="19"/>
        </w:rPr>
      </w:pPr>
      <w:r>
        <w:rPr>
          <w:rFonts w:hint="eastAsia" w:ascii="黑体" w:hAnsi="黑体" w:eastAsia="黑体" w:cs="黑体"/>
          <w:b/>
          <w:bCs/>
          <w:spacing w:val="-9"/>
          <w:sz w:val="19"/>
          <w:szCs w:val="19"/>
        </w:rPr>
        <w:t>日期：</w:t>
      </w:r>
    </w:p>
    <w:p w14:paraId="107CD926">
      <w:pPr>
        <w:spacing w:line="219" w:lineRule="auto"/>
        <w:rPr>
          <w:rFonts w:hint="eastAsia" w:ascii="黑体" w:hAnsi="黑体" w:eastAsia="黑体" w:cs="黑体"/>
          <w:sz w:val="19"/>
          <w:szCs w:val="19"/>
        </w:rPr>
        <w:sectPr>
          <w:footerReference r:id="rId9" w:type="default"/>
          <w:pgSz w:w="11905" w:h="16838"/>
          <w:pgMar w:top="1417" w:right="1247" w:bottom="1474" w:left="1247" w:header="850" w:footer="992" w:gutter="0"/>
          <w:pgNumType w:fmt="numberInDash"/>
          <w:cols w:space="0" w:num="1"/>
          <w:docGrid w:type="lines" w:linePitch="436" w:charSpace="0"/>
        </w:sectPr>
      </w:pPr>
    </w:p>
    <w:p w14:paraId="1197030E">
      <w:pPr>
        <w:rPr>
          <w:rFonts w:hint="eastAsia" w:ascii="宋体" w:hAnsi="宋体" w:eastAsia="宋体" w:cs="宋体"/>
          <w:bCs/>
          <w:color w:val="000000"/>
          <w:sz w:val="22"/>
          <w:szCs w:val="22"/>
        </w:rPr>
      </w:pPr>
    </w:p>
    <w:p w14:paraId="50746561">
      <w:pPr>
        <w:spacing w:line="480" w:lineRule="exact"/>
        <w:jc w:val="center"/>
        <w:rPr>
          <w:rFonts w:hint="eastAsia" w:ascii="黑体" w:hAnsi="黑体" w:eastAsia="黑体" w:cs="黑体"/>
          <w:b/>
          <w:color w:val="000000" w:themeColor="text1"/>
          <w:sz w:val="28"/>
          <w:szCs w:val="28"/>
          <w14:textFill>
            <w14:solidFill>
              <w14:schemeClr w14:val="tx1"/>
            </w14:solidFill>
          </w14:textFill>
        </w:rPr>
      </w:pPr>
      <w:bookmarkStart w:id="43" w:name="_Toc16024"/>
      <w:bookmarkStart w:id="44" w:name="_Toc25757"/>
      <w:r>
        <w:rPr>
          <w:rFonts w:hint="eastAsia" w:ascii="黑体" w:hAnsi="黑体" w:eastAsia="黑体" w:cs="黑体"/>
          <w:b/>
          <w:color w:val="000000" w:themeColor="text1"/>
          <w:sz w:val="28"/>
          <w:szCs w:val="28"/>
          <w14:textFill>
            <w14:solidFill>
              <w14:schemeClr w14:val="tx1"/>
            </w14:solidFill>
          </w14:textFill>
        </w:rPr>
        <w:t>货物采购合同</w:t>
      </w:r>
    </w:p>
    <w:p w14:paraId="6E1C810F">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b/>
          <w:bCs/>
          <w:sz w:val="19"/>
          <w:szCs w:val="19"/>
        </w:rPr>
        <w:t>甲方</w:t>
      </w:r>
      <w:r>
        <w:rPr>
          <w:rFonts w:hint="eastAsia" w:ascii="黑体" w:hAnsi="黑体" w:eastAsia="黑体" w:cs="黑体"/>
          <w:sz w:val="19"/>
          <w:szCs w:val="19"/>
        </w:rPr>
        <w:t xml:space="preserve">(全称)：  </w:t>
      </w:r>
    </w:p>
    <w:p w14:paraId="0F9D794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b/>
          <w:bCs/>
          <w:sz w:val="19"/>
          <w:szCs w:val="19"/>
        </w:rPr>
        <w:t>乙方</w:t>
      </w:r>
      <w:r>
        <w:rPr>
          <w:rFonts w:hint="eastAsia" w:ascii="黑体" w:hAnsi="黑体" w:eastAsia="黑体" w:cs="黑体"/>
          <w:sz w:val="19"/>
          <w:szCs w:val="19"/>
        </w:rPr>
        <w:t>(全称)：</w:t>
      </w:r>
    </w:p>
    <w:p w14:paraId="6F369DAC">
      <w:pPr>
        <w:pStyle w:val="8"/>
        <w:widowControl/>
        <w:kinsoku w:val="0"/>
        <w:autoSpaceDE w:val="0"/>
        <w:autoSpaceDN w:val="0"/>
        <w:adjustRightInd w:val="0"/>
        <w:snapToGrid w:val="0"/>
        <w:spacing w:before="48" w:beforeLines="20" w:after="0" w:line="480" w:lineRule="exact"/>
        <w:ind w:firstLine="380" w:firstLineChars="200"/>
        <w:textAlignment w:val="baseline"/>
        <w:rPr>
          <w:rFonts w:hint="eastAsia" w:ascii="黑体" w:hAnsi="黑体" w:eastAsia="黑体" w:cs="黑体"/>
          <w:sz w:val="19"/>
          <w:szCs w:val="19"/>
        </w:rPr>
      </w:pPr>
      <w:r>
        <w:rPr>
          <w:rFonts w:hint="eastAsia" w:ascii="黑体" w:hAnsi="黑体" w:eastAsia="黑体" w:cs="黑体"/>
          <w:sz w:val="19"/>
          <w:szCs w:val="19"/>
        </w:rPr>
        <w:t>根据《中华人民共和国政府采购法》、《中华人民共和国民法典》及其他有关法律、法规，遵循平等、自愿、公平和诚信的原则，双方就下述项目范围与相关服务事项协商一致，订立本合同。</w:t>
      </w:r>
    </w:p>
    <w:p w14:paraId="7BD26507">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一、项目概况</w:t>
      </w:r>
    </w:p>
    <w:p w14:paraId="3B6569E2">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1、项目名称：</w:t>
      </w:r>
      <w:r>
        <w:rPr>
          <w:rFonts w:hint="eastAsia" w:ascii="黑体" w:hAnsi="黑体" w:eastAsia="黑体" w:cs="黑体"/>
          <w:sz w:val="19"/>
          <w:szCs w:val="19"/>
          <w:u w:val="single"/>
        </w:rPr>
        <w:t xml:space="preserve">                    </w:t>
      </w:r>
      <w:r>
        <w:rPr>
          <w:rFonts w:hint="eastAsia" w:ascii="黑体" w:hAnsi="黑体" w:eastAsia="黑体" w:cs="黑体"/>
          <w:sz w:val="19"/>
          <w:szCs w:val="19"/>
        </w:rPr>
        <w:t xml:space="preserve"> </w:t>
      </w:r>
    </w:p>
    <w:p w14:paraId="5D34927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2、交付地点：</w:t>
      </w:r>
      <w:r>
        <w:rPr>
          <w:rFonts w:hint="eastAsia" w:ascii="黑体" w:hAnsi="黑体" w:eastAsia="黑体" w:cs="黑体"/>
          <w:sz w:val="19"/>
          <w:szCs w:val="19"/>
          <w:u w:val="single"/>
        </w:rPr>
        <w:t xml:space="preserve">                    </w:t>
      </w:r>
    </w:p>
    <w:p w14:paraId="3BC9D5E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u w:val="single"/>
        </w:rPr>
      </w:pPr>
      <w:r>
        <w:rPr>
          <w:rFonts w:hint="eastAsia" w:ascii="黑体" w:hAnsi="黑体" w:eastAsia="黑体" w:cs="黑体"/>
          <w:sz w:val="19"/>
          <w:szCs w:val="19"/>
        </w:rPr>
        <w:t>3、交付期限：</w:t>
      </w:r>
      <w:r>
        <w:rPr>
          <w:rFonts w:hint="eastAsia" w:ascii="黑体" w:hAnsi="黑体" w:eastAsia="黑体" w:cs="黑体"/>
          <w:sz w:val="19"/>
          <w:szCs w:val="19"/>
          <w:u w:val="single"/>
        </w:rPr>
        <w:t xml:space="preserve">                    </w:t>
      </w:r>
    </w:p>
    <w:p w14:paraId="29B10B68">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4、质 保 期 ：</w:t>
      </w:r>
      <w:r>
        <w:rPr>
          <w:rFonts w:hint="eastAsia" w:ascii="黑体" w:hAnsi="黑体" w:eastAsia="黑体" w:cs="黑体"/>
          <w:sz w:val="19"/>
          <w:szCs w:val="19"/>
          <w:u w:val="single"/>
        </w:rPr>
        <w:t xml:space="preserve">                   </w:t>
      </w:r>
    </w:p>
    <w:p w14:paraId="571B85B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二、组成本合同的文件</w:t>
      </w:r>
    </w:p>
    <w:p w14:paraId="7DD6880C">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1、合同文本；</w:t>
      </w:r>
    </w:p>
    <w:p w14:paraId="0C97F294">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 xml:space="preserve">2、中标通知书、投标文件、招标文件、澄清、补充文件(或委托书)； </w:t>
      </w:r>
    </w:p>
    <w:p w14:paraId="314E9689">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3、相关服务建议书；</w:t>
      </w:r>
    </w:p>
    <w:p w14:paraId="78178A2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4、附录，即：标的名称、标的质量、数量、包装方式、质量保修范围，质保期及相关服务的范围和内容等；</w:t>
      </w:r>
    </w:p>
    <w:p w14:paraId="6EDB7F3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本合同签订后，双方依法签订的补充协议也是本合同文件的组成部分。</w:t>
      </w:r>
    </w:p>
    <w:p w14:paraId="2B961CD5">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三、合同金额</w:t>
      </w:r>
    </w:p>
    <w:p w14:paraId="3D2E4C6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1、合同金额(大写)</w:t>
      </w:r>
      <w:r>
        <w:rPr>
          <w:rFonts w:hint="eastAsia" w:ascii="黑体" w:hAnsi="黑体" w:eastAsia="黑体" w:cs="黑体"/>
          <w:sz w:val="19"/>
          <w:szCs w:val="19"/>
          <w:u w:val="single"/>
        </w:rPr>
        <w:t>：            (¥：        元)。</w:t>
      </w:r>
    </w:p>
    <w:p w14:paraId="4852596D">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2、合同价格为含税价，乙方提供产品所发生的一切税(包括增值税)费等都 已包含于合同价款中。</w:t>
      </w:r>
    </w:p>
    <w:p w14:paraId="45D0E41D">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四、付款条件及方式</w:t>
      </w:r>
    </w:p>
    <w:p w14:paraId="32D7ACF2">
      <w:pPr>
        <w:pStyle w:val="8"/>
        <w:widowControl/>
        <w:kinsoku w:val="0"/>
        <w:autoSpaceDE w:val="0"/>
        <w:autoSpaceDN w:val="0"/>
        <w:adjustRightInd w:val="0"/>
        <w:snapToGrid w:val="0"/>
        <w:spacing w:before="48" w:beforeLines="20" w:after="0" w:line="480" w:lineRule="exact"/>
        <w:ind w:firstLine="380" w:firstLineChars="200"/>
        <w:textAlignment w:val="baseline"/>
        <w:rPr>
          <w:rFonts w:hint="eastAsia" w:ascii="黑体" w:hAnsi="黑体" w:eastAsia="黑体" w:cs="黑体"/>
          <w:sz w:val="19"/>
          <w:szCs w:val="19"/>
          <w:highlight w:val="none"/>
          <w:lang w:val="en-US" w:eastAsia="zh-CN"/>
        </w:rPr>
      </w:pPr>
      <w:r>
        <w:rPr>
          <w:rFonts w:hint="eastAsia" w:ascii="黑体" w:hAnsi="黑体" w:eastAsia="黑体" w:cs="黑体"/>
          <w:sz w:val="19"/>
          <w:szCs w:val="19"/>
          <w:highlight w:val="none"/>
          <w:lang w:val="en-US" w:eastAsia="zh-CN"/>
        </w:rPr>
        <w:t xml:space="preserve">结算前乙方须开具等额发票给甲方，甲方收到发票后，按照以下付款方式结算，否则导致的付款延误，责任由乙方自行承担。 </w:t>
      </w:r>
    </w:p>
    <w:p w14:paraId="040C139F">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highlight w:val="none"/>
        </w:rPr>
      </w:pPr>
      <w:r>
        <w:rPr>
          <w:rFonts w:hint="eastAsia" w:ascii="黑体" w:hAnsi="黑体" w:eastAsia="黑体" w:cs="黑体"/>
          <w:sz w:val="19"/>
          <w:szCs w:val="19"/>
          <w:highlight w:val="none"/>
          <w:lang w:val="en-US" w:eastAsia="zh-CN"/>
        </w:rPr>
        <w:t>1</w:t>
      </w:r>
      <w:r>
        <w:rPr>
          <w:rFonts w:hint="eastAsia" w:ascii="黑体" w:hAnsi="黑体" w:eastAsia="黑体" w:cs="黑体"/>
          <w:sz w:val="19"/>
          <w:szCs w:val="19"/>
          <w:highlight w:val="none"/>
        </w:rPr>
        <w:t>、项目验收合格无质量问题后，</w:t>
      </w:r>
      <w:r>
        <w:rPr>
          <w:rFonts w:hint="eastAsia" w:ascii="黑体" w:hAnsi="黑体" w:eastAsia="黑体" w:cs="黑体"/>
          <w:sz w:val="19"/>
          <w:szCs w:val="19"/>
          <w:highlight w:val="none"/>
          <w:lang w:val="en-US" w:eastAsia="zh-CN"/>
        </w:rPr>
        <w:t>甲方</w:t>
      </w:r>
      <w:r>
        <w:rPr>
          <w:rFonts w:hint="eastAsia" w:ascii="黑体" w:hAnsi="黑体" w:eastAsia="黑体" w:cs="黑体"/>
          <w:sz w:val="19"/>
          <w:szCs w:val="19"/>
          <w:highlight w:val="none"/>
        </w:rPr>
        <w:t>支付合同总金额的100.00%。</w:t>
      </w:r>
    </w:p>
    <w:p w14:paraId="360A750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highlight w:val="none"/>
          <w:lang w:eastAsia="zh-CN"/>
        </w:rPr>
      </w:pPr>
      <w:r>
        <w:rPr>
          <w:rFonts w:hint="eastAsia" w:ascii="黑体" w:hAnsi="黑体" w:eastAsia="黑体" w:cs="黑体"/>
          <w:sz w:val="19"/>
          <w:szCs w:val="19"/>
          <w:highlight w:val="none"/>
          <w:lang w:val="en-US" w:eastAsia="zh-CN"/>
        </w:rPr>
        <w:t>2</w:t>
      </w:r>
      <w:r>
        <w:rPr>
          <w:rFonts w:hint="eastAsia" w:ascii="黑体" w:hAnsi="黑体" w:eastAsia="黑体" w:cs="黑体"/>
          <w:sz w:val="19"/>
          <w:szCs w:val="19"/>
          <w:highlight w:val="none"/>
        </w:rPr>
        <w:t>、支付方式：银行转账</w:t>
      </w:r>
      <w:r>
        <w:rPr>
          <w:rFonts w:hint="eastAsia" w:ascii="黑体" w:hAnsi="黑体" w:eastAsia="黑体" w:cs="黑体"/>
          <w:sz w:val="19"/>
          <w:szCs w:val="19"/>
          <w:highlight w:val="none"/>
          <w:lang w:eastAsia="zh-CN"/>
        </w:rPr>
        <w:t>。</w:t>
      </w:r>
    </w:p>
    <w:p w14:paraId="024F1639">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五、交付验收条件</w:t>
      </w:r>
    </w:p>
    <w:p w14:paraId="00E86BBE">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1、项目交货完成后，乙方向甲方提交验收申请。</w:t>
      </w:r>
    </w:p>
    <w:p w14:paraId="090B9BF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2、甲方收到验收申请后组织验收，验收时乙方应无条件予以配合并提供验收所需的全部资料，若乙方不配合或者未按合同要求提供货物或服务的，甲方将拒绝验收。</w:t>
      </w:r>
      <w:r>
        <w:rPr>
          <w:rFonts w:hint="eastAsia" w:ascii="黑体" w:hAnsi="黑体" w:eastAsia="黑体" w:cs="黑体"/>
          <w:sz w:val="19"/>
          <w:szCs w:val="19"/>
          <w:lang w:val="en-US" w:eastAsia="zh-CN"/>
        </w:rPr>
        <w:t xml:space="preserve"> </w:t>
      </w:r>
      <w:r>
        <w:rPr>
          <w:rFonts w:hint="eastAsia" w:ascii="黑体" w:hAnsi="黑体" w:eastAsia="黑体" w:cs="黑体"/>
          <w:sz w:val="19"/>
          <w:szCs w:val="19"/>
        </w:rPr>
        <w:t>供货完成后，</w:t>
      </w:r>
      <w:r>
        <w:rPr>
          <w:rFonts w:hint="eastAsia" w:ascii="黑体" w:hAnsi="黑体" w:eastAsia="黑体" w:cs="黑体"/>
          <w:sz w:val="19"/>
          <w:szCs w:val="19"/>
          <w:lang w:val="en-US" w:eastAsia="zh-CN"/>
        </w:rPr>
        <w:t>乙方</w:t>
      </w:r>
      <w:r>
        <w:rPr>
          <w:rFonts w:hint="eastAsia" w:ascii="黑体" w:hAnsi="黑体" w:eastAsia="黑体" w:cs="黑体"/>
          <w:sz w:val="19"/>
          <w:szCs w:val="19"/>
        </w:rPr>
        <w:t>进行设备安装、调试、培训、试用。由</w:t>
      </w:r>
      <w:r>
        <w:rPr>
          <w:rFonts w:hint="eastAsia" w:ascii="黑体" w:hAnsi="黑体" w:eastAsia="黑体" w:cs="黑体"/>
          <w:sz w:val="19"/>
          <w:szCs w:val="19"/>
          <w:lang w:val="en-US" w:eastAsia="zh-CN"/>
        </w:rPr>
        <w:t>甲方</w:t>
      </w:r>
      <w:r>
        <w:rPr>
          <w:rFonts w:hint="eastAsia" w:ascii="黑体" w:hAnsi="黑体" w:eastAsia="黑体" w:cs="黑体"/>
          <w:sz w:val="19"/>
          <w:szCs w:val="19"/>
        </w:rPr>
        <w:t>组织，</w:t>
      </w:r>
      <w:r>
        <w:rPr>
          <w:rFonts w:hint="eastAsia" w:ascii="黑体" w:hAnsi="黑体" w:eastAsia="黑体" w:cs="黑体"/>
          <w:sz w:val="19"/>
          <w:szCs w:val="19"/>
          <w:lang w:val="en-US" w:eastAsia="zh-CN"/>
        </w:rPr>
        <w:t>乙方</w:t>
      </w:r>
      <w:r>
        <w:rPr>
          <w:rFonts w:hint="eastAsia" w:ascii="黑体" w:hAnsi="黑体" w:eastAsia="黑体" w:cs="黑体"/>
          <w:sz w:val="19"/>
          <w:szCs w:val="19"/>
        </w:rPr>
        <w:t>负责并会同</w:t>
      </w:r>
      <w:r>
        <w:rPr>
          <w:rFonts w:hint="eastAsia" w:ascii="黑体" w:hAnsi="黑体" w:eastAsia="黑体" w:cs="黑体"/>
          <w:sz w:val="19"/>
          <w:szCs w:val="19"/>
          <w:lang w:val="en-US" w:eastAsia="zh-CN"/>
        </w:rPr>
        <w:t>甲方</w:t>
      </w:r>
      <w:r>
        <w:rPr>
          <w:rFonts w:hint="eastAsia" w:ascii="黑体" w:hAnsi="黑体" w:eastAsia="黑体" w:cs="黑体"/>
          <w:sz w:val="19"/>
          <w:szCs w:val="19"/>
        </w:rPr>
        <w:t>及有关管理部门按规定标准验收验收。</w:t>
      </w:r>
    </w:p>
    <w:p w14:paraId="014465D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lang w:eastAsia="zh-CN"/>
        </w:rPr>
      </w:pPr>
      <w:r>
        <w:rPr>
          <w:rFonts w:hint="eastAsia" w:ascii="黑体" w:hAnsi="黑体" w:eastAsia="黑体" w:cs="黑体"/>
          <w:sz w:val="19"/>
          <w:szCs w:val="19"/>
        </w:rPr>
        <w:t>3.验收依据：</w:t>
      </w:r>
      <w:r>
        <w:rPr>
          <w:rFonts w:hint="eastAsia" w:ascii="黑体" w:hAnsi="黑体" w:eastAsia="黑体" w:cs="黑体"/>
          <w:kern w:val="0"/>
          <w:sz w:val="19"/>
          <w:szCs w:val="19"/>
          <w:highlight w:val="none"/>
          <w:lang w:eastAsia="zh-Hans"/>
        </w:rPr>
        <w:t>遵循相关国家标准、行业标准、地方标准等规范，按照招标文件的质量要求、技术参数要求，中标</w:t>
      </w:r>
      <w:r>
        <w:rPr>
          <w:rFonts w:hint="eastAsia" w:ascii="黑体" w:hAnsi="黑体" w:eastAsia="黑体" w:cs="黑体"/>
          <w:kern w:val="0"/>
          <w:sz w:val="19"/>
          <w:szCs w:val="19"/>
          <w:highlight w:val="none"/>
          <w:lang w:eastAsia="zh-CN"/>
        </w:rPr>
        <w:t>投标人</w:t>
      </w:r>
      <w:r>
        <w:rPr>
          <w:rFonts w:hint="eastAsia" w:ascii="黑体" w:hAnsi="黑体" w:eastAsia="黑体" w:cs="黑体"/>
          <w:kern w:val="0"/>
          <w:sz w:val="19"/>
          <w:szCs w:val="19"/>
          <w:highlight w:val="none"/>
          <w:lang w:eastAsia="zh-Hans"/>
        </w:rPr>
        <w:t>的投标文件以及合同约定标准逐条进行验收</w:t>
      </w:r>
      <w:r>
        <w:rPr>
          <w:rFonts w:hint="eastAsia" w:ascii="黑体" w:hAnsi="黑体" w:eastAsia="黑体" w:cs="黑体"/>
          <w:kern w:val="0"/>
          <w:sz w:val="19"/>
          <w:szCs w:val="19"/>
          <w:highlight w:val="none"/>
          <w:lang w:eastAsia="zh-CN"/>
        </w:rPr>
        <w:t>。</w:t>
      </w:r>
      <w:r>
        <w:rPr>
          <w:rFonts w:hint="eastAsia" w:ascii="黑体" w:hAnsi="黑体" w:eastAsia="黑体" w:cs="黑体"/>
          <w:kern w:val="0"/>
          <w:sz w:val="19"/>
          <w:szCs w:val="19"/>
          <w:highlight w:val="none"/>
          <w:lang w:val="en-US" w:eastAsia="zh-CN"/>
        </w:rPr>
        <w:t xml:space="preserve"> </w:t>
      </w:r>
    </w:p>
    <w:p w14:paraId="200B19BA">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4.其他未尽事宜以投标文件为准。</w:t>
      </w:r>
    </w:p>
    <w:p w14:paraId="4C7873D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六、售后服务</w:t>
      </w:r>
    </w:p>
    <w:p w14:paraId="4AACCDE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lang w:eastAsia="zh-CN"/>
        </w:rPr>
      </w:pPr>
      <w:r>
        <w:rPr>
          <w:rFonts w:hint="eastAsia" w:ascii="黑体" w:hAnsi="黑体" w:eastAsia="黑体" w:cs="黑体"/>
          <w:sz w:val="19"/>
          <w:szCs w:val="19"/>
        </w:rPr>
        <w:t>1、质保期要求：</w:t>
      </w:r>
      <w:r>
        <w:rPr>
          <w:rFonts w:hint="eastAsia" w:ascii="黑体" w:hAnsi="黑体" w:eastAsia="黑体" w:cs="黑体"/>
          <w:sz w:val="19"/>
          <w:szCs w:val="19"/>
          <w:lang w:val="en-US" w:eastAsia="zh-CN"/>
        </w:rPr>
        <w:t>自</w:t>
      </w:r>
      <w:r>
        <w:rPr>
          <w:rFonts w:hint="eastAsia" w:ascii="黑体" w:hAnsi="黑体" w:eastAsia="黑体" w:cs="黑体"/>
          <w:sz w:val="19"/>
          <w:szCs w:val="19"/>
        </w:rPr>
        <w:t>验收合格</w:t>
      </w:r>
      <w:r>
        <w:rPr>
          <w:rFonts w:hint="eastAsia" w:ascii="黑体" w:hAnsi="黑体" w:eastAsia="黑体" w:cs="黑体"/>
          <w:sz w:val="19"/>
          <w:szCs w:val="19"/>
          <w:lang w:val="en-US" w:eastAsia="zh-CN"/>
        </w:rPr>
        <w:t>之日起</w:t>
      </w:r>
      <w:r>
        <w:rPr>
          <w:rFonts w:hint="eastAsia" w:ascii="黑体" w:hAnsi="黑体" w:eastAsia="黑体" w:cs="黑体"/>
          <w:sz w:val="19"/>
          <w:szCs w:val="19"/>
        </w:rPr>
        <w:t>提供</w:t>
      </w:r>
      <w:r>
        <w:rPr>
          <w:rFonts w:hint="eastAsia" w:ascii="黑体" w:hAnsi="黑体" w:eastAsia="黑体" w:cs="黑体"/>
          <w:sz w:val="19"/>
          <w:szCs w:val="19"/>
          <w:u w:val="single"/>
          <w:lang w:val="en-US" w:eastAsia="zh-CN"/>
        </w:rPr>
        <w:t xml:space="preserve">        </w:t>
      </w:r>
      <w:r>
        <w:rPr>
          <w:rFonts w:hint="eastAsia" w:ascii="黑体" w:hAnsi="黑体" w:eastAsia="黑体" w:cs="黑体"/>
          <w:sz w:val="19"/>
          <w:szCs w:val="19"/>
        </w:rPr>
        <w:t>年的免费维修服务</w:t>
      </w:r>
      <w:r>
        <w:rPr>
          <w:rFonts w:hint="eastAsia" w:ascii="黑体" w:hAnsi="黑体" w:eastAsia="黑体" w:cs="黑体"/>
          <w:sz w:val="19"/>
          <w:szCs w:val="19"/>
          <w:lang w:eastAsia="zh-CN"/>
        </w:rPr>
        <w:t>。</w:t>
      </w:r>
    </w:p>
    <w:p w14:paraId="1D79CC4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lang w:val="en-US" w:eastAsia="zh-CN"/>
        </w:rPr>
        <w:t>乙方须承诺，在质保期届满后，仍须确保每台设备提供一次免费维修服务，维修内容及具体要求详见保修条款，</w:t>
      </w:r>
      <w:r>
        <w:rPr>
          <w:rFonts w:hint="eastAsia" w:ascii="黑体" w:hAnsi="黑体" w:eastAsia="黑体" w:cs="黑体"/>
          <w:sz w:val="19"/>
          <w:szCs w:val="19"/>
        </w:rPr>
        <w:t>同时，</w:t>
      </w:r>
      <w:r>
        <w:rPr>
          <w:rFonts w:hint="eastAsia" w:ascii="黑体" w:hAnsi="黑体" w:eastAsia="黑体" w:cs="黑体"/>
          <w:sz w:val="19"/>
          <w:szCs w:val="19"/>
          <w:lang w:val="en-US" w:eastAsia="zh-CN"/>
        </w:rPr>
        <w:t>乙方</w:t>
      </w:r>
      <w:r>
        <w:rPr>
          <w:rFonts w:hint="eastAsia" w:ascii="黑体" w:hAnsi="黑体" w:eastAsia="黑体" w:cs="黑体"/>
          <w:sz w:val="19"/>
          <w:szCs w:val="19"/>
        </w:rPr>
        <w:t>需确保在订货合同执行完毕后</w:t>
      </w:r>
      <w:r>
        <w:rPr>
          <w:rFonts w:hint="eastAsia" w:ascii="黑体" w:hAnsi="黑体" w:eastAsia="黑体" w:cs="黑体"/>
          <w:sz w:val="19"/>
          <w:szCs w:val="19"/>
          <w:u w:val="single"/>
          <w:lang w:val="en-US" w:eastAsia="zh-CN"/>
        </w:rPr>
        <w:t xml:space="preserve">    </w:t>
      </w:r>
      <w:r>
        <w:rPr>
          <w:rFonts w:hint="eastAsia" w:ascii="黑体" w:hAnsi="黑体" w:eastAsia="黑体" w:cs="黑体"/>
          <w:sz w:val="19"/>
          <w:szCs w:val="19"/>
        </w:rPr>
        <w:t>年内，仍可继续供应所有部件及整套设备；在验收合格后</w:t>
      </w:r>
      <w:r>
        <w:rPr>
          <w:rFonts w:hint="eastAsia" w:ascii="黑体" w:hAnsi="黑体" w:eastAsia="黑体" w:cs="黑体"/>
          <w:sz w:val="19"/>
          <w:szCs w:val="19"/>
          <w:u w:val="single"/>
          <w:lang w:val="en-US" w:eastAsia="zh-CN"/>
        </w:rPr>
        <w:t xml:space="preserve">   </w:t>
      </w:r>
      <w:r>
        <w:rPr>
          <w:rFonts w:hint="eastAsia" w:ascii="黑体" w:hAnsi="黑体" w:eastAsia="黑体" w:cs="黑体"/>
          <w:sz w:val="19"/>
          <w:szCs w:val="19"/>
        </w:rPr>
        <w:t>年内，提供维修维护服务。此外，</w:t>
      </w:r>
      <w:r>
        <w:rPr>
          <w:rFonts w:hint="eastAsia" w:ascii="黑体" w:hAnsi="黑体" w:eastAsia="黑体" w:cs="黑体"/>
          <w:sz w:val="19"/>
          <w:szCs w:val="19"/>
          <w:lang w:val="en-US" w:eastAsia="zh-CN"/>
        </w:rPr>
        <w:t>乙方</w:t>
      </w:r>
      <w:r>
        <w:rPr>
          <w:rFonts w:hint="eastAsia" w:ascii="黑体" w:hAnsi="黑体" w:eastAsia="黑体" w:cs="黑体"/>
          <w:sz w:val="19"/>
          <w:szCs w:val="19"/>
        </w:rPr>
        <w:t xml:space="preserve">还应保证在订货合同执行完毕后，继续提供有关设备技术升级和换型的所有资料。 </w:t>
      </w:r>
    </w:p>
    <w:p w14:paraId="5E424A38">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2、保修要求：</w:t>
      </w:r>
    </w:p>
    <w:p w14:paraId="2FC753B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（1）在质保期内，</w:t>
      </w:r>
      <w:r>
        <w:rPr>
          <w:rFonts w:hint="eastAsia" w:ascii="黑体" w:hAnsi="黑体" w:eastAsia="黑体" w:cs="黑体"/>
          <w:sz w:val="19"/>
          <w:szCs w:val="19"/>
          <w:lang w:val="en-US" w:eastAsia="zh-CN"/>
        </w:rPr>
        <w:t>乙方</w:t>
      </w:r>
      <w:r>
        <w:rPr>
          <w:rFonts w:hint="eastAsia" w:ascii="黑体" w:hAnsi="黑体" w:eastAsia="黑体" w:cs="黑体"/>
          <w:sz w:val="19"/>
          <w:szCs w:val="19"/>
        </w:rPr>
        <w:t>需免费承担所有硬件设备及其配件的维修工作，并补充提供维修过程中损耗的零部件。此期间，对于所采购配件出现的损坏和故障，</w:t>
      </w:r>
      <w:r>
        <w:rPr>
          <w:rFonts w:hint="eastAsia" w:ascii="黑体" w:hAnsi="黑体" w:eastAsia="黑体" w:cs="黑体"/>
          <w:sz w:val="19"/>
          <w:szCs w:val="19"/>
          <w:lang w:val="en-US" w:eastAsia="zh-CN"/>
        </w:rPr>
        <w:t>乙方</w:t>
      </w:r>
      <w:r>
        <w:rPr>
          <w:rFonts w:hint="eastAsia" w:ascii="黑体" w:hAnsi="黑体" w:eastAsia="黑体" w:cs="黑体"/>
          <w:sz w:val="19"/>
          <w:szCs w:val="19"/>
        </w:rPr>
        <w:t>应负责维修和排除。</w:t>
      </w:r>
      <w:r>
        <w:rPr>
          <w:rFonts w:hint="eastAsia" w:ascii="黑体" w:hAnsi="黑体" w:eastAsia="黑体" w:cs="黑体"/>
          <w:sz w:val="19"/>
          <w:szCs w:val="19"/>
          <w:lang w:val="en-US" w:eastAsia="zh-CN"/>
        </w:rPr>
        <w:t>乙方</w:t>
      </w:r>
      <w:r>
        <w:rPr>
          <w:rFonts w:hint="eastAsia" w:ascii="黑体" w:hAnsi="黑体" w:eastAsia="黑体" w:cs="黑体"/>
          <w:sz w:val="19"/>
          <w:szCs w:val="19"/>
        </w:rPr>
        <w:t>需承担所有维修、更换的费用，以及所需的备品备件和材料（生产厂家原装材料），以确保产品能够恢复正常运行。此项服务已包含在本次报价中，</w:t>
      </w:r>
      <w:r>
        <w:rPr>
          <w:rFonts w:hint="eastAsia" w:ascii="黑体" w:hAnsi="黑体" w:eastAsia="黑体" w:cs="黑体"/>
          <w:sz w:val="19"/>
          <w:szCs w:val="19"/>
          <w:lang w:val="en-US" w:eastAsia="zh-CN"/>
        </w:rPr>
        <w:t>甲方</w:t>
      </w:r>
      <w:r>
        <w:rPr>
          <w:rFonts w:hint="eastAsia" w:ascii="黑体" w:hAnsi="黑体" w:eastAsia="黑体" w:cs="黑体"/>
          <w:sz w:val="19"/>
          <w:szCs w:val="19"/>
        </w:rPr>
        <w:t>无需另行支付费用。</w:t>
      </w:r>
    </w:p>
    <w:p w14:paraId="5DB02F7D">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（2）质保期满后，</w:t>
      </w:r>
      <w:r>
        <w:rPr>
          <w:rFonts w:hint="eastAsia" w:ascii="黑体" w:hAnsi="黑体" w:eastAsia="黑体" w:cs="黑体"/>
          <w:sz w:val="19"/>
          <w:szCs w:val="19"/>
          <w:lang w:val="en-US" w:eastAsia="zh-CN"/>
        </w:rPr>
        <w:t>乙方</w:t>
      </w:r>
      <w:r>
        <w:rPr>
          <w:rFonts w:hint="eastAsia" w:ascii="黑体" w:hAnsi="黑体" w:eastAsia="黑体" w:cs="黑体"/>
          <w:sz w:val="19"/>
          <w:szCs w:val="19"/>
        </w:rPr>
        <w:t xml:space="preserve">应提供终身技术支持和维修服务，相关售后费用将按成本收取。 </w:t>
      </w:r>
    </w:p>
    <w:p w14:paraId="0005D4CA">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3、设备故障报修的响应时间：接到用户方故障电话申报后不超过2小时内响应，12小时内解决问题。如故障导致业务中断，中断时间不超过24小时，如超过24小时，需提供备件先恢复业务。保修期内，</w:t>
      </w:r>
      <w:r>
        <w:rPr>
          <w:rFonts w:hint="eastAsia" w:ascii="黑体" w:hAnsi="黑体" w:eastAsia="黑体" w:cs="黑体"/>
          <w:sz w:val="19"/>
          <w:szCs w:val="19"/>
          <w:lang w:val="en-US" w:eastAsia="zh-CN"/>
        </w:rPr>
        <w:t>乙方</w:t>
      </w:r>
      <w:r>
        <w:rPr>
          <w:rFonts w:hint="eastAsia" w:ascii="黑体" w:hAnsi="黑体" w:eastAsia="黑体" w:cs="黑体"/>
          <w:sz w:val="19"/>
          <w:szCs w:val="19"/>
        </w:rPr>
        <w:t>对所有设备提供7*24小时免费维护服务，免费人工、部件。</w:t>
      </w:r>
    </w:p>
    <w:p w14:paraId="1672AE2C">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4、应急保障资源支持：</w:t>
      </w:r>
    </w:p>
    <w:p w14:paraId="309EC59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在规划实施关键性项目（如安装、升级、联网、数据迁移、业务合并或拓展等）时，若需配合或协助，接获通知后将迅速响应，并派遣工程师前往现场提供支持服务。</w:t>
      </w:r>
    </w:p>
    <w:p w14:paraId="3E5BA63C">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 xml:space="preserve">5、 培训要求 </w:t>
      </w:r>
    </w:p>
    <w:p w14:paraId="37523478">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lang w:val="en-US" w:eastAsia="zh-CN"/>
        </w:rPr>
        <w:t>乙方</w:t>
      </w:r>
      <w:r>
        <w:rPr>
          <w:rFonts w:hint="eastAsia" w:ascii="黑体" w:hAnsi="黑体" w:eastAsia="黑体" w:cs="黑体"/>
          <w:sz w:val="19"/>
          <w:szCs w:val="19"/>
        </w:rPr>
        <w:t>需结合本项目实际情况及采购要求，制定明确、具体且有针对性的技术培训方案。方案内容应至少包括：培训人员配备方案、现场培训组织计划、技术培训资料清单等要素。</w:t>
      </w:r>
    </w:p>
    <w:p w14:paraId="441C080E">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lang w:val="en-US" w:eastAsia="zh-CN"/>
        </w:rPr>
        <w:t>（1）</w:t>
      </w:r>
      <w:r>
        <w:rPr>
          <w:rFonts w:hint="eastAsia" w:ascii="黑体" w:hAnsi="黑体" w:eastAsia="黑体" w:cs="黑体"/>
          <w:sz w:val="19"/>
          <w:szCs w:val="19"/>
        </w:rPr>
        <w:t>培训目的：使</w:t>
      </w:r>
      <w:r>
        <w:rPr>
          <w:rFonts w:hint="eastAsia" w:ascii="黑体" w:hAnsi="黑体" w:eastAsia="黑体" w:cs="黑体"/>
          <w:sz w:val="19"/>
          <w:szCs w:val="19"/>
          <w:lang w:val="en-US" w:eastAsia="zh-CN"/>
        </w:rPr>
        <w:t>甲方</w:t>
      </w:r>
      <w:r>
        <w:rPr>
          <w:rFonts w:hint="eastAsia" w:ascii="黑体" w:hAnsi="黑体" w:eastAsia="黑体" w:cs="黑体"/>
          <w:sz w:val="19"/>
          <w:szCs w:val="19"/>
        </w:rPr>
        <w:t>使用人员能够熟练掌握产品使用与维护技能，并能处理大部分技术故障。</w:t>
      </w:r>
    </w:p>
    <w:p w14:paraId="6F860C24">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lang w:val="en-US" w:eastAsia="zh-CN"/>
        </w:rPr>
        <w:t>（2）</w:t>
      </w:r>
      <w:r>
        <w:rPr>
          <w:rFonts w:hint="eastAsia" w:ascii="黑体" w:hAnsi="黑体" w:eastAsia="黑体" w:cs="黑体"/>
          <w:sz w:val="19"/>
          <w:szCs w:val="19"/>
        </w:rPr>
        <w:t>人员配备方案：配备的人员应具备相应技术管理能力，掌握产品使用与操作方法，熟悉产品各项功能。</w:t>
      </w:r>
    </w:p>
    <w:p w14:paraId="39CA28E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lang w:val="en-US" w:eastAsia="zh-CN"/>
        </w:rPr>
        <w:t>（3）</w:t>
      </w:r>
      <w:r>
        <w:rPr>
          <w:rFonts w:hint="eastAsia" w:ascii="黑体" w:hAnsi="黑体" w:eastAsia="黑体" w:cs="黑体"/>
          <w:sz w:val="19"/>
          <w:szCs w:val="19"/>
        </w:rPr>
        <w:t>培训方式：采用现场培训。</w:t>
      </w:r>
    </w:p>
    <w:p w14:paraId="5DE88972">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Cs/>
          <w:color w:val="000000"/>
          <w:kern w:val="0"/>
          <w:sz w:val="19"/>
          <w:szCs w:val="19"/>
          <w:highlight w:val="none"/>
        </w:rPr>
      </w:pPr>
      <w:r>
        <w:rPr>
          <w:rFonts w:hint="eastAsia" w:ascii="黑体" w:hAnsi="黑体" w:eastAsia="黑体" w:cs="黑体"/>
          <w:sz w:val="19"/>
          <w:szCs w:val="19"/>
        </w:rPr>
        <w:t>（4）培训时间：安装</w:t>
      </w:r>
      <w:r>
        <w:rPr>
          <w:rFonts w:hint="eastAsia" w:ascii="黑体" w:hAnsi="黑体" w:eastAsia="黑体" w:cs="黑体"/>
          <w:bCs/>
          <w:color w:val="000000"/>
          <w:kern w:val="0"/>
          <w:sz w:val="19"/>
          <w:szCs w:val="19"/>
          <w:highlight w:val="none"/>
        </w:rPr>
        <w:t>调试完成后一周内。</w:t>
      </w:r>
    </w:p>
    <w:p w14:paraId="499913B5">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lang w:val="en-US" w:eastAsia="zh-CN"/>
        </w:rPr>
        <w:t>6、</w:t>
      </w:r>
      <w:r>
        <w:rPr>
          <w:rFonts w:hint="eastAsia" w:ascii="黑体" w:hAnsi="黑体" w:eastAsia="黑体" w:cs="黑体"/>
          <w:sz w:val="19"/>
          <w:szCs w:val="19"/>
        </w:rPr>
        <w:t>其他未尽事宜以投标文件为准。</w:t>
      </w:r>
    </w:p>
    <w:p w14:paraId="50F6898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七、双方的权利和义务</w:t>
      </w:r>
    </w:p>
    <w:p w14:paraId="6CAEDC34">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1、甲方责任</w:t>
      </w:r>
    </w:p>
    <w:p w14:paraId="57B3FC4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负责核准、认定本项目相关技术资料文档；监督、参与项目执行的整个过程(包括实施方案的设计、安装调试、项目验收、人员培训、售后服务等)；为乙方提供必要的工作条件，并提供该产品所必需的运行环境；按照合同约定支付各阶段合同款项。</w:t>
      </w:r>
    </w:p>
    <w:p w14:paraId="6C232204">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2、乙方责任</w:t>
      </w:r>
    </w:p>
    <w:p w14:paraId="5E6DFC35">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按时完成产品运行环境的检查；产品的交接；按时完成本合同所涉及产品的安装调试、验收工作；协助配合甲方完成应用系统的整合工作；为甲方提供《产品测试验收报告》；做好整个项目的售后服务技术支持工作。附件同时提供产品详细的中文技术规格书和外观照片。提供零配件供应周期、工时费等服务标准。</w:t>
      </w:r>
    </w:p>
    <w:p w14:paraId="7C96B28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八、双方承诺</w:t>
      </w:r>
    </w:p>
    <w:p w14:paraId="6076203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 乙方向甲方承诺，按照本合同约定提供相关服务。</w:t>
      </w:r>
    </w:p>
    <w:p w14:paraId="77534BCA">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 甲方向乙方承诺，按照本合同约定支付服务款项。</w:t>
      </w:r>
    </w:p>
    <w:p w14:paraId="3ABA3284">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九、违约责任</w:t>
      </w:r>
    </w:p>
    <w:p w14:paraId="433FE534">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1、按《中华人民共和国民法典》中的相关条款执行。</w:t>
      </w:r>
    </w:p>
    <w:p w14:paraId="74C91C1F">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乙方未能按期履行合同或乙方未按合同要求提供标的物不能满足甲方要求，甲方有权单方面解除合同，乙方除应返还甲方已支付的款项外，还应承担本合同总金额20%的违约金，违约金不足以弥补损失的，乙方应予补足；</w:t>
      </w:r>
    </w:p>
    <w:p w14:paraId="144E83B7">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3、交货期每逾期一天，乙方应向甲方支付合同总价款的5%违约金。逾期超过15个日历日的，甲方有权单方面解除本合同，乙方除退还甲方已支付全部费 用外还应按照合同总价的20%向甲方支付违约金。违约金不足以弥补损失的，乙方应予以补足。</w:t>
      </w:r>
    </w:p>
    <w:p w14:paraId="40792B89">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4、乙方因交付货物不符合合同规定而被甲方要求进行整改，整改完成时间 晚于合同规定的交货时间时，乙方应承担逾期交货违约责任。</w:t>
      </w:r>
    </w:p>
    <w:p w14:paraId="44F83CDD">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十 、验收</w:t>
      </w:r>
    </w:p>
    <w:p w14:paraId="1D5B049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产品到达甲方指定地点后，甲方根据合同约定，对产品进行外观验收、确认产品的产地、规格、型号和数量。器材所有产品外包装箱、单个产品包装盒上必须印制或粘贴下列基本信息：产品生产厂家、生产日期、有效期、生产厂家联系人、联系电话；代理厂商联系人、联系电话、售后联系人、联系方式。</w:t>
      </w:r>
    </w:p>
    <w:p w14:paraId="4285FC57">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2、产品安装、调试并正常运行后，由乙方进行自检合格后，准备验收文件，并书面通知甲方；</w:t>
      </w:r>
    </w:p>
    <w:p w14:paraId="75DB1F0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3、甲方确认乙方的自检内容后(必要时请有关专家)进行系统验收，填写项目验收单，作为对设备的最终认可；</w:t>
      </w:r>
    </w:p>
    <w:p w14:paraId="4A0E65D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4、乙方向甲方提交设备实施过程中的所有资料，以便甲方日后管理和维护。</w:t>
      </w:r>
    </w:p>
    <w:p w14:paraId="328B839E">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5、验收依据：</w:t>
      </w:r>
    </w:p>
    <w:p w14:paraId="141AD820">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5-1 招标文件、投标文件、澄清表(函)；</w:t>
      </w:r>
    </w:p>
    <w:p w14:paraId="734A522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5-2本合同及附件《供货清单》；</w:t>
      </w:r>
    </w:p>
    <w:p w14:paraId="3321AF7E">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十一、合同争议的解决</w:t>
      </w:r>
    </w:p>
    <w:p w14:paraId="50D838E3">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1合同执行中发生争议的，当事人双方应协商解决，协商达不成一致时，可向甲方所在地人民法院提请诉讼。</w:t>
      </w:r>
    </w:p>
    <w:p w14:paraId="0CEF3595">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十二、不可抗力</w:t>
      </w:r>
    </w:p>
    <w:p w14:paraId="3A79677D">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任何一方由于不可抗力原因不能履行合同时，应在不可抗力事件结束后1 日历日内向对方通报，以减轻可能给对方造成的损失，在取得有关机构的不可抗力证明或双方谅解确认后，允许延期履行或修订合同，并根据情况可部分或全部 免于承担违约责任。</w:t>
      </w:r>
    </w:p>
    <w:p w14:paraId="4710441A">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十三、相关税费</w:t>
      </w:r>
    </w:p>
    <w:p w14:paraId="0F1DEC01">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在中国境内、外发生的与本合同执行有关的一切税费均由乙方负担。</w:t>
      </w:r>
    </w:p>
    <w:p w14:paraId="2F291AC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b/>
          <w:bCs/>
          <w:sz w:val="19"/>
          <w:szCs w:val="19"/>
        </w:rPr>
        <w:t>十四、其他约定</w:t>
      </w:r>
      <w:r>
        <w:rPr>
          <w:rFonts w:hint="eastAsia" w:ascii="黑体" w:hAnsi="黑体" w:eastAsia="黑体" w:cs="黑体"/>
          <w:sz w:val="19"/>
          <w:szCs w:val="19"/>
        </w:rPr>
        <w:t>(在合同中具体明确)</w:t>
      </w:r>
    </w:p>
    <w:p w14:paraId="739D3F42">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bCs/>
          <w:sz w:val="19"/>
          <w:szCs w:val="19"/>
        </w:rPr>
      </w:pPr>
      <w:r>
        <w:rPr>
          <w:rFonts w:hint="eastAsia" w:ascii="黑体" w:hAnsi="黑体" w:eastAsia="黑体" w:cs="黑体"/>
          <w:b/>
          <w:bCs/>
          <w:sz w:val="19"/>
          <w:szCs w:val="19"/>
        </w:rPr>
        <w:t>十五、合同订立</w:t>
      </w:r>
    </w:p>
    <w:p w14:paraId="27696A58">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sz w:val="19"/>
          <w:szCs w:val="19"/>
        </w:rPr>
      </w:pPr>
      <w:r>
        <w:rPr>
          <w:rFonts w:hint="eastAsia" w:ascii="黑体" w:hAnsi="黑体" w:eastAsia="黑体" w:cs="黑体"/>
          <w:sz w:val="19"/>
          <w:szCs w:val="19"/>
        </w:rPr>
        <w:t>本合同一式肆份，具有同等法律效力，</w:t>
      </w:r>
      <w:r>
        <w:rPr>
          <w:rFonts w:hint="eastAsia" w:ascii="黑体" w:hAnsi="黑体" w:eastAsia="黑体" w:cs="黑体"/>
          <w:sz w:val="19"/>
          <w:szCs w:val="19"/>
          <w:lang w:val="zh-CN"/>
        </w:rPr>
        <w:t>本合同应在双方签字盖章之日起生效</w:t>
      </w:r>
      <w:r>
        <w:rPr>
          <w:rFonts w:hint="eastAsia" w:ascii="黑体" w:hAnsi="黑体" w:eastAsia="黑体" w:cs="黑体"/>
          <w:sz w:val="19"/>
          <w:szCs w:val="19"/>
        </w:rPr>
        <w:t>。</w:t>
      </w:r>
    </w:p>
    <w:p w14:paraId="49589A2B">
      <w:pPr>
        <w:pStyle w:val="8"/>
        <w:widowControl/>
        <w:kinsoku w:val="0"/>
        <w:autoSpaceDE w:val="0"/>
        <w:autoSpaceDN w:val="0"/>
        <w:adjustRightInd w:val="0"/>
        <w:snapToGrid w:val="0"/>
        <w:spacing w:before="48" w:beforeLines="20" w:after="0" w:line="480" w:lineRule="exact"/>
        <w:textAlignment w:val="baseline"/>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b/>
          <w:bCs/>
          <w:sz w:val="19"/>
          <w:szCs w:val="19"/>
        </w:rPr>
        <w:t>十六、</w:t>
      </w:r>
      <w:r>
        <w:rPr>
          <w:rFonts w:hint="eastAsia" w:ascii="黑体" w:hAnsi="黑体" w:eastAsia="黑体" w:cs="黑体"/>
          <w:b/>
          <w:color w:val="000000" w:themeColor="text1"/>
          <w:sz w:val="19"/>
          <w:szCs w:val="19"/>
          <w14:textFill>
            <w14:solidFill>
              <w14:schemeClr w14:val="tx1"/>
            </w14:solidFill>
          </w14:textFill>
        </w:rPr>
        <w:t>附件</w:t>
      </w:r>
    </w:p>
    <w:p w14:paraId="795E09A9">
      <w:pPr>
        <w:pStyle w:val="38"/>
        <w:spacing w:before="48" w:beforeLines="20" w:line="480" w:lineRule="exact"/>
        <w:ind w:firstLine="0" w:firstLineChars="0"/>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1.招标文件</w:t>
      </w:r>
    </w:p>
    <w:p w14:paraId="29973F31">
      <w:pPr>
        <w:pStyle w:val="38"/>
        <w:spacing w:before="48" w:beforeLines="20" w:line="480" w:lineRule="exact"/>
        <w:ind w:firstLine="0" w:firstLineChars="0"/>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2.澄清（或答疑）文件</w:t>
      </w:r>
    </w:p>
    <w:p w14:paraId="152EC466">
      <w:pPr>
        <w:pStyle w:val="38"/>
        <w:spacing w:before="48" w:beforeLines="20" w:line="480" w:lineRule="exact"/>
        <w:ind w:firstLine="0" w:firstLineChars="0"/>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3.投标文件</w:t>
      </w:r>
    </w:p>
    <w:p w14:paraId="038BED62">
      <w:pPr>
        <w:pStyle w:val="38"/>
        <w:spacing w:before="48" w:beforeLines="20" w:line="480" w:lineRule="exact"/>
        <w:ind w:firstLine="0" w:firstLineChars="0"/>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4.中标通知书</w:t>
      </w:r>
    </w:p>
    <w:p w14:paraId="037EF175">
      <w:pPr>
        <w:pStyle w:val="38"/>
        <w:spacing w:before="48" w:beforeLines="20" w:line="480" w:lineRule="exact"/>
        <w:ind w:firstLine="380"/>
        <w:rPr>
          <w:rFonts w:hint="eastAsia" w:ascii="黑体" w:hAnsi="黑体" w:eastAsia="黑体" w:cs="黑体"/>
          <w:color w:val="000000" w:themeColor="text1"/>
          <w:sz w:val="19"/>
          <w:szCs w:val="19"/>
          <w14:textFill>
            <w14:solidFill>
              <w14:schemeClr w14:val="tx1"/>
            </w14:solidFill>
          </w14:textFill>
        </w:rPr>
      </w:pPr>
    </w:p>
    <w:p w14:paraId="214D6E0D">
      <w:pPr>
        <w:pStyle w:val="38"/>
        <w:spacing w:before="48" w:beforeLines="20" w:line="480" w:lineRule="exact"/>
        <w:ind w:firstLine="380"/>
        <w:rPr>
          <w:rFonts w:hint="eastAsia" w:ascii="黑体" w:hAnsi="黑体" w:eastAsia="黑体" w:cs="黑体"/>
          <w:color w:val="000000" w:themeColor="text1"/>
          <w:sz w:val="19"/>
          <w:szCs w:val="19"/>
          <w14:textFill>
            <w14:solidFill>
              <w14:schemeClr w14:val="tx1"/>
            </w14:solidFill>
          </w14:textFill>
        </w:rPr>
      </w:pPr>
    </w:p>
    <w:p w14:paraId="1F34B325">
      <w:pPr>
        <w:spacing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甲方：</w:t>
      </w:r>
      <w:r>
        <w:rPr>
          <w:rFonts w:hint="eastAsia" w:ascii="黑体" w:hAnsi="黑体" w:eastAsia="黑体" w:cs="黑体"/>
          <w:color w:val="000000" w:themeColor="text1"/>
          <w:sz w:val="19"/>
          <w:szCs w:val="19"/>
          <w:u w:val="single"/>
          <w14:textFill>
            <w14:solidFill>
              <w14:schemeClr w14:val="tx1"/>
            </w14:solidFill>
          </w14:textFill>
        </w:rPr>
        <w:t xml:space="preserve">        </w:t>
      </w:r>
      <w:r>
        <w:rPr>
          <w:rFonts w:hint="eastAsia" w:ascii="黑体" w:hAnsi="黑体" w:eastAsia="黑体" w:cs="黑体"/>
          <w:color w:val="000000" w:themeColor="text1"/>
          <w:sz w:val="19"/>
          <w:szCs w:val="19"/>
          <w14:textFill>
            <w14:solidFill>
              <w14:schemeClr w14:val="tx1"/>
            </w14:solidFill>
          </w14:textFill>
        </w:rPr>
        <w:t xml:space="preserve">（盖章）   </w:t>
      </w:r>
      <w:r>
        <w:rPr>
          <w:rFonts w:hint="eastAsia" w:ascii="黑体" w:hAnsi="黑体" w:eastAsia="黑体" w:cs="黑体"/>
          <w:color w:val="000000" w:themeColor="text1"/>
          <w:sz w:val="19"/>
          <w:szCs w:val="19"/>
          <w14:textFill>
            <w14:solidFill>
              <w14:schemeClr w14:val="tx1"/>
            </w14:solidFill>
          </w14:textFill>
        </w:rPr>
        <w:tab/>
      </w:r>
      <w:r>
        <w:rPr>
          <w:rFonts w:hint="eastAsia" w:ascii="黑体" w:hAnsi="黑体" w:eastAsia="黑体" w:cs="黑体"/>
          <w:color w:val="000000" w:themeColor="text1"/>
          <w:sz w:val="19"/>
          <w:szCs w:val="19"/>
          <w14:textFill>
            <w14:solidFill>
              <w14:schemeClr w14:val="tx1"/>
            </w14:solidFill>
          </w14:textFill>
        </w:rPr>
        <w:tab/>
      </w:r>
      <w:r>
        <w:rPr>
          <w:rFonts w:hint="eastAsia" w:ascii="黑体" w:hAnsi="黑体" w:eastAsia="黑体" w:cs="黑体"/>
          <w:color w:val="000000" w:themeColor="text1"/>
          <w:sz w:val="19"/>
          <w:szCs w:val="19"/>
          <w14:textFill>
            <w14:solidFill>
              <w14:schemeClr w14:val="tx1"/>
            </w14:solidFill>
          </w14:textFill>
        </w:rPr>
        <w:tab/>
      </w:r>
      <w:r>
        <w:rPr>
          <w:rFonts w:hint="eastAsia" w:ascii="黑体" w:hAnsi="黑体" w:eastAsia="黑体" w:cs="黑体"/>
          <w:color w:val="000000" w:themeColor="text1"/>
          <w:sz w:val="19"/>
          <w:szCs w:val="19"/>
          <w14:textFill>
            <w14:solidFill>
              <w14:schemeClr w14:val="tx1"/>
            </w14:solidFill>
          </w14:textFill>
        </w:rPr>
        <w:t xml:space="preserve"> 乙方：</w:t>
      </w:r>
      <w:r>
        <w:rPr>
          <w:rFonts w:hint="eastAsia" w:ascii="黑体" w:hAnsi="黑体" w:eastAsia="黑体" w:cs="黑体"/>
          <w:color w:val="000000" w:themeColor="text1"/>
          <w:sz w:val="19"/>
          <w:szCs w:val="19"/>
          <w:u w:val="single"/>
          <w14:textFill>
            <w14:solidFill>
              <w14:schemeClr w14:val="tx1"/>
            </w14:solidFill>
          </w14:textFill>
        </w:rPr>
        <w:t xml:space="preserve">        </w:t>
      </w:r>
      <w:r>
        <w:rPr>
          <w:rFonts w:hint="eastAsia" w:ascii="黑体" w:hAnsi="黑体" w:eastAsia="黑体" w:cs="黑体"/>
          <w:color w:val="000000" w:themeColor="text1"/>
          <w:sz w:val="19"/>
          <w:szCs w:val="19"/>
          <w14:textFill>
            <w14:solidFill>
              <w14:schemeClr w14:val="tx1"/>
            </w14:solidFill>
          </w14:textFill>
        </w:rPr>
        <w:t xml:space="preserve">（盖章） </w:t>
      </w:r>
    </w:p>
    <w:p w14:paraId="45D6AE41">
      <w:pPr>
        <w:spacing w:line="480" w:lineRule="exact"/>
        <w:ind w:firstLine="380" w:firstLineChars="200"/>
        <w:rPr>
          <w:rFonts w:hint="eastAsia" w:ascii="黑体" w:hAnsi="黑体" w:eastAsia="黑体" w:cs="黑体"/>
          <w:color w:val="000000" w:themeColor="text1"/>
          <w:sz w:val="19"/>
          <w:szCs w:val="19"/>
          <w14:textFill>
            <w14:solidFill>
              <w14:schemeClr w14:val="tx1"/>
            </w14:solidFill>
          </w14:textFill>
        </w:rPr>
      </w:pPr>
    </w:p>
    <w:p w14:paraId="542A01D4">
      <w:pPr>
        <w:spacing w:before="48" w:beforeLines="20"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法定代表人（授权代表）：             法定代表人（授权代表）：</w:t>
      </w:r>
    </w:p>
    <w:p w14:paraId="7F79B0B5">
      <w:pPr>
        <w:spacing w:before="48" w:beforeLines="20"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地    址：                           地    址：</w:t>
      </w:r>
    </w:p>
    <w:p w14:paraId="09F70A24">
      <w:pPr>
        <w:spacing w:before="48" w:beforeLines="20"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开户银行：                           开户银行：</w:t>
      </w:r>
    </w:p>
    <w:p w14:paraId="5F56BE0A">
      <w:pPr>
        <w:spacing w:before="48" w:beforeLines="20"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账号：                               账号：</w:t>
      </w:r>
    </w:p>
    <w:p w14:paraId="50AD1FC7">
      <w:pPr>
        <w:spacing w:before="48" w:beforeLines="20" w:line="480" w:lineRule="exact"/>
        <w:rPr>
          <w:rFonts w:hint="eastAsia" w:ascii="黑体" w:hAnsi="黑体" w:eastAsia="黑体" w:cs="黑体"/>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电    话：                           电    话：</w:t>
      </w:r>
    </w:p>
    <w:p w14:paraId="5F348FE1">
      <w:pPr>
        <w:pStyle w:val="11"/>
        <w:spacing w:before="48" w:beforeLines="20" w:beforeAutospacing="0" w:after="0" w:afterAutospacing="0" w:line="480" w:lineRule="exact"/>
        <w:jc w:val="both"/>
        <w:rPr>
          <w:rFonts w:hint="eastAsia" w:ascii="黑体" w:hAnsi="黑体" w:eastAsia="黑体" w:cs="黑体"/>
          <w:b/>
          <w:bCs/>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 xml:space="preserve">签约日期：    年   月    日 </w:t>
      </w:r>
      <w:r>
        <w:rPr>
          <w:rFonts w:hint="eastAsia" w:ascii="黑体" w:hAnsi="黑体" w:eastAsia="黑体" w:cs="黑体"/>
          <w:color w:val="000000" w:themeColor="text1"/>
          <w:sz w:val="19"/>
          <w:szCs w:val="19"/>
          <w14:textFill>
            <w14:solidFill>
              <w14:schemeClr w14:val="tx1"/>
            </w14:solidFill>
          </w14:textFill>
        </w:rPr>
        <w:tab/>
      </w:r>
      <w:r>
        <w:rPr>
          <w:rFonts w:hint="eastAsia" w:ascii="黑体" w:hAnsi="黑体" w:eastAsia="黑体" w:cs="黑体"/>
          <w:color w:val="000000" w:themeColor="text1"/>
          <w:sz w:val="19"/>
          <w:szCs w:val="19"/>
          <w14:textFill>
            <w14:solidFill>
              <w14:schemeClr w14:val="tx1"/>
            </w14:solidFill>
          </w14:textFill>
        </w:rPr>
        <w:t xml:space="preserve">      签约日期：    年   月    日 </w:t>
      </w:r>
    </w:p>
    <w:p w14:paraId="6FB36D39">
      <w:pPr>
        <w:spacing w:before="48" w:beforeLines="20" w:line="480" w:lineRule="exact"/>
        <w:rPr>
          <w:rFonts w:hint="eastAsia" w:ascii="黑体" w:hAnsi="黑体" w:eastAsia="黑体" w:cs="黑体"/>
          <w:b/>
          <w:color w:val="000000" w:themeColor="text1"/>
          <w:sz w:val="19"/>
          <w:szCs w:val="19"/>
          <w14:textFill>
            <w14:solidFill>
              <w14:schemeClr w14:val="tx1"/>
            </w14:solidFill>
          </w14:textFill>
        </w:rPr>
      </w:pPr>
      <w:r>
        <w:rPr>
          <w:rFonts w:hint="eastAsia" w:ascii="黑体" w:hAnsi="黑体" w:eastAsia="黑体" w:cs="黑体"/>
          <w:color w:val="000000" w:themeColor="text1"/>
          <w:sz w:val="19"/>
          <w:szCs w:val="19"/>
          <w14:textFill>
            <w14:solidFill>
              <w14:schemeClr w14:val="tx1"/>
            </w14:solidFill>
          </w14:textFill>
        </w:rPr>
        <w:t>签订地点：</w:t>
      </w:r>
      <w:r>
        <w:rPr>
          <w:rFonts w:hint="eastAsia" w:ascii="黑体" w:hAnsi="黑体" w:eastAsia="黑体" w:cs="黑体"/>
          <w:color w:val="000000" w:themeColor="text1"/>
          <w:sz w:val="19"/>
          <w:szCs w:val="19"/>
          <w:u w:val="single"/>
          <w14:textFill>
            <w14:solidFill>
              <w14:schemeClr w14:val="tx1"/>
            </w14:solidFill>
          </w14:textFill>
        </w:rPr>
        <w:t xml:space="preserve">                       </w:t>
      </w:r>
    </w:p>
    <w:p w14:paraId="09DEE87E">
      <w:pPr>
        <w:pStyle w:val="36"/>
        <w:spacing w:line="480" w:lineRule="exact"/>
        <w:rPr>
          <w:rFonts w:ascii="宋体" w:hAnsi="宋体" w:eastAsia="宋体" w:cs="宋体"/>
          <w:color w:val="000000" w:themeColor="text1"/>
          <w:sz w:val="19"/>
          <w:szCs w:val="19"/>
          <w14:textFill>
            <w14:solidFill>
              <w14:schemeClr w14:val="tx1"/>
            </w14:solidFill>
          </w14:textFill>
        </w:rPr>
        <w:sectPr>
          <w:pgSz w:w="11906" w:h="16838"/>
          <w:pgMar w:top="851" w:right="1247" w:bottom="1474" w:left="1247" w:header="851" w:footer="992" w:gutter="0"/>
          <w:pgNumType w:fmt="numberInDash"/>
          <w:cols w:space="720" w:num="1"/>
          <w:docGrid w:linePitch="286" w:charSpace="0"/>
        </w:sectPr>
      </w:pPr>
    </w:p>
    <w:p w14:paraId="202B3DB0">
      <w:pPr>
        <w:pStyle w:val="36"/>
        <w:spacing w:line="480" w:lineRule="exact"/>
        <w:jc w:val="center"/>
        <w:outlineLvl w:val="0"/>
        <w:rPr>
          <w:rFonts w:ascii="黑体" w:hAnsi="黑体" w:eastAsia="黑体" w:cs="黑体"/>
          <w:sz w:val="28"/>
          <w:szCs w:val="28"/>
        </w:rPr>
      </w:pPr>
      <w:r>
        <w:rPr>
          <w:rFonts w:ascii="黑体" w:hAnsi="黑体" w:eastAsia="黑体" w:cs="黑体"/>
          <w:b/>
          <w:color w:val="000000" w:themeColor="text1"/>
          <w:sz w:val="28"/>
          <w:szCs w:val="28"/>
          <w14:textFill>
            <w14:solidFill>
              <w14:schemeClr w14:val="tx1"/>
            </w14:solidFill>
          </w14:textFill>
        </w:rPr>
        <w:t>第</w:t>
      </w:r>
      <w:r>
        <w:rPr>
          <w:rFonts w:ascii="黑体" w:hAnsi="黑体" w:eastAsia="黑体" w:cs="黑体"/>
          <w:b/>
          <w:color w:val="000000" w:themeColor="text1"/>
          <w:sz w:val="28"/>
          <w:szCs w:val="28"/>
          <w:lang w:eastAsia="zh-CN"/>
          <w14:textFill>
            <w14:solidFill>
              <w14:schemeClr w14:val="tx1"/>
            </w14:solidFill>
          </w14:textFill>
        </w:rPr>
        <w:t>七</w:t>
      </w:r>
      <w:r>
        <w:rPr>
          <w:rFonts w:ascii="黑体" w:hAnsi="黑体" w:eastAsia="黑体" w:cs="黑体"/>
          <w:b/>
          <w:color w:val="000000" w:themeColor="text1"/>
          <w:sz w:val="28"/>
          <w:szCs w:val="28"/>
          <w14:textFill>
            <w14:solidFill>
              <w14:schemeClr w14:val="tx1"/>
            </w14:solidFill>
          </w14:textFill>
        </w:rPr>
        <w:t xml:space="preserve">章 </w:t>
      </w:r>
      <w:r>
        <w:rPr>
          <w:rFonts w:ascii="黑体" w:hAnsi="黑体" w:eastAsia="黑体" w:cs="黑体"/>
          <w:b/>
          <w:color w:val="000000" w:themeColor="text1"/>
          <w:sz w:val="28"/>
          <w:szCs w:val="28"/>
          <w:lang w:eastAsia="zh-CN"/>
          <w14:textFill>
            <w14:solidFill>
              <w14:schemeClr w14:val="tx1"/>
            </w14:solidFill>
          </w14:textFill>
        </w:rPr>
        <w:t>应提交的有关格式范例</w:t>
      </w:r>
      <w:bookmarkEnd w:id="43"/>
      <w:bookmarkEnd w:id="44"/>
    </w:p>
    <w:p w14:paraId="0E24F2F2">
      <w:pPr>
        <w:widowControl/>
        <w:autoSpaceDE w:val="0"/>
        <w:autoSpaceDN w:val="0"/>
        <w:spacing w:line="360" w:lineRule="auto"/>
        <w:textAlignment w:val="bottom"/>
        <w:rPr>
          <w:rFonts w:hint="eastAsia" w:ascii="黑体" w:hAnsi="黑体" w:eastAsia="黑体" w:cs="黑体"/>
          <w:b/>
          <w:sz w:val="20"/>
          <w:szCs w:val="20"/>
        </w:rPr>
      </w:pPr>
    </w:p>
    <w:p w14:paraId="00F4569C">
      <w:pPr>
        <w:widowControl/>
        <w:autoSpaceDE w:val="0"/>
        <w:autoSpaceDN w:val="0"/>
        <w:spacing w:line="360" w:lineRule="auto"/>
        <w:jc w:val="center"/>
        <w:textAlignment w:val="bottom"/>
        <w:rPr>
          <w:rFonts w:hint="eastAsia" w:ascii="黑体" w:hAnsi="黑体" w:eastAsia="黑体" w:cs="黑体"/>
          <w:b/>
          <w:sz w:val="28"/>
          <w:szCs w:val="28"/>
        </w:rPr>
      </w:pPr>
      <w:r>
        <w:rPr>
          <w:rFonts w:hint="eastAsia" w:ascii="黑体" w:hAnsi="黑体" w:eastAsia="黑体" w:cs="黑体"/>
          <w:b/>
          <w:sz w:val="36"/>
          <w:szCs w:val="36"/>
        </w:rPr>
        <w:t>（封面格式）</w:t>
      </w:r>
      <w:r>
        <w:rPr>
          <w:rFonts w:hint="eastAsia" w:ascii="黑体" w:hAnsi="黑体" w:eastAsia="黑体" w:cs="黑体"/>
          <w:b/>
          <w:sz w:val="28"/>
          <w:szCs w:val="28"/>
        </w:rPr>
        <w:t xml:space="preserve"> </w:t>
      </w:r>
    </w:p>
    <w:p w14:paraId="15FD3A8C">
      <w:pPr>
        <w:jc w:val="right"/>
        <w:rPr>
          <w:rFonts w:hint="eastAsia" w:ascii="黑体" w:hAnsi="黑体" w:eastAsia="黑体" w:cs="黑体"/>
          <w:b/>
          <w:sz w:val="28"/>
          <w:szCs w:val="28"/>
        </w:rPr>
      </w:pPr>
      <w:r>
        <w:rPr>
          <w:rFonts w:hint="eastAsia" w:ascii="黑体" w:hAnsi="黑体" w:eastAsia="黑体" w:cs="黑体"/>
          <w:b/>
          <w:kern w:val="0"/>
          <w:sz w:val="28"/>
          <w:szCs w:val="28"/>
          <w:bdr w:val="single" w:color="auto" w:sz="4" w:space="0"/>
        </w:rPr>
        <w:t>正/副本</w:t>
      </w:r>
    </w:p>
    <w:p w14:paraId="5946F7CF">
      <w:pPr>
        <w:pStyle w:val="8"/>
        <w:rPr>
          <w:rFonts w:hint="eastAsia" w:ascii="黑体" w:hAnsi="黑体" w:eastAsia="黑体" w:cs="黑体"/>
        </w:rPr>
      </w:pPr>
    </w:p>
    <w:p w14:paraId="25BA6C7F">
      <w:pPr>
        <w:spacing w:before="218" w:beforeLines="50" w:after="436" w:afterLines="100"/>
        <w:jc w:val="center"/>
        <w:rPr>
          <w:rFonts w:hint="eastAsia" w:ascii="黑体" w:hAnsi="黑体" w:eastAsia="黑体" w:cs="黑体"/>
          <w:b/>
          <w:sz w:val="52"/>
          <w:szCs w:val="52"/>
        </w:rPr>
      </w:pPr>
      <w:r>
        <w:rPr>
          <w:rFonts w:hint="eastAsia" w:ascii="黑体" w:hAnsi="黑体" w:eastAsia="黑体" w:cs="黑体"/>
          <w:b/>
          <w:sz w:val="52"/>
          <w:szCs w:val="52"/>
        </w:rPr>
        <w:t>西咸新区地震监测台网建设</w:t>
      </w:r>
    </w:p>
    <w:p w14:paraId="7609EC48">
      <w:pPr>
        <w:jc w:val="center"/>
        <w:rPr>
          <w:rFonts w:hint="eastAsia" w:ascii="黑体" w:hAnsi="黑体" w:eastAsia="黑体" w:cs="黑体"/>
          <w:b/>
          <w:sz w:val="52"/>
          <w:szCs w:val="52"/>
        </w:rPr>
      </w:pPr>
    </w:p>
    <w:p w14:paraId="6C743592">
      <w:pPr>
        <w:jc w:val="center"/>
        <w:rPr>
          <w:rFonts w:hint="eastAsia" w:ascii="黑体" w:hAnsi="黑体" w:eastAsia="黑体" w:cs="黑体"/>
          <w:b/>
          <w:sz w:val="28"/>
          <w:szCs w:val="28"/>
        </w:rPr>
      </w:pPr>
      <w:r>
        <w:rPr>
          <w:rFonts w:hint="eastAsia" w:ascii="黑体" w:hAnsi="黑体" w:eastAsia="黑体" w:cs="黑体"/>
          <w:b/>
          <w:sz w:val="28"/>
          <w:szCs w:val="28"/>
        </w:rPr>
        <w:t>项目编号：ZBY2025119</w:t>
      </w:r>
    </w:p>
    <w:p w14:paraId="6E8A6577">
      <w:pPr>
        <w:jc w:val="center"/>
        <w:rPr>
          <w:rFonts w:hint="eastAsia" w:ascii="黑体" w:hAnsi="黑体" w:eastAsia="黑体" w:cs="黑体"/>
          <w:b/>
          <w:sz w:val="28"/>
          <w:szCs w:val="28"/>
        </w:rPr>
      </w:pPr>
    </w:p>
    <w:p w14:paraId="08A06398">
      <w:pPr>
        <w:pStyle w:val="6"/>
        <w:rPr>
          <w:rFonts w:hint="eastAsia" w:ascii="黑体" w:hAnsi="黑体" w:eastAsia="黑体" w:cs="黑体"/>
        </w:rPr>
      </w:pPr>
    </w:p>
    <w:p w14:paraId="042E6FB3">
      <w:pPr>
        <w:widowControl/>
        <w:autoSpaceDE w:val="0"/>
        <w:autoSpaceDN w:val="0"/>
        <w:spacing w:line="360" w:lineRule="auto"/>
        <w:jc w:val="center"/>
        <w:textAlignment w:val="bottom"/>
        <w:rPr>
          <w:rFonts w:hint="eastAsia" w:ascii="黑体" w:hAnsi="黑体" w:eastAsia="黑体" w:cs="黑体"/>
          <w:b/>
          <w:sz w:val="72"/>
          <w:szCs w:val="72"/>
        </w:rPr>
      </w:pPr>
    </w:p>
    <w:p w14:paraId="26927D1F">
      <w:pPr>
        <w:widowControl/>
        <w:autoSpaceDE w:val="0"/>
        <w:autoSpaceDN w:val="0"/>
        <w:spacing w:line="360" w:lineRule="auto"/>
        <w:jc w:val="center"/>
        <w:textAlignment w:val="bottom"/>
        <w:rPr>
          <w:rFonts w:hint="eastAsia" w:ascii="黑体" w:hAnsi="黑体" w:eastAsia="黑体" w:cs="黑体"/>
          <w:b/>
          <w:sz w:val="72"/>
          <w:szCs w:val="72"/>
        </w:rPr>
      </w:pPr>
      <w:r>
        <w:rPr>
          <w:rFonts w:hint="eastAsia" w:ascii="黑体" w:hAnsi="黑体" w:eastAsia="黑体" w:cs="黑体"/>
          <w:b/>
          <w:sz w:val="72"/>
          <w:szCs w:val="72"/>
        </w:rPr>
        <w:t>投标文件</w:t>
      </w:r>
    </w:p>
    <w:p w14:paraId="2C908E3A">
      <w:pPr>
        <w:pStyle w:val="39"/>
        <w:spacing w:before="87"/>
        <w:rPr>
          <w:rFonts w:hint="eastAsia" w:ascii="黑体" w:hAnsi="黑体" w:eastAsia="黑体" w:cs="黑体"/>
          <w:b/>
          <w:sz w:val="32"/>
          <w:szCs w:val="32"/>
        </w:rPr>
      </w:pPr>
    </w:p>
    <w:p w14:paraId="23448045">
      <w:pPr>
        <w:pStyle w:val="39"/>
        <w:spacing w:before="87"/>
        <w:rPr>
          <w:rFonts w:hint="eastAsia" w:ascii="黑体" w:hAnsi="黑体" w:eastAsia="黑体" w:cs="黑体"/>
          <w:b/>
          <w:sz w:val="32"/>
          <w:szCs w:val="32"/>
        </w:rPr>
      </w:pPr>
    </w:p>
    <w:p w14:paraId="4C6FE299">
      <w:pPr>
        <w:spacing w:line="360" w:lineRule="auto"/>
        <w:jc w:val="center"/>
        <w:rPr>
          <w:rFonts w:hint="eastAsia" w:ascii="黑体" w:hAnsi="黑体" w:eastAsia="黑体" w:cs="黑体"/>
          <w:b/>
          <w:sz w:val="28"/>
          <w:szCs w:val="28"/>
        </w:rPr>
      </w:pPr>
      <w:r>
        <w:rPr>
          <w:rFonts w:hint="eastAsia" w:ascii="黑体" w:hAnsi="黑体" w:eastAsia="黑体" w:cs="黑体"/>
          <w:b/>
          <w:sz w:val="28"/>
          <w:szCs w:val="28"/>
        </w:rPr>
        <w:t>供应商名称：</w:t>
      </w:r>
      <w:r>
        <w:rPr>
          <w:rFonts w:hint="eastAsia" w:ascii="黑体" w:hAnsi="黑体" w:eastAsia="黑体" w:cs="黑体"/>
          <w:b/>
          <w:sz w:val="28"/>
          <w:szCs w:val="28"/>
          <w:u w:val="single"/>
        </w:rPr>
        <w:t xml:space="preserve">                   </w:t>
      </w:r>
      <w:r>
        <w:rPr>
          <w:rFonts w:hint="eastAsia" w:ascii="黑体" w:hAnsi="黑体" w:eastAsia="黑体" w:cs="黑体"/>
          <w:b/>
          <w:sz w:val="28"/>
          <w:szCs w:val="28"/>
        </w:rPr>
        <w:t>（盖章）</w:t>
      </w:r>
    </w:p>
    <w:p w14:paraId="394B7C20">
      <w:pPr>
        <w:jc w:val="center"/>
        <w:rPr>
          <w:rFonts w:hint="eastAsia" w:ascii="黑体" w:hAnsi="黑体" w:eastAsia="黑体" w:cs="黑体"/>
          <w:b/>
          <w:sz w:val="28"/>
          <w:szCs w:val="28"/>
        </w:rPr>
      </w:pPr>
    </w:p>
    <w:p w14:paraId="2D97FEF8">
      <w:pPr>
        <w:jc w:val="center"/>
        <w:rPr>
          <w:rFonts w:hint="eastAsia" w:ascii="黑体" w:hAnsi="黑体" w:eastAsia="黑体" w:cs="黑体"/>
          <w:b/>
          <w:sz w:val="28"/>
          <w:szCs w:val="28"/>
          <w:u w:val="single"/>
        </w:rPr>
      </w:pPr>
    </w:p>
    <w:p w14:paraId="13114115">
      <w:pPr>
        <w:jc w:val="center"/>
        <w:rPr>
          <w:rFonts w:hint="eastAsia" w:ascii="黑体" w:hAnsi="黑体" w:eastAsia="黑体" w:cs="黑体"/>
          <w:b/>
          <w:sz w:val="28"/>
          <w:szCs w:val="28"/>
          <w:u w:val="single"/>
        </w:rPr>
      </w:pPr>
      <w:r>
        <w:rPr>
          <w:rFonts w:hint="eastAsia" w:ascii="黑体" w:hAnsi="黑体" w:eastAsia="黑体" w:cs="黑体"/>
          <w:b/>
          <w:sz w:val="28"/>
          <w:szCs w:val="28"/>
          <w:u w:val="single"/>
        </w:rPr>
        <w:t xml:space="preserve">    </w:t>
      </w:r>
      <w:r>
        <w:rPr>
          <w:rFonts w:hint="eastAsia" w:ascii="黑体" w:hAnsi="黑体" w:eastAsia="黑体" w:cs="黑体"/>
          <w:b/>
          <w:sz w:val="28"/>
          <w:szCs w:val="28"/>
        </w:rPr>
        <w:t>年</w:t>
      </w:r>
      <w:r>
        <w:rPr>
          <w:rFonts w:hint="eastAsia" w:ascii="黑体" w:hAnsi="黑体" w:eastAsia="黑体" w:cs="黑体"/>
          <w:b/>
          <w:sz w:val="28"/>
          <w:szCs w:val="28"/>
          <w:u w:val="single"/>
        </w:rPr>
        <w:t xml:space="preserve">   </w:t>
      </w:r>
      <w:r>
        <w:rPr>
          <w:rFonts w:hint="eastAsia" w:ascii="黑体" w:hAnsi="黑体" w:eastAsia="黑体" w:cs="黑体"/>
          <w:b/>
          <w:sz w:val="28"/>
          <w:szCs w:val="28"/>
        </w:rPr>
        <w:t>月</w:t>
      </w:r>
      <w:r>
        <w:rPr>
          <w:rFonts w:hint="eastAsia" w:ascii="黑体" w:hAnsi="黑体" w:eastAsia="黑体" w:cs="黑体"/>
          <w:b/>
          <w:sz w:val="28"/>
          <w:szCs w:val="28"/>
          <w:u w:val="single"/>
        </w:rPr>
        <w:t xml:space="preserve">   </w:t>
      </w:r>
      <w:r>
        <w:rPr>
          <w:rFonts w:hint="eastAsia" w:ascii="黑体" w:hAnsi="黑体" w:eastAsia="黑体" w:cs="黑体"/>
          <w:b/>
          <w:sz w:val="28"/>
          <w:szCs w:val="28"/>
        </w:rPr>
        <w:t>日</w:t>
      </w:r>
    </w:p>
    <w:p w14:paraId="59819303">
      <w:pPr>
        <w:pStyle w:val="3"/>
        <w:numPr>
          <w:ilvl w:val="1"/>
          <w:numId w:val="0"/>
        </w:numPr>
        <w:spacing w:line="410" w:lineRule="exact"/>
        <w:jc w:val="center"/>
        <w:rPr>
          <w:rFonts w:hint="eastAsia" w:ascii="宋体" w:hAnsi="宋体" w:eastAsia="宋体" w:cs="宋体"/>
          <w:bCs w:val="0"/>
          <w:sz w:val="28"/>
          <w:szCs w:val="28"/>
        </w:rPr>
        <w:sectPr>
          <w:pgSz w:w="11905" w:h="16838"/>
          <w:pgMar w:top="1417" w:right="1247" w:bottom="1474" w:left="1247" w:header="850" w:footer="992" w:gutter="0"/>
          <w:pgNumType w:fmt="numberInDash"/>
          <w:cols w:space="0" w:num="1"/>
          <w:docGrid w:type="lines" w:linePitch="436" w:charSpace="0"/>
        </w:sectPr>
      </w:pPr>
    </w:p>
    <w:p w14:paraId="613D4BCE">
      <w:pPr>
        <w:pStyle w:val="3"/>
        <w:numPr>
          <w:ilvl w:val="0"/>
          <w:numId w:val="0"/>
        </w:numPr>
        <w:tabs>
          <w:tab w:val="left" w:pos="360"/>
          <w:tab w:val="clear" w:pos="576"/>
        </w:tabs>
        <w:autoSpaceDE w:val="0"/>
        <w:autoSpaceDN w:val="0"/>
        <w:adjustRightInd w:val="0"/>
        <w:spacing w:before="0" w:after="0" w:line="400" w:lineRule="exact"/>
        <w:jc w:val="center"/>
        <w:textAlignment w:val="baseline"/>
        <w:rPr>
          <w:rFonts w:hint="eastAsia" w:ascii="黑体" w:hAnsi="黑体" w:cs="黑体"/>
          <w:sz w:val="28"/>
          <w:szCs w:val="28"/>
        </w:rPr>
      </w:pPr>
      <w:bookmarkStart w:id="45" w:name="_Toc13014"/>
      <w:bookmarkStart w:id="46" w:name="_Toc10540"/>
      <w:r>
        <w:rPr>
          <w:rFonts w:hint="eastAsia" w:ascii="黑体" w:hAnsi="黑体" w:cs="黑体"/>
          <w:sz w:val="28"/>
          <w:szCs w:val="28"/>
        </w:rPr>
        <w:t>一、投标函</w:t>
      </w:r>
      <w:bookmarkEnd w:id="45"/>
      <w:bookmarkEnd w:id="46"/>
    </w:p>
    <w:p w14:paraId="6436CA37">
      <w:pPr>
        <w:adjustRightInd w:val="0"/>
        <w:snapToGrid w:val="0"/>
        <w:spacing w:line="460" w:lineRule="atLeast"/>
        <w:ind w:right="720" w:rightChars="300"/>
        <w:rPr>
          <w:rFonts w:hint="eastAsia" w:ascii="黑体" w:hAnsi="黑体" w:eastAsia="黑体" w:cs="黑体"/>
          <w:sz w:val="19"/>
          <w:szCs w:val="19"/>
          <w:u w:val="single"/>
        </w:rPr>
      </w:pPr>
      <w:r>
        <w:rPr>
          <w:rFonts w:hint="eastAsia" w:ascii="黑体" w:hAnsi="黑体" w:eastAsia="黑体" w:cs="黑体"/>
          <w:sz w:val="19"/>
          <w:szCs w:val="19"/>
          <w:u w:val="single"/>
        </w:rPr>
        <w:t>（采购人）：</w:t>
      </w:r>
    </w:p>
    <w:p w14:paraId="62D4639A">
      <w:pPr>
        <w:adjustRightInd w:val="0"/>
        <w:snapToGrid w:val="0"/>
        <w:spacing w:before="87" w:beforeLines="20" w:line="460" w:lineRule="atLeast"/>
        <w:ind w:right="50" w:rightChars="21" w:firstLine="380" w:firstLineChars="200"/>
        <w:rPr>
          <w:rFonts w:hint="eastAsia" w:ascii="黑体" w:hAnsi="黑体" w:eastAsia="黑体" w:cs="黑体"/>
          <w:sz w:val="19"/>
          <w:szCs w:val="19"/>
        </w:rPr>
      </w:pPr>
      <w:r>
        <w:rPr>
          <w:rFonts w:hint="eastAsia" w:ascii="黑体" w:hAnsi="黑体" w:eastAsia="黑体" w:cs="黑体"/>
          <w:sz w:val="19"/>
          <w:szCs w:val="19"/>
        </w:rPr>
        <w:t>根据贵方（</w:t>
      </w:r>
      <w:r>
        <w:rPr>
          <w:rFonts w:hint="eastAsia" w:ascii="黑体" w:hAnsi="黑体" w:eastAsia="黑体" w:cs="黑体"/>
          <w:sz w:val="19"/>
          <w:szCs w:val="19"/>
          <w:u w:val="single"/>
        </w:rPr>
        <w:t>项目名称、标包号：/</w:t>
      </w:r>
      <w:r>
        <w:rPr>
          <w:rFonts w:hint="eastAsia" w:ascii="黑体" w:hAnsi="黑体" w:eastAsia="黑体" w:cs="黑体"/>
          <w:sz w:val="19"/>
          <w:szCs w:val="19"/>
        </w:rPr>
        <w:t>）的招标文件，签字代表</w:t>
      </w:r>
      <w:r>
        <w:rPr>
          <w:rFonts w:hint="eastAsia" w:ascii="黑体" w:hAnsi="黑体" w:eastAsia="黑体" w:cs="黑体"/>
          <w:sz w:val="19"/>
          <w:szCs w:val="19"/>
          <w:u w:val="single"/>
        </w:rPr>
        <w:t xml:space="preserve">  (姓名、职务)</w:t>
      </w:r>
      <w:r>
        <w:rPr>
          <w:rFonts w:hint="eastAsia" w:ascii="黑体" w:hAnsi="黑体" w:eastAsia="黑体" w:cs="黑体"/>
          <w:sz w:val="19"/>
          <w:szCs w:val="19"/>
        </w:rPr>
        <w:t>经正式授权并代表投标人</w:t>
      </w:r>
      <w:r>
        <w:rPr>
          <w:rFonts w:hint="eastAsia" w:ascii="黑体" w:hAnsi="黑体" w:eastAsia="黑体" w:cs="黑体"/>
          <w:sz w:val="19"/>
          <w:szCs w:val="19"/>
          <w:u w:val="single"/>
        </w:rPr>
        <w:t>（名称）</w:t>
      </w:r>
      <w:r>
        <w:rPr>
          <w:rFonts w:hint="eastAsia" w:ascii="黑体" w:hAnsi="黑体" w:eastAsia="黑体" w:cs="黑体"/>
          <w:sz w:val="19"/>
          <w:szCs w:val="19"/>
        </w:rPr>
        <w:t>提交电子版投标文件。</w:t>
      </w:r>
    </w:p>
    <w:p w14:paraId="3B262320">
      <w:pPr>
        <w:adjustRightInd w:val="0"/>
        <w:snapToGrid w:val="0"/>
        <w:spacing w:before="87" w:beforeLines="20" w:line="460" w:lineRule="atLeast"/>
        <w:ind w:right="-24" w:rightChars="-10" w:firstLine="380" w:firstLineChars="200"/>
        <w:rPr>
          <w:rFonts w:hint="eastAsia" w:ascii="黑体" w:hAnsi="黑体" w:eastAsia="黑体" w:cs="黑体"/>
          <w:sz w:val="19"/>
          <w:szCs w:val="19"/>
        </w:rPr>
      </w:pPr>
      <w:r>
        <w:rPr>
          <w:rFonts w:hint="eastAsia" w:ascii="黑体" w:hAnsi="黑体" w:eastAsia="黑体" w:cs="黑体"/>
          <w:sz w:val="19"/>
          <w:szCs w:val="19"/>
        </w:rPr>
        <w:t>1.我方已详细审查全部招标文件，包括所有补充通知（如果有的话），完全理解招标文件的所有条款，并同意放弃对这方面有不明、误解的权利。对招标文件的合理性、合法性不再有异议。</w:t>
      </w:r>
    </w:p>
    <w:p w14:paraId="44617876">
      <w:pPr>
        <w:adjustRightInd w:val="0"/>
        <w:snapToGrid w:val="0"/>
        <w:spacing w:before="87" w:beforeLines="20" w:line="460" w:lineRule="atLeast"/>
        <w:ind w:right="-24" w:rightChars="-10" w:firstLine="380" w:firstLineChars="200"/>
        <w:rPr>
          <w:rFonts w:hint="eastAsia" w:ascii="黑体" w:hAnsi="黑体" w:eastAsia="黑体" w:cs="黑体"/>
          <w:sz w:val="19"/>
          <w:szCs w:val="19"/>
        </w:rPr>
      </w:pPr>
      <w:r>
        <w:rPr>
          <w:rFonts w:hint="eastAsia" w:ascii="黑体" w:hAnsi="黑体" w:eastAsia="黑体" w:cs="黑体"/>
          <w:sz w:val="19"/>
          <w:szCs w:val="19"/>
        </w:rPr>
        <w:t>2.按照招标文件的规定，我公司投标总价为：</w:t>
      </w:r>
      <w:r>
        <w:rPr>
          <w:rFonts w:hint="eastAsia" w:ascii="黑体" w:hAnsi="黑体" w:eastAsia="黑体" w:cs="黑体"/>
          <w:sz w:val="19"/>
          <w:szCs w:val="19"/>
          <w:u w:val="single"/>
        </w:rPr>
        <w:t>详见开标一览表</w:t>
      </w:r>
      <w:r>
        <w:rPr>
          <w:rFonts w:hint="eastAsia" w:ascii="黑体" w:hAnsi="黑体" w:eastAsia="黑体" w:cs="黑体"/>
          <w:sz w:val="19"/>
          <w:szCs w:val="19"/>
        </w:rPr>
        <w:t>。　</w:t>
      </w:r>
    </w:p>
    <w:p w14:paraId="04403FBF">
      <w:pPr>
        <w:adjustRightInd w:val="0"/>
        <w:snapToGrid w:val="0"/>
        <w:spacing w:before="87" w:beforeLines="20" w:line="460" w:lineRule="atLeast"/>
        <w:ind w:right="-24" w:rightChars="-10" w:firstLine="380" w:firstLineChars="200"/>
        <w:rPr>
          <w:rFonts w:hint="eastAsia" w:ascii="黑体" w:hAnsi="黑体" w:eastAsia="黑体" w:cs="黑体"/>
          <w:sz w:val="19"/>
          <w:szCs w:val="19"/>
          <w:lang w:val="zh-CN"/>
        </w:rPr>
      </w:pPr>
      <w:r>
        <w:rPr>
          <w:rFonts w:hint="eastAsia" w:ascii="黑体" w:hAnsi="黑体" w:eastAsia="黑体" w:cs="黑体"/>
          <w:sz w:val="19"/>
          <w:szCs w:val="19"/>
        </w:rPr>
        <w:t>3.本投标有效期为自投标截止之日起</w:t>
      </w:r>
      <w:r>
        <w:rPr>
          <w:rFonts w:hint="eastAsia" w:ascii="黑体" w:hAnsi="黑体" w:eastAsia="黑体" w:cs="黑体"/>
          <w:sz w:val="19"/>
          <w:szCs w:val="19"/>
          <w:u w:val="single"/>
        </w:rPr>
        <w:t xml:space="preserve">  90  </w:t>
      </w:r>
      <w:r>
        <w:rPr>
          <w:rFonts w:hint="eastAsia" w:ascii="黑体" w:hAnsi="黑体" w:eastAsia="黑体" w:cs="黑体"/>
          <w:sz w:val="19"/>
          <w:szCs w:val="19"/>
        </w:rPr>
        <w:t>个日历日</w:t>
      </w:r>
      <w:r>
        <w:rPr>
          <w:rFonts w:hint="eastAsia" w:ascii="黑体" w:hAnsi="黑体" w:eastAsia="黑体" w:cs="黑体"/>
          <w:sz w:val="19"/>
          <w:szCs w:val="19"/>
          <w:lang w:val="zh-CN"/>
        </w:rPr>
        <w:t>，若我方中标，投标文件有效期自动延长至合同执行完毕，</w:t>
      </w:r>
      <w:r>
        <w:rPr>
          <w:rFonts w:hint="eastAsia" w:ascii="黑体" w:hAnsi="黑体" w:eastAsia="黑体" w:cs="黑体"/>
          <w:sz w:val="19"/>
          <w:szCs w:val="19"/>
        </w:rPr>
        <w:t>我方在投标有效期内撤回投标，投标保证金将被贵方没收。</w:t>
      </w:r>
    </w:p>
    <w:p w14:paraId="0A80A322">
      <w:pPr>
        <w:adjustRightInd w:val="0"/>
        <w:snapToGrid w:val="0"/>
        <w:spacing w:before="87" w:beforeLines="20" w:line="460" w:lineRule="atLeast"/>
        <w:ind w:right="-24" w:rightChars="-10" w:firstLine="380" w:firstLineChars="200"/>
        <w:rPr>
          <w:rFonts w:hint="eastAsia" w:ascii="黑体" w:hAnsi="黑体" w:eastAsia="黑体" w:cs="黑体"/>
          <w:sz w:val="19"/>
          <w:szCs w:val="19"/>
        </w:rPr>
      </w:pPr>
      <w:r>
        <w:rPr>
          <w:rFonts w:hint="eastAsia" w:ascii="黑体" w:hAnsi="黑体" w:eastAsia="黑体" w:cs="黑体"/>
          <w:sz w:val="19"/>
          <w:szCs w:val="19"/>
        </w:rPr>
        <w:t>4.按照贵方可能的要求，提供与投标有关的一切数据或资料，我们完全理解最低投标报价不作为中标的唯一条件，且尊重评标结论和定标结果。</w:t>
      </w:r>
    </w:p>
    <w:p w14:paraId="4420E33C">
      <w:pPr>
        <w:adjustRightInd w:val="0"/>
        <w:snapToGrid w:val="0"/>
        <w:spacing w:before="87" w:beforeLines="20" w:line="460" w:lineRule="atLeast"/>
        <w:ind w:right="-24" w:rightChars="-10" w:firstLine="380" w:firstLineChars="200"/>
        <w:rPr>
          <w:rFonts w:hint="eastAsia" w:ascii="黑体" w:hAnsi="黑体" w:eastAsia="黑体" w:cs="黑体"/>
          <w:sz w:val="19"/>
          <w:szCs w:val="19"/>
        </w:rPr>
      </w:pPr>
      <w:r>
        <w:rPr>
          <w:rFonts w:hint="eastAsia" w:ascii="黑体" w:hAnsi="黑体" w:eastAsia="黑体" w:cs="黑体"/>
          <w:sz w:val="19"/>
          <w:szCs w:val="19"/>
        </w:rPr>
        <w:t>5.我方不是为本项目提供整体设计、规范编制或者项目管理、监理、检测等服务的供应商。与采购人和采购代理机构无任何隶属关系或者其他利害关系。</w:t>
      </w:r>
    </w:p>
    <w:p w14:paraId="48F95372">
      <w:pPr>
        <w:adjustRightInd w:val="0"/>
        <w:snapToGrid w:val="0"/>
        <w:spacing w:before="87" w:beforeLines="20" w:line="460" w:lineRule="atLeast"/>
        <w:ind w:right="-24" w:rightChars="-10" w:firstLine="380" w:firstLineChars="200"/>
        <w:rPr>
          <w:rFonts w:hint="eastAsia" w:ascii="黑体" w:hAnsi="黑体" w:eastAsia="黑体" w:cs="黑体"/>
          <w:sz w:val="19"/>
          <w:szCs w:val="19"/>
        </w:rPr>
      </w:pPr>
      <w:r>
        <w:rPr>
          <w:rFonts w:hint="eastAsia" w:ascii="黑体" w:hAnsi="黑体" w:eastAsia="黑体" w:cs="黑体"/>
          <w:sz w:val="19"/>
          <w:szCs w:val="19"/>
        </w:rPr>
        <w:t>6.在领取中标通知书的同时按招标文件规定的形式，向采购代理机构一次性支付招标代理服务费。</w:t>
      </w:r>
    </w:p>
    <w:p w14:paraId="7A574C4E">
      <w:pPr>
        <w:adjustRightInd w:val="0"/>
        <w:snapToGrid w:val="0"/>
        <w:spacing w:before="87" w:beforeLines="20" w:line="460" w:lineRule="atLeast"/>
        <w:ind w:right="-24" w:rightChars="-10" w:firstLine="380" w:firstLineChars="200"/>
        <w:rPr>
          <w:rFonts w:hint="eastAsia" w:ascii="黑体" w:hAnsi="黑体" w:eastAsia="黑体" w:cs="黑体"/>
          <w:sz w:val="19"/>
          <w:szCs w:val="19"/>
        </w:rPr>
      </w:pPr>
      <w:r>
        <w:rPr>
          <w:rFonts w:hint="eastAsia" w:ascii="黑体" w:hAnsi="黑体" w:eastAsia="黑体" w:cs="黑体"/>
          <w:sz w:val="19"/>
          <w:szCs w:val="19"/>
        </w:rPr>
        <w:t>7.我方完全响应</w:t>
      </w:r>
      <w:r>
        <w:rPr>
          <w:rFonts w:hint="eastAsia" w:ascii="黑体" w:hAnsi="黑体" w:eastAsia="黑体" w:cs="黑体"/>
          <w:sz w:val="19"/>
          <w:szCs w:val="19"/>
          <w:u w:val="single"/>
        </w:rPr>
        <w:t xml:space="preserve"> 投标人须知前附表 </w:t>
      </w:r>
      <w:r>
        <w:rPr>
          <w:rFonts w:hint="eastAsia" w:ascii="黑体" w:hAnsi="黑体" w:eastAsia="黑体" w:cs="黑体"/>
          <w:sz w:val="19"/>
          <w:szCs w:val="19"/>
        </w:rPr>
        <w:t>关于本项目联合体和分包要求的规定。</w:t>
      </w:r>
    </w:p>
    <w:p w14:paraId="19D1DB04">
      <w:pPr>
        <w:snapToGrid w:val="0"/>
        <w:spacing w:before="87" w:beforeLines="20" w:after="218" w:afterLines="50" w:line="460" w:lineRule="atLeast"/>
        <w:ind w:firstLine="380" w:firstLineChars="200"/>
        <w:jc w:val="left"/>
        <w:rPr>
          <w:rFonts w:hint="eastAsia" w:ascii="黑体" w:hAnsi="黑体" w:eastAsia="黑体" w:cs="黑体"/>
          <w:sz w:val="19"/>
          <w:szCs w:val="19"/>
        </w:rPr>
      </w:pPr>
      <w:r>
        <w:rPr>
          <w:rFonts w:hint="eastAsia" w:ascii="黑体" w:hAnsi="黑体" w:eastAsia="黑体" w:cs="黑体"/>
          <w:sz w:val="19"/>
          <w:szCs w:val="19"/>
        </w:rPr>
        <w:t>8.</w:t>
      </w:r>
      <w:r>
        <w:rPr>
          <w:rFonts w:hint="eastAsia" w:ascii="黑体" w:hAnsi="黑体" w:eastAsia="黑体" w:cs="黑体"/>
          <w:bCs/>
          <w:sz w:val="19"/>
          <w:szCs w:val="19"/>
        </w:rPr>
        <w:t>根据招标文件规定，以上承诺事项如需提供相关证明材料的，以投标文件中提供的证明材料为准。本函发出后，即对我单位产生约束力，我单位保证严格遵守本投标函的各项承诺，并对本次提交的投标文件全部内容的真实性负责。</w:t>
      </w:r>
    </w:p>
    <w:p w14:paraId="252346C1">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与本项目有关的一切正式往来通信请寄：</w:t>
      </w:r>
    </w:p>
    <w:p w14:paraId="221BA18C">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供应商名称（公章）：____________</w:t>
      </w:r>
    </w:p>
    <w:p w14:paraId="4A7BBC7F">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统一社会信用代码：____________</w:t>
      </w:r>
    </w:p>
    <w:p w14:paraId="590D5066">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地址：____________</w:t>
      </w:r>
    </w:p>
    <w:p w14:paraId="40E94DD4">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联系电话：____________</w:t>
      </w:r>
    </w:p>
    <w:p w14:paraId="7CA4FF2A">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法定代表人或授权代表（签字或盖章）：____________</w:t>
      </w:r>
    </w:p>
    <w:p w14:paraId="1EB705B9">
      <w:pPr>
        <w:adjustRightInd w:val="0"/>
        <w:snapToGrid w:val="0"/>
        <w:spacing w:before="4" w:line="460" w:lineRule="exact"/>
        <w:ind w:right="-24" w:rightChars="-10"/>
        <w:rPr>
          <w:rFonts w:hint="eastAsia" w:ascii="黑体" w:hAnsi="黑体" w:eastAsia="黑体" w:cs="黑体"/>
          <w:sz w:val="19"/>
          <w:szCs w:val="19"/>
        </w:rPr>
      </w:pPr>
      <w:r>
        <w:rPr>
          <w:rFonts w:hint="eastAsia" w:ascii="黑体" w:hAnsi="黑体" w:eastAsia="黑体" w:cs="黑体"/>
          <w:sz w:val="19"/>
          <w:szCs w:val="19"/>
        </w:rPr>
        <w:t>日期：______年____月____日</w:t>
      </w:r>
    </w:p>
    <w:p w14:paraId="6649DAAC">
      <w:pPr>
        <w:pStyle w:val="11"/>
        <w:widowControl w:val="0"/>
        <w:spacing w:before="0" w:beforeAutospacing="0" w:after="0" w:afterAutospacing="0" w:line="46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附：</w:t>
      </w:r>
    </w:p>
    <w:p w14:paraId="19C4B8AC">
      <w:pPr>
        <w:pStyle w:val="11"/>
        <w:widowControl w:val="0"/>
        <w:spacing w:before="0" w:beforeAutospacing="0" w:after="0" w:afterAutospacing="0" w:line="460" w:lineRule="exact"/>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1.法定代表人证明书</w:t>
      </w:r>
    </w:p>
    <w:p w14:paraId="34A5B8D2">
      <w:pPr>
        <w:pStyle w:val="11"/>
        <w:widowControl w:val="0"/>
        <w:spacing w:before="0" w:beforeAutospacing="0" w:after="0" w:afterAutospacing="0" w:line="480" w:lineRule="exact"/>
        <w:rPr>
          <w:rFonts w:hint="eastAsia" w:ascii="黑体" w:hAnsi="黑体" w:eastAsia="黑体" w:cs="黑体"/>
          <w:color w:val="auto"/>
          <w:sz w:val="19"/>
          <w:szCs w:val="19"/>
        </w:rPr>
        <w:sectPr>
          <w:footerReference r:id="rId10" w:type="default"/>
          <w:pgSz w:w="11905" w:h="16838"/>
          <w:pgMar w:top="1417" w:right="1247" w:bottom="1474" w:left="1247" w:header="850" w:footer="992" w:gutter="0"/>
          <w:pgNumType w:fmt="numberInDash"/>
          <w:cols w:space="0" w:num="1"/>
          <w:docGrid w:type="lines" w:linePitch="436" w:charSpace="0"/>
        </w:sectPr>
      </w:pPr>
      <w:r>
        <w:rPr>
          <w:rFonts w:hint="eastAsia" w:ascii="黑体" w:hAnsi="黑体" w:eastAsia="黑体" w:cs="黑体"/>
          <w:color w:val="auto"/>
          <w:kern w:val="2"/>
          <w:sz w:val="19"/>
          <w:szCs w:val="19"/>
        </w:rPr>
        <w:t>2.法定代表人授权书（法定代表人本人亲自参加可不提供）</w:t>
      </w:r>
    </w:p>
    <w:p w14:paraId="7DF7D74A">
      <w:pPr>
        <w:pStyle w:val="11"/>
        <w:spacing w:line="360" w:lineRule="exact"/>
        <w:outlineLvl w:val="2"/>
        <w:rPr>
          <w:rFonts w:hint="eastAsia" w:ascii="黑体" w:hAnsi="黑体" w:eastAsia="黑体" w:cs="黑体"/>
          <w:color w:val="auto"/>
          <w:sz w:val="19"/>
          <w:szCs w:val="19"/>
        </w:rPr>
      </w:pPr>
      <w:r>
        <w:rPr>
          <w:rFonts w:hint="eastAsia" w:ascii="黑体" w:hAnsi="黑体" w:eastAsia="黑体" w:cs="黑体"/>
          <w:color w:val="auto"/>
          <w:kern w:val="2"/>
          <w:sz w:val="19"/>
          <w:szCs w:val="19"/>
        </w:rPr>
        <w:t>1.</w:t>
      </w:r>
      <w:r>
        <w:rPr>
          <w:rFonts w:hint="eastAsia" w:ascii="黑体" w:hAnsi="黑体" w:eastAsia="黑体" w:cs="黑体"/>
          <w:color w:val="auto"/>
          <w:sz w:val="19"/>
          <w:szCs w:val="19"/>
        </w:rPr>
        <w:t>法定代表人证明书</w:t>
      </w:r>
    </w:p>
    <w:p w14:paraId="6044A6DC">
      <w:pPr>
        <w:tabs>
          <w:tab w:val="left" w:pos="210"/>
        </w:tabs>
        <w:spacing w:line="320" w:lineRule="exact"/>
        <w:jc w:val="center"/>
        <w:rPr>
          <w:rFonts w:hint="eastAsia" w:ascii="黑体" w:hAnsi="黑体" w:eastAsia="黑体" w:cs="黑体"/>
          <w:b/>
          <w:sz w:val="28"/>
          <w:szCs w:val="28"/>
        </w:rPr>
      </w:pPr>
      <w:r>
        <w:rPr>
          <w:rFonts w:hint="eastAsia" w:ascii="黑体" w:hAnsi="黑体" w:eastAsia="黑体" w:cs="黑体"/>
          <w:b/>
          <w:sz w:val="28"/>
          <w:szCs w:val="28"/>
        </w:rPr>
        <w:t>法定代表人证明书</w:t>
      </w:r>
    </w:p>
    <w:tbl>
      <w:tblPr>
        <w:tblStyle w:val="20"/>
        <w:tblpPr w:leftFromText="180" w:rightFromText="180" w:vertAnchor="text" w:horzAnchor="page" w:tblpX="1492" w:tblpY="305"/>
        <w:tblOverlap w:val="never"/>
        <w:tblW w:w="48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1842"/>
        <w:gridCol w:w="1558"/>
        <w:gridCol w:w="2101"/>
        <w:gridCol w:w="1995"/>
      </w:tblGrid>
      <w:tr w14:paraId="6BD5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86" w:type="dxa"/>
            <w:vMerge w:val="restart"/>
            <w:vAlign w:val="center"/>
          </w:tcPr>
          <w:p w14:paraId="43877C81">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单位基本信息</w:t>
            </w:r>
          </w:p>
        </w:tc>
        <w:tc>
          <w:tcPr>
            <w:tcW w:w="986" w:type="dxa"/>
            <w:vAlign w:val="center"/>
          </w:tcPr>
          <w:p w14:paraId="27ABD134">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单位名称</w:t>
            </w:r>
          </w:p>
        </w:tc>
        <w:tc>
          <w:tcPr>
            <w:tcW w:w="3027" w:type="dxa"/>
            <w:gridSpan w:val="3"/>
            <w:vAlign w:val="center"/>
          </w:tcPr>
          <w:p w14:paraId="5154B389">
            <w:pPr>
              <w:tabs>
                <w:tab w:val="left" w:pos="210"/>
              </w:tabs>
              <w:spacing w:line="320" w:lineRule="exact"/>
              <w:jc w:val="center"/>
              <w:rPr>
                <w:rFonts w:hint="eastAsia" w:ascii="黑体" w:hAnsi="黑体" w:eastAsia="黑体" w:cs="黑体"/>
                <w:kern w:val="0"/>
                <w:sz w:val="19"/>
                <w:szCs w:val="19"/>
              </w:rPr>
            </w:pPr>
          </w:p>
        </w:tc>
      </w:tr>
      <w:tr w14:paraId="3929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86" w:type="dxa"/>
            <w:vMerge w:val="continue"/>
            <w:vAlign w:val="center"/>
          </w:tcPr>
          <w:p w14:paraId="221A7128">
            <w:pPr>
              <w:tabs>
                <w:tab w:val="left" w:pos="210"/>
              </w:tabs>
              <w:spacing w:line="320" w:lineRule="exact"/>
              <w:jc w:val="center"/>
              <w:rPr>
                <w:rFonts w:hint="eastAsia" w:ascii="黑体" w:hAnsi="黑体" w:eastAsia="黑体" w:cs="黑体"/>
                <w:kern w:val="0"/>
                <w:sz w:val="19"/>
                <w:szCs w:val="19"/>
              </w:rPr>
            </w:pPr>
          </w:p>
        </w:tc>
        <w:tc>
          <w:tcPr>
            <w:tcW w:w="986" w:type="dxa"/>
            <w:vAlign w:val="center"/>
          </w:tcPr>
          <w:p w14:paraId="68B4D519">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法定地址</w:t>
            </w:r>
          </w:p>
        </w:tc>
        <w:tc>
          <w:tcPr>
            <w:tcW w:w="3027" w:type="dxa"/>
            <w:gridSpan w:val="3"/>
            <w:vAlign w:val="center"/>
          </w:tcPr>
          <w:p w14:paraId="3D6219D8">
            <w:pPr>
              <w:tabs>
                <w:tab w:val="left" w:pos="210"/>
              </w:tabs>
              <w:spacing w:line="320" w:lineRule="exact"/>
              <w:jc w:val="center"/>
              <w:rPr>
                <w:rFonts w:hint="eastAsia" w:ascii="黑体" w:hAnsi="黑体" w:eastAsia="黑体" w:cs="黑体"/>
                <w:kern w:val="0"/>
                <w:sz w:val="19"/>
                <w:szCs w:val="19"/>
              </w:rPr>
            </w:pPr>
          </w:p>
        </w:tc>
      </w:tr>
      <w:tr w14:paraId="4529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86" w:type="dxa"/>
            <w:vMerge w:val="continue"/>
            <w:vAlign w:val="center"/>
          </w:tcPr>
          <w:p w14:paraId="4FA57C61">
            <w:pPr>
              <w:tabs>
                <w:tab w:val="left" w:pos="210"/>
              </w:tabs>
              <w:spacing w:line="320" w:lineRule="exact"/>
              <w:jc w:val="center"/>
              <w:rPr>
                <w:rFonts w:hint="eastAsia" w:ascii="黑体" w:hAnsi="黑体" w:eastAsia="黑体" w:cs="黑体"/>
                <w:kern w:val="0"/>
                <w:sz w:val="19"/>
                <w:szCs w:val="19"/>
              </w:rPr>
            </w:pPr>
          </w:p>
        </w:tc>
        <w:tc>
          <w:tcPr>
            <w:tcW w:w="986" w:type="dxa"/>
            <w:vAlign w:val="center"/>
          </w:tcPr>
          <w:p w14:paraId="69AE9D6B">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统一社会信用代码</w:t>
            </w:r>
          </w:p>
        </w:tc>
        <w:tc>
          <w:tcPr>
            <w:tcW w:w="3027" w:type="dxa"/>
            <w:gridSpan w:val="3"/>
            <w:vAlign w:val="center"/>
          </w:tcPr>
          <w:p w14:paraId="26A91860">
            <w:pPr>
              <w:tabs>
                <w:tab w:val="left" w:pos="210"/>
              </w:tabs>
              <w:spacing w:line="320" w:lineRule="exact"/>
              <w:jc w:val="center"/>
              <w:rPr>
                <w:rFonts w:hint="eastAsia" w:ascii="黑体" w:hAnsi="黑体" w:eastAsia="黑体" w:cs="黑体"/>
                <w:kern w:val="0"/>
                <w:sz w:val="19"/>
                <w:szCs w:val="19"/>
              </w:rPr>
            </w:pPr>
          </w:p>
        </w:tc>
      </w:tr>
      <w:tr w14:paraId="6E6A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86" w:type="dxa"/>
            <w:vMerge w:val="restart"/>
            <w:vAlign w:val="center"/>
          </w:tcPr>
          <w:p w14:paraId="05FCC873">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法定代表人</w:t>
            </w:r>
          </w:p>
        </w:tc>
        <w:tc>
          <w:tcPr>
            <w:tcW w:w="986" w:type="dxa"/>
            <w:vAlign w:val="center"/>
          </w:tcPr>
          <w:p w14:paraId="3D728F77">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姓名</w:t>
            </w:r>
          </w:p>
        </w:tc>
        <w:tc>
          <w:tcPr>
            <w:tcW w:w="834" w:type="dxa"/>
            <w:vAlign w:val="center"/>
          </w:tcPr>
          <w:p w14:paraId="66E6B661">
            <w:pPr>
              <w:tabs>
                <w:tab w:val="left" w:pos="210"/>
              </w:tabs>
              <w:spacing w:line="320" w:lineRule="exact"/>
              <w:jc w:val="center"/>
              <w:rPr>
                <w:rFonts w:hint="eastAsia" w:ascii="黑体" w:hAnsi="黑体" w:eastAsia="黑体" w:cs="黑体"/>
                <w:kern w:val="0"/>
                <w:sz w:val="19"/>
                <w:szCs w:val="19"/>
              </w:rPr>
            </w:pPr>
          </w:p>
        </w:tc>
        <w:tc>
          <w:tcPr>
            <w:tcW w:w="1125" w:type="dxa"/>
            <w:vAlign w:val="center"/>
          </w:tcPr>
          <w:p w14:paraId="054C40FD">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性别</w:t>
            </w:r>
          </w:p>
        </w:tc>
        <w:tc>
          <w:tcPr>
            <w:tcW w:w="1067" w:type="dxa"/>
            <w:vAlign w:val="center"/>
          </w:tcPr>
          <w:p w14:paraId="7B54D22A">
            <w:pPr>
              <w:tabs>
                <w:tab w:val="left" w:pos="210"/>
              </w:tabs>
              <w:spacing w:line="320" w:lineRule="exact"/>
              <w:jc w:val="center"/>
              <w:rPr>
                <w:rFonts w:hint="eastAsia" w:ascii="黑体" w:hAnsi="黑体" w:eastAsia="黑体" w:cs="黑体"/>
                <w:kern w:val="0"/>
                <w:sz w:val="19"/>
                <w:szCs w:val="19"/>
              </w:rPr>
            </w:pPr>
          </w:p>
        </w:tc>
      </w:tr>
      <w:tr w14:paraId="649E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86" w:type="dxa"/>
            <w:vMerge w:val="continue"/>
            <w:vAlign w:val="center"/>
          </w:tcPr>
          <w:p w14:paraId="33D7AEDB">
            <w:pPr>
              <w:tabs>
                <w:tab w:val="left" w:pos="210"/>
              </w:tabs>
              <w:spacing w:line="320" w:lineRule="exact"/>
              <w:jc w:val="center"/>
              <w:rPr>
                <w:rFonts w:hint="eastAsia" w:ascii="黑体" w:hAnsi="黑体" w:eastAsia="黑体" w:cs="黑体"/>
                <w:kern w:val="0"/>
                <w:sz w:val="19"/>
                <w:szCs w:val="19"/>
              </w:rPr>
            </w:pPr>
          </w:p>
        </w:tc>
        <w:tc>
          <w:tcPr>
            <w:tcW w:w="986" w:type="dxa"/>
            <w:vAlign w:val="center"/>
          </w:tcPr>
          <w:p w14:paraId="699AC273">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职务</w:t>
            </w:r>
          </w:p>
        </w:tc>
        <w:tc>
          <w:tcPr>
            <w:tcW w:w="834" w:type="dxa"/>
            <w:vAlign w:val="center"/>
          </w:tcPr>
          <w:p w14:paraId="2D8A0DF9">
            <w:pPr>
              <w:tabs>
                <w:tab w:val="left" w:pos="210"/>
              </w:tabs>
              <w:spacing w:line="320" w:lineRule="exact"/>
              <w:jc w:val="center"/>
              <w:rPr>
                <w:rFonts w:hint="eastAsia" w:ascii="黑体" w:hAnsi="黑体" w:eastAsia="黑体" w:cs="黑体"/>
                <w:kern w:val="0"/>
                <w:sz w:val="19"/>
                <w:szCs w:val="19"/>
              </w:rPr>
            </w:pPr>
          </w:p>
        </w:tc>
        <w:tc>
          <w:tcPr>
            <w:tcW w:w="1125" w:type="dxa"/>
            <w:vAlign w:val="center"/>
          </w:tcPr>
          <w:p w14:paraId="5DA14C78">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联系电话</w:t>
            </w:r>
          </w:p>
        </w:tc>
        <w:tc>
          <w:tcPr>
            <w:tcW w:w="1067" w:type="dxa"/>
            <w:vAlign w:val="center"/>
          </w:tcPr>
          <w:p w14:paraId="0A5305C9">
            <w:pPr>
              <w:tabs>
                <w:tab w:val="left" w:pos="210"/>
              </w:tabs>
              <w:spacing w:line="320" w:lineRule="exact"/>
              <w:jc w:val="center"/>
              <w:rPr>
                <w:rFonts w:hint="eastAsia" w:ascii="黑体" w:hAnsi="黑体" w:eastAsia="黑体" w:cs="黑体"/>
                <w:kern w:val="0"/>
                <w:sz w:val="19"/>
                <w:szCs w:val="19"/>
              </w:rPr>
            </w:pPr>
          </w:p>
        </w:tc>
      </w:tr>
      <w:tr w14:paraId="2A91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986" w:type="dxa"/>
            <w:vMerge w:val="restart"/>
            <w:vAlign w:val="center"/>
          </w:tcPr>
          <w:p w14:paraId="52411A6A">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法定代表人身份证</w:t>
            </w:r>
          </w:p>
        </w:tc>
        <w:tc>
          <w:tcPr>
            <w:tcW w:w="1820" w:type="dxa"/>
            <w:gridSpan w:val="2"/>
            <w:vMerge w:val="restart"/>
            <w:vAlign w:val="center"/>
          </w:tcPr>
          <w:p w14:paraId="54AC072E">
            <w:pPr>
              <w:tabs>
                <w:tab w:val="left" w:pos="210"/>
              </w:tabs>
              <w:spacing w:line="320" w:lineRule="exact"/>
              <w:jc w:val="center"/>
              <w:rPr>
                <w:rFonts w:hint="eastAsia" w:ascii="黑体" w:hAnsi="黑体" w:eastAsia="黑体" w:cs="黑体"/>
                <w:kern w:val="0"/>
                <w:sz w:val="19"/>
                <w:szCs w:val="19"/>
              </w:rPr>
            </w:pPr>
          </w:p>
        </w:tc>
        <w:tc>
          <w:tcPr>
            <w:tcW w:w="2192" w:type="dxa"/>
            <w:gridSpan w:val="2"/>
            <w:vAlign w:val="center"/>
          </w:tcPr>
          <w:p w14:paraId="65BD1058">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法定代表人（签字或盖章）</w:t>
            </w:r>
          </w:p>
        </w:tc>
      </w:tr>
      <w:tr w14:paraId="0CAF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986" w:type="dxa"/>
            <w:vMerge w:val="continue"/>
            <w:vAlign w:val="center"/>
          </w:tcPr>
          <w:p w14:paraId="61350111">
            <w:pPr>
              <w:tabs>
                <w:tab w:val="left" w:pos="210"/>
              </w:tabs>
              <w:spacing w:line="320" w:lineRule="exact"/>
              <w:jc w:val="center"/>
              <w:rPr>
                <w:rFonts w:hint="eastAsia" w:ascii="黑体" w:hAnsi="黑体" w:eastAsia="黑体" w:cs="黑体"/>
                <w:kern w:val="0"/>
                <w:sz w:val="19"/>
                <w:szCs w:val="19"/>
              </w:rPr>
            </w:pPr>
          </w:p>
        </w:tc>
        <w:tc>
          <w:tcPr>
            <w:tcW w:w="1820" w:type="dxa"/>
            <w:gridSpan w:val="2"/>
            <w:vMerge w:val="continue"/>
            <w:vAlign w:val="center"/>
          </w:tcPr>
          <w:p w14:paraId="01482BA9">
            <w:pPr>
              <w:tabs>
                <w:tab w:val="left" w:pos="210"/>
              </w:tabs>
              <w:spacing w:line="320" w:lineRule="exact"/>
              <w:jc w:val="center"/>
              <w:rPr>
                <w:rFonts w:hint="eastAsia" w:ascii="黑体" w:hAnsi="黑体" w:eastAsia="黑体" w:cs="黑体"/>
                <w:kern w:val="0"/>
                <w:sz w:val="19"/>
                <w:szCs w:val="19"/>
              </w:rPr>
            </w:pPr>
          </w:p>
        </w:tc>
        <w:tc>
          <w:tcPr>
            <w:tcW w:w="2192" w:type="dxa"/>
            <w:gridSpan w:val="2"/>
            <w:vAlign w:val="bottom"/>
          </w:tcPr>
          <w:p w14:paraId="09E5A143">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（单位公章）</w:t>
            </w:r>
          </w:p>
          <w:p w14:paraId="663EBBF8">
            <w:pPr>
              <w:tabs>
                <w:tab w:val="left" w:pos="210"/>
              </w:tabs>
              <w:spacing w:line="320" w:lineRule="exact"/>
              <w:jc w:val="center"/>
              <w:rPr>
                <w:rFonts w:hint="eastAsia" w:ascii="黑体" w:hAnsi="黑体" w:eastAsia="黑体" w:cs="黑体"/>
                <w:kern w:val="0"/>
                <w:sz w:val="19"/>
                <w:szCs w:val="19"/>
              </w:rPr>
            </w:pPr>
          </w:p>
          <w:p w14:paraId="390433B6">
            <w:pPr>
              <w:tabs>
                <w:tab w:val="left" w:pos="210"/>
              </w:tabs>
              <w:spacing w:line="320" w:lineRule="exact"/>
              <w:jc w:val="center"/>
              <w:rPr>
                <w:rFonts w:hint="eastAsia" w:ascii="黑体" w:hAnsi="黑体" w:eastAsia="黑体" w:cs="黑体"/>
                <w:kern w:val="0"/>
                <w:sz w:val="19"/>
                <w:szCs w:val="19"/>
              </w:rPr>
            </w:pPr>
          </w:p>
          <w:p w14:paraId="2F9F4986">
            <w:pPr>
              <w:tabs>
                <w:tab w:val="left" w:pos="210"/>
              </w:tabs>
              <w:spacing w:line="320" w:lineRule="exact"/>
              <w:jc w:val="center"/>
              <w:rPr>
                <w:rFonts w:hint="eastAsia" w:ascii="黑体" w:hAnsi="黑体" w:eastAsia="黑体" w:cs="黑体"/>
                <w:kern w:val="0"/>
                <w:sz w:val="19"/>
                <w:szCs w:val="19"/>
              </w:rPr>
            </w:pPr>
          </w:p>
          <w:p w14:paraId="0A75C20B">
            <w:pPr>
              <w:tabs>
                <w:tab w:val="left" w:pos="210"/>
              </w:tabs>
              <w:spacing w:line="32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 xml:space="preserve">         年      月      日 </w:t>
            </w:r>
          </w:p>
        </w:tc>
      </w:tr>
    </w:tbl>
    <w:p w14:paraId="4E98BF4A">
      <w:pPr>
        <w:tabs>
          <w:tab w:val="left" w:pos="210"/>
        </w:tabs>
        <w:spacing w:line="320" w:lineRule="exact"/>
        <w:jc w:val="center"/>
        <w:rPr>
          <w:rFonts w:hint="eastAsia" w:ascii="黑体" w:hAnsi="黑体" w:eastAsia="黑体" w:cs="黑体"/>
          <w:b/>
          <w:kern w:val="0"/>
          <w:sz w:val="19"/>
          <w:szCs w:val="19"/>
        </w:rPr>
      </w:pPr>
    </w:p>
    <w:p w14:paraId="67DEA548">
      <w:pPr>
        <w:rPr>
          <w:rFonts w:hint="eastAsia" w:ascii="宋体" w:hAnsi="宋体" w:eastAsia="宋体" w:cs="宋体"/>
          <w:b/>
          <w:bCs/>
          <w:kern w:val="0"/>
          <w:sz w:val="19"/>
          <w:szCs w:val="19"/>
        </w:rPr>
      </w:pPr>
    </w:p>
    <w:p w14:paraId="46F6DE68">
      <w:pPr>
        <w:rPr>
          <w:rFonts w:hint="eastAsia" w:ascii="宋体" w:hAnsi="宋体" w:eastAsia="宋体" w:cs="宋体"/>
          <w:sz w:val="19"/>
          <w:szCs w:val="19"/>
        </w:rPr>
        <w:sectPr>
          <w:pgSz w:w="11905" w:h="16838"/>
          <w:pgMar w:top="1417" w:right="1247" w:bottom="1474" w:left="1247" w:header="850" w:footer="992" w:gutter="0"/>
          <w:pgNumType w:fmt="numberInDash"/>
          <w:cols w:space="0" w:num="1"/>
          <w:docGrid w:type="lines" w:linePitch="436" w:charSpace="0"/>
        </w:sectPr>
      </w:pPr>
    </w:p>
    <w:p w14:paraId="28171B58">
      <w:pPr>
        <w:pStyle w:val="11"/>
        <w:spacing w:after="436" w:afterLines="100" w:afterAutospacing="0"/>
        <w:jc w:val="both"/>
        <w:outlineLvl w:val="2"/>
        <w:rPr>
          <w:rFonts w:hint="eastAsia" w:ascii="黑体" w:hAnsi="黑体" w:eastAsia="黑体" w:cs="黑体"/>
          <w:sz w:val="19"/>
          <w:szCs w:val="19"/>
        </w:rPr>
      </w:pPr>
      <w:r>
        <w:rPr>
          <w:rFonts w:hint="eastAsia" w:ascii="黑体" w:hAnsi="黑体" w:eastAsia="黑体" w:cs="黑体"/>
          <w:color w:val="auto"/>
          <w:kern w:val="2"/>
          <w:sz w:val="19"/>
          <w:szCs w:val="19"/>
        </w:rPr>
        <w:t>2.</w:t>
      </w:r>
      <w:r>
        <w:rPr>
          <w:rFonts w:hint="eastAsia" w:ascii="黑体" w:hAnsi="黑体" w:eastAsia="黑体" w:cs="黑体"/>
          <w:color w:val="auto"/>
          <w:sz w:val="19"/>
          <w:szCs w:val="19"/>
        </w:rPr>
        <w:t>法定代表人授权委托书（</w:t>
      </w:r>
      <w:r>
        <w:rPr>
          <w:rFonts w:hint="eastAsia" w:ascii="黑体" w:hAnsi="黑体" w:eastAsia="黑体" w:cs="黑体"/>
          <w:color w:val="auto"/>
          <w:kern w:val="2"/>
          <w:sz w:val="19"/>
          <w:szCs w:val="19"/>
        </w:rPr>
        <w:t>法定代表人本人亲自参加可不提供，删除本页</w:t>
      </w:r>
      <w:r>
        <w:rPr>
          <w:rFonts w:hint="eastAsia" w:ascii="黑体" w:hAnsi="黑体" w:eastAsia="黑体" w:cs="黑体"/>
          <w:color w:val="auto"/>
          <w:sz w:val="19"/>
          <w:szCs w:val="19"/>
        </w:rPr>
        <w:t>）</w:t>
      </w:r>
    </w:p>
    <w:p w14:paraId="62581D03">
      <w:pPr>
        <w:tabs>
          <w:tab w:val="left" w:pos="210"/>
        </w:tabs>
        <w:spacing w:after="436" w:afterLines="100" w:line="320" w:lineRule="exact"/>
        <w:jc w:val="center"/>
        <w:rPr>
          <w:rFonts w:hint="eastAsia" w:ascii="黑体" w:hAnsi="黑体" w:eastAsia="黑体" w:cs="黑体"/>
          <w:sz w:val="28"/>
          <w:szCs w:val="28"/>
        </w:rPr>
      </w:pPr>
      <w:r>
        <w:rPr>
          <w:rFonts w:hint="eastAsia" w:ascii="黑体" w:hAnsi="黑体" w:eastAsia="黑体" w:cs="黑体"/>
          <w:b/>
          <w:sz w:val="28"/>
          <w:szCs w:val="28"/>
        </w:rPr>
        <w:t>法定代表人授权委托书</w:t>
      </w:r>
    </w:p>
    <w:p w14:paraId="7BFF9FFF">
      <w:pPr>
        <w:spacing w:before="87" w:beforeLines="20" w:line="480" w:lineRule="exact"/>
        <w:ind w:firstLine="380" w:firstLineChars="200"/>
        <w:rPr>
          <w:rFonts w:hint="eastAsia" w:ascii="黑体" w:hAnsi="黑体" w:eastAsia="黑体" w:cs="黑体"/>
          <w:sz w:val="19"/>
          <w:szCs w:val="19"/>
          <w:u w:val="single"/>
        </w:rPr>
      </w:pPr>
      <w:r>
        <w:rPr>
          <w:rFonts w:hint="eastAsia" w:ascii="黑体" w:hAnsi="黑体" w:eastAsia="黑体" w:cs="黑体"/>
          <w:sz w:val="19"/>
          <w:szCs w:val="19"/>
        </w:rPr>
        <w:t>单位名称：</w:t>
      </w:r>
      <w:r>
        <w:rPr>
          <w:rFonts w:hint="eastAsia" w:ascii="黑体" w:hAnsi="黑体" w:eastAsia="黑体" w:cs="黑体"/>
          <w:sz w:val="19"/>
          <w:szCs w:val="19"/>
          <w:u w:val="single"/>
        </w:rPr>
        <w:t xml:space="preserve">                    </w:t>
      </w:r>
      <w:r>
        <w:rPr>
          <w:rFonts w:hint="eastAsia" w:ascii="黑体" w:hAnsi="黑体" w:eastAsia="黑体" w:cs="黑体"/>
          <w:sz w:val="19"/>
          <w:szCs w:val="19"/>
        </w:rPr>
        <w:t xml:space="preserve">                      </w:t>
      </w:r>
    </w:p>
    <w:p w14:paraId="50A92764">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法定代表人姓名：</w:t>
      </w:r>
      <w:r>
        <w:rPr>
          <w:rFonts w:hint="eastAsia" w:ascii="黑体" w:hAnsi="黑体" w:eastAsia="黑体" w:cs="黑体"/>
          <w:sz w:val="19"/>
          <w:szCs w:val="19"/>
          <w:u w:val="single"/>
        </w:rPr>
        <w:t xml:space="preserve">                 </w:t>
      </w:r>
      <w:r>
        <w:rPr>
          <w:rFonts w:hint="eastAsia" w:ascii="黑体" w:hAnsi="黑体" w:eastAsia="黑体" w:cs="黑体"/>
          <w:sz w:val="19"/>
          <w:szCs w:val="19"/>
        </w:rPr>
        <w:t xml:space="preserve">              身份证号码：</w:t>
      </w:r>
      <w:r>
        <w:rPr>
          <w:rFonts w:hint="eastAsia" w:ascii="黑体" w:hAnsi="黑体" w:eastAsia="黑体" w:cs="黑体"/>
          <w:sz w:val="19"/>
          <w:szCs w:val="19"/>
          <w:u w:val="single"/>
        </w:rPr>
        <w:t xml:space="preserve">                 </w:t>
      </w:r>
      <w:r>
        <w:rPr>
          <w:rFonts w:hint="eastAsia" w:ascii="黑体" w:hAnsi="黑体" w:eastAsia="黑体" w:cs="黑体"/>
          <w:sz w:val="19"/>
          <w:szCs w:val="19"/>
        </w:rPr>
        <w:t xml:space="preserve">   </w:t>
      </w:r>
    </w:p>
    <w:p w14:paraId="31A1B314">
      <w:pPr>
        <w:spacing w:before="87" w:beforeLines="20" w:line="480" w:lineRule="exact"/>
        <w:ind w:firstLine="380" w:firstLineChars="200"/>
        <w:rPr>
          <w:rFonts w:hint="eastAsia" w:ascii="黑体" w:hAnsi="黑体" w:eastAsia="黑体" w:cs="黑体"/>
          <w:sz w:val="19"/>
          <w:szCs w:val="19"/>
          <w:u w:val="single"/>
        </w:rPr>
      </w:pPr>
      <w:r>
        <w:rPr>
          <w:rFonts w:hint="eastAsia" w:ascii="黑体" w:hAnsi="黑体" w:eastAsia="黑体" w:cs="黑体"/>
          <w:sz w:val="19"/>
          <w:szCs w:val="19"/>
        </w:rPr>
        <w:t>授权代表姓名：</w:t>
      </w:r>
      <w:r>
        <w:rPr>
          <w:rFonts w:hint="eastAsia" w:ascii="黑体" w:hAnsi="黑体" w:eastAsia="黑体" w:cs="黑体"/>
          <w:sz w:val="19"/>
          <w:szCs w:val="19"/>
          <w:u w:val="single"/>
        </w:rPr>
        <w:t xml:space="preserve">                   </w:t>
      </w:r>
      <w:r>
        <w:rPr>
          <w:rFonts w:hint="eastAsia" w:ascii="黑体" w:hAnsi="黑体" w:eastAsia="黑体" w:cs="黑体"/>
          <w:sz w:val="19"/>
          <w:szCs w:val="19"/>
        </w:rPr>
        <w:t xml:space="preserve">              身份证号码：</w:t>
      </w:r>
      <w:r>
        <w:rPr>
          <w:rFonts w:hint="eastAsia" w:ascii="黑体" w:hAnsi="黑体" w:eastAsia="黑体" w:cs="黑体"/>
          <w:sz w:val="19"/>
          <w:szCs w:val="19"/>
          <w:u w:val="single"/>
        </w:rPr>
        <w:t xml:space="preserve">                 </w:t>
      </w:r>
      <w:r>
        <w:rPr>
          <w:rFonts w:hint="eastAsia" w:ascii="黑体" w:hAnsi="黑体" w:eastAsia="黑体" w:cs="黑体"/>
          <w:sz w:val="19"/>
          <w:szCs w:val="19"/>
        </w:rPr>
        <w:t xml:space="preserve"> </w:t>
      </w:r>
    </w:p>
    <w:p w14:paraId="78A0F773">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现委托</w:t>
      </w:r>
      <w:r>
        <w:rPr>
          <w:rFonts w:hint="eastAsia" w:ascii="黑体" w:hAnsi="黑体" w:eastAsia="黑体" w:cs="黑体"/>
          <w:sz w:val="19"/>
          <w:szCs w:val="19"/>
          <w:u w:val="single"/>
        </w:rPr>
        <w:t xml:space="preserve">           </w:t>
      </w:r>
      <w:r>
        <w:rPr>
          <w:rFonts w:hint="eastAsia" w:ascii="黑体" w:hAnsi="黑体" w:eastAsia="黑体" w:cs="黑体"/>
          <w:sz w:val="19"/>
          <w:szCs w:val="19"/>
        </w:rPr>
        <w:t>就</w:t>
      </w:r>
      <w:r>
        <w:rPr>
          <w:rFonts w:hint="eastAsia" w:ascii="黑体" w:hAnsi="黑体" w:eastAsia="黑体" w:cs="黑体"/>
          <w:sz w:val="19"/>
          <w:szCs w:val="19"/>
          <w:u w:val="single"/>
        </w:rPr>
        <w:t>（项目名称、项目编号、标包号：/）</w:t>
      </w:r>
      <w:r>
        <w:rPr>
          <w:rFonts w:hint="eastAsia" w:ascii="黑体" w:hAnsi="黑体" w:eastAsia="黑体" w:cs="黑体"/>
          <w:sz w:val="19"/>
          <w:szCs w:val="19"/>
        </w:rPr>
        <w:t>政府采购活动，以我单位名义处理一切与之有关的事务。</w:t>
      </w:r>
    </w:p>
    <w:p w14:paraId="1C14B56D">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本授权书自盖章之日起生效</w:t>
      </w:r>
      <w:r>
        <w:rPr>
          <w:rFonts w:hint="eastAsia" w:ascii="黑体" w:hAnsi="黑体" w:eastAsia="黑体" w:cs="黑体"/>
          <w:b/>
          <w:sz w:val="19"/>
          <w:szCs w:val="19"/>
        </w:rPr>
        <w:t>，无转委托，</w:t>
      </w:r>
      <w:r>
        <w:rPr>
          <w:rFonts w:hint="eastAsia" w:ascii="黑体" w:hAnsi="黑体" w:eastAsia="黑体" w:cs="黑体"/>
          <w:sz w:val="19"/>
          <w:szCs w:val="19"/>
        </w:rPr>
        <w:t>特此声明。</w:t>
      </w:r>
    </w:p>
    <w:p w14:paraId="21EA4110">
      <w:pPr>
        <w:rPr>
          <w:rFonts w:hint="eastAsia" w:ascii="黑体" w:hAnsi="黑体" w:eastAsia="黑体" w:cs="黑体"/>
          <w:sz w:val="19"/>
          <w:szCs w:val="19"/>
        </w:rPr>
      </w:pPr>
    </w:p>
    <w:tbl>
      <w:tblPr>
        <w:tblStyle w:val="20"/>
        <w:tblW w:w="8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1"/>
        <w:gridCol w:w="4505"/>
      </w:tblGrid>
      <w:tr w14:paraId="3CD9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4401" w:type="dxa"/>
            <w:vAlign w:val="center"/>
          </w:tcPr>
          <w:p w14:paraId="79EDC0FC">
            <w:pPr>
              <w:pStyle w:val="11"/>
              <w:spacing w:line="500" w:lineRule="exact"/>
              <w:jc w:val="center"/>
              <w:rPr>
                <w:rFonts w:hint="eastAsia" w:ascii="黑体" w:hAnsi="黑体" w:eastAsia="黑体" w:cs="黑体"/>
                <w:color w:val="auto"/>
                <w:sz w:val="19"/>
                <w:szCs w:val="19"/>
                <w:shd w:val="pct10" w:color="auto" w:fill="FFFFFF"/>
              </w:rPr>
            </w:pPr>
            <w:r>
              <w:rPr>
                <w:rFonts w:hint="eastAsia" w:ascii="黑体" w:hAnsi="黑体" w:eastAsia="黑体" w:cs="黑体"/>
                <w:color w:val="auto"/>
                <w:kern w:val="2"/>
                <w:sz w:val="19"/>
                <w:szCs w:val="19"/>
              </w:rPr>
              <w:t>法定代表人身份证（正反面）</w:t>
            </w:r>
          </w:p>
        </w:tc>
        <w:tc>
          <w:tcPr>
            <w:tcW w:w="4505" w:type="dxa"/>
            <w:vAlign w:val="center"/>
          </w:tcPr>
          <w:p w14:paraId="306ED9FE">
            <w:pPr>
              <w:pStyle w:val="11"/>
              <w:spacing w:line="500" w:lineRule="exact"/>
              <w:jc w:val="center"/>
              <w:rPr>
                <w:rFonts w:hint="eastAsia" w:ascii="黑体" w:hAnsi="黑体" w:eastAsia="黑体" w:cs="黑体"/>
                <w:color w:val="auto"/>
                <w:sz w:val="19"/>
                <w:szCs w:val="19"/>
                <w:shd w:val="pct10" w:color="auto" w:fill="FFFFFF"/>
              </w:rPr>
            </w:pPr>
            <w:r>
              <w:rPr>
                <w:rFonts w:hint="eastAsia" w:ascii="黑体" w:hAnsi="黑体" w:eastAsia="黑体" w:cs="黑体"/>
                <w:color w:val="auto"/>
                <w:kern w:val="2"/>
                <w:sz w:val="19"/>
                <w:szCs w:val="19"/>
              </w:rPr>
              <w:t>授权代表身份证（正反面）</w:t>
            </w:r>
          </w:p>
        </w:tc>
      </w:tr>
      <w:tr w14:paraId="7B65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9" w:hRule="atLeast"/>
          <w:jc w:val="center"/>
        </w:trPr>
        <w:tc>
          <w:tcPr>
            <w:tcW w:w="4401" w:type="dxa"/>
            <w:vAlign w:val="center"/>
          </w:tcPr>
          <w:p w14:paraId="3EE4EEAA">
            <w:pPr>
              <w:pStyle w:val="11"/>
              <w:spacing w:line="500" w:lineRule="exact"/>
              <w:jc w:val="center"/>
              <w:rPr>
                <w:rFonts w:hint="eastAsia" w:ascii="黑体" w:hAnsi="黑体" w:eastAsia="黑体" w:cs="黑体"/>
                <w:color w:val="auto"/>
                <w:kern w:val="2"/>
                <w:sz w:val="19"/>
                <w:szCs w:val="19"/>
              </w:rPr>
            </w:pPr>
          </w:p>
        </w:tc>
        <w:tc>
          <w:tcPr>
            <w:tcW w:w="4505" w:type="dxa"/>
            <w:vAlign w:val="center"/>
          </w:tcPr>
          <w:p w14:paraId="1D70E44A">
            <w:pPr>
              <w:pStyle w:val="11"/>
              <w:spacing w:line="500" w:lineRule="exact"/>
              <w:jc w:val="center"/>
              <w:rPr>
                <w:rFonts w:hint="eastAsia" w:ascii="黑体" w:hAnsi="黑体" w:eastAsia="黑体" w:cs="黑体"/>
                <w:color w:val="auto"/>
                <w:kern w:val="2"/>
                <w:sz w:val="19"/>
                <w:szCs w:val="19"/>
              </w:rPr>
            </w:pPr>
          </w:p>
        </w:tc>
      </w:tr>
      <w:tr w14:paraId="4C38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jc w:val="center"/>
        </w:trPr>
        <w:tc>
          <w:tcPr>
            <w:tcW w:w="4401" w:type="dxa"/>
            <w:vAlign w:val="center"/>
          </w:tcPr>
          <w:p w14:paraId="45932B61">
            <w:pPr>
              <w:pStyle w:val="11"/>
              <w:spacing w:line="500" w:lineRule="exact"/>
              <w:jc w:val="center"/>
              <w:rPr>
                <w:rFonts w:hint="eastAsia" w:ascii="黑体" w:hAnsi="黑体" w:eastAsia="黑体" w:cs="黑体"/>
                <w:color w:val="auto"/>
                <w:kern w:val="2"/>
                <w:sz w:val="19"/>
                <w:szCs w:val="19"/>
              </w:rPr>
            </w:pPr>
          </w:p>
        </w:tc>
        <w:tc>
          <w:tcPr>
            <w:tcW w:w="4505" w:type="dxa"/>
            <w:vAlign w:val="center"/>
          </w:tcPr>
          <w:p w14:paraId="39B36E8F">
            <w:pPr>
              <w:pStyle w:val="11"/>
              <w:spacing w:line="500" w:lineRule="exact"/>
              <w:jc w:val="center"/>
              <w:rPr>
                <w:rFonts w:hint="eastAsia" w:ascii="黑体" w:hAnsi="黑体" w:eastAsia="黑体" w:cs="黑体"/>
                <w:color w:val="auto"/>
                <w:kern w:val="2"/>
                <w:sz w:val="19"/>
                <w:szCs w:val="19"/>
              </w:rPr>
            </w:pPr>
          </w:p>
        </w:tc>
      </w:tr>
    </w:tbl>
    <w:p w14:paraId="5A701FE0">
      <w:pPr>
        <w:rPr>
          <w:rFonts w:hint="eastAsia" w:ascii="黑体" w:hAnsi="黑体" w:eastAsia="黑体" w:cs="黑体"/>
          <w:sz w:val="19"/>
          <w:szCs w:val="19"/>
        </w:rPr>
      </w:pPr>
    </w:p>
    <w:p w14:paraId="17ACCD28">
      <w:pPr>
        <w:pStyle w:val="11"/>
        <w:widowControl w:val="0"/>
        <w:spacing w:before="0" w:beforeAutospacing="0" w:after="0" w:afterAutospacing="0" w:line="360" w:lineRule="auto"/>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 xml:space="preserve">投标人名称（公章）： ______             </w:t>
      </w:r>
    </w:p>
    <w:p w14:paraId="777D12DA">
      <w:pPr>
        <w:pStyle w:val="11"/>
        <w:widowControl w:val="0"/>
        <w:spacing w:before="0" w:beforeAutospacing="0" w:after="0" w:afterAutospacing="0" w:line="360" w:lineRule="auto"/>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 xml:space="preserve">法定代表人（签字或盖章）：______               </w:t>
      </w:r>
    </w:p>
    <w:p w14:paraId="564C7C71">
      <w:pPr>
        <w:pStyle w:val="11"/>
        <w:widowControl w:val="0"/>
        <w:spacing w:before="0" w:beforeAutospacing="0" w:after="0" w:afterAutospacing="0" w:line="360" w:lineRule="auto"/>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 xml:space="preserve">授权代表（签字或盖章）： ______        </w:t>
      </w:r>
    </w:p>
    <w:p w14:paraId="368239C7">
      <w:pPr>
        <w:pStyle w:val="11"/>
        <w:widowControl w:val="0"/>
        <w:spacing w:before="0" w:beforeAutospacing="0" w:after="0" w:afterAutospacing="0" w:line="360" w:lineRule="auto"/>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日期：______年____月____日</w:t>
      </w:r>
    </w:p>
    <w:p w14:paraId="57F7B1B9">
      <w:pPr>
        <w:pStyle w:val="11"/>
        <w:widowControl w:val="0"/>
        <w:spacing w:before="0" w:beforeAutospacing="0" w:after="0" w:afterAutospacing="0" w:line="360" w:lineRule="auto"/>
        <w:ind w:firstLine="480" w:firstLineChars="200"/>
        <w:rPr>
          <w:rFonts w:hint="eastAsia" w:eastAsia="宋体" w:cs="宋体"/>
          <w:color w:val="auto"/>
          <w:kern w:val="2"/>
          <w:sz w:val="19"/>
          <w:szCs w:val="19"/>
        </w:rPr>
      </w:pPr>
      <w:r>
        <w:rPr>
          <w:rFonts w:hint="eastAsia" w:eastAsia="宋体" w:cs="宋体"/>
          <w:szCs w:val="21"/>
        </w:rPr>
        <w:br w:type="page"/>
      </w:r>
    </w:p>
    <w:p w14:paraId="077619CE">
      <w:pPr>
        <w:rPr>
          <w:rFonts w:hint="eastAsia" w:ascii="宋体" w:hAnsi="宋体" w:eastAsia="宋体" w:cs="宋体"/>
          <w:sz w:val="19"/>
          <w:szCs w:val="19"/>
        </w:rPr>
        <w:sectPr>
          <w:pgSz w:w="11905" w:h="16838"/>
          <w:pgMar w:top="1417" w:right="1247" w:bottom="1474" w:left="1247" w:header="850" w:footer="992" w:gutter="0"/>
          <w:pgNumType w:fmt="numberInDash"/>
          <w:cols w:space="0" w:num="1"/>
          <w:docGrid w:type="lines" w:linePitch="436" w:charSpace="0"/>
        </w:sectPr>
      </w:pPr>
    </w:p>
    <w:p w14:paraId="3C936867">
      <w:pPr>
        <w:pStyle w:val="3"/>
        <w:keepLines w:val="0"/>
        <w:numPr>
          <w:ilvl w:val="0"/>
          <w:numId w:val="0"/>
        </w:numPr>
        <w:tabs>
          <w:tab w:val="left" w:pos="360"/>
          <w:tab w:val="clear" w:pos="576"/>
        </w:tabs>
        <w:spacing w:before="0" w:after="436" w:afterLines="100" w:line="480" w:lineRule="exact"/>
        <w:jc w:val="center"/>
        <w:rPr>
          <w:rFonts w:hint="eastAsia" w:ascii="黑体" w:hAnsi="黑体" w:cs="黑体"/>
          <w:sz w:val="28"/>
          <w:szCs w:val="28"/>
        </w:rPr>
      </w:pPr>
      <w:bookmarkStart w:id="47" w:name="_Toc3418"/>
      <w:bookmarkStart w:id="48" w:name="_Toc9168"/>
      <w:r>
        <w:rPr>
          <w:rFonts w:hint="eastAsia" w:ascii="黑体" w:hAnsi="黑体" w:cs="黑体"/>
          <w:sz w:val="28"/>
          <w:szCs w:val="28"/>
        </w:rPr>
        <w:t>二、</w:t>
      </w:r>
      <w:bookmarkEnd w:id="47"/>
      <w:bookmarkEnd w:id="48"/>
      <w:r>
        <w:rPr>
          <w:rFonts w:hint="eastAsia" w:ascii="黑体" w:hAnsi="黑体" w:cs="黑体"/>
          <w:sz w:val="28"/>
          <w:szCs w:val="28"/>
        </w:rPr>
        <w:t>开标一览表</w:t>
      </w:r>
    </w:p>
    <w:tbl>
      <w:tblPr>
        <w:tblStyle w:val="20"/>
        <w:tblW w:w="0" w:type="auto"/>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1827"/>
        <w:gridCol w:w="6110"/>
      </w:tblGrid>
      <w:tr w14:paraId="4EC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469" w:type="dxa"/>
            <w:gridSpan w:val="2"/>
            <w:vAlign w:val="center"/>
          </w:tcPr>
          <w:p w14:paraId="2A5C6CC3">
            <w:pPr>
              <w:jc w:val="center"/>
              <w:rPr>
                <w:rFonts w:hint="eastAsia" w:ascii="黑体" w:hAnsi="黑体" w:eastAsia="黑体" w:cs="黑体"/>
                <w:bCs/>
                <w:sz w:val="19"/>
                <w:szCs w:val="19"/>
              </w:rPr>
            </w:pPr>
            <w:r>
              <w:rPr>
                <w:rFonts w:hint="eastAsia" w:ascii="黑体" w:hAnsi="黑体" w:eastAsia="黑体" w:cs="黑体"/>
                <w:bCs/>
                <w:sz w:val="19"/>
                <w:szCs w:val="19"/>
              </w:rPr>
              <w:t>项目名称</w:t>
            </w:r>
          </w:p>
        </w:tc>
        <w:tc>
          <w:tcPr>
            <w:tcW w:w="6110" w:type="dxa"/>
          </w:tcPr>
          <w:p w14:paraId="4D95AD0C">
            <w:pPr>
              <w:jc w:val="center"/>
              <w:rPr>
                <w:rFonts w:hint="eastAsia" w:ascii="黑体" w:hAnsi="黑体" w:eastAsia="黑体" w:cs="黑体"/>
                <w:bCs/>
                <w:sz w:val="19"/>
                <w:szCs w:val="19"/>
              </w:rPr>
            </w:pPr>
          </w:p>
        </w:tc>
      </w:tr>
      <w:tr w14:paraId="5DCC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469" w:type="dxa"/>
            <w:gridSpan w:val="2"/>
            <w:vAlign w:val="center"/>
          </w:tcPr>
          <w:p w14:paraId="7B8CA178">
            <w:pPr>
              <w:jc w:val="center"/>
              <w:rPr>
                <w:rFonts w:hint="eastAsia" w:ascii="黑体" w:hAnsi="黑体" w:eastAsia="黑体" w:cs="黑体"/>
                <w:bCs/>
                <w:sz w:val="19"/>
                <w:szCs w:val="19"/>
              </w:rPr>
            </w:pPr>
            <w:r>
              <w:rPr>
                <w:rFonts w:hint="eastAsia" w:ascii="黑体" w:hAnsi="黑体" w:eastAsia="黑体" w:cs="黑体"/>
                <w:bCs/>
                <w:sz w:val="19"/>
                <w:szCs w:val="19"/>
              </w:rPr>
              <w:t>项目编号</w:t>
            </w:r>
          </w:p>
        </w:tc>
        <w:tc>
          <w:tcPr>
            <w:tcW w:w="6110" w:type="dxa"/>
          </w:tcPr>
          <w:p w14:paraId="1E069DBD">
            <w:pPr>
              <w:jc w:val="center"/>
              <w:rPr>
                <w:rFonts w:hint="eastAsia" w:ascii="黑体" w:hAnsi="黑体" w:eastAsia="黑体" w:cs="黑体"/>
                <w:bCs/>
                <w:sz w:val="19"/>
                <w:szCs w:val="19"/>
              </w:rPr>
            </w:pPr>
          </w:p>
        </w:tc>
      </w:tr>
      <w:tr w14:paraId="5E0C9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469" w:type="dxa"/>
            <w:gridSpan w:val="2"/>
            <w:vAlign w:val="center"/>
          </w:tcPr>
          <w:p w14:paraId="20DF6E9A">
            <w:pPr>
              <w:jc w:val="center"/>
              <w:rPr>
                <w:rFonts w:hint="eastAsia" w:ascii="黑体" w:hAnsi="黑体" w:eastAsia="黑体" w:cs="黑体"/>
                <w:bCs/>
                <w:sz w:val="19"/>
                <w:szCs w:val="19"/>
              </w:rPr>
            </w:pPr>
            <w:r>
              <w:rPr>
                <w:rFonts w:hint="eastAsia" w:ascii="黑体" w:hAnsi="黑体" w:eastAsia="黑体" w:cs="黑体"/>
                <w:bCs/>
                <w:sz w:val="19"/>
                <w:szCs w:val="19"/>
              </w:rPr>
              <w:t>标包号</w:t>
            </w:r>
          </w:p>
        </w:tc>
        <w:tc>
          <w:tcPr>
            <w:tcW w:w="6110" w:type="dxa"/>
            <w:vAlign w:val="center"/>
          </w:tcPr>
          <w:p w14:paraId="1E12692F">
            <w:pPr>
              <w:jc w:val="center"/>
              <w:rPr>
                <w:rFonts w:hint="eastAsia" w:ascii="黑体" w:hAnsi="黑体" w:eastAsia="黑体" w:cs="黑体"/>
                <w:bCs/>
                <w:sz w:val="19"/>
                <w:szCs w:val="19"/>
              </w:rPr>
            </w:pPr>
            <w:r>
              <w:rPr>
                <w:rFonts w:hint="eastAsia" w:ascii="黑体" w:hAnsi="黑体" w:eastAsia="黑体" w:cs="黑体"/>
                <w:bCs/>
                <w:sz w:val="19"/>
                <w:szCs w:val="19"/>
              </w:rPr>
              <w:t>未设置</w:t>
            </w:r>
          </w:p>
        </w:tc>
      </w:tr>
      <w:tr w14:paraId="6510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69" w:type="dxa"/>
            <w:gridSpan w:val="2"/>
            <w:vAlign w:val="center"/>
          </w:tcPr>
          <w:p w14:paraId="6D59E367">
            <w:pPr>
              <w:jc w:val="center"/>
              <w:rPr>
                <w:rFonts w:hint="eastAsia" w:ascii="黑体" w:hAnsi="黑体" w:eastAsia="黑体" w:cs="黑体"/>
                <w:bCs/>
                <w:sz w:val="19"/>
                <w:szCs w:val="19"/>
              </w:rPr>
            </w:pPr>
            <w:r>
              <w:rPr>
                <w:rFonts w:hint="eastAsia" w:ascii="黑体" w:hAnsi="黑体" w:eastAsia="黑体" w:cs="黑体"/>
                <w:bCs/>
                <w:sz w:val="19"/>
                <w:szCs w:val="19"/>
              </w:rPr>
              <w:t>核心产品货物品牌</w:t>
            </w:r>
          </w:p>
        </w:tc>
        <w:tc>
          <w:tcPr>
            <w:tcW w:w="6110" w:type="dxa"/>
          </w:tcPr>
          <w:p w14:paraId="4927222C">
            <w:pPr>
              <w:jc w:val="center"/>
              <w:rPr>
                <w:rFonts w:hint="eastAsia" w:ascii="黑体" w:hAnsi="黑体" w:eastAsia="黑体" w:cs="黑体"/>
                <w:bCs/>
                <w:sz w:val="19"/>
                <w:szCs w:val="19"/>
              </w:rPr>
            </w:pPr>
          </w:p>
        </w:tc>
      </w:tr>
      <w:tr w14:paraId="1B26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469" w:type="dxa"/>
            <w:gridSpan w:val="2"/>
            <w:vAlign w:val="center"/>
          </w:tcPr>
          <w:p w14:paraId="19CDE99B">
            <w:pPr>
              <w:jc w:val="center"/>
              <w:rPr>
                <w:rFonts w:hint="eastAsia" w:ascii="黑体" w:hAnsi="黑体" w:cs="黑体"/>
                <w:bCs/>
                <w:sz w:val="19"/>
                <w:szCs w:val="19"/>
              </w:rPr>
            </w:pPr>
            <w:r>
              <w:rPr>
                <w:rFonts w:hint="eastAsia" w:ascii="黑体" w:hAnsi="黑体" w:eastAsia="黑体" w:cs="黑体"/>
                <w:bCs/>
                <w:sz w:val="19"/>
                <w:szCs w:val="19"/>
              </w:rPr>
              <w:t>核心产品规格型号</w:t>
            </w:r>
          </w:p>
        </w:tc>
        <w:tc>
          <w:tcPr>
            <w:tcW w:w="6110" w:type="dxa"/>
          </w:tcPr>
          <w:p w14:paraId="4D339F5F">
            <w:pPr>
              <w:jc w:val="center"/>
              <w:rPr>
                <w:rFonts w:hint="eastAsia" w:ascii="黑体" w:hAnsi="黑体" w:eastAsia="黑体" w:cs="黑体"/>
                <w:bCs/>
                <w:sz w:val="19"/>
                <w:szCs w:val="19"/>
              </w:rPr>
            </w:pPr>
          </w:p>
        </w:tc>
      </w:tr>
      <w:tr w14:paraId="5739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642" w:type="dxa"/>
            <w:vMerge w:val="restart"/>
            <w:vAlign w:val="center"/>
          </w:tcPr>
          <w:p w14:paraId="732AE4BC">
            <w:pPr>
              <w:jc w:val="center"/>
              <w:rPr>
                <w:rFonts w:hint="eastAsia" w:ascii="黑体" w:hAnsi="黑体" w:eastAsia="黑体" w:cs="黑体"/>
                <w:bCs/>
                <w:sz w:val="19"/>
                <w:szCs w:val="19"/>
              </w:rPr>
            </w:pPr>
            <w:r>
              <w:rPr>
                <w:rFonts w:hint="eastAsia" w:ascii="黑体" w:hAnsi="黑体" w:eastAsia="黑体" w:cs="黑体"/>
                <w:bCs/>
                <w:sz w:val="19"/>
                <w:szCs w:val="19"/>
              </w:rPr>
              <w:t>1</w:t>
            </w:r>
          </w:p>
        </w:tc>
        <w:tc>
          <w:tcPr>
            <w:tcW w:w="1827" w:type="dxa"/>
            <w:vAlign w:val="center"/>
          </w:tcPr>
          <w:p w14:paraId="49EBA6B5">
            <w:pPr>
              <w:jc w:val="center"/>
              <w:rPr>
                <w:rFonts w:hint="eastAsia" w:ascii="黑体" w:hAnsi="黑体" w:eastAsia="黑体" w:cs="黑体"/>
                <w:bCs/>
                <w:sz w:val="19"/>
                <w:szCs w:val="19"/>
              </w:rPr>
            </w:pPr>
            <w:r>
              <w:rPr>
                <w:rFonts w:hint="eastAsia" w:ascii="黑体" w:hAnsi="黑体" w:eastAsia="黑体" w:cs="黑体"/>
                <w:bCs/>
                <w:sz w:val="19"/>
                <w:szCs w:val="19"/>
              </w:rPr>
              <w:t>总报价（小写）</w:t>
            </w:r>
          </w:p>
        </w:tc>
        <w:tc>
          <w:tcPr>
            <w:tcW w:w="6110" w:type="dxa"/>
            <w:vAlign w:val="center"/>
          </w:tcPr>
          <w:p w14:paraId="0B704AD0">
            <w:pPr>
              <w:jc w:val="center"/>
              <w:rPr>
                <w:rFonts w:hint="eastAsia" w:ascii="黑体" w:hAnsi="黑体" w:eastAsia="黑体" w:cs="黑体"/>
                <w:bCs/>
                <w:sz w:val="19"/>
                <w:szCs w:val="19"/>
              </w:rPr>
            </w:pPr>
            <w:r>
              <w:rPr>
                <w:rFonts w:hint="eastAsia" w:ascii="黑体" w:hAnsi="黑体" w:eastAsia="黑体" w:cs="黑体"/>
                <w:bCs/>
                <w:sz w:val="19"/>
                <w:szCs w:val="19"/>
              </w:rPr>
              <w:t>元</w:t>
            </w:r>
          </w:p>
        </w:tc>
      </w:tr>
      <w:tr w14:paraId="73E0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2" w:type="dxa"/>
            <w:vMerge w:val="continue"/>
            <w:vAlign w:val="center"/>
          </w:tcPr>
          <w:p w14:paraId="50F91213">
            <w:pPr>
              <w:jc w:val="center"/>
              <w:rPr>
                <w:rFonts w:hint="eastAsia" w:ascii="黑体" w:hAnsi="黑体" w:eastAsia="黑体" w:cs="黑体"/>
                <w:bCs/>
                <w:sz w:val="19"/>
                <w:szCs w:val="19"/>
              </w:rPr>
            </w:pPr>
          </w:p>
        </w:tc>
        <w:tc>
          <w:tcPr>
            <w:tcW w:w="1827" w:type="dxa"/>
            <w:vAlign w:val="center"/>
          </w:tcPr>
          <w:p w14:paraId="606941DF">
            <w:pPr>
              <w:jc w:val="center"/>
              <w:rPr>
                <w:rFonts w:hint="eastAsia" w:ascii="黑体" w:hAnsi="黑体" w:eastAsia="黑体" w:cs="黑体"/>
                <w:bCs/>
                <w:sz w:val="19"/>
                <w:szCs w:val="19"/>
              </w:rPr>
            </w:pPr>
            <w:r>
              <w:rPr>
                <w:rFonts w:hint="eastAsia" w:ascii="黑体" w:hAnsi="黑体" w:eastAsia="黑体" w:cs="黑体"/>
                <w:bCs/>
                <w:sz w:val="19"/>
                <w:szCs w:val="19"/>
              </w:rPr>
              <w:t>总报价（大写）</w:t>
            </w:r>
          </w:p>
        </w:tc>
        <w:tc>
          <w:tcPr>
            <w:tcW w:w="6110" w:type="dxa"/>
            <w:vAlign w:val="center"/>
          </w:tcPr>
          <w:p w14:paraId="682D787D">
            <w:pPr>
              <w:jc w:val="center"/>
              <w:rPr>
                <w:rFonts w:hint="eastAsia" w:ascii="黑体" w:hAnsi="黑体" w:eastAsia="黑体" w:cs="黑体"/>
                <w:bCs/>
                <w:sz w:val="19"/>
                <w:szCs w:val="19"/>
              </w:rPr>
            </w:pPr>
            <w:r>
              <w:rPr>
                <w:rFonts w:hint="eastAsia" w:ascii="黑体" w:hAnsi="黑体" w:eastAsia="黑体" w:cs="黑体"/>
                <w:bCs/>
                <w:sz w:val="19"/>
                <w:szCs w:val="19"/>
              </w:rPr>
              <w:t>元</w:t>
            </w:r>
          </w:p>
        </w:tc>
      </w:tr>
      <w:tr w14:paraId="47C6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42" w:type="dxa"/>
            <w:vAlign w:val="center"/>
          </w:tcPr>
          <w:p w14:paraId="58722C50">
            <w:pPr>
              <w:jc w:val="center"/>
              <w:rPr>
                <w:rFonts w:hint="eastAsia" w:ascii="黑体" w:hAnsi="黑体" w:eastAsia="黑体" w:cs="黑体"/>
                <w:bCs/>
                <w:sz w:val="19"/>
                <w:szCs w:val="19"/>
              </w:rPr>
            </w:pPr>
            <w:r>
              <w:rPr>
                <w:rFonts w:hint="eastAsia" w:ascii="黑体" w:hAnsi="黑体" w:eastAsia="黑体" w:cs="黑体"/>
                <w:bCs/>
                <w:sz w:val="19"/>
                <w:szCs w:val="19"/>
              </w:rPr>
              <w:t>2</w:t>
            </w:r>
          </w:p>
        </w:tc>
        <w:tc>
          <w:tcPr>
            <w:tcW w:w="1827" w:type="dxa"/>
            <w:vAlign w:val="center"/>
          </w:tcPr>
          <w:p w14:paraId="57AC1C94">
            <w:pPr>
              <w:jc w:val="center"/>
              <w:rPr>
                <w:rFonts w:hint="eastAsia" w:ascii="黑体" w:hAnsi="黑体" w:eastAsia="黑体" w:cs="黑体"/>
                <w:bCs/>
                <w:sz w:val="19"/>
                <w:szCs w:val="19"/>
              </w:rPr>
            </w:pPr>
            <w:r>
              <w:rPr>
                <w:rFonts w:hint="eastAsia" w:ascii="黑体" w:hAnsi="黑体" w:eastAsia="黑体" w:cs="黑体"/>
                <w:bCs/>
                <w:sz w:val="19"/>
                <w:szCs w:val="19"/>
              </w:rPr>
              <w:t>交付期限</w:t>
            </w:r>
          </w:p>
        </w:tc>
        <w:tc>
          <w:tcPr>
            <w:tcW w:w="6110" w:type="dxa"/>
            <w:vAlign w:val="center"/>
          </w:tcPr>
          <w:p w14:paraId="618FBA54">
            <w:pPr>
              <w:jc w:val="center"/>
              <w:rPr>
                <w:rFonts w:hint="eastAsia" w:ascii="黑体" w:hAnsi="黑体" w:eastAsia="黑体" w:cs="黑体"/>
                <w:bCs/>
                <w:sz w:val="19"/>
                <w:szCs w:val="19"/>
              </w:rPr>
            </w:pPr>
            <w:r>
              <w:rPr>
                <w:rFonts w:hint="eastAsia" w:ascii="黑体" w:hAnsi="黑体" w:eastAsia="黑体" w:cs="黑体"/>
                <w:sz w:val="19"/>
                <w:szCs w:val="19"/>
                <w:highlight w:val="none"/>
              </w:rPr>
              <w:t>自合同签订之日起</w:t>
            </w:r>
            <w:r>
              <w:rPr>
                <w:rFonts w:hint="eastAsia" w:ascii="黑体" w:hAnsi="黑体" w:eastAsia="黑体" w:cs="黑体"/>
                <w:sz w:val="19"/>
                <w:szCs w:val="19"/>
                <w:highlight w:val="none"/>
                <w:lang w:val="en-US" w:eastAsia="zh-CN"/>
              </w:rPr>
              <w:t>_____</w:t>
            </w:r>
            <w:r>
              <w:rPr>
                <w:rFonts w:hint="eastAsia" w:ascii="黑体" w:hAnsi="黑体" w:eastAsia="黑体" w:cs="黑体"/>
                <w:sz w:val="19"/>
                <w:szCs w:val="19"/>
                <w:highlight w:val="none"/>
              </w:rPr>
              <w:t>天内安装调试完毕并验收使用</w:t>
            </w:r>
          </w:p>
        </w:tc>
      </w:tr>
    </w:tbl>
    <w:p w14:paraId="2B842576">
      <w:pPr>
        <w:pStyle w:val="17"/>
        <w:spacing w:before="87" w:beforeLines="20" w:beforeAutospacing="0" w:after="0" w:afterAutospacing="0" w:line="480" w:lineRule="exact"/>
        <w:ind w:firstLine="190" w:firstLineChars="100"/>
        <w:rPr>
          <w:rFonts w:hint="eastAsia" w:ascii="黑体" w:hAnsi="黑体" w:eastAsia="黑体" w:cs="黑体"/>
          <w:bCs/>
          <w:sz w:val="19"/>
          <w:szCs w:val="19"/>
        </w:rPr>
      </w:pPr>
      <w:r>
        <w:rPr>
          <w:rFonts w:hint="eastAsia" w:ascii="黑体" w:hAnsi="黑体" w:eastAsia="黑体" w:cs="黑体"/>
          <w:bCs/>
          <w:sz w:val="19"/>
          <w:szCs w:val="19"/>
        </w:rPr>
        <w:t>注：</w:t>
      </w:r>
    </w:p>
    <w:p w14:paraId="2C381839">
      <w:pPr>
        <w:pStyle w:val="11"/>
        <w:widowControl w:val="0"/>
        <w:spacing w:before="87" w:beforeLines="20" w:beforeAutospacing="0" w:after="0" w:afterAutospacing="0" w:line="48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1.投标人需按本表格式填写，不得自行更改。</w:t>
      </w:r>
    </w:p>
    <w:p w14:paraId="2B54C59F">
      <w:pPr>
        <w:pStyle w:val="11"/>
        <w:widowControl w:val="0"/>
        <w:spacing w:before="87" w:beforeLines="20" w:beforeAutospacing="0" w:after="0" w:afterAutospacing="0" w:line="48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本表默认货币单位为人民币：元。有关本项目实施所涉及的一切费用均计入报价。采购人将以合同形式有偿取得货物或服务，不接受投标人给予的赠品、回扣或者与采购无关的其他商品、服务。总报价不得出现“0元”“免费赠送”等形式的无偿报价，否则视为投标文件含有采购人不能接受的附加条件的，投标无效。</w:t>
      </w:r>
    </w:p>
    <w:p w14:paraId="4E46C153">
      <w:pPr>
        <w:pStyle w:val="11"/>
        <w:widowControl w:val="0"/>
        <w:spacing w:before="87" w:beforeLines="20" w:beforeAutospacing="0" w:after="0" w:afterAutospacing="0" w:line="48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3.符合招标文件中列明的可享受中小企业扶持政策的投标人，请填写中小企业声明函。注：投标人提供的中小企业声明函内容不实的，属于提供虚假材料谋取中标，将依照《中华人民共和国政府采购法》等国家有关规定追究相应责任。</w:t>
      </w:r>
    </w:p>
    <w:p w14:paraId="6D22A616">
      <w:pPr>
        <w:pStyle w:val="11"/>
        <w:spacing w:beforeAutospacing="0" w:afterAutospacing="0" w:line="360" w:lineRule="auto"/>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投标人名称（盖章）：</w:t>
      </w:r>
      <w:r>
        <w:rPr>
          <w:rFonts w:hint="eastAsia" w:ascii="黑体" w:hAnsi="黑体" w:eastAsia="黑体" w:cs="黑体"/>
          <w:sz w:val="19"/>
          <w:szCs w:val="19"/>
        </w:rPr>
        <w:t>____________</w:t>
      </w:r>
    </w:p>
    <w:p w14:paraId="37765010">
      <w:pPr>
        <w:pStyle w:val="11"/>
        <w:spacing w:beforeAutospacing="0" w:afterAutospacing="0" w:line="360" w:lineRule="auto"/>
        <w:ind w:firstLine="380" w:firstLineChars="200"/>
        <w:rPr>
          <w:rFonts w:hint="eastAsia" w:ascii="黑体" w:hAnsi="黑体" w:eastAsia="黑体" w:cs="黑体"/>
          <w:b/>
          <w:bCs/>
          <w:color w:val="auto"/>
          <w:sz w:val="19"/>
          <w:szCs w:val="19"/>
        </w:rPr>
      </w:pPr>
      <w:r>
        <w:rPr>
          <w:rFonts w:hint="eastAsia" w:ascii="黑体" w:hAnsi="黑体" w:eastAsia="黑体" w:cs="黑体"/>
          <w:color w:val="auto"/>
          <w:sz w:val="19"/>
          <w:szCs w:val="19"/>
        </w:rPr>
        <w:t>法定代表人或授权代表（签字或盖章）：</w:t>
      </w:r>
      <w:r>
        <w:rPr>
          <w:rFonts w:hint="eastAsia" w:ascii="黑体" w:hAnsi="黑体" w:eastAsia="黑体" w:cs="黑体"/>
          <w:sz w:val="19"/>
          <w:szCs w:val="19"/>
        </w:rPr>
        <w:t>____________</w:t>
      </w:r>
    </w:p>
    <w:p w14:paraId="67B8D5EB">
      <w:pPr>
        <w:pStyle w:val="11"/>
        <w:spacing w:beforeAutospacing="0" w:afterAutospacing="0" w:line="360" w:lineRule="auto"/>
        <w:ind w:firstLine="380" w:firstLineChars="200"/>
        <w:rPr>
          <w:rFonts w:hint="eastAsia" w:ascii="黑体" w:hAnsi="黑体" w:eastAsia="黑体" w:cs="黑体"/>
          <w:color w:val="auto"/>
          <w:sz w:val="19"/>
          <w:szCs w:val="19"/>
        </w:rPr>
        <w:sectPr>
          <w:pgSz w:w="11905" w:h="16838"/>
          <w:pgMar w:top="1417" w:right="1247" w:bottom="1474" w:left="1247" w:header="850" w:footer="992" w:gutter="0"/>
          <w:pgNumType w:fmt="numberInDash"/>
          <w:cols w:space="0" w:num="1"/>
          <w:docGrid w:type="lines" w:linePitch="436" w:charSpace="0"/>
        </w:sectPr>
      </w:pPr>
      <w:r>
        <w:rPr>
          <w:rFonts w:hint="eastAsia" w:ascii="黑体" w:hAnsi="黑体" w:eastAsia="黑体" w:cs="黑体"/>
          <w:color w:val="auto"/>
          <w:sz w:val="19"/>
          <w:szCs w:val="19"/>
        </w:rPr>
        <w:t>日期：______年____月____日</w:t>
      </w:r>
    </w:p>
    <w:p w14:paraId="3E0A049F">
      <w:pPr>
        <w:rPr>
          <w:rFonts w:hint="eastAsia" w:ascii="黑体" w:hAnsi="黑体" w:eastAsia="黑体" w:cs="黑体"/>
          <w:sz w:val="19"/>
          <w:szCs w:val="19"/>
        </w:rPr>
      </w:pPr>
    </w:p>
    <w:p w14:paraId="20CFD746">
      <w:pPr>
        <w:jc w:val="center"/>
        <w:rPr>
          <w:rFonts w:hint="eastAsia" w:ascii="黑体" w:hAnsi="黑体" w:eastAsia="黑体" w:cs="黑体"/>
          <w:b/>
          <w:bCs/>
          <w:sz w:val="28"/>
          <w:szCs w:val="28"/>
        </w:rPr>
      </w:pPr>
      <w:r>
        <w:rPr>
          <w:rFonts w:hint="eastAsia" w:ascii="黑体" w:hAnsi="黑体" w:eastAsia="黑体" w:cs="黑体"/>
          <w:b/>
          <w:bCs/>
          <w:sz w:val="28"/>
          <w:szCs w:val="28"/>
        </w:rPr>
        <w:t xml:space="preserve">分项价格表 </w:t>
      </w:r>
    </w:p>
    <w:p w14:paraId="4C0891DF">
      <w:pPr>
        <w:pStyle w:val="11"/>
        <w:ind w:firstLine="285" w:firstLineChars="150"/>
        <w:rPr>
          <w:rFonts w:hint="eastAsia" w:ascii="黑体" w:hAnsi="黑体" w:eastAsia="黑体" w:cs="黑体"/>
          <w:color w:val="auto"/>
          <w:sz w:val="19"/>
          <w:szCs w:val="19"/>
        </w:rPr>
      </w:pPr>
      <w:r>
        <w:rPr>
          <w:rFonts w:hint="eastAsia" w:ascii="黑体" w:hAnsi="黑体" w:eastAsia="黑体" w:cs="黑体"/>
          <w:color w:val="auto"/>
          <w:sz w:val="19"/>
          <w:szCs w:val="19"/>
        </w:rPr>
        <w:t>项目名称：____________________</w:t>
      </w:r>
      <w:r>
        <w:rPr>
          <w:rFonts w:hint="eastAsia" w:ascii="黑体" w:hAnsi="黑体" w:eastAsia="黑体" w:cs="黑体"/>
          <w:color w:val="auto"/>
          <w:sz w:val="19"/>
          <w:szCs w:val="19"/>
        </w:rPr>
        <w:tab/>
      </w:r>
      <w:r>
        <w:rPr>
          <w:rFonts w:hint="eastAsia" w:ascii="黑体" w:hAnsi="黑体" w:eastAsia="黑体" w:cs="黑体"/>
          <w:color w:val="auto"/>
          <w:sz w:val="19"/>
          <w:szCs w:val="19"/>
        </w:rPr>
        <w:tab/>
      </w:r>
      <w:r>
        <w:rPr>
          <w:rFonts w:hint="eastAsia" w:ascii="黑体" w:hAnsi="黑体" w:eastAsia="黑体" w:cs="黑体"/>
          <w:color w:val="auto"/>
          <w:sz w:val="19"/>
          <w:szCs w:val="19"/>
        </w:rPr>
        <w:tab/>
      </w:r>
      <w:r>
        <w:rPr>
          <w:rFonts w:hint="eastAsia" w:ascii="黑体" w:hAnsi="黑体" w:eastAsia="黑体" w:cs="黑体"/>
          <w:color w:val="auto"/>
          <w:sz w:val="19"/>
          <w:szCs w:val="19"/>
        </w:rPr>
        <w:tab/>
      </w:r>
      <w:r>
        <w:rPr>
          <w:rFonts w:hint="eastAsia" w:ascii="黑体" w:hAnsi="黑体" w:eastAsia="黑体" w:cs="黑体"/>
          <w:color w:val="auto"/>
          <w:sz w:val="19"/>
          <w:szCs w:val="19"/>
        </w:rPr>
        <w:tab/>
      </w:r>
      <w:r>
        <w:rPr>
          <w:rFonts w:hint="eastAsia" w:ascii="黑体" w:hAnsi="黑体" w:eastAsia="黑体" w:cs="黑体"/>
          <w:color w:val="auto"/>
          <w:sz w:val="19"/>
          <w:szCs w:val="19"/>
        </w:rPr>
        <w:tab/>
      </w:r>
      <w:r>
        <w:rPr>
          <w:rFonts w:hint="eastAsia" w:ascii="黑体" w:hAnsi="黑体" w:eastAsia="黑体" w:cs="黑体"/>
          <w:color w:val="auto"/>
          <w:sz w:val="19"/>
          <w:szCs w:val="19"/>
        </w:rPr>
        <w:tab/>
      </w:r>
      <w:r>
        <w:rPr>
          <w:rFonts w:hint="eastAsia" w:ascii="黑体" w:hAnsi="黑体" w:eastAsia="黑体" w:cs="黑体"/>
          <w:color w:val="auto"/>
          <w:sz w:val="19"/>
          <w:szCs w:val="19"/>
        </w:rPr>
        <w:t>项目编号：</w:t>
      </w:r>
      <w:r>
        <w:rPr>
          <w:rFonts w:hint="eastAsia" w:ascii="黑体" w:hAnsi="黑体" w:eastAsia="黑体" w:cs="黑体"/>
          <w:sz w:val="19"/>
          <w:szCs w:val="19"/>
        </w:rPr>
        <w:t>__________</w:t>
      </w:r>
      <w:r>
        <w:rPr>
          <w:rFonts w:hint="eastAsia" w:ascii="黑体" w:hAnsi="黑体" w:eastAsia="黑体" w:cs="黑体"/>
          <w:bCs/>
          <w:color w:val="auto"/>
          <w:sz w:val="19"/>
          <w:szCs w:val="19"/>
        </w:rPr>
        <w:t xml:space="preserve">                                              </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382"/>
        <w:gridCol w:w="847"/>
        <w:gridCol w:w="1663"/>
        <w:gridCol w:w="1385"/>
        <w:gridCol w:w="847"/>
        <w:gridCol w:w="847"/>
        <w:gridCol w:w="847"/>
        <w:gridCol w:w="849"/>
      </w:tblGrid>
      <w:tr w14:paraId="7C18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53" w:type="dxa"/>
            <w:vAlign w:val="center"/>
          </w:tcPr>
          <w:p w14:paraId="274E8F30">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序号</w:t>
            </w:r>
          </w:p>
        </w:tc>
        <w:tc>
          <w:tcPr>
            <w:tcW w:w="1383" w:type="dxa"/>
            <w:vAlign w:val="center"/>
          </w:tcPr>
          <w:p w14:paraId="6E751AC7">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货物名称</w:t>
            </w:r>
          </w:p>
        </w:tc>
        <w:tc>
          <w:tcPr>
            <w:tcW w:w="847" w:type="dxa"/>
            <w:vAlign w:val="center"/>
          </w:tcPr>
          <w:p w14:paraId="13B882D6">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品牌</w:t>
            </w:r>
          </w:p>
        </w:tc>
        <w:tc>
          <w:tcPr>
            <w:tcW w:w="1663" w:type="dxa"/>
            <w:vAlign w:val="center"/>
          </w:tcPr>
          <w:p w14:paraId="6EFD5EE5">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制造商名称</w:t>
            </w:r>
          </w:p>
        </w:tc>
        <w:tc>
          <w:tcPr>
            <w:tcW w:w="1385" w:type="dxa"/>
            <w:vAlign w:val="center"/>
          </w:tcPr>
          <w:p w14:paraId="3DF737A5">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具体规格型号</w:t>
            </w:r>
          </w:p>
        </w:tc>
        <w:tc>
          <w:tcPr>
            <w:tcW w:w="847" w:type="dxa"/>
            <w:vAlign w:val="center"/>
          </w:tcPr>
          <w:p w14:paraId="28493544">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单位</w:t>
            </w:r>
          </w:p>
        </w:tc>
        <w:tc>
          <w:tcPr>
            <w:tcW w:w="847" w:type="dxa"/>
            <w:vAlign w:val="center"/>
          </w:tcPr>
          <w:p w14:paraId="7F11B1F8">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数量</w:t>
            </w:r>
          </w:p>
        </w:tc>
        <w:tc>
          <w:tcPr>
            <w:tcW w:w="847" w:type="dxa"/>
            <w:vAlign w:val="center"/>
          </w:tcPr>
          <w:p w14:paraId="5C726F62">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单价</w:t>
            </w:r>
          </w:p>
        </w:tc>
        <w:tc>
          <w:tcPr>
            <w:tcW w:w="849" w:type="dxa"/>
            <w:vAlign w:val="center"/>
          </w:tcPr>
          <w:p w14:paraId="67806A66">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总价</w:t>
            </w:r>
          </w:p>
        </w:tc>
      </w:tr>
      <w:tr w14:paraId="6879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174C14AA">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1</w:t>
            </w:r>
          </w:p>
        </w:tc>
        <w:tc>
          <w:tcPr>
            <w:tcW w:w="1383" w:type="dxa"/>
            <w:vAlign w:val="center"/>
          </w:tcPr>
          <w:p w14:paraId="1E22502B">
            <w:pPr>
              <w:pStyle w:val="11"/>
              <w:jc w:val="center"/>
              <w:rPr>
                <w:rFonts w:hint="eastAsia" w:ascii="黑体" w:hAnsi="黑体" w:eastAsia="黑体" w:cs="黑体"/>
                <w:color w:val="auto"/>
                <w:sz w:val="19"/>
                <w:szCs w:val="19"/>
              </w:rPr>
            </w:pPr>
          </w:p>
        </w:tc>
        <w:tc>
          <w:tcPr>
            <w:tcW w:w="847" w:type="dxa"/>
            <w:vAlign w:val="center"/>
          </w:tcPr>
          <w:p w14:paraId="2E7DF346">
            <w:pPr>
              <w:pStyle w:val="11"/>
              <w:jc w:val="center"/>
              <w:rPr>
                <w:rFonts w:hint="eastAsia" w:ascii="黑体" w:hAnsi="黑体" w:eastAsia="黑体" w:cs="黑体"/>
                <w:color w:val="auto"/>
                <w:sz w:val="19"/>
                <w:szCs w:val="19"/>
              </w:rPr>
            </w:pPr>
          </w:p>
        </w:tc>
        <w:tc>
          <w:tcPr>
            <w:tcW w:w="1663" w:type="dxa"/>
            <w:vAlign w:val="center"/>
          </w:tcPr>
          <w:p w14:paraId="6DB783EC">
            <w:pPr>
              <w:pStyle w:val="11"/>
              <w:jc w:val="center"/>
              <w:rPr>
                <w:rFonts w:hint="eastAsia" w:ascii="黑体" w:hAnsi="黑体" w:eastAsia="黑体" w:cs="黑体"/>
                <w:color w:val="auto"/>
                <w:sz w:val="19"/>
                <w:szCs w:val="19"/>
              </w:rPr>
            </w:pPr>
          </w:p>
        </w:tc>
        <w:tc>
          <w:tcPr>
            <w:tcW w:w="1385" w:type="dxa"/>
            <w:vAlign w:val="center"/>
          </w:tcPr>
          <w:p w14:paraId="2B22FF19">
            <w:pPr>
              <w:pStyle w:val="11"/>
              <w:jc w:val="center"/>
              <w:rPr>
                <w:rFonts w:hint="eastAsia" w:ascii="黑体" w:hAnsi="黑体" w:eastAsia="黑体" w:cs="黑体"/>
                <w:color w:val="auto"/>
                <w:sz w:val="19"/>
                <w:szCs w:val="19"/>
              </w:rPr>
            </w:pPr>
          </w:p>
        </w:tc>
        <w:tc>
          <w:tcPr>
            <w:tcW w:w="847" w:type="dxa"/>
            <w:vAlign w:val="center"/>
          </w:tcPr>
          <w:p w14:paraId="5EF56594">
            <w:pPr>
              <w:pStyle w:val="11"/>
              <w:jc w:val="center"/>
              <w:rPr>
                <w:rFonts w:hint="eastAsia" w:ascii="黑体" w:hAnsi="黑体" w:eastAsia="黑体" w:cs="黑体"/>
                <w:color w:val="auto"/>
                <w:sz w:val="19"/>
                <w:szCs w:val="19"/>
              </w:rPr>
            </w:pPr>
          </w:p>
        </w:tc>
        <w:tc>
          <w:tcPr>
            <w:tcW w:w="847" w:type="dxa"/>
            <w:vAlign w:val="center"/>
          </w:tcPr>
          <w:p w14:paraId="06F07B4D">
            <w:pPr>
              <w:pStyle w:val="11"/>
              <w:jc w:val="center"/>
              <w:rPr>
                <w:rFonts w:hint="eastAsia" w:ascii="黑体" w:hAnsi="黑体" w:eastAsia="黑体" w:cs="黑体"/>
                <w:color w:val="auto"/>
                <w:sz w:val="19"/>
                <w:szCs w:val="19"/>
              </w:rPr>
            </w:pPr>
          </w:p>
        </w:tc>
        <w:tc>
          <w:tcPr>
            <w:tcW w:w="847" w:type="dxa"/>
            <w:vAlign w:val="center"/>
          </w:tcPr>
          <w:p w14:paraId="70A1CDB5">
            <w:pPr>
              <w:pStyle w:val="11"/>
              <w:jc w:val="center"/>
              <w:rPr>
                <w:rFonts w:hint="eastAsia" w:ascii="黑体" w:hAnsi="黑体" w:eastAsia="黑体" w:cs="黑体"/>
                <w:color w:val="auto"/>
                <w:sz w:val="19"/>
                <w:szCs w:val="19"/>
              </w:rPr>
            </w:pPr>
          </w:p>
        </w:tc>
        <w:tc>
          <w:tcPr>
            <w:tcW w:w="849" w:type="dxa"/>
            <w:vAlign w:val="center"/>
          </w:tcPr>
          <w:p w14:paraId="4824F151">
            <w:pPr>
              <w:pStyle w:val="11"/>
              <w:jc w:val="center"/>
              <w:rPr>
                <w:rFonts w:hint="eastAsia" w:ascii="黑体" w:hAnsi="黑体" w:eastAsia="黑体" w:cs="黑体"/>
                <w:color w:val="auto"/>
                <w:sz w:val="19"/>
                <w:szCs w:val="19"/>
              </w:rPr>
            </w:pPr>
          </w:p>
        </w:tc>
      </w:tr>
      <w:tr w14:paraId="7CDE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083FCF8B">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2</w:t>
            </w:r>
          </w:p>
        </w:tc>
        <w:tc>
          <w:tcPr>
            <w:tcW w:w="1383" w:type="dxa"/>
            <w:vAlign w:val="center"/>
          </w:tcPr>
          <w:p w14:paraId="3D07009F">
            <w:pPr>
              <w:pStyle w:val="11"/>
              <w:jc w:val="center"/>
              <w:rPr>
                <w:rFonts w:hint="eastAsia" w:ascii="黑体" w:hAnsi="黑体" w:eastAsia="黑体" w:cs="黑体"/>
                <w:color w:val="auto"/>
                <w:sz w:val="19"/>
                <w:szCs w:val="19"/>
              </w:rPr>
            </w:pPr>
          </w:p>
        </w:tc>
        <w:tc>
          <w:tcPr>
            <w:tcW w:w="847" w:type="dxa"/>
            <w:vAlign w:val="center"/>
          </w:tcPr>
          <w:p w14:paraId="3F197AD3">
            <w:pPr>
              <w:pStyle w:val="11"/>
              <w:jc w:val="center"/>
              <w:rPr>
                <w:rFonts w:hint="eastAsia" w:ascii="黑体" w:hAnsi="黑体" w:eastAsia="黑体" w:cs="黑体"/>
                <w:color w:val="auto"/>
                <w:sz w:val="19"/>
                <w:szCs w:val="19"/>
              </w:rPr>
            </w:pPr>
          </w:p>
        </w:tc>
        <w:tc>
          <w:tcPr>
            <w:tcW w:w="1663" w:type="dxa"/>
            <w:vAlign w:val="center"/>
          </w:tcPr>
          <w:p w14:paraId="03BD6125">
            <w:pPr>
              <w:pStyle w:val="11"/>
              <w:jc w:val="center"/>
              <w:rPr>
                <w:rFonts w:hint="eastAsia" w:ascii="黑体" w:hAnsi="黑体" w:eastAsia="黑体" w:cs="黑体"/>
                <w:color w:val="auto"/>
                <w:sz w:val="19"/>
                <w:szCs w:val="19"/>
              </w:rPr>
            </w:pPr>
          </w:p>
        </w:tc>
        <w:tc>
          <w:tcPr>
            <w:tcW w:w="1385" w:type="dxa"/>
            <w:vAlign w:val="center"/>
          </w:tcPr>
          <w:p w14:paraId="64428262">
            <w:pPr>
              <w:pStyle w:val="11"/>
              <w:jc w:val="center"/>
              <w:rPr>
                <w:rFonts w:hint="eastAsia" w:ascii="黑体" w:hAnsi="黑体" w:eastAsia="黑体" w:cs="黑体"/>
                <w:color w:val="auto"/>
                <w:sz w:val="19"/>
                <w:szCs w:val="19"/>
              </w:rPr>
            </w:pPr>
          </w:p>
        </w:tc>
        <w:tc>
          <w:tcPr>
            <w:tcW w:w="847" w:type="dxa"/>
            <w:vAlign w:val="center"/>
          </w:tcPr>
          <w:p w14:paraId="6833EE37">
            <w:pPr>
              <w:pStyle w:val="11"/>
              <w:jc w:val="center"/>
              <w:rPr>
                <w:rFonts w:hint="eastAsia" w:ascii="黑体" w:hAnsi="黑体" w:eastAsia="黑体" w:cs="黑体"/>
                <w:color w:val="auto"/>
                <w:sz w:val="19"/>
                <w:szCs w:val="19"/>
              </w:rPr>
            </w:pPr>
          </w:p>
        </w:tc>
        <w:tc>
          <w:tcPr>
            <w:tcW w:w="847" w:type="dxa"/>
            <w:vAlign w:val="center"/>
          </w:tcPr>
          <w:p w14:paraId="3928A771">
            <w:pPr>
              <w:pStyle w:val="11"/>
              <w:jc w:val="center"/>
              <w:rPr>
                <w:rFonts w:hint="eastAsia" w:ascii="黑体" w:hAnsi="黑体" w:eastAsia="黑体" w:cs="黑体"/>
                <w:color w:val="auto"/>
                <w:sz w:val="19"/>
                <w:szCs w:val="19"/>
              </w:rPr>
            </w:pPr>
          </w:p>
        </w:tc>
        <w:tc>
          <w:tcPr>
            <w:tcW w:w="847" w:type="dxa"/>
            <w:vAlign w:val="center"/>
          </w:tcPr>
          <w:p w14:paraId="4DA9E6A1">
            <w:pPr>
              <w:pStyle w:val="11"/>
              <w:jc w:val="center"/>
              <w:rPr>
                <w:rFonts w:hint="eastAsia" w:ascii="黑体" w:hAnsi="黑体" w:eastAsia="黑体" w:cs="黑体"/>
                <w:color w:val="auto"/>
                <w:sz w:val="19"/>
                <w:szCs w:val="19"/>
              </w:rPr>
            </w:pPr>
          </w:p>
        </w:tc>
        <w:tc>
          <w:tcPr>
            <w:tcW w:w="849" w:type="dxa"/>
            <w:vAlign w:val="center"/>
          </w:tcPr>
          <w:p w14:paraId="2EB6ECC8">
            <w:pPr>
              <w:pStyle w:val="11"/>
              <w:jc w:val="center"/>
              <w:rPr>
                <w:rFonts w:hint="eastAsia" w:ascii="黑体" w:hAnsi="黑体" w:eastAsia="黑体" w:cs="黑体"/>
                <w:color w:val="auto"/>
                <w:sz w:val="19"/>
                <w:szCs w:val="19"/>
              </w:rPr>
            </w:pPr>
          </w:p>
        </w:tc>
      </w:tr>
      <w:tr w14:paraId="4099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5D231F57">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3</w:t>
            </w:r>
          </w:p>
        </w:tc>
        <w:tc>
          <w:tcPr>
            <w:tcW w:w="1383" w:type="dxa"/>
            <w:vAlign w:val="center"/>
          </w:tcPr>
          <w:p w14:paraId="19EB77BA">
            <w:pPr>
              <w:pStyle w:val="11"/>
              <w:jc w:val="center"/>
              <w:rPr>
                <w:rFonts w:hint="eastAsia" w:ascii="黑体" w:hAnsi="黑体" w:eastAsia="黑体" w:cs="黑体"/>
                <w:color w:val="auto"/>
                <w:sz w:val="19"/>
                <w:szCs w:val="19"/>
              </w:rPr>
            </w:pPr>
          </w:p>
        </w:tc>
        <w:tc>
          <w:tcPr>
            <w:tcW w:w="847" w:type="dxa"/>
            <w:vAlign w:val="center"/>
          </w:tcPr>
          <w:p w14:paraId="61AD8576">
            <w:pPr>
              <w:pStyle w:val="11"/>
              <w:jc w:val="center"/>
              <w:rPr>
                <w:rFonts w:hint="eastAsia" w:ascii="黑体" w:hAnsi="黑体" w:eastAsia="黑体" w:cs="黑体"/>
                <w:color w:val="auto"/>
                <w:sz w:val="19"/>
                <w:szCs w:val="19"/>
              </w:rPr>
            </w:pPr>
          </w:p>
        </w:tc>
        <w:tc>
          <w:tcPr>
            <w:tcW w:w="1663" w:type="dxa"/>
            <w:vAlign w:val="center"/>
          </w:tcPr>
          <w:p w14:paraId="473B8166">
            <w:pPr>
              <w:pStyle w:val="11"/>
              <w:jc w:val="center"/>
              <w:rPr>
                <w:rFonts w:hint="eastAsia" w:ascii="黑体" w:hAnsi="黑体" w:eastAsia="黑体" w:cs="黑体"/>
                <w:color w:val="auto"/>
                <w:sz w:val="19"/>
                <w:szCs w:val="19"/>
              </w:rPr>
            </w:pPr>
          </w:p>
        </w:tc>
        <w:tc>
          <w:tcPr>
            <w:tcW w:w="1385" w:type="dxa"/>
            <w:vAlign w:val="center"/>
          </w:tcPr>
          <w:p w14:paraId="2C1BFF44">
            <w:pPr>
              <w:pStyle w:val="11"/>
              <w:jc w:val="center"/>
              <w:rPr>
                <w:rFonts w:hint="eastAsia" w:ascii="黑体" w:hAnsi="黑体" w:eastAsia="黑体" w:cs="黑体"/>
                <w:color w:val="auto"/>
                <w:sz w:val="19"/>
                <w:szCs w:val="19"/>
              </w:rPr>
            </w:pPr>
          </w:p>
        </w:tc>
        <w:tc>
          <w:tcPr>
            <w:tcW w:w="847" w:type="dxa"/>
            <w:vAlign w:val="center"/>
          </w:tcPr>
          <w:p w14:paraId="2264D120">
            <w:pPr>
              <w:pStyle w:val="11"/>
              <w:jc w:val="center"/>
              <w:rPr>
                <w:rFonts w:hint="eastAsia" w:ascii="黑体" w:hAnsi="黑体" w:eastAsia="黑体" w:cs="黑体"/>
                <w:color w:val="auto"/>
                <w:sz w:val="19"/>
                <w:szCs w:val="19"/>
              </w:rPr>
            </w:pPr>
          </w:p>
        </w:tc>
        <w:tc>
          <w:tcPr>
            <w:tcW w:w="847" w:type="dxa"/>
            <w:vAlign w:val="center"/>
          </w:tcPr>
          <w:p w14:paraId="340FB5FA">
            <w:pPr>
              <w:pStyle w:val="11"/>
              <w:jc w:val="center"/>
              <w:rPr>
                <w:rFonts w:hint="eastAsia" w:ascii="黑体" w:hAnsi="黑体" w:eastAsia="黑体" w:cs="黑体"/>
                <w:color w:val="auto"/>
                <w:sz w:val="19"/>
                <w:szCs w:val="19"/>
              </w:rPr>
            </w:pPr>
          </w:p>
        </w:tc>
        <w:tc>
          <w:tcPr>
            <w:tcW w:w="847" w:type="dxa"/>
            <w:vAlign w:val="center"/>
          </w:tcPr>
          <w:p w14:paraId="0D232E57">
            <w:pPr>
              <w:pStyle w:val="11"/>
              <w:jc w:val="center"/>
              <w:rPr>
                <w:rFonts w:hint="eastAsia" w:ascii="黑体" w:hAnsi="黑体" w:eastAsia="黑体" w:cs="黑体"/>
                <w:color w:val="auto"/>
                <w:sz w:val="19"/>
                <w:szCs w:val="19"/>
              </w:rPr>
            </w:pPr>
          </w:p>
        </w:tc>
        <w:tc>
          <w:tcPr>
            <w:tcW w:w="849" w:type="dxa"/>
            <w:vAlign w:val="center"/>
          </w:tcPr>
          <w:p w14:paraId="49026EF9">
            <w:pPr>
              <w:pStyle w:val="11"/>
              <w:jc w:val="center"/>
              <w:rPr>
                <w:rFonts w:hint="eastAsia" w:ascii="黑体" w:hAnsi="黑体" w:eastAsia="黑体" w:cs="黑体"/>
                <w:color w:val="auto"/>
                <w:sz w:val="19"/>
                <w:szCs w:val="19"/>
              </w:rPr>
            </w:pPr>
          </w:p>
        </w:tc>
      </w:tr>
      <w:tr w14:paraId="0CF4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10F28A5F">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4</w:t>
            </w:r>
          </w:p>
        </w:tc>
        <w:tc>
          <w:tcPr>
            <w:tcW w:w="1383" w:type="dxa"/>
            <w:vAlign w:val="center"/>
          </w:tcPr>
          <w:p w14:paraId="1E38F190">
            <w:pPr>
              <w:pStyle w:val="11"/>
              <w:jc w:val="center"/>
              <w:rPr>
                <w:rFonts w:hint="eastAsia" w:ascii="黑体" w:hAnsi="黑体" w:eastAsia="黑体" w:cs="黑体"/>
                <w:color w:val="auto"/>
                <w:sz w:val="19"/>
                <w:szCs w:val="19"/>
              </w:rPr>
            </w:pPr>
          </w:p>
        </w:tc>
        <w:tc>
          <w:tcPr>
            <w:tcW w:w="847" w:type="dxa"/>
            <w:vAlign w:val="center"/>
          </w:tcPr>
          <w:p w14:paraId="5ACCAB01">
            <w:pPr>
              <w:pStyle w:val="11"/>
              <w:jc w:val="center"/>
              <w:rPr>
                <w:rFonts w:hint="eastAsia" w:ascii="黑体" w:hAnsi="黑体" w:eastAsia="黑体" w:cs="黑体"/>
                <w:color w:val="auto"/>
                <w:sz w:val="19"/>
                <w:szCs w:val="19"/>
              </w:rPr>
            </w:pPr>
          </w:p>
        </w:tc>
        <w:tc>
          <w:tcPr>
            <w:tcW w:w="1663" w:type="dxa"/>
            <w:vAlign w:val="center"/>
          </w:tcPr>
          <w:p w14:paraId="0CE686A1">
            <w:pPr>
              <w:pStyle w:val="11"/>
              <w:jc w:val="center"/>
              <w:rPr>
                <w:rFonts w:hint="eastAsia" w:ascii="黑体" w:hAnsi="黑体" w:eastAsia="黑体" w:cs="黑体"/>
                <w:color w:val="auto"/>
                <w:sz w:val="19"/>
                <w:szCs w:val="19"/>
              </w:rPr>
            </w:pPr>
          </w:p>
        </w:tc>
        <w:tc>
          <w:tcPr>
            <w:tcW w:w="1385" w:type="dxa"/>
            <w:vAlign w:val="center"/>
          </w:tcPr>
          <w:p w14:paraId="3D9DCDE4">
            <w:pPr>
              <w:pStyle w:val="11"/>
              <w:jc w:val="center"/>
              <w:rPr>
                <w:rFonts w:hint="eastAsia" w:ascii="黑体" w:hAnsi="黑体" w:eastAsia="黑体" w:cs="黑体"/>
                <w:color w:val="auto"/>
                <w:sz w:val="19"/>
                <w:szCs w:val="19"/>
              </w:rPr>
            </w:pPr>
          </w:p>
        </w:tc>
        <w:tc>
          <w:tcPr>
            <w:tcW w:w="847" w:type="dxa"/>
            <w:vAlign w:val="center"/>
          </w:tcPr>
          <w:p w14:paraId="4BC79EA9">
            <w:pPr>
              <w:pStyle w:val="11"/>
              <w:jc w:val="center"/>
              <w:rPr>
                <w:rFonts w:hint="eastAsia" w:ascii="黑体" w:hAnsi="黑体" w:eastAsia="黑体" w:cs="黑体"/>
                <w:color w:val="auto"/>
                <w:sz w:val="19"/>
                <w:szCs w:val="19"/>
              </w:rPr>
            </w:pPr>
          </w:p>
        </w:tc>
        <w:tc>
          <w:tcPr>
            <w:tcW w:w="847" w:type="dxa"/>
            <w:vAlign w:val="center"/>
          </w:tcPr>
          <w:p w14:paraId="284E18A8">
            <w:pPr>
              <w:pStyle w:val="11"/>
              <w:jc w:val="center"/>
              <w:rPr>
                <w:rFonts w:hint="eastAsia" w:ascii="黑体" w:hAnsi="黑体" w:eastAsia="黑体" w:cs="黑体"/>
                <w:color w:val="auto"/>
                <w:sz w:val="19"/>
                <w:szCs w:val="19"/>
              </w:rPr>
            </w:pPr>
          </w:p>
        </w:tc>
        <w:tc>
          <w:tcPr>
            <w:tcW w:w="847" w:type="dxa"/>
            <w:vAlign w:val="center"/>
          </w:tcPr>
          <w:p w14:paraId="5923DD5F">
            <w:pPr>
              <w:pStyle w:val="11"/>
              <w:jc w:val="center"/>
              <w:rPr>
                <w:rFonts w:hint="eastAsia" w:ascii="黑体" w:hAnsi="黑体" w:eastAsia="黑体" w:cs="黑体"/>
                <w:color w:val="auto"/>
                <w:sz w:val="19"/>
                <w:szCs w:val="19"/>
              </w:rPr>
            </w:pPr>
          </w:p>
        </w:tc>
        <w:tc>
          <w:tcPr>
            <w:tcW w:w="849" w:type="dxa"/>
            <w:vAlign w:val="center"/>
          </w:tcPr>
          <w:p w14:paraId="07F861A3">
            <w:pPr>
              <w:pStyle w:val="11"/>
              <w:jc w:val="center"/>
              <w:rPr>
                <w:rFonts w:hint="eastAsia" w:ascii="黑体" w:hAnsi="黑体" w:eastAsia="黑体" w:cs="黑体"/>
                <w:color w:val="auto"/>
                <w:sz w:val="19"/>
                <w:szCs w:val="19"/>
              </w:rPr>
            </w:pPr>
          </w:p>
        </w:tc>
      </w:tr>
      <w:tr w14:paraId="50A07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10E837DE">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5</w:t>
            </w:r>
          </w:p>
        </w:tc>
        <w:tc>
          <w:tcPr>
            <w:tcW w:w="1383" w:type="dxa"/>
            <w:vAlign w:val="center"/>
          </w:tcPr>
          <w:p w14:paraId="1B5D4502">
            <w:pPr>
              <w:pStyle w:val="11"/>
              <w:jc w:val="center"/>
              <w:rPr>
                <w:rFonts w:hint="eastAsia" w:ascii="黑体" w:hAnsi="黑体" w:eastAsia="黑体" w:cs="黑体"/>
                <w:color w:val="auto"/>
                <w:sz w:val="19"/>
                <w:szCs w:val="19"/>
              </w:rPr>
            </w:pPr>
          </w:p>
        </w:tc>
        <w:tc>
          <w:tcPr>
            <w:tcW w:w="847" w:type="dxa"/>
            <w:vAlign w:val="center"/>
          </w:tcPr>
          <w:p w14:paraId="32E157AE">
            <w:pPr>
              <w:pStyle w:val="11"/>
              <w:jc w:val="center"/>
              <w:rPr>
                <w:rFonts w:hint="eastAsia" w:ascii="黑体" w:hAnsi="黑体" w:eastAsia="黑体" w:cs="黑体"/>
                <w:color w:val="auto"/>
                <w:sz w:val="19"/>
                <w:szCs w:val="19"/>
              </w:rPr>
            </w:pPr>
          </w:p>
        </w:tc>
        <w:tc>
          <w:tcPr>
            <w:tcW w:w="1663" w:type="dxa"/>
            <w:vAlign w:val="center"/>
          </w:tcPr>
          <w:p w14:paraId="4499F327">
            <w:pPr>
              <w:pStyle w:val="11"/>
              <w:jc w:val="center"/>
              <w:rPr>
                <w:rFonts w:hint="eastAsia" w:ascii="黑体" w:hAnsi="黑体" w:eastAsia="黑体" w:cs="黑体"/>
                <w:color w:val="auto"/>
                <w:sz w:val="19"/>
                <w:szCs w:val="19"/>
              </w:rPr>
            </w:pPr>
          </w:p>
        </w:tc>
        <w:tc>
          <w:tcPr>
            <w:tcW w:w="1385" w:type="dxa"/>
            <w:vAlign w:val="center"/>
          </w:tcPr>
          <w:p w14:paraId="2CBDCD01">
            <w:pPr>
              <w:pStyle w:val="11"/>
              <w:jc w:val="center"/>
              <w:rPr>
                <w:rFonts w:hint="eastAsia" w:ascii="黑体" w:hAnsi="黑体" w:eastAsia="黑体" w:cs="黑体"/>
                <w:color w:val="auto"/>
                <w:sz w:val="19"/>
                <w:szCs w:val="19"/>
              </w:rPr>
            </w:pPr>
          </w:p>
        </w:tc>
        <w:tc>
          <w:tcPr>
            <w:tcW w:w="847" w:type="dxa"/>
            <w:vAlign w:val="center"/>
          </w:tcPr>
          <w:p w14:paraId="63AA322B">
            <w:pPr>
              <w:pStyle w:val="11"/>
              <w:jc w:val="center"/>
              <w:rPr>
                <w:rFonts w:hint="eastAsia" w:ascii="黑体" w:hAnsi="黑体" w:eastAsia="黑体" w:cs="黑体"/>
                <w:color w:val="auto"/>
                <w:sz w:val="19"/>
                <w:szCs w:val="19"/>
              </w:rPr>
            </w:pPr>
          </w:p>
        </w:tc>
        <w:tc>
          <w:tcPr>
            <w:tcW w:w="847" w:type="dxa"/>
            <w:vAlign w:val="center"/>
          </w:tcPr>
          <w:p w14:paraId="480E37D1">
            <w:pPr>
              <w:pStyle w:val="11"/>
              <w:jc w:val="center"/>
              <w:rPr>
                <w:rFonts w:hint="eastAsia" w:ascii="黑体" w:hAnsi="黑体" w:eastAsia="黑体" w:cs="黑体"/>
                <w:color w:val="auto"/>
                <w:sz w:val="19"/>
                <w:szCs w:val="19"/>
              </w:rPr>
            </w:pPr>
          </w:p>
        </w:tc>
        <w:tc>
          <w:tcPr>
            <w:tcW w:w="847" w:type="dxa"/>
            <w:vAlign w:val="center"/>
          </w:tcPr>
          <w:p w14:paraId="6A0E17AE">
            <w:pPr>
              <w:pStyle w:val="11"/>
              <w:jc w:val="center"/>
              <w:rPr>
                <w:rFonts w:hint="eastAsia" w:ascii="黑体" w:hAnsi="黑体" w:eastAsia="黑体" w:cs="黑体"/>
                <w:color w:val="auto"/>
                <w:sz w:val="19"/>
                <w:szCs w:val="19"/>
              </w:rPr>
            </w:pPr>
          </w:p>
        </w:tc>
        <w:tc>
          <w:tcPr>
            <w:tcW w:w="849" w:type="dxa"/>
            <w:vAlign w:val="center"/>
          </w:tcPr>
          <w:p w14:paraId="33A9FB9F">
            <w:pPr>
              <w:pStyle w:val="11"/>
              <w:jc w:val="center"/>
              <w:rPr>
                <w:rFonts w:hint="eastAsia" w:ascii="黑体" w:hAnsi="黑体" w:eastAsia="黑体" w:cs="黑体"/>
                <w:color w:val="auto"/>
                <w:sz w:val="19"/>
                <w:szCs w:val="19"/>
              </w:rPr>
            </w:pPr>
          </w:p>
        </w:tc>
      </w:tr>
      <w:tr w14:paraId="249B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1B51C1A1">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6</w:t>
            </w:r>
          </w:p>
        </w:tc>
        <w:tc>
          <w:tcPr>
            <w:tcW w:w="1383" w:type="dxa"/>
            <w:vAlign w:val="center"/>
          </w:tcPr>
          <w:p w14:paraId="75DE212E">
            <w:pPr>
              <w:pStyle w:val="11"/>
              <w:jc w:val="center"/>
              <w:rPr>
                <w:rFonts w:hint="eastAsia" w:ascii="黑体" w:hAnsi="黑体" w:eastAsia="黑体" w:cs="黑体"/>
                <w:color w:val="auto"/>
                <w:sz w:val="19"/>
                <w:szCs w:val="19"/>
              </w:rPr>
            </w:pPr>
          </w:p>
        </w:tc>
        <w:tc>
          <w:tcPr>
            <w:tcW w:w="847" w:type="dxa"/>
            <w:vAlign w:val="center"/>
          </w:tcPr>
          <w:p w14:paraId="349B8FDD">
            <w:pPr>
              <w:pStyle w:val="11"/>
              <w:jc w:val="center"/>
              <w:rPr>
                <w:rFonts w:hint="eastAsia" w:ascii="黑体" w:hAnsi="黑体" w:eastAsia="黑体" w:cs="黑体"/>
                <w:color w:val="auto"/>
                <w:sz w:val="19"/>
                <w:szCs w:val="19"/>
              </w:rPr>
            </w:pPr>
          </w:p>
        </w:tc>
        <w:tc>
          <w:tcPr>
            <w:tcW w:w="1663" w:type="dxa"/>
            <w:vAlign w:val="center"/>
          </w:tcPr>
          <w:p w14:paraId="3FECEACC">
            <w:pPr>
              <w:pStyle w:val="11"/>
              <w:jc w:val="center"/>
              <w:rPr>
                <w:rFonts w:hint="eastAsia" w:ascii="黑体" w:hAnsi="黑体" w:eastAsia="黑体" w:cs="黑体"/>
                <w:color w:val="auto"/>
                <w:sz w:val="19"/>
                <w:szCs w:val="19"/>
              </w:rPr>
            </w:pPr>
          </w:p>
        </w:tc>
        <w:tc>
          <w:tcPr>
            <w:tcW w:w="1385" w:type="dxa"/>
            <w:vAlign w:val="center"/>
          </w:tcPr>
          <w:p w14:paraId="057ABB85">
            <w:pPr>
              <w:pStyle w:val="11"/>
              <w:jc w:val="center"/>
              <w:rPr>
                <w:rFonts w:hint="eastAsia" w:ascii="黑体" w:hAnsi="黑体" w:eastAsia="黑体" w:cs="黑体"/>
                <w:color w:val="auto"/>
                <w:sz w:val="19"/>
                <w:szCs w:val="19"/>
              </w:rPr>
            </w:pPr>
          </w:p>
        </w:tc>
        <w:tc>
          <w:tcPr>
            <w:tcW w:w="847" w:type="dxa"/>
            <w:vAlign w:val="center"/>
          </w:tcPr>
          <w:p w14:paraId="5A478515">
            <w:pPr>
              <w:pStyle w:val="11"/>
              <w:jc w:val="center"/>
              <w:rPr>
                <w:rFonts w:hint="eastAsia" w:ascii="黑体" w:hAnsi="黑体" w:eastAsia="黑体" w:cs="黑体"/>
                <w:color w:val="auto"/>
                <w:sz w:val="19"/>
                <w:szCs w:val="19"/>
              </w:rPr>
            </w:pPr>
          </w:p>
        </w:tc>
        <w:tc>
          <w:tcPr>
            <w:tcW w:w="847" w:type="dxa"/>
            <w:vAlign w:val="center"/>
          </w:tcPr>
          <w:p w14:paraId="7AF53316">
            <w:pPr>
              <w:pStyle w:val="11"/>
              <w:jc w:val="center"/>
              <w:rPr>
                <w:rFonts w:hint="eastAsia" w:ascii="黑体" w:hAnsi="黑体" w:eastAsia="黑体" w:cs="黑体"/>
                <w:color w:val="auto"/>
                <w:sz w:val="19"/>
                <w:szCs w:val="19"/>
              </w:rPr>
            </w:pPr>
          </w:p>
        </w:tc>
        <w:tc>
          <w:tcPr>
            <w:tcW w:w="847" w:type="dxa"/>
            <w:vAlign w:val="center"/>
          </w:tcPr>
          <w:p w14:paraId="275EAAA1">
            <w:pPr>
              <w:pStyle w:val="11"/>
              <w:jc w:val="center"/>
              <w:rPr>
                <w:rFonts w:hint="eastAsia" w:ascii="黑体" w:hAnsi="黑体" w:eastAsia="黑体" w:cs="黑体"/>
                <w:color w:val="auto"/>
                <w:sz w:val="19"/>
                <w:szCs w:val="19"/>
              </w:rPr>
            </w:pPr>
          </w:p>
        </w:tc>
        <w:tc>
          <w:tcPr>
            <w:tcW w:w="849" w:type="dxa"/>
            <w:vAlign w:val="center"/>
          </w:tcPr>
          <w:p w14:paraId="44AF4C51">
            <w:pPr>
              <w:pStyle w:val="11"/>
              <w:jc w:val="center"/>
              <w:rPr>
                <w:rFonts w:hint="eastAsia" w:ascii="黑体" w:hAnsi="黑体" w:eastAsia="黑体" w:cs="黑体"/>
                <w:color w:val="auto"/>
                <w:sz w:val="19"/>
                <w:szCs w:val="19"/>
              </w:rPr>
            </w:pPr>
          </w:p>
        </w:tc>
      </w:tr>
      <w:tr w14:paraId="56D4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3" w:type="dxa"/>
            <w:vAlign w:val="center"/>
          </w:tcPr>
          <w:p w14:paraId="00173B64">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7</w:t>
            </w:r>
          </w:p>
        </w:tc>
        <w:tc>
          <w:tcPr>
            <w:tcW w:w="1383" w:type="dxa"/>
            <w:vAlign w:val="center"/>
          </w:tcPr>
          <w:p w14:paraId="3FFB2492">
            <w:pPr>
              <w:pStyle w:val="11"/>
              <w:jc w:val="center"/>
              <w:rPr>
                <w:rFonts w:hint="eastAsia" w:ascii="黑体" w:hAnsi="黑体" w:eastAsia="黑体" w:cs="黑体"/>
                <w:color w:val="auto"/>
                <w:sz w:val="19"/>
                <w:szCs w:val="19"/>
              </w:rPr>
            </w:pPr>
          </w:p>
        </w:tc>
        <w:tc>
          <w:tcPr>
            <w:tcW w:w="847" w:type="dxa"/>
            <w:vAlign w:val="center"/>
          </w:tcPr>
          <w:p w14:paraId="257D2D64">
            <w:pPr>
              <w:pStyle w:val="11"/>
              <w:jc w:val="center"/>
              <w:rPr>
                <w:rFonts w:hint="eastAsia" w:ascii="黑体" w:hAnsi="黑体" w:eastAsia="黑体" w:cs="黑体"/>
                <w:color w:val="auto"/>
                <w:sz w:val="19"/>
                <w:szCs w:val="19"/>
              </w:rPr>
            </w:pPr>
          </w:p>
        </w:tc>
        <w:tc>
          <w:tcPr>
            <w:tcW w:w="1663" w:type="dxa"/>
            <w:vAlign w:val="center"/>
          </w:tcPr>
          <w:p w14:paraId="251C27CA">
            <w:pPr>
              <w:pStyle w:val="11"/>
              <w:jc w:val="center"/>
              <w:rPr>
                <w:rFonts w:hint="eastAsia" w:ascii="黑体" w:hAnsi="黑体" w:eastAsia="黑体" w:cs="黑体"/>
                <w:color w:val="auto"/>
                <w:sz w:val="19"/>
                <w:szCs w:val="19"/>
              </w:rPr>
            </w:pPr>
          </w:p>
        </w:tc>
        <w:tc>
          <w:tcPr>
            <w:tcW w:w="1385" w:type="dxa"/>
            <w:vAlign w:val="center"/>
          </w:tcPr>
          <w:p w14:paraId="387A28A3">
            <w:pPr>
              <w:pStyle w:val="11"/>
              <w:jc w:val="center"/>
              <w:rPr>
                <w:rFonts w:hint="eastAsia" w:ascii="黑体" w:hAnsi="黑体" w:eastAsia="黑体" w:cs="黑体"/>
                <w:color w:val="auto"/>
                <w:sz w:val="19"/>
                <w:szCs w:val="19"/>
              </w:rPr>
            </w:pPr>
          </w:p>
        </w:tc>
        <w:tc>
          <w:tcPr>
            <w:tcW w:w="847" w:type="dxa"/>
            <w:vAlign w:val="center"/>
          </w:tcPr>
          <w:p w14:paraId="0208078E">
            <w:pPr>
              <w:pStyle w:val="11"/>
              <w:jc w:val="center"/>
              <w:rPr>
                <w:rFonts w:hint="eastAsia" w:ascii="黑体" w:hAnsi="黑体" w:eastAsia="黑体" w:cs="黑体"/>
                <w:color w:val="auto"/>
                <w:sz w:val="19"/>
                <w:szCs w:val="19"/>
              </w:rPr>
            </w:pPr>
          </w:p>
        </w:tc>
        <w:tc>
          <w:tcPr>
            <w:tcW w:w="847" w:type="dxa"/>
            <w:vAlign w:val="center"/>
          </w:tcPr>
          <w:p w14:paraId="32F81150">
            <w:pPr>
              <w:pStyle w:val="11"/>
              <w:jc w:val="center"/>
              <w:rPr>
                <w:rFonts w:hint="eastAsia" w:ascii="黑体" w:hAnsi="黑体" w:eastAsia="黑体" w:cs="黑体"/>
                <w:color w:val="auto"/>
                <w:sz w:val="19"/>
                <w:szCs w:val="19"/>
              </w:rPr>
            </w:pPr>
          </w:p>
        </w:tc>
        <w:tc>
          <w:tcPr>
            <w:tcW w:w="847" w:type="dxa"/>
            <w:vAlign w:val="center"/>
          </w:tcPr>
          <w:p w14:paraId="162051FF">
            <w:pPr>
              <w:pStyle w:val="11"/>
              <w:jc w:val="center"/>
              <w:rPr>
                <w:rFonts w:hint="eastAsia" w:ascii="黑体" w:hAnsi="黑体" w:eastAsia="黑体" w:cs="黑体"/>
                <w:color w:val="auto"/>
                <w:sz w:val="19"/>
                <w:szCs w:val="19"/>
              </w:rPr>
            </w:pPr>
          </w:p>
        </w:tc>
        <w:tc>
          <w:tcPr>
            <w:tcW w:w="849" w:type="dxa"/>
            <w:vAlign w:val="center"/>
          </w:tcPr>
          <w:p w14:paraId="3948349D">
            <w:pPr>
              <w:pStyle w:val="11"/>
              <w:jc w:val="center"/>
              <w:rPr>
                <w:rFonts w:hint="eastAsia" w:ascii="黑体" w:hAnsi="黑体" w:eastAsia="黑体" w:cs="黑体"/>
                <w:color w:val="auto"/>
                <w:sz w:val="19"/>
                <w:szCs w:val="19"/>
              </w:rPr>
            </w:pPr>
          </w:p>
        </w:tc>
      </w:tr>
      <w:tr w14:paraId="7634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3" w:type="dxa"/>
            <w:vAlign w:val="center"/>
          </w:tcPr>
          <w:p w14:paraId="51319012">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w:t>
            </w:r>
          </w:p>
        </w:tc>
        <w:tc>
          <w:tcPr>
            <w:tcW w:w="1383" w:type="dxa"/>
            <w:vAlign w:val="center"/>
          </w:tcPr>
          <w:p w14:paraId="7EAA5C7E">
            <w:pPr>
              <w:pStyle w:val="11"/>
              <w:jc w:val="center"/>
              <w:rPr>
                <w:rFonts w:hint="eastAsia" w:ascii="黑体" w:hAnsi="黑体" w:eastAsia="黑体" w:cs="黑体"/>
                <w:color w:val="auto"/>
                <w:sz w:val="19"/>
                <w:szCs w:val="19"/>
              </w:rPr>
            </w:pPr>
          </w:p>
        </w:tc>
        <w:tc>
          <w:tcPr>
            <w:tcW w:w="847" w:type="dxa"/>
            <w:vAlign w:val="center"/>
          </w:tcPr>
          <w:p w14:paraId="148D5603">
            <w:pPr>
              <w:pStyle w:val="11"/>
              <w:jc w:val="center"/>
              <w:rPr>
                <w:rFonts w:hint="eastAsia" w:ascii="黑体" w:hAnsi="黑体" w:eastAsia="黑体" w:cs="黑体"/>
                <w:color w:val="auto"/>
                <w:sz w:val="19"/>
                <w:szCs w:val="19"/>
              </w:rPr>
            </w:pPr>
          </w:p>
        </w:tc>
        <w:tc>
          <w:tcPr>
            <w:tcW w:w="1663" w:type="dxa"/>
            <w:vAlign w:val="center"/>
          </w:tcPr>
          <w:p w14:paraId="74A10E8E">
            <w:pPr>
              <w:pStyle w:val="11"/>
              <w:jc w:val="center"/>
              <w:rPr>
                <w:rFonts w:hint="eastAsia" w:ascii="黑体" w:hAnsi="黑体" w:eastAsia="黑体" w:cs="黑体"/>
                <w:color w:val="auto"/>
                <w:sz w:val="19"/>
                <w:szCs w:val="19"/>
              </w:rPr>
            </w:pPr>
          </w:p>
        </w:tc>
        <w:tc>
          <w:tcPr>
            <w:tcW w:w="1385" w:type="dxa"/>
            <w:vAlign w:val="center"/>
          </w:tcPr>
          <w:p w14:paraId="638C783F">
            <w:pPr>
              <w:pStyle w:val="11"/>
              <w:jc w:val="center"/>
              <w:rPr>
                <w:rFonts w:hint="eastAsia" w:ascii="黑体" w:hAnsi="黑体" w:eastAsia="黑体" w:cs="黑体"/>
                <w:color w:val="auto"/>
                <w:sz w:val="19"/>
                <w:szCs w:val="19"/>
              </w:rPr>
            </w:pPr>
          </w:p>
        </w:tc>
        <w:tc>
          <w:tcPr>
            <w:tcW w:w="847" w:type="dxa"/>
            <w:vAlign w:val="center"/>
          </w:tcPr>
          <w:p w14:paraId="0945F838">
            <w:pPr>
              <w:pStyle w:val="11"/>
              <w:jc w:val="center"/>
              <w:rPr>
                <w:rFonts w:hint="eastAsia" w:ascii="黑体" w:hAnsi="黑体" w:eastAsia="黑体" w:cs="黑体"/>
                <w:color w:val="auto"/>
                <w:sz w:val="19"/>
                <w:szCs w:val="19"/>
              </w:rPr>
            </w:pPr>
          </w:p>
        </w:tc>
        <w:tc>
          <w:tcPr>
            <w:tcW w:w="847" w:type="dxa"/>
            <w:vAlign w:val="center"/>
          </w:tcPr>
          <w:p w14:paraId="0280D983">
            <w:pPr>
              <w:pStyle w:val="11"/>
              <w:jc w:val="center"/>
              <w:rPr>
                <w:rFonts w:hint="eastAsia" w:ascii="黑体" w:hAnsi="黑体" w:eastAsia="黑体" w:cs="黑体"/>
                <w:color w:val="auto"/>
                <w:sz w:val="19"/>
                <w:szCs w:val="19"/>
              </w:rPr>
            </w:pPr>
          </w:p>
        </w:tc>
        <w:tc>
          <w:tcPr>
            <w:tcW w:w="847" w:type="dxa"/>
            <w:vAlign w:val="center"/>
          </w:tcPr>
          <w:p w14:paraId="06580B7F">
            <w:pPr>
              <w:pStyle w:val="11"/>
              <w:jc w:val="center"/>
              <w:rPr>
                <w:rFonts w:hint="eastAsia" w:ascii="黑体" w:hAnsi="黑体" w:eastAsia="黑体" w:cs="黑体"/>
                <w:color w:val="auto"/>
                <w:sz w:val="19"/>
                <w:szCs w:val="19"/>
              </w:rPr>
            </w:pPr>
          </w:p>
        </w:tc>
        <w:tc>
          <w:tcPr>
            <w:tcW w:w="849" w:type="dxa"/>
            <w:vAlign w:val="center"/>
          </w:tcPr>
          <w:p w14:paraId="1BDEE285">
            <w:pPr>
              <w:pStyle w:val="11"/>
              <w:jc w:val="center"/>
              <w:rPr>
                <w:rFonts w:hint="eastAsia" w:ascii="黑体" w:hAnsi="黑体" w:eastAsia="黑体" w:cs="黑体"/>
                <w:color w:val="auto"/>
                <w:sz w:val="19"/>
                <w:szCs w:val="19"/>
              </w:rPr>
            </w:pPr>
          </w:p>
        </w:tc>
      </w:tr>
      <w:tr w14:paraId="612A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3" w:type="dxa"/>
            <w:vAlign w:val="center"/>
          </w:tcPr>
          <w:p w14:paraId="2ADC3A99">
            <w:pPr>
              <w:pStyle w:val="11"/>
              <w:jc w:val="center"/>
              <w:rPr>
                <w:rFonts w:hint="eastAsia" w:ascii="黑体" w:hAnsi="黑体" w:eastAsia="黑体" w:cs="黑体"/>
                <w:color w:val="auto"/>
                <w:sz w:val="19"/>
                <w:szCs w:val="19"/>
              </w:rPr>
            </w:pPr>
          </w:p>
        </w:tc>
        <w:tc>
          <w:tcPr>
            <w:tcW w:w="1383" w:type="dxa"/>
            <w:vAlign w:val="center"/>
          </w:tcPr>
          <w:p w14:paraId="1AEE9B3E">
            <w:pPr>
              <w:pStyle w:val="11"/>
              <w:jc w:val="center"/>
              <w:rPr>
                <w:rFonts w:hint="eastAsia" w:ascii="黑体" w:hAnsi="黑体" w:eastAsia="黑体" w:cs="黑体"/>
                <w:color w:val="auto"/>
                <w:sz w:val="19"/>
                <w:szCs w:val="19"/>
              </w:rPr>
            </w:pPr>
          </w:p>
        </w:tc>
        <w:tc>
          <w:tcPr>
            <w:tcW w:w="847" w:type="dxa"/>
            <w:vAlign w:val="center"/>
          </w:tcPr>
          <w:p w14:paraId="22D7F7E1">
            <w:pPr>
              <w:pStyle w:val="11"/>
              <w:jc w:val="center"/>
              <w:rPr>
                <w:rFonts w:hint="eastAsia" w:ascii="黑体" w:hAnsi="黑体" w:eastAsia="黑体" w:cs="黑体"/>
                <w:color w:val="auto"/>
                <w:sz w:val="19"/>
                <w:szCs w:val="19"/>
              </w:rPr>
            </w:pPr>
          </w:p>
        </w:tc>
        <w:tc>
          <w:tcPr>
            <w:tcW w:w="1663" w:type="dxa"/>
            <w:vAlign w:val="center"/>
          </w:tcPr>
          <w:p w14:paraId="7E9C705C">
            <w:pPr>
              <w:pStyle w:val="11"/>
              <w:jc w:val="center"/>
              <w:rPr>
                <w:rFonts w:hint="eastAsia" w:ascii="黑体" w:hAnsi="黑体" w:eastAsia="黑体" w:cs="黑体"/>
                <w:color w:val="auto"/>
                <w:sz w:val="19"/>
                <w:szCs w:val="19"/>
              </w:rPr>
            </w:pPr>
          </w:p>
        </w:tc>
        <w:tc>
          <w:tcPr>
            <w:tcW w:w="1385" w:type="dxa"/>
            <w:vAlign w:val="center"/>
          </w:tcPr>
          <w:p w14:paraId="428B7C38">
            <w:pPr>
              <w:pStyle w:val="11"/>
              <w:jc w:val="center"/>
              <w:rPr>
                <w:rFonts w:hint="eastAsia" w:ascii="黑体" w:hAnsi="黑体" w:eastAsia="黑体" w:cs="黑体"/>
                <w:color w:val="auto"/>
                <w:sz w:val="19"/>
                <w:szCs w:val="19"/>
              </w:rPr>
            </w:pPr>
          </w:p>
        </w:tc>
        <w:tc>
          <w:tcPr>
            <w:tcW w:w="847" w:type="dxa"/>
            <w:vAlign w:val="center"/>
          </w:tcPr>
          <w:p w14:paraId="124ED3A3">
            <w:pPr>
              <w:pStyle w:val="11"/>
              <w:jc w:val="center"/>
              <w:rPr>
                <w:rFonts w:hint="eastAsia" w:ascii="黑体" w:hAnsi="黑体" w:eastAsia="黑体" w:cs="黑体"/>
                <w:color w:val="auto"/>
                <w:sz w:val="19"/>
                <w:szCs w:val="19"/>
              </w:rPr>
            </w:pPr>
          </w:p>
        </w:tc>
        <w:tc>
          <w:tcPr>
            <w:tcW w:w="847" w:type="dxa"/>
            <w:vAlign w:val="center"/>
          </w:tcPr>
          <w:p w14:paraId="28F7C32E">
            <w:pPr>
              <w:pStyle w:val="11"/>
              <w:jc w:val="center"/>
              <w:rPr>
                <w:rFonts w:hint="eastAsia" w:ascii="黑体" w:hAnsi="黑体" w:eastAsia="黑体" w:cs="黑体"/>
                <w:color w:val="auto"/>
                <w:sz w:val="19"/>
                <w:szCs w:val="19"/>
              </w:rPr>
            </w:pPr>
          </w:p>
        </w:tc>
        <w:tc>
          <w:tcPr>
            <w:tcW w:w="847" w:type="dxa"/>
            <w:vAlign w:val="center"/>
          </w:tcPr>
          <w:p w14:paraId="5473AD28">
            <w:pPr>
              <w:pStyle w:val="11"/>
              <w:jc w:val="center"/>
              <w:rPr>
                <w:rFonts w:hint="eastAsia" w:ascii="黑体" w:hAnsi="黑体" w:eastAsia="黑体" w:cs="黑体"/>
                <w:color w:val="auto"/>
                <w:sz w:val="19"/>
                <w:szCs w:val="19"/>
              </w:rPr>
            </w:pPr>
          </w:p>
        </w:tc>
        <w:tc>
          <w:tcPr>
            <w:tcW w:w="849" w:type="dxa"/>
            <w:vAlign w:val="center"/>
          </w:tcPr>
          <w:p w14:paraId="4138A9C8">
            <w:pPr>
              <w:pStyle w:val="11"/>
              <w:jc w:val="center"/>
              <w:rPr>
                <w:rFonts w:hint="eastAsia" w:ascii="黑体" w:hAnsi="黑体" w:eastAsia="黑体" w:cs="黑体"/>
                <w:color w:val="auto"/>
                <w:sz w:val="19"/>
                <w:szCs w:val="19"/>
              </w:rPr>
            </w:pPr>
          </w:p>
        </w:tc>
      </w:tr>
      <w:tr w14:paraId="01D1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4846" w:type="dxa"/>
            <w:gridSpan w:val="4"/>
            <w:vAlign w:val="center"/>
          </w:tcPr>
          <w:p w14:paraId="27EFF5EC">
            <w:pPr>
              <w:pStyle w:val="11"/>
              <w:jc w:val="center"/>
              <w:rPr>
                <w:rFonts w:hint="eastAsia" w:ascii="黑体" w:hAnsi="黑体" w:eastAsia="黑体" w:cs="黑体"/>
                <w:color w:val="auto"/>
                <w:sz w:val="19"/>
                <w:szCs w:val="19"/>
              </w:rPr>
            </w:pPr>
            <w:r>
              <w:rPr>
                <w:rFonts w:hint="eastAsia" w:ascii="黑体" w:hAnsi="黑体" w:eastAsia="黑体" w:cs="黑体"/>
                <w:color w:val="auto"/>
                <w:sz w:val="19"/>
                <w:szCs w:val="19"/>
              </w:rPr>
              <w:t>合计金额</w:t>
            </w:r>
          </w:p>
        </w:tc>
        <w:tc>
          <w:tcPr>
            <w:tcW w:w="4775" w:type="dxa"/>
            <w:gridSpan w:val="5"/>
            <w:vAlign w:val="center"/>
          </w:tcPr>
          <w:p w14:paraId="7107F62B">
            <w:pPr>
              <w:pStyle w:val="11"/>
              <w:jc w:val="both"/>
              <w:rPr>
                <w:rFonts w:hint="eastAsia" w:ascii="黑体" w:hAnsi="黑体" w:eastAsia="黑体" w:cs="黑体"/>
                <w:color w:val="auto"/>
                <w:sz w:val="19"/>
                <w:szCs w:val="19"/>
              </w:rPr>
            </w:pPr>
            <w:r>
              <w:rPr>
                <w:rFonts w:hint="eastAsia" w:ascii="黑体" w:hAnsi="黑体" w:eastAsia="黑体" w:cs="黑体"/>
                <w:color w:val="auto"/>
                <w:sz w:val="19"/>
                <w:szCs w:val="19"/>
              </w:rPr>
              <w:t>小写：</w:t>
            </w:r>
          </w:p>
          <w:p w14:paraId="0CDE4673">
            <w:pPr>
              <w:rPr>
                <w:rFonts w:hint="eastAsia"/>
              </w:rPr>
            </w:pPr>
            <w:r>
              <w:rPr>
                <w:rFonts w:hint="eastAsia" w:ascii="黑体" w:hAnsi="黑体" w:eastAsia="黑体" w:cs="黑体"/>
                <w:sz w:val="19"/>
                <w:szCs w:val="19"/>
              </w:rPr>
              <w:t>大写：</w:t>
            </w:r>
          </w:p>
        </w:tc>
      </w:tr>
    </w:tbl>
    <w:p w14:paraId="109E6593">
      <w:pPr>
        <w:pStyle w:val="11"/>
        <w:ind w:firstLine="380" w:firstLineChars="200"/>
        <w:rPr>
          <w:rFonts w:hint="eastAsia" w:ascii="黑体" w:hAnsi="黑体" w:eastAsia="黑体" w:cs="黑体"/>
          <w:color w:val="auto"/>
          <w:sz w:val="19"/>
          <w:szCs w:val="19"/>
        </w:rPr>
      </w:pPr>
    </w:p>
    <w:p w14:paraId="49D7B322">
      <w:pPr>
        <w:pStyle w:val="11"/>
        <w:rPr>
          <w:rFonts w:hint="eastAsia" w:ascii="黑体" w:hAnsi="黑体" w:eastAsia="黑体" w:cs="黑体"/>
          <w:color w:val="auto"/>
          <w:sz w:val="19"/>
          <w:szCs w:val="19"/>
        </w:rPr>
      </w:pPr>
    </w:p>
    <w:p w14:paraId="4F09F4F9">
      <w:pPr>
        <w:pStyle w:val="11"/>
        <w:spacing w:beforeAutospacing="0" w:afterAutospacing="0" w:line="360" w:lineRule="auto"/>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投标人名称（盖章）：</w:t>
      </w:r>
      <w:r>
        <w:rPr>
          <w:rFonts w:hint="eastAsia" w:ascii="黑体" w:hAnsi="黑体" w:eastAsia="黑体" w:cs="黑体"/>
          <w:sz w:val="19"/>
          <w:szCs w:val="19"/>
        </w:rPr>
        <w:t>____________</w:t>
      </w:r>
    </w:p>
    <w:p w14:paraId="5AC7BF55">
      <w:pPr>
        <w:pStyle w:val="11"/>
        <w:spacing w:beforeAutospacing="0" w:afterAutospacing="0" w:line="360" w:lineRule="auto"/>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法定代表人或授权代表（签字或盖章）：</w:t>
      </w:r>
      <w:r>
        <w:rPr>
          <w:rFonts w:hint="eastAsia" w:ascii="黑体" w:hAnsi="黑体" w:eastAsia="黑体" w:cs="黑体"/>
          <w:sz w:val="19"/>
          <w:szCs w:val="19"/>
        </w:rPr>
        <w:t>____________</w:t>
      </w:r>
    </w:p>
    <w:p w14:paraId="186FA459">
      <w:pPr>
        <w:pStyle w:val="11"/>
        <w:spacing w:beforeAutospacing="0" w:afterAutospacing="0" w:line="360" w:lineRule="auto"/>
        <w:ind w:firstLine="380" w:firstLineChars="200"/>
        <w:rPr>
          <w:rFonts w:hint="eastAsia" w:eastAsia="宋体" w:cs="宋体"/>
          <w:color w:val="auto"/>
          <w:sz w:val="22"/>
          <w:szCs w:val="22"/>
        </w:rPr>
      </w:pPr>
      <w:r>
        <w:rPr>
          <w:rFonts w:hint="eastAsia" w:ascii="黑体" w:hAnsi="黑体" w:eastAsia="黑体" w:cs="黑体"/>
          <w:color w:val="auto"/>
          <w:sz w:val="19"/>
          <w:szCs w:val="19"/>
        </w:rPr>
        <w:t>日期：______年____月____日</w:t>
      </w:r>
    </w:p>
    <w:p w14:paraId="1987DDBE">
      <w:pPr>
        <w:pStyle w:val="11"/>
        <w:spacing w:line="360" w:lineRule="auto"/>
        <w:jc w:val="center"/>
        <w:outlineLvl w:val="1"/>
        <w:rPr>
          <w:rFonts w:hint="eastAsia" w:eastAsia="宋体" w:cs="宋体"/>
          <w:b/>
          <w:color w:val="auto"/>
          <w:sz w:val="22"/>
          <w:szCs w:val="22"/>
        </w:rPr>
        <w:sectPr>
          <w:pgSz w:w="11905" w:h="16838"/>
          <w:pgMar w:top="1417" w:right="1247" w:bottom="1474" w:left="1247" w:header="850" w:footer="992" w:gutter="0"/>
          <w:pgNumType w:fmt="numberInDash"/>
          <w:cols w:space="0" w:num="1"/>
          <w:docGrid w:type="lines" w:linePitch="436" w:charSpace="0"/>
        </w:sectPr>
      </w:pPr>
    </w:p>
    <w:p w14:paraId="69C2BC14">
      <w:pPr>
        <w:pStyle w:val="3"/>
        <w:numPr>
          <w:ilvl w:val="0"/>
          <w:numId w:val="13"/>
        </w:numPr>
        <w:tabs>
          <w:tab w:val="left" w:pos="360"/>
          <w:tab w:val="clear" w:pos="576"/>
        </w:tabs>
        <w:autoSpaceDE w:val="0"/>
        <w:autoSpaceDN w:val="0"/>
        <w:adjustRightInd w:val="0"/>
        <w:spacing w:before="0" w:after="218" w:afterLines="50" w:line="480" w:lineRule="exact"/>
        <w:jc w:val="center"/>
        <w:textAlignment w:val="baseline"/>
        <w:rPr>
          <w:rFonts w:hint="eastAsia" w:ascii="黑体" w:hAnsi="黑体" w:cs="黑体"/>
          <w:sz w:val="28"/>
          <w:szCs w:val="28"/>
        </w:rPr>
      </w:pPr>
      <w:bookmarkStart w:id="49" w:name="_Toc15487"/>
      <w:bookmarkStart w:id="50" w:name="_Toc27358"/>
      <w:r>
        <w:rPr>
          <w:rFonts w:hint="eastAsia" w:ascii="黑体" w:hAnsi="黑体" w:cs="黑体"/>
          <w:sz w:val="28"/>
          <w:szCs w:val="28"/>
        </w:rPr>
        <w:t>资格证明文件目录</w:t>
      </w:r>
      <w:bookmarkEnd w:id="49"/>
      <w:bookmarkEnd w:id="50"/>
      <w:bookmarkStart w:id="51" w:name="_Toc240"/>
      <w:bookmarkStart w:id="52" w:name="_Toc26561"/>
      <w:bookmarkStart w:id="53" w:name="_Toc1460"/>
    </w:p>
    <w:p w14:paraId="16E2B708">
      <w:pPr>
        <w:keepNext/>
        <w:keepLines/>
        <w:spacing w:after="218" w:afterLines="50" w:line="480" w:lineRule="exact"/>
        <w:jc w:val="center"/>
        <w:outlineLvl w:val="1"/>
        <w:rPr>
          <w:rFonts w:hint="eastAsia" w:ascii="黑体" w:hAnsi="黑体" w:eastAsia="黑体" w:cs="黑体"/>
          <w:sz w:val="28"/>
          <w:szCs w:val="28"/>
        </w:rPr>
      </w:pPr>
      <w:r>
        <w:rPr>
          <w:rFonts w:hint="eastAsia" w:ascii="黑体" w:hAnsi="黑体" w:eastAsia="黑体" w:cs="黑体"/>
          <w:b/>
          <w:sz w:val="28"/>
          <w:szCs w:val="28"/>
        </w:rPr>
        <w:t>（一）基本资格条件</w:t>
      </w:r>
    </w:p>
    <w:p w14:paraId="54550020">
      <w:pPr>
        <w:spacing w:before="87" w:beforeLines="20" w:line="480" w:lineRule="exact"/>
        <w:rPr>
          <w:rFonts w:hint="eastAsia" w:ascii="黑体" w:hAnsi="黑体" w:eastAsia="黑体" w:cs="黑体"/>
          <w:sz w:val="19"/>
          <w:szCs w:val="19"/>
        </w:rPr>
      </w:pPr>
      <w:r>
        <w:rPr>
          <w:rFonts w:hint="eastAsia" w:ascii="黑体" w:hAnsi="黑体" w:eastAsia="黑体" w:cs="黑体"/>
          <w:sz w:val="19"/>
          <w:szCs w:val="19"/>
        </w:rPr>
        <w:t>1、主体资格：具有独立承担民事责任能力的法人、其他组织或自然人；提供有效存续的证明文件。</w:t>
      </w:r>
    </w:p>
    <w:p w14:paraId="4A9B4252">
      <w:pPr>
        <w:spacing w:before="87" w:beforeLines="20" w:line="480" w:lineRule="exact"/>
        <w:rPr>
          <w:rFonts w:hint="eastAsia" w:ascii="黑体" w:hAnsi="黑体" w:eastAsia="黑体" w:cs="黑体"/>
          <w:sz w:val="19"/>
          <w:szCs w:val="19"/>
        </w:rPr>
      </w:pPr>
      <w:r>
        <w:rPr>
          <w:rFonts w:hint="eastAsia" w:ascii="黑体" w:hAnsi="黑体" w:eastAsia="黑体" w:cs="黑体"/>
          <w:sz w:val="19"/>
          <w:szCs w:val="19"/>
        </w:rPr>
        <w:t>2、基本资格条件承诺函：投标人应按照《陕西省西咸新区财政金融局关于全面推行政府采购供应商基本资格条件承诺制的通知》（陕西咸财金发〔2023】119号）文件要求，需提供加盖投标人公章的《基本资格条件承诺函》。</w:t>
      </w:r>
      <w:r>
        <w:rPr>
          <w:rFonts w:hint="eastAsia" w:ascii="黑体" w:hAnsi="黑体" w:eastAsia="黑体" w:cs="黑体"/>
          <w:sz w:val="19"/>
          <w:szCs w:val="19"/>
        </w:rPr>
        <w:br w:type="textWrapping"/>
      </w:r>
    </w:p>
    <w:p w14:paraId="7D304C2C">
      <w:pPr>
        <w:spacing w:before="87" w:beforeLines="20" w:line="480" w:lineRule="exact"/>
        <w:jc w:val="center"/>
        <w:rPr>
          <w:rFonts w:hint="eastAsia" w:ascii="黑体" w:hAnsi="黑体" w:eastAsia="黑体" w:cs="黑体"/>
        </w:rPr>
      </w:pPr>
      <w:r>
        <w:rPr>
          <w:rFonts w:hint="eastAsia" w:ascii="黑体" w:hAnsi="黑体" w:eastAsia="黑体" w:cs="黑体"/>
        </w:rPr>
        <w:t>基本资格条件承诺函</w:t>
      </w:r>
    </w:p>
    <w:p w14:paraId="23FA822F">
      <w:pPr>
        <w:spacing w:before="87" w:beforeLines="20" w:line="480" w:lineRule="exact"/>
        <w:jc w:val="center"/>
        <w:rPr>
          <w:rFonts w:hint="eastAsia" w:ascii="黑体" w:hAnsi="黑体" w:eastAsia="黑体" w:cs="黑体"/>
        </w:rPr>
      </w:pPr>
    </w:p>
    <w:p w14:paraId="12D6F16B">
      <w:pPr>
        <w:spacing w:before="87" w:beforeLines="20" w:line="480" w:lineRule="exact"/>
        <w:rPr>
          <w:rFonts w:hint="eastAsia" w:ascii="黑体" w:hAnsi="黑体" w:eastAsia="黑体" w:cs="黑体"/>
          <w:sz w:val="19"/>
          <w:szCs w:val="19"/>
        </w:rPr>
      </w:pPr>
      <w:r>
        <w:rPr>
          <w:rFonts w:hint="eastAsia" w:ascii="黑体" w:hAnsi="黑体" w:eastAsia="黑体" w:cs="黑体"/>
          <w:sz w:val="19"/>
          <w:szCs w:val="19"/>
        </w:rPr>
        <w:t xml:space="preserve">致 </w:t>
      </w:r>
      <w:r>
        <w:rPr>
          <w:rFonts w:hint="eastAsia" w:ascii="黑体" w:hAnsi="黑体" w:eastAsia="黑体" w:cs="黑体"/>
          <w:sz w:val="19"/>
          <w:szCs w:val="19"/>
          <w:u w:val="single"/>
        </w:rPr>
        <w:t xml:space="preserve">          (采购代理机构名称)</w:t>
      </w:r>
      <w:r>
        <w:rPr>
          <w:rFonts w:hint="eastAsia" w:ascii="黑体" w:hAnsi="黑体" w:eastAsia="黑体" w:cs="黑体"/>
          <w:sz w:val="19"/>
          <w:szCs w:val="19"/>
        </w:rPr>
        <w:t>:</w:t>
      </w:r>
    </w:p>
    <w:p w14:paraId="27629B80">
      <w:pPr>
        <w:spacing w:before="87" w:beforeLines="20" w:line="480" w:lineRule="exact"/>
        <w:rPr>
          <w:rFonts w:hint="eastAsia" w:ascii="黑体" w:hAnsi="黑体" w:eastAsia="黑体" w:cs="黑体"/>
          <w:sz w:val="19"/>
          <w:szCs w:val="19"/>
        </w:rPr>
      </w:pPr>
      <w:r>
        <w:rPr>
          <w:rFonts w:hint="eastAsia" w:ascii="黑体" w:hAnsi="黑体" w:eastAsia="黑体" w:cs="黑体"/>
          <w:sz w:val="19"/>
          <w:szCs w:val="19"/>
        </w:rPr>
        <w:tab/>
      </w:r>
      <w:r>
        <w:rPr>
          <w:rFonts w:hint="eastAsia" w:ascii="黑体" w:hAnsi="黑体" w:eastAsia="黑体" w:cs="黑体"/>
          <w:b/>
          <w:bCs/>
          <w:sz w:val="19"/>
          <w:szCs w:val="19"/>
          <w:u w:val="single"/>
        </w:rPr>
        <w:t xml:space="preserve"> (投标人名称)  </w:t>
      </w:r>
      <w:r>
        <w:rPr>
          <w:rFonts w:hint="eastAsia" w:ascii="黑体" w:hAnsi="黑体" w:eastAsia="黑体" w:cs="黑体"/>
          <w:b/>
          <w:bCs/>
          <w:sz w:val="19"/>
          <w:szCs w:val="19"/>
        </w:rPr>
        <w:t>郑重承诺：</w:t>
      </w:r>
    </w:p>
    <w:p w14:paraId="610FBFC9">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1.我方具有良好的商业信誉和健全的财务会计制度，具有履行合同所必需的设备和专业技术能力，具有依法缴纳税收和社会保障金的良好记录，参加本项目采购活动前三年内无重大违法活动记录。</w:t>
      </w:r>
    </w:p>
    <w:p w14:paraId="36564FF0">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2.我方未列入在信用中国网站(www.creditchina.gov.cn)“重大税收违法案件当事人名单”中，也“失信被执行人”、未列入中国政府采购网(www.ccgp.gov.cn)“政府采购严重违法失信行为记录名单”中。</w:t>
      </w:r>
    </w:p>
    <w:p w14:paraId="7051555D">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3.我方在采购项目评审(评标)环节结束后，随时接受采购人、采购代理机构的检查验证，配合提供相关证明材料，证明符合《中华人民共和国政府采购法》规定的投标人基本资格条件。</w:t>
      </w:r>
    </w:p>
    <w:p w14:paraId="546DBE89">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我方对以上承诺负全部法律责任。</w:t>
      </w:r>
    </w:p>
    <w:p w14:paraId="5EA57CCC">
      <w:pPr>
        <w:spacing w:before="87" w:beforeLines="20"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特此承诺。</w:t>
      </w:r>
    </w:p>
    <w:p w14:paraId="633D9C04">
      <w:pPr>
        <w:spacing w:before="87" w:beforeLines="20" w:line="480" w:lineRule="exact"/>
        <w:rPr>
          <w:rFonts w:hint="eastAsia" w:ascii="黑体" w:hAnsi="黑体" w:eastAsia="黑体" w:cs="黑体"/>
          <w:sz w:val="19"/>
          <w:szCs w:val="19"/>
        </w:rPr>
      </w:pPr>
    </w:p>
    <w:p w14:paraId="5B5E36BF">
      <w:pPr>
        <w:spacing w:before="87" w:beforeLines="20" w:line="480" w:lineRule="exact"/>
        <w:ind w:firstLine="6460" w:firstLineChars="3400"/>
        <w:rPr>
          <w:rFonts w:hint="eastAsia" w:ascii="黑体" w:hAnsi="黑体" w:eastAsia="黑体" w:cs="黑体"/>
          <w:sz w:val="19"/>
          <w:szCs w:val="19"/>
        </w:rPr>
      </w:pPr>
      <w:r>
        <w:rPr>
          <w:rFonts w:hint="eastAsia" w:ascii="黑体" w:hAnsi="黑体" w:eastAsia="黑体" w:cs="黑体"/>
          <w:sz w:val="19"/>
          <w:szCs w:val="19"/>
        </w:rPr>
        <w:t>(投标人公章)</w:t>
      </w:r>
    </w:p>
    <w:p w14:paraId="3879AA82">
      <w:pPr>
        <w:spacing w:before="87" w:beforeLines="20" w:line="480" w:lineRule="exact"/>
        <w:ind w:firstLine="6650" w:firstLineChars="3500"/>
        <w:rPr>
          <w:rFonts w:hint="eastAsia" w:ascii="黑体" w:hAnsi="黑体" w:eastAsia="黑体" w:cs="黑体"/>
          <w:sz w:val="19"/>
          <w:szCs w:val="19"/>
        </w:rPr>
      </w:pPr>
      <w:r>
        <w:rPr>
          <w:rFonts w:hint="eastAsia" w:ascii="黑体" w:hAnsi="黑体" w:eastAsia="黑体" w:cs="黑体"/>
          <w:sz w:val="19"/>
          <w:szCs w:val="19"/>
        </w:rPr>
        <w:t>年  月  日</w:t>
      </w:r>
    </w:p>
    <w:p w14:paraId="4545C0D5">
      <w:pPr>
        <w:spacing w:before="87" w:beforeLines="20" w:line="480" w:lineRule="exact"/>
        <w:rPr>
          <w:rFonts w:hint="eastAsia" w:ascii="黑体" w:hAnsi="黑体" w:eastAsia="黑体" w:cs="黑体"/>
          <w:sz w:val="19"/>
          <w:szCs w:val="19"/>
        </w:rPr>
      </w:pPr>
    </w:p>
    <w:p w14:paraId="214D2252">
      <w:pPr>
        <w:keepNext/>
        <w:keepLines/>
        <w:numPr>
          <w:ilvl w:val="0"/>
          <w:numId w:val="13"/>
        </w:numPr>
        <w:tabs>
          <w:tab w:val="left" w:pos="360"/>
        </w:tabs>
        <w:autoSpaceDE w:val="0"/>
        <w:autoSpaceDN w:val="0"/>
        <w:adjustRightInd w:val="0"/>
        <w:spacing w:after="218" w:afterLines="50" w:line="480" w:lineRule="exact"/>
        <w:ind w:left="431" w:hanging="431"/>
        <w:jc w:val="center"/>
        <w:textAlignment w:val="baseline"/>
        <w:rPr>
          <w:rFonts w:hint="eastAsia" w:ascii="黑体" w:hAnsi="黑体" w:eastAsia="黑体" w:cs="黑体"/>
          <w:b/>
          <w:sz w:val="28"/>
          <w:szCs w:val="28"/>
        </w:rPr>
      </w:pPr>
      <w:r>
        <w:rPr>
          <w:rFonts w:hint="eastAsia" w:ascii="黑体" w:hAnsi="黑体" w:eastAsia="黑体" w:cs="黑体"/>
          <w:b/>
          <w:sz w:val="28"/>
          <w:szCs w:val="28"/>
        </w:rPr>
        <w:br w:type="page"/>
      </w:r>
    </w:p>
    <w:bookmarkEnd w:id="51"/>
    <w:bookmarkEnd w:id="52"/>
    <w:bookmarkEnd w:id="53"/>
    <w:p w14:paraId="6F0ED4E6">
      <w:pPr>
        <w:keepNext/>
        <w:keepLines/>
        <w:spacing w:line="400" w:lineRule="exact"/>
        <w:jc w:val="center"/>
        <w:outlineLvl w:val="1"/>
        <w:rPr>
          <w:rFonts w:hint="eastAsia" w:ascii="宋体" w:hAnsi="宋体" w:eastAsia="宋体" w:cs="宋体"/>
          <w:sz w:val="19"/>
          <w:szCs w:val="19"/>
        </w:rPr>
      </w:pPr>
      <w:bookmarkStart w:id="54" w:name="_Toc4475"/>
      <w:bookmarkStart w:id="55" w:name="_Toc2932"/>
      <w:bookmarkStart w:id="56" w:name="_Toc10521"/>
      <w:r>
        <w:rPr>
          <w:rFonts w:hint="eastAsia" w:ascii="黑体" w:hAnsi="黑体" w:eastAsia="黑体" w:cs="黑体"/>
          <w:b/>
          <w:sz w:val="28"/>
          <w:szCs w:val="28"/>
        </w:rPr>
        <w:t>（二）本项目的特定资格要求</w:t>
      </w:r>
      <w:bookmarkEnd w:id="54"/>
      <w:bookmarkEnd w:id="55"/>
      <w:bookmarkEnd w:id="56"/>
      <w:r>
        <w:rPr>
          <w:rFonts w:hint="eastAsia" w:ascii="黑体" w:hAnsi="黑体" w:eastAsia="黑体" w:cs="黑体"/>
          <w:b/>
          <w:sz w:val="28"/>
          <w:szCs w:val="28"/>
        </w:rPr>
        <w:br w:type="textWrapping"/>
      </w:r>
    </w:p>
    <w:p w14:paraId="7F5802F6">
      <w:pPr>
        <w:spacing w:after="654" w:afterLines="150" w:line="480" w:lineRule="exact"/>
        <w:jc w:val="center"/>
        <w:rPr>
          <w:rFonts w:hint="eastAsia" w:ascii="黑体" w:hAnsi="黑体" w:eastAsia="黑体" w:cs="黑体"/>
          <w:sz w:val="19"/>
          <w:szCs w:val="19"/>
        </w:rPr>
      </w:pPr>
      <w:r>
        <w:rPr>
          <w:rFonts w:hint="eastAsia" w:ascii="黑体" w:hAnsi="黑体" w:eastAsia="黑体" w:cs="黑体"/>
          <w:sz w:val="19"/>
          <w:szCs w:val="19"/>
        </w:rPr>
        <w:t>（根据招标公告本项目的特定资格要求提供相应的材料；未要求的，无需提供）</w:t>
      </w:r>
    </w:p>
    <w:p w14:paraId="26ACF53E">
      <w:pPr>
        <w:pStyle w:val="7"/>
        <w:adjustRightInd w:val="0"/>
        <w:spacing w:before="87" w:beforeLines="20" w:line="480" w:lineRule="exact"/>
        <w:ind w:firstLine="380" w:firstLineChars="200"/>
        <w:jc w:val="both"/>
        <w:outlineLvl w:val="2"/>
        <w:rPr>
          <w:rFonts w:hint="eastAsia"/>
        </w:rPr>
      </w:pPr>
      <w:r>
        <w:rPr>
          <w:rFonts w:hint="eastAsia" w:ascii="黑体" w:hAnsi="黑体" w:eastAsia="黑体" w:cs="黑体"/>
          <w:sz w:val="19"/>
          <w:szCs w:val="19"/>
        </w:rPr>
        <w:t>1.单位负责人为同一人或者存在直接控股、管理关系的不同供应商，不得参加同一合同项下的政府采购活动；为采购项目提供整体设计、规范编制或者项目管理、监理、检测等服务后不得再参加该采购项目的其他采购活动（提供国家企业信用信息公示系统https://shiming.gsxt.gov.cn/“股东及出资信息”查询页面截图或承诺函）；</w:t>
      </w:r>
    </w:p>
    <w:p w14:paraId="40BA17FC">
      <w:pPr>
        <w:pStyle w:val="11"/>
        <w:spacing w:after="0" w:afterAutospacing="0" w:line="480" w:lineRule="exact"/>
        <w:ind w:firstLine="482" w:firstLineChars="200"/>
        <w:jc w:val="center"/>
        <w:rPr>
          <w:rFonts w:hint="eastAsia"/>
        </w:rPr>
      </w:pPr>
      <w:r>
        <w:rPr>
          <w:rFonts w:hint="eastAsia" w:ascii="黑体" w:hAnsi="黑体" w:eastAsia="黑体" w:cs="黑体"/>
          <w:b/>
          <w:color w:val="auto"/>
          <w:kern w:val="2"/>
        </w:rPr>
        <w:t>承诺函</w:t>
      </w:r>
    </w:p>
    <w:p w14:paraId="5D5DF799">
      <w:pPr>
        <w:spacing w:line="360" w:lineRule="auto"/>
        <w:rPr>
          <w:rFonts w:hint="eastAsia" w:ascii="黑体" w:hAnsi="黑体" w:eastAsia="黑体" w:cs="黑体"/>
          <w:spacing w:val="4"/>
          <w:sz w:val="19"/>
          <w:szCs w:val="19"/>
          <w:u w:val="single"/>
        </w:rPr>
      </w:pPr>
      <w:r>
        <w:rPr>
          <w:rFonts w:hint="eastAsia" w:ascii="黑体" w:hAnsi="黑体" w:eastAsia="黑体" w:cs="黑体"/>
          <w:spacing w:val="4"/>
          <w:sz w:val="19"/>
          <w:szCs w:val="19"/>
          <w:u w:val="single"/>
        </w:rPr>
        <w:t xml:space="preserve">  （采购人）  ：</w:t>
      </w:r>
    </w:p>
    <w:p w14:paraId="0E80782B">
      <w:pPr>
        <w:spacing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我公司已自查，在参加本项目政府采购活动中未违反《中华人民共和国政府采购法实施条例》第十八条 “单位负责人为同一人或者存在直接控股、管理关系的不同投标人，不得参加同一合同项下的政府采购活动。为采购项目提供整体设计、规范编制或者项目管理、监理、检测等服务的投标人，不得再参加该采购项目的其他采购活动。”并作如下说明和承诺：</w:t>
      </w:r>
    </w:p>
    <w:p w14:paraId="37BB1898">
      <w:pPr>
        <w:spacing w:line="480" w:lineRule="exact"/>
        <w:ind w:firstLine="380" w:firstLineChars="200"/>
        <w:jc w:val="left"/>
        <w:rPr>
          <w:rFonts w:hint="eastAsia" w:ascii="黑体" w:hAnsi="黑体" w:eastAsia="黑体" w:cs="黑体"/>
          <w:sz w:val="19"/>
          <w:szCs w:val="19"/>
          <w:lang w:val="zh-CN"/>
        </w:rPr>
      </w:pPr>
      <w:r>
        <w:rPr>
          <w:rFonts w:hint="eastAsia" w:ascii="黑体" w:hAnsi="黑体" w:eastAsia="黑体" w:cs="黑体"/>
          <w:sz w:val="19"/>
          <w:szCs w:val="19"/>
        </w:rPr>
        <w:t>一、</w:t>
      </w:r>
      <w:r>
        <w:rPr>
          <w:rFonts w:hint="eastAsia" w:ascii="黑体" w:hAnsi="黑体" w:eastAsia="黑体" w:cs="黑体"/>
          <w:sz w:val="19"/>
          <w:szCs w:val="19"/>
          <w:lang w:val="zh-CN"/>
        </w:rPr>
        <w:t>我</w:t>
      </w:r>
      <w:r>
        <w:rPr>
          <w:rFonts w:hint="eastAsia" w:ascii="黑体" w:hAnsi="黑体" w:eastAsia="黑体" w:cs="黑体"/>
          <w:sz w:val="19"/>
          <w:szCs w:val="19"/>
        </w:rPr>
        <w:t>单位</w:t>
      </w:r>
      <w:r>
        <w:rPr>
          <w:rFonts w:hint="eastAsia" w:ascii="黑体" w:hAnsi="黑体" w:eastAsia="黑体" w:cs="黑体"/>
          <w:sz w:val="19"/>
          <w:szCs w:val="19"/>
          <w:lang w:val="zh-CN"/>
        </w:rPr>
        <w:t>在本项目投标中不存在与其他投标人单位负责人为同一人或者存在直接控股、管理关系。</w:t>
      </w:r>
    </w:p>
    <w:p w14:paraId="1B04641B">
      <w:pPr>
        <w:spacing w:line="480" w:lineRule="exact"/>
        <w:ind w:firstLine="380" w:firstLineChars="200"/>
        <w:jc w:val="left"/>
        <w:rPr>
          <w:rFonts w:hint="eastAsia" w:ascii="黑体" w:hAnsi="黑体" w:eastAsia="黑体" w:cs="黑体"/>
          <w:sz w:val="19"/>
          <w:szCs w:val="19"/>
          <w:lang w:val="zh-CN"/>
        </w:rPr>
      </w:pPr>
      <w:bookmarkStart w:id="57" w:name="_Toc18739"/>
      <w:bookmarkStart w:id="58" w:name="_Toc17511_WPSOffice_Level2"/>
      <w:bookmarkStart w:id="59" w:name="_Toc22599"/>
      <w:r>
        <w:rPr>
          <w:rFonts w:hint="eastAsia" w:ascii="黑体" w:hAnsi="黑体" w:eastAsia="黑体" w:cs="黑体"/>
          <w:sz w:val="19"/>
          <w:szCs w:val="19"/>
        </w:rPr>
        <w:t>1、</w:t>
      </w:r>
      <w:r>
        <w:rPr>
          <w:rFonts w:hint="eastAsia" w:ascii="黑体" w:hAnsi="黑体" w:eastAsia="黑体" w:cs="黑体"/>
          <w:sz w:val="19"/>
          <w:szCs w:val="19"/>
          <w:lang w:val="zh-CN"/>
        </w:rPr>
        <w:t>股权关系说明</w:t>
      </w:r>
      <w:bookmarkEnd w:id="57"/>
      <w:bookmarkEnd w:id="58"/>
      <w:bookmarkEnd w:id="59"/>
    </w:p>
    <w:p w14:paraId="04142645">
      <w:pPr>
        <w:spacing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与我单位的法定代表人（单位负责人）为同一人的企业如下：</w:t>
      </w:r>
      <w:r>
        <w:rPr>
          <w:rFonts w:hint="eastAsia" w:ascii="黑体" w:hAnsi="黑体" w:eastAsia="黑体" w:cs="黑体"/>
          <w:sz w:val="19"/>
          <w:szCs w:val="19"/>
          <w:u w:val="single"/>
        </w:rPr>
        <w:t xml:space="preserve">          </w:t>
      </w:r>
      <w:r>
        <w:rPr>
          <w:rFonts w:hint="eastAsia" w:ascii="黑体" w:hAnsi="黑体" w:eastAsia="黑体" w:cs="黑体"/>
          <w:sz w:val="19"/>
          <w:szCs w:val="19"/>
        </w:rPr>
        <w:t>（没有填写：无）</w:t>
      </w:r>
    </w:p>
    <w:p w14:paraId="5E3A9234">
      <w:pPr>
        <w:spacing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我单位的控股股东如下：</w:t>
      </w:r>
      <w:r>
        <w:rPr>
          <w:rFonts w:hint="eastAsia" w:ascii="黑体" w:hAnsi="黑体" w:eastAsia="黑体" w:cs="黑体"/>
          <w:sz w:val="19"/>
          <w:szCs w:val="19"/>
          <w:u w:val="single"/>
        </w:rPr>
        <w:t xml:space="preserve">              </w:t>
      </w:r>
      <w:r>
        <w:rPr>
          <w:rFonts w:hint="eastAsia" w:ascii="黑体" w:hAnsi="黑体" w:eastAsia="黑体" w:cs="黑体"/>
          <w:sz w:val="19"/>
          <w:szCs w:val="19"/>
        </w:rPr>
        <w:t>（没有填写：无）</w:t>
      </w:r>
    </w:p>
    <w:p w14:paraId="5BCD20A0">
      <w:pPr>
        <w:spacing w:line="480" w:lineRule="exact"/>
        <w:ind w:firstLine="380" w:firstLineChars="200"/>
        <w:jc w:val="left"/>
        <w:rPr>
          <w:rFonts w:hint="eastAsia" w:ascii="黑体" w:hAnsi="黑体" w:eastAsia="黑体" w:cs="黑体"/>
          <w:sz w:val="19"/>
          <w:szCs w:val="19"/>
          <w:lang w:val="zh-CN"/>
        </w:rPr>
      </w:pPr>
      <w:r>
        <w:rPr>
          <w:rFonts w:hint="eastAsia" w:ascii="黑体" w:hAnsi="黑体" w:eastAsia="黑体" w:cs="黑体"/>
          <w:sz w:val="19"/>
          <w:szCs w:val="19"/>
        </w:rPr>
        <w:t>我单位直接控股的企业如下：</w:t>
      </w:r>
      <w:r>
        <w:rPr>
          <w:rFonts w:hint="eastAsia" w:ascii="黑体" w:hAnsi="黑体" w:eastAsia="黑体" w:cs="黑体"/>
          <w:sz w:val="19"/>
          <w:szCs w:val="19"/>
          <w:u w:val="single"/>
        </w:rPr>
        <w:t xml:space="preserve">               </w:t>
      </w:r>
      <w:r>
        <w:rPr>
          <w:rFonts w:hint="eastAsia" w:ascii="黑体" w:hAnsi="黑体" w:eastAsia="黑体" w:cs="黑体"/>
          <w:sz w:val="19"/>
          <w:szCs w:val="19"/>
        </w:rPr>
        <w:t>（没有填写：无）</w:t>
      </w:r>
    </w:p>
    <w:p w14:paraId="30643607">
      <w:pPr>
        <w:spacing w:line="480" w:lineRule="exact"/>
        <w:ind w:firstLine="380" w:firstLineChars="200"/>
        <w:jc w:val="left"/>
        <w:rPr>
          <w:rFonts w:hint="eastAsia" w:ascii="黑体" w:hAnsi="黑体" w:eastAsia="黑体" w:cs="黑体"/>
          <w:sz w:val="19"/>
          <w:szCs w:val="19"/>
          <w:lang w:val="zh-CN"/>
        </w:rPr>
      </w:pPr>
      <w:bookmarkStart w:id="60" w:name="_Toc31324"/>
      <w:bookmarkStart w:id="61" w:name="_Toc4942_WPSOffice_Level2"/>
      <w:bookmarkStart w:id="62" w:name="_Toc23849"/>
      <w:r>
        <w:rPr>
          <w:rFonts w:hint="eastAsia" w:ascii="黑体" w:hAnsi="黑体" w:eastAsia="黑体" w:cs="黑体"/>
          <w:sz w:val="19"/>
          <w:szCs w:val="19"/>
        </w:rPr>
        <w:t>2、</w:t>
      </w:r>
      <w:r>
        <w:rPr>
          <w:rFonts w:hint="eastAsia" w:ascii="黑体" w:hAnsi="黑体" w:eastAsia="黑体" w:cs="黑体"/>
          <w:sz w:val="19"/>
          <w:szCs w:val="19"/>
          <w:lang w:val="zh-CN"/>
        </w:rPr>
        <w:t>管理关系说明</w:t>
      </w:r>
      <w:bookmarkEnd w:id="60"/>
      <w:bookmarkEnd w:id="61"/>
      <w:bookmarkEnd w:id="62"/>
    </w:p>
    <w:p w14:paraId="0D43DECB">
      <w:pPr>
        <w:spacing w:line="480" w:lineRule="exact"/>
        <w:ind w:firstLine="380" w:firstLineChars="200"/>
        <w:jc w:val="left"/>
        <w:rPr>
          <w:rFonts w:hint="eastAsia" w:ascii="黑体" w:hAnsi="黑体" w:eastAsia="黑体" w:cs="黑体"/>
          <w:sz w:val="19"/>
          <w:szCs w:val="19"/>
          <w:lang w:val="zh-CN"/>
        </w:rPr>
      </w:pPr>
      <w:r>
        <w:rPr>
          <w:rFonts w:hint="eastAsia" w:ascii="黑体" w:hAnsi="黑体" w:eastAsia="黑体" w:cs="黑体"/>
          <w:sz w:val="19"/>
          <w:szCs w:val="19"/>
        </w:rPr>
        <w:t>与我单位存在管理、被管理关系的单位名称如下：</w:t>
      </w:r>
      <w:r>
        <w:rPr>
          <w:rFonts w:hint="eastAsia" w:ascii="黑体" w:hAnsi="黑体" w:eastAsia="黑体" w:cs="黑体"/>
          <w:sz w:val="19"/>
          <w:szCs w:val="19"/>
          <w:u w:val="single"/>
        </w:rPr>
        <w:t xml:space="preserve">              </w:t>
      </w:r>
      <w:r>
        <w:rPr>
          <w:rFonts w:hint="eastAsia" w:ascii="黑体" w:hAnsi="黑体" w:eastAsia="黑体" w:cs="黑体"/>
          <w:sz w:val="19"/>
          <w:szCs w:val="19"/>
        </w:rPr>
        <w:t>（没有填写：无）</w:t>
      </w:r>
    </w:p>
    <w:p w14:paraId="02C9B5F6">
      <w:pPr>
        <w:spacing w:line="480" w:lineRule="exact"/>
        <w:ind w:firstLine="380" w:firstLineChars="200"/>
        <w:jc w:val="left"/>
        <w:rPr>
          <w:rFonts w:hint="eastAsia" w:ascii="黑体" w:hAnsi="黑体" w:eastAsia="黑体" w:cs="黑体"/>
          <w:sz w:val="19"/>
          <w:szCs w:val="19"/>
        </w:rPr>
      </w:pPr>
      <w:r>
        <w:rPr>
          <w:rFonts w:hint="eastAsia" w:ascii="黑体" w:hAnsi="黑体" w:eastAsia="黑体" w:cs="黑体"/>
          <w:sz w:val="19"/>
          <w:szCs w:val="19"/>
        </w:rPr>
        <w:t>二、我单位</w:t>
      </w:r>
      <w:r>
        <w:rPr>
          <w:rFonts w:hint="eastAsia" w:ascii="黑体" w:hAnsi="黑体" w:eastAsia="黑体" w:cs="黑体"/>
          <w:sz w:val="19"/>
          <w:szCs w:val="19"/>
          <w:u w:val="single"/>
        </w:rPr>
        <w:t xml:space="preserve"> 不属于 </w:t>
      </w:r>
      <w:r>
        <w:rPr>
          <w:rFonts w:hint="eastAsia" w:ascii="黑体" w:hAnsi="黑体" w:eastAsia="黑体" w:cs="黑体"/>
          <w:sz w:val="19"/>
          <w:szCs w:val="19"/>
        </w:rPr>
        <w:t>为本项目提供整体设计、规范编制或者项目管理、监理、检测等服务的供应商。</w:t>
      </w:r>
    </w:p>
    <w:p w14:paraId="0F268457">
      <w:pPr>
        <w:spacing w:line="480" w:lineRule="exact"/>
        <w:ind w:firstLine="380" w:firstLineChars="200"/>
        <w:jc w:val="left"/>
        <w:rPr>
          <w:rFonts w:hint="eastAsia" w:ascii="黑体" w:hAnsi="黑体" w:eastAsia="黑体" w:cs="黑体"/>
          <w:sz w:val="19"/>
          <w:szCs w:val="19"/>
          <w:lang w:val="zh-CN"/>
        </w:rPr>
      </w:pPr>
      <w:r>
        <w:rPr>
          <w:rFonts w:hint="eastAsia" w:ascii="黑体" w:hAnsi="黑体" w:eastAsia="黑体" w:cs="黑体"/>
          <w:sz w:val="19"/>
          <w:szCs w:val="19"/>
        </w:rPr>
        <w:t>三、</w:t>
      </w:r>
      <w:r>
        <w:rPr>
          <w:rFonts w:hint="eastAsia" w:ascii="黑体" w:hAnsi="黑体" w:eastAsia="黑体" w:cs="黑体"/>
          <w:sz w:val="19"/>
          <w:szCs w:val="19"/>
          <w:lang w:val="zh-CN"/>
        </w:rPr>
        <w:t>我</w:t>
      </w:r>
      <w:r>
        <w:rPr>
          <w:rFonts w:hint="eastAsia" w:ascii="黑体" w:hAnsi="黑体" w:eastAsia="黑体" w:cs="黑体"/>
          <w:sz w:val="19"/>
          <w:szCs w:val="19"/>
        </w:rPr>
        <w:t>单位</w:t>
      </w:r>
      <w:r>
        <w:rPr>
          <w:rFonts w:hint="eastAsia" w:ascii="黑体" w:hAnsi="黑体" w:eastAsia="黑体" w:cs="黑体"/>
          <w:sz w:val="19"/>
          <w:szCs w:val="19"/>
          <w:lang w:val="zh-CN"/>
        </w:rPr>
        <w:t>与采购人不存在利害关系及其他可能影响招标公正性的情形。我</w:t>
      </w:r>
      <w:r>
        <w:rPr>
          <w:rFonts w:hint="eastAsia" w:ascii="黑体" w:hAnsi="黑体" w:eastAsia="黑体" w:cs="黑体"/>
          <w:sz w:val="19"/>
          <w:szCs w:val="19"/>
        </w:rPr>
        <w:t>单位</w:t>
      </w:r>
      <w:r>
        <w:rPr>
          <w:rFonts w:hint="eastAsia" w:ascii="黑体" w:hAnsi="黑体" w:eastAsia="黑体" w:cs="黑体"/>
          <w:sz w:val="19"/>
          <w:szCs w:val="19"/>
          <w:lang w:val="zh-CN"/>
        </w:rPr>
        <w:t>承诺以上</w:t>
      </w:r>
      <w:r>
        <w:rPr>
          <w:rFonts w:hint="eastAsia" w:ascii="黑体" w:hAnsi="黑体" w:eastAsia="黑体" w:cs="黑体"/>
          <w:sz w:val="19"/>
          <w:szCs w:val="19"/>
        </w:rPr>
        <w:t>内容</w:t>
      </w:r>
      <w:r>
        <w:rPr>
          <w:rFonts w:hint="eastAsia" w:ascii="黑体" w:hAnsi="黑体" w:eastAsia="黑体" w:cs="黑体"/>
          <w:sz w:val="19"/>
          <w:szCs w:val="19"/>
          <w:lang w:val="zh-CN"/>
        </w:rPr>
        <w:t>真实有效，无虚假内容或隐瞒。</w:t>
      </w:r>
    </w:p>
    <w:p w14:paraId="11D9CE16">
      <w:pPr>
        <w:pStyle w:val="11"/>
        <w:spacing w:beforeAutospacing="0" w:afterAutospacing="0" w:line="48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投标人名称（盖章）：</w:t>
      </w:r>
      <w:r>
        <w:rPr>
          <w:rFonts w:hint="eastAsia" w:ascii="黑体" w:hAnsi="黑体" w:eastAsia="黑体" w:cs="黑体"/>
          <w:sz w:val="19"/>
          <w:szCs w:val="19"/>
        </w:rPr>
        <w:t>____________</w:t>
      </w:r>
    </w:p>
    <w:p w14:paraId="3BBE17C2">
      <w:pPr>
        <w:pStyle w:val="11"/>
        <w:spacing w:beforeAutospacing="0" w:afterAutospacing="0" w:line="48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法定代表人或授权代表（签字或盖章）：</w:t>
      </w:r>
      <w:r>
        <w:rPr>
          <w:rFonts w:hint="eastAsia" w:ascii="黑体" w:hAnsi="黑体" w:eastAsia="黑体" w:cs="黑体"/>
          <w:sz w:val="19"/>
          <w:szCs w:val="19"/>
        </w:rPr>
        <w:t>____________</w:t>
      </w:r>
    </w:p>
    <w:p w14:paraId="74C1E26E">
      <w:pPr>
        <w:pStyle w:val="11"/>
        <w:spacing w:beforeAutospacing="0" w:afterAutospacing="0" w:line="48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日期：______年____月____日</w:t>
      </w:r>
    </w:p>
    <w:p w14:paraId="5EB0A63E">
      <w:pPr>
        <w:ind w:firstLine="380" w:firstLineChars="200"/>
        <w:rPr>
          <w:rFonts w:hint="eastAsia" w:ascii="黑体" w:hAnsi="黑体" w:eastAsia="黑体" w:cs="黑体"/>
          <w:sz w:val="19"/>
          <w:szCs w:val="19"/>
        </w:rPr>
        <w:sectPr>
          <w:footerReference r:id="rId11" w:type="default"/>
          <w:pgSz w:w="11905" w:h="16838"/>
          <w:pgMar w:top="1417" w:right="1247" w:bottom="1474" w:left="1247" w:header="850" w:footer="992" w:gutter="0"/>
          <w:pgNumType w:fmt="numberInDash"/>
          <w:cols w:space="0" w:num="1"/>
          <w:docGrid w:type="lines" w:linePitch="436" w:charSpace="0"/>
        </w:sectPr>
      </w:pPr>
    </w:p>
    <w:p w14:paraId="73AB8805">
      <w:pPr>
        <w:snapToGrid w:val="0"/>
        <w:spacing w:line="360" w:lineRule="auto"/>
        <w:ind w:right="480"/>
        <w:jc w:val="center"/>
        <w:outlineLvl w:val="1"/>
        <w:rPr>
          <w:rFonts w:hint="eastAsia" w:ascii="黑体" w:hAnsi="黑体" w:eastAsia="黑体" w:cs="黑体"/>
          <w:sz w:val="28"/>
          <w:szCs w:val="28"/>
        </w:rPr>
      </w:pPr>
      <w:bookmarkStart w:id="63" w:name="_Toc27207"/>
      <w:bookmarkStart w:id="64" w:name="_Toc30990"/>
      <w:bookmarkStart w:id="65" w:name="_Toc5142"/>
      <w:r>
        <w:rPr>
          <w:rFonts w:hint="eastAsia" w:ascii="黑体" w:hAnsi="黑体" w:eastAsia="黑体" w:cs="黑体"/>
          <w:b/>
          <w:sz w:val="28"/>
          <w:szCs w:val="28"/>
        </w:rPr>
        <w:t>（三）落实政府采购政策需满足的资格要求</w:t>
      </w:r>
      <w:bookmarkEnd w:id="63"/>
      <w:bookmarkEnd w:id="64"/>
      <w:bookmarkEnd w:id="65"/>
    </w:p>
    <w:p w14:paraId="04E7BD2A">
      <w:pPr>
        <w:spacing w:before="87" w:beforeLines="20" w:after="218" w:afterLines="50"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 xml:space="preserve">（根据公开招标公告落实政府采购政策需满足的资格要求，选择提供相应的材料。未要求的，无需提供） </w:t>
      </w:r>
    </w:p>
    <w:p w14:paraId="4AD54B82">
      <w:pPr>
        <w:spacing w:before="87" w:beforeLines="20"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1.专门面向中小企业，货物全部由符合政策要求的中小企业制造的，应当出具政策规定的《中小企业声明函》（3-3-1）。</w:t>
      </w:r>
    </w:p>
    <w:p w14:paraId="32D26274">
      <w:pPr>
        <w:spacing w:before="87" w:beforeLines="20"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2.要求以联合体形式参加的，提供联合协议（3-3-4）和中小企业声明函，联合协议中中小企业合同金额应当达到招标公告载明的比例；如果投标人本身提供所有标的均由中小企业制造或承接的，视同符合了资格条件，无需再与其他中小企业组成联合体参加政府采购活动，无需提供联合协议。</w:t>
      </w:r>
    </w:p>
    <w:p w14:paraId="380EA101">
      <w:pPr>
        <w:spacing w:before="87" w:beforeLines="20"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3.要求合同分包的，提供分包意向协议（3-3-5）和中小企业声明函，分包意向协议中中小企业合同金额应当达到招标公告载明的比例；如果投标人本身提供所有标的均由中小企业制造或承接，视同符合了资格条件，无需再向中小企业分包，无需提供分包意向协议。</w:t>
      </w:r>
    </w:p>
    <w:p w14:paraId="524D0F85">
      <w:pPr>
        <w:spacing w:before="87" w:beforeLines="20" w:line="500" w:lineRule="exact"/>
        <w:rPr>
          <w:rFonts w:hint="eastAsia" w:ascii="宋体" w:hAnsi="宋体" w:eastAsia="宋体" w:cs="宋体"/>
          <w:sz w:val="22"/>
          <w:szCs w:val="22"/>
        </w:rPr>
        <w:sectPr>
          <w:pgSz w:w="11905" w:h="16838"/>
          <w:pgMar w:top="1417" w:right="1247" w:bottom="1474" w:left="1247" w:header="850" w:footer="992" w:gutter="0"/>
          <w:pgNumType w:fmt="numberInDash"/>
          <w:cols w:space="0" w:num="1"/>
          <w:docGrid w:type="lines" w:linePitch="436" w:charSpace="0"/>
        </w:sectPr>
      </w:pPr>
    </w:p>
    <w:p w14:paraId="64C9A841">
      <w:pPr>
        <w:pStyle w:val="4"/>
        <w:numPr>
          <w:ilvl w:val="1"/>
          <w:numId w:val="0"/>
        </w:numPr>
        <w:tabs>
          <w:tab w:val="clear" w:pos="709"/>
        </w:tabs>
        <w:autoSpaceDE/>
        <w:autoSpaceDN/>
        <w:adjustRightInd/>
        <w:spacing w:line="480" w:lineRule="exact"/>
        <w:jc w:val="left"/>
        <w:textAlignment w:val="auto"/>
        <w:rPr>
          <w:rFonts w:hint="eastAsia" w:hAnsi="黑体" w:cs="黑体"/>
          <w:b w:val="0"/>
          <w:color w:val="auto"/>
          <w:kern w:val="2"/>
          <w:sz w:val="19"/>
          <w:szCs w:val="19"/>
        </w:rPr>
      </w:pPr>
      <w:r>
        <w:rPr>
          <w:rFonts w:hint="eastAsia" w:hAnsi="黑体" w:cs="黑体"/>
          <w:b w:val="0"/>
          <w:color w:val="auto"/>
          <w:kern w:val="2"/>
          <w:sz w:val="19"/>
          <w:szCs w:val="19"/>
        </w:rPr>
        <w:t>3-3-1：中小企业声明函（如不涉及，无须填写，删除本页）</w:t>
      </w:r>
    </w:p>
    <w:p w14:paraId="07695437">
      <w:pPr>
        <w:rPr>
          <w:rFonts w:hint="eastAsia" w:ascii="黑体" w:hAnsi="黑体" w:eastAsia="黑体" w:cs="黑体"/>
          <w:sz w:val="19"/>
          <w:szCs w:val="19"/>
        </w:rPr>
      </w:pPr>
    </w:p>
    <w:p w14:paraId="5C10A73E">
      <w:pPr>
        <w:numPr>
          <w:ilvl w:val="1"/>
          <w:numId w:val="0"/>
        </w:numPr>
        <w:tabs>
          <w:tab w:val="left" w:pos="576"/>
        </w:tabs>
        <w:spacing w:after="211" w:afterLines="50" w:line="480" w:lineRule="exact"/>
        <w:jc w:val="center"/>
        <w:rPr>
          <w:rFonts w:hint="eastAsia" w:ascii="黑体" w:hAnsi="黑体" w:eastAsia="黑体" w:cs="黑体"/>
          <w:sz w:val="28"/>
          <w:szCs w:val="28"/>
        </w:rPr>
      </w:pPr>
      <w:r>
        <w:rPr>
          <w:rFonts w:hint="eastAsia" w:ascii="黑体" w:hAnsi="黑体" w:eastAsia="黑体" w:cs="黑体"/>
          <w:b/>
          <w:sz w:val="28"/>
          <w:szCs w:val="28"/>
        </w:rPr>
        <w:t>中小企业声明函（货物）</w:t>
      </w:r>
    </w:p>
    <w:p w14:paraId="19CA847A">
      <w:pPr>
        <w:spacing w:line="480" w:lineRule="exact"/>
        <w:ind w:firstLine="380" w:firstLineChars="200"/>
        <w:jc w:val="left"/>
        <w:rPr>
          <w:rFonts w:ascii="Times New Roman" w:hAnsi="Times New Roman" w:eastAsia="黑体" w:cs="Times New Roman"/>
          <w:sz w:val="19"/>
          <w:szCs w:val="19"/>
        </w:rPr>
      </w:pPr>
      <w:r>
        <w:rPr>
          <w:rFonts w:ascii="Times New Roman" w:hAnsi="Times New Roman" w:eastAsia="黑体" w:cs="Times New Roman"/>
          <w:sz w:val="19"/>
          <w:szCs w:val="19"/>
        </w:rPr>
        <w:t>本公司（联合体）郑重声明，根据《政府采购促进中小企业发展管理办法》（财库﹝2020﹞46 号）的规定，本公司（联合体）参加</w:t>
      </w:r>
      <w:r>
        <w:rPr>
          <w:rFonts w:ascii="Times New Roman" w:hAnsi="Times New Roman" w:eastAsia="黑体" w:cs="Times New Roman"/>
          <w:sz w:val="19"/>
          <w:szCs w:val="19"/>
          <w:u w:val="single"/>
        </w:rPr>
        <w:t xml:space="preserve"> </w:t>
      </w:r>
      <w:r>
        <w:rPr>
          <w:rFonts w:hint="eastAsia" w:ascii="黑体" w:hAnsi="黑体" w:eastAsia="黑体" w:cs="黑体"/>
          <w:sz w:val="19"/>
          <w:szCs w:val="19"/>
          <w:u w:val="single"/>
        </w:rPr>
        <w:t xml:space="preserve"> 陕西省西咸新区应急管理局 </w:t>
      </w:r>
      <w:r>
        <w:rPr>
          <w:rFonts w:hint="eastAsia" w:ascii="黑体" w:hAnsi="黑体" w:eastAsia="黑体" w:cs="黑体"/>
          <w:sz w:val="19"/>
          <w:szCs w:val="19"/>
        </w:rPr>
        <w:t>的</w:t>
      </w:r>
      <w:r>
        <w:rPr>
          <w:rFonts w:hint="eastAsia" w:ascii="黑体" w:hAnsi="黑体" w:eastAsia="黑体" w:cs="黑体"/>
          <w:sz w:val="19"/>
          <w:szCs w:val="19"/>
          <w:u w:val="single"/>
        </w:rPr>
        <w:t xml:space="preserve"> 西咸新区地震监测台网建设</w:t>
      </w:r>
      <w:r>
        <w:rPr>
          <w:rFonts w:hint="eastAsia" w:ascii="黑体" w:hAnsi="黑体" w:eastAsia="黑体" w:cs="黑体"/>
          <w:sz w:val="19"/>
          <w:szCs w:val="19"/>
        </w:rPr>
        <w:t xml:space="preserve"> </w:t>
      </w:r>
      <w:r>
        <w:rPr>
          <w:rFonts w:ascii="Times New Roman" w:hAnsi="Times New Roman" w:eastAsia="黑体" w:cs="Times New Roman"/>
          <w:sz w:val="19"/>
          <w:szCs w:val="19"/>
        </w:rPr>
        <w:t xml:space="preserve"> 采购活动，提供的货物全部由符合政策要求的中小企业制造。相关企业（含联合体中的中小企业、签订分包意向协议的中小企业）的具体情况如下：</w:t>
      </w:r>
    </w:p>
    <w:p w14:paraId="3015D8A2">
      <w:pPr>
        <w:spacing w:line="480" w:lineRule="exact"/>
        <w:ind w:firstLine="380" w:firstLineChars="200"/>
        <w:jc w:val="left"/>
        <w:rPr>
          <w:rFonts w:ascii="Times New Roman" w:hAnsi="Times New Roman" w:eastAsia="黑体" w:cs="Times New Roman"/>
          <w:sz w:val="19"/>
          <w:szCs w:val="19"/>
        </w:rPr>
      </w:pPr>
      <w:r>
        <w:rPr>
          <w:rFonts w:ascii="Times New Roman" w:hAnsi="Times New Roman" w:eastAsia="黑体" w:cs="Times New Roman"/>
          <w:sz w:val="19"/>
          <w:szCs w:val="19"/>
        </w:rPr>
        <w:t xml:space="preserve">1. </w:t>
      </w:r>
      <w:r>
        <w:rPr>
          <w:rFonts w:hint="eastAsia" w:ascii="Times New Roman" w:hAnsi="Times New Roman" w:eastAsia="黑体" w:cs="Times New Roman"/>
          <w:sz w:val="19"/>
          <w:szCs w:val="19"/>
        </w:rPr>
        <w:t xml:space="preserve"> （</w:t>
      </w:r>
      <w:r>
        <w:rPr>
          <w:rFonts w:hint="eastAsia" w:ascii="黑体" w:hAnsi="黑体" w:eastAsia="黑体" w:cs="黑体"/>
          <w:sz w:val="19"/>
          <w:szCs w:val="19"/>
          <w:u w:val="single"/>
        </w:rPr>
        <w:t>标的名称1</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rPr>
        <w:t>）</w:t>
      </w:r>
      <w:r>
        <w:rPr>
          <w:rFonts w:ascii="Times New Roman" w:hAnsi="Times New Roman" w:eastAsia="黑体" w:cs="Times New Roman"/>
          <w:sz w:val="19"/>
          <w:szCs w:val="19"/>
        </w:rPr>
        <w:t xml:space="preserve"> ，属于 </w:t>
      </w:r>
      <w:r>
        <w:rPr>
          <w:rFonts w:hint="eastAsia" w:ascii="黑体" w:hAnsi="黑体" w:eastAsia="黑体" w:cs="黑体"/>
          <w:sz w:val="19"/>
          <w:szCs w:val="19"/>
          <w:u w:val="single"/>
        </w:rPr>
        <w:t>（采购文件中明确的所属行业）</w:t>
      </w:r>
      <w:r>
        <w:rPr>
          <w:rFonts w:ascii="Times New Roman" w:hAnsi="Times New Roman" w:eastAsia="黑体" w:cs="Times New Roman"/>
          <w:sz w:val="19"/>
          <w:szCs w:val="19"/>
        </w:rPr>
        <w:t xml:space="preserve">行业 ；制造商为 </w:t>
      </w:r>
      <w:r>
        <w:rPr>
          <w:rFonts w:ascii="Times New Roman" w:hAnsi="Times New Roman" w:eastAsia="黑体" w:cs="Times New Roman"/>
          <w:sz w:val="19"/>
          <w:szCs w:val="19"/>
          <w:u w:val="single"/>
        </w:rPr>
        <w:t>（企业名称）</w:t>
      </w:r>
      <w:r>
        <w:rPr>
          <w:rFonts w:ascii="Times New Roman" w:hAnsi="Times New Roman" w:eastAsia="黑体" w:cs="Times New Roman"/>
          <w:sz w:val="19"/>
          <w:szCs w:val="19"/>
        </w:rPr>
        <w:t xml:space="preserve"> ，从业人员</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ascii="Times New Roman" w:hAnsi="Times New Roman" w:eastAsia="黑体" w:cs="Times New Roman"/>
          <w:sz w:val="19"/>
          <w:szCs w:val="19"/>
        </w:rPr>
        <w:t>人，营业收入为</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ascii="Times New Roman" w:hAnsi="Times New Roman" w:eastAsia="黑体" w:cs="Times New Roman"/>
          <w:sz w:val="19"/>
          <w:szCs w:val="19"/>
        </w:rPr>
        <w:t>万元，资产总额为</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ascii="Times New Roman" w:hAnsi="Times New Roman" w:eastAsia="黑体" w:cs="Times New Roman"/>
          <w:sz w:val="19"/>
          <w:szCs w:val="19"/>
        </w:rPr>
        <w:t>万元，属于</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（中型企业、小型企业、微型企业） </w:t>
      </w:r>
      <w:r>
        <w:rPr>
          <w:rFonts w:ascii="Times New Roman" w:hAnsi="Times New Roman" w:eastAsia="黑体" w:cs="Times New Roman"/>
          <w:sz w:val="19"/>
          <w:szCs w:val="19"/>
        </w:rPr>
        <w:t>；</w:t>
      </w:r>
    </w:p>
    <w:p w14:paraId="73004043">
      <w:pPr>
        <w:spacing w:line="480" w:lineRule="exact"/>
        <w:ind w:firstLine="380" w:firstLineChars="200"/>
        <w:jc w:val="left"/>
        <w:rPr>
          <w:rFonts w:ascii="Times New Roman" w:hAnsi="Times New Roman" w:eastAsia="黑体" w:cs="Times New Roman"/>
          <w:sz w:val="19"/>
          <w:szCs w:val="19"/>
        </w:rPr>
      </w:pPr>
      <w:r>
        <w:rPr>
          <w:rFonts w:hint="eastAsia" w:ascii="Times New Roman" w:hAnsi="Times New Roman" w:eastAsia="黑体" w:cs="Times New Roman"/>
          <w:sz w:val="19"/>
          <w:szCs w:val="19"/>
        </w:rPr>
        <w:t>2</w:t>
      </w:r>
      <w:r>
        <w:rPr>
          <w:rFonts w:ascii="Times New Roman" w:hAnsi="Times New Roman" w:eastAsia="黑体" w:cs="Times New Roman"/>
          <w:sz w:val="19"/>
          <w:szCs w:val="19"/>
        </w:rPr>
        <w:t xml:space="preserve">. </w:t>
      </w:r>
      <w:r>
        <w:rPr>
          <w:rFonts w:hint="eastAsia" w:ascii="Times New Roman" w:hAnsi="Times New Roman" w:eastAsia="黑体" w:cs="Times New Roman"/>
          <w:sz w:val="19"/>
          <w:szCs w:val="19"/>
        </w:rPr>
        <w:t>（</w:t>
      </w:r>
      <w:r>
        <w:rPr>
          <w:rFonts w:hint="eastAsia" w:ascii="黑体" w:hAnsi="黑体" w:eastAsia="黑体" w:cs="黑体"/>
          <w:sz w:val="19"/>
          <w:szCs w:val="19"/>
          <w:u w:val="single"/>
        </w:rPr>
        <w:t>标的名称2</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rPr>
        <w:t>）</w:t>
      </w:r>
      <w:r>
        <w:rPr>
          <w:rFonts w:ascii="Times New Roman" w:hAnsi="Times New Roman" w:eastAsia="黑体" w:cs="Times New Roman"/>
          <w:sz w:val="19"/>
          <w:szCs w:val="19"/>
        </w:rPr>
        <w:t xml:space="preserve"> ，属于 </w:t>
      </w:r>
      <w:r>
        <w:rPr>
          <w:rFonts w:hint="eastAsia" w:ascii="黑体" w:hAnsi="黑体" w:eastAsia="黑体" w:cs="黑体"/>
          <w:sz w:val="19"/>
          <w:szCs w:val="19"/>
          <w:u w:val="single"/>
        </w:rPr>
        <w:t>（采购文件中明确的所属行业）</w:t>
      </w:r>
      <w:r>
        <w:rPr>
          <w:rFonts w:ascii="Times New Roman" w:hAnsi="Times New Roman" w:eastAsia="黑体" w:cs="Times New Roman"/>
          <w:sz w:val="19"/>
          <w:szCs w:val="19"/>
        </w:rPr>
        <w:t xml:space="preserve">行业 ；制造商为 </w:t>
      </w:r>
      <w:r>
        <w:rPr>
          <w:rFonts w:ascii="Times New Roman" w:hAnsi="Times New Roman" w:eastAsia="黑体" w:cs="Times New Roman"/>
          <w:sz w:val="19"/>
          <w:szCs w:val="19"/>
          <w:u w:val="single"/>
        </w:rPr>
        <w:t>（企业名称）</w:t>
      </w:r>
      <w:r>
        <w:rPr>
          <w:rFonts w:ascii="Times New Roman" w:hAnsi="Times New Roman" w:eastAsia="黑体" w:cs="Times New Roman"/>
          <w:sz w:val="19"/>
          <w:szCs w:val="19"/>
        </w:rPr>
        <w:t xml:space="preserve"> ，从业人员</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ascii="Times New Roman" w:hAnsi="Times New Roman" w:eastAsia="黑体" w:cs="Times New Roman"/>
          <w:sz w:val="19"/>
          <w:szCs w:val="19"/>
        </w:rPr>
        <w:t>人，营业收入为</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ascii="Times New Roman" w:hAnsi="Times New Roman" w:eastAsia="黑体" w:cs="Times New Roman"/>
          <w:sz w:val="19"/>
          <w:szCs w:val="19"/>
        </w:rPr>
        <w:t>万元，资产总额为</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 </w:t>
      </w:r>
      <w:r>
        <w:rPr>
          <w:rFonts w:ascii="Times New Roman" w:hAnsi="Times New Roman" w:eastAsia="黑体" w:cs="Times New Roman"/>
          <w:sz w:val="19"/>
          <w:szCs w:val="19"/>
        </w:rPr>
        <w:t>万元，属于</w:t>
      </w:r>
      <w:r>
        <w:rPr>
          <w:rFonts w:ascii="Times New Roman" w:hAnsi="Times New Roman" w:eastAsia="黑体" w:cs="Times New Roman"/>
          <w:sz w:val="19"/>
          <w:szCs w:val="19"/>
          <w:u w:val="single"/>
        </w:rPr>
        <w:t xml:space="preserve"> </w:t>
      </w:r>
      <w:r>
        <w:rPr>
          <w:rFonts w:hint="eastAsia" w:ascii="Times New Roman" w:hAnsi="Times New Roman" w:eastAsia="黑体" w:cs="Times New Roman"/>
          <w:sz w:val="19"/>
          <w:szCs w:val="19"/>
          <w:u w:val="single"/>
        </w:rPr>
        <w:t xml:space="preserve">         </w:t>
      </w:r>
      <w:r>
        <w:rPr>
          <w:rFonts w:ascii="Times New Roman" w:hAnsi="Times New Roman" w:eastAsia="黑体" w:cs="Times New Roman"/>
          <w:sz w:val="19"/>
          <w:szCs w:val="19"/>
          <w:u w:val="single"/>
        </w:rPr>
        <w:t xml:space="preserve">（中型企业、小型企业、微型企业） </w:t>
      </w:r>
      <w:r>
        <w:rPr>
          <w:rFonts w:ascii="Times New Roman" w:hAnsi="Times New Roman" w:eastAsia="黑体" w:cs="Times New Roman"/>
          <w:sz w:val="19"/>
          <w:szCs w:val="19"/>
        </w:rPr>
        <w:t>；</w:t>
      </w:r>
    </w:p>
    <w:p w14:paraId="23E44D85">
      <w:pPr>
        <w:spacing w:line="480" w:lineRule="exact"/>
        <w:jc w:val="left"/>
        <w:rPr>
          <w:rFonts w:ascii="Times New Roman" w:hAnsi="Times New Roman" w:eastAsia="黑体" w:cs="Times New Roman"/>
          <w:sz w:val="19"/>
          <w:szCs w:val="19"/>
        </w:rPr>
      </w:pPr>
      <w:r>
        <w:rPr>
          <w:rFonts w:ascii="Times New Roman" w:hAnsi="Times New Roman" w:eastAsia="黑体" w:cs="Times New Roman"/>
          <w:sz w:val="19"/>
          <w:szCs w:val="19"/>
        </w:rPr>
        <w:t>……</w:t>
      </w:r>
    </w:p>
    <w:p w14:paraId="6FD53DA5">
      <w:pPr>
        <w:spacing w:line="480" w:lineRule="exact"/>
        <w:jc w:val="left"/>
        <w:rPr>
          <w:rFonts w:ascii="Times New Roman" w:hAnsi="Times New Roman" w:eastAsia="黑体" w:cs="Times New Roman"/>
          <w:b/>
          <w:bCs/>
          <w:sz w:val="19"/>
          <w:szCs w:val="19"/>
        </w:rPr>
      </w:pPr>
      <w:r>
        <w:rPr>
          <w:rFonts w:ascii="Times New Roman" w:hAnsi="Times New Roman" w:eastAsia="黑体" w:cs="Times New Roman"/>
          <w:b/>
          <w:bCs/>
          <w:sz w:val="19"/>
          <w:szCs w:val="19"/>
        </w:rPr>
        <w:t>以上企业，不属于大企业的分支机构，不存在控股股东为大企业的情形，也不存在与大企业的负责人为同一人的情形。</w:t>
      </w:r>
    </w:p>
    <w:p w14:paraId="3976C127">
      <w:pPr>
        <w:spacing w:line="480" w:lineRule="exact"/>
        <w:jc w:val="left"/>
        <w:rPr>
          <w:rFonts w:ascii="Times New Roman" w:hAnsi="Times New Roman" w:eastAsia="黑体" w:cs="Times New Roman"/>
          <w:sz w:val="19"/>
          <w:szCs w:val="19"/>
        </w:rPr>
      </w:pPr>
      <w:r>
        <w:rPr>
          <w:rFonts w:ascii="Times New Roman" w:hAnsi="Times New Roman" w:eastAsia="黑体" w:cs="Times New Roman"/>
          <w:sz w:val="19"/>
          <w:szCs w:val="19"/>
        </w:rPr>
        <w:t>本企业对上述声明内容的真实性负责。如有虚假，将依法承担相应责任。</w:t>
      </w:r>
    </w:p>
    <w:p w14:paraId="280D6BF3">
      <w:pPr>
        <w:pStyle w:val="8"/>
        <w:spacing w:before="84" w:beforeLines="20" w:line="500" w:lineRule="exact"/>
        <w:rPr>
          <w:rFonts w:hint="eastAsia" w:ascii="黑体" w:hAnsi="黑体" w:eastAsia="黑体" w:cs="黑体"/>
          <w:sz w:val="19"/>
          <w:szCs w:val="19"/>
        </w:rPr>
      </w:pPr>
    </w:p>
    <w:p w14:paraId="008C0EEE">
      <w:pPr>
        <w:pStyle w:val="11"/>
        <w:widowControl w:val="0"/>
        <w:spacing w:before="84"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企业名称(公章)：____________</w:t>
      </w:r>
    </w:p>
    <w:p w14:paraId="42FDC5BA">
      <w:pPr>
        <w:pStyle w:val="11"/>
        <w:widowControl w:val="0"/>
        <w:spacing w:before="84"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日期：______年____月____日</w:t>
      </w:r>
    </w:p>
    <w:p w14:paraId="74AFE1C5">
      <w:pPr>
        <w:spacing w:before="84" w:beforeLines="20" w:line="500" w:lineRule="exact"/>
        <w:rPr>
          <w:rFonts w:hint="eastAsia" w:ascii="黑体" w:hAnsi="黑体" w:eastAsia="黑体" w:cs="黑体"/>
          <w:sz w:val="19"/>
          <w:szCs w:val="19"/>
        </w:rPr>
      </w:pPr>
    </w:p>
    <w:p w14:paraId="41EA84C9">
      <w:pPr>
        <w:spacing w:before="84" w:beforeLines="20" w:line="500" w:lineRule="exact"/>
        <w:jc w:val="left"/>
        <w:rPr>
          <w:rFonts w:hint="eastAsia" w:ascii="黑体" w:hAnsi="黑体" w:eastAsia="黑体" w:cs="黑体"/>
          <w:sz w:val="19"/>
          <w:szCs w:val="19"/>
        </w:rPr>
      </w:pPr>
      <w:r>
        <w:rPr>
          <w:rFonts w:hint="eastAsia" w:ascii="黑体" w:hAnsi="黑体" w:eastAsia="黑体" w:cs="黑体"/>
          <w:sz w:val="19"/>
          <w:szCs w:val="19"/>
        </w:rPr>
        <w:t>从业人员、营业收入、资产总额填报上一年度数据，无上一年度数据的新成立企业可不填报。</w:t>
      </w:r>
    </w:p>
    <w:p w14:paraId="2779EE3B">
      <w:pPr>
        <w:spacing w:before="84" w:beforeLines="20" w:line="500" w:lineRule="exact"/>
        <w:jc w:val="left"/>
        <w:rPr>
          <w:rFonts w:hint="eastAsia" w:ascii="黑体" w:hAnsi="黑体" w:eastAsia="黑体" w:cs="黑体"/>
          <w:sz w:val="19"/>
          <w:szCs w:val="19"/>
        </w:rPr>
      </w:pPr>
      <w:r>
        <w:rPr>
          <w:rFonts w:hint="eastAsia" w:ascii="黑体" w:hAnsi="黑体" w:eastAsia="黑体" w:cs="黑体"/>
          <w:sz w:val="19"/>
          <w:szCs w:val="19"/>
        </w:rPr>
        <w:t xml:space="preserve">   注：符合《关于促进残疾人就业政府采购政策的通知》（财库〔2017〕141号）规定的条件并提供《残疾人福利性单位声明函》（3-3-2）的残疾人福利性单位视同小型、微型企业；根据《关于政府采购支持监狱企业发展有关问题的通知》（财库〔2014〕68号）的规定，投标人提供由省级以上监狱管理局、戒毒管理局（含新疆生产建设兵团）出具的属于监狱企业证明文件的（3-3-3），视同为小型和微型企业。</w:t>
      </w:r>
    </w:p>
    <w:p w14:paraId="4D8158D2">
      <w:pPr>
        <w:spacing w:before="84" w:beforeLines="20" w:line="500" w:lineRule="exact"/>
        <w:rPr>
          <w:rFonts w:hint="eastAsia" w:ascii="宋体" w:hAnsi="宋体" w:eastAsia="宋体" w:cs="宋体"/>
          <w:sz w:val="22"/>
          <w:szCs w:val="22"/>
        </w:rPr>
        <w:sectPr>
          <w:pgSz w:w="11906" w:h="16838"/>
          <w:pgMar w:top="1417" w:right="1417" w:bottom="1417" w:left="1417" w:header="851" w:footer="992" w:gutter="0"/>
          <w:pgNumType w:fmt="numberInDash"/>
          <w:cols w:space="425" w:num="1"/>
          <w:docGrid w:type="lines" w:linePitch="423" w:charSpace="0"/>
        </w:sectPr>
      </w:pPr>
    </w:p>
    <w:p w14:paraId="5023F70A">
      <w:pPr>
        <w:pStyle w:val="4"/>
        <w:numPr>
          <w:ilvl w:val="1"/>
          <w:numId w:val="0"/>
        </w:numPr>
        <w:tabs>
          <w:tab w:val="clear" w:pos="709"/>
        </w:tabs>
        <w:autoSpaceDE/>
        <w:autoSpaceDN/>
        <w:adjustRightInd/>
        <w:spacing w:line="480" w:lineRule="exact"/>
        <w:jc w:val="left"/>
        <w:textAlignment w:val="auto"/>
        <w:rPr>
          <w:rFonts w:hint="eastAsia" w:hAnsi="黑体" w:cs="黑体"/>
          <w:b w:val="0"/>
          <w:color w:val="auto"/>
          <w:kern w:val="2"/>
          <w:sz w:val="19"/>
          <w:szCs w:val="19"/>
        </w:rPr>
      </w:pPr>
      <w:r>
        <w:rPr>
          <w:rFonts w:hint="eastAsia" w:hAnsi="黑体" w:cs="黑体"/>
          <w:b w:val="0"/>
          <w:color w:val="auto"/>
          <w:kern w:val="2"/>
          <w:sz w:val="19"/>
          <w:szCs w:val="19"/>
        </w:rPr>
        <w:t>3-3-2：残疾人福利性单位声明函（如不涉及，无须填写，删除本页）</w:t>
      </w:r>
    </w:p>
    <w:p w14:paraId="26CFDCD3">
      <w:pPr>
        <w:snapToGrid w:val="0"/>
        <w:spacing w:before="50" w:after="50" w:line="480" w:lineRule="exact"/>
        <w:jc w:val="center"/>
        <w:rPr>
          <w:rFonts w:hint="eastAsia" w:ascii="黑体" w:hAnsi="黑体" w:eastAsia="黑体" w:cs="黑体"/>
          <w:kern w:val="0"/>
          <w:sz w:val="19"/>
          <w:szCs w:val="19"/>
        </w:rPr>
      </w:pPr>
      <w:r>
        <w:rPr>
          <w:rFonts w:hint="eastAsia" w:ascii="黑体" w:hAnsi="黑体" w:eastAsia="黑体" w:cs="黑体"/>
          <w:kern w:val="0"/>
          <w:sz w:val="19"/>
          <w:szCs w:val="19"/>
        </w:rPr>
        <w:t xml:space="preserve"> </w:t>
      </w:r>
    </w:p>
    <w:p w14:paraId="6D405BE8">
      <w:pPr>
        <w:numPr>
          <w:ilvl w:val="1"/>
          <w:numId w:val="0"/>
        </w:numPr>
        <w:tabs>
          <w:tab w:val="left" w:pos="576"/>
        </w:tabs>
        <w:spacing w:after="218" w:afterLines="50" w:line="480" w:lineRule="exact"/>
        <w:jc w:val="center"/>
        <w:rPr>
          <w:rFonts w:hint="eastAsia" w:ascii="黑体" w:hAnsi="黑体" w:eastAsia="黑体" w:cs="黑体"/>
          <w:b/>
          <w:sz w:val="28"/>
          <w:szCs w:val="28"/>
        </w:rPr>
      </w:pPr>
      <w:r>
        <w:rPr>
          <w:rFonts w:hint="eastAsia" w:ascii="黑体" w:hAnsi="黑体" w:eastAsia="黑体" w:cs="黑体"/>
          <w:b/>
          <w:sz w:val="28"/>
          <w:szCs w:val="28"/>
        </w:rPr>
        <w:t>残疾人福利性单位声明函</w:t>
      </w:r>
    </w:p>
    <w:p w14:paraId="1DB8383D">
      <w:pPr>
        <w:spacing w:before="87" w:beforeLines="20"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DC1FC7">
      <w:pPr>
        <w:spacing w:before="87" w:beforeLines="20"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本单位对上述声明的真实性负责。如有虚假，将依法承担相应责任。</w:t>
      </w:r>
    </w:p>
    <w:p w14:paraId="4F4AF92C">
      <w:pPr>
        <w:spacing w:before="87" w:beforeLines="20" w:line="500" w:lineRule="exact"/>
        <w:ind w:firstLine="380" w:firstLineChars="200"/>
        <w:rPr>
          <w:rFonts w:hint="eastAsia" w:ascii="黑体" w:hAnsi="黑体" w:eastAsia="黑体" w:cs="黑体"/>
          <w:sz w:val="19"/>
          <w:szCs w:val="19"/>
        </w:rPr>
      </w:pPr>
    </w:p>
    <w:p w14:paraId="1E20B7BD">
      <w:pPr>
        <w:spacing w:before="87" w:beforeLines="20" w:line="500" w:lineRule="exact"/>
        <w:ind w:firstLine="380" w:firstLineChars="200"/>
        <w:rPr>
          <w:rFonts w:hint="eastAsia" w:ascii="黑体" w:hAnsi="黑体" w:eastAsia="黑体" w:cs="黑体"/>
          <w:sz w:val="19"/>
          <w:szCs w:val="19"/>
        </w:rPr>
      </w:pPr>
    </w:p>
    <w:p w14:paraId="7D1752D0">
      <w:pPr>
        <w:pStyle w:val="11"/>
        <w:widowControl w:val="0"/>
        <w:spacing w:before="87"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投标人名称（公章）：____________</w:t>
      </w:r>
    </w:p>
    <w:p w14:paraId="55ED6EF1">
      <w:pPr>
        <w:pStyle w:val="11"/>
        <w:widowControl w:val="0"/>
        <w:spacing w:before="87"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法定代表人或授权代表（签字或盖章）：____________</w:t>
      </w:r>
    </w:p>
    <w:p w14:paraId="0BBD117D">
      <w:pPr>
        <w:pStyle w:val="11"/>
        <w:widowControl w:val="0"/>
        <w:spacing w:before="87"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日期：______年____月____日</w:t>
      </w:r>
    </w:p>
    <w:p w14:paraId="304CD257">
      <w:pPr>
        <w:tabs>
          <w:tab w:val="left" w:pos="4860"/>
        </w:tabs>
        <w:spacing w:line="480" w:lineRule="exact"/>
        <w:ind w:right="1560" w:firstLine="380" w:firstLineChars="200"/>
        <w:jc w:val="center"/>
        <w:rPr>
          <w:rFonts w:hint="eastAsia" w:ascii="宋体" w:hAnsi="宋体" w:eastAsia="宋体" w:cs="宋体"/>
          <w:sz w:val="19"/>
          <w:szCs w:val="19"/>
        </w:rPr>
      </w:pPr>
    </w:p>
    <w:p w14:paraId="45E7D280">
      <w:pPr>
        <w:rPr>
          <w:rFonts w:hint="eastAsia" w:ascii="宋体" w:hAnsi="宋体" w:eastAsia="宋体" w:cs="宋体"/>
          <w:sz w:val="19"/>
          <w:szCs w:val="19"/>
        </w:rPr>
      </w:pPr>
      <w:r>
        <w:rPr>
          <w:rFonts w:hint="eastAsia" w:ascii="宋体" w:hAnsi="宋体" w:eastAsia="宋体" w:cs="宋体"/>
          <w:sz w:val="19"/>
          <w:szCs w:val="19"/>
        </w:rPr>
        <w:br w:type="page"/>
      </w:r>
    </w:p>
    <w:p w14:paraId="786CDA2A">
      <w:pPr>
        <w:pStyle w:val="4"/>
        <w:numPr>
          <w:ilvl w:val="1"/>
          <w:numId w:val="0"/>
        </w:numPr>
        <w:tabs>
          <w:tab w:val="clear" w:pos="709"/>
        </w:tabs>
        <w:autoSpaceDE/>
        <w:autoSpaceDN/>
        <w:adjustRightInd/>
        <w:spacing w:line="480" w:lineRule="exact"/>
        <w:jc w:val="left"/>
        <w:textAlignment w:val="auto"/>
        <w:rPr>
          <w:rFonts w:hint="eastAsia" w:hAnsi="黑体" w:cs="黑体"/>
          <w:b w:val="0"/>
          <w:color w:val="auto"/>
          <w:kern w:val="2"/>
          <w:sz w:val="19"/>
          <w:szCs w:val="19"/>
        </w:rPr>
        <w:sectPr>
          <w:pgSz w:w="11905" w:h="16838"/>
          <w:pgMar w:top="1417" w:right="1247" w:bottom="1474" w:left="1247" w:header="850" w:footer="992" w:gutter="0"/>
          <w:pgNumType w:fmt="numberInDash"/>
          <w:cols w:space="0" w:num="1"/>
          <w:docGrid w:type="lines" w:linePitch="436" w:charSpace="0"/>
        </w:sectPr>
      </w:pPr>
    </w:p>
    <w:p w14:paraId="3C5316B0">
      <w:pPr>
        <w:pStyle w:val="4"/>
        <w:numPr>
          <w:ilvl w:val="1"/>
          <w:numId w:val="0"/>
        </w:numPr>
        <w:tabs>
          <w:tab w:val="clear" w:pos="709"/>
        </w:tabs>
        <w:autoSpaceDE/>
        <w:autoSpaceDN/>
        <w:adjustRightInd/>
        <w:spacing w:line="480" w:lineRule="exact"/>
        <w:jc w:val="left"/>
        <w:textAlignment w:val="auto"/>
        <w:rPr>
          <w:rFonts w:hint="eastAsia" w:hAnsi="黑体" w:cs="黑体"/>
          <w:b w:val="0"/>
          <w:color w:val="auto"/>
          <w:kern w:val="2"/>
          <w:sz w:val="19"/>
          <w:szCs w:val="19"/>
        </w:rPr>
      </w:pPr>
      <w:r>
        <w:rPr>
          <w:rFonts w:hint="eastAsia" w:hAnsi="黑体" w:cs="黑体"/>
          <w:b w:val="0"/>
          <w:color w:val="auto"/>
          <w:kern w:val="2"/>
          <w:sz w:val="19"/>
          <w:szCs w:val="19"/>
        </w:rPr>
        <w:t>3-3-3：监狱企业证明文件（如不涉及，无须填写，删除本页）</w:t>
      </w:r>
    </w:p>
    <w:p w14:paraId="0849CB95">
      <w:pPr>
        <w:tabs>
          <w:tab w:val="left" w:pos="1755"/>
        </w:tabs>
        <w:spacing w:line="480" w:lineRule="exact"/>
        <w:rPr>
          <w:rFonts w:hint="eastAsia" w:ascii="黑体" w:hAnsi="黑体" w:eastAsia="黑体" w:cs="黑体"/>
          <w:b/>
          <w:sz w:val="19"/>
          <w:szCs w:val="19"/>
        </w:rPr>
      </w:pPr>
    </w:p>
    <w:p w14:paraId="3F40DE8F">
      <w:pPr>
        <w:tabs>
          <w:tab w:val="left" w:pos="1755"/>
        </w:tabs>
        <w:spacing w:line="480" w:lineRule="exact"/>
        <w:ind w:firstLine="191" w:firstLineChars="100"/>
        <w:rPr>
          <w:rFonts w:hint="eastAsia" w:ascii="黑体" w:hAnsi="黑体" w:eastAsia="黑体" w:cs="黑体"/>
          <w:b/>
          <w:sz w:val="19"/>
          <w:szCs w:val="19"/>
        </w:rPr>
      </w:pPr>
      <w:r>
        <w:rPr>
          <w:rFonts w:hint="eastAsia" w:ascii="黑体" w:hAnsi="黑体" w:eastAsia="黑体" w:cs="黑体"/>
          <w:b/>
          <w:sz w:val="19"/>
          <w:szCs w:val="19"/>
        </w:rPr>
        <w:t>省级以上监狱管理局、戒毒管理局（含新疆生产建设兵团）出具的属于监狱企业证明文件</w:t>
      </w:r>
    </w:p>
    <w:p w14:paraId="66CF6AB1">
      <w:pPr>
        <w:widowControl/>
        <w:spacing w:line="480" w:lineRule="exact"/>
        <w:ind w:left="150"/>
        <w:jc w:val="center"/>
        <w:rPr>
          <w:rFonts w:hint="eastAsia" w:ascii="宋体" w:hAnsi="宋体" w:eastAsia="宋体" w:cs="宋体"/>
          <w:b/>
          <w:kern w:val="0"/>
          <w:sz w:val="19"/>
          <w:szCs w:val="19"/>
        </w:rPr>
      </w:pPr>
    </w:p>
    <w:p w14:paraId="05EBDBDD">
      <w:pPr>
        <w:widowControl/>
        <w:spacing w:line="480" w:lineRule="exact"/>
        <w:ind w:left="150"/>
        <w:jc w:val="center"/>
        <w:rPr>
          <w:rFonts w:hint="eastAsia" w:ascii="宋体" w:hAnsi="宋体" w:eastAsia="宋体" w:cs="宋体"/>
          <w:b/>
          <w:kern w:val="0"/>
          <w:sz w:val="19"/>
          <w:szCs w:val="19"/>
        </w:rPr>
      </w:pPr>
    </w:p>
    <w:p w14:paraId="53830A0F">
      <w:pPr>
        <w:widowControl/>
        <w:spacing w:line="480" w:lineRule="exact"/>
        <w:ind w:left="150"/>
        <w:jc w:val="center"/>
        <w:rPr>
          <w:rFonts w:hint="eastAsia" w:ascii="宋体" w:hAnsi="宋体" w:eastAsia="宋体" w:cs="宋体"/>
          <w:b/>
          <w:kern w:val="0"/>
          <w:sz w:val="19"/>
          <w:szCs w:val="19"/>
        </w:rPr>
      </w:pPr>
    </w:p>
    <w:p w14:paraId="73B22F95">
      <w:pPr>
        <w:widowControl/>
        <w:spacing w:line="480" w:lineRule="exact"/>
        <w:rPr>
          <w:rFonts w:hint="eastAsia" w:ascii="宋体" w:hAnsi="宋体" w:eastAsia="宋体" w:cs="宋体"/>
          <w:b/>
          <w:kern w:val="0"/>
          <w:sz w:val="19"/>
          <w:szCs w:val="19"/>
        </w:rPr>
      </w:pPr>
    </w:p>
    <w:p w14:paraId="222A3E53">
      <w:pPr>
        <w:widowControl/>
        <w:spacing w:line="480" w:lineRule="exact"/>
        <w:ind w:left="150"/>
        <w:jc w:val="center"/>
        <w:rPr>
          <w:rFonts w:hint="eastAsia" w:ascii="宋体" w:hAnsi="宋体" w:eastAsia="宋体" w:cs="宋体"/>
          <w:b/>
          <w:kern w:val="0"/>
          <w:sz w:val="19"/>
          <w:szCs w:val="19"/>
        </w:rPr>
      </w:pPr>
    </w:p>
    <w:p w14:paraId="37E79E8A">
      <w:pPr>
        <w:widowControl/>
        <w:spacing w:line="480" w:lineRule="exact"/>
        <w:ind w:left="150"/>
        <w:jc w:val="center"/>
        <w:rPr>
          <w:rFonts w:hint="eastAsia" w:ascii="宋体" w:hAnsi="宋体" w:eastAsia="宋体" w:cs="宋体"/>
          <w:b/>
          <w:kern w:val="0"/>
          <w:sz w:val="19"/>
          <w:szCs w:val="19"/>
        </w:rPr>
      </w:pPr>
    </w:p>
    <w:p w14:paraId="4A6790FB">
      <w:pPr>
        <w:widowControl/>
        <w:spacing w:line="480" w:lineRule="exact"/>
        <w:ind w:left="150"/>
        <w:jc w:val="center"/>
        <w:rPr>
          <w:rFonts w:hint="eastAsia" w:ascii="宋体" w:hAnsi="宋体" w:eastAsia="宋体" w:cs="宋体"/>
          <w:b/>
          <w:kern w:val="0"/>
          <w:sz w:val="19"/>
          <w:szCs w:val="19"/>
        </w:rPr>
      </w:pPr>
    </w:p>
    <w:p w14:paraId="4DFA2F33">
      <w:pPr>
        <w:rPr>
          <w:rFonts w:hint="eastAsia" w:ascii="宋体" w:hAnsi="宋体" w:eastAsia="宋体" w:cs="宋体"/>
          <w:b/>
          <w:kern w:val="0"/>
          <w:sz w:val="19"/>
          <w:szCs w:val="19"/>
        </w:rPr>
      </w:pPr>
      <w:r>
        <w:rPr>
          <w:rFonts w:hint="eastAsia" w:ascii="宋体" w:hAnsi="宋体" w:eastAsia="宋体" w:cs="宋体"/>
          <w:b/>
          <w:kern w:val="0"/>
          <w:sz w:val="19"/>
          <w:szCs w:val="19"/>
        </w:rPr>
        <w:br w:type="page"/>
      </w:r>
    </w:p>
    <w:p w14:paraId="7ABD24AB">
      <w:pPr>
        <w:pStyle w:val="4"/>
        <w:numPr>
          <w:ilvl w:val="0"/>
          <w:numId w:val="0"/>
        </w:numPr>
        <w:spacing w:line="480" w:lineRule="exact"/>
        <w:rPr>
          <w:rFonts w:hint="eastAsia" w:hAnsi="黑体" w:cs="黑体"/>
          <w:b w:val="0"/>
          <w:color w:val="auto"/>
          <w:kern w:val="2"/>
          <w:sz w:val="19"/>
          <w:szCs w:val="19"/>
        </w:rPr>
      </w:pPr>
      <w:r>
        <w:rPr>
          <w:rFonts w:hint="eastAsia" w:hAnsi="黑体" w:cs="黑体"/>
          <w:b w:val="0"/>
          <w:color w:val="auto"/>
          <w:kern w:val="2"/>
          <w:sz w:val="19"/>
          <w:szCs w:val="19"/>
        </w:rPr>
        <w:t>3-3-4：节能（节水）产品、环境标志产品明细表（项目未要求的，无需提供，删除本页）</w:t>
      </w:r>
    </w:p>
    <w:p w14:paraId="7465211D">
      <w:pPr>
        <w:numPr>
          <w:ilvl w:val="1"/>
          <w:numId w:val="0"/>
        </w:numPr>
        <w:tabs>
          <w:tab w:val="left" w:pos="576"/>
        </w:tabs>
        <w:spacing w:after="120" w:afterLines="50" w:line="480" w:lineRule="exact"/>
        <w:jc w:val="center"/>
        <w:rPr>
          <w:rFonts w:hint="eastAsia" w:ascii="黑体" w:hAnsi="黑体" w:eastAsia="黑体" w:cs="黑体"/>
          <w:b/>
          <w:sz w:val="28"/>
          <w:szCs w:val="28"/>
        </w:rPr>
      </w:pPr>
      <w:r>
        <w:rPr>
          <w:rFonts w:hint="eastAsia" w:ascii="黑体" w:hAnsi="黑体" w:eastAsia="黑体" w:cs="黑体"/>
          <w:b/>
          <w:sz w:val="28"/>
          <w:szCs w:val="28"/>
        </w:rPr>
        <w:t>节能（节水）产品、环境标志产品</w:t>
      </w:r>
    </w:p>
    <w:p w14:paraId="366776D9">
      <w:pPr>
        <w:spacing w:line="480" w:lineRule="exact"/>
        <w:jc w:val="center"/>
        <w:rPr>
          <w:rFonts w:hint="eastAsia" w:ascii="黑体" w:hAnsi="黑体" w:eastAsia="黑体" w:cs="黑体"/>
          <w:sz w:val="19"/>
          <w:szCs w:val="19"/>
        </w:rPr>
      </w:pPr>
    </w:p>
    <w:p w14:paraId="08A141D1">
      <w:pPr>
        <w:spacing w:line="480" w:lineRule="exact"/>
        <w:rPr>
          <w:rFonts w:hint="eastAsia" w:ascii="黑体" w:hAnsi="黑体" w:eastAsia="黑体" w:cs="黑体"/>
          <w:sz w:val="19"/>
          <w:szCs w:val="19"/>
        </w:rPr>
      </w:pPr>
      <w:r>
        <w:rPr>
          <w:rFonts w:hint="eastAsia" w:ascii="黑体" w:hAnsi="黑体" w:eastAsia="黑体" w:cs="黑体"/>
          <w:sz w:val="19"/>
          <w:szCs w:val="19"/>
        </w:rPr>
        <w:t xml:space="preserve">项目名称：                                                       项目编号：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151"/>
        <w:gridCol w:w="1027"/>
        <w:gridCol w:w="997"/>
        <w:gridCol w:w="828"/>
        <w:gridCol w:w="1166"/>
        <w:gridCol w:w="1160"/>
        <w:gridCol w:w="767"/>
        <w:gridCol w:w="729"/>
        <w:gridCol w:w="743"/>
      </w:tblGrid>
      <w:tr w14:paraId="65045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68" w:type="dxa"/>
            <w:vMerge w:val="restart"/>
            <w:vAlign w:val="center"/>
          </w:tcPr>
          <w:p w14:paraId="30F7FD4B">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序号</w:t>
            </w:r>
          </w:p>
        </w:tc>
        <w:tc>
          <w:tcPr>
            <w:tcW w:w="1151" w:type="dxa"/>
            <w:vMerge w:val="restart"/>
            <w:vAlign w:val="center"/>
          </w:tcPr>
          <w:p w14:paraId="6AE0E448">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产品名称</w:t>
            </w:r>
          </w:p>
        </w:tc>
        <w:tc>
          <w:tcPr>
            <w:tcW w:w="1027" w:type="dxa"/>
            <w:vMerge w:val="restart"/>
            <w:vAlign w:val="center"/>
          </w:tcPr>
          <w:p w14:paraId="635363E9">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制造商</w:t>
            </w:r>
          </w:p>
        </w:tc>
        <w:tc>
          <w:tcPr>
            <w:tcW w:w="997" w:type="dxa"/>
            <w:vMerge w:val="restart"/>
            <w:vAlign w:val="center"/>
          </w:tcPr>
          <w:p w14:paraId="40F3B217">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品牌</w:t>
            </w:r>
          </w:p>
        </w:tc>
        <w:tc>
          <w:tcPr>
            <w:tcW w:w="828" w:type="dxa"/>
            <w:vMerge w:val="restart"/>
            <w:vAlign w:val="center"/>
          </w:tcPr>
          <w:p w14:paraId="052F9136">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规格型号</w:t>
            </w:r>
          </w:p>
        </w:tc>
        <w:tc>
          <w:tcPr>
            <w:tcW w:w="1166" w:type="dxa"/>
            <w:vMerge w:val="restart"/>
            <w:vAlign w:val="center"/>
          </w:tcPr>
          <w:p w14:paraId="69427582">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节能(节水) 产品环境标志产品认证证书</w:t>
            </w:r>
          </w:p>
        </w:tc>
        <w:tc>
          <w:tcPr>
            <w:tcW w:w="1160" w:type="dxa"/>
            <w:vMerge w:val="restart"/>
            <w:vAlign w:val="center"/>
          </w:tcPr>
          <w:p w14:paraId="3A12ACB3">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认证书有效截止期</w:t>
            </w:r>
          </w:p>
        </w:tc>
        <w:tc>
          <w:tcPr>
            <w:tcW w:w="2239" w:type="dxa"/>
            <w:gridSpan w:val="3"/>
            <w:vAlign w:val="center"/>
          </w:tcPr>
          <w:p w14:paraId="1623715C">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价格</w:t>
            </w:r>
          </w:p>
        </w:tc>
      </w:tr>
      <w:tr w14:paraId="4E3B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568" w:type="dxa"/>
            <w:vMerge w:val="continue"/>
            <w:vAlign w:val="center"/>
          </w:tcPr>
          <w:p w14:paraId="64B7BE18">
            <w:pPr>
              <w:spacing w:line="480" w:lineRule="exact"/>
              <w:jc w:val="center"/>
              <w:rPr>
                <w:rFonts w:hint="eastAsia" w:ascii="黑体" w:hAnsi="黑体" w:eastAsia="黑体" w:cs="黑体"/>
                <w:sz w:val="19"/>
                <w:szCs w:val="19"/>
              </w:rPr>
            </w:pPr>
          </w:p>
        </w:tc>
        <w:tc>
          <w:tcPr>
            <w:tcW w:w="1151" w:type="dxa"/>
            <w:vMerge w:val="continue"/>
            <w:vAlign w:val="center"/>
          </w:tcPr>
          <w:p w14:paraId="249A5456">
            <w:pPr>
              <w:spacing w:line="480" w:lineRule="exact"/>
              <w:jc w:val="center"/>
              <w:rPr>
                <w:rFonts w:hint="eastAsia" w:ascii="黑体" w:hAnsi="黑体" w:eastAsia="黑体" w:cs="黑体"/>
                <w:sz w:val="19"/>
                <w:szCs w:val="19"/>
              </w:rPr>
            </w:pPr>
          </w:p>
        </w:tc>
        <w:tc>
          <w:tcPr>
            <w:tcW w:w="1027" w:type="dxa"/>
            <w:vMerge w:val="continue"/>
            <w:vAlign w:val="center"/>
          </w:tcPr>
          <w:p w14:paraId="0B19397B">
            <w:pPr>
              <w:spacing w:line="480" w:lineRule="exact"/>
              <w:jc w:val="center"/>
              <w:rPr>
                <w:rFonts w:hint="eastAsia" w:ascii="黑体" w:hAnsi="黑体" w:eastAsia="黑体" w:cs="黑体"/>
                <w:sz w:val="19"/>
                <w:szCs w:val="19"/>
              </w:rPr>
            </w:pPr>
          </w:p>
        </w:tc>
        <w:tc>
          <w:tcPr>
            <w:tcW w:w="997" w:type="dxa"/>
            <w:vMerge w:val="continue"/>
            <w:vAlign w:val="center"/>
          </w:tcPr>
          <w:p w14:paraId="3D321145">
            <w:pPr>
              <w:spacing w:line="480" w:lineRule="exact"/>
              <w:jc w:val="center"/>
              <w:rPr>
                <w:rFonts w:hint="eastAsia" w:ascii="黑体" w:hAnsi="黑体" w:eastAsia="黑体" w:cs="黑体"/>
                <w:sz w:val="19"/>
                <w:szCs w:val="19"/>
              </w:rPr>
            </w:pPr>
          </w:p>
        </w:tc>
        <w:tc>
          <w:tcPr>
            <w:tcW w:w="828" w:type="dxa"/>
            <w:vMerge w:val="continue"/>
            <w:vAlign w:val="center"/>
          </w:tcPr>
          <w:p w14:paraId="7E4CC855">
            <w:pPr>
              <w:spacing w:line="480" w:lineRule="exact"/>
              <w:jc w:val="center"/>
              <w:rPr>
                <w:rFonts w:hint="eastAsia" w:ascii="黑体" w:hAnsi="黑体" w:eastAsia="黑体" w:cs="黑体"/>
                <w:sz w:val="19"/>
                <w:szCs w:val="19"/>
              </w:rPr>
            </w:pPr>
          </w:p>
        </w:tc>
        <w:tc>
          <w:tcPr>
            <w:tcW w:w="1166" w:type="dxa"/>
            <w:vMerge w:val="continue"/>
            <w:vAlign w:val="center"/>
          </w:tcPr>
          <w:p w14:paraId="1164E9C7">
            <w:pPr>
              <w:spacing w:line="480" w:lineRule="exact"/>
              <w:jc w:val="center"/>
              <w:rPr>
                <w:rFonts w:hint="eastAsia" w:ascii="黑体" w:hAnsi="黑体" w:eastAsia="黑体" w:cs="黑体"/>
                <w:sz w:val="19"/>
                <w:szCs w:val="19"/>
              </w:rPr>
            </w:pPr>
          </w:p>
        </w:tc>
        <w:tc>
          <w:tcPr>
            <w:tcW w:w="1160" w:type="dxa"/>
            <w:vMerge w:val="continue"/>
            <w:vAlign w:val="center"/>
          </w:tcPr>
          <w:p w14:paraId="2083222B">
            <w:pPr>
              <w:spacing w:line="480" w:lineRule="exact"/>
              <w:jc w:val="center"/>
              <w:rPr>
                <w:rFonts w:hint="eastAsia" w:ascii="黑体" w:hAnsi="黑体" w:eastAsia="黑体" w:cs="黑体"/>
                <w:sz w:val="19"/>
                <w:szCs w:val="19"/>
              </w:rPr>
            </w:pPr>
          </w:p>
        </w:tc>
        <w:tc>
          <w:tcPr>
            <w:tcW w:w="767" w:type="dxa"/>
            <w:vAlign w:val="center"/>
          </w:tcPr>
          <w:p w14:paraId="4B6590CF">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单价</w:t>
            </w:r>
          </w:p>
        </w:tc>
        <w:tc>
          <w:tcPr>
            <w:tcW w:w="729" w:type="dxa"/>
            <w:vAlign w:val="center"/>
          </w:tcPr>
          <w:p w14:paraId="3E8025F1">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数量</w:t>
            </w:r>
          </w:p>
        </w:tc>
        <w:tc>
          <w:tcPr>
            <w:tcW w:w="743" w:type="dxa"/>
            <w:vAlign w:val="center"/>
          </w:tcPr>
          <w:p w14:paraId="2818EDE5">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小计</w:t>
            </w:r>
          </w:p>
        </w:tc>
      </w:tr>
      <w:tr w14:paraId="1D72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68" w:type="dxa"/>
            <w:vAlign w:val="center"/>
          </w:tcPr>
          <w:p w14:paraId="0ECFF3E8">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1</w:t>
            </w:r>
          </w:p>
        </w:tc>
        <w:tc>
          <w:tcPr>
            <w:tcW w:w="1151" w:type="dxa"/>
            <w:vAlign w:val="center"/>
          </w:tcPr>
          <w:p w14:paraId="53FCF722">
            <w:pPr>
              <w:spacing w:line="480" w:lineRule="exact"/>
              <w:jc w:val="center"/>
              <w:rPr>
                <w:rFonts w:hint="eastAsia" w:ascii="黑体" w:hAnsi="黑体" w:eastAsia="黑体" w:cs="黑体"/>
                <w:sz w:val="19"/>
                <w:szCs w:val="19"/>
              </w:rPr>
            </w:pPr>
          </w:p>
        </w:tc>
        <w:tc>
          <w:tcPr>
            <w:tcW w:w="1027" w:type="dxa"/>
            <w:vAlign w:val="center"/>
          </w:tcPr>
          <w:p w14:paraId="5D2FCB04">
            <w:pPr>
              <w:spacing w:line="480" w:lineRule="exact"/>
              <w:jc w:val="center"/>
              <w:rPr>
                <w:rFonts w:hint="eastAsia" w:ascii="黑体" w:hAnsi="黑体" w:eastAsia="黑体" w:cs="黑体"/>
                <w:sz w:val="19"/>
                <w:szCs w:val="19"/>
              </w:rPr>
            </w:pPr>
          </w:p>
        </w:tc>
        <w:tc>
          <w:tcPr>
            <w:tcW w:w="997" w:type="dxa"/>
            <w:vAlign w:val="center"/>
          </w:tcPr>
          <w:p w14:paraId="6FF802CD">
            <w:pPr>
              <w:spacing w:line="480" w:lineRule="exact"/>
              <w:jc w:val="center"/>
              <w:rPr>
                <w:rFonts w:hint="eastAsia" w:ascii="黑体" w:hAnsi="黑体" w:eastAsia="黑体" w:cs="黑体"/>
                <w:sz w:val="19"/>
                <w:szCs w:val="19"/>
              </w:rPr>
            </w:pPr>
          </w:p>
        </w:tc>
        <w:tc>
          <w:tcPr>
            <w:tcW w:w="828" w:type="dxa"/>
            <w:vAlign w:val="center"/>
          </w:tcPr>
          <w:p w14:paraId="73613A22">
            <w:pPr>
              <w:spacing w:line="480" w:lineRule="exact"/>
              <w:jc w:val="center"/>
              <w:rPr>
                <w:rFonts w:hint="eastAsia" w:ascii="黑体" w:hAnsi="黑体" w:eastAsia="黑体" w:cs="黑体"/>
                <w:sz w:val="19"/>
                <w:szCs w:val="19"/>
              </w:rPr>
            </w:pPr>
          </w:p>
        </w:tc>
        <w:tc>
          <w:tcPr>
            <w:tcW w:w="1166" w:type="dxa"/>
            <w:vAlign w:val="center"/>
          </w:tcPr>
          <w:p w14:paraId="50F95380">
            <w:pPr>
              <w:spacing w:line="480" w:lineRule="exact"/>
              <w:jc w:val="center"/>
              <w:rPr>
                <w:rFonts w:hint="eastAsia" w:ascii="黑体" w:hAnsi="黑体" w:eastAsia="黑体" w:cs="黑体"/>
                <w:sz w:val="19"/>
                <w:szCs w:val="19"/>
              </w:rPr>
            </w:pPr>
          </w:p>
        </w:tc>
        <w:tc>
          <w:tcPr>
            <w:tcW w:w="1160" w:type="dxa"/>
            <w:vAlign w:val="center"/>
          </w:tcPr>
          <w:p w14:paraId="16FE67BE">
            <w:pPr>
              <w:spacing w:line="480" w:lineRule="exact"/>
              <w:jc w:val="center"/>
              <w:rPr>
                <w:rFonts w:hint="eastAsia" w:ascii="黑体" w:hAnsi="黑体" w:eastAsia="黑体" w:cs="黑体"/>
                <w:sz w:val="19"/>
                <w:szCs w:val="19"/>
              </w:rPr>
            </w:pPr>
          </w:p>
        </w:tc>
        <w:tc>
          <w:tcPr>
            <w:tcW w:w="767" w:type="dxa"/>
            <w:vAlign w:val="center"/>
          </w:tcPr>
          <w:p w14:paraId="0B0D043D">
            <w:pPr>
              <w:spacing w:line="480" w:lineRule="exact"/>
              <w:jc w:val="center"/>
              <w:rPr>
                <w:rFonts w:hint="eastAsia" w:ascii="黑体" w:hAnsi="黑体" w:eastAsia="黑体" w:cs="黑体"/>
                <w:sz w:val="19"/>
                <w:szCs w:val="19"/>
              </w:rPr>
            </w:pPr>
          </w:p>
        </w:tc>
        <w:tc>
          <w:tcPr>
            <w:tcW w:w="729" w:type="dxa"/>
            <w:vAlign w:val="center"/>
          </w:tcPr>
          <w:p w14:paraId="7F2CC0D9">
            <w:pPr>
              <w:spacing w:line="480" w:lineRule="exact"/>
              <w:jc w:val="center"/>
              <w:rPr>
                <w:rFonts w:hint="eastAsia" w:ascii="黑体" w:hAnsi="黑体" w:eastAsia="黑体" w:cs="黑体"/>
                <w:sz w:val="19"/>
                <w:szCs w:val="19"/>
              </w:rPr>
            </w:pPr>
          </w:p>
        </w:tc>
        <w:tc>
          <w:tcPr>
            <w:tcW w:w="743" w:type="dxa"/>
            <w:vAlign w:val="center"/>
          </w:tcPr>
          <w:p w14:paraId="39FD3408">
            <w:pPr>
              <w:spacing w:line="480" w:lineRule="exact"/>
              <w:jc w:val="center"/>
              <w:rPr>
                <w:rFonts w:hint="eastAsia" w:ascii="黑体" w:hAnsi="黑体" w:eastAsia="黑体" w:cs="黑体"/>
                <w:sz w:val="19"/>
                <w:szCs w:val="19"/>
              </w:rPr>
            </w:pPr>
          </w:p>
        </w:tc>
      </w:tr>
      <w:tr w14:paraId="6E26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68" w:type="dxa"/>
            <w:vAlign w:val="center"/>
          </w:tcPr>
          <w:p w14:paraId="7992921E">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2</w:t>
            </w:r>
          </w:p>
        </w:tc>
        <w:tc>
          <w:tcPr>
            <w:tcW w:w="1151" w:type="dxa"/>
            <w:vAlign w:val="center"/>
          </w:tcPr>
          <w:p w14:paraId="0718E6DA">
            <w:pPr>
              <w:spacing w:line="480" w:lineRule="exact"/>
              <w:jc w:val="center"/>
              <w:rPr>
                <w:rFonts w:hint="eastAsia" w:ascii="黑体" w:hAnsi="黑体" w:eastAsia="黑体" w:cs="黑体"/>
                <w:sz w:val="19"/>
                <w:szCs w:val="19"/>
              </w:rPr>
            </w:pPr>
          </w:p>
        </w:tc>
        <w:tc>
          <w:tcPr>
            <w:tcW w:w="1027" w:type="dxa"/>
            <w:vAlign w:val="center"/>
          </w:tcPr>
          <w:p w14:paraId="580F3878">
            <w:pPr>
              <w:spacing w:line="480" w:lineRule="exact"/>
              <w:jc w:val="center"/>
              <w:rPr>
                <w:rFonts w:hint="eastAsia" w:ascii="黑体" w:hAnsi="黑体" w:eastAsia="黑体" w:cs="黑体"/>
                <w:sz w:val="19"/>
                <w:szCs w:val="19"/>
              </w:rPr>
            </w:pPr>
          </w:p>
        </w:tc>
        <w:tc>
          <w:tcPr>
            <w:tcW w:w="997" w:type="dxa"/>
            <w:vAlign w:val="center"/>
          </w:tcPr>
          <w:p w14:paraId="072FD5D4">
            <w:pPr>
              <w:spacing w:line="480" w:lineRule="exact"/>
              <w:jc w:val="center"/>
              <w:rPr>
                <w:rFonts w:hint="eastAsia" w:ascii="黑体" w:hAnsi="黑体" w:eastAsia="黑体" w:cs="黑体"/>
                <w:sz w:val="19"/>
                <w:szCs w:val="19"/>
              </w:rPr>
            </w:pPr>
          </w:p>
        </w:tc>
        <w:tc>
          <w:tcPr>
            <w:tcW w:w="828" w:type="dxa"/>
            <w:vAlign w:val="center"/>
          </w:tcPr>
          <w:p w14:paraId="67AA4341">
            <w:pPr>
              <w:spacing w:line="480" w:lineRule="exact"/>
              <w:jc w:val="center"/>
              <w:rPr>
                <w:rFonts w:hint="eastAsia" w:ascii="黑体" w:hAnsi="黑体" w:eastAsia="黑体" w:cs="黑体"/>
                <w:sz w:val="19"/>
                <w:szCs w:val="19"/>
              </w:rPr>
            </w:pPr>
          </w:p>
        </w:tc>
        <w:tc>
          <w:tcPr>
            <w:tcW w:w="1166" w:type="dxa"/>
            <w:vAlign w:val="center"/>
          </w:tcPr>
          <w:p w14:paraId="3AE80F74">
            <w:pPr>
              <w:spacing w:line="480" w:lineRule="exact"/>
              <w:jc w:val="center"/>
              <w:rPr>
                <w:rFonts w:hint="eastAsia" w:ascii="黑体" w:hAnsi="黑体" w:eastAsia="黑体" w:cs="黑体"/>
                <w:sz w:val="19"/>
                <w:szCs w:val="19"/>
              </w:rPr>
            </w:pPr>
          </w:p>
        </w:tc>
        <w:tc>
          <w:tcPr>
            <w:tcW w:w="1160" w:type="dxa"/>
            <w:vAlign w:val="center"/>
          </w:tcPr>
          <w:p w14:paraId="4B37C0CA">
            <w:pPr>
              <w:spacing w:line="480" w:lineRule="exact"/>
              <w:jc w:val="center"/>
              <w:rPr>
                <w:rFonts w:hint="eastAsia" w:ascii="黑体" w:hAnsi="黑体" w:eastAsia="黑体" w:cs="黑体"/>
                <w:sz w:val="19"/>
                <w:szCs w:val="19"/>
              </w:rPr>
            </w:pPr>
          </w:p>
        </w:tc>
        <w:tc>
          <w:tcPr>
            <w:tcW w:w="767" w:type="dxa"/>
            <w:vAlign w:val="center"/>
          </w:tcPr>
          <w:p w14:paraId="7579896B">
            <w:pPr>
              <w:spacing w:line="480" w:lineRule="exact"/>
              <w:jc w:val="center"/>
              <w:rPr>
                <w:rFonts w:hint="eastAsia" w:ascii="黑体" w:hAnsi="黑体" w:eastAsia="黑体" w:cs="黑体"/>
                <w:sz w:val="19"/>
                <w:szCs w:val="19"/>
              </w:rPr>
            </w:pPr>
          </w:p>
        </w:tc>
        <w:tc>
          <w:tcPr>
            <w:tcW w:w="729" w:type="dxa"/>
            <w:vAlign w:val="center"/>
          </w:tcPr>
          <w:p w14:paraId="5721A612">
            <w:pPr>
              <w:spacing w:line="480" w:lineRule="exact"/>
              <w:jc w:val="center"/>
              <w:rPr>
                <w:rFonts w:hint="eastAsia" w:ascii="黑体" w:hAnsi="黑体" w:eastAsia="黑体" w:cs="黑体"/>
                <w:sz w:val="19"/>
                <w:szCs w:val="19"/>
              </w:rPr>
            </w:pPr>
          </w:p>
        </w:tc>
        <w:tc>
          <w:tcPr>
            <w:tcW w:w="743" w:type="dxa"/>
            <w:vAlign w:val="center"/>
          </w:tcPr>
          <w:p w14:paraId="621DEA46">
            <w:pPr>
              <w:spacing w:line="480" w:lineRule="exact"/>
              <w:jc w:val="center"/>
              <w:rPr>
                <w:rFonts w:hint="eastAsia" w:ascii="黑体" w:hAnsi="黑体" w:eastAsia="黑体" w:cs="黑体"/>
                <w:sz w:val="19"/>
                <w:szCs w:val="19"/>
              </w:rPr>
            </w:pPr>
          </w:p>
        </w:tc>
      </w:tr>
      <w:tr w14:paraId="6D69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68" w:type="dxa"/>
            <w:vAlign w:val="center"/>
          </w:tcPr>
          <w:p w14:paraId="033BBD78">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3</w:t>
            </w:r>
          </w:p>
        </w:tc>
        <w:tc>
          <w:tcPr>
            <w:tcW w:w="1151" w:type="dxa"/>
            <w:vAlign w:val="center"/>
          </w:tcPr>
          <w:p w14:paraId="5175168F">
            <w:pPr>
              <w:spacing w:line="480" w:lineRule="exact"/>
              <w:jc w:val="center"/>
              <w:rPr>
                <w:rFonts w:hint="eastAsia" w:ascii="黑体" w:hAnsi="黑体" w:eastAsia="黑体" w:cs="黑体"/>
                <w:sz w:val="19"/>
                <w:szCs w:val="19"/>
              </w:rPr>
            </w:pPr>
          </w:p>
        </w:tc>
        <w:tc>
          <w:tcPr>
            <w:tcW w:w="1027" w:type="dxa"/>
            <w:vAlign w:val="center"/>
          </w:tcPr>
          <w:p w14:paraId="2AE02FD7">
            <w:pPr>
              <w:spacing w:line="480" w:lineRule="exact"/>
              <w:jc w:val="center"/>
              <w:rPr>
                <w:rFonts w:hint="eastAsia" w:ascii="黑体" w:hAnsi="黑体" w:eastAsia="黑体" w:cs="黑体"/>
                <w:sz w:val="19"/>
                <w:szCs w:val="19"/>
              </w:rPr>
            </w:pPr>
          </w:p>
        </w:tc>
        <w:tc>
          <w:tcPr>
            <w:tcW w:w="997" w:type="dxa"/>
            <w:vAlign w:val="center"/>
          </w:tcPr>
          <w:p w14:paraId="6F9FA1CF">
            <w:pPr>
              <w:spacing w:line="480" w:lineRule="exact"/>
              <w:jc w:val="center"/>
              <w:rPr>
                <w:rFonts w:hint="eastAsia" w:ascii="黑体" w:hAnsi="黑体" w:eastAsia="黑体" w:cs="黑体"/>
                <w:sz w:val="19"/>
                <w:szCs w:val="19"/>
              </w:rPr>
            </w:pPr>
          </w:p>
        </w:tc>
        <w:tc>
          <w:tcPr>
            <w:tcW w:w="828" w:type="dxa"/>
            <w:vAlign w:val="center"/>
          </w:tcPr>
          <w:p w14:paraId="6D41CF0B">
            <w:pPr>
              <w:spacing w:line="480" w:lineRule="exact"/>
              <w:jc w:val="center"/>
              <w:rPr>
                <w:rFonts w:hint="eastAsia" w:ascii="黑体" w:hAnsi="黑体" w:eastAsia="黑体" w:cs="黑体"/>
                <w:sz w:val="19"/>
                <w:szCs w:val="19"/>
              </w:rPr>
            </w:pPr>
          </w:p>
        </w:tc>
        <w:tc>
          <w:tcPr>
            <w:tcW w:w="1166" w:type="dxa"/>
            <w:vAlign w:val="center"/>
          </w:tcPr>
          <w:p w14:paraId="4B04B028">
            <w:pPr>
              <w:spacing w:line="480" w:lineRule="exact"/>
              <w:jc w:val="center"/>
              <w:rPr>
                <w:rFonts w:hint="eastAsia" w:ascii="黑体" w:hAnsi="黑体" w:eastAsia="黑体" w:cs="黑体"/>
                <w:sz w:val="19"/>
                <w:szCs w:val="19"/>
              </w:rPr>
            </w:pPr>
          </w:p>
        </w:tc>
        <w:tc>
          <w:tcPr>
            <w:tcW w:w="1160" w:type="dxa"/>
            <w:vAlign w:val="center"/>
          </w:tcPr>
          <w:p w14:paraId="452C1E12">
            <w:pPr>
              <w:spacing w:line="480" w:lineRule="exact"/>
              <w:jc w:val="center"/>
              <w:rPr>
                <w:rFonts w:hint="eastAsia" w:ascii="黑体" w:hAnsi="黑体" w:eastAsia="黑体" w:cs="黑体"/>
                <w:sz w:val="19"/>
                <w:szCs w:val="19"/>
              </w:rPr>
            </w:pPr>
          </w:p>
        </w:tc>
        <w:tc>
          <w:tcPr>
            <w:tcW w:w="767" w:type="dxa"/>
            <w:vAlign w:val="center"/>
          </w:tcPr>
          <w:p w14:paraId="70DF75E2">
            <w:pPr>
              <w:spacing w:line="480" w:lineRule="exact"/>
              <w:jc w:val="center"/>
              <w:rPr>
                <w:rFonts w:hint="eastAsia" w:ascii="黑体" w:hAnsi="黑体" w:eastAsia="黑体" w:cs="黑体"/>
                <w:sz w:val="19"/>
                <w:szCs w:val="19"/>
              </w:rPr>
            </w:pPr>
          </w:p>
        </w:tc>
        <w:tc>
          <w:tcPr>
            <w:tcW w:w="729" w:type="dxa"/>
            <w:vAlign w:val="center"/>
          </w:tcPr>
          <w:p w14:paraId="5D3C6D53">
            <w:pPr>
              <w:spacing w:line="480" w:lineRule="exact"/>
              <w:jc w:val="center"/>
              <w:rPr>
                <w:rFonts w:hint="eastAsia" w:ascii="黑体" w:hAnsi="黑体" w:eastAsia="黑体" w:cs="黑体"/>
                <w:sz w:val="19"/>
                <w:szCs w:val="19"/>
              </w:rPr>
            </w:pPr>
          </w:p>
        </w:tc>
        <w:tc>
          <w:tcPr>
            <w:tcW w:w="743" w:type="dxa"/>
            <w:vAlign w:val="center"/>
          </w:tcPr>
          <w:p w14:paraId="115FCBB3">
            <w:pPr>
              <w:spacing w:line="480" w:lineRule="exact"/>
              <w:jc w:val="center"/>
              <w:rPr>
                <w:rFonts w:hint="eastAsia" w:ascii="黑体" w:hAnsi="黑体" w:eastAsia="黑体" w:cs="黑体"/>
                <w:sz w:val="19"/>
                <w:szCs w:val="19"/>
              </w:rPr>
            </w:pPr>
          </w:p>
        </w:tc>
      </w:tr>
      <w:tr w14:paraId="520A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68" w:type="dxa"/>
            <w:vAlign w:val="center"/>
          </w:tcPr>
          <w:p w14:paraId="04F5492E">
            <w:pPr>
              <w:spacing w:line="480" w:lineRule="exact"/>
              <w:jc w:val="center"/>
              <w:rPr>
                <w:rFonts w:hint="eastAsia" w:ascii="黑体" w:hAnsi="黑体" w:eastAsia="黑体" w:cs="黑体"/>
                <w:sz w:val="19"/>
                <w:szCs w:val="19"/>
              </w:rPr>
            </w:pPr>
            <w:r>
              <w:rPr>
                <w:rFonts w:hint="eastAsia" w:ascii="黑体" w:hAnsi="黑体" w:eastAsia="黑体" w:cs="黑体"/>
                <w:sz w:val="19"/>
                <w:szCs w:val="19"/>
              </w:rPr>
              <w:t>...</w:t>
            </w:r>
          </w:p>
        </w:tc>
        <w:tc>
          <w:tcPr>
            <w:tcW w:w="1151" w:type="dxa"/>
            <w:vAlign w:val="center"/>
          </w:tcPr>
          <w:p w14:paraId="5AAEBF1F">
            <w:pPr>
              <w:spacing w:line="480" w:lineRule="exact"/>
              <w:jc w:val="center"/>
              <w:rPr>
                <w:rFonts w:hint="eastAsia" w:ascii="黑体" w:hAnsi="黑体" w:eastAsia="黑体" w:cs="黑体"/>
                <w:sz w:val="19"/>
                <w:szCs w:val="19"/>
              </w:rPr>
            </w:pPr>
          </w:p>
        </w:tc>
        <w:tc>
          <w:tcPr>
            <w:tcW w:w="1027" w:type="dxa"/>
            <w:vAlign w:val="center"/>
          </w:tcPr>
          <w:p w14:paraId="1E1FB36A">
            <w:pPr>
              <w:spacing w:line="480" w:lineRule="exact"/>
              <w:jc w:val="center"/>
              <w:rPr>
                <w:rFonts w:hint="eastAsia" w:ascii="黑体" w:hAnsi="黑体" w:eastAsia="黑体" w:cs="黑体"/>
                <w:sz w:val="19"/>
                <w:szCs w:val="19"/>
              </w:rPr>
            </w:pPr>
          </w:p>
        </w:tc>
        <w:tc>
          <w:tcPr>
            <w:tcW w:w="997" w:type="dxa"/>
            <w:vAlign w:val="center"/>
          </w:tcPr>
          <w:p w14:paraId="073AAA2A">
            <w:pPr>
              <w:spacing w:line="480" w:lineRule="exact"/>
              <w:jc w:val="center"/>
              <w:rPr>
                <w:rFonts w:hint="eastAsia" w:ascii="黑体" w:hAnsi="黑体" w:eastAsia="黑体" w:cs="黑体"/>
                <w:sz w:val="19"/>
                <w:szCs w:val="19"/>
              </w:rPr>
            </w:pPr>
          </w:p>
        </w:tc>
        <w:tc>
          <w:tcPr>
            <w:tcW w:w="828" w:type="dxa"/>
            <w:vAlign w:val="center"/>
          </w:tcPr>
          <w:p w14:paraId="246D8508">
            <w:pPr>
              <w:spacing w:line="480" w:lineRule="exact"/>
              <w:jc w:val="center"/>
              <w:rPr>
                <w:rFonts w:hint="eastAsia" w:ascii="黑体" w:hAnsi="黑体" w:eastAsia="黑体" w:cs="黑体"/>
                <w:sz w:val="19"/>
                <w:szCs w:val="19"/>
              </w:rPr>
            </w:pPr>
          </w:p>
        </w:tc>
        <w:tc>
          <w:tcPr>
            <w:tcW w:w="1166" w:type="dxa"/>
            <w:vAlign w:val="center"/>
          </w:tcPr>
          <w:p w14:paraId="53BE4520">
            <w:pPr>
              <w:spacing w:line="480" w:lineRule="exact"/>
              <w:jc w:val="center"/>
              <w:rPr>
                <w:rFonts w:hint="eastAsia" w:ascii="黑体" w:hAnsi="黑体" w:eastAsia="黑体" w:cs="黑体"/>
                <w:sz w:val="19"/>
                <w:szCs w:val="19"/>
              </w:rPr>
            </w:pPr>
          </w:p>
        </w:tc>
        <w:tc>
          <w:tcPr>
            <w:tcW w:w="1160" w:type="dxa"/>
            <w:vAlign w:val="center"/>
          </w:tcPr>
          <w:p w14:paraId="71D2625B">
            <w:pPr>
              <w:spacing w:line="480" w:lineRule="exact"/>
              <w:jc w:val="center"/>
              <w:rPr>
                <w:rFonts w:hint="eastAsia" w:ascii="黑体" w:hAnsi="黑体" w:eastAsia="黑体" w:cs="黑体"/>
                <w:sz w:val="19"/>
                <w:szCs w:val="19"/>
              </w:rPr>
            </w:pPr>
          </w:p>
        </w:tc>
        <w:tc>
          <w:tcPr>
            <w:tcW w:w="767" w:type="dxa"/>
            <w:vAlign w:val="center"/>
          </w:tcPr>
          <w:p w14:paraId="1F117486">
            <w:pPr>
              <w:spacing w:line="480" w:lineRule="exact"/>
              <w:jc w:val="center"/>
              <w:rPr>
                <w:rFonts w:hint="eastAsia" w:ascii="黑体" w:hAnsi="黑体" w:eastAsia="黑体" w:cs="黑体"/>
                <w:sz w:val="19"/>
                <w:szCs w:val="19"/>
              </w:rPr>
            </w:pPr>
          </w:p>
        </w:tc>
        <w:tc>
          <w:tcPr>
            <w:tcW w:w="729" w:type="dxa"/>
            <w:vAlign w:val="center"/>
          </w:tcPr>
          <w:p w14:paraId="49D7AF5A">
            <w:pPr>
              <w:spacing w:line="480" w:lineRule="exact"/>
              <w:jc w:val="center"/>
              <w:rPr>
                <w:rFonts w:hint="eastAsia" w:ascii="黑体" w:hAnsi="黑体" w:eastAsia="黑体" w:cs="黑体"/>
                <w:sz w:val="19"/>
                <w:szCs w:val="19"/>
              </w:rPr>
            </w:pPr>
          </w:p>
        </w:tc>
        <w:tc>
          <w:tcPr>
            <w:tcW w:w="743" w:type="dxa"/>
            <w:vAlign w:val="center"/>
          </w:tcPr>
          <w:p w14:paraId="54D2AD4F">
            <w:pPr>
              <w:spacing w:line="480" w:lineRule="exact"/>
              <w:jc w:val="center"/>
              <w:rPr>
                <w:rFonts w:hint="eastAsia" w:ascii="黑体" w:hAnsi="黑体" w:eastAsia="黑体" w:cs="黑体"/>
                <w:sz w:val="19"/>
                <w:szCs w:val="19"/>
              </w:rPr>
            </w:pPr>
          </w:p>
        </w:tc>
      </w:tr>
    </w:tbl>
    <w:p w14:paraId="7D962A2F">
      <w:pPr>
        <w:pStyle w:val="11"/>
        <w:widowControl w:val="0"/>
        <w:spacing w:before="0" w:beforeAutospacing="0" w:after="0" w:afterAutospacing="0" w:line="480" w:lineRule="exact"/>
        <w:ind w:firstLine="380" w:firstLineChars="200"/>
        <w:rPr>
          <w:rFonts w:hint="eastAsia" w:ascii="黑体" w:hAnsi="黑体" w:eastAsia="黑体" w:cs="黑体"/>
          <w:color w:val="auto"/>
          <w:kern w:val="2"/>
          <w:sz w:val="19"/>
          <w:szCs w:val="19"/>
        </w:rPr>
      </w:pPr>
    </w:p>
    <w:p w14:paraId="0E5470C8">
      <w:pPr>
        <w:pStyle w:val="11"/>
        <w:widowControl w:val="0"/>
        <w:spacing w:before="0" w:beforeAutospacing="0" w:after="0" w:afterAutospacing="0" w:line="480" w:lineRule="exact"/>
        <w:ind w:firstLine="380" w:firstLineChars="200"/>
        <w:rPr>
          <w:rFonts w:hint="eastAsia" w:ascii="黑体" w:hAnsi="黑体" w:eastAsia="黑体" w:cs="黑体"/>
          <w:color w:val="auto"/>
          <w:kern w:val="2"/>
          <w:sz w:val="19"/>
          <w:szCs w:val="19"/>
        </w:rPr>
      </w:pPr>
    </w:p>
    <w:p w14:paraId="71105146">
      <w:pPr>
        <w:pStyle w:val="11"/>
        <w:widowControl w:val="0"/>
        <w:spacing w:before="48"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投标人名称（公章）：____________</w:t>
      </w:r>
    </w:p>
    <w:p w14:paraId="4A76D5AC">
      <w:pPr>
        <w:pStyle w:val="11"/>
        <w:widowControl w:val="0"/>
        <w:spacing w:before="48"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法定代表人或授权代表（签字或盖章）：____________</w:t>
      </w:r>
    </w:p>
    <w:p w14:paraId="43458799">
      <w:pPr>
        <w:pStyle w:val="11"/>
        <w:widowControl w:val="0"/>
        <w:spacing w:before="48" w:beforeLines="20" w:beforeAutospacing="0" w:after="0" w:afterAutospacing="0" w:line="5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日期：______年____月____日</w:t>
      </w:r>
    </w:p>
    <w:p w14:paraId="1A55EA2B">
      <w:pPr>
        <w:spacing w:line="480" w:lineRule="exact"/>
        <w:rPr>
          <w:rFonts w:hint="eastAsia" w:ascii="黑体" w:hAnsi="黑体" w:eastAsia="黑体" w:cs="黑体"/>
          <w:sz w:val="19"/>
          <w:szCs w:val="19"/>
        </w:rPr>
      </w:pPr>
    </w:p>
    <w:p w14:paraId="411FF633">
      <w:pPr>
        <w:spacing w:line="480" w:lineRule="exact"/>
        <w:rPr>
          <w:rFonts w:hint="eastAsia" w:ascii="黑体" w:hAnsi="黑体" w:eastAsia="黑体" w:cs="黑体"/>
          <w:sz w:val="19"/>
          <w:szCs w:val="19"/>
        </w:rPr>
      </w:pPr>
      <w:r>
        <w:rPr>
          <w:rFonts w:hint="eastAsia" w:ascii="黑体" w:hAnsi="黑体" w:eastAsia="黑体" w:cs="黑体"/>
          <w:sz w:val="19"/>
          <w:szCs w:val="19"/>
        </w:rPr>
        <w:t>说明:</w:t>
      </w:r>
    </w:p>
    <w:p w14:paraId="671ED294">
      <w:pPr>
        <w:spacing w:line="480" w:lineRule="exact"/>
        <w:rPr>
          <w:rFonts w:hint="eastAsia" w:ascii="黑体" w:hAnsi="黑体" w:eastAsia="黑体" w:cs="黑体"/>
          <w:sz w:val="19"/>
          <w:szCs w:val="19"/>
        </w:rPr>
      </w:pPr>
      <w:r>
        <w:rPr>
          <w:rFonts w:hint="eastAsia" w:ascii="黑体" w:hAnsi="黑体" w:eastAsia="黑体" w:cs="黑体"/>
          <w:sz w:val="19"/>
          <w:szCs w:val="19"/>
        </w:rPr>
        <w:t>1.本表适用于投标人所投产品属于节能（节水）产品、环境标志产品品目清单（详见财库〔2019〕18 号、财库〔2019〕19 号文件）范围内的。</w:t>
      </w:r>
    </w:p>
    <w:p w14:paraId="380EFA6D">
      <w:pPr>
        <w:spacing w:line="480" w:lineRule="exact"/>
        <w:rPr>
          <w:rFonts w:hint="eastAsia" w:ascii="黑体" w:hAnsi="黑体" w:eastAsia="黑体" w:cs="黑体"/>
          <w:sz w:val="19"/>
          <w:szCs w:val="19"/>
        </w:rPr>
      </w:pPr>
      <w:r>
        <w:rPr>
          <w:rFonts w:hint="eastAsia" w:ascii="黑体" w:hAnsi="黑体" w:eastAsia="黑体" w:cs="黑体"/>
          <w:sz w:val="19"/>
          <w:szCs w:val="19"/>
        </w:rPr>
        <w:t>2.如所投产品为节能、环保产品，必须按规定格式逐项填写，否则不予认定。</w:t>
      </w:r>
    </w:p>
    <w:p w14:paraId="136DE49E">
      <w:pPr>
        <w:spacing w:line="480" w:lineRule="exact"/>
        <w:rPr>
          <w:rFonts w:hint="eastAsia" w:ascii="黑体" w:hAnsi="黑体" w:eastAsia="黑体" w:cs="黑体"/>
          <w:bCs/>
          <w:szCs w:val="21"/>
        </w:rPr>
        <w:sectPr>
          <w:pgSz w:w="11906" w:h="16838"/>
          <w:pgMar w:top="1417" w:right="1417" w:bottom="1417" w:left="1417" w:header="0" w:footer="567" w:gutter="0"/>
          <w:pgNumType w:fmt="numberInDash"/>
          <w:cols w:space="0" w:num="1"/>
          <w:docGrid w:linePitch="286" w:charSpace="0"/>
        </w:sectPr>
      </w:pPr>
      <w:r>
        <w:rPr>
          <w:rFonts w:hint="eastAsia" w:ascii="黑体" w:hAnsi="黑体" w:eastAsia="黑体" w:cs="黑体"/>
          <w:sz w:val="19"/>
          <w:szCs w:val="19"/>
        </w:rPr>
        <w:t>3.本标所填项还应后附有效的:《中国环境标志产品认证证书》扫描件、《中国节能产品认证证书》扫描件。否则不予认定。</w:t>
      </w:r>
    </w:p>
    <w:p w14:paraId="147275D8">
      <w:pPr>
        <w:pStyle w:val="3"/>
        <w:numPr>
          <w:ilvl w:val="0"/>
          <w:numId w:val="0"/>
        </w:numPr>
        <w:tabs>
          <w:tab w:val="left" w:pos="360"/>
          <w:tab w:val="clear" w:pos="576"/>
        </w:tabs>
        <w:autoSpaceDE w:val="0"/>
        <w:autoSpaceDN w:val="0"/>
        <w:adjustRightInd w:val="0"/>
        <w:spacing w:before="0" w:after="200"/>
        <w:jc w:val="center"/>
        <w:textAlignment w:val="baseline"/>
        <w:rPr>
          <w:rFonts w:hint="eastAsia" w:ascii="黑体" w:hAnsi="黑体" w:cs="黑体"/>
          <w:sz w:val="28"/>
          <w:szCs w:val="28"/>
        </w:rPr>
      </w:pPr>
      <w:bookmarkStart w:id="66" w:name="_Toc30004"/>
      <w:bookmarkStart w:id="67" w:name="_Toc30858"/>
      <w:r>
        <w:rPr>
          <w:rFonts w:hint="eastAsia" w:ascii="黑体" w:hAnsi="黑体" w:cs="黑体"/>
          <w:sz w:val="28"/>
          <w:szCs w:val="28"/>
        </w:rPr>
        <w:t>四、评分细则相应的商务技术资料</w:t>
      </w:r>
      <w:bookmarkEnd w:id="66"/>
      <w:bookmarkEnd w:id="67"/>
    </w:p>
    <w:p w14:paraId="607C929B">
      <w:pPr>
        <w:pStyle w:val="17"/>
        <w:widowControl w:val="0"/>
        <w:spacing w:before="84" w:beforeLines="20" w:beforeAutospacing="0" w:after="0" w:afterAutospacing="0" w:line="420" w:lineRule="exact"/>
        <w:ind w:firstLine="420" w:firstLineChars="200"/>
        <w:jc w:val="both"/>
        <w:rPr>
          <w:rFonts w:hint="eastAsia" w:ascii="黑体" w:hAnsi="黑体" w:eastAsia="黑体" w:cs="黑体"/>
          <w:sz w:val="21"/>
          <w:szCs w:val="21"/>
        </w:rPr>
        <w:sectPr>
          <w:pgSz w:w="11906" w:h="16838"/>
          <w:pgMar w:top="1417" w:right="1417" w:bottom="1417" w:left="1417" w:header="851" w:footer="992" w:gutter="0"/>
          <w:pgNumType w:fmt="numberInDash"/>
          <w:cols w:space="425" w:num="1"/>
          <w:docGrid w:type="lines" w:linePitch="423" w:charSpace="0"/>
        </w:sectPr>
      </w:pPr>
      <w:r>
        <w:rPr>
          <w:rFonts w:hint="eastAsia" w:ascii="黑体" w:hAnsi="黑体" w:eastAsia="黑体" w:cs="黑体"/>
          <w:sz w:val="21"/>
          <w:szCs w:val="21"/>
        </w:rPr>
        <w:t>注意：请各供应商严格按照本项目第五章《评审要素及分值一览表》的评审因素和评审点逐项编制响应，若未响应或者不满足，将在综合评审中予以扣分处理。</w:t>
      </w:r>
    </w:p>
    <w:p w14:paraId="177B34E6">
      <w:pPr>
        <w:pStyle w:val="11"/>
        <w:outlineLvl w:val="2"/>
        <w:rPr>
          <w:rFonts w:hint="eastAsia" w:ascii="黑体" w:hAnsi="黑体" w:eastAsia="黑体" w:cs="黑体"/>
          <w:color w:val="auto"/>
          <w:sz w:val="19"/>
          <w:szCs w:val="19"/>
        </w:rPr>
      </w:pPr>
      <w:r>
        <w:rPr>
          <w:rFonts w:hint="eastAsia" w:ascii="黑体" w:hAnsi="黑体" w:eastAsia="黑体" w:cs="黑体"/>
          <w:sz w:val="19"/>
          <w:szCs w:val="19"/>
        </w:rPr>
        <w:t>1.服务人员配置清单</w:t>
      </w:r>
      <w:r>
        <w:rPr>
          <w:rFonts w:hint="eastAsia" w:ascii="黑体" w:hAnsi="黑体" w:eastAsia="黑体" w:cs="黑体"/>
          <w:color w:val="auto"/>
          <w:sz w:val="19"/>
          <w:szCs w:val="19"/>
        </w:rPr>
        <w:t>（格式可自拟，</w:t>
      </w:r>
      <w:r>
        <w:rPr>
          <w:rFonts w:hint="eastAsia" w:ascii="黑体" w:hAnsi="黑体" w:eastAsia="黑体" w:cs="黑体"/>
          <w:color w:val="auto"/>
          <w:kern w:val="2"/>
          <w:sz w:val="19"/>
          <w:szCs w:val="19"/>
        </w:rPr>
        <w:t>项目未要求的，无需提供，删除本页</w:t>
      </w:r>
      <w:r>
        <w:rPr>
          <w:rFonts w:hint="eastAsia" w:ascii="黑体" w:hAnsi="黑体" w:eastAsia="黑体" w:cs="黑体"/>
          <w:color w:val="auto"/>
          <w:sz w:val="19"/>
          <w:szCs w:val="19"/>
        </w:rPr>
        <w:t>）</w:t>
      </w:r>
    </w:p>
    <w:p w14:paraId="20ED2BB6">
      <w:pPr>
        <w:pStyle w:val="11"/>
        <w:jc w:val="center"/>
        <w:rPr>
          <w:rFonts w:hint="eastAsia" w:ascii="黑体" w:hAnsi="黑体" w:eastAsia="黑体" w:cs="黑体"/>
          <w:sz w:val="19"/>
          <w:szCs w:val="19"/>
        </w:rPr>
      </w:pPr>
      <w:r>
        <w:rPr>
          <w:rFonts w:hint="eastAsia" w:ascii="黑体" w:hAnsi="黑体" w:eastAsia="黑体" w:cs="黑体"/>
          <w:b/>
          <w:bCs/>
          <w:color w:val="auto"/>
          <w:sz w:val="28"/>
          <w:szCs w:val="28"/>
        </w:rPr>
        <w:t xml:space="preserve">服务人员配置清单 </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1127"/>
        <w:gridCol w:w="1503"/>
        <w:gridCol w:w="1976"/>
        <w:gridCol w:w="1783"/>
        <w:gridCol w:w="1879"/>
      </w:tblGrid>
      <w:tr w14:paraId="2465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vAlign w:val="center"/>
          </w:tcPr>
          <w:p w14:paraId="3EBE790E">
            <w:pPr>
              <w:spacing w:line="0" w:lineRule="atLeast"/>
              <w:jc w:val="center"/>
              <w:rPr>
                <w:rFonts w:hint="eastAsia" w:ascii="黑体" w:hAnsi="黑体" w:eastAsia="黑体" w:cs="黑体"/>
                <w:sz w:val="19"/>
                <w:szCs w:val="19"/>
              </w:rPr>
            </w:pPr>
            <w:r>
              <w:rPr>
                <w:rFonts w:hint="eastAsia" w:ascii="黑体" w:hAnsi="黑体" w:eastAsia="黑体" w:cs="黑体"/>
                <w:sz w:val="19"/>
                <w:szCs w:val="19"/>
              </w:rPr>
              <w:t>序号</w:t>
            </w:r>
          </w:p>
        </w:tc>
        <w:tc>
          <w:tcPr>
            <w:tcW w:w="1127" w:type="dxa"/>
            <w:vAlign w:val="center"/>
          </w:tcPr>
          <w:p w14:paraId="0ADFB3B9">
            <w:pPr>
              <w:spacing w:line="0" w:lineRule="atLeast"/>
              <w:jc w:val="center"/>
              <w:rPr>
                <w:rFonts w:hint="eastAsia" w:ascii="黑体" w:hAnsi="黑体" w:eastAsia="黑体" w:cs="黑体"/>
                <w:sz w:val="19"/>
                <w:szCs w:val="19"/>
              </w:rPr>
            </w:pPr>
            <w:r>
              <w:rPr>
                <w:rFonts w:hint="eastAsia" w:ascii="黑体" w:hAnsi="黑体" w:eastAsia="黑体" w:cs="黑体"/>
                <w:sz w:val="19"/>
                <w:szCs w:val="19"/>
              </w:rPr>
              <w:t>姓 名</w:t>
            </w:r>
          </w:p>
        </w:tc>
        <w:tc>
          <w:tcPr>
            <w:tcW w:w="1503" w:type="dxa"/>
            <w:vAlign w:val="center"/>
          </w:tcPr>
          <w:p w14:paraId="24B6E93A">
            <w:pPr>
              <w:spacing w:line="0" w:lineRule="atLeast"/>
              <w:jc w:val="center"/>
              <w:rPr>
                <w:rFonts w:hint="eastAsia" w:ascii="黑体" w:hAnsi="黑体" w:eastAsia="黑体" w:cs="黑体"/>
                <w:sz w:val="19"/>
                <w:szCs w:val="19"/>
              </w:rPr>
            </w:pPr>
            <w:r>
              <w:rPr>
                <w:rFonts w:hint="eastAsia" w:ascii="黑体" w:hAnsi="黑体" w:eastAsia="黑体" w:cs="黑体"/>
                <w:sz w:val="19"/>
                <w:szCs w:val="19"/>
              </w:rPr>
              <w:t>持证名称</w:t>
            </w:r>
          </w:p>
        </w:tc>
        <w:tc>
          <w:tcPr>
            <w:tcW w:w="1976" w:type="dxa"/>
            <w:vAlign w:val="center"/>
          </w:tcPr>
          <w:p w14:paraId="10E37D84">
            <w:pPr>
              <w:spacing w:line="0" w:lineRule="atLeast"/>
              <w:jc w:val="center"/>
              <w:rPr>
                <w:rFonts w:hint="eastAsia" w:ascii="黑体" w:hAnsi="黑体" w:eastAsia="黑体" w:cs="黑体"/>
                <w:sz w:val="19"/>
                <w:szCs w:val="19"/>
              </w:rPr>
            </w:pPr>
            <w:r>
              <w:rPr>
                <w:rFonts w:hint="eastAsia" w:ascii="黑体" w:hAnsi="黑体" w:eastAsia="黑体" w:cs="黑体"/>
                <w:sz w:val="19"/>
                <w:szCs w:val="19"/>
              </w:rPr>
              <w:t>本项目中担任职务</w:t>
            </w:r>
          </w:p>
        </w:tc>
        <w:tc>
          <w:tcPr>
            <w:tcW w:w="1783" w:type="dxa"/>
            <w:vAlign w:val="center"/>
          </w:tcPr>
          <w:p w14:paraId="4B2DFBB9">
            <w:pPr>
              <w:spacing w:line="0" w:lineRule="atLeast"/>
              <w:jc w:val="center"/>
              <w:rPr>
                <w:rFonts w:hint="eastAsia" w:ascii="黑体" w:hAnsi="黑体" w:eastAsia="黑体" w:cs="黑体"/>
                <w:sz w:val="19"/>
                <w:szCs w:val="19"/>
              </w:rPr>
            </w:pPr>
            <w:r>
              <w:rPr>
                <w:rFonts w:hint="eastAsia" w:ascii="黑体" w:hAnsi="黑体" w:eastAsia="黑体" w:cs="黑体"/>
                <w:sz w:val="19"/>
                <w:szCs w:val="19"/>
              </w:rPr>
              <w:t>项目经验</w:t>
            </w:r>
          </w:p>
        </w:tc>
        <w:tc>
          <w:tcPr>
            <w:tcW w:w="1879" w:type="dxa"/>
            <w:vAlign w:val="center"/>
          </w:tcPr>
          <w:p w14:paraId="5CBF2BF5">
            <w:pPr>
              <w:spacing w:line="0" w:lineRule="atLeast"/>
              <w:jc w:val="center"/>
              <w:rPr>
                <w:rFonts w:hint="eastAsia" w:ascii="黑体" w:hAnsi="黑体" w:eastAsia="黑体" w:cs="黑体"/>
                <w:sz w:val="19"/>
                <w:szCs w:val="19"/>
              </w:rPr>
            </w:pPr>
            <w:r>
              <w:rPr>
                <w:rFonts w:hint="eastAsia" w:ascii="黑体" w:hAnsi="黑体" w:eastAsia="黑体" w:cs="黑体"/>
                <w:sz w:val="19"/>
                <w:szCs w:val="19"/>
              </w:rPr>
              <w:t>备注</w:t>
            </w:r>
          </w:p>
        </w:tc>
      </w:tr>
      <w:tr w14:paraId="5C24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vAlign w:val="center"/>
          </w:tcPr>
          <w:p w14:paraId="613A6064">
            <w:pPr>
              <w:spacing w:line="360" w:lineRule="auto"/>
              <w:jc w:val="center"/>
              <w:rPr>
                <w:rFonts w:hint="eastAsia" w:ascii="黑体" w:hAnsi="黑体" w:eastAsia="黑体" w:cs="黑体"/>
                <w:sz w:val="19"/>
                <w:szCs w:val="19"/>
              </w:rPr>
            </w:pPr>
            <w:r>
              <w:rPr>
                <w:rFonts w:hint="eastAsia" w:ascii="黑体" w:hAnsi="黑体" w:eastAsia="黑体" w:cs="黑体"/>
                <w:sz w:val="19"/>
                <w:szCs w:val="19"/>
              </w:rPr>
              <w:t>1</w:t>
            </w:r>
          </w:p>
        </w:tc>
        <w:tc>
          <w:tcPr>
            <w:tcW w:w="1127" w:type="dxa"/>
            <w:vAlign w:val="center"/>
          </w:tcPr>
          <w:p w14:paraId="6CE1CC41">
            <w:pPr>
              <w:spacing w:line="560" w:lineRule="atLeast"/>
              <w:jc w:val="center"/>
              <w:rPr>
                <w:rFonts w:hint="eastAsia" w:ascii="黑体" w:hAnsi="黑体" w:eastAsia="黑体" w:cs="黑体"/>
                <w:sz w:val="19"/>
                <w:szCs w:val="19"/>
              </w:rPr>
            </w:pPr>
          </w:p>
        </w:tc>
        <w:tc>
          <w:tcPr>
            <w:tcW w:w="1503" w:type="dxa"/>
            <w:vAlign w:val="center"/>
          </w:tcPr>
          <w:p w14:paraId="6FB02444">
            <w:pPr>
              <w:spacing w:line="560" w:lineRule="atLeast"/>
              <w:jc w:val="center"/>
              <w:rPr>
                <w:rFonts w:hint="eastAsia" w:ascii="黑体" w:hAnsi="黑体" w:eastAsia="黑体" w:cs="黑体"/>
                <w:sz w:val="19"/>
                <w:szCs w:val="19"/>
              </w:rPr>
            </w:pPr>
          </w:p>
        </w:tc>
        <w:tc>
          <w:tcPr>
            <w:tcW w:w="1976" w:type="dxa"/>
            <w:vAlign w:val="center"/>
          </w:tcPr>
          <w:p w14:paraId="24666D27">
            <w:pPr>
              <w:spacing w:line="560" w:lineRule="atLeast"/>
              <w:jc w:val="center"/>
              <w:rPr>
                <w:rFonts w:hint="eastAsia" w:ascii="黑体" w:hAnsi="黑体" w:eastAsia="黑体" w:cs="黑体"/>
                <w:sz w:val="19"/>
                <w:szCs w:val="19"/>
              </w:rPr>
            </w:pPr>
          </w:p>
        </w:tc>
        <w:tc>
          <w:tcPr>
            <w:tcW w:w="1783" w:type="dxa"/>
            <w:vAlign w:val="center"/>
          </w:tcPr>
          <w:p w14:paraId="700C3A9F">
            <w:pPr>
              <w:spacing w:line="560" w:lineRule="atLeast"/>
              <w:jc w:val="center"/>
              <w:rPr>
                <w:rFonts w:hint="eastAsia" w:ascii="黑体" w:hAnsi="黑体" w:eastAsia="黑体" w:cs="黑体"/>
                <w:sz w:val="19"/>
                <w:szCs w:val="19"/>
              </w:rPr>
            </w:pPr>
          </w:p>
        </w:tc>
        <w:tc>
          <w:tcPr>
            <w:tcW w:w="1879" w:type="dxa"/>
            <w:vAlign w:val="center"/>
          </w:tcPr>
          <w:p w14:paraId="2703EF89">
            <w:pPr>
              <w:spacing w:line="560" w:lineRule="atLeast"/>
              <w:jc w:val="center"/>
              <w:rPr>
                <w:rFonts w:hint="eastAsia" w:ascii="黑体" w:hAnsi="黑体" w:eastAsia="黑体" w:cs="黑体"/>
                <w:sz w:val="19"/>
                <w:szCs w:val="19"/>
              </w:rPr>
            </w:pPr>
          </w:p>
        </w:tc>
      </w:tr>
      <w:tr w14:paraId="17E7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vAlign w:val="center"/>
          </w:tcPr>
          <w:p w14:paraId="4499DFF9">
            <w:pPr>
              <w:spacing w:line="360" w:lineRule="auto"/>
              <w:jc w:val="center"/>
              <w:rPr>
                <w:rFonts w:hint="eastAsia" w:ascii="黑体" w:hAnsi="黑体" w:eastAsia="黑体" w:cs="黑体"/>
                <w:sz w:val="19"/>
                <w:szCs w:val="19"/>
              </w:rPr>
            </w:pPr>
            <w:r>
              <w:rPr>
                <w:rFonts w:hint="eastAsia" w:ascii="黑体" w:hAnsi="黑体" w:eastAsia="黑体" w:cs="黑体"/>
                <w:sz w:val="19"/>
                <w:szCs w:val="19"/>
              </w:rPr>
              <w:t>2</w:t>
            </w:r>
          </w:p>
        </w:tc>
        <w:tc>
          <w:tcPr>
            <w:tcW w:w="1127" w:type="dxa"/>
            <w:vAlign w:val="center"/>
          </w:tcPr>
          <w:p w14:paraId="6C27B687">
            <w:pPr>
              <w:spacing w:line="560" w:lineRule="atLeast"/>
              <w:jc w:val="center"/>
              <w:rPr>
                <w:rFonts w:hint="eastAsia" w:ascii="黑体" w:hAnsi="黑体" w:eastAsia="黑体" w:cs="黑体"/>
                <w:sz w:val="19"/>
                <w:szCs w:val="19"/>
              </w:rPr>
            </w:pPr>
          </w:p>
        </w:tc>
        <w:tc>
          <w:tcPr>
            <w:tcW w:w="1503" w:type="dxa"/>
            <w:vAlign w:val="center"/>
          </w:tcPr>
          <w:p w14:paraId="36635B85">
            <w:pPr>
              <w:spacing w:line="560" w:lineRule="atLeast"/>
              <w:jc w:val="center"/>
              <w:rPr>
                <w:rFonts w:hint="eastAsia" w:ascii="黑体" w:hAnsi="黑体" w:eastAsia="黑体" w:cs="黑体"/>
                <w:sz w:val="19"/>
                <w:szCs w:val="19"/>
              </w:rPr>
            </w:pPr>
          </w:p>
        </w:tc>
        <w:tc>
          <w:tcPr>
            <w:tcW w:w="1976" w:type="dxa"/>
            <w:vAlign w:val="center"/>
          </w:tcPr>
          <w:p w14:paraId="3BC8E686">
            <w:pPr>
              <w:spacing w:line="560" w:lineRule="atLeast"/>
              <w:jc w:val="center"/>
              <w:rPr>
                <w:rFonts w:hint="eastAsia" w:ascii="黑体" w:hAnsi="黑体" w:eastAsia="黑体" w:cs="黑体"/>
                <w:sz w:val="19"/>
                <w:szCs w:val="19"/>
              </w:rPr>
            </w:pPr>
          </w:p>
        </w:tc>
        <w:tc>
          <w:tcPr>
            <w:tcW w:w="1783" w:type="dxa"/>
            <w:vAlign w:val="center"/>
          </w:tcPr>
          <w:p w14:paraId="01F6A989">
            <w:pPr>
              <w:spacing w:line="560" w:lineRule="atLeast"/>
              <w:jc w:val="center"/>
              <w:rPr>
                <w:rFonts w:hint="eastAsia" w:ascii="黑体" w:hAnsi="黑体" w:eastAsia="黑体" w:cs="黑体"/>
                <w:sz w:val="19"/>
                <w:szCs w:val="19"/>
              </w:rPr>
            </w:pPr>
          </w:p>
        </w:tc>
        <w:tc>
          <w:tcPr>
            <w:tcW w:w="1879" w:type="dxa"/>
            <w:vAlign w:val="center"/>
          </w:tcPr>
          <w:p w14:paraId="147BF80E">
            <w:pPr>
              <w:spacing w:line="560" w:lineRule="atLeast"/>
              <w:jc w:val="center"/>
              <w:rPr>
                <w:rFonts w:hint="eastAsia" w:ascii="黑体" w:hAnsi="黑体" w:eastAsia="黑体" w:cs="黑体"/>
                <w:sz w:val="19"/>
                <w:szCs w:val="19"/>
              </w:rPr>
            </w:pPr>
          </w:p>
        </w:tc>
      </w:tr>
      <w:tr w14:paraId="0A96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vAlign w:val="center"/>
          </w:tcPr>
          <w:p w14:paraId="60E17286">
            <w:pPr>
              <w:spacing w:line="360" w:lineRule="auto"/>
              <w:jc w:val="center"/>
              <w:rPr>
                <w:rFonts w:hint="eastAsia" w:ascii="黑体" w:hAnsi="黑体" w:eastAsia="黑体" w:cs="黑体"/>
                <w:sz w:val="19"/>
                <w:szCs w:val="19"/>
              </w:rPr>
            </w:pPr>
            <w:r>
              <w:rPr>
                <w:rFonts w:hint="eastAsia" w:ascii="黑体" w:hAnsi="黑体" w:eastAsia="黑体" w:cs="黑体"/>
                <w:sz w:val="19"/>
                <w:szCs w:val="19"/>
              </w:rPr>
              <w:t>3</w:t>
            </w:r>
          </w:p>
        </w:tc>
        <w:tc>
          <w:tcPr>
            <w:tcW w:w="1127" w:type="dxa"/>
            <w:vAlign w:val="center"/>
          </w:tcPr>
          <w:p w14:paraId="3837C691">
            <w:pPr>
              <w:spacing w:line="560" w:lineRule="atLeast"/>
              <w:jc w:val="center"/>
              <w:rPr>
                <w:rFonts w:hint="eastAsia" w:ascii="黑体" w:hAnsi="黑体" w:eastAsia="黑体" w:cs="黑体"/>
                <w:sz w:val="19"/>
                <w:szCs w:val="19"/>
              </w:rPr>
            </w:pPr>
          </w:p>
        </w:tc>
        <w:tc>
          <w:tcPr>
            <w:tcW w:w="1503" w:type="dxa"/>
            <w:vAlign w:val="center"/>
          </w:tcPr>
          <w:p w14:paraId="2F4FB462">
            <w:pPr>
              <w:spacing w:line="560" w:lineRule="atLeast"/>
              <w:jc w:val="center"/>
              <w:rPr>
                <w:rFonts w:hint="eastAsia" w:ascii="黑体" w:hAnsi="黑体" w:eastAsia="黑体" w:cs="黑体"/>
                <w:sz w:val="19"/>
                <w:szCs w:val="19"/>
              </w:rPr>
            </w:pPr>
          </w:p>
        </w:tc>
        <w:tc>
          <w:tcPr>
            <w:tcW w:w="1976" w:type="dxa"/>
            <w:vAlign w:val="center"/>
          </w:tcPr>
          <w:p w14:paraId="6C6D048D">
            <w:pPr>
              <w:spacing w:line="560" w:lineRule="atLeast"/>
              <w:jc w:val="center"/>
              <w:rPr>
                <w:rFonts w:hint="eastAsia" w:ascii="黑体" w:hAnsi="黑体" w:eastAsia="黑体" w:cs="黑体"/>
                <w:sz w:val="19"/>
                <w:szCs w:val="19"/>
              </w:rPr>
            </w:pPr>
          </w:p>
        </w:tc>
        <w:tc>
          <w:tcPr>
            <w:tcW w:w="1783" w:type="dxa"/>
            <w:vAlign w:val="center"/>
          </w:tcPr>
          <w:p w14:paraId="32E82571">
            <w:pPr>
              <w:spacing w:line="560" w:lineRule="atLeast"/>
              <w:jc w:val="center"/>
              <w:rPr>
                <w:rFonts w:hint="eastAsia" w:ascii="黑体" w:hAnsi="黑体" w:eastAsia="黑体" w:cs="黑体"/>
                <w:sz w:val="19"/>
                <w:szCs w:val="19"/>
              </w:rPr>
            </w:pPr>
          </w:p>
        </w:tc>
        <w:tc>
          <w:tcPr>
            <w:tcW w:w="1879" w:type="dxa"/>
            <w:vAlign w:val="center"/>
          </w:tcPr>
          <w:p w14:paraId="493E75F1">
            <w:pPr>
              <w:spacing w:line="560" w:lineRule="atLeast"/>
              <w:jc w:val="center"/>
              <w:rPr>
                <w:rFonts w:hint="eastAsia" w:ascii="黑体" w:hAnsi="黑体" w:eastAsia="黑体" w:cs="黑体"/>
                <w:sz w:val="19"/>
                <w:szCs w:val="19"/>
              </w:rPr>
            </w:pPr>
          </w:p>
        </w:tc>
      </w:tr>
      <w:tr w14:paraId="35BC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30" w:type="dxa"/>
            <w:vAlign w:val="center"/>
          </w:tcPr>
          <w:p w14:paraId="732A66CC">
            <w:pPr>
              <w:spacing w:line="360" w:lineRule="auto"/>
              <w:jc w:val="center"/>
              <w:rPr>
                <w:rFonts w:hint="eastAsia" w:ascii="黑体" w:hAnsi="黑体" w:eastAsia="黑体" w:cs="黑体"/>
                <w:sz w:val="19"/>
                <w:szCs w:val="19"/>
              </w:rPr>
            </w:pPr>
            <w:r>
              <w:rPr>
                <w:rFonts w:hint="eastAsia" w:ascii="黑体" w:hAnsi="黑体" w:eastAsia="黑体" w:cs="黑体"/>
                <w:sz w:val="19"/>
                <w:szCs w:val="19"/>
              </w:rPr>
              <w:t>4</w:t>
            </w:r>
          </w:p>
        </w:tc>
        <w:tc>
          <w:tcPr>
            <w:tcW w:w="1127" w:type="dxa"/>
            <w:vAlign w:val="center"/>
          </w:tcPr>
          <w:p w14:paraId="4A4CBAC1">
            <w:pPr>
              <w:spacing w:line="560" w:lineRule="atLeast"/>
              <w:jc w:val="center"/>
              <w:rPr>
                <w:rFonts w:hint="eastAsia" w:ascii="黑体" w:hAnsi="黑体" w:eastAsia="黑体" w:cs="黑体"/>
                <w:sz w:val="19"/>
                <w:szCs w:val="19"/>
              </w:rPr>
            </w:pPr>
          </w:p>
        </w:tc>
        <w:tc>
          <w:tcPr>
            <w:tcW w:w="1503" w:type="dxa"/>
            <w:vAlign w:val="center"/>
          </w:tcPr>
          <w:p w14:paraId="499452A4">
            <w:pPr>
              <w:spacing w:line="560" w:lineRule="atLeast"/>
              <w:jc w:val="center"/>
              <w:rPr>
                <w:rFonts w:hint="eastAsia" w:ascii="黑体" w:hAnsi="黑体" w:eastAsia="黑体" w:cs="黑体"/>
                <w:sz w:val="19"/>
                <w:szCs w:val="19"/>
              </w:rPr>
            </w:pPr>
          </w:p>
        </w:tc>
        <w:tc>
          <w:tcPr>
            <w:tcW w:w="1976" w:type="dxa"/>
            <w:vAlign w:val="center"/>
          </w:tcPr>
          <w:p w14:paraId="4E7C715F">
            <w:pPr>
              <w:spacing w:line="560" w:lineRule="atLeast"/>
              <w:jc w:val="center"/>
              <w:rPr>
                <w:rFonts w:hint="eastAsia" w:ascii="黑体" w:hAnsi="黑体" w:eastAsia="黑体" w:cs="黑体"/>
                <w:sz w:val="19"/>
                <w:szCs w:val="19"/>
              </w:rPr>
            </w:pPr>
          </w:p>
        </w:tc>
        <w:tc>
          <w:tcPr>
            <w:tcW w:w="1783" w:type="dxa"/>
            <w:vAlign w:val="center"/>
          </w:tcPr>
          <w:p w14:paraId="474C9633">
            <w:pPr>
              <w:spacing w:line="560" w:lineRule="atLeast"/>
              <w:jc w:val="center"/>
              <w:rPr>
                <w:rFonts w:hint="eastAsia" w:ascii="黑体" w:hAnsi="黑体" w:eastAsia="黑体" w:cs="黑体"/>
                <w:sz w:val="19"/>
                <w:szCs w:val="19"/>
              </w:rPr>
            </w:pPr>
          </w:p>
        </w:tc>
        <w:tc>
          <w:tcPr>
            <w:tcW w:w="1879" w:type="dxa"/>
            <w:vAlign w:val="center"/>
          </w:tcPr>
          <w:p w14:paraId="451FECE5">
            <w:pPr>
              <w:spacing w:line="560" w:lineRule="atLeast"/>
              <w:jc w:val="center"/>
              <w:rPr>
                <w:rFonts w:hint="eastAsia" w:ascii="黑体" w:hAnsi="黑体" w:eastAsia="黑体" w:cs="黑体"/>
                <w:sz w:val="19"/>
                <w:szCs w:val="19"/>
              </w:rPr>
            </w:pPr>
          </w:p>
        </w:tc>
      </w:tr>
      <w:tr w14:paraId="01A3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30" w:type="dxa"/>
            <w:vAlign w:val="center"/>
          </w:tcPr>
          <w:p w14:paraId="422DF294">
            <w:pPr>
              <w:spacing w:line="360" w:lineRule="auto"/>
              <w:jc w:val="center"/>
              <w:rPr>
                <w:rFonts w:hint="eastAsia" w:ascii="黑体" w:hAnsi="黑体" w:eastAsia="黑体" w:cs="黑体"/>
                <w:sz w:val="19"/>
                <w:szCs w:val="19"/>
              </w:rPr>
            </w:pPr>
            <w:r>
              <w:rPr>
                <w:rFonts w:hint="eastAsia" w:ascii="黑体" w:hAnsi="黑体" w:eastAsia="黑体" w:cs="黑体"/>
                <w:sz w:val="19"/>
                <w:szCs w:val="19"/>
              </w:rPr>
              <w:t>…</w:t>
            </w:r>
          </w:p>
        </w:tc>
        <w:tc>
          <w:tcPr>
            <w:tcW w:w="1127" w:type="dxa"/>
            <w:vAlign w:val="center"/>
          </w:tcPr>
          <w:p w14:paraId="6CC0CEDF">
            <w:pPr>
              <w:spacing w:line="560" w:lineRule="atLeast"/>
              <w:jc w:val="center"/>
              <w:rPr>
                <w:rFonts w:hint="eastAsia" w:ascii="黑体" w:hAnsi="黑体" w:eastAsia="黑体" w:cs="黑体"/>
                <w:sz w:val="19"/>
                <w:szCs w:val="19"/>
              </w:rPr>
            </w:pPr>
          </w:p>
        </w:tc>
        <w:tc>
          <w:tcPr>
            <w:tcW w:w="1503" w:type="dxa"/>
            <w:vAlign w:val="center"/>
          </w:tcPr>
          <w:p w14:paraId="5B9626D0">
            <w:pPr>
              <w:spacing w:line="560" w:lineRule="atLeast"/>
              <w:jc w:val="center"/>
              <w:rPr>
                <w:rFonts w:hint="eastAsia" w:ascii="黑体" w:hAnsi="黑体" w:eastAsia="黑体" w:cs="黑体"/>
                <w:sz w:val="19"/>
                <w:szCs w:val="19"/>
              </w:rPr>
            </w:pPr>
          </w:p>
        </w:tc>
        <w:tc>
          <w:tcPr>
            <w:tcW w:w="1976" w:type="dxa"/>
            <w:vAlign w:val="center"/>
          </w:tcPr>
          <w:p w14:paraId="0D31753C">
            <w:pPr>
              <w:spacing w:line="560" w:lineRule="atLeast"/>
              <w:jc w:val="center"/>
              <w:rPr>
                <w:rFonts w:hint="eastAsia" w:ascii="黑体" w:hAnsi="黑体" w:eastAsia="黑体" w:cs="黑体"/>
                <w:sz w:val="19"/>
                <w:szCs w:val="19"/>
              </w:rPr>
            </w:pPr>
          </w:p>
        </w:tc>
        <w:tc>
          <w:tcPr>
            <w:tcW w:w="1783" w:type="dxa"/>
            <w:vAlign w:val="center"/>
          </w:tcPr>
          <w:p w14:paraId="6B0A3E2D">
            <w:pPr>
              <w:spacing w:line="560" w:lineRule="atLeast"/>
              <w:jc w:val="center"/>
              <w:rPr>
                <w:rFonts w:hint="eastAsia" w:ascii="黑体" w:hAnsi="黑体" w:eastAsia="黑体" w:cs="黑体"/>
                <w:sz w:val="19"/>
                <w:szCs w:val="19"/>
              </w:rPr>
            </w:pPr>
          </w:p>
        </w:tc>
        <w:tc>
          <w:tcPr>
            <w:tcW w:w="1879" w:type="dxa"/>
            <w:vAlign w:val="center"/>
          </w:tcPr>
          <w:p w14:paraId="18ACBF57">
            <w:pPr>
              <w:spacing w:line="560" w:lineRule="atLeast"/>
              <w:jc w:val="center"/>
              <w:rPr>
                <w:rFonts w:hint="eastAsia" w:ascii="黑体" w:hAnsi="黑体" w:eastAsia="黑体" w:cs="黑体"/>
                <w:sz w:val="19"/>
                <w:szCs w:val="19"/>
              </w:rPr>
            </w:pPr>
          </w:p>
        </w:tc>
      </w:tr>
    </w:tbl>
    <w:p w14:paraId="58FDFF18">
      <w:pPr>
        <w:spacing w:line="500" w:lineRule="exact"/>
        <w:rPr>
          <w:rFonts w:hint="eastAsia" w:ascii="黑体" w:hAnsi="黑体" w:eastAsia="黑体" w:cs="黑体"/>
          <w:sz w:val="19"/>
          <w:szCs w:val="19"/>
        </w:rPr>
      </w:pPr>
      <w:r>
        <w:rPr>
          <w:rFonts w:hint="eastAsia" w:ascii="黑体" w:hAnsi="黑体" w:eastAsia="黑体" w:cs="黑体"/>
          <w:sz w:val="19"/>
          <w:szCs w:val="19"/>
        </w:rPr>
        <w:t>注：</w:t>
      </w:r>
    </w:p>
    <w:p w14:paraId="3B04AD52">
      <w:pPr>
        <w:spacing w:line="500" w:lineRule="exact"/>
        <w:rPr>
          <w:rFonts w:hint="eastAsia" w:ascii="黑体" w:hAnsi="黑体" w:eastAsia="黑体" w:cs="黑体"/>
          <w:sz w:val="19"/>
          <w:szCs w:val="19"/>
        </w:rPr>
      </w:pPr>
      <w:r>
        <w:rPr>
          <w:rFonts w:hint="eastAsia" w:ascii="黑体" w:hAnsi="黑体" w:eastAsia="黑体" w:cs="黑体"/>
          <w:sz w:val="19"/>
          <w:szCs w:val="19"/>
        </w:rPr>
        <w:t>1.提供相关证明材料；</w:t>
      </w:r>
    </w:p>
    <w:p w14:paraId="2CCC82D6">
      <w:pPr>
        <w:spacing w:line="500" w:lineRule="exact"/>
        <w:rPr>
          <w:rFonts w:hint="eastAsia" w:ascii="黑体" w:hAnsi="黑体" w:eastAsia="黑体" w:cs="黑体"/>
          <w:sz w:val="19"/>
          <w:szCs w:val="19"/>
        </w:rPr>
        <w:sectPr>
          <w:pgSz w:w="11905" w:h="16838"/>
          <w:pgMar w:top="1417" w:right="1247" w:bottom="1474" w:left="1247" w:header="850" w:footer="992" w:gutter="0"/>
          <w:pgNumType w:fmt="numberInDash"/>
          <w:cols w:space="0" w:num="1"/>
          <w:docGrid w:type="lines" w:linePitch="436" w:charSpace="0"/>
        </w:sectPr>
      </w:pPr>
      <w:r>
        <w:rPr>
          <w:rFonts w:hint="eastAsia" w:ascii="黑体" w:hAnsi="黑体" w:eastAsia="黑体" w:cs="黑体"/>
          <w:sz w:val="19"/>
          <w:szCs w:val="19"/>
        </w:rPr>
        <w:t>2.项目团队成员一旦确定，中标后原则上不再变更，若变更，应征得采购人同意。</w:t>
      </w:r>
    </w:p>
    <w:p w14:paraId="5BEC2AE7">
      <w:pPr>
        <w:pStyle w:val="11"/>
        <w:outlineLvl w:val="2"/>
        <w:rPr>
          <w:rFonts w:hint="eastAsia" w:ascii="黑体" w:hAnsi="黑体" w:eastAsia="黑体" w:cs="黑体"/>
          <w:color w:val="auto"/>
          <w:sz w:val="19"/>
          <w:szCs w:val="19"/>
        </w:rPr>
      </w:pPr>
      <w:r>
        <w:rPr>
          <w:rFonts w:hint="eastAsia" w:ascii="黑体" w:hAnsi="黑体" w:eastAsia="黑体" w:cs="黑体"/>
          <w:sz w:val="19"/>
          <w:szCs w:val="19"/>
        </w:rPr>
        <w:t>2.</w:t>
      </w:r>
      <w:r>
        <w:rPr>
          <w:rFonts w:hint="eastAsia" w:ascii="黑体" w:hAnsi="黑体" w:eastAsia="黑体" w:cs="黑体"/>
          <w:color w:val="auto"/>
          <w:sz w:val="19"/>
          <w:szCs w:val="19"/>
        </w:rPr>
        <w:t>拟派项目负责人（格式可自拟，</w:t>
      </w:r>
      <w:r>
        <w:rPr>
          <w:rFonts w:hint="eastAsia" w:ascii="黑体" w:hAnsi="黑体" w:eastAsia="黑体" w:cs="黑体"/>
          <w:color w:val="auto"/>
          <w:kern w:val="2"/>
          <w:sz w:val="19"/>
          <w:szCs w:val="19"/>
        </w:rPr>
        <w:t>项目未涉及的，无需提供，删除本页</w:t>
      </w:r>
      <w:r>
        <w:rPr>
          <w:rFonts w:hint="eastAsia" w:ascii="黑体" w:hAnsi="黑体" w:eastAsia="黑体" w:cs="黑体"/>
          <w:color w:val="auto"/>
          <w:sz w:val="19"/>
          <w:szCs w:val="19"/>
        </w:rPr>
        <w:t>）</w:t>
      </w:r>
    </w:p>
    <w:p w14:paraId="1B3F45E2">
      <w:pPr>
        <w:spacing w:line="360" w:lineRule="auto"/>
        <w:jc w:val="center"/>
        <w:rPr>
          <w:rFonts w:hint="eastAsia" w:ascii="黑体" w:hAnsi="黑体" w:eastAsia="黑体" w:cs="黑体"/>
          <w:b/>
          <w:kern w:val="44"/>
          <w:sz w:val="28"/>
          <w:szCs w:val="28"/>
        </w:rPr>
      </w:pPr>
      <w:r>
        <w:rPr>
          <w:rFonts w:hint="eastAsia" w:ascii="黑体" w:hAnsi="黑体" w:eastAsia="黑体" w:cs="黑体"/>
          <w:b/>
          <w:kern w:val="44"/>
          <w:sz w:val="28"/>
          <w:szCs w:val="28"/>
        </w:rPr>
        <w:t>拟派项目负责人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78"/>
        <w:gridCol w:w="2276"/>
        <w:gridCol w:w="958"/>
        <w:gridCol w:w="2276"/>
        <w:gridCol w:w="1145"/>
      </w:tblGrid>
      <w:tr w14:paraId="4760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vAlign w:val="center"/>
          </w:tcPr>
          <w:p w14:paraId="667CAF03">
            <w:pPr>
              <w:pStyle w:val="40"/>
              <w:spacing w:before="0" w:line="240" w:lineRule="auto"/>
              <w:jc w:val="both"/>
              <w:rPr>
                <w:rFonts w:hint="eastAsia" w:ascii="黑体" w:hAnsi="黑体" w:cs="黑体"/>
                <w:sz w:val="19"/>
                <w:szCs w:val="19"/>
              </w:rPr>
            </w:pPr>
            <w:r>
              <w:rPr>
                <w:rFonts w:hint="eastAsia" w:ascii="黑体" w:hAnsi="黑体" w:cs="黑体"/>
                <w:sz w:val="19"/>
                <w:szCs w:val="19"/>
              </w:rPr>
              <w:t>1.基本信息</w:t>
            </w:r>
          </w:p>
        </w:tc>
      </w:tr>
      <w:tr w14:paraId="7A71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vAlign w:val="center"/>
          </w:tcPr>
          <w:p w14:paraId="6CF5A6FA">
            <w:pPr>
              <w:pStyle w:val="40"/>
              <w:spacing w:before="0" w:line="240" w:lineRule="auto"/>
              <w:jc w:val="left"/>
              <w:rPr>
                <w:rFonts w:hint="eastAsia" w:ascii="黑体" w:hAnsi="黑体" w:cs="黑体"/>
                <w:sz w:val="19"/>
                <w:szCs w:val="19"/>
              </w:rPr>
            </w:pPr>
            <w:r>
              <w:rPr>
                <w:rFonts w:hint="eastAsia" w:ascii="黑体" w:hAnsi="黑体" w:cs="黑体"/>
                <w:sz w:val="19"/>
                <w:szCs w:val="19"/>
              </w:rPr>
              <w:t>姓名</w:t>
            </w:r>
          </w:p>
        </w:tc>
        <w:tc>
          <w:tcPr>
            <w:tcW w:w="1078" w:type="dxa"/>
            <w:tcBorders>
              <w:top w:val="single" w:color="auto" w:sz="4" w:space="0"/>
              <w:left w:val="single" w:color="auto" w:sz="4" w:space="0"/>
              <w:bottom w:val="single" w:color="auto" w:sz="4" w:space="0"/>
              <w:right w:val="single" w:color="auto" w:sz="4" w:space="0"/>
            </w:tcBorders>
            <w:vAlign w:val="center"/>
          </w:tcPr>
          <w:p w14:paraId="56FD7354">
            <w:pPr>
              <w:pStyle w:val="40"/>
              <w:spacing w:before="0" w:line="240" w:lineRule="auto"/>
              <w:jc w:val="left"/>
              <w:rPr>
                <w:rFonts w:hint="eastAsia" w:ascii="黑体" w:hAnsi="黑体" w:cs="黑体"/>
                <w:sz w:val="19"/>
                <w:szCs w:val="19"/>
              </w:rPr>
            </w:pPr>
          </w:p>
        </w:tc>
        <w:tc>
          <w:tcPr>
            <w:tcW w:w="2276" w:type="dxa"/>
            <w:tcBorders>
              <w:top w:val="single" w:color="auto" w:sz="4" w:space="0"/>
              <w:left w:val="single" w:color="auto" w:sz="4" w:space="0"/>
              <w:bottom w:val="single" w:color="auto" w:sz="4" w:space="0"/>
              <w:right w:val="single" w:color="auto" w:sz="4" w:space="0"/>
            </w:tcBorders>
            <w:vAlign w:val="center"/>
          </w:tcPr>
          <w:p w14:paraId="24CBF01B">
            <w:pPr>
              <w:pStyle w:val="40"/>
              <w:spacing w:before="0" w:line="240" w:lineRule="auto"/>
              <w:jc w:val="left"/>
              <w:rPr>
                <w:rFonts w:hint="eastAsia" w:ascii="黑体" w:hAnsi="黑体" w:cs="黑体"/>
                <w:sz w:val="19"/>
                <w:szCs w:val="19"/>
              </w:rPr>
            </w:pPr>
            <w:r>
              <w:rPr>
                <w:rFonts w:hint="eastAsia" w:ascii="黑体" w:hAnsi="黑体" w:cs="黑体"/>
                <w:sz w:val="19"/>
                <w:szCs w:val="19"/>
              </w:rPr>
              <w:t>年龄</w:t>
            </w:r>
          </w:p>
        </w:tc>
        <w:tc>
          <w:tcPr>
            <w:tcW w:w="958" w:type="dxa"/>
            <w:tcBorders>
              <w:top w:val="single" w:color="auto" w:sz="4" w:space="0"/>
              <w:left w:val="single" w:color="auto" w:sz="4" w:space="0"/>
              <w:bottom w:val="single" w:color="auto" w:sz="4" w:space="0"/>
              <w:right w:val="single" w:color="auto" w:sz="4" w:space="0"/>
            </w:tcBorders>
            <w:vAlign w:val="center"/>
          </w:tcPr>
          <w:p w14:paraId="769B62F2">
            <w:pPr>
              <w:pStyle w:val="40"/>
              <w:spacing w:before="0" w:line="240" w:lineRule="auto"/>
              <w:jc w:val="left"/>
              <w:rPr>
                <w:rFonts w:hint="eastAsia" w:ascii="黑体" w:hAnsi="黑体" w:cs="黑体"/>
                <w:sz w:val="19"/>
                <w:szCs w:val="19"/>
              </w:rPr>
            </w:pPr>
          </w:p>
        </w:tc>
        <w:tc>
          <w:tcPr>
            <w:tcW w:w="2276" w:type="dxa"/>
            <w:tcBorders>
              <w:top w:val="single" w:color="auto" w:sz="4" w:space="0"/>
              <w:left w:val="single" w:color="auto" w:sz="4" w:space="0"/>
              <w:bottom w:val="single" w:color="auto" w:sz="4" w:space="0"/>
              <w:right w:val="single" w:color="auto" w:sz="4" w:space="0"/>
            </w:tcBorders>
            <w:vAlign w:val="center"/>
          </w:tcPr>
          <w:p w14:paraId="271E0FE7">
            <w:pPr>
              <w:pStyle w:val="40"/>
              <w:spacing w:before="0" w:line="240" w:lineRule="auto"/>
              <w:jc w:val="left"/>
              <w:rPr>
                <w:rFonts w:hint="eastAsia" w:ascii="黑体" w:hAnsi="黑体" w:cs="黑体"/>
                <w:sz w:val="19"/>
                <w:szCs w:val="19"/>
              </w:rPr>
            </w:pPr>
            <w:r>
              <w:rPr>
                <w:rFonts w:hint="eastAsia" w:ascii="黑体" w:hAnsi="黑体" w:cs="黑体"/>
                <w:sz w:val="19"/>
                <w:szCs w:val="19"/>
              </w:rPr>
              <w:t>技术职务</w:t>
            </w:r>
          </w:p>
        </w:tc>
        <w:tc>
          <w:tcPr>
            <w:tcW w:w="1145" w:type="dxa"/>
            <w:tcBorders>
              <w:top w:val="single" w:color="auto" w:sz="4" w:space="0"/>
              <w:left w:val="single" w:color="auto" w:sz="4" w:space="0"/>
              <w:bottom w:val="single" w:color="auto" w:sz="4" w:space="0"/>
              <w:right w:val="single" w:color="auto" w:sz="4" w:space="0"/>
            </w:tcBorders>
            <w:vAlign w:val="center"/>
          </w:tcPr>
          <w:p w14:paraId="68562FE2">
            <w:pPr>
              <w:autoSpaceDE w:val="0"/>
              <w:autoSpaceDN w:val="0"/>
              <w:adjustRightInd w:val="0"/>
              <w:spacing w:before="120"/>
              <w:jc w:val="left"/>
              <w:rPr>
                <w:rFonts w:hint="eastAsia" w:ascii="黑体" w:hAnsi="黑体" w:eastAsia="黑体" w:cs="黑体"/>
                <w:spacing w:val="20"/>
                <w:sz w:val="19"/>
                <w:szCs w:val="19"/>
              </w:rPr>
            </w:pPr>
          </w:p>
        </w:tc>
      </w:tr>
      <w:tr w14:paraId="10AC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198" w:type="dxa"/>
            <w:tcBorders>
              <w:top w:val="single" w:color="auto" w:sz="4" w:space="0"/>
              <w:left w:val="single" w:color="auto" w:sz="4" w:space="0"/>
              <w:bottom w:val="single" w:color="auto" w:sz="4" w:space="0"/>
              <w:right w:val="single" w:color="auto" w:sz="4" w:space="0"/>
            </w:tcBorders>
            <w:vAlign w:val="center"/>
          </w:tcPr>
          <w:p w14:paraId="09BB4E6A">
            <w:pPr>
              <w:pStyle w:val="40"/>
              <w:spacing w:before="0" w:line="240" w:lineRule="auto"/>
              <w:jc w:val="left"/>
              <w:rPr>
                <w:rFonts w:hint="eastAsia" w:ascii="黑体" w:hAnsi="黑体" w:cs="黑体"/>
                <w:sz w:val="19"/>
                <w:szCs w:val="19"/>
              </w:rPr>
            </w:pPr>
            <w:r>
              <w:rPr>
                <w:rFonts w:hint="eastAsia" w:ascii="黑体" w:hAnsi="黑体" w:cs="黑体"/>
                <w:sz w:val="19"/>
                <w:szCs w:val="19"/>
              </w:rPr>
              <w:t>职务</w:t>
            </w:r>
          </w:p>
        </w:tc>
        <w:tc>
          <w:tcPr>
            <w:tcW w:w="1078" w:type="dxa"/>
            <w:tcBorders>
              <w:top w:val="single" w:color="auto" w:sz="4" w:space="0"/>
              <w:left w:val="single" w:color="auto" w:sz="4" w:space="0"/>
              <w:bottom w:val="single" w:color="auto" w:sz="4" w:space="0"/>
              <w:right w:val="single" w:color="auto" w:sz="4" w:space="0"/>
            </w:tcBorders>
            <w:vAlign w:val="center"/>
          </w:tcPr>
          <w:p w14:paraId="1AAA6E4A">
            <w:pPr>
              <w:pStyle w:val="40"/>
              <w:spacing w:before="0" w:line="240" w:lineRule="auto"/>
              <w:jc w:val="left"/>
              <w:rPr>
                <w:rFonts w:hint="eastAsia" w:ascii="黑体" w:hAnsi="黑体" w:cs="黑体"/>
                <w:sz w:val="19"/>
                <w:szCs w:val="19"/>
              </w:rPr>
            </w:pPr>
          </w:p>
        </w:tc>
        <w:tc>
          <w:tcPr>
            <w:tcW w:w="2276" w:type="dxa"/>
            <w:tcBorders>
              <w:top w:val="single" w:color="auto" w:sz="4" w:space="0"/>
              <w:left w:val="single" w:color="auto" w:sz="4" w:space="0"/>
              <w:bottom w:val="single" w:color="auto" w:sz="4" w:space="0"/>
              <w:right w:val="single" w:color="auto" w:sz="4" w:space="0"/>
            </w:tcBorders>
            <w:vAlign w:val="center"/>
          </w:tcPr>
          <w:p w14:paraId="7988FB2B">
            <w:pPr>
              <w:pStyle w:val="40"/>
              <w:spacing w:before="0" w:line="240" w:lineRule="auto"/>
              <w:jc w:val="left"/>
              <w:rPr>
                <w:rFonts w:hint="eastAsia" w:ascii="黑体" w:hAnsi="黑体" w:cs="黑体"/>
                <w:sz w:val="19"/>
                <w:szCs w:val="19"/>
              </w:rPr>
            </w:pPr>
            <w:r>
              <w:rPr>
                <w:rFonts w:hint="eastAsia" w:ascii="黑体" w:hAnsi="黑体" w:cs="黑体"/>
                <w:sz w:val="19"/>
                <w:szCs w:val="19"/>
              </w:rPr>
              <w:t>本合同中拟任职务</w:t>
            </w:r>
          </w:p>
        </w:tc>
        <w:tc>
          <w:tcPr>
            <w:tcW w:w="958" w:type="dxa"/>
            <w:tcBorders>
              <w:top w:val="single" w:color="auto" w:sz="4" w:space="0"/>
              <w:left w:val="single" w:color="auto" w:sz="4" w:space="0"/>
              <w:bottom w:val="single" w:color="auto" w:sz="4" w:space="0"/>
              <w:right w:val="single" w:color="auto" w:sz="4" w:space="0"/>
            </w:tcBorders>
            <w:vAlign w:val="center"/>
          </w:tcPr>
          <w:p w14:paraId="454B326B">
            <w:pPr>
              <w:pStyle w:val="40"/>
              <w:spacing w:before="0" w:line="240" w:lineRule="auto"/>
              <w:jc w:val="left"/>
              <w:rPr>
                <w:rFonts w:hint="eastAsia" w:ascii="黑体" w:hAnsi="黑体" w:cs="黑体"/>
                <w:sz w:val="19"/>
                <w:szCs w:val="19"/>
              </w:rPr>
            </w:pPr>
          </w:p>
        </w:tc>
        <w:tc>
          <w:tcPr>
            <w:tcW w:w="2276" w:type="dxa"/>
            <w:tcBorders>
              <w:top w:val="single" w:color="auto" w:sz="4" w:space="0"/>
              <w:left w:val="single" w:color="auto" w:sz="4" w:space="0"/>
              <w:bottom w:val="single" w:color="auto" w:sz="4" w:space="0"/>
              <w:right w:val="single" w:color="auto" w:sz="4" w:space="0"/>
            </w:tcBorders>
            <w:vAlign w:val="center"/>
          </w:tcPr>
          <w:p w14:paraId="12F496A2">
            <w:pPr>
              <w:pStyle w:val="40"/>
              <w:spacing w:before="0" w:line="240" w:lineRule="auto"/>
              <w:jc w:val="left"/>
              <w:rPr>
                <w:rFonts w:hint="eastAsia" w:ascii="黑体" w:hAnsi="黑体" w:cs="黑体"/>
                <w:sz w:val="19"/>
                <w:szCs w:val="19"/>
              </w:rPr>
            </w:pPr>
            <w:r>
              <w:rPr>
                <w:rFonts w:hint="eastAsia" w:ascii="黑体" w:hAnsi="黑体" w:cs="黑体"/>
                <w:sz w:val="19"/>
                <w:szCs w:val="19"/>
              </w:rPr>
              <w:t>为投标人服务时间</w:t>
            </w:r>
          </w:p>
        </w:tc>
        <w:tc>
          <w:tcPr>
            <w:tcW w:w="1145" w:type="dxa"/>
            <w:tcBorders>
              <w:top w:val="single" w:color="auto" w:sz="4" w:space="0"/>
              <w:left w:val="single" w:color="auto" w:sz="4" w:space="0"/>
              <w:bottom w:val="single" w:color="auto" w:sz="4" w:space="0"/>
              <w:right w:val="single" w:color="auto" w:sz="4" w:space="0"/>
            </w:tcBorders>
            <w:vAlign w:val="center"/>
          </w:tcPr>
          <w:p w14:paraId="6BBEA9A6">
            <w:pPr>
              <w:autoSpaceDE w:val="0"/>
              <w:autoSpaceDN w:val="0"/>
              <w:adjustRightInd w:val="0"/>
              <w:spacing w:before="120"/>
              <w:jc w:val="left"/>
              <w:rPr>
                <w:rFonts w:hint="eastAsia" w:ascii="黑体" w:hAnsi="黑体" w:eastAsia="黑体" w:cs="黑体"/>
                <w:spacing w:val="20"/>
                <w:sz w:val="19"/>
                <w:szCs w:val="19"/>
              </w:rPr>
            </w:pPr>
          </w:p>
        </w:tc>
      </w:tr>
      <w:tr w14:paraId="52F4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2276" w:type="dxa"/>
            <w:gridSpan w:val="2"/>
            <w:tcBorders>
              <w:top w:val="single" w:color="auto" w:sz="4" w:space="0"/>
              <w:left w:val="single" w:color="auto" w:sz="4" w:space="0"/>
              <w:bottom w:val="single" w:color="auto" w:sz="4" w:space="0"/>
              <w:right w:val="single" w:color="auto" w:sz="4" w:space="0"/>
            </w:tcBorders>
            <w:vAlign w:val="center"/>
          </w:tcPr>
          <w:p w14:paraId="2703C41B">
            <w:pPr>
              <w:pStyle w:val="40"/>
              <w:spacing w:before="0" w:line="240" w:lineRule="auto"/>
              <w:jc w:val="left"/>
              <w:rPr>
                <w:rFonts w:hint="eastAsia" w:ascii="黑体" w:hAnsi="黑体" w:cs="黑体"/>
                <w:sz w:val="19"/>
                <w:szCs w:val="19"/>
              </w:rPr>
            </w:pPr>
            <w:r>
              <w:rPr>
                <w:rFonts w:hint="eastAsia" w:ascii="黑体" w:hAnsi="黑体" w:cs="黑体"/>
                <w:sz w:val="19"/>
                <w:szCs w:val="19"/>
              </w:rPr>
              <w:t>相关职业/执业资格</w:t>
            </w:r>
          </w:p>
        </w:tc>
        <w:tc>
          <w:tcPr>
            <w:tcW w:w="2276" w:type="dxa"/>
            <w:tcBorders>
              <w:top w:val="single" w:color="auto" w:sz="4" w:space="0"/>
              <w:left w:val="single" w:color="auto" w:sz="4" w:space="0"/>
              <w:bottom w:val="single" w:color="auto" w:sz="4" w:space="0"/>
              <w:right w:val="single" w:color="auto" w:sz="4" w:space="0"/>
            </w:tcBorders>
            <w:vAlign w:val="center"/>
          </w:tcPr>
          <w:p w14:paraId="2C86F068">
            <w:pPr>
              <w:pStyle w:val="40"/>
              <w:spacing w:before="0" w:line="240" w:lineRule="auto"/>
              <w:jc w:val="left"/>
              <w:rPr>
                <w:rFonts w:hint="eastAsia" w:ascii="黑体" w:hAnsi="黑体" w:cs="黑体"/>
                <w:sz w:val="19"/>
                <w:szCs w:val="19"/>
              </w:rPr>
            </w:pPr>
          </w:p>
        </w:tc>
        <w:tc>
          <w:tcPr>
            <w:tcW w:w="3234" w:type="dxa"/>
            <w:gridSpan w:val="2"/>
            <w:tcBorders>
              <w:top w:val="single" w:color="auto" w:sz="4" w:space="0"/>
              <w:left w:val="single" w:color="auto" w:sz="4" w:space="0"/>
              <w:bottom w:val="single" w:color="auto" w:sz="4" w:space="0"/>
              <w:right w:val="single" w:color="auto" w:sz="4" w:space="0"/>
            </w:tcBorders>
            <w:vAlign w:val="center"/>
          </w:tcPr>
          <w:p w14:paraId="4287657D">
            <w:pPr>
              <w:pStyle w:val="40"/>
              <w:spacing w:before="0" w:line="240" w:lineRule="auto"/>
              <w:jc w:val="left"/>
              <w:rPr>
                <w:rFonts w:hint="eastAsia" w:ascii="黑体" w:hAnsi="黑体" w:cs="黑体"/>
                <w:sz w:val="19"/>
                <w:szCs w:val="19"/>
              </w:rPr>
            </w:pPr>
            <w:r>
              <w:rPr>
                <w:rFonts w:hint="eastAsia" w:ascii="黑体" w:hAnsi="黑体" w:cs="黑体"/>
                <w:sz w:val="19"/>
                <w:szCs w:val="19"/>
              </w:rPr>
              <w:t>取得时间</w:t>
            </w:r>
          </w:p>
        </w:tc>
        <w:tc>
          <w:tcPr>
            <w:tcW w:w="1145" w:type="dxa"/>
            <w:tcBorders>
              <w:top w:val="single" w:color="auto" w:sz="4" w:space="0"/>
              <w:left w:val="single" w:color="auto" w:sz="4" w:space="0"/>
              <w:bottom w:val="single" w:color="auto" w:sz="4" w:space="0"/>
              <w:right w:val="single" w:color="auto" w:sz="4" w:space="0"/>
            </w:tcBorders>
            <w:vAlign w:val="center"/>
          </w:tcPr>
          <w:p w14:paraId="1D71142B">
            <w:pPr>
              <w:autoSpaceDE w:val="0"/>
              <w:autoSpaceDN w:val="0"/>
              <w:adjustRightInd w:val="0"/>
              <w:spacing w:before="120"/>
              <w:jc w:val="left"/>
              <w:rPr>
                <w:rFonts w:hint="eastAsia" w:ascii="黑体" w:hAnsi="黑体" w:eastAsia="黑体" w:cs="黑体"/>
                <w:spacing w:val="20"/>
                <w:sz w:val="19"/>
                <w:szCs w:val="19"/>
              </w:rPr>
            </w:pPr>
          </w:p>
        </w:tc>
      </w:tr>
      <w:tr w14:paraId="2506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8931" w:type="dxa"/>
            <w:gridSpan w:val="6"/>
            <w:tcBorders>
              <w:top w:val="single" w:color="auto" w:sz="4" w:space="0"/>
              <w:left w:val="single" w:color="auto" w:sz="4" w:space="0"/>
              <w:bottom w:val="single" w:color="auto" w:sz="4" w:space="0"/>
              <w:right w:val="single" w:color="auto" w:sz="4" w:space="0"/>
            </w:tcBorders>
            <w:vAlign w:val="center"/>
          </w:tcPr>
          <w:p w14:paraId="4E08E025">
            <w:pPr>
              <w:pStyle w:val="40"/>
              <w:spacing w:before="0" w:line="240" w:lineRule="auto"/>
              <w:jc w:val="left"/>
              <w:rPr>
                <w:rFonts w:hint="eastAsia" w:ascii="黑体" w:hAnsi="黑体" w:cs="黑体"/>
                <w:sz w:val="19"/>
                <w:szCs w:val="19"/>
              </w:rPr>
            </w:pPr>
            <w:r>
              <w:rPr>
                <w:rFonts w:hint="eastAsia" w:ascii="黑体" w:hAnsi="黑体" w:cs="黑体"/>
                <w:sz w:val="19"/>
                <w:szCs w:val="19"/>
              </w:rPr>
              <w:t>2.经历</w:t>
            </w:r>
          </w:p>
        </w:tc>
      </w:tr>
      <w:tr w14:paraId="72D2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1198" w:type="dxa"/>
            <w:tcBorders>
              <w:top w:val="single" w:color="auto" w:sz="4" w:space="0"/>
              <w:left w:val="single" w:color="auto" w:sz="4" w:space="0"/>
              <w:bottom w:val="single" w:color="auto" w:sz="4" w:space="0"/>
              <w:right w:val="single" w:color="auto" w:sz="4" w:space="0"/>
            </w:tcBorders>
            <w:vAlign w:val="center"/>
          </w:tcPr>
          <w:p w14:paraId="28D7510D">
            <w:pPr>
              <w:pStyle w:val="40"/>
              <w:spacing w:before="0" w:line="240" w:lineRule="auto"/>
              <w:rPr>
                <w:rFonts w:hint="eastAsia" w:ascii="黑体" w:hAnsi="黑体" w:cs="黑体"/>
                <w:sz w:val="19"/>
                <w:szCs w:val="19"/>
              </w:rPr>
            </w:pPr>
            <w:r>
              <w:rPr>
                <w:rFonts w:hint="eastAsia" w:ascii="黑体" w:hAnsi="黑体" w:cs="黑体"/>
                <w:sz w:val="19"/>
                <w:szCs w:val="19"/>
              </w:rPr>
              <w:t>年份</w:t>
            </w: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2FB172DF">
            <w:pPr>
              <w:pStyle w:val="40"/>
              <w:spacing w:before="0" w:line="240" w:lineRule="auto"/>
              <w:rPr>
                <w:rFonts w:hint="eastAsia" w:ascii="黑体" w:hAnsi="黑体" w:cs="黑体"/>
                <w:sz w:val="19"/>
                <w:szCs w:val="19"/>
              </w:rPr>
            </w:pPr>
            <w:r>
              <w:rPr>
                <w:rFonts w:hint="eastAsia" w:ascii="黑体" w:hAnsi="黑体" w:cs="黑体"/>
                <w:sz w:val="19"/>
                <w:szCs w:val="19"/>
              </w:rPr>
              <w:t>负责过的主要项目</w:t>
            </w:r>
          </w:p>
          <w:p w14:paraId="13039907">
            <w:pPr>
              <w:pStyle w:val="40"/>
              <w:spacing w:before="0" w:line="240" w:lineRule="auto"/>
              <w:rPr>
                <w:rFonts w:hint="eastAsia" w:ascii="黑体" w:hAnsi="黑体" w:cs="黑体"/>
                <w:sz w:val="19"/>
                <w:szCs w:val="19"/>
              </w:rPr>
            </w:pPr>
            <w:r>
              <w:rPr>
                <w:rFonts w:hint="eastAsia" w:ascii="黑体" w:hAnsi="黑体" w:cs="黑体"/>
                <w:sz w:val="19"/>
                <w:szCs w:val="19"/>
              </w:rPr>
              <w:t>（类型金额）</w:t>
            </w:r>
          </w:p>
        </w:tc>
        <w:tc>
          <w:tcPr>
            <w:tcW w:w="3234" w:type="dxa"/>
            <w:gridSpan w:val="2"/>
            <w:tcBorders>
              <w:top w:val="single" w:color="auto" w:sz="4" w:space="0"/>
              <w:left w:val="single" w:color="auto" w:sz="4" w:space="0"/>
              <w:bottom w:val="single" w:color="auto" w:sz="4" w:space="0"/>
              <w:right w:val="single" w:color="auto" w:sz="4" w:space="0"/>
            </w:tcBorders>
            <w:vAlign w:val="center"/>
          </w:tcPr>
          <w:p w14:paraId="3C00F0B7">
            <w:pPr>
              <w:pStyle w:val="40"/>
              <w:spacing w:before="0" w:line="240" w:lineRule="auto"/>
              <w:rPr>
                <w:rFonts w:hint="eastAsia" w:ascii="黑体" w:hAnsi="黑体" w:cs="黑体"/>
                <w:sz w:val="19"/>
                <w:szCs w:val="19"/>
              </w:rPr>
            </w:pPr>
            <w:r>
              <w:rPr>
                <w:rFonts w:hint="eastAsia" w:ascii="黑体" w:hAnsi="黑体" w:cs="黑体"/>
                <w:sz w:val="19"/>
                <w:szCs w:val="19"/>
              </w:rPr>
              <w:t>该项目中任职</w:t>
            </w:r>
          </w:p>
        </w:tc>
        <w:tc>
          <w:tcPr>
            <w:tcW w:w="1145" w:type="dxa"/>
            <w:tcBorders>
              <w:top w:val="single" w:color="auto" w:sz="4" w:space="0"/>
              <w:left w:val="single" w:color="auto" w:sz="4" w:space="0"/>
              <w:bottom w:val="single" w:color="auto" w:sz="4" w:space="0"/>
              <w:right w:val="single" w:color="auto" w:sz="4" w:space="0"/>
            </w:tcBorders>
            <w:vAlign w:val="center"/>
          </w:tcPr>
          <w:p w14:paraId="4672E8E2">
            <w:pPr>
              <w:pStyle w:val="40"/>
              <w:spacing w:before="0" w:line="240" w:lineRule="auto"/>
              <w:rPr>
                <w:rFonts w:hint="eastAsia" w:ascii="黑体" w:hAnsi="黑体" w:cs="黑体"/>
                <w:spacing w:val="20"/>
                <w:sz w:val="19"/>
                <w:szCs w:val="19"/>
              </w:rPr>
            </w:pPr>
            <w:r>
              <w:rPr>
                <w:rFonts w:hint="eastAsia" w:ascii="黑体" w:hAnsi="黑体" w:cs="黑体"/>
                <w:sz w:val="19"/>
                <w:szCs w:val="19"/>
              </w:rPr>
              <w:t>备注</w:t>
            </w:r>
          </w:p>
        </w:tc>
      </w:tr>
      <w:tr w14:paraId="1515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5" w:hRule="atLeast"/>
        </w:trPr>
        <w:tc>
          <w:tcPr>
            <w:tcW w:w="1198" w:type="dxa"/>
            <w:tcBorders>
              <w:top w:val="single" w:color="auto" w:sz="4" w:space="0"/>
              <w:left w:val="single" w:color="auto" w:sz="4" w:space="0"/>
              <w:bottom w:val="single" w:color="auto" w:sz="4" w:space="0"/>
              <w:right w:val="single" w:color="auto" w:sz="4" w:space="0"/>
            </w:tcBorders>
          </w:tcPr>
          <w:p w14:paraId="013FC461">
            <w:pPr>
              <w:pStyle w:val="40"/>
              <w:spacing w:before="0" w:line="360" w:lineRule="auto"/>
              <w:rPr>
                <w:rFonts w:hint="eastAsia" w:ascii="黑体" w:hAnsi="黑体" w:cs="黑体"/>
                <w:sz w:val="19"/>
                <w:szCs w:val="19"/>
              </w:rPr>
            </w:pPr>
          </w:p>
          <w:p w14:paraId="12579D34">
            <w:pPr>
              <w:pStyle w:val="40"/>
              <w:spacing w:before="0" w:line="360" w:lineRule="auto"/>
              <w:rPr>
                <w:rFonts w:hint="eastAsia" w:ascii="黑体" w:hAnsi="黑体" w:cs="黑体"/>
                <w:sz w:val="19"/>
                <w:szCs w:val="19"/>
              </w:rPr>
            </w:pPr>
          </w:p>
          <w:p w14:paraId="7E5A6397">
            <w:pPr>
              <w:pStyle w:val="40"/>
              <w:spacing w:before="0" w:line="360" w:lineRule="auto"/>
              <w:rPr>
                <w:rFonts w:hint="eastAsia" w:ascii="黑体" w:hAnsi="黑体" w:cs="黑体"/>
                <w:sz w:val="19"/>
                <w:szCs w:val="19"/>
              </w:rPr>
            </w:pPr>
          </w:p>
          <w:p w14:paraId="1A3F8E7E">
            <w:pPr>
              <w:pStyle w:val="40"/>
              <w:spacing w:before="0" w:line="360" w:lineRule="auto"/>
              <w:rPr>
                <w:rFonts w:hint="eastAsia" w:ascii="黑体" w:hAnsi="黑体" w:cs="黑体"/>
                <w:sz w:val="19"/>
                <w:szCs w:val="19"/>
              </w:rPr>
            </w:pPr>
          </w:p>
          <w:p w14:paraId="0469504E">
            <w:pPr>
              <w:pStyle w:val="40"/>
              <w:spacing w:before="0" w:line="360" w:lineRule="auto"/>
              <w:rPr>
                <w:rFonts w:hint="eastAsia" w:ascii="黑体" w:hAnsi="黑体" w:cs="黑体"/>
                <w:sz w:val="19"/>
                <w:szCs w:val="19"/>
              </w:rPr>
            </w:pPr>
          </w:p>
          <w:p w14:paraId="3C0A84F5">
            <w:pPr>
              <w:pStyle w:val="40"/>
              <w:spacing w:before="0" w:line="360" w:lineRule="auto"/>
              <w:rPr>
                <w:rFonts w:hint="eastAsia" w:ascii="黑体" w:hAnsi="黑体" w:cs="黑体"/>
                <w:sz w:val="19"/>
                <w:szCs w:val="19"/>
              </w:rPr>
            </w:pPr>
          </w:p>
          <w:p w14:paraId="166900CC">
            <w:pPr>
              <w:pStyle w:val="40"/>
              <w:spacing w:before="0" w:line="360" w:lineRule="auto"/>
              <w:rPr>
                <w:rFonts w:hint="eastAsia" w:ascii="黑体" w:hAnsi="黑体" w:cs="黑体"/>
                <w:sz w:val="19"/>
                <w:szCs w:val="19"/>
              </w:rPr>
            </w:pPr>
          </w:p>
          <w:p w14:paraId="5B15850F">
            <w:pPr>
              <w:pStyle w:val="40"/>
              <w:spacing w:before="0" w:line="360" w:lineRule="auto"/>
              <w:rPr>
                <w:rFonts w:hint="eastAsia" w:ascii="黑体" w:hAnsi="黑体" w:cs="黑体"/>
                <w:sz w:val="19"/>
                <w:szCs w:val="19"/>
              </w:rPr>
            </w:pPr>
          </w:p>
          <w:p w14:paraId="65E69150">
            <w:pPr>
              <w:pStyle w:val="40"/>
              <w:spacing w:before="0" w:line="360" w:lineRule="auto"/>
              <w:rPr>
                <w:rFonts w:hint="eastAsia" w:ascii="黑体" w:hAnsi="黑体" w:cs="黑体"/>
                <w:sz w:val="19"/>
                <w:szCs w:val="19"/>
              </w:rPr>
            </w:pPr>
          </w:p>
        </w:tc>
        <w:tc>
          <w:tcPr>
            <w:tcW w:w="3354" w:type="dxa"/>
            <w:gridSpan w:val="2"/>
            <w:tcBorders>
              <w:top w:val="single" w:color="auto" w:sz="4" w:space="0"/>
              <w:left w:val="single" w:color="auto" w:sz="4" w:space="0"/>
              <w:bottom w:val="single" w:color="auto" w:sz="4" w:space="0"/>
              <w:right w:val="single" w:color="auto" w:sz="4" w:space="0"/>
            </w:tcBorders>
            <w:vAlign w:val="center"/>
          </w:tcPr>
          <w:p w14:paraId="6945F6AA">
            <w:pPr>
              <w:pStyle w:val="40"/>
              <w:spacing w:before="0" w:line="360" w:lineRule="auto"/>
              <w:rPr>
                <w:rFonts w:hint="eastAsia" w:ascii="黑体" w:hAnsi="黑体" w:cs="黑体"/>
                <w:sz w:val="19"/>
                <w:szCs w:val="19"/>
              </w:rPr>
            </w:pPr>
          </w:p>
        </w:tc>
        <w:tc>
          <w:tcPr>
            <w:tcW w:w="3234" w:type="dxa"/>
            <w:gridSpan w:val="2"/>
            <w:tcBorders>
              <w:top w:val="single" w:color="auto" w:sz="4" w:space="0"/>
              <w:left w:val="single" w:color="auto" w:sz="4" w:space="0"/>
              <w:bottom w:val="single" w:color="auto" w:sz="4" w:space="0"/>
              <w:right w:val="single" w:color="auto" w:sz="4" w:space="0"/>
            </w:tcBorders>
            <w:vAlign w:val="center"/>
          </w:tcPr>
          <w:p w14:paraId="3E2BE721">
            <w:pPr>
              <w:pStyle w:val="40"/>
              <w:spacing w:before="0" w:line="360" w:lineRule="auto"/>
              <w:jc w:val="both"/>
              <w:rPr>
                <w:rFonts w:hint="eastAsia" w:ascii="黑体" w:hAnsi="黑体" w:cs="黑体"/>
                <w:sz w:val="19"/>
                <w:szCs w:val="19"/>
              </w:rPr>
            </w:pPr>
          </w:p>
        </w:tc>
        <w:tc>
          <w:tcPr>
            <w:tcW w:w="1145" w:type="dxa"/>
            <w:tcBorders>
              <w:top w:val="single" w:color="auto" w:sz="4" w:space="0"/>
              <w:left w:val="single" w:color="auto" w:sz="4" w:space="0"/>
              <w:bottom w:val="single" w:color="auto" w:sz="4" w:space="0"/>
              <w:right w:val="single" w:color="auto" w:sz="4" w:space="0"/>
            </w:tcBorders>
            <w:vAlign w:val="center"/>
          </w:tcPr>
          <w:p w14:paraId="5AFFC707">
            <w:pPr>
              <w:autoSpaceDE w:val="0"/>
              <w:autoSpaceDN w:val="0"/>
              <w:adjustRightInd w:val="0"/>
              <w:spacing w:before="120" w:line="360" w:lineRule="auto"/>
              <w:jc w:val="center"/>
              <w:rPr>
                <w:rFonts w:hint="eastAsia" w:ascii="黑体" w:hAnsi="黑体" w:eastAsia="黑体" w:cs="黑体"/>
                <w:spacing w:val="20"/>
                <w:sz w:val="19"/>
                <w:szCs w:val="19"/>
              </w:rPr>
            </w:pPr>
          </w:p>
        </w:tc>
      </w:tr>
    </w:tbl>
    <w:p w14:paraId="33FE70F5">
      <w:pPr>
        <w:spacing w:line="500" w:lineRule="exact"/>
        <w:rPr>
          <w:rFonts w:hint="eastAsia" w:ascii="黑体" w:hAnsi="黑体" w:eastAsia="黑体" w:cs="黑体"/>
          <w:sz w:val="19"/>
          <w:szCs w:val="19"/>
        </w:rPr>
      </w:pPr>
      <w:r>
        <w:rPr>
          <w:rFonts w:hint="eastAsia" w:ascii="黑体" w:hAnsi="黑体" w:eastAsia="黑体" w:cs="黑体"/>
          <w:sz w:val="19"/>
          <w:szCs w:val="19"/>
        </w:rPr>
        <w:t>注：</w:t>
      </w:r>
    </w:p>
    <w:p w14:paraId="2C7A4020">
      <w:pPr>
        <w:spacing w:line="500" w:lineRule="exact"/>
        <w:rPr>
          <w:rFonts w:hint="eastAsia" w:ascii="黑体" w:hAnsi="黑体" w:eastAsia="黑体" w:cs="黑体"/>
          <w:sz w:val="19"/>
          <w:szCs w:val="19"/>
        </w:rPr>
      </w:pPr>
      <w:r>
        <w:rPr>
          <w:rFonts w:hint="eastAsia" w:ascii="黑体" w:hAnsi="黑体" w:eastAsia="黑体" w:cs="黑体"/>
          <w:sz w:val="19"/>
          <w:szCs w:val="19"/>
        </w:rPr>
        <w:t>1.提供相关证明材料；</w:t>
      </w:r>
    </w:p>
    <w:p w14:paraId="2FBFAFA5">
      <w:pPr>
        <w:spacing w:line="500" w:lineRule="exact"/>
        <w:rPr>
          <w:rFonts w:hint="eastAsia" w:ascii="黑体" w:hAnsi="黑体" w:eastAsia="黑体" w:cs="黑体"/>
          <w:sz w:val="19"/>
          <w:szCs w:val="19"/>
        </w:rPr>
      </w:pPr>
      <w:r>
        <w:rPr>
          <w:rFonts w:hint="eastAsia" w:ascii="黑体" w:hAnsi="黑体" w:eastAsia="黑体" w:cs="黑体"/>
          <w:sz w:val="19"/>
          <w:szCs w:val="19"/>
        </w:rPr>
        <w:t>2.中标后原则上不再变更，若变更，应征得采购人同意。</w:t>
      </w:r>
    </w:p>
    <w:p w14:paraId="601FB3B8">
      <w:pPr>
        <w:rPr>
          <w:rFonts w:hint="eastAsia"/>
        </w:rPr>
        <w:sectPr>
          <w:pgSz w:w="11905" w:h="16838"/>
          <w:pgMar w:top="1417" w:right="1247" w:bottom="1474" w:left="1247" w:header="850" w:footer="992" w:gutter="0"/>
          <w:pgNumType w:fmt="numberInDash"/>
          <w:cols w:space="0" w:num="1"/>
          <w:docGrid w:type="lines" w:linePitch="436" w:charSpace="0"/>
        </w:sectPr>
      </w:pPr>
    </w:p>
    <w:p w14:paraId="4A60A27B">
      <w:pPr>
        <w:pStyle w:val="11"/>
        <w:spacing w:line="360" w:lineRule="auto"/>
        <w:outlineLvl w:val="2"/>
        <w:rPr>
          <w:rFonts w:hint="eastAsia" w:ascii="黑体" w:hAnsi="黑体" w:eastAsia="黑体" w:cs="黑体"/>
          <w:color w:val="auto"/>
          <w:sz w:val="19"/>
          <w:szCs w:val="19"/>
        </w:rPr>
      </w:pPr>
      <w:r>
        <w:rPr>
          <w:rFonts w:hint="eastAsia" w:ascii="黑体" w:hAnsi="黑体" w:eastAsia="黑体" w:cs="黑体"/>
          <w:sz w:val="19"/>
          <w:szCs w:val="19"/>
        </w:rPr>
        <w:t>3.</w:t>
      </w:r>
      <w:r>
        <w:rPr>
          <w:rFonts w:hint="eastAsia" w:ascii="黑体" w:hAnsi="黑体" w:eastAsia="黑体" w:cs="黑体"/>
          <w:color w:val="auto"/>
          <w:sz w:val="19"/>
          <w:szCs w:val="19"/>
        </w:rPr>
        <w:t>项目业绩一览表</w:t>
      </w:r>
    </w:p>
    <w:p w14:paraId="52B0C504">
      <w:pPr>
        <w:jc w:val="center"/>
        <w:rPr>
          <w:rFonts w:hint="eastAsia" w:ascii="黑体" w:hAnsi="黑体" w:eastAsia="黑体" w:cs="黑体"/>
          <w:b/>
          <w:bCs/>
          <w:sz w:val="28"/>
          <w:szCs w:val="28"/>
        </w:rPr>
      </w:pPr>
      <w:r>
        <w:rPr>
          <w:rFonts w:hint="eastAsia" w:ascii="黑体" w:hAnsi="黑体" w:eastAsia="黑体" w:cs="黑体"/>
          <w:b/>
          <w:bCs/>
          <w:sz w:val="28"/>
          <w:szCs w:val="28"/>
        </w:rPr>
        <w:t>项目业绩一览表</w:t>
      </w:r>
    </w:p>
    <w:p w14:paraId="160AD1BE">
      <w:pPr>
        <w:spacing w:line="360" w:lineRule="auto"/>
        <w:rPr>
          <w:rFonts w:hint="eastAsia" w:ascii="黑体" w:hAnsi="黑体" w:eastAsia="黑体" w:cs="黑体"/>
          <w:sz w:val="22"/>
          <w:szCs w:val="22"/>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218"/>
        <w:gridCol w:w="1462"/>
        <w:gridCol w:w="2010"/>
        <w:gridCol w:w="1204"/>
      </w:tblGrid>
      <w:tr w14:paraId="6D02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B7B4D91">
            <w:pPr>
              <w:spacing w:line="320" w:lineRule="exact"/>
              <w:jc w:val="center"/>
              <w:rPr>
                <w:rFonts w:hint="eastAsia" w:ascii="黑体" w:hAnsi="黑体" w:eastAsia="黑体" w:cs="黑体"/>
                <w:sz w:val="19"/>
                <w:szCs w:val="19"/>
              </w:rPr>
            </w:pPr>
            <w:r>
              <w:rPr>
                <w:rFonts w:hint="eastAsia" w:ascii="黑体" w:hAnsi="黑体" w:eastAsia="黑体" w:cs="黑体"/>
                <w:sz w:val="19"/>
                <w:szCs w:val="19"/>
              </w:rPr>
              <w:t>序号</w:t>
            </w:r>
          </w:p>
        </w:tc>
        <w:tc>
          <w:tcPr>
            <w:tcW w:w="3218" w:type="dxa"/>
            <w:tcBorders>
              <w:top w:val="single" w:color="auto" w:sz="4" w:space="0"/>
              <w:left w:val="single" w:color="auto" w:sz="4" w:space="0"/>
              <w:bottom w:val="single" w:color="auto" w:sz="4" w:space="0"/>
              <w:right w:val="single" w:color="auto" w:sz="4" w:space="0"/>
            </w:tcBorders>
            <w:vAlign w:val="center"/>
          </w:tcPr>
          <w:p w14:paraId="77CD5D9A">
            <w:pPr>
              <w:spacing w:line="320" w:lineRule="exact"/>
              <w:jc w:val="center"/>
              <w:rPr>
                <w:rFonts w:hint="eastAsia" w:ascii="黑体" w:hAnsi="黑体" w:eastAsia="黑体" w:cs="黑体"/>
                <w:sz w:val="19"/>
                <w:szCs w:val="19"/>
              </w:rPr>
            </w:pPr>
            <w:r>
              <w:rPr>
                <w:rFonts w:hint="eastAsia" w:ascii="黑体" w:hAnsi="黑体" w:eastAsia="黑体" w:cs="黑体"/>
                <w:sz w:val="19"/>
                <w:szCs w:val="19"/>
              </w:rPr>
              <w:t>项目名称</w:t>
            </w:r>
          </w:p>
        </w:tc>
        <w:tc>
          <w:tcPr>
            <w:tcW w:w="1462" w:type="dxa"/>
            <w:tcBorders>
              <w:top w:val="single" w:color="auto" w:sz="4" w:space="0"/>
              <w:left w:val="single" w:color="auto" w:sz="4" w:space="0"/>
              <w:bottom w:val="single" w:color="auto" w:sz="4" w:space="0"/>
              <w:right w:val="single" w:color="auto" w:sz="4" w:space="0"/>
            </w:tcBorders>
            <w:vAlign w:val="center"/>
          </w:tcPr>
          <w:p w14:paraId="237D1FEB">
            <w:pPr>
              <w:spacing w:line="320" w:lineRule="exact"/>
              <w:jc w:val="center"/>
              <w:rPr>
                <w:rFonts w:hint="eastAsia" w:ascii="黑体" w:hAnsi="黑体" w:eastAsia="黑体" w:cs="黑体"/>
                <w:sz w:val="19"/>
                <w:szCs w:val="19"/>
              </w:rPr>
            </w:pPr>
            <w:r>
              <w:rPr>
                <w:rFonts w:hint="eastAsia" w:ascii="黑体" w:hAnsi="黑体" w:eastAsia="黑体" w:cs="黑体"/>
                <w:sz w:val="19"/>
                <w:szCs w:val="19"/>
              </w:rPr>
              <w:t>委托单位</w:t>
            </w:r>
          </w:p>
        </w:tc>
        <w:tc>
          <w:tcPr>
            <w:tcW w:w="2010" w:type="dxa"/>
            <w:tcBorders>
              <w:top w:val="single" w:color="auto" w:sz="4" w:space="0"/>
              <w:left w:val="single" w:color="auto" w:sz="4" w:space="0"/>
              <w:bottom w:val="single" w:color="auto" w:sz="4" w:space="0"/>
              <w:right w:val="single" w:color="auto" w:sz="4" w:space="0"/>
            </w:tcBorders>
            <w:vAlign w:val="center"/>
          </w:tcPr>
          <w:p w14:paraId="2E36570C">
            <w:pPr>
              <w:spacing w:line="320" w:lineRule="exact"/>
              <w:jc w:val="center"/>
              <w:rPr>
                <w:rFonts w:hint="eastAsia" w:ascii="黑体" w:hAnsi="黑体" w:eastAsia="黑体" w:cs="黑体"/>
                <w:sz w:val="19"/>
                <w:szCs w:val="19"/>
              </w:rPr>
            </w:pPr>
            <w:r>
              <w:rPr>
                <w:rFonts w:hint="eastAsia" w:ascii="黑体" w:hAnsi="黑体" w:eastAsia="黑体" w:cs="黑体"/>
                <w:sz w:val="19"/>
                <w:szCs w:val="19"/>
              </w:rPr>
              <w:t>合同签订时间</w:t>
            </w:r>
          </w:p>
        </w:tc>
        <w:tc>
          <w:tcPr>
            <w:tcW w:w="1204" w:type="dxa"/>
            <w:tcBorders>
              <w:top w:val="single" w:color="auto" w:sz="4" w:space="0"/>
              <w:left w:val="single" w:color="auto" w:sz="4" w:space="0"/>
              <w:bottom w:val="single" w:color="auto" w:sz="4" w:space="0"/>
              <w:right w:val="single" w:color="auto" w:sz="4" w:space="0"/>
            </w:tcBorders>
            <w:vAlign w:val="center"/>
          </w:tcPr>
          <w:p w14:paraId="24C75D65">
            <w:pPr>
              <w:spacing w:line="320" w:lineRule="exact"/>
              <w:jc w:val="center"/>
              <w:rPr>
                <w:rFonts w:hint="eastAsia" w:ascii="黑体" w:hAnsi="黑体" w:eastAsia="黑体" w:cs="黑体"/>
                <w:sz w:val="19"/>
                <w:szCs w:val="19"/>
              </w:rPr>
            </w:pPr>
            <w:r>
              <w:rPr>
                <w:rFonts w:hint="eastAsia" w:ascii="黑体" w:hAnsi="黑体" w:eastAsia="黑体" w:cs="黑体"/>
                <w:sz w:val="19"/>
                <w:szCs w:val="19"/>
              </w:rPr>
              <w:t>合同金额</w:t>
            </w:r>
          </w:p>
        </w:tc>
      </w:tr>
      <w:tr w14:paraId="2729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3EE589E">
            <w:pPr>
              <w:spacing w:line="360" w:lineRule="auto"/>
              <w:jc w:val="center"/>
              <w:rPr>
                <w:rFonts w:hint="eastAsia" w:ascii="黑体" w:hAnsi="黑体" w:eastAsia="黑体" w:cs="黑体"/>
                <w:sz w:val="19"/>
                <w:szCs w:val="19"/>
              </w:rPr>
            </w:pPr>
            <w:r>
              <w:rPr>
                <w:rFonts w:hint="eastAsia" w:ascii="黑体" w:hAnsi="黑体" w:eastAsia="黑体" w:cs="黑体"/>
                <w:sz w:val="19"/>
                <w:szCs w:val="19"/>
              </w:rPr>
              <w:t>1</w:t>
            </w:r>
          </w:p>
        </w:tc>
        <w:tc>
          <w:tcPr>
            <w:tcW w:w="3218" w:type="dxa"/>
            <w:tcBorders>
              <w:top w:val="single" w:color="auto" w:sz="4" w:space="0"/>
              <w:left w:val="single" w:color="auto" w:sz="4" w:space="0"/>
              <w:bottom w:val="single" w:color="auto" w:sz="4" w:space="0"/>
              <w:right w:val="single" w:color="auto" w:sz="4" w:space="0"/>
            </w:tcBorders>
          </w:tcPr>
          <w:p w14:paraId="13144B0C">
            <w:pPr>
              <w:spacing w:line="360" w:lineRule="auto"/>
              <w:rPr>
                <w:rFonts w:hint="eastAsia" w:ascii="黑体" w:hAnsi="黑体" w:eastAsia="黑体" w:cs="黑体"/>
                <w:sz w:val="19"/>
                <w:szCs w:val="19"/>
              </w:rPr>
            </w:pPr>
          </w:p>
        </w:tc>
        <w:tc>
          <w:tcPr>
            <w:tcW w:w="1462" w:type="dxa"/>
            <w:tcBorders>
              <w:top w:val="single" w:color="auto" w:sz="4" w:space="0"/>
              <w:left w:val="single" w:color="auto" w:sz="4" w:space="0"/>
              <w:bottom w:val="single" w:color="auto" w:sz="4" w:space="0"/>
              <w:right w:val="single" w:color="auto" w:sz="4" w:space="0"/>
            </w:tcBorders>
          </w:tcPr>
          <w:p w14:paraId="34D30775">
            <w:pPr>
              <w:spacing w:line="360" w:lineRule="auto"/>
              <w:rPr>
                <w:rFonts w:hint="eastAsia" w:ascii="黑体" w:hAnsi="黑体" w:eastAsia="黑体" w:cs="黑体"/>
                <w:sz w:val="19"/>
                <w:szCs w:val="19"/>
              </w:rPr>
            </w:pPr>
          </w:p>
        </w:tc>
        <w:tc>
          <w:tcPr>
            <w:tcW w:w="2010" w:type="dxa"/>
            <w:tcBorders>
              <w:top w:val="single" w:color="auto" w:sz="4" w:space="0"/>
              <w:left w:val="single" w:color="auto" w:sz="4" w:space="0"/>
              <w:bottom w:val="single" w:color="auto" w:sz="4" w:space="0"/>
              <w:right w:val="single" w:color="auto" w:sz="4" w:space="0"/>
            </w:tcBorders>
          </w:tcPr>
          <w:p w14:paraId="2B56667D">
            <w:pPr>
              <w:spacing w:line="360" w:lineRule="auto"/>
              <w:rPr>
                <w:rFonts w:hint="eastAsia" w:ascii="黑体" w:hAnsi="黑体" w:eastAsia="黑体" w:cs="黑体"/>
                <w:sz w:val="19"/>
                <w:szCs w:val="19"/>
              </w:rPr>
            </w:pPr>
          </w:p>
        </w:tc>
        <w:tc>
          <w:tcPr>
            <w:tcW w:w="1204" w:type="dxa"/>
            <w:tcBorders>
              <w:top w:val="single" w:color="auto" w:sz="4" w:space="0"/>
              <w:left w:val="single" w:color="auto" w:sz="4" w:space="0"/>
              <w:bottom w:val="single" w:color="auto" w:sz="4" w:space="0"/>
              <w:right w:val="single" w:color="auto" w:sz="4" w:space="0"/>
            </w:tcBorders>
          </w:tcPr>
          <w:p w14:paraId="7C75DE50">
            <w:pPr>
              <w:spacing w:line="360" w:lineRule="auto"/>
              <w:rPr>
                <w:rFonts w:hint="eastAsia" w:ascii="黑体" w:hAnsi="黑体" w:eastAsia="黑体" w:cs="黑体"/>
                <w:sz w:val="19"/>
                <w:szCs w:val="19"/>
              </w:rPr>
            </w:pPr>
          </w:p>
        </w:tc>
      </w:tr>
      <w:tr w14:paraId="37EA3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70AB76">
            <w:pPr>
              <w:spacing w:line="360" w:lineRule="auto"/>
              <w:jc w:val="center"/>
              <w:rPr>
                <w:rFonts w:hint="eastAsia" w:ascii="黑体" w:hAnsi="黑体" w:eastAsia="黑体" w:cs="黑体"/>
                <w:sz w:val="19"/>
                <w:szCs w:val="19"/>
              </w:rPr>
            </w:pPr>
            <w:r>
              <w:rPr>
                <w:rFonts w:hint="eastAsia" w:ascii="黑体" w:hAnsi="黑体" w:eastAsia="黑体" w:cs="黑体"/>
                <w:sz w:val="19"/>
                <w:szCs w:val="19"/>
              </w:rPr>
              <w:t>2</w:t>
            </w:r>
          </w:p>
        </w:tc>
        <w:tc>
          <w:tcPr>
            <w:tcW w:w="3218" w:type="dxa"/>
            <w:tcBorders>
              <w:top w:val="single" w:color="auto" w:sz="4" w:space="0"/>
              <w:left w:val="single" w:color="auto" w:sz="4" w:space="0"/>
              <w:bottom w:val="single" w:color="auto" w:sz="4" w:space="0"/>
              <w:right w:val="single" w:color="auto" w:sz="4" w:space="0"/>
            </w:tcBorders>
          </w:tcPr>
          <w:p w14:paraId="7618AF13">
            <w:pPr>
              <w:spacing w:line="360" w:lineRule="auto"/>
              <w:rPr>
                <w:rFonts w:hint="eastAsia" w:ascii="黑体" w:hAnsi="黑体" w:eastAsia="黑体" w:cs="黑体"/>
                <w:sz w:val="19"/>
                <w:szCs w:val="19"/>
              </w:rPr>
            </w:pPr>
          </w:p>
        </w:tc>
        <w:tc>
          <w:tcPr>
            <w:tcW w:w="1462" w:type="dxa"/>
            <w:tcBorders>
              <w:top w:val="single" w:color="auto" w:sz="4" w:space="0"/>
              <w:left w:val="single" w:color="auto" w:sz="4" w:space="0"/>
              <w:bottom w:val="single" w:color="auto" w:sz="4" w:space="0"/>
              <w:right w:val="single" w:color="auto" w:sz="4" w:space="0"/>
            </w:tcBorders>
          </w:tcPr>
          <w:p w14:paraId="718269E9">
            <w:pPr>
              <w:spacing w:line="360" w:lineRule="auto"/>
              <w:rPr>
                <w:rFonts w:hint="eastAsia" w:ascii="黑体" w:hAnsi="黑体" w:eastAsia="黑体" w:cs="黑体"/>
                <w:sz w:val="19"/>
                <w:szCs w:val="19"/>
              </w:rPr>
            </w:pPr>
          </w:p>
        </w:tc>
        <w:tc>
          <w:tcPr>
            <w:tcW w:w="2010" w:type="dxa"/>
            <w:tcBorders>
              <w:top w:val="single" w:color="auto" w:sz="4" w:space="0"/>
              <w:left w:val="single" w:color="auto" w:sz="4" w:space="0"/>
              <w:bottom w:val="single" w:color="auto" w:sz="4" w:space="0"/>
              <w:right w:val="single" w:color="auto" w:sz="4" w:space="0"/>
            </w:tcBorders>
          </w:tcPr>
          <w:p w14:paraId="696C02F3">
            <w:pPr>
              <w:spacing w:line="360" w:lineRule="auto"/>
              <w:rPr>
                <w:rFonts w:hint="eastAsia" w:ascii="黑体" w:hAnsi="黑体" w:eastAsia="黑体" w:cs="黑体"/>
                <w:sz w:val="19"/>
                <w:szCs w:val="19"/>
              </w:rPr>
            </w:pPr>
          </w:p>
        </w:tc>
        <w:tc>
          <w:tcPr>
            <w:tcW w:w="1204" w:type="dxa"/>
            <w:tcBorders>
              <w:top w:val="single" w:color="auto" w:sz="4" w:space="0"/>
              <w:left w:val="single" w:color="auto" w:sz="4" w:space="0"/>
              <w:bottom w:val="single" w:color="auto" w:sz="4" w:space="0"/>
              <w:right w:val="single" w:color="auto" w:sz="4" w:space="0"/>
            </w:tcBorders>
          </w:tcPr>
          <w:p w14:paraId="20F6520E">
            <w:pPr>
              <w:spacing w:line="360" w:lineRule="auto"/>
              <w:rPr>
                <w:rFonts w:hint="eastAsia" w:ascii="黑体" w:hAnsi="黑体" w:eastAsia="黑体" w:cs="黑体"/>
                <w:sz w:val="19"/>
                <w:szCs w:val="19"/>
              </w:rPr>
            </w:pPr>
          </w:p>
        </w:tc>
      </w:tr>
      <w:tr w14:paraId="2BAD6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E9650C0">
            <w:pPr>
              <w:spacing w:line="360" w:lineRule="auto"/>
              <w:jc w:val="center"/>
              <w:rPr>
                <w:rFonts w:hint="eastAsia" w:ascii="黑体" w:hAnsi="黑体" w:eastAsia="黑体" w:cs="黑体"/>
                <w:sz w:val="19"/>
                <w:szCs w:val="19"/>
              </w:rPr>
            </w:pPr>
            <w:r>
              <w:rPr>
                <w:rFonts w:hint="eastAsia" w:ascii="黑体" w:hAnsi="黑体" w:eastAsia="黑体" w:cs="黑体"/>
                <w:sz w:val="19"/>
                <w:szCs w:val="19"/>
              </w:rPr>
              <w:t>3</w:t>
            </w:r>
          </w:p>
        </w:tc>
        <w:tc>
          <w:tcPr>
            <w:tcW w:w="3218" w:type="dxa"/>
            <w:tcBorders>
              <w:top w:val="single" w:color="auto" w:sz="4" w:space="0"/>
              <w:left w:val="single" w:color="auto" w:sz="4" w:space="0"/>
              <w:bottom w:val="single" w:color="auto" w:sz="4" w:space="0"/>
              <w:right w:val="single" w:color="auto" w:sz="4" w:space="0"/>
            </w:tcBorders>
          </w:tcPr>
          <w:p w14:paraId="12A1DFD3">
            <w:pPr>
              <w:spacing w:line="360" w:lineRule="auto"/>
              <w:rPr>
                <w:rFonts w:hint="eastAsia" w:ascii="黑体" w:hAnsi="黑体" w:eastAsia="黑体" w:cs="黑体"/>
                <w:sz w:val="19"/>
                <w:szCs w:val="19"/>
              </w:rPr>
            </w:pPr>
          </w:p>
        </w:tc>
        <w:tc>
          <w:tcPr>
            <w:tcW w:w="1462" w:type="dxa"/>
            <w:tcBorders>
              <w:top w:val="single" w:color="auto" w:sz="4" w:space="0"/>
              <w:left w:val="single" w:color="auto" w:sz="4" w:space="0"/>
              <w:bottom w:val="single" w:color="auto" w:sz="4" w:space="0"/>
              <w:right w:val="single" w:color="auto" w:sz="4" w:space="0"/>
            </w:tcBorders>
          </w:tcPr>
          <w:p w14:paraId="05637B9D">
            <w:pPr>
              <w:spacing w:line="360" w:lineRule="auto"/>
              <w:rPr>
                <w:rFonts w:hint="eastAsia" w:ascii="黑体" w:hAnsi="黑体" w:eastAsia="黑体" w:cs="黑体"/>
                <w:sz w:val="19"/>
                <w:szCs w:val="19"/>
              </w:rPr>
            </w:pPr>
          </w:p>
        </w:tc>
        <w:tc>
          <w:tcPr>
            <w:tcW w:w="2010" w:type="dxa"/>
            <w:tcBorders>
              <w:top w:val="single" w:color="auto" w:sz="4" w:space="0"/>
              <w:left w:val="single" w:color="auto" w:sz="4" w:space="0"/>
              <w:bottom w:val="single" w:color="auto" w:sz="4" w:space="0"/>
              <w:right w:val="single" w:color="auto" w:sz="4" w:space="0"/>
            </w:tcBorders>
          </w:tcPr>
          <w:p w14:paraId="29061D47">
            <w:pPr>
              <w:spacing w:line="360" w:lineRule="auto"/>
              <w:rPr>
                <w:rFonts w:hint="eastAsia" w:ascii="黑体" w:hAnsi="黑体" w:eastAsia="黑体" w:cs="黑体"/>
                <w:sz w:val="19"/>
                <w:szCs w:val="19"/>
              </w:rPr>
            </w:pPr>
          </w:p>
        </w:tc>
        <w:tc>
          <w:tcPr>
            <w:tcW w:w="1204" w:type="dxa"/>
            <w:tcBorders>
              <w:top w:val="single" w:color="auto" w:sz="4" w:space="0"/>
              <w:left w:val="single" w:color="auto" w:sz="4" w:space="0"/>
              <w:bottom w:val="single" w:color="auto" w:sz="4" w:space="0"/>
              <w:right w:val="single" w:color="auto" w:sz="4" w:space="0"/>
            </w:tcBorders>
          </w:tcPr>
          <w:p w14:paraId="70417D6A">
            <w:pPr>
              <w:spacing w:line="360" w:lineRule="auto"/>
              <w:rPr>
                <w:rFonts w:hint="eastAsia" w:ascii="黑体" w:hAnsi="黑体" w:eastAsia="黑体" w:cs="黑体"/>
                <w:sz w:val="19"/>
                <w:szCs w:val="19"/>
              </w:rPr>
            </w:pPr>
          </w:p>
        </w:tc>
      </w:tr>
      <w:tr w14:paraId="6C3D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91A14D1">
            <w:pPr>
              <w:spacing w:line="360" w:lineRule="auto"/>
              <w:jc w:val="center"/>
              <w:rPr>
                <w:rFonts w:hint="eastAsia" w:ascii="黑体" w:hAnsi="黑体" w:eastAsia="黑体" w:cs="黑体"/>
                <w:sz w:val="19"/>
                <w:szCs w:val="19"/>
              </w:rPr>
            </w:pPr>
            <w:r>
              <w:rPr>
                <w:rFonts w:hint="eastAsia" w:ascii="黑体" w:hAnsi="黑体" w:eastAsia="黑体" w:cs="黑体"/>
                <w:sz w:val="19"/>
                <w:szCs w:val="19"/>
              </w:rPr>
              <w:t>4</w:t>
            </w:r>
          </w:p>
        </w:tc>
        <w:tc>
          <w:tcPr>
            <w:tcW w:w="3218" w:type="dxa"/>
            <w:tcBorders>
              <w:top w:val="single" w:color="auto" w:sz="4" w:space="0"/>
              <w:left w:val="single" w:color="auto" w:sz="4" w:space="0"/>
              <w:bottom w:val="single" w:color="auto" w:sz="4" w:space="0"/>
              <w:right w:val="single" w:color="auto" w:sz="4" w:space="0"/>
            </w:tcBorders>
          </w:tcPr>
          <w:p w14:paraId="0957B6EB">
            <w:pPr>
              <w:spacing w:line="360" w:lineRule="auto"/>
              <w:rPr>
                <w:rFonts w:hint="eastAsia" w:ascii="黑体" w:hAnsi="黑体" w:eastAsia="黑体" w:cs="黑体"/>
                <w:sz w:val="19"/>
                <w:szCs w:val="19"/>
              </w:rPr>
            </w:pPr>
          </w:p>
        </w:tc>
        <w:tc>
          <w:tcPr>
            <w:tcW w:w="1462" w:type="dxa"/>
            <w:tcBorders>
              <w:top w:val="single" w:color="auto" w:sz="4" w:space="0"/>
              <w:left w:val="single" w:color="auto" w:sz="4" w:space="0"/>
              <w:bottom w:val="single" w:color="auto" w:sz="4" w:space="0"/>
              <w:right w:val="single" w:color="auto" w:sz="4" w:space="0"/>
            </w:tcBorders>
          </w:tcPr>
          <w:p w14:paraId="12454B32">
            <w:pPr>
              <w:spacing w:line="360" w:lineRule="auto"/>
              <w:rPr>
                <w:rFonts w:hint="eastAsia" w:ascii="黑体" w:hAnsi="黑体" w:eastAsia="黑体" w:cs="黑体"/>
                <w:sz w:val="19"/>
                <w:szCs w:val="19"/>
              </w:rPr>
            </w:pPr>
          </w:p>
        </w:tc>
        <w:tc>
          <w:tcPr>
            <w:tcW w:w="2010" w:type="dxa"/>
            <w:tcBorders>
              <w:top w:val="single" w:color="auto" w:sz="4" w:space="0"/>
              <w:left w:val="single" w:color="auto" w:sz="4" w:space="0"/>
              <w:bottom w:val="single" w:color="auto" w:sz="4" w:space="0"/>
              <w:right w:val="single" w:color="auto" w:sz="4" w:space="0"/>
            </w:tcBorders>
          </w:tcPr>
          <w:p w14:paraId="2F7DA3D6">
            <w:pPr>
              <w:spacing w:line="360" w:lineRule="auto"/>
              <w:rPr>
                <w:rFonts w:hint="eastAsia" w:ascii="黑体" w:hAnsi="黑体" w:eastAsia="黑体" w:cs="黑体"/>
                <w:sz w:val="19"/>
                <w:szCs w:val="19"/>
              </w:rPr>
            </w:pPr>
          </w:p>
        </w:tc>
        <w:tc>
          <w:tcPr>
            <w:tcW w:w="1204" w:type="dxa"/>
            <w:tcBorders>
              <w:top w:val="single" w:color="auto" w:sz="4" w:space="0"/>
              <w:left w:val="single" w:color="auto" w:sz="4" w:space="0"/>
              <w:bottom w:val="single" w:color="auto" w:sz="4" w:space="0"/>
              <w:right w:val="single" w:color="auto" w:sz="4" w:space="0"/>
            </w:tcBorders>
          </w:tcPr>
          <w:p w14:paraId="34B17CC8">
            <w:pPr>
              <w:spacing w:line="360" w:lineRule="auto"/>
              <w:rPr>
                <w:rFonts w:hint="eastAsia" w:ascii="黑体" w:hAnsi="黑体" w:eastAsia="黑体" w:cs="黑体"/>
                <w:sz w:val="19"/>
                <w:szCs w:val="19"/>
              </w:rPr>
            </w:pPr>
          </w:p>
        </w:tc>
      </w:tr>
      <w:tr w14:paraId="6218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14996C">
            <w:pPr>
              <w:spacing w:line="360" w:lineRule="auto"/>
              <w:jc w:val="center"/>
              <w:rPr>
                <w:rFonts w:hint="eastAsia" w:ascii="黑体" w:hAnsi="黑体" w:eastAsia="黑体" w:cs="黑体"/>
                <w:sz w:val="19"/>
                <w:szCs w:val="19"/>
              </w:rPr>
            </w:pPr>
            <w:r>
              <w:rPr>
                <w:rFonts w:hint="eastAsia" w:ascii="黑体" w:hAnsi="黑体" w:eastAsia="黑体" w:cs="黑体"/>
                <w:sz w:val="19"/>
                <w:szCs w:val="19"/>
              </w:rPr>
              <w:t>……</w:t>
            </w:r>
          </w:p>
        </w:tc>
        <w:tc>
          <w:tcPr>
            <w:tcW w:w="3218" w:type="dxa"/>
            <w:tcBorders>
              <w:top w:val="single" w:color="auto" w:sz="4" w:space="0"/>
              <w:left w:val="single" w:color="auto" w:sz="4" w:space="0"/>
              <w:bottom w:val="single" w:color="auto" w:sz="4" w:space="0"/>
              <w:right w:val="single" w:color="auto" w:sz="4" w:space="0"/>
            </w:tcBorders>
          </w:tcPr>
          <w:p w14:paraId="276C2191">
            <w:pPr>
              <w:spacing w:line="360" w:lineRule="auto"/>
              <w:rPr>
                <w:rFonts w:hint="eastAsia" w:ascii="黑体" w:hAnsi="黑体" w:eastAsia="黑体" w:cs="黑体"/>
                <w:sz w:val="19"/>
                <w:szCs w:val="19"/>
              </w:rPr>
            </w:pPr>
          </w:p>
        </w:tc>
        <w:tc>
          <w:tcPr>
            <w:tcW w:w="1462" w:type="dxa"/>
            <w:tcBorders>
              <w:top w:val="single" w:color="auto" w:sz="4" w:space="0"/>
              <w:left w:val="single" w:color="auto" w:sz="4" w:space="0"/>
              <w:bottom w:val="single" w:color="auto" w:sz="4" w:space="0"/>
              <w:right w:val="single" w:color="auto" w:sz="4" w:space="0"/>
            </w:tcBorders>
          </w:tcPr>
          <w:p w14:paraId="4F415C24">
            <w:pPr>
              <w:spacing w:line="360" w:lineRule="auto"/>
              <w:rPr>
                <w:rFonts w:hint="eastAsia" w:ascii="黑体" w:hAnsi="黑体" w:eastAsia="黑体" w:cs="黑体"/>
                <w:sz w:val="19"/>
                <w:szCs w:val="19"/>
              </w:rPr>
            </w:pPr>
          </w:p>
        </w:tc>
        <w:tc>
          <w:tcPr>
            <w:tcW w:w="2010" w:type="dxa"/>
            <w:tcBorders>
              <w:top w:val="single" w:color="auto" w:sz="4" w:space="0"/>
              <w:left w:val="single" w:color="auto" w:sz="4" w:space="0"/>
              <w:bottom w:val="single" w:color="auto" w:sz="4" w:space="0"/>
              <w:right w:val="single" w:color="auto" w:sz="4" w:space="0"/>
            </w:tcBorders>
          </w:tcPr>
          <w:p w14:paraId="2D1F35DD">
            <w:pPr>
              <w:spacing w:line="360" w:lineRule="auto"/>
              <w:rPr>
                <w:rFonts w:hint="eastAsia" w:ascii="黑体" w:hAnsi="黑体" w:eastAsia="黑体" w:cs="黑体"/>
                <w:sz w:val="19"/>
                <w:szCs w:val="19"/>
              </w:rPr>
            </w:pPr>
          </w:p>
        </w:tc>
        <w:tc>
          <w:tcPr>
            <w:tcW w:w="1204" w:type="dxa"/>
            <w:tcBorders>
              <w:top w:val="single" w:color="auto" w:sz="4" w:space="0"/>
              <w:left w:val="single" w:color="auto" w:sz="4" w:space="0"/>
              <w:bottom w:val="single" w:color="auto" w:sz="4" w:space="0"/>
              <w:right w:val="single" w:color="auto" w:sz="4" w:space="0"/>
            </w:tcBorders>
          </w:tcPr>
          <w:p w14:paraId="76236A69">
            <w:pPr>
              <w:spacing w:line="360" w:lineRule="auto"/>
              <w:rPr>
                <w:rFonts w:hint="eastAsia" w:ascii="黑体" w:hAnsi="黑体" w:eastAsia="黑体" w:cs="黑体"/>
                <w:sz w:val="19"/>
                <w:szCs w:val="19"/>
              </w:rPr>
            </w:pPr>
          </w:p>
        </w:tc>
      </w:tr>
      <w:tr w14:paraId="753A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D76E64F">
            <w:pPr>
              <w:spacing w:line="360" w:lineRule="auto"/>
              <w:jc w:val="center"/>
              <w:rPr>
                <w:rFonts w:hint="eastAsia" w:ascii="黑体" w:hAnsi="黑体" w:eastAsia="黑体" w:cs="黑体"/>
                <w:sz w:val="19"/>
                <w:szCs w:val="19"/>
              </w:rPr>
            </w:pPr>
          </w:p>
        </w:tc>
        <w:tc>
          <w:tcPr>
            <w:tcW w:w="3218" w:type="dxa"/>
            <w:tcBorders>
              <w:top w:val="single" w:color="auto" w:sz="4" w:space="0"/>
              <w:left w:val="single" w:color="auto" w:sz="4" w:space="0"/>
              <w:bottom w:val="single" w:color="auto" w:sz="4" w:space="0"/>
              <w:right w:val="single" w:color="auto" w:sz="4" w:space="0"/>
            </w:tcBorders>
          </w:tcPr>
          <w:p w14:paraId="0C0D3C3C">
            <w:pPr>
              <w:spacing w:line="360" w:lineRule="auto"/>
              <w:rPr>
                <w:rFonts w:hint="eastAsia" w:ascii="黑体" w:hAnsi="黑体" w:eastAsia="黑体" w:cs="黑体"/>
                <w:sz w:val="19"/>
                <w:szCs w:val="19"/>
              </w:rPr>
            </w:pPr>
          </w:p>
        </w:tc>
        <w:tc>
          <w:tcPr>
            <w:tcW w:w="1462" w:type="dxa"/>
            <w:tcBorders>
              <w:top w:val="single" w:color="auto" w:sz="4" w:space="0"/>
              <w:left w:val="single" w:color="auto" w:sz="4" w:space="0"/>
              <w:bottom w:val="single" w:color="auto" w:sz="4" w:space="0"/>
              <w:right w:val="single" w:color="auto" w:sz="4" w:space="0"/>
            </w:tcBorders>
          </w:tcPr>
          <w:p w14:paraId="51618CE0">
            <w:pPr>
              <w:spacing w:line="360" w:lineRule="auto"/>
              <w:rPr>
                <w:rFonts w:hint="eastAsia" w:ascii="黑体" w:hAnsi="黑体" w:eastAsia="黑体" w:cs="黑体"/>
                <w:sz w:val="19"/>
                <w:szCs w:val="19"/>
              </w:rPr>
            </w:pPr>
          </w:p>
        </w:tc>
        <w:tc>
          <w:tcPr>
            <w:tcW w:w="2010" w:type="dxa"/>
            <w:tcBorders>
              <w:top w:val="single" w:color="auto" w:sz="4" w:space="0"/>
              <w:left w:val="single" w:color="auto" w:sz="4" w:space="0"/>
              <w:bottom w:val="single" w:color="auto" w:sz="4" w:space="0"/>
              <w:right w:val="single" w:color="auto" w:sz="4" w:space="0"/>
            </w:tcBorders>
          </w:tcPr>
          <w:p w14:paraId="7D0DC800">
            <w:pPr>
              <w:spacing w:line="360" w:lineRule="auto"/>
              <w:rPr>
                <w:rFonts w:hint="eastAsia" w:ascii="黑体" w:hAnsi="黑体" w:eastAsia="黑体" w:cs="黑体"/>
                <w:sz w:val="19"/>
                <w:szCs w:val="19"/>
              </w:rPr>
            </w:pPr>
          </w:p>
        </w:tc>
        <w:tc>
          <w:tcPr>
            <w:tcW w:w="1204" w:type="dxa"/>
            <w:tcBorders>
              <w:top w:val="single" w:color="auto" w:sz="4" w:space="0"/>
              <w:left w:val="single" w:color="auto" w:sz="4" w:space="0"/>
              <w:bottom w:val="single" w:color="auto" w:sz="4" w:space="0"/>
              <w:right w:val="single" w:color="auto" w:sz="4" w:space="0"/>
            </w:tcBorders>
          </w:tcPr>
          <w:p w14:paraId="27F76622">
            <w:pPr>
              <w:spacing w:line="360" w:lineRule="auto"/>
              <w:rPr>
                <w:rFonts w:hint="eastAsia" w:ascii="黑体" w:hAnsi="黑体" w:eastAsia="黑体" w:cs="黑体"/>
                <w:sz w:val="19"/>
                <w:szCs w:val="19"/>
              </w:rPr>
            </w:pPr>
          </w:p>
        </w:tc>
      </w:tr>
    </w:tbl>
    <w:p w14:paraId="00986D1D">
      <w:pPr>
        <w:rPr>
          <w:rFonts w:hint="eastAsia" w:ascii="黑体" w:hAnsi="黑体" w:eastAsia="黑体" w:cs="黑体"/>
          <w:b/>
          <w:bCs/>
          <w:sz w:val="19"/>
          <w:szCs w:val="19"/>
        </w:rPr>
      </w:pPr>
    </w:p>
    <w:p w14:paraId="001C7813">
      <w:pPr>
        <w:pStyle w:val="11"/>
        <w:spacing w:before="87" w:beforeLines="20" w:beforeAutospacing="0" w:line="48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注：</w:t>
      </w:r>
    </w:p>
    <w:p w14:paraId="0AC1BAE0">
      <w:pPr>
        <w:pStyle w:val="11"/>
        <w:spacing w:before="87" w:beforeLines="20" w:beforeAutospacing="0" w:line="48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1.提供评标办法中要求的证明材料。</w:t>
      </w:r>
    </w:p>
    <w:p w14:paraId="223369F8">
      <w:pPr>
        <w:pStyle w:val="11"/>
        <w:spacing w:before="87" w:beforeLines="20" w:beforeAutospacing="0" w:line="48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2.业绩时间以合同签订时间为准。</w:t>
      </w:r>
    </w:p>
    <w:p w14:paraId="245B214A">
      <w:pPr>
        <w:rPr>
          <w:rFonts w:hint="eastAsia" w:ascii="宋体" w:hAnsi="宋体" w:eastAsia="宋体" w:cs="宋体"/>
          <w:sz w:val="19"/>
          <w:szCs w:val="19"/>
        </w:rPr>
      </w:pPr>
    </w:p>
    <w:p w14:paraId="7278659E">
      <w:pPr>
        <w:spacing w:line="480" w:lineRule="exact"/>
        <w:rPr>
          <w:rFonts w:hint="eastAsia" w:ascii="宋体" w:hAnsi="宋体" w:eastAsia="宋体" w:cs="宋体"/>
          <w:sz w:val="19"/>
          <w:szCs w:val="19"/>
        </w:rPr>
        <w:sectPr>
          <w:pgSz w:w="11905" w:h="16838"/>
          <w:pgMar w:top="1417" w:right="1247" w:bottom="1474" w:left="1247" w:header="850" w:footer="992" w:gutter="0"/>
          <w:pgNumType w:fmt="numberInDash"/>
          <w:cols w:space="0" w:num="1"/>
          <w:docGrid w:type="lines" w:linePitch="436" w:charSpace="0"/>
        </w:sectPr>
      </w:pPr>
    </w:p>
    <w:p w14:paraId="3E4F77DC">
      <w:pPr>
        <w:pStyle w:val="3"/>
        <w:numPr>
          <w:ilvl w:val="0"/>
          <w:numId w:val="0"/>
        </w:numPr>
        <w:tabs>
          <w:tab w:val="left" w:pos="360"/>
          <w:tab w:val="clear" w:pos="576"/>
        </w:tabs>
        <w:autoSpaceDE w:val="0"/>
        <w:autoSpaceDN w:val="0"/>
        <w:adjustRightInd w:val="0"/>
        <w:spacing w:before="0" w:after="200"/>
        <w:jc w:val="center"/>
        <w:textAlignment w:val="baseline"/>
        <w:rPr>
          <w:rFonts w:hint="eastAsia" w:ascii="黑体" w:hAnsi="黑体" w:cs="黑体"/>
          <w:sz w:val="28"/>
          <w:szCs w:val="28"/>
        </w:rPr>
      </w:pPr>
      <w:bookmarkStart w:id="68" w:name="_Toc11618"/>
      <w:bookmarkStart w:id="69" w:name="_Toc7161"/>
      <w:r>
        <w:rPr>
          <w:rFonts w:hint="eastAsia" w:ascii="黑体" w:hAnsi="黑体" w:cs="黑体"/>
          <w:sz w:val="28"/>
          <w:szCs w:val="28"/>
        </w:rPr>
        <w:t>五、商务技术偏离表</w:t>
      </w:r>
      <w:bookmarkEnd w:id="68"/>
      <w:bookmarkEnd w:id="69"/>
    </w:p>
    <w:tbl>
      <w:tblPr>
        <w:tblStyle w:val="2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572"/>
        <w:gridCol w:w="2730"/>
        <w:gridCol w:w="1380"/>
        <w:gridCol w:w="1829"/>
      </w:tblGrid>
      <w:tr w14:paraId="6C01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347" w:type="dxa"/>
            <w:gridSpan w:val="2"/>
            <w:vAlign w:val="center"/>
          </w:tcPr>
          <w:p w14:paraId="5970AD0D">
            <w:pPr>
              <w:spacing w:line="400" w:lineRule="exact"/>
              <w:jc w:val="center"/>
              <w:rPr>
                <w:rFonts w:hint="eastAsia" w:ascii="黑体" w:hAnsi="黑体" w:eastAsia="黑体" w:cs="黑体"/>
                <w:sz w:val="19"/>
                <w:szCs w:val="19"/>
              </w:rPr>
            </w:pPr>
            <w:r>
              <w:rPr>
                <w:rFonts w:hint="eastAsia" w:ascii="黑体" w:hAnsi="黑体" w:eastAsia="黑体" w:cs="黑体"/>
                <w:sz w:val="19"/>
                <w:szCs w:val="19"/>
              </w:rPr>
              <w:t>项目名称</w:t>
            </w:r>
          </w:p>
        </w:tc>
        <w:tc>
          <w:tcPr>
            <w:tcW w:w="5939" w:type="dxa"/>
            <w:gridSpan w:val="3"/>
            <w:vAlign w:val="center"/>
          </w:tcPr>
          <w:p w14:paraId="284CD91D">
            <w:pPr>
              <w:pStyle w:val="11"/>
              <w:spacing w:line="400" w:lineRule="exact"/>
              <w:jc w:val="center"/>
              <w:rPr>
                <w:rFonts w:hint="eastAsia" w:ascii="黑体" w:hAnsi="黑体" w:eastAsia="黑体" w:cs="黑体"/>
                <w:color w:val="auto"/>
                <w:kern w:val="2"/>
                <w:sz w:val="19"/>
                <w:szCs w:val="19"/>
              </w:rPr>
            </w:pPr>
          </w:p>
        </w:tc>
      </w:tr>
      <w:tr w14:paraId="3ADB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347" w:type="dxa"/>
            <w:gridSpan w:val="2"/>
            <w:vAlign w:val="center"/>
          </w:tcPr>
          <w:p w14:paraId="553C9250">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项目编号</w:t>
            </w:r>
          </w:p>
        </w:tc>
        <w:tc>
          <w:tcPr>
            <w:tcW w:w="5939" w:type="dxa"/>
            <w:gridSpan w:val="3"/>
            <w:vAlign w:val="center"/>
          </w:tcPr>
          <w:p w14:paraId="69CD9404">
            <w:pPr>
              <w:pStyle w:val="11"/>
              <w:spacing w:line="400" w:lineRule="exact"/>
              <w:jc w:val="center"/>
              <w:rPr>
                <w:rFonts w:hint="eastAsia" w:ascii="黑体" w:hAnsi="黑体" w:eastAsia="黑体" w:cs="黑体"/>
                <w:color w:val="auto"/>
                <w:kern w:val="2"/>
                <w:sz w:val="19"/>
                <w:szCs w:val="19"/>
              </w:rPr>
            </w:pPr>
          </w:p>
        </w:tc>
      </w:tr>
      <w:tr w14:paraId="67F6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347" w:type="dxa"/>
            <w:gridSpan w:val="2"/>
            <w:vAlign w:val="center"/>
          </w:tcPr>
          <w:p w14:paraId="446C4774">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标包号</w:t>
            </w:r>
          </w:p>
        </w:tc>
        <w:tc>
          <w:tcPr>
            <w:tcW w:w="5939" w:type="dxa"/>
            <w:gridSpan w:val="3"/>
            <w:vAlign w:val="center"/>
          </w:tcPr>
          <w:p w14:paraId="7E4DAA3E">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未设置</w:t>
            </w:r>
          </w:p>
        </w:tc>
      </w:tr>
      <w:tr w14:paraId="59FB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75" w:type="dxa"/>
            <w:vAlign w:val="center"/>
          </w:tcPr>
          <w:p w14:paraId="553C41CD">
            <w:pPr>
              <w:pStyle w:val="11"/>
              <w:spacing w:line="400" w:lineRule="exact"/>
              <w:ind w:firstLine="380" w:firstLineChars="200"/>
              <w:rPr>
                <w:rFonts w:hint="eastAsia" w:ascii="黑体" w:hAnsi="黑体" w:eastAsia="黑体" w:cs="黑体"/>
                <w:color w:val="auto"/>
                <w:kern w:val="2"/>
                <w:sz w:val="19"/>
                <w:szCs w:val="19"/>
              </w:rPr>
            </w:pPr>
            <w:r>
              <w:rPr>
                <w:rFonts w:hint="eastAsia" w:ascii="黑体" w:hAnsi="黑体" w:eastAsia="黑体" w:cs="黑体"/>
                <w:color w:val="auto"/>
                <w:sz w:val="19"/>
                <w:szCs w:val="19"/>
              </w:rPr>
              <w:t>　</w:t>
            </w:r>
            <w:r>
              <w:rPr>
                <w:rFonts w:hint="eastAsia" w:ascii="黑体" w:hAnsi="黑体" w:eastAsia="黑体" w:cs="黑体"/>
                <w:color w:val="auto"/>
                <w:kern w:val="2"/>
                <w:sz w:val="19"/>
                <w:szCs w:val="19"/>
              </w:rPr>
              <w:t>序号</w:t>
            </w:r>
          </w:p>
        </w:tc>
        <w:tc>
          <w:tcPr>
            <w:tcW w:w="2572" w:type="dxa"/>
            <w:vAlign w:val="center"/>
          </w:tcPr>
          <w:p w14:paraId="3872FEB2">
            <w:pPr>
              <w:spacing w:line="400" w:lineRule="exact"/>
              <w:jc w:val="center"/>
              <w:rPr>
                <w:rFonts w:hint="eastAsia" w:ascii="黑体" w:hAnsi="黑体" w:eastAsia="黑体" w:cs="黑体"/>
                <w:sz w:val="19"/>
                <w:szCs w:val="19"/>
              </w:rPr>
            </w:pPr>
            <w:r>
              <w:rPr>
                <w:rFonts w:hint="eastAsia" w:ascii="黑体" w:hAnsi="黑体" w:eastAsia="黑体" w:cs="黑体"/>
                <w:sz w:val="19"/>
                <w:szCs w:val="19"/>
              </w:rPr>
              <w:t>招标文件的采购需求</w:t>
            </w:r>
          </w:p>
          <w:p w14:paraId="7D05AA45">
            <w:pPr>
              <w:spacing w:line="400" w:lineRule="exact"/>
              <w:jc w:val="center"/>
              <w:rPr>
                <w:rFonts w:hint="eastAsia" w:ascii="黑体" w:hAnsi="黑体" w:eastAsia="黑体" w:cs="黑体"/>
                <w:sz w:val="19"/>
                <w:szCs w:val="19"/>
              </w:rPr>
            </w:pPr>
            <w:r>
              <w:rPr>
                <w:rFonts w:hint="eastAsia" w:ascii="黑体" w:hAnsi="黑体" w:eastAsia="黑体" w:cs="黑体"/>
                <w:sz w:val="19"/>
                <w:szCs w:val="19"/>
              </w:rPr>
              <w:t>（具体见第三章）</w:t>
            </w:r>
          </w:p>
        </w:tc>
        <w:tc>
          <w:tcPr>
            <w:tcW w:w="2730" w:type="dxa"/>
            <w:vAlign w:val="center"/>
          </w:tcPr>
          <w:p w14:paraId="73FFC97B">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投标文件的响应条款</w:t>
            </w:r>
          </w:p>
        </w:tc>
        <w:tc>
          <w:tcPr>
            <w:tcW w:w="1380" w:type="dxa"/>
            <w:vAlign w:val="center"/>
          </w:tcPr>
          <w:p w14:paraId="2C764823">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偏离程度</w:t>
            </w:r>
          </w:p>
        </w:tc>
        <w:tc>
          <w:tcPr>
            <w:tcW w:w="1829" w:type="dxa"/>
            <w:vAlign w:val="center"/>
          </w:tcPr>
          <w:p w14:paraId="47C99D39">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备注</w:t>
            </w:r>
          </w:p>
        </w:tc>
      </w:tr>
      <w:tr w14:paraId="16A75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vAlign w:val="center"/>
          </w:tcPr>
          <w:p w14:paraId="6FA82D2E">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1</w:t>
            </w:r>
          </w:p>
        </w:tc>
        <w:tc>
          <w:tcPr>
            <w:tcW w:w="2572" w:type="dxa"/>
            <w:vAlign w:val="center"/>
          </w:tcPr>
          <w:p w14:paraId="5BDB8834">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sz w:val="19"/>
                <w:szCs w:val="19"/>
                <w:lang w:val="zh-CN"/>
              </w:rPr>
              <w:t>“▲”项</w:t>
            </w:r>
          </w:p>
        </w:tc>
        <w:tc>
          <w:tcPr>
            <w:tcW w:w="2730" w:type="dxa"/>
            <w:vAlign w:val="center"/>
          </w:tcPr>
          <w:p w14:paraId="534C7181">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填写投标产品的具体参数数值</w:t>
            </w:r>
          </w:p>
        </w:tc>
        <w:tc>
          <w:tcPr>
            <w:tcW w:w="1380" w:type="dxa"/>
            <w:vAlign w:val="center"/>
          </w:tcPr>
          <w:p w14:paraId="582953FE">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无偏离</w:t>
            </w:r>
          </w:p>
        </w:tc>
        <w:tc>
          <w:tcPr>
            <w:tcW w:w="1829" w:type="dxa"/>
            <w:vAlign w:val="center"/>
          </w:tcPr>
          <w:p w14:paraId="0BDF41C3">
            <w:pPr>
              <w:pStyle w:val="11"/>
              <w:spacing w:line="400" w:lineRule="exact"/>
              <w:jc w:val="center"/>
              <w:rPr>
                <w:rFonts w:hint="eastAsia" w:ascii="黑体" w:hAnsi="黑体" w:eastAsia="黑体" w:cs="黑体"/>
                <w:color w:val="auto"/>
                <w:kern w:val="2"/>
                <w:sz w:val="19"/>
                <w:szCs w:val="19"/>
              </w:rPr>
            </w:pPr>
          </w:p>
        </w:tc>
      </w:tr>
      <w:tr w14:paraId="79A2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vAlign w:val="center"/>
          </w:tcPr>
          <w:p w14:paraId="698FA7F4">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2</w:t>
            </w:r>
          </w:p>
        </w:tc>
        <w:tc>
          <w:tcPr>
            <w:tcW w:w="2572" w:type="dxa"/>
            <w:vAlign w:val="center"/>
          </w:tcPr>
          <w:p w14:paraId="14EA969C">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w:t>
            </w:r>
          </w:p>
        </w:tc>
        <w:tc>
          <w:tcPr>
            <w:tcW w:w="2730" w:type="dxa"/>
            <w:vAlign w:val="center"/>
          </w:tcPr>
          <w:p w14:paraId="4D270124">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w:t>
            </w:r>
          </w:p>
        </w:tc>
        <w:tc>
          <w:tcPr>
            <w:tcW w:w="1380" w:type="dxa"/>
            <w:vAlign w:val="center"/>
          </w:tcPr>
          <w:p w14:paraId="10CF4DC0">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w:t>
            </w:r>
          </w:p>
        </w:tc>
        <w:tc>
          <w:tcPr>
            <w:tcW w:w="1829" w:type="dxa"/>
            <w:vAlign w:val="center"/>
          </w:tcPr>
          <w:p w14:paraId="4799A118">
            <w:pPr>
              <w:pStyle w:val="11"/>
              <w:spacing w:line="400" w:lineRule="exact"/>
              <w:jc w:val="center"/>
              <w:rPr>
                <w:rFonts w:hint="eastAsia" w:ascii="黑体" w:hAnsi="黑体" w:eastAsia="黑体" w:cs="黑体"/>
                <w:color w:val="auto"/>
                <w:kern w:val="2"/>
                <w:sz w:val="19"/>
                <w:szCs w:val="19"/>
              </w:rPr>
            </w:pPr>
          </w:p>
        </w:tc>
      </w:tr>
      <w:tr w14:paraId="11AD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5" w:type="dxa"/>
            <w:vAlign w:val="center"/>
          </w:tcPr>
          <w:p w14:paraId="2863D59A">
            <w:pPr>
              <w:pStyle w:val="11"/>
              <w:spacing w:line="400" w:lineRule="exact"/>
              <w:jc w:val="center"/>
              <w:rPr>
                <w:rFonts w:hint="eastAsia" w:ascii="黑体" w:hAnsi="黑体" w:eastAsia="黑体" w:cs="黑体"/>
                <w:color w:val="auto"/>
                <w:kern w:val="2"/>
                <w:sz w:val="19"/>
                <w:szCs w:val="19"/>
              </w:rPr>
            </w:pPr>
          </w:p>
        </w:tc>
        <w:tc>
          <w:tcPr>
            <w:tcW w:w="2572" w:type="dxa"/>
            <w:vAlign w:val="center"/>
          </w:tcPr>
          <w:p w14:paraId="65B31C94">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招标文件的全部条款内容</w:t>
            </w:r>
          </w:p>
        </w:tc>
        <w:tc>
          <w:tcPr>
            <w:tcW w:w="2730" w:type="dxa"/>
            <w:vAlign w:val="center"/>
          </w:tcPr>
          <w:p w14:paraId="3E7C8101">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我单位完全响应</w:t>
            </w:r>
          </w:p>
        </w:tc>
        <w:tc>
          <w:tcPr>
            <w:tcW w:w="1380" w:type="dxa"/>
            <w:vAlign w:val="center"/>
          </w:tcPr>
          <w:p w14:paraId="47375B64">
            <w:pPr>
              <w:pStyle w:val="11"/>
              <w:spacing w:line="400" w:lineRule="exact"/>
              <w:jc w:val="center"/>
              <w:rPr>
                <w:rFonts w:hint="eastAsia" w:ascii="黑体" w:hAnsi="黑体" w:eastAsia="黑体" w:cs="黑体"/>
                <w:color w:val="auto"/>
                <w:kern w:val="2"/>
                <w:sz w:val="19"/>
                <w:szCs w:val="19"/>
              </w:rPr>
            </w:pPr>
            <w:r>
              <w:rPr>
                <w:rFonts w:hint="eastAsia" w:ascii="黑体" w:hAnsi="黑体" w:eastAsia="黑体" w:cs="黑体"/>
                <w:color w:val="auto"/>
                <w:kern w:val="2"/>
                <w:sz w:val="19"/>
                <w:szCs w:val="19"/>
              </w:rPr>
              <w:t>无偏离</w:t>
            </w:r>
          </w:p>
        </w:tc>
        <w:tc>
          <w:tcPr>
            <w:tcW w:w="1829" w:type="dxa"/>
            <w:vAlign w:val="center"/>
          </w:tcPr>
          <w:p w14:paraId="4FCBFFE9">
            <w:pPr>
              <w:pStyle w:val="11"/>
              <w:spacing w:line="400" w:lineRule="exact"/>
              <w:jc w:val="center"/>
              <w:rPr>
                <w:rFonts w:hint="eastAsia" w:ascii="黑体" w:hAnsi="黑体" w:eastAsia="黑体" w:cs="黑体"/>
                <w:color w:val="auto"/>
                <w:kern w:val="2"/>
                <w:sz w:val="19"/>
                <w:szCs w:val="19"/>
              </w:rPr>
            </w:pPr>
          </w:p>
        </w:tc>
      </w:tr>
      <w:tr w14:paraId="6350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75" w:type="dxa"/>
            <w:vAlign w:val="center"/>
          </w:tcPr>
          <w:p w14:paraId="08802798">
            <w:pPr>
              <w:pStyle w:val="11"/>
              <w:spacing w:line="400" w:lineRule="exact"/>
              <w:jc w:val="center"/>
              <w:rPr>
                <w:rFonts w:hint="eastAsia" w:ascii="黑体" w:hAnsi="黑体" w:eastAsia="黑体" w:cs="黑体"/>
                <w:color w:val="auto"/>
                <w:kern w:val="2"/>
                <w:sz w:val="19"/>
                <w:szCs w:val="19"/>
              </w:rPr>
            </w:pPr>
          </w:p>
        </w:tc>
        <w:tc>
          <w:tcPr>
            <w:tcW w:w="2572" w:type="dxa"/>
            <w:vAlign w:val="center"/>
          </w:tcPr>
          <w:p w14:paraId="13266491">
            <w:pPr>
              <w:pStyle w:val="11"/>
              <w:spacing w:line="400" w:lineRule="exact"/>
              <w:jc w:val="center"/>
              <w:rPr>
                <w:rFonts w:hint="eastAsia" w:ascii="黑体" w:hAnsi="黑体" w:eastAsia="黑体" w:cs="黑体"/>
                <w:color w:val="auto"/>
                <w:kern w:val="2"/>
                <w:sz w:val="19"/>
                <w:szCs w:val="19"/>
              </w:rPr>
            </w:pPr>
          </w:p>
        </w:tc>
        <w:tc>
          <w:tcPr>
            <w:tcW w:w="2730" w:type="dxa"/>
            <w:vAlign w:val="center"/>
          </w:tcPr>
          <w:p w14:paraId="51251493">
            <w:pPr>
              <w:pStyle w:val="11"/>
              <w:spacing w:line="400" w:lineRule="exact"/>
              <w:jc w:val="center"/>
              <w:rPr>
                <w:rFonts w:hint="eastAsia" w:ascii="黑体" w:hAnsi="黑体" w:eastAsia="黑体" w:cs="黑体"/>
                <w:color w:val="auto"/>
                <w:kern w:val="2"/>
                <w:sz w:val="19"/>
                <w:szCs w:val="19"/>
              </w:rPr>
            </w:pPr>
          </w:p>
        </w:tc>
        <w:tc>
          <w:tcPr>
            <w:tcW w:w="1380" w:type="dxa"/>
            <w:vAlign w:val="center"/>
          </w:tcPr>
          <w:p w14:paraId="07E095B5">
            <w:pPr>
              <w:pStyle w:val="11"/>
              <w:spacing w:line="400" w:lineRule="exact"/>
              <w:jc w:val="center"/>
              <w:rPr>
                <w:rFonts w:hint="eastAsia" w:ascii="黑体" w:hAnsi="黑体" w:eastAsia="黑体" w:cs="黑体"/>
                <w:color w:val="auto"/>
                <w:kern w:val="2"/>
                <w:sz w:val="19"/>
                <w:szCs w:val="19"/>
              </w:rPr>
            </w:pPr>
          </w:p>
        </w:tc>
        <w:tc>
          <w:tcPr>
            <w:tcW w:w="1829" w:type="dxa"/>
            <w:vAlign w:val="center"/>
          </w:tcPr>
          <w:p w14:paraId="4B411A84">
            <w:pPr>
              <w:pStyle w:val="11"/>
              <w:spacing w:line="400" w:lineRule="exact"/>
              <w:jc w:val="center"/>
              <w:rPr>
                <w:rFonts w:hint="eastAsia" w:ascii="黑体" w:hAnsi="黑体" w:eastAsia="黑体" w:cs="黑体"/>
                <w:color w:val="auto"/>
                <w:kern w:val="2"/>
                <w:sz w:val="19"/>
                <w:szCs w:val="19"/>
              </w:rPr>
            </w:pPr>
          </w:p>
        </w:tc>
      </w:tr>
    </w:tbl>
    <w:p w14:paraId="2FB63F87">
      <w:pPr>
        <w:spacing w:before="4"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我单位已仔细研读本项目招标文件中的各项商务及技术条款要求，确认文件中不存在倾向性、歧视性、排他性条款，亦无以不合理条件对供应商实行差别待遇或歧视待遇的情形。我单位在此郑重承诺：已充分理解招标文件的全部内容，完全同意并接受文件中的所有条款及要求，对此无任何异议。</w:t>
      </w:r>
    </w:p>
    <w:p w14:paraId="685F3860">
      <w:pPr>
        <w:spacing w:before="4" w:line="500" w:lineRule="exact"/>
        <w:rPr>
          <w:rFonts w:hint="eastAsia" w:ascii="黑体" w:hAnsi="黑体" w:eastAsia="黑体" w:cs="黑体"/>
          <w:sz w:val="19"/>
          <w:szCs w:val="19"/>
        </w:rPr>
      </w:pPr>
    </w:p>
    <w:p w14:paraId="2FEB8AED">
      <w:pPr>
        <w:spacing w:before="4" w:line="50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填写说明：</w:t>
      </w:r>
    </w:p>
    <w:p w14:paraId="5B32ACC4">
      <w:pPr>
        <w:spacing w:before="4" w:line="500" w:lineRule="exact"/>
        <w:ind w:firstLine="380" w:firstLineChars="200"/>
        <w:rPr>
          <w:rFonts w:hint="eastAsia" w:ascii="黑体" w:hAnsi="黑体" w:eastAsia="黑体" w:cs="黑体"/>
          <w:sz w:val="19"/>
          <w:szCs w:val="19"/>
        </w:rPr>
      </w:pPr>
      <w:r>
        <w:rPr>
          <w:rFonts w:ascii="黑体" w:hAnsi="黑体" w:eastAsia="黑体" w:cs="黑体"/>
          <w:sz w:val="19"/>
          <w:szCs w:val="19"/>
        </w:rPr>
        <w:t>1.若供应商未明确</w:t>
      </w:r>
      <w:r>
        <w:rPr>
          <w:rFonts w:hint="eastAsia" w:ascii="黑体" w:hAnsi="黑体" w:eastAsia="黑体" w:cs="黑体"/>
          <w:sz w:val="19"/>
          <w:szCs w:val="19"/>
        </w:rPr>
        <w:t>注明偏离</w:t>
      </w:r>
      <w:r>
        <w:rPr>
          <w:rFonts w:ascii="黑体" w:hAnsi="黑体" w:eastAsia="黑体" w:cs="黑体"/>
          <w:sz w:val="19"/>
          <w:szCs w:val="19"/>
        </w:rPr>
        <w:t>，则默认视为完全响应。请依照既定格式填写并完成签字盖章。</w:t>
      </w:r>
    </w:p>
    <w:p w14:paraId="3AFB13C3">
      <w:pPr>
        <w:spacing w:before="4" w:line="500" w:lineRule="exact"/>
        <w:ind w:firstLine="380" w:firstLineChars="200"/>
        <w:rPr>
          <w:rFonts w:hint="eastAsia" w:ascii="黑体" w:hAnsi="黑体" w:eastAsia="黑体" w:cs="黑体"/>
          <w:sz w:val="19"/>
          <w:szCs w:val="19"/>
        </w:rPr>
      </w:pPr>
      <w:r>
        <w:rPr>
          <w:rFonts w:ascii="黑体" w:hAnsi="黑体" w:eastAsia="黑体" w:cs="黑体"/>
          <w:sz w:val="19"/>
          <w:szCs w:val="19"/>
        </w:rPr>
        <w:t>2.在评分细则中，若对特定参数有明确的证明文件要求，</w:t>
      </w:r>
      <w:r>
        <w:rPr>
          <w:rFonts w:hint="eastAsia" w:ascii="黑体" w:hAnsi="黑体" w:eastAsia="黑体" w:cs="黑体"/>
          <w:sz w:val="19"/>
          <w:szCs w:val="19"/>
        </w:rPr>
        <w:t>应在偏离程度栏</w:t>
      </w:r>
      <w:r>
        <w:rPr>
          <w:rFonts w:ascii="黑体" w:hAnsi="黑体" w:eastAsia="黑体" w:cs="黑体"/>
          <w:sz w:val="19"/>
          <w:szCs w:val="19"/>
        </w:rPr>
        <w:t>逐项选择“正偏离”、“负偏离”或“无偏离”中的一个选项进行明确标注，并附上相应的证明文件。否则，将不予认定，并将被视为负偏离。</w:t>
      </w:r>
    </w:p>
    <w:p w14:paraId="0BF9243B">
      <w:pPr>
        <w:spacing w:before="4" w:line="500" w:lineRule="exact"/>
        <w:ind w:firstLine="380" w:firstLineChars="200"/>
        <w:rPr>
          <w:rFonts w:hint="eastAsia" w:ascii="黑体" w:hAnsi="黑体" w:eastAsia="黑体" w:cs="黑体"/>
          <w:sz w:val="19"/>
          <w:szCs w:val="19"/>
        </w:rPr>
      </w:pPr>
      <w:r>
        <w:rPr>
          <w:rFonts w:ascii="黑体" w:hAnsi="黑体" w:eastAsia="黑体" w:cs="黑体"/>
          <w:sz w:val="19"/>
          <w:szCs w:val="19"/>
        </w:rPr>
        <w:t>3.格式仅供参考，可另附页进行说明。</w:t>
      </w:r>
    </w:p>
    <w:p w14:paraId="457FDD45">
      <w:pPr>
        <w:pStyle w:val="8"/>
        <w:spacing w:before="4" w:line="500" w:lineRule="exact"/>
        <w:rPr>
          <w:rFonts w:hint="eastAsia" w:ascii="黑体" w:hAnsi="黑体" w:eastAsia="黑体" w:cs="黑体"/>
          <w:sz w:val="19"/>
          <w:szCs w:val="19"/>
        </w:rPr>
      </w:pPr>
    </w:p>
    <w:p w14:paraId="1E293492">
      <w:pPr>
        <w:pStyle w:val="11"/>
        <w:spacing w:before="4" w:beforeAutospacing="0" w:line="50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投标人名称（盖章）：______</w:t>
      </w:r>
    </w:p>
    <w:p w14:paraId="1D9DBD66">
      <w:pPr>
        <w:pStyle w:val="11"/>
        <w:spacing w:before="4" w:beforeAutospacing="0" w:line="50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法定代表人或授权代表（签字或盖章）：______</w:t>
      </w:r>
    </w:p>
    <w:p w14:paraId="24BD335A">
      <w:pPr>
        <w:pStyle w:val="11"/>
        <w:spacing w:before="4" w:beforeAutospacing="0" w:line="50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日期：______年____月____日</w:t>
      </w:r>
    </w:p>
    <w:p w14:paraId="7E151785">
      <w:pPr>
        <w:spacing w:before="4" w:line="500" w:lineRule="exact"/>
        <w:rPr>
          <w:rFonts w:hint="eastAsia" w:ascii="宋体" w:hAnsi="宋体" w:eastAsia="宋体" w:cs="宋体"/>
          <w:sz w:val="22"/>
          <w:szCs w:val="22"/>
        </w:rPr>
        <w:sectPr>
          <w:pgSz w:w="11905" w:h="16838"/>
          <w:pgMar w:top="1417" w:right="1247" w:bottom="1474" w:left="1247" w:header="850" w:footer="992" w:gutter="0"/>
          <w:pgNumType w:fmt="numberInDash"/>
          <w:cols w:space="0" w:num="1"/>
          <w:docGrid w:type="lines" w:linePitch="436" w:charSpace="0"/>
        </w:sectPr>
      </w:pPr>
    </w:p>
    <w:p w14:paraId="61B8ABD6">
      <w:pPr>
        <w:pStyle w:val="3"/>
        <w:numPr>
          <w:ilvl w:val="0"/>
          <w:numId w:val="0"/>
        </w:numPr>
        <w:tabs>
          <w:tab w:val="left" w:pos="360"/>
          <w:tab w:val="clear" w:pos="576"/>
        </w:tabs>
        <w:autoSpaceDE w:val="0"/>
        <w:autoSpaceDN w:val="0"/>
        <w:adjustRightInd w:val="0"/>
        <w:spacing w:before="0" w:after="200"/>
        <w:jc w:val="center"/>
        <w:textAlignment w:val="baseline"/>
        <w:rPr>
          <w:rFonts w:hint="eastAsia" w:ascii="黑体" w:hAnsi="黑体" w:cs="黑体"/>
          <w:sz w:val="28"/>
          <w:szCs w:val="28"/>
        </w:rPr>
      </w:pPr>
      <w:bookmarkStart w:id="70" w:name="_Toc15990"/>
      <w:bookmarkStart w:id="71" w:name="_Toc27872"/>
      <w:r>
        <w:rPr>
          <w:rFonts w:hint="eastAsia" w:ascii="黑体" w:hAnsi="黑体" w:cs="黑体"/>
          <w:sz w:val="28"/>
          <w:szCs w:val="28"/>
        </w:rPr>
        <w:t>六、政府采购供应商廉洁自律承诺书</w:t>
      </w:r>
      <w:bookmarkEnd w:id="70"/>
      <w:bookmarkEnd w:id="71"/>
    </w:p>
    <w:p w14:paraId="329CF04C">
      <w:pPr>
        <w:pStyle w:val="11"/>
        <w:spacing w:before="4" w:beforeAutospacing="0" w:line="500" w:lineRule="exact"/>
        <w:jc w:val="center"/>
        <w:rPr>
          <w:rFonts w:hint="eastAsia" w:ascii="黑体" w:hAnsi="黑体" w:eastAsia="黑体" w:cs="黑体"/>
          <w:bCs/>
          <w:color w:val="auto"/>
          <w:sz w:val="19"/>
          <w:szCs w:val="19"/>
        </w:rPr>
      </w:pPr>
      <w:r>
        <w:rPr>
          <w:rFonts w:hint="eastAsia" w:ascii="黑体" w:hAnsi="黑体" w:eastAsia="黑体" w:cs="黑体"/>
          <w:bCs/>
          <w:color w:val="auto"/>
          <w:sz w:val="19"/>
          <w:szCs w:val="19"/>
        </w:rPr>
        <w:t>政府采购</w:t>
      </w:r>
      <w:r>
        <w:rPr>
          <w:rFonts w:hint="eastAsia" w:ascii="黑体" w:hAnsi="黑体" w:eastAsia="黑体" w:cs="黑体"/>
          <w:sz w:val="19"/>
          <w:szCs w:val="19"/>
        </w:rPr>
        <w:t>供应商</w:t>
      </w:r>
      <w:r>
        <w:rPr>
          <w:rFonts w:hint="eastAsia" w:ascii="黑体" w:hAnsi="黑体" w:eastAsia="黑体" w:cs="黑体"/>
          <w:bCs/>
          <w:color w:val="auto"/>
          <w:sz w:val="19"/>
          <w:szCs w:val="19"/>
        </w:rPr>
        <w:t>廉洁自律承诺书Ⅰ</w:t>
      </w:r>
    </w:p>
    <w:p w14:paraId="5FD5AD15">
      <w:pPr>
        <w:spacing w:before="4" w:line="480" w:lineRule="exact"/>
        <w:ind w:firstLine="285" w:firstLineChars="150"/>
        <w:rPr>
          <w:rFonts w:hint="eastAsia" w:ascii="黑体" w:hAnsi="黑体" w:eastAsia="黑体" w:cs="黑体"/>
          <w:sz w:val="19"/>
          <w:szCs w:val="19"/>
        </w:rPr>
      </w:pPr>
      <w:r>
        <w:rPr>
          <w:rFonts w:hint="eastAsia" w:ascii="黑体" w:hAnsi="黑体" w:eastAsia="黑体" w:cs="黑体"/>
          <w:sz w:val="19"/>
          <w:szCs w:val="19"/>
        </w:rPr>
        <w:t xml:space="preserve"> 为响应党中央、国务院关于治理政府采购领域商业贿赂行为的号召，我公司在此庄严承诺：</w:t>
      </w:r>
    </w:p>
    <w:p w14:paraId="39DDF225">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1.在参与政府采购活动中遵纪守法、诚信经营、公平竞标。</w:t>
      </w:r>
    </w:p>
    <w:p w14:paraId="2D9BCCC7">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2.不向政府采购人、采购代理机构和政府采购评审专家进行任何形式的商业贿赂以谋取交易机会。</w:t>
      </w:r>
    </w:p>
    <w:p w14:paraId="436B16FF">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3.不向政府采购代理机构和采购人提供虚假资格文件或采用虚假方式参与政府采购市场竞争并谋取成交。</w:t>
      </w:r>
    </w:p>
    <w:p w14:paraId="0C5CD574">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4.不采取“围标、陪标”等商业欺诈手段获得政府采购订单。</w:t>
      </w:r>
    </w:p>
    <w:p w14:paraId="62F199F2">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5.不采取不正当手段诋毁、排挤其他供应商。</w:t>
      </w:r>
    </w:p>
    <w:p w14:paraId="7C8EA08D">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6.不在提供商品和服务时“偷梁换柱、以次充好”损害采购人的合法权益。</w:t>
      </w:r>
    </w:p>
    <w:p w14:paraId="4AF12DFC">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7.不与采购人、采购代理机构政府采购评审专家或其他供应商恶意串通，进行质疑和投诉，维护政府采购市场秩序。</w:t>
      </w:r>
    </w:p>
    <w:p w14:paraId="329BD531">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8.尊重和接受政府采购监督管理部门的监督和政府采购代理机构采购要求，承担因违约行为给采购人造成的损失。</w:t>
      </w:r>
    </w:p>
    <w:p w14:paraId="5026DE46">
      <w:pPr>
        <w:spacing w:before="4" w:line="480" w:lineRule="exact"/>
        <w:ind w:firstLine="380" w:firstLineChars="200"/>
        <w:rPr>
          <w:rFonts w:hint="eastAsia" w:ascii="黑体" w:hAnsi="黑体" w:eastAsia="黑体" w:cs="黑体"/>
          <w:sz w:val="19"/>
          <w:szCs w:val="19"/>
        </w:rPr>
      </w:pPr>
      <w:r>
        <w:rPr>
          <w:rFonts w:hint="eastAsia" w:ascii="黑体" w:hAnsi="黑体" w:eastAsia="黑体" w:cs="黑体"/>
          <w:sz w:val="19"/>
          <w:szCs w:val="19"/>
        </w:rPr>
        <w:t>9.不发生其他有悖于政府采购公开、公平、公正和诚信原则的行为。</w:t>
      </w:r>
    </w:p>
    <w:p w14:paraId="1106EBA4">
      <w:pPr>
        <w:spacing w:before="4" w:line="500" w:lineRule="exact"/>
        <w:ind w:firstLine="380" w:firstLineChars="200"/>
        <w:rPr>
          <w:rFonts w:hint="eastAsia" w:ascii="黑体" w:hAnsi="黑体" w:eastAsia="黑体" w:cs="黑体"/>
          <w:sz w:val="19"/>
          <w:szCs w:val="19"/>
        </w:rPr>
      </w:pPr>
    </w:p>
    <w:p w14:paraId="6ED13BC0">
      <w:pPr>
        <w:pStyle w:val="8"/>
        <w:spacing w:before="4" w:line="500" w:lineRule="exact"/>
        <w:rPr>
          <w:rFonts w:hint="eastAsia" w:ascii="黑体" w:hAnsi="黑体" w:eastAsia="黑体" w:cs="黑体"/>
          <w:sz w:val="19"/>
          <w:szCs w:val="19"/>
        </w:rPr>
      </w:pPr>
    </w:p>
    <w:p w14:paraId="31D01814">
      <w:pPr>
        <w:pStyle w:val="11"/>
        <w:spacing w:before="4" w:beforeAutospacing="0" w:line="50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投标人名称（盖章）：______</w:t>
      </w:r>
    </w:p>
    <w:p w14:paraId="3FC86527">
      <w:pPr>
        <w:pStyle w:val="11"/>
        <w:spacing w:before="4" w:beforeAutospacing="0" w:line="50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法定代表人或授权代表（签字或盖章）：______</w:t>
      </w:r>
    </w:p>
    <w:p w14:paraId="4E928FB3">
      <w:pPr>
        <w:pStyle w:val="11"/>
        <w:spacing w:before="4" w:beforeAutospacing="0" w:line="500" w:lineRule="exact"/>
        <w:ind w:firstLine="380" w:firstLineChars="200"/>
        <w:rPr>
          <w:rFonts w:hint="eastAsia" w:ascii="黑体" w:hAnsi="黑体" w:eastAsia="黑体" w:cs="黑体"/>
          <w:color w:val="auto"/>
          <w:sz w:val="19"/>
          <w:szCs w:val="19"/>
        </w:rPr>
      </w:pPr>
      <w:r>
        <w:rPr>
          <w:rFonts w:hint="eastAsia" w:ascii="黑体" w:hAnsi="黑体" w:eastAsia="黑体" w:cs="黑体"/>
          <w:color w:val="auto"/>
          <w:sz w:val="19"/>
          <w:szCs w:val="19"/>
        </w:rPr>
        <w:t>日期：______年____月____日</w:t>
      </w:r>
    </w:p>
    <w:p w14:paraId="1254278E">
      <w:pPr>
        <w:spacing w:line="360" w:lineRule="auto"/>
        <w:jc w:val="center"/>
        <w:rPr>
          <w:rFonts w:hint="eastAsia" w:ascii="黑体" w:hAnsi="黑体" w:eastAsia="黑体" w:cs="黑体"/>
          <w:b/>
          <w:sz w:val="19"/>
          <w:szCs w:val="19"/>
        </w:rPr>
      </w:pPr>
      <w:r>
        <w:rPr>
          <w:rFonts w:hint="eastAsia" w:ascii="黑体" w:hAnsi="黑体" w:eastAsia="黑体" w:cs="黑体"/>
          <w:b/>
          <w:sz w:val="19"/>
          <w:szCs w:val="19"/>
        </w:rPr>
        <w:br w:type="page"/>
      </w:r>
      <w:r>
        <w:rPr>
          <w:rFonts w:hint="eastAsia" w:ascii="黑体" w:hAnsi="黑体" w:eastAsia="黑体" w:cs="黑体"/>
          <w:bCs/>
          <w:kern w:val="0"/>
          <w:sz w:val="19"/>
          <w:szCs w:val="19"/>
        </w:rPr>
        <w:t>承诺书Ⅱ</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0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26E7C307">
            <w:pPr>
              <w:spacing w:line="360" w:lineRule="atLeast"/>
              <w:rPr>
                <w:rFonts w:hint="eastAsia" w:ascii="黑体" w:hAnsi="黑体" w:eastAsia="黑体" w:cs="黑体"/>
                <w:sz w:val="19"/>
                <w:szCs w:val="19"/>
              </w:rPr>
            </w:pPr>
            <w:r>
              <w:rPr>
                <w:rFonts w:hint="eastAsia" w:ascii="黑体" w:hAnsi="黑体" w:eastAsia="黑体" w:cs="黑体"/>
                <w:sz w:val="19"/>
                <w:szCs w:val="19"/>
                <w:u w:val="single"/>
              </w:rPr>
              <w:t xml:space="preserve">致：陕西省西咸新区应急管理局 </w:t>
            </w:r>
          </w:p>
        </w:tc>
      </w:tr>
      <w:tr w14:paraId="796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3F826614">
            <w:pPr>
              <w:spacing w:line="360" w:lineRule="atLeast"/>
              <w:ind w:firstLine="380" w:firstLineChars="200"/>
              <w:rPr>
                <w:rFonts w:hint="eastAsia" w:ascii="黑体" w:hAnsi="黑体" w:eastAsia="黑体" w:cs="黑体"/>
                <w:sz w:val="19"/>
                <w:szCs w:val="19"/>
              </w:rPr>
            </w:pPr>
            <w:r>
              <w:rPr>
                <w:rFonts w:hint="eastAsia" w:ascii="黑体" w:hAnsi="黑体" w:eastAsia="黑体" w:cs="黑体"/>
                <w:sz w:val="19"/>
                <w:szCs w:val="19"/>
              </w:rPr>
              <w:t>作为参加贵公司组织的采购项目的投标人，本公司承诺：在参加本项目采购之前不存在被依法禁止经营行为、财产被接管或冻结的情况，如有隐瞒实情，愿承担一切责任及后果。</w:t>
            </w:r>
          </w:p>
        </w:tc>
      </w:tr>
      <w:tr w14:paraId="3707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2BFC73BB">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投标人</w:t>
            </w:r>
          </w:p>
        </w:tc>
        <w:tc>
          <w:tcPr>
            <w:tcW w:w="3420" w:type="dxa"/>
            <w:vAlign w:val="center"/>
          </w:tcPr>
          <w:p w14:paraId="718B587B">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法定代表人</w:t>
            </w:r>
          </w:p>
        </w:tc>
        <w:tc>
          <w:tcPr>
            <w:tcW w:w="2340" w:type="dxa"/>
            <w:vAlign w:val="center"/>
          </w:tcPr>
          <w:p w14:paraId="6B757C8C">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日  期</w:t>
            </w:r>
          </w:p>
        </w:tc>
      </w:tr>
      <w:tr w14:paraId="4C761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0855C834">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（公章）</w:t>
            </w:r>
          </w:p>
        </w:tc>
        <w:tc>
          <w:tcPr>
            <w:tcW w:w="3420" w:type="dxa"/>
            <w:vAlign w:val="center"/>
          </w:tcPr>
          <w:p w14:paraId="11634812">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（签字或盖章）</w:t>
            </w:r>
          </w:p>
        </w:tc>
        <w:tc>
          <w:tcPr>
            <w:tcW w:w="2340" w:type="dxa"/>
            <w:vAlign w:val="center"/>
          </w:tcPr>
          <w:p w14:paraId="42F293FD">
            <w:pPr>
              <w:spacing w:line="360" w:lineRule="atLeast"/>
              <w:ind w:firstLine="190" w:firstLineChars="100"/>
              <w:jc w:val="center"/>
              <w:rPr>
                <w:rFonts w:hint="eastAsia" w:ascii="黑体" w:hAnsi="黑体" w:eastAsia="黑体" w:cs="黑体"/>
                <w:sz w:val="19"/>
                <w:szCs w:val="19"/>
              </w:rPr>
            </w:pPr>
            <w:r>
              <w:rPr>
                <w:rFonts w:hint="eastAsia" w:ascii="黑体" w:hAnsi="黑体" w:eastAsia="黑体" w:cs="黑体"/>
                <w:sz w:val="19"/>
                <w:szCs w:val="19"/>
              </w:rPr>
              <w:t>年  月  日</w:t>
            </w:r>
          </w:p>
        </w:tc>
      </w:tr>
    </w:tbl>
    <w:p w14:paraId="684E364A">
      <w:pPr>
        <w:spacing w:line="360" w:lineRule="atLeast"/>
        <w:rPr>
          <w:rFonts w:hint="eastAsia" w:ascii="黑体" w:hAnsi="黑体" w:eastAsia="黑体" w:cs="黑体"/>
          <w:b/>
          <w:sz w:val="19"/>
          <w:szCs w:val="19"/>
        </w:rPr>
      </w:pPr>
    </w:p>
    <w:p w14:paraId="3DD4DE7B">
      <w:pPr>
        <w:spacing w:line="360" w:lineRule="atLeast"/>
        <w:jc w:val="center"/>
        <w:rPr>
          <w:rFonts w:hint="eastAsia" w:ascii="黑体" w:hAnsi="黑体" w:eastAsia="黑体" w:cs="黑体"/>
          <w:bCs/>
          <w:kern w:val="0"/>
          <w:sz w:val="19"/>
          <w:szCs w:val="19"/>
        </w:rPr>
      </w:pPr>
      <w:r>
        <w:rPr>
          <w:rFonts w:hint="eastAsia" w:ascii="黑体" w:hAnsi="黑体" w:eastAsia="黑体" w:cs="黑体"/>
          <w:bCs/>
          <w:kern w:val="0"/>
          <w:sz w:val="19"/>
          <w:szCs w:val="19"/>
        </w:rPr>
        <w:t>承诺书Ⅲ</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66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02188CB">
            <w:pPr>
              <w:spacing w:line="360" w:lineRule="atLeast"/>
              <w:rPr>
                <w:rFonts w:hint="eastAsia" w:ascii="黑体" w:hAnsi="黑体" w:eastAsia="黑体" w:cs="黑体"/>
                <w:sz w:val="19"/>
                <w:szCs w:val="19"/>
              </w:rPr>
            </w:pPr>
            <w:r>
              <w:rPr>
                <w:rFonts w:hint="eastAsia" w:ascii="黑体" w:hAnsi="黑体" w:eastAsia="黑体" w:cs="黑体"/>
                <w:sz w:val="19"/>
                <w:szCs w:val="19"/>
                <w:u w:val="single"/>
              </w:rPr>
              <w:t>致：陕西省西咸新区应急管理局</w:t>
            </w:r>
          </w:p>
        </w:tc>
      </w:tr>
      <w:tr w14:paraId="568D2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1BD4D0E1">
            <w:pPr>
              <w:spacing w:line="360" w:lineRule="atLeast"/>
              <w:ind w:firstLine="380" w:firstLineChars="200"/>
              <w:rPr>
                <w:rFonts w:hint="eastAsia" w:ascii="黑体" w:hAnsi="黑体" w:eastAsia="黑体" w:cs="黑体"/>
                <w:sz w:val="19"/>
                <w:szCs w:val="19"/>
              </w:rPr>
            </w:pPr>
            <w:r>
              <w:rPr>
                <w:rFonts w:hint="eastAsia" w:ascii="黑体" w:hAnsi="黑体" w:eastAsia="黑体" w:cs="黑体"/>
                <w:sz w:val="19"/>
                <w:szCs w:val="19"/>
              </w:rPr>
              <w:t>作为参加贵公司组织的采购项目的投标人，本公司郑重申告并承诺：近三年受到有关行政主管部门的行政处理、不良行为记录为</w:t>
            </w:r>
            <w:r>
              <w:rPr>
                <w:rFonts w:hint="eastAsia" w:ascii="黑体" w:hAnsi="黑体" w:eastAsia="黑体" w:cs="黑体"/>
                <w:sz w:val="19"/>
                <w:szCs w:val="19"/>
                <w:u w:val="single"/>
              </w:rPr>
              <w:t xml:space="preserve">  零 </w:t>
            </w:r>
            <w:r>
              <w:rPr>
                <w:rFonts w:hint="eastAsia" w:ascii="黑体" w:hAnsi="黑体" w:eastAsia="黑体" w:cs="黑体"/>
                <w:sz w:val="19"/>
                <w:szCs w:val="19"/>
              </w:rPr>
              <w:t>次（没有填零），如有隐瞒实情，愿承担一切责任及后果。</w:t>
            </w:r>
          </w:p>
        </w:tc>
      </w:tr>
      <w:tr w14:paraId="68EB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05535E83">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投标人</w:t>
            </w:r>
          </w:p>
        </w:tc>
        <w:tc>
          <w:tcPr>
            <w:tcW w:w="3420" w:type="dxa"/>
            <w:vAlign w:val="center"/>
          </w:tcPr>
          <w:p w14:paraId="13FE4CEA">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法定代表人</w:t>
            </w:r>
          </w:p>
        </w:tc>
        <w:tc>
          <w:tcPr>
            <w:tcW w:w="2340" w:type="dxa"/>
            <w:vAlign w:val="center"/>
          </w:tcPr>
          <w:p w14:paraId="579D6CC7">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日  期</w:t>
            </w:r>
          </w:p>
        </w:tc>
      </w:tr>
      <w:tr w14:paraId="707D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3B9EC7C6">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（公章）</w:t>
            </w:r>
          </w:p>
        </w:tc>
        <w:tc>
          <w:tcPr>
            <w:tcW w:w="3420" w:type="dxa"/>
            <w:vAlign w:val="center"/>
          </w:tcPr>
          <w:p w14:paraId="7A130827">
            <w:pPr>
              <w:spacing w:line="360" w:lineRule="atLeast"/>
              <w:jc w:val="center"/>
              <w:rPr>
                <w:rFonts w:hint="eastAsia" w:ascii="黑体" w:hAnsi="黑体" w:eastAsia="黑体" w:cs="黑体"/>
                <w:sz w:val="19"/>
                <w:szCs w:val="19"/>
              </w:rPr>
            </w:pPr>
            <w:r>
              <w:rPr>
                <w:rFonts w:hint="eastAsia" w:ascii="黑体" w:hAnsi="黑体" w:eastAsia="黑体" w:cs="黑体"/>
                <w:sz w:val="19"/>
                <w:szCs w:val="19"/>
              </w:rPr>
              <w:t>（签字或盖章）</w:t>
            </w:r>
          </w:p>
        </w:tc>
        <w:tc>
          <w:tcPr>
            <w:tcW w:w="2340" w:type="dxa"/>
            <w:vAlign w:val="center"/>
          </w:tcPr>
          <w:p w14:paraId="7724A947">
            <w:pPr>
              <w:spacing w:line="360" w:lineRule="atLeast"/>
              <w:ind w:firstLine="190" w:firstLineChars="100"/>
              <w:jc w:val="center"/>
              <w:rPr>
                <w:rFonts w:hint="eastAsia" w:ascii="黑体" w:hAnsi="黑体" w:eastAsia="黑体" w:cs="黑体"/>
                <w:sz w:val="19"/>
                <w:szCs w:val="19"/>
              </w:rPr>
            </w:pPr>
            <w:r>
              <w:rPr>
                <w:rFonts w:hint="eastAsia" w:ascii="黑体" w:hAnsi="黑体" w:eastAsia="黑体" w:cs="黑体"/>
                <w:sz w:val="19"/>
                <w:szCs w:val="19"/>
              </w:rPr>
              <w:t>年  月  日</w:t>
            </w:r>
          </w:p>
        </w:tc>
      </w:tr>
    </w:tbl>
    <w:p w14:paraId="43C6F50A">
      <w:pPr>
        <w:pStyle w:val="11"/>
        <w:spacing w:before="4" w:beforeAutospacing="0" w:line="500" w:lineRule="exact"/>
        <w:rPr>
          <w:rFonts w:hint="eastAsia" w:ascii="黑体" w:hAnsi="黑体" w:eastAsia="黑体" w:cs="黑体"/>
          <w:color w:val="auto"/>
          <w:sz w:val="19"/>
          <w:szCs w:val="19"/>
        </w:rPr>
      </w:pPr>
    </w:p>
    <w:sectPr>
      <w:pgSz w:w="11905" w:h="16838"/>
      <w:pgMar w:top="1417" w:right="1247" w:bottom="1474" w:left="1247" w:header="850" w:footer="992" w:gutter="0"/>
      <w:pgNumType w:fmt="numberInDash"/>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00FE9">
    <w:pPr>
      <w:pStyle w:val="12"/>
      <w:jc w:val="right"/>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690A">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A16BE">
    <w:pPr>
      <w:pStyle w:val="1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0AD36">
                          <w:pPr>
                            <w:pStyle w:val="12"/>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80AD36">
                    <w:pPr>
                      <w:pStyle w:val="12"/>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A41B2">
    <w:pPr>
      <w:pStyle w:val="12"/>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F5A4F">
                          <w:pPr>
                            <w:pStyle w:val="12"/>
                            <w:rPr>
                              <w:rFonts w:hint="eastAsia"/>
                            </w:rPr>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76F5A4F">
                    <w:pPr>
                      <w:pStyle w:val="12"/>
                      <w:rPr>
                        <w:rFonts w:hint="eastAsia"/>
                      </w:rPr>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7471C">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17E73">
                          <w:pPr>
                            <w:pStyle w:val="12"/>
                            <w:rPr>
                              <w:rFonts w:hint="eastAsia"/>
                            </w:rPr>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C717E73">
                    <w:pPr>
                      <w:pStyle w:val="12"/>
                      <w:rPr>
                        <w:rFonts w:hint="eastAsia"/>
                      </w:rPr>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13D8">
    <w:pPr>
      <w:spacing w:line="186" w:lineRule="auto"/>
      <w:ind w:left="4721"/>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1A12A">
                          <w:pPr>
                            <w:pStyle w:val="12"/>
                            <w:rPr>
                              <w:rFonts w:hint="eastAsia"/>
                            </w:rPr>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AA1A12A">
                    <w:pPr>
                      <w:pStyle w:val="12"/>
                      <w:rPr>
                        <w:rFonts w:hint="eastAsia"/>
                      </w:rPr>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D955">
    <w:pPr>
      <w:spacing w:before="1" w:line="232" w:lineRule="auto"/>
      <w:ind w:left="7759"/>
      <w:rPr>
        <w:rFonts w:hint="eastAsia"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49E38">
                          <w:pPr>
                            <w:pStyle w:val="12"/>
                            <w:rPr>
                              <w:rFonts w:hint="eastAsia"/>
                            </w:rPr>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7A49E38">
                    <w:pPr>
                      <w:pStyle w:val="12"/>
                      <w:rPr>
                        <w:rFonts w:hint="eastAsia"/>
                      </w:rPr>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ascii="宋体" w:hAnsi="宋体" w:eastAsia="宋体" w:cs="宋体"/>
        <w:spacing w:val="-3"/>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EF422">
    <w:pPr>
      <w:pStyle w:val="13"/>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D6C80">
    <w:pPr>
      <w:tabs>
        <w:tab w:val="left" w:pos="6465"/>
      </w:tabs>
      <w:spacing w:line="174" w:lineRule="auto"/>
      <w:ind w:left="151"/>
      <w:rPr>
        <w:rFonts w:hint="eastAsia"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4EF1F"/>
    <w:multiLevelType w:val="singleLevel"/>
    <w:tmpl w:val="8CB4EF1F"/>
    <w:lvl w:ilvl="0" w:tentative="0">
      <w:start w:val="1"/>
      <w:numFmt w:val="decimal"/>
      <w:suff w:val="nothing"/>
      <w:lvlText w:val="（%1）"/>
      <w:lvlJc w:val="left"/>
    </w:lvl>
  </w:abstractNum>
  <w:abstractNum w:abstractNumId="1">
    <w:nsid w:val="A15D7D93"/>
    <w:multiLevelType w:val="singleLevel"/>
    <w:tmpl w:val="A15D7D93"/>
    <w:lvl w:ilvl="0" w:tentative="0">
      <w:start w:val="3"/>
      <w:numFmt w:val="chineseCounting"/>
      <w:suff w:val="nothing"/>
      <w:lvlText w:val="%1、"/>
      <w:lvlJc w:val="left"/>
      <w:rPr>
        <w:rFonts w:hint="eastAsia"/>
      </w:rPr>
    </w:lvl>
  </w:abstractNum>
  <w:abstractNum w:abstractNumId="2">
    <w:nsid w:val="BD706619"/>
    <w:multiLevelType w:val="singleLevel"/>
    <w:tmpl w:val="BD706619"/>
    <w:lvl w:ilvl="0" w:tentative="0">
      <w:start w:val="1"/>
      <w:numFmt w:val="decimal"/>
      <w:suff w:val="nothing"/>
      <w:lvlText w:val="（%1）"/>
      <w:lvlJc w:val="left"/>
    </w:lvl>
  </w:abstractNum>
  <w:abstractNum w:abstractNumId="3">
    <w:nsid w:val="FD931F13"/>
    <w:multiLevelType w:val="singleLevel"/>
    <w:tmpl w:val="FD931F13"/>
    <w:lvl w:ilvl="0" w:tentative="0">
      <w:start w:val="1"/>
      <w:numFmt w:val="decimal"/>
      <w:suff w:val="space"/>
      <w:lvlText w:val="%1."/>
      <w:lvlJc w:val="left"/>
      <w:pPr>
        <w:ind w:left="665" w:hanging="425"/>
      </w:pPr>
      <w:rPr>
        <w:rFonts w:hint="default"/>
      </w:rPr>
    </w:lvl>
  </w:abstractNum>
  <w:abstractNum w:abstractNumId="4">
    <w:nsid w:val="1280E6DD"/>
    <w:multiLevelType w:val="singleLevel"/>
    <w:tmpl w:val="1280E6DD"/>
    <w:lvl w:ilvl="0" w:tentative="0">
      <w:start w:val="2"/>
      <w:numFmt w:val="chineseCounting"/>
      <w:suff w:val="nothing"/>
      <w:lvlText w:val="（%1）"/>
      <w:lvlJc w:val="left"/>
      <w:rPr>
        <w:rFonts w:hint="eastAsia"/>
      </w:rPr>
    </w:lvl>
  </w:abstractNum>
  <w:abstractNum w:abstractNumId="5">
    <w:nsid w:val="1723061B"/>
    <w:multiLevelType w:val="singleLevel"/>
    <w:tmpl w:val="1723061B"/>
    <w:lvl w:ilvl="0" w:tentative="0">
      <w:start w:val="1"/>
      <w:numFmt w:val="chineseCounting"/>
      <w:suff w:val="space"/>
      <w:lvlText w:val="第%1章"/>
      <w:lvlJc w:val="left"/>
      <w:rPr>
        <w:rFonts w:hint="eastAsia"/>
      </w:rPr>
    </w:lvl>
  </w:abstractNum>
  <w:abstractNum w:abstractNumId="6">
    <w:nsid w:val="2B80081D"/>
    <w:multiLevelType w:val="singleLevel"/>
    <w:tmpl w:val="2B80081D"/>
    <w:lvl w:ilvl="0" w:tentative="0">
      <w:start w:val="2"/>
      <w:numFmt w:val="chineseCounting"/>
      <w:suff w:val="nothing"/>
      <w:lvlText w:val="（%1）"/>
      <w:lvlJc w:val="left"/>
      <w:rPr>
        <w:rFonts w:hint="eastAsia" w:ascii="黑体" w:hAnsi="黑体" w:eastAsia="黑体" w:cs="黑体"/>
        <w:sz w:val="28"/>
        <w:szCs w:val="28"/>
      </w:rPr>
    </w:lvl>
  </w:abstractNum>
  <w:abstractNum w:abstractNumId="7">
    <w:nsid w:val="2BCBB00D"/>
    <w:multiLevelType w:val="singleLevel"/>
    <w:tmpl w:val="2BCBB00D"/>
    <w:lvl w:ilvl="0" w:tentative="0">
      <w:start w:val="1"/>
      <w:numFmt w:val="decimal"/>
      <w:suff w:val="space"/>
      <w:lvlText w:val="%1."/>
      <w:lvlJc w:val="left"/>
      <w:pPr>
        <w:ind w:left="185" w:hanging="425"/>
      </w:pPr>
      <w:rPr>
        <w:rFonts w:hint="default"/>
      </w:rPr>
    </w:lvl>
  </w:abstractNum>
  <w:abstractNum w:abstractNumId="8">
    <w:nsid w:val="2CC77E94"/>
    <w:multiLevelType w:val="multilevel"/>
    <w:tmpl w:val="2CC77E94"/>
    <w:lvl w:ilvl="0" w:tentative="0">
      <w:start w:val="1"/>
      <w:numFmt w:val="decimal"/>
      <w:lvlText w:val="%1"/>
      <w:lvlJc w:val="left"/>
      <w:pPr>
        <w:tabs>
          <w:tab w:val="left" w:pos="432"/>
        </w:tabs>
        <w:ind w:left="432" w:hanging="432"/>
      </w:pPr>
      <w:rPr>
        <w:rFonts w:hint="default" w:ascii="Arial" w:hAnsi="Arial"/>
        <w:b/>
        <w:i w:val="0"/>
        <w:caps w:val="0"/>
        <w:strike w:val="0"/>
        <w:dstrike w:val="0"/>
        <w:vanish w:val="0"/>
        <w:color w:val="000000"/>
        <w:sz w:val="30"/>
        <w:vertAlign w:val="baseline"/>
      </w:rPr>
    </w:lvl>
    <w:lvl w:ilvl="1" w:tentative="0">
      <w:start w:val="1"/>
      <w:numFmt w:val="decimal"/>
      <w:pStyle w:val="3"/>
      <w:lvlText w:val="%1.%2"/>
      <w:lvlJc w:val="left"/>
      <w:pPr>
        <w:tabs>
          <w:tab w:val="left" w:pos="576"/>
        </w:tabs>
        <w:ind w:left="576" w:hanging="576"/>
      </w:pPr>
      <w:rPr>
        <w:rFonts w:hint="default" w:ascii="Arial" w:hAnsi="Arial"/>
        <w:b/>
        <w:i w:val="0"/>
        <w:caps w:val="0"/>
        <w:strike w:val="0"/>
        <w:dstrike w:val="0"/>
        <w:vanish w:val="0"/>
        <w:color w:val="000000"/>
        <w:sz w:val="28"/>
        <w:vertAlign w:val="baseline"/>
        <w:lang w:val="en-GB"/>
      </w:rPr>
    </w:lvl>
    <w:lvl w:ilvl="2" w:tentative="0">
      <w:start w:val="1"/>
      <w:numFmt w:val="decimal"/>
      <w:pStyle w:val="4"/>
      <w:lvlText w:val="%1.%2.%3"/>
      <w:lvlJc w:val="left"/>
      <w:pPr>
        <w:tabs>
          <w:tab w:val="left" w:pos="720"/>
        </w:tabs>
        <w:ind w:left="720" w:hanging="720"/>
      </w:pPr>
      <w:rPr>
        <w:rFonts w:hint="default" w:ascii="Arial" w:hAnsi="Arial"/>
        <w:b/>
        <w:i w:val="0"/>
        <w:sz w:val="24"/>
      </w:rPr>
    </w:lvl>
    <w:lvl w:ilvl="3" w:tentative="0">
      <w:start w:val="1"/>
      <w:numFmt w:val="decimal"/>
      <w:pStyle w:val="5"/>
      <w:lvlText w:val="%1.%2.%3.%4"/>
      <w:lvlJc w:val="left"/>
      <w:pPr>
        <w:tabs>
          <w:tab w:val="left" w:pos="864"/>
        </w:tabs>
        <w:ind w:left="2124" w:hanging="864"/>
      </w:pPr>
      <w:rPr>
        <w:rFonts w:hint="default" w:ascii="Arial" w:hAnsi="Arial"/>
        <w:b/>
        <w:i w:val="0"/>
        <w:sz w:val="21"/>
      </w:rPr>
    </w:lvl>
    <w:lvl w:ilvl="4" w:tentative="0">
      <w:start w:val="1"/>
      <w:numFmt w:val="decimal"/>
      <w:lvlText w:val="%1.%2.%3.%4.%5"/>
      <w:lvlJc w:val="left"/>
      <w:pPr>
        <w:tabs>
          <w:tab w:val="left" w:pos="1008"/>
        </w:tabs>
        <w:ind w:left="1008" w:hanging="1008"/>
      </w:pPr>
      <w:rPr>
        <w:rFonts w:hint="default" w:ascii="Arial" w:hAnsi="Arial"/>
        <w:sz w:val="21"/>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9">
    <w:nsid w:val="2F7D86F8"/>
    <w:multiLevelType w:val="singleLevel"/>
    <w:tmpl w:val="2F7D86F8"/>
    <w:lvl w:ilvl="0" w:tentative="0">
      <w:start w:val="3"/>
      <w:numFmt w:val="chineseCounting"/>
      <w:suff w:val="space"/>
      <w:lvlText w:val="第%1章"/>
      <w:lvlJc w:val="left"/>
      <w:rPr>
        <w:rFonts w:hint="eastAsia"/>
      </w:rPr>
    </w:lvl>
  </w:abstractNum>
  <w:abstractNum w:abstractNumId="10">
    <w:nsid w:val="7B15EAE7"/>
    <w:multiLevelType w:val="multilevel"/>
    <w:tmpl w:val="7B15EAE7"/>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7B9DD40D"/>
    <w:multiLevelType w:val="multilevel"/>
    <w:tmpl w:val="7B9DD40D"/>
    <w:lvl w:ilvl="0" w:tentative="0">
      <w:start w:val="1"/>
      <w:numFmt w:val="decimal"/>
      <w:suff w:val="space"/>
      <w:lvlText w:val="%1."/>
      <w:lvlJc w:val="left"/>
      <w:pPr>
        <w:ind w:left="425" w:hanging="425"/>
      </w:pPr>
      <w:rPr>
        <w:rFonts w:hint="default"/>
      </w:rPr>
    </w:lvl>
    <w:lvl w:ilvl="1" w:tentative="0">
      <w:start w:val="1"/>
      <w:numFmt w:val="decimal"/>
      <w:suff w:val="nothing"/>
      <w:lvlText w:val="%1.%2."/>
      <w:lvlJc w:val="left"/>
      <w:pPr>
        <w:ind w:left="567" w:hanging="567"/>
      </w:pPr>
      <w:rPr>
        <w:rFonts w:hint="default"/>
        <w:b w:val="0"/>
        <w:bCs w:val="0"/>
      </w:rPr>
    </w:lvl>
    <w:lvl w:ilvl="2" w:tentative="0">
      <w:start w:val="1"/>
      <w:numFmt w:val="decimal"/>
      <w:lvlText w:val="%1.%2.%3."/>
      <w:lvlJc w:val="left"/>
      <w:pPr>
        <w:ind w:left="709" w:hanging="709"/>
      </w:pPr>
      <w:rPr>
        <w:rFonts w:hint="default"/>
        <w:b w:val="0"/>
        <w:bCs w:val="0"/>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7CF7C659"/>
    <w:multiLevelType w:val="singleLevel"/>
    <w:tmpl w:val="7CF7C659"/>
    <w:lvl w:ilvl="0" w:tentative="0">
      <w:start w:val="1"/>
      <w:numFmt w:val="decimal"/>
      <w:suff w:val="space"/>
      <w:lvlText w:val="%1."/>
      <w:lvlJc w:val="left"/>
      <w:pPr>
        <w:ind w:left="425" w:hanging="425"/>
      </w:pPr>
      <w:rPr>
        <w:rFonts w:hint="default"/>
      </w:rPr>
    </w:lvl>
  </w:abstractNum>
  <w:num w:numId="1">
    <w:abstractNumId w:val="8"/>
  </w:num>
  <w:num w:numId="2">
    <w:abstractNumId w:val="5"/>
  </w:num>
  <w:num w:numId="3">
    <w:abstractNumId w:val="2"/>
  </w:num>
  <w:num w:numId="4">
    <w:abstractNumId w:val="11"/>
  </w:num>
  <w:num w:numId="5">
    <w:abstractNumId w:val="0"/>
  </w:num>
  <w:num w:numId="6">
    <w:abstractNumId w:val="6"/>
  </w:num>
  <w:num w:numId="7">
    <w:abstractNumId w:val="9"/>
  </w:num>
  <w:num w:numId="8">
    <w:abstractNumId w:val="10"/>
  </w:num>
  <w:num w:numId="9">
    <w:abstractNumId w:val="4"/>
  </w:num>
  <w:num w:numId="10">
    <w:abstractNumId w:val="3"/>
  </w:num>
  <w:num w:numId="11">
    <w:abstractNumId w:val="12"/>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40"/>
  <w:drawingGridVerticalSpacing w:val="218"/>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NmJlMjIyMjI5MWZmNTg5M2M1M2M2MzQwODY1OWUifQ=="/>
  </w:docVars>
  <w:rsids>
    <w:rsidRoot w:val="00EE6BBB"/>
    <w:rsid w:val="000A0F28"/>
    <w:rsid w:val="000A1ABA"/>
    <w:rsid w:val="000A3086"/>
    <w:rsid w:val="0035136C"/>
    <w:rsid w:val="0036661B"/>
    <w:rsid w:val="003F6CE0"/>
    <w:rsid w:val="004136E7"/>
    <w:rsid w:val="00441793"/>
    <w:rsid w:val="004843FB"/>
    <w:rsid w:val="004E2611"/>
    <w:rsid w:val="004E58BF"/>
    <w:rsid w:val="006C0A58"/>
    <w:rsid w:val="007F53D9"/>
    <w:rsid w:val="008D138C"/>
    <w:rsid w:val="009748CA"/>
    <w:rsid w:val="00AA4DEE"/>
    <w:rsid w:val="00AD558A"/>
    <w:rsid w:val="00C840B5"/>
    <w:rsid w:val="00E13486"/>
    <w:rsid w:val="00EE6BBB"/>
    <w:rsid w:val="010C0502"/>
    <w:rsid w:val="014252E5"/>
    <w:rsid w:val="014A102B"/>
    <w:rsid w:val="015B4FE6"/>
    <w:rsid w:val="017476EE"/>
    <w:rsid w:val="019D115B"/>
    <w:rsid w:val="01D54D98"/>
    <w:rsid w:val="01EE19B6"/>
    <w:rsid w:val="01FA019E"/>
    <w:rsid w:val="020C1BD2"/>
    <w:rsid w:val="022C0730"/>
    <w:rsid w:val="02306473"/>
    <w:rsid w:val="02477318"/>
    <w:rsid w:val="0263070D"/>
    <w:rsid w:val="02865925"/>
    <w:rsid w:val="02AB3D4B"/>
    <w:rsid w:val="02E01C88"/>
    <w:rsid w:val="02E17CA5"/>
    <w:rsid w:val="02F37094"/>
    <w:rsid w:val="03120E97"/>
    <w:rsid w:val="031418F0"/>
    <w:rsid w:val="031B7A2D"/>
    <w:rsid w:val="03227EF2"/>
    <w:rsid w:val="0332621A"/>
    <w:rsid w:val="03407E6D"/>
    <w:rsid w:val="03463A74"/>
    <w:rsid w:val="034E795A"/>
    <w:rsid w:val="03726617"/>
    <w:rsid w:val="03D66BA6"/>
    <w:rsid w:val="040A53CF"/>
    <w:rsid w:val="04294F27"/>
    <w:rsid w:val="042E590B"/>
    <w:rsid w:val="04362079"/>
    <w:rsid w:val="04966335"/>
    <w:rsid w:val="04A22F2C"/>
    <w:rsid w:val="04A40A52"/>
    <w:rsid w:val="05466BFB"/>
    <w:rsid w:val="05A625A8"/>
    <w:rsid w:val="05C649F8"/>
    <w:rsid w:val="05CC37BA"/>
    <w:rsid w:val="0606092B"/>
    <w:rsid w:val="061A5470"/>
    <w:rsid w:val="063850BF"/>
    <w:rsid w:val="06936FD0"/>
    <w:rsid w:val="06B37672"/>
    <w:rsid w:val="06C4362D"/>
    <w:rsid w:val="06C54CB0"/>
    <w:rsid w:val="06D03D80"/>
    <w:rsid w:val="06ED43D6"/>
    <w:rsid w:val="06FA2BAB"/>
    <w:rsid w:val="074327A4"/>
    <w:rsid w:val="074B78AB"/>
    <w:rsid w:val="075F679C"/>
    <w:rsid w:val="07B31A90"/>
    <w:rsid w:val="07BF1389"/>
    <w:rsid w:val="07F41CF0"/>
    <w:rsid w:val="081D1247"/>
    <w:rsid w:val="085B5A71"/>
    <w:rsid w:val="08923091"/>
    <w:rsid w:val="089A2898"/>
    <w:rsid w:val="08C94F2B"/>
    <w:rsid w:val="08E92ED7"/>
    <w:rsid w:val="08EB4EA1"/>
    <w:rsid w:val="08EE09AE"/>
    <w:rsid w:val="09502F56"/>
    <w:rsid w:val="095F50ED"/>
    <w:rsid w:val="096A04BC"/>
    <w:rsid w:val="09AC5758"/>
    <w:rsid w:val="09CF47C3"/>
    <w:rsid w:val="09D874AE"/>
    <w:rsid w:val="09DA207A"/>
    <w:rsid w:val="09ED4C49"/>
    <w:rsid w:val="0A195A3E"/>
    <w:rsid w:val="0A8A0973"/>
    <w:rsid w:val="0ACC2AB1"/>
    <w:rsid w:val="0B157DCE"/>
    <w:rsid w:val="0B5063B1"/>
    <w:rsid w:val="0B582596"/>
    <w:rsid w:val="0B7F3FC7"/>
    <w:rsid w:val="0B845139"/>
    <w:rsid w:val="0B8603E2"/>
    <w:rsid w:val="0B9538A8"/>
    <w:rsid w:val="0BB426AB"/>
    <w:rsid w:val="0BB93035"/>
    <w:rsid w:val="0C030754"/>
    <w:rsid w:val="0C0544CC"/>
    <w:rsid w:val="0C386378"/>
    <w:rsid w:val="0C743400"/>
    <w:rsid w:val="0CA84E57"/>
    <w:rsid w:val="0CD12600"/>
    <w:rsid w:val="0CD36378"/>
    <w:rsid w:val="0CEC11E8"/>
    <w:rsid w:val="0D074FED"/>
    <w:rsid w:val="0D1644B7"/>
    <w:rsid w:val="0D3606B5"/>
    <w:rsid w:val="0D556D8D"/>
    <w:rsid w:val="0D7C07BE"/>
    <w:rsid w:val="0DDC125D"/>
    <w:rsid w:val="0DEB76F2"/>
    <w:rsid w:val="0DEE3ED5"/>
    <w:rsid w:val="0DF540CC"/>
    <w:rsid w:val="0DFA16E3"/>
    <w:rsid w:val="0E253B17"/>
    <w:rsid w:val="0E686F94"/>
    <w:rsid w:val="0E796AAB"/>
    <w:rsid w:val="0E7A7053"/>
    <w:rsid w:val="0E7D3B9C"/>
    <w:rsid w:val="0ED229F3"/>
    <w:rsid w:val="0EF97BEC"/>
    <w:rsid w:val="0EFF583F"/>
    <w:rsid w:val="0F052A35"/>
    <w:rsid w:val="0F44355D"/>
    <w:rsid w:val="0F862F19"/>
    <w:rsid w:val="0F9067A2"/>
    <w:rsid w:val="10086339"/>
    <w:rsid w:val="100E76C7"/>
    <w:rsid w:val="10624E9A"/>
    <w:rsid w:val="107101FB"/>
    <w:rsid w:val="108B0D18"/>
    <w:rsid w:val="10991687"/>
    <w:rsid w:val="10C304B2"/>
    <w:rsid w:val="10F1501F"/>
    <w:rsid w:val="11233264"/>
    <w:rsid w:val="112A0531"/>
    <w:rsid w:val="11407D54"/>
    <w:rsid w:val="11504BDF"/>
    <w:rsid w:val="11515ABE"/>
    <w:rsid w:val="11566AC8"/>
    <w:rsid w:val="11744994"/>
    <w:rsid w:val="119D0D03"/>
    <w:rsid w:val="11DD55A3"/>
    <w:rsid w:val="12152F8F"/>
    <w:rsid w:val="12485112"/>
    <w:rsid w:val="12541464"/>
    <w:rsid w:val="1255782F"/>
    <w:rsid w:val="1279351E"/>
    <w:rsid w:val="12A3059B"/>
    <w:rsid w:val="12AF0CEE"/>
    <w:rsid w:val="12C07290"/>
    <w:rsid w:val="12C66037"/>
    <w:rsid w:val="12CD5618"/>
    <w:rsid w:val="12D45078"/>
    <w:rsid w:val="12DE6467"/>
    <w:rsid w:val="12DF0E68"/>
    <w:rsid w:val="1303728B"/>
    <w:rsid w:val="13255454"/>
    <w:rsid w:val="133B3709"/>
    <w:rsid w:val="135B0E75"/>
    <w:rsid w:val="13601D73"/>
    <w:rsid w:val="13827862"/>
    <w:rsid w:val="13CA0FF8"/>
    <w:rsid w:val="13D73A0A"/>
    <w:rsid w:val="14123C2A"/>
    <w:rsid w:val="143376FC"/>
    <w:rsid w:val="14383A83"/>
    <w:rsid w:val="14627FE2"/>
    <w:rsid w:val="14832432"/>
    <w:rsid w:val="14863CD0"/>
    <w:rsid w:val="149219C3"/>
    <w:rsid w:val="149F2FE4"/>
    <w:rsid w:val="14E8663D"/>
    <w:rsid w:val="15001CD4"/>
    <w:rsid w:val="150D2643"/>
    <w:rsid w:val="15115C90"/>
    <w:rsid w:val="1517701E"/>
    <w:rsid w:val="153B79F0"/>
    <w:rsid w:val="15A05265"/>
    <w:rsid w:val="1608798D"/>
    <w:rsid w:val="16113A6D"/>
    <w:rsid w:val="161A5018"/>
    <w:rsid w:val="167C182F"/>
    <w:rsid w:val="16A62408"/>
    <w:rsid w:val="16E705ED"/>
    <w:rsid w:val="170E522D"/>
    <w:rsid w:val="17457E73"/>
    <w:rsid w:val="174C1201"/>
    <w:rsid w:val="17795D6E"/>
    <w:rsid w:val="17977775"/>
    <w:rsid w:val="17AB593A"/>
    <w:rsid w:val="17B2302E"/>
    <w:rsid w:val="17E70F2A"/>
    <w:rsid w:val="18141A96"/>
    <w:rsid w:val="184B14B9"/>
    <w:rsid w:val="185545FB"/>
    <w:rsid w:val="189C1D14"/>
    <w:rsid w:val="18A230A3"/>
    <w:rsid w:val="18B75FE1"/>
    <w:rsid w:val="18C272A1"/>
    <w:rsid w:val="18D07C10"/>
    <w:rsid w:val="18FE477D"/>
    <w:rsid w:val="19173A91"/>
    <w:rsid w:val="19597C05"/>
    <w:rsid w:val="199E1ABC"/>
    <w:rsid w:val="19C4447D"/>
    <w:rsid w:val="19DB7C38"/>
    <w:rsid w:val="19F4792E"/>
    <w:rsid w:val="1A382065"/>
    <w:rsid w:val="1A392129"/>
    <w:rsid w:val="1A89451A"/>
    <w:rsid w:val="1AE6371B"/>
    <w:rsid w:val="1AF04599"/>
    <w:rsid w:val="1AFC00D6"/>
    <w:rsid w:val="1B007798"/>
    <w:rsid w:val="1B0342CC"/>
    <w:rsid w:val="1B147EC2"/>
    <w:rsid w:val="1B147FA1"/>
    <w:rsid w:val="1B23671D"/>
    <w:rsid w:val="1B46065D"/>
    <w:rsid w:val="1C0E2F29"/>
    <w:rsid w:val="1C275D99"/>
    <w:rsid w:val="1C8C20A0"/>
    <w:rsid w:val="1D04257E"/>
    <w:rsid w:val="1D8B3DB0"/>
    <w:rsid w:val="1D8E3BF5"/>
    <w:rsid w:val="1D94745E"/>
    <w:rsid w:val="1DB25B36"/>
    <w:rsid w:val="1DCF493A"/>
    <w:rsid w:val="1DD5162B"/>
    <w:rsid w:val="1DF47EFC"/>
    <w:rsid w:val="1E18008F"/>
    <w:rsid w:val="1E3E386E"/>
    <w:rsid w:val="1E71396D"/>
    <w:rsid w:val="1E9A4F48"/>
    <w:rsid w:val="1F066139"/>
    <w:rsid w:val="1F1F673C"/>
    <w:rsid w:val="1F2B3DF2"/>
    <w:rsid w:val="1F334A54"/>
    <w:rsid w:val="1FE025A0"/>
    <w:rsid w:val="1FE02E2E"/>
    <w:rsid w:val="1FE815C1"/>
    <w:rsid w:val="200603BB"/>
    <w:rsid w:val="204C04C4"/>
    <w:rsid w:val="20575593"/>
    <w:rsid w:val="20E701EC"/>
    <w:rsid w:val="20F070A1"/>
    <w:rsid w:val="211C60E8"/>
    <w:rsid w:val="21350F58"/>
    <w:rsid w:val="213C005F"/>
    <w:rsid w:val="214178FD"/>
    <w:rsid w:val="2149055F"/>
    <w:rsid w:val="21BE2E1C"/>
    <w:rsid w:val="21E14C3C"/>
    <w:rsid w:val="21E6673E"/>
    <w:rsid w:val="2210107D"/>
    <w:rsid w:val="224156DA"/>
    <w:rsid w:val="22567736"/>
    <w:rsid w:val="22704963"/>
    <w:rsid w:val="22791318"/>
    <w:rsid w:val="22A55C69"/>
    <w:rsid w:val="22AC6FF8"/>
    <w:rsid w:val="22BD2FB3"/>
    <w:rsid w:val="22D327D6"/>
    <w:rsid w:val="22E70030"/>
    <w:rsid w:val="231A0405"/>
    <w:rsid w:val="23241284"/>
    <w:rsid w:val="23435EA3"/>
    <w:rsid w:val="235A0F81"/>
    <w:rsid w:val="2375388E"/>
    <w:rsid w:val="238A226D"/>
    <w:rsid w:val="23922691"/>
    <w:rsid w:val="23953E58"/>
    <w:rsid w:val="23A82649"/>
    <w:rsid w:val="23B63D33"/>
    <w:rsid w:val="23EB3B50"/>
    <w:rsid w:val="24172B97"/>
    <w:rsid w:val="24197E5E"/>
    <w:rsid w:val="24366AB9"/>
    <w:rsid w:val="24392B0D"/>
    <w:rsid w:val="243F3E9B"/>
    <w:rsid w:val="24754DB7"/>
    <w:rsid w:val="247A570E"/>
    <w:rsid w:val="24800E1A"/>
    <w:rsid w:val="249064A5"/>
    <w:rsid w:val="249A1A6B"/>
    <w:rsid w:val="24F9229C"/>
    <w:rsid w:val="24FB4266"/>
    <w:rsid w:val="250B5853"/>
    <w:rsid w:val="2528052F"/>
    <w:rsid w:val="25317C88"/>
    <w:rsid w:val="25421E95"/>
    <w:rsid w:val="255F2A47"/>
    <w:rsid w:val="25937093"/>
    <w:rsid w:val="25E62821"/>
    <w:rsid w:val="25EF34DF"/>
    <w:rsid w:val="26A57B72"/>
    <w:rsid w:val="27421CA5"/>
    <w:rsid w:val="27602AA7"/>
    <w:rsid w:val="279F35CF"/>
    <w:rsid w:val="27DC037F"/>
    <w:rsid w:val="2818512F"/>
    <w:rsid w:val="28485A15"/>
    <w:rsid w:val="285D2B42"/>
    <w:rsid w:val="289F315B"/>
    <w:rsid w:val="28D948BF"/>
    <w:rsid w:val="28E22D21"/>
    <w:rsid w:val="28EF40E2"/>
    <w:rsid w:val="28F75338"/>
    <w:rsid w:val="29017971"/>
    <w:rsid w:val="29235B3A"/>
    <w:rsid w:val="29321AAD"/>
    <w:rsid w:val="295403E9"/>
    <w:rsid w:val="29693E94"/>
    <w:rsid w:val="297B5976"/>
    <w:rsid w:val="29850CF1"/>
    <w:rsid w:val="29B42C36"/>
    <w:rsid w:val="29C72969"/>
    <w:rsid w:val="2A1F09F7"/>
    <w:rsid w:val="2A461AE0"/>
    <w:rsid w:val="2A9E7B6E"/>
    <w:rsid w:val="2AB50C9E"/>
    <w:rsid w:val="2AC1560A"/>
    <w:rsid w:val="2AD01CF1"/>
    <w:rsid w:val="2AD737D2"/>
    <w:rsid w:val="2AE80DE9"/>
    <w:rsid w:val="2B08148B"/>
    <w:rsid w:val="2B8A0186"/>
    <w:rsid w:val="2B8B0B58"/>
    <w:rsid w:val="2BAC0068"/>
    <w:rsid w:val="2BD15D21"/>
    <w:rsid w:val="2BF75779"/>
    <w:rsid w:val="2C082F88"/>
    <w:rsid w:val="2C234FA3"/>
    <w:rsid w:val="2C3A4E14"/>
    <w:rsid w:val="2C673F8F"/>
    <w:rsid w:val="2C675552"/>
    <w:rsid w:val="2C7566AC"/>
    <w:rsid w:val="2C8D7E9A"/>
    <w:rsid w:val="2CB144CF"/>
    <w:rsid w:val="2CCB6C14"/>
    <w:rsid w:val="2D0143E4"/>
    <w:rsid w:val="2D99286E"/>
    <w:rsid w:val="2DCA7133"/>
    <w:rsid w:val="2DCF003E"/>
    <w:rsid w:val="2DE97352"/>
    <w:rsid w:val="2E0028ED"/>
    <w:rsid w:val="2E301E7F"/>
    <w:rsid w:val="2EA80FBB"/>
    <w:rsid w:val="2ECD0A22"/>
    <w:rsid w:val="2ED55B28"/>
    <w:rsid w:val="2F083808"/>
    <w:rsid w:val="2F1856C3"/>
    <w:rsid w:val="2F30614E"/>
    <w:rsid w:val="2F3F6382"/>
    <w:rsid w:val="2FCF1B93"/>
    <w:rsid w:val="2FD1009E"/>
    <w:rsid w:val="301E705B"/>
    <w:rsid w:val="302428C3"/>
    <w:rsid w:val="304765B2"/>
    <w:rsid w:val="3078676B"/>
    <w:rsid w:val="309335A5"/>
    <w:rsid w:val="309418B1"/>
    <w:rsid w:val="30A6604D"/>
    <w:rsid w:val="30F5600E"/>
    <w:rsid w:val="31077CBB"/>
    <w:rsid w:val="31170FB7"/>
    <w:rsid w:val="312F7772"/>
    <w:rsid w:val="31A136ED"/>
    <w:rsid w:val="31FD161E"/>
    <w:rsid w:val="320209E2"/>
    <w:rsid w:val="32152813"/>
    <w:rsid w:val="324234D5"/>
    <w:rsid w:val="326C2300"/>
    <w:rsid w:val="32DB7823"/>
    <w:rsid w:val="32E90CCA"/>
    <w:rsid w:val="32EF1AD0"/>
    <w:rsid w:val="33134E71"/>
    <w:rsid w:val="33196A5F"/>
    <w:rsid w:val="3328091C"/>
    <w:rsid w:val="337F20DC"/>
    <w:rsid w:val="33C83BA8"/>
    <w:rsid w:val="33D73408"/>
    <w:rsid w:val="3411315F"/>
    <w:rsid w:val="34777FDD"/>
    <w:rsid w:val="349E3488"/>
    <w:rsid w:val="34A55F9D"/>
    <w:rsid w:val="34A915E9"/>
    <w:rsid w:val="34B306BA"/>
    <w:rsid w:val="34B34216"/>
    <w:rsid w:val="34E70363"/>
    <w:rsid w:val="34EC778B"/>
    <w:rsid w:val="34F4375F"/>
    <w:rsid w:val="35260FC4"/>
    <w:rsid w:val="35272EC1"/>
    <w:rsid w:val="352944D8"/>
    <w:rsid w:val="3538296D"/>
    <w:rsid w:val="3551156D"/>
    <w:rsid w:val="356E2833"/>
    <w:rsid w:val="35E46651"/>
    <w:rsid w:val="35E50369"/>
    <w:rsid w:val="36133143"/>
    <w:rsid w:val="3619279E"/>
    <w:rsid w:val="36251143"/>
    <w:rsid w:val="36383AB1"/>
    <w:rsid w:val="367B5D4F"/>
    <w:rsid w:val="36837F63"/>
    <w:rsid w:val="369B31B3"/>
    <w:rsid w:val="36BE1B1A"/>
    <w:rsid w:val="36D93CDC"/>
    <w:rsid w:val="36F31F4B"/>
    <w:rsid w:val="371F2036"/>
    <w:rsid w:val="37294C63"/>
    <w:rsid w:val="37557806"/>
    <w:rsid w:val="375717D0"/>
    <w:rsid w:val="376143FD"/>
    <w:rsid w:val="377D6D5D"/>
    <w:rsid w:val="378D6FA0"/>
    <w:rsid w:val="37B84CB8"/>
    <w:rsid w:val="37C93D50"/>
    <w:rsid w:val="37E82126"/>
    <w:rsid w:val="380316B5"/>
    <w:rsid w:val="38602906"/>
    <w:rsid w:val="389205E6"/>
    <w:rsid w:val="38B355BD"/>
    <w:rsid w:val="38D429AD"/>
    <w:rsid w:val="392A6A70"/>
    <w:rsid w:val="39301F40"/>
    <w:rsid w:val="395064D7"/>
    <w:rsid w:val="39565AB7"/>
    <w:rsid w:val="39E66E3B"/>
    <w:rsid w:val="3A547774"/>
    <w:rsid w:val="3A596B2B"/>
    <w:rsid w:val="3A695377"/>
    <w:rsid w:val="3A6D4E67"/>
    <w:rsid w:val="3A726921"/>
    <w:rsid w:val="3A914FF9"/>
    <w:rsid w:val="3AAF36D1"/>
    <w:rsid w:val="3AD849D6"/>
    <w:rsid w:val="3AE72E6B"/>
    <w:rsid w:val="3B292648"/>
    <w:rsid w:val="3B82788F"/>
    <w:rsid w:val="3B854432"/>
    <w:rsid w:val="3BB014AF"/>
    <w:rsid w:val="3BB34691"/>
    <w:rsid w:val="3C211F85"/>
    <w:rsid w:val="3C21415B"/>
    <w:rsid w:val="3C232FB8"/>
    <w:rsid w:val="3C487939"/>
    <w:rsid w:val="3C494BD1"/>
    <w:rsid w:val="3C4B742A"/>
    <w:rsid w:val="3CA56B3A"/>
    <w:rsid w:val="3CBE7BFC"/>
    <w:rsid w:val="3CDE07CC"/>
    <w:rsid w:val="3CE21B3C"/>
    <w:rsid w:val="3D3B2FFA"/>
    <w:rsid w:val="3D78424E"/>
    <w:rsid w:val="3D793B23"/>
    <w:rsid w:val="3D9D1F07"/>
    <w:rsid w:val="3DCE20C0"/>
    <w:rsid w:val="3DDA0A65"/>
    <w:rsid w:val="3DEA67CE"/>
    <w:rsid w:val="3E077392"/>
    <w:rsid w:val="3E5B7DD4"/>
    <w:rsid w:val="3E75078E"/>
    <w:rsid w:val="3E9230EE"/>
    <w:rsid w:val="3EB367E3"/>
    <w:rsid w:val="3EB56DDC"/>
    <w:rsid w:val="3EC84D62"/>
    <w:rsid w:val="3EED4A06"/>
    <w:rsid w:val="3F0538C0"/>
    <w:rsid w:val="3F536D21"/>
    <w:rsid w:val="400022D9"/>
    <w:rsid w:val="40185875"/>
    <w:rsid w:val="40384169"/>
    <w:rsid w:val="407F76A2"/>
    <w:rsid w:val="408351F7"/>
    <w:rsid w:val="40A86BF9"/>
    <w:rsid w:val="40B05AAD"/>
    <w:rsid w:val="40DC540D"/>
    <w:rsid w:val="41032081"/>
    <w:rsid w:val="412063FD"/>
    <w:rsid w:val="41401527"/>
    <w:rsid w:val="417D3AFD"/>
    <w:rsid w:val="419E7FFC"/>
    <w:rsid w:val="41A0302F"/>
    <w:rsid w:val="41A27AEC"/>
    <w:rsid w:val="41C42BF4"/>
    <w:rsid w:val="41DA7286"/>
    <w:rsid w:val="41E9396D"/>
    <w:rsid w:val="41ED41A8"/>
    <w:rsid w:val="41F67E38"/>
    <w:rsid w:val="41FD11C6"/>
    <w:rsid w:val="42246753"/>
    <w:rsid w:val="42335385"/>
    <w:rsid w:val="42351E4A"/>
    <w:rsid w:val="42526D83"/>
    <w:rsid w:val="425D105D"/>
    <w:rsid w:val="427174BE"/>
    <w:rsid w:val="42784CF1"/>
    <w:rsid w:val="42817701"/>
    <w:rsid w:val="428E3AD4"/>
    <w:rsid w:val="429A39F6"/>
    <w:rsid w:val="42B0448A"/>
    <w:rsid w:val="42CF2B62"/>
    <w:rsid w:val="42D40179"/>
    <w:rsid w:val="42DE2DA6"/>
    <w:rsid w:val="430F11B1"/>
    <w:rsid w:val="437D1155"/>
    <w:rsid w:val="43987B86"/>
    <w:rsid w:val="43B53A97"/>
    <w:rsid w:val="43E57529"/>
    <w:rsid w:val="43F108B7"/>
    <w:rsid w:val="44347309"/>
    <w:rsid w:val="444B446B"/>
    <w:rsid w:val="444B5B90"/>
    <w:rsid w:val="448B0D0B"/>
    <w:rsid w:val="44A91191"/>
    <w:rsid w:val="44AA3991"/>
    <w:rsid w:val="44BC0EC5"/>
    <w:rsid w:val="44CF71AB"/>
    <w:rsid w:val="44DF1F57"/>
    <w:rsid w:val="44F3065E"/>
    <w:rsid w:val="450B1E4C"/>
    <w:rsid w:val="45340266"/>
    <w:rsid w:val="459D16F1"/>
    <w:rsid w:val="45B002FD"/>
    <w:rsid w:val="45BB73CE"/>
    <w:rsid w:val="45CF4C28"/>
    <w:rsid w:val="45E32481"/>
    <w:rsid w:val="460C19D8"/>
    <w:rsid w:val="4613720A"/>
    <w:rsid w:val="46277F1D"/>
    <w:rsid w:val="463304DB"/>
    <w:rsid w:val="46342CDD"/>
    <w:rsid w:val="46357180"/>
    <w:rsid w:val="463A4797"/>
    <w:rsid w:val="4645313C"/>
    <w:rsid w:val="46456C98"/>
    <w:rsid w:val="4655743B"/>
    <w:rsid w:val="46592743"/>
    <w:rsid w:val="46655297"/>
    <w:rsid w:val="469D6AD4"/>
    <w:rsid w:val="46C95B1B"/>
    <w:rsid w:val="46FA2C0B"/>
    <w:rsid w:val="47215957"/>
    <w:rsid w:val="47561677"/>
    <w:rsid w:val="476D64A6"/>
    <w:rsid w:val="47D66741"/>
    <w:rsid w:val="48031307"/>
    <w:rsid w:val="482079BC"/>
    <w:rsid w:val="483F42E6"/>
    <w:rsid w:val="48455675"/>
    <w:rsid w:val="486A6E89"/>
    <w:rsid w:val="48825F81"/>
    <w:rsid w:val="48943F06"/>
    <w:rsid w:val="48A4239B"/>
    <w:rsid w:val="48A56114"/>
    <w:rsid w:val="48B819A3"/>
    <w:rsid w:val="48E704DA"/>
    <w:rsid w:val="49172B6D"/>
    <w:rsid w:val="49351245"/>
    <w:rsid w:val="49474D19"/>
    <w:rsid w:val="4A1470AD"/>
    <w:rsid w:val="4A17094B"/>
    <w:rsid w:val="4A4A2ACF"/>
    <w:rsid w:val="4A534079"/>
    <w:rsid w:val="4A745D9D"/>
    <w:rsid w:val="4A7B339C"/>
    <w:rsid w:val="4A7F7B35"/>
    <w:rsid w:val="4AAD7F4E"/>
    <w:rsid w:val="4AB062A7"/>
    <w:rsid w:val="4ADA311C"/>
    <w:rsid w:val="4AFF1B0B"/>
    <w:rsid w:val="4B1A6945"/>
    <w:rsid w:val="4B5E5924"/>
    <w:rsid w:val="4B6940A7"/>
    <w:rsid w:val="4B9D30D2"/>
    <w:rsid w:val="4BDA60D4"/>
    <w:rsid w:val="4C171548"/>
    <w:rsid w:val="4C2555A1"/>
    <w:rsid w:val="4C3320CA"/>
    <w:rsid w:val="4C3E6663"/>
    <w:rsid w:val="4C4719BC"/>
    <w:rsid w:val="4C612351"/>
    <w:rsid w:val="4C742A60"/>
    <w:rsid w:val="4C9170DB"/>
    <w:rsid w:val="4CAA3CF8"/>
    <w:rsid w:val="4CBB7CB4"/>
    <w:rsid w:val="4CDB0B47"/>
    <w:rsid w:val="4D3B2BA3"/>
    <w:rsid w:val="4D405C0A"/>
    <w:rsid w:val="4D422183"/>
    <w:rsid w:val="4D447CA9"/>
    <w:rsid w:val="4D49590E"/>
    <w:rsid w:val="4D7D140D"/>
    <w:rsid w:val="4D834C75"/>
    <w:rsid w:val="4D8B3B2A"/>
    <w:rsid w:val="4D9B3EA0"/>
    <w:rsid w:val="4DC25072"/>
    <w:rsid w:val="4DCB03CA"/>
    <w:rsid w:val="4E0631B0"/>
    <w:rsid w:val="4E141D71"/>
    <w:rsid w:val="4E566281"/>
    <w:rsid w:val="4E606D65"/>
    <w:rsid w:val="4E6B77B5"/>
    <w:rsid w:val="4E74636C"/>
    <w:rsid w:val="4EA07161"/>
    <w:rsid w:val="4EC918C0"/>
    <w:rsid w:val="4ECD1F20"/>
    <w:rsid w:val="4ED02686"/>
    <w:rsid w:val="4F082F58"/>
    <w:rsid w:val="4F196F13"/>
    <w:rsid w:val="4F2935FA"/>
    <w:rsid w:val="4F3124AF"/>
    <w:rsid w:val="4F391364"/>
    <w:rsid w:val="4F3C7C46"/>
    <w:rsid w:val="4F561421"/>
    <w:rsid w:val="4F93316A"/>
    <w:rsid w:val="4FA62E9D"/>
    <w:rsid w:val="4FEB7FA3"/>
    <w:rsid w:val="4FF736F9"/>
    <w:rsid w:val="4FF9121F"/>
    <w:rsid w:val="50153B7F"/>
    <w:rsid w:val="501F49FD"/>
    <w:rsid w:val="50630F85"/>
    <w:rsid w:val="508E4100"/>
    <w:rsid w:val="50D6330E"/>
    <w:rsid w:val="50DE6667"/>
    <w:rsid w:val="50E83EC0"/>
    <w:rsid w:val="50FE2865"/>
    <w:rsid w:val="5124051D"/>
    <w:rsid w:val="51392B87"/>
    <w:rsid w:val="51581F75"/>
    <w:rsid w:val="51600E2A"/>
    <w:rsid w:val="51622DF4"/>
    <w:rsid w:val="516E209F"/>
    <w:rsid w:val="518B01FB"/>
    <w:rsid w:val="51C55131"/>
    <w:rsid w:val="51CC4711"/>
    <w:rsid w:val="51F37AD4"/>
    <w:rsid w:val="52155883"/>
    <w:rsid w:val="522B1438"/>
    <w:rsid w:val="5239284C"/>
    <w:rsid w:val="52602A36"/>
    <w:rsid w:val="526606C2"/>
    <w:rsid w:val="52701540"/>
    <w:rsid w:val="52C8312A"/>
    <w:rsid w:val="52C8478A"/>
    <w:rsid w:val="52E37F64"/>
    <w:rsid w:val="52E86AAC"/>
    <w:rsid w:val="53373E0C"/>
    <w:rsid w:val="53915C12"/>
    <w:rsid w:val="5394300C"/>
    <w:rsid w:val="53982AFD"/>
    <w:rsid w:val="53EB5322"/>
    <w:rsid w:val="54063F0A"/>
    <w:rsid w:val="541008E5"/>
    <w:rsid w:val="541B35D1"/>
    <w:rsid w:val="54443914"/>
    <w:rsid w:val="5449029B"/>
    <w:rsid w:val="54624EB9"/>
    <w:rsid w:val="546D21DB"/>
    <w:rsid w:val="549D2068"/>
    <w:rsid w:val="54A656ED"/>
    <w:rsid w:val="54A83213"/>
    <w:rsid w:val="54CC5154"/>
    <w:rsid w:val="552C0CBB"/>
    <w:rsid w:val="553403B2"/>
    <w:rsid w:val="55572544"/>
    <w:rsid w:val="55690BF5"/>
    <w:rsid w:val="557828CE"/>
    <w:rsid w:val="55AA2FBB"/>
    <w:rsid w:val="55DB1076"/>
    <w:rsid w:val="55F45FE4"/>
    <w:rsid w:val="560E70A6"/>
    <w:rsid w:val="561B7A15"/>
    <w:rsid w:val="563665FD"/>
    <w:rsid w:val="56982E14"/>
    <w:rsid w:val="56AA0CBE"/>
    <w:rsid w:val="56AB3974"/>
    <w:rsid w:val="56CE4A87"/>
    <w:rsid w:val="570010E5"/>
    <w:rsid w:val="57005DB8"/>
    <w:rsid w:val="570D735E"/>
    <w:rsid w:val="572D7A00"/>
    <w:rsid w:val="573C7C43"/>
    <w:rsid w:val="577A7B23"/>
    <w:rsid w:val="578C0BCA"/>
    <w:rsid w:val="57CC546B"/>
    <w:rsid w:val="57D260F8"/>
    <w:rsid w:val="57F50A1F"/>
    <w:rsid w:val="58267EA3"/>
    <w:rsid w:val="58490869"/>
    <w:rsid w:val="58B959EF"/>
    <w:rsid w:val="58EB1921"/>
    <w:rsid w:val="593A76EC"/>
    <w:rsid w:val="594A040E"/>
    <w:rsid w:val="595B0854"/>
    <w:rsid w:val="59617E35"/>
    <w:rsid w:val="59684D1F"/>
    <w:rsid w:val="59747B68"/>
    <w:rsid w:val="597B0EF6"/>
    <w:rsid w:val="598B6C60"/>
    <w:rsid w:val="599E4BE5"/>
    <w:rsid w:val="59F40CA9"/>
    <w:rsid w:val="5A5534F6"/>
    <w:rsid w:val="5A582F34"/>
    <w:rsid w:val="5A5D684E"/>
    <w:rsid w:val="5A7871E4"/>
    <w:rsid w:val="5A9F6E67"/>
    <w:rsid w:val="5AC2254D"/>
    <w:rsid w:val="5AD14B46"/>
    <w:rsid w:val="5AD64523"/>
    <w:rsid w:val="5B1C6AA3"/>
    <w:rsid w:val="5B3D3F8A"/>
    <w:rsid w:val="5B435A44"/>
    <w:rsid w:val="5B4D68C3"/>
    <w:rsid w:val="5B6219E0"/>
    <w:rsid w:val="5B9B13DC"/>
    <w:rsid w:val="5BA364E3"/>
    <w:rsid w:val="5BAA45D4"/>
    <w:rsid w:val="5BAD7361"/>
    <w:rsid w:val="5BB92F72"/>
    <w:rsid w:val="5C0D1BAE"/>
    <w:rsid w:val="5C2C64D8"/>
    <w:rsid w:val="5C3D2493"/>
    <w:rsid w:val="5C655618"/>
    <w:rsid w:val="5CA83399"/>
    <w:rsid w:val="5CC613FD"/>
    <w:rsid w:val="5CD42B7B"/>
    <w:rsid w:val="5D027239"/>
    <w:rsid w:val="5D0B6ED8"/>
    <w:rsid w:val="5D671EF8"/>
    <w:rsid w:val="5D7111F5"/>
    <w:rsid w:val="5DA102BD"/>
    <w:rsid w:val="5DA30A1C"/>
    <w:rsid w:val="5DA402F0"/>
    <w:rsid w:val="5DC34C1A"/>
    <w:rsid w:val="5DE24A6D"/>
    <w:rsid w:val="5DFE3EA4"/>
    <w:rsid w:val="5E3E696F"/>
    <w:rsid w:val="5E6E102A"/>
    <w:rsid w:val="5E760E31"/>
    <w:rsid w:val="5E9345EC"/>
    <w:rsid w:val="5ED86D50"/>
    <w:rsid w:val="5EE72B8A"/>
    <w:rsid w:val="5F16521D"/>
    <w:rsid w:val="5F466134"/>
    <w:rsid w:val="5F526256"/>
    <w:rsid w:val="5F851FA3"/>
    <w:rsid w:val="5F88611B"/>
    <w:rsid w:val="5F96022E"/>
    <w:rsid w:val="5FF4555F"/>
    <w:rsid w:val="5FF7504F"/>
    <w:rsid w:val="60035B46"/>
    <w:rsid w:val="601B176F"/>
    <w:rsid w:val="60265063"/>
    <w:rsid w:val="605F4F18"/>
    <w:rsid w:val="606B314E"/>
    <w:rsid w:val="60885CA7"/>
    <w:rsid w:val="60BB42CE"/>
    <w:rsid w:val="612D346D"/>
    <w:rsid w:val="61493688"/>
    <w:rsid w:val="61E84C4F"/>
    <w:rsid w:val="61F47A98"/>
    <w:rsid w:val="61F555BE"/>
    <w:rsid w:val="61FC6D54"/>
    <w:rsid w:val="62083543"/>
    <w:rsid w:val="623E0D13"/>
    <w:rsid w:val="624E7206"/>
    <w:rsid w:val="62596DD7"/>
    <w:rsid w:val="62666526"/>
    <w:rsid w:val="627110E9"/>
    <w:rsid w:val="627F681B"/>
    <w:rsid w:val="628E1C9B"/>
    <w:rsid w:val="62C0797A"/>
    <w:rsid w:val="62E47B0C"/>
    <w:rsid w:val="633D5192"/>
    <w:rsid w:val="634721B5"/>
    <w:rsid w:val="635A7C40"/>
    <w:rsid w:val="6365274A"/>
    <w:rsid w:val="63B956FE"/>
    <w:rsid w:val="63BD273C"/>
    <w:rsid w:val="63CA02F2"/>
    <w:rsid w:val="63D538F9"/>
    <w:rsid w:val="63FD62F6"/>
    <w:rsid w:val="641C6E32"/>
    <w:rsid w:val="642A0C3C"/>
    <w:rsid w:val="642F4DB7"/>
    <w:rsid w:val="646802C9"/>
    <w:rsid w:val="649F37A3"/>
    <w:rsid w:val="64A31301"/>
    <w:rsid w:val="64AD3F2E"/>
    <w:rsid w:val="654D7C2E"/>
    <w:rsid w:val="65605444"/>
    <w:rsid w:val="658573EF"/>
    <w:rsid w:val="658E3D60"/>
    <w:rsid w:val="659155FE"/>
    <w:rsid w:val="65A753E4"/>
    <w:rsid w:val="65CE0600"/>
    <w:rsid w:val="65DA78B1"/>
    <w:rsid w:val="65DE5D12"/>
    <w:rsid w:val="65FA2A89"/>
    <w:rsid w:val="66083B12"/>
    <w:rsid w:val="660B20A2"/>
    <w:rsid w:val="6635242D"/>
    <w:rsid w:val="664119D4"/>
    <w:rsid w:val="664408C2"/>
    <w:rsid w:val="665C3E5E"/>
    <w:rsid w:val="667E2F9C"/>
    <w:rsid w:val="668313EA"/>
    <w:rsid w:val="66A10E91"/>
    <w:rsid w:val="66A76486"/>
    <w:rsid w:val="66E97CE4"/>
    <w:rsid w:val="674E7C4A"/>
    <w:rsid w:val="67582877"/>
    <w:rsid w:val="677D3ED9"/>
    <w:rsid w:val="67900263"/>
    <w:rsid w:val="67B552EB"/>
    <w:rsid w:val="67D143D7"/>
    <w:rsid w:val="67D35B7B"/>
    <w:rsid w:val="67FA392E"/>
    <w:rsid w:val="68077DF9"/>
    <w:rsid w:val="689C2C37"/>
    <w:rsid w:val="68BE670A"/>
    <w:rsid w:val="68DC4DE2"/>
    <w:rsid w:val="68EC14C9"/>
    <w:rsid w:val="68FB7D3E"/>
    <w:rsid w:val="69140A20"/>
    <w:rsid w:val="691E6A93"/>
    <w:rsid w:val="69207D99"/>
    <w:rsid w:val="6951757E"/>
    <w:rsid w:val="695F3B76"/>
    <w:rsid w:val="69804C34"/>
    <w:rsid w:val="698931BC"/>
    <w:rsid w:val="698A6F34"/>
    <w:rsid w:val="69C86033"/>
    <w:rsid w:val="69C9143A"/>
    <w:rsid w:val="69F36887"/>
    <w:rsid w:val="6A06480C"/>
    <w:rsid w:val="6A0C2CDD"/>
    <w:rsid w:val="6A18009C"/>
    <w:rsid w:val="6A1D1B56"/>
    <w:rsid w:val="6B105217"/>
    <w:rsid w:val="6B623CC4"/>
    <w:rsid w:val="6B625A72"/>
    <w:rsid w:val="6B737C7F"/>
    <w:rsid w:val="6B7731E5"/>
    <w:rsid w:val="6B7951A8"/>
    <w:rsid w:val="6B96396E"/>
    <w:rsid w:val="6B9F59B3"/>
    <w:rsid w:val="6BA12263"/>
    <w:rsid w:val="6BA50055"/>
    <w:rsid w:val="6BBF1117"/>
    <w:rsid w:val="6BCE135A"/>
    <w:rsid w:val="6BEC358E"/>
    <w:rsid w:val="6BFD579B"/>
    <w:rsid w:val="6C042FCD"/>
    <w:rsid w:val="6C1A634D"/>
    <w:rsid w:val="6C3C1F2D"/>
    <w:rsid w:val="6C44161C"/>
    <w:rsid w:val="6C4E3DD6"/>
    <w:rsid w:val="6C586E75"/>
    <w:rsid w:val="6C685732"/>
    <w:rsid w:val="6C7D4B2E"/>
    <w:rsid w:val="6C8163CC"/>
    <w:rsid w:val="6CC664D5"/>
    <w:rsid w:val="6CED5810"/>
    <w:rsid w:val="6D2C637A"/>
    <w:rsid w:val="6D5E2269"/>
    <w:rsid w:val="6DD17F4E"/>
    <w:rsid w:val="6E744F76"/>
    <w:rsid w:val="6E9323E7"/>
    <w:rsid w:val="6E9F0C94"/>
    <w:rsid w:val="6EC1684B"/>
    <w:rsid w:val="6ED22F0F"/>
    <w:rsid w:val="6EDF562C"/>
    <w:rsid w:val="6EE42C42"/>
    <w:rsid w:val="6EE80984"/>
    <w:rsid w:val="6F2D3029"/>
    <w:rsid w:val="6F3040D9"/>
    <w:rsid w:val="6F715165"/>
    <w:rsid w:val="6F7C5219"/>
    <w:rsid w:val="6FBB7E47"/>
    <w:rsid w:val="6FCC5BB0"/>
    <w:rsid w:val="6FDE7692"/>
    <w:rsid w:val="6FED5B27"/>
    <w:rsid w:val="7020414E"/>
    <w:rsid w:val="705636CC"/>
    <w:rsid w:val="706F46F9"/>
    <w:rsid w:val="70805C11"/>
    <w:rsid w:val="70981F36"/>
    <w:rsid w:val="70BF789C"/>
    <w:rsid w:val="713003C1"/>
    <w:rsid w:val="71357785"/>
    <w:rsid w:val="71453E6C"/>
    <w:rsid w:val="71493231"/>
    <w:rsid w:val="714B6FA9"/>
    <w:rsid w:val="717E737E"/>
    <w:rsid w:val="719C15B2"/>
    <w:rsid w:val="71A11C7A"/>
    <w:rsid w:val="71AF5789"/>
    <w:rsid w:val="71BA3E4B"/>
    <w:rsid w:val="71D701A8"/>
    <w:rsid w:val="71EC253A"/>
    <w:rsid w:val="71F907B3"/>
    <w:rsid w:val="72285776"/>
    <w:rsid w:val="722D066E"/>
    <w:rsid w:val="7238752D"/>
    <w:rsid w:val="72574E15"/>
    <w:rsid w:val="726246F7"/>
    <w:rsid w:val="72781631"/>
    <w:rsid w:val="728D5DF9"/>
    <w:rsid w:val="72B666A4"/>
    <w:rsid w:val="72D11FC9"/>
    <w:rsid w:val="73405472"/>
    <w:rsid w:val="73880603"/>
    <w:rsid w:val="739F2FC5"/>
    <w:rsid w:val="73A051F4"/>
    <w:rsid w:val="73B01345"/>
    <w:rsid w:val="73B9644B"/>
    <w:rsid w:val="73CB3D9D"/>
    <w:rsid w:val="73CF3EC1"/>
    <w:rsid w:val="73E96814"/>
    <w:rsid w:val="740F250F"/>
    <w:rsid w:val="743B4EC4"/>
    <w:rsid w:val="744A1799"/>
    <w:rsid w:val="74602D6B"/>
    <w:rsid w:val="748B4D0C"/>
    <w:rsid w:val="749266EF"/>
    <w:rsid w:val="7499002B"/>
    <w:rsid w:val="749E5053"/>
    <w:rsid w:val="74A35E39"/>
    <w:rsid w:val="74A40EAA"/>
    <w:rsid w:val="74B310ED"/>
    <w:rsid w:val="74BB4445"/>
    <w:rsid w:val="74BB61F3"/>
    <w:rsid w:val="74C0380A"/>
    <w:rsid w:val="74CA6436"/>
    <w:rsid w:val="751B0A84"/>
    <w:rsid w:val="75306BE1"/>
    <w:rsid w:val="755430E6"/>
    <w:rsid w:val="756B5E6B"/>
    <w:rsid w:val="759058D2"/>
    <w:rsid w:val="75BA64AB"/>
    <w:rsid w:val="75DC1ED0"/>
    <w:rsid w:val="75E874BC"/>
    <w:rsid w:val="75FA26A0"/>
    <w:rsid w:val="760342F6"/>
    <w:rsid w:val="761A53C5"/>
    <w:rsid w:val="762B73A9"/>
    <w:rsid w:val="765A1DDB"/>
    <w:rsid w:val="76946CFC"/>
    <w:rsid w:val="76FF2D0F"/>
    <w:rsid w:val="7723282D"/>
    <w:rsid w:val="77336515"/>
    <w:rsid w:val="77440722"/>
    <w:rsid w:val="77446974"/>
    <w:rsid w:val="776B2153"/>
    <w:rsid w:val="77A13DC6"/>
    <w:rsid w:val="77A47413"/>
    <w:rsid w:val="77AB254F"/>
    <w:rsid w:val="77C17FC5"/>
    <w:rsid w:val="77E30923"/>
    <w:rsid w:val="77EF68E0"/>
    <w:rsid w:val="77F008AA"/>
    <w:rsid w:val="78000AED"/>
    <w:rsid w:val="78105536"/>
    <w:rsid w:val="782F3180"/>
    <w:rsid w:val="78346A52"/>
    <w:rsid w:val="785A1ED0"/>
    <w:rsid w:val="786B1CDE"/>
    <w:rsid w:val="78745037"/>
    <w:rsid w:val="788B295E"/>
    <w:rsid w:val="789B2DD6"/>
    <w:rsid w:val="789E013A"/>
    <w:rsid w:val="78A0550F"/>
    <w:rsid w:val="78A82F32"/>
    <w:rsid w:val="78B76691"/>
    <w:rsid w:val="78CB5381"/>
    <w:rsid w:val="791365FE"/>
    <w:rsid w:val="793A6280"/>
    <w:rsid w:val="79660116"/>
    <w:rsid w:val="798632FB"/>
    <w:rsid w:val="79924432"/>
    <w:rsid w:val="799C1319"/>
    <w:rsid w:val="79BD47BC"/>
    <w:rsid w:val="79E306C6"/>
    <w:rsid w:val="7A340F22"/>
    <w:rsid w:val="7A40407B"/>
    <w:rsid w:val="7A4E5630"/>
    <w:rsid w:val="7A543372"/>
    <w:rsid w:val="7A6A66F1"/>
    <w:rsid w:val="7A70182E"/>
    <w:rsid w:val="7AC329AB"/>
    <w:rsid w:val="7AC50EA5"/>
    <w:rsid w:val="7B1664AD"/>
    <w:rsid w:val="7B4927AB"/>
    <w:rsid w:val="7B4C148C"/>
    <w:rsid w:val="7B591BF0"/>
    <w:rsid w:val="7BFA5853"/>
    <w:rsid w:val="7C013085"/>
    <w:rsid w:val="7C38637B"/>
    <w:rsid w:val="7C7A6994"/>
    <w:rsid w:val="7C851089"/>
    <w:rsid w:val="7C8810B1"/>
    <w:rsid w:val="7CBC5342"/>
    <w:rsid w:val="7CEC5AE4"/>
    <w:rsid w:val="7CF20C20"/>
    <w:rsid w:val="7D4020F8"/>
    <w:rsid w:val="7D450D50"/>
    <w:rsid w:val="7D9121E7"/>
    <w:rsid w:val="7D9C12B8"/>
    <w:rsid w:val="7DE95B7F"/>
    <w:rsid w:val="7DEE3196"/>
    <w:rsid w:val="7DF6476E"/>
    <w:rsid w:val="7E2748F9"/>
    <w:rsid w:val="7E3D5ECB"/>
    <w:rsid w:val="7E490D14"/>
    <w:rsid w:val="7E5356EF"/>
    <w:rsid w:val="7E5E656D"/>
    <w:rsid w:val="7E7E09BD"/>
    <w:rsid w:val="7E853F49"/>
    <w:rsid w:val="7EBB39C0"/>
    <w:rsid w:val="7F2D7CEE"/>
    <w:rsid w:val="7F345520"/>
    <w:rsid w:val="7F435763"/>
    <w:rsid w:val="7F6000C3"/>
    <w:rsid w:val="7F604567"/>
    <w:rsid w:val="7F960B0A"/>
    <w:rsid w:val="7FAF4BA7"/>
    <w:rsid w:val="7FD03C93"/>
    <w:rsid w:val="7FDB3481"/>
    <w:rsid w:val="DF8AA04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jc w:val="center"/>
      <w:outlineLvl w:val="0"/>
    </w:pPr>
    <w:rPr>
      <w:rFonts w:ascii="Times New Roman" w:hAnsi="Times New Roman" w:eastAsia="黑体"/>
      <w:b/>
      <w:kern w:val="0"/>
      <w:sz w:val="32"/>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numPr>
        <w:ilvl w:val="2"/>
        <w:numId w:val="1"/>
      </w:numPr>
      <w:tabs>
        <w:tab w:val="left" w:pos="709"/>
        <w:tab w:val="clear" w:pos="720"/>
      </w:tabs>
      <w:autoSpaceDE w:val="0"/>
      <w:autoSpaceDN w:val="0"/>
      <w:adjustRightInd w:val="0"/>
      <w:spacing w:line="300" w:lineRule="auto"/>
      <w:textAlignment w:val="baseline"/>
      <w:outlineLvl w:val="2"/>
    </w:pPr>
    <w:rPr>
      <w:rFonts w:ascii="黑体" w:eastAsia="黑体"/>
      <w:b/>
      <w:color w:val="000000"/>
      <w:kern w:val="0"/>
      <w:sz w:val="28"/>
      <w:szCs w:val="20"/>
    </w:rPr>
  </w:style>
  <w:style w:type="paragraph" w:styleId="5">
    <w:name w:val="heading 4"/>
    <w:basedOn w:val="1"/>
    <w:next w:val="1"/>
    <w:qFormat/>
    <w:uiPriority w:val="0"/>
    <w:pPr>
      <w:keepNext/>
      <w:widowControl/>
      <w:numPr>
        <w:ilvl w:val="3"/>
        <w:numId w:val="1"/>
      </w:numPr>
      <w:spacing w:before="240" w:after="60"/>
      <w:jc w:val="left"/>
      <w:outlineLvl w:val="3"/>
    </w:pPr>
    <w:rPr>
      <w:rFonts w:ascii="Arial" w:hAnsi="Arial"/>
      <w:b/>
      <w:kern w:val="0"/>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next w:val="1"/>
    <w:qFormat/>
    <w:uiPriority w:val="0"/>
    <w:pPr>
      <w:jc w:val="left"/>
    </w:pPr>
    <w:rPr>
      <w:szCs w:val="20"/>
    </w:rPr>
  </w:style>
  <w:style w:type="paragraph" w:styleId="8">
    <w:name w:val="Body Text"/>
    <w:basedOn w:val="1"/>
    <w:qFormat/>
    <w:uiPriority w:val="0"/>
    <w:pPr>
      <w:spacing w:after="120"/>
    </w:pPr>
    <w:rPr>
      <w:szCs w:val="20"/>
    </w:rPr>
  </w:style>
  <w:style w:type="paragraph" w:styleId="9">
    <w:name w:val="Body Text Indent"/>
    <w:basedOn w:val="1"/>
    <w:next w:val="10"/>
    <w:qFormat/>
    <w:uiPriority w:val="0"/>
    <w:pPr>
      <w:spacing w:after="120"/>
      <w:ind w:left="420" w:leftChars="200"/>
    </w:pPr>
  </w:style>
  <w:style w:type="paragraph" w:customStyle="1" w:styleId="10">
    <w:name w:val="font5"/>
    <w:basedOn w:val="1"/>
    <w:autoRedefine/>
    <w:qFormat/>
    <w:uiPriority w:val="0"/>
    <w:pPr>
      <w:widowControl/>
      <w:spacing w:before="100" w:beforeAutospacing="1" w:after="100" w:afterAutospacing="1"/>
      <w:jc w:val="left"/>
    </w:pPr>
    <w:rPr>
      <w:rFonts w:hint="eastAsia" w:ascii="宋体" w:hAnsi="宋体"/>
      <w:kern w:val="0"/>
    </w:rPr>
  </w:style>
  <w:style w:type="paragraph" w:styleId="11">
    <w:name w:val="Plain Text"/>
    <w:basedOn w:val="1"/>
    <w:next w:val="1"/>
    <w:qFormat/>
    <w:uiPriority w:val="0"/>
    <w:pPr>
      <w:widowControl/>
      <w:spacing w:before="100" w:beforeAutospacing="1" w:after="100" w:afterAutospacing="1"/>
      <w:jc w:val="left"/>
    </w:pPr>
    <w:rPr>
      <w:rFonts w:ascii="宋体" w:hAnsi="宋体"/>
      <w:color w:val="000000"/>
      <w:kern w:val="0"/>
    </w:rPr>
  </w:style>
  <w:style w:type="paragraph" w:styleId="12">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13">
    <w:name w:val="header"/>
    <w:basedOn w:val="1"/>
    <w:next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tabs>
        <w:tab w:val="right" w:leader="dot" w:pos="8948"/>
      </w:tabs>
      <w:jc w:val="center"/>
    </w:pPr>
    <w:rPr>
      <w:rFonts w:ascii="黑体" w:hAnsi="黑体" w:eastAsia="黑体"/>
      <w:b/>
      <w:sz w:val="28"/>
      <w:szCs w:val="28"/>
    </w:rPr>
  </w:style>
  <w:style w:type="paragraph" w:styleId="15">
    <w:name w:val="toc 2"/>
    <w:basedOn w:val="1"/>
    <w:next w:val="1"/>
    <w:semiHidden/>
    <w:unhideWhenUsed/>
    <w:qFormat/>
    <w:uiPriority w:val="39"/>
    <w:pPr>
      <w:ind w:left="420" w:left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rPr>
  </w:style>
  <w:style w:type="paragraph" w:styleId="17">
    <w:name w:val="Normal (Web)"/>
    <w:basedOn w:val="1"/>
    <w:qFormat/>
    <w:uiPriority w:val="0"/>
    <w:pPr>
      <w:widowControl/>
      <w:spacing w:before="100" w:beforeAutospacing="1" w:after="100" w:afterAutospacing="1"/>
      <w:jc w:val="left"/>
    </w:pPr>
    <w:rPr>
      <w:rFonts w:ascii="宋体" w:hAnsi="宋体" w:cs="宋体"/>
      <w:kern w:val="0"/>
    </w:rPr>
  </w:style>
  <w:style w:type="paragraph" w:styleId="18">
    <w:name w:val="Body Text First Indent"/>
    <w:basedOn w:val="8"/>
    <w:qFormat/>
    <w:uiPriority w:val="0"/>
    <w:pPr>
      <w:ind w:firstLine="420" w:firstLineChars="100"/>
    </w:pPr>
    <w:rPr>
      <w:szCs w:val="24"/>
    </w:rPr>
  </w:style>
  <w:style w:type="paragraph" w:styleId="19">
    <w:name w:val="Body Text First Indent 2"/>
    <w:basedOn w:val="9"/>
    <w:next w:val="1"/>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FollowedHyperlink"/>
    <w:basedOn w:val="22"/>
    <w:semiHidden/>
    <w:unhideWhenUsed/>
    <w:qFormat/>
    <w:uiPriority w:val="99"/>
    <w:rPr>
      <w:color w:val="800080"/>
      <w:u w:val="none"/>
    </w:rPr>
  </w:style>
  <w:style w:type="character" w:styleId="25">
    <w:name w:val="Emphasis"/>
    <w:basedOn w:val="22"/>
    <w:qFormat/>
    <w:uiPriority w:val="20"/>
    <w:rPr>
      <w:b/>
      <w:bCs/>
    </w:rPr>
  </w:style>
  <w:style w:type="character" w:styleId="26">
    <w:name w:val="HTML Definition"/>
    <w:basedOn w:val="22"/>
    <w:semiHidden/>
    <w:unhideWhenUsed/>
    <w:qFormat/>
    <w:uiPriority w:val="99"/>
  </w:style>
  <w:style w:type="character" w:styleId="27">
    <w:name w:val="HTML Typewriter"/>
    <w:basedOn w:val="22"/>
    <w:semiHidden/>
    <w:unhideWhenUsed/>
    <w:qFormat/>
    <w:uiPriority w:val="99"/>
    <w:rPr>
      <w:rFonts w:hint="default" w:ascii="monospace" w:hAnsi="monospace" w:eastAsia="monospace" w:cs="monospace"/>
      <w:sz w:val="20"/>
    </w:rPr>
  </w:style>
  <w:style w:type="character" w:styleId="28">
    <w:name w:val="HTML Acronym"/>
    <w:basedOn w:val="22"/>
    <w:semiHidden/>
    <w:unhideWhenUsed/>
    <w:qFormat/>
    <w:uiPriority w:val="99"/>
  </w:style>
  <w:style w:type="character" w:styleId="29">
    <w:name w:val="HTML Variable"/>
    <w:basedOn w:val="22"/>
    <w:semiHidden/>
    <w:unhideWhenUsed/>
    <w:qFormat/>
    <w:uiPriority w:val="99"/>
  </w:style>
  <w:style w:type="character" w:styleId="30">
    <w:name w:val="Hyperlink"/>
    <w:basedOn w:val="22"/>
    <w:semiHidden/>
    <w:unhideWhenUsed/>
    <w:qFormat/>
    <w:uiPriority w:val="99"/>
    <w:rPr>
      <w:color w:val="0000FF"/>
      <w:u w:val="single"/>
    </w:rPr>
  </w:style>
  <w:style w:type="character" w:styleId="31">
    <w:name w:val="HTML Code"/>
    <w:basedOn w:val="22"/>
    <w:semiHidden/>
    <w:unhideWhenUsed/>
    <w:qFormat/>
    <w:uiPriority w:val="99"/>
    <w:rPr>
      <w:rFonts w:hint="default" w:ascii="monospace" w:hAnsi="monospace" w:eastAsia="monospace" w:cs="monospace"/>
      <w:sz w:val="20"/>
    </w:rPr>
  </w:style>
  <w:style w:type="character" w:styleId="32">
    <w:name w:val="annotation reference"/>
    <w:basedOn w:val="22"/>
    <w:semiHidden/>
    <w:unhideWhenUsed/>
    <w:qFormat/>
    <w:uiPriority w:val="99"/>
    <w:rPr>
      <w:sz w:val="21"/>
      <w:szCs w:val="21"/>
    </w:rPr>
  </w:style>
  <w:style w:type="character" w:styleId="33">
    <w:name w:val="HTML Cite"/>
    <w:basedOn w:val="22"/>
    <w:semiHidden/>
    <w:unhideWhenUsed/>
    <w:qFormat/>
    <w:uiPriority w:val="99"/>
  </w:style>
  <w:style w:type="character" w:styleId="34">
    <w:name w:val="HTML Keyboard"/>
    <w:basedOn w:val="22"/>
    <w:semiHidden/>
    <w:unhideWhenUsed/>
    <w:qFormat/>
    <w:uiPriority w:val="99"/>
    <w:rPr>
      <w:rFonts w:hint="default" w:ascii="monospace" w:hAnsi="monospace" w:eastAsia="monospace" w:cs="monospace"/>
      <w:sz w:val="20"/>
    </w:rPr>
  </w:style>
  <w:style w:type="character" w:styleId="35">
    <w:name w:val="HTML Sample"/>
    <w:basedOn w:val="22"/>
    <w:semiHidden/>
    <w:unhideWhenUsed/>
    <w:qFormat/>
    <w:uiPriority w:val="99"/>
    <w:rPr>
      <w:rFonts w:ascii="monospace" w:hAnsi="monospace" w:eastAsia="monospace" w:cs="monospace"/>
    </w:rPr>
  </w:style>
  <w:style w:type="paragraph" w:customStyle="1" w:styleId="36">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37">
    <w:name w:val="HTML 预设格式1"/>
    <w:basedOn w:val="1"/>
    <w:autoRedefine/>
    <w:qFormat/>
    <w:uiPriority w:val="0"/>
    <w:rPr>
      <w:rFonts w:ascii="Courier New" w:hAnsi="Courier New"/>
      <w:sz w:val="20"/>
    </w:rPr>
  </w:style>
  <w:style w:type="paragraph" w:styleId="38">
    <w:name w:val="List Paragraph"/>
    <w:basedOn w:val="1"/>
    <w:autoRedefine/>
    <w:qFormat/>
    <w:uiPriority w:val="34"/>
    <w:pPr>
      <w:ind w:firstLine="420" w:firstLineChars="200"/>
    </w:pPr>
    <w:rPr>
      <w:rFonts w:ascii="Calibri" w:hAnsi="Calibri" w:eastAsia="宋体" w:cs="Times New Roman"/>
      <w:szCs w:val="22"/>
    </w:rPr>
  </w:style>
  <w:style w:type="paragraph" w:customStyle="1" w:styleId="39">
    <w:name w:val="正文（文本）"/>
    <w:autoRedefine/>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4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1">
    <w:name w:val="Table Text"/>
    <w:basedOn w:val="1"/>
    <w:semiHidden/>
    <w:qFormat/>
    <w:uiPriority w:val="0"/>
    <w:rPr>
      <w:rFonts w:ascii="宋体" w:hAnsi="宋体" w:eastAsia="宋体" w:cs="宋体"/>
      <w:sz w:val="20"/>
      <w:szCs w:val="20"/>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Revision"/>
    <w:hidden/>
    <w:unhideWhenUsed/>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3562</Words>
  <Characters>4184</Characters>
  <Lines>1892</Lines>
  <Paragraphs>1583</Paragraphs>
  <TotalTime>10</TotalTime>
  <ScaleCrop>false</ScaleCrop>
  <LinksUpToDate>false</LinksUpToDate>
  <CharactersWithSpaces>4361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2019-06-14T18:50:00Z</dcterms:created>
  <dc:creator>Apache POI</dc:creator>
  <cp:lastModifiedBy>yd</cp:lastModifiedBy>
  <cp:lastPrinted>2025-02-28T10:48:00Z</cp:lastPrinted>
  <dcterms:modified xsi:type="dcterms:W3CDTF">2025-12-26T05:17:32Z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87051B9EE3814817A667DB73A4B25C84_13</vt:lpwstr>
  </property>
  <property fmtid="{D5CDD505-2E9C-101B-9397-08002B2CF9AE}" pid="4" name="KSOTemplateDocerSaveRecord">
    <vt:lpwstr>eyJoZGlkIjoiMTBkMDcyNWVmYTg1YzdkMDUxNDg2ZTRhYjgzOGU0NDEiLCJ1c2VySWQiOiI2MTM2NTA1MTYifQ==</vt:lpwstr>
  </property>
</Properties>
</file>