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AF60C">
      <w:pPr>
        <w:bidi w:val="0"/>
        <w:rPr>
          <w:rFonts w:hint="eastAsia"/>
          <w:lang w:val="en-US" w:eastAsia="zh-CN"/>
        </w:rPr>
      </w:pPr>
      <w:bookmarkStart w:id="0" w:name="_Toc29294"/>
      <w:r>
        <w:rPr>
          <w:rFonts w:hint="eastAsia"/>
          <w:lang w:val="en-US" w:eastAsia="zh-CN"/>
        </w:rPr>
        <w:t xml:space="preserve"> </w:t>
      </w:r>
    </w:p>
    <w:bookmarkEnd w:id="0"/>
    <w:p w14:paraId="179AACA3">
      <w:pPr>
        <w:pStyle w:val="16"/>
        <w:ind w:left="0" w:leftChars="0" w:firstLine="0" w:firstLineChars="0"/>
        <w:rPr>
          <w:rFonts w:hint="eastAsia" w:asciiTheme="minorEastAsia" w:hAnsiTheme="minorEastAsia" w:eastAsiaTheme="minorEastAsia" w:cstheme="minorEastAsia"/>
          <w:color w:val="auto"/>
          <w:highlight w:val="none"/>
          <w:lang w:val="en-US"/>
        </w:rPr>
      </w:pPr>
      <w:bookmarkStart w:id="1" w:name="_Toc29440"/>
      <w:r>
        <w:rPr>
          <w:rFonts w:hint="eastAsia" w:asciiTheme="minorEastAsia" w:hAnsiTheme="minorEastAsia" w:eastAsiaTheme="minorEastAsia" w:cstheme="minorEastAsia"/>
          <w:b/>
          <w:color w:val="auto"/>
          <w:sz w:val="28"/>
          <w:szCs w:val="28"/>
          <w:highlight w:val="none"/>
          <w:lang w:val="en-US" w:eastAsia="zh-CN"/>
        </w:rPr>
        <w:t>项目编号：</w:t>
      </w:r>
      <w:bookmarkEnd w:id="1"/>
      <w:r>
        <w:rPr>
          <w:rFonts w:hint="eastAsia" w:asciiTheme="minorEastAsia" w:hAnsiTheme="minorEastAsia" w:eastAsiaTheme="minorEastAsia" w:cstheme="minorEastAsia"/>
          <w:b/>
          <w:color w:val="auto"/>
          <w:sz w:val="28"/>
          <w:szCs w:val="28"/>
          <w:highlight w:val="none"/>
          <w:lang w:val="en-US" w:eastAsia="zh-CN"/>
        </w:rPr>
        <w:t>ZZDBJ招2025-008.1B2</w:t>
      </w:r>
    </w:p>
    <w:p w14:paraId="43FBB911">
      <w:pPr>
        <w:pStyle w:val="15"/>
        <w:rPr>
          <w:rFonts w:hint="eastAsia" w:asciiTheme="minorEastAsia" w:hAnsiTheme="minorEastAsia" w:eastAsiaTheme="minorEastAsia" w:cstheme="minorEastAsia"/>
          <w:highlight w:val="none"/>
        </w:rPr>
      </w:pPr>
    </w:p>
    <w:p w14:paraId="3E688CAA">
      <w:pPr>
        <w:ind w:left="0" w:leftChars="0" w:firstLine="0" w:firstLineChars="0"/>
        <w:jc w:val="center"/>
        <w:rPr>
          <w:rFonts w:hint="eastAsia" w:asciiTheme="minorEastAsia" w:hAnsiTheme="minorEastAsia" w:eastAsiaTheme="minorEastAsia" w:cstheme="minorEastAsia"/>
          <w:b/>
          <w:color w:val="auto"/>
          <w:kern w:val="2"/>
          <w:sz w:val="48"/>
          <w:szCs w:val="48"/>
          <w:highlight w:val="none"/>
          <w:lang w:val="en-US" w:eastAsia="zh-CN" w:bidi="ar-SA"/>
        </w:rPr>
      </w:pPr>
    </w:p>
    <w:p w14:paraId="451CFCE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color w:val="auto"/>
          <w:kern w:val="2"/>
          <w:sz w:val="44"/>
          <w:szCs w:val="44"/>
          <w:highlight w:val="none"/>
          <w:lang w:val="en-US" w:eastAsia="zh-CN" w:bidi="ar-SA"/>
        </w:rPr>
      </w:pPr>
    </w:p>
    <w:p w14:paraId="787B5E0C">
      <w:pPr>
        <w:pStyle w:val="47"/>
        <w:ind w:left="0" w:leftChars="0"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2"/>
          <w:sz w:val="52"/>
          <w:szCs w:val="52"/>
          <w:highlight w:val="none"/>
          <w:lang w:val="en-US" w:eastAsia="zh-CN" w:bidi="ar-SA"/>
        </w:rPr>
        <w:t>编制《绩效考核分配方案》(三次)</w:t>
      </w:r>
    </w:p>
    <w:p w14:paraId="2B47F85A">
      <w:pPr>
        <w:pStyle w:val="24"/>
        <w:ind w:left="0" w:leftChars="0" w:firstLine="0" w:firstLineChars="0"/>
        <w:rPr>
          <w:rFonts w:hint="eastAsia" w:asciiTheme="minorEastAsia" w:hAnsiTheme="minorEastAsia" w:eastAsiaTheme="minorEastAsia" w:cstheme="minorEastAsia"/>
          <w:color w:val="auto"/>
          <w:highlight w:val="none"/>
        </w:rPr>
      </w:pPr>
    </w:p>
    <w:p w14:paraId="463E901A">
      <w:pPr>
        <w:pStyle w:val="24"/>
        <w:ind w:left="0" w:leftChars="0" w:firstLine="0" w:firstLineChars="0"/>
        <w:rPr>
          <w:rFonts w:hint="eastAsia" w:asciiTheme="minorEastAsia" w:hAnsiTheme="minorEastAsia" w:eastAsiaTheme="minorEastAsia" w:cstheme="minorEastAsia"/>
          <w:color w:val="auto"/>
          <w:highlight w:val="none"/>
        </w:rPr>
      </w:pPr>
    </w:p>
    <w:p w14:paraId="008B6391">
      <w:pPr>
        <w:pStyle w:val="24"/>
        <w:ind w:left="0" w:leftChars="0" w:firstLine="0" w:firstLineChars="0"/>
        <w:rPr>
          <w:rFonts w:hint="eastAsia" w:asciiTheme="minorEastAsia" w:hAnsiTheme="minorEastAsia" w:eastAsiaTheme="minorEastAsia" w:cstheme="minorEastAsia"/>
          <w:color w:val="auto"/>
          <w:highlight w:val="none"/>
        </w:rPr>
      </w:pPr>
    </w:p>
    <w:p w14:paraId="7894176C">
      <w:pPr>
        <w:pStyle w:val="24"/>
        <w:ind w:left="0" w:leftChars="0" w:firstLine="0" w:firstLineChars="0"/>
        <w:rPr>
          <w:rFonts w:hint="eastAsia" w:asciiTheme="minorEastAsia" w:hAnsiTheme="minorEastAsia" w:eastAsiaTheme="minorEastAsia" w:cstheme="minorEastAsia"/>
          <w:color w:val="auto"/>
          <w:highlight w:val="none"/>
        </w:rPr>
      </w:pPr>
    </w:p>
    <w:p w14:paraId="09B03E6A">
      <w:pPr>
        <w:pStyle w:val="24"/>
        <w:ind w:left="0" w:leftChars="0" w:firstLine="0" w:firstLineChars="0"/>
        <w:rPr>
          <w:rFonts w:hint="eastAsia" w:asciiTheme="minorEastAsia" w:hAnsiTheme="minorEastAsia" w:eastAsiaTheme="minorEastAsia" w:cstheme="minorEastAsia"/>
          <w:color w:val="auto"/>
          <w:highlight w:val="none"/>
        </w:rPr>
      </w:pPr>
    </w:p>
    <w:p w14:paraId="279435EC">
      <w:pPr>
        <w:spacing w:line="720" w:lineRule="auto"/>
        <w:ind w:firstLine="2131" w:firstLineChars="379"/>
        <w:rPr>
          <w:rFonts w:hint="eastAsia" w:asciiTheme="minorEastAsia" w:hAnsiTheme="minorEastAsia" w:eastAsiaTheme="minorEastAsia" w:cstheme="minorEastAsia"/>
          <w:b/>
          <w:color w:val="auto"/>
          <w:kern w:val="0"/>
          <w:sz w:val="28"/>
          <w:szCs w:val="28"/>
          <w:highlight w:val="none"/>
          <w:lang w:eastAsia="zh-CN"/>
        </w:rPr>
      </w:pPr>
      <w:r>
        <w:rPr>
          <w:rFonts w:hint="eastAsia" w:asciiTheme="minorEastAsia" w:hAnsiTheme="minorEastAsia" w:eastAsiaTheme="minorEastAsia" w:cstheme="minorEastAsia"/>
          <w:b/>
          <w:color w:val="auto"/>
          <w:sz w:val="56"/>
          <w:szCs w:val="56"/>
          <w:highlight w:val="none"/>
          <w:lang w:eastAsia="zh-CN"/>
        </w:rPr>
        <w:t>竞争性磋商文件</w:t>
      </w:r>
    </w:p>
    <w:p w14:paraId="6148F22E">
      <w:pPr>
        <w:rPr>
          <w:rFonts w:hint="eastAsia" w:asciiTheme="minorEastAsia" w:hAnsiTheme="minorEastAsia" w:eastAsiaTheme="minorEastAsia" w:cstheme="minorEastAsia"/>
          <w:color w:val="auto"/>
          <w:sz w:val="32"/>
          <w:highlight w:val="none"/>
        </w:rPr>
      </w:pPr>
      <w:r>
        <w:rPr>
          <w:rFonts w:hint="eastAsia" w:asciiTheme="minorEastAsia" w:hAnsiTheme="minorEastAsia" w:eastAsiaTheme="minorEastAsia" w:cstheme="minorEastAsia"/>
          <w:color w:val="auto"/>
          <w:sz w:val="32"/>
          <w:highlight w:val="none"/>
        </w:rPr>
        <w:t xml:space="preserve">         </w:t>
      </w:r>
    </w:p>
    <w:p w14:paraId="1089AD46">
      <w:pPr>
        <w:rPr>
          <w:rFonts w:hint="eastAsia" w:asciiTheme="minorEastAsia" w:hAnsiTheme="minorEastAsia" w:eastAsiaTheme="minorEastAsia" w:cstheme="minorEastAsia"/>
          <w:b/>
          <w:bCs/>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sz w:val="32"/>
          <w:highlight w:val="none"/>
        </w:rPr>
        <w:t xml:space="preserve"> </w:t>
      </w:r>
    </w:p>
    <w:p w14:paraId="2731F8EF">
      <w:pPr>
        <w:pStyle w:val="24"/>
        <w:ind w:left="0" w:leftChars="0" w:firstLine="0" w:firstLineChars="0"/>
        <w:rPr>
          <w:rFonts w:hint="eastAsia" w:asciiTheme="minorEastAsia" w:hAnsiTheme="minorEastAsia" w:eastAsiaTheme="minorEastAsia" w:cstheme="minorEastAsia"/>
          <w:color w:val="auto"/>
          <w:highlight w:val="none"/>
          <w:lang w:val="en-US" w:eastAsia="zh-CN"/>
        </w:rPr>
      </w:pPr>
    </w:p>
    <w:p w14:paraId="42398F36">
      <w:pPr>
        <w:pStyle w:val="24"/>
        <w:ind w:left="0" w:leftChars="0" w:firstLine="0" w:firstLineChars="0"/>
        <w:rPr>
          <w:rFonts w:hint="eastAsia" w:asciiTheme="minorEastAsia" w:hAnsiTheme="minorEastAsia" w:eastAsiaTheme="minorEastAsia" w:cstheme="minorEastAsia"/>
          <w:color w:val="auto"/>
          <w:highlight w:val="none"/>
          <w:lang w:val="en-US" w:eastAsia="zh-CN"/>
        </w:rPr>
      </w:pPr>
    </w:p>
    <w:p w14:paraId="5AFE1A44">
      <w:pPr>
        <w:pStyle w:val="24"/>
        <w:ind w:left="0" w:leftChars="0" w:firstLine="0" w:firstLineChars="0"/>
        <w:rPr>
          <w:rFonts w:hint="eastAsia" w:asciiTheme="minorEastAsia" w:hAnsiTheme="minorEastAsia" w:eastAsiaTheme="minorEastAsia" w:cstheme="minorEastAsia"/>
          <w:color w:val="auto"/>
          <w:highlight w:val="none"/>
          <w:lang w:val="en-US" w:eastAsia="zh-CN"/>
        </w:rPr>
      </w:pPr>
    </w:p>
    <w:p w14:paraId="67B92903">
      <w:pPr>
        <w:pStyle w:val="24"/>
        <w:ind w:left="0" w:leftChars="0" w:firstLine="0" w:firstLineChars="0"/>
        <w:rPr>
          <w:rFonts w:hint="eastAsia" w:asciiTheme="minorEastAsia" w:hAnsiTheme="minorEastAsia" w:eastAsiaTheme="minorEastAsia" w:cstheme="minorEastAsia"/>
          <w:color w:val="auto"/>
          <w:highlight w:val="none"/>
          <w:lang w:val="en-US" w:eastAsia="zh-CN"/>
        </w:rPr>
      </w:pPr>
    </w:p>
    <w:p w14:paraId="4C2CCFC1">
      <w:pPr>
        <w:bidi w:val="0"/>
        <w:rPr>
          <w:rFonts w:hint="eastAsia" w:asciiTheme="minorEastAsia" w:hAnsiTheme="minorEastAsia" w:eastAsiaTheme="minorEastAsia" w:cstheme="minorEastAsia"/>
          <w:b/>
          <w:bCs/>
          <w:color w:val="auto"/>
          <w:kern w:val="2"/>
          <w:sz w:val="30"/>
          <w:szCs w:val="30"/>
          <w:highlight w:val="none"/>
          <w:u w:val="none"/>
          <w:lang w:val="en-US" w:eastAsia="zh-CN" w:bidi="ar-SA"/>
        </w:rPr>
      </w:pPr>
      <w:bookmarkStart w:id="2" w:name="_Toc25469"/>
      <w:bookmarkStart w:id="3" w:name="_Toc25045"/>
    </w:p>
    <w:p w14:paraId="2B972291">
      <w:pPr>
        <w:bidi w:val="0"/>
        <w:ind w:left="0" w:leftChars="0" w:firstLine="0" w:firstLineChars="0"/>
        <w:jc w:val="center"/>
        <w:rPr>
          <w:rFonts w:hint="eastAsia" w:asciiTheme="minorEastAsia" w:hAnsiTheme="minorEastAsia" w:eastAsiaTheme="minorEastAsia" w:cstheme="minorEastAsia"/>
          <w:b/>
          <w:bCs/>
          <w:color w:val="auto"/>
          <w:sz w:val="30"/>
          <w:szCs w:val="30"/>
          <w:highlight w:val="none"/>
          <w:u w:val="none"/>
          <w:lang w:eastAsia="zh-CN"/>
        </w:rPr>
      </w:pPr>
      <w:r>
        <w:rPr>
          <w:rFonts w:hint="eastAsia" w:asciiTheme="minorEastAsia" w:hAnsiTheme="minorEastAsia" w:eastAsiaTheme="minorEastAsia" w:cstheme="minorEastAsia"/>
          <w:b/>
          <w:bCs/>
          <w:color w:val="auto"/>
          <w:kern w:val="2"/>
          <w:sz w:val="30"/>
          <w:szCs w:val="30"/>
          <w:highlight w:val="none"/>
          <w:u w:val="none"/>
          <w:lang w:val="en-US" w:eastAsia="zh-CN" w:bidi="ar-SA"/>
        </w:rPr>
        <w:t>采 购 人:</w:t>
      </w:r>
      <w:r>
        <w:rPr>
          <w:rFonts w:hint="eastAsia" w:asciiTheme="minorEastAsia" w:hAnsiTheme="minorEastAsia" w:eastAsiaTheme="minorEastAsia" w:cstheme="minorEastAsia"/>
          <w:b/>
          <w:bCs/>
          <w:color w:val="auto"/>
          <w:kern w:val="2"/>
          <w:sz w:val="30"/>
          <w:szCs w:val="30"/>
          <w:highlight w:val="none"/>
          <w:u w:val="single"/>
          <w:lang w:val="en-US" w:eastAsia="zh-CN" w:bidi="ar-SA"/>
        </w:rPr>
        <w:t xml:space="preserve">     麟游县中医医院       </w:t>
      </w:r>
      <w:r>
        <w:rPr>
          <w:rFonts w:hint="eastAsia" w:asciiTheme="minorEastAsia" w:hAnsiTheme="minorEastAsia" w:eastAsiaTheme="minorEastAsia" w:cstheme="minorEastAsia"/>
          <w:b/>
          <w:bCs/>
          <w:color w:val="auto"/>
          <w:kern w:val="2"/>
          <w:sz w:val="30"/>
          <w:szCs w:val="30"/>
          <w:highlight w:val="none"/>
          <w:u w:val="none"/>
          <w:lang w:val="en-US" w:eastAsia="zh-CN" w:bidi="ar-SA"/>
        </w:rPr>
        <w:t>（盖章）</w:t>
      </w:r>
      <w:bookmarkEnd w:id="2"/>
      <w:bookmarkEnd w:id="3"/>
    </w:p>
    <w:p w14:paraId="1D34D0EA">
      <w:pPr>
        <w:spacing w:line="720" w:lineRule="auto"/>
        <w:ind w:left="0" w:leftChars="0" w:firstLine="0" w:firstLineChars="0"/>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u w:val="none"/>
          <w:lang w:eastAsia="zh-CN"/>
        </w:rPr>
        <w:t>采购代理机构</w:t>
      </w:r>
      <w:r>
        <w:rPr>
          <w:rFonts w:hint="eastAsia" w:asciiTheme="minorEastAsia" w:hAnsiTheme="minorEastAsia" w:eastAsiaTheme="minorEastAsia" w:cstheme="minorEastAsia"/>
          <w:b/>
          <w:bCs/>
          <w:color w:val="auto"/>
          <w:sz w:val="30"/>
          <w:szCs w:val="30"/>
          <w:highlight w:val="none"/>
          <w:u w:val="none"/>
          <w:lang w:val="en-US" w:eastAsia="zh-CN"/>
        </w:rPr>
        <w:t>:</w:t>
      </w:r>
      <w:r>
        <w:rPr>
          <w:rFonts w:hint="eastAsia" w:asciiTheme="minorEastAsia" w:hAnsiTheme="minorEastAsia" w:eastAsiaTheme="minorEastAsia" w:cstheme="minorEastAsia"/>
          <w:b/>
          <w:bCs/>
          <w:color w:val="auto"/>
          <w:sz w:val="30"/>
          <w:szCs w:val="30"/>
          <w:highlight w:val="none"/>
          <w:u w:val="single"/>
          <w:lang w:eastAsia="zh-CN"/>
        </w:rPr>
        <w:t>中智达项目管理有限公司</w:t>
      </w:r>
      <w:r>
        <w:rPr>
          <w:rFonts w:hint="eastAsia" w:asciiTheme="minorEastAsia" w:hAnsiTheme="minorEastAsia" w:eastAsiaTheme="minorEastAsia" w:cstheme="minorEastAsia"/>
          <w:b/>
          <w:bCs/>
          <w:color w:val="auto"/>
          <w:sz w:val="30"/>
          <w:szCs w:val="30"/>
          <w:highlight w:val="none"/>
          <w:u w:val="none"/>
          <w:lang w:eastAsia="zh-CN"/>
        </w:rPr>
        <w:t>（盖章）</w:t>
      </w:r>
    </w:p>
    <w:p w14:paraId="6451FCF3">
      <w:pPr>
        <w:pStyle w:val="16"/>
        <w:ind w:left="0" w:leftChars="0" w:firstLine="0" w:firstLineChars="0"/>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bCs/>
          <w:color w:val="auto"/>
          <w:sz w:val="30"/>
          <w:szCs w:val="30"/>
          <w:highlight w:val="none"/>
          <w:lang w:eastAsia="zh-CN"/>
        </w:rPr>
        <w:t>二○二</w:t>
      </w:r>
      <w:r>
        <w:rPr>
          <w:rFonts w:hint="eastAsia" w:asciiTheme="minorEastAsia" w:hAnsiTheme="minorEastAsia" w:eastAsiaTheme="minorEastAsia" w:cstheme="minorEastAsia"/>
          <w:b/>
          <w:bCs/>
          <w:color w:val="auto"/>
          <w:sz w:val="30"/>
          <w:szCs w:val="30"/>
          <w:highlight w:val="none"/>
          <w:lang w:val="en-US" w:eastAsia="zh-CN"/>
        </w:rPr>
        <w:t>六</w:t>
      </w:r>
      <w:r>
        <w:rPr>
          <w:rFonts w:hint="eastAsia" w:asciiTheme="minorEastAsia" w:hAnsiTheme="minorEastAsia" w:eastAsiaTheme="minorEastAsia" w:cstheme="minorEastAsia"/>
          <w:b/>
          <w:bCs/>
          <w:color w:val="auto"/>
          <w:sz w:val="30"/>
          <w:szCs w:val="30"/>
          <w:highlight w:val="none"/>
          <w:lang w:eastAsia="zh-CN"/>
        </w:rPr>
        <w:t>年</w:t>
      </w:r>
      <w:r>
        <w:rPr>
          <w:rFonts w:hint="eastAsia" w:asciiTheme="minorEastAsia" w:hAnsiTheme="minorEastAsia" w:eastAsiaTheme="minorEastAsia" w:cstheme="minorEastAsia"/>
          <w:b/>
          <w:bCs/>
          <w:color w:val="auto"/>
          <w:sz w:val="30"/>
          <w:szCs w:val="30"/>
          <w:highlight w:val="none"/>
          <w:lang w:val="en-US" w:eastAsia="zh-CN"/>
        </w:rPr>
        <w:t>一</w:t>
      </w:r>
      <w:r>
        <w:rPr>
          <w:rFonts w:hint="eastAsia" w:asciiTheme="minorEastAsia" w:hAnsiTheme="minorEastAsia" w:eastAsiaTheme="minorEastAsia" w:cstheme="minorEastAsia"/>
          <w:b/>
          <w:bCs/>
          <w:color w:val="auto"/>
          <w:sz w:val="30"/>
          <w:szCs w:val="30"/>
          <w:highlight w:val="none"/>
          <w:lang w:eastAsia="zh-CN"/>
        </w:rPr>
        <w:t>月</w:t>
      </w:r>
    </w:p>
    <w:sdt>
      <w:sdtPr>
        <w:rPr>
          <w:rFonts w:hint="eastAsia" w:asciiTheme="minorEastAsia" w:hAnsiTheme="minorEastAsia" w:eastAsiaTheme="minorEastAsia" w:cstheme="minorEastAsia"/>
          <w:b w:val="0"/>
          <w:bCs w:val="0"/>
          <w:color w:val="auto"/>
          <w:kern w:val="2"/>
          <w:sz w:val="28"/>
          <w:szCs w:val="28"/>
          <w:highlight w:val="none"/>
          <w:lang w:val="en-US" w:eastAsia="zh-CN" w:bidi="ar-SA"/>
        </w:rPr>
        <w:id w:val="147458057"/>
        <w15:color w:val="DBDBDB"/>
      </w:sdtPr>
      <w:sdtEndPr>
        <w:rPr>
          <w:rFonts w:hint="eastAsia" w:asciiTheme="minorEastAsia" w:hAnsiTheme="minorEastAsia" w:eastAsiaTheme="minorEastAsia" w:cstheme="minorEastAsia"/>
          <w:b w:val="0"/>
          <w:bCs w:val="0"/>
          <w:color w:val="auto"/>
          <w:kern w:val="2"/>
          <w:sz w:val="21"/>
          <w:szCs w:val="32"/>
          <w:highlight w:val="none"/>
          <w:lang w:val="en-US" w:eastAsia="zh-CN" w:bidi="ar-SA"/>
        </w:rPr>
      </w:sdtEndPr>
      <w:sdtContent>
        <w:p w14:paraId="38277BED">
          <w:pPr>
            <w:pStyle w:val="22"/>
            <w:tabs>
              <w:tab w:val="right" w:leader="dot" w:pos="9178"/>
            </w:tabs>
            <w:spacing w:line="600" w:lineRule="auto"/>
            <w:ind w:left="0" w:leftChars="0" w:firstLine="0" w:firstLineChars="0"/>
            <w:jc w:val="center"/>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3D117FB6">
          <w:pPr>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br w:type="page"/>
          </w:r>
        </w:p>
        <w:p w14:paraId="06348FB2">
          <w:pPr>
            <w:spacing w:line="600" w:lineRule="auto"/>
            <w:ind w:left="0" w:leftChars="0" w:firstLine="0" w:firstLineChars="0"/>
            <w:jc w:val="center"/>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目 录</w:t>
          </w:r>
        </w:p>
        <w:p w14:paraId="0CB7FB29">
          <w:pPr>
            <w:pStyle w:val="22"/>
            <w:tabs>
              <w:tab w:val="right" w:leader="dot" w:pos="9172"/>
            </w:tabs>
            <w:spacing w:line="360" w:lineRule="auto"/>
            <w:ind w:left="0" w:leftChars="0" w:firstLine="0" w:firstLineChars="0"/>
            <w:rPr>
              <w:sz w:val="24"/>
              <w:szCs w:val="24"/>
            </w:rPr>
          </w:pPr>
          <w:r>
            <w:rPr>
              <w:rFonts w:hint="eastAsia" w:asciiTheme="minorEastAsia" w:hAnsiTheme="minorEastAsia" w:eastAsiaTheme="minorEastAsia" w:cstheme="minorEastAsia"/>
              <w:b w:val="0"/>
              <w:bCs w:val="0"/>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val="0"/>
              <w:bCs w:val="0"/>
              <w:color w:val="auto"/>
              <w:kern w:val="2"/>
              <w:sz w:val="28"/>
              <w:szCs w:val="28"/>
              <w:highlight w:val="none"/>
              <w:lang w:val="en-US" w:eastAsia="zh-CN" w:bidi="ar-SA"/>
            </w:rPr>
            <w:instrText xml:space="preserve">TOC \o "1-1" \h \u </w:instrText>
          </w:r>
          <w:r>
            <w:rPr>
              <w:rFonts w:hint="eastAsia" w:asciiTheme="minorEastAsia" w:hAnsiTheme="minorEastAsia" w:eastAsiaTheme="minorEastAsia" w:cstheme="minorEastAsia"/>
              <w:b w:val="0"/>
              <w:bCs w:val="0"/>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val="0"/>
              <w:kern w:val="2"/>
              <w:sz w:val="24"/>
              <w:szCs w:val="24"/>
              <w:highlight w:val="none"/>
              <w:lang w:val="en-US" w:eastAsia="zh-CN" w:bidi="ar-SA"/>
            </w:rPr>
            <w:instrText xml:space="preserve"> HYPERLINK \l _Toc11222 </w:instrText>
          </w:r>
          <w:r>
            <w:rPr>
              <w:rFonts w:hint="eastAsia" w:asciiTheme="minorEastAsia" w:hAnsiTheme="minorEastAsia" w:eastAsiaTheme="minorEastAsia" w:cstheme="minorEastAsia"/>
              <w:bCs w:val="0"/>
              <w:kern w:val="2"/>
              <w:sz w:val="24"/>
              <w:szCs w:val="24"/>
              <w:highlight w:val="none"/>
              <w:lang w:val="en-US" w:eastAsia="zh-CN" w:bidi="ar-SA"/>
            </w:rPr>
            <w:fldChar w:fldCharType="separate"/>
          </w:r>
          <w:r>
            <w:rPr>
              <w:rFonts w:hint="eastAsia"/>
              <w:sz w:val="24"/>
              <w:szCs w:val="24"/>
              <w:lang w:val="en-US" w:eastAsia="zh-CN"/>
            </w:rPr>
            <w:t>第一章  编制《绩效考核分配方案》(三次) 竞争性磋商公告</w:t>
          </w:r>
          <w:r>
            <w:rPr>
              <w:sz w:val="24"/>
              <w:szCs w:val="24"/>
            </w:rPr>
            <w:tab/>
          </w:r>
          <w:r>
            <w:rPr>
              <w:sz w:val="24"/>
              <w:szCs w:val="24"/>
            </w:rPr>
            <w:fldChar w:fldCharType="begin"/>
          </w:r>
          <w:r>
            <w:rPr>
              <w:sz w:val="24"/>
              <w:szCs w:val="24"/>
            </w:rPr>
            <w:instrText xml:space="preserve"> PAGEREF _Toc11222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end"/>
          </w:r>
        </w:p>
        <w:p w14:paraId="4B2B2E83">
          <w:pPr>
            <w:pStyle w:val="22"/>
            <w:tabs>
              <w:tab w:val="right" w:leader="dot" w:pos="9172"/>
            </w:tabs>
            <w:spacing w:line="360" w:lineRule="auto"/>
            <w:ind w:left="0" w:leftChars="0" w:firstLine="0" w:firstLineChars="0"/>
            <w:rPr>
              <w:sz w:val="24"/>
              <w:szCs w:val="24"/>
            </w:rPr>
          </w:pP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val="0"/>
              <w:kern w:val="2"/>
              <w:sz w:val="24"/>
              <w:szCs w:val="24"/>
              <w:highlight w:val="none"/>
              <w:lang w:val="en-US" w:eastAsia="zh-CN" w:bidi="ar-SA"/>
            </w:rPr>
            <w:instrText xml:space="preserve"> HYPERLINK \l _Toc21909 </w:instrText>
          </w:r>
          <w:r>
            <w:rPr>
              <w:rFonts w:hint="eastAsia" w:asciiTheme="minorEastAsia" w:hAnsiTheme="minorEastAsia" w:eastAsiaTheme="minorEastAsia" w:cstheme="minorEastAsia"/>
              <w:bCs w:val="0"/>
              <w:kern w:val="2"/>
              <w:sz w:val="24"/>
              <w:szCs w:val="24"/>
              <w:highlight w:val="none"/>
              <w:lang w:val="en-US" w:eastAsia="zh-CN" w:bidi="ar-SA"/>
            </w:rPr>
            <w:fldChar w:fldCharType="separate"/>
          </w:r>
          <w:r>
            <w:rPr>
              <w:rFonts w:hint="eastAsia" w:asciiTheme="minorEastAsia" w:hAnsiTheme="minorEastAsia" w:eastAsiaTheme="minorEastAsia" w:cstheme="minorEastAsia"/>
              <w:sz w:val="24"/>
              <w:szCs w:val="24"/>
            </w:rPr>
            <w:t>第二章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highlight w:val="none"/>
            </w:rPr>
            <w:t>供应商须知</w:t>
          </w:r>
          <w:r>
            <w:rPr>
              <w:sz w:val="24"/>
              <w:szCs w:val="24"/>
            </w:rPr>
            <w:tab/>
          </w:r>
          <w:r>
            <w:rPr>
              <w:sz w:val="24"/>
              <w:szCs w:val="24"/>
            </w:rPr>
            <w:fldChar w:fldCharType="begin"/>
          </w:r>
          <w:r>
            <w:rPr>
              <w:sz w:val="24"/>
              <w:szCs w:val="24"/>
            </w:rPr>
            <w:instrText xml:space="preserve"> PAGEREF _Toc21909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end"/>
          </w:r>
        </w:p>
        <w:p w14:paraId="2399D5E5">
          <w:pPr>
            <w:pStyle w:val="22"/>
            <w:tabs>
              <w:tab w:val="right" w:leader="dot" w:pos="9172"/>
            </w:tabs>
            <w:spacing w:line="360" w:lineRule="auto"/>
            <w:ind w:left="0" w:leftChars="0" w:firstLine="0" w:firstLineChars="0"/>
            <w:rPr>
              <w:sz w:val="24"/>
              <w:szCs w:val="24"/>
            </w:rPr>
          </w:pP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val="0"/>
              <w:kern w:val="2"/>
              <w:sz w:val="24"/>
              <w:szCs w:val="24"/>
              <w:highlight w:val="none"/>
              <w:lang w:val="en-US" w:eastAsia="zh-CN" w:bidi="ar-SA"/>
            </w:rPr>
            <w:instrText xml:space="preserve"> HYPERLINK \l _Toc25289 </w:instrText>
          </w:r>
          <w:r>
            <w:rPr>
              <w:rFonts w:hint="eastAsia" w:asciiTheme="minorEastAsia" w:hAnsiTheme="minorEastAsia" w:eastAsiaTheme="minorEastAsia" w:cstheme="minorEastAsia"/>
              <w:bCs w:val="0"/>
              <w:kern w:val="2"/>
              <w:sz w:val="24"/>
              <w:szCs w:val="24"/>
              <w:highlight w:val="none"/>
              <w:lang w:val="en-US" w:eastAsia="zh-CN" w:bidi="ar-SA"/>
            </w:rPr>
            <w:fldChar w:fldCharType="separate"/>
          </w:r>
          <w:r>
            <w:rPr>
              <w:rFonts w:hint="eastAsia" w:asciiTheme="minorEastAsia" w:hAnsiTheme="minorEastAsia" w:eastAsiaTheme="minorEastAsia" w:cstheme="minorEastAsia"/>
              <w:sz w:val="24"/>
              <w:szCs w:val="24"/>
              <w:highlight w:val="none"/>
            </w:rPr>
            <w:t>第三章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资格审查办法</w:t>
          </w:r>
          <w:r>
            <w:rPr>
              <w:sz w:val="24"/>
              <w:szCs w:val="24"/>
            </w:rPr>
            <w:tab/>
          </w:r>
          <w:r>
            <w:rPr>
              <w:sz w:val="24"/>
              <w:szCs w:val="24"/>
            </w:rPr>
            <w:fldChar w:fldCharType="begin"/>
          </w:r>
          <w:r>
            <w:rPr>
              <w:sz w:val="24"/>
              <w:szCs w:val="24"/>
            </w:rPr>
            <w:instrText xml:space="preserve"> PAGEREF _Toc25289 \h </w:instrText>
          </w:r>
          <w:r>
            <w:rPr>
              <w:sz w:val="24"/>
              <w:szCs w:val="24"/>
            </w:rPr>
            <w:fldChar w:fldCharType="separate"/>
          </w:r>
          <w:r>
            <w:rPr>
              <w:sz w:val="24"/>
              <w:szCs w:val="24"/>
            </w:rPr>
            <w:t>37</w:t>
          </w:r>
          <w:r>
            <w:rPr>
              <w:sz w:val="24"/>
              <w:szCs w:val="24"/>
            </w:rPr>
            <w:fldChar w:fldCharType="end"/>
          </w: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end"/>
          </w:r>
        </w:p>
        <w:p w14:paraId="4E7105A4">
          <w:pPr>
            <w:pStyle w:val="22"/>
            <w:tabs>
              <w:tab w:val="right" w:leader="dot" w:pos="9172"/>
            </w:tabs>
            <w:spacing w:line="360" w:lineRule="auto"/>
            <w:ind w:left="0" w:leftChars="0" w:firstLine="0" w:firstLineChars="0"/>
            <w:rPr>
              <w:sz w:val="24"/>
              <w:szCs w:val="24"/>
            </w:rPr>
          </w:pP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val="0"/>
              <w:kern w:val="2"/>
              <w:sz w:val="24"/>
              <w:szCs w:val="24"/>
              <w:highlight w:val="none"/>
              <w:lang w:val="en-US" w:eastAsia="zh-CN" w:bidi="ar-SA"/>
            </w:rPr>
            <w:instrText xml:space="preserve"> HYPERLINK \l _Toc18185 </w:instrText>
          </w:r>
          <w:r>
            <w:rPr>
              <w:rFonts w:hint="eastAsia" w:asciiTheme="minorEastAsia" w:hAnsiTheme="minorEastAsia" w:eastAsiaTheme="minorEastAsia" w:cstheme="minorEastAsia"/>
              <w:bCs w:val="0"/>
              <w:kern w:val="2"/>
              <w:sz w:val="24"/>
              <w:szCs w:val="24"/>
              <w:highlight w:val="none"/>
              <w:lang w:val="en-US" w:eastAsia="zh-CN" w:bidi="ar-SA"/>
            </w:rPr>
            <w:fldChar w:fldCharType="separate"/>
          </w:r>
          <w:r>
            <w:rPr>
              <w:rFonts w:hint="eastAsia" w:asciiTheme="minorEastAsia" w:hAnsiTheme="minorEastAsia" w:eastAsiaTheme="minorEastAsia" w:cstheme="minorEastAsia"/>
              <w:sz w:val="24"/>
              <w:szCs w:val="24"/>
              <w:highlight w:val="none"/>
            </w:rPr>
            <w:t>第四章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办法</w:t>
          </w:r>
          <w:r>
            <w:rPr>
              <w:sz w:val="24"/>
              <w:szCs w:val="24"/>
            </w:rPr>
            <w:tab/>
          </w:r>
          <w:r>
            <w:rPr>
              <w:sz w:val="24"/>
              <w:szCs w:val="24"/>
            </w:rPr>
            <w:fldChar w:fldCharType="begin"/>
          </w:r>
          <w:r>
            <w:rPr>
              <w:sz w:val="24"/>
              <w:szCs w:val="24"/>
            </w:rPr>
            <w:instrText xml:space="preserve"> PAGEREF _Toc18185 \h </w:instrText>
          </w:r>
          <w:r>
            <w:rPr>
              <w:sz w:val="24"/>
              <w:szCs w:val="24"/>
            </w:rPr>
            <w:fldChar w:fldCharType="separate"/>
          </w:r>
          <w:r>
            <w:rPr>
              <w:sz w:val="24"/>
              <w:szCs w:val="24"/>
            </w:rPr>
            <w:t>40</w:t>
          </w:r>
          <w:r>
            <w:rPr>
              <w:sz w:val="24"/>
              <w:szCs w:val="24"/>
            </w:rPr>
            <w:fldChar w:fldCharType="end"/>
          </w: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end"/>
          </w:r>
        </w:p>
        <w:p w14:paraId="01D1BCD0">
          <w:pPr>
            <w:pStyle w:val="22"/>
            <w:tabs>
              <w:tab w:val="right" w:leader="dot" w:pos="9172"/>
            </w:tabs>
            <w:spacing w:line="360" w:lineRule="auto"/>
            <w:ind w:left="0" w:leftChars="0" w:firstLine="0" w:firstLineChars="0"/>
            <w:rPr>
              <w:sz w:val="24"/>
              <w:szCs w:val="24"/>
            </w:rPr>
          </w:pP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val="0"/>
              <w:kern w:val="2"/>
              <w:sz w:val="24"/>
              <w:szCs w:val="24"/>
              <w:highlight w:val="none"/>
              <w:lang w:val="en-US" w:eastAsia="zh-CN" w:bidi="ar-SA"/>
            </w:rPr>
            <w:instrText xml:space="preserve"> HYPERLINK \l _Toc13602 </w:instrText>
          </w:r>
          <w:r>
            <w:rPr>
              <w:rFonts w:hint="eastAsia" w:asciiTheme="minorEastAsia" w:hAnsiTheme="minorEastAsia" w:eastAsiaTheme="minorEastAsia" w:cstheme="minorEastAsia"/>
              <w:bCs w:val="0"/>
              <w:kern w:val="2"/>
              <w:sz w:val="24"/>
              <w:szCs w:val="24"/>
              <w:highlight w:val="none"/>
              <w:lang w:val="en-US" w:eastAsia="zh-CN" w:bidi="ar-SA"/>
            </w:rPr>
            <w:fldChar w:fldCharType="separate"/>
          </w:r>
          <w:r>
            <w:rPr>
              <w:rFonts w:hint="eastAsia" w:asciiTheme="minorEastAsia" w:hAnsiTheme="minorEastAsia" w:eastAsiaTheme="minorEastAsia" w:cstheme="minorEastAsia"/>
              <w:bCs/>
              <w:sz w:val="24"/>
              <w:szCs w:val="24"/>
              <w:highlight w:val="none"/>
              <w:lang w:val="en-US" w:eastAsia="zh-CN"/>
            </w:rPr>
            <w:t xml:space="preserve">第五章  </w:t>
          </w:r>
          <w:r>
            <w:rPr>
              <w:rFonts w:hint="eastAsia" w:asciiTheme="minorEastAsia" w:hAnsiTheme="minorEastAsia" w:eastAsiaTheme="minorEastAsia" w:cstheme="minorEastAsia"/>
              <w:bCs/>
              <w:sz w:val="24"/>
              <w:szCs w:val="24"/>
              <w:highlight w:val="none"/>
            </w:rPr>
            <w:t>采购需求</w:t>
          </w:r>
          <w:r>
            <w:rPr>
              <w:sz w:val="24"/>
              <w:szCs w:val="24"/>
            </w:rPr>
            <w:tab/>
          </w:r>
          <w:r>
            <w:rPr>
              <w:sz w:val="24"/>
              <w:szCs w:val="24"/>
            </w:rPr>
            <w:fldChar w:fldCharType="begin"/>
          </w:r>
          <w:r>
            <w:rPr>
              <w:sz w:val="24"/>
              <w:szCs w:val="24"/>
            </w:rPr>
            <w:instrText xml:space="preserve"> PAGEREF _Toc13602 \h </w:instrText>
          </w:r>
          <w:r>
            <w:rPr>
              <w:sz w:val="24"/>
              <w:szCs w:val="24"/>
            </w:rPr>
            <w:fldChar w:fldCharType="separate"/>
          </w:r>
          <w:r>
            <w:rPr>
              <w:sz w:val="24"/>
              <w:szCs w:val="24"/>
            </w:rPr>
            <w:t>53</w:t>
          </w:r>
          <w:r>
            <w:rPr>
              <w:sz w:val="24"/>
              <w:szCs w:val="24"/>
            </w:rPr>
            <w:fldChar w:fldCharType="end"/>
          </w: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end"/>
          </w:r>
        </w:p>
        <w:p w14:paraId="2738A210">
          <w:pPr>
            <w:pStyle w:val="22"/>
            <w:tabs>
              <w:tab w:val="right" w:leader="dot" w:pos="9172"/>
            </w:tabs>
            <w:spacing w:line="360" w:lineRule="auto"/>
            <w:ind w:left="0" w:leftChars="0" w:firstLine="0" w:firstLineChars="0"/>
            <w:rPr>
              <w:sz w:val="24"/>
              <w:szCs w:val="24"/>
            </w:rPr>
          </w:pP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val="0"/>
              <w:kern w:val="2"/>
              <w:sz w:val="24"/>
              <w:szCs w:val="24"/>
              <w:highlight w:val="none"/>
              <w:lang w:val="en-US" w:eastAsia="zh-CN" w:bidi="ar-SA"/>
            </w:rPr>
            <w:instrText xml:space="preserve"> HYPERLINK \l _Toc7931 </w:instrText>
          </w:r>
          <w:r>
            <w:rPr>
              <w:rFonts w:hint="eastAsia" w:asciiTheme="minorEastAsia" w:hAnsiTheme="minorEastAsia" w:eastAsiaTheme="minorEastAsia" w:cstheme="minorEastAsia"/>
              <w:bCs w:val="0"/>
              <w:kern w:val="2"/>
              <w:sz w:val="24"/>
              <w:szCs w:val="24"/>
              <w:highlight w:val="none"/>
              <w:lang w:val="en-US" w:eastAsia="zh-CN" w:bidi="ar-SA"/>
            </w:rPr>
            <w:fldChar w:fldCharType="separate"/>
          </w:r>
          <w:r>
            <w:rPr>
              <w:rFonts w:hint="eastAsia" w:asciiTheme="minorEastAsia" w:hAnsiTheme="minorEastAsia" w:eastAsiaTheme="minorEastAsia" w:cstheme="minorEastAsia"/>
              <w:sz w:val="24"/>
              <w:szCs w:val="24"/>
              <w:highlight w:val="none"/>
            </w:rPr>
            <w:t>第六章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政府采购合同格式</w:t>
          </w:r>
          <w:r>
            <w:rPr>
              <w:sz w:val="24"/>
              <w:szCs w:val="24"/>
            </w:rPr>
            <w:tab/>
          </w:r>
          <w:r>
            <w:rPr>
              <w:sz w:val="24"/>
              <w:szCs w:val="24"/>
            </w:rPr>
            <w:fldChar w:fldCharType="begin"/>
          </w:r>
          <w:r>
            <w:rPr>
              <w:sz w:val="24"/>
              <w:szCs w:val="24"/>
            </w:rPr>
            <w:instrText xml:space="preserve"> PAGEREF _Toc7931 \h </w:instrText>
          </w:r>
          <w:r>
            <w:rPr>
              <w:sz w:val="24"/>
              <w:szCs w:val="24"/>
            </w:rPr>
            <w:fldChar w:fldCharType="separate"/>
          </w:r>
          <w:r>
            <w:rPr>
              <w:sz w:val="24"/>
              <w:szCs w:val="24"/>
            </w:rPr>
            <w:t>57</w:t>
          </w:r>
          <w:r>
            <w:rPr>
              <w:sz w:val="24"/>
              <w:szCs w:val="24"/>
            </w:rPr>
            <w:fldChar w:fldCharType="end"/>
          </w: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end"/>
          </w:r>
        </w:p>
        <w:p w14:paraId="24C637CA">
          <w:pPr>
            <w:pStyle w:val="22"/>
            <w:tabs>
              <w:tab w:val="right" w:leader="dot" w:pos="9172"/>
            </w:tabs>
            <w:spacing w:line="360" w:lineRule="auto"/>
            <w:ind w:left="0" w:leftChars="0" w:firstLine="0" w:firstLineChars="0"/>
            <w:rPr>
              <w:sz w:val="24"/>
              <w:szCs w:val="24"/>
            </w:rPr>
          </w:pP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val="0"/>
              <w:kern w:val="2"/>
              <w:sz w:val="24"/>
              <w:szCs w:val="24"/>
              <w:highlight w:val="none"/>
              <w:lang w:val="en-US" w:eastAsia="zh-CN" w:bidi="ar-SA"/>
            </w:rPr>
            <w:instrText xml:space="preserve"> HYPERLINK \l _Toc30452 </w:instrText>
          </w:r>
          <w:r>
            <w:rPr>
              <w:rFonts w:hint="eastAsia" w:asciiTheme="minorEastAsia" w:hAnsiTheme="minorEastAsia" w:eastAsiaTheme="minorEastAsia" w:cstheme="minorEastAsia"/>
              <w:bCs w:val="0"/>
              <w:kern w:val="2"/>
              <w:sz w:val="24"/>
              <w:szCs w:val="24"/>
              <w:highlight w:val="none"/>
              <w:lang w:val="en-US" w:eastAsia="zh-CN" w:bidi="ar-SA"/>
            </w:rPr>
            <w:fldChar w:fldCharType="separate"/>
          </w:r>
          <w:r>
            <w:rPr>
              <w:rFonts w:hint="eastAsia" w:asciiTheme="minorEastAsia" w:hAnsiTheme="minorEastAsia" w:eastAsiaTheme="minorEastAsia" w:cstheme="minorEastAsia"/>
              <w:sz w:val="24"/>
              <w:szCs w:val="24"/>
              <w:highlight w:val="none"/>
            </w:rPr>
            <w:t>第</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lang w:eastAsia="zh-CN"/>
            </w:rPr>
            <w:t>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竞争性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响应文件格式</w:t>
          </w:r>
          <w:r>
            <w:rPr>
              <w:sz w:val="24"/>
              <w:szCs w:val="24"/>
            </w:rPr>
            <w:tab/>
          </w:r>
          <w:r>
            <w:rPr>
              <w:sz w:val="24"/>
              <w:szCs w:val="24"/>
            </w:rPr>
            <w:fldChar w:fldCharType="begin"/>
          </w:r>
          <w:r>
            <w:rPr>
              <w:sz w:val="24"/>
              <w:szCs w:val="24"/>
            </w:rPr>
            <w:instrText xml:space="preserve"> PAGEREF _Toc30452 \h </w:instrText>
          </w:r>
          <w:r>
            <w:rPr>
              <w:sz w:val="24"/>
              <w:szCs w:val="24"/>
            </w:rPr>
            <w:fldChar w:fldCharType="separate"/>
          </w:r>
          <w:r>
            <w:rPr>
              <w:sz w:val="24"/>
              <w:szCs w:val="24"/>
            </w:rPr>
            <w:t>65</w:t>
          </w:r>
          <w:r>
            <w:rPr>
              <w:sz w:val="24"/>
              <w:szCs w:val="24"/>
            </w:rPr>
            <w:fldChar w:fldCharType="end"/>
          </w:r>
          <w:r>
            <w:rPr>
              <w:rFonts w:hint="eastAsia" w:asciiTheme="minorEastAsia" w:hAnsiTheme="minorEastAsia" w:eastAsiaTheme="minorEastAsia" w:cstheme="minorEastAsia"/>
              <w:bCs w:val="0"/>
              <w:color w:val="auto"/>
              <w:kern w:val="2"/>
              <w:sz w:val="24"/>
              <w:szCs w:val="24"/>
              <w:highlight w:val="none"/>
              <w:lang w:val="en-US" w:eastAsia="zh-CN" w:bidi="ar-SA"/>
            </w:rPr>
            <w:fldChar w:fldCharType="end"/>
          </w:r>
        </w:p>
        <w:p w14:paraId="2A605807">
          <w:pPr>
            <w:pStyle w:val="22"/>
            <w:tabs>
              <w:tab w:val="right" w:leader="dot" w:pos="9172"/>
            </w:tabs>
          </w:pPr>
        </w:p>
        <w:p w14:paraId="6C63A655">
          <w:pPr>
            <w:spacing w:line="600" w:lineRule="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Cs w:val="0"/>
              <w:color w:val="auto"/>
              <w:kern w:val="2"/>
              <w:szCs w:val="28"/>
              <w:highlight w:val="none"/>
              <w:lang w:val="en-US" w:eastAsia="zh-CN" w:bidi="ar-SA"/>
            </w:rPr>
            <w:fldChar w:fldCharType="end"/>
          </w:r>
        </w:p>
        <w:p w14:paraId="05102CCC">
          <w:pPr>
            <w:spacing w:line="720" w:lineRule="auto"/>
            <w:ind w:firstLine="1440"/>
            <w:jc w:val="center"/>
            <w:rPr>
              <w:rFonts w:hint="eastAsia" w:asciiTheme="minorEastAsia" w:hAnsiTheme="minorEastAsia" w:eastAsiaTheme="minorEastAsia" w:cstheme="minorEastAsia"/>
              <w:color w:val="auto"/>
              <w:sz w:val="32"/>
              <w:szCs w:val="32"/>
              <w:highlight w:val="none"/>
            </w:rPr>
          </w:pPr>
        </w:p>
      </w:sdtContent>
    </w:sdt>
    <w:p w14:paraId="1BBDE43C">
      <w:pPr>
        <w:spacing w:line="720" w:lineRule="auto"/>
        <w:ind w:firstLine="640"/>
        <w:rPr>
          <w:rFonts w:hint="eastAsia" w:asciiTheme="minorEastAsia" w:hAnsiTheme="minorEastAsia" w:eastAsiaTheme="minorEastAsia" w:cstheme="minorEastAsia"/>
          <w:color w:val="auto"/>
          <w:sz w:val="32"/>
          <w:szCs w:val="32"/>
          <w:highlight w:val="none"/>
          <w:lang w:val="en-US" w:eastAsia="zh-CN"/>
        </w:rPr>
      </w:pPr>
    </w:p>
    <w:p w14:paraId="72C03598">
      <w:pPr>
        <w:pStyle w:val="13"/>
        <w:rPr>
          <w:rFonts w:hint="eastAsia" w:asciiTheme="minorEastAsia" w:hAnsiTheme="minorEastAsia" w:eastAsiaTheme="minorEastAsia" w:cstheme="minorEastAsia"/>
          <w:color w:val="auto"/>
          <w:highlight w:val="none"/>
          <w:lang w:val="en-US" w:eastAsia="zh-CN"/>
        </w:rPr>
      </w:pPr>
    </w:p>
    <w:p w14:paraId="690F9D3A">
      <w:pPr>
        <w:spacing w:line="520" w:lineRule="exact"/>
        <w:ind w:firstLine="198" w:firstLineChars="62"/>
        <w:rPr>
          <w:rFonts w:hint="eastAsia" w:asciiTheme="minorEastAsia" w:hAnsiTheme="minorEastAsia" w:eastAsiaTheme="minorEastAsia" w:cstheme="minorEastAsia"/>
          <w:color w:val="auto"/>
          <w:sz w:val="32"/>
          <w:szCs w:val="32"/>
          <w:highlight w:val="none"/>
        </w:rPr>
      </w:pPr>
    </w:p>
    <w:p w14:paraId="425B6505">
      <w:pPr>
        <w:rPr>
          <w:rFonts w:hint="eastAsia"/>
          <w:sz w:val="24"/>
          <w:szCs w:val="24"/>
          <w:lang w:val="en-US" w:eastAsia="zh-CN"/>
        </w:rPr>
      </w:pPr>
      <w:bookmarkStart w:id="4" w:name="_Toc19180"/>
      <w:bookmarkStart w:id="5" w:name="_Toc11222"/>
      <w:r>
        <w:rPr>
          <w:rFonts w:hint="eastAsia"/>
          <w:sz w:val="24"/>
          <w:szCs w:val="24"/>
          <w:lang w:val="en-US" w:eastAsia="zh-CN"/>
        </w:rPr>
        <w:br w:type="page"/>
      </w:r>
    </w:p>
    <w:p w14:paraId="65CBA93D">
      <w:pPr>
        <w:pStyle w:val="2"/>
        <w:pageBreakBefore w:val="0"/>
        <w:widowControl w:val="0"/>
        <w:kinsoku/>
        <w:wordWrap/>
        <w:overflowPunct/>
        <w:topLinePunct w:val="0"/>
        <w:autoSpaceDE/>
        <w:autoSpaceDN/>
        <w:bidi w:val="0"/>
        <w:adjustRightInd/>
        <w:snapToGrid/>
        <w:spacing w:line="500" w:lineRule="exact"/>
        <w:jc w:val="center"/>
        <w:textAlignment w:val="auto"/>
        <w:rPr>
          <w:rFonts w:hint="eastAsia"/>
          <w:sz w:val="24"/>
          <w:szCs w:val="24"/>
          <w:lang w:val="en-US" w:eastAsia="zh-CN"/>
        </w:rPr>
      </w:pPr>
      <w:r>
        <w:rPr>
          <w:rFonts w:hint="eastAsia"/>
          <w:sz w:val="24"/>
          <w:szCs w:val="24"/>
          <w:lang w:val="en-US" w:eastAsia="zh-CN"/>
        </w:rPr>
        <w:t xml:space="preserve">第一章 </w:t>
      </w:r>
      <w:bookmarkStart w:id="6" w:name="_Toc10088"/>
      <w:bookmarkStart w:id="7" w:name="_Toc452708685"/>
      <w:bookmarkStart w:id="8" w:name="_Toc13183"/>
      <w:bookmarkStart w:id="9" w:name="_Toc458515047"/>
      <w:bookmarkStart w:id="10" w:name="_Toc26998"/>
      <w:r>
        <w:rPr>
          <w:rFonts w:hint="eastAsia"/>
          <w:sz w:val="24"/>
          <w:szCs w:val="24"/>
          <w:lang w:val="en-US" w:eastAsia="zh-CN"/>
        </w:rPr>
        <w:t>编制《绩效考核分配方案》(三次) 竞争性磋商公告</w:t>
      </w:r>
      <w:bookmarkEnd w:id="4"/>
      <w:bookmarkEnd w:id="5"/>
    </w:p>
    <w:p w14:paraId="1FDB41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44B15F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编制《绩效考核分配方案》(三次)采购项目的潜在供应商应在陕西省宝鸡市金台区金台大道东岭金融广场B座1401室获取采购文件，并于 2026年01月19日 14时30分 （北京时间）前提交响应文件。</w:t>
      </w:r>
    </w:p>
    <w:p w14:paraId="3376B2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13C50E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项目编号：ZZDBJ招2025-008.1B2</w:t>
      </w:r>
    </w:p>
    <w:p w14:paraId="42E73D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项目名称：编制《绩效考核分配方案》(三次)</w:t>
      </w:r>
    </w:p>
    <w:p w14:paraId="24173C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79D775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预算金额：260,000.00元</w:t>
      </w:r>
    </w:p>
    <w:p w14:paraId="4B0CED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14B49E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合同包1(编制《绩效考核分配方案》(三次)):</w:t>
      </w:r>
    </w:p>
    <w:p w14:paraId="3B99EB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合同包预算金额：260,000.00元</w:t>
      </w:r>
    </w:p>
    <w:p w14:paraId="58AEEB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合同包最高限价：220,000.00元</w:t>
      </w:r>
    </w:p>
    <w:tbl>
      <w:tblPr>
        <w:tblStyle w:val="30"/>
        <w:tblW w:w="96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2"/>
        <w:gridCol w:w="1601"/>
        <w:gridCol w:w="1748"/>
        <w:gridCol w:w="1477"/>
        <w:gridCol w:w="2323"/>
        <w:gridCol w:w="1450"/>
      </w:tblGrid>
      <w:tr w14:paraId="49EF1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4" w:hRule="atLeast"/>
        </w:trPr>
        <w:tc>
          <w:tcPr>
            <w:tcW w:w="1082" w:type="dxa"/>
            <w:vAlign w:val="center"/>
          </w:tcPr>
          <w:p w14:paraId="0E0B1A9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601" w:type="dxa"/>
            <w:vAlign w:val="center"/>
          </w:tcPr>
          <w:p w14:paraId="4833524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748" w:type="dxa"/>
            <w:vAlign w:val="center"/>
          </w:tcPr>
          <w:p w14:paraId="0034BAF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477" w:type="dxa"/>
            <w:vAlign w:val="center"/>
          </w:tcPr>
          <w:p w14:paraId="7AE8AA8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2323" w:type="dxa"/>
            <w:vAlign w:val="center"/>
          </w:tcPr>
          <w:p w14:paraId="19A3D18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450" w:type="dxa"/>
            <w:vAlign w:val="center"/>
          </w:tcPr>
          <w:p w14:paraId="082BF4D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4D592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0" w:hRule="atLeast"/>
        </w:trPr>
        <w:tc>
          <w:tcPr>
            <w:tcW w:w="1082" w:type="dxa"/>
            <w:vAlign w:val="center"/>
          </w:tcPr>
          <w:p w14:paraId="60413CA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601" w:type="dxa"/>
            <w:vAlign w:val="center"/>
          </w:tcPr>
          <w:p w14:paraId="11344A8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中医医院服务</w:t>
            </w:r>
          </w:p>
        </w:tc>
        <w:tc>
          <w:tcPr>
            <w:tcW w:w="1748" w:type="dxa"/>
            <w:vAlign w:val="center"/>
          </w:tcPr>
          <w:p w14:paraId="60DE7F8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编制《绩效考核分配方案》</w:t>
            </w:r>
          </w:p>
        </w:tc>
        <w:tc>
          <w:tcPr>
            <w:tcW w:w="1477" w:type="dxa"/>
            <w:vAlign w:val="center"/>
          </w:tcPr>
          <w:p w14:paraId="72A1841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c>
          <w:tcPr>
            <w:tcW w:w="2323" w:type="dxa"/>
            <w:vAlign w:val="center"/>
          </w:tcPr>
          <w:p w14:paraId="0C3973C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450" w:type="dxa"/>
            <w:vAlign w:val="center"/>
          </w:tcPr>
          <w:p w14:paraId="23C57FC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260,000.00</w:t>
            </w:r>
          </w:p>
        </w:tc>
      </w:tr>
    </w:tbl>
    <w:p w14:paraId="3EC6F3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6CEDB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合同履行期限：合同签订后6个月内完成</w:t>
      </w:r>
    </w:p>
    <w:p w14:paraId="741D1CB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p>
    <w:p w14:paraId="2B399A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1A765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0A2781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合同包1(编制《绩效考核分配方案》(三次))落实政府采购政策需满足的资格要求如下:</w:t>
      </w:r>
    </w:p>
    <w:p w14:paraId="17093464">
      <w:pPr>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rPr>
        <w:br w:type="textWrapping"/>
      </w:r>
      <w:r>
        <w:rPr>
          <w:rFonts w:hint="eastAsia" w:ascii="宋体" w:hAnsi="宋体" w:eastAsia="宋体" w:cs="宋体"/>
          <w:sz w:val="24"/>
          <w:szCs w:val="24"/>
        </w:rPr>
        <w:t>2.落实政府采购政策需满足的资格要求：</w:t>
      </w:r>
      <w:r>
        <w:rPr>
          <w:rFonts w:hint="eastAsia" w:ascii="宋体" w:hAnsi="宋体" w:eastAsia="宋体" w:cs="宋体"/>
          <w:sz w:val="24"/>
          <w:szCs w:val="24"/>
        </w:rPr>
        <w:br w:type="textWrapping"/>
      </w:r>
      <w:r>
        <w:rPr>
          <w:rFonts w:hint="eastAsia" w:ascii="宋体" w:hAnsi="宋体" w:eastAsia="宋体" w:cs="宋体"/>
          <w:sz w:val="24"/>
          <w:szCs w:val="24"/>
        </w:rPr>
        <w:t>合同包1(编制《绩效考核分配方案》)落实政府采购政策需满足的资格要求如下:</w:t>
      </w:r>
      <w:r>
        <w:rPr>
          <w:rFonts w:hint="eastAsia" w:ascii="宋体" w:hAnsi="宋体" w:eastAsia="宋体" w:cs="宋体"/>
          <w:sz w:val="24"/>
          <w:szCs w:val="24"/>
        </w:rPr>
        <w:br w:type="textWrapping"/>
      </w: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rPr>
        <w:br w:type="textWrapping"/>
      </w:r>
      <w:r>
        <w:rPr>
          <w:rFonts w:hint="eastAsia" w:ascii="宋体" w:hAnsi="宋体" w:eastAsia="宋体" w:cs="宋体"/>
          <w:sz w:val="24"/>
          <w:szCs w:val="24"/>
        </w:rPr>
        <w:t>2.落实政府采购政策需满足的资格要求：本项目专门面向中小企业采购，供应商应当为中小企业（含残疾人福利性单位、监狱企业）</w:t>
      </w:r>
      <w:r>
        <w:rPr>
          <w:rFonts w:hint="eastAsia" w:ascii="宋体" w:hAnsi="宋体" w:eastAsia="宋体" w:cs="宋体"/>
          <w:sz w:val="24"/>
          <w:szCs w:val="24"/>
        </w:rPr>
        <w:br w:type="textWrapping"/>
      </w:r>
      <w:r>
        <w:rPr>
          <w:rFonts w:hint="eastAsia" w:ascii="宋体" w:hAnsi="宋体" w:eastAsia="宋体" w:cs="宋体"/>
          <w:sz w:val="24"/>
          <w:szCs w:val="24"/>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r>
        <w:rPr>
          <w:rFonts w:hint="eastAsia" w:ascii="宋体" w:hAnsi="宋体" w:eastAsia="宋体" w:cs="宋体"/>
          <w:sz w:val="24"/>
          <w:szCs w:val="24"/>
        </w:rPr>
        <w:br w:type="textWrapping"/>
      </w:r>
      <w:r>
        <w:rPr>
          <w:rFonts w:hint="eastAsia" w:ascii="宋体" w:hAnsi="宋体" w:eastAsia="宋体" w:cs="宋体"/>
          <w:sz w:val="24"/>
          <w:szCs w:val="24"/>
        </w:rPr>
        <w:t>（3）支持本国产业政策：《财政部关于印发&lt;进口产品管理办法&gt;的通知》（财库[2007]119号）；《财政部办公厅关于政府采购进口产品管理有关问题的通知》（财办库[2008]248号）。</w:t>
      </w:r>
      <w:r>
        <w:rPr>
          <w:rFonts w:hint="eastAsia" w:ascii="宋体" w:hAnsi="宋体" w:eastAsia="宋体" w:cs="宋体"/>
          <w:sz w:val="24"/>
          <w:szCs w:val="24"/>
        </w:rPr>
        <w:br w:type="textWrapping"/>
      </w:r>
      <w:r>
        <w:rPr>
          <w:rFonts w:hint="eastAsia" w:ascii="宋体" w:hAnsi="宋体" w:eastAsia="宋体" w:cs="宋体"/>
          <w:sz w:val="24"/>
          <w:szCs w:val="24"/>
        </w:rPr>
        <w:t>（4）支持创新等政府采购政策。</w:t>
      </w:r>
    </w:p>
    <w:p w14:paraId="5A2B6D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65FFF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合同包1(编制《绩效考核分配方案》(三次))特定资格要求如下:</w:t>
      </w:r>
    </w:p>
    <w:p w14:paraId="626D5D2F">
      <w:pPr>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3.1供应商具有独立承担民事责任的能力，提供统一社会信用代码的营业执照；</w:t>
      </w:r>
      <w:r>
        <w:rPr>
          <w:rFonts w:hint="eastAsia" w:ascii="宋体" w:hAnsi="宋体" w:eastAsia="宋体" w:cs="宋体"/>
          <w:sz w:val="24"/>
          <w:szCs w:val="24"/>
        </w:rPr>
        <w:br w:type="textWrapping"/>
      </w:r>
      <w:r>
        <w:rPr>
          <w:rFonts w:hint="eastAsia" w:ascii="宋体" w:hAnsi="宋体" w:eastAsia="宋体" w:cs="宋体"/>
          <w:sz w:val="24"/>
          <w:szCs w:val="24"/>
        </w:rPr>
        <w:t>3.2税收缴纳证明：提供2024年11月至今已缴纳的至少3个月的完税证明，依法免税的单位应提供相关证明材料；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3.3社会保障资金缴纳证明：提供2024年11月至今已缴存的至少3个月的社会保障资金缴存单据或社保机构开具的社会保险参保缴费情况证明，依法不需要缴纳社会保障资金的单位应提供相关证明材料；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3.4财务状况报告：提供2024年度经审计的财务报告或提供响应文件截止时间3个月内其基本账户开户银行出具的资信证明；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3.5参加本次政府采购活动近三年内在经营活动中没有重大违纪的书面声明；</w:t>
      </w:r>
      <w:r>
        <w:rPr>
          <w:rFonts w:hint="eastAsia" w:ascii="宋体" w:hAnsi="宋体" w:eastAsia="宋体" w:cs="宋体"/>
          <w:sz w:val="24"/>
          <w:szCs w:val="24"/>
        </w:rPr>
        <w:br w:type="textWrapping"/>
      </w:r>
      <w:r>
        <w:rPr>
          <w:rFonts w:hint="eastAsia" w:ascii="宋体" w:hAnsi="宋体" w:eastAsia="宋体" w:cs="宋体"/>
          <w:sz w:val="24"/>
          <w:szCs w:val="24"/>
        </w:rPr>
        <w:t>3.6单位负责人为同一人或者存在直接控股、管理关系的不同投标人，不得参加同一合同项下的政府采购活动；</w:t>
      </w:r>
      <w:r>
        <w:rPr>
          <w:rFonts w:hint="eastAsia" w:ascii="宋体" w:hAnsi="宋体" w:eastAsia="宋体" w:cs="宋体"/>
          <w:sz w:val="24"/>
          <w:szCs w:val="24"/>
        </w:rPr>
        <w:br w:type="textWrapping"/>
      </w:r>
      <w:r>
        <w:rPr>
          <w:rFonts w:hint="eastAsia" w:ascii="宋体" w:hAnsi="宋体" w:eastAsia="宋体" w:cs="宋体"/>
          <w:sz w:val="24"/>
          <w:szCs w:val="24"/>
        </w:rPr>
        <w:t>3.7信用记录：供应商不得为“信用中国”网站（www.creditchina.gov.cn）中被列入重大税收违法失信主体，不得为“中国执行信息公开网”(http://zxgk.court.gov.cn//)被列入失信被执行人,不得为“中国政府采购网”（www.ccgp.gov.cn）政府采购严重违法失信行为记录名单中被财政部门禁止参加政府采购活动的当事人，不得有行贿犯罪行为；</w:t>
      </w:r>
      <w:r>
        <w:rPr>
          <w:rFonts w:hint="eastAsia" w:ascii="宋体" w:hAnsi="宋体" w:eastAsia="宋体" w:cs="宋体"/>
          <w:sz w:val="24"/>
          <w:szCs w:val="24"/>
        </w:rPr>
        <w:br w:type="textWrapping"/>
      </w:r>
      <w:r>
        <w:rPr>
          <w:rFonts w:hint="eastAsia" w:ascii="宋体" w:hAnsi="宋体" w:eastAsia="宋体" w:cs="宋体"/>
          <w:sz w:val="24"/>
          <w:szCs w:val="24"/>
        </w:rPr>
        <w:t>3.8提供具有履行本项目合同所必需的技术设备和专业能力的承诺书。</w:t>
      </w:r>
    </w:p>
    <w:p w14:paraId="07FF4D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p>
    <w:p w14:paraId="10D4F1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时间：2026年01月06日至2026年01月12日 ，每天上午09:00:00 至 12:00:00，下午14:00:00至18:00:00（北京时间）</w:t>
      </w:r>
    </w:p>
    <w:p w14:paraId="5A6558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途径：陕西省宝鸡市金台区金台大道东岭金融广场B座1401室</w:t>
      </w:r>
    </w:p>
    <w:p w14:paraId="6F7E32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3F17BC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65E4AAD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14:paraId="323119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截止时间：2026年01月19日14时30分00秒（北京时间）</w:t>
      </w:r>
    </w:p>
    <w:p w14:paraId="373843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地点：陕西省宝鸡市金台区金台大道东岭金融广场B座1401室会议室</w:t>
      </w:r>
    </w:p>
    <w:p w14:paraId="72C12E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五、开启</w:t>
      </w:r>
    </w:p>
    <w:p w14:paraId="5A88D9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时间：2026年01月19日14时30分00秒（北京时间）</w:t>
      </w:r>
    </w:p>
    <w:p w14:paraId="19DAC3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地点：陕西省宝鸡市金台区金台大道东岭金融广场B座1401室会议室</w:t>
      </w:r>
    </w:p>
    <w:p w14:paraId="23C0C3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六、公告期限</w:t>
      </w:r>
    </w:p>
    <w:p w14:paraId="2CABA2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2F0061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七、其他补充事宜</w:t>
      </w:r>
    </w:p>
    <w:p w14:paraId="23700A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1、供应商须在文件获取时间内持法定代表人授权委托书及被授权人身份证原件，现场领取，不接受邮寄等其他方式。</w:t>
      </w:r>
    </w:p>
    <w:p w14:paraId="5044B9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2、请各供应商获取招标文件后，按照陕西省财政厅《关于政府采供应商注册登记有关事项的通知》要求，通过陕西省政府采购网注册登记加入陕西省政府采购供应商库。</w:t>
      </w:r>
    </w:p>
    <w:p w14:paraId="4EA7FE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八、对本次招标提出询问，请按以下方式联系。</w:t>
      </w:r>
    </w:p>
    <w:p w14:paraId="75ED6A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0C8E3C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名称：麟游县中医院</w:t>
      </w:r>
    </w:p>
    <w:p w14:paraId="41565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地址：县城东大街14号</w:t>
      </w:r>
    </w:p>
    <w:p w14:paraId="5D0820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cs="宋体"/>
          <w:sz w:val="24"/>
          <w:szCs w:val="24"/>
          <w:lang w:eastAsia="zh-CN"/>
        </w:rPr>
        <w:t>0917-2660113</w:t>
      </w:r>
    </w:p>
    <w:p w14:paraId="46CDAA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36ABE1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名称：中智达项目管理有限公司</w:t>
      </w:r>
    </w:p>
    <w:p w14:paraId="770D48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地址：陕西省宝鸡市金台区金台大道东岭金融广场B座1401室</w:t>
      </w:r>
    </w:p>
    <w:p w14:paraId="0D0DB6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联系方式：0917-3818210</w:t>
      </w:r>
    </w:p>
    <w:p w14:paraId="10909F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0911DF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项目联系人：王女士</w:t>
      </w:r>
    </w:p>
    <w:p w14:paraId="053BC9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电话：0917-3818210</w:t>
      </w:r>
    </w:p>
    <w:p w14:paraId="5F0397AE">
      <w:pPr>
        <w:pageBreakBefore w:val="0"/>
        <w:widowControl w:val="0"/>
        <w:kinsoku/>
        <w:wordWrap/>
        <w:overflowPunct/>
        <w:topLinePunct w:val="0"/>
        <w:autoSpaceDE/>
        <w:autoSpaceDN/>
        <w:bidi w:val="0"/>
        <w:adjustRightInd/>
        <w:snapToGrid/>
        <w:spacing w:line="500" w:lineRule="exact"/>
        <w:ind w:left="0" w:leftChars="0" w:firstLine="0" w:firstLineChars="0"/>
        <w:jc w:val="right"/>
        <w:textAlignment w:val="auto"/>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rPr>
        <w:t>中智达项目管理有限公司</w:t>
      </w:r>
    </w:p>
    <w:p w14:paraId="53FD874F">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59F04221">
      <w:pPr>
        <w:pStyle w:val="2"/>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0"/>
        <w:rPr>
          <w:rFonts w:hint="eastAsia" w:asciiTheme="minorEastAsia" w:hAnsiTheme="minorEastAsia" w:eastAsiaTheme="minorEastAsia" w:cstheme="minorEastAsia"/>
          <w:color w:val="auto"/>
          <w:sz w:val="28"/>
          <w:szCs w:val="28"/>
          <w:highlight w:val="none"/>
        </w:rPr>
      </w:pPr>
      <w:bookmarkStart w:id="11" w:name="_Toc14712"/>
      <w:bookmarkStart w:id="12" w:name="_Toc21909"/>
      <w:r>
        <w:rPr>
          <w:rFonts w:hint="eastAsia" w:asciiTheme="minorEastAsia" w:hAnsiTheme="minorEastAsia" w:eastAsiaTheme="minorEastAsia" w:cstheme="minorEastAsia"/>
          <w:color w:val="auto"/>
          <w:sz w:val="28"/>
          <w:szCs w:val="28"/>
          <w:highlight w:val="none"/>
        </w:rPr>
        <w:t>供应商须知</w:t>
      </w:r>
      <w:bookmarkEnd w:id="6"/>
      <w:bookmarkEnd w:id="11"/>
      <w:bookmarkEnd w:id="12"/>
    </w:p>
    <w:p w14:paraId="25967900">
      <w:pPr>
        <w:pageBreakBefore w:val="0"/>
        <w:widowControl w:val="0"/>
        <w:numPr>
          <w:ilvl w:val="0"/>
          <w:numId w:val="3"/>
        </w:numPr>
        <w:kinsoku/>
        <w:wordWrap/>
        <w:overflowPunct/>
        <w:topLinePunct w:val="0"/>
        <w:autoSpaceDE/>
        <w:autoSpaceDN/>
        <w:bidi w:val="0"/>
        <w:adjustRightInd/>
        <w:snapToGrid/>
        <w:spacing w:line="500" w:lineRule="exact"/>
        <w:ind w:firstLine="643"/>
        <w:jc w:val="center"/>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供应商须知前附表</w:t>
      </w:r>
    </w:p>
    <w:tbl>
      <w:tblPr>
        <w:tblStyle w:val="30"/>
        <w:tblpPr w:leftFromText="180" w:rightFromText="180" w:vertAnchor="text" w:horzAnchor="page" w:tblpX="1296" w:tblpY="372"/>
        <w:tblOverlap w:val="never"/>
        <w:tblW w:w="96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2007"/>
        <w:gridCol w:w="6836"/>
      </w:tblGrid>
      <w:tr w14:paraId="369E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75" w:type="dxa"/>
            <w:vAlign w:val="center"/>
          </w:tcPr>
          <w:p w14:paraId="2AECD3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2007" w:type="dxa"/>
            <w:vAlign w:val="center"/>
          </w:tcPr>
          <w:p w14:paraId="5B14080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条款名称</w:t>
            </w:r>
          </w:p>
        </w:tc>
        <w:tc>
          <w:tcPr>
            <w:tcW w:w="6836" w:type="dxa"/>
          </w:tcPr>
          <w:p w14:paraId="78C86DC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说明和要求</w:t>
            </w:r>
          </w:p>
        </w:tc>
      </w:tr>
      <w:tr w14:paraId="50851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775" w:type="dxa"/>
            <w:vAlign w:val="center"/>
          </w:tcPr>
          <w:p w14:paraId="7BDD983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007" w:type="dxa"/>
            <w:vAlign w:val="center"/>
          </w:tcPr>
          <w:p w14:paraId="1762B88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采购人</w:t>
            </w:r>
          </w:p>
        </w:tc>
        <w:tc>
          <w:tcPr>
            <w:tcW w:w="6836" w:type="dxa"/>
          </w:tcPr>
          <w:p w14:paraId="7E8EBBE2">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p>
          <w:p w14:paraId="6D7A4038">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名称：麟游县中医医院</w:t>
            </w:r>
          </w:p>
          <w:p w14:paraId="78F27C04">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联系人：崔先生           </w:t>
            </w:r>
          </w:p>
          <w:p w14:paraId="3EFF3951">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联系方式：0917-2660113</w:t>
            </w:r>
          </w:p>
        </w:tc>
      </w:tr>
      <w:tr w14:paraId="3713F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trPr>
        <w:tc>
          <w:tcPr>
            <w:tcW w:w="775" w:type="dxa"/>
            <w:vAlign w:val="center"/>
          </w:tcPr>
          <w:p w14:paraId="30C483C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2007" w:type="dxa"/>
            <w:vAlign w:val="center"/>
          </w:tcPr>
          <w:p w14:paraId="6DE26EA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采购代理机构</w:t>
            </w:r>
          </w:p>
        </w:tc>
        <w:tc>
          <w:tcPr>
            <w:tcW w:w="6836" w:type="dxa"/>
          </w:tcPr>
          <w:p w14:paraId="41B779E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p>
          <w:p w14:paraId="69419AB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 xml:space="preserve">中智达项目管理有限公司   </w:t>
            </w:r>
          </w:p>
          <w:p w14:paraId="0530A07A">
            <w:pPr>
              <w:keepNext w:val="0"/>
              <w:keepLines w:val="0"/>
              <w:pageBreakBefore w:val="0"/>
              <w:widowControl w:val="0"/>
              <w:tabs>
                <w:tab w:val="left" w:pos="-200"/>
                <w:tab w:val="left" w:pos="0"/>
              </w:tabs>
              <w:kinsoku/>
              <w:wordWrap/>
              <w:overflowPunct/>
              <w:topLinePunct w:val="0"/>
              <w:autoSpaceDE/>
              <w:autoSpaceDN/>
              <w:bidi w:val="0"/>
              <w:adjustRightInd/>
              <w:snapToGrid/>
              <w:spacing w:beforeAutospacing="0" w:afterAutospacing="0" w:line="320" w:lineRule="exact"/>
              <w:ind w:left="0" w:leftChars="0" w:firstLine="0"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eastAsia="zh-CN"/>
              </w:rPr>
              <w:t>陕西省宝鸡市金台区金台大道东岭金融广场B座1401室</w:t>
            </w:r>
          </w:p>
          <w:p w14:paraId="2E65502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联系人：</w:t>
            </w:r>
            <w:r>
              <w:rPr>
                <w:rFonts w:hint="eastAsia" w:asciiTheme="minorEastAsia" w:hAnsiTheme="minorEastAsia" w:eastAsiaTheme="minorEastAsia" w:cstheme="minorEastAsia"/>
                <w:color w:val="auto"/>
                <w:kern w:val="0"/>
                <w:sz w:val="21"/>
                <w:szCs w:val="21"/>
                <w:highlight w:val="none"/>
                <w:lang w:eastAsia="zh-CN"/>
              </w:rPr>
              <w:t>王女士</w:t>
            </w:r>
          </w:p>
          <w:p w14:paraId="52A51B5F">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lang w:eastAsia="zh-CN"/>
              </w:rPr>
              <w:t>0917-3818210</w:t>
            </w:r>
          </w:p>
        </w:tc>
      </w:tr>
      <w:tr w14:paraId="5CCB6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775" w:type="dxa"/>
            <w:vAlign w:val="center"/>
          </w:tcPr>
          <w:p w14:paraId="1930FF3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2007" w:type="dxa"/>
            <w:vAlign w:val="center"/>
          </w:tcPr>
          <w:p w14:paraId="1A25538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供应商</w:t>
            </w:r>
          </w:p>
        </w:tc>
        <w:tc>
          <w:tcPr>
            <w:tcW w:w="6836" w:type="dxa"/>
            <w:vAlign w:val="center"/>
          </w:tcPr>
          <w:p w14:paraId="0E79DA4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并且符合</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文件规定资格条件和参加</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竞争的法人</w:t>
            </w:r>
          </w:p>
        </w:tc>
      </w:tr>
      <w:tr w14:paraId="0DEBB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75" w:type="dxa"/>
            <w:vAlign w:val="center"/>
          </w:tcPr>
          <w:p w14:paraId="7AB04F8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p>
        </w:tc>
        <w:tc>
          <w:tcPr>
            <w:tcW w:w="2007" w:type="dxa"/>
            <w:vAlign w:val="center"/>
          </w:tcPr>
          <w:p w14:paraId="1E22D4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项目名称</w:t>
            </w:r>
          </w:p>
        </w:tc>
        <w:tc>
          <w:tcPr>
            <w:tcW w:w="6836" w:type="dxa"/>
            <w:vAlign w:val="center"/>
          </w:tcPr>
          <w:p w14:paraId="32B7CCC1">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编制《绩效考核分配方案》(三次)</w:t>
            </w:r>
          </w:p>
        </w:tc>
      </w:tr>
      <w:tr w14:paraId="34237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75" w:type="dxa"/>
            <w:vAlign w:val="center"/>
          </w:tcPr>
          <w:p w14:paraId="6359191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w:t>
            </w:r>
          </w:p>
        </w:tc>
        <w:tc>
          <w:tcPr>
            <w:tcW w:w="2007" w:type="dxa"/>
            <w:vAlign w:val="center"/>
          </w:tcPr>
          <w:p w14:paraId="3C130D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采购项目编号</w:t>
            </w:r>
          </w:p>
        </w:tc>
        <w:tc>
          <w:tcPr>
            <w:tcW w:w="6836" w:type="dxa"/>
            <w:vAlign w:val="center"/>
          </w:tcPr>
          <w:p w14:paraId="7B276901">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ZZDBJ招2025-008.1B2</w:t>
            </w:r>
          </w:p>
        </w:tc>
      </w:tr>
      <w:tr w14:paraId="4DD0D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775" w:type="dxa"/>
            <w:vMerge w:val="restart"/>
            <w:vAlign w:val="center"/>
          </w:tcPr>
          <w:p w14:paraId="1ACA95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2007" w:type="dxa"/>
            <w:vAlign w:val="center"/>
          </w:tcPr>
          <w:p w14:paraId="58FA9536">
            <w:pPr>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项目分包</w:t>
            </w:r>
          </w:p>
        </w:tc>
        <w:tc>
          <w:tcPr>
            <w:tcW w:w="6836" w:type="dxa"/>
            <w:vAlign w:val="center"/>
          </w:tcPr>
          <w:p w14:paraId="7A06DC3D">
            <w:pPr>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本项目不分包段</w:t>
            </w:r>
          </w:p>
        </w:tc>
      </w:tr>
      <w:tr w14:paraId="0BFE3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775" w:type="dxa"/>
            <w:vMerge w:val="restart"/>
            <w:vAlign w:val="center"/>
          </w:tcPr>
          <w:p w14:paraId="091BE3C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w:t>
            </w:r>
          </w:p>
        </w:tc>
        <w:tc>
          <w:tcPr>
            <w:tcW w:w="2007" w:type="dxa"/>
            <w:tcBorders>
              <w:bottom w:val="single" w:color="auto" w:sz="4" w:space="0"/>
            </w:tcBorders>
            <w:vAlign w:val="center"/>
          </w:tcPr>
          <w:p w14:paraId="2AA8B4D6">
            <w:pPr>
              <w:pStyle w:val="85"/>
              <w:pageBreakBefore w:val="0"/>
              <w:widowControl w:val="0"/>
              <w:kinsoku/>
              <w:wordWrap/>
              <w:overflowPunct/>
              <w:topLinePunct w:val="0"/>
              <w:bidi w:val="0"/>
              <w:snapToGrid/>
              <w:spacing w:line="320" w:lineRule="exact"/>
              <w:ind w:left="38" w:left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预算金额</w:t>
            </w:r>
          </w:p>
        </w:tc>
        <w:tc>
          <w:tcPr>
            <w:tcW w:w="6836" w:type="dxa"/>
            <w:tcBorders>
              <w:bottom w:val="single" w:color="auto" w:sz="4" w:space="0"/>
            </w:tcBorders>
            <w:vAlign w:val="center"/>
          </w:tcPr>
          <w:p w14:paraId="64B7E53C">
            <w:pPr>
              <w:pStyle w:val="85"/>
              <w:pageBreakBefore w:val="0"/>
              <w:widowControl w:val="0"/>
              <w:kinsoku/>
              <w:wordWrap/>
              <w:overflowPunct/>
              <w:topLinePunct w:val="0"/>
              <w:bidi w:val="0"/>
              <w:snapToGrid/>
              <w:spacing w:line="32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本项目预算金额：</w:t>
            </w:r>
            <w:r>
              <w:rPr>
                <w:rFonts w:hint="eastAsia" w:asciiTheme="minorEastAsia" w:hAnsiTheme="minorEastAsia" w:eastAsiaTheme="minorEastAsia" w:cstheme="minorEastAsia"/>
                <w:sz w:val="21"/>
                <w:szCs w:val="21"/>
                <w:highlight w:val="none"/>
                <w:lang w:val="en-US" w:eastAsia="zh-CN"/>
              </w:rPr>
              <w:t>260000.00</w:t>
            </w:r>
            <w:r>
              <w:rPr>
                <w:rFonts w:hint="eastAsia" w:asciiTheme="minorEastAsia" w:hAnsiTheme="minorEastAsia" w:eastAsiaTheme="minorEastAsia" w:cstheme="minorEastAsia"/>
                <w:color w:val="auto"/>
                <w:kern w:val="2"/>
                <w:sz w:val="21"/>
                <w:szCs w:val="21"/>
                <w:highlight w:val="none"/>
                <w:lang w:val="en-US" w:eastAsia="zh-CN" w:bidi="ar-SA"/>
              </w:rPr>
              <w:t>元</w:t>
            </w:r>
          </w:p>
        </w:tc>
      </w:tr>
      <w:tr w14:paraId="3C083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775" w:type="dxa"/>
            <w:vMerge w:val="continue"/>
            <w:vAlign w:val="center"/>
          </w:tcPr>
          <w:p w14:paraId="6D83D77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p>
        </w:tc>
        <w:tc>
          <w:tcPr>
            <w:tcW w:w="2007" w:type="dxa"/>
            <w:tcBorders>
              <w:top w:val="single" w:color="auto" w:sz="4" w:space="0"/>
            </w:tcBorders>
            <w:vAlign w:val="center"/>
          </w:tcPr>
          <w:p w14:paraId="6962299D">
            <w:pPr>
              <w:pStyle w:val="85"/>
              <w:pageBreakBefore w:val="0"/>
              <w:widowControl w:val="0"/>
              <w:kinsoku/>
              <w:wordWrap/>
              <w:overflowPunct/>
              <w:topLinePunct w:val="0"/>
              <w:bidi w:val="0"/>
              <w:snapToGrid/>
              <w:spacing w:line="320" w:lineRule="exact"/>
              <w:ind w:left="38" w:left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最高限价</w:t>
            </w:r>
          </w:p>
        </w:tc>
        <w:tc>
          <w:tcPr>
            <w:tcW w:w="6836" w:type="dxa"/>
            <w:tcBorders>
              <w:top w:val="single" w:color="auto" w:sz="4" w:space="0"/>
            </w:tcBorders>
            <w:vAlign w:val="center"/>
          </w:tcPr>
          <w:p w14:paraId="4C118B2F">
            <w:pPr>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本</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项目</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最高限价</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220000.00</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w:t>
            </w:r>
            <w:r>
              <w:rPr>
                <w:rFonts w:hint="eastAsia" w:asciiTheme="minorEastAsia" w:hAnsiTheme="minorEastAsia" w:eastAsiaTheme="minorEastAsia" w:cstheme="minorEastAsia"/>
                <w:color w:val="auto"/>
                <w:kern w:val="2"/>
                <w:sz w:val="21"/>
                <w:szCs w:val="21"/>
                <w:highlight w:val="none"/>
                <w:lang w:val="en-US" w:eastAsia="zh-CN" w:bidi="ar-SA"/>
              </w:rPr>
              <w:t xml:space="preserve"> ；</w:t>
            </w:r>
            <w:r>
              <w:rPr>
                <w:rFonts w:hint="eastAsia" w:asciiTheme="minorEastAsia" w:hAnsiTheme="minorEastAsia" w:eastAsiaTheme="minorEastAsia" w:cstheme="minorEastAsia"/>
                <w:color w:val="auto"/>
                <w:sz w:val="21"/>
                <w:szCs w:val="21"/>
                <w:highlight w:val="none"/>
              </w:rPr>
              <w:t>投标人报价超出最高限价的，作为不实质性响应</w:t>
            </w:r>
            <w:r>
              <w:rPr>
                <w:rFonts w:hint="eastAsia" w:asciiTheme="minorEastAsia" w:hAnsiTheme="minorEastAsia" w:eastAsiaTheme="minorEastAsia" w:cstheme="minorEastAsia"/>
                <w:color w:val="auto"/>
                <w:sz w:val="21"/>
                <w:szCs w:val="21"/>
                <w:highlight w:val="none"/>
                <w:lang w:val="en-US" w:eastAsia="zh-CN"/>
              </w:rPr>
              <w:t>采购文件</w:t>
            </w:r>
            <w:r>
              <w:rPr>
                <w:rFonts w:hint="eastAsia" w:asciiTheme="minorEastAsia" w:hAnsiTheme="minorEastAsia" w:eastAsiaTheme="minorEastAsia" w:cstheme="minorEastAsia"/>
                <w:color w:val="auto"/>
                <w:sz w:val="21"/>
                <w:szCs w:val="21"/>
                <w:highlight w:val="none"/>
              </w:rPr>
              <w:t>，按</w:t>
            </w:r>
            <w:r>
              <w:rPr>
                <w:rFonts w:hint="eastAsia" w:asciiTheme="minorEastAsia" w:hAnsiTheme="minorEastAsia" w:eastAsiaTheme="minorEastAsia" w:cstheme="minorEastAsia"/>
                <w:b/>
                <w:color w:val="auto"/>
                <w:sz w:val="21"/>
                <w:szCs w:val="21"/>
                <w:highlight w:val="none"/>
              </w:rPr>
              <w:t>无效投标</w:t>
            </w:r>
            <w:r>
              <w:rPr>
                <w:rFonts w:hint="eastAsia" w:asciiTheme="minorEastAsia" w:hAnsiTheme="minorEastAsia" w:eastAsiaTheme="minorEastAsia" w:cstheme="minorEastAsia"/>
                <w:color w:val="auto"/>
                <w:sz w:val="21"/>
                <w:szCs w:val="21"/>
                <w:highlight w:val="none"/>
              </w:rPr>
              <w:t>处理</w:t>
            </w:r>
          </w:p>
        </w:tc>
      </w:tr>
      <w:tr w14:paraId="1F646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775" w:type="dxa"/>
            <w:vAlign w:val="center"/>
          </w:tcPr>
          <w:p w14:paraId="49F17BD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w:t>
            </w:r>
          </w:p>
        </w:tc>
        <w:tc>
          <w:tcPr>
            <w:tcW w:w="2007" w:type="dxa"/>
            <w:vAlign w:val="center"/>
          </w:tcPr>
          <w:p w14:paraId="63C4F87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资金来源</w:t>
            </w:r>
          </w:p>
        </w:tc>
        <w:tc>
          <w:tcPr>
            <w:tcW w:w="6836" w:type="dxa"/>
            <w:vAlign w:val="center"/>
          </w:tcPr>
          <w:p w14:paraId="121FF7A9">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自筹</w:t>
            </w:r>
          </w:p>
        </w:tc>
      </w:tr>
      <w:tr w14:paraId="42163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775" w:type="dxa"/>
            <w:vAlign w:val="center"/>
          </w:tcPr>
          <w:p w14:paraId="4EAC26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w:t>
            </w:r>
          </w:p>
        </w:tc>
        <w:tc>
          <w:tcPr>
            <w:tcW w:w="2007" w:type="dxa"/>
            <w:vAlign w:val="center"/>
          </w:tcPr>
          <w:p w14:paraId="3DD7703B">
            <w:pPr>
              <w:pStyle w:val="85"/>
              <w:pageBreakBefore w:val="0"/>
              <w:widowControl w:val="0"/>
              <w:kinsoku/>
              <w:wordWrap/>
              <w:overflowPunct/>
              <w:topLinePunct w:val="0"/>
              <w:bidi w:val="0"/>
              <w:snapToGrid/>
              <w:spacing w:line="320" w:lineRule="exact"/>
              <w:ind w:left="38"/>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是否预留份额专门</w:t>
            </w:r>
          </w:p>
          <w:p w14:paraId="4AF1C296">
            <w:pPr>
              <w:pStyle w:val="85"/>
              <w:pageBreakBefore w:val="0"/>
              <w:widowControl w:val="0"/>
              <w:kinsoku/>
              <w:wordWrap/>
              <w:overflowPunct/>
              <w:topLinePunct w:val="0"/>
              <w:bidi w:val="0"/>
              <w:snapToGrid/>
              <w:spacing w:line="320" w:lineRule="exact"/>
              <w:ind w:left="38" w:left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面向中小企业采购</w:t>
            </w:r>
          </w:p>
        </w:tc>
        <w:tc>
          <w:tcPr>
            <w:tcW w:w="6836" w:type="dxa"/>
            <w:vAlign w:val="center"/>
          </w:tcPr>
          <w:p w14:paraId="169E642C">
            <w:pPr>
              <w:pStyle w:val="85"/>
              <w:pageBreakBefore w:val="0"/>
              <w:widowControl w:val="0"/>
              <w:kinsoku/>
              <w:wordWrap/>
              <w:overflowPunct/>
              <w:topLinePunct w:val="0"/>
              <w:bidi w:val="0"/>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val="0"/>
                <w:kern w:val="2"/>
                <w:sz w:val="21"/>
                <w:szCs w:val="21"/>
                <w:highlight w:val="none"/>
                <w:lang w:val="en-US" w:eastAsia="zh-CN" w:bidi="ar-SA"/>
              </w:rPr>
              <w:t>本项目专门面向中小企业采购，供应商应当为中小企业（含残疾人福利性单位、监狱企业）</w:t>
            </w:r>
          </w:p>
        </w:tc>
      </w:tr>
      <w:tr w14:paraId="772FE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75" w:type="dxa"/>
            <w:vAlign w:val="center"/>
          </w:tcPr>
          <w:p w14:paraId="138F6C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2007" w:type="dxa"/>
            <w:vAlign w:val="center"/>
          </w:tcPr>
          <w:p w14:paraId="63D282AA">
            <w:pPr>
              <w:pStyle w:val="85"/>
              <w:pageBreakBefore w:val="0"/>
              <w:widowControl w:val="0"/>
              <w:kinsoku/>
              <w:wordWrap/>
              <w:overflowPunct/>
              <w:topLinePunct w:val="0"/>
              <w:bidi w:val="0"/>
              <w:snapToGrid/>
              <w:spacing w:line="320" w:lineRule="exact"/>
              <w:ind w:left="38" w:left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采购需求</w:t>
            </w:r>
          </w:p>
        </w:tc>
        <w:tc>
          <w:tcPr>
            <w:tcW w:w="6836" w:type="dxa"/>
            <w:vAlign w:val="center"/>
          </w:tcPr>
          <w:p w14:paraId="35F3D36C">
            <w:pPr>
              <w:pStyle w:val="85"/>
              <w:pageBreakBefore w:val="0"/>
              <w:widowControl w:val="0"/>
              <w:kinsoku/>
              <w:wordWrap/>
              <w:overflowPunct/>
              <w:topLinePunct w:val="0"/>
              <w:bidi w:val="0"/>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详见</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lang w:val="zh-CN"/>
              </w:rPr>
              <w:t>文件第</w:t>
            </w:r>
            <w:r>
              <w:rPr>
                <w:rFonts w:hint="eastAsia" w:asciiTheme="minorEastAsia" w:hAnsiTheme="minorEastAsia" w:eastAsiaTheme="minorEastAsia" w:cstheme="minorEastAsia"/>
                <w:color w:val="auto"/>
                <w:sz w:val="21"/>
                <w:szCs w:val="21"/>
                <w:highlight w:val="none"/>
                <w:lang w:val="en-US" w:eastAsia="zh-CN"/>
              </w:rPr>
              <w:t>五</w:t>
            </w:r>
            <w:r>
              <w:rPr>
                <w:rFonts w:hint="eastAsia" w:asciiTheme="minorEastAsia" w:hAnsiTheme="minorEastAsia" w:eastAsiaTheme="minorEastAsia" w:cstheme="minorEastAsia"/>
                <w:color w:val="auto"/>
                <w:sz w:val="21"/>
                <w:szCs w:val="21"/>
                <w:highlight w:val="none"/>
                <w:lang w:val="zh-CN"/>
              </w:rPr>
              <w:t>章</w:t>
            </w:r>
          </w:p>
        </w:tc>
      </w:tr>
      <w:tr w14:paraId="76617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75" w:type="dxa"/>
            <w:vAlign w:val="center"/>
          </w:tcPr>
          <w:p w14:paraId="694A11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w:t>
            </w:r>
          </w:p>
        </w:tc>
        <w:tc>
          <w:tcPr>
            <w:tcW w:w="2007" w:type="dxa"/>
            <w:vAlign w:val="center"/>
          </w:tcPr>
          <w:p w14:paraId="1DAF744A">
            <w:pPr>
              <w:pStyle w:val="85"/>
              <w:pageBreakBefore w:val="0"/>
              <w:widowControl w:val="0"/>
              <w:kinsoku/>
              <w:wordWrap/>
              <w:overflowPunct/>
              <w:topLinePunct w:val="0"/>
              <w:bidi w:val="0"/>
              <w:snapToGrid/>
              <w:spacing w:line="320" w:lineRule="exact"/>
              <w:ind w:left="38" w:leftChars="0"/>
              <w:jc w:val="center"/>
              <w:textAlignment w:val="auto"/>
              <w:rPr>
                <w:rFonts w:hint="eastAsia" w:asciiTheme="minorEastAsia" w:hAnsiTheme="minorEastAsia" w:eastAsiaTheme="minorEastAsia" w:cstheme="minorEastAsia"/>
                <w:color w:val="auto"/>
                <w:kern w:val="0"/>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lang w:val="zh-CN"/>
              </w:rPr>
              <w:t>合同价格形式</w:t>
            </w:r>
          </w:p>
        </w:tc>
        <w:tc>
          <w:tcPr>
            <w:tcW w:w="6836" w:type="dxa"/>
            <w:vAlign w:val="center"/>
          </w:tcPr>
          <w:p w14:paraId="158D82E4">
            <w:pPr>
              <w:pStyle w:val="85"/>
              <w:pageBreakBefore w:val="0"/>
              <w:widowControl w:val="0"/>
              <w:kinsoku/>
              <w:wordWrap/>
              <w:overflowPunct/>
              <w:topLinePunct w:val="0"/>
              <w:bidi w:val="0"/>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固定总价合同</w:t>
            </w:r>
          </w:p>
        </w:tc>
      </w:tr>
      <w:tr w14:paraId="7F403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775" w:type="dxa"/>
            <w:vAlign w:val="center"/>
          </w:tcPr>
          <w:p w14:paraId="6851B4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w:t>
            </w:r>
          </w:p>
        </w:tc>
        <w:tc>
          <w:tcPr>
            <w:tcW w:w="2007" w:type="dxa"/>
            <w:vAlign w:val="center"/>
          </w:tcPr>
          <w:p w14:paraId="28F55F0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服务期（合同履行期）</w:t>
            </w:r>
          </w:p>
        </w:tc>
        <w:tc>
          <w:tcPr>
            <w:tcW w:w="6836" w:type="dxa"/>
            <w:vAlign w:val="center"/>
          </w:tcPr>
          <w:p w14:paraId="0F37B5DB">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合同签订后6个月内完成</w:t>
            </w:r>
          </w:p>
        </w:tc>
      </w:tr>
      <w:tr w14:paraId="60D33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775" w:type="dxa"/>
            <w:vAlign w:val="center"/>
          </w:tcPr>
          <w:p w14:paraId="66EE04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w:t>
            </w:r>
          </w:p>
        </w:tc>
        <w:tc>
          <w:tcPr>
            <w:tcW w:w="2007" w:type="dxa"/>
            <w:vAlign w:val="center"/>
          </w:tcPr>
          <w:p w14:paraId="64F4B86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服务地点</w:t>
            </w:r>
          </w:p>
        </w:tc>
        <w:tc>
          <w:tcPr>
            <w:tcW w:w="6836" w:type="dxa"/>
            <w:vAlign w:val="center"/>
          </w:tcPr>
          <w:p w14:paraId="7FEC5022">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宝鸡市麟游县</w:t>
            </w:r>
          </w:p>
        </w:tc>
      </w:tr>
      <w:tr w14:paraId="0A03B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5" w:type="dxa"/>
            <w:vAlign w:val="center"/>
          </w:tcPr>
          <w:p w14:paraId="7960347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14</w:t>
            </w:r>
          </w:p>
        </w:tc>
        <w:tc>
          <w:tcPr>
            <w:tcW w:w="2007" w:type="dxa"/>
            <w:vAlign w:val="center"/>
          </w:tcPr>
          <w:p w14:paraId="6631515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质量标准</w:t>
            </w:r>
          </w:p>
        </w:tc>
        <w:tc>
          <w:tcPr>
            <w:tcW w:w="6836" w:type="dxa"/>
            <w:vAlign w:val="center"/>
          </w:tcPr>
          <w:p w14:paraId="068F62A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合格</w:t>
            </w:r>
          </w:p>
        </w:tc>
      </w:tr>
      <w:tr w14:paraId="343D2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75" w:type="dxa"/>
            <w:vAlign w:val="center"/>
          </w:tcPr>
          <w:p w14:paraId="48CBF2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w:t>
            </w:r>
          </w:p>
        </w:tc>
        <w:tc>
          <w:tcPr>
            <w:tcW w:w="2007" w:type="dxa"/>
            <w:vAlign w:val="center"/>
          </w:tcPr>
          <w:p w14:paraId="6AAD594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spacing w:val="-28"/>
                <w:kern w:val="0"/>
                <w:sz w:val="21"/>
                <w:szCs w:val="21"/>
                <w:highlight w:val="none"/>
              </w:rPr>
            </w:pPr>
            <w:r>
              <w:rPr>
                <w:rFonts w:hint="eastAsia" w:asciiTheme="minorEastAsia" w:hAnsiTheme="minorEastAsia" w:eastAsiaTheme="minorEastAsia" w:cstheme="minorEastAsia"/>
                <w:color w:val="auto"/>
                <w:sz w:val="21"/>
                <w:szCs w:val="21"/>
                <w:highlight w:val="none"/>
                <w:lang w:val="zh-CN"/>
              </w:rPr>
              <w:t>联合体投标</w:t>
            </w:r>
          </w:p>
        </w:tc>
        <w:tc>
          <w:tcPr>
            <w:tcW w:w="6836" w:type="dxa"/>
            <w:vAlign w:val="center"/>
          </w:tcPr>
          <w:p w14:paraId="1C414D47">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不接受</w:t>
            </w:r>
          </w:p>
        </w:tc>
      </w:tr>
      <w:tr w14:paraId="6E74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775" w:type="dxa"/>
            <w:vAlign w:val="center"/>
          </w:tcPr>
          <w:p w14:paraId="03D7B6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16</w:t>
            </w:r>
          </w:p>
        </w:tc>
        <w:tc>
          <w:tcPr>
            <w:tcW w:w="2007" w:type="dxa"/>
            <w:vAlign w:val="center"/>
          </w:tcPr>
          <w:p w14:paraId="1DCC1BF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现场勘查、标前答疑会</w:t>
            </w:r>
          </w:p>
        </w:tc>
        <w:tc>
          <w:tcPr>
            <w:tcW w:w="6836" w:type="dxa"/>
            <w:vAlign w:val="center"/>
          </w:tcPr>
          <w:p w14:paraId="7F9C011E">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不组织。采购人认为有必要，另行书面通知。</w:t>
            </w:r>
          </w:p>
        </w:tc>
      </w:tr>
      <w:tr w14:paraId="1EAF2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75" w:type="dxa"/>
            <w:vAlign w:val="center"/>
          </w:tcPr>
          <w:p w14:paraId="5AA6DA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17</w:t>
            </w:r>
          </w:p>
        </w:tc>
        <w:tc>
          <w:tcPr>
            <w:tcW w:w="2007" w:type="dxa"/>
            <w:vAlign w:val="center"/>
          </w:tcPr>
          <w:p w14:paraId="378B5D4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文件的其他文件</w:t>
            </w:r>
          </w:p>
        </w:tc>
        <w:tc>
          <w:tcPr>
            <w:tcW w:w="6836" w:type="dxa"/>
            <w:vAlign w:val="center"/>
          </w:tcPr>
          <w:p w14:paraId="10A4445A">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文件的澄清、修改书及有关补充通知为</w:t>
            </w: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文件的有效组成部分。</w:t>
            </w:r>
          </w:p>
        </w:tc>
      </w:tr>
      <w:tr w14:paraId="3586B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75" w:type="dxa"/>
            <w:vAlign w:val="center"/>
          </w:tcPr>
          <w:p w14:paraId="7F1CE1D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18</w:t>
            </w:r>
          </w:p>
        </w:tc>
        <w:tc>
          <w:tcPr>
            <w:tcW w:w="2007" w:type="dxa"/>
            <w:vAlign w:val="center"/>
          </w:tcPr>
          <w:p w14:paraId="2C213C2B">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投标人对磋商文件</w:t>
            </w:r>
          </w:p>
          <w:p w14:paraId="7EEBDC0C">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提出质疑的时间、形式</w:t>
            </w:r>
          </w:p>
        </w:tc>
        <w:tc>
          <w:tcPr>
            <w:tcW w:w="6836" w:type="dxa"/>
            <w:vAlign w:val="center"/>
          </w:tcPr>
          <w:p w14:paraId="59C01C5C">
            <w:pPr>
              <w:pStyle w:val="85"/>
              <w:pageBreakBefore w:val="0"/>
              <w:widowControl w:val="0"/>
              <w:kinsoku/>
              <w:wordWrap/>
              <w:overflowPunct/>
              <w:topLinePunct w:val="0"/>
              <w:bidi w:val="0"/>
              <w:snapToGrid/>
              <w:spacing w:line="320" w:lineRule="exact"/>
              <w:ind w:left="840" w:leftChars="100" w:hanging="630" w:hangingChars="3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时间：自投标人下载磋商文件之日起7个工作日内，超过期限的采购人或采购代理机构不再受理</w:t>
            </w:r>
          </w:p>
          <w:p w14:paraId="5049E2C6">
            <w:pPr>
              <w:pStyle w:val="85"/>
              <w:pageBreakBefore w:val="0"/>
              <w:widowControl w:val="0"/>
              <w:kinsoku/>
              <w:wordWrap/>
              <w:overflowPunct/>
              <w:topLinePunct w:val="0"/>
              <w:bidi w:val="0"/>
              <w:snapToGrid/>
              <w:spacing w:line="320" w:lineRule="exact"/>
              <w:ind w:firstLine="210" w:firstLineChars="1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形式：☑书面</w:t>
            </w:r>
          </w:p>
          <w:p w14:paraId="11BEC8D0">
            <w:pPr>
              <w:pStyle w:val="85"/>
              <w:pageBreakBefore w:val="0"/>
              <w:widowControl w:val="0"/>
              <w:kinsoku/>
              <w:wordWrap/>
              <w:overflowPunct/>
              <w:topLinePunct w:val="0"/>
              <w:bidi w:val="0"/>
              <w:snapToGrid/>
              <w:spacing w:line="320" w:lineRule="exact"/>
              <w:ind w:firstLine="210" w:firstLineChars="1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 xml:space="preserve">      □在线（电子文件）</w:t>
            </w:r>
          </w:p>
          <w:p w14:paraId="62881665">
            <w:pPr>
              <w:pStyle w:val="85"/>
              <w:pageBreakBefore w:val="0"/>
              <w:widowControl w:val="0"/>
              <w:kinsoku/>
              <w:wordWrap/>
              <w:overflowPunct/>
              <w:topLinePunct w:val="0"/>
              <w:bidi w:val="0"/>
              <w:snapToGrid/>
              <w:spacing w:line="320" w:lineRule="exact"/>
              <w:ind w:firstLine="210" w:firstLineChars="1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投标人认为采购过程、成交结果使自己的权益受到损害的，可以在知道或应知其权益受到损害之日起7个工作日内提出质疑，形式同上</w:t>
            </w:r>
          </w:p>
        </w:tc>
      </w:tr>
      <w:tr w14:paraId="624B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775" w:type="dxa"/>
            <w:vAlign w:val="center"/>
          </w:tcPr>
          <w:p w14:paraId="4C6E9B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19</w:t>
            </w:r>
          </w:p>
        </w:tc>
        <w:tc>
          <w:tcPr>
            <w:tcW w:w="2007" w:type="dxa"/>
            <w:vAlign w:val="center"/>
          </w:tcPr>
          <w:p w14:paraId="6FF6C07E">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对投标人提出质疑</w:t>
            </w:r>
          </w:p>
          <w:p w14:paraId="1AE89054">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答复时间、形式</w:t>
            </w:r>
          </w:p>
        </w:tc>
        <w:tc>
          <w:tcPr>
            <w:tcW w:w="6836" w:type="dxa"/>
            <w:vAlign w:val="center"/>
          </w:tcPr>
          <w:p w14:paraId="23401D4F">
            <w:pPr>
              <w:pStyle w:val="85"/>
              <w:pageBreakBefore w:val="0"/>
              <w:widowControl w:val="0"/>
              <w:kinsoku/>
              <w:wordWrap/>
              <w:overflowPunct/>
              <w:topLinePunct w:val="0"/>
              <w:bidi w:val="0"/>
              <w:snapToGrid/>
              <w:spacing w:line="320" w:lineRule="exact"/>
              <w:ind w:firstLine="210" w:firstLineChars="1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时间：自收到投标人质疑函之日起7个工作日内</w:t>
            </w:r>
          </w:p>
          <w:p w14:paraId="5F2D97E9">
            <w:pPr>
              <w:pStyle w:val="85"/>
              <w:pageBreakBefore w:val="0"/>
              <w:widowControl w:val="0"/>
              <w:kinsoku/>
              <w:wordWrap/>
              <w:overflowPunct/>
              <w:topLinePunct w:val="0"/>
              <w:bidi w:val="0"/>
              <w:snapToGrid/>
              <w:spacing w:line="320" w:lineRule="exact"/>
              <w:ind w:firstLine="210" w:firstLineChars="1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形式：书面形式</w:t>
            </w:r>
          </w:p>
        </w:tc>
      </w:tr>
      <w:tr w14:paraId="56A8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775" w:type="dxa"/>
            <w:vAlign w:val="center"/>
          </w:tcPr>
          <w:p w14:paraId="451D95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20</w:t>
            </w:r>
          </w:p>
        </w:tc>
        <w:tc>
          <w:tcPr>
            <w:tcW w:w="2007" w:type="dxa"/>
            <w:vAlign w:val="center"/>
          </w:tcPr>
          <w:p w14:paraId="50C2DDC5">
            <w:pPr>
              <w:pStyle w:val="85"/>
              <w:pageBreakBefore w:val="0"/>
              <w:widowControl w:val="0"/>
              <w:kinsoku/>
              <w:wordWrap/>
              <w:overflowPunct/>
              <w:topLinePunct w:val="0"/>
              <w:bidi w:val="0"/>
              <w:snapToGrid/>
              <w:spacing w:line="320" w:lineRule="exact"/>
              <w:ind w:left="33" w:lef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lang w:val="zh-CN"/>
              </w:rPr>
              <w:t>有效期</w:t>
            </w:r>
          </w:p>
        </w:tc>
        <w:tc>
          <w:tcPr>
            <w:tcW w:w="6836" w:type="dxa"/>
            <w:vAlign w:val="center"/>
          </w:tcPr>
          <w:p w14:paraId="267CFE96">
            <w:pPr>
              <w:pStyle w:val="85"/>
              <w:pageBreakBefore w:val="0"/>
              <w:widowControl w:val="0"/>
              <w:kinsoku/>
              <w:wordWrap/>
              <w:overflowPunct/>
              <w:topLinePunct w:val="0"/>
              <w:bidi w:val="0"/>
              <w:snapToGrid/>
              <w:spacing w:line="320" w:lineRule="exact"/>
              <w:ind w:firstLine="210" w:firstLineChars="1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从投标截止日起90日历</w:t>
            </w:r>
            <w:r>
              <w:rPr>
                <w:rFonts w:hint="eastAsia" w:asciiTheme="minorEastAsia" w:hAnsiTheme="minorEastAsia" w:eastAsiaTheme="minorEastAsia" w:cstheme="minorEastAsia"/>
                <w:color w:val="auto"/>
                <w:sz w:val="21"/>
                <w:szCs w:val="21"/>
                <w:highlight w:val="none"/>
              </w:rPr>
              <w:t>天</w:t>
            </w:r>
            <w:r>
              <w:rPr>
                <w:rFonts w:hint="eastAsia" w:asciiTheme="minorEastAsia" w:hAnsiTheme="minorEastAsia" w:eastAsiaTheme="minorEastAsia" w:cstheme="minorEastAsia"/>
                <w:color w:val="auto"/>
                <w:sz w:val="21"/>
                <w:szCs w:val="21"/>
                <w:highlight w:val="none"/>
                <w:lang w:val="en-US" w:eastAsia="zh-CN"/>
              </w:rPr>
              <w:t xml:space="preserve">  </w:t>
            </w:r>
          </w:p>
        </w:tc>
      </w:tr>
      <w:tr w14:paraId="5FF43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75" w:type="dxa"/>
            <w:vAlign w:val="center"/>
          </w:tcPr>
          <w:p w14:paraId="44726A6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w:t>
            </w:r>
          </w:p>
        </w:tc>
        <w:tc>
          <w:tcPr>
            <w:tcW w:w="2007" w:type="dxa"/>
            <w:vAlign w:val="center"/>
          </w:tcPr>
          <w:p w14:paraId="763AE28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w:t>
            </w:r>
          </w:p>
          <w:p w14:paraId="70F6349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保证金</w:t>
            </w:r>
          </w:p>
        </w:tc>
        <w:tc>
          <w:tcPr>
            <w:tcW w:w="6836" w:type="dxa"/>
            <w:vAlign w:val="top"/>
          </w:tcPr>
          <w:p w14:paraId="14EE119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磋商保证金</w:t>
            </w:r>
            <w:r>
              <w:rPr>
                <w:rFonts w:hint="eastAsia" w:asciiTheme="minorEastAsia" w:hAnsiTheme="minorEastAsia" w:eastAsiaTheme="minorEastAsia" w:cstheme="minorEastAsia"/>
                <w:color w:val="auto"/>
                <w:sz w:val="21"/>
                <w:szCs w:val="21"/>
                <w:highlight w:val="none"/>
              </w:rPr>
              <w:t>的金额：￥</w:t>
            </w:r>
            <w:r>
              <w:rPr>
                <w:rFonts w:hint="eastAsia" w:asciiTheme="minorEastAsia" w:hAnsiTheme="minorEastAsia" w:eastAsiaTheme="minorEastAsia" w:cstheme="minorEastAsia"/>
                <w:color w:val="auto"/>
                <w:sz w:val="21"/>
                <w:szCs w:val="21"/>
                <w:highlight w:val="none"/>
                <w:u w:val="single"/>
                <w:lang w:val="en-US" w:eastAsia="zh-CN"/>
              </w:rPr>
              <w:t>5000</w:t>
            </w:r>
            <w:r>
              <w:rPr>
                <w:rFonts w:hint="eastAsia" w:asciiTheme="minorEastAsia" w:hAnsiTheme="minorEastAsia" w:eastAsiaTheme="minorEastAsia" w:cstheme="minorEastAsia"/>
                <w:color w:val="auto"/>
                <w:sz w:val="21"/>
                <w:szCs w:val="21"/>
                <w:highlight w:val="none"/>
                <w:u w:val="single"/>
              </w:rPr>
              <w:t>.00元</w:t>
            </w:r>
          </w:p>
          <w:p w14:paraId="2E3AE8A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磋商保证金</w:t>
            </w:r>
            <w:r>
              <w:rPr>
                <w:rFonts w:hint="eastAsia" w:asciiTheme="minorEastAsia" w:hAnsiTheme="minorEastAsia" w:eastAsiaTheme="minorEastAsia" w:cstheme="minorEastAsia"/>
                <w:color w:val="auto"/>
                <w:sz w:val="21"/>
                <w:szCs w:val="21"/>
                <w:highlight w:val="none"/>
              </w:rPr>
              <w:t>的形式：以银行转账或者金融机构、担保机构</w:t>
            </w:r>
            <w:r>
              <w:rPr>
                <w:rFonts w:hint="eastAsia" w:asciiTheme="minorEastAsia" w:hAnsiTheme="minorEastAsia" w:eastAsiaTheme="minorEastAsia" w:cstheme="minorEastAsia"/>
                <w:color w:val="auto"/>
                <w:sz w:val="21"/>
                <w:szCs w:val="21"/>
                <w:highlight w:val="none"/>
                <w:lang w:eastAsia="zh-CN"/>
              </w:rPr>
              <w:t>出</w:t>
            </w:r>
            <w:r>
              <w:rPr>
                <w:rFonts w:hint="eastAsia" w:asciiTheme="minorEastAsia" w:hAnsiTheme="minorEastAsia" w:eastAsiaTheme="minorEastAsia" w:cstheme="minorEastAsia"/>
                <w:color w:val="auto"/>
                <w:sz w:val="21"/>
                <w:szCs w:val="21"/>
                <w:highlight w:val="none"/>
              </w:rPr>
              <w:t>具的保函等非现金形式提交。银行转账可以采取支票、电汇、网银、汇票、本票等方式，均应从基本账户转出</w:t>
            </w:r>
            <w:r>
              <w:rPr>
                <w:rFonts w:hint="eastAsia" w:asciiTheme="minorEastAsia" w:hAnsiTheme="minorEastAsia" w:eastAsiaTheme="minorEastAsia" w:cstheme="minorEastAsia"/>
                <w:color w:val="auto"/>
                <w:sz w:val="21"/>
                <w:szCs w:val="21"/>
                <w:highlight w:val="none"/>
                <w:lang w:val="en-US" w:eastAsia="zh-CN"/>
              </w:rPr>
              <w:t>磋商保证金</w:t>
            </w:r>
            <w:r>
              <w:rPr>
                <w:rFonts w:hint="eastAsia" w:asciiTheme="minorEastAsia" w:hAnsiTheme="minorEastAsia" w:eastAsiaTheme="minorEastAsia" w:cstheme="minorEastAsia"/>
                <w:color w:val="auto"/>
                <w:sz w:val="21"/>
                <w:szCs w:val="21"/>
                <w:highlight w:val="none"/>
              </w:rPr>
              <w:t>的收款单位：</w:t>
            </w:r>
          </w:p>
          <w:p w14:paraId="1C7FF3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户    名：中智达项目管理有限公司宝鸡分公司</w:t>
            </w:r>
          </w:p>
          <w:p w14:paraId="5D69F1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开 户 行：华夏银行宝鸡分行营业部</w:t>
            </w:r>
          </w:p>
          <w:p w14:paraId="16ABB93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银行账号：18130000000142543</w:t>
            </w:r>
          </w:p>
          <w:p w14:paraId="2E50A14C">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rPr>
              <w:t>注：请各</w:t>
            </w:r>
            <w:r>
              <w:rPr>
                <w:rFonts w:hint="eastAsia" w:asciiTheme="minorEastAsia" w:hAnsiTheme="minorEastAsia" w:eastAsiaTheme="minorEastAsia" w:cstheme="minorEastAsia"/>
                <w:b/>
                <w:bCs/>
                <w:color w:val="auto"/>
                <w:sz w:val="21"/>
                <w:szCs w:val="21"/>
                <w:highlight w:val="none"/>
                <w:lang w:val="en-US" w:eastAsia="zh-CN"/>
              </w:rPr>
              <w:t>投标人</w:t>
            </w:r>
            <w:r>
              <w:rPr>
                <w:rFonts w:hint="eastAsia" w:asciiTheme="minorEastAsia" w:hAnsiTheme="minorEastAsia" w:eastAsiaTheme="minorEastAsia" w:cstheme="minorEastAsia"/>
                <w:b/>
                <w:bCs/>
                <w:color w:val="auto"/>
                <w:sz w:val="21"/>
                <w:szCs w:val="21"/>
                <w:highlight w:val="none"/>
              </w:rPr>
              <w:t>按照要求及时缴纳</w:t>
            </w:r>
            <w:r>
              <w:rPr>
                <w:rFonts w:hint="eastAsia" w:asciiTheme="minorEastAsia" w:hAnsiTheme="minorEastAsia" w:eastAsiaTheme="minorEastAsia" w:cstheme="minorEastAsia"/>
                <w:b/>
                <w:bCs/>
                <w:color w:val="auto"/>
                <w:sz w:val="21"/>
                <w:szCs w:val="21"/>
                <w:highlight w:val="none"/>
                <w:lang w:eastAsia="zh-CN"/>
              </w:rPr>
              <w:t>磋商保证金</w:t>
            </w:r>
            <w:r>
              <w:rPr>
                <w:rFonts w:hint="eastAsia" w:asciiTheme="minorEastAsia" w:hAnsiTheme="minorEastAsia" w:eastAsiaTheme="minorEastAsia" w:cstheme="minorEastAsia"/>
                <w:b/>
                <w:bCs/>
                <w:color w:val="auto"/>
                <w:sz w:val="21"/>
                <w:szCs w:val="21"/>
                <w:highlight w:val="none"/>
              </w:rPr>
              <w:t>，如因自身原因发生错误，产生的不利后果均由</w:t>
            </w:r>
            <w:r>
              <w:rPr>
                <w:rFonts w:hint="eastAsia" w:asciiTheme="minorEastAsia" w:hAnsiTheme="minorEastAsia" w:eastAsiaTheme="minorEastAsia" w:cstheme="minorEastAsia"/>
                <w:b/>
                <w:bCs/>
                <w:color w:val="auto"/>
                <w:sz w:val="21"/>
                <w:szCs w:val="21"/>
                <w:highlight w:val="none"/>
                <w:lang w:eastAsia="zh-CN"/>
              </w:rPr>
              <w:t>投标人</w:t>
            </w:r>
            <w:r>
              <w:rPr>
                <w:rFonts w:hint="eastAsia" w:asciiTheme="minorEastAsia" w:hAnsiTheme="minorEastAsia" w:eastAsiaTheme="minorEastAsia" w:cstheme="minorEastAsia"/>
                <w:b/>
                <w:bCs/>
                <w:color w:val="auto"/>
                <w:sz w:val="21"/>
                <w:szCs w:val="21"/>
                <w:highlight w:val="none"/>
              </w:rPr>
              <w:t>自行承担。</w:t>
            </w:r>
          </w:p>
          <w:p w14:paraId="037D6E3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投标人应按投标人须知前附表规定的金额、形式、时间和“投标文件格式”规定的</w:t>
            </w:r>
            <w:r>
              <w:rPr>
                <w:rFonts w:hint="eastAsia" w:asciiTheme="minorEastAsia" w:hAnsiTheme="minorEastAsia" w:eastAsiaTheme="minorEastAsia" w:cstheme="minorEastAsia"/>
                <w:color w:val="auto"/>
                <w:sz w:val="21"/>
                <w:szCs w:val="21"/>
                <w:highlight w:val="none"/>
                <w:lang w:eastAsia="zh-CN"/>
              </w:rPr>
              <w:t>磋商保证金</w:t>
            </w:r>
            <w:r>
              <w:rPr>
                <w:rFonts w:hint="eastAsia" w:asciiTheme="minorEastAsia" w:hAnsiTheme="minorEastAsia" w:eastAsiaTheme="minorEastAsia" w:cstheme="minorEastAsia"/>
                <w:color w:val="auto"/>
                <w:sz w:val="21"/>
                <w:szCs w:val="21"/>
                <w:highlight w:val="none"/>
              </w:rPr>
              <w:t>格式提交</w:t>
            </w:r>
            <w:r>
              <w:rPr>
                <w:rFonts w:hint="eastAsia" w:asciiTheme="minorEastAsia" w:hAnsiTheme="minorEastAsia" w:eastAsiaTheme="minorEastAsia" w:cstheme="minorEastAsia"/>
                <w:color w:val="auto"/>
                <w:sz w:val="21"/>
                <w:szCs w:val="21"/>
                <w:highlight w:val="none"/>
                <w:lang w:eastAsia="zh-CN"/>
              </w:rPr>
              <w:t>磋商保证金</w:t>
            </w:r>
            <w:r>
              <w:rPr>
                <w:rFonts w:hint="eastAsia" w:asciiTheme="minorEastAsia" w:hAnsiTheme="minorEastAsia" w:eastAsiaTheme="minorEastAsia" w:cstheme="minorEastAsia"/>
                <w:color w:val="auto"/>
                <w:sz w:val="21"/>
                <w:szCs w:val="21"/>
                <w:highlight w:val="none"/>
              </w:rPr>
              <w:t>，作为其投标文件的一部分。</w:t>
            </w:r>
          </w:p>
          <w:p w14:paraId="33E1A39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eastAsia="zh-CN"/>
              </w:rPr>
              <w:t>磋商保证金</w:t>
            </w:r>
            <w:r>
              <w:rPr>
                <w:rFonts w:hint="eastAsia" w:asciiTheme="minorEastAsia" w:hAnsiTheme="minorEastAsia" w:eastAsiaTheme="minorEastAsia" w:cstheme="minorEastAsia"/>
                <w:color w:val="auto"/>
                <w:sz w:val="21"/>
                <w:szCs w:val="21"/>
                <w:highlight w:val="none"/>
              </w:rPr>
              <w:t>可以银行转账或者金融机构、担保机构出具的保函等非现金形式提交：</w:t>
            </w:r>
          </w:p>
          <w:p w14:paraId="37F3F15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（1）以银行转账提交保证金的，可以采取支票、电汇、网银、汇票、本票等方式，应从其基本账户转出，并在投标文件中附上基本账户开户证明。</w:t>
            </w:r>
          </w:p>
          <w:p w14:paraId="2F893BF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（2）以信用担保函形式提交保证金的，应按招标文件规定的格式提交，且是行政有关部门认定的具有开具投标保函资格的单位开具的保函。投标人违约，开具保函单位承担连带责任。</w:t>
            </w:r>
          </w:p>
          <w:p w14:paraId="0EC24B8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投标人</w:t>
            </w:r>
            <w:r>
              <w:rPr>
                <w:rFonts w:hint="eastAsia" w:asciiTheme="minorEastAsia" w:hAnsiTheme="minorEastAsia" w:eastAsiaTheme="minorEastAsia" w:cstheme="minorEastAsia"/>
                <w:color w:val="auto"/>
                <w:sz w:val="21"/>
                <w:szCs w:val="21"/>
                <w:highlight w:val="none"/>
                <w:lang w:val="zh-CN"/>
              </w:rPr>
              <w:t>以保函形式缴纳</w:t>
            </w:r>
            <w:r>
              <w:rPr>
                <w:rFonts w:hint="eastAsia" w:asciiTheme="minorEastAsia" w:hAnsiTheme="minorEastAsia" w:eastAsiaTheme="minorEastAsia" w:cstheme="minorEastAsia"/>
                <w:color w:val="auto"/>
                <w:sz w:val="21"/>
                <w:szCs w:val="21"/>
                <w:highlight w:val="none"/>
                <w:lang w:val="en-US" w:eastAsia="zh-CN"/>
              </w:rPr>
              <w:t>磋商保证金</w:t>
            </w:r>
            <w:r>
              <w:rPr>
                <w:rFonts w:hint="eastAsia" w:asciiTheme="minorEastAsia" w:hAnsiTheme="minorEastAsia" w:eastAsiaTheme="minorEastAsia" w:cstheme="minorEastAsia"/>
                <w:color w:val="auto"/>
                <w:sz w:val="21"/>
                <w:szCs w:val="21"/>
                <w:highlight w:val="none"/>
                <w:lang w:val="zh-CN"/>
              </w:rPr>
              <w:t>的，须在</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lang w:val="zh-CN"/>
              </w:rPr>
              <w:t>文件递交截止时间前将担保机构保函正本原件提交至</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中智达项目管理有限公司</w:t>
            </w:r>
            <w:r>
              <w:rPr>
                <w:rFonts w:hint="eastAsia" w:asciiTheme="minorEastAsia" w:hAnsiTheme="minorEastAsia" w:eastAsiaTheme="minorEastAsia" w:cstheme="minorEastAsia"/>
                <w:color w:val="auto"/>
                <w:sz w:val="21"/>
                <w:szCs w:val="21"/>
                <w:highlight w:val="none"/>
                <w:lang w:val="zh-CN"/>
              </w:rPr>
              <w:t>，并将保函正本扫描件附在</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lang w:val="zh-CN"/>
              </w:rPr>
              <w:t>文件格式规定处</w:t>
            </w:r>
            <w:r>
              <w:rPr>
                <w:rFonts w:hint="eastAsia" w:asciiTheme="minorEastAsia" w:hAnsiTheme="minorEastAsia" w:eastAsiaTheme="minorEastAsia" w:cstheme="minorEastAsia"/>
                <w:color w:val="auto"/>
                <w:sz w:val="21"/>
                <w:szCs w:val="21"/>
                <w:highlight w:val="none"/>
              </w:rPr>
              <w:t>。</w:t>
            </w:r>
          </w:p>
          <w:p w14:paraId="79F0536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投标人未按要求提交</w:t>
            </w:r>
            <w:r>
              <w:rPr>
                <w:rFonts w:hint="eastAsia" w:asciiTheme="minorEastAsia" w:hAnsiTheme="minorEastAsia" w:eastAsiaTheme="minorEastAsia" w:cstheme="minorEastAsia"/>
                <w:color w:val="auto"/>
                <w:sz w:val="21"/>
                <w:szCs w:val="21"/>
                <w:highlight w:val="none"/>
                <w:lang w:eastAsia="zh-CN"/>
              </w:rPr>
              <w:t>磋商保证金</w:t>
            </w:r>
            <w:r>
              <w:rPr>
                <w:rFonts w:hint="eastAsia" w:asciiTheme="minorEastAsia" w:hAnsiTheme="minorEastAsia" w:eastAsiaTheme="minorEastAsia" w:cstheme="minorEastAsia"/>
                <w:color w:val="auto"/>
                <w:sz w:val="21"/>
                <w:szCs w:val="21"/>
                <w:highlight w:val="none"/>
              </w:rPr>
              <w:t>的，或者由于到账时间晚于投标截止时间的，或者票据错误、印鉴不清等原因导致不能到账的，</w:t>
            </w:r>
            <w:r>
              <w:rPr>
                <w:rFonts w:hint="eastAsia" w:asciiTheme="minorEastAsia" w:hAnsiTheme="minorEastAsia" w:eastAsiaTheme="minorEastAsia" w:cstheme="minorEastAsia"/>
                <w:b/>
                <w:color w:val="auto"/>
                <w:sz w:val="21"/>
                <w:szCs w:val="21"/>
                <w:highlight w:val="none"/>
              </w:rPr>
              <w:t>其投标无效</w:t>
            </w:r>
            <w:r>
              <w:rPr>
                <w:rFonts w:hint="eastAsia" w:asciiTheme="minorEastAsia" w:hAnsiTheme="minorEastAsia" w:eastAsiaTheme="minorEastAsia" w:cstheme="minorEastAsia"/>
                <w:color w:val="auto"/>
                <w:sz w:val="21"/>
                <w:szCs w:val="21"/>
                <w:highlight w:val="none"/>
              </w:rPr>
              <w:t>。</w:t>
            </w:r>
          </w:p>
        </w:tc>
      </w:tr>
      <w:tr w14:paraId="251FD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775" w:type="dxa"/>
            <w:vAlign w:val="center"/>
          </w:tcPr>
          <w:p w14:paraId="3AFE7D2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22</w:t>
            </w:r>
          </w:p>
        </w:tc>
        <w:tc>
          <w:tcPr>
            <w:tcW w:w="2007" w:type="dxa"/>
            <w:vAlign w:val="center"/>
          </w:tcPr>
          <w:p w14:paraId="7A626A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备选磋商方案</w:t>
            </w:r>
          </w:p>
          <w:p w14:paraId="47A6B27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和 报 价</w:t>
            </w:r>
          </w:p>
        </w:tc>
        <w:tc>
          <w:tcPr>
            <w:tcW w:w="6836" w:type="dxa"/>
            <w:vAlign w:val="center"/>
          </w:tcPr>
          <w:p w14:paraId="5E8C9FA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不接受备选磋商方案和多个报价。</w:t>
            </w:r>
          </w:p>
        </w:tc>
      </w:tr>
      <w:tr w14:paraId="14BA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775" w:type="dxa"/>
            <w:vAlign w:val="center"/>
          </w:tcPr>
          <w:p w14:paraId="5A4FCC2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w:t>
            </w:r>
          </w:p>
        </w:tc>
        <w:tc>
          <w:tcPr>
            <w:tcW w:w="2007" w:type="dxa"/>
            <w:vAlign w:val="center"/>
          </w:tcPr>
          <w:p w14:paraId="083FECD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盖章签字</w:t>
            </w:r>
          </w:p>
        </w:tc>
        <w:tc>
          <w:tcPr>
            <w:tcW w:w="6836" w:type="dxa"/>
            <w:vAlign w:val="center"/>
          </w:tcPr>
          <w:p w14:paraId="4984834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必须按照</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的规定和要求盖章、签字。</w:t>
            </w:r>
          </w:p>
        </w:tc>
      </w:tr>
      <w:tr w14:paraId="26F04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5" w:hRule="atLeast"/>
        </w:trPr>
        <w:tc>
          <w:tcPr>
            <w:tcW w:w="775" w:type="dxa"/>
            <w:vAlign w:val="center"/>
          </w:tcPr>
          <w:p w14:paraId="62C1B52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24</w:t>
            </w:r>
          </w:p>
        </w:tc>
        <w:tc>
          <w:tcPr>
            <w:tcW w:w="2007" w:type="dxa"/>
            <w:vAlign w:val="center"/>
          </w:tcPr>
          <w:p w14:paraId="148599C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磋商响应文件</w:t>
            </w:r>
          </w:p>
          <w:p w14:paraId="6FA7782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数量、装订</w:t>
            </w:r>
          </w:p>
        </w:tc>
        <w:tc>
          <w:tcPr>
            <w:tcW w:w="6836" w:type="dxa"/>
            <w:vAlign w:val="center"/>
          </w:tcPr>
          <w:p w14:paraId="32DB22C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1、份数要求：竞争性磋商响应文件，正本一份，副本二份，电子文件（Word格式）U盘一份。一律采用书籍（胶装）方式装订。</w:t>
            </w:r>
          </w:p>
          <w:p w14:paraId="17035AE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2、密封包装方式：竞争性磋商响应文件正本、副本、电子U盘密封在一个标袋里分别各自装订成册（封袋不得有破损）。电子 U 盘上标注完整投标人名称。</w:t>
            </w:r>
          </w:p>
          <w:p w14:paraId="2BC2E99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3、外层包装请按以下要求标记：</w:t>
            </w:r>
          </w:p>
          <w:p w14:paraId="23E9064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 供应商的全称：</w:t>
            </w:r>
          </w:p>
          <w:p w14:paraId="7FC4079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（2）投标项目名称、采购项目编号</w:t>
            </w:r>
          </w:p>
          <w:p w14:paraId="51D50A7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（3）正本或副本及“在磋商之前不得启封”</w:t>
            </w:r>
          </w:p>
          <w:p w14:paraId="0D466E5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对未按上述规定密封和装订的投标文件，将作为无效投标文件；</w:t>
            </w:r>
          </w:p>
          <w:p w14:paraId="3F7A699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2、投标截止时间已到不接受任何后补资料。</w:t>
            </w:r>
          </w:p>
        </w:tc>
      </w:tr>
      <w:tr w14:paraId="6C73D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775" w:type="dxa"/>
            <w:vAlign w:val="center"/>
          </w:tcPr>
          <w:p w14:paraId="2F883801">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2007" w:type="dxa"/>
            <w:vAlign w:val="center"/>
          </w:tcPr>
          <w:p w14:paraId="45C6859A">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提交首次响应文件</w:t>
            </w:r>
          </w:p>
          <w:p w14:paraId="33D3FC07">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截至时间</w:t>
            </w:r>
          </w:p>
        </w:tc>
        <w:tc>
          <w:tcPr>
            <w:tcW w:w="6836" w:type="dxa"/>
            <w:vAlign w:val="center"/>
          </w:tcPr>
          <w:p w14:paraId="6E5628E0">
            <w:pPr>
              <w:pStyle w:val="85"/>
              <w:pageBreakBefore w:val="0"/>
              <w:widowControl w:val="0"/>
              <w:kinsoku/>
              <w:wordWrap/>
              <w:overflowPunct/>
              <w:topLinePunct w:val="0"/>
              <w:bidi w:val="0"/>
              <w:snapToGrid/>
              <w:spacing w:line="320" w:lineRule="exact"/>
              <w:ind w:firstLine="210" w:firstLineChars="100"/>
              <w:textAlignment w:val="auto"/>
              <w:rPr>
                <w:rFonts w:hint="eastAsia" w:asciiTheme="minorEastAsia" w:hAnsiTheme="minorEastAsia" w:eastAsiaTheme="minorEastAsia" w:cstheme="minorEastAsia"/>
                <w:b/>
                <w:bCs/>
                <w:color w:val="auto"/>
                <w:sz w:val="21"/>
                <w:szCs w:val="21"/>
                <w:highlight w:val="none"/>
                <w:lang w:val="en-US" w:eastAsia="zh-CN"/>
              </w:rPr>
            </w:pPr>
            <w:bookmarkStart w:id="207" w:name="_GoBack"/>
            <w:bookmarkEnd w:id="207"/>
            <w:r>
              <w:rPr>
                <w:rFonts w:hint="eastAsia" w:asciiTheme="minorEastAsia" w:hAnsiTheme="minorEastAsia" w:eastAsiaTheme="minorEastAsia" w:cstheme="minorEastAsia"/>
                <w:color w:val="auto"/>
                <w:sz w:val="21"/>
                <w:szCs w:val="21"/>
                <w:highlight w:val="none"/>
                <w:u w:val="single"/>
                <w:lang w:val="en-US" w:eastAsia="zh-CN"/>
              </w:rPr>
              <w:t>2026年01月19日14时30分00秒</w:t>
            </w:r>
          </w:p>
        </w:tc>
      </w:tr>
      <w:tr w14:paraId="3CCA6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775" w:type="dxa"/>
            <w:vAlign w:val="center"/>
          </w:tcPr>
          <w:p w14:paraId="0C9E872B">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w:t>
            </w:r>
          </w:p>
        </w:tc>
        <w:tc>
          <w:tcPr>
            <w:tcW w:w="2007" w:type="dxa"/>
            <w:vAlign w:val="center"/>
          </w:tcPr>
          <w:p w14:paraId="6C5614ED">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提交首次响应文件地点</w:t>
            </w:r>
          </w:p>
        </w:tc>
        <w:tc>
          <w:tcPr>
            <w:tcW w:w="6836" w:type="dxa"/>
            <w:vAlign w:val="center"/>
          </w:tcPr>
          <w:p w14:paraId="34FD1B33">
            <w:pPr>
              <w:pStyle w:val="85"/>
              <w:pageBreakBefore w:val="0"/>
              <w:widowControl w:val="0"/>
              <w:kinsoku/>
              <w:wordWrap/>
              <w:overflowPunct/>
              <w:topLinePunct w:val="0"/>
              <w:bidi w:val="0"/>
              <w:snapToGrid/>
              <w:spacing w:line="320" w:lineRule="exact"/>
              <w:textAlignment w:val="auto"/>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zh-CN"/>
              </w:rPr>
              <w:t xml:space="preserve">   </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t>陕西省宝鸡市金台区金台大道东岭金融广场B座1401室</w:t>
            </w:r>
          </w:p>
        </w:tc>
      </w:tr>
      <w:tr w14:paraId="38DEA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775" w:type="dxa"/>
            <w:vAlign w:val="center"/>
          </w:tcPr>
          <w:p w14:paraId="0D357AF8">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2007" w:type="dxa"/>
            <w:vAlign w:val="center"/>
          </w:tcPr>
          <w:p w14:paraId="6CD6BF98">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开启响应文件</w:t>
            </w:r>
          </w:p>
          <w:p w14:paraId="03E89D74">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时间和地点</w:t>
            </w:r>
          </w:p>
        </w:tc>
        <w:tc>
          <w:tcPr>
            <w:tcW w:w="6836" w:type="dxa"/>
            <w:vAlign w:val="center"/>
          </w:tcPr>
          <w:p w14:paraId="210B6499">
            <w:pPr>
              <w:pStyle w:val="85"/>
              <w:pageBreakBefore w:val="0"/>
              <w:widowControl w:val="0"/>
              <w:kinsoku/>
              <w:wordWrap/>
              <w:overflowPunct/>
              <w:topLinePunct w:val="0"/>
              <w:bidi w:val="0"/>
              <w:snapToGrid/>
              <w:spacing w:line="320" w:lineRule="exact"/>
              <w:ind w:firstLine="210" w:firstLineChars="100"/>
              <w:textAlignment w:val="auto"/>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t>开启</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zh-CN"/>
              </w:rPr>
              <w:t>时间：同投标截至时间</w:t>
            </w:r>
          </w:p>
          <w:p w14:paraId="7A3C0181">
            <w:pPr>
              <w:pStyle w:val="85"/>
              <w:pageBreakBefore w:val="0"/>
              <w:widowControl w:val="0"/>
              <w:kinsoku/>
              <w:wordWrap/>
              <w:overflowPunct/>
              <w:topLinePunct w:val="0"/>
              <w:bidi w:val="0"/>
              <w:snapToGrid/>
              <w:spacing w:line="320" w:lineRule="exact"/>
              <w:ind w:firstLine="210" w:firstLineChars="100"/>
              <w:textAlignment w:val="auto"/>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zh-CN"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t>开启</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zh-CN"/>
              </w:rPr>
              <w:t>地点：</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t>陕西省宝鸡市金台区金台大道东岭金融广场B座1401室</w:t>
            </w:r>
          </w:p>
          <w:p w14:paraId="68E199EF">
            <w:pPr>
              <w:pStyle w:val="85"/>
              <w:pageBreakBefore w:val="0"/>
              <w:widowControl w:val="0"/>
              <w:kinsoku/>
              <w:wordWrap/>
              <w:overflowPunct/>
              <w:topLinePunct w:val="0"/>
              <w:bidi w:val="0"/>
              <w:snapToGrid/>
              <w:spacing w:line="320" w:lineRule="exact"/>
              <w:textAlignment w:val="auto"/>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FFFFFF"/>
              </w:rPr>
              <w:t>（见面开标）</w:t>
            </w:r>
          </w:p>
        </w:tc>
      </w:tr>
      <w:tr w14:paraId="223F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775" w:type="dxa"/>
            <w:vAlign w:val="center"/>
          </w:tcPr>
          <w:p w14:paraId="7E12A993">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2007" w:type="dxa"/>
            <w:vAlign w:val="center"/>
          </w:tcPr>
          <w:p w14:paraId="2671C419">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开启顺序</w:t>
            </w:r>
          </w:p>
        </w:tc>
        <w:tc>
          <w:tcPr>
            <w:tcW w:w="6836" w:type="dxa"/>
            <w:vAlign w:val="center"/>
          </w:tcPr>
          <w:p w14:paraId="59DF5F48">
            <w:pPr>
              <w:pStyle w:val="85"/>
              <w:pageBreakBefore w:val="0"/>
              <w:widowControl w:val="0"/>
              <w:kinsoku/>
              <w:wordWrap/>
              <w:overflowPunct/>
              <w:topLinePunct w:val="0"/>
              <w:bidi w:val="0"/>
              <w:snapToGrid/>
              <w:spacing w:line="320" w:lineRule="exact"/>
              <w:ind w:firstLine="210" w:firstLineChars="100"/>
              <w:textAlignment w:val="auto"/>
              <w:rPr>
                <w:rFonts w:hint="eastAsia" w:asciiTheme="minorEastAsia" w:hAnsiTheme="minorEastAsia" w:eastAsiaTheme="minorEastAsia" w:cstheme="minorEastAsia"/>
                <w:b/>
                <w:bCs/>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响应文件的</w:t>
            </w:r>
            <w:r>
              <w:rPr>
                <w:rFonts w:hint="eastAsia" w:asciiTheme="minorEastAsia" w:hAnsiTheme="minorEastAsia" w:eastAsiaTheme="minorEastAsia" w:cstheme="minorEastAsia"/>
                <w:color w:val="auto"/>
                <w:sz w:val="21"/>
                <w:szCs w:val="21"/>
                <w:highlight w:val="none"/>
              </w:rPr>
              <w:t>资格证明文件、商务和技术文件同时开启</w:t>
            </w:r>
          </w:p>
        </w:tc>
      </w:tr>
      <w:tr w14:paraId="29A8F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trPr>
        <w:tc>
          <w:tcPr>
            <w:tcW w:w="775" w:type="dxa"/>
            <w:vAlign w:val="center"/>
          </w:tcPr>
          <w:p w14:paraId="7EB3CA8C">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w:t>
            </w:r>
          </w:p>
        </w:tc>
        <w:tc>
          <w:tcPr>
            <w:tcW w:w="2007" w:type="dxa"/>
            <w:vAlign w:val="center"/>
          </w:tcPr>
          <w:p w14:paraId="041F5D49">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磋商小组的组建</w:t>
            </w:r>
          </w:p>
        </w:tc>
        <w:tc>
          <w:tcPr>
            <w:tcW w:w="6836" w:type="dxa"/>
            <w:vAlign w:val="center"/>
          </w:tcPr>
          <w:p w14:paraId="26C0500A">
            <w:pPr>
              <w:pStyle w:val="85"/>
              <w:pageBreakBefore w:val="0"/>
              <w:widowControl w:val="0"/>
              <w:kinsoku/>
              <w:wordWrap/>
              <w:overflowPunct/>
              <w:topLinePunct w:val="0"/>
              <w:bidi w:val="0"/>
              <w:snapToGrid/>
              <w:spacing w:line="320" w:lineRule="exact"/>
              <w:ind w:left="634" w:leftChars="102" w:hanging="420" w:hanging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磋商小组构成形式、人数，评审专家确定方式：</w:t>
            </w:r>
          </w:p>
          <w:p w14:paraId="5F09B937">
            <w:pPr>
              <w:pStyle w:val="85"/>
              <w:pageBreakBefore w:val="0"/>
              <w:widowControl w:val="0"/>
              <w:kinsoku/>
              <w:wordWrap/>
              <w:overflowPunct/>
              <w:topLinePunct w:val="0"/>
              <w:bidi w:val="0"/>
              <w:snapToGrid/>
              <w:spacing w:line="320" w:lineRule="exact"/>
              <w:ind w:firstLine="210" w:firstLineChars="1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详见供应商须知第7.1.1条款</w:t>
            </w:r>
          </w:p>
        </w:tc>
      </w:tr>
      <w:tr w14:paraId="5E7E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75" w:type="dxa"/>
            <w:vAlign w:val="center"/>
          </w:tcPr>
          <w:p w14:paraId="44CD0B37">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2007" w:type="dxa"/>
            <w:vAlign w:val="center"/>
          </w:tcPr>
          <w:p w14:paraId="418AB13B">
            <w:pPr>
              <w:pStyle w:val="85"/>
              <w:pageBreakBefore w:val="0"/>
              <w:widowControl w:val="0"/>
              <w:kinsoku/>
              <w:wordWrap/>
              <w:overflowPunct/>
              <w:topLinePunct w:val="0"/>
              <w:bidi w:val="0"/>
              <w:snapToGrid/>
              <w:spacing w:line="320" w:lineRule="exact"/>
              <w:ind w:left="96" w:left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评审方法</w:t>
            </w:r>
          </w:p>
        </w:tc>
        <w:tc>
          <w:tcPr>
            <w:tcW w:w="6836" w:type="dxa"/>
            <w:vAlign w:val="center"/>
          </w:tcPr>
          <w:p w14:paraId="37A11308">
            <w:pPr>
              <w:pStyle w:val="85"/>
              <w:pageBreakBefore w:val="0"/>
              <w:widowControl w:val="0"/>
              <w:kinsoku/>
              <w:wordWrap/>
              <w:overflowPunct/>
              <w:topLinePunct w:val="0"/>
              <w:bidi w:val="0"/>
              <w:snapToGrid/>
              <w:spacing w:line="320" w:lineRule="exact"/>
              <w:ind w:left="634" w:leftChars="102" w:hanging="420" w:hanging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sz w:val="21"/>
                <w:szCs w:val="21"/>
                <w:highlight w:val="none"/>
                <w:lang w:val="zh-CN"/>
              </w:rPr>
              <w:t>综合评分法</w:t>
            </w:r>
          </w:p>
        </w:tc>
      </w:tr>
      <w:tr w14:paraId="79D0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775" w:type="dxa"/>
            <w:vAlign w:val="center"/>
          </w:tcPr>
          <w:p w14:paraId="442DDABA">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w:t>
            </w:r>
          </w:p>
        </w:tc>
        <w:tc>
          <w:tcPr>
            <w:tcW w:w="2007" w:type="dxa"/>
            <w:vAlign w:val="center"/>
          </w:tcPr>
          <w:p w14:paraId="0BAD9185">
            <w:pPr>
              <w:pStyle w:val="85"/>
              <w:pageBreakBefore w:val="0"/>
              <w:widowControl w:val="0"/>
              <w:kinsoku/>
              <w:wordWrap/>
              <w:overflowPunct/>
              <w:topLinePunct w:val="0"/>
              <w:bidi w:val="0"/>
              <w:snapToGrid/>
              <w:spacing w:line="320" w:lineRule="exact"/>
              <w:ind w:left="96"/>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lang w:val="zh-CN"/>
              </w:rPr>
              <w:t>小组推荐成交</w:t>
            </w:r>
          </w:p>
          <w:p w14:paraId="13BF7165">
            <w:pPr>
              <w:pStyle w:val="85"/>
              <w:pageBreakBefore w:val="0"/>
              <w:widowControl w:val="0"/>
              <w:kinsoku/>
              <w:wordWrap/>
              <w:overflowPunct/>
              <w:topLinePunct w:val="0"/>
              <w:bidi w:val="0"/>
              <w:snapToGrid/>
              <w:spacing w:line="320" w:lineRule="exact"/>
              <w:ind w:left="96" w:left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候选供应商的家数</w:t>
            </w:r>
          </w:p>
        </w:tc>
        <w:tc>
          <w:tcPr>
            <w:tcW w:w="6836" w:type="dxa"/>
            <w:vAlign w:val="center"/>
          </w:tcPr>
          <w:p w14:paraId="2D73B144">
            <w:pPr>
              <w:pStyle w:val="85"/>
              <w:pageBreakBefore w:val="0"/>
              <w:widowControl w:val="0"/>
              <w:kinsoku/>
              <w:wordWrap/>
              <w:overflowPunct/>
              <w:topLinePunct w:val="0"/>
              <w:bidi w:val="0"/>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 xml:space="preserve">  3 </w:t>
            </w:r>
          </w:p>
        </w:tc>
      </w:tr>
      <w:tr w14:paraId="4DCC5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trPr>
        <w:tc>
          <w:tcPr>
            <w:tcW w:w="775" w:type="dxa"/>
            <w:vAlign w:val="center"/>
          </w:tcPr>
          <w:p w14:paraId="75C542F1">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w:t>
            </w:r>
          </w:p>
        </w:tc>
        <w:tc>
          <w:tcPr>
            <w:tcW w:w="2007" w:type="dxa"/>
            <w:vAlign w:val="center"/>
          </w:tcPr>
          <w:p w14:paraId="6C3237EB">
            <w:pPr>
              <w:pStyle w:val="85"/>
              <w:pageBreakBefore w:val="0"/>
              <w:widowControl w:val="0"/>
              <w:kinsoku/>
              <w:wordWrap/>
              <w:overflowPunct/>
              <w:topLinePunct w:val="0"/>
              <w:bidi w:val="0"/>
              <w:snapToGrid/>
              <w:spacing w:line="320" w:lineRule="exact"/>
              <w:ind w:left="96"/>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发布成交公告的</w:t>
            </w:r>
          </w:p>
          <w:p w14:paraId="552A4193">
            <w:pPr>
              <w:pStyle w:val="85"/>
              <w:pageBreakBefore w:val="0"/>
              <w:widowControl w:val="0"/>
              <w:kinsoku/>
              <w:wordWrap/>
              <w:overflowPunct/>
              <w:topLinePunct w:val="0"/>
              <w:bidi w:val="0"/>
              <w:snapToGrid/>
              <w:spacing w:line="320" w:lineRule="exact"/>
              <w:ind w:left="96" w:left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时间、媒介和期限</w:t>
            </w:r>
          </w:p>
        </w:tc>
        <w:tc>
          <w:tcPr>
            <w:tcW w:w="6836" w:type="dxa"/>
            <w:vAlign w:val="center"/>
          </w:tcPr>
          <w:p w14:paraId="23B7D2A2">
            <w:pPr>
              <w:pStyle w:val="85"/>
              <w:pageBreakBefore w:val="0"/>
              <w:widowControl w:val="0"/>
              <w:kinsoku/>
              <w:wordWrap/>
              <w:overflowPunct/>
              <w:topLinePunct w:val="0"/>
              <w:bidi w:val="0"/>
              <w:snapToGrid/>
              <w:spacing w:line="320" w:lineRule="exact"/>
              <w:ind w:left="21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公告时间：在确定成交供应商之日起2个工作日内</w:t>
            </w:r>
          </w:p>
          <w:p w14:paraId="6AB1504A">
            <w:pPr>
              <w:pStyle w:val="85"/>
              <w:pageBreakBefore w:val="0"/>
              <w:widowControl w:val="0"/>
              <w:kinsoku/>
              <w:wordWrap/>
              <w:overflowPunct/>
              <w:topLinePunct w:val="0"/>
              <w:bidi w:val="0"/>
              <w:snapToGrid/>
              <w:spacing w:line="320" w:lineRule="exact"/>
              <w:ind w:left="2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公告媒介：陕西省政府采购网</w:t>
            </w:r>
          </w:p>
          <w:p w14:paraId="642BFFA8">
            <w:pPr>
              <w:pStyle w:val="85"/>
              <w:pageBreakBefore w:val="0"/>
              <w:widowControl w:val="0"/>
              <w:kinsoku/>
              <w:wordWrap/>
              <w:overflowPunct/>
              <w:topLinePunct w:val="0"/>
              <w:bidi w:val="0"/>
              <w:snapToGrid/>
              <w:spacing w:line="320" w:lineRule="exact"/>
              <w:ind w:left="210" w:leftChars="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公告期限：1个工作日</w:t>
            </w:r>
          </w:p>
        </w:tc>
      </w:tr>
      <w:tr w14:paraId="75E7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775" w:type="dxa"/>
            <w:vAlign w:val="center"/>
          </w:tcPr>
          <w:p w14:paraId="5315A0B4">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w:t>
            </w:r>
          </w:p>
        </w:tc>
        <w:tc>
          <w:tcPr>
            <w:tcW w:w="2007" w:type="dxa"/>
            <w:vAlign w:val="center"/>
          </w:tcPr>
          <w:p w14:paraId="3EA1C2BE">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资格审查</w:t>
            </w:r>
          </w:p>
          <w:p w14:paraId="235EE69C">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核验</w:t>
            </w:r>
            <w:r>
              <w:rPr>
                <w:rFonts w:hint="eastAsia" w:asciiTheme="minorEastAsia" w:hAnsiTheme="minorEastAsia" w:eastAsiaTheme="minorEastAsia" w:cstheme="minorEastAsia"/>
                <w:color w:val="auto"/>
                <w:sz w:val="21"/>
                <w:szCs w:val="21"/>
                <w:highlight w:val="none"/>
                <w:lang w:val="en-US" w:eastAsia="zh-CN"/>
              </w:rPr>
              <w:t>原件</w:t>
            </w:r>
            <w:r>
              <w:rPr>
                <w:rFonts w:hint="eastAsia" w:asciiTheme="minorEastAsia" w:hAnsiTheme="minorEastAsia" w:eastAsiaTheme="minorEastAsia" w:cstheme="minorEastAsia"/>
                <w:color w:val="auto"/>
                <w:sz w:val="21"/>
                <w:szCs w:val="21"/>
                <w:highlight w:val="none"/>
                <w:lang w:val="zh-CN"/>
              </w:rPr>
              <w:t>证件</w:t>
            </w:r>
          </w:p>
        </w:tc>
        <w:tc>
          <w:tcPr>
            <w:tcW w:w="6836" w:type="dxa"/>
            <w:vAlign w:val="center"/>
          </w:tcPr>
          <w:p w14:paraId="1D635D71">
            <w:pPr>
              <w:pageBreakBefore w:val="0"/>
              <w:widowControl w:val="0"/>
              <w:numPr>
                <w:ilvl w:val="0"/>
                <w:numId w:val="0"/>
              </w:numPr>
              <w:kinsoku/>
              <w:wordWrap/>
              <w:overflowPunct/>
              <w:topLinePunct w:val="0"/>
              <w:bidi w:val="0"/>
              <w:snapToGrid/>
              <w:spacing w:line="320" w:lineRule="exact"/>
              <w:ind w:right="105" w:rightChars="5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核验要求：</w:t>
            </w:r>
          </w:p>
          <w:p w14:paraId="5F5E8578">
            <w:pPr>
              <w:pageBreakBefore w:val="0"/>
              <w:widowControl w:val="0"/>
              <w:kinsoku/>
              <w:wordWrap/>
              <w:overflowPunct/>
              <w:topLinePunct w:val="0"/>
              <w:bidi w:val="0"/>
              <w:snapToGrid/>
              <w:spacing w:line="320" w:lineRule="exact"/>
              <w:ind w:left="0" w:leftChars="0" w:right="105" w:rightChars="5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需要提供以下资质原件，未携带证书原件或经审验后不合格，视为无效响应文件，不得进入后续</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、评审：</w:t>
            </w:r>
          </w:p>
          <w:p w14:paraId="1A03B071">
            <w:pPr>
              <w:pStyle w:val="85"/>
              <w:pageBreakBefore w:val="0"/>
              <w:widowControl w:val="0"/>
              <w:numPr>
                <w:ilvl w:val="0"/>
                <w:numId w:val="4"/>
              </w:numPr>
              <w:kinsoku/>
              <w:wordWrap/>
              <w:overflowPunct/>
              <w:topLinePunct w:val="0"/>
              <w:bidi w:val="0"/>
              <w:snapToGrid/>
              <w:spacing w:line="320" w:lineRule="exact"/>
              <w:ind w:right="105" w:rightChars="5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法定代表人授权书及被授权人身份证或法定代表人身份证（法定代表人参加磋商）；</w:t>
            </w:r>
          </w:p>
          <w:p w14:paraId="1435E1E6">
            <w:pPr>
              <w:pStyle w:val="85"/>
              <w:pageBreakBefore w:val="0"/>
              <w:widowControl w:val="0"/>
              <w:numPr>
                <w:ilvl w:val="0"/>
                <w:numId w:val="4"/>
              </w:numPr>
              <w:kinsoku/>
              <w:wordWrap/>
              <w:overflowPunct/>
              <w:topLinePunct w:val="0"/>
              <w:bidi w:val="0"/>
              <w:snapToGrid/>
              <w:spacing w:line="320" w:lineRule="exact"/>
              <w:ind w:right="105" w:rightChars="50"/>
              <w:textAlignment w:val="auto"/>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bidi="ar-SA"/>
              </w:rPr>
              <w:t>磋商保证金交纳凭证及开户许可证。</w:t>
            </w:r>
          </w:p>
        </w:tc>
      </w:tr>
      <w:tr w14:paraId="298A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775" w:type="dxa"/>
            <w:vAlign w:val="center"/>
          </w:tcPr>
          <w:p w14:paraId="2BBB78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34</w:t>
            </w:r>
          </w:p>
        </w:tc>
        <w:tc>
          <w:tcPr>
            <w:tcW w:w="2007" w:type="dxa"/>
            <w:vAlign w:val="center"/>
          </w:tcPr>
          <w:p w14:paraId="65267044">
            <w:pPr>
              <w:pStyle w:val="85"/>
              <w:pageBreakBefore w:val="0"/>
              <w:widowControl w:val="0"/>
              <w:kinsoku/>
              <w:wordWrap/>
              <w:overflowPunct/>
              <w:topLinePunct w:val="0"/>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其他</w:t>
            </w:r>
          </w:p>
        </w:tc>
        <w:tc>
          <w:tcPr>
            <w:tcW w:w="6836" w:type="dxa"/>
            <w:vAlign w:val="center"/>
          </w:tcPr>
          <w:p w14:paraId="240492DF">
            <w:pPr>
              <w:pageBreakBefore w:val="0"/>
              <w:widowControl w:val="0"/>
              <w:kinsoku/>
              <w:wordWrap/>
              <w:overflowPunct/>
              <w:topLinePunct w:val="0"/>
              <w:bidi w:val="0"/>
              <w:snapToGrid/>
              <w:spacing w:line="320" w:lineRule="exact"/>
              <w:ind w:right="105" w:rightChars="50"/>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SA"/>
              </w:rPr>
              <w:t>本项目所属行业为：其他未列明行业。从业人员300人以下的为中小微型企业。其中，从业人员100人及以上的为中型企业;从业人员10人及以上的为小型企业;从业人员10人以下的为微型企业。</w:t>
            </w:r>
          </w:p>
        </w:tc>
      </w:tr>
      <w:bookmarkEnd w:id="7"/>
      <w:bookmarkEnd w:id="8"/>
      <w:bookmarkEnd w:id="9"/>
      <w:bookmarkEnd w:id="10"/>
    </w:tbl>
    <w:p w14:paraId="02DF7AE9">
      <w:pPr>
        <w:rPr>
          <w:rFonts w:hint="eastAsia" w:asciiTheme="minorEastAsia" w:hAnsiTheme="minorEastAsia" w:eastAsiaTheme="minorEastAsia" w:cstheme="minorEastAsia"/>
          <w:b/>
          <w:bCs/>
          <w:color w:val="auto"/>
          <w:spacing w:val="-2"/>
          <w:kern w:val="0"/>
          <w:sz w:val="28"/>
          <w:szCs w:val="28"/>
          <w:highlight w:val="none"/>
          <w:lang w:eastAsia="zh-CN"/>
        </w:rPr>
      </w:pPr>
      <w:r>
        <w:rPr>
          <w:rFonts w:hint="eastAsia" w:asciiTheme="minorEastAsia" w:hAnsiTheme="minorEastAsia" w:eastAsiaTheme="minorEastAsia" w:cstheme="minorEastAsia"/>
          <w:b/>
          <w:bCs/>
          <w:color w:val="auto"/>
          <w:spacing w:val="-2"/>
          <w:kern w:val="0"/>
          <w:sz w:val="28"/>
          <w:szCs w:val="28"/>
          <w:highlight w:val="none"/>
          <w:lang w:eastAsia="zh-CN"/>
        </w:rPr>
        <w:br w:type="page"/>
      </w:r>
    </w:p>
    <w:p w14:paraId="7D7D2D6A">
      <w:pPr>
        <w:ind w:left="0" w:leftChars="0" w:firstLine="0" w:firstLineChars="0"/>
        <w:jc w:val="center"/>
        <w:rPr>
          <w:rFonts w:hint="eastAsia" w:asciiTheme="minorEastAsia" w:hAnsiTheme="minorEastAsia" w:eastAsiaTheme="minorEastAsia" w:cstheme="minorEastAsia"/>
          <w:b/>
          <w:bCs/>
          <w:color w:val="auto"/>
          <w:spacing w:val="-2"/>
          <w:kern w:val="0"/>
          <w:sz w:val="28"/>
          <w:szCs w:val="28"/>
          <w:highlight w:val="none"/>
          <w:lang w:eastAsia="zh-CN"/>
        </w:rPr>
      </w:pPr>
      <w:r>
        <w:rPr>
          <w:rFonts w:hint="eastAsia" w:asciiTheme="minorEastAsia" w:hAnsiTheme="minorEastAsia" w:eastAsiaTheme="minorEastAsia" w:cstheme="minorEastAsia"/>
          <w:b/>
          <w:bCs/>
          <w:color w:val="auto"/>
          <w:spacing w:val="-2"/>
          <w:kern w:val="0"/>
          <w:sz w:val="28"/>
          <w:szCs w:val="28"/>
          <w:highlight w:val="none"/>
          <w:lang w:eastAsia="zh-CN"/>
        </w:rPr>
        <w:t>总</w:t>
      </w:r>
      <w:r>
        <w:rPr>
          <w:rFonts w:hint="eastAsia" w:asciiTheme="minorEastAsia" w:hAnsiTheme="minorEastAsia" w:eastAsiaTheme="minorEastAsia" w:cstheme="minorEastAsia"/>
          <w:b/>
          <w:bCs/>
          <w:color w:val="auto"/>
          <w:spacing w:val="-2"/>
          <w:kern w:val="0"/>
          <w:sz w:val="28"/>
          <w:szCs w:val="28"/>
          <w:highlight w:val="none"/>
          <w:lang w:val="en-US" w:eastAsia="zh-CN"/>
        </w:rPr>
        <w:t xml:space="preserve">  </w:t>
      </w:r>
      <w:r>
        <w:rPr>
          <w:rFonts w:hint="eastAsia" w:asciiTheme="minorEastAsia" w:hAnsiTheme="minorEastAsia" w:eastAsiaTheme="minorEastAsia" w:cstheme="minorEastAsia"/>
          <w:b/>
          <w:bCs/>
          <w:color w:val="auto"/>
          <w:spacing w:val="-2"/>
          <w:kern w:val="0"/>
          <w:sz w:val="28"/>
          <w:szCs w:val="28"/>
          <w:highlight w:val="none"/>
          <w:lang w:eastAsia="zh-CN"/>
        </w:rPr>
        <w:t>则</w:t>
      </w:r>
    </w:p>
    <w:p w14:paraId="369B50EA">
      <w:pPr>
        <w:pStyle w:val="3"/>
        <w:pageBreakBefore w:val="0"/>
        <w:kinsoku/>
        <w:wordWrap/>
        <w:overflowPunct/>
        <w:topLinePunct w:val="0"/>
        <w:bidi w:val="0"/>
        <w:spacing w:line="360" w:lineRule="auto"/>
        <w:rPr>
          <w:rFonts w:hint="eastAsia" w:asciiTheme="minorEastAsia" w:hAnsiTheme="minorEastAsia" w:eastAsiaTheme="minorEastAsia" w:cstheme="minorEastAsia"/>
          <w:b w:val="0"/>
          <w:bCs/>
          <w:color w:val="auto"/>
          <w:sz w:val="24"/>
          <w:szCs w:val="24"/>
          <w:highlight w:val="none"/>
        </w:rPr>
      </w:pPr>
      <w:bookmarkStart w:id="13" w:name="_Toc89075873"/>
      <w:bookmarkStart w:id="14" w:name="_Toc77400778"/>
      <w:bookmarkStart w:id="15" w:name="_Toc217446033"/>
      <w:bookmarkStart w:id="16" w:name="_Toc183582204"/>
      <w:bookmarkStart w:id="17" w:name="_Toc183682341"/>
      <w:r>
        <w:rPr>
          <w:rFonts w:hint="eastAsia" w:asciiTheme="minorEastAsia" w:hAnsiTheme="minorEastAsia" w:eastAsiaTheme="minorEastAsia" w:cstheme="minorEastAsia"/>
          <w:b w:val="0"/>
          <w:bCs/>
          <w:color w:val="auto"/>
          <w:sz w:val="24"/>
          <w:szCs w:val="24"/>
          <w:highlight w:val="none"/>
        </w:rPr>
        <w:t>1.总  则</w:t>
      </w:r>
    </w:p>
    <w:p w14:paraId="5BF1A08D">
      <w:pPr>
        <w:pStyle w:val="3"/>
        <w:pageBreakBefore w:val="0"/>
        <w:kinsoku/>
        <w:wordWrap/>
        <w:overflowPunct/>
        <w:topLinePunct w:val="0"/>
        <w:bidi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1.1适用范围</w:t>
      </w:r>
    </w:p>
    <w:p w14:paraId="0260308B">
      <w:pPr>
        <w:pageBreakBefore w:val="0"/>
        <w:tabs>
          <w:tab w:val="left" w:pos="7665"/>
        </w:tabs>
        <w:kinsoku/>
        <w:wordWrap/>
        <w:overflowPunct/>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1.1.1本竞争性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文件仅适用于本次竞争性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）所叙述的相关服务项目的采购活动。</w:t>
      </w:r>
    </w:p>
    <w:p w14:paraId="7FEED546">
      <w:pPr>
        <w:pageBreakBefore w:val="0"/>
        <w:tabs>
          <w:tab w:val="left" w:pos="7665"/>
        </w:tabs>
        <w:kinsoku/>
        <w:wordWrap/>
        <w:overflowPunct/>
        <w:topLinePunct w:val="0"/>
        <w:bidi w:val="0"/>
        <w:spacing w:line="360" w:lineRule="auto"/>
        <w:ind w:firstLine="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1.2名词解释</w:t>
      </w:r>
    </w:p>
    <w:p w14:paraId="4EFB8D82">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1.2.1</w:t>
      </w:r>
      <w:r>
        <w:rPr>
          <w:rFonts w:hint="eastAsia" w:asciiTheme="minorEastAsia" w:hAnsiTheme="minorEastAsia" w:eastAsiaTheme="minorEastAsia" w:cstheme="minorEastAsia"/>
          <w:b/>
          <w:color w:val="auto"/>
          <w:sz w:val="24"/>
          <w:szCs w:val="24"/>
          <w:highlight w:val="none"/>
        </w:rPr>
        <w:t>采购人</w:t>
      </w:r>
      <w:r>
        <w:rPr>
          <w:rFonts w:hint="eastAsia" w:asciiTheme="minorEastAsia" w:hAnsiTheme="minorEastAsia" w:eastAsiaTheme="minorEastAsia" w:cstheme="minorEastAsia"/>
          <w:color w:val="auto"/>
          <w:sz w:val="24"/>
          <w:szCs w:val="24"/>
          <w:highlight w:val="none"/>
        </w:rPr>
        <w:t>系指依法进行政府采购的国家机关、事业单位、团体组织。本次采购的采购人名称、地址、电话、联系人见供应商须知前附表。</w:t>
      </w:r>
    </w:p>
    <w:p w14:paraId="1815BB71">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1.2.2</w:t>
      </w:r>
      <w:r>
        <w:rPr>
          <w:rFonts w:hint="eastAsia" w:asciiTheme="minorEastAsia" w:hAnsiTheme="minorEastAsia" w:eastAsiaTheme="minorEastAsia" w:cstheme="minorEastAsia"/>
          <w:b/>
          <w:color w:val="auto"/>
          <w:sz w:val="24"/>
          <w:szCs w:val="24"/>
          <w:highlight w:val="none"/>
        </w:rPr>
        <w:t>监督机构</w:t>
      </w:r>
      <w:r>
        <w:rPr>
          <w:rFonts w:hint="eastAsia" w:asciiTheme="minorEastAsia" w:hAnsiTheme="minorEastAsia" w:eastAsiaTheme="minorEastAsia" w:cstheme="minorEastAsia"/>
          <w:color w:val="auto"/>
          <w:sz w:val="24"/>
          <w:szCs w:val="24"/>
          <w:highlight w:val="none"/>
        </w:rPr>
        <w:t>系指政府采购行政监督管理部门。本次采购的监督机构：</w:t>
      </w:r>
      <w:r>
        <w:rPr>
          <w:rFonts w:hint="eastAsia" w:asciiTheme="minorEastAsia" w:hAnsiTheme="minorEastAsia" w:eastAsiaTheme="minorEastAsia" w:cstheme="minorEastAsia"/>
          <w:color w:val="auto"/>
          <w:sz w:val="24"/>
          <w:szCs w:val="24"/>
          <w:highlight w:val="none"/>
          <w:u w:val="single"/>
          <w:lang w:val="en-US" w:eastAsia="zh-CN"/>
        </w:rPr>
        <w:t>麟游县财政局</w:t>
      </w:r>
    </w:p>
    <w:p w14:paraId="1797BE1B">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1.2.3</w:t>
      </w:r>
      <w:r>
        <w:rPr>
          <w:rFonts w:hint="eastAsia" w:asciiTheme="minorEastAsia" w:hAnsiTheme="minorEastAsia" w:eastAsiaTheme="minorEastAsia" w:cstheme="minorEastAsia"/>
          <w:b/>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rPr>
        <w:t>系指接受采购人委托，代理采购项目的依法经财政部门认定资格的采购代理机构。本次采购的采购代理机构名称、地址、电话、联系人见供应商须知前附表。</w:t>
      </w:r>
    </w:p>
    <w:p w14:paraId="697BF523">
      <w:pPr>
        <w:pageBreakBefore w:val="0"/>
        <w:tabs>
          <w:tab w:val="left" w:pos="7665"/>
        </w:tabs>
        <w:kinsoku/>
        <w:wordWrap/>
        <w:overflowPunct/>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1.2.4 </w:t>
      </w:r>
      <w:r>
        <w:rPr>
          <w:rFonts w:hint="eastAsia" w:asciiTheme="minorEastAsia" w:hAnsiTheme="minorEastAsia" w:eastAsiaTheme="minorEastAsia" w:cstheme="minorEastAsia"/>
          <w:b/>
          <w:color w:val="auto"/>
          <w:sz w:val="24"/>
          <w:szCs w:val="24"/>
          <w:highlight w:val="none"/>
        </w:rPr>
        <w:t>供应商</w:t>
      </w:r>
      <w:r>
        <w:rPr>
          <w:rFonts w:hint="eastAsia" w:asciiTheme="minorEastAsia" w:hAnsiTheme="minorEastAsia" w:eastAsiaTheme="minorEastAsia" w:cstheme="minorEastAsia"/>
          <w:color w:val="auto"/>
          <w:sz w:val="24"/>
          <w:szCs w:val="24"/>
          <w:highlight w:val="none"/>
        </w:rPr>
        <w:t>是指响应和符合竞争性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文件（以下简称</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文件）规定资格条件且参与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竞争的法人。</w:t>
      </w:r>
    </w:p>
    <w:p w14:paraId="2780B674">
      <w:pPr>
        <w:pageBreakBefore w:val="0"/>
        <w:tabs>
          <w:tab w:val="left" w:pos="7665"/>
        </w:tabs>
        <w:kinsoku/>
        <w:wordWrap/>
        <w:overflowPunct/>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1.2.5 </w:t>
      </w:r>
      <w:r>
        <w:rPr>
          <w:rFonts w:hint="eastAsia" w:asciiTheme="minorEastAsia" w:hAnsiTheme="minorEastAsia" w:eastAsiaTheme="minorEastAsia" w:cstheme="minorEastAsia"/>
          <w:b/>
          <w:bCs/>
          <w:color w:val="auto"/>
          <w:sz w:val="24"/>
          <w:szCs w:val="24"/>
          <w:highlight w:val="none"/>
        </w:rPr>
        <w:t>工程</w:t>
      </w:r>
      <w:r>
        <w:rPr>
          <w:rFonts w:hint="eastAsia" w:asciiTheme="minorEastAsia" w:hAnsiTheme="minorEastAsia" w:eastAsiaTheme="minorEastAsia" w:cstheme="minorEastAsia"/>
          <w:color w:val="auto"/>
          <w:sz w:val="24"/>
          <w:szCs w:val="24"/>
          <w:highlight w:val="none"/>
        </w:rPr>
        <w:t>是指本磋商文件中第四章所述工程。</w:t>
      </w:r>
    </w:p>
    <w:p w14:paraId="09FECC29">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 xml:space="preserve"> 服务</w:t>
      </w:r>
      <w:r>
        <w:rPr>
          <w:rFonts w:hint="eastAsia" w:asciiTheme="minorEastAsia" w:hAnsiTheme="minorEastAsia" w:eastAsiaTheme="minorEastAsia" w:cstheme="minorEastAsia"/>
          <w:color w:val="auto"/>
          <w:sz w:val="24"/>
          <w:szCs w:val="24"/>
          <w:highlight w:val="none"/>
        </w:rPr>
        <w:t>是指为满足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文件要求和工程配套所提供的服务。</w:t>
      </w:r>
    </w:p>
    <w:p w14:paraId="6019BF20">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中小企业</w:t>
      </w:r>
      <w:r>
        <w:rPr>
          <w:rFonts w:hint="eastAsia" w:asciiTheme="minorEastAsia" w:hAnsiTheme="minorEastAsia" w:eastAsiaTheme="minorEastAsia" w:cstheme="minorEastAsia"/>
          <w:color w:val="auto"/>
          <w:kern w:val="0"/>
          <w:sz w:val="24"/>
          <w:szCs w:val="24"/>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14:paraId="06082D8A">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color w:val="auto"/>
          <w:sz w:val="24"/>
          <w:szCs w:val="24"/>
          <w:highlight w:val="none"/>
        </w:rPr>
        <w:t>监狱企业</w:t>
      </w:r>
      <w:r>
        <w:rPr>
          <w:rFonts w:hint="eastAsia" w:asciiTheme="minorEastAsia" w:hAnsiTheme="minorEastAsia" w:eastAsiaTheme="minorEastAsia" w:cstheme="minorEastAsia"/>
          <w:color w:val="auto"/>
          <w:sz w:val="24"/>
          <w:szCs w:val="24"/>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EAD0AC">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残疾人福利性单位</w:t>
      </w:r>
      <w:r>
        <w:rPr>
          <w:rFonts w:hint="eastAsia" w:asciiTheme="minorEastAsia" w:hAnsiTheme="minorEastAsia" w:eastAsiaTheme="minorEastAsia" w:cstheme="minorEastAsia"/>
          <w:color w:val="auto"/>
          <w:kern w:val="0"/>
          <w:sz w:val="24"/>
          <w:szCs w:val="24"/>
          <w:highlight w:val="none"/>
        </w:rPr>
        <w:t>是指符合</w:t>
      </w:r>
      <w:r>
        <w:rPr>
          <w:rFonts w:hint="eastAsia" w:asciiTheme="minorEastAsia" w:hAnsiTheme="minorEastAsia" w:eastAsiaTheme="minorEastAsia" w:cstheme="minorEastAsia"/>
          <w:color w:val="auto"/>
          <w:spacing w:val="6"/>
          <w:sz w:val="24"/>
          <w:szCs w:val="24"/>
          <w:highlight w:val="none"/>
        </w:rPr>
        <w:t>《财政部、民政部、中国残疾人联合会关于促进残疾人就业政府采购政策的通知》（财库[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2017]141</w:t>
      </w:r>
      <w:r>
        <w:rPr>
          <w:rFonts w:hint="eastAsia" w:asciiTheme="minorEastAsia" w:hAnsiTheme="minorEastAsia" w:eastAsiaTheme="minorEastAsia" w:cstheme="minorEastAsia"/>
          <w:color w:val="auto"/>
          <w:spacing w:val="6"/>
          <w:sz w:val="24"/>
          <w:szCs w:val="24"/>
          <w:highlight w:val="none"/>
        </w:rPr>
        <w:t>号）规定条件的单位。</w:t>
      </w:r>
    </w:p>
    <w:p w14:paraId="6478DEF3">
      <w:pPr>
        <w:pageBreakBefore w:val="0"/>
        <w:kinsoku/>
        <w:wordWrap/>
        <w:overflowPunct/>
        <w:topLinePunct w:val="0"/>
        <w:bidi w:val="0"/>
        <w:adjustRightInd w:val="0"/>
        <w:snapToGrid w:val="0"/>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1.2.</w:t>
      </w:r>
      <w:r>
        <w:rPr>
          <w:rFonts w:hint="eastAsia" w:asciiTheme="minorEastAsia" w:hAnsiTheme="minorEastAsia" w:eastAsiaTheme="minorEastAsia" w:cstheme="minorEastAsia"/>
          <w:color w:val="auto"/>
          <w:spacing w:val="6"/>
          <w:sz w:val="24"/>
          <w:szCs w:val="24"/>
          <w:highlight w:val="none"/>
          <w:lang w:val="en-US" w:eastAsia="zh-CN"/>
        </w:rPr>
        <w:t>10</w:t>
      </w:r>
      <w:r>
        <w:rPr>
          <w:rFonts w:hint="eastAsia" w:asciiTheme="minorEastAsia" w:hAnsiTheme="minorEastAsia" w:eastAsiaTheme="minorEastAsia" w:cstheme="minorEastAsia"/>
          <w:b/>
          <w:color w:val="auto"/>
          <w:spacing w:val="6"/>
          <w:sz w:val="24"/>
          <w:szCs w:val="24"/>
          <w:highlight w:val="none"/>
        </w:rPr>
        <w:t>签名</w:t>
      </w:r>
      <w:r>
        <w:rPr>
          <w:rFonts w:hint="eastAsia" w:asciiTheme="minorEastAsia" w:hAnsiTheme="minorEastAsia" w:eastAsiaTheme="minorEastAsia" w:cstheme="minorEastAsia"/>
          <w:color w:val="auto"/>
          <w:spacing w:val="6"/>
          <w:sz w:val="24"/>
          <w:szCs w:val="24"/>
          <w:highlight w:val="none"/>
        </w:rPr>
        <w:t>是指手写签名或者加盖名章，</w:t>
      </w:r>
      <w:r>
        <w:rPr>
          <w:rFonts w:hint="eastAsia" w:asciiTheme="minorEastAsia" w:hAnsiTheme="minorEastAsia" w:eastAsiaTheme="minorEastAsia" w:cstheme="minorEastAsia"/>
          <w:b/>
          <w:color w:val="auto"/>
          <w:spacing w:val="6"/>
          <w:sz w:val="24"/>
          <w:szCs w:val="24"/>
          <w:highlight w:val="none"/>
        </w:rPr>
        <w:t>盖章</w:t>
      </w:r>
      <w:r>
        <w:rPr>
          <w:rFonts w:hint="eastAsia" w:asciiTheme="minorEastAsia" w:hAnsiTheme="minorEastAsia" w:eastAsiaTheme="minorEastAsia" w:cstheme="minorEastAsia"/>
          <w:color w:val="auto"/>
          <w:spacing w:val="6"/>
          <w:sz w:val="24"/>
          <w:szCs w:val="24"/>
          <w:highlight w:val="none"/>
        </w:rPr>
        <w:t>是指加盖单位印章。</w:t>
      </w:r>
    </w:p>
    <w:p w14:paraId="0FDBAACA">
      <w:pPr>
        <w:pageBreakBefore w:val="0"/>
        <w:kinsoku/>
        <w:wordWrap/>
        <w:overflowPunct/>
        <w:topLinePunct w:val="0"/>
        <w:bidi w:val="0"/>
        <w:adjustRightInd w:val="0"/>
        <w:snapToGrid w:val="0"/>
        <w:spacing w:line="360" w:lineRule="auto"/>
        <w:ind w:firstLine="504"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1.2.1</w:t>
      </w:r>
      <w:r>
        <w:rPr>
          <w:rFonts w:hint="eastAsia" w:asciiTheme="minorEastAsia" w:hAnsiTheme="minorEastAsia" w:eastAsiaTheme="minorEastAsia" w:cstheme="minorEastAsia"/>
          <w:color w:val="auto"/>
          <w:spacing w:val="6"/>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较大数额罚款</w:t>
      </w:r>
      <w:r>
        <w:rPr>
          <w:rFonts w:hint="eastAsia" w:asciiTheme="minorEastAsia" w:hAnsiTheme="minorEastAsia" w:eastAsiaTheme="minorEastAsia" w:cstheme="minorEastAsia"/>
          <w:color w:val="auto"/>
          <w:sz w:val="24"/>
          <w:szCs w:val="24"/>
          <w:highlight w:val="none"/>
        </w:rPr>
        <w:t>是指200万元以上罚款，法律、行政法规以及国务院有关部门明确规定相关领域“较大数额罚款”标准高于200万元的，从其规定。</w:t>
      </w:r>
    </w:p>
    <w:p w14:paraId="1F4B0C1F">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1.3 合格的供应商</w:t>
      </w:r>
    </w:p>
    <w:p w14:paraId="0469C7F6">
      <w:pPr>
        <w:pageBreakBefore w:val="0"/>
        <w:tabs>
          <w:tab w:val="left" w:pos="7665"/>
        </w:tabs>
        <w:kinsoku/>
        <w:wordWrap/>
        <w:overflowPunct/>
        <w:topLinePunct w:val="0"/>
        <w:bidi w:val="0"/>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 合格的供应商应具备以下条件：</w:t>
      </w:r>
    </w:p>
    <w:p w14:paraId="3DF815DE">
      <w:pPr>
        <w:pageBreakBefore w:val="0"/>
        <w:tabs>
          <w:tab w:val="left" w:pos="7665"/>
        </w:tabs>
        <w:kinsoku/>
        <w:wordWrap/>
        <w:overflowPunct/>
        <w:topLinePunct w:val="0"/>
        <w:bidi w:val="0"/>
        <w:spacing w:line="360" w:lineRule="auto"/>
        <w:ind w:firstLine="480"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（1）具备且满足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文件规定的供应商资格条件</w:t>
      </w:r>
      <w:r>
        <w:rPr>
          <w:rFonts w:hint="eastAsia" w:asciiTheme="minorEastAsia" w:hAnsiTheme="minorEastAsia" w:eastAsiaTheme="minorEastAsia" w:cstheme="minorEastAsia"/>
          <w:color w:val="auto"/>
          <w:spacing w:val="-4"/>
          <w:sz w:val="24"/>
          <w:szCs w:val="24"/>
          <w:highlight w:val="none"/>
        </w:rPr>
        <w:t>；</w:t>
      </w:r>
    </w:p>
    <w:p w14:paraId="544D1BC4">
      <w:pPr>
        <w:pageBreakBefore w:val="0"/>
        <w:tabs>
          <w:tab w:val="left" w:pos="7665"/>
        </w:tabs>
        <w:kinsoku/>
        <w:wordWrap/>
        <w:overflowPunct/>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（2）从采购代理机构获取了</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w:t>
      </w:r>
    </w:p>
    <w:p w14:paraId="5598A124">
      <w:pPr>
        <w:pageBreakBefore w:val="0"/>
        <w:tabs>
          <w:tab w:val="left" w:pos="7665"/>
        </w:tabs>
        <w:kinsoku/>
        <w:wordWrap/>
        <w:overflowPunct/>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（3）交纳了</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保证金（仅限供应商须知前附表要求供应商提交保证金的）；</w:t>
      </w:r>
    </w:p>
    <w:p w14:paraId="24242483">
      <w:pPr>
        <w:pageBreakBefore w:val="0"/>
        <w:tabs>
          <w:tab w:val="left" w:pos="7665"/>
        </w:tabs>
        <w:kinsoku/>
        <w:wordWrap/>
        <w:overflowPunct/>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（4）遵守国家和地方有关的法律法规、规章和规范性文件要求。</w:t>
      </w:r>
    </w:p>
    <w:p w14:paraId="07600933">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供应商不得存在下列情形之一：</w:t>
      </w:r>
    </w:p>
    <w:p w14:paraId="7AF576FE">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（l）与采购人、采购代理机构存在</w:t>
      </w:r>
      <w:r>
        <w:rPr>
          <w:rFonts w:hint="eastAsia" w:asciiTheme="minorEastAsia" w:hAnsiTheme="minorEastAsia" w:eastAsiaTheme="minorEastAsia" w:cstheme="minorEastAsia"/>
          <w:bCs/>
          <w:color w:val="auto"/>
          <w:sz w:val="24"/>
          <w:szCs w:val="24"/>
          <w:highlight w:val="none"/>
        </w:rPr>
        <w:t>隶属关系或者其他利害关系，且可能影响</w:t>
      </w:r>
      <w:r>
        <w:rPr>
          <w:rFonts w:hint="eastAsia" w:asciiTheme="minorEastAsia" w:hAnsiTheme="minorEastAsia" w:eastAsiaTheme="minorEastAsia" w:cstheme="minorEastAsia"/>
          <w:bCs/>
          <w:color w:val="auto"/>
          <w:sz w:val="24"/>
          <w:szCs w:val="24"/>
          <w:highlight w:val="none"/>
          <w:lang w:eastAsia="zh-CN"/>
        </w:rPr>
        <w:t>磋商</w:t>
      </w:r>
      <w:r>
        <w:rPr>
          <w:rFonts w:hint="eastAsia" w:asciiTheme="minorEastAsia" w:hAnsiTheme="minorEastAsia" w:eastAsiaTheme="minorEastAsia" w:cstheme="minorEastAsia"/>
          <w:bCs/>
          <w:color w:val="auto"/>
          <w:sz w:val="24"/>
          <w:szCs w:val="24"/>
          <w:highlight w:val="none"/>
        </w:rPr>
        <w:t>公正性；</w:t>
      </w:r>
    </w:p>
    <w:p w14:paraId="5EBD3D09">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（2）与本采购项目其他供应商的法定代表人（或者负责人）为同一人；</w:t>
      </w:r>
    </w:p>
    <w:p w14:paraId="6A36D806">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（3）与本采购项目其他供应商存在控股、管理关系；</w:t>
      </w:r>
    </w:p>
    <w:p w14:paraId="3209F0FF">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（4）为本项目采购代理机构；</w:t>
      </w:r>
    </w:p>
    <w:p w14:paraId="30195613">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（5）为本项目代理</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的为其采购代理机构；</w:t>
      </w:r>
    </w:p>
    <w:p w14:paraId="0029AFD7">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（6）为本项目提供整体设计、规范编制或者项目管理、监理、检测、咨询服务；</w:t>
      </w:r>
    </w:p>
    <w:p w14:paraId="6ACF493B">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bCs/>
          <w:color w:val="auto"/>
          <w:sz w:val="24"/>
          <w:szCs w:val="24"/>
          <w:highlight w:val="none"/>
        </w:rPr>
        <w:t>受到刑事处罚；</w:t>
      </w:r>
    </w:p>
    <w:p w14:paraId="24663A13">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（8）受到“较大数额罚款”的行政处罚；</w:t>
      </w:r>
    </w:p>
    <w:p w14:paraId="600EE480">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（9）被责令停产停业、暂扣或者吊销许可证、暂扣或者吊销执照的行政处罚；</w:t>
      </w:r>
    </w:p>
    <w:p w14:paraId="01E280FA">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（10）</w:t>
      </w:r>
      <w:r>
        <w:rPr>
          <w:rFonts w:hint="eastAsia" w:asciiTheme="minorEastAsia" w:hAnsiTheme="minorEastAsia" w:eastAsiaTheme="minorEastAsia" w:cstheme="minorEastAsia"/>
          <w:color w:val="auto"/>
          <w:sz w:val="24"/>
          <w:szCs w:val="24"/>
          <w:highlight w:val="none"/>
        </w:rPr>
        <w:t>被列入失信被执行人名单；</w:t>
      </w:r>
    </w:p>
    <w:p w14:paraId="3AE5A2D9">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（11）被列入重大税收违法案件当事人名单；</w:t>
      </w:r>
    </w:p>
    <w:p w14:paraId="542A0936">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（12）被禁止在一至三年内参加政府采购活动或存在</w:t>
      </w:r>
      <w:r>
        <w:rPr>
          <w:rFonts w:hint="eastAsia" w:asciiTheme="minorEastAsia" w:hAnsiTheme="minorEastAsia" w:eastAsiaTheme="minorEastAsia" w:cstheme="minorEastAsia"/>
          <w:color w:val="auto"/>
          <w:sz w:val="24"/>
          <w:szCs w:val="24"/>
          <w:highlight w:val="none"/>
        </w:rPr>
        <w:t>财政部门认定的其他重大违法记录；</w:t>
      </w:r>
    </w:p>
    <w:p w14:paraId="2C2A2400">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（13）在最近三年内有严重违约或者重大工程质量问题；</w:t>
      </w:r>
    </w:p>
    <w:p w14:paraId="163BC79C">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（14）被行政主管部门暂停或取消投标资格；</w:t>
      </w:r>
    </w:p>
    <w:p w14:paraId="0BC7EA7D">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（15）法律法规规定的其他情形。</w:t>
      </w:r>
    </w:p>
    <w:bookmarkEnd w:id="13"/>
    <w:bookmarkEnd w:id="14"/>
    <w:bookmarkEnd w:id="15"/>
    <w:bookmarkEnd w:id="16"/>
    <w:bookmarkEnd w:id="17"/>
    <w:p w14:paraId="7148E398">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4"/>
          <w:szCs w:val="24"/>
          <w:highlight w:val="none"/>
        </w:rPr>
      </w:pPr>
      <w:bookmarkStart w:id="18" w:name="_Toc183582208"/>
      <w:bookmarkStart w:id="19" w:name="_Toc183682345"/>
      <w:bookmarkStart w:id="20" w:name="_Toc217446037"/>
      <w:r>
        <w:rPr>
          <w:rFonts w:hint="eastAsia" w:asciiTheme="minorEastAsia" w:hAnsiTheme="minorEastAsia" w:eastAsiaTheme="minorEastAsia" w:cstheme="minorEastAsia"/>
          <w:b/>
          <w:color w:val="auto"/>
          <w:sz w:val="24"/>
          <w:szCs w:val="24"/>
          <w:highlight w:val="none"/>
        </w:rPr>
        <w:t xml:space="preserve">1.4 </w:t>
      </w:r>
      <w:r>
        <w:rPr>
          <w:rFonts w:hint="eastAsia" w:asciiTheme="minorEastAsia" w:hAnsiTheme="minorEastAsia" w:eastAsiaTheme="minorEastAsia" w:cstheme="minorEastAsia"/>
          <w:b/>
          <w:bCs/>
          <w:color w:val="auto"/>
          <w:sz w:val="24"/>
          <w:szCs w:val="24"/>
          <w:highlight w:val="none"/>
        </w:rPr>
        <w:t>1.4合格的服务</w:t>
      </w:r>
    </w:p>
    <w:p w14:paraId="5DE5A63D">
      <w:pPr>
        <w:pageBreakBefore w:val="0"/>
        <w:tabs>
          <w:tab w:val="left" w:pos="747"/>
        </w:tabs>
        <w:kinsoku/>
        <w:wordWrap/>
        <w:overflowPunct/>
        <w:topLinePunct w:val="0"/>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 投标人提供的所有货物和服务，应当是合法生产、合法来源，符合国家有关标准、规范要求，并满足</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规定的规格、参数、质量、价格、有效期、售后服务及投标人须承担的运输、安装、技术支持、培训和</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文件规定的其它伴随服务等要求。</w:t>
      </w:r>
    </w:p>
    <w:p w14:paraId="3210E52B">
      <w:pPr>
        <w:pageBreakBefore w:val="0"/>
        <w:tabs>
          <w:tab w:val="left" w:pos="747"/>
        </w:tabs>
        <w:kinsoku/>
        <w:wordWrap/>
        <w:overflowPunct/>
        <w:topLinePunct w:val="0"/>
        <w:bidi w:val="0"/>
        <w:snapToGrid w:val="0"/>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sz w:val="24"/>
          <w:szCs w:val="24"/>
          <w:highlight w:val="none"/>
        </w:rPr>
        <w:t>1.4.2 采购人有权拒绝接受任何不合格的货物和服务，由此产生的费用及相关后果均由投标人自行承担。</w:t>
      </w:r>
    </w:p>
    <w:p w14:paraId="0E8C9941">
      <w:pPr>
        <w:pageBreakBefore w:val="0"/>
        <w:kinsoku/>
        <w:wordWrap/>
        <w:overflowPunct/>
        <w:topLinePunct w:val="0"/>
        <w:bidi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1.5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费用</w:t>
      </w:r>
    </w:p>
    <w:p w14:paraId="6997B328">
      <w:pPr>
        <w:pageBreakBefore w:val="0"/>
        <w:tabs>
          <w:tab w:val="left" w:pos="7665"/>
        </w:tabs>
        <w:kinsoku/>
        <w:wordWrap/>
        <w:overflowPunct/>
        <w:topLinePunct w:val="0"/>
        <w:bidi w:val="0"/>
        <w:spacing w:line="360" w:lineRule="auto"/>
        <w:ind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不论</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结果如何，供应商应自行承担所有与准备和参加</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相关的全部费用。</w:t>
      </w:r>
    </w:p>
    <w:p w14:paraId="1F3B542F">
      <w:pPr>
        <w:pageBreakBefore w:val="0"/>
        <w:tabs>
          <w:tab w:val="left" w:pos="7665"/>
        </w:tabs>
        <w:kinsoku/>
        <w:wordWrap/>
        <w:overflowPunct/>
        <w:topLinePunct w:val="0"/>
        <w:bidi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1.6语言文字</w:t>
      </w:r>
    </w:p>
    <w:p w14:paraId="7C2BBD3E">
      <w:pPr>
        <w:keepNext w:val="0"/>
        <w:keepLines w:val="0"/>
        <w:pageBreakBefore w:val="0"/>
        <w:tabs>
          <w:tab w:val="left" w:pos="7665"/>
        </w:tabs>
        <w:kinsoku/>
        <w:wordWrap/>
        <w:overflowPunct/>
        <w:topLinePunct w:val="0"/>
        <w:bidi w:val="0"/>
        <w:spacing w:line="500" w:lineRule="exact"/>
        <w:ind w:firstLine="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1.6.1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文件与响应文件使用的语言为中文。专用术语使用外文的，应附有中文注释。</w:t>
      </w:r>
    </w:p>
    <w:p w14:paraId="14FDCB77">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响应文件中如附有外文资料，必须逐一对应翻译成中文并加盖供应商单位章后附在相关外文资料后面，否则，供应商的响应文件将作为无效响应文件处理。</w:t>
      </w:r>
    </w:p>
    <w:p w14:paraId="0C5D1D1D">
      <w:pPr>
        <w:pStyle w:val="18"/>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 响应文件中翻译的中文资料与外文资料如果出现差异和矛盾时，以中文为准。但不能故意错误翻译，否则，供应商的响应文件将作为无效响应文件处理。</w:t>
      </w:r>
      <w:r>
        <w:rPr>
          <w:rFonts w:hint="eastAsia" w:asciiTheme="minorEastAsia" w:hAnsiTheme="minorEastAsia" w:eastAsiaTheme="minorEastAsia" w:cstheme="minorEastAsia"/>
          <w:color w:val="auto"/>
          <w:kern w:val="0"/>
          <w:sz w:val="24"/>
          <w:szCs w:val="24"/>
          <w:highlight w:val="none"/>
        </w:rPr>
        <w:t>必要时采购人可以要求供应商提供附有公证书的中文翻译文件或者与原版文件签章相一致的中文翻译文件。</w:t>
      </w:r>
    </w:p>
    <w:p w14:paraId="507D3D2E">
      <w:pPr>
        <w:keepNext w:val="0"/>
        <w:keepLines w:val="0"/>
        <w:pageBreakBefore w:val="0"/>
        <w:kinsoku/>
        <w:wordWrap/>
        <w:overflowPunct/>
        <w:topLinePunct w:val="0"/>
        <w:autoSpaceDE w:val="0"/>
        <w:autoSpaceDN w:val="0"/>
        <w:bidi w:val="0"/>
        <w:spacing w:line="500" w:lineRule="exac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zh-CN"/>
        </w:rPr>
        <w:t>1.7 保密</w:t>
      </w:r>
      <w:r>
        <w:rPr>
          <w:rFonts w:hint="eastAsia" w:asciiTheme="minorEastAsia" w:hAnsiTheme="minorEastAsia" w:eastAsiaTheme="minorEastAsia" w:cstheme="minorEastAsia"/>
          <w:b/>
          <w:color w:val="auto"/>
          <w:sz w:val="24"/>
          <w:szCs w:val="24"/>
          <w:highlight w:val="none"/>
          <w:lang w:val="en-US" w:eastAsia="zh-CN"/>
        </w:rPr>
        <w:t xml:space="preserve">                    </w:t>
      </w:r>
    </w:p>
    <w:p w14:paraId="2D011438">
      <w:pPr>
        <w:keepNext w:val="0"/>
        <w:keepLines w:val="0"/>
        <w:pageBreakBefore w:val="0"/>
        <w:kinsoku/>
        <w:wordWrap/>
        <w:overflowPunct/>
        <w:topLinePunct w:val="0"/>
        <w:autoSpaceDE w:val="0"/>
        <w:autoSpaceDN w:val="0"/>
        <w:bidi w:val="0"/>
        <w:spacing w:line="50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参与采购活动的当事人应对磋商文件和响应文件中的商业秘密、技术秘密和个人隐私等保密，违者应对由此造成的后果承担法律责任。 </w:t>
      </w:r>
    </w:p>
    <w:p w14:paraId="0E7A6F26">
      <w:pPr>
        <w:keepNext w:val="0"/>
        <w:keepLines w:val="0"/>
        <w:pageBreakBefore w:val="0"/>
        <w:tabs>
          <w:tab w:val="left" w:pos="7665"/>
        </w:tabs>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1.8计量单位</w:t>
      </w:r>
    </w:p>
    <w:p w14:paraId="6C9BFE60">
      <w:pPr>
        <w:keepNext w:val="0"/>
        <w:keepLines w:val="0"/>
        <w:pageBreakBefore w:val="0"/>
        <w:tabs>
          <w:tab w:val="left" w:pos="7665"/>
        </w:tabs>
        <w:kinsoku/>
        <w:wordWrap/>
        <w:overflowPunct/>
        <w:topLinePunct w:val="0"/>
        <w:bidi w:val="0"/>
        <w:spacing w:line="500" w:lineRule="exact"/>
        <w:ind w:firstLine="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所有计量单位均采用中华人民共和国法定计量单位。</w:t>
      </w:r>
    </w:p>
    <w:p w14:paraId="15AD3D5F">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1.9 答疑会或踏勘现场</w:t>
      </w:r>
      <w:r>
        <w:rPr>
          <w:rFonts w:hint="eastAsia" w:asciiTheme="minorEastAsia" w:hAnsiTheme="minorEastAsia" w:eastAsiaTheme="minorEastAsia" w:cstheme="minorEastAsia"/>
          <w:b/>
          <w:color w:val="auto"/>
          <w:sz w:val="24"/>
          <w:szCs w:val="24"/>
          <w:highlight w:val="none"/>
          <w:lang w:val="en-US" w:eastAsia="zh-CN"/>
        </w:rPr>
        <w:t xml:space="preserve"> </w:t>
      </w:r>
    </w:p>
    <w:p w14:paraId="1CE11A88">
      <w:pPr>
        <w:keepNext w:val="0"/>
        <w:keepLines w:val="0"/>
        <w:pageBreakBefore w:val="0"/>
        <w:tabs>
          <w:tab w:val="left" w:pos="7665"/>
        </w:tabs>
        <w:kinsoku/>
        <w:wordWrap/>
        <w:overflowPunct/>
        <w:topLinePunct w:val="0"/>
        <w:bidi w:val="0"/>
        <w:spacing w:line="500" w:lineRule="exact"/>
        <w:ind w:firstLine="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供应商须知前附表规定组织答疑会或踏勘现场的，采购人或者采购代理机构按供应商须知前附表规定的时间、地点组织供应商踏勘项目现场，澄清供应商提出的问题，供应商可按要求在规定的时间和地点参加。</w:t>
      </w:r>
    </w:p>
    <w:p w14:paraId="0AF956D0">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 除采购人或采购代理机构的原因外，供应商自行负责在踏勘现场中所发生的人员伤亡和财产损失。</w:t>
      </w:r>
    </w:p>
    <w:p w14:paraId="479D91B7">
      <w:pPr>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1.9.3 答疑会或踏勘现场后，采购人或采购代理机构对供应商所提问题的澄清，以书面形式通知所有获取了</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文件的供应商。该澄清内容为</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文件的组成部分。</w:t>
      </w:r>
    </w:p>
    <w:p w14:paraId="10EC0C0B">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1.9.4 采购人或采购代理机构在踏勘现场中介绍的现场货物需求和相关的周边环境情况，供供应商在编制响应文件时参考，采购人或采购代理机构不对供应商据此作出的判断和决策负责。一旦成交，成交供应商不得以任何借口，提出额外补偿，或延长合同期限的要求。</w:t>
      </w:r>
    </w:p>
    <w:p w14:paraId="0EC749C4">
      <w:pPr>
        <w:keepNext w:val="0"/>
        <w:keepLines w:val="0"/>
        <w:pageBreakBefore w:val="0"/>
        <w:kinsoku/>
        <w:wordWrap/>
        <w:overflowPunct/>
        <w:topLinePunct w:val="0"/>
        <w:bidi w:val="0"/>
        <w:adjustRightInd w:val="0"/>
        <w:snapToGrid w:val="0"/>
        <w:spacing w:line="500" w:lineRule="exact"/>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1.9.5 由于未参加现场考察或</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前答疑会而导致对项目实际情况不了解，影响响应文件编制、响应报价准确性、综合因素响应不全面等问题的，由供应商自行承担不利评审后果。</w:t>
      </w:r>
    </w:p>
    <w:p w14:paraId="43BDBF56">
      <w:pPr>
        <w:keepNext w:val="0"/>
        <w:keepLines w:val="0"/>
        <w:pageBreakBefore w:val="0"/>
        <w:kinsoku/>
        <w:wordWrap/>
        <w:overflowPunct/>
        <w:topLinePunct w:val="0"/>
        <w:bidi w:val="0"/>
        <w:adjustRightInd w:val="0"/>
        <w:snapToGrid w:val="0"/>
        <w:spacing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1.10响应与偏离</w:t>
      </w:r>
    </w:p>
    <w:p w14:paraId="46AC8363">
      <w:pPr>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1.10.1响应文件应当对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文件实质性要求和条件作出满足性或有利于采购人的响应，否则，供应商的响应文件无效。</w:t>
      </w:r>
    </w:p>
    <w:p w14:paraId="32680EA3">
      <w:pPr>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1.10.2</w:t>
      </w:r>
      <w:r>
        <w:rPr>
          <w:rFonts w:hint="eastAsia" w:asciiTheme="minorEastAsia" w:hAnsiTheme="minorEastAsia" w:eastAsiaTheme="minorEastAsia" w:cstheme="minorEastAsia"/>
          <w:b/>
          <w:color w:val="auto"/>
          <w:sz w:val="24"/>
          <w:szCs w:val="24"/>
          <w:highlight w:val="none"/>
        </w:rPr>
        <w:t>偏离</w:t>
      </w:r>
      <w:r>
        <w:rPr>
          <w:rFonts w:hint="eastAsia" w:asciiTheme="minorEastAsia" w:hAnsiTheme="minorEastAsia" w:eastAsiaTheme="minorEastAsia" w:cstheme="minorEastAsia"/>
          <w:color w:val="auto"/>
          <w:sz w:val="24"/>
          <w:szCs w:val="24"/>
          <w:highlight w:val="none"/>
        </w:rPr>
        <w:t>是指响应文件不响应或者不满足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文件提出的要求和条件，分为实质性偏离和非实质性偏离。</w:t>
      </w:r>
    </w:p>
    <w:p w14:paraId="1FBFE6AB">
      <w:pPr>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1.10.3供应商须知前附表允许响应文件非实质性偏离</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文件某些要求的，偏离应当符合供应商须知前附表规定的偏离范围和幅度。</w:t>
      </w:r>
    </w:p>
    <w:p w14:paraId="4B963BFC">
      <w:pPr>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1.10.4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小组若根据</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情况实质性变动采购需求中的技术、服务要求以及合同草案条款的，供应商据此重新提交的响应文件，也适用本条款。</w:t>
      </w:r>
    </w:p>
    <w:bookmarkEnd w:id="18"/>
    <w:bookmarkEnd w:id="19"/>
    <w:bookmarkEnd w:id="20"/>
    <w:p w14:paraId="7E47CE3E">
      <w:pPr>
        <w:pStyle w:val="14"/>
        <w:keepNext w:val="0"/>
        <w:keepLines w:val="0"/>
        <w:pageBreakBefore w:val="0"/>
        <w:kinsoku/>
        <w:wordWrap/>
        <w:overflowPunct/>
        <w:topLinePunct w:val="0"/>
        <w:bidi w:val="0"/>
        <w:spacing w:line="500" w:lineRule="exact"/>
        <w:ind w:firstLine="0"/>
        <w:rPr>
          <w:rFonts w:hint="eastAsia" w:asciiTheme="minorEastAsia" w:hAnsiTheme="minorEastAsia" w:eastAsiaTheme="minorEastAsia" w:cstheme="minorEastAsia"/>
          <w:b/>
          <w:color w:val="auto"/>
          <w:kern w:val="2"/>
          <w:sz w:val="24"/>
          <w:szCs w:val="24"/>
          <w:highlight w:val="none"/>
          <w:lang w:val="en-US" w:eastAsia="zh-CN" w:bidi="ar-SA"/>
        </w:rPr>
      </w:pPr>
      <w:bookmarkStart w:id="21" w:name="_Toc217446047"/>
      <w:bookmarkStart w:id="22" w:name="_Toc89075875"/>
      <w:bookmarkStart w:id="23" w:name="_Toc217446038"/>
      <w:bookmarkStart w:id="24" w:name="_Toc183582209"/>
      <w:bookmarkStart w:id="25" w:name="_Toc77400779"/>
      <w:bookmarkStart w:id="26" w:name="_Toc183682346"/>
      <w:r>
        <w:rPr>
          <w:rFonts w:hint="eastAsia" w:asciiTheme="minorEastAsia" w:hAnsiTheme="minorEastAsia" w:eastAsiaTheme="minorEastAsia" w:cstheme="minorEastAsia"/>
          <w:b/>
          <w:color w:val="auto"/>
          <w:kern w:val="2"/>
          <w:sz w:val="24"/>
          <w:szCs w:val="24"/>
          <w:highlight w:val="none"/>
          <w:lang w:val="en-US" w:eastAsia="zh-CN" w:bidi="ar-SA"/>
        </w:rPr>
        <w:t>1.11 知识产权</w:t>
      </w:r>
      <w:bookmarkEnd w:id="21"/>
    </w:p>
    <w:p w14:paraId="355050F3">
      <w:pPr>
        <w:pStyle w:val="14"/>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1.11.1 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14:paraId="61D177F8">
      <w:pPr>
        <w:pStyle w:val="14"/>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1.11.2 采购人享有本项目实施过程中产生的知识成果及知识产权。</w:t>
      </w:r>
    </w:p>
    <w:p w14:paraId="57479A9E">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1.11.3 供应商如欲在项目实施过程中采用自有知识成果，需在响应文件中声明，并提供相关知识产权证明文件。使用该知识成果后，供应商需提供开发接口（如有）和开发手册等技术文档，并承诺提供无限期技术支持，采购人享有永久使用权。</w:t>
      </w:r>
    </w:p>
    <w:p w14:paraId="2CDAD9DC">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1.11.4 如采用供应商所不拥有的知识产权，则在报价中必须包括合法获取该知识产权的相关费用。</w:t>
      </w:r>
    </w:p>
    <w:p w14:paraId="07CF704D">
      <w:pPr>
        <w:keepNext w:val="0"/>
        <w:keepLines w:val="0"/>
        <w:pageBreakBefore w:val="0"/>
        <w:tabs>
          <w:tab w:val="left" w:pos="7665"/>
        </w:tabs>
        <w:kinsoku/>
        <w:wordWrap/>
        <w:overflowPunct/>
        <w:topLinePunct w:val="0"/>
        <w:bidi w:val="0"/>
        <w:spacing w:line="50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磋商</w:t>
      </w:r>
      <w:r>
        <w:rPr>
          <w:rFonts w:hint="eastAsia" w:asciiTheme="minorEastAsia" w:hAnsiTheme="minorEastAsia" w:eastAsiaTheme="minorEastAsia" w:cstheme="minorEastAsia"/>
          <w:bCs/>
          <w:color w:val="auto"/>
          <w:sz w:val="24"/>
          <w:szCs w:val="24"/>
          <w:highlight w:val="none"/>
        </w:rPr>
        <w:t>文件</w:t>
      </w:r>
    </w:p>
    <w:p w14:paraId="7A2633BC">
      <w:pPr>
        <w:keepNext w:val="0"/>
        <w:keepLines w:val="0"/>
        <w:pageBreakBefore w:val="0"/>
        <w:tabs>
          <w:tab w:val="left" w:pos="7665"/>
        </w:tabs>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2.1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文件的组成</w:t>
      </w:r>
    </w:p>
    <w:p w14:paraId="498C44EB">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文件包括以下内容：</w:t>
      </w:r>
    </w:p>
    <w:p w14:paraId="5D681CA6">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_Toc30408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公告</w:t>
      </w:r>
      <w:r>
        <w:rPr>
          <w:rFonts w:hint="eastAsia" w:asciiTheme="minorEastAsia" w:hAnsiTheme="minorEastAsia" w:eastAsiaTheme="minorEastAsia" w:cstheme="minorEastAsia"/>
          <w:color w:val="auto"/>
          <w:sz w:val="24"/>
          <w:szCs w:val="24"/>
          <w:highlight w:val="none"/>
        </w:rPr>
        <w:fldChar w:fldCharType="end"/>
      </w:r>
    </w:p>
    <w:p w14:paraId="7242310F">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_Toc10088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供应商须知</w:t>
      </w:r>
      <w:r>
        <w:rPr>
          <w:rFonts w:hint="eastAsia" w:asciiTheme="minorEastAsia" w:hAnsiTheme="minorEastAsia" w:eastAsiaTheme="minorEastAsia" w:cstheme="minorEastAsia"/>
          <w:color w:val="auto"/>
          <w:sz w:val="24"/>
          <w:szCs w:val="24"/>
          <w:highlight w:val="none"/>
        </w:rPr>
        <w:fldChar w:fldCharType="end"/>
      </w:r>
    </w:p>
    <w:p w14:paraId="06670613">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_Toc27407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资格审查办法</w:t>
      </w:r>
      <w:r>
        <w:rPr>
          <w:rFonts w:hint="eastAsia" w:asciiTheme="minorEastAsia" w:hAnsiTheme="minorEastAsia" w:eastAsiaTheme="minorEastAsia" w:cstheme="minorEastAsia"/>
          <w:color w:val="auto"/>
          <w:sz w:val="24"/>
          <w:szCs w:val="24"/>
          <w:highlight w:val="none"/>
        </w:rPr>
        <w:fldChar w:fldCharType="end"/>
      </w:r>
    </w:p>
    <w:p w14:paraId="02C20E71">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_Toc29621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办法</w:t>
      </w:r>
      <w:r>
        <w:rPr>
          <w:rFonts w:hint="eastAsia" w:asciiTheme="minorEastAsia" w:hAnsiTheme="minorEastAsia" w:eastAsiaTheme="minorEastAsia" w:cstheme="minorEastAsia"/>
          <w:color w:val="auto"/>
          <w:sz w:val="24"/>
          <w:szCs w:val="24"/>
          <w:highlight w:val="none"/>
        </w:rPr>
        <w:fldChar w:fldCharType="end"/>
      </w:r>
    </w:p>
    <w:p w14:paraId="2F0057D3">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_Toc8803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采购需求</w:t>
      </w:r>
      <w:r>
        <w:rPr>
          <w:rFonts w:hint="eastAsia" w:asciiTheme="minorEastAsia" w:hAnsiTheme="minorEastAsia" w:eastAsiaTheme="minorEastAsia" w:cstheme="minorEastAsia"/>
          <w:color w:val="auto"/>
          <w:sz w:val="24"/>
          <w:szCs w:val="24"/>
          <w:highlight w:val="none"/>
        </w:rPr>
        <w:fldChar w:fldCharType="end"/>
      </w:r>
    </w:p>
    <w:p w14:paraId="6D609585">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_Toc12836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政府采购合同格式</w:t>
      </w:r>
      <w:r>
        <w:rPr>
          <w:rFonts w:hint="eastAsia" w:asciiTheme="minorEastAsia" w:hAnsiTheme="minorEastAsia" w:eastAsiaTheme="minorEastAsia" w:cstheme="minorEastAsia"/>
          <w:color w:val="auto"/>
          <w:sz w:val="24"/>
          <w:szCs w:val="24"/>
          <w:highlight w:val="none"/>
        </w:rPr>
        <w:fldChar w:fldCharType="end"/>
      </w:r>
    </w:p>
    <w:p w14:paraId="7BBBE7A7">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_Toc3697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响应文件格式</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 xml:space="preserve">         </w:t>
      </w:r>
    </w:p>
    <w:p w14:paraId="312C97F0">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根据本章第1.9条款、第2.2条款款对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文件所作的澄清、修改，构成</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文件的组成部分。</w:t>
      </w:r>
    </w:p>
    <w:p w14:paraId="4488A33C">
      <w:pPr>
        <w:keepNext w:val="0"/>
        <w:keepLines w:val="0"/>
        <w:pageBreakBefore w:val="0"/>
        <w:tabs>
          <w:tab w:val="left" w:pos="7665"/>
        </w:tabs>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2.2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文件的澄清和修改</w:t>
      </w:r>
    </w:p>
    <w:p w14:paraId="51D2F167">
      <w:pPr>
        <w:pStyle w:val="14"/>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2.2.1 在提交首次响应文件截止时间前，采购代理机构无论出于何种原因，可以对磋商文件进行澄清或者修改。</w:t>
      </w:r>
    </w:p>
    <w:p w14:paraId="64EECB0C">
      <w:pPr>
        <w:pStyle w:val="14"/>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2.2.2 采购人或采购代理机构可以对已发出的磋商文件进行必要的澄清或者修改，澄清或修改的内容可能影响响应文件编制的，应当在提交首次响应文件截止时间3个工作日前，以书面形式将澄清或者修改的内容通知所有获取磋商文件的供应商，同时在原信息发布媒体上发布更正公告；供应商在收到上述通知后，应立即以书面形式向采购代理机构确认；不足3个工作日的，将相应顺延提交首次响应文件截止时间。</w:t>
      </w:r>
    </w:p>
    <w:p w14:paraId="3AA7AD24">
      <w:pPr>
        <w:pStyle w:val="14"/>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2.2.3 供应商应仔细阅读和检查磋商文件的全部内容。如发现缺页或附件不全，应及时向采购代理机构提出，以便补齐。如需对磋商文件（除质疑外）需要询问或澄清的，或认为有必要与采购代理机构进行技术交流的，均应在提交首次响应文件截止时间1个工作日前按磋商文件中的联系方式，以书面形式向采购代理机构提出，采购代理机构应当在1个工作日内，以书面形式予以答复（答复中不包括问题的来源），或认为有必要召开答疑会。超过该时间收到的询问或需要澄清的内容，采购代理机构有权不予答复。</w:t>
      </w:r>
    </w:p>
    <w:p w14:paraId="0D8F6155">
      <w:pPr>
        <w:pStyle w:val="14"/>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2.2.4 在提交首次响应文件截止时间前，采购代理机构可以视采购具体情况，延长提交首次响应文件截止时间，并将变更时间以书面形式通知所有获取了磋商文件的供应商，同时在原信息发布媒体上发布更正公告。</w:t>
      </w:r>
    </w:p>
    <w:p w14:paraId="6F9139A4">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2.2.4 在提交首次响应文件截止时间前，采购代理机构可以视采购具体情况，延长提交首次响应文件截止时间，并将变更时间以书面形式通知所有获取了磋商文件的供应商，同时在原信息发布媒体上发布更正公告。</w:t>
      </w:r>
    </w:p>
    <w:p w14:paraId="014D271C">
      <w:pPr>
        <w:keepNext w:val="0"/>
        <w:keepLines w:val="0"/>
        <w:pageBreakBefore w:val="0"/>
        <w:kinsoku/>
        <w:wordWrap/>
        <w:overflowPunct/>
        <w:topLinePunct w:val="0"/>
        <w:bidi w:val="0"/>
        <w:spacing w:line="500" w:lineRule="exact"/>
        <w:ind w:firstLine="4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2.2.5 当磋商文件的澄清、答复、修改或补充通知与磋商文件就同一内容表述不一致时，以最后发出的书面文件内容为准。</w:t>
      </w:r>
    </w:p>
    <w:p w14:paraId="1D559A1A">
      <w:pPr>
        <w:keepNext w:val="0"/>
        <w:keepLines w:val="0"/>
        <w:pageBreakBefore w:val="0"/>
        <w:kinsoku/>
        <w:wordWrap/>
        <w:overflowPunct/>
        <w:topLinePunct w:val="0"/>
        <w:bidi w:val="0"/>
        <w:spacing w:line="500" w:lineRule="exact"/>
        <w:ind w:firstLine="4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2.2.6上述书面通知，按照获取磋商文件的潜在供应商提供的联系方式发出，因提供的信息有误导致通知延迟或无法通知的，采购人或采购代理机构不承担责任。</w:t>
      </w:r>
    </w:p>
    <w:p w14:paraId="6660690F">
      <w:pPr>
        <w:keepNext w:val="0"/>
        <w:keepLines w:val="0"/>
        <w:pageBreakBefore w:val="0"/>
        <w:kinsoku/>
        <w:wordWrap/>
        <w:overflowPunct/>
        <w:topLinePunct w:val="0"/>
        <w:bidi w:val="0"/>
        <w:adjustRightInd w:val="0"/>
        <w:snapToGrid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2.3</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文件的解释权</w:t>
      </w:r>
    </w:p>
    <w:p w14:paraId="11CF9B92">
      <w:pPr>
        <w:pStyle w:val="4"/>
        <w:keepNext w:val="0"/>
        <w:keepLines w:val="0"/>
        <w:pageBreakBefore w:val="0"/>
        <w:kinsoku/>
        <w:wordWrap/>
        <w:overflowPunct/>
        <w:topLinePunct w:val="0"/>
        <w:bidi w:val="0"/>
        <w:spacing w:line="500" w:lineRule="exact"/>
        <w:ind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文件的解释权归采购代理机构，如发现</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文件内容与现行法律法规不相符的情况，以现行法律法规为准。</w:t>
      </w:r>
    </w:p>
    <w:p w14:paraId="5B6EA760">
      <w:pPr>
        <w:pStyle w:val="4"/>
        <w:keepNext w:val="0"/>
        <w:keepLines w:val="0"/>
        <w:pageBreakBefore w:val="0"/>
        <w:kinsoku/>
        <w:wordWrap/>
        <w:overflowPunct/>
        <w:topLinePunct w:val="0"/>
        <w:bidi w:val="0"/>
        <w:spacing w:line="500" w:lineRule="exact"/>
        <w:ind w:firstLine="0"/>
        <w:rPr>
          <w:rFonts w:hint="eastAsia" w:asciiTheme="minorEastAsia" w:hAnsiTheme="minorEastAsia" w:eastAsiaTheme="minorEastAsia" w:cstheme="minorEastAsia"/>
          <w:color w:val="auto"/>
          <w:sz w:val="24"/>
          <w:szCs w:val="24"/>
          <w:highlight w:val="none"/>
        </w:rPr>
      </w:pPr>
      <w:bookmarkStart w:id="27" w:name="_Toc217446042"/>
      <w:bookmarkStart w:id="28" w:name="_Toc77400780"/>
      <w:bookmarkStart w:id="29" w:name="_Toc183682351"/>
      <w:bookmarkStart w:id="30" w:name="_Toc183582214"/>
      <w:bookmarkStart w:id="31" w:name="_Toc89075876"/>
      <w:r>
        <w:rPr>
          <w:rFonts w:hint="eastAsia" w:asciiTheme="minorEastAsia" w:hAnsiTheme="minorEastAsia" w:eastAsiaTheme="minorEastAsia" w:cstheme="minorEastAsia"/>
          <w:bCs/>
          <w:color w:val="auto"/>
          <w:sz w:val="24"/>
          <w:szCs w:val="24"/>
          <w:highlight w:val="none"/>
        </w:rPr>
        <w:t>3.供应商</w:t>
      </w:r>
    </w:p>
    <w:bookmarkEnd w:id="27"/>
    <w:bookmarkEnd w:id="28"/>
    <w:bookmarkEnd w:id="29"/>
    <w:bookmarkEnd w:id="30"/>
    <w:bookmarkEnd w:id="31"/>
    <w:p w14:paraId="22AD439C">
      <w:pPr>
        <w:pStyle w:val="4"/>
        <w:keepNext w:val="0"/>
        <w:keepLines w:val="0"/>
        <w:pageBreakBefore w:val="0"/>
        <w:kinsoku/>
        <w:wordWrap/>
        <w:overflowPunct/>
        <w:topLinePunct w:val="0"/>
        <w:bidi w:val="0"/>
        <w:spacing w:line="500" w:lineRule="exact"/>
        <w:ind w:firstLine="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3.1供应商资格要求</w:t>
      </w:r>
      <w:r>
        <w:rPr>
          <w:rFonts w:hint="eastAsia" w:asciiTheme="minorEastAsia" w:hAnsiTheme="minorEastAsia" w:eastAsiaTheme="minorEastAsia" w:cstheme="minorEastAsia"/>
          <w:b/>
          <w:color w:val="auto"/>
          <w:sz w:val="24"/>
          <w:szCs w:val="24"/>
          <w:highlight w:val="none"/>
          <w:lang w:eastAsia="zh-CN"/>
        </w:rPr>
        <w:t>：</w:t>
      </w:r>
    </w:p>
    <w:p w14:paraId="6C39064C">
      <w:pPr>
        <w:keepNext w:val="0"/>
        <w:keepLines w:val="0"/>
        <w:pageBreakBefore w:val="0"/>
        <w:widowControl/>
        <w:kinsoku/>
        <w:wordWrap/>
        <w:overflowPunct/>
        <w:topLinePunct w:val="0"/>
        <w:bidi w:val="0"/>
        <w:adjustRightInd w:val="0"/>
        <w:snapToGrid w:val="0"/>
        <w:spacing w:line="500" w:lineRule="exact"/>
        <w:ind w:firstLine="482"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3.1.1</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color w:val="auto"/>
          <w:sz w:val="24"/>
          <w:szCs w:val="24"/>
          <w:highlight w:val="none"/>
        </w:rPr>
        <w:t>基本资格条件</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rPr>
        <w:t>供应商应符合《中华人民共和国政府采购法》第二十二条规定</w:t>
      </w:r>
      <w:r>
        <w:rPr>
          <w:rFonts w:hint="eastAsia" w:asciiTheme="minorEastAsia" w:hAnsiTheme="minorEastAsia" w:eastAsiaTheme="minorEastAsia" w:cstheme="minorEastAsia"/>
          <w:color w:val="auto"/>
          <w:kern w:val="0"/>
          <w:sz w:val="24"/>
          <w:szCs w:val="24"/>
          <w:highlight w:val="none"/>
          <w:lang w:eastAsia="zh-CN"/>
        </w:rPr>
        <w:t>：</w:t>
      </w:r>
    </w:p>
    <w:p w14:paraId="2CE04D49">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color w:val="auto"/>
          <w:sz w:val="24"/>
          <w:szCs w:val="24"/>
          <w:highlight w:val="none"/>
        </w:rPr>
        <w:t>3.1.2 落实政府采购政策资格条件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kern w:val="2"/>
          <w:sz w:val="24"/>
          <w:szCs w:val="24"/>
          <w:highlight w:val="none"/>
          <w:lang w:val="en-US" w:eastAsia="zh-CN" w:bidi="ar-SA"/>
        </w:rPr>
        <w:t>本项目专门面向中小企业采购，供应商应当为中小企业（含残疾人福利性单位、监狱企业）</w:t>
      </w:r>
    </w:p>
    <w:p w14:paraId="270FF3C4">
      <w:pPr>
        <w:keepNext w:val="0"/>
        <w:keepLines w:val="0"/>
        <w:pageBreakBefore w:val="0"/>
        <w:widowControl/>
        <w:kinsoku/>
        <w:wordWrap/>
        <w:overflowPunct/>
        <w:topLinePunct w:val="0"/>
        <w:bidi w:val="0"/>
        <w:adjustRightInd w:val="0"/>
        <w:snapToGrid w:val="0"/>
        <w:spacing w:line="500" w:lineRule="exact"/>
        <w:ind w:firstLine="482" w:firstLineChars="20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b/>
          <w:color w:val="auto"/>
          <w:kern w:val="0"/>
          <w:sz w:val="24"/>
          <w:szCs w:val="24"/>
          <w:highlight w:val="none"/>
        </w:rPr>
        <w:t>3.1.3 特定资格条件。</w:t>
      </w:r>
      <w:r>
        <w:rPr>
          <w:rFonts w:hint="eastAsia" w:asciiTheme="minorEastAsia" w:hAnsiTheme="minorEastAsia" w:eastAsiaTheme="minorEastAsia" w:cstheme="minorEastAsia"/>
          <w:color w:val="auto"/>
          <w:kern w:val="0"/>
          <w:sz w:val="24"/>
          <w:szCs w:val="24"/>
          <w:highlight w:val="none"/>
        </w:rPr>
        <w:t>供应商应满足《中华人民共和国政府采购法》第二十二条第二款规定，</w:t>
      </w:r>
      <w:r>
        <w:rPr>
          <w:rFonts w:hint="eastAsia" w:asciiTheme="minorEastAsia" w:hAnsiTheme="minorEastAsia" w:eastAsiaTheme="minorEastAsia" w:cstheme="minorEastAsia"/>
          <w:color w:val="auto"/>
          <w:kern w:val="0"/>
          <w:sz w:val="24"/>
          <w:szCs w:val="24"/>
          <w:highlight w:val="none"/>
          <w:lang w:val="zh-CN"/>
        </w:rPr>
        <w:t>并根据《政府采购法实施条例》第十七条规定提供证明材料。</w:t>
      </w:r>
    </w:p>
    <w:p w14:paraId="101ECB2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3.1供应商具有独立承担民事责任的能力，提供统一社会信用代码的营业执照；</w:t>
      </w:r>
    </w:p>
    <w:p w14:paraId="3FC7556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3.2税收缴纳证明：提供2024年11月至今已缴纳的至少3个月的完税证明，依法免税的单位应提供相关证明材料；</w:t>
      </w:r>
    </w:p>
    <w:p w14:paraId="0CB1F1F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3.3社会保障资金缴纳证明：提供2024年11月至今已缴存的至少3个月的社会保障资金缴存单据或社保机构开具的社会保险参保缴费情况证明，依法不需要缴纳社会保障资金的单位应提供相关证明材料；</w:t>
      </w:r>
    </w:p>
    <w:p w14:paraId="6F2D10F6">
      <w:pPr>
        <w:pStyle w:val="17"/>
        <w:keepNext w:val="0"/>
        <w:keepLines w:val="0"/>
        <w:pageBreakBefore w:val="0"/>
        <w:kinsoku/>
        <w:wordWrap/>
        <w:overflowPunct/>
        <w:topLinePunct w:val="0"/>
        <w:bidi w:val="0"/>
        <w:spacing w:line="500" w:lineRule="exact"/>
        <w:ind w:left="0" w:leftChars="0"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3.4</w:t>
      </w:r>
      <w:r>
        <w:rPr>
          <w:rFonts w:hint="eastAsia" w:asciiTheme="minorEastAsia" w:hAnsiTheme="minorEastAsia" w:eastAsiaTheme="minorEastAsia" w:cstheme="minorEastAsia"/>
          <w:color w:val="auto"/>
          <w:kern w:val="0"/>
          <w:sz w:val="24"/>
          <w:szCs w:val="24"/>
          <w:highlight w:val="none"/>
          <w:lang w:val="zh-CN" w:eastAsia="zh-CN" w:bidi="ar-SA"/>
        </w:rPr>
        <w:t>财务状况报告：</w:t>
      </w:r>
      <w:r>
        <w:rPr>
          <w:rFonts w:hint="eastAsia" w:asciiTheme="minorEastAsia" w:hAnsiTheme="minorEastAsia" w:eastAsiaTheme="minorEastAsia" w:cstheme="minorEastAsia"/>
          <w:color w:val="auto"/>
          <w:kern w:val="0"/>
          <w:sz w:val="24"/>
          <w:szCs w:val="24"/>
          <w:highlight w:val="none"/>
          <w:lang w:val="en-US" w:eastAsia="zh-CN" w:bidi="ar-SA"/>
        </w:rPr>
        <w:t>提供20</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年度经审计的财务报告或提供响应文件截止时间3个月内其基本账户开户银行出具的资信证明；</w:t>
      </w:r>
    </w:p>
    <w:p w14:paraId="3A1FACF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3.5参加本次政府采购活动近三年内在经营活动中没有重大违纪的书面声明；</w:t>
      </w:r>
    </w:p>
    <w:p w14:paraId="2938AA6F">
      <w:pPr>
        <w:pStyle w:val="13"/>
        <w:keepNext w:val="0"/>
        <w:keepLines w:val="0"/>
        <w:pageBreakBefore w:val="0"/>
        <w:kinsoku/>
        <w:wordWrap/>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en-US" w:eastAsia="zh-CN"/>
        </w:rPr>
        <w:t>3.6</w:t>
      </w:r>
      <w:r>
        <w:rPr>
          <w:rFonts w:hint="eastAsia" w:asciiTheme="minorEastAsia" w:hAnsiTheme="minorEastAsia" w:eastAsiaTheme="minorEastAsia" w:cstheme="minorEastAsia"/>
          <w:color w:val="000000"/>
          <w:sz w:val="24"/>
          <w:szCs w:val="24"/>
          <w:highlight w:val="none"/>
          <w:lang w:val="zh-CN"/>
        </w:rPr>
        <w:t>单位负责人为同一人或者存在直接控股、管理关系的不同投标人，不得参加同一合同项下的政府采购活动；</w:t>
      </w:r>
    </w:p>
    <w:p w14:paraId="25625D4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3.7信用记录：供应商不得为“信用中国”网站（www.creditchina.gov.cn）中被列入重大税收违法失信主体，不得为“中国执行信息公开网”(http://zxgk.court.gov.cn//)被列入失信被执行人,不得为“中国政府采购网”（www.ccgp.gov.cn）政府采购严重违法失信行为记录名单中被财政部门禁止参加政府采购活动的当事人，不得有行贿犯罪行为；</w:t>
      </w:r>
    </w:p>
    <w:p w14:paraId="2310F4DD">
      <w:pPr>
        <w:pStyle w:val="13"/>
        <w:keepNext w:val="0"/>
        <w:keepLines w:val="0"/>
        <w:pageBreakBefore w:val="0"/>
        <w:widowControl w:val="0"/>
        <w:kinsoku/>
        <w:wordWrap/>
        <w:overflowPunct/>
        <w:topLinePunct w:val="0"/>
        <w:bidi w:val="0"/>
        <w:adjustRightInd/>
        <w:snapToGrid/>
        <w:spacing w:after="0" w:line="500" w:lineRule="exac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 w:val="24"/>
          <w:szCs w:val="24"/>
          <w:highlight w:val="none"/>
          <w:lang w:val="en-US" w:eastAsia="zh-CN"/>
        </w:rPr>
        <w:t>3.8</w:t>
      </w:r>
      <w:r>
        <w:rPr>
          <w:rFonts w:hint="eastAsia" w:asciiTheme="minorEastAsia" w:hAnsiTheme="minorEastAsia" w:eastAsiaTheme="minorEastAsia" w:cstheme="minorEastAsia"/>
          <w:kern w:val="2"/>
          <w:sz w:val="24"/>
          <w:szCs w:val="24"/>
          <w:highlight w:val="none"/>
          <w:lang w:val="en-US" w:eastAsia="zh-CN" w:bidi="ar-SA"/>
        </w:rPr>
        <w:t>提供具有履行本项目合同所必需的技术设备和专业能力的承诺书。</w:t>
      </w:r>
    </w:p>
    <w:p w14:paraId="21A5718F">
      <w:pPr>
        <w:keepNext w:val="0"/>
        <w:keepLines w:val="0"/>
        <w:pageBreakBefore w:val="0"/>
        <w:widowControl w:val="0"/>
        <w:kinsoku/>
        <w:wordWrap/>
        <w:overflowPunct/>
        <w:topLinePunct w:val="0"/>
        <w:bidi w:val="0"/>
        <w:adjustRightInd/>
        <w:snapToGrid/>
        <w:spacing w:line="500" w:lineRule="exact"/>
        <w:ind w:left="-25" w:leftChars="-12"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3.9提供供应商交纳磋商保证金凭证（附：开户许可证或者基本存款账户信息）；</w:t>
      </w:r>
    </w:p>
    <w:p w14:paraId="0FF6554D">
      <w:pPr>
        <w:pStyle w:val="13"/>
        <w:keepNext w:val="0"/>
        <w:keepLines w:val="0"/>
        <w:pageBreakBefore w:val="0"/>
        <w:widowControl w:val="0"/>
        <w:kinsoku/>
        <w:wordWrap/>
        <w:overflowPunct/>
        <w:topLinePunct w:val="0"/>
        <w:bidi w:val="0"/>
        <w:adjustRightInd/>
        <w:snapToGrid/>
        <w:spacing w:after="0" w:line="50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3.10本项目不接受联合体（承诺书）。</w:t>
      </w:r>
    </w:p>
    <w:p w14:paraId="27814C84">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3.1.4 根据政府采购的法律法规、规章和规范性文件的规定，供应商不得存在本章第1.3.2规定的情形。</w:t>
      </w:r>
    </w:p>
    <w:p w14:paraId="60BA970E">
      <w:pPr>
        <w:keepNext w:val="0"/>
        <w:keepLines w:val="0"/>
        <w:pageBreakBefore w:val="0"/>
        <w:tabs>
          <w:tab w:val="left" w:pos="0"/>
        </w:tabs>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（12）资格审查小组将依据供应商响应文件之资格证明文件和通过国家企业信用信息公示系统（http://www.gsxt.gov.cn/index.html）对供应商之间存在隶属关系或者其他利害关系进行相关信息的核实。</w:t>
      </w:r>
    </w:p>
    <w:p w14:paraId="4B31DECF">
      <w:pPr>
        <w:keepNext w:val="0"/>
        <w:keepLines w:val="0"/>
        <w:pageBreakBefore w:val="0"/>
        <w:kinsoku/>
        <w:wordWrap/>
        <w:overflowPunct/>
        <w:topLinePunct w:val="0"/>
        <w:bidi w:val="0"/>
        <w:spacing w:line="5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3.1.5 供应商根据采购项目的具体情况，在响应文件正本中应附一套完整的资格证明材料，缺少一项或某项达不到</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文件要求的按无效响应文件处理，复印件加盖供应商单位公章；响应文件副本可采用正本的复印件并加盖供应商单位公章。</w:t>
      </w:r>
    </w:p>
    <w:p w14:paraId="21405B2C">
      <w:pPr>
        <w:keepNext w:val="0"/>
        <w:keepLines w:val="0"/>
        <w:pageBreakBefore w:val="0"/>
        <w:tabs>
          <w:tab w:val="left" w:pos="720"/>
        </w:tabs>
        <w:kinsoku/>
        <w:wordWrap/>
        <w:overflowPunct/>
        <w:topLinePunct w:val="0"/>
        <w:bidi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3.2</w:t>
      </w:r>
      <w:r>
        <w:rPr>
          <w:rFonts w:hint="eastAsia" w:asciiTheme="minorEastAsia" w:hAnsiTheme="minorEastAsia" w:eastAsiaTheme="minorEastAsia" w:cstheme="minorEastAsia"/>
          <w:b/>
          <w:bCs/>
          <w:color w:val="auto"/>
          <w:sz w:val="24"/>
          <w:szCs w:val="24"/>
          <w:highlight w:val="none"/>
        </w:rPr>
        <w:t>授权委托</w:t>
      </w:r>
    </w:p>
    <w:p w14:paraId="75C58DBD">
      <w:pPr>
        <w:pStyle w:val="18"/>
        <w:keepNext w:val="0"/>
        <w:keepLines w:val="0"/>
        <w:pageBreakBefore w:val="0"/>
        <w:kinsoku/>
        <w:wordWrap/>
        <w:overflowPunct/>
        <w:topLinePunct w:val="0"/>
        <w:bidi w:val="0"/>
        <w:adjustRightInd w:val="0"/>
        <w:snapToGrid w:val="0"/>
        <w:spacing w:line="50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3.2.1供应商代表为法定代表人的，应持有法定代表人身份证明。供应商代表不是法定代表人的，应持有法定代表人授权委托书。</w:t>
      </w:r>
    </w:p>
    <w:p w14:paraId="6FF862BA">
      <w:pPr>
        <w:pStyle w:val="18"/>
        <w:keepNext w:val="0"/>
        <w:keepLines w:val="0"/>
        <w:pageBreakBefore w:val="0"/>
        <w:kinsoku/>
        <w:wordWrap/>
        <w:overflowPunct/>
        <w:topLinePunct w:val="0"/>
        <w:bidi w:val="0"/>
        <w:adjustRightInd w:val="0"/>
        <w:snapToGrid w:val="0"/>
        <w:spacing w:line="500" w:lineRule="exact"/>
        <w:ind w:firstLine="600" w:firstLineChars="2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3.2</w:t>
      </w:r>
      <w:r>
        <w:rPr>
          <w:rFonts w:hint="eastAsia" w:asciiTheme="minorEastAsia" w:hAnsiTheme="minorEastAsia" w:eastAsiaTheme="minorEastAsia" w:cstheme="minorEastAsia"/>
          <w:color w:val="auto"/>
          <w:kern w:val="0"/>
          <w:sz w:val="24"/>
          <w:szCs w:val="24"/>
          <w:highlight w:val="none"/>
        </w:rPr>
        <w:t>.2供应商应当委托本单位正式员工作为</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代表，且</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代表只能接受一个供应商的委托参加</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w:t>
      </w:r>
    </w:p>
    <w:p w14:paraId="2549FFA6">
      <w:pPr>
        <w:pStyle w:val="18"/>
        <w:keepNext w:val="0"/>
        <w:keepLines w:val="0"/>
        <w:pageBreakBefore w:val="0"/>
        <w:kinsoku/>
        <w:wordWrap/>
        <w:overflowPunct/>
        <w:topLinePunct w:val="0"/>
        <w:bidi w:val="0"/>
        <w:adjustRightInd w:val="0"/>
        <w:snapToGrid w:val="0"/>
        <w:spacing w:line="500" w:lineRule="exact"/>
        <w:ind w:left="-178" w:leftChars="-85" w:firstLine="176" w:firstLineChars="73"/>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b/>
          <w:color w:val="auto"/>
          <w:sz w:val="24"/>
          <w:szCs w:val="24"/>
          <w:highlight w:val="none"/>
        </w:rPr>
        <w:t>3.3</w:t>
      </w:r>
      <w:r>
        <w:rPr>
          <w:rFonts w:hint="eastAsia" w:asciiTheme="minorEastAsia" w:hAnsiTheme="minorEastAsia" w:eastAsiaTheme="minorEastAsia" w:cstheme="minorEastAsia"/>
          <w:b/>
          <w:color w:val="auto"/>
          <w:sz w:val="24"/>
          <w:szCs w:val="24"/>
          <w:highlight w:val="none"/>
          <w:lang w:val="en-US" w:eastAsia="zh-CN"/>
        </w:rPr>
        <w:t>业绩</w:t>
      </w:r>
    </w:p>
    <w:p w14:paraId="352DBA95">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文件要求供应商提供同类项目业绩的，</w:t>
      </w:r>
      <w:r>
        <w:rPr>
          <w:rFonts w:hint="eastAsia" w:asciiTheme="minorEastAsia" w:hAnsiTheme="minorEastAsia" w:eastAsiaTheme="minorEastAsia" w:cstheme="minorEastAsia"/>
          <w:color w:val="auto"/>
          <w:sz w:val="24"/>
          <w:szCs w:val="24"/>
          <w:highlight w:val="none"/>
          <w:lang w:val="en-US" w:eastAsia="zh-CN"/>
        </w:rPr>
        <w:t>其企业业绩和项目负责人业绩不重复计算。</w:t>
      </w:r>
    </w:p>
    <w:bookmarkEnd w:id="22"/>
    <w:bookmarkEnd w:id="23"/>
    <w:bookmarkEnd w:id="24"/>
    <w:bookmarkEnd w:id="25"/>
    <w:bookmarkEnd w:id="26"/>
    <w:p w14:paraId="499D08E6">
      <w:pPr>
        <w:keepNext w:val="0"/>
        <w:keepLines w:val="0"/>
        <w:pageBreakBefore w:val="0"/>
        <w:kinsoku/>
        <w:wordWrap/>
        <w:overflowPunct/>
        <w:topLinePunct w:val="0"/>
        <w:bidi w:val="0"/>
        <w:adjustRightInd w:val="0"/>
        <w:snapToGrid w:val="0"/>
        <w:spacing w:line="500" w:lineRule="exact"/>
        <w:ind w:left="0" w:leftChars="0" w:firstLine="0" w:firstLineChars="0"/>
        <w:jc w:val="left"/>
        <w:rPr>
          <w:rFonts w:hint="eastAsia" w:asciiTheme="minorEastAsia" w:hAnsiTheme="minorEastAsia" w:eastAsiaTheme="minorEastAsia" w:cstheme="minorEastAsia"/>
          <w:b/>
          <w:color w:val="auto"/>
          <w:sz w:val="24"/>
          <w:szCs w:val="24"/>
          <w:highlight w:val="none"/>
        </w:rPr>
      </w:pPr>
      <w:bookmarkStart w:id="32" w:name="_Toc183682352"/>
      <w:bookmarkStart w:id="33" w:name="_Toc183582215"/>
      <w:bookmarkStart w:id="34" w:name="_Toc217446043"/>
      <w:r>
        <w:rPr>
          <w:rFonts w:hint="eastAsia" w:asciiTheme="minorEastAsia" w:hAnsiTheme="minorEastAsia" w:eastAsiaTheme="minorEastAsia" w:cstheme="minorEastAsia"/>
          <w:b/>
          <w:color w:val="auto"/>
          <w:sz w:val="24"/>
          <w:szCs w:val="24"/>
          <w:highlight w:val="none"/>
        </w:rPr>
        <w:t>3.4享受的政府采购政策</w:t>
      </w:r>
    </w:p>
    <w:p w14:paraId="2E805CB7">
      <w:pPr>
        <w:pStyle w:val="18"/>
        <w:keepNext w:val="0"/>
        <w:keepLines w:val="0"/>
        <w:pageBreakBefore w:val="0"/>
        <w:kinsoku/>
        <w:wordWrap/>
        <w:overflowPunct/>
        <w:topLinePunct w:val="0"/>
        <w:bidi w:val="0"/>
        <w:adjustRightInd w:val="0"/>
        <w:snapToGrid w:val="0"/>
        <w:spacing w:line="5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3.4.1 绿色发展政策</w:t>
      </w:r>
    </w:p>
    <w:p w14:paraId="6A5E7576">
      <w:pPr>
        <w:pStyle w:val="18"/>
        <w:keepNext w:val="0"/>
        <w:keepLines w:val="0"/>
        <w:pageBreakBefore w:val="0"/>
        <w:kinsoku/>
        <w:wordWrap/>
        <w:overflowPunct/>
        <w:topLinePunct w:val="0"/>
        <w:bidi w:val="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3.4.1.1 </w:t>
      </w:r>
      <w:r>
        <w:rPr>
          <w:rFonts w:hint="eastAsia" w:asciiTheme="minorEastAsia" w:hAnsiTheme="minorEastAsia" w:eastAsiaTheme="minorEastAsia" w:cstheme="minorEastAsia"/>
          <w:color w:val="auto"/>
          <w:sz w:val="24"/>
          <w:szCs w:val="24"/>
          <w:highlight w:val="none"/>
          <w:lang w:val="en-US" w:eastAsia="zh-CN"/>
        </w:rPr>
        <w:t>本项目不适用</w:t>
      </w:r>
      <w:r>
        <w:rPr>
          <w:rFonts w:hint="eastAsia" w:asciiTheme="minorEastAsia" w:hAnsiTheme="minorEastAsia" w:eastAsiaTheme="minorEastAsia" w:cstheme="minorEastAsia"/>
          <w:color w:val="auto"/>
          <w:sz w:val="24"/>
          <w:szCs w:val="24"/>
          <w:highlight w:val="none"/>
        </w:rPr>
        <w:t>。</w:t>
      </w:r>
    </w:p>
    <w:p w14:paraId="54F3BA59">
      <w:pPr>
        <w:keepNext w:val="0"/>
        <w:keepLines w:val="0"/>
        <w:pageBreakBefore w:val="0"/>
        <w:kinsoku/>
        <w:wordWrap/>
        <w:overflowPunct/>
        <w:topLinePunct w:val="0"/>
        <w:bidi w:val="0"/>
        <w:adjustRightInd w:val="0"/>
        <w:snapToGrid w:val="0"/>
        <w:spacing w:line="50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3.4.2 中小企业发展政策</w:t>
      </w:r>
    </w:p>
    <w:p w14:paraId="0918D943">
      <w:pPr>
        <w:keepNext w:val="0"/>
        <w:keepLines w:val="0"/>
        <w:pageBreakBefore w:val="0"/>
        <w:kinsoku/>
        <w:wordWrap/>
        <w:overflowPunct/>
        <w:topLinePunct w:val="0"/>
        <w:bidi w:val="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2.1 投标人所投全部货物的制造商，依据《中小企业划型标准规定》（工信部联企业[2011]300号）的划分标准，都属于</w:t>
      </w:r>
      <w:r>
        <w:rPr>
          <w:rFonts w:hint="eastAsia" w:asciiTheme="minorEastAsia" w:hAnsiTheme="minorEastAsia" w:eastAsiaTheme="minorEastAsia" w:cstheme="minorEastAsia"/>
          <w:b/>
          <w:color w:val="auto"/>
          <w:sz w:val="24"/>
          <w:szCs w:val="24"/>
          <w:highlight w:val="none"/>
        </w:rPr>
        <w:t>小微</w:t>
      </w:r>
      <w:r>
        <w:rPr>
          <w:rFonts w:hint="eastAsia" w:asciiTheme="minorEastAsia" w:hAnsiTheme="minorEastAsia" w:eastAsiaTheme="minorEastAsia" w:cstheme="minorEastAsia"/>
          <w:color w:val="auto"/>
          <w:sz w:val="24"/>
          <w:szCs w:val="24"/>
          <w:highlight w:val="none"/>
        </w:rPr>
        <w:t>企业的，无论投标人本身是否属于中小企业，即可享受中小型企业发展扶持政策。</w:t>
      </w:r>
    </w:p>
    <w:p w14:paraId="419F65D3">
      <w:pPr>
        <w:pStyle w:val="18"/>
        <w:keepNext w:val="0"/>
        <w:keepLines w:val="0"/>
        <w:pageBreakBefore w:val="0"/>
        <w:kinsoku/>
        <w:wordWrap/>
        <w:overflowPunct/>
        <w:topLinePunct w:val="0"/>
        <w:bidi w:val="0"/>
        <w:adjustRightInd w:val="0"/>
        <w:snapToGrid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3.4.2.2供应商作为中小企业参加政府采购活动，应当提供《中小企业声明函》（见第七章</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文件格式），不提供的在资格审查时不予通过，</w:t>
      </w:r>
      <w:r>
        <w:rPr>
          <w:rFonts w:hint="eastAsia" w:asciiTheme="minorEastAsia" w:hAnsiTheme="minorEastAsia" w:eastAsiaTheme="minorEastAsia" w:cstheme="minorEastAsia"/>
          <w:b/>
          <w:bCs/>
          <w:color w:val="auto"/>
          <w:sz w:val="24"/>
          <w:szCs w:val="24"/>
          <w:highlight w:val="none"/>
        </w:rPr>
        <w:t>其响应文件无效。</w:t>
      </w:r>
    </w:p>
    <w:p w14:paraId="2AD29585">
      <w:pPr>
        <w:keepNext w:val="0"/>
        <w:keepLines w:val="0"/>
        <w:pageBreakBefore w:val="0"/>
        <w:kinsoku/>
        <w:wordWrap/>
        <w:overflowPunct/>
        <w:topLinePunct w:val="0"/>
        <w:bidi w:val="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依据《财政部、民政部、中国残疾人联合会关于促进残疾人就业政府采购政策的通知》（财库〔2017〕141号）之规定，残疾人福利性单位参加政府采购活动，视同小微企业。</w:t>
      </w:r>
    </w:p>
    <w:p w14:paraId="5AF07404">
      <w:pPr>
        <w:keepNext w:val="0"/>
        <w:keepLines w:val="0"/>
        <w:pageBreakBefore w:val="0"/>
        <w:kinsoku/>
        <w:wordWrap/>
        <w:overflowPunct/>
        <w:topLinePunct w:val="0"/>
        <w:bidi w:val="0"/>
        <w:adjustRightInd w:val="0"/>
        <w:snapToGrid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供应商为残疾人福利性单位的，应当提供《残疾人福利性单位声明函》（见第七章响应文件格式），未提供的不视为小微企业，在资格审查时不予通过，</w:t>
      </w:r>
      <w:r>
        <w:rPr>
          <w:rFonts w:hint="eastAsia" w:asciiTheme="minorEastAsia" w:hAnsiTheme="minorEastAsia" w:eastAsiaTheme="minorEastAsia" w:cstheme="minorEastAsia"/>
          <w:b/>
          <w:bCs/>
          <w:color w:val="auto"/>
          <w:sz w:val="24"/>
          <w:szCs w:val="24"/>
          <w:highlight w:val="none"/>
        </w:rPr>
        <w:t xml:space="preserve">其响应文件无效。 </w:t>
      </w:r>
    </w:p>
    <w:p w14:paraId="1CA2DE8B">
      <w:pPr>
        <w:pStyle w:val="18"/>
        <w:keepNext w:val="0"/>
        <w:keepLines w:val="0"/>
        <w:pageBreakBefore w:val="0"/>
        <w:kinsoku/>
        <w:wordWrap/>
        <w:overflowPunct/>
        <w:topLinePunct w:val="0"/>
        <w:bidi w:val="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供应商为监狱企业的，应当提供由省级以上监狱管理局、戒毒管理局出具的属于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监狱企业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的证明文件，未提供或</w:t>
      </w:r>
      <w:r>
        <w:rPr>
          <w:rFonts w:hint="eastAsia" w:asciiTheme="minorEastAsia" w:hAnsiTheme="minorEastAsia" w:eastAsiaTheme="minorEastAsia" w:cstheme="minorEastAsia"/>
          <w:color w:val="auto"/>
          <w:kern w:val="0"/>
          <w:sz w:val="24"/>
          <w:szCs w:val="24"/>
          <w:highlight w:val="none"/>
        </w:rPr>
        <w:t>出具证明文件的单位不符合相关要求</w:t>
      </w:r>
      <w:r>
        <w:rPr>
          <w:rFonts w:hint="eastAsia" w:asciiTheme="minorEastAsia" w:hAnsiTheme="minorEastAsia" w:eastAsiaTheme="minorEastAsia" w:cstheme="minorEastAsia"/>
          <w:color w:val="auto"/>
          <w:sz w:val="24"/>
          <w:szCs w:val="24"/>
          <w:highlight w:val="none"/>
        </w:rPr>
        <w:t>的，不视为小微企业，在资格审查时不予通过，</w:t>
      </w:r>
      <w:r>
        <w:rPr>
          <w:rFonts w:hint="eastAsia" w:asciiTheme="minorEastAsia" w:hAnsiTheme="minorEastAsia" w:eastAsiaTheme="minorEastAsia" w:cstheme="minorEastAsia"/>
          <w:b/>
          <w:bCs/>
          <w:color w:val="auto"/>
          <w:sz w:val="24"/>
          <w:szCs w:val="24"/>
          <w:highlight w:val="none"/>
        </w:rPr>
        <w:t>其响应文件无效。</w:t>
      </w:r>
    </w:p>
    <w:p w14:paraId="6A06A06C">
      <w:pPr>
        <w:keepNext w:val="0"/>
        <w:keepLines w:val="0"/>
        <w:pageBreakBefore w:val="0"/>
        <w:kinsoku/>
        <w:wordWrap/>
        <w:overflowPunct/>
        <w:topLinePunct w:val="0"/>
        <w:bidi w:val="0"/>
        <w:adjustRightInd w:val="0"/>
        <w:snapToGrid w:val="0"/>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 投标人提供的《中小企业声明函》或者《残疾人福利性单位声明函》</w:t>
      </w:r>
      <w:r>
        <w:rPr>
          <w:rFonts w:hint="eastAsia" w:asciiTheme="minorEastAsia" w:hAnsiTheme="minorEastAsia" w:eastAsiaTheme="minorEastAsia" w:cstheme="minorEastAsia"/>
          <w:color w:val="auto"/>
          <w:sz w:val="24"/>
          <w:szCs w:val="24"/>
          <w:highlight w:val="none"/>
          <w:lang w:val="en-US" w:eastAsia="zh-CN"/>
        </w:rPr>
        <w:t>或者《监狱企业》</w:t>
      </w:r>
      <w:r>
        <w:rPr>
          <w:rFonts w:hint="eastAsia" w:asciiTheme="minorEastAsia" w:hAnsiTheme="minorEastAsia" w:eastAsiaTheme="minorEastAsia" w:cstheme="minorEastAsia"/>
          <w:color w:val="auto"/>
          <w:sz w:val="24"/>
          <w:szCs w:val="24"/>
          <w:highlight w:val="none"/>
        </w:rPr>
        <w:t>存在明显错误的，评标委员会可以按照第四章第1.3条款的规定，要求投标人作出澄清；澄清后，符合小微企业条件的，投标人可以</w:t>
      </w:r>
      <w:r>
        <w:rPr>
          <w:rFonts w:hint="eastAsia" w:asciiTheme="minorEastAsia" w:hAnsiTheme="minorEastAsia" w:eastAsiaTheme="minorEastAsia" w:cstheme="minorEastAsia"/>
          <w:color w:val="auto"/>
          <w:sz w:val="24"/>
          <w:szCs w:val="24"/>
          <w:highlight w:val="none"/>
          <w:lang w:val="en-US" w:eastAsia="zh-CN"/>
        </w:rPr>
        <w:t>继续参与后续评审，否则</w:t>
      </w:r>
      <w:r>
        <w:rPr>
          <w:rFonts w:hint="eastAsia" w:asciiTheme="minorEastAsia" w:hAnsiTheme="minorEastAsia" w:eastAsiaTheme="minorEastAsia" w:cstheme="minorEastAsia"/>
          <w:b/>
          <w:bCs/>
          <w:color w:val="auto"/>
          <w:sz w:val="24"/>
          <w:szCs w:val="24"/>
          <w:highlight w:val="none"/>
        </w:rPr>
        <w:t>其响应文件无效</w:t>
      </w:r>
      <w:r>
        <w:rPr>
          <w:rFonts w:hint="eastAsia" w:asciiTheme="minorEastAsia" w:hAnsiTheme="minorEastAsia" w:eastAsiaTheme="minorEastAsia" w:cstheme="minorEastAsia"/>
          <w:color w:val="auto"/>
          <w:sz w:val="24"/>
          <w:szCs w:val="24"/>
          <w:highlight w:val="none"/>
        </w:rPr>
        <w:t>。</w:t>
      </w:r>
    </w:p>
    <w:p w14:paraId="36661E0D">
      <w:pPr>
        <w:keepNext w:val="0"/>
        <w:keepLines w:val="0"/>
        <w:pageBreakBefore w:val="0"/>
        <w:kinsoku/>
        <w:wordWrap/>
        <w:overflowPunct/>
        <w:topLinePunct w:val="0"/>
        <w:bidi w:val="0"/>
        <w:adjustRightInd w:val="0"/>
        <w:snapToGrid w:val="0"/>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享受中小企业扶持政策的投标人可以同时享受节能产品、环境标志产品优先采购政策。</w:t>
      </w:r>
    </w:p>
    <w:p w14:paraId="72BFEF02">
      <w:pPr>
        <w:keepNext w:val="0"/>
        <w:keepLines w:val="0"/>
        <w:pageBreakBefore w:val="0"/>
        <w:kinsoku/>
        <w:wordWrap/>
        <w:overflowPunct/>
        <w:topLinePunct w:val="0"/>
        <w:bidi w:val="0"/>
        <w:adjustRightInd w:val="0"/>
        <w:snapToGrid w:val="0"/>
        <w:spacing w:line="500" w:lineRule="exact"/>
        <w:ind w:firstLine="720" w:firstLineChars="3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3.4.2.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 政府采购监督检查、投诉处理及政府采购行政处罚中对中小企业的认定，由货物制造商注册登记所在地的县级以上人民政府中小企业主管部门负责。</w:t>
      </w:r>
    </w:p>
    <w:p w14:paraId="2E3D95B1">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3.5转包与分包</w:t>
      </w:r>
    </w:p>
    <w:p w14:paraId="5D5F5360">
      <w:pPr>
        <w:keepNext w:val="0"/>
        <w:keepLines w:val="0"/>
        <w:pageBreakBefore w:val="0"/>
        <w:kinsoku/>
        <w:wordWrap/>
        <w:overflowPunct/>
        <w:topLinePunct w:val="0"/>
        <w:bidi w:val="0"/>
        <w:adjustRightInd w:val="0"/>
        <w:snapToGrid w:val="0"/>
        <w:spacing w:line="5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3.5.1 本项目严禁采取转包</w:t>
      </w:r>
      <w:r>
        <w:rPr>
          <w:rFonts w:hint="eastAsia" w:asciiTheme="minorEastAsia" w:hAnsiTheme="minorEastAsia" w:eastAsiaTheme="minorEastAsia" w:cstheme="minorEastAsia"/>
          <w:color w:val="auto"/>
          <w:kern w:val="0"/>
          <w:sz w:val="24"/>
          <w:szCs w:val="24"/>
          <w:highlight w:val="none"/>
          <w:lang w:val="en-US" w:eastAsia="zh-CN"/>
        </w:rPr>
        <w:t>与分包</w:t>
      </w:r>
      <w:r>
        <w:rPr>
          <w:rFonts w:hint="eastAsia" w:asciiTheme="minorEastAsia" w:hAnsiTheme="minorEastAsia" w:eastAsiaTheme="minorEastAsia" w:cstheme="minorEastAsia"/>
          <w:color w:val="auto"/>
          <w:kern w:val="0"/>
          <w:sz w:val="24"/>
          <w:szCs w:val="24"/>
          <w:highlight w:val="none"/>
        </w:rPr>
        <w:t>方式履行合同。</w:t>
      </w:r>
    </w:p>
    <w:p w14:paraId="729D66BD">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3.6 供应商的风险</w:t>
      </w:r>
    </w:p>
    <w:p w14:paraId="1E5AD914">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供应商应认真阅读和充分理解</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文件中所有的事项、格式条款和规范要求，任何对</w:t>
      </w:r>
      <w:r>
        <w:rPr>
          <w:rFonts w:hint="eastAsia" w:asciiTheme="minorEastAsia" w:hAnsiTheme="minorEastAsia" w:eastAsiaTheme="minorEastAsia" w:cstheme="minorEastAsia"/>
          <w:bCs/>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文件的忽略或误解不能作为响应文件存在缺陷或瑕疵的理由；供应商</w:t>
      </w:r>
      <w:r>
        <w:rPr>
          <w:rFonts w:hint="eastAsia" w:asciiTheme="minorEastAsia" w:hAnsiTheme="minorEastAsia" w:eastAsiaTheme="minorEastAsia" w:cstheme="minorEastAsia"/>
          <w:color w:val="auto"/>
          <w:kern w:val="0"/>
          <w:sz w:val="24"/>
          <w:szCs w:val="24"/>
          <w:highlight w:val="none"/>
        </w:rPr>
        <w:t>没有按照</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文件要求提供全部资料，</w:t>
      </w:r>
      <w:r>
        <w:rPr>
          <w:rFonts w:hint="eastAsia" w:asciiTheme="minorEastAsia" w:hAnsiTheme="minorEastAsia" w:eastAsiaTheme="minorEastAsia" w:cstheme="minorEastAsia"/>
          <w:color w:val="auto"/>
          <w:sz w:val="24"/>
          <w:szCs w:val="24"/>
          <w:highlight w:val="none"/>
        </w:rPr>
        <w:t>或对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文件未全面做出实质性响应是供应商的风险，</w:t>
      </w:r>
      <w:r>
        <w:rPr>
          <w:rFonts w:hint="eastAsia" w:asciiTheme="minorEastAsia" w:hAnsiTheme="minorEastAsia" w:eastAsiaTheme="minorEastAsia" w:cstheme="minorEastAsia"/>
          <w:color w:val="auto"/>
          <w:kern w:val="0"/>
          <w:sz w:val="24"/>
          <w:szCs w:val="24"/>
          <w:highlight w:val="none"/>
        </w:rPr>
        <w:t>并可能导致其响应文件被拒绝。</w:t>
      </w:r>
    </w:p>
    <w:p w14:paraId="3E61CEA2">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3.7供应商的纪律要求</w:t>
      </w:r>
    </w:p>
    <w:p w14:paraId="36A2F023">
      <w:pPr>
        <w:pStyle w:val="4"/>
        <w:keepNext w:val="0"/>
        <w:keepLines w:val="0"/>
        <w:pageBreakBefore w:val="0"/>
        <w:kinsoku/>
        <w:wordWrap/>
        <w:overflowPunct/>
        <w:topLinePunct w:val="0"/>
        <w:bidi w:val="0"/>
        <w:spacing w:line="500" w:lineRule="exact"/>
        <w:ind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有下列情形之一的，属于不合格供应商，其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或成交资格将被取消：</w:t>
      </w:r>
    </w:p>
    <w:p w14:paraId="231BA47F">
      <w:pPr>
        <w:keepNext w:val="0"/>
        <w:keepLines w:val="0"/>
        <w:pageBreakBefore w:val="0"/>
        <w:kinsoku/>
        <w:wordWrap/>
        <w:overflowPunct/>
        <w:topLinePunct w:val="0"/>
        <w:bidi w:val="0"/>
        <w:spacing w:line="500" w:lineRule="exact"/>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（1）提供虚假材料谋取成交；</w:t>
      </w:r>
    </w:p>
    <w:p w14:paraId="19655861">
      <w:pPr>
        <w:keepNext w:val="0"/>
        <w:keepLines w:val="0"/>
        <w:pageBreakBefore w:val="0"/>
        <w:kinsoku/>
        <w:wordWrap/>
        <w:overflowPunct/>
        <w:topLinePunct w:val="0"/>
        <w:bidi w:val="0"/>
        <w:spacing w:line="500" w:lineRule="exact"/>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（2）提供假冒伪劣产品；</w:t>
      </w:r>
    </w:p>
    <w:p w14:paraId="1AE06C65">
      <w:pPr>
        <w:keepNext w:val="0"/>
        <w:keepLines w:val="0"/>
        <w:pageBreakBefore w:val="0"/>
        <w:kinsoku/>
        <w:wordWrap/>
        <w:overflowPunct/>
        <w:topLinePunct w:val="0"/>
        <w:bidi w:val="0"/>
        <w:spacing w:line="500" w:lineRule="exact"/>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（3）采取不正当手段诋毁、排挤其他供应商；</w:t>
      </w:r>
    </w:p>
    <w:p w14:paraId="4F16180B">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（4）与采购人、采购代理机构、其他供应商恶意串通；</w:t>
      </w:r>
    </w:p>
    <w:p w14:paraId="393622E5">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（5）向采购人、采购代理机构、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小组成员行贿或者提供其他不正当利益；</w:t>
      </w:r>
    </w:p>
    <w:p w14:paraId="7ACAE212">
      <w:pPr>
        <w:pStyle w:val="19"/>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（6）拒绝有关部门的监督检查或者向监督检查部门提供虚假情况；</w:t>
      </w:r>
    </w:p>
    <w:p w14:paraId="5542B8A7">
      <w:pPr>
        <w:pStyle w:val="19"/>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（7）法律法规规定的其他情形。</w:t>
      </w:r>
    </w:p>
    <w:p w14:paraId="17AE938C">
      <w:pPr>
        <w:keepNext w:val="0"/>
        <w:keepLines w:val="0"/>
        <w:pageBreakBefore w:val="0"/>
        <w:tabs>
          <w:tab w:val="left" w:pos="7665"/>
        </w:tabs>
        <w:kinsoku/>
        <w:wordWrap/>
        <w:overflowPunct/>
        <w:topLinePunct w:val="0"/>
        <w:bidi w:val="0"/>
        <w:spacing w:line="5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4. 响应文件</w:t>
      </w:r>
    </w:p>
    <w:p w14:paraId="51EDDDB7">
      <w:pPr>
        <w:keepNext w:val="0"/>
        <w:keepLines w:val="0"/>
        <w:pageBreakBefore w:val="0"/>
        <w:kinsoku/>
        <w:wordWrap/>
        <w:overflowPunct/>
        <w:topLinePunct w:val="0"/>
        <w:bidi w:val="0"/>
        <w:snapToGrid w:val="0"/>
        <w:spacing w:line="500" w:lineRule="exact"/>
        <w:outlineLvl w:val="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4.1响应文件的编制要求</w:t>
      </w:r>
    </w:p>
    <w:p w14:paraId="47058268">
      <w:pPr>
        <w:keepNext w:val="0"/>
        <w:keepLines w:val="0"/>
        <w:pageBreakBefore w:val="0"/>
        <w:kinsoku/>
        <w:wordWrap/>
        <w:overflowPunct/>
        <w:topLinePunct w:val="0"/>
        <w:bidi w:val="0"/>
        <w:snapToGrid w:val="0"/>
        <w:spacing w:line="500" w:lineRule="exact"/>
        <w:ind w:firstLine="600" w:firstLineChars="25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4.1.1供应商应当仔细阅读</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文件的所有事项、格式、条件和要求，并按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文件要求编制响应文件。响应文件应当对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文件提出的要求和条件作出明确响应，在满足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文件实质性要求的基础上，可以提出比</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文件要求更有利于采购人的承诺。若本项目分</w:t>
      </w:r>
      <w:r>
        <w:rPr>
          <w:rFonts w:hint="eastAsia" w:asciiTheme="minorEastAsia" w:hAnsiTheme="minorEastAsia" w:eastAsiaTheme="minorEastAsia" w:cstheme="minorEastAsia"/>
          <w:color w:val="auto"/>
          <w:sz w:val="24"/>
          <w:szCs w:val="24"/>
          <w:highlight w:val="none"/>
          <w:lang w:val="en-US" w:eastAsia="zh-CN"/>
        </w:rPr>
        <w:t>包</w:t>
      </w:r>
      <w:r>
        <w:rPr>
          <w:rFonts w:hint="eastAsia" w:asciiTheme="minorEastAsia" w:hAnsiTheme="minorEastAsia" w:eastAsiaTheme="minorEastAsia" w:cstheme="minorEastAsia"/>
          <w:color w:val="auto"/>
          <w:sz w:val="24"/>
          <w:szCs w:val="24"/>
          <w:highlight w:val="none"/>
        </w:rPr>
        <w:t>段的，应当以</w:t>
      </w:r>
      <w:r>
        <w:rPr>
          <w:rFonts w:hint="eastAsia" w:asciiTheme="minorEastAsia" w:hAnsiTheme="minorEastAsia" w:eastAsiaTheme="minorEastAsia" w:cstheme="minorEastAsia"/>
          <w:color w:val="auto"/>
          <w:sz w:val="24"/>
          <w:szCs w:val="24"/>
          <w:highlight w:val="none"/>
          <w:lang w:val="en-US" w:eastAsia="zh-CN"/>
        </w:rPr>
        <w:t>包</w:t>
      </w:r>
      <w:r>
        <w:rPr>
          <w:rFonts w:hint="eastAsia" w:asciiTheme="minorEastAsia" w:hAnsiTheme="minorEastAsia" w:eastAsiaTheme="minorEastAsia" w:cstheme="minorEastAsia"/>
          <w:color w:val="auto"/>
          <w:sz w:val="24"/>
          <w:szCs w:val="24"/>
          <w:highlight w:val="none"/>
        </w:rPr>
        <w:t>段为单位响应，不得在其中选项投标或将其中内容再行分解，否则</w:t>
      </w:r>
      <w:r>
        <w:rPr>
          <w:rFonts w:hint="eastAsia" w:asciiTheme="minorEastAsia" w:hAnsiTheme="minorEastAsia" w:eastAsiaTheme="minorEastAsia" w:cstheme="minorEastAsia"/>
          <w:b/>
          <w:color w:val="auto"/>
          <w:sz w:val="24"/>
          <w:szCs w:val="24"/>
          <w:highlight w:val="none"/>
        </w:rPr>
        <w:t>响应文件无效</w:t>
      </w:r>
      <w:r>
        <w:rPr>
          <w:rFonts w:hint="eastAsia" w:asciiTheme="minorEastAsia" w:hAnsiTheme="minorEastAsia" w:eastAsiaTheme="minorEastAsia" w:cstheme="minorEastAsia"/>
          <w:color w:val="auto"/>
          <w:sz w:val="24"/>
          <w:szCs w:val="24"/>
          <w:highlight w:val="none"/>
        </w:rPr>
        <w:t>。</w:t>
      </w:r>
    </w:p>
    <w:p w14:paraId="1640C51A">
      <w:pPr>
        <w:keepNext w:val="0"/>
        <w:keepLines w:val="0"/>
        <w:pageBreakBefore w:val="0"/>
        <w:tabs>
          <w:tab w:val="left" w:pos="720"/>
        </w:tabs>
        <w:kinsoku/>
        <w:wordWrap/>
        <w:overflowPunct/>
        <w:topLinePunct w:val="0"/>
        <w:bidi w:val="0"/>
        <w:snapToGrid w:val="0"/>
        <w:spacing w:line="500" w:lineRule="exact"/>
        <w:ind w:firstLine="600" w:firstLineChars="24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4.1.2 真实性原则</w:t>
      </w:r>
    </w:p>
    <w:p w14:paraId="1FA242C4">
      <w:pPr>
        <w:keepNext w:val="0"/>
        <w:keepLines w:val="0"/>
        <w:pageBreakBefore w:val="0"/>
        <w:tabs>
          <w:tab w:val="left" w:pos="720"/>
        </w:tabs>
        <w:kinsoku/>
        <w:wordWrap/>
        <w:overflowPunct/>
        <w:topLinePunct w:val="0"/>
        <w:bidi w:val="0"/>
        <w:snapToGrid w:val="0"/>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4.1.2.1 供应商应保证所提供的响应文件和所有资料的真实性、准确性和完整性。</w:t>
      </w:r>
    </w:p>
    <w:p w14:paraId="11E10D0E">
      <w:pPr>
        <w:keepNext w:val="0"/>
        <w:keepLines w:val="0"/>
        <w:pageBreakBefore w:val="0"/>
        <w:tabs>
          <w:tab w:val="left" w:pos="720"/>
        </w:tabs>
        <w:kinsoku/>
        <w:wordWrap/>
        <w:overflowPunct/>
        <w:topLinePunct w:val="0"/>
        <w:bidi w:val="0"/>
        <w:snapToGrid w:val="0"/>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4.1.2.2 供应商被认定为在政府采购活动中提供不真实材料的，无论其材料是否重要，采购人均有权拒绝，并取消其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或成交资格，供应商需承担相应的法律后果。</w:t>
      </w:r>
    </w:p>
    <w:p w14:paraId="5F86F39E">
      <w:pPr>
        <w:keepNext w:val="0"/>
        <w:keepLines w:val="0"/>
        <w:pageBreakBefore w:val="0"/>
        <w:tabs>
          <w:tab w:val="left" w:pos="720"/>
        </w:tabs>
        <w:kinsoku/>
        <w:wordWrap/>
        <w:overflowPunct/>
        <w:topLinePunct w:val="0"/>
        <w:bidi w:val="0"/>
        <w:snapToGrid w:val="0"/>
        <w:spacing w:line="500" w:lineRule="exact"/>
        <w:ind w:firstLine="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4.1.3 报价使用货币</w:t>
      </w:r>
    </w:p>
    <w:p w14:paraId="61717EFD">
      <w:pPr>
        <w:keepNext w:val="0"/>
        <w:keepLines w:val="0"/>
        <w:pageBreakBefore w:val="0"/>
        <w:tabs>
          <w:tab w:val="left" w:pos="720"/>
        </w:tabs>
        <w:kinsoku/>
        <w:wordWrap/>
        <w:overflowPunct/>
        <w:topLinePunct w:val="0"/>
        <w:bidi w:val="0"/>
        <w:snapToGrid w:val="0"/>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本项目的报价均以人民币报价。</w:t>
      </w:r>
    </w:p>
    <w:p w14:paraId="417C5FAE">
      <w:pPr>
        <w:keepNext w:val="0"/>
        <w:keepLines w:val="0"/>
        <w:pageBreakBefore w:val="0"/>
        <w:tabs>
          <w:tab w:val="left" w:pos="720"/>
        </w:tabs>
        <w:kinsoku/>
        <w:wordWrap/>
        <w:overflowPunct/>
        <w:topLinePunct w:val="0"/>
        <w:bidi w:val="0"/>
        <w:snapToGrid w:val="0"/>
        <w:spacing w:line="500" w:lineRule="exact"/>
        <w:ind w:firstLine="484" w:firstLineChars="20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4.1.4 响应文件形式</w:t>
      </w:r>
    </w:p>
    <w:p w14:paraId="14DCD227">
      <w:pPr>
        <w:pStyle w:val="18"/>
        <w:keepNext w:val="0"/>
        <w:keepLines w:val="0"/>
        <w:pageBreakBefore w:val="0"/>
        <w:kinsoku/>
        <w:wordWrap/>
        <w:overflowPunct/>
        <w:topLinePunct w:val="0"/>
        <w:bidi w:val="0"/>
        <w:adjustRightInd w:val="0"/>
        <w:snapToGrid w:val="0"/>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本项目响应文件应采用书面文件形式，电报、传真、电子邮件形式的响应文件不予接受。</w:t>
      </w:r>
    </w:p>
    <w:p w14:paraId="32C6A570">
      <w:pPr>
        <w:keepNext w:val="0"/>
        <w:keepLines w:val="0"/>
        <w:pageBreakBefore w:val="0"/>
        <w:tabs>
          <w:tab w:val="left" w:pos="720"/>
        </w:tabs>
        <w:kinsoku/>
        <w:wordWrap/>
        <w:overflowPunct/>
        <w:topLinePunct w:val="0"/>
        <w:bidi w:val="0"/>
        <w:snapToGrid w:val="0"/>
        <w:spacing w:line="5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4.1.5 备选方案</w:t>
      </w:r>
    </w:p>
    <w:p w14:paraId="5F93C422">
      <w:pPr>
        <w:keepNext w:val="0"/>
        <w:keepLines w:val="0"/>
        <w:pageBreakBefore w:val="0"/>
        <w:tabs>
          <w:tab w:val="left" w:pos="720"/>
        </w:tabs>
        <w:kinsoku/>
        <w:wordWrap/>
        <w:overflowPunct/>
        <w:topLinePunct w:val="0"/>
        <w:bidi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4.1.5.1 除供应商须知前附表规定允许外，供应商不得递交备选响应方案，响应文件的报价只允许有一个报价，不接受具有附加条件的报价，否则，视为</w:t>
      </w:r>
      <w:r>
        <w:rPr>
          <w:rFonts w:hint="eastAsia" w:asciiTheme="minorEastAsia" w:hAnsiTheme="minorEastAsia" w:eastAsiaTheme="minorEastAsia" w:cstheme="minorEastAsia"/>
          <w:b/>
          <w:color w:val="auto"/>
          <w:sz w:val="24"/>
          <w:szCs w:val="24"/>
          <w:highlight w:val="none"/>
        </w:rPr>
        <w:t>无效响应文件</w:t>
      </w:r>
      <w:r>
        <w:rPr>
          <w:rFonts w:hint="eastAsia" w:asciiTheme="minorEastAsia" w:hAnsiTheme="minorEastAsia" w:eastAsiaTheme="minorEastAsia" w:cstheme="minorEastAsia"/>
          <w:color w:val="auto"/>
          <w:sz w:val="24"/>
          <w:szCs w:val="24"/>
          <w:highlight w:val="none"/>
        </w:rPr>
        <w:t>。</w:t>
      </w:r>
    </w:p>
    <w:p w14:paraId="00B4C259">
      <w:pPr>
        <w:keepNext w:val="0"/>
        <w:keepLines w:val="0"/>
        <w:pageBreakBefore w:val="0"/>
        <w:tabs>
          <w:tab w:val="left" w:pos="720"/>
        </w:tabs>
        <w:kinsoku/>
        <w:wordWrap/>
        <w:overflowPunct/>
        <w:topLinePunct w:val="0"/>
        <w:bidi w:val="0"/>
        <w:snapToGrid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4.2 响应文件的组成</w:t>
      </w:r>
    </w:p>
    <w:p w14:paraId="1E0CF4F0">
      <w:pPr>
        <w:keepNext w:val="0"/>
        <w:keepLines w:val="0"/>
        <w:pageBreakBefore w:val="0"/>
        <w:kinsoku/>
        <w:wordWrap/>
        <w:overflowPunct/>
        <w:topLinePunct w:val="0"/>
        <w:bidi w:val="0"/>
        <w:spacing w:line="500" w:lineRule="exact"/>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第一部分、资格证明文件：</w:t>
      </w:r>
    </w:p>
    <w:p w14:paraId="3AC28FEA">
      <w:pPr>
        <w:keepNext w:val="0"/>
        <w:keepLines w:val="0"/>
        <w:pageBreakBefore w:val="0"/>
        <w:kinsoku/>
        <w:wordWrap/>
        <w:overflowPunct/>
        <w:topLinePunct w:val="0"/>
        <w:bidi w:val="0"/>
        <w:spacing w:line="500" w:lineRule="exact"/>
        <w:ind w:left="0"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1、营业执照等资格证明文件内容</w:t>
      </w:r>
    </w:p>
    <w:p w14:paraId="662D6D7B">
      <w:pPr>
        <w:keepNext w:val="0"/>
        <w:keepLines w:val="0"/>
        <w:pageBreakBefore w:val="0"/>
        <w:kinsoku/>
        <w:wordWrap/>
        <w:overflowPunct/>
        <w:topLinePunct w:val="0"/>
        <w:bidi w:val="0"/>
        <w:spacing w:line="500" w:lineRule="exact"/>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第二部分、符合性证明文件</w:t>
      </w:r>
    </w:p>
    <w:p w14:paraId="5B3C793A">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响应函</w:t>
      </w:r>
    </w:p>
    <w:p w14:paraId="2541271C">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2、第一次磋商报价表</w:t>
      </w:r>
    </w:p>
    <w:p w14:paraId="36398E83">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3、供应商承诺书</w:t>
      </w:r>
    </w:p>
    <w:p w14:paraId="5C6BEFF9">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4、磋商声明书</w:t>
      </w:r>
    </w:p>
    <w:p w14:paraId="55D7F2A8">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技术服务偏离表</w:t>
      </w:r>
    </w:p>
    <w:p w14:paraId="03E77410">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6、商务与</w:t>
      </w:r>
      <w:r>
        <w:rPr>
          <w:rFonts w:hint="eastAsia" w:asciiTheme="minorEastAsia" w:hAnsiTheme="minorEastAsia" w:eastAsiaTheme="minorEastAsia" w:cstheme="minorEastAsia"/>
          <w:color w:val="auto"/>
          <w:sz w:val="24"/>
          <w:szCs w:val="24"/>
          <w:highlight w:val="none"/>
        </w:rPr>
        <w:t>合同条款偏离表</w:t>
      </w:r>
    </w:p>
    <w:p w14:paraId="38528439">
      <w:pPr>
        <w:keepNext w:val="0"/>
        <w:keepLines w:val="0"/>
        <w:pageBreakBefore w:val="0"/>
        <w:kinsoku/>
        <w:wordWrap/>
        <w:overflowPunct/>
        <w:topLinePunct w:val="0"/>
        <w:bidi w:val="0"/>
        <w:spacing w:line="500" w:lineRule="exact"/>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第三部分、响应方案</w:t>
      </w:r>
    </w:p>
    <w:p w14:paraId="77784F15">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1、服务方案</w:t>
      </w:r>
    </w:p>
    <w:p w14:paraId="42DE1585">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2、享受政府采购优惠政策的证明材料</w:t>
      </w:r>
    </w:p>
    <w:p w14:paraId="586E1B74">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3、供应商需要补充说明的事宜</w:t>
      </w:r>
    </w:p>
    <w:p w14:paraId="6C6447A8">
      <w:pPr>
        <w:keepNext w:val="0"/>
        <w:keepLines w:val="0"/>
        <w:pageBreakBefore w:val="0"/>
        <w:tabs>
          <w:tab w:val="left" w:pos="720"/>
        </w:tabs>
        <w:kinsoku/>
        <w:wordWrap/>
        <w:overflowPunct/>
        <w:topLinePunct w:val="0"/>
        <w:bidi w:val="0"/>
        <w:snapToGrid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4.3</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报价</w:t>
      </w:r>
    </w:p>
    <w:bookmarkEnd w:id="32"/>
    <w:bookmarkEnd w:id="33"/>
    <w:bookmarkEnd w:id="34"/>
    <w:p w14:paraId="7A6C59E5">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4.3.1 </w:t>
      </w:r>
      <w:r>
        <w:rPr>
          <w:rFonts w:hint="eastAsia" w:asciiTheme="minorEastAsia" w:hAnsiTheme="minorEastAsia" w:eastAsiaTheme="minorEastAsia" w:cstheme="minorEastAsia"/>
          <w:bCs/>
          <w:sz w:val="24"/>
          <w:szCs w:val="24"/>
          <w:highlight w:val="none"/>
        </w:rPr>
        <w:t>供应商应当</w:t>
      </w:r>
      <w:r>
        <w:rPr>
          <w:rFonts w:hint="eastAsia" w:asciiTheme="minorEastAsia" w:hAnsiTheme="minorEastAsia" w:eastAsiaTheme="minorEastAsia" w:cstheme="minorEastAsia"/>
          <w:sz w:val="24"/>
          <w:szCs w:val="24"/>
          <w:highlight w:val="none"/>
        </w:rPr>
        <w:t>按照磋商文件要求进行磋商报价，并充分了解本采购项目的总体情况以及影响磋商报价的其他要素。</w:t>
      </w:r>
    </w:p>
    <w:p w14:paraId="3A109A2A">
      <w:pPr>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4.3.2供应商的磋商报价是供应商响应磋商项目要求的全部工作内容的价格体现，包括供应商完成本项目所需</w:t>
      </w:r>
      <w:r>
        <w:rPr>
          <w:rFonts w:hint="eastAsia" w:asciiTheme="minorEastAsia" w:hAnsiTheme="minorEastAsia" w:eastAsiaTheme="minorEastAsia" w:cstheme="minorEastAsia"/>
          <w:color w:val="auto"/>
          <w:sz w:val="24"/>
          <w:szCs w:val="24"/>
          <w:highlight w:val="none"/>
        </w:rPr>
        <w:t>的直接费、间接费、利润、税金及其它相关的一切费用。包括但不限于：</w:t>
      </w:r>
      <w:r>
        <w:rPr>
          <w:rFonts w:hint="eastAsia" w:asciiTheme="minorEastAsia" w:hAnsiTheme="minorEastAsia" w:eastAsiaTheme="minorEastAsia" w:cstheme="minorEastAsia"/>
          <w:sz w:val="24"/>
          <w:szCs w:val="24"/>
          <w:highlight w:val="none"/>
        </w:rPr>
        <w:t>人工费、设备费、管理费、验收费、</w:t>
      </w:r>
      <w:r>
        <w:rPr>
          <w:rFonts w:hint="eastAsia" w:asciiTheme="minorEastAsia" w:hAnsiTheme="minorEastAsia" w:eastAsiaTheme="minorEastAsia" w:cstheme="minorEastAsia"/>
          <w:color w:val="000000"/>
          <w:sz w:val="24"/>
          <w:szCs w:val="24"/>
          <w:highlight w:val="none"/>
        </w:rPr>
        <w:t>采购代理服务费</w:t>
      </w:r>
      <w:r>
        <w:rPr>
          <w:rFonts w:hint="eastAsia" w:asciiTheme="minorEastAsia" w:hAnsiTheme="minorEastAsia" w:eastAsiaTheme="minorEastAsia" w:cstheme="minorEastAsia"/>
          <w:sz w:val="24"/>
          <w:szCs w:val="24"/>
          <w:highlight w:val="none"/>
        </w:rPr>
        <w:t>、利润和税金等全部费用。在提供服务的过程中的任何遗漏，均由成交供应商免费提供，采购人将不再支付任何费用。</w:t>
      </w:r>
    </w:p>
    <w:p w14:paraId="50DA1F5E">
      <w:pPr>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4.3.3 </w:t>
      </w:r>
      <w:r>
        <w:rPr>
          <w:rFonts w:hint="eastAsia" w:asciiTheme="minorEastAsia" w:hAnsiTheme="minorEastAsia" w:eastAsiaTheme="minorEastAsia" w:cstheme="minorEastAsia"/>
          <w:b/>
          <w:sz w:val="24"/>
          <w:szCs w:val="24"/>
          <w:highlight w:val="none"/>
        </w:rPr>
        <w:t>本项目将根据磋商的具体情况来确定磋商轮次，最终一轮磋商报价为最后报价</w:t>
      </w:r>
      <w:r>
        <w:rPr>
          <w:rFonts w:hint="eastAsia" w:asciiTheme="minorEastAsia" w:hAnsiTheme="minorEastAsia" w:eastAsiaTheme="minorEastAsia" w:cstheme="minorEastAsia"/>
          <w:sz w:val="24"/>
          <w:szCs w:val="24"/>
          <w:highlight w:val="none"/>
        </w:rPr>
        <w:t>。</w:t>
      </w:r>
    </w:p>
    <w:p w14:paraId="43B19543">
      <w:pPr>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4.3.4供应商的各轮次磋商报价不得超过供应商须知前附表规定的预算金额，否则，作为不实质性响应磋商文件，按</w:t>
      </w:r>
      <w:r>
        <w:rPr>
          <w:rFonts w:hint="eastAsia" w:asciiTheme="minorEastAsia" w:hAnsiTheme="minorEastAsia" w:eastAsiaTheme="minorEastAsia" w:cstheme="minorEastAsia"/>
          <w:b/>
          <w:sz w:val="24"/>
          <w:szCs w:val="24"/>
          <w:highlight w:val="none"/>
        </w:rPr>
        <w:t>无效响应文件</w:t>
      </w:r>
      <w:r>
        <w:rPr>
          <w:rFonts w:hint="eastAsia" w:asciiTheme="minorEastAsia" w:hAnsiTheme="minorEastAsia" w:eastAsiaTheme="minorEastAsia" w:cstheme="minorEastAsia"/>
          <w:sz w:val="24"/>
          <w:szCs w:val="24"/>
          <w:highlight w:val="none"/>
        </w:rPr>
        <w:t>处理；供应商须知前附表设定了最高限价的，供应商的各轮次磋商报价也不得超过最高限价，否则，作为不实质性响应磋商文件，按</w:t>
      </w:r>
      <w:r>
        <w:rPr>
          <w:rFonts w:hint="eastAsia" w:asciiTheme="minorEastAsia" w:hAnsiTheme="minorEastAsia" w:eastAsiaTheme="minorEastAsia" w:cstheme="minorEastAsia"/>
          <w:b/>
          <w:sz w:val="24"/>
          <w:szCs w:val="24"/>
          <w:highlight w:val="none"/>
        </w:rPr>
        <w:t>无效响应文件</w:t>
      </w:r>
      <w:r>
        <w:rPr>
          <w:rFonts w:hint="eastAsia" w:asciiTheme="minorEastAsia" w:hAnsiTheme="minorEastAsia" w:eastAsiaTheme="minorEastAsia" w:cstheme="minorEastAsia"/>
          <w:sz w:val="24"/>
          <w:szCs w:val="24"/>
          <w:highlight w:val="none"/>
        </w:rPr>
        <w:t>处理。</w:t>
      </w:r>
    </w:p>
    <w:p w14:paraId="4DECEEC9">
      <w:pPr>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color w:val="666666"/>
          <w:kern w:val="0"/>
          <w:sz w:val="24"/>
          <w:szCs w:val="24"/>
          <w:highlight w:val="none"/>
        </w:rPr>
      </w:pPr>
      <w:r>
        <w:rPr>
          <w:rFonts w:hint="eastAsia" w:asciiTheme="minorEastAsia" w:hAnsiTheme="minorEastAsia" w:eastAsiaTheme="minorEastAsia" w:cstheme="minorEastAsia"/>
          <w:sz w:val="24"/>
          <w:szCs w:val="24"/>
          <w:highlight w:val="none"/>
        </w:rPr>
        <w:t>4.3.5 供应商</w:t>
      </w:r>
      <w:r>
        <w:rPr>
          <w:rFonts w:hint="eastAsia" w:asciiTheme="minorEastAsia" w:hAnsiTheme="minorEastAsia" w:eastAsiaTheme="minorEastAsia" w:cstheme="minorEastAsia"/>
          <w:color w:val="000000"/>
          <w:kern w:val="0"/>
          <w:sz w:val="24"/>
          <w:szCs w:val="24"/>
          <w:highlight w:val="none"/>
        </w:rPr>
        <w:t>应按</w:t>
      </w:r>
      <w:r>
        <w:rPr>
          <w:rFonts w:hint="eastAsia" w:asciiTheme="minorEastAsia" w:hAnsiTheme="minorEastAsia" w:eastAsiaTheme="minorEastAsia" w:cstheme="minorEastAsia"/>
          <w:sz w:val="24"/>
          <w:szCs w:val="24"/>
          <w:highlight w:val="none"/>
        </w:rPr>
        <w:t>“磋商报价一览表”</w:t>
      </w:r>
      <w:r>
        <w:rPr>
          <w:rFonts w:hint="eastAsia" w:asciiTheme="minorEastAsia" w:hAnsiTheme="minorEastAsia" w:eastAsiaTheme="minorEastAsia" w:cstheme="minorEastAsia"/>
          <w:color w:val="000000"/>
          <w:kern w:val="0"/>
          <w:sz w:val="24"/>
          <w:szCs w:val="24"/>
          <w:highlight w:val="none"/>
        </w:rPr>
        <w:t>的内容</w:t>
      </w:r>
      <w:r>
        <w:rPr>
          <w:rFonts w:hint="eastAsia" w:asciiTheme="minorEastAsia" w:hAnsiTheme="minorEastAsia" w:eastAsiaTheme="minorEastAsia" w:cstheme="minorEastAsia"/>
          <w:sz w:val="24"/>
          <w:szCs w:val="24"/>
          <w:highlight w:val="none"/>
        </w:rPr>
        <w:t>和格式要求填写总价。磋商报价为各分项报价金额之和。磋商报价与分项报价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若有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的合价不一致的，应以各分项合价累计数为准，修正磋商报价；如分项报价中存在遗漏项，视为缺项价格已包含在其他分项报价之中。</w:t>
      </w:r>
    </w:p>
    <w:p w14:paraId="16DF4944">
      <w:pPr>
        <w:keepNext w:val="0"/>
        <w:keepLines w:val="0"/>
        <w:pageBreakBefore w:val="0"/>
        <w:widowControl/>
        <w:kinsoku/>
        <w:wordWrap/>
        <w:overflowPunct/>
        <w:topLinePunct w:val="0"/>
        <w:bidi w:val="0"/>
        <w:spacing w:line="500" w:lineRule="exact"/>
        <w:ind w:left="239" w:leftChars="114" w:firstLine="240" w:firstLineChars="1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kern w:val="0"/>
          <w:sz w:val="24"/>
          <w:szCs w:val="24"/>
          <w:highlight w:val="none"/>
        </w:rPr>
        <w:t xml:space="preserve">4.3.6 </w:t>
      </w:r>
      <w:r>
        <w:rPr>
          <w:rFonts w:hint="eastAsia" w:asciiTheme="minorEastAsia" w:hAnsiTheme="minorEastAsia" w:eastAsiaTheme="minorEastAsia" w:cstheme="minorEastAsia"/>
          <w:b/>
          <w:kern w:val="0"/>
          <w:sz w:val="24"/>
          <w:szCs w:val="24"/>
          <w:highlight w:val="none"/>
        </w:rPr>
        <w:t>供应商除首次磋商报价外，其余轮次报价只报总价，不报分项价格，</w:t>
      </w:r>
    </w:p>
    <w:p w14:paraId="302A8EDB">
      <w:pPr>
        <w:keepNext w:val="0"/>
        <w:keepLines w:val="0"/>
        <w:pageBreakBefore w:val="0"/>
        <w:widowControl/>
        <w:kinsoku/>
        <w:wordWrap/>
        <w:overflowPunct/>
        <w:topLinePunct w:val="0"/>
        <w:bidi w:val="0"/>
        <w:spacing w:line="500" w:lineRule="exact"/>
        <w:ind w:left="239" w:leftChars="114"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kern w:val="0"/>
          <w:sz w:val="24"/>
          <w:szCs w:val="24"/>
          <w:highlight w:val="none"/>
        </w:rPr>
        <w:t>由供应商法定代表人签名或者委托代理人签名或者加盖单位章确认。由委托代理人签名的，应附法人代表授权委托书；</w:t>
      </w:r>
      <w:r>
        <w:rPr>
          <w:rFonts w:hint="eastAsia" w:asciiTheme="minorEastAsia" w:hAnsiTheme="minorEastAsia" w:eastAsiaTheme="minorEastAsia" w:cstheme="minorEastAsia"/>
          <w:color w:val="000000"/>
          <w:kern w:val="0"/>
          <w:sz w:val="24"/>
          <w:szCs w:val="24"/>
          <w:highlight w:val="none"/>
        </w:rPr>
        <w:t>供应商为自然人的，应当由本人签名。</w:t>
      </w:r>
    </w:p>
    <w:p w14:paraId="562CCAFB">
      <w:pPr>
        <w:pStyle w:val="18"/>
        <w:keepNext w:val="0"/>
        <w:keepLines w:val="0"/>
        <w:pageBreakBefore w:val="0"/>
        <w:kinsoku/>
        <w:wordWrap/>
        <w:overflowPunct/>
        <w:topLinePunct w:val="0"/>
        <w:bidi w:val="0"/>
        <w:adjustRightInd w:val="0"/>
        <w:snapToGrid w:val="0"/>
        <w:spacing w:line="5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4.3.7 最后报价</w:t>
      </w:r>
    </w:p>
    <w:p w14:paraId="1D954658">
      <w:pPr>
        <w:pStyle w:val="18"/>
        <w:keepNext w:val="0"/>
        <w:keepLines w:val="0"/>
        <w:pageBreakBefore w:val="0"/>
        <w:kinsoku/>
        <w:wordWrap/>
        <w:overflowPunct/>
        <w:topLinePunct w:val="0"/>
        <w:bidi w:val="0"/>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4.3.7.1供应商须知前附表规定固定总价合同形式的，即采用固定总价（一次性包死）结算方式。最后报价在合同执行过程中是固定不变的，不得以任何理由予以变更。任何有选择或可调整的报价将不予接受，并按</w:t>
      </w:r>
      <w:r>
        <w:rPr>
          <w:rFonts w:hint="eastAsia" w:asciiTheme="minorEastAsia" w:hAnsiTheme="minorEastAsia" w:eastAsiaTheme="minorEastAsia" w:cstheme="minorEastAsia"/>
          <w:b/>
          <w:color w:val="auto"/>
          <w:sz w:val="24"/>
          <w:szCs w:val="24"/>
          <w:highlight w:val="none"/>
        </w:rPr>
        <w:t>无效响应文件</w:t>
      </w:r>
      <w:r>
        <w:rPr>
          <w:rFonts w:hint="eastAsia" w:asciiTheme="minorEastAsia" w:hAnsiTheme="minorEastAsia" w:eastAsiaTheme="minorEastAsia" w:cstheme="minorEastAsia"/>
          <w:color w:val="auto"/>
          <w:sz w:val="24"/>
          <w:szCs w:val="24"/>
          <w:highlight w:val="none"/>
        </w:rPr>
        <w:t>处理。成交后供应商不得擅自改变</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范围内容、质量标准、</w:t>
      </w:r>
      <w:r>
        <w:rPr>
          <w:rFonts w:hint="eastAsia" w:asciiTheme="minorEastAsia" w:hAnsiTheme="minorEastAsia" w:eastAsiaTheme="minorEastAsia" w:cstheme="minorEastAsia"/>
          <w:color w:val="auto"/>
          <w:sz w:val="24"/>
          <w:szCs w:val="24"/>
          <w:highlight w:val="none"/>
          <w:lang w:val="en-US" w:eastAsia="zh-CN"/>
        </w:rPr>
        <w:t>服务期</w:t>
      </w:r>
      <w:r>
        <w:rPr>
          <w:rFonts w:hint="eastAsia" w:asciiTheme="minorEastAsia" w:hAnsiTheme="minorEastAsia" w:eastAsiaTheme="minorEastAsia" w:cstheme="minorEastAsia"/>
          <w:color w:val="auto"/>
          <w:sz w:val="24"/>
          <w:szCs w:val="24"/>
          <w:highlight w:val="none"/>
        </w:rPr>
        <w:t>和追加项目预算。</w:t>
      </w:r>
    </w:p>
    <w:p w14:paraId="5D50F462">
      <w:pPr>
        <w:keepNext w:val="0"/>
        <w:keepLines w:val="0"/>
        <w:pageBreakBefore w:val="0"/>
        <w:widowControl/>
        <w:suppressLineNumbers w:val="0"/>
        <w:kinsoku/>
        <w:wordWrap/>
        <w:overflowPunct/>
        <w:topLinePunct w:val="0"/>
        <w:bidi w:val="0"/>
        <w:spacing w:line="50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4.3.7.2 供应商须知前附表规定固定单价合同形式的，即本工程项目采用综合单价据实结算方式。除国家规定不可调整外，其余按降价比例（最后报价/首次报价）进行综合单价调整</w:t>
      </w:r>
      <w:r>
        <w:rPr>
          <w:rFonts w:hint="eastAsia" w:asciiTheme="minorEastAsia" w:hAnsiTheme="minorEastAsia" w:eastAsiaTheme="minorEastAsia" w:cstheme="minorEastAsia"/>
          <w:b/>
          <w:bCs/>
          <w:color w:val="000000"/>
          <w:kern w:val="0"/>
          <w:sz w:val="24"/>
          <w:szCs w:val="24"/>
          <w:highlight w:val="none"/>
          <w:lang w:val="en-US" w:eastAsia="zh-CN" w:bidi="ar"/>
        </w:rPr>
        <w:t>，</w:t>
      </w:r>
      <w:r>
        <w:rPr>
          <w:rFonts w:hint="eastAsia" w:asciiTheme="minorEastAsia" w:hAnsiTheme="minorEastAsia" w:eastAsiaTheme="minorEastAsia" w:cstheme="minorEastAsia"/>
          <w:color w:val="000000"/>
          <w:kern w:val="0"/>
          <w:sz w:val="24"/>
          <w:szCs w:val="24"/>
          <w:highlight w:val="none"/>
          <w:lang w:val="en-US" w:eastAsia="zh-CN" w:bidi="ar"/>
        </w:rPr>
        <w:t xml:space="preserve">调整后价格作为工程变更及竣工结算的依据，在合同执行过程中是固定不变的，不得以任何理由予以变更。以可变动价格提交的报价将被认为是非实质响应而被拒绝。成交后供应商不得擅自改变工程范围内容、质量标准和工期。 </w:t>
      </w:r>
    </w:p>
    <w:p w14:paraId="71706D16">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4.4</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有效期</w:t>
      </w:r>
    </w:p>
    <w:p w14:paraId="046A4F7D">
      <w:pPr>
        <w:keepNext w:val="0"/>
        <w:keepLines w:val="0"/>
        <w:pageBreakBefore w:val="0"/>
        <w:tabs>
          <w:tab w:val="left" w:pos="7665"/>
        </w:tabs>
        <w:kinsoku/>
        <w:wordWrap/>
        <w:overflowPunct/>
        <w:topLinePunct w:val="0"/>
        <w:bidi w:val="0"/>
        <w:spacing w:line="500" w:lineRule="exact"/>
        <w:ind w:left="13" w:leftChars="6"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有效期见供应商须知前附表。在此期间响应文件对供应商具有法律约束力，从供应商须知前附表规定的</w:t>
      </w:r>
      <w:r>
        <w:rPr>
          <w:rFonts w:hint="eastAsia" w:asciiTheme="minorEastAsia" w:hAnsiTheme="minorEastAsia" w:eastAsiaTheme="minorEastAsia" w:cstheme="minorEastAsia"/>
          <w:color w:val="auto"/>
          <w:kern w:val="0"/>
          <w:sz w:val="24"/>
          <w:szCs w:val="24"/>
          <w:highlight w:val="none"/>
        </w:rPr>
        <w:t>提交响应文件截止时间</w:t>
      </w:r>
      <w:r>
        <w:rPr>
          <w:rFonts w:hint="eastAsia" w:asciiTheme="minorEastAsia" w:hAnsiTheme="minorEastAsia" w:eastAsiaTheme="minorEastAsia" w:cstheme="minorEastAsia"/>
          <w:color w:val="auto"/>
          <w:sz w:val="24"/>
          <w:szCs w:val="24"/>
          <w:highlight w:val="none"/>
        </w:rPr>
        <w:t>之日起计算。响应文件中必须载明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有效期，载明的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有效期可以长于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文件规定的期限，但不得短于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文件规定的期限，否则，属于非实质性响应，将按</w:t>
      </w:r>
      <w:r>
        <w:rPr>
          <w:rFonts w:hint="eastAsia" w:asciiTheme="minorEastAsia" w:hAnsiTheme="minorEastAsia" w:eastAsiaTheme="minorEastAsia" w:cstheme="minorEastAsia"/>
          <w:b/>
          <w:color w:val="auto"/>
          <w:sz w:val="24"/>
          <w:szCs w:val="24"/>
          <w:highlight w:val="none"/>
        </w:rPr>
        <w:t>无效响应文件</w:t>
      </w:r>
      <w:r>
        <w:rPr>
          <w:rFonts w:hint="eastAsia" w:asciiTheme="minorEastAsia" w:hAnsiTheme="minorEastAsia" w:eastAsiaTheme="minorEastAsia" w:cstheme="minorEastAsia"/>
          <w:color w:val="auto"/>
          <w:sz w:val="24"/>
          <w:szCs w:val="24"/>
          <w:highlight w:val="none"/>
        </w:rPr>
        <w:t>处理。</w:t>
      </w:r>
    </w:p>
    <w:p w14:paraId="7C9415D9">
      <w:pPr>
        <w:keepNext w:val="0"/>
        <w:keepLines w:val="0"/>
        <w:pageBreakBefore w:val="0"/>
        <w:tabs>
          <w:tab w:val="left" w:pos="7665"/>
        </w:tabs>
        <w:kinsoku/>
        <w:wordWrap/>
        <w:overflowPunct/>
        <w:topLinePunct w:val="0"/>
        <w:bidi w:val="0"/>
        <w:spacing w:line="500" w:lineRule="exact"/>
        <w:ind w:left="13" w:leftChars="6"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4.4.2 出现特殊情况需要延长</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有效期的，采购代理机构或采购人可于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有效期满之前，以书面形式通知所有供应商延长</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有效期。供应商应予书面答复，同意延长的，应相应延长其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保证金有效期，但不得要求或被允许修改其响应文件；供应商拒绝延长的，</w:t>
      </w:r>
      <w:r>
        <w:rPr>
          <w:rFonts w:hint="eastAsia" w:asciiTheme="minorEastAsia" w:hAnsiTheme="minorEastAsia" w:eastAsiaTheme="minorEastAsia" w:cstheme="minorEastAsia"/>
          <w:b/>
          <w:color w:val="auto"/>
          <w:sz w:val="24"/>
          <w:szCs w:val="24"/>
          <w:highlight w:val="none"/>
        </w:rPr>
        <w:t>其响应文件失效</w:t>
      </w:r>
      <w:r>
        <w:rPr>
          <w:rFonts w:hint="eastAsia" w:asciiTheme="minorEastAsia" w:hAnsiTheme="minorEastAsia" w:eastAsiaTheme="minorEastAsia" w:cstheme="minorEastAsia"/>
          <w:color w:val="auto"/>
          <w:sz w:val="24"/>
          <w:szCs w:val="24"/>
          <w:highlight w:val="none"/>
        </w:rPr>
        <w:t>，但供应商有权收回其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w:t>
      </w:r>
    </w:p>
    <w:p w14:paraId="503B3184">
      <w:pPr>
        <w:pStyle w:val="4"/>
        <w:keepNext w:val="0"/>
        <w:keepLines w:val="0"/>
        <w:pageBreakBefore w:val="0"/>
        <w:kinsoku/>
        <w:wordWrap/>
        <w:overflowPunct/>
        <w:topLinePunct w:val="0"/>
        <w:bidi w:val="0"/>
        <w:spacing w:line="500" w:lineRule="exact"/>
        <w:ind w:firstLine="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4.5</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保证金</w:t>
      </w:r>
    </w:p>
    <w:p w14:paraId="31CDAB6E">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4.5.1 供应商须知前附表要求供应商提交</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保证金的，适用本条款</w:t>
      </w:r>
      <w:r>
        <w:rPr>
          <w:rFonts w:hint="eastAsia" w:asciiTheme="minorEastAsia" w:hAnsiTheme="minorEastAsia" w:eastAsiaTheme="minorEastAsia" w:cstheme="minorEastAsia"/>
          <w:color w:val="auto"/>
          <w:sz w:val="24"/>
          <w:szCs w:val="24"/>
          <w:highlight w:val="none"/>
          <w:lang w:eastAsia="zh-CN"/>
        </w:rPr>
        <w:t>；</w:t>
      </w:r>
    </w:p>
    <w:p w14:paraId="139832F7">
      <w:pPr>
        <w:keepNext w:val="0"/>
        <w:keepLines w:val="0"/>
        <w:pageBreakBefore w:val="0"/>
        <w:kinsoku/>
        <w:wordWrap/>
        <w:overflowPunct/>
        <w:topLinePunct w:val="0"/>
        <w:bidi w:val="0"/>
        <w:spacing w:line="5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4.5.2</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保证金的提交</w:t>
      </w:r>
    </w:p>
    <w:p w14:paraId="3EABBEF6">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4.5.2.1 开启响应文件现场不办理</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保证金事宜。</w:t>
      </w:r>
    </w:p>
    <w:p w14:paraId="257EBF4B">
      <w:pPr>
        <w:keepNext w:val="0"/>
        <w:keepLines w:val="0"/>
        <w:pageBreakBefore w:val="0"/>
        <w:kinsoku/>
        <w:wordWrap/>
        <w:overflowPunct/>
        <w:topLinePunct w:val="0"/>
        <w:bidi w:val="0"/>
        <w:spacing w:line="500" w:lineRule="exact"/>
        <w:ind w:firstLine="710" w:firstLineChars="2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4.5.2.2 供应商应按供应商须知前附表规定的金额、形式和时间和第七章“响应文件格式”规定的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保证金格式提交，作为其响应文件的一部分。</w:t>
      </w:r>
    </w:p>
    <w:p w14:paraId="6C654002">
      <w:pPr>
        <w:keepNext w:val="0"/>
        <w:keepLines w:val="0"/>
        <w:pageBreakBefore w:val="0"/>
        <w:kinsoku/>
        <w:wordWrap/>
        <w:overflowPunct/>
        <w:topLinePunct w:val="0"/>
        <w:bidi w:val="0"/>
        <w:spacing w:line="500" w:lineRule="exact"/>
        <w:ind w:firstLine="710" w:firstLineChars="2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4.5.2.3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保证金可以银行转账或者金融机构、担保机构出具的保函等非现金形式提交：</w:t>
      </w:r>
    </w:p>
    <w:p w14:paraId="72E85EF3">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（1）以银行转账提交保证金的，可以采取支票、电汇、网银、汇票、本票等方式，应从其基本账户转出，并在响应文件中附上基本账户开户证明。</w:t>
      </w:r>
    </w:p>
    <w:p w14:paraId="23450EB9">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（2）以信用担保函形式提交保证金的，应按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文件规定的格式提交，且是有关行政主管部门认定的具有开具</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保函资格的单位开具的保函。供应商违约，开具保函单位承担连带责任。</w:t>
      </w:r>
    </w:p>
    <w:p w14:paraId="3F86C1A6">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（3）以汇票形式提交保证金的，应提前将汇票送至财务部门，汇票签发到期日至少为送至财务部门的当日，以便财务部门到银行办理兑现手续。</w:t>
      </w:r>
    </w:p>
    <w:p w14:paraId="0039BF78">
      <w:pPr>
        <w:keepNext w:val="0"/>
        <w:keepLines w:val="0"/>
        <w:pageBreakBefore w:val="0"/>
        <w:kinsoku/>
        <w:wordWrap/>
        <w:overflowPunct/>
        <w:topLinePunct w:val="0"/>
        <w:bidi w:val="0"/>
        <w:spacing w:line="5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4.5.3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保证金的退还</w:t>
      </w:r>
    </w:p>
    <w:p w14:paraId="43308219">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4.5.3.1未成交供应商的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保证金，将在成交通知书发出之日起5个工作日内全额退还；成交供应商的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保证金，在采购人与成交供应商签订合同之日起5个工作日内全额退还；终止采购项目的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保证金，自终止采购活动后5个工作日内全额退还。</w:t>
      </w:r>
      <w:r>
        <w:rPr>
          <w:rFonts w:hint="eastAsia" w:asciiTheme="minorEastAsia" w:hAnsiTheme="minorEastAsia" w:eastAsiaTheme="minorEastAsia" w:cstheme="minorEastAsia"/>
          <w:color w:val="auto"/>
          <w:sz w:val="24"/>
          <w:szCs w:val="24"/>
          <w:highlight w:val="none"/>
          <w:lang w:eastAsia="zh-CN"/>
        </w:rPr>
        <w:t>（成交供应商签订合同后，将合同扫描件发送至代理机构邮箱：</w:t>
      </w:r>
      <w:r>
        <w:rPr>
          <w:rFonts w:hint="eastAsia" w:asciiTheme="minorEastAsia" w:hAnsiTheme="minorEastAsia" w:eastAsiaTheme="minorEastAsia" w:cstheme="minorEastAsia"/>
          <w:color w:val="auto"/>
          <w:sz w:val="24"/>
          <w:szCs w:val="24"/>
          <w:highlight w:val="none"/>
          <w:lang w:val="en-US" w:eastAsia="zh-CN"/>
        </w:rPr>
        <w:t>2250898803@qq.com</w:t>
      </w:r>
      <w:r>
        <w:rPr>
          <w:rFonts w:hint="eastAsia" w:asciiTheme="minorEastAsia" w:hAnsiTheme="minorEastAsia" w:eastAsiaTheme="minorEastAsia" w:cstheme="minorEastAsia"/>
          <w:color w:val="auto"/>
          <w:sz w:val="24"/>
          <w:szCs w:val="24"/>
          <w:highlight w:val="none"/>
          <w:lang w:eastAsia="zh-CN"/>
        </w:rPr>
        <w:t>，由代理机构财务人员审核并办理退还事宜。）</w:t>
      </w:r>
    </w:p>
    <w:p w14:paraId="51926C3E">
      <w:pPr>
        <w:keepNext w:val="0"/>
        <w:keepLines w:val="0"/>
        <w:pageBreakBefore w:val="0"/>
        <w:kinsoku/>
        <w:wordWrap/>
        <w:overflowPunct/>
        <w:topLinePunct w:val="0"/>
        <w:bidi w:val="0"/>
        <w:spacing w:line="500" w:lineRule="exact"/>
        <w:ind w:firstLine="710" w:firstLineChars="2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4.5.3.2有下列情形之一的，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保证金将不予退还：</w:t>
      </w:r>
    </w:p>
    <w:p w14:paraId="4ADF175E">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（1）供应商在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有效期内撤销响应文件的；</w:t>
      </w:r>
      <w:r>
        <w:rPr>
          <w:rFonts w:hint="eastAsia" w:asciiTheme="minorEastAsia" w:hAnsiTheme="minorEastAsia" w:eastAsiaTheme="minorEastAsia" w:cstheme="minorEastAsia"/>
          <w:color w:val="auto"/>
          <w:sz w:val="24"/>
          <w:szCs w:val="24"/>
          <w:highlight w:val="none"/>
          <w:lang w:val="en-US" w:eastAsia="zh-CN"/>
        </w:rPr>
        <w:t xml:space="preserve">      </w:t>
      </w:r>
    </w:p>
    <w:p w14:paraId="3CEBADB8">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（2）在采购人确定成交供应商以前放弃成交候选资格的；</w:t>
      </w:r>
    </w:p>
    <w:p w14:paraId="76D2BE55">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（3）成交后放弃成交、不领取或者不接收成交通知书的；</w:t>
      </w:r>
    </w:p>
    <w:p w14:paraId="21E5889D">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（4）除因不可抗力或</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文件认可的情形以外，成交供应商不与采购人订立合同的；</w:t>
      </w:r>
    </w:p>
    <w:p w14:paraId="315CB821">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（5）成交供应商在签订合同时向采购人提出附加条件的；</w:t>
      </w:r>
    </w:p>
    <w:p w14:paraId="3F9F8850">
      <w:pPr>
        <w:keepNext w:val="0"/>
        <w:keepLines w:val="0"/>
        <w:pageBreakBefore w:val="0"/>
        <w:kinsoku/>
        <w:wordWrap/>
        <w:overflowPunct/>
        <w:topLinePunct w:val="0"/>
        <w:bidi w:val="0"/>
        <w:spacing w:line="50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（6）成交供应商未向采购代理机构支付采购代理服务费的；</w:t>
      </w:r>
    </w:p>
    <w:p w14:paraId="07F2068C">
      <w:pPr>
        <w:keepNext w:val="0"/>
        <w:keepLines w:val="0"/>
        <w:pageBreakBefore w:val="0"/>
        <w:kinsoku/>
        <w:wordWrap/>
        <w:overflowPunct/>
        <w:topLinePunct w:val="0"/>
        <w:bidi w:val="0"/>
        <w:spacing w:line="50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（7）成交供应商未按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文件规定向采购人提交履约保证金的；</w:t>
      </w:r>
    </w:p>
    <w:p w14:paraId="181CA28A">
      <w:pPr>
        <w:keepNext w:val="0"/>
        <w:keepLines w:val="0"/>
        <w:pageBreakBefore w:val="0"/>
        <w:kinsoku/>
        <w:wordWrap/>
        <w:overflowPunct/>
        <w:topLinePunct w:val="0"/>
        <w:bidi w:val="0"/>
        <w:spacing w:line="50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有效期内，供应商在政府采购活动中有违规、违纪和违法行为的；</w:t>
      </w:r>
    </w:p>
    <w:p w14:paraId="57B673A6">
      <w:pPr>
        <w:keepNext w:val="0"/>
        <w:keepLines w:val="0"/>
        <w:pageBreakBefore w:val="0"/>
        <w:kinsoku/>
        <w:wordWrap/>
        <w:overflowPunct/>
        <w:topLinePunct w:val="0"/>
        <w:bidi w:val="0"/>
        <w:spacing w:line="50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（9）法律法规和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文件规定的其他情形。</w:t>
      </w:r>
    </w:p>
    <w:p w14:paraId="115E5620">
      <w:pPr>
        <w:keepNext w:val="0"/>
        <w:keepLines w:val="0"/>
        <w:pageBreakBefore w:val="0"/>
        <w:tabs>
          <w:tab w:val="left" w:pos="7665"/>
        </w:tabs>
        <w:kinsoku/>
        <w:wordWrap/>
        <w:overflowPunct/>
        <w:topLinePunct w:val="0"/>
        <w:bidi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4.6 响应文件的制作和签署</w:t>
      </w:r>
    </w:p>
    <w:p w14:paraId="69B38748">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4.6.1 响应文件应当按照第七章“响应文件格式”进行编写，如有必要，可以增加附页，作为响应文件的组成部分。除明确允许供应商可以自行编写外，供应商不得以“响应文件格式”规定之外的方式编写相关内容；否则，响应文件将作为无效响应文件处理。对于没有格式要求的由供应商自行编写。</w:t>
      </w:r>
    </w:p>
    <w:p w14:paraId="6761C162">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4.6.2 响应文件应填写供应商的全称，并与供应商的证件、证书保持一致，按照本章第4.6.4条款规定签名盖章。</w:t>
      </w:r>
    </w:p>
    <w:p w14:paraId="4340B5A0">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4.6.3 供应商应当按照“供应商须知前附表”规定的份数准备响应文件正本、副本和相应的电子文件。正本和副本封面右上角应清楚地标明“正本”或“副本”字样。当副本和正本有不一致的内容，以正本书面响应文件为准。</w:t>
      </w:r>
    </w:p>
    <w:p w14:paraId="315C8AE4">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4.6.4响应文件应用不褪色的材料书写或打印，副本可采用正本的复印件。响应文件应由供应商的法定代表人（单位负责人）或其委托代理人签名和盖单位章。由供应商的法定代表人（单位负责人）签名的，应附法定代表人身份证明，由其委托代理人签名的，应附授权委托书。其中：磋商响应函必须由供应商的法定代表人（单位负责人）签名和盖单位章，授权委托书必须由供应商的法定代表人（单位负责人）签名和委托代理人签名并盖单位章，其余签名或者盖章即可，否则，按未实质性响应磋商文件处理，其响应文件无效。</w:t>
      </w:r>
    </w:p>
    <w:p w14:paraId="1C8144BA">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4.6.5响应文件的打印或书写应清楚工整，尽量避免行间插字、涂改或增删。如出现上述情况，改动之处应由供应商的法定代表人或其委托代理人签名或盖单位章。字迹潦草、表达不清或可能导致非唯一理解的响应文件可能视为无效响应文件。</w:t>
      </w:r>
    </w:p>
    <w:p w14:paraId="4B87CD90">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4.6.6 响应文件的正本和副本</w:t>
      </w:r>
      <w:r>
        <w:rPr>
          <w:rFonts w:hint="eastAsia" w:asciiTheme="minorEastAsia" w:hAnsiTheme="minorEastAsia" w:eastAsiaTheme="minorEastAsia" w:cstheme="minorEastAsia"/>
          <w:color w:val="auto"/>
          <w:sz w:val="24"/>
          <w:szCs w:val="24"/>
          <w:highlight w:val="none"/>
          <w:lang w:val="zh-CN"/>
        </w:rPr>
        <w:t>一律采用A4纸幅面，并</w:t>
      </w:r>
      <w:r>
        <w:rPr>
          <w:rFonts w:hint="eastAsia" w:asciiTheme="minorEastAsia" w:hAnsiTheme="minorEastAsia" w:eastAsiaTheme="minorEastAsia" w:cstheme="minorEastAsia"/>
          <w:color w:val="auto"/>
          <w:sz w:val="24"/>
          <w:szCs w:val="24"/>
          <w:highlight w:val="none"/>
        </w:rPr>
        <w:t>分别装订和编制目录，响应文件需分册装订的，具体分册装订要求见供应商</w:t>
      </w:r>
      <w:r>
        <w:rPr>
          <w:rFonts w:hint="eastAsia" w:asciiTheme="minorEastAsia" w:hAnsiTheme="minorEastAsia" w:eastAsiaTheme="minorEastAsia" w:cstheme="minorEastAsia"/>
          <w:color w:val="auto"/>
          <w:sz w:val="24"/>
          <w:szCs w:val="24"/>
          <w:highlight w:val="none"/>
          <w:lang w:val="zh-CN"/>
        </w:rPr>
        <w:t>须知前附表的规定。响应文件</w:t>
      </w:r>
      <w:r>
        <w:rPr>
          <w:rFonts w:hint="eastAsia" w:asciiTheme="minorEastAsia" w:hAnsiTheme="minorEastAsia" w:eastAsiaTheme="minorEastAsia" w:cstheme="minorEastAsia"/>
          <w:color w:val="auto"/>
          <w:sz w:val="24"/>
          <w:szCs w:val="24"/>
          <w:highlight w:val="none"/>
        </w:rPr>
        <w:t>胶装后，页面不可抽取，不得有活动页，无破损、不可拆分。</w:t>
      </w:r>
    </w:p>
    <w:p w14:paraId="261ECE56">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4.6.7 电子文件制作要求。电子文件与纸质正本响应文件的内容应保持一致，具有同等法律效力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电子文件应采用只读</w:t>
      </w:r>
      <w:r>
        <w:rPr>
          <w:rFonts w:hint="eastAsia" w:asciiTheme="minorEastAsia" w:hAnsiTheme="minorEastAsia" w:eastAsiaTheme="minorEastAsia" w:cstheme="minorEastAsia"/>
          <w:color w:val="auto"/>
          <w:sz w:val="24"/>
          <w:szCs w:val="24"/>
          <w:highlight w:val="none"/>
          <w:lang w:val="en-US" w:eastAsia="zh-CN"/>
        </w:rPr>
        <w:t>U盘</w:t>
      </w:r>
      <w:r>
        <w:rPr>
          <w:rFonts w:hint="eastAsia" w:asciiTheme="minorEastAsia" w:hAnsiTheme="minorEastAsia" w:eastAsiaTheme="minorEastAsia" w:cstheme="minorEastAsia"/>
          <w:color w:val="auto"/>
          <w:sz w:val="24"/>
          <w:szCs w:val="24"/>
          <w:highlight w:val="none"/>
        </w:rPr>
        <w:t>。未按规定制作电子文件或开启现场电子光盘因自身原因导致无法读取的，其响应文件无效。</w:t>
      </w:r>
    </w:p>
    <w:p w14:paraId="7BB7C5DC">
      <w:pPr>
        <w:keepNext w:val="0"/>
        <w:keepLines w:val="0"/>
        <w:pageBreakBefore w:val="0"/>
        <w:tabs>
          <w:tab w:val="left" w:pos="1080"/>
        </w:tabs>
        <w:kinsoku/>
        <w:wordWrap/>
        <w:overflowPunct/>
        <w:topLinePunct w:val="0"/>
        <w:bidi w:val="0"/>
        <w:spacing w:line="50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 响应文件的提交</w:t>
      </w:r>
    </w:p>
    <w:p w14:paraId="2D50C291">
      <w:pPr>
        <w:keepNext w:val="0"/>
        <w:keepLines w:val="0"/>
        <w:pageBreakBefore w:val="0"/>
        <w:tabs>
          <w:tab w:val="left" w:pos="1080"/>
        </w:tabs>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5.1 响应文件的密封和标记</w:t>
      </w:r>
    </w:p>
    <w:p w14:paraId="6B89767B">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5.1.1 开启响应文件前，供应商应将响应文件所有正本、副本、电子文件全部密封。</w:t>
      </w:r>
    </w:p>
    <w:p w14:paraId="4282C571">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5.1.2 响应文件装订、密封、装袋要求见供应商须知前附表，并在封套的封口处（缝隙处）加贴封条和加盖供应商单位章。</w:t>
      </w:r>
    </w:p>
    <w:p w14:paraId="37FF77FF">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5.1.3 响应文件封套上应写明的内容，见供应商须知前附表。</w:t>
      </w:r>
    </w:p>
    <w:p w14:paraId="22B84C7B">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5.1.4 未按要求密封的响应文件，采购代理机构将予以拒收。</w:t>
      </w:r>
    </w:p>
    <w:p w14:paraId="2F8B1414">
      <w:pPr>
        <w:keepNext w:val="0"/>
        <w:keepLines w:val="0"/>
        <w:pageBreakBefore w:val="0"/>
        <w:tabs>
          <w:tab w:val="left" w:pos="1080"/>
        </w:tabs>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5.2 响应文件的提交</w:t>
      </w:r>
    </w:p>
    <w:p w14:paraId="7C6FCC3F">
      <w:pPr>
        <w:keepNext w:val="0"/>
        <w:keepLines w:val="0"/>
        <w:pageBreakBefore w:val="0"/>
        <w:tabs>
          <w:tab w:val="left" w:pos="1095"/>
        </w:tabs>
        <w:kinsoku/>
        <w:wordWrap/>
        <w:overflowPunct/>
        <w:topLinePunct w:val="0"/>
        <w:bidi w:val="0"/>
        <w:spacing w:line="500" w:lineRule="exact"/>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 供应商应在供应商须知前附表规定的提交首次响应文件截止时间前提交响应文件。</w:t>
      </w:r>
    </w:p>
    <w:p w14:paraId="77B50983">
      <w:pPr>
        <w:keepNext w:val="0"/>
        <w:keepLines w:val="0"/>
        <w:pageBreakBefore w:val="0"/>
        <w:tabs>
          <w:tab w:val="left" w:pos="1095"/>
        </w:tabs>
        <w:kinsoku/>
        <w:wordWrap/>
        <w:overflowPunct/>
        <w:topLinePunct w:val="0"/>
        <w:bidi w:val="0"/>
        <w:spacing w:line="500" w:lineRule="exact"/>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 供应商提交首次响应文件地点：见供应商须知前附表。</w:t>
      </w:r>
    </w:p>
    <w:p w14:paraId="0FD23C2B">
      <w:pPr>
        <w:keepNext w:val="0"/>
        <w:keepLines w:val="0"/>
        <w:pageBreakBefore w:val="0"/>
        <w:tabs>
          <w:tab w:val="left" w:pos="1095"/>
        </w:tabs>
        <w:kinsoku/>
        <w:wordWrap/>
        <w:overflowPunct/>
        <w:topLinePunct w:val="0"/>
        <w:bidi w:val="0"/>
        <w:spacing w:line="500" w:lineRule="exact"/>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5.2.3 除供应商须知前附表另有规定外，供应商提交的响应文件不予退还。</w:t>
      </w:r>
    </w:p>
    <w:p w14:paraId="59FBBF31">
      <w:pPr>
        <w:pStyle w:val="4"/>
        <w:keepNext w:val="0"/>
        <w:keepLines w:val="0"/>
        <w:pageBreakBefore w:val="0"/>
        <w:kinsoku/>
        <w:wordWrap/>
        <w:overflowPunct/>
        <w:topLinePunct w:val="0"/>
        <w:bidi w:val="0"/>
        <w:spacing w:line="500" w:lineRule="exact"/>
        <w:ind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5.2.4采购代理机构收到响应文件后，应当如实记载响应文件的送达时间、份数、密封情况和提交人等信息。</w:t>
      </w:r>
    </w:p>
    <w:p w14:paraId="02320DC8">
      <w:pPr>
        <w:keepNext w:val="0"/>
        <w:keepLines w:val="0"/>
        <w:pageBreakBefore w:val="0"/>
        <w:tabs>
          <w:tab w:val="left" w:pos="851"/>
          <w:tab w:val="left" w:pos="1095"/>
        </w:tabs>
        <w:kinsoku/>
        <w:wordWrap/>
        <w:overflowPunct/>
        <w:topLinePunct w:val="0"/>
        <w:bidi w:val="0"/>
        <w:spacing w:line="500" w:lineRule="exact"/>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5.2.5 逾期送达的响应文件，采购代理机构将予以拒收。</w:t>
      </w:r>
    </w:p>
    <w:p w14:paraId="6FE063A9">
      <w:pPr>
        <w:pStyle w:val="4"/>
        <w:keepNext w:val="0"/>
        <w:keepLines w:val="0"/>
        <w:pageBreakBefore w:val="0"/>
        <w:kinsoku/>
        <w:wordWrap/>
        <w:overflowPunct/>
        <w:topLinePunct w:val="0"/>
        <w:bidi w:val="0"/>
        <w:spacing w:line="500" w:lineRule="exact"/>
        <w:ind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5.2.6 本次</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不接受邮寄的响应文件。</w:t>
      </w:r>
    </w:p>
    <w:p w14:paraId="1A2B24B4">
      <w:pPr>
        <w:pStyle w:val="4"/>
        <w:keepNext w:val="0"/>
        <w:keepLines w:val="0"/>
        <w:pageBreakBefore w:val="0"/>
        <w:kinsoku/>
        <w:wordWrap/>
        <w:overflowPunct/>
        <w:topLinePunct w:val="0"/>
        <w:bidi w:val="0"/>
        <w:spacing w:line="500" w:lineRule="exact"/>
        <w:ind w:firstLine="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5.3 </w:t>
      </w:r>
      <w:r>
        <w:rPr>
          <w:rFonts w:hint="eastAsia" w:asciiTheme="minorEastAsia" w:hAnsiTheme="minorEastAsia" w:eastAsiaTheme="minorEastAsia" w:cstheme="minorEastAsia"/>
          <w:b/>
          <w:bCs/>
          <w:color w:val="auto"/>
          <w:spacing w:val="20"/>
          <w:sz w:val="24"/>
          <w:szCs w:val="24"/>
          <w:highlight w:val="none"/>
        </w:rPr>
        <w:t>响应文件的修改和撤回</w:t>
      </w:r>
    </w:p>
    <w:p w14:paraId="5854E2F0">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5.3.1 在本章第5.2.1项规定的提交响应文件截止时间前，供应商可以补充、修改或者撤回已提交的响应文件，但应以书面形式通知采购代理机构。</w:t>
      </w:r>
    </w:p>
    <w:p w14:paraId="50197441">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5.3.2 供应商的补充、修改或者撤回通知书，应由其法定代表人或委托代理人签署并盖单位章。补充、修改或者撤回通知书应按本章第5.1.2项规定进行密封，并在密封袋上标注“响应文件补充、修改”或“响应文件撤回通知”字样，“补充、修改文件”作为响应文件的组成部分。补充、修改内容与响应文件不一致的，以补充、修改的内容为准。</w:t>
      </w:r>
    </w:p>
    <w:p w14:paraId="3D34B218">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5.3.3 供应商撤回响应文件的，采购代理机构自收到供应商书面撤回通知之日起5个工作日内退还已收取的磋商保证金。</w:t>
      </w:r>
    </w:p>
    <w:p w14:paraId="3DD9830B">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5.3.4 在提交首次响应文件截止时间之后，供应商不得对其提交的响应文件做任何补充、修改或者撤销响应文件。</w:t>
      </w:r>
    </w:p>
    <w:p w14:paraId="6E6C28B6">
      <w:pPr>
        <w:pStyle w:val="4"/>
        <w:keepNext w:val="0"/>
        <w:keepLines w:val="0"/>
        <w:pageBreakBefore w:val="0"/>
        <w:kinsoku/>
        <w:wordWrap/>
        <w:overflowPunct/>
        <w:topLinePunct w:val="0"/>
        <w:bidi w:val="0"/>
        <w:spacing w:line="500" w:lineRule="exact"/>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6.开启响应文件</w:t>
      </w:r>
    </w:p>
    <w:p w14:paraId="1CE58101">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6.1开启响应文件的时间和地点</w:t>
      </w:r>
    </w:p>
    <w:p w14:paraId="713A1DC3">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6.1.1 采购代理机构在供应商须知前附表中规定的开启首次响应文件时间和地点开启响应文件，并邀请采购人、所有获取磋商文件的供应商派代表准时参加并签到以证明其出席。</w:t>
      </w:r>
    </w:p>
    <w:p w14:paraId="24A036E4">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6.1.2 采购代理机构将邀请有关监督管理机构对开启响应文件现场进行监督。</w:t>
      </w:r>
    </w:p>
    <w:p w14:paraId="52918DA6">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6.1.3 提交首次响应文件的供应商不足3家的，不得开启首次响应文件；采购代理机构将按照供应商须知前附表的规定返还供应商的响应文件，供应商应当签收。</w:t>
      </w:r>
    </w:p>
    <w:p w14:paraId="0859AA42">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 开启响应文件程序</w:t>
      </w:r>
    </w:p>
    <w:p w14:paraId="7438AA1B">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6.2.1 根据财政部《政府采购竞争性磋商采购方式管理暂行办法》（财库[2014]214号）第五条规定，开启首次响应文件和每轮磋商结束时均不公开报价。</w:t>
      </w:r>
    </w:p>
    <w:p w14:paraId="3DBCEBA2">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6.2.2开启响应文件由采购代理机构主持。主持人按照磋商文件规定的开启首次响应文件时间宣布开启响应文件开始，并按下列程序进行（但不限于）：</w:t>
      </w:r>
    </w:p>
    <w:p w14:paraId="6DEEAED5">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（1）宣布开启响应文件开始和开启录音录像设备并致辞；</w:t>
      </w:r>
    </w:p>
    <w:p w14:paraId="36158966">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（2）宣布开启响应文件纪律和有关注意事项；</w:t>
      </w:r>
    </w:p>
    <w:p w14:paraId="7ECC4920">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（3）公布在提交响应文件截止时间前提交响应文件的供应商名称（根据供应商签到表）；</w:t>
      </w:r>
    </w:p>
    <w:p w14:paraId="61708ED0">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（4）宣布参加开启响应文件的现场监督人员和主持人、会议记录等有关工作人员姓名；</w:t>
      </w:r>
    </w:p>
    <w:p w14:paraId="5231E277">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（5）检查并宣布响应文件的密封情况； </w:t>
      </w:r>
    </w:p>
    <w:p w14:paraId="13023ADC">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（6）启封响应文件；</w:t>
      </w:r>
    </w:p>
    <w:p w14:paraId="1064FAE4">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（7）启封响应文件结束，供应商退场；</w:t>
      </w:r>
    </w:p>
    <w:p w14:paraId="7E7760E2">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（8）向采购人及监督人员宣布供应商首次磋商报价，并由监督人员确认；</w:t>
      </w:r>
    </w:p>
    <w:p w14:paraId="0C9C4666">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（9）开启响应文件结束。</w:t>
      </w:r>
    </w:p>
    <w:p w14:paraId="4A4ACB73">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6.2.3 所有提交了响应文件的供应商在退场后，不要远离会场并保持通讯设备的畅通，以方便后续磋商和在评审过程中磋商小组要求供应商对响应文件的必要澄清。</w:t>
      </w:r>
    </w:p>
    <w:p w14:paraId="06FC0E1A">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6.2.4 检查响应文件密封情况是指，由供应商或者其推选的代表检查其自己提交的响应文件的密封情况，经检查无误后，签名确认。</w:t>
      </w:r>
    </w:p>
    <w:p w14:paraId="14E30B39">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6.2.5 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开启响应文件主持人或者现场监督人员，要求开启响应文件现场记录人员予以记录，但不得干扰、阻挠开启响应文件工作的正常进行。</w:t>
      </w:r>
    </w:p>
    <w:p w14:paraId="1185EC82">
      <w:pPr>
        <w:keepNext w:val="0"/>
        <w:keepLines w:val="0"/>
        <w:pageBreakBefore w:val="0"/>
        <w:kinsoku/>
        <w:wordWrap/>
        <w:overflowPunct/>
        <w:topLinePunct w:val="0"/>
        <w:bidi w:val="0"/>
        <w:spacing w:line="500" w:lineRule="exact"/>
        <w:ind w:firstLine="590" w:firstLineChars="24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6.2.6 供应商认为采购人、采购代理机构相关工作人员有需要回避情形的，应当场提出询问或者回避申请。采购人、采购代理机构对供应商提出的询问或者回避申请应当及时处理，并制作记录。</w:t>
      </w:r>
    </w:p>
    <w:p w14:paraId="78996EC8">
      <w:pPr>
        <w:pStyle w:val="4"/>
        <w:keepNext w:val="0"/>
        <w:keepLines w:val="0"/>
        <w:pageBreakBefore w:val="0"/>
        <w:kinsoku/>
        <w:wordWrap/>
        <w:overflowPunct/>
        <w:topLinePunct w:val="0"/>
        <w:bidi w:val="0"/>
        <w:spacing w:line="500" w:lineRule="exact"/>
        <w:ind w:firstLine="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7.</w:t>
      </w:r>
      <w:r>
        <w:rPr>
          <w:rFonts w:hint="eastAsia" w:asciiTheme="minorEastAsia" w:hAnsiTheme="minorEastAsia" w:eastAsiaTheme="minorEastAsia" w:cstheme="minorEastAsia"/>
          <w:b/>
          <w:bCs/>
          <w:color w:val="auto"/>
          <w:sz w:val="24"/>
          <w:szCs w:val="24"/>
          <w:highlight w:val="none"/>
          <w:lang w:eastAsia="zh-CN"/>
        </w:rPr>
        <w:t>磋商</w:t>
      </w:r>
    </w:p>
    <w:p w14:paraId="108DCC6C">
      <w:pPr>
        <w:keepNext w:val="0"/>
        <w:keepLines w:val="0"/>
        <w:pageBreakBefore w:val="0"/>
        <w:kinsoku/>
        <w:wordWrap/>
        <w:overflowPunct/>
        <w:topLinePunct w:val="0"/>
        <w:bidi w:val="0"/>
        <w:spacing w:line="500" w:lineRule="exact"/>
        <w:ind w:left="117" w:leftChars="50" w:hanging="12" w:hangingChars="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7.1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小组</w:t>
      </w:r>
    </w:p>
    <w:p w14:paraId="3DAC9DE4">
      <w:pPr>
        <w:keepNext w:val="0"/>
        <w:keepLines w:val="0"/>
        <w:pageBreakBefore w:val="0"/>
        <w:kinsoku/>
        <w:wordWrap/>
        <w:overflowPunct/>
        <w:topLinePunct w:val="0"/>
        <w:bidi w:val="0"/>
        <w:spacing w:line="500" w:lineRule="exact"/>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7.1.1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由采购代理机构依法组建的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小组负责。</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由采购人代表和评审专家组成，成员由3人以上单数组成，或者达到公开招标限额标准的项目由5人以上单数组成，或者采购预算金额在1000万元以上、技术复杂的项目或者社会影响较大的项目由7人以上单数组成，其中评审专家不得少于成员总数的三分之二。</w:t>
      </w:r>
    </w:p>
    <w:p w14:paraId="4938A4C1">
      <w:pPr>
        <w:keepNext w:val="0"/>
        <w:keepLines w:val="0"/>
        <w:pageBreakBefore w:val="0"/>
        <w:kinsoku/>
        <w:wordWrap/>
        <w:overflowPunct/>
        <w:topLinePunct w:val="0"/>
        <w:bidi w:val="0"/>
        <w:spacing w:line="500" w:lineRule="exact"/>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7.1.2 评审专家应当从省级财政部门设立的政府采购评审专家库内相关专业的专家名单中随机抽取。对技术复杂、专业性强的采购项目，通过随机方式难以确定合适评审专家的，经主管预算单位同意，采购人或采购代理机构可以自行选定相应专业领域的评审专家。技术复杂、专业性强的采购项目，评审专家中应当包括1名法律专家。</w:t>
      </w:r>
    </w:p>
    <w:p w14:paraId="5E82C56C">
      <w:pPr>
        <w:keepNext w:val="0"/>
        <w:keepLines w:val="0"/>
        <w:pageBreakBefore w:val="0"/>
        <w:kinsoku/>
        <w:wordWrap/>
        <w:overflowPunct/>
        <w:topLinePunct w:val="0"/>
        <w:bidi w:val="0"/>
        <w:spacing w:line="500" w:lineRule="exact"/>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7.1.3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小组成员到位后，推荐一名评审专家担任</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小组组长，并由</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小组组长牵头组织本项目</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工作。采购人代表，不得担任</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小组组长。</w:t>
      </w:r>
    </w:p>
    <w:p w14:paraId="479AFCBD">
      <w:pPr>
        <w:keepNext w:val="0"/>
        <w:keepLines w:val="0"/>
        <w:pageBreakBefore w:val="0"/>
        <w:kinsoku/>
        <w:wordWrap/>
        <w:overflowPunct/>
        <w:topLinePunct w:val="0"/>
        <w:bidi w:val="0"/>
        <w:spacing w:line="500" w:lineRule="exact"/>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7.1.4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小组成员有下列情形之一的，应当回避：</w:t>
      </w:r>
    </w:p>
    <w:p w14:paraId="7D46A5EB">
      <w:pPr>
        <w:keepNext w:val="0"/>
        <w:keepLines w:val="0"/>
        <w:pageBreakBefore w:val="0"/>
        <w:kinsoku/>
        <w:wordWrap/>
        <w:overflowPunct/>
        <w:topLinePunct w:val="0"/>
        <w:bidi w:val="0"/>
        <w:spacing w:line="500" w:lineRule="exact"/>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（1）采购人或供应商的主要负责人的近亲属；</w:t>
      </w:r>
    </w:p>
    <w:p w14:paraId="7B8B72E3">
      <w:pPr>
        <w:keepNext w:val="0"/>
        <w:keepLines w:val="0"/>
        <w:pageBreakBefore w:val="0"/>
        <w:kinsoku/>
        <w:wordWrap/>
        <w:overflowPunct/>
        <w:topLinePunct w:val="0"/>
        <w:bidi w:val="0"/>
        <w:spacing w:line="500" w:lineRule="exact"/>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（2）与供应商有经济利益关系，可能影响对响应文件公正评审的；</w:t>
      </w:r>
    </w:p>
    <w:p w14:paraId="795F1272">
      <w:pPr>
        <w:keepNext w:val="0"/>
        <w:keepLines w:val="0"/>
        <w:pageBreakBefore w:val="0"/>
        <w:kinsoku/>
        <w:wordWrap/>
        <w:overflowPunct/>
        <w:topLinePunct w:val="0"/>
        <w:bidi w:val="0"/>
        <w:spacing w:line="500" w:lineRule="exact"/>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（3）曾因在招标、评审以及其他与招标投标有关活动中从事违法行为而受过行政处罚或刑事处罚的。</w:t>
      </w:r>
    </w:p>
    <w:p w14:paraId="466FF56C">
      <w:pPr>
        <w:keepNext w:val="0"/>
        <w:keepLines w:val="0"/>
        <w:pageBreakBefore w:val="0"/>
        <w:kinsoku/>
        <w:wordWrap/>
        <w:overflowPunct/>
        <w:topLinePunct w:val="0"/>
        <w:autoSpaceDE w:val="0"/>
        <w:autoSpaceDN w:val="0"/>
        <w:bidi w:val="0"/>
        <w:spacing w:line="500" w:lineRule="exact"/>
        <w:ind w:firstLine="480" w:firstLineChars="20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 xml:space="preserve">7.1.5 </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过程中，因</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小组成员缺席、回避或者健康等特殊原因导致</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小组组成不符合规定的，采购代理机构应当依法补足后继续</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。被更换的</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小组成员所作出的评审意见无效。无法及时补足</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小组成员的，采购代理机构应当停止</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活动，封存所有响应文件和开起响应文件、</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和评审资料，依法重新组建</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小组进行</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。原</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小组所作出的评审意见无效。</w:t>
      </w:r>
      <w:r>
        <w:rPr>
          <w:rFonts w:hint="eastAsia" w:asciiTheme="minorEastAsia" w:hAnsiTheme="minorEastAsia" w:eastAsiaTheme="minorEastAsia" w:cstheme="minorEastAsia"/>
          <w:color w:val="auto"/>
          <w:kern w:val="0"/>
          <w:sz w:val="24"/>
          <w:szCs w:val="24"/>
          <w:highlight w:val="none"/>
          <w:lang w:val="zh-CN"/>
        </w:rPr>
        <w:t>采购代理机构</w:t>
      </w:r>
      <w:r>
        <w:rPr>
          <w:rFonts w:hint="eastAsia" w:asciiTheme="minorEastAsia" w:hAnsiTheme="minorEastAsia" w:eastAsiaTheme="minorEastAsia" w:cstheme="minorEastAsia"/>
          <w:color w:val="auto"/>
          <w:kern w:val="0"/>
          <w:sz w:val="24"/>
          <w:szCs w:val="24"/>
          <w:highlight w:val="none"/>
        </w:rPr>
        <w:t>应当将变更、重新组建</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小组的情况予以记录，并随采购文件一并存档。</w:t>
      </w:r>
    </w:p>
    <w:p w14:paraId="6F3FEC09">
      <w:pPr>
        <w:keepNext w:val="0"/>
        <w:keepLines w:val="0"/>
        <w:pageBreakBefore w:val="0"/>
        <w:kinsoku/>
        <w:wordWrap/>
        <w:overflowPunct/>
        <w:topLinePunct w:val="0"/>
        <w:autoSpaceDE w:val="0"/>
        <w:autoSpaceDN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7.1.6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小组成员名单在成交结果公告前，应当保密。</w:t>
      </w:r>
    </w:p>
    <w:p w14:paraId="10B9449A">
      <w:pPr>
        <w:keepNext w:val="0"/>
        <w:keepLines w:val="0"/>
        <w:pageBreakBefore w:val="0"/>
        <w:widowControl/>
        <w:kinsoku/>
        <w:wordWrap/>
        <w:overflowPunct/>
        <w:topLinePunct w:val="0"/>
        <w:autoSpaceDE w:val="0"/>
        <w:autoSpaceDN w:val="0"/>
        <w:bidi w:val="0"/>
        <w:spacing w:line="500" w:lineRule="exact"/>
        <w:ind w:right="51" w:firstLine="480" w:firstLineChars="200"/>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7.1.7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小组及其成员，在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中不得有下列行为：</w:t>
      </w:r>
    </w:p>
    <w:p w14:paraId="35FBC6B0">
      <w:pPr>
        <w:pStyle w:val="18"/>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（1）确定参与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结束前私自接触供应商；</w:t>
      </w:r>
    </w:p>
    <w:p w14:paraId="7EFC914A">
      <w:pPr>
        <w:pStyle w:val="18"/>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（2）接受供应商提出的与响应文件不一致的澄清和说明；</w:t>
      </w:r>
    </w:p>
    <w:p w14:paraId="40B433C6">
      <w:pPr>
        <w:pStyle w:val="18"/>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（3）征询采购人的倾向性意见；</w:t>
      </w:r>
    </w:p>
    <w:p w14:paraId="6E98FAE9">
      <w:pPr>
        <w:pStyle w:val="18"/>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（4）对响应文件协商评审；</w:t>
      </w:r>
    </w:p>
    <w:p w14:paraId="6B89C511">
      <w:pPr>
        <w:pStyle w:val="18"/>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（5）对客观评审因素评审不一致；</w:t>
      </w:r>
    </w:p>
    <w:p w14:paraId="33FA8F0A">
      <w:pPr>
        <w:pStyle w:val="18"/>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过程中擅离职守，影响</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程序正常进行的；</w:t>
      </w:r>
    </w:p>
    <w:p w14:paraId="61CE8848">
      <w:pPr>
        <w:pStyle w:val="18"/>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（7）记录、复制或带走任何评审资料；</w:t>
      </w:r>
    </w:p>
    <w:p w14:paraId="4CAF470B">
      <w:pPr>
        <w:keepNext w:val="0"/>
        <w:keepLines w:val="0"/>
        <w:pageBreakBefore w:val="0"/>
        <w:widowControl/>
        <w:kinsoku/>
        <w:wordWrap/>
        <w:overflowPunct/>
        <w:topLinePunct w:val="0"/>
        <w:bidi w:val="0"/>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kern w:val="0"/>
          <w:sz w:val="24"/>
          <w:szCs w:val="24"/>
          <w:highlight w:val="none"/>
        </w:rPr>
        <w:t>其他不遵守评审纪律的行为。</w:t>
      </w:r>
    </w:p>
    <w:p w14:paraId="5EA9BD74">
      <w:pPr>
        <w:keepNext w:val="0"/>
        <w:keepLines w:val="0"/>
        <w:pageBreakBefore w:val="0"/>
        <w:widowControl/>
        <w:kinsoku/>
        <w:wordWrap/>
        <w:overflowPunct/>
        <w:topLinePunct w:val="0"/>
        <w:bidi w:val="0"/>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小组成员有前款第一至四项行为之一的，其评审意见无效，</w:t>
      </w:r>
      <w:r>
        <w:rPr>
          <w:rFonts w:hint="eastAsia" w:asciiTheme="minorEastAsia" w:hAnsiTheme="minorEastAsia" w:eastAsiaTheme="minorEastAsia" w:cstheme="minorEastAsia"/>
          <w:color w:val="auto"/>
          <w:kern w:val="0"/>
          <w:sz w:val="24"/>
          <w:szCs w:val="24"/>
          <w:highlight w:val="none"/>
        </w:rPr>
        <w:t>并不得获取评审劳务报酬和报销异地评审差旅费。</w:t>
      </w:r>
    </w:p>
    <w:p w14:paraId="01BE9DAB">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7.2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原则</w:t>
      </w:r>
    </w:p>
    <w:p w14:paraId="5C67702B">
      <w:pPr>
        <w:keepNext w:val="0"/>
        <w:keepLines w:val="0"/>
        <w:pageBreakBefore w:val="0"/>
        <w:tabs>
          <w:tab w:val="left" w:pos="0"/>
        </w:tabs>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7.2.1“客观、公正、审慎”为本次</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的基本原则，</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小组按照这一原则的要求，公正、平等地对待各供应商。同时，在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中恪守以下原则：</w:t>
      </w:r>
    </w:p>
    <w:p w14:paraId="25285902">
      <w:pPr>
        <w:keepNext w:val="0"/>
        <w:keepLines w:val="0"/>
        <w:pageBreakBefore w:val="0"/>
        <w:tabs>
          <w:tab w:val="left" w:pos="0"/>
        </w:tabs>
        <w:kinsoku/>
        <w:wordWrap/>
        <w:overflowPunct/>
        <w:topLinePunct w:val="0"/>
        <w:bidi w:val="0"/>
        <w:adjustRightInd w:val="0"/>
        <w:snapToGrid w:val="0"/>
        <w:spacing w:line="500" w:lineRule="exact"/>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（1）统一性原则：</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小组将按照统一的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原则和方法，用统一标准进行评审。</w:t>
      </w:r>
    </w:p>
    <w:p w14:paraId="7F22D362">
      <w:pPr>
        <w:keepNext w:val="0"/>
        <w:keepLines w:val="0"/>
        <w:pageBreakBefore w:val="0"/>
        <w:tabs>
          <w:tab w:val="left" w:pos="0"/>
        </w:tabs>
        <w:kinsoku/>
        <w:wordWrap/>
        <w:overflowPunct/>
        <w:topLinePunct w:val="0"/>
        <w:bidi w:val="0"/>
        <w:adjustRightInd w:val="0"/>
        <w:snapToGrid w:val="0"/>
        <w:spacing w:line="500" w:lineRule="exact"/>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（2）独立性原则：</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工作在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小组内部独立进行，不受外界任何因素的干扰和影响。</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小组成员对其出具的意见承担个人责任。</w:t>
      </w:r>
      <w:r>
        <w:rPr>
          <w:rFonts w:hint="eastAsia" w:asciiTheme="minorEastAsia" w:hAnsiTheme="minorEastAsia" w:eastAsiaTheme="minorEastAsia" w:cstheme="minorEastAsia"/>
          <w:color w:val="auto"/>
          <w:kern w:val="0"/>
          <w:sz w:val="24"/>
          <w:szCs w:val="24"/>
          <w:highlight w:val="none"/>
        </w:rPr>
        <w:t>供应商试图影响或干预评审的任何行为，将导致其丧失</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的资格，并承担相应的法律责任。</w:t>
      </w:r>
    </w:p>
    <w:p w14:paraId="3F47B49E">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（3）物有所值原则：通过首轮的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报价，激发供应商展开竞争，进一步优化方案，并使报价符合预期目标。</w:t>
      </w:r>
    </w:p>
    <w:p w14:paraId="043D98F8">
      <w:pPr>
        <w:keepNext w:val="0"/>
        <w:keepLines w:val="0"/>
        <w:pageBreakBefore w:val="0"/>
        <w:tabs>
          <w:tab w:val="left" w:pos="0"/>
        </w:tabs>
        <w:kinsoku/>
        <w:wordWrap/>
        <w:overflowPunct/>
        <w:topLinePunct w:val="0"/>
        <w:bidi w:val="0"/>
        <w:adjustRightInd w:val="0"/>
        <w:snapToGrid w:val="0"/>
        <w:spacing w:line="500" w:lineRule="exact"/>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（4）客观性原则：</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小组将严格按照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文件要求，对供应商的响应文件进行认真评审；</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小组对响应文件的评审仅依据响应文件本身，而不依据响应文件以外的任何因素。</w:t>
      </w:r>
    </w:p>
    <w:p w14:paraId="703A17F8">
      <w:pPr>
        <w:keepNext w:val="0"/>
        <w:keepLines w:val="0"/>
        <w:pageBreakBefore w:val="0"/>
        <w:tabs>
          <w:tab w:val="left" w:pos="0"/>
        </w:tabs>
        <w:kinsoku/>
        <w:wordWrap/>
        <w:overflowPunct/>
        <w:topLinePunct w:val="0"/>
        <w:bidi w:val="0"/>
        <w:adjustRightInd w:val="0"/>
        <w:snapToGrid w:val="0"/>
        <w:spacing w:line="500" w:lineRule="exact"/>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（5）保密性原则：采购代理机构应当采取必要的措施，保证评审在严格保密情况下进行。</w:t>
      </w:r>
    </w:p>
    <w:p w14:paraId="3AA96B41">
      <w:pPr>
        <w:keepNext w:val="0"/>
        <w:keepLines w:val="0"/>
        <w:pageBreakBefore w:val="0"/>
        <w:tabs>
          <w:tab w:val="left" w:pos="0"/>
        </w:tabs>
        <w:kinsoku/>
        <w:wordWrap/>
        <w:overflowPunct/>
        <w:topLinePunct w:val="0"/>
        <w:bidi w:val="0"/>
        <w:adjustRightInd w:val="0"/>
        <w:snapToGrid w:val="0"/>
        <w:spacing w:line="500" w:lineRule="exact"/>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（6）综合性原则:</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小组将综合分析、评审供应商的各项指标，而不以单项指标的优劣评定出成交供应商。</w:t>
      </w:r>
    </w:p>
    <w:p w14:paraId="612D517C">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7.2.2 磋商小组有权对整个磋商和评审过程中出现的所有问题，可根据《中华人民共和国政府采购法》及实施条例和《政府采购竞争性磋商采购方式管理暂行办法》等相关规定进行处理。</w:t>
      </w:r>
    </w:p>
    <w:p w14:paraId="0015FD91">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7.3</w:t>
      </w:r>
      <w:r>
        <w:rPr>
          <w:rFonts w:hint="eastAsia" w:asciiTheme="minorEastAsia" w:hAnsiTheme="minorEastAsia" w:eastAsiaTheme="minorEastAsia" w:cstheme="minorEastAsia"/>
          <w:b/>
          <w:color w:val="auto"/>
          <w:sz w:val="24"/>
          <w:szCs w:val="24"/>
          <w:highlight w:val="none"/>
          <w:lang w:eastAsia="zh-CN"/>
        </w:rPr>
        <w:t>磋商</w:t>
      </w:r>
    </w:p>
    <w:p w14:paraId="6D26C416">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7.3.1 磋商小组根据磋商文件第四章“磋商办法”规定的方法、评审因素、标准和程序，在与单一供应商进行反复磋商的基础上，对其响应文件进行评审。第四章“磋商办法”没有规定的方法、评审因素和标准，不作为评审依据。</w:t>
      </w:r>
    </w:p>
    <w:p w14:paraId="40FD4804">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7.3.2 磋商小组负责具体磋商事务，并独立履行下列职责：</w:t>
      </w:r>
    </w:p>
    <w:p w14:paraId="64BDD607">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（1）审查、评价响应文件是否符合磋商文件的商务、技术、服务等实质性要求；</w:t>
      </w:r>
    </w:p>
    <w:p w14:paraId="09E3956E">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（2）要求供应商对响应文件有关事项作出澄清或者说明；</w:t>
      </w:r>
    </w:p>
    <w:p w14:paraId="18DFD215">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（3）与合格的供应商分别就技术和商务事务进行磋商；</w:t>
      </w:r>
    </w:p>
    <w:p w14:paraId="317D3B23">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（4）对响应文件进行比较和评价；</w:t>
      </w:r>
    </w:p>
    <w:p w14:paraId="57526F5D">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（5）推荐成交候选人名单，或者根据采购人委托直接确定成交供应商；</w:t>
      </w:r>
    </w:p>
    <w:p w14:paraId="785B1375">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（6）向采购人、采购代理机构或者有关部门报告非法干预磋商工作的行为。</w:t>
      </w:r>
    </w:p>
    <w:p w14:paraId="1BEBC26F">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7.3.3磋商小组成员应当履行下列义务：</w:t>
      </w:r>
    </w:p>
    <w:p w14:paraId="5D47C398">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（1）遵纪守法，客观、公正、廉洁地履行职责；</w:t>
      </w:r>
    </w:p>
    <w:p w14:paraId="55EABBEA">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（2）根据采购文件的规定独立进行评审，对个人的评审意见承担法律责任；</w:t>
      </w:r>
    </w:p>
    <w:p w14:paraId="3DDD6342">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（3）参与评审报告的起草；</w:t>
      </w:r>
    </w:p>
    <w:p w14:paraId="07DBC3A5">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（4）配合采购人、采购代理机构答复供应商提出的质疑；</w:t>
      </w:r>
    </w:p>
    <w:p w14:paraId="0297266D">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（5）配合财政部门的投诉处理和监督检查工作。</w:t>
      </w:r>
    </w:p>
    <w:p w14:paraId="36B26C1C">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7.3.4 采购代理机构负责组织磋商工作并履行下列职责：</w:t>
      </w:r>
    </w:p>
    <w:p w14:paraId="78D8BB3C">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（1）核对评审专家身份和采购人代表授权函，对评审专家在政府采购活动中的职责履行情况予以记录，并及时将有关违法违规行为向财政部门报告；</w:t>
      </w:r>
    </w:p>
    <w:p w14:paraId="720974FE">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（2）宣布磋商纪律和开启录音录像设备；</w:t>
      </w:r>
    </w:p>
    <w:p w14:paraId="7BEF1FE6">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（3）公布提交了响应文件的供应商名单，告知评审专家应当回避的情形；</w:t>
      </w:r>
    </w:p>
    <w:p w14:paraId="6107DCFA">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（4）组织磋商小组成员推选磋商小组组长，采购人代表不得担任组长；</w:t>
      </w:r>
    </w:p>
    <w:p w14:paraId="242E250F">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（5）在磋商期间采取必要的通讯管理措施，保证磋商活动不受外界干扰；</w:t>
      </w:r>
    </w:p>
    <w:p w14:paraId="7ADE6796">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（6）根据磋商小组的要求介绍政府采购相关政策法规、磋商文件；</w:t>
      </w:r>
    </w:p>
    <w:p w14:paraId="1B0EA757">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（7）维护磋商秩序，监督磋商小组依照磋商文件规定的磋商程序、评审方法和标准进行独立评审，对采购人代表、磋商小组成员的倾向性言论或违法违规行为及时制止和纠正；</w:t>
      </w:r>
    </w:p>
    <w:p w14:paraId="4DC27D5C">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（8）核对评审结果，有《政府采购竞争性磋商采购方式暂行管理办法》第三十二条第一款规定情形的，要求磋商小组复核或书面说明理由，磋商小组拒绝的，应予记录并向采购人本级财政部门报告；</w:t>
      </w:r>
    </w:p>
    <w:p w14:paraId="22CC815A">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（9）磋商工作完成后，按照规定向评审专家支付劳务报酬和异地评审差旅费，不得向评审专家以外的其他人员支付评审劳务报酬；</w:t>
      </w:r>
    </w:p>
    <w:p w14:paraId="6DC2A25E">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（10）处理与磋商有关的其他事项。</w:t>
      </w:r>
    </w:p>
    <w:p w14:paraId="421FB24E">
      <w:pPr>
        <w:keepNext w:val="0"/>
        <w:keepLines w:val="0"/>
        <w:pageBreakBefore w:val="0"/>
        <w:kinsoku/>
        <w:wordWrap/>
        <w:overflowPunct/>
        <w:topLinePunct w:val="0"/>
        <w:bidi w:val="0"/>
        <w:spacing w:line="500" w:lineRule="exact"/>
        <w:ind w:firstLine="504" w:firstLineChars="2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7.3.5 采购人可以在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前介绍项目背景和采购需求，介绍内容不得含有歧视性、倾向性意见，不得超出</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文件所述范围。介绍应当提交书面介绍材料，并随采购文件一并存档。</w:t>
      </w:r>
    </w:p>
    <w:p w14:paraId="7480B8AA">
      <w:pPr>
        <w:keepNext w:val="0"/>
        <w:keepLines w:val="0"/>
        <w:pageBreakBefore w:val="0"/>
        <w:kinsoku/>
        <w:wordWrap/>
        <w:overflowPunct/>
        <w:topLinePunct w:val="0"/>
        <w:bidi w:val="0"/>
        <w:spacing w:line="500" w:lineRule="exact"/>
        <w:ind w:left="120" w:leftChars="57"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7.3.6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过程严格保密</w:t>
      </w:r>
    </w:p>
    <w:p w14:paraId="3ABDEDD2">
      <w:pPr>
        <w:keepNext w:val="0"/>
        <w:keepLines w:val="0"/>
        <w:pageBreakBefore w:val="0"/>
        <w:kinsoku/>
        <w:wordWrap/>
        <w:overflowPunct/>
        <w:topLinePunct w:val="0"/>
        <w:autoSpaceDE w:val="0"/>
        <w:autoSpaceDN w:val="0"/>
        <w:bidi w:val="0"/>
        <w:spacing w:line="5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7.3.6.1 </w:t>
      </w:r>
      <w:r>
        <w:rPr>
          <w:rFonts w:hint="eastAsia" w:asciiTheme="minorEastAsia" w:hAnsiTheme="minorEastAsia" w:eastAsiaTheme="minorEastAsia" w:cstheme="minorEastAsia"/>
          <w:color w:val="auto"/>
          <w:kern w:val="0"/>
          <w:sz w:val="24"/>
          <w:szCs w:val="24"/>
          <w:highlight w:val="none"/>
        </w:rPr>
        <w:t>采购人、采购代理机构应当采取必要措施，保证</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在严格保密的情况下进行。除采购人代表、</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现场组织人员外，采购人的其他工作人员以及与</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工作无关的人员不得进入</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现场。</w:t>
      </w:r>
    </w:p>
    <w:p w14:paraId="652C449D">
      <w:pPr>
        <w:keepNext w:val="0"/>
        <w:keepLines w:val="0"/>
        <w:pageBreakBefore w:val="0"/>
        <w:kinsoku/>
        <w:wordWrap/>
        <w:overflowPunct/>
        <w:topLinePunct w:val="0"/>
        <w:autoSpaceDE w:val="0"/>
        <w:autoSpaceDN w:val="0"/>
        <w:bidi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7.3.6.2 有关人员对</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情况以及在</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过程中获悉的国家秘密、商业秘密负有保密责任。</w:t>
      </w:r>
      <w:r>
        <w:rPr>
          <w:rFonts w:hint="eastAsia" w:asciiTheme="minorEastAsia" w:hAnsiTheme="minorEastAsia" w:eastAsiaTheme="minorEastAsia" w:cstheme="minorEastAsia"/>
          <w:color w:val="auto"/>
          <w:sz w:val="24"/>
          <w:szCs w:val="24"/>
          <w:highlight w:val="none"/>
        </w:rPr>
        <w:t>开启响应文件后，直至授予成交供应商合同为止，凡属于对响应文件的审查、澄清、评价和比较的有关资料以及成交候选人的推荐情况，与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有关的其他任何情况均严格保密。</w:t>
      </w:r>
    </w:p>
    <w:p w14:paraId="7D4F9888">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7.3.7 供应商对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过程或合同授予决定施加影响的任何行为都可能导致其响应文件无效。</w:t>
      </w:r>
    </w:p>
    <w:p w14:paraId="6412DA6D">
      <w:pPr>
        <w:keepNext w:val="0"/>
        <w:keepLines w:val="0"/>
        <w:pageBreakBefore w:val="0"/>
        <w:tabs>
          <w:tab w:val="left" w:pos="426"/>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7.3.8</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完成后，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小组应当向采购人提交书面评审报告，并由采购代理机构转送。</w:t>
      </w:r>
    </w:p>
    <w:p w14:paraId="03E00862">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bookmarkStart w:id="35" w:name="_Toc217446061"/>
      <w:r>
        <w:rPr>
          <w:rFonts w:hint="eastAsia" w:asciiTheme="minorEastAsia" w:hAnsiTheme="minorEastAsia" w:eastAsiaTheme="minorEastAsia" w:cstheme="minorEastAsia"/>
          <w:color w:val="auto"/>
          <w:sz w:val="24"/>
          <w:szCs w:val="24"/>
          <w:highlight w:val="none"/>
        </w:rPr>
        <w:t>.确定成交供应商</w:t>
      </w:r>
    </w:p>
    <w:p w14:paraId="5CAF6555">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8.1确定成交供应商原则</w:t>
      </w:r>
      <w:bookmarkEnd w:id="35"/>
    </w:p>
    <w:p w14:paraId="7F63E731">
      <w:pPr>
        <w:keepNext w:val="0"/>
        <w:keepLines w:val="0"/>
        <w:pageBreakBefore w:val="0"/>
        <w:kinsoku/>
        <w:wordWrap/>
        <w:overflowPunct/>
        <w:topLinePunct w:val="0"/>
        <w:bidi w:val="0"/>
        <w:spacing w:line="500" w:lineRule="exact"/>
        <w:ind w:firstLine="470" w:firstLineChars="196"/>
        <w:rPr>
          <w:rFonts w:hint="eastAsia" w:asciiTheme="minorEastAsia" w:hAnsiTheme="minorEastAsia" w:eastAsiaTheme="minorEastAsia" w:cstheme="minorEastAsia"/>
          <w:color w:val="auto"/>
          <w:sz w:val="24"/>
          <w:szCs w:val="24"/>
          <w:highlight w:val="none"/>
        </w:rPr>
      </w:pPr>
      <w:bookmarkStart w:id="36" w:name="_Toc217446062"/>
      <w:r>
        <w:rPr>
          <w:rFonts w:hint="eastAsia" w:asciiTheme="minorEastAsia" w:hAnsiTheme="minorEastAsia" w:eastAsiaTheme="minorEastAsia" w:cstheme="minorEastAsia"/>
          <w:color w:val="auto"/>
          <w:sz w:val="24"/>
          <w:szCs w:val="24"/>
          <w:highlight w:val="none"/>
        </w:rPr>
        <w:t>采购人或其授权的磋商小组按照评审报告中提出的成交候人中，按照顺序由高到低的原则确定成交供应商。</w:t>
      </w:r>
    </w:p>
    <w:p w14:paraId="4904BAD1">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8.2 确定成交供应商程序</w:t>
      </w:r>
      <w:bookmarkEnd w:id="36"/>
    </w:p>
    <w:p w14:paraId="27381D55">
      <w:pPr>
        <w:keepNext w:val="0"/>
        <w:keepLines w:val="0"/>
        <w:pageBreakBefore w:val="0"/>
        <w:kinsoku/>
        <w:wordWrap/>
        <w:overflowPunct/>
        <w:topLinePunct w:val="0"/>
        <w:bidi w:val="0"/>
        <w:spacing w:line="50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8.2.1磋商小组将评审情况写出书面报告，推荐3个成交候选人，并按照综合得分高低标明排列顺序。得分相同的，按照最后报价由低到高顺序排列；得分且最后报价相同的按照技术指标优劣顺序排列。</w:t>
      </w:r>
    </w:p>
    <w:p w14:paraId="46575EEE">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8.2.2 采购代理机构在评审结束后2个工作日内将评审报告送采购人确认。</w:t>
      </w:r>
    </w:p>
    <w:p w14:paraId="1B57A328">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8.2.3 采购人应当在收到评审报告后5个工作日内，按照评审报告中推荐的成交候选人中，按照顺序由高到低确定成交供应商。同时，将确定成交供应商的结果复函至采购代理机构。</w:t>
      </w:r>
    </w:p>
    <w:p w14:paraId="3E3AA1A1">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采购人逾期未确定成交供应商，且不提出异议的，视同确定评审报告提出的排名第一的成交候选人为成交供应商。</w:t>
      </w:r>
    </w:p>
    <w:p w14:paraId="483201CA">
      <w:pPr>
        <w:keepNext w:val="0"/>
        <w:keepLines w:val="0"/>
        <w:pageBreakBefore w:val="0"/>
        <w:kinsoku/>
        <w:wordWrap/>
        <w:overflowPunct/>
        <w:topLinePunct w:val="0"/>
        <w:bidi w:val="0"/>
        <w:spacing w:line="500" w:lineRule="exact"/>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8.2.4采购代理机构应当在接到采购人“定标”复函之日起2个工作日内，根据采购人确定的成交供应商，在省级以上财政部门指定的媒体上公告成交结果，</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文件应当随成交结果同时公告；成交供应商的《中小企业声明函》或者《残疾人福利性单位声明函》</w:t>
      </w:r>
      <w:r>
        <w:rPr>
          <w:rFonts w:hint="eastAsia" w:asciiTheme="minorEastAsia" w:hAnsiTheme="minorEastAsia" w:eastAsiaTheme="minorEastAsia" w:cstheme="minorEastAsia"/>
          <w:color w:val="auto"/>
          <w:sz w:val="24"/>
          <w:szCs w:val="24"/>
          <w:highlight w:val="none"/>
          <w:lang w:val="en-US" w:eastAsia="zh-CN"/>
        </w:rPr>
        <w:t>或者《监狱企业》</w:t>
      </w:r>
      <w:r>
        <w:rPr>
          <w:rFonts w:hint="eastAsia" w:asciiTheme="minorEastAsia" w:hAnsiTheme="minorEastAsia" w:eastAsiaTheme="minorEastAsia" w:cstheme="minorEastAsia"/>
          <w:color w:val="auto"/>
          <w:sz w:val="24"/>
          <w:szCs w:val="24"/>
          <w:highlight w:val="none"/>
        </w:rPr>
        <w:t>也应随成交结果同时公告。</w:t>
      </w:r>
    </w:p>
    <w:p w14:paraId="6A7BBFEC">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8.3 成交通知书</w:t>
      </w:r>
    </w:p>
    <w:p w14:paraId="6F6701A8">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1 成交通知书为签订政府采购合同的依据之一，是合同的有效组成部分。</w:t>
      </w:r>
    </w:p>
    <w:p w14:paraId="7C5CE12E">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8.3.2 成交通知书对采购人和成交供应商均具有法律效力。成交通知书发出后，采购人不得违法改变成交结果，成交供应商无正当理由不得放弃成交资格。否则，应当承担相应的法律责任。</w:t>
      </w:r>
    </w:p>
    <w:p w14:paraId="15ABB81C">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8.3.3 成交供应商应当在接到采购代理机构通知之日起2个工作日内领取《成交通知书》。</w:t>
      </w:r>
    </w:p>
    <w:p w14:paraId="6027A04D">
      <w:pPr>
        <w:keepNext w:val="0"/>
        <w:keepLines w:val="0"/>
        <w:pageBreakBefore w:val="0"/>
        <w:tabs>
          <w:tab w:val="left" w:pos="7665"/>
        </w:tabs>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8.3.4 在《成交通知书》发出后，发现成交供应商有政府采购法律法规规章制度规定的成交无效情形的，采购代理机构应当宣布发出的成交通知书无效，并收回已发出的成交通知书（成交供应商也应当交回），依法重新确定成交供应商或者重新开展采购活动，同时向同级财政部门报告。</w:t>
      </w:r>
    </w:p>
    <w:p w14:paraId="6FB36104">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9.合同授予</w:t>
      </w:r>
    </w:p>
    <w:p w14:paraId="3D1EC53E">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9.1 履约保证金</w:t>
      </w:r>
    </w:p>
    <w:p w14:paraId="7695BFA1">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9.1.1按照供应商须知前附表的规定本项目需要提交履约保证金的，成交供应商在收到采购代理机构的成交通知书后10日内，应当按照供应商须知前附表规定的形式、金额，向采购人提交履约保证金或履约担保。联合体成交的，履约保证金或履约担保由联合体各方或者联合体中牵头人的名义提交。</w:t>
      </w:r>
    </w:p>
    <w:p w14:paraId="190F49ED">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9.1.2 成交供应商</w:t>
      </w:r>
      <w:r>
        <w:rPr>
          <w:rFonts w:hint="eastAsia" w:asciiTheme="minorEastAsia" w:hAnsiTheme="minorEastAsia" w:eastAsiaTheme="minorEastAsia" w:cstheme="minorEastAsia"/>
          <w:color w:val="auto"/>
          <w:spacing w:val="4"/>
          <w:sz w:val="24"/>
          <w:szCs w:val="24"/>
          <w:highlight w:val="none"/>
        </w:rPr>
        <w:t>不能按照本章第9.1.1项规定</w:t>
      </w:r>
      <w:r>
        <w:rPr>
          <w:rFonts w:hint="eastAsia" w:asciiTheme="minorEastAsia" w:hAnsiTheme="minorEastAsia" w:eastAsiaTheme="minorEastAsia" w:cstheme="minorEastAsia"/>
          <w:color w:val="auto"/>
          <w:sz w:val="24"/>
          <w:szCs w:val="24"/>
          <w:highlight w:val="none"/>
        </w:rPr>
        <w:t>提交履约保证金或履约担保的</w:t>
      </w:r>
      <w:r>
        <w:rPr>
          <w:rFonts w:hint="eastAsia" w:asciiTheme="minorEastAsia" w:hAnsiTheme="minorEastAsia" w:eastAsiaTheme="minorEastAsia" w:cstheme="minorEastAsia"/>
          <w:color w:val="auto"/>
          <w:spacing w:val="4"/>
          <w:sz w:val="24"/>
          <w:szCs w:val="24"/>
          <w:highlight w:val="none"/>
        </w:rPr>
        <w:t>，视为放弃</w:t>
      </w:r>
      <w:r>
        <w:rPr>
          <w:rFonts w:hint="eastAsia" w:asciiTheme="minorEastAsia" w:hAnsiTheme="minorEastAsia" w:eastAsiaTheme="minorEastAsia" w:cstheme="minorEastAsia"/>
          <w:color w:val="auto"/>
          <w:sz w:val="24"/>
          <w:szCs w:val="24"/>
          <w:highlight w:val="none"/>
        </w:rPr>
        <w:t>成交资格</w:t>
      </w:r>
      <w:r>
        <w:rPr>
          <w:rFonts w:hint="eastAsia" w:asciiTheme="minorEastAsia" w:hAnsiTheme="minorEastAsia" w:eastAsiaTheme="minorEastAsia" w:cstheme="minorEastAsia"/>
          <w:color w:val="auto"/>
          <w:spacing w:val="4"/>
          <w:sz w:val="24"/>
          <w:szCs w:val="24"/>
          <w:highlight w:val="none"/>
        </w:rPr>
        <w:t>，有</w:t>
      </w:r>
      <w:r>
        <w:rPr>
          <w:rFonts w:hint="eastAsia" w:asciiTheme="minorEastAsia" w:hAnsiTheme="minorEastAsia" w:eastAsiaTheme="minorEastAsia" w:cstheme="minorEastAsia"/>
          <w:color w:val="auto"/>
          <w:spacing w:val="2"/>
          <w:sz w:val="24"/>
          <w:szCs w:val="24"/>
          <w:highlight w:val="none"/>
          <w:lang w:eastAsia="zh-CN"/>
        </w:rPr>
        <w:t>磋商</w:t>
      </w:r>
      <w:r>
        <w:rPr>
          <w:rFonts w:hint="eastAsia" w:asciiTheme="minorEastAsia" w:hAnsiTheme="minorEastAsia" w:eastAsiaTheme="minorEastAsia" w:cstheme="minorEastAsia"/>
          <w:color w:val="auto"/>
          <w:spacing w:val="2"/>
          <w:sz w:val="24"/>
          <w:szCs w:val="24"/>
          <w:highlight w:val="none"/>
        </w:rPr>
        <w:t>保证金的不予退还，给采购人造成损失的，成交供应商应当予以赔偿。</w:t>
      </w:r>
    </w:p>
    <w:p w14:paraId="5906F16C">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9.2 签订合同</w:t>
      </w:r>
    </w:p>
    <w:p w14:paraId="78094942">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9.2.1采购人应当自《成交通知书》发出之日起30日内，按照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文件和成交供应商响应文件的的规定，与成交供应商签订书面合同。成交供应商无正当理由拒签合同，或者在签订合同时向采购人提出附件条件，采购人有权取消其成交资格，有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保证金的不予退还，给采购人造成损失的，</w:t>
      </w:r>
      <w:r>
        <w:rPr>
          <w:rFonts w:hint="eastAsia" w:asciiTheme="minorEastAsia" w:hAnsiTheme="minorEastAsia" w:eastAsiaTheme="minorEastAsia" w:cstheme="minorEastAsia"/>
          <w:color w:val="auto"/>
          <w:spacing w:val="2"/>
          <w:sz w:val="24"/>
          <w:szCs w:val="24"/>
          <w:highlight w:val="none"/>
        </w:rPr>
        <w:t>成交供应商应当予以赔偿。采购人可以</w:t>
      </w:r>
      <w:r>
        <w:rPr>
          <w:rFonts w:hint="eastAsia" w:asciiTheme="minorEastAsia" w:hAnsiTheme="minorEastAsia" w:eastAsiaTheme="minorEastAsia" w:cstheme="minorEastAsia"/>
          <w:color w:val="auto"/>
          <w:sz w:val="24"/>
          <w:szCs w:val="24"/>
          <w:highlight w:val="none"/>
        </w:rPr>
        <w:t>按照《政府采购法实施条例》第四十九条规定，依据评审报告推荐的成交候选人名单排序确定下一候选人为成交供应商，并签订合同或者重新开展采购活动。拒绝签订政府采购合同的成交供应商不得参加对该项目重新开展的采购活动。</w:t>
      </w:r>
    </w:p>
    <w:p w14:paraId="756EED77">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9.2.2 发出成交通知书后，采购人不得向成交供应商提出任何不合理要求，作为签订合同的条件，不得与成交供应商私下订立背离合同实质性内容的任何协议，所签订的合同不得对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文件确定的事项和成交供应商响应文件做实质性修改。</w:t>
      </w:r>
    </w:p>
    <w:p w14:paraId="13BE74A7">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9.2.3 联合体成交的，联合体各方应当与采购人签订采购合同，就成交项目向采购人承担连带责任。</w:t>
      </w:r>
    </w:p>
    <w:p w14:paraId="6EB3E4F2">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9.2.4 采购人应当自政府采购合同签订之日起2个工作日内，在省级以上财政部门指定的媒体上对合同进行公示，但政府采购合同中涉及国家秘密、商业秘密的内容除外。</w:t>
      </w:r>
    </w:p>
    <w:p w14:paraId="0899895D">
      <w:pPr>
        <w:keepNext w:val="0"/>
        <w:keepLines w:val="0"/>
        <w:pageBreakBefore w:val="0"/>
        <w:tabs>
          <w:tab w:val="left" w:pos="426"/>
        </w:tabs>
        <w:kinsoku/>
        <w:wordWrap/>
        <w:overflowPunct/>
        <w:topLinePunct w:val="0"/>
        <w:autoSpaceDE w:val="0"/>
        <w:autoSpaceDN w:val="0"/>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9.2.5 采购人应当自合同签订之日起7个工作日内将政府采购合同报送监管机构备案。</w:t>
      </w:r>
    </w:p>
    <w:p w14:paraId="7FF9809D">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9.3 合同履行</w:t>
      </w:r>
    </w:p>
    <w:p w14:paraId="07660137">
      <w:pPr>
        <w:keepNext w:val="0"/>
        <w:keepLines w:val="0"/>
        <w:pageBreakBefore w:val="0"/>
        <w:tabs>
          <w:tab w:val="left" w:pos="426"/>
        </w:tabs>
        <w:kinsoku/>
        <w:wordWrap/>
        <w:overflowPunct/>
        <w:topLinePunct w:val="0"/>
        <w:autoSpaceDE w:val="0"/>
        <w:autoSpaceDN w:val="0"/>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9.3.1 政府采购合同一经签订，双方应严格履行合同规定的义务。在合同履行过程中，如发生合同纠纷，合同双方应按照《中华人民共和国民法典》及合同条款的有关规定进行处理。</w:t>
      </w:r>
    </w:p>
    <w:p w14:paraId="6BAD2D1D">
      <w:pPr>
        <w:keepNext w:val="0"/>
        <w:keepLines w:val="0"/>
        <w:pageBreakBefore w:val="0"/>
        <w:tabs>
          <w:tab w:val="left" w:pos="426"/>
        </w:tabs>
        <w:kinsoku/>
        <w:wordWrap/>
        <w:overflowPunct/>
        <w:topLinePunct w:val="0"/>
        <w:autoSpaceDE w:val="0"/>
        <w:autoSpaceDN w:val="0"/>
        <w:bidi w:val="0"/>
        <w:adjustRightInd w:val="0"/>
        <w:snapToGrid w:val="0"/>
        <w:spacing w:line="500" w:lineRule="exact"/>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9.3.2 </w:t>
      </w:r>
      <w:r>
        <w:rPr>
          <w:rFonts w:hint="eastAsia" w:asciiTheme="minorEastAsia" w:hAnsiTheme="minorEastAsia" w:eastAsiaTheme="minorEastAsia" w:cstheme="minorEastAsia"/>
          <w:color w:val="auto"/>
          <w:sz w:val="24"/>
          <w:szCs w:val="24"/>
          <w:highlight w:val="none"/>
          <w:lang w:eastAsia="zh-TW"/>
        </w:rPr>
        <w:t>政府采购合同订立后，合同各方不得擅自变更</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TW"/>
        </w:rPr>
        <w:t>中止或者终止合同。政府采购合同需要变更的，采购人应将有关合同变更内容，以书面形式报政府采购监督管理</w:t>
      </w:r>
      <w:r>
        <w:rPr>
          <w:rFonts w:hint="eastAsia" w:asciiTheme="minorEastAsia" w:hAnsiTheme="minorEastAsia" w:eastAsiaTheme="minorEastAsia" w:cstheme="minorEastAsia"/>
          <w:color w:val="auto"/>
          <w:sz w:val="24"/>
          <w:szCs w:val="24"/>
          <w:highlight w:val="none"/>
        </w:rPr>
        <w:t>部门</w:t>
      </w:r>
      <w:r>
        <w:rPr>
          <w:rFonts w:hint="eastAsia" w:asciiTheme="minorEastAsia" w:hAnsiTheme="minorEastAsia" w:eastAsiaTheme="minorEastAsia" w:cstheme="minorEastAsia"/>
          <w:color w:val="auto"/>
          <w:sz w:val="24"/>
          <w:szCs w:val="24"/>
          <w:highlight w:val="none"/>
          <w:lang w:eastAsia="zh-TW"/>
        </w:rPr>
        <w:t>备案；因特殊情况需要中止或终止合同的，采购人应将中止或终止合同的理由以及相应措施，以书面形式报政府采购监督管理</w:t>
      </w:r>
      <w:r>
        <w:rPr>
          <w:rFonts w:hint="eastAsia" w:asciiTheme="minorEastAsia" w:hAnsiTheme="minorEastAsia" w:eastAsiaTheme="minorEastAsia" w:cstheme="minorEastAsia"/>
          <w:color w:val="auto"/>
          <w:sz w:val="24"/>
          <w:szCs w:val="24"/>
          <w:highlight w:val="none"/>
        </w:rPr>
        <w:t>部门</w:t>
      </w:r>
      <w:r>
        <w:rPr>
          <w:rFonts w:hint="eastAsia" w:asciiTheme="minorEastAsia" w:hAnsiTheme="minorEastAsia" w:eastAsiaTheme="minorEastAsia" w:cstheme="minorEastAsia"/>
          <w:color w:val="auto"/>
          <w:sz w:val="24"/>
          <w:szCs w:val="24"/>
          <w:highlight w:val="none"/>
          <w:lang w:eastAsia="zh-TW"/>
        </w:rPr>
        <w:t>备案。</w:t>
      </w:r>
    </w:p>
    <w:p w14:paraId="12A7A6EF">
      <w:pPr>
        <w:keepNext w:val="0"/>
        <w:keepLines w:val="0"/>
        <w:pageBreakBefore w:val="0"/>
        <w:tabs>
          <w:tab w:val="left" w:pos="426"/>
        </w:tabs>
        <w:kinsoku/>
        <w:wordWrap/>
        <w:overflowPunct/>
        <w:topLinePunct w:val="0"/>
        <w:autoSpaceDE w:val="0"/>
        <w:autoSpaceDN w:val="0"/>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9.3.3 </w:t>
      </w:r>
      <w:r>
        <w:rPr>
          <w:rFonts w:hint="eastAsia" w:asciiTheme="minorEastAsia" w:hAnsiTheme="minorEastAsia" w:eastAsiaTheme="minorEastAsia" w:cstheme="minorEastAsia"/>
          <w:color w:val="auto"/>
          <w:sz w:val="24"/>
          <w:szCs w:val="24"/>
          <w:highlight w:val="none"/>
          <w:lang w:eastAsia="zh-TW"/>
        </w:rPr>
        <w:t>政府采购合同履行中，采购人需追加与合同标的相同的货物的，在不改变合同其他条款的前提下，可以与</w:t>
      </w:r>
      <w:r>
        <w:rPr>
          <w:rFonts w:hint="eastAsia" w:asciiTheme="minorEastAsia" w:hAnsiTheme="minorEastAsia" w:eastAsiaTheme="minorEastAsia" w:cstheme="minorEastAsia"/>
          <w:color w:val="auto"/>
          <w:sz w:val="24"/>
          <w:szCs w:val="24"/>
          <w:highlight w:val="none"/>
        </w:rPr>
        <w:t>成交供应商</w:t>
      </w:r>
      <w:r>
        <w:rPr>
          <w:rFonts w:hint="eastAsia" w:asciiTheme="minorEastAsia" w:hAnsiTheme="minorEastAsia" w:eastAsiaTheme="minorEastAsia" w:cstheme="minorEastAsia"/>
          <w:color w:val="auto"/>
          <w:sz w:val="24"/>
          <w:szCs w:val="24"/>
          <w:highlight w:val="none"/>
          <w:lang w:eastAsia="zh-TW"/>
        </w:rPr>
        <w:t>签订补充合同，但所补充合同的采购金额不得超过原</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TW"/>
        </w:rPr>
        <w:t>采购金额的百分之十。签订补充合同的</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TW"/>
        </w:rPr>
        <w:t>按规定备案。</w:t>
      </w:r>
    </w:p>
    <w:p w14:paraId="787F54B0">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10.终止</w:t>
      </w:r>
      <w:r>
        <w:rPr>
          <w:rFonts w:hint="eastAsia" w:asciiTheme="minorEastAsia" w:hAnsiTheme="minorEastAsia" w:eastAsiaTheme="minorEastAsia" w:cstheme="minorEastAsia"/>
          <w:color w:val="auto"/>
          <w:sz w:val="24"/>
          <w:szCs w:val="24"/>
          <w:highlight w:val="none"/>
          <w:lang w:eastAsia="zh-CN"/>
        </w:rPr>
        <w:t>磋商</w:t>
      </w:r>
    </w:p>
    <w:p w14:paraId="67810EAE">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10.1出现下列情形之一的，采购人或者采购代理机构应当终止本次竞争性</w:t>
      </w: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采购活动，发布终止公告并说明原因，重新开展采购活动：</w:t>
      </w:r>
    </w:p>
    <w:p w14:paraId="5C7687BC">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（1）因情况变化，不再符合规定的竞争性</w:t>
      </w: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采购方式适用情形的；</w:t>
      </w:r>
    </w:p>
    <w:p w14:paraId="4B1378DA">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（2）出现影响采购公正的违法、违规行为的；</w:t>
      </w:r>
    </w:p>
    <w:p w14:paraId="3C0519C0">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（3）除《政府采购竞争性</w:t>
      </w: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采购方式管理暂行办法》办法第21条第3款规定的情形外，在采购过程中符合要求的供应商或者</w:t>
      </w:r>
      <w:r>
        <w:rPr>
          <w:rFonts w:hint="eastAsia" w:asciiTheme="minorEastAsia" w:hAnsiTheme="minorEastAsia" w:eastAsiaTheme="minorEastAsia" w:cstheme="minorEastAsia"/>
          <w:snapToGrid w:val="0"/>
          <w:color w:val="auto"/>
          <w:kern w:val="0"/>
          <w:sz w:val="24"/>
          <w:szCs w:val="24"/>
          <w:highlight w:val="none"/>
          <w:lang w:eastAsia="zh-CN"/>
        </w:rPr>
        <w:t>磋商</w:t>
      </w:r>
      <w:r>
        <w:rPr>
          <w:rFonts w:hint="eastAsia" w:asciiTheme="minorEastAsia" w:hAnsiTheme="minorEastAsia" w:eastAsiaTheme="minorEastAsia" w:cstheme="minorEastAsia"/>
          <w:snapToGrid w:val="0"/>
          <w:color w:val="auto"/>
          <w:kern w:val="0"/>
          <w:sz w:val="24"/>
          <w:szCs w:val="24"/>
          <w:highlight w:val="none"/>
        </w:rPr>
        <w:t>报价未超过采购预算的供应商不足3家的。</w:t>
      </w:r>
    </w:p>
    <w:p w14:paraId="1061B027">
      <w:pPr>
        <w:pStyle w:val="4"/>
        <w:keepNext w:val="0"/>
        <w:keepLines w:val="0"/>
        <w:pageBreakBefore w:val="0"/>
        <w:kinsoku/>
        <w:wordWrap/>
        <w:overflowPunct/>
        <w:topLinePunct w:val="0"/>
        <w:bidi w:val="0"/>
        <w:spacing w:line="500" w:lineRule="exact"/>
        <w:ind w:firstLine="5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10.2 </w:t>
      </w:r>
      <w:r>
        <w:rPr>
          <w:rFonts w:hint="eastAsia" w:asciiTheme="minorEastAsia" w:hAnsiTheme="minorEastAsia" w:eastAsiaTheme="minorEastAsia" w:cstheme="minorEastAsia"/>
          <w:color w:val="auto"/>
          <w:sz w:val="24"/>
          <w:szCs w:val="24"/>
          <w:highlight w:val="none"/>
        </w:rPr>
        <w:t>符合资格条件的供应商少于3家情形的，应当按照《政府采购促进中小企业发展管理办法》（财库[2020]46号）第十条的规定，视同未预留份额的采购项目或者采购包，重新组织采购活动。</w:t>
      </w:r>
    </w:p>
    <w:p w14:paraId="7AD5FC38">
      <w:pPr>
        <w:pStyle w:val="27"/>
        <w:keepNext w:val="0"/>
        <w:keepLines w:val="0"/>
        <w:pageBreakBefore w:val="0"/>
        <w:kinsoku/>
        <w:wordWrap/>
        <w:overflowPunct/>
        <w:topLinePunct w:val="0"/>
        <w:bidi w:val="0"/>
        <w:snapToGrid w:val="0"/>
        <w:spacing w:before="0" w:beforeLines="0" w:beforeAutospacing="0" w:after="0" w:afterLines="0" w:afterAutospacing="0" w:line="50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10.3在采购活动中因重大变故，采购任务取消的，采购人或者采购代理机构应当终止</w:t>
      </w:r>
      <w:r>
        <w:rPr>
          <w:rFonts w:hint="eastAsia" w:asciiTheme="minorEastAsia" w:hAnsiTheme="minorEastAsia" w:eastAsiaTheme="minorEastAsia" w:cstheme="minorEastAsia"/>
          <w:b/>
          <w:snapToGrid w:val="0"/>
          <w:color w:val="auto"/>
          <w:sz w:val="24"/>
          <w:szCs w:val="24"/>
          <w:highlight w:val="none"/>
        </w:rPr>
        <w:t>项目</w:t>
      </w:r>
      <w:r>
        <w:rPr>
          <w:rFonts w:hint="eastAsia" w:asciiTheme="minorEastAsia" w:hAnsiTheme="minorEastAsia" w:eastAsiaTheme="minorEastAsia" w:cstheme="minorEastAsia"/>
          <w:snapToGrid w:val="0"/>
          <w:color w:val="auto"/>
          <w:sz w:val="24"/>
          <w:szCs w:val="24"/>
          <w:highlight w:val="none"/>
        </w:rPr>
        <w:t>采购活动，通知所有参加采购活动的供应商，并将项目实施情况和采购任务取消原因报送本级财政部门。</w:t>
      </w:r>
    </w:p>
    <w:p w14:paraId="5ABF4EEE">
      <w:pPr>
        <w:keepNext w:val="0"/>
        <w:keepLines w:val="0"/>
        <w:pageBreakBefore w:val="0"/>
        <w:tabs>
          <w:tab w:val="left" w:pos="426"/>
        </w:tabs>
        <w:kinsoku/>
        <w:wordWrap/>
        <w:overflowPunct/>
        <w:topLinePunct w:val="0"/>
        <w:autoSpaceDE w:val="0"/>
        <w:autoSpaceDN w:val="0"/>
        <w:bidi w:val="0"/>
        <w:adjustRightInd w:val="0"/>
        <w:snapToGrid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11.质疑与投诉</w:t>
      </w:r>
    </w:p>
    <w:p w14:paraId="1BBE15D1">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11.1质疑</w:t>
      </w:r>
    </w:p>
    <w:p w14:paraId="6B61FCD4">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11.1.1 如供应商对本次采购活动有疑问，认为需要提出质疑和投诉的，应当按照《政府采购质疑投诉办法》（财政部94号令）的有关规定办理。</w:t>
      </w:r>
    </w:p>
    <w:p w14:paraId="6DE79D6F">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11.1.2 供应商对采购文件、采购过程或成交结果使自身的合法权益受到损害，应当在法定期限内，按照质疑函范本格式要求以书面形式向采购代理机构或采购人提出质疑，并附必要的证明材料。</w:t>
      </w:r>
    </w:p>
    <w:p w14:paraId="3ADA87FD">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11.1.3 质疑函应当包括下列内容：</w:t>
      </w:r>
    </w:p>
    <w:p w14:paraId="48BFD949">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（1）供应商的姓名或者名称、地址、邮编、联系人及联系电话；</w:t>
      </w:r>
    </w:p>
    <w:p w14:paraId="50E38794">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（2）质疑项目的名称、编号；</w:t>
      </w:r>
    </w:p>
    <w:p w14:paraId="668DEFA6">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（3）具体、明确的质疑事项和与质疑事项相关的请求；</w:t>
      </w:r>
    </w:p>
    <w:p w14:paraId="5A9E36D1">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（4）事实依据；</w:t>
      </w:r>
    </w:p>
    <w:p w14:paraId="59A259F2">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（5）必要的法律依据；</w:t>
      </w:r>
    </w:p>
    <w:p w14:paraId="7D432D90">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（6）提出质疑的日期。</w:t>
      </w:r>
    </w:p>
    <w:p w14:paraId="35451F6F">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供应商为法人的，应当由法定代表人或者其委托代理人签名或者盖章，并加盖单位章。</w:t>
      </w:r>
    </w:p>
    <w:p w14:paraId="5FB2A570">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11.1.4质疑人可以委托代理人办理质疑事项，代理人办理质疑事项时，除提交质疑函外，还应当提交质疑人的授权委托书及代理人的有效身份证明，授权委托书应当载明委托代理的具体权限期限和相关事项。</w:t>
      </w:r>
    </w:p>
    <w:p w14:paraId="0C6C912E">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11.1.5 质疑函范本格式在中国政府采购网站（http://www.ccgp.gov.cn/）自行下载。</w:t>
      </w:r>
    </w:p>
    <w:p w14:paraId="4A211857">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11.1.6 接收质疑函的联系部门、联系电话和通讯地址同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公告。</w:t>
      </w:r>
    </w:p>
    <w:p w14:paraId="3FECCD1A">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11.1.7 有下列情形之一的，属于无效质疑：</w:t>
      </w:r>
    </w:p>
    <w:p w14:paraId="0A0F1FAE">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（1）对采购文件提出质疑的质疑人不是依法获取采购文件的潜在供应商；对采购过程、成交结果提出质疑的不是参与本次政府采购项目的供应商；</w:t>
      </w:r>
    </w:p>
    <w:p w14:paraId="594FFDDF">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（2）质疑人与质疑事项不存在利害关系的；</w:t>
      </w:r>
    </w:p>
    <w:p w14:paraId="2EE0797C">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（3）未在法定期限内提出质疑的；</w:t>
      </w:r>
    </w:p>
    <w:p w14:paraId="4CC67C87">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（4）质疑未以书面形式提出，以传真、电子邮件、移动通信等形式即时收悉提交的质疑材料；</w:t>
      </w:r>
    </w:p>
    <w:p w14:paraId="133452B5">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（5）质疑未按质疑函范本格式提出的；</w:t>
      </w:r>
    </w:p>
    <w:p w14:paraId="63FAE6E0">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（6）未提交营业执照或法人证书复印件，由授权代表签名的，未提交授权委托书；</w:t>
      </w:r>
    </w:p>
    <w:p w14:paraId="624FA760">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（7）质疑书没有合法有效的签名、盖章的；</w:t>
      </w:r>
    </w:p>
    <w:p w14:paraId="6A3B13EE">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（8）以非法手段取得证据、材料的；</w:t>
      </w:r>
    </w:p>
    <w:p w14:paraId="5297D7CD">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（9）质疑答复后，同一质疑人就同一事项再次提出质疑的；</w:t>
      </w:r>
    </w:p>
    <w:p w14:paraId="018E31A3">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（10）不符合法律、法规、规章和政府采购监管机构规定的其他条件的。</w:t>
      </w:r>
    </w:p>
    <w:p w14:paraId="5DBF4E6E">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11.1.8 采购代理机构或采购人将在收到书面质疑后7个工作日内做出答复，并以书面形式通知质疑人和其他有关供应商。</w:t>
      </w:r>
    </w:p>
    <w:p w14:paraId="58F28A34">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11.2 投诉</w:t>
      </w:r>
    </w:p>
    <w:p w14:paraId="71886C57">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11.2.1 质疑人对采购代理机构或采购人的答复不满意，或者采购人、采购代理机构未在规定时间内作出答复的，可以在答复期满后15个工作日内向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麟游县财政局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（财政部门）提起投诉。</w:t>
      </w:r>
    </w:p>
    <w:p w14:paraId="2D9D2470">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11.2.2 供应商投诉时,应当提交投诉书和必要的证明材料，并按照被投诉采购人、采购代理机构（以下简称被投诉人）和与投诉事项有关的供应商数量提供投诉书的副本。投诉书应当包括下列内容：</w:t>
      </w:r>
    </w:p>
    <w:p w14:paraId="3A705458">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（1）投诉人和被投诉人的姓名或者名称、通讯地址、邮编、联系人及联系电话；</w:t>
      </w:r>
    </w:p>
    <w:p w14:paraId="108381E2">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（2）质疑和质疑答复情况说明及相关证明材料；</w:t>
      </w:r>
    </w:p>
    <w:p w14:paraId="7E96B471">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（3）具体、明确的投诉事项和与投诉事项相关的投诉请求；</w:t>
      </w:r>
    </w:p>
    <w:p w14:paraId="0D4E8000">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（4）事实依据；</w:t>
      </w:r>
    </w:p>
    <w:p w14:paraId="0AA46071">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（5）法律依据；</w:t>
      </w:r>
    </w:p>
    <w:p w14:paraId="0E0736B4">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（6）提起投诉的日期。</w:t>
      </w:r>
    </w:p>
    <w:p w14:paraId="6A610236">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投诉人为自然人的，应当由本人签名；投诉人为法人或者其他组织的，应当由法定代表人、主要负责人，或者其委托代理人签名或者盖章，并加盖单位章。</w:t>
      </w:r>
    </w:p>
    <w:p w14:paraId="48AFC663">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11.2.3 投诉书范本格式在中国政府采购网站（http://www.ccgp.gov.cn/）自行下载。</w:t>
      </w:r>
    </w:p>
    <w:p w14:paraId="38CEECD4">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11.2.4 投诉人提起投诉应当符合下列条件：</w:t>
      </w:r>
    </w:p>
    <w:p w14:paraId="5B64B33A">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（1）提起投诉前已依法进行质疑；</w:t>
      </w:r>
    </w:p>
    <w:p w14:paraId="6E497E03">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（2）投诉书内容符合财政部94号令的规定；</w:t>
      </w:r>
    </w:p>
    <w:p w14:paraId="1BBF516B">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（3）在投诉有效期限内提起投诉；</w:t>
      </w:r>
    </w:p>
    <w:p w14:paraId="589DCC52">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（4）同一投诉事项未经财政部门投诉处理；</w:t>
      </w:r>
    </w:p>
    <w:p w14:paraId="12028002">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（5）财政部规定的其他条件。</w:t>
      </w:r>
    </w:p>
    <w:p w14:paraId="47ED653A">
      <w:pPr>
        <w:keepNext w:val="0"/>
        <w:keepLines w:val="0"/>
        <w:pageBreakBefore w:val="0"/>
        <w:widowControl/>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11.2.5  投诉人投诉的事项不得超出已质疑事项的范围，但基于质疑答复内容提出的投诉事项除外。</w:t>
      </w:r>
    </w:p>
    <w:p w14:paraId="18E2B61E">
      <w:pPr>
        <w:keepNext w:val="0"/>
        <w:keepLines w:val="0"/>
        <w:pageBreakBefore w:val="0"/>
        <w:kinsoku/>
        <w:wordWrap/>
        <w:overflowPunct/>
        <w:topLinePunct w:val="0"/>
        <w:bidi w:val="0"/>
        <w:spacing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11.3恶意质疑、投诉的法律后果</w:t>
      </w:r>
    </w:p>
    <w:p w14:paraId="09B30928">
      <w:pPr>
        <w:keepNext w:val="0"/>
        <w:keepLines w:val="0"/>
        <w:pageBreakBefore w:val="0"/>
        <w:kinsoku/>
        <w:wordWrap/>
        <w:overflowPunct/>
        <w:topLinePunct w:val="0"/>
        <w:bidi w:val="0"/>
        <w:spacing w:line="50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11.3.1对捏造事实、提供虚假材料进行质疑、投诉的行为将予以严肃处理：</w:t>
      </w:r>
    </w:p>
    <w:p w14:paraId="5C821EE4">
      <w:pPr>
        <w:keepNext w:val="0"/>
        <w:keepLines w:val="0"/>
        <w:pageBreakBefore w:val="0"/>
        <w:kinsoku/>
        <w:wordWrap/>
        <w:overflowPunct/>
        <w:topLinePunct w:val="0"/>
        <w:bidi w:val="0"/>
        <w:spacing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EB3C934">
      <w:pPr>
        <w:keepNext w:val="0"/>
        <w:keepLines w:val="0"/>
        <w:pageBreakBefore w:val="0"/>
        <w:kinsoku/>
        <w:wordWrap/>
        <w:overflowPunct/>
        <w:topLinePunct w:val="0"/>
        <w:bidi w:val="0"/>
        <w:spacing w:line="50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11.3.2对捏造事实诬告陷害他人、诽谤他人的法律适用：</w:t>
      </w:r>
    </w:p>
    <w:p w14:paraId="7E4DD108">
      <w:pPr>
        <w:keepNext w:val="0"/>
        <w:keepLines w:val="0"/>
        <w:pageBreakBefore w:val="0"/>
        <w:kinsoku/>
        <w:wordWrap/>
        <w:overflowPunct/>
        <w:topLinePunct w:val="0"/>
        <w:bidi w:val="0"/>
        <w:spacing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（1）《中华人民共和国刑法》第243条【诬告陷害罪】捏造事实诬告陷害他人，意图使他人受刑事追究，情节严重的，处三年以下有期徒刑、拘役或者管制；造成严重后果的，处三年以上十年以下有期徒刑。</w:t>
      </w:r>
    </w:p>
    <w:p w14:paraId="23C74158">
      <w:pPr>
        <w:keepNext w:val="0"/>
        <w:keepLines w:val="0"/>
        <w:pageBreakBefore w:val="0"/>
        <w:kinsoku/>
        <w:wordWrap/>
        <w:overflowPunct/>
        <w:topLinePunct w:val="0"/>
        <w:bidi w:val="0"/>
        <w:spacing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（2）《中华人民共和国刑法》第246条【侮辱罪、诽谤罪】以暴力或者其他方法公然侮辱他人或者捏造事实诽谤他人，情节严重的，处三年以下有期徒刑、拘役、管制或者剥夺政治权利。</w:t>
      </w:r>
    </w:p>
    <w:p w14:paraId="71334AC3">
      <w:pPr>
        <w:keepNext w:val="0"/>
        <w:keepLines w:val="0"/>
        <w:pageBreakBefore w:val="0"/>
        <w:kinsoku/>
        <w:wordWrap/>
        <w:overflowPunct/>
        <w:topLinePunct w:val="0"/>
        <w:bidi w:val="0"/>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12.其他</w:t>
      </w:r>
    </w:p>
    <w:p w14:paraId="4635E0BC">
      <w:pPr>
        <w:keepNext w:val="0"/>
        <w:keepLines w:val="0"/>
        <w:pageBreakBefore w:val="0"/>
        <w:kinsoku/>
        <w:wordWrap/>
        <w:overflowPunct/>
        <w:topLinePunct w:val="0"/>
        <w:bidi w:val="0"/>
        <w:spacing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采购代理服务费</w:t>
      </w:r>
    </w:p>
    <w:p w14:paraId="6DB6574B">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.1由成交供应商支付采购代理服务费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成交供应商在领取《成交通知书》之前，应向采购代理机构交纳采购代理服务费。</w:t>
      </w:r>
    </w:p>
    <w:p w14:paraId="091559FA">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 采购代理服务费</w:t>
      </w:r>
      <w:r>
        <w:rPr>
          <w:rFonts w:hint="eastAsia" w:asciiTheme="minorEastAsia" w:hAnsiTheme="minorEastAsia" w:eastAsiaTheme="minorEastAsia" w:cstheme="minorEastAsia"/>
          <w:color w:val="auto"/>
          <w:sz w:val="24"/>
          <w:szCs w:val="24"/>
          <w:highlight w:val="none"/>
          <w:lang w:val="en-US" w:eastAsia="zh-CN"/>
        </w:rPr>
        <w:t>参照</w:t>
      </w:r>
      <w:r>
        <w:rPr>
          <w:rFonts w:hint="eastAsia" w:asciiTheme="minorEastAsia" w:hAnsiTheme="minorEastAsia" w:eastAsiaTheme="minorEastAsia" w:cstheme="minorEastAsia"/>
          <w:color w:val="auto"/>
          <w:sz w:val="24"/>
          <w:szCs w:val="24"/>
          <w:highlight w:val="none"/>
        </w:rPr>
        <w:t>《国家计委关于印发招标代理服务收费管理暂行办法的通知》（计价格〔2002〕1980号）和国家发改委办公厅颁发的《关于招标代理服务收费有关问题的通知》（发改办价格〔2003〕857号）文件规定标准收取。具体收费金额将在成交公告中公布。</w:t>
      </w:r>
    </w:p>
    <w:p w14:paraId="77A68A13">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供应商须知前附表要求供应商提交</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保证金的，成交供应商不得用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保证金冲抵</w:t>
      </w:r>
      <w:r>
        <w:rPr>
          <w:rFonts w:hint="eastAsia" w:asciiTheme="minorEastAsia" w:hAnsiTheme="minorEastAsia" w:eastAsiaTheme="minorEastAsia" w:cstheme="minorEastAsia"/>
          <w:color w:val="auto"/>
          <w:sz w:val="24"/>
          <w:szCs w:val="24"/>
          <w:highlight w:val="none"/>
          <w:lang w:val="en-US" w:eastAsia="zh-CN"/>
        </w:rPr>
        <w:t>代理服务费</w:t>
      </w:r>
      <w:r>
        <w:rPr>
          <w:rFonts w:hint="eastAsia" w:asciiTheme="minorEastAsia" w:hAnsiTheme="minorEastAsia" w:eastAsiaTheme="minorEastAsia" w:cstheme="minorEastAsia"/>
          <w:color w:val="auto"/>
          <w:sz w:val="24"/>
          <w:szCs w:val="24"/>
          <w:highlight w:val="none"/>
        </w:rPr>
        <w:t>，未按本章第12.2.1项规定交纳采购代理服务费的，其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保证金将被采购代理机构全额没收。</w:t>
      </w:r>
    </w:p>
    <w:p w14:paraId="4F6F1E40">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4796E1CD">
      <w:pPr>
        <w:keepNext w:val="0"/>
        <w:keepLines w:val="0"/>
        <w:pageBreakBefore w:val="0"/>
        <w:widowControl w:val="0"/>
        <w:kinsoku/>
        <w:wordWrap/>
        <w:overflowPunct/>
        <w:topLinePunct w:val="0"/>
        <w:autoSpaceDE/>
        <w:autoSpaceDN/>
        <w:bidi w:val="0"/>
        <w:spacing w:line="500" w:lineRule="exact"/>
        <w:jc w:val="center"/>
        <w:textAlignment w:val="auto"/>
        <w:outlineLvl w:val="0"/>
        <w:rPr>
          <w:rFonts w:hint="eastAsia" w:asciiTheme="minorEastAsia" w:hAnsiTheme="minorEastAsia" w:eastAsiaTheme="minorEastAsia" w:cstheme="minorEastAsia"/>
          <w:b/>
          <w:color w:val="auto"/>
          <w:sz w:val="30"/>
          <w:szCs w:val="30"/>
          <w:highlight w:val="none"/>
        </w:rPr>
      </w:pPr>
      <w:bookmarkStart w:id="37" w:name="_Toc25289"/>
      <w:bookmarkStart w:id="38" w:name="_Toc27407"/>
      <w:bookmarkStart w:id="39" w:name="_Toc31742"/>
      <w:r>
        <w:rPr>
          <w:rFonts w:hint="eastAsia" w:asciiTheme="minorEastAsia" w:hAnsiTheme="minorEastAsia" w:eastAsiaTheme="minorEastAsia" w:cstheme="minorEastAsia"/>
          <w:b/>
          <w:color w:val="auto"/>
          <w:sz w:val="30"/>
          <w:szCs w:val="30"/>
          <w:highlight w:val="none"/>
        </w:rPr>
        <w:t>第三章 资格审查办法</w:t>
      </w:r>
      <w:bookmarkEnd w:id="37"/>
      <w:bookmarkEnd w:id="38"/>
      <w:bookmarkEnd w:id="39"/>
    </w:p>
    <w:p w14:paraId="0AE03660">
      <w:pPr>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根据《中华人民共和国政府采购法》及其实施条例和财政部《政府采购竞争性磋商采购方式管理暂行办法》（财库〔2014〕214号）等法律法规的规定，结合采购项目特点，制定本资格审查办法。</w:t>
      </w:r>
    </w:p>
    <w:p w14:paraId="440E30F7">
      <w:pPr>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1.资格审查小组</w:t>
      </w:r>
    </w:p>
    <w:p w14:paraId="52C553E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根据《政府采购竞争性磋商采购方式管理暂行办法》（财库〔2014〕214号），</w:t>
      </w:r>
      <w:r>
        <w:rPr>
          <w:rFonts w:hint="eastAsia" w:asciiTheme="minorEastAsia" w:hAnsiTheme="minorEastAsia" w:eastAsiaTheme="minorEastAsia" w:cstheme="minorEastAsia"/>
          <w:color w:val="auto"/>
          <w:sz w:val="24"/>
          <w:szCs w:val="24"/>
          <w:highlight w:val="none"/>
          <w:lang w:val="en-US" w:eastAsia="zh-CN"/>
        </w:rPr>
        <w:t>采购人或者</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lang w:val="en-US" w:eastAsia="zh-CN"/>
        </w:rPr>
        <w:t>或者磋商小组</w:t>
      </w:r>
      <w:r>
        <w:rPr>
          <w:rFonts w:hint="eastAsia" w:asciiTheme="minorEastAsia" w:hAnsiTheme="minorEastAsia" w:eastAsiaTheme="minorEastAsia" w:cstheme="minorEastAsia"/>
          <w:color w:val="auto"/>
          <w:sz w:val="24"/>
          <w:szCs w:val="24"/>
          <w:highlight w:val="none"/>
        </w:rPr>
        <w:t>应依法对供应商的资格进行审查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本项目有磋商小组进行资格审查</w:t>
      </w:r>
      <w:r>
        <w:rPr>
          <w:rFonts w:hint="eastAsia" w:asciiTheme="minorEastAsia" w:hAnsiTheme="minorEastAsia" w:eastAsiaTheme="minorEastAsia" w:cstheme="minorEastAsia"/>
          <w:color w:val="auto"/>
          <w:sz w:val="24"/>
          <w:szCs w:val="24"/>
          <w:highlight w:val="none"/>
        </w:rPr>
        <w:t>。</w:t>
      </w:r>
    </w:p>
    <w:p w14:paraId="61BAECC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 </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名</w:t>
      </w:r>
      <w:r>
        <w:rPr>
          <w:rFonts w:hint="eastAsia" w:asciiTheme="minorEastAsia" w:hAnsiTheme="minorEastAsia" w:eastAsiaTheme="minorEastAsia" w:cstheme="minorEastAsia"/>
          <w:color w:val="auto"/>
          <w:sz w:val="24"/>
          <w:szCs w:val="24"/>
          <w:highlight w:val="none"/>
          <w:lang w:val="en-US" w:eastAsia="zh-CN"/>
        </w:rPr>
        <w:t>相关专业专家及采购人评标代表</w:t>
      </w:r>
      <w:r>
        <w:rPr>
          <w:rFonts w:hint="eastAsia" w:asciiTheme="minorEastAsia" w:hAnsiTheme="minorEastAsia" w:eastAsiaTheme="minorEastAsia" w:cstheme="minorEastAsia"/>
          <w:color w:val="auto"/>
          <w:sz w:val="24"/>
          <w:szCs w:val="24"/>
          <w:highlight w:val="none"/>
        </w:rPr>
        <w:t>组成。</w:t>
      </w:r>
    </w:p>
    <w:p w14:paraId="400341C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 </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成立后，全体小组成员应当在签到表中签到。</w:t>
      </w:r>
    </w:p>
    <w:p w14:paraId="3D86AAB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2.资格审查程序</w:t>
      </w:r>
    </w:p>
    <w:p w14:paraId="3B2FD3E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资格审查按下列程序进行：</w:t>
      </w:r>
    </w:p>
    <w:p w14:paraId="7E23CD8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（1）供应商基本资格条件审查；</w:t>
      </w:r>
    </w:p>
    <w:p w14:paraId="24A8020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（2）供应商落实政府采购政策资格条件审查（仅限专门面向中小企业采购的项目）</w:t>
      </w:r>
    </w:p>
    <w:p w14:paraId="5CFD896C">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（3）供应商资格条件审查；</w:t>
      </w:r>
    </w:p>
    <w:p w14:paraId="5425D2B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（4）编写供应商资格审查报告</w:t>
      </w:r>
    </w:p>
    <w:p w14:paraId="0B9170D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3.资格审查方法和标准</w:t>
      </w:r>
    </w:p>
    <w:p w14:paraId="10B7A69E">
      <w:pPr>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3.1 资格审查依据</w:t>
      </w:r>
    </w:p>
    <w:p w14:paraId="2C326EAC">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70" w:firstLineChars="196"/>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3.1.1 资格审查小组将依据供应商响应文件之资格证明文件，按照第二章第3.1条款所述资格要求对供应商进行资格审查，以确定其是否具备相应的资格条件。</w:t>
      </w:r>
      <w:r>
        <w:rPr>
          <w:rFonts w:hint="eastAsia" w:asciiTheme="minorEastAsia" w:hAnsiTheme="minorEastAsia" w:eastAsiaTheme="minorEastAsia" w:cstheme="minorEastAsia"/>
          <w:color w:val="auto"/>
          <w:kern w:val="0"/>
          <w:sz w:val="24"/>
          <w:szCs w:val="24"/>
          <w:highlight w:val="none"/>
        </w:rPr>
        <w:t>如果供应商不具备或者不满足</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文件所规定的资格条件,将视为未实质性响应</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文件,</w:t>
      </w:r>
      <w:r>
        <w:rPr>
          <w:rFonts w:hint="eastAsia" w:asciiTheme="minorEastAsia" w:hAnsiTheme="minorEastAsia" w:eastAsiaTheme="minorEastAsia" w:cstheme="minorEastAsia"/>
          <w:b/>
          <w:color w:val="auto"/>
          <w:kern w:val="0"/>
          <w:sz w:val="24"/>
          <w:szCs w:val="24"/>
          <w:highlight w:val="none"/>
        </w:rPr>
        <w:t>其响应文件无效</w:t>
      </w:r>
      <w:r>
        <w:rPr>
          <w:rFonts w:hint="eastAsia" w:asciiTheme="minorEastAsia" w:hAnsiTheme="minorEastAsia" w:eastAsiaTheme="minorEastAsia" w:cstheme="minorEastAsia"/>
          <w:color w:val="auto"/>
          <w:kern w:val="0"/>
          <w:sz w:val="24"/>
          <w:szCs w:val="24"/>
          <w:highlight w:val="none"/>
        </w:rPr>
        <w:t>。</w:t>
      </w:r>
    </w:p>
    <w:p w14:paraId="5E8C894C">
      <w:pPr>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3.2供应商资格条件的审查</w:t>
      </w:r>
    </w:p>
    <w:p w14:paraId="330C3F3B">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3.2.1 资格条件审查方法</w:t>
      </w:r>
      <w:r>
        <w:rPr>
          <w:rFonts w:hint="eastAsia" w:asciiTheme="minorEastAsia" w:hAnsiTheme="minorEastAsia" w:eastAsiaTheme="minorEastAsia" w:cstheme="minorEastAsia"/>
          <w:b/>
          <w:color w:val="auto"/>
          <w:kern w:val="0"/>
          <w:sz w:val="24"/>
          <w:szCs w:val="24"/>
          <w:highlight w:val="none"/>
          <w:lang w:eastAsia="zh-CN"/>
        </w:rPr>
        <w:t>（</w:t>
      </w:r>
      <w:r>
        <w:rPr>
          <w:rFonts w:hint="eastAsia" w:asciiTheme="minorEastAsia" w:hAnsiTheme="minorEastAsia" w:eastAsiaTheme="minorEastAsia" w:cstheme="minorEastAsia"/>
          <w:b/>
          <w:color w:val="auto"/>
          <w:kern w:val="0"/>
          <w:sz w:val="24"/>
          <w:szCs w:val="24"/>
          <w:highlight w:val="none"/>
          <w:lang w:val="en-US" w:eastAsia="zh-CN"/>
        </w:rPr>
        <w:t>含基本资格和特定资格</w:t>
      </w:r>
      <w:r>
        <w:rPr>
          <w:rFonts w:hint="eastAsia" w:asciiTheme="minorEastAsia" w:hAnsiTheme="minorEastAsia" w:eastAsiaTheme="minorEastAsia" w:cstheme="minorEastAsia"/>
          <w:b/>
          <w:color w:val="auto"/>
          <w:kern w:val="0"/>
          <w:sz w:val="24"/>
          <w:szCs w:val="24"/>
          <w:highlight w:val="none"/>
          <w:lang w:eastAsia="zh-CN"/>
        </w:rPr>
        <w:t>）</w:t>
      </w:r>
      <w:r>
        <w:rPr>
          <w:rFonts w:hint="eastAsia" w:asciiTheme="minorEastAsia" w:hAnsiTheme="minorEastAsia" w:eastAsiaTheme="minorEastAsia" w:cstheme="minorEastAsia"/>
          <w:b/>
          <w:color w:val="auto"/>
          <w:kern w:val="0"/>
          <w:sz w:val="24"/>
          <w:szCs w:val="24"/>
          <w:highlight w:val="none"/>
        </w:rPr>
        <w:t>：</w:t>
      </w:r>
    </w:p>
    <w:p w14:paraId="05F92A80">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对</w:t>
      </w:r>
      <w:r>
        <w:rPr>
          <w:rFonts w:hint="eastAsia" w:asciiTheme="minorEastAsia" w:hAnsiTheme="minorEastAsia" w:eastAsiaTheme="minorEastAsia" w:cstheme="minorEastAsia"/>
          <w:color w:val="auto"/>
          <w:kern w:val="0"/>
          <w:sz w:val="24"/>
          <w:szCs w:val="24"/>
          <w:highlight w:val="none"/>
        </w:rPr>
        <w:t>供应商营业执照，不审查原件，通过国家企业信用信息公示系统进行相关信息的核实；</w:t>
      </w:r>
    </w:p>
    <w:p w14:paraId="0AA33641">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3.2.2资格条件审查标准：</w:t>
      </w:r>
    </w:p>
    <w:p w14:paraId="2022305F">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（1）资格审查小组将按下表所列举的审查标准对供应商资格条件进行审查，供应商若有一项不合格，即判定其资格条件审查结果为不合格，</w:t>
      </w:r>
      <w:r>
        <w:rPr>
          <w:rFonts w:hint="eastAsia" w:asciiTheme="minorEastAsia" w:hAnsiTheme="minorEastAsia" w:eastAsiaTheme="minorEastAsia" w:cstheme="minorEastAsia"/>
          <w:b/>
          <w:color w:val="auto"/>
          <w:kern w:val="0"/>
          <w:sz w:val="24"/>
          <w:szCs w:val="24"/>
          <w:highlight w:val="none"/>
        </w:rPr>
        <w:t>其响应文件无效</w:t>
      </w:r>
      <w:r>
        <w:rPr>
          <w:rFonts w:hint="eastAsia" w:asciiTheme="minorEastAsia" w:hAnsiTheme="minorEastAsia" w:eastAsiaTheme="minorEastAsia" w:cstheme="minorEastAsia"/>
          <w:color w:val="auto"/>
          <w:kern w:val="0"/>
          <w:sz w:val="24"/>
          <w:szCs w:val="24"/>
          <w:highlight w:val="none"/>
        </w:rPr>
        <w:t>。</w:t>
      </w:r>
    </w:p>
    <w:tbl>
      <w:tblPr>
        <w:tblStyle w:val="30"/>
        <w:tblW w:w="8879" w:type="dxa"/>
        <w:tblInd w:w="3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2"/>
        <w:gridCol w:w="5659"/>
        <w:gridCol w:w="1020"/>
        <w:gridCol w:w="1278"/>
      </w:tblGrid>
      <w:tr w14:paraId="42108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22" w:type="dxa"/>
            <w:vAlign w:val="center"/>
          </w:tcPr>
          <w:p w14:paraId="6A830849">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211" w:firstLineChars="100"/>
              <w:jc w:val="both"/>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5659" w:type="dxa"/>
            <w:vAlign w:val="center"/>
          </w:tcPr>
          <w:p w14:paraId="6D30D03A">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审查因素</w:t>
            </w:r>
          </w:p>
        </w:tc>
        <w:tc>
          <w:tcPr>
            <w:tcW w:w="1020" w:type="dxa"/>
            <w:vAlign w:val="center"/>
          </w:tcPr>
          <w:p w14:paraId="266656F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审查</w:t>
            </w:r>
          </w:p>
          <w:p w14:paraId="52B9C695">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标准</w:t>
            </w:r>
          </w:p>
        </w:tc>
        <w:tc>
          <w:tcPr>
            <w:tcW w:w="1278" w:type="dxa"/>
            <w:vAlign w:val="center"/>
          </w:tcPr>
          <w:p w14:paraId="5E039BAD">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备注</w:t>
            </w:r>
          </w:p>
        </w:tc>
      </w:tr>
      <w:tr w14:paraId="4F617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922" w:type="dxa"/>
            <w:vAlign w:val="center"/>
          </w:tcPr>
          <w:p w14:paraId="69280E8B">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5659" w:type="dxa"/>
            <w:vAlign w:val="center"/>
          </w:tcPr>
          <w:p w14:paraId="4992AE30">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21" w:leftChars="-3" w:hanging="527" w:hangingChars="25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主体资格证明</w:t>
            </w:r>
            <w:r>
              <w:rPr>
                <w:rFonts w:hint="eastAsia" w:asciiTheme="minorEastAsia" w:hAnsiTheme="minorEastAsia" w:eastAsiaTheme="minorEastAsia" w:cstheme="minorEastAsia"/>
                <w:color w:val="auto"/>
                <w:kern w:val="0"/>
                <w:sz w:val="21"/>
                <w:szCs w:val="21"/>
                <w:highlight w:val="none"/>
              </w:rPr>
              <w:t xml:space="preserve">： </w:t>
            </w:r>
          </w:p>
          <w:p w14:paraId="4359028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3" w:hanging="525" w:hangingChars="25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供应商具有独立承担民事责任的能力，提供统一社会信用代</w:t>
            </w:r>
          </w:p>
          <w:p w14:paraId="7E1F118D">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3" w:hanging="525" w:hangingChars="25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码的营业执照；</w:t>
            </w:r>
          </w:p>
        </w:tc>
        <w:tc>
          <w:tcPr>
            <w:tcW w:w="1020" w:type="dxa"/>
            <w:vAlign w:val="center"/>
          </w:tcPr>
          <w:p w14:paraId="18552A30">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5D80764E">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26F96960">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0D7B5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922" w:type="dxa"/>
            <w:vAlign w:val="center"/>
          </w:tcPr>
          <w:p w14:paraId="392F91C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5659" w:type="dxa"/>
            <w:vAlign w:val="center"/>
          </w:tcPr>
          <w:p w14:paraId="0A12209C">
            <w:pPr>
              <w:keepNext w:val="0"/>
              <w:keepLines w:val="0"/>
              <w:pageBreakBefore w:val="0"/>
              <w:widowControl w:val="0"/>
              <w:numPr>
                <w:ilvl w:val="0"/>
                <w:numId w:val="5"/>
              </w:numPr>
              <w:tabs>
                <w:tab w:val="left" w:pos="0"/>
                <w:tab w:val="clear" w:pos="312"/>
              </w:tabs>
              <w:kinsoku/>
              <w:wordWrap/>
              <w:overflowPunct/>
              <w:topLinePunct w:val="0"/>
              <w:autoSpaceDE/>
              <w:autoSpaceDN/>
              <w:bidi w:val="0"/>
              <w:adjustRightInd w:val="0"/>
              <w:snapToGrid w:val="0"/>
              <w:spacing w:line="300" w:lineRule="exact"/>
              <w:ind w:left="519" w:leftChars="-3" w:hanging="525" w:hangingChars="25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法定代表人（负责人）参加磋商的：法定代表人（负责</w:t>
            </w:r>
          </w:p>
          <w:p w14:paraId="783D1CB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00" w:lineRule="exact"/>
              <w:ind w:leftChars="-253"/>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人）身份证明及身份证</w:t>
            </w:r>
          </w:p>
          <w:p w14:paraId="731C59BF">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3" w:hanging="525" w:hangingChars="25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(2)授权代表参加磋商的：授权委托书及授权代表身份证</w:t>
            </w:r>
          </w:p>
        </w:tc>
        <w:tc>
          <w:tcPr>
            <w:tcW w:w="1020" w:type="dxa"/>
            <w:vAlign w:val="center"/>
          </w:tcPr>
          <w:p w14:paraId="45330176">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4E41E265">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97" w:hanging="315" w:hangingChars="15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07D273A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3" w:hanging="525" w:hangingChars="25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文件提</w:t>
            </w:r>
          </w:p>
          <w:p w14:paraId="16768CAC">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3" w:hanging="525" w:hangingChars="25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供的格式</w:t>
            </w:r>
          </w:p>
        </w:tc>
      </w:tr>
      <w:tr w14:paraId="1B9DD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22" w:type="dxa"/>
            <w:vAlign w:val="center"/>
          </w:tcPr>
          <w:p w14:paraId="5D4CAF62">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c>
          <w:tcPr>
            <w:tcW w:w="5659" w:type="dxa"/>
            <w:vAlign w:val="center"/>
          </w:tcPr>
          <w:p w14:paraId="7C4F56E1">
            <w:pPr>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税收缴纳证明：</w:t>
            </w:r>
          </w:p>
          <w:p w14:paraId="72E86FED">
            <w:pPr>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提供2024年11月至今已缴纳的至少3个月的完税证明，依法免税的单位应提供相关证明材料；</w:t>
            </w:r>
          </w:p>
        </w:tc>
        <w:tc>
          <w:tcPr>
            <w:tcW w:w="1020" w:type="dxa"/>
            <w:vAlign w:val="center"/>
          </w:tcPr>
          <w:p w14:paraId="252B2DFF">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7B12B662">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42423F7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0B547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922" w:type="dxa"/>
            <w:vAlign w:val="center"/>
          </w:tcPr>
          <w:p w14:paraId="0D79386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5659" w:type="dxa"/>
            <w:vAlign w:val="center"/>
          </w:tcPr>
          <w:p w14:paraId="38A5C3A0">
            <w:pPr>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社保资金缴纳证明：</w:t>
            </w:r>
          </w:p>
          <w:p w14:paraId="68167A24">
            <w:pPr>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提供2024年11月至今已缴存的至少3个月的社会保障资金缴存单据或社保机构开具的社会保险参保缴费情况证明，依法不需要缴纳社会保障资金的单位应提供相关证明材料；</w:t>
            </w:r>
          </w:p>
        </w:tc>
        <w:tc>
          <w:tcPr>
            <w:tcW w:w="1020" w:type="dxa"/>
            <w:vAlign w:val="center"/>
          </w:tcPr>
          <w:p w14:paraId="162AC3D3">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7609673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5AD14903">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6A997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22" w:type="dxa"/>
            <w:vAlign w:val="center"/>
          </w:tcPr>
          <w:p w14:paraId="762BA86D">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5</w:t>
            </w:r>
          </w:p>
        </w:tc>
        <w:tc>
          <w:tcPr>
            <w:tcW w:w="5659" w:type="dxa"/>
            <w:vAlign w:val="center"/>
          </w:tcPr>
          <w:p w14:paraId="58B6FEAF">
            <w:pPr>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财务状况报告</w:t>
            </w:r>
            <w:r>
              <w:rPr>
                <w:rFonts w:hint="eastAsia" w:asciiTheme="minorEastAsia" w:hAnsiTheme="minorEastAsia" w:eastAsiaTheme="minorEastAsia" w:cstheme="minorEastAsia"/>
                <w:color w:val="auto"/>
                <w:kern w:val="0"/>
                <w:sz w:val="21"/>
                <w:szCs w:val="21"/>
                <w:highlight w:val="none"/>
                <w:lang w:val="en-US" w:eastAsia="zh-CN"/>
              </w:rPr>
              <w:t>：提供2024年度经审计的财务报告（包含四表一注）或提供响应文件截止时间3个月内其基本账户开户银行出具的资信证明；</w:t>
            </w:r>
          </w:p>
        </w:tc>
        <w:tc>
          <w:tcPr>
            <w:tcW w:w="1020" w:type="dxa"/>
            <w:vAlign w:val="center"/>
          </w:tcPr>
          <w:p w14:paraId="5D7CDCFF">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0A490B2A">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500AE68B">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690C2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22" w:type="dxa"/>
            <w:vAlign w:val="center"/>
          </w:tcPr>
          <w:p w14:paraId="5CAF55CF">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5659" w:type="dxa"/>
            <w:vAlign w:val="center"/>
          </w:tcPr>
          <w:p w14:paraId="5AB09A79">
            <w:pPr>
              <w:keepNext w:val="0"/>
              <w:keepLines w:val="0"/>
              <w:pageBreakBefore w:val="0"/>
              <w:widowControl w:val="0"/>
              <w:kinsoku/>
              <w:wordWrap/>
              <w:overflowPunct/>
              <w:topLinePunct w:val="0"/>
              <w:autoSpaceDE/>
              <w:autoSpaceDN/>
              <w:bidi w:val="0"/>
              <w:spacing w:line="300" w:lineRule="exact"/>
              <w:ind w:left="0" w:leftChars="0"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参加本次政府采购活动近三年内在经营活动中没有重大违纪的书面声明；</w:t>
            </w:r>
          </w:p>
        </w:tc>
        <w:tc>
          <w:tcPr>
            <w:tcW w:w="1020" w:type="dxa"/>
            <w:vAlign w:val="center"/>
          </w:tcPr>
          <w:p w14:paraId="3FE76B4F">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624F0E93">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390D61E0">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文件提供的格式</w:t>
            </w:r>
          </w:p>
        </w:tc>
      </w:tr>
      <w:tr w14:paraId="41258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22" w:type="dxa"/>
            <w:vAlign w:val="center"/>
          </w:tcPr>
          <w:p w14:paraId="5CBC76E0">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w:t>
            </w:r>
          </w:p>
        </w:tc>
        <w:tc>
          <w:tcPr>
            <w:tcW w:w="5659" w:type="dxa"/>
            <w:vAlign w:val="center"/>
          </w:tcPr>
          <w:p w14:paraId="5D8CC39C">
            <w:pPr>
              <w:keepNext w:val="0"/>
              <w:keepLines w:val="0"/>
              <w:pageBreakBefore w:val="0"/>
              <w:widowControl w:val="0"/>
              <w:kinsoku/>
              <w:wordWrap/>
              <w:overflowPunct/>
              <w:topLinePunct w:val="0"/>
              <w:autoSpaceDE/>
              <w:autoSpaceDN/>
              <w:bidi w:val="0"/>
              <w:spacing w:line="300" w:lineRule="exact"/>
              <w:ind w:left="0" w:leftChars="0" w:firstLine="0" w:firstLineChars="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单位负责人为同一人或者存在直接控股、管理关系的不同投标人，不得参加同一合同项下的政府采购活动；</w:t>
            </w:r>
          </w:p>
        </w:tc>
        <w:tc>
          <w:tcPr>
            <w:tcW w:w="1020" w:type="dxa"/>
            <w:vAlign w:val="center"/>
          </w:tcPr>
          <w:p w14:paraId="73FF27D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45FB692A">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2C6FD804">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08273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922" w:type="dxa"/>
            <w:vAlign w:val="center"/>
          </w:tcPr>
          <w:p w14:paraId="54F4FE2D">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w:t>
            </w:r>
          </w:p>
        </w:tc>
        <w:tc>
          <w:tcPr>
            <w:tcW w:w="5659" w:type="dxa"/>
            <w:vAlign w:val="center"/>
          </w:tcPr>
          <w:p w14:paraId="6268F3AE">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信用记录：供应商不得为“信用中国”网站（www.creditchina.gov.cn）中被列入重大税收违法失信主体，不得为“中国执行信息公开网”(http://zxgk.court.gov.cn//)被列入失信被执行人,不得为“中国政府采购网”（www.ccgp.gov.cn）政府采购严重违法失信行为记录名单中被财政部门禁止参加政府采购活动的当事人，不得有行贿犯罪行为；</w:t>
            </w:r>
          </w:p>
        </w:tc>
        <w:tc>
          <w:tcPr>
            <w:tcW w:w="1020" w:type="dxa"/>
            <w:vAlign w:val="center"/>
          </w:tcPr>
          <w:p w14:paraId="587DF08C">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270AC70E">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42D4AD2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3A5E8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22" w:type="dxa"/>
            <w:vAlign w:val="center"/>
          </w:tcPr>
          <w:p w14:paraId="46C65AD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w:t>
            </w:r>
          </w:p>
        </w:tc>
        <w:tc>
          <w:tcPr>
            <w:tcW w:w="5659" w:type="dxa"/>
            <w:vAlign w:val="center"/>
          </w:tcPr>
          <w:p w14:paraId="238CCC52">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提供具有履行本项目合同所必需的技术设备和专业能力的承诺书</w:t>
            </w:r>
          </w:p>
        </w:tc>
        <w:tc>
          <w:tcPr>
            <w:tcW w:w="1020" w:type="dxa"/>
            <w:vAlign w:val="center"/>
          </w:tcPr>
          <w:p w14:paraId="6256BC6F">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69305B4C">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0257BB7A">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提供证明</w:t>
            </w:r>
            <w:r>
              <w:rPr>
                <w:rFonts w:hint="eastAsia" w:asciiTheme="minorEastAsia" w:hAnsiTheme="minorEastAsia" w:eastAsiaTheme="minorEastAsia" w:cstheme="minorEastAsia"/>
                <w:color w:val="auto"/>
                <w:kern w:val="0"/>
                <w:sz w:val="21"/>
                <w:szCs w:val="21"/>
                <w:highlight w:val="none"/>
                <w:lang w:eastAsia="zh-CN"/>
              </w:rPr>
              <w:t>材料</w:t>
            </w:r>
          </w:p>
        </w:tc>
      </w:tr>
      <w:tr w14:paraId="1093E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922" w:type="dxa"/>
            <w:vAlign w:val="center"/>
          </w:tcPr>
          <w:p w14:paraId="0B09E86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5659" w:type="dxa"/>
            <w:vAlign w:val="center"/>
          </w:tcPr>
          <w:p w14:paraId="3EA00853">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交纳</w:t>
            </w:r>
            <w:r>
              <w:rPr>
                <w:rFonts w:hint="eastAsia" w:asciiTheme="minorEastAsia" w:hAnsiTheme="minorEastAsia" w:eastAsiaTheme="minorEastAsia" w:cstheme="minorEastAsia"/>
                <w:b/>
                <w:color w:val="auto"/>
                <w:kern w:val="0"/>
                <w:sz w:val="21"/>
                <w:szCs w:val="21"/>
                <w:highlight w:val="none"/>
                <w:lang w:eastAsia="zh-CN"/>
              </w:rPr>
              <w:t>磋商</w:t>
            </w:r>
            <w:r>
              <w:rPr>
                <w:rFonts w:hint="eastAsia" w:asciiTheme="minorEastAsia" w:hAnsiTheme="minorEastAsia" w:eastAsiaTheme="minorEastAsia" w:cstheme="minorEastAsia"/>
                <w:b/>
                <w:color w:val="auto"/>
                <w:kern w:val="0"/>
                <w:sz w:val="21"/>
                <w:szCs w:val="21"/>
                <w:highlight w:val="none"/>
              </w:rPr>
              <w:t>保证金证明：</w:t>
            </w:r>
          </w:p>
          <w:p w14:paraId="50AF914C">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磋商保证金交纳凭证及开户许可证</w:t>
            </w:r>
          </w:p>
        </w:tc>
        <w:tc>
          <w:tcPr>
            <w:tcW w:w="1020" w:type="dxa"/>
            <w:vAlign w:val="center"/>
          </w:tcPr>
          <w:p w14:paraId="4C70E212">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70D4BEF9">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22D78573">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提供证明</w:t>
            </w:r>
            <w:r>
              <w:rPr>
                <w:rFonts w:hint="eastAsia" w:asciiTheme="minorEastAsia" w:hAnsiTheme="minorEastAsia" w:eastAsiaTheme="minorEastAsia" w:cstheme="minorEastAsia"/>
                <w:color w:val="auto"/>
                <w:kern w:val="0"/>
                <w:sz w:val="21"/>
                <w:szCs w:val="21"/>
                <w:highlight w:val="none"/>
                <w:lang w:eastAsia="zh-CN"/>
              </w:rPr>
              <w:t>材料</w:t>
            </w:r>
          </w:p>
        </w:tc>
      </w:tr>
      <w:tr w14:paraId="3FBD0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922" w:type="dxa"/>
            <w:vAlign w:val="center"/>
          </w:tcPr>
          <w:p w14:paraId="352AD99E">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w:t>
            </w:r>
          </w:p>
        </w:tc>
        <w:tc>
          <w:tcPr>
            <w:tcW w:w="5659" w:type="dxa"/>
            <w:vAlign w:val="center"/>
          </w:tcPr>
          <w:p w14:paraId="7BA26AF2">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本项目不接受联合体（承诺书）</w:t>
            </w:r>
          </w:p>
        </w:tc>
        <w:tc>
          <w:tcPr>
            <w:tcW w:w="1020" w:type="dxa"/>
            <w:vAlign w:val="center"/>
          </w:tcPr>
          <w:p w14:paraId="3201809A">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1C5AFF74">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78" w:type="dxa"/>
            <w:vAlign w:val="center"/>
          </w:tcPr>
          <w:p w14:paraId="33593FA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提供证明</w:t>
            </w:r>
            <w:r>
              <w:rPr>
                <w:rFonts w:hint="eastAsia" w:asciiTheme="minorEastAsia" w:hAnsiTheme="minorEastAsia" w:eastAsiaTheme="minorEastAsia" w:cstheme="minorEastAsia"/>
                <w:color w:val="auto"/>
                <w:kern w:val="0"/>
                <w:sz w:val="21"/>
                <w:szCs w:val="21"/>
                <w:highlight w:val="none"/>
                <w:lang w:eastAsia="zh-CN"/>
              </w:rPr>
              <w:t>材料</w:t>
            </w:r>
          </w:p>
        </w:tc>
      </w:tr>
    </w:tbl>
    <w:p w14:paraId="0365D594">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2856F7FA">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3.3供应商落实政府采购政策资格条件审查</w:t>
      </w:r>
    </w:p>
    <w:p w14:paraId="71A3595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3.3.1供应商落实政府采购政策资格条件审查方法：</w:t>
      </w:r>
    </w:p>
    <w:p w14:paraId="16A901B7">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本项目专门面向中小企业采购，供应商应当为中小企业（含残疾人福利性单位、监狱企业）</w:t>
      </w:r>
    </w:p>
    <w:p w14:paraId="69739748">
      <w:pPr>
        <w:pStyle w:val="15"/>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（1）审查供应商提供的《中小企业声明函》或者《残疾人福利性单位声明函》或者《监狱企业》盖章证明文件。</w:t>
      </w:r>
    </w:p>
    <w:p w14:paraId="1800BEA0">
      <w:pPr>
        <w:pStyle w:val="15"/>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供应商提供的《中小企业声明函》或者《残疾人福利性单位声明函》或者《监狱企业》存在明显错误的，资格审查小组可以按照第四章第1.3条款的规定，要求供应商作出澄清；澄清后，符合中小企业条件的，予以通过资格审查；否则，不予通过资格审查，</w:t>
      </w:r>
      <w:r>
        <w:rPr>
          <w:rFonts w:hint="eastAsia" w:asciiTheme="minorEastAsia" w:hAnsiTheme="minorEastAsia" w:eastAsiaTheme="minorEastAsia" w:cstheme="minorEastAsia"/>
          <w:b/>
          <w:bCs/>
          <w:color w:val="auto"/>
          <w:kern w:val="0"/>
          <w:sz w:val="24"/>
          <w:szCs w:val="24"/>
          <w:highlight w:val="none"/>
          <w:lang w:val="en-US" w:eastAsia="zh-CN" w:bidi="ar-SA"/>
        </w:rPr>
        <w:t>其响应文件无效。</w:t>
      </w:r>
    </w:p>
    <w:p w14:paraId="0D58F5BB">
      <w:pPr>
        <w:pStyle w:val="15"/>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3.3.2供应商落实政府采购政策资格条件审查标准：</w:t>
      </w:r>
    </w:p>
    <w:p w14:paraId="37B5C835">
      <w:pPr>
        <w:pStyle w:val="15"/>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（1）供应商未提供《中小企业声明函》或者《残疾人福利性单位声明函》或者《监狱企业》盖章证明文件的，即判定其不满足资格条件要求，资格不予审查通过，</w:t>
      </w:r>
      <w:r>
        <w:rPr>
          <w:rFonts w:hint="eastAsia" w:asciiTheme="minorEastAsia" w:hAnsiTheme="minorEastAsia" w:eastAsiaTheme="minorEastAsia" w:cstheme="minorEastAsia"/>
          <w:b/>
          <w:bCs/>
          <w:color w:val="auto"/>
          <w:kern w:val="0"/>
          <w:sz w:val="24"/>
          <w:szCs w:val="24"/>
          <w:highlight w:val="none"/>
          <w:lang w:val="en-US" w:eastAsia="zh-CN" w:bidi="ar-SA"/>
        </w:rPr>
        <w:t>其响应文件无效</w:t>
      </w:r>
      <w:r>
        <w:rPr>
          <w:rFonts w:hint="eastAsia" w:asciiTheme="minorEastAsia" w:hAnsiTheme="minorEastAsia" w:eastAsiaTheme="minorEastAsia" w:cstheme="minorEastAsia"/>
          <w:color w:val="auto"/>
          <w:kern w:val="0"/>
          <w:sz w:val="24"/>
          <w:szCs w:val="24"/>
          <w:highlight w:val="none"/>
          <w:lang w:val="en-US" w:eastAsia="zh-CN" w:bidi="ar-SA"/>
        </w:rPr>
        <w:t>。</w:t>
      </w:r>
    </w:p>
    <w:p w14:paraId="33F59980">
      <w:pPr>
        <w:pStyle w:val="15"/>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（2）供应商提供《残疾人福利性单位声明函》的，存在不符合残疾人福利性单位政策条件情形的，资格不予审查通过，</w:t>
      </w:r>
      <w:r>
        <w:rPr>
          <w:rFonts w:hint="eastAsia" w:asciiTheme="minorEastAsia" w:hAnsiTheme="minorEastAsia" w:eastAsiaTheme="minorEastAsia" w:cstheme="minorEastAsia"/>
          <w:b/>
          <w:bCs/>
          <w:color w:val="auto"/>
          <w:kern w:val="0"/>
          <w:sz w:val="24"/>
          <w:szCs w:val="24"/>
          <w:highlight w:val="none"/>
          <w:lang w:val="en-US" w:eastAsia="zh-CN" w:bidi="ar-SA"/>
        </w:rPr>
        <w:t>其响应文件无效</w:t>
      </w:r>
      <w:r>
        <w:rPr>
          <w:rFonts w:hint="eastAsia" w:asciiTheme="minorEastAsia" w:hAnsiTheme="minorEastAsia" w:eastAsiaTheme="minorEastAsia" w:cstheme="minorEastAsia"/>
          <w:color w:val="auto"/>
          <w:kern w:val="0"/>
          <w:sz w:val="24"/>
          <w:szCs w:val="24"/>
          <w:highlight w:val="none"/>
          <w:lang w:val="en-US" w:eastAsia="zh-CN" w:bidi="ar-SA"/>
        </w:rPr>
        <w:t>。</w:t>
      </w:r>
    </w:p>
    <w:p w14:paraId="134964F2">
      <w:pPr>
        <w:pStyle w:val="15"/>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（3）供应商提供《监狱企业证明》，存在开具证明的单位不符合要求情形的，资格不予审查通过，</w:t>
      </w:r>
      <w:r>
        <w:rPr>
          <w:rFonts w:hint="eastAsia" w:asciiTheme="minorEastAsia" w:hAnsiTheme="minorEastAsia" w:eastAsiaTheme="minorEastAsia" w:cstheme="minorEastAsia"/>
          <w:b/>
          <w:bCs/>
          <w:color w:val="auto"/>
          <w:kern w:val="0"/>
          <w:sz w:val="24"/>
          <w:szCs w:val="24"/>
          <w:highlight w:val="none"/>
          <w:lang w:val="en-US" w:eastAsia="zh-CN" w:bidi="ar-SA"/>
        </w:rPr>
        <w:t>其响应文件无效</w:t>
      </w:r>
      <w:r>
        <w:rPr>
          <w:rFonts w:hint="eastAsia" w:asciiTheme="minorEastAsia" w:hAnsiTheme="minorEastAsia" w:eastAsiaTheme="minorEastAsia" w:cstheme="minorEastAsia"/>
          <w:color w:val="auto"/>
          <w:kern w:val="0"/>
          <w:sz w:val="24"/>
          <w:szCs w:val="24"/>
          <w:highlight w:val="none"/>
          <w:lang w:val="en-US" w:eastAsia="zh-CN" w:bidi="ar-SA"/>
        </w:rPr>
        <w:t>。</w:t>
      </w:r>
    </w:p>
    <w:p w14:paraId="573918B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3.4资格审查小组将依据供应商响应文件之资格证明文件和通过国家企业信用信息公示系统（http://www.gsxt.gov.cn/index.html）对供应商之间存在隶属关系或者其他利害关系进行相关信息的核实。</w:t>
      </w:r>
    </w:p>
    <w:p w14:paraId="26D0A8A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（1）供应商存在第二章第1.3.2条列举情形之一的，审查不予通过，即判定其限定资格条件审查结果为不合格，其响应文件无效。</w:t>
      </w:r>
    </w:p>
    <w:p w14:paraId="65EAF6F7">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4.资格审查报告</w:t>
      </w:r>
    </w:p>
    <w:p w14:paraId="01024A9F">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4.1 资格审查报告由资格审查小组负责编制，以采购代理机构名义向采购人提交，其附表《供应商资格审查表》应当经资格审查小组全体成员签名确认。资格审查报告经采购人盖章确认后随采购文件一并存档。</w:t>
      </w:r>
    </w:p>
    <w:p w14:paraId="4E2327E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b/>
          <w:color w:val="auto"/>
          <w:kern w:val="0"/>
          <w:sz w:val="24"/>
          <w:szCs w:val="24"/>
          <w:highlight w:val="none"/>
        </w:rPr>
        <w:t xml:space="preserve"> </w:t>
      </w:r>
      <w:r>
        <w:rPr>
          <w:rFonts w:hint="eastAsia" w:asciiTheme="minorEastAsia" w:hAnsiTheme="minorEastAsia" w:eastAsiaTheme="minorEastAsia" w:cstheme="minorEastAsia"/>
          <w:b/>
          <w:color w:val="auto"/>
          <w:sz w:val="24"/>
          <w:szCs w:val="24"/>
          <w:highlight w:val="none"/>
        </w:rPr>
        <w:t>未通过资格审查的供应商，不得进入后续</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、评审环节。</w:t>
      </w:r>
    </w:p>
    <w:p w14:paraId="1C356AA8">
      <w:pPr>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color w:val="auto"/>
          <w:sz w:val="24"/>
          <w:szCs w:val="24"/>
          <w:highlight w:val="none"/>
        </w:rPr>
      </w:pPr>
      <w:bookmarkStart w:id="40" w:name="_Toc29621"/>
      <w:r>
        <w:rPr>
          <w:rFonts w:hint="eastAsia" w:asciiTheme="minorEastAsia" w:hAnsiTheme="minorEastAsia" w:eastAsiaTheme="minorEastAsia" w:cstheme="minorEastAsia"/>
          <w:b/>
          <w:color w:val="auto"/>
          <w:sz w:val="24"/>
          <w:szCs w:val="24"/>
          <w:highlight w:val="none"/>
        </w:rPr>
        <w:br w:type="page"/>
      </w:r>
    </w:p>
    <w:p w14:paraId="2E90EFB6">
      <w:pPr>
        <w:spacing w:line="360" w:lineRule="auto"/>
        <w:ind w:left="0" w:leftChars="0" w:firstLine="0" w:firstLineChars="0"/>
        <w:jc w:val="center"/>
        <w:outlineLvl w:val="0"/>
        <w:rPr>
          <w:rFonts w:hint="eastAsia" w:asciiTheme="minorEastAsia" w:hAnsiTheme="minorEastAsia" w:eastAsiaTheme="minorEastAsia" w:cstheme="minorEastAsia"/>
          <w:b/>
          <w:color w:val="auto"/>
          <w:sz w:val="30"/>
          <w:szCs w:val="30"/>
          <w:highlight w:val="none"/>
        </w:rPr>
      </w:pPr>
      <w:bookmarkStart w:id="41" w:name="_Toc21469"/>
      <w:bookmarkStart w:id="42" w:name="_Toc18185"/>
      <w:r>
        <w:rPr>
          <w:rFonts w:hint="eastAsia" w:asciiTheme="minorEastAsia" w:hAnsiTheme="minorEastAsia" w:eastAsiaTheme="minorEastAsia" w:cstheme="minorEastAsia"/>
          <w:b/>
          <w:color w:val="auto"/>
          <w:sz w:val="30"/>
          <w:szCs w:val="30"/>
          <w:highlight w:val="none"/>
        </w:rPr>
        <w:t xml:space="preserve">第四章 </w:t>
      </w:r>
      <w:r>
        <w:rPr>
          <w:rFonts w:hint="eastAsia" w:asciiTheme="minorEastAsia" w:hAnsiTheme="minorEastAsia" w:eastAsiaTheme="minorEastAsia" w:cstheme="minorEastAsia"/>
          <w:b/>
          <w:color w:val="auto"/>
          <w:sz w:val="30"/>
          <w:szCs w:val="30"/>
          <w:highlight w:val="none"/>
          <w:lang w:eastAsia="zh-CN"/>
        </w:rPr>
        <w:t>磋商</w:t>
      </w:r>
      <w:r>
        <w:rPr>
          <w:rFonts w:hint="eastAsia" w:asciiTheme="minorEastAsia" w:hAnsiTheme="minorEastAsia" w:eastAsiaTheme="minorEastAsia" w:cstheme="minorEastAsia"/>
          <w:b/>
          <w:color w:val="auto"/>
          <w:sz w:val="30"/>
          <w:szCs w:val="30"/>
          <w:highlight w:val="none"/>
        </w:rPr>
        <w:t>办法</w:t>
      </w:r>
      <w:bookmarkEnd w:id="40"/>
      <w:bookmarkEnd w:id="41"/>
      <w:bookmarkEnd w:id="42"/>
    </w:p>
    <w:p w14:paraId="4D59A4A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根据《中华人民共和国政府采购法》及其实施条例和《政府采购竞争性磋商采购方式管理暂行办法》（财政部财库[2014]21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号）等法律法规的规定，结合采购项目特点，制定本磋商办法。</w:t>
      </w:r>
    </w:p>
    <w:p w14:paraId="4CC6CFC8">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程序</w:t>
      </w:r>
    </w:p>
    <w:p w14:paraId="3C5B568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 xml:space="preserve">1.1 </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按下列程序进行：</w:t>
      </w:r>
    </w:p>
    <w:p w14:paraId="635ED59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（1）响应文件响应文件符合性审查；</w:t>
      </w:r>
    </w:p>
    <w:p w14:paraId="7351483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（2）响应文件的澄清；</w:t>
      </w:r>
    </w:p>
    <w:p w14:paraId="6CC9BF6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（3）磋商（包括技术磋商、商务磋商、提交最后报价）；</w:t>
      </w:r>
    </w:p>
    <w:p w14:paraId="458AFBC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（4）响应文件详细评审；</w:t>
      </w:r>
    </w:p>
    <w:p w14:paraId="3F545FD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（5）复核与核对评审结果；</w:t>
      </w:r>
    </w:p>
    <w:p w14:paraId="0FE4975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（6）确定成交候选人名单；</w:t>
      </w:r>
    </w:p>
    <w:p w14:paraId="4E28DDC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（7）编写评审报告。</w:t>
      </w:r>
    </w:p>
    <w:p w14:paraId="423583A7">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 响应文件符合性审查</w:t>
      </w:r>
    </w:p>
    <w:p w14:paraId="76A091A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1.2.1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小组依法对通过资格条件审查的供应商响应文件进行符合性审查。</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小组从响应文件的有效性、完整性和对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文件的响应程度进行审查，以确定其是否对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文件实质性要求作出响应，有无恶意串通行为。</w:t>
      </w:r>
    </w:p>
    <w:p w14:paraId="4A7B2FD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1.2.2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小组将按下列评审标准对供应商的响应文件进行符合性审查，</w:t>
      </w:r>
      <w:r>
        <w:rPr>
          <w:rFonts w:hint="eastAsia" w:asciiTheme="minorEastAsia" w:hAnsiTheme="minorEastAsia" w:eastAsiaTheme="minorEastAsia" w:cstheme="minorEastAsia"/>
          <w:bCs/>
          <w:color w:val="auto"/>
          <w:sz w:val="24"/>
          <w:szCs w:val="24"/>
          <w:highlight w:val="none"/>
        </w:rPr>
        <w:t>供应商若</w:t>
      </w:r>
      <w:r>
        <w:rPr>
          <w:rFonts w:hint="eastAsia" w:asciiTheme="minorEastAsia" w:hAnsiTheme="minorEastAsia" w:eastAsiaTheme="minorEastAsia" w:cstheme="minorEastAsia"/>
          <w:color w:val="auto"/>
          <w:kern w:val="0"/>
          <w:sz w:val="24"/>
          <w:szCs w:val="24"/>
          <w:highlight w:val="none"/>
        </w:rPr>
        <w:t>有一项不合格，即判定其符合性审查结果为不合格，将不具备</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资格，</w:t>
      </w:r>
      <w:r>
        <w:rPr>
          <w:rFonts w:hint="eastAsia" w:asciiTheme="minorEastAsia" w:hAnsiTheme="minorEastAsia" w:eastAsiaTheme="minorEastAsia" w:cstheme="minorEastAsia"/>
          <w:b/>
          <w:color w:val="auto"/>
          <w:kern w:val="0"/>
          <w:sz w:val="24"/>
          <w:szCs w:val="24"/>
          <w:highlight w:val="none"/>
        </w:rPr>
        <w:t>其响应文件无效</w:t>
      </w:r>
      <w:r>
        <w:rPr>
          <w:rFonts w:hint="eastAsia" w:asciiTheme="minorEastAsia" w:hAnsiTheme="minorEastAsia" w:eastAsiaTheme="minorEastAsia" w:cstheme="minorEastAsia"/>
          <w:color w:val="auto"/>
          <w:kern w:val="0"/>
          <w:sz w:val="24"/>
          <w:szCs w:val="24"/>
          <w:highlight w:val="none"/>
        </w:rPr>
        <w:t>。</w:t>
      </w:r>
    </w:p>
    <w:p w14:paraId="6FA852C6">
      <w:pPr>
        <w:keepNext w:val="0"/>
        <w:keepLines w:val="0"/>
        <w:pageBreakBefore w:val="0"/>
        <w:widowControl w:val="0"/>
        <w:kinsoku/>
        <w:wordWrap/>
        <w:overflowPunct/>
        <w:topLinePunct w:val="0"/>
        <w:autoSpaceDE/>
        <w:autoSpaceDN/>
        <w:bidi w:val="0"/>
        <w:textAlignment w:val="auto"/>
        <w:rPr>
          <w:rFonts w:hint="eastAsia" w:asciiTheme="minorEastAsia" w:hAnsiTheme="minorEastAsia" w:eastAsiaTheme="minorEastAsia" w:cstheme="minorEastAsia"/>
          <w:color w:val="auto"/>
          <w:kern w:val="0"/>
          <w:sz w:val="24"/>
          <w:szCs w:val="24"/>
          <w:highlight w:val="none"/>
        </w:rPr>
      </w:pPr>
    </w:p>
    <w:p w14:paraId="26023173">
      <w:pPr>
        <w:rPr>
          <w:rFonts w:hint="eastAsia" w:asciiTheme="minorEastAsia" w:hAnsiTheme="minorEastAsia" w:eastAsiaTheme="minorEastAsia" w:cstheme="minorEastAsia"/>
          <w:color w:val="auto"/>
          <w:kern w:val="0"/>
          <w:sz w:val="24"/>
          <w:szCs w:val="24"/>
          <w:highlight w:val="none"/>
        </w:rPr>
      </w:pPr>
    </w:p>
    <w:p w14:paraId="7283BCE8">
      <w:pPr>
        <w:rPr>
          <w:rFonts w:hint="eastAsia" w:asciiTheme="minorEastAsia" w:hAnsiTheme="minorEastAsia" w:eastAsiaTheme="minorEastAsia" w:cstheme="minorEastAsia"/>
          <w:color w:val="auto"/>
          <w:kern w:val="0"/>
          <w:sz w:val="24"/>
          <w:szCs w:val="24"/>
          <w:highlight w:val="none"/>
        </w:rPr>
      </w:pPr>
    </w:p>
    <w:p w14:paraId="2B4C6CE0">
      <w:pPr>
        <w:rPr>
          <w:rFonts w:hint="eastAsia" w:asciiTheme="minorEastAsia" w:hAnsiTheme="minorEastAsia" w:eastAsiaTheme="minorEastAsia" w:cstheme="minorEastAsia"/>
          <w:color w:val="auto"/>
          <w:kern w:val="0"/>
          <w:sz w:val="24"/>
          <w:szCs w:val="24"/>
          <w:highlight w:val="none"/>
        </w:rPr>
      </w:pPr>
    </w:p>
    <w:p w14:paraId="6FDC8B65">
      <w:pPr>
        <w:rPr>
          <w:rFonts w:hint="eastAsia" w:asciiTheme="minorEastAsia" w:hAnsiTheme="minorEastAsia" w:eastAsiaTheme="minorEastAsia" w:cstheme="minorEastAsia"/>
          <w:color w:val="auto"/>
          <w:kern w:val="0"/>
          <w:sz w:val="24"/>
          <w:szCs w:val="24"/>
          <w:highlight w:val="none"/>
        </w:rPr>
      </w:pPr>
    </w:p>
    <w:p w14:paraId="607004BE">
      <w:pPr>
        <w:rPr>
          <w:rFonts w:hint="eastAsia" w:asciiTheme="minorEastAsia" w:hAnsiTheme="minorEastAsia" w:eastAsiaTheme="minorEastAsia" w:cstheme="minorEastAsia"/>
          <w:color w:val="auto"/>
          <w:kern w:val="0"/>
          <w:sz w:val="24"/>
          <w:szCs w:val="24"/>
          <w:highlight w:val="none"/>
        </w:rPr>
      </w:pPr>
    </w:p>
    <w:p w14:paraId="09593035">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tbl>
      <w:tblPr>
        <w:tblStyle w:val="30"/>
        <w:tblW w:w="8719"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03"/>
        <w:gridCol w:w="2726"/>
        <w:gridCol w:w="4192"/>
      </w:tblGrid>
      <w:tr w14:paraId="32D4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98" w:type="dxa"/>
            <w:vAlign w:val="center"/>
          </w:tcPr>
          <w:p w14:paraId="5CD0F4BC">
            <w:pPr>
              <w:tabs>
                <w:tab w:val="left" w:pos="0"/>
              </w:tabs>
              <w:adjustRightInd w:val="0"/>
              <w:snapToGrid w:val="0"/>
              <w:spacing w:line="240" w:lineRule="auto"/>
              <w:ind w:left="0" w:leftChars="0" w:firstLine="0" w:firstLineChars="0"/>
              <w:jc w:val="both"/>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3729" w:type="dxa"/>
            <w:gridSpan w:val="2"/>
            <w:vAlign w:val="center"/>
          </w:tcPr>
          <w:p w14:paraId="12896C7E">
            <w:pPr>
              <w:tabs>
                <w:tab w:val="left" w:pos="0"/>
              </w:tabs>
              <w:adjustRightInd w:val="0"/>
              <w:snapToGrid w:val="0"/>
              <w:spacing w:line="24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评审因素</w:t>
            </w:r>
          </w:p>
        </w:tc>
        <w:tc>
          <w:tcPr>
            <w:tcW w:w="4192" w:type="dxa"/>
            <w:vAlign w:val="center"/>
          </w:tcPr>
          <w:p w14:paraId="4D7B8FBD">
            <w:pPr>
              <w:tabs>
                <w:tab w:val="left" w:pos="0"/>
              </w:tabs>
              <w:adjustRightInd w:val="0"/>
              <w:snapToGrid w:val="0"/>
              <w:spacing w:line="24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评审标准</w:t>
            </w:r>
          </w:p>
        </w:tc>
      </w:tr>
      <w:tr w14:paraId="0008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98" w:type="dxa"/>
            <w:vMerge w:val="restart"/>
            <w:vAlign w:val="center"/>
          </w:tcPr>
          <w:p w14:paraId="7026B448">
            <w:pPr>
              <w:tabs>
                <w:tab w:val="left" w:pos="0"/>
              </w:tabs>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03" w:type="dxa"/>
            <w:vMerge w:val="restart"/>
            <w:vAlign w:val="center"/>
          </w:tcPr>
          <w:p w14:paraId="6E92E417">
            <w:pPr>
              <w:tabs>
                <w:tab w:val="left" w:pos="0"/>
              </w:tabs>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有效性审查</w:t>
            </w:r>
          </w:p>
        </w:tc>
        <w:tc>
          <w:tcPr>
            <w:tcW w:w="2726" w:type="dxa"/>
            <w:vAlign w:val="center"/>
          </w:tcPr>
          <w:p w14:paraId="09A3144B">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（1）响应文件的签署盖章</w:t>
            </w:r>
          </w:p>
        </w:tc>
        <w:tc>
          <w:tcPr>
            <w:tcW w:w="4192" w:type="dxa"/>
            <w:vAlign w:val="center"/>
          </w:tcPr>
          <w:p w14:paraId="13116D12">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highlight w:val="none"/>
              </w:rPr>
              <w:t>符合第二章“供应商须知”第4.6.</w:t>
            </w:r>
            <w:r>
              <w:rPr>
                <w:rFonts w:hint="eastAsia" w:asciiTheme="minorEastAsia" w:hAnsiTheme="minorEastAsia" w:eastAsiaTheme="minorEastAsia" w:cstheme="minorEastAsia"/>
                <w:color w:val="000000"/>
                <w:sz w:val="21"/>
                <w:szCs w:val="21"/>
                <w:highlight w:val="none"/>
                <w:lang w:val="en-US" w:eastAsia="zh-CN"/>
              </w:rPr>
              <w:t>6</w:t>
            </w:r>
            <w:r>
              <w:rPr>
                <w:rFonts w:hint="eastAsia" w:asciiTheme="minorEastAsia" w:hAnsiTheme="minorEastAsia" w:eastAsiaTheme="minorEastAsia" w:cstheme="minorEastAsia"/>
                <w:color w:val="000000"/>
                <w:sz w:val="21"/>
                <w:szCs w:val="21"/>
                <w:highlight w:val="none"/>
              </w:rPr>
              <w:t>条款的规定</w:t>
            </w:r>
          </w:p>
        </w:tc>
      </w:tr>
      <w:tr w14:paraId="414F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98" w:type="dxa"/>
            <w:vMerge w:val="continue"/>
            <w:vAlign w:val="top"/>
          </w:tcPr>
          <w:p w14:paraId="737019E3">
            <w:pPr>
              <w:tabs>
                <w:tab w:val="left" w:pos="0"/>
              </w:tabs>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1003" w:type="dxa"/>
            <w:vMerge w:val="continue"/>
            <w:vAlign w:val="top"/>
          </w:tcPr>
          <w:p w14:paraId="6409F92D">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2726" w:type="dxa"/>
            <w:vAlign w:val="center"/>
          </w:tcPr>
          <w:p w14:paraId="7A47C47B">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（2）响应文件格式</w:t>
            </w:r>
          </w:p>
        </w:tc>
        <w:tc>
          <w:tcPr>
            <w:tcW w:w="4192" w:type="dxa"/>
            <w:vAlign w:val="center"/>
          </w:tcPr>
          <w:p w14:paraId="5F27B8A4">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符合第七章“响应文件格式”的规定</w:t>
            </w:r>
          </w:p>
        </w:tc>
      </w:tr>
      <w:tr w14:paraId="5B67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98" w:type="dxa"/>
            <w:vMerge w:val="continue"/>
            <w:vAlign w:val="top"/>
          </w:tcPr>
          <w:p w14:paraId="11365603">
            <w:pPr>
              <w:tabs>
                <w:tab w:val="left" w:pos="0"/>
              </w:tabs>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1003" w:type="dxa"/>
            <w:vMerge w:val="continue"/>
            <w:vAlign w:val="top"/>
          </w:tcPr>
          <w:p w14:paraId="42337945">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2726" w:type="dxa"/>
            <w:vAlign w:val="center"/>
          </w:tcPr>
          <w:p w14:paraId="5DBCBAE8">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（3）报价唯一</w:t>
            </w:r>
          </w:p>
        </w:tc>
        <w:tc>
          <w:tcPr>
            <w:tcW w:w="4192" w:type="dxa"/>
            <w:vAlign w:val="center"/>
          </w:tcPr>
          <w:p w14:paraId="5A0D7D80">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只能有一个有效报价，不得提交选择性报价，且报价不超过第二章“供应商须知”前附表规定的采购预算金额或最高限价</w:t>
            </w:r>
          </w:p>
        </w:tc>
      </w:tr>
      <w:tr w14:paraId="0BEB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98" w:type="dxa"/>
            <w:vMerge w:val="continue"/>
            <w:vAlign w:val="center"/>
          </w:tcPr>
          <w:p w14:paraId="461CD87D">
            <w:pPr>
              <w:tabs>
                <w:tab w:val="left" w:pos="0"/>
              </w:tabs>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1003" w:type="dxa"/>
            <w:vMerge w:val="continue"/>
            <w:vAlign w:val="center"/>
          </w:tcPr>
          <w:p w14:paraId="7E7DA376">
            <w:pPr>
              <w:tabs>
                <w:tab w:val="left" w:pos="0"/>
              </w:tabs>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2726" w:type="dxa"/>
            <w:shd w:val="clear" w:color="auto" w:fill="auto"/>
            <w:vAlign w:val="center"/>
          </w:tcPr>
          <w:p w14:paraId="0E8ED9FE">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）不存在恶意串通的情形</w:t>
            </w:r>
          </w:p>
        </w:tc>
        <w:tc>
          <w:tcPr>
            <w:tcW w:w="4192" w:type="dxa"/>
            <w:shd w:val="clear" w:color="auto" w:fill="auto"/>
            <w:vAlign w:val="center"/>
          </w:tcPr>
          <w:p w14:paraId="62FF4A69">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不存在本章第1.2.3条款规定的任何一种情形</w:t>
            </w:r>
          </w:p>
        </w:tc>
      </w:tr>
      <w:tr w14:paraId="70DB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98" w:type="dxa"/>
            <w:vMerge w:val="continue"/>
            <w:vAlign w:val="center"/>
          </w:tcPr>
          <w:p w14:paraId="521BEDE1">
            <w:pPr>
              <w:tabs>
                <w:tab w:val="left" w:pos="0"/>
              </w:tabs>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1003" w:type="dxa"/>
            <w:vMerge w:val="continue"/>
            <w:vAlign w:val="center"/>
          </w:tcPr>
          <w:p w14:paraId="7A0C78BE">
            <w:pPr>
              <w:tabs>
                <w:tab w:val="left" w:pos="0"/>
              </w:tabs>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2726" w:type="dxa"/>
            <w:shd w:val="clear" w:color="auto" w:fill="auto"/>
            <w:vAlign w:val="center"/>
          </w:tcPr>
          <w:p w14:paraId="7EDC021A">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（6）附加条件</w:t>
            </w:r>
          </w:p>
        </w:tc>
        <w:tc>
          <w:tcPr>
            <w:tcW w:w="4192" w:type="dxa"/>
            <w:shd w:val="clear" w:color="auto" w:fill="auto"/>
            <w:vAlign w:val="center"/>
          </w:tcPr>
          <w:p w14:paraId="06CC60D6">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文件未含有采购人不能接受的附加条件</w:t>
            </w:r>
          </w:p>
        </w:tc>
      </w:tr>
      <w:tr w14:paraId="4EFB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98" w:type="dxa"/>
            <w:vMerge w:val="restart"/>
            <w:vAlign w:val="center"/>
          </w:tcPr>
          <w:p w14:paraId="53B4714A">
            <w:pPr>
              <w:tabs>
                <w:tab w:val="left" w:pos="0"/>
              </w:tabs>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003" w:type="dxa"/>
            <w:vMerge w:val="restart"/>
            <w:vAlign w:val="center"/>
          </w:tcPr>
          <w:p w14:paraId="420F670B">
            <w:pPr>
              <w:tabs>
                <w:tab w:val="left" w:pos="0"/>
              </w:tabs>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完整性审查</w:t>
            </w:r>
          </w:p>
        </w:tc>
        <w:tc>
          <w:tcPr>
            <w:tcW w:w="2726" w:type="dxa"/>
            <w:vAlign w:val="center"/>
          </w:tcPr>
          <w:p w14:paraId="16B2A0FC">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（7）响应文件份数</w:t>
            </w:r>
          </w:p>
        </w:tc>
        <w:tc>
          <w:tcPr>
            <w:tcW w:w="4192" w:type="dxa"/>
            <w:vAlign w:val="center"/>
          </w:tcPr>
          <w:p w14:paraId="0FFC35F9">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符合第二章“供应商须知”第</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rPr>
              <w:t>条款的规定</w:t>
            </w:r>
          </w:p>
        </w:tc>
      </w:tr>
      <w:tr w14:paraId="2E24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98" w:type="dxa"/>
            <w:vMerge w:val="continue"/>
            <w:vAlign w:val="center"/>
          </w:tcPr>
          <w:p w14:paraId="15756BAF">
            <w:pPr>
              <w:tabs>
                <w:tab w:val="left" w:pos="0"/>
              </w:tabs>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1003" w:type="dxa"/>
            <w:vMerge w:val="continue"/>
            <w:vAlign w:val="center"/>
          </w:tcPr>
          <w:p w14:paraId="426732F4">
            <w:pPr>
              <w:tabs>
                <w:tab w:val="left" w:pos="0"/>
              </w:tabs>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2726" w:type="dxa"/>
            <w:shd w:val="clear" w:color="auto" w:fill="auto"/>
            <w:vAlign w:val="center"/>
          </w:tcPr>
          <w:p w14:paraId="4B5EDCA5">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）响应内容</w:t>
            </w:r>
          </w:p>
        </w:tc>
        <w:tc>
          <w:tcPr>
            <w:tcW w:w="4192" w:type="dxa"/>
            <w:shd w:val="clear" w:color="auto" w:fill="auto"/>
            <w:vAlign w:val="center"/>
          </w:tcPr>
          <w:p w14:paraId="69E54D09">
            <w:pPr>
              <w:tabs>
                <w:tab w:val="left" w:pos="0"/>
              </w:tabs>
              <w:adjustRightInd w:val="0"/>
              <w:snapToGrid w:val="0"/>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符合第五章“采购需求”规定的服务范围和产品标的</w:t>
            </w:r>
          </w:p>
        </w:tc>
      </w:tr>
      <w:tr w14:paraId="2C6D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798" w:type="dxa"/>
            <w:vMerge w:val="restart"/>
            <w:vAlign w:val="center"/>
          </w:tcPr>
          <w:p w14:paraId="0B7A8C7F">
            <w:pPr>
              <w:tabs>
                <w:tab w:val="left" w:pos="0"/>
              </w:tabs>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003" w:type="dxa"/>
            <w:vMerge w:val="restart"/>
            <w:vAlign w:val="center"/>
          </w:tcPr>
          <w:p w14:paraId="64084BC2">
            <w:pPr>
              <w:tabs>
                <w:tab w:val="left" w:pos="0"/>
              </w:tabs>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响应性审查</w:t>
            </w:r>
          </w:p>
        </w:tc>
        <w:tc>
          <w:tcPr>
            <w:tcW w:w="2726" w:type="dxa"/>
            <w:vAlign w:val="center"/>
          </w:tcPr>
          <w:p w14:paraId="7FA27C27">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）对</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文件响应程度</w:t>
            </w:r>
          </w:p>
        </w:tc>
        <w:tc>
          <w:tcPr>
            <w:tcW w:w="4192" w:type="dxa"/>
            <w:vAlign w:val="center"/>
          </w:tcPr>
          <w:p w14:paraId="70A5DF6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文件实质性要求的规定</w:t>
            </w:r>
          </w:p>
        </w:tc>
      </w:tr>
      <w:tr w14:paraId="71C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98" w:type="dxa"/>
            <w:vMerge w:val="continue"/>
            <w:vAlign w:val="top"/>
          </w:tcPr>
          <w:p w14:paraId="0F761BBB">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003" w:type="dxa"/>
            <w:vMerge w:val="continue"/>
            <w:vAlign w:val="top"/>
          </w:tcPr>
          <w:p w14:paraId="01BC392A">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2726" w:type="dxa"/>
            <w:vAlign w:val="center"/>
          </w:tcPr>
          <w:p w14:paraId="5E389E70">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合同履行期</w:t>
            </w:r>
          </w:p>
        </w:tc>
        <w:tc>
          <w:tcPr>
            <w:tcW w:w="4192" w:type="dxa"/>
            <w:vAlign w:val="center"/>
          </w:tcPr>
          <w:p w14:paraId="69AF522E">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符合第五章“采购需求”的规定</w:t>
            </w:r>
          </w:p>
        </w:tc>
      </w:tr>
      <w:tr w14:paraId="26F3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98" w:type="dxa"/>
            <w:vMerge w:val="continue"/>
            <w:vAlign w:val="top"/>
          </w:tcPr>
          <w:p w14:paraId="3E81379A">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003" w:type="dxa"/>
            <w:vMerge w:val="continue"/>
            <w:vAlign w:val="top"/>
          </w:tcPr>
          <w:p w14:paraId="70F56292">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2726" w:type="dxa"/>
            <w:vAlign w:val="center"/>
          </w:tcPr>
          <w:p w14:paraId="685C3F4A">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）质量</w:t>
            </w:r>
          </w:p>
        </w:tc>
        <w:tc>
          <w:tcPr>
            <w:tcW w:w="4192" w:type="dxa"/>
            <w:vAlign w:val="center"/>
          </w:tcPr>
          <w:p w14:paraId="1C21B2E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符合第五章“采购需求”的规定</w:t>
            </w:r>
          </w:p>
        </w:tc>
      </w:tr>
      <w:tr w14:paraId="2891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98" w:type="dxa"/>
            <w:vMerge w:val="continue"/>
            <w:vAlign w:val="top"/>
          </w:tcPr>
          <w:p w14:paraId="2AF28FE3">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003" w:type="dxa"/>
            <w:vMerge w:val="continue"/>
            <w:vAlign w:val="top"/>
          </w:tcPr>
          <w:p w14:paraId="7544783F">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2726" w:type="dxa"/>
            <w:vAlign w:val="center"/>
          </w:tcPr>
          <w:p w14:paraId="7297A284">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有效期</w:t>
            </w:r>
          </w:p>
        </w:tc>
        <w:tc>
          <w:tcPr>
            <w:tcW w:w="4192" w:type="dxa"/>
            <w:vAlign w:val="center"/>
          </w:tcPr>
          <w:p w14:paraId="202DC5D5">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符合第二章“供应商须知”第4.4.1条款的规定</w:t>
            </w:r>
          </w:p>
        </w:tc>
      </w:tr>
      <w:tr w14:paraId="6840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98" w:type="dxa"/>
            <w:vMerge w:val="continue"/>
            <w:vAlign w:val="top"/>
          </w:tcPr>
          <w:p w14:paraId="480808A0">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003" w:type="dxa"/>
            <w:vMerge w:val="continue"/>
            <w:vAlign w:val="top"/>
          </w:tcPr>
          <w:p w14:paraId="7BE1F02A">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2726" w:type="dxa"/>
            <w:vAlign w:val="center"/>
          </w:tcPr>
          <w:p w14:paraId="53BA55D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）技术标准和要求</w:t>
            </w:r>
          </w:p>
        </w:tc>
        <w:tc>
          <w:tcPr>
            <w:tcW w:w="4192" w:type="dxa"/>
            <w:vAlign w:val="center"/>
          </w:tcPr>
          <w:p w14:paraId="6C81CE11">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符合第五章“采购需求”的规定</w:t>
            </w:r>
          </w:p>
        </w:tc>
      </w:tr>
      <w:tr w14:paraId="39B9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98" w:type="dxa"/>
            <w:vMerge w:val="continue"/>
            <w:vAlign w:val="top"/>
          </w:tcPr>
          <w:p w14:paraId="17F05093">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003" w:type="dxa"/>
            <w:vMerge w:val="continue"/>
            <w:vAlign w:val="top"/>
          </w:tcPr>
          <w:p w14:paraId="5C08DB2C">
            <w:pPr>
              <w:tabs>
                <w:tab w:val="left" w:pos="0"/>
              </w:tabs>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2726" w:type="dxa"/>
            <w:vAlign w:val="center"/>
          </w:tcPr>
          <w:p w14:paraId="0421E53B">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eastAsia="zh-CN"/>
              </w:rPr>
              <w:t>）权利义务</w:t>
            </w:r>
          </w:p>
        </w:tc>
        <w:tc>
          <w:tcPr>
            <w:tcW w:w="4192" w:type="dxa"/>
            <w:vAlign w:val="center"/>
          </w:tcPr>
          <w:p w14:paraId="2251BCF2">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符合第六章“政府采购合同格式”条款中实质性要求和条件</w:t>
            </w:r>
          </w:p>
        </w:tc>
      </w:tr>
    </w:tbl>
    <w:p w14:paraId="3A98529B">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p w14:paraId="555D2907">
      <w:pPr>
        <w:keepNext w:val="0"/>
        <w:keepLines w:val="0"/>
        <w:pageBreakBefore w:val="0"/>
        <w:tabs>
          <w:tab w:val="left" w:pos="0"/>
        </w:tabs>
        <w:kinsoku/>
        <w:wordWrap/>
        <w:overflowPunct/>
        <w:topLinePunct w:val="0"/>
        <w:bidi w:val="0"/>
        <w:adjustRightInd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1.2.3 有下列情形之一的，视为供应商相互恶意串通，响应文件无效：</w:t>
      </w:r>
    </w:p>
    <w:p w14:paraId="16FFA8A2">
      <w:pPr>
        <w:keepNext w:val="0"/>
        <w:keepLines w:val="0"/>
        <w:pageBreakBefore w:val="0"/>
        <w:tabs>
          <w:tab w:val="left" w:pos="0"/>
        </w:tabs>
        <w:kinsoku/>
        <w:wordWrap/>
        <w:overflowPunct/>
        <w:topLinePunct w:val="0"/>
        <w:bidi w:val="0"/>
        <w:adjustRightInd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（1）不同</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由同一单位或者个人编制；</w:t>
      </w:r>
    </w:p>
    <w:p w14:paraId="576B556D">
      <w:pPr>
        <w:keepNext w:val="0"/>
        <w:keepLines w:val="0"/>
        <w:pageBreakBefore w:val="0"/>
        <w:tabs>
          <w:tab w:val="left" w:pos="0"/>
        </w:tabs>
        <w:kinsoku/>
        <w:wordWrap/>
        <w:overflowPunct/>
        <w:topLinePunct w:val="0"/>
        <w:bidi w:val="0"/>
        <w:adjustRightInd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（2）不同</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委托同一单位或者个人办理投标</w:t>
      </w:r>
      <w:r>
        <w:rPr>
          <w:rFonts w:hint="eastAsia" w:asciiTheme="minorEastAsia" w:hAnsiTheme="minorEastAsia" w:eastAsiaTheme="minorEastAsia" w:cstheme="minorEastAsia"/>
          <w:color w:val="auto"/>
          <w:kern w:val="0"/>
          <w:sz w:val="24"/>
          <w:szCs w:val="24"/>
          <w:highlight w:val="none"/>
          <w:lang w:eastAsia="zh-CN"/>
        </w:rPr>
        <w:t>事宜</w:t>
      </w:r>
      <w:r>
        <w:rPr>
          <w:rFonts w:hint="eastAsia" w:asciiTheme="minorEastAsia" w:hAnsiTheme="minorEastAsia" w:eastAsiaTheme="minorEastAsia" w:cstheme="minorEastAsia"/>
          <w:color w:val="auto"/>
          <w:kern w:val="0"/>
          <w:sz w:val="24"/>
          <w:szCs w:val="24"/>
          <w:highlight w:val="none"/>
        </w:rPr>
        <w:t>；</w:t>
      </w:r>
    </w:p>
    <w:p w14:paraId="03561454">
      <w:pPr>
        <w:keepNext w:val="0"/>
        <w:keepLines w:val="0"/>
        <w:pageBreakBefore w:val="0"/>
        <w:tabs>
          <w:tab w:val="left" w:pos="0"/>
        </w:tabs>
        <w:kinsoku/>
        <w:wordWrap/>
        <w:overflowPunct/>
        <w:topLinePunct w:val="0"/>
        <w:bidi w:val="0"/>
        <w:adjustRightInd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（3）不同</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载明的项目管理成员为同一人；</w:t>
      </w:r>
    </w:p>
    <w:p w14:paraId="43814B1F">
      <w:pPr>
        <w:keepNext w:val="0"/>
        <w:keepLines w:val="0"/>
        <w:pageBreakBefore w:val="0"/>
        <w:tabs>
          <w:tab w:val="left" w:pos="0"/>
        </w:tabs>
        <w:kinsoku/>
        <w:wordWrap/>
        <w:overflowPunct/>
        <w:topLinePunct w:val="0"/>
        <w:bidi w:val="0"/>
        <w:adjustRightInd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（4）不同</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异常一致或者投标报价呈规律性差异；</w:t>
      </w:r>
    </w:p>
    <w:p w14:paraId="57A1606D">
      <w:pPr>
        <w:keepNext w:val="0"/>
        <w:keepLines w:val="0"/>
        <w:pageBreakBefore w:val="0"/>
        <w:tabs>
          <w:tab w:val="left" w:pos="0"/>
        </w:tabs>
        <w:kinsoku/>
        <w:wordWrap/>
        <w:overflowPunct/>
        <w:topLinePunct w:val="0"/>
        <w:bidi w:val="0"/>
        <w:adjustRightInd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（5）不同供应商的响应文件出自同一台制作设备（文件制作机器码一致）</w:t>
      </w:r>
      <w:r>
        <w:rPr>
          <w:rFonts w:hint="eastAsia" w:asciiTheme="minorEastAsia" w:hAnsiTheme="minorEastAsia" w:eastAsiaTheme="minorEastAsia" w:cstheme="minorEastAsia"/>
          <w:color w:val="auto"/>
          <w:kern w:val="0"/>
          <w:sz w:val="24"/>
          <w:szCs w:val="24"/>
          <w:highlight w:val="none"/>
        </w:rPr>
        <w:t>。</w:t>
      </w:r>
    </w:p>
    <w:p w14:paraId="374B8894">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1.2.4 响应文件出现下列情况之一的，响应文件无效：</w:t>
      </w:r>
    </w:p>
    <w:p w14:paraId="1AA340DA">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（1）不符合磋商文件规定的资格要求的；</w:t>
      </w:r>
    </w:p>
    <w:p w14:paraId="51720193">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（2）不符合磋商文件规定的实质性要求的；</w:t>
      </w:r>
    </w:p>
    <w:p w14:paraId="182C8EF4">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（3）未按照磋商文件的规定提交磋商保证金的（仅限供应商须知前附表要求供应商提交磋商保证金的）；</w:t>
      </w:r>
    </w:p>
    <w:p w14:paraId="030ACAFE">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（4）响应文件未按照磋商文件要求签署盖章的；</w:t>
      </w:r>
    </w:p>
    <w:p w14:paraId="57B91B4A">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（5）磋商报价超过了磋商文件规定的预算金额或者最高限价的；</w:t>
      </w:r>
    </w:p>
    <w:p w14:paraId="14F3819A">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（6）响应文件含有采购人不能接受的附加条件的；</w:t>
      </w:r>
    </w:p>
    <w:p w14:paraId="60D62BD7">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（7）工程质量和采用的技术标准、规范不符合磋商文件要求的；</w:t>
      </w:r>
    </w:p>
    <w:p w14:paraId="0C4D619E">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（8）提供的主要材料与设备不符合强制执行的国家、行业标准的（如有）；</w:t>
      </w:r>
    </w:p>
    <w:p w14:paraId="0B71A07B">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（9）提供的主要材料与设备不是国家强制节能产品品目清单中的产品（如有）；</w:t>
      </w:r>
    </w:p>
    <w:p w14:paraId="5EDFD4CC">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（10）法律、行政法规和磋商文件规定的其他无效情形。</w:t>
      </w:r>
    </w:p>
    <w:p w14:paraId="0A2F6965">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响应文件存在以上情况（1）（3）的，由</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认定，其余情况由磋商小组认定。</w:t>
      </w:r>
    </w:p>
    <w:p w14:paraId="69343785">
      <w:pPr>
        <w:keepNext w:val="0"/>
        <w:keepLines w:val="0"/>
        <w:pageBreakBefore w:val="0"/>
        <w:kinsoku/>
        <w:wordWrap/>
        <w:overflowPunct/>
        <w:topLinePunct w:val="0"/>
        <w:bidi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1.2.5 非实质性偏离</w:t>
      </w:r>
    </w:p>
    <w:p w14:paraId="55CF449C">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非实质性偏离是指响应文件在实质上响应</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文件的要求，但在个别地方存在一些不规则、不一致、不完整的内容，并且澄清、说明或者补正这些内容不会改变响应文件的实质性内容。以下情况属于非实质性偏离：</w:t>
      </w:r>
    </w:p>
    <w:p w14:paraId="5EA6DC16">
      <w:pPr>
        <w:keepNext w:val="0"/>
        <w:keepLines w:val="0"/>
        <w:pageBreakBefore w:val="0"/>
        <w:kinsoku/>
        <w:wordWrap/>
        <w:overflowPunct/>
        <w:topLinePunct w:val="0"/>
        <w:bidi w:val="0"/>
        <w:spacing w:line="48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（1）文字表述的内容含义不明确；</w:t>
      </w:r>
    </w:p>
    <w:p w14:paraId="5CA72514">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（2）同类问题表述不一致；</w:t>
      </w:r>
    </w:p>
    <w:p w14:paraId="1BC98CA2">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（3）有明显文字和计算错误；</w:t>
      </w:r>
    </w:p>
    <w:p w14:paraId="66C9EE46">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（4）提供的技术信息和数据资料不完整；</w:t>
      </w:r>
    </w:p>
    <w:p w14:paraId="62F8ECC4">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）响应文件未按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文件要求进行装订或未编制目录、页码或者页码混乱；</w:t>
      </w:r>
    </w:p>
    <w:p w14:paraId="6747CF2F">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小组认定的其他非实质性偏离。</w:t>
      </w:r>
    </w:p>
    <w:p w14:paraId="7C867937">
      <w:pPr>
        <w:keepNext w:val="0"/>
        <w:keepLines w:val="0"/>
        <w:pageBreakBefore w:val="0"/>
        <w:tabs>
          <w:tab w:val="left" w:pos="7665"/>
        </w:tabs>
        <w:kinsoku/>
        <w:wordWrap/>
        <w:overflowPunct/>
        <w:topLinePunct w:val="0"/>
        <w:bidi w:val="0"/>
        <w:spacing w:line="48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响应文件有上述（1）至（4）情形之一的，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 xml:space="preserve">小组应当书面要求供应商在规定的时间内予以澄清、说明或补正。 </w:t>
      </w:r>
    </w:p>
    <w:p w14:paraId="4F41A250">
      <w:pPr>
        <w:keepNext w:val="0"/>
        <w:keepLines w:val="0"/>
        <w:pageBreakBefore w:val="0"/>
        <w:tabs>
          <w:tab w:val="left" w:pos="0"/>
        </w:tabs>
        <w:kinsoku/>
        <w:wordWrap/>
        <w:overflowPunct/>
        <w:topLinePunct w:val="0"/>
        <w:bidi w:val="0"/>
        <w:adjustRightInd w:val="0"/>
        <w:snapToGrid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1.2.6 未通过符合性检查的供应商，不得进入后续</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 xml:space="preserve">环节。 </w:t>
      </w:r>
    </w:p>
    <w:p w14:paraId="6675CF70">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 响应文件的澄清</w:t>
      </w:r>
    </w:p>
    <w:p w14:paraId="4A92B173">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1.3.1对于响应文件（包括供应商首次提交和重新提交的响应文件）中含义不明确、同类问题表述不一致或者有明显文字和计算错误的内容，可以以书面形式要求供应商作出必要的澄清、说明或者补正。涉及响应文件资格部分的，由资格审查小组负责组织，涉及响应文件其他部分的，由磋商小组负责组织。</w:t>
      </w:r>
    </w:p>
    <w:p w14:paraId="0ABC6451">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1.3.2供应商的澄清、说明或者补正应当采用书面形式，并加盖单位章，或者由其法定代表人或其委托代理人签名。供应商的澄清、说明或者补正不得超出响应文件的范围或者改变响应文件的实质性内容，并构成为响应文件的组成部分。</w:t>
      </w:r>
    </w:p>
    <w:p w14:paraId="715EF5ED">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1.3.3对供应商提交的澄清、说明或者补正有疑问的，可以要求供应商进一步澄清、说明或者补正，直至满足资格审查小组或者磋商小组的要求。</w:t>
      </w:r>
    </w:p>
    <w:p w14:paraId="446E1059">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1.3.4 资格审查小组和磋商小组不得暗示或诱导供应商作出澄清、说明或者更正，不得接受供应商主动提出的澄清、说明或者补正。</w:t>
      </w:r>
    </w:p>
    <w:p w14:paraId="76745C14">
      <w:pPr>
        <w:keepNext w:val="0"/>
        <w:keepLines w:val="0"/>
        <w:pageBreakBefore w:val="0"/>
        <w:kinsoku/>
        <w:wordWrap/>
        <w:overflowPunct/>
        <w:topLinePunct w:val="0"/>
        <w:bidi w:val="0"/>
        <w:spacing w:line="480" w:lineRule="exact"/>
        <w:ind w:firstLine="480"/>
        <w:rPr>
          <w:rFonts w:hint="eastAsia" w:asciiTheme="minorEastAsia" w:hAnsiTheme="minorEastAsia" w:eastAsiaTheme="minorEastAsia" w:cstheme="minorEastAsia"/>
          <w:b/>
          <w:sz w:val="24"/>
          <w:szCs w:val="24"/>
          <w:highlight w:val="none"/>
        </w:rPr>
      </w:pPr>
      <w:bookmarkStart w:id="43" w:name="_Toc217446093"/>
      <w:r>
        <w:rPr>
          <w:rFonts w:hint="eastAsia" w:asciiTheme="minorEastAsia" w:hAnsiTheme="minorEastAsia" w:eastAsiaTheme="minorEastAsia" w:cstheme="minorEastAsia"/>
          <w:b/>
          <w:sz w:val="24"/>
          <w:szCs w:val="24"/>
          <w:highlight w:val="none"/>
        </w:rPr>
        <w:t>1.4.1磋商方式：</w:t>
      </w:r>
    </w:p>
    <w:p w14:paraId="46EC4192">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1.4.1.1 对资格性审查和符合性审查合格的供应商，进入本次采购活动的磋商环节。</w:t>
      </w:r>
    </w:p>
    <w:p w14:paraId="79E03219">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1.4.1.2 在磋商期间，供应商应派代表参加磋商，代表人数不超过</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1</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人。</w:t>
      </w:r>
    </w:p>
    <w:p w14:paraId="079A15F6">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1.4.1.3 磋商小组将通过随机方式确定供应商进行磋商的顺序，所有成员集中与单一供应商按照顺序分别进行磋商，</w:t>
      </w:r>
      <w:r>
        <w:rPr>
          <w:rFonts w:hint="eastAsia" w:asciiTheme="minorEastAsia" w:hAnsiTheme="minorEastAsia" w:eastAsiaTheme="minorEastAsia" w:cstheme="minorEastAsia"/>
          <w:sz w:val="24"/>
          <w:szCs w:val="24"/>
          <w:highlight w:val="none"/>
        </w:rPr>
        <w:t>并给予所有参加磋商的供应商平等的磋商机会</w:t>
      </w:r>
      <w:r>
        <w:rPr>
          <w:rFonts w:hint="eastAsia" w:asciiTheme="minorEastAsia" w:hAnsiTheme="minorEastAsia" w:eastAsiaTheme="minorEastAsia" w:cstheme="minorEastAsia"/>
          <w:color w:val="000000"/>
          <w:kern w:val="0"/>
          <w:sz w:val="24"/>
          <w:szCs w:val="24"/>
          <w:highlight w:val="none"/>
        </w:rPr>
        <w:t>。磋商的任何一方不得透露与磋商有关的其他供应商的技术资料、价格和其他信息。</w:t>
      </w:r>
    </w:p>
    <w:p w14:paraId="735646EE">
      <w:pPr>
        <w:keepNext w:val="0"/>
        <w:keepLines w:val="0"/>
        <w:pageBreakBefore w:val="0"/>
        <w:kinsoku/>
        <w:wordWrap/>
        <w:overflowPunct/>
        <w:topLinePunct w:val="0"/>
        <w:bidi w:val="0"/>
        <w:spacing w:line="480" w:lineRule="exact"/>
        <w:ind w:firstLine="793" w:firstLineChars="32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000000"/>
          <w:kern w:val="0"/>
          <w:sz w:val="24"/>
          <w:szCs w:val="24"/>
          <w:highlight w:val="none"/>
        </w:rPr>
        <w:t>1.4.1.4 技术磋商。</w:t>
      </w:r>
      <w:r>
        <w:rPr>
          <w:rFonts w:hint="eastAsia" w:asciiTheme="minorEastAsia" w:hAnsiTheme="minorEastAsia" w:eastAsiaTheme="minorEastAsia" w:cstheme="minorEastAsia"/>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425C3E9">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对磋商文件作出的实质性变动是磋商文件的有效组成部分，磋商小组应当及时以书面形式同时通知所有参加磋商的供应商。</w:t>
      </w:r>
    </w:p>
    <w:p w14:paraId="521B1ECB">
      <w:pPr>
        <w:keepNext w:val="0"/>
        <w:keepLines w:val="0"/>
        <w:pageBreakBefore w:val="0"/>
        <w:widowControl/>
        <w:kinsoku/>
        <w:wordWrap/>
        <w:overflowPunct/>
        <w:topLinePunct w:val="0"/>
        <w:bidi w:val="0"/>
        <w:spacing w:line="480" w:lineRule="exact"/>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z w:val="24"/>
          <w:szCs w:val="24"/>
          <w:highlight w:val="none"/>
        </w:rPr>
        <w:t>供应商应当按照磋商文件的变动情况和磋商小组的要求重新提交响应文件，并由其法定代表人或委托代理人签名或者加盖公章。</w:t>
      </w:r>
      <w:r>
        <w:rPr>
          <w:rFonts w:hint="eastAsia" w:asciiTheme="minorEastAsia" w:hAnsiTheme="minorEastAsia" w:eastAsiaTheme="minorEastAsia" w:cstheme="minorEastAsia"/>
          <w:snapToGrid w:val="0"/>
          <w:kern w:val="0"/>
          <w:sz w:val="24"/>
          <w:szCs w:val="24"/>
          <w:highlight w:val="none"/>
        </w:rPr>
        <w:t>由委托代理人签名的，应当附法定代表人授权书。供应商为自然人的，应当由本人签名并附身份证明。</w:t>
      </w:r>
    </w:p>
    <w:p w14:paraId="68D535CE">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磋商小组应当</w:t>
      </w:r>
      <w:r>
        <w:rPr>
          <w:rFonts w:hint="eastAsia" w:asciiTheme="minorEastAsia" w:hAnsiTheme="minorEastAsia" w:eastAsiaTheme="minorEastAsia" w:cstheme="minorEastAsia"/>
          <w:sz w:val="24"/>
          <w:szCs w:val="24"/>
          <w:highlight w:val="none"/>
        </w:rPr>
        <w:t>根据磋商文件规定</w:t>
      </w:r>
      <w:r>
        <w:rPr>
          <w:rFonts w:hint="eastAsia" w:asciiTheme="minorEastAsia" w:hAnsiTheme="minorEastAsia" w:eastAsiaTheme="minorEastAsia" w:cstheme="minorEastAsia"/>
          <w:kern w:val="0"/>
          <w:sz w:val="24"/>
          <w:szCs w:val="24"/>
          <w:highlight w:val="none"/>
        </w:rPr>
        <w:t>对供应商重新提交的响应文件进行符合性审查。供应商重新提交的响应文件未通过符合性审查的，不得进入商务磋商，也不得要求提交最后报价。</w:t>
      </w:r>
    </w:p>
    <w:p w14:paraId="2DD3F9C8">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1.4.1.5 商务磋商。</w:t>
      </w:r>
    </w:p>
    <w:p w14:paraId="73F7075A">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在技术磋商结束后，进行商务磋商。磋商文件能够详细列明采购标的的技术、工程量要求的，磋商小组应当要求所有实质性响应的供应商在规定时间内提交最后报价，提交最后报价的供应商不得少于3家；磋商文件不能详细列明采购标的的技术、工程量要求，需经磋商由供应商提供最终解决方案的，磋商小组应当按照少数服从多数的原则投票推荐3家以上供应商的解决方案，并要求其在规定时间内提交最后报价。</w:t>
      </w:r>
    </w:p>
    <w:p w14:paraId="71EB77C8">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1.4.1.6 已提交响应文件的供应商，在提交最后报价之前，可以根据磋商情况退出磋商，采购代理机构应当退还其磋商保证金。</w:t>
      </w:r>
    </w:p>
    <w:p w14:paraId="161BC29B">
      <w:pPr>
        <w:keepNext w:val="0"/>
        <w:keepLines w:val="0"/>
        <w:pageBreakBefore w:val="0"/>
        <w:kinsoku/>
        <w:wordWrap/>
        <w:overflowPunct/>
        <w:topLinePunct w:val="0"/>
        <w:bidi w:val="0"/>
        <w:spacing w:line="48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1.4.2磋商步骤：</w:t>
      </w:r>
    </w:p>
    <w:p w14:paraId="45DDA956">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1.4.2.1 第一轮磋商。磋商小组对进入第一轮磋商的供应商再次进行评审、质疑和澄清。在此阶段，磋商小组依据参加磋商的供应商递交的响应文件进行技术和商务磋商。</w:t>
      </w:r>
    </w:p>
    <w:p w14:paraId="49CC61F8">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可以根据实际需要提出方案和技术参数要求，与单一供应商分别进行磋商，并给予所有参加磋商的供应商平等的磋商机会。要求参加磋商的供应商重新承诺服务、技术要求和第二次磋商报价，以满足采购人的最大需求。</w:t>
      </w:r>
    </w:p>
    <w:p w14:paraId="79677D31">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1.4.2.2 第二轮磋商。对第一轮磋商结果不满意，磋商小组可以再次要求参加磋商的供应商进行第二轮磋商，磋商内容及要求与第一轮磋商相同。</w:t>
      </w:r>
    </w:p>
    <w:p w14:paraId="56234E82">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1.4.2.3 每轮磋商结束后，磋商小组对磋商情况进行讨论，综合考虑供应商提供的服务水平和性价比，有权对服务水平最差供应商或性价比最低点供应商进行淘汰，并将淘汰理由写入评审报告。</w:t>
      </w:r>
    </w:p>
    <w:p w14:paraId="18517D0B">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后一轮磋商报价高于前一轮磋商报价的供应商，视为其自动退出磋商，有磋商保证金的予以退还。</w:t>
      </w:r>
    </w:p>
    <w:p w14:paraId="16F5E65F">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1.4.2.4 磋商小组应在最后一轮磋商前告知所有符合磋商要求的供应商是否是最后一次磋商。</w:t>
      </w:r>
    </w:p>
    <w:p w14:paraId="7967E9D2">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1.4.2.5 最后一轮磋商结束后，磋商小组将对进入最后一轮的供应商的响应文件进行详细评审。</w:t>
      </w:r>
    </w:p>
    <w:p w14:paraId="43AA27A3">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1.5 最后报价</w:t>
      </w:r>
    </w:p>
    <w:p w14:paraId="27995EC9">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 供应商应当以书面形式提交最后报价（最后报价将作为综合评分法中价格分的计算依据），并由其法定代表人或者委托代理人签名或者加盖单位章。由委托代理人签名的，应当附法定代表人授权书。</w:t>
      </w:r>
    </w:p>
    <w:p w14:paraId="669496C2">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 最后报价是供应商响应文件的有效组成部分。</w:t>
      </w:r>
    </w:p>
    <w:p w14:paraId="3AD09A4A">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 最后报价仅向采购人及监督人员宣布，并由监督人员确认。</w:t>
      </w:r>
    </w:p>
    <w:p w14:paraId="5B4BBAD8">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1.6 响应文件详细评审</w:t>
      </w:r>
    </w:p>
    <w:p w14:paraId="5CB3A1EB">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经磋商确定最终采购需求和提交最后报价的供应商后，由磋商小组采用</w:t>
      </w:r>
      <w:r>
        <w:rPr>
          <w:rFonts w:hint="eastAsia" w:asciiTheme="minorEastAsia" w:hAnsiTheme="minorEastAsia" w:eastAsiaTheme="minorEastAsia" w:cstheme="minorEastAsia"/>
          <w:b/>
          <w:sz w:val="24"/>
          <w:szCs w:val="24"/>
          <w:highlight w:val="none"/>
        </w:rPr>
        <w:t>综合评分法</w:t>
      </w:r>
      <w:r>
        <w:rPr>
          <w:rFonts w:hint="eastAsia" w:asciiTheme="minorEastAsia" w:hAnsiTheme="minorEastAsia" w:eastAsiaTheme="minorEastAsia" w:cstheme="minorEastAsia"/>
          <w:sz w:val="24"/>
          <w:szCs w:val="24"/>
          <w:highlight w:val="none"/>
        </w:rPr>
        <w:t>对提交最后报价的供应商的响应文件和最后报价进行综合评分。</w:t>
      </w:r>
    </w:p>
    <w:p w14:paraId="7CAAAA7D">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1.7 复核与核对评审结果</w:t>
      </w:r>
    </w:p>
    <w:p w14:paraId="173129DB">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1.7.1 评分汇总结束后，磋商小组应当进行复核，特别要对拟推荐成交候选人的、最后报价最低的、响应文件被认定无效的进行重点复核。</w:t>
      </w:r>
    </w:p>
    <w:p w14:paraId="774D5F44">
      <w:pPr>
        <w:pStyle w:val="86"/>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1.7.2 评审结果汇总完成后，评审报告签署前，采购代理机构应当</w:t>
      </w:r>
      <w:r>
        <w:rPr>
          <w:rFonts w:hint="eastAsia" w:asciiTheme="minorEastAsia" w:hAnsiTheme="minorEastAsia" w:eastAsiaTheme="minorEastAsia" w:cstheme="minorEastAsia"/>
          <w:bCs/>
          <w:sz w:val="24"/>
          <w:szCs w:val="24"/>
          <w:highlight w:val="none"/>
        </w:rPr>
        <w:t>核对评审结果，</w:t>
      </w:r>
      <w:r>
        <w:rPr>
          <w:rFonts w:hint="eastAsia" w:asciiTheme="minorEastAsia" w:hAnsiTheme="minorEastAsia" w:eastAsiaTheme="minorEastAsia" w:cstheme="minorEastAsia"/>
          <w:sz w:val="24"/>
          <w:szCs w:val="24"/>
          <w:highlight w:val="none"/>
        </w:rPr>
        <w:t>除下列情形外，任何人不得修改评审结果：</w:t>
      </w:r>
    </w:p>
    <w:p w14:paraId="2B5540D6">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（1）资格性认定错误的；</w:t>
      </w:r>
    </w:p>
    <w:p w14:paraId="0800D916">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（2）分值汇总计算错误的；</w:t>
      </w:r>
    </w:p>
    <w:p w14:paraId="4265E942">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（3）分项评分超出评分标准范围的；</w:t>
      </w:r>
    </w:p>
    <w:p w14:paraId="4207A135">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（4）磋商小组对客观评审因素评分不一致的；</w:t>
      </w:r>
    </w:p>
    <w:p w14:paraId="380A7929">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（5）经磋商小组一致认定评分畸高、畸低的。</w:t>
      </w:r>
    </w:p>
    <w:p w14:paraId="0BC6DAB1">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复核发现存在以上情形之一（除资格性认定错误）的，磋商小组应当当场修改评审结果，并在评审报告中记载；经复核发现资格性认定错误的，由资格审查小组负责修改供应商资格审查报告，并通知磋商小组修改评审报告。</w:t>
      </w:r>
    </w:p>
    <w:p w14:paraId="21B05CB9">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sz w:val="24"/>
          <w:szCs w:val="24"/>
          <w:highlight w:val="none"/>
        </w:rPr>
        <w:t xml:space="preserve">1.8 </w:t>
      </w:r>
      <w:r>
        <w:rPr>
          <w:rFonts w:hint="eastAsia" w:asciiTheme="minorEastAsia" w:hAnsiTheme="minorEastAsia" w:eastAsiaTheme="minorEastAsia" w:cstheme="minorEastAsia"/>
          <w:b/>
          <w:color w:val="000000"/>
          <w:sz w:val="24"/>
          <w:szCs w:val="24"/>
          <w:highlight w:val="none"/>
        </w:rPr>
        <w:t>确定成交候选人名单</w:t>
      </w:r>
    </w:p>
    <w:p w14:paraId="30D68160">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确定成交候选人程序详</w:t>
      </w:r>
      <w:r>
        <w:rPr>
          <w:rFonts w:hint="eastAsia" w:asciiTheme="minorEastAsia" w:hAnsiTheme="minorEastAsia" w:eastAsiaTheme="minorEastAsia" w:cstheme="minorEastAsia"/>
          <w:sz w:val="24"/>
          <w:szCs w:val="24"/>
          <w:highlight w:val="none"/>
        </w:rPr>
        <w:t>见第二章第8.1、8.2条款。</w:t>
      </w:r>
    </w:p>
    <w:p w14:paraId="2A213EE7">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1.9 编写评审报告</w:t>
      </w:r>
    </w:p>
    <w:p w14:paraId="13A9D181">
      <w:pPr>
        <w:keepNext w:val="0"/>
        <w:keepLines w:val="0"/>
        <w:pageBreakBefore w:val="0"/>
        <w:kinsoku/>
        <w:wordWrap/>
        <w:overflowPunct/>
        <w:topLinePunct w:val="0"/>
        <w:bidi w:val="0"/>
        <w:spacing w:line="48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 磋商小组在确定成交候选人名单后，应当编写评审报告并向采购人出具。评审报告应当包括以下主要内容：</w:t>
      </w:r>
    </w:p>
    <w:p w14:paraId="48DD528D">
      <w:pPr>
        <w:keepNext w:val="0"/>
        <w:keepLines w:val="0"/>
        <w:pageBreakBefore w:val="0"/>
        <w:kinsoku/>
        <w:wordWrap/>
        <w:overflowPunct/>
        <w:topLinePunct w:val="0"/>
        <w:bidi w:val="0"/>
        <w:spacing w:line="480" w:lineRule="exact"/>
        <w:ind w:firstLine="482"/>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eastAsiaTheme="minorEastAsia" w:cstheme="minorEastAsia"/>
          <w:snapToGrid w:val="0"/>
          <w:kern w:val="0"/>
          <w:sz w:val="24"/>
          <w:szCs w:val="24"/>
          <w:highlight w:val="none"/>
        </w:rPr>
        <w:t>邀请供应商参加采购活动的具体方式和相关情况；</w:t>
      </w:r>
    </w:p>
    <w:p w14:paraId="77DFEC5E">
      <w:pPr>
        <w:keepNext w:val="0"/>
        <w:keepLines w:val="0"/>
        <w:pageBreakBefore w:val="0"/>
        <w:kinsoku/>
        <w:wordWrap/>
        <w:overflowPunct/>
        <w:topLinePunct w:val="0"/>
        <w:bidi w:val="0"/>
        <w:spacing w:line="480" w:lineRule="exact"/>
        <w:ind w:firstLine="482"/>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（2）响应文件开启日期和地点；</w:t>
      </w:r>
    </w:p>
    <w:p w14:paraId="665D8825">
      <w:pPr>
        <w:keepNext w:val="0"/>
        <w:keepLines w:val="0"/>
        <w:pageBreakBefore w:val="0"/>
        <w:kinsoku/>
        <w:wordWrap/>
        <w:overflowPunct/>
        <w:topLinePunct w:val="0"/>
        <w:bidi w:val="0"/>
        <w:spacing w:line="480" w:lineRule="exact"/>
        <w:ind w:firstLine="482"/>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（3）获取磋商文件的供应商名单和磋商小组成员名单；</w:t>
      </w:r>
    </w:p>
    <w:p w14:paraId="13B46059">
      <w:pPr>
        <w:keepNext w:val="0"/>
        <w:keepLines w:val="0"/>
        <w:pageBreakBefore w:val="0"/>
        <w:kinsoku/>
        <w:wordWrap/>
        <w:overflowPunct/>
        <w:topLinePunct w:val="0"/>
        <w:bidi w:val="0"/>
        <w:spacing w:line="480" w:lineRule="exact"/>
        <w:ind w:firstLine="482"/>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（4）评审情况记录和说明，包括对供应商响应文件评审情况、磋商情况（含磋商文件实质性变动情况）、报价情况等；</w:t>
      </w:r>
    </w:p>
    <w:p w14:paraId="706DA79B">
      <w:pPr>
        <w:keepNext w:val="0"/>
        <w:keepLines w:val="0"/>
        <w:pageBreakBefore w:val="0"/>
        <w:kinsoku/>
        <w:wordWrap/>
        <w:overflowPunct/>
        <w:topLinePunct w:val="0"/>
        <w:bidi w:val="0"/>
        <w:spacing w:line="480" w:lineRule="exact"/>
        <w:ind w:firstLine="482"/>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（5）提出的成交候选人的排序名单及理由。</w:t>
      </w:r>
    </w:p>
    <w:p w14:paraId="2617241D">
      <w:pPr>
        <w:keepNext w:val="0"/>
        <w:keepLines w:val="0"/>
        <w:pageBreakBefore w:val="0"/>
        <w:kinsoku/>
        <w:wordWrap/>
        <w:overflowPunct/>
        <w:topLinePunct w:val="0"/>
        <w:bidi w:val="0"/>
        <w:spacing w:line="480" w:lineRule="exact"/>
        <w:ind w:firstLine="482"/>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（6）其他需要说明的情况，包括评审过程中供应商根据磋商小组要求进行的澄清、说明或者更正，磋商小组成员的更换等，报价最高的供应商为第一中标候选人的，对其报价合理性予以特别书面。</w:t>
      </w:r>
    </w:p>
    <w:p w14:paraId="4EC45EF2">
      <w:pPr>
        <w:keepNext w:val="0"/>
        <w:keepLines w:val="0"/>
        <w:pageBreakBefore w:val="0"/>
        <w:widowControl/>
        <w:kinsoku/>
        <w:wordWrap/>
        <w:overflowPunct/>
        <w:topLinePunct w:val="0"/>
        <w:bidi w:val="0"/>
        <w:spacing w:line="480" w:lineRule="exact"/>
        <w:ind w:firstLine="480" w:firstLineChars="200"/>
        <w:rPr>
          <w:rFonts w:hint="eastAsia"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kern w:val="0"/>
          <w:sz w:val="24"/>
          <w:szCs w:val="24"/>
          <w:highlight w:val="none"/>
        </w:rPr>
        <w:t xml:space="preserve">1.9.2 </w:t>
      </w:r>
      <w:r>
        <w:rPr>
          <w:rFonts w:hint="eastAsia" w:asciiTheme="minorEastAsia" w:hAnsiTheme="minorEastAsia" w:eastAsiaTheme="minorEastAsia" w:cstheme="minorEastAsia"/>
          <w:snapToGrid w:val="0"/>
          <w:kern w:val="0"/>
          <w:sz w:val="24"/>
          <w:szCs w:val="24"/>
          <w:highlight w:val="none"/>
        </w:rPr>
        <w:t>评审报告应当由磋商小组全体人员签名认可。磋商小组成员对评审报告有异议的，磋商小组按照少数服从多数的原则推荐成交候选人名单，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58588619">
      <w:pPr>
        <w:keepNext w:val="0"/>
        <w:keepLines w:val="0"/>
        <w:pageBreakBefore w:val="0"/>
        <w:kinsoku/>
        <w:wordWrap/>
        <w:overflowPunct/>
        <w:topLinePunct w:val="0"/>
        <w:bidi w:val="0"/>
        <w:spacing w:line="480" w:lineRule="exact"/>
        <w:outlineLvl w:val="1"/>
        <w:rPr>
          <w:rFonts w:hint="eastAsia" w:asciiTheme="minorEastAsia" w:hAnsiTheme="minorEastAsia" w:eastAsiaTheme="minorEastAsia" w:cstheme="minorEastAsia"/>
          <w:b/>
          <w:color w:val="000000"/>
          <w:kern w:val="2"/>
          <w:sz w:val="24"/>
          <w:szCs w:val="24"/>
          <w:highlight w:val="none"/>
          <w:lang w:val="en-US" w:eastAsia="zh-CN" w:bidi="ar-SA"/>
        </w:rPr>
      </w:pPr>
      <w:bookmarkStart w:id="44" w:name="_Toc2533"/>
      <w:r>
        <w:rPr>
          <w:rFonts w:hint="eastAsia" w:asciiTheme="minorEastAsia" w:hAnsiTheme="minorEastAsia" w:eastAsiaTheme="minorEastAsia" w:cstheme="minorEastAsia"/>
          <w:b/>
          <w:color w:val="000000"/>
          <w:kern w:val="2"/>
          <w:sz w:val="24"/>
          <w:szCs w:val="24"/>
          <w:highlight w:val="none"/>
          <w:lang w:val="en-US" w:eastAsia="zh-CN" w:bidi="ar-SA"/>
        </w:rPr>
        <w:t>2.评审方法</w:t>
      </w:r>
      <w:bookmarkEnd w:id="44"/>
    </w:p>
    <w:p w14:paraId="3B926B6C">
      <w:pPr>
        <w:pStyle w:val="4"/>
        <w:keepNext w:val="0"/>
        <w:keepLines w:val="0"/>
        <w:pageBreakBefore w:val="0"/>
        <w:kinsoku/>
        <w:wordWrap/>
        <w:overflowPunct/>
        <w:topLinePunct w:val="0"/>
        <w:bidi w:val="0"/>
        <w:spacing w:line="480" w:lineRule="exact"/>
        <w:ind w:firstLine="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2.1 综合评分法</w:t>
      </w:r>
    </w:p>
    <w:p w14:paraId="7593212D">
      <w:pPr>
        <w:keepNext w:val="0"/>
        <w:keepLines w:val="0"/>
        <w:pageBreakBefore w:val="0"/>
        <w:kinsoku/>
        <w:wordWrap/>
        <w:overflowPunct/>
        <w:topLinePunct w:val="0"/>
        <w:bidi w:val="0"/>
        <w:spacing w:line="480" w:lineRule="exact"/>
        <w:ind w:firstLine="470" w:firstLineChars="196"/>
        <w:rPr>
          <w:rFonts w:hint="eastAsia" w:asciiTheme="minorEastAsia" w:hAnsiTheme="minorEastAsia" w:eastAsiaTheme="minorEastAsia" w:cstheme="minorEastAsia"/>
          <w:snapToGrid w:val="0"/>
          <w:color w:val="000000"/>
          <w:kern w:val="0"/>
          <w:sz w:val="24"/>
          <w:szCs w:val="24"/>
          <w:highlight w:val="none"/>
        </w:rPr>
      </w:pPr>
      <w:r>
        <w:rPr>
          <w:rFonts w:hint="eastAsia" w:asciiTheme="minorEastAsia" w:hAnsiTheme="minorEastAsia" w:eastAsiaTheme="minorEastAsia" w:cstheme="minorEastAsia"/>
          <w:color w:val="000000"/>
          <w:sz w:val="24"/>
          <w:szCs w:val="24"/>
          <w:highlight w:val="none"/>
        </w:rPr>
        <w:t>2.1.1 本采购项目评审方法采用综合评分法，</w:t>
      </w:r>
      <w:r>
        <w:rPr>
          <w:rFonts w:hint="eastAsia" w:asciiTheme="minorEastAsia" w:hAnsiTheme="minorEastAsia" w:eastAsiaTheme="minorEastAsia" w:cstheme="minorEastAsia"/>
          <w:snapToGrid w:val="0"/>
          <w:color w:val="000000"/>
          <w:kern w:val="0"/>
          <w:sz w:val="24"/>
          <w:szCs w:val="24"/>
          <w:highlight w:val="none"/>
        </w:rPr>
        <w:t>是指响应文件满足磋商文件全部实质性要求且按评审因素的量化指标评审得分最高的供应商为成交候选供应商的评审方法。</w:t>
      </w:r>
    </w:p>
    <w:p w14:paraId="7561270A">
      <w:pPr>
        <w:pStyle w:val="4"/>
        <w:keepNext w:val="0"/>
        <w:keepLines w:val="0"/>
        <w:pageBreakBefore w:val="0"/>
        <w:kinsoku/>
        <w:wordWrap/>
        <w:overflowPunct/>
        <w:topLinePunct w:val="0"/>
        <w:bidi w:val="0"/>
        <w:spacing w:line="480" w:lineRule="exact"/>
        <w:ind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2.1.2 综合评分法评审标准中的分值设置应当与评审因素的量化指标相对应。磋商文件中没有规定的评审标准不得作为评审依据。</w:t>
      </w:r>
    </w:p>
    <w:p w14:paraId="42B34BAE">
      <w:pPr>
        <w:keepNext w:val="0"/>
        <w:keepLines w:val="0"/>
        <w:pageBreakBefore w:val="0"/>
        <w:widowControl/>
        <w:kinsoku/>
        <w:wordWrap/>
        <w:overflowPunct/>
        <w:topLinePunct w:val="0"/>
        <w:autoSpaceDE w:val="0"/>
        <w:autoSpaceDN w:val="0"/>
        <w:bidi w:val="0"/>
        <w:spacing w:line="480" w:lineRule="exact"/>
        <w:ind w:right="51"/>
        <w:textAlignment w:val="bottom"/>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2.2 评审细则及标准</w:t>
      </w:r>
    </w:p>
    <w:p w14:paraId="3A3CA3E0">
      <w:pPr>
        <w:keepNext w:val="0"/>
        <w:keepLines w:val="0"/>
        <w:pageBreakBefore w:val="0"/>
        <w:tabs>
          <w:tab w:val="left" w:pos="0"/>
        </w:tabs>
        <w:kinsoku/>
        <w:wordWrap/>
        <w:overflowPunct/>
        <w:topLinePunct w:val="0"/>
        <w:bidi w:val="0"/>
        <w:adjustRightInd w:val="0"/>
        <w:snapToGrid w:val="0"/>
        <w:spacing w:line="48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2.2.1 评审因素</w:t>
      </w:r>
    </w:p>
    <w:p w14:paraId="53BA8ABA">
      <w:pPr>
        <w:keepNext w:val="0"/>
        <w:keepLines w:val="0"/>
        <w:pageBreakBefore w:val="0"/>
        <w:kinsoku/>
        <w:wordWrap/>
        <w:overflowPunct/>
        <w:topLinePunct w:val="0"/>
        <w:bidi w:val="0"/>
        <w:adjustRightInd w:val="0"/>
        <w:snapToGrid w:val="0"/>
        <w:spacing w:line="48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sz w:val="24"/>
          <w:szCs w:val="24"/>
          <w:highlight w:val="none"/>
        </w:rPr>
        <w:t>本采购项目评审因</w:t>
      </w:r>
      <w:r>
        <w:rPr>
          <w:rFonts w:hint="eastAsia" w:asciiTheme="minorEastAsia" w:hAnsiTheme="minorEastAsia" w:eastAsiaTheme="minorEastAsia" w:cstheme="minorEastAsia"/>
          <w:color w:val="auto"/>
          <w:sz w:val="24"/>
          <w:szCs w:val="24"/>
          <w:highlight w:val="none"/>
        </w:rPr>
        <w:t>素包括：</w:t>
      </w:r>
      <w:r>
        <w:rPr>
          <w:rFonts w:hint="eastAsia" w:asciiTheme="minorEastAsia" w:hAnsiTheme="minorEastAsia" w:eastAsiaTheme="minorEastAsia" w:cstheme="minorEastAsia"/>
          <w:b/>
          <w:color w:val="auto"/>
          <w:kern w:val="0"/>
          <w:sz w:val="24"/>
          <w:szCs w:val="24"/>
          <w:highlight w:val="none"/>
        </w:rPr>
        <w:t>磋商</w:t>
      </w:r>
      <w:r>
        <w:rPr>
          <w:rFonts w:hint="eastAsia" w:asciiTheme="minorEastAsia" w:hAnsiTheme="minorEastAsia" w:eastAsiaTheme="minorEastAsia" w:cstheme="minorEastAsia"/>
          <w:b/>
          <w:color w:val="auto"/>
          <w:kern w:val="0"/>
          <w:sz w:val="24"/>
          <w:szCs w:val="24"/>
          <w:highlight w:val="none"/>
          <w:lang w:val="en-US" w:eastAsia="zh-CN"/>
        </w:rPr>
        <w:t>最终</w:t>
      </w:r>
      <w:r>
        <w:rPr>
          <w:rFonts w:hint="eastAsia" w:asciiTheme="minorEastAsia" w:hAnsiTheme="minorEastAsia" w:eastAsiaTheme="minorEastAsia" w:cstheme="minorEastAsia"/>
          <w:b/>
          <w:color w:val="auto"/>
          <w:kern w:val="0"/>
          <w:sz w:val="24"/>
          <w:szCs w:val="24"/>
          <w:highlight w:val="none"/>
        </w:rPr>
        <w:t>报价、技术</w:t>
      </w:r>
      <w:r>
        <w:rPr>
          <w:rFonts w:hint="eastAsia" w:asciiTheme="minorEastAsia" w:hAnsiTheme="minorEastAsia" w:eastAsiaTheme="minorEastAsia" w:cstheme="minorEastAsia"/>
          <w:b/>
          <w:color w:val="auto"/>
          <w:kern w:val="0"/>
          <w:sz w:val="24"/>
          <w:szCs w:val="24"/>
          <w:highlight w:val="none"/>
          <w:lang w:val="en-US" w:eastAsia="zh-CN"/>
        </w:rPr>
        <w:t>要求</w:t>
      </w:r>
      <w:r>
        <w:rPr>
          <w:rFonts w:hint="eastAsia" w:asciiTheme="minorEastAsia" w:hAnsiTheme="minorEastAsia" w:eastAsiaTheme="minorEastAsia" w:cstheme="minorEastAsia"/>
          <w:b/>
          <w:color w:val="auto"/>
          <w:kern w:val="0"/>
          <w:sz w:val="24"/>
          <w:szCs w:val="24"/>
          <w:highlight w:val="none"/>
        </w:rPr>
        <w:t>、商务</w:t>
      </w:r>
      <w:r>
        <w:rPr>
          <w:rFonts w:hint="eastAsia" w:asciiTheme="minorEastAsia" w:hAnsiTheme="minorEastAsia" w:eastAsiaTheme="minorEastAsia" w:cstheme="minorEastAsia"/>
          <w:b/>
          <w:color w:val="auto"/>
          <w:kern w:val="0"/>
          <w:sz w:val="24"/>
          <w:szCs w:val="24"/>
          <w:highlight w:val="none"/>
          <w:lang w:val="en-US" w:eastAsia="zh-CN"/>
        </w:rPr>
        <w:t>要求</w:t>
      </w:r>
      <w:r>
        <w:rPr>
          <w:rFonts w:hint="eastAsia" w:asciiTheme="minorEastAsia" w:hAnsiTheme="minorEastAsia" w:eastAsiaTheme="minorEastAsia" w:cstheme="minorEastAsia"/>
          <w:color w:val="auto"/>
          <w:kern w:val="0"/>
          <w:sz w:val="24"/>
          <w:szCs w:val="24"/>
          <w:highlight w:val="none"/>
        </w:rPr>
        <w:t>等</w:t>
      </w:r>
      <w:r>
        <w:rPr>
          <w:rFonts w:hint="eastAsia" w:asciiTheme="minorEastAsia" w:hAnsiTheme="minorEastAsia" w:eastAsiaTheme="minorEastAsia" w:cstheme="minorEastAsia"/>
          <w:color w:val="auto"/>
          <w:sz w:val="24"/>
          <w:szCs w:val="24"/>
          <w:highlight w:val="none"/>
        </w:rPr>
        <w:t>对磋商文件的响应程度，以及相应的比重或者权值等，但不包括第二章第3.1条</w:t>
      </w:r>
      <w:r>
        <w:rPr>
          <w:rFonts w:hint="eastAsia" w:asciiTheme="minorEastAsia" w:hAnsiTheme="minorEastAsia" w:eastAsiaTheme="minorEastAsia" w:cstheme="minorEastAsia"/>
          <w:color w:val="auto"/>
          <w:kern w:val="0"/>
          <w:sz w:val="24"/>
          <w:szCs w:val="24"/>
          <w:highlight w:val="none"/>
          <w:lang w:val="zh-CN"/>
        </w:rPr>
        <w:t>款</w:t>
      </w:r>
      <w:r>
        <w:rPr>
          <w:rFonts w:hint="eastAsia" w:asciiTheme="minorEastAsia" w:hAnsiTheme="minorEastAsia" w:eastAsiaTheme="minorEastAsia" w:cstheme="minorEastAsia"/>
          <w:color w:val="auto"/>
          <w:sz w:val="24"/>
          <w:szCs w:val="24"/>
          <w:highlight w:val="none"/>
        </w:rPr>
        <w:t>规定的供应商资格条件。</w:t>
      </w:r>
      <w:r>
        <w:rPr>
          <w:rFonts w:hint="eastAsia" w:asciiTheme="minorEastAsia" w:hAnsiTheme="minorEastAsia" w:eastAsiaTheme="minorEastAsia" w:cstheme="minorEastAsia"/>
          <w:bCs/>
          <w:color w:val="auto"/>
          <w:sz w:val="24"/>
          <w:szCs w:val="24"/>
          <w:highlight w:val="none"/>
        </w:rPr>
        <w:t>项目的评标因素和标准见 “综合评分明细表”。</w:t>
      </w:r>
    </w:p>
    <w:p w14:paraId="171336B9">
      <w:pPr>
        <w:keepNext w:val="0"/>
        <w:keepLines w:val="0"/>
        <w:pageBreakBefore w:val="0"/>
        <w:tabs>
          <w:tab w:val="left" w:pos="0"/>
        </w:tabs>
        <w:kinsoku/>
        <w:wordWrap/>
        <w:overflowPunct/>
        <w:topLinePunct w:val="0"/>
        <w:bidi w:val="0"/>
        <w:adjustRightInd w:val="0"/>
        <w:snapToGrid w:val="0"/>
        <w:spacing w:line="480" w:lineRule="exact"/>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2.2.1 评审因素</w:t>
      </w:r>
    </w:p>
    <w:p w14:paraId="4AE812B9">
      <w:pPr>
        <w:keepNext w:val="0"/>
        <w:keepLines w:val="0"/>
        <w:pageBreakBefore w:val="0"/>
        <w:kinsoku/>
        <w:wordWrap/>
        <w:overflowPunct/>
        <w:topLinePunct w:val="0"/>
        <w:bidi w:val="0"/>
        <w:adjustRightInd w:val="0"/>
        <w:snapToGrid w:val="0"/>
        <w:spacing w:line="480" w:lineRule="exact"/>
        <w:ind w:firstLine="840" w:firstLineChars="3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本项目评审因素包括</w:t>
      </w:r>
      <w:r>
        <w:rPr>
          <w:rFonts w:hint="eastAsia" w:asciiTheme="minorEastAsia" w:hAnsiTheme="minorEastAsia" w:eastAsiaTheme="minorEastAsia" w:cstheme="minorEastAsia"/>
          <w:b/>
          <w:color w:val="000000"/>
          <w:kern w:val="0"/>
          <w:sz w:val="24"/>
          <w:szCs w:val="24"/>
          <w:highlight w:val="none"/>
        </w:rPr>
        <w:t>磋商报价、技术部分、商务部分</w:t>
      </w:r>
      <w:r>
        <w:rPr>
          <w:rFonts w:hint="eastAsia" w:asciiTheme="minorEastAsia" w:hAnsiTheme="minorEastAsia" w:eastAsiaTheme="minorEastAsia" w:cstheme="minorEastAsia"/>
          <w:color w:val="000000"/>
          <w:kern w:val="0"/>
          <w:sz w:val="24"/>
          <w:szCs w:val="24"/>
          <w:highlight w:val="none"/>
        </w:rPr>
        <w:t>等</w:t>
      </w:r>
      <w:r>
        <w:rPr>
          <w:rFonts w:hint="eastAsia" w:asciiTheme="minorEastAsia" w:hAnsiTheme="minorEastAsia" w:eastAsiaTheme="minorEastAsia" w:cstheme="minorEastAsia"/>
          <w:color w:val="000000"/>
          <w:sz w:val="24"/>
          <w:szCs w:val="24"/>
          <w:highlight w:val="none"/>
        </w:rPr>
        <w:t>对磋商文件的响应程度，以及相应的比重或者权值等，但不包括第二章第3.1条</w:t>
      </w:r>
      <w:r>
        <w:rPr>
          <w:rFonts w:hint="eastAsia" w:asciiTheme="minorEastAsia" w:hAnsiTheme="minorEastAsia" w:eastAsiaTheme="minorEastAsia" w:cstheme="minorEastAsia"/>
          <w:color w:val="000000"/>
          <w:kern w:val="0"/>
          <w:sz w:val="24"/>
          <w:szCs w:val="24"/>
          <w:highlight w:val="none"/>
          <w:lang w:val="zh-CN"/>
        </w:rPr>
        <w:t>款</w:t>
      </w:r>
      <w:r>
        <w:rPr>
          <w:rFonts w:hint="eastAsia" w:asciiTheme="minorEastAsia" w:hAnsiTheme="minorEastAsia" w:eastAsiaTheme="minorEastAsia" w:cstheme="minorEastAsia"/>
          <w:color w:val="000000"/>
          <w:sz w:val="24"/>
          <w:szCs w:val="24"/>
          <w:highlight w:val="none"/>
        </w:rPr>
        <w:t>规定的供应商资格条件。</w:t>
      </w:r>
      <w:r>
        <w:rPr>
          <w:rFonts w:hint="eastAsia" w:asciiTheme="minorEastAsia" w:hAnsiTheme="minorEastAsia" w:eastAsiaTheme="minorEastAsia" w:cstheme="minorEastAsia"/>
          <w:snapToGrid w:val="0"/>
          <w:color w:val="000000"/>
          <w:sz w:val="24"/>
          <w:szCs w:val="24"/>
          <w:highlight w:val="none"/>
        </w:rPr>
        <w:t xml:space="preserve"> </w:t>
      </w:r>
    </w:p>
    <w:p w14:paraId="666399AF">
      <w:pPr>
        <w:pStyle w:val="18"/>
        <w:keepNext w:val="0"/>
        <w:keepLines w:val="0"/>
        <w:pageBreakBefore w:val="0"/>
        <w:kinsoku/>
        <w:wordWrap/>
        <w:overflowPunct/>
        <w:topLinePunct w:val="0"/>
        <w:bidi w:val="0"/>
        <w:adjustRightInd w:val="0"/>
        <w:snapToGrid w:val="0"/>
        <w:spacing w:line="480" w:lineRule="exact"/>
        <w:ind w:firstLine="482" w:firstLineChars="200"/>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2.2.2 磋商报价评审</w:t>
      </w:r>
    </w:p>
    <w:p w14:paraId="63BAF57C">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2.2.2.1供应商的价格分，按照财政部财库〔[2014〕]214号文件第二十四条和财库〔2020〕46号文件的规定，采用低价优先法计算，以本次满足磋商文件要求的</w:t>
      </w:r>
      <w:r>
        <w:rPr>
          <w:rFonts w:hint="eastAsia" w:asciiTheme="minorEastAsia" w:hAnsiTheme="minorEastAsia" w:eastAsiaTheme="minorEastAsia" w:cstheme="minorEastAsia"/>
          <w:b/>
          <w:color w:val="000000"/>
          <w:sz w:val="24"/>
          <w:szCs w:val="24"/>
          <w:highlight w:val="none"/>
        </w:rPr>
        <w:t>最低磋商评审价为磋商基准价</w:t>
      </w:r>
      <w:r>
        <w:rPr>
          <w:rFonts w:hint="eastAsia" w:asciiTheme="minorEastAsia" w:hAnsiTheme="minorEastAsia" w:eastAsiaTheme="minorEastAsia" w:cstheme="minorEastAsia"/>
          <w:color w:val="000000"/>
          <w:sz w:val="24"/>
          <w:szCs w:val="24"/>
          <w:highlight w:val="none"/>
        </w:rPr>
        <w:t>，其价格为满分。</w:t>
      </w:r>
    </w:p>
    <w:p w14:paraId="0F53139B">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color w:val="000000"/>
          <w:sz w:val="24"/>
          <w:szCs w:val="24"/>
          <w:highlight w:val="none"/>
        </w:rPr>
        <w:t>2.2.2.2供应商的价格分，统一按照下列公式</w:t>
      </w:r>
      <w:r>
        <w:rPr>
          <w:rFonts w:hint="eastAsia" w:asciiTheme="minorEastAsia" w:hAnsiTheme="minorEastAsia" w:eastAsiaTheme="minorEastAsia" w:cstheme="minorEastAsia"/>
          <w:bCs/>
          <w:color w:val="000000"/>
          <w:sz w:val="24"/>
          <w:szCs w:val="24"/>
          <w:highlight w:val="none"/>
        </w:rPr>
        <w:t>计算：</w:t>
      </w:r>
    </w:p>
    <w:p w14:paraId="5CC0F2EF">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最后报价得分=(磋商基准价／最后报价)×100×价格权值</w:t>
      </w:r>
    </w:p>
    <w:p w14:paraId="15D33994">
      <w:pPr>
        <w:pStyle w:val="13"/>
        <w:keepNext w:val="0"/>
        <w:keepLines w:val="0"/>
        <w:pageBreakBefore w:val="0"/>
        <w:kinsoku/>
        <w:wordWrap/>
        <w:overflowPunct/>
        <w:topLinePunct w:val="0"/>
        <w:bidi w:val="0"/>
        <w:spacing w:after="0" w:line="48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本项目为专门面向中小企业，不再进行价格折扣。</w:t>
      </w:r>
    </w:p>
    <w:p w14:paraId="0E7B9746">
      <w:pPr>
        <w:pStyle w:val="19"/>
        <w:keepNext w:val="0"/>
        <w:keepLines w:val="0"/>
        <w:pageBreakBefore w:val="0"/>
        <w:widowControl/>
        <w:tabs>
          <w:tab w:val="left" w:pos="1506"/>
        </w:tabs>
        <w:kinsoku/>
        <w:wordWrap/>
        <w:overflowPunct/>
        <w:topLinePunct w:val="0"/>
        <w:bidi w:val="0"/>
        <w:adjustRightInd w:val="0"/>
        <w:snapToGrid w:val="0"/>
        <w:spacing w:line="480" w:lineRule="exact"/>
        <w:rPr>
          <w:rFonts w:hint="eastAsia" w:asciiTheme="minorEastAsia" w:hAnsiTheme="minorEastAsia" w:eastAsiaTheme="minorEastAsia" w:cstheme="minorEastAsia"/>
          <w:b/>
          <w:color w:val="000000"/>
          <w:kern w:val="2"/>
          <w:sz w:val="24"/>
          <w:szCs w:val="24"/>
          <w:highlight w:val="none"/>
          <w:lang w:val="en-US" w:eastAsia="zh-CN" w:bidi="ar-SA"/>
        </w:rPr>
      </w:pPr>
      <w:r>
        <w:rPr>
          <w:rFonts w:hint="eastAsia" w:asciiTheme="minorEastAsia" w:hAnsiTheme="minorEastAsia" w:eastAsiaTheme="minorEastAsia" w:cstheme="minorEastAsia"/>
          <w:b/>
          <w:color w:val="000000"/>
          <w:kern w:val="2"/>
          <w:sz w:val="24"/>
          <w:szCs w:val="24"/>
          <w:highlight w:val="none"/>
          <w:lang w:val="en-US" w:eastAsia="zh-CN" w:bidi="ar-SA"/>
        </w:rPr>
        <w:t>2.2.3技术、商务评价及政府采购政策评分</w:t>
      </w:r>
    </w:p>
    <w:p w14:paraId="6A6E69F0">
      <w:pPr>
        <w:pStyle w:val="19"/>
        <w:keepNext w:val="0"/>
        <w:keepLines w:val="0"/>
        <w:pageBreakBefore w:val="0"/>
        <w:widowControl/>
        <w:tabs>
          <w:tab w:val="left" w:pos="1506"/>
        </w:tabs>
        <w:kinsoku/>
        <w:wordWrap/>
        <w:overflowPunct/>
        <w:topLinePunct w:val="0"/>
        <w:bidi w:val="0"/>
        <w:adjustRightInd w:val="0"/>
        <w:snapToGrid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2.2.3.1技术、商务等评分项响应评分。按照 “综合评分明细表”规定的评审因素和标准，对技术、商务等评分项计算得分。</w:t>
      </w:r>
    </w:p>
    <w:p w14:paraId="7F804515">
      <w:pPr>
        <w:pStyle w:val="19"/>
        <w:keepNext w:val="0"/>
        <w:keepLines w:val="0"/>
        <w:pageBreakBefore w:val="0"/>
        <w:widowControl/>
        <w:tabs>
          <w:tab w:val="left" w:pos="1506"/>
        </w:tabs>
        <w:kinsoku/>
        <w:wordWrap/>
        <w:overflowPunct/>
        <w:topLinePunct w:val="0"/>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2.2.3.2如本服务项目含有货物采购的，且供应商提供货物（产品）</w:t>
      </w:r>
      <w:r>
        <w:rPr>
          <w:rFonts w:hint="eastAsia" w:asciiTheme="minorEastAsia" w:hAnsiTheme="minorEastAsia" w:eastAsiaTheme="minorEastAsia" w:cstheme="minorEastAsia"/>
          <w:color w:val="auto"/>
          <w:sz w:val="24"/>
          <w:szCs w:val="24"/>
          <w:highlight w:val="none"/>
        </w:rPr>
        <w:t>需落实政府采购政策（优先采购）的，对符合第二章第3.4.1条款规定条件的供应商，</w:t>
      </w:r>
      <w:r>
        <w:rPr>
          <w:rFonts w:hint="eastAsia" w:asciiTheme="minorEastAsia" w:hAnsiTheme="minorEastAsia" w:eastAsiaTheme="minorEastAsia" w:cstheme="minorEastAsia"/>
          <w:bCs/>
          <w:color w:val="auto"/>
          <w:sz w:val="24"/>
          <w:szCs w:val="24"/>
          <w:highlight w:val="none"/>
        </w:rPr>
        <w:t>按照 “综合评分明细表”的</w:t>
      </w:r>
      <w:r>
        <w:rPr>
          <w:rFonts w:hint="eastAsia" w:asciiTheme="minorEastAsia" w:hAnsiTheme="minorEastAsia" w:eastAsiaTheme="minorEastAsia" w:cstheme="minorEastAsia"/>
          <w:color w:val="auto"/>
          <w:sz w:val="24"/>
          <w:szCs w:val="24"/>
          <w:highlight w:val="none"/>
        </w:rPr>
        <w:t>相关标准进行评分。</w:t>
      </w:r>
    </w:p>
    <w:p w14:paraId="5066D608">
      <w:pPr>
        <w:pStyle w:val="19"/>
        <w:keepNext w:val="0"/>
        <w:keepLines w:val="0"/>
        <w:pageBreakBefore w:val="0"/>
        <w:widowControl/>
        <w:tabs>
          <w:tab w:val="left" w:pos="1506"/>
        </w:tabs>
        <w:kinsoku/>
        <w:wordWrap/>
        <w:overflowPunct/>
        <w:topLinePunct w:val="0"/>
        <w:bidi w:val="0"/>
        <w:adjustRightInd w:val="0"/>
        <w:snapToGrid w:val="0"/>
        <w:spacing w:line="48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2.2.4 评审总得分</w:t>
      </w:r>
    </w:p>
    <w:p w14:paraId="1BCDD518">
      <w:pPr>
        <w:pStyle w:val="19"/>
        <w:keepNext w:val="0"/>
        <w:keepLines w:val="0"/>
        <w:pageBreakBefore w:val="0"/>
        <w:widowControl/>
        <w:tabs>
          <w:tab w:val="left" w:pos="1506"/>
        </w:tabs>
        <w:kinsoku/>
        <w:wordWrap/>
        <w:overflowPunct/>
        <w:topLinePunct w:val="0"/>
        <w:bidi w:val="0"/>
        <w:adjustRightInd w:val="0"/>
        <w:snapToGrid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2.2.4.1磋商小组成员应当独立对每个供应商的响应文件进行评价，并汇总每个供应商的得分，</w:t>
      </w:r>
      <w:r>
        <w:rPr>
          <w:rFonts w:hint="eastAsia" w:asciiTheme="minorEastAsia" w:hAnsiTheme="minorEastAsia" w:eastAsiaTheme="minorEastAsia" w:cstheme="minorEastAsia"/>
          <w:color w:val="auto"/>
          <w:sz w:val="24"/>
          <w:szCs w:val="24"/>
          <w:highlight w:val="none"/>
        </w:rPr>
        <w:t>每个供应商的最终得分为所有磋商小组成员评分的算术平均值。</w:t>
      </w:r>
    </w:p>
    <w:p w14:paraId="2D97AA2D">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评审总得分＝F1＋F2＋……＋Fn</w:t>
      </w:r>
    </w:p>
    <w:p w14:paraId="6EF84260">
      <w:pPr>
        <w:pStyle w:val="19"/>
        <w:keepNext w:val="0"/>
        <w:keepLines w:val="0"/>
        <w:pageBreakBefore w:val="0"/>
        <w:widowControl/>
        <w:tabs>
          <w:tab w:val="left" w:pos="1506"/>
        </w:tabs>
        <w:kinsoku/>
        <w:wordWrap/>
        <w:overflowPunct/>
        <w:topLinePunct w:val="0"/>
        <w:bidi w:val="0"/>
        <w:adjustRightInd w:val="0"/>
        <w:snapToGrid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F1、F2……Fn分别为各项评审因素的汇总得分</w:t>
      </w:r>
    </w:p>
    <w:p w14:paraId="7219BFF6">
      <w:pPr>
        <w:pStyle w:val="19"/>
        <w:keepNext w:val="0"/>
        <w:keepLines w:val="0"/>
        <w:pageBreakBefore w:val="0"/>
        <w:widowControl/>
        <w:tabs>
          <w:tab w:val="left" w:pos="1506"/>
        </w:tabs>
        <w:kinsoku/>
        <w:wordWrap/>
        <w:overflowPunct/>
        <w:topLinePunct w:val="0"/>
        <w:bidi w:val="0"/>
        <w:adjustRightInd w:val="0"/>
        <w:snapToGrid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2.2.4.2评审过程中，不得去掉报价中的最高报价和最低报价。</w:t>
      </w:r>
    </w:p>
    <w:p w14:paraId="727F2DB7">
      <w:pPr>
        <w:keepNext w:val="0"/>
        <w:keepLines w:val="0"/>
        <w:pageBreakBefore w:val="0"/>
        <w:tabs>
          <w:tab w:val="left" w:pos="7665"/>
        </w:tabs>
        <w:kinsoku/>
        <w:wordWrap/>
        <w:overflowPunct/>
        <w:topLinePunct w:val="0"/>
        <w:bidi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2.2.5综合评分明细表</w:t>
      </w:r>
    </w:p>
    <w:p w14:paraId="7BBB9C1F">
      <w:pPr>
        <w:keepNext w:val="0"/>
        <w:keepLines w:val="0"/>
        <w:pageBreakBefore w:val="0"/>
        <w:tabs>
          <w:tab w:val="left" w:pos="7665"/>
        </w:tabs>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2.2.5.1综合评分明细表的制定以科学合理、降低磋商小组自由裁量权为原则。</w:t>
      </w:r>
    </w:p>
    <w:p w14:paraId="25F900B2">
      <w:pPr>
        <w:keepNext w:val="0"/>
        <w:keepLines w:val="0"/>
        <w:pageBreakBefore w:val="0"/>
        <w:tabs>
          <w:tab w:val="left" w:pos="7665"/>
        </w:tabs>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2.2.5.2 综合评分明细表</w:t>
      </w:r>
    </w:p>
    <w:p w14:paraId="54A1E6D6">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85E1E24">
      <w:pPr>
        <w:pStyle w:val="14"/>
        <w:tabs>
          <w:tab w:val="left" w:pos="600"/>
        </w:tabs>
        <w:spacing w:line="360" w:lineRule="auto"/>
        <w:ind w:firstLine="600"/>
        <w:jc w:val="center"/>
        <w:rPr>
          <w:rFonts w:hint="eastAsia" w:asciiTheme="minorEastAsia" w:hAnsiTheme="minorEastAsia" w:eastAsiaTheme="minorEastAsia" w:cstheme="minorEastAsia"/>
          <w:b/>
          <w:bCs/>
          <w:color w:val="auto"/>
          <w:szCs w:val="32"/>
          <w:highlight w:val="none"/>
        </w:rPr>
      </w:pPr>
      <w:r>
        <w:rPr>
          <w:rFonts w:hint="eastAsia" w:asciiTheme="minorEastAsia" w:hAnsiTheme="minorEastAsia" w:eastAsiaTheme="minorEastAsia" w:cstheme="minorEastAsia"/>
          <w:b/>
          <w:bCs/>
          <w:color w:val="auto"/>
          <w:szCs w:val="32"/>
          <w:highlight w:val="none"/>
        </w:rPr>
        <w:t>综合评分明细表</w:t>
      </w:r>
    </w:p>
    <w:tbl>
      <w:tblPr>
        <w:tblStyle w:val="30"/>
        <w:tblW w:w="9822"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735"/>
        <w:gridCol w:w="821"/>
        <w:gridCol w:w="785"/>
        <w:gridCol w:w="6981"/>
        <w:gridCol w:w="500"/>
      </w:tblGrid>
      <w:tr w14:paraId="374DB51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6" w:hRule="atLeast"/>
          <w:tblHeader/>
          <w:jc w:val="center"/>
        </w:trPr>
        <w:tc>
          <w:tcPr>
            <w:tcW w:w="1556" w:type="dxa"/>
            <w:gridSpan w:val="2"/>
            <w:tcMar>
              <w:top w:w="19" w:type="dxa"/>
              <w:left w:w="19" w:type="dxa"/>
              <w:bottom w:w="0" w:type="dxa"/>
              <w:right w:w="19" w:type="dxa"/>
            </w:tcMar>
            <w:vAlign w:val="center"/>
          </w:tcPr>
          <w:p w14:paraId="4FB81578">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评分因素</w:t>
            </w:r>
          </w:p>
        </w:tc>
        <w:tc>
          <w:tcPr>
            <w:tcW w:w="785" w:type="dxa"/>
            <w:tcMar>
              <w:top w:w="19" w:type="dxa"/>
              <w:left w:w="19" w:type="dxa"/>
              <w:bottom w:w="0" w:type="dxa"/>
              <w:right w:w="19" w:type="dxa"/>
            </w:tcMar>
            <w:vAlign w:val="center"/>
          </w:tcPr>
          <w:p w14:paraId="4D55FA20">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分值</w:t>
            </w:r>
          </w:p>
        </w:tc>
        <w:tc>
          <w:tcPr>
            <w:tcW w:w="6981" w:type="dxa"/>
            <w:tcMar>
              <w:top w:w="19" w:type="dxa"/>
              <w:left w:w="19" w:type="dxa"/>
              <w:bottom w:w="0" w:type="dxa"/>
              <w:right w:w="19" w:type="dxa"/>
            </w:tcMar>
            <w:vAlign w:val="center"/>
          </w:tcPr>
          <w:p w14:paraId="07E2134B">
            <w:pPr>
              <w:keepNext w:val="0"/>
              <w:keepLines w:val="0"/>
              <w:pageBreakBefore w:val="0"/>
              <w:widowControl w:val="0"/>
              <w:kinsoku/>
              <w:wordWrap/>
              <w:overflowPunct/>
              <w:topLinePunct w:val="0"/>
              <w:autoSpaceDE/>
              <w:autoSpaceDN/>
              <w:bidi w:val="0"/>
              <w:adjustRightInd w:val="0"/>
              <w:snapToGrid w:val="0"/>
              <w:spacing w:after="0" w:line="34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评分标准</w:t>
            </w:r>
          </w:p>
        </w:tc>
        <w:tc>
          <w:tcPr>
            <w:tcW w:w="500" w:type="dxa"/>
            <w:vAlign w:val="center"/>
          </w:tcPr>
          <w:p w14:paraId="66869BF1">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b/>
                <w:color w:val="000000"/>
                <w:sz w:val="21"/>
                <w:szCs w:val="21"/>
                <w:lang w:eastAsia="zh-CN"/>
              </w:rPr>
            </w:pPr>
            <w:r>
              <w:rPr>
                <w:rFonts w:hint="eastAsia" w:asciiTheme="minorEastAsia" w:hAnsiTheme="minorEastAsia" w:eastAsiaTheme="minorEastAsia" w:cstheme="minorEastAsia"/>
                <w:b/>
                <w:color w:val="000000"/>
                <w:sz w:val="21"/>
                <w:szCs w:val="21"/>
                <w:lang w:val="en-US" w:eastAsia="zh-CN"/>
              </w:rPr>
              <w:t>说明</w:t>
            </w:r>
          </w:p>
        </w:tc>
      </w:tr>
      <w:tr w14:paraId="23EA885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39" w:hRule="atLeast"/>
          <w:jc w:val="center"/>
        </w:trPr>
        <w:tc>
          <w:tcPr>
            <w:tcW w:w="1556" w:type="dxa"/>
            <w:gridSpan w:val="2"/>
            <w:tcMar>
              <w:top w:w="19" w:type="dxa"/>
              <w:left w:w="19" w:type="dxa"/>
              <w:bottom w:w="0" w:type="dxa"/>
              <w:right w:w="19" w:type="dxa"/>
            </w:tcMar>
            <w:vAlign w:val="center"/>
          </w:tcPr>
          <w:p w14:paraId="66143F34">
            <w:pPr>
              <w:keepNext w:val="0"/>
              <w:keepLines w:val="0"/>
              <w:pageBreakBefore w:val="0"/>
              <w:kinsoku/>
              <w:wordWrap/>
              <w:overflowPunct/>
              <w:topLinePunct w:val="0"/>
              <w:autoSpaceDE/>
              <w:autoSpaceDN/>
              <w:bidi w:val="0"/>
              <w:adjustRightInd w:val="0"/>
              <w:snapToGrid w:val="0"/>
              <w:spacing w:line="340" w:lineRule="exact"/>
              <w:ind w:right="115" w:rightChars="55" w:firstLine="420" w:firstLineChars="200"/>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报价</w:t>
            </w:r>
          </w:p>
        </w:tc>
        <w:tc>
          <w:tcPr>
            <w:tcW w:w="785" w:type="dxa"/>
            <w:tcMar>
              <w:top w:w="19" w:type="dxa"/>
              <w:left w:w="19" w:type="dxa"/>
              <w:bottom w:w="0" w:type="dxa"/>
              <w:right w:w="19" w:type="dxa"/>
            </w:tcMar>
            <w:vAlign w:val="center"/>
          </w:tcPr>
          <w:p w14:paraId="546E2469">
            <w:pPr>
              <w:keepNext w:val="0"/>
              <w:keepLines w:val="0"/>
              <w:pageBreakBefore w:val="0"/>
              <w:kinsoku/>
              <w:wordWrap/>
              <w:overflowPunct/>
              <w:topLinePunct w:val="0"/>
              <w:autoSpaceDE/>
              <w:autoSpaceDN/>
              <w:bidi w:val="0"/>
              <w:adjustRightInd w:val="0"/>
              <w:snapToGrid w:val="0"/>
              <w:spacing w:line="340" w:lineRule="exact"/>
              <w:ind w:left="0" w:leftChars="0" w:right="115" w:rightChars="55" w:firstLine="0" w:firstLineChars="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30分</w:t>
            </w:r>
          </w:p>
        </w:tc>
        <w:tc>
          <w:tcPr>
            <w:tcW w:w="6981" w:type="dxa"/>
            <w:tcMar>
              <w:top w:w="19" w:type="dxa"/>
              <w:left w:w="19" w:type="dxa"/>
              <w:bottom w:w="0" w:type="dxa"/>
              <w:right w:w="19" w:type="dxa"/>
            </w:tcMar>
            <w:vAlign w:val="center"/>
          </w:tcPr>
          <w:p w14:paraId="36E27A7D">
            <w:pPr>
              <w:keepNext w:val="0"/>
              <w:keepLines w:val="0"/>
              <w:pageBreakBefore w:val="0"/>
              <w:kinsoku/>
              <w:wordWrap/>
              <w:overflowPunct/>
              <w:topLinePunct w:val="0"/>
              <w:autoSpaceDE/>
              <w:autoSpaceDN/>
              <w:bidi w:val="0"/>
              <w:adjustRightInd w:val="0"/>
              <w:snapToGrid w:val="0"/>
              <w:spacing w:line="340" w:lineRule="exact"/>
              <w:ind w:right="115" w:rightChars="55" w:firstLine="420" w:firstLineChars="20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按本章第2.1.2条款规定进行评审</w:t>
            </w:r>
          </w:p>
          <w:p w14:paraId="4459A18D">
            <w:pPr>
              <w:keepNext w:val="0"/>
              <w:keepLines w:val="0"/>
              <w:pageBreakBefore w:val="0"/>
              <w:kinsoku/>
              <w:wordWrap/>
              <w:overflowPunct/>
              <w:topLinePunct w:val="0"/>
              <w:autoSpaceDE/>
              <w:autoSpaceDN/>
              <w:bidi w:val="0"/>
              <w:adjustRightInd w:val="0"/>
              <w:snapToGrid w:val="0"/>
              <w:spacing w:line="340" w:lineRule="exact"/>
              <w:ind w:right="115" w:rightChars="55" w:firstLine="420" w:firstLineChars="20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价格分采用低价优先法计算，即满足磋商文件要求且最终磋商价最低的投标报价为评标基准价，其价格分为满分，计30分；满足磋商文件要求且磋商价格最低的磋商报价为评标基准价，其他磋商人的价格分按照公式计算：</w:t>
            </w:r>
          </w:p>
          <w:p w14:paraId="2C15960D">
            <w:pPr>
              <w:keepNext w:val="0"/>
              <w:keepLines w:val="0"/>
              <w:pageBreakBefore w:val="0"/>
              <w:kinsoku/>
              <w:wordWrap/>
              <w:overflowPunct/>
              <w:topLinePunct w:val="0"/>
              <w:autoSpaceDE/>
              <w:autoSpaceDN/>
              <w:bidi w:val="0"/>
              <w:adjustRightInd w:val="0"/>
              <w:snapToGrid w:val="0"/>
              <w:spacing w:line="340" w:lineRule="exact"/>
              <w:ind w:right="115" w:rightChars="55"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报价得分=（评标基准价／磋商报价）×价格权值×100。</w:t>
            </w:r>
          </w:p>
        </w:tc>
        <w:tc>
          <w:tcPr>
            <w:tcW w:w="500" w:type="dxa"/>
            <w:vAlign w:val="center"/>
          </w:tcPr>
          <w:p w14:paraId="0CFBCCCA">
            <w:pPr>
              <w:keepNext w:val="0"/>
              <w:keepLines w:val="0"/>
              <w:pageBreakBefore w:val="0"/>
              <w:kinsoku/>
              <w:wordWrap/>
              <w:overflowPunct/>
              <w:topLinePunct w:val="0"/>
              <w:autoSpaceDE/>
              <w:autoSpaceDN/>
              <w:bidi w:val="0"/>
              <w:adjustRightInd w:val="0"/>
              <w:snapToGrid w:val="0"/>
              <w:spacing w:after="0" w:line="340" w:lineRule="exact"/>
              <w:jc w:val="center"/>
              <w:rPr>
                <w:rFonts w:hint="eastAsia" w:asciiTheme="minorEastAsia" w:hAnsiTheme="minorEastAsia" w:eastAsiaTheme="minorEastAsia" w:cstheme="minorEastAsia"/>
                <w:color w:val="000000"/>
                <w:sz w:val="21"/>
                <w:szCs w:val="21"/>
              </w:rPr>
            </w:pPr>
          </w:p>
        </w:tc>
      </w:tr>
      <w:tr w14:paraId="1A0E847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21" w:hRule="atLeast"/>
          <w:jc w:val="center"/>
        </w:trPr>
        <w:tc>
          <w:tcPr>
            <w:tcW w:w="735" w:type="dxa"/>
            <w:vMerge w:val="restart"/>
            <w:tcBorders>
              <w:right w:val="single" w:color="auto" w:sz="4" w:space="0"/>
            </w:tcBorders>
            <w:tcMar>
              <w:top w:w="19" w:type="dxa"/>
              <w:left w:w="19" w:type="dxa"/>
              <w:bottom w:w="0" w:type="dxa"/>
              <w:right w:w="19" w:type="dxa"/>
            </w:tcMar>
            <w:vAlign w:val="center"/>
          </w:tcPr>
          <w:p w14:paraId="71B6E7A7">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技术部分（</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5 分）</w:t>
            </w:r>
          </w:p>
        </w:tc>
        <w:tc>
          <w:tcPr>
            <w:tcW w:w="821" w:type="dxa"/>
            <w:tcBorders>
              <w:left w:val="single" w:color="auto" w:sz="4" w:space="0"/>
            </w:tcBorders>
            <w:tcMar>
              <w:top w:w="19" w:type="dxa"/>
              <w:left w:w="19" w:type="dxa"/>
              <w:bottom w:w="0" w:type="dxa"/>
              <w:right w:w="19" w:type="dxa"/>
            </w:tcMar>
            <w:vAlign w:val="center"/>
          </w:tcPr>
          <w:p w14:paraId="631BF0BD">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绩效管理咨询</w:t>
            </w:r>
            <w:r>
              <w:rPr>
                <w:rFonts w:hint="eastAsia" w:asciiTheme="minorEastAsia" w:hAnsiTheme="minorEastAsia" w:eastAsiaTheme="minorEastAsia" w:cstheme="minorEastAsia"/>
                <w:color w:val="000000"/>
                <w:sz w:val="21"/>
                <w:szCs w:val="21"/>
              </w:rPr>
              <w:t>技术实施方案的评价</w:t>
            </w:r>
          </w:p>
        </w:tc>
        <w:tc>
          <w:tcPr>
            <w:tcW w:w="785" w:type="dxa"/>
            <w:tcMar>
              <w:top w:w="19" w:type="dxa"/>
              <w:left w:w="19" w:type="dxa"/>
              <w:bottom w:w="0" w:type="dxa"/>
              <w:right w:w="19" w:type="dxa"/>
            </w:tcMar>
            <w:vAlign w:val="center"/>
          </w:tcPr>
          <w:p w14:paraId="3DA875F2">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25</w:t>
            </w:r>
            <w:r>
              <w:rPr>
                <w:rFonts w:hint="eastAsia" w:asciiTheme="minorEastAsia" w:hAnsiTheme="minorEastAsia" w:eastAsiaTheme="minorEastAsia" w:cstheme="minorEastAsia"/>
                <w:color w:val="000000"/>
                <w:sz w:val="21"/>
                <w:szCs w:val="21"/>
              </w:rPr>
              <w:t>分</w:t>
            </w:r>
          </w:p>
        </w:tc>
        <w:tc>
          <w:tcPr>
            <w:tcW w:w="6981" w:type="dxa"/>
            <w:tcMar>
              <w:top w:w="19" w:type="dxa"/>
              <w:left w:w="19" w:type="dxa"/>
              <w:bottom w:w="0" w:type="dxa"/>
              <w:right w:w="19" w:type="dxa"/>
            </w:tcMar>
            <w:vAlign w:val="center"/>
          </w:tcPr>
          <w:p w14:paraId="7F11F72D">
            <w:pPr>
              <w:keepNext w:val="0"/>
              <w:keepLines w:val="0"/>
              <w:pageBreakBefore w:val="0"/>
              <w:kinsoku/>
              <w:wordWrap/>
              <w:overflowPunct/>
              <w:topLinePunct w:val="0"/>
              <w:autoSpaceDE/>
              <w:autoSpaceDN/>
              <w:bidi w:val="0"/>
              <w:adjustRightInd w:val="0"/>
              <w:snapToGrid w:val="0"/>
              <w:spacing w:line="340" w:lineRule="exact"/>
              <w:ind w:right="115" w:rightChars="55" w:firstLine="420" w:firstLineChars="200"/>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rPr>
              <w:t>供应商提供项目</w:t>
            </w:r>
            <w:r>
              <w:rPr>
                <w:rFonts w:hint="eastAsia" w:asciiTheme="minorEastAsia" w:hAnsiTheme="minorEastAsia" w:eastAsiaTheme="minorEastAsia" w:cstheme="minorEastAsia"/>
                <w:color w:val="000000"/>
                <w:sz w:val="21"/>
                <w:szCs w:val="21"/>
                <w:lang w:val="en-US" w:eastAsia="zh-CN"/>
              </w:rPr>
              <w:t>绩效管理咨询</w:t>
            </w:r>
            <w:r>
              <w:rPr>
                <w:rFonts w:hint="eastAsia" w:asciiTheme="minorEastAsia" w:hAnsiTheme="minorEastAsia" w:eastAsiaTheme="minorEastAsia" w:cstheme="minorEastAsia"/>
                <w:color w:val="000000"/>
                <w:sz w:val="21"/>
                <w:szCs w:val="21"/>
              </w:rPr>
              <w:t>技术实施方案</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highlight w:val="none"/>
              </w:rPr>
              <w:t>内容</w:t>
            </w:r>
            <w:r>
              <w:rPr>
                <w:rFonts w:hint="eastAsia" w:asciiTheme="minorEastAsia" w:hAnsiTheme="minorEastAsia" w:eastAsiaTheme="minorEastAsia" w:cstheme="minorEastAsia"/>
                <w:color w:val="000000"/>
                <w:sz w:val="21"/>
                <w:szCs w:val="21"/>
                <w:lang w:val="en-US" w:eastAsia="zh-CN"/>
              </w:rPr>
              <w:t>包括：</w:t>
            </w:r>
            <w:r>
              <w:rPr>
                <w:rFonts w:hint="eastAsia" w:asciiTheme="minorEastAsia" w:hAnsiTheme="minorEastAsia" w:eastAsiaTheme="minorEastAsia" w:cstheme="minorEastAsia"/>
                <w:color w:val="000000"/>
                <w:sz w:val="21"/>
                <w:szCs w:val="21"/>
              </w:rPr>
              <w:t>①项目调研方案；②</w:t>
            </w:r>
            <w:r>
              <w:rPr>
                <w:rFonts w:hint="eastAsia" w:asciiTheme="minorEastAsia" w:hAnsiTheme="minorEastAsia" w:eastAsiaTheme="minorEastAsia" w:cstheme="minorEastAsia"/>
                <w:color w:val="000000"/>
                <w:sz w:val="21"/>
                <w:szCs w:val="21"/>
                <w:highlight w:val="none"/>
              </w:rPr>
              <w:t>成本管控方案</w:t>
            </w:r>
            <w:r>
              <w:rPr>
                <w:rFonts w:hint="eastAsia" w:asciiTheme="minorEastAsia" w:hAnsiTheme="minorEastAsia" w:eastAsiaTheme="minorEastAsia" w:cstheme="minorEastAsia"/>
                <w:color w:val="000000"/>
                <w:sz w:val="21"/>
                <w:szCs w:val="21"/>
              </w:rPr>
              <w:t>；③医院绩效考核方案；④绩效</w:t>
            </w:r>
            <w:r>
              <w:rPr>
                <w:rFonts w:hint="eastAsia" w:asciiTheme="minorEastAsia" w:hAnsiTheme="minorEastAsia" w:eastAsiaTheme="minorEastAsia" w:cstheme="minorEastAsia"/>
                <w:color w:val="000000"/>
                <w:sz w:val="21"/>
                <w:szCs w:val="21"/>
                <w:lang w:val="en-US" w:eastAsia="zh-CN"/>
              </w:rPr>
              <w:t>工资</w:t>
            </w:r>
            <w:r>
              <w:rPr>
                <w:rFonts w:hint="eastAsia" w:asciiTheme="minorEastAsia" w:hAnsiTheme="minorEastAsia" w:eastAsiaTheme="minorEastAsia" w:cstheme="minorEastAsia"/>
                <w:color w:val="000000"/>
                <w:sz w:val="21"/>
                <w:szCs w:val="21"/>
              </w:rPr>
              <w:t>分配方案</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highlight w:val="none"/>
              </w:rPr>
              <w:t>⑤</w:t>
            </w:r>
            <w:r>
              <w:rPr>
                <w:rFonts w:hint="eastAsia" w:asciiTheme="minorEastAsia" w:hAnsiTheme="minorEastAsia" w:eastAsiaTheme="minorEastAsia" w:cstheme="minorEastAsia"/>
                <w:color w:val="000000"/>
                <w:sz w:val="21"/>
                <w:szCs w:val="21"/>
                <w:highlight w:val="none"/>
                <w:lang w:val="en-US" w:eastAsia="zh-CN"/>
              </w:rPr>
              <w:t>成功案例分享</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项目预期及合理化建议等；</w:t>
            </w:r>
          </w:p>
          <w:p w14:paraId="7CF7F517">
            <w:pPr>
              <w:keepNext w:val="0"/>
              <w:keepLines w:val="0"/>
              <w:pageBreakBefore w:val="0"/>
              <w:kinsoku/>
              <w:wordWrap/>
              <w:overflowPunct/>
              <w:topLinePunct w:val="0"/>
              <w:autoSpaceDE/>
              <w:autoSpaceDN/>
              <w:bidi w:val="0"/>
              <w:adjustRightInd w:val="0"/>
              <w:snapToGrid w:val="0"/>
              <w:spacing w:line="340" w:lineRule="exact"/>
              <w:ind w:right="115" w:rightChars="55"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评审要求如下：</w:t>
            </w:r>
          </w:p>
          <w:p w14:paraId="4902BC29">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1.绩效管理咨询技术实施方案具体全面；</w:t>
            </w:r>
          </w:p>
          <w:p w14:paraId="53078F06">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2.绩效管理咨询技术实施方案针对性强；</w:t>
            </w:r>
          </w:p>
          <w:p w14:paraId="7F9D3C16">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3.绩效管理咨询技术实施方案科学合理；</w:t>
            </w:r>
          </w:p>
          <w:p w14:paraId="02F6F17B">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4.绩效管理咨询技术实施方案可操作性强。</w:t>
            </w:r>
          </w:p>
          <w:p w14:paraId="109FE1FC">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color w:val="000000"/>
                <w:kern w:val="0"/>
                <w:sz w:val="21"/>
                <w:szCs w:val="21"/>
                <w:highlight w:val="none"/>
                <w:lang w:val="en-US" w:eastAsia="zh-CN" w:bidi="ar-SA"/>
              </w:rPr>
              <w:t>本项评审要求全部满足的得25分；满足本项评审要求任意三项的得22分；满足本项评审要求任意二项的得18分；满足本项评审要求任意一项的得8分；完全不满足的不得分。</w:t>
            </w:r>
          </w:p>
        </w:tc>
        <w:tc>
          <w:tcPr>
            <w:tcW w:w="500" w:type="dxa"/>
            <w:vAlign w:val="center"/>
          </w:tcPr>
          <w:p w14:paraId="5F462D98">
            <w:pPr>
              <w:keepNext w:val="0"/>
              <w:keepLines w:val="0"/>
              <w:pageBreakBefore w:val="0"/>
              <w:kinsoku/>
              <w:wordWrap/>
              <w:overflowPunct/>
              <w:topLinePunct w:val="0"/>
              <w:autoSpaceDE/>
              <w:autoSpaceDN/>
              <w:bidi w:val="0"/>
              <w:adjustRightInd w:val="0"/>
              <w:snapToGrid w:val="0"/>
              <w:spacing w:line="340" w:lineRule="exact"/>
              <w:jc w:val="center"/>
              <w:rPr>
                <w:rFonts w:hint="eastAsia" w:asciiTheme="minorEastAsia" w:hAnsiTheme="minorEastAsia" w:eastAsiaTheme="minorEastAsia" w:cstheme="minorEastAsia"/>
                <w:color w:val="000000"/>
                <w:sz w:val="21"/>
                <w:szCs w:val="21"/>
              </w:rPr>
            </w:pPr>
          </w:p>
        </w:tc>
      </w:tr>
      <w:tr w14:paraId="3C18695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855" w:hRule="atLeast"/>
          <w:jc w:val="center"/>
        </w:trPr>
        <w:tc>
          <w:tcPr>
            <w:tcW w:w="735" w:type="dxa"/>
            <w:vMerge w:val="continue"/>
            <w:tcBorders>
              <w:right w:val="single" w:color="auto" w:sz="4" w:space="0"/>
            </w:tcBorders>
            <w:tcMar>
              <w:top w:w="19" w:type="dxa"/>
              <w:left w:w="19" w:type="dxa"/>
              <w:bottom w:w="0" w:type="dxa"/>
              <w:right w:w="19" w:type="dxa"/>
            </w:tcMar>
            <w:vAlign w:val="center"/>
          </w:tcPr>
          <w:p w14:paraId="28E7D7A2">
            <w:pPr>
              <w:keepNext w:val="0"/>
              <w:keepLines w:val="0"/>
              <w:pageBreakBefore w:val="0"/>
              <w:kinsoku/>
              <w:wordWrap/>
              <w:overflowPunct/>
              <w:topLinePunct w:val="0"/>
              <w:autoSpaceDE/>
              <w:autoSpaceDN/>
              <w:bidi w:val="0"/>
              <w:adjustRightInd w:val="0"/>
              <w:snapToGrid w:val="0"/>
              <w:spacing w:line="340" w:lineRule="exact"/>
              <w:jc w:val="center"/>
              <w:rPr>
                <w:rFonts w:hint="eastAsia" w:asciiTheme="minorEastAsia" w:hAnsiTheme="minorEastAsia" w:eastAsiaTheme="minorEastAsia" w:cstheme="minorEastAsia"/>
                <w:color w:val="000000"/>
                <w:sz w:val="21"/>
                <w:szCs w:val="21"/>
                <w:highlight w:val="none"/>
              </w:rPr>
            </w:pPr>
          </w:p>
        </w:tc>
        <w:tc>
          <w:tcPr>
            <w:tcW w:w="821" w:type="dxa"/>
            <w:tcBorders>
              <w:left w:val="single" w:color="auto" w:sz="4" w:space="0"/>
            </w:tcBorders>
            <w:tcMar>
              <w:top w:w="19" w:type="dxa"/>
              <w:left w:w="19" w:type="dxa"/>
              <w:bottom w:w="0" w:type="dxa"/>
              <w:right w:w="19" w:type="dxa"/>
            </w:tcMar>
            <w:vAlign w:val="center"/>
          </w:tcPr>
          <w:p w14:paraId="00C33E1C">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项目全期工作规划</w:t>
            </w:r>
            <w:r>
              <w:rPr>
                <w:rFonts w:hint="eastAsia" w:asciiTheme="minorEastAsia" w:hAnsiTheme="minorEastAsia" w:eastAsiaTheme="minorEastAsia" w:cstheme="minorEastAsia"/>
                <w:color w:val="000000"/>
                <w:sz w:val="21"/>
                <w:szCs w:val="21"/>
                <w:lang w:val="en-US" w:eastAsia="zh-CN"/>
              </w:rPr>
              <w:t>方案</w:t>
            </w:r>
          </w:p>
        </w:tc>
        <w:tc>
          <w:tcPr>
            <w:tcW w:w="785" w:type="dxa"/>
            <w:tcMar>
              <w:top w:w="19" w:type="dxa"/>
              <w:left w:w="19" w:type="dxa"/>
              <w:bottom w:w="0" w:type="dxa"/>
              <w:right w:w="19" w:type="dxa"/>
            </w:tcMar>
            <w:vAlign w:val="center"/>
          </w:tcPr>
          <w:p w14:paraId="4BD89237">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分</w:t>
            </w:r>
          </w:p>
        </w:tc>
        <w:tc>
          <w:tcPr>
            <w:tcW w:w="6981" w:type="dxa"/>
            <w:tcMar>
              <w:top w:w="19" w:type="dxa"/>
              <w:left w:w="19" w:type="dxa"/>
              <w:bottom w:w="0" w:type="dxa"/>
              <w:right w:w="19" w:type="dxa"/>
            </w:tcMar>
            <w:vAlign w:val="center"/>
          </w:tcPr>
          <w:p w14:paraId="2C525A45">
            <w:pPr>
              <w:keepNext w:val="0"/>
              <w:keepLines w:val="0"/>
              <w:pageBreakBefore w:val="0"/>
              <w:kinsoku/>
              <w:wordWrap/>
              <w:overflowPunct/>
              <w:topLinePunct w:val="0"/>
              <w:autoSpaceDE/>
              <w:autoSpaceDN/>
              <w:bidi w:val="0"/>
              <w:adjustRightInd w:val="0"/>
              <w:snapToGrid w:val="0"/>
              <w:spacing w:line="340" w:lineRule="exact"/>
              <w:ind w:right="115" w:rightChars="55"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根据供应商编制的项目全期</w:t>
            </w:r>
            <w:r>
              <w:rPr>
                <w:rFonts w:hint="eastAsia" w:asciiTheme="minorEastAsia" w:hAnsiTheme="minorEastAsia" w:eastAsiaTheme="minorEastAsia" w:cstheme="minorEastAsia"/>
                <w:color w:val="000000"/>
                <w:sz w:val="21"/>
                <w:szCs w:val="21"/>
                <w:lang w:val="en-US" w:eastAsia="zh-CN"/>
              </w:rPr>
              <w:t>进度</w:t>
            </w:r>
            <w:r>
              <w:rPr>
                <w:rFonts w:hint="eastAsia" w:asciiTheme="minorEastAsia" w:hAnsiTheme="minorEastAsia" w:eastAsiaTheme="minorEastAsia" w:cstheme="minorEastAsia"/>
                <w:color w:val="000000"/>
                <w:sz w:val="21"/>
                <w:szCs w:val="21"/>
              </w:rPr>
              <w:t>规划方案进行评审</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highlight w:val="none"/>
              </w:rPr>
              <w:t>内容</w:t>
            </w:r>
            <w:r>
              <w:rPr>
                <w:rFonts w:hint="eastAsia" w:asciiTheme="minorEastAsia" w:hAnsiTheme="minorEastAsia" w:eastAsiaTheme="minorEastAsia" w:cstheme="minorEastAsia"/>
                <w:color w:val="000000"/>
                <w:sz w:val="21"/>
                <w:szCs w:val="21"/>
                <w:lang w:val="en-US" w:eastAsia="zh-CN"/>
              </w:rPr>
              <w:t>包括：</w:t>
            </w:r>
            <w:r>
              <w:rPr>
                <w:rFonts w:hint="eastAsia" w:asciiTheme="minorEastAsia" w:hAnsiTheme="minorEastAsia" w:eastAsiaTheme="minorEastAsia" w:cstheme="minorEastAsia"/>
                <w:color w:val="000000"/>
                <w:sz w:val="21"/>
                <w:szCs w:val="21"/>
              </w:rPr>
              <w:t>①项目阶段</w:t>
            </w:r>
            <w:r>
              <w:rPr>
                <w:rFonts w:hint="eastAsia" w:asciiTheme="minorEastAsia" w:hAnsiTheme="minorEastAsia" w:eastAsiaTheme="minorEastAsia" w:cstheme="minorEastAsia"/>
                <w:color w:val="000000"/>
                <w:sz w:val="21"/>
                <w:szCs w:val="21"/>
                <w:lang w:val="en-US" w:eastAsia="zh-CN"/>
              </w:rPr>
              <w:t>划分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②项目阶段时间</w:t>
            </w:r>
            <w:r>
              <w:rPr>
                <w:rFonts w:hint="eastAsia" w:asciiTheme="minorEastAsia" w:hAnsiTheme="minorEastAsia" w:eastAsiaTheme="minorEastAsia" w:cstheme="minorEastAsia"/>
                <w:color w:val="000000"/>
                <w:sz w:val="21"/>
                <w:szCs w:val="21"/>
                <w:lang w:val="en-US" w:eastAsia="zh-CN"/>
              </w:rPr>
              <w:t>安排</w:t>
            </w:r>
            <w:r>
              <w:rPr>
                <w:rFonts w:hint="eastAsia" w:asciiTheme="minorEastAsia" w:hAnsiTheme="minorEastAsia" w:eastAsiaTheme="minorEastAsia" w:cstheme="minorEastAsia"/>
                <w:color w:val="000000"/>
                <w:sz w:val="21"/>
                <w:szCs w:val="21"/>
                <w:lang w:eastAsia="zh-CN"/>
              </w:rPr>
              <w:t>；③项目</w:t>
            </w:r>
            <w:r>
              <w:rPr>
                <w:rFonts w:hint="eastAsia" w:asciiTheme="minorEastAsia" w:hAnsiTheme="minorEastAsia" w:eastAsiaTheme="minorEastAsia" w:cstheme="minorEastAsia"/>
                <w:color w:val="000000"/>
                <w:sz w:val="21"/>
                <w:szCs w:val="21"/>
                <w:lang w:val="en-US" w:eastAsia="zh-CN"/>
              </w:rPr>
              <w:t>各阶段</w:t>
            </w:r>
            <w:r>
              <w:rPr>
                <w:rFonts w:hint="eastAsia" w:asciiTheme="minorEastAsia" w:hAnsiTheme="minorEastAsia" w:eastAsiaTheme="minorEastAsia" w:cstheme="minorEastAsia"/>
                <w:color w:val="000000"/>
                <w:sz w:val="21"/>
                <w:szCs w:val="21"/>
                <w:lang w:eastAsia="zh-CN"/>
              </w:rPr>
              <w:t>工作主要内容；④</w:t>
            </w:r>
            <w:r>
              <w:rPr>
                <w:rFonts w:hint="eastAsia" w:asciiTheme="minorEastAsia" w:hAnsiTheme="minorEastAsia" w:eastAsiaTheme="minorEastAsia" w:cstheme="minorEastAsia"/>
                <w:color w:val="000000"/>
                <w:sz w:val="21"/>
                <w:szCs w:val="21"/>
                <w:lang w:val="en-US" w:eastAsia="zh-CN"/>
              </w:rPr>
              <w:t>项目进度保障；</w:t>
            </w:r>
          </w:p>
          <w:p w14:paraId="6EDBA5EB">
            <w:pPr>
              <w:keepNext w:val="0"/>
              <w:keepLines w:val="0"/>
              <w:pageBreakBefore w:val="0"/>
              <w:kinsoku/>
              <w:wordWrap/>
              <w:overflowPunct/>
              <w:topLinePunct w:val="0"/>
              <w:autoSpaceDE/>
              <w:autoSpaceDN/>
              <w:bidi w:val="0"/>
              <w:adjustRightInd w:val="0"/>
              <w:snapToGrid w:val="0"/>
              <w:spacing w:line="340" w:lineRule="exact"/>
              <w:ind w:right="115" w:rightChars="55"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评审要求如下：</w:t>
            </w:r>
          </w:p>
          <w:p w14:paraId="4BB92C16">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1.项目全期进度规划方案具体全面；</w:t>
            </w:r>
          </w:p>
          <w:p w14:paraId="0BB2A2D3">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2.项目全期进度规划方案针对性强；</w:t>
            </w:r>
          </w:p>
          <w:p w14:paraId="63F95D71">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3.项目全期进度规划方案科学合理；</w:t>
            </w:r>
          </w:p>
          <w:p w14:paraId="7C9B4471">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4.项目全期进度规划方案可操作性强。</w:t>
            </w:r>
          </w:p>
          <w:p w14:paraId="47B2FFD0">
            <w:pPr>
              <w:keepNext w:val="0"/>
              <w:keepLines w:val="0"/>
              <w:pageBreakBefore w:val="0"/>
              <w:kinsoku/>
              <w:wordWrap/>
              <w:overflowPunct/>
              <w:topLinePunct w:val="0"/>
              <w:autoSpaceDE/>
              <w:autoSpaceDN/>
              <w:bidi w:val="0"/>
              <w:adjustRightInd w:val="0"/>
              <w:snapToGrid w:val="0"/>
              <w:spacing w:line="340" w:lineRule="exact"/>
              <w:ind w:right="115" w:rightChars="55"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本项评审要求全部满足</w:t>
            </w:r>
            <w:r>
              <w:rPr>
                <w:rFonts w:hint="eastAsia" w:asciiTheme="minorEastAsia" w:hAnsiTheme="minorEastAsia" w:eastAsiaTheme="minorEastAsia" w:cstheme="minorEastAsia"/>
                <w:color w:val="000000"/>
                <w:sz w:val="21"/>
                <w:szCs w:val="21"/>
                <w:lang w:val="en-US" w:eastAsia="zh-CN"/>
              </w:rPr>
              <w:t>的得6分</w:t>
            </w:r>
            <w:r>
              <w:rPr>
                <w:rFonts w:hint="eastAsia" w:asciiTheme="minorEastAsia" w:hAnsiTheme="minorEastAsia" w:eastAsiaTheme="minorEastAsia" w:cstheme="minorEastAsia"/>
                <w:color w:val="000000"/>
                <w:sz w:val="21"/>
                <w:szCs w:val="21"/>
              </w:rPr>
              <w:t>；满足本项评审要求任意三项</w:t>
            </w:r>
            <w:r>
              <w:rPr>
                <w:rFonts w:hint="eastAsia" w:asciiTheme="minorEastAsia" w:hAnsiTheme="minorEastAsia" w:eastAsiaTheme="minorEastAsia" w:cstheme="minorEastAsia"/>
                <w:color w:val="000000"/>
                <w:sz w:val="21"/>
                <w:szCs w:val="21"/>
                <w:lang w:val="en-US" w:eastAsia="zh-CN"/>
              </w:rPr>
              <w:t>的得4分</w:t>
            </w:r>
            <w:r>
              <w:rPr>
                <w:rFonts w:hint="eastAsia" w:asciiTheme="minorEastAsia" w:hAnsiTheme="minorEastAsia" w:eastAsiaTheme="minorEastAsia" w:cstheme="minorEastAsia"/>
                <w:color w:val="000000"/>
                <w:sz w:val="21"/>
                <w:szCs w:val="21"/>
              </w:rPr>
              <w:t>；满足本项评审要求任意二项</w:t>
            </w:r>
            <w:r>
              <w:rPr>
                <w:rFonts w:hint="eastAsia" w:asciiTheme="minorEastAsia" w:hAnsiTheme="minorEastAsia" w:eastAsiaTheme="minorEastAsia" w:cstheme="minorEastAsia"/>
                <w:color w:val="000000"/>
                <w:sz w:val="21"/>
                <w:szCs w:val="21"/>
                <w:lang w:val="en-US" w:eastAsia="zh-CN"/>
              </w:rPr>
              <w:t>的得2分</w:t>
            </w:r>
            <w:r>
              <w:rPr>
                <w:rFonts w:hint="eastAsia" w:asciiTheme="minorEastAsia" w:hAnsiTheme="minorEastAsia" w:eastAsiaTheme="minorEastAsia" w:cstheme="minorEastAsia"/>
                <w:color w:val="000000"/>
                <w:sz w:val="21"/>
                <w:szCs w:val="21"/>
              </w:rPr>
              <w:t>；满足本项评审要求任意一项</w:t>
            </w:r>
            <w:r>
              <w:rPr>
                <w:rFonts w:hint="eastAsia" w:asciiTheme="minorEastAsia" w:hAnsiTheme="minorEastAsia" w:eastAsiaTheme="minorEastAsia" w:cstheme="minorEastAsia"/>
                <w:color w:val="000000"/>
                <w:sz w:val="21"/>
                <w:szCs w:val="21"/>
                <w:lang w:val="en-US" w:eastAsia="zh-CN"/>
              </w:rPr>
              <w:t>的得1分；</w:t>
            </w:r>
            <w:r>
              <w:rPr>
                <w:rFonts w:hint="eastAsia" w:asciiTheme="minorEastAsia" w:hAnsiTheme="minorEastAsia" w:eastAsiaTheme="minorEastAsia" w:cstheme="minorEastAsia"/>
                <w:color w:val="000000"/>
                <w:sz w:val="21"/>
                <w:szCs w:val="21"/>
              </w:rPr>
              <w:t>完全不满足</w:t>
            </w:r>
            <w:r>
              <w:rPr>
                <w:rFonts w:hint="eastAsia" w:asciiTheme="minorEastAsia" w:hAnsiTheme="minorEastAsia" w:eastAsiaTheme="minorEastAsia" w:cstheme="minorEastAsia"/>
                <w:color w:val="000000"/>
                <w:sz w:val="21"/>
                <w:szCs w:val="21"/>
                <w:lang w:val="en-US" w:eastAsia="zh-CN"/>
              </w:rPr>
              <w:t>的不得分</w:t>
            </w:r>
            <w:r>
              <w:rPr>
                <w:rFonts w:hint="eastAsia" w:asciiTheme="minorEastAsia" w:hAnsiTheme="minorEastAsia" w:eastAsiaTheme="minorEastAsia" w:cstheme="minorEastAsia"/>
                <w:color w:val="000000"/>
                <w:sz w:val="21"/>
                <w:szCs w:val="21"/>
              </w:rPr>
              <w:t>。</w:t>
            </w:r>
          </w:p>
        </w:tc>
        <w:tc>
          <w:tcPr>
            <w:tcW w:w="500" w:type="dxa"/>
            <w:vAlign w:val="center"/>
          </w:tcPr>
          <w:p w14:paraId="5D627E97">
            <w:pPr>
              <w:keepNext w:val="0"/>
              <w:keepLines w:val="0"/>
              <w:pageBreakBefore w:val="0"/>
              <w:kinsoku/>
              <w:wordWrap/>
              <w:overflowPunct/>
              <w:topLinePunct w:val="0"/>
              <w:autoSpaceDE/>
              <w:autoSpaceDN/>
              <w:bidi w:val="0"/>
              <w:adjustRightInd w:val="0"/>
              <w:snapToGrid w:val="0"/>
              <w:spacing w:line="340" w:lineRule="exact"/>
              <w:jc w:val="center"/>
              <w:rPr>
                <w:rFonts w:hint="eastAsia" w:asciiTheme="minorEastAsia" w:hAnsiTheme="minorEastAsia" w:eastAsiaTheme="minorEastAsia" w:cstheme="minorEastAsia"/>
                <w:color w:val="000000"/>
                <w:sz w:val="21"/>
                <w:szCs w:val="21"/>
                <w:highlight w:val="none"/>
                <w:lang w:eastAsia="zh-CN"/>
              </w:rPr>
            </w:pPr>
          </w:p>
        </w:tc>
      </w:tr>
      <w:tr w14:paraId="5685939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740" w:hRule="atLeast"/>
          <w:jc w:val="center"/>
        </w:trPr>
        <w:tc>
          <w:tcPr>
            <w:tcW w:w="735" w:type="dxa"/>
            <w:vMerge w:val="continue"/>
            <w:tcBorders>
              <w:right w:val="single" w:color="auto" w:sz="4" w:space="0"/>
            </w:tcBorders>
            <w:tcMar>
              <w:top w:w="19" w:type="dxa"/>
              <w:left w:w="19" w:type="dxa"/>
              <w:bottom w:w="0" w:type="dxa"/>
              <w:right w:w="19" w:type="dxa"/>
            </w:tcMar>
            <w:vAlign w:val="center"/>
          </w:tcPr>
          <w:p w14:paraId="6372BCC2">
            <w:pPr>
              <w:keepNext w:val="0"/>
              <w:keepLines w:val="0"/>
              <w:pageBreakBefore w:val="0"/>
              <w:kinsoku/>
              <w:wordWrap/>
              <w:overflowPunct/>
              <w:topLinePunct w:val="0"/>
              <w:autoSpaceDE/>
              <w:autoSpaceDN/>
              <w:bidi w:val="0"/>
              <w:adjustRightInd w:val="0"/>
              <w:snapToGrid w:val="0"/>
              <w:spacing w:line="340" w:lineRule="exact"/>
              <w:jc w:val="center"/>
              <w:rPr>
                <w:rFonts w:hint="eastAsia" w:asciiTheme="minorEastAsia" w:hAnsiTheme="minorEastAsia" w:eastAsiaTheme="minorEastAsia" w:cstheme="minorEastAsia"/>
                <w:color w:val="000000"/>
                <w:sz w:val="21"/>
                <w:szCs w:val="21"/>
                <w:highlight w:val="none"/>
              </w:rPr>
            </w:pPr>
          </w:p>
        </w:tc>
        <w:tc>
          <w:tcPr>
            <w:tcW w:w="821" w:type="dxa"/>
            <w:tcBorders>
              <w:left w:val="single" w:color="auto" w:sz="4" w:space="0"/>
            </w:tcBorders>
            <w:tcMar>
              <w:top w:w="19" w:type="dxa"/>
              <w:left w:w="19" w:type="dxa"/>
              <w:bottom w:w="0" w:type="dxa"/>
              <w:right w:w="19" w:type="dxa"/>
            </w:tcMar>
            <w:vAlign w:val="center"/>
          </w:tcPr>
          <w:p w14:paraId="301D3845">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培训</w:t>
            </w:r>
            <w:r>
              <w:rPr>
                <w:rFonts w:hint="eastAsia" w:asciiTheme="minorEastAsia" w:hAnsiTheme="minorEastAsia" w:eastAsiaTheme="minorEastAsia" w:cstheme="minorEastAsia"/>
                <w:color w:val="000000"/>
                <w:sz w:val="21"/>
                <w:szCs w:val="21"/>
                <w:lang w:val="en-US" w:eastAsia="zh-CN"/>
              </w:rPr>
              <w:t>及辅导方案</w:t>
            </w:r>
          </w:p>
        </w:tc>
        <w:tc>
          <w:tcPr>
            <w:tcW w:w="785" w:type="dxa"/>
            <w:tcMar>
              <w:top w:w="19" w:type="dxa"/>
              <w:left w:w="19" w:type="dxa"/>
              <w:bottom w:w="0" w:type="dxa"/>
              <w:right w:w="19" w:type="dxa"/>
            </w:tcMar>
            <w:vAlign w:val="center"/>
          </w:tcPr>
          <w:p w14:paraId="40FA01DC">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分</w:t>
            </w:r>
          </w:p>
        </w:tc>
        <w:tc>
          <w:tcPr>
            <w:tcW w:w="6981" w:type="dxa"/>
            <w:tcMar>
              <w:top w:w="19" w:type="dxa"/>
              <w:left w:w="19" w:type="dxa"/>
              <w:bottom w:w="0" w:type="dxa"/>
              <w:right w:w="19" w:type="dxa"/>
            </w:tcMar>
            <w:vAlign w:val="center"/>
          </w:tcPr>
          <w:p w14:paraId="040D2E06">
            <w:pPr>
              <w:keepNext w:val="0"/>
              <w:keepLines w:val="0"/>
              <w:pageBreakBefore w:val="0"/>
              <w:kinsoku/>
              <w:wordWrap/>
              <w:overflowPunct/>
              <w:topLinePunct w:val="0"/>
              <w:autoSpaceDE/>
              <w:autoSpaceDN/>
              <w:bidi w:val="0"/>
              <w:adjustRightInd w:val="0"/>
              <w:snapToGrid w:val="0"/>
              <w:spacing w:line="340" w:lineRule="exact"/>
              <w:ind w:right="115" w:rightChars="55"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根据</w:t>
            </w:r>
            <w:r>
              <w:rPr>
                <w:rFonts w:hint="eastAsia" w:asciiTheme="minorEastAsia" w:hAnsiTheme="minorEastAsia" w:eastAsiaTheme="minorEastAsia" w:cstheme="minorEastAsia"/>
                <w:color w:val="000000"/>
                <w:sz w:val="21"/>
                <w:szCs w:val="21"/>
              </w:rPr>
              <w:t>供应商提供的</w:t>
            </w:r>
            <w:r>
              <w:rPr>
                <w:rFonts w:hint="eastAsia" w:asciiTheme="minorEastAsia" w:hAnsiTheme="minorEastAsia" w:eastAsiaTheme="minorEastAsia" w:cstheme="minorEastAsia"/>
                <w:color w:val="000000"/>
                <w:sz w:val="21"/>
                <w:szCs w:val="21"/>
                <w:lang w:val="en-US" w:eastAsia="zh-CN"/>
              </w:rPr>
              <w:t>辅导及培训方案进行评审，</w:t>
            </w:r>
            <w:r>
              <w:rPr>
                <w:rFonts w:hint="eastAsia" w:asciiTheme="minorEastAsia" w:hAnsiTheme="minorEastAsia" w:eastAsiaTheme="minorEastAsia" w:cstheme="minorEastAsia"/>
                <w:color w:val="000000"/>
                <w:sz w:val="21"/>
                <w:szCs w:val="21"/>
                <w:highlight w:val="none"/>
              </w:rPr>
              <w:t>内容</w:t>
            </w:r>
            <w:r>
              <w:rPr>
                <w:rFonts w:hint="eastAsia" w:asciiTheme="minorEastAsia" w:hAnsiTheme="minorEastAsia" w:eastAsiaTheme="minorEastAsia" w:cstheme="minorEastAsia"/>
                <w:color w:val="000000"/>
                <w:sz w:val="21"/>
                <w:szCs w:val="21"/>
                <w:lang w:val="en-US" w:eastAsia="zh-CN"/>
              </w:rPr>
              <w:t>包括：</w:t>
            </w:r>
            <w:r>
              <w:rPr>
                <w:rFonts w:hint="eastAsia" w:asciiTheme="minorEastAsia" w:hAnsiTheme="minorEastAsia" w:eastAsiaTheme="minorEastAsia" w:cstheme="minorEastAsia"/>
                <w:color w:val="000000"/>
                <w:sz w:val="21"/>
                <w:szCs w:val="21"/>
              </w:rPr>
              <w:t>①</w:t>
            </w:r>
            <w:r>
              <w:rPr>
                <w:rFonts w:hint="eastAsia" w:asciiTheme="minorEastAsia" w:hAnsiTheme="minorEastAsia" w:eastAsiaTheme="minorEastAsia" w:cstheme="minorEastAsia"/>
                <w:color w:val="000000"/>
                <w:sz w:val="21"/>
                <w:szCs w:val="21"/>
                <w:lang w:val="en-US" w:eastAsia="zh-CN"/>
              </w:rPr>
              <w:t>实施辅导服务内容；</w:t>
            </w:r>
            <w:r>
              <w:rPr>
                <w:rFonts w:hint="eastAsia" w:asciiTheme="minorEastAsia" w:hAnsiTheme="minorEastAsia" w:eastAsiaTheme="minorEastAsia" w:cstheme="minorEastAsia"/>
                <w:color w:val="000000"/>
                <w:sz w:val="21"/>
                <w:szCs w:val="21"/>
              </w:rPr>
              <w:t>②</w:t>
            </w:r>
            <w:r>
              <w:rPr>
                <w:rFonts w:hint="eastAsia" w:asciiTheme="minorEastAsia" w:hAnsiTheme="minorEastAsia" w:eastAsiaTheme="minorEastAsia" w:cstheme="minorEastAsia"/>
                <w:color w:val="000000"/>
                <w:sz w:val="21"/>
                <w:szCs w:val="21"/>
                <w:lang w:val="en-US" w:eastAsia="zh-CN"/>
              </w:rPr>
              <w:t>培训背景、目标、思路概述；</w:t>
            </w:r>
            <w:r>
              <w:rPr>
                <w:rFonts w:hint="eastAsia" w:asciiTheme="minorEastAsia" w:hAnsiTheme="minorEastAsia" w:eastAsiaTheme="minorEastAsia" w:cstheme="minorEastAsia"/>
                <w:color w:val="000000"/>
                <w:sz w:val="21"/>
                <w:szCs w:val="21"/>
                <w:lang w:eastAsia="zh-CN"/>
              </w:rPr>
              <w:t>③</w:t>
            </w:r>
            <w:r>
              <w:rPr>
                <w:rFonts w:hint="eastAsia" w:asciiTheme="minorEastAsia" w:hAnsiTheme="minorEastAsia" w:eastAsiaTheme="minorEastAsia" w:cstheme="minorEastAsia"/>
                <w:color w:val="000000"/>
                <w:sz w:val="21"/>
                <w:szCs w:val="21"/>
                <w:lang w:val="en-US" w:eastAsia="zh-CN"/>
              </w:rPr>
              <w:t>培训对象、课程及时间规划；</w:t>
            </w:r>
          </w:p>
          <w:p w14:paraId="734350F2">
            <w:pPr>
              <w:keepNext w:val="0"/>
              <w:keepLines w:val="0"/>
              <w:pageBreakBefore w:val="0"/>
              <w:widowControl/>
              <w:kinsoku/>
              <w:wordWrap/>
              <w:overflowPunct/>
              <w:topLinePunct w:val="0"/>
              <w:autoSpaceDE/>
              <w:autoSpaceDN/>
              <w:bidi w:val="0"/>
              <w:adjustRightInd w:val="0"/>
              <w:snapToGrid w:val="0"/>
              <w:spacing w:line="340" w:lineRule="exact"/>
              <w:ind w:left="0" w:leftChars="0" w:firstLine="420" w:firstLineChars="200"/>
              <w:textAlignment w:val="baseline"/>
              <w:rPr>
                <w:rFonts w:hint="eastAsia" w:asciiTheme="minorEastAsia" w:hAnsiTheme="minorEastAsia" w:eastAsiaTheme="minorEastAsia" w:cstheme="minorEastAsia"/>
                <w:b w:val="0"/>
                <w:bCs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SA"/>
              </w:rPr>
              <w:t>评审要求如下：</w:t>
            </w:r>
          </w:p>
          <w:p w14:paraId="286142F7">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1.辅导及培训方案具体全面；</w:t>
            </w:r>
          </w:p>
          <w:p w14:paraId="31145C6C">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2.辅导及培训方案针对性强；</w:t>
            </w:r>
          </w:p>
          <w:p w14:paraId="3D3385BF">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3.辅导及培训方案科学合理；</w:t>
            </w:r>
          </w:p>
          <w:p w14:paraId="2B2A6889">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4.辅导及培训方案可操作性强。</w:t>
            </w:r>
          </w:p>
          <w:p w14:paraId="3DCAB9FD">
            <w:pPr>
              <w:keepNext w:val="0"/>
              <w:keepLines w:val="0"/>
              <w:pageBreakBefore w:val="0"/>
              <w:widowControl/>
              <w:kinsoku/>
              <w:wordWrap/>
              <w:overflowPunct/>
              <w:topLinePunct w:val="0"/>
              <w:autoSpaceDE/>
              <w:autoSpaceDN/>
              <w:bidi w:val="0"/>
              <w:adjustRightInd w:val="0"/>
              <w:snapToGrid w:val="0"/>
              <w:spacing w:line="340" w:lineRule="exact"/>
              <w:ind w:firstLine="482"/>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本项评审要求全部满足</w:t>
            </w:r>
            <w:r>
              <w:rPr>
                <w:rFonts w:hint="eastAsia" w:asciiTheme="minorEastAsia" w:hAnsiTheme="minorEastAsia" w:eastAsiaTheme="minorEastAsia" w:cstheme="minorEastAsia"/>
                <w:color w:val="000000"/>
                <w:sz w:val="21"/>
                <w:szCs w:val="21"/>
                <w:lang w:val="en-US" w:eastAsia="zh-CN"/>
              </w:rPr>
              <w:t>的得6分</w:t>
            </w:r>
            <w:r>
              <w:rPr>
                <w:rFonts w:hint="eastAsia" w:asciiTheme="minorEastAsia" w:hAnsiTheme="minorEastAsia" w:eastAsiaTheme="minorEastAsia" w:cstheme="minorEastAsia"/>
                <w:color w:val="000000"/>
                <w:sz w:val="21"/>
                <w:szCs w:val="21"/>
              </w:rPr>
              <w:t>；满足本项评审要求任意三项</w:t>
            </w:r>
            <w:r>
              <w:rPr>
                <w:rFonts w:hint="eastAsia" w:asciiTheme="minorEastAsia" w:hAnsiTheme="minorEastAsia" w:eastAsiaTheme="minorEastAsia" w:cstheme="minorEastAsia"/>
                <w:color w:val="000000"/>
                <w:sz w:val="21"/>
                <w:szCs w:val="21"/>
                <w:lang w:val="en-US" w:eastAsia="zh-CN"/>
              </w:rPr>
              <w:t>的得4分</w:t>
            </w:r>
            <w:r>
              <w:rPr>
                <w:rFonts w:hint="eastAsia" w:asciiTheme="minorEastAsia" w:hAnsiTheme="minorEastAsia" w:eastAsiaTheme="minorEastAsia" w:cstheme="minorEastAsia"/>
                <w:color w:val="000000"/>
                <w:sz w:val="21"/>
                <w:szCs w:val="21"/>
              </w:rPr>
              <w:t>；满足本项评审要求任意二项</w:t>
            </w:r>
            <w:r>
              <w:rPr>
                <w:rFonts w:hint="eastAsia" w:asciiTheme="minorEastAsia" w:hAnsiTheme="minorEastAsia" w:eastAsiaTheme="minorEastAsia" w:cstheme="minorEastAsia"/>
                <w:color w:val="000000"/>
                <w:sz w:val="21"/>
                <w:szCs w:val="21"/>
                <w:lang w:val="en-US" w:eastAsia="zh-CN"/>
              </w:rPr>
              <w:t>的得2分</w:t>
            </w:r>
            <w:r>
              <w:rPr>
                <w:rFonts w:hint="eastAsia" w:asciiTheme="minorEastAsia" w:hAnsiTheme="minorEastAsia" w:eastAsiaTheme="minorEastAsia" w:cstheme="minorEastAsia"/>
                <w:color w:val="000000"/>
                <w:sz w:val="21"/>
                <w:szCs w:val="21"/>
              </w:rPr>
              <w:t>；满足本项评审要求任意一项</w:t>
            </w:r>
            <w:r>
              <w:rPr>
                <w:rFonts w:hint="eastAsia" w:asciiTheme="minorEastAsia" w:hAnsiTheme="minorEastAsia" w:eastAsiaTheme="minorEastAsia" w:cstheme="minorEastAsia"/>
                <w:color w:val="000000"/>
                <w:sz w:val="21"/>
                <w:szCs w:val="21"/>
                <w:lang w:val="en-US" w:eastAsia="zh-CN"/>
              </w:rPr>
              <w:t>的得1分；</w:t>
            </w:r>
            <w:r>
              <w:rPr>
                <w:rFonts w:hint="eastAsia" w:asciiTheme="minorEastAsia" w:hAnsiTheme="minorEastAsia" w:eastAsiaTheme="minorEastAsia" w:cstheme="minorEastAsia"/>
                <w:color w:val="000000"/>
                <w:sz w:val="21"/>
                <w:szCs w:val="21"/>
              </w:rPr>
              <w:t>完全不满足</w:t>
            </w:r>
            <w:r>
              <w:rPr>
                <w:rFonts w:hint="eastAsia" w:asciiTheme="minorEastAsia" w:hAnsiTheme="minorEastAsia" w:eastAsiaTheme="minorEastAsia" w:cstheme="minorEastAsia"/>
                <w:color w:val="000000"/>
                <w:sz w:val="21"/>
                <w:szCs w:val="21"/>
                <w:lang w:val="en-US" w:eastAsia="zh-CN"/>
              </w:rPr>
              <w:t>的不得分</w:t>
            </w:r>
            <w:r>
              <w:rPr>
                <w:rFonts w:hint="eastAsia" w:asciiTheme="minorEastAsia" w:hAnsiTheme="minorEastAsia" w:eastAsiaTheme="minorEastAsia" w:cstheme="minorEastAsia"/>
                <w:color w:val="000000"/>
                <w:sz w:val="21"/>
                <w:szCs w:val="21"/>
              </w:rPr>
              <w:t>。</w:t>
            </w:r>
          </w:p>
        </w:tc>
        <w:tc>
          <w:tcPr>
            <w:tcW w:w="500" w:type="dxa"/>
            <w:vAlign w:val="center"/>
          </w:tcPr>
          <w:p w14:paraId="0058C190">
            <w:pPr>
              <w:keepNext w:val="0"/>
              <w:keepLines w:val="0"/>
              <w:pageBreakBefore w:val="0"/>
              <w:kinsoku/>
              <w:wordWrap/>
              <w:overflowPunct/>
              <w:topLinePunct w:val="0"/>
              <w:autoSpaceDE/>
              <w:autoSpaceDN/>
              <w:bidi w:val="0"/>
              <w:adjustRightInd w:val="0"/>
              <w:snapToGrid w:val="0"/>
              <w:spacing w:line="340" w:lineRule="exact"/>
              <w:jc w:val="center"/>
              <w:rPr>
                <w:rFonts w:hint="eastAsia" w:asciiTheme="minorEastAsia" w:hAnsiTheme="minorEastAsia" w:eastAsiaTheme="minorEastAsia" w:cstheme="minorEastAsia"/>
                <w:color w:val="000000"/>
                <w:sz w:val="21"/>
                <w:szCs w:val="21"/>
                <w:highlight w:val="none"/>
                <w:lang w:eastAsia="zh-CN"/>
              </w:rPr>
            </w:pPr>
          </w:p>
        </w:tc>
      </w:tr>
      <w:tr w14:paraId="1AAD7ED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68" w:hRule="atLeast"/>
          <w:jc w:val="center"/>
        </w:trPr>
        <w:tc>
          <w:tcPr>
            <w:tcW w:w="735" w:type="dxa"/>
            <w:vMerge w:val="continue"/>
            <w:tcBorders>
              <w:right w:val="single" w:color="auto" w:sz="4" w:space="0"/>
            </w:tcBorders>
            <w:tcMar>
              <w:top w:w="19" w:type="dxa"/>
              <w:left w:w="19" w:type="dxa"/>
              <w:bottom w:w="0" w:type="dxa"/>
              <w:right w:w="19" w:type="dxa"/>
            </w:tcMar>
            <w:vAlign w:val="center"/>
          </w:tcPr>
          <w:p w14:paraId="0DA4F85C">
            <w:pPr>
              <w:keepNext w:val="0"/>
              <w:keepLines w:val="0"/>
              <w:pageBreakBefore w:val="0"/>
              <w:kinsoku/>
              <w:wordWrap/>
              <w:overflowPunct/>
              <w:topLinePunct w:val="0"/>
              <w:autoSpaceDE/>
              <w:autoSpaceDN/>
              <w:bidi w:val="0"/>
              <w:adjustRightInd w:val="0"/>
              <w:snapToGrid w:val="0"/>
              <w:spacing w:line="340" w:lineRule="exact"/>
              <w:jc w:val="center"/>
              <w:rPr>
                <w:rFonts w:hint="eastAsia" w:asciiTheme="minorEastAsia" w:hAnsiTheme="minorEastAsia" w:eastAsiaTheme="minorEastAsia" w:cstheme="minorEastAsia"/>
                <w:color w:val="000000"/>
                <w:sz w:val="21"/>
                <w:szCs w:val="21"/>
              </w:rPr>
            </w:pPr>
          </w:p>
        </w:tc>
        <w:tc>
          <w:tcPr>
            <w:tcW w:w="821" w:type="dxa"/>
            <w:tcBorders>
              <w:left w:val="single" w:color="auto" w:sz="4" w:space="0"/>
            </w:tcBorders>
            <w:tcMar>
              <w:top w:w="19" w:type="dxa"/>
              <w:left w:w="19" w:type="dxa"/>
              <w:bottom w:w="0" w:type="dxa"/>
              <w:right w:w="19" w:type="dxa"/>
            </w:tcMar>
            <w:vAlign w:val="center"/>
          </w:tcPr>
          <w:p w14:paraId="2F53F81A">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服务质量保障</w:t>
            </w:r>
            <w:r>
              <w:rPr>
                <w:rFonts w:hint="eastAsia" w:asciiTheme="minorEastAsia" w:hAnsiTheme="minorEastAsia" w:eastAsiaTheme="minorEastAsia" w:cstheme="minorEastAsia"/>
                <w:color w:val="000000"/>
                <w:sz w:val="21"/>
                <w:szCs w:val="21"/>
                <w:lang w:val="en-US" w:eastAsia="zh-CN"/>
              </w:rPr>
              <w:t>方案</w:t>
            </w:r>
          </w:p>
        </w:tc>
        <w:tc>
          <w:tcPr>
            <w:tcW w:w="785" w:type="dxa"/>
            <w:tcMar>
              <w:top w:w="19" w:type="dxa"/>
              <w:left w:w="19" w:type="dxa"/>
              <w:bottom w:w="0" w:type="dxa"/>
              <w:right w:w="19" w:type="dxa"/>
            </w:tcMar>
            <w:vAlign w:val="center"/>
          </w:tcPr>
          <w:p w14:paraId="74F138A0">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分</w:t>
            </w:r>
          </w:p>
        </w:tc>
        <w:tc>
          <w:tcPr>
            <w:tcW w:w="6981" w:type="dxa"/>
            <w:tcMar>
              <w:top w:w="19" w:type="dxa"/>
              <w:left w:w="19" w:type="dxa"/>
              <w:bottom w:w="0" w:type="dxa"/>
              <w:right w:w="19" w:type="dxa"/>
            </w:tcMar>
            <w:vAlign w:val="center"/>
          </w:tcPr>
          <w:p w14:paraId="3ECE850B">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为保证服务质量和项目的顺利实施，根据供应商为本项目提供的质量保障措施及方案，内容包括：①服务质量保障工具及标准；②日常服务保障措施；③紧急情况保障措施；④保密措施；</w:t>
            </w:r>
          </w:p>
          <w:p w14:paraId="6A38A8A2">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评审要求如下：</w:t>
            </w:r>
          </w:p>
          <w:p w14:paraId="04EBAC51">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1.质量保障措施及方案具体全面；</w:t>
            </w:r>
          </w:p>
          <w:p w14:paraId="4503FF0B">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2.质量保障措施及方案针对性强；</w:t>
            </w:r>
          </w:p>
          <w:p w14:paraId="4A879B57">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3.质量保障措施及方案科学合理；</w:t>
            </w:r>
          </w:p>
          <w:p w14:paraId="09DE7106">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4.质量保障措施及方案可操作性强。</w:t>
            </w:r>
          </w:p>
          <w:p w14:paraId="11983169">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color w:val="000000"/>
                <w:kern w:val="0"/>
                <w:sz w:val="21"/>
                <w:szCs w:val="21"/>
                <w:highlight w:val="none"/>
                <w:lang w:val="en-US" w:eastAsia="zh-CN" w:bidi="ar-SA"/>
              </w:rPr>
              <w:t>本项评审要求全部满足的得8分；满足本项评审要求任意三项的得6分；满足本项评审要求任意二项的得4分；满足本项评审要求任意一项的得2分；完全不满足的不得分。</w:t>
            </w:r>
          </w:p>
        </w:tc>
        <w:tc>
          <w:tcPr>
            <w:tcW w:w="500" w:type="dxa"/>
            <w:vAlign w:val="center"/>
          </w:tcPr>
          <w:p w14:paraId="5C3C8F73">
            <w:pPr>
              <w:keepNext w:val="0"/>
              <w:keepLines w:val="0"/>
              <w:pageBreakBefore w:val="0"/>
              <w:kinsoku/>
              <w:wordWrap/>
              <w:overflowPunct/>
              <w:topLinePunct w:val="0"/>
              <w:autoSpaceDE/>
              <w:autoSpaceDN/>
              <w:bidi w:val="0"/>
              <w:adjustRightInd w:val="0"/>
              <w:snapToGrid w:val="0"/>
              <w:spacing w:line="340" w:lineRule="exact"/>
              <w:jc w:val="center"/>
              <w:rPr>
                <w:rFonts w:hint="eastAsia" w:asciiTheme="minorEastAsia" w:hAnsiTheme="minorEastAsia" w:eastAsiaTheme="minorEastAsia" w:cstheme="minorEastAsia"/>
                <w:color w:val="000000"/>
                <w:sz w:val="21"/>
                <w:szCs w:val="21"/>
              </w:rPr>
            </w:pPr>
          </w:p>
        </w:tc>
      </w:tr>
      <w:tr w14:paraId="24EF1CA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835" w:hRule="atLeast"/>
          <w:jc w:val="center"/>
        </w:trPr>
        <w:tc>
          <w:tcPr>
            <w:tcW w:w="735" w:type="dxa"/>
            <w:vMerge w:val="restart"/>
            <w:tcBorders>
              <w:right w:val="single" w:color="auto" w:sz="4" w:space="0"/>
            </w:tcBorders>
            <w:tcMar>
              <w:top w:w="19" w:type="dxa"/>
              <w:left w:w="19" w:type="dxa"/>
              <w:bottom w:w="0" w:type="dxa"/>
              <w:right w:w="19" w:type="dxa"/>
            </w:tcMar>
            <w:vAlign w:val="center"/>
          </w:tcPr>
          <w:p w14:paraId="08D00089">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p>
          <w:p w14:paraId="245997AB">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p>
          <w:p w14:paraId="2AD6CE49">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p>
          <w:p w14:paraId="042A8744">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p>
          <w:p w14:paraId="71C77DF6">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p>
          <w:p w14:paraId="64A03CE1">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p>
          <w:p w14:paraId="61C1597E">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p>
          <w:p w14:paraId="45C0F2EB">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p>
          <w:p w14:paraId="5081073F">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商务</w:t>
            </w:r>
            <w:r>
              <w:rPr>
                <w:rFonts w:hint="eastAsia" w:asciiTheme="minorEastAsia" w:hAnsiTheme="minorEastAsia" w:eastAsiaTheme="minorEastAsia" w:cstheme="minorEastAsia"/>
                <w:color w:val="000000"/>
                <w:sz w:val="21"/>
                <w:szCs w:val="21"/>
              </w:rPr>
              <w:t>部分（</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5 分）</w:t>
            </w:r>
          </w:p>
        </w:tc>
        <w:tc>
          <w:tcPr>
            <w:tcW w:w="821" w:type="dxa"/>
            <w:tcBorders>
              <w:left w:val="single" w:color="auto" w:sz="4" w:space="0"/>
            </w:tcBorders>
            <w:tcMar>
              <w:top w:w="19" w:type="dxa"/>
              <w:left w:w="19" w:type="dxa"/>
              <w:bottom w:w="0" w:type="dxa"/>
              <w:right w:w="19" w:type="dxa"/>
            </w:tcMar>
            <w:vAlign w:val="center"/>
          </w:tcPr>
          <w:p w14:paraId="62FC49BF">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售后服务方案</w:t>
            </w:r>
          </w:p>
        </w:tc>
        <w:tc>
          <w:tcPr>
            <w:tcW w:w="785" w:type="dxa"/>
            <w:tcMar>
              <w:top w:w="19" w:type="dxa"/>
              <w:left w:w="19" w:type="dxa"/>
              <w:bottom w:w="0" w:type="dxa"/>
              <w:right w:w="19" w:type="dxa"/>
            </w:tcMar>
            <w:vAlign w:val="center"/>
          </w:tcPr>
          <w:p w14:paraId="6167058C">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9</w:t>
            </w:r>
            <w:r>
              <w:rPr>
                <w:rFonts w:hint="eastAsia" w:asciiTheme="minorEastAsia" w:hAnsiTheme="minorEastAsia" w:eastAsiaTheme="minorEastAsia" w:cstheme="minorEastAsia"/>
                <w:color w:val="000000"/>
                <w:sz w:val="21"/>
                <w:szCs w:val="21"/>
              </w:rPr>
              <w:t>分</w:t>
            </w:r>
          </w:p>
        </w:tc>
        <w:tc>
          <w:tcPr>
            <w:tcW w:w="6981" w:type="dxa"/>
            <w:tcMar>
              <w:top w:w="19" w:type="dxa"/>
              <w:left w:w="19" w:type="dxa"/>
              <w:bottom w:w="0" w:type="dxa"/>
              <w:right w:w="19" w:type="dxa"/>
            </w:tcMar>
            <w:vAlign w:val="center"/>
          </w:tcPr>
          <w:p w14:paraId="57D04A95">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供应商针对本项目完成后的后续服务承诺，根据供应商为本项目提供的售后服务方案，内容包括：①售后服务期限、内容；②响应时间；③售后人员安排；④技术支持；⑤售后回访；</w:t>
            </w:r>
          </w:p>
          <w:p w14:paraId="53B81A79">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评审要求如下：</w:t>
            </w:r>
          </w:p>
          <w:p w14:paraId="316D6A61">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1.售后服务方案具体全面；</w:t>
            </w:r>
          </w:p>
          <w:p w14:paraId="0ED3C087">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2.售后服务方案针对性强；</w:t>
            </w:r>
          </w:p>
          <w:p w14:paraId="1C284C53">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3.售后服务方案科学合理；</w:t>
            </w:r>
          </w:p>
          <w:p w14:paraId="1B21985D">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4.售后服务方案可操作性强。</w:t>
            </w:r>
          </w:p>
          <w:p w14:paraId="2E60D095">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本项评审要求全部满足的得9分；满足本项评审要求任意三项的得7分；满足本项评审要求任意二项的得5分；满足本项评审要求任意一项的得2分；完全不满足的不得分。</w:t>
            </w:r>
          </w:p>
        </w:tc>
        <w:tc>
          <w:tcPr>
            <w:tcW w:w="500" w:type="dxa"/>
            <w:vAlign w:val="center"/>
          </w:tcPr>
          <w:p w14:paraId="6FBC5757">
            <w:pPr>
              <w:keepNext w:val="0"/>
              <w:keepLines w:val="0"/>
              <w:pageBreakBefore w:val="0"/>
              <w:kinsoku/>
              <w:wordWrap/>
              <w:overflowPunct/>
              <w:topLinePunct w:val="0"/>
              <w:autoSpaceDE/>
              <w:autoSpaceDN/>
              <w:bidi w:val="0"/>
              <w:adjustRightInd w:val="0"/>
              <w:snapToGrid w:val="0"/>
              <w:spacing w:line="340" w:lineRule="exact"/>
              <w:jc w:val="center"/>
              <w:rPr>
                <w:rFonts w:hint="eastAsia" w:asciiTheme="minorEastAsia" w:hAnsiTheme="minorEastAsia" w:eastAsiaTheme="minorEastAsia" w:cstheme="minorEastAsia"/>
                <w:color w:val="000000"/>
                <w:sz w:val="21"/>
                <w:szCs w:val="21"/>
                <w:lang w:val="en-US" w:eastAsia="zh-CN" w:bidi="ar-SA"/>
              </w:rPr>
            </w:pPr>
          </w:p>
        </w:tc>
      </w:tr>
      <w:tr w14:paraId="5D4215B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238" w:hRule="atLeast"/>
          <w:jc w:val="center"/>
        </w:trPr>
        <w:tc>
          <w:tcPr>
            <w:tcW w:w="735" w:type="dxa"/>
            <w:vMerge w:val="continue"/>
            <w:tcBorders>
              <w:right w:val="single" w:color="auto" w:sz="4" w:space="0"/>
            </w:tcBorders>
            <w:tcMar>
              <w:top w:w="19" w:type="dxa"/>
              <w:left w:w="19" w:type="dxa"/>
              <w:bottom w:w="0" w:type="dxa"/>
              <w:right w:w="19" w:type="dxa"/>
            </w:tcMar>
            <w:vAlign w:val="center"/>
          </w:tcPr>
          <w:p w14:paraId="4AE51CB5">
            <w:pPr>
              <w:keepNext w:val="0"/>
              <w:keepLines w:val="0"/>
              <w:pageBreakBefore w:val="0"/>
              <w:widowControl w:val="0"/>
              <w:kinsoku/>
              <w:wordWrap/>
              <w:overflowPunct/>
              <w:topLinePunct w:val="0"/>
              <w:autoSpaceDE/>
              <w:autoSpaceDN/>
              <w:bidi w:val="0"/>
              <w:adjustRightInd w:val="0"/>
              <w:snapToGrid w:val="0"/>
              <w:spacing w:after="0" w:line="340" w:lineRule="exact"/>
              <w:jc w:val="center"/>
              <w:rPr>
                <w:rFonts w:hint="eastAsia" w:asciiTheme="minorEastAsia" w:hAnsiTheme="minorEastAsia" w:eastAsiaTheme="minorEastAsia" w:cstheme="minorEastAsia"/>
                <w:color w:val="000000"/>
                <w:sz w:val="21"/>
                <w:szCs w:val="21"/>
                <w:lang w:val="en-US" w:eastAsia="zh-CN"/>
              </w:rPr>
            </w:pPr>
          </w:p>
        </w:tc>
        <w:tc>
          <w:tcPr>
            <w:tcW w:w="821" w:type="dxa"/>
            <w:tcBorders>
              <w:left w:val="single" w:color="auto" w:sz="4" w:space="0"/>
            </w:tcBorders>
            <w:tcMar>
              <w:top w:w="19" w:type="dxa"/>
              <w:left w:w="19" w:type="dxa"/>
              <w:bottom w:w="0" w:type="dxa"/>
              <w:right w:w="19" w:type="dxa"/>
            </w:tcMar>
            <w:vAlign w:val="center"/>
          </w:tcPr>
          <w:p w14:paraId="45C86B94">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项目负责人</w:t>
            </w:r>
          </w:p>
        </w:tc>
        <w:tc>
          <w:tcPr>
            <w:tcW w:w="785" w:type="dxa"/>
            <w:tcMar>
              <w:top w:w="19" w:type="dxa"/>
              <w:left w:w="19" w:type="dxa"/>
              <w:bottom w:w="0" w:type="dxa"/>
              <w:right w:w="19" w:type="dxa"/>
            </w:tcMar>
            <w:vAlign w:val="center"/>
          </w:tcPr>
          <w:p w14:paraId="5CEB38F3">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4分</w:t>
            </w:r>
          </w:p>
        </w:tc>
        <w:tc>
          <w:tcPr>
            <w:tcW w:w="6981" w:type="dxa"/>
            <w:tcMar>
              <w:top w:w="19" w:type="dxa"/>
              <w:left w:w="19" w:type="dxa"/>
              <w:bottom w:w="0" w:type="dxa"/>
              <w:right w:w="19" w:type="dxa"/>
            </w:tcMar>
            <w:vAlign w:val="center"/>
          </w:tcPr>
          <w:p w14:paraId="59784356">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1、项目负责人要求（4 分）：</w:t>
            </w:r>
          </w:p>
          <w:p w14:paraId="2208075D">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（1）项目负责人具有与本项目相关行业的本科及以上学历，提供学历证书得1分；</w:t>
            </w:r>
          </w:p>
          <w:p w14:paraId="0FB106FB">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（2）项目负责人具有与本项目相关行业的职称证书，提供相关职称证书得1分；</w:t>
            </w:r>
          </w:p>
          <w:p w14:paraId="3A983F6F">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spacing w:val="8"/>
                <w:sz w:val="20"/>
                <w:szCs w:val="20"/>
                <w:lang w:val="en-US" w:eastAsia="zh-CN"/>
              </w:rPr>
            </w:pPr>
            <w:r>
              <w:rPr>
                <w:rFonts w:hint="eastAsia" w:asciiTheme="minorEastAsia" w:hAnsiTheme="minorEastAsia" w:eastAsiaTheme="minorEastAsia" w:cstheme="minorEastAsia"/>
                <w:b w:val="0"/>
                <w:bCs/>
                <w:color w:val="000000"/>
                <w:kern w:val="0"/>
                <w:sz w:val="21"/>
                <w:szCs w:val="21"/>
                <w:highlight w:val="none"/>
                <w:lang w:val="en-US" w:eastAsia="zh-CN" w:bidi="ar-SA"/>
              </w:rPr>
              <w:t>（3）项目负责人实施过同类项目业绩，并需要提供相关证明材料复印件并加盖公章，提供一个项目经验证明得1分，满分2分。实施经验证明材料需同时具备：合同复印件及验收报告；</w:t>
            </w:r>
          </w:p>
        </w:tc>
        <w:tc>
          <w:tcPr>
            <w:tcW w:w="500" w:type="dxa"/>
            <w:vAlign w:val="center"/>
          </w:tcPr>
          <w:p w14:paraId="45E236F3">
            <w:pPr>
              <w:keepNext w:val="0"/>
              <w:keepLines w:val="0"/>
              <w:pageBreakBefore w:val="0"/>
              <w:widowControl w:val="0"/>
              <w:kinsoku/>
              <w:wordWrap/>
              <w:overflowPunct/>
              <w:topLinePunct w:val="0"/>
              <w:autoSpaceDE/>
              <w:autoSpaceDN/>
              <w:bidi w:val="0"/>
              <w:adjustRightInd w:val="0"/>
              <w:snapToGrid w:val="0"/>
              <w:spacing w:after="0" w:line="340" w:lineRule="exact"/>
              <w:jc w:val="center"/>
              <w:rPr>
                <w:rFonts w:hint="eastAsia" w:asciiTheme="minorEastAsia" w:hAnsiTheme="minorEastAsia" w:eastAsiaTheme="minorEastAsia" w:cstheme="minorEastAsia"/>
                <w:color w:val="000000"/>
                <w:sz w:val="21"/>
                <w:szCs w:val="21"/>
                <w:lang w:val="en-US" w:eastAsia="zh-CN" w:bidi="ar-SA"/>
              </w:rPr>
            </w:pPr>
          </w:p>
        </w:tc>
      </w:tr>
      <w:tr w14:paraId="626CED4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735" w:type="dxa"/>
            <w:vMerge w:val="continue"/>
            <w:tcBorders>
              <w:right w:val="single" w:color="auto" w:sz="4" w:space="0"/>
            </w:tcBorders>
            <w:tcMar>
              <w:top w:w="19" w:type="dxa"/>
              <w:left w:w="19" w:type="dxa"/>
              <w:bottom w:w="0" w:type="dxa"/>
              <w:right w:w="19" w:type="dxa"/>
            </w:tcMar>
            <w:vAlign w:val="center"/>
          </w:tcPr>
          <w:p w14:paraId="4E332AD2">
            <w:pPr>
              <w:keepNext w:val="0"/>
              <w:keepLines w:val="0"/>
              <w:pageBreakBefore w:val="0"/>
              <w:widowControl w:val="0"/>
              <w:kinsoku/>
              <w:wordWrap/>
              <w:overflowPunct/>
              <w:topLinePunct w:val="0"/>
              <w:autoSpaceDE/>
              <w:autoSpaceDN/>
              <w:bidi w:val="0"/>
              <w:adjustRightInd w:val="0"/>
              <w:snapToGrid w:val="0"/>
              <w:spacing w:after="0" w:line="340" w:lineRule="exact"/>
              <w:jc w:val="center"/>
              <w:rPr>
                <w:rFonts w:hint="eastAsia" w:asciiTheme="minorEastAsia" w:hAnsiTheme="minorEastAsia" w:eastAsiaTheme="minorEastAsia" w:cstheme="minorEastAsia"/>
                <w:color w:val="000000"/>
                <w:sz w:val="21"/>
                <w:szCs w:val="21"/>
                <w:lang w:val="en-US" w:eastAsia="zh-CN" w:bidi="ar-SA"/>
              </w:rPr>
            </w:pPr>
          </w:p>
        </w:tc>
        <w:tc>
          <w:tcPr>
            <w:tcW w:w="821" w:type="dxa"/>
            <w:tcBorders>
              <w:left w:val="single" w:color="auto" w:sz="4" w:space="0"/>
            </w:tcBorders>
            <w:tcMar>
              <w:top w:w="19" w:type="dxa"/>
              <w:left w:w="19" w:type="dxa"/>
              <w:bottom w:w="0" w:type="dxa"/>
              <w:right w:w="19" w:type="dxa"/>
            </w:tcMar>
            <w:vAlign w:val="center"/>
          </w:tcPr>
          <w:p w14:paraId="4E55A663">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w:t>
            </w:r>
            <w:r>
              <w:rPr>
                <w:rFonts w:hint="eastAsia" w:asciiTheme="minorEastAsia" w:hAnsiTheme="minorEastAsia" w:eastAsiaTheme="minorEastAsia" w:cstheme="minorEastAsia"/>
                <w:color w:val="000000"/>
                <w:sz w:val="21"/>
                <w:szCs w:val="21"/>
                <w:lang w:val="en-US" w:eastAsia="zh-CN"/>
              </w:rPr>
              <w:t>其他人员</w:t>
            </w:r>
          </w:p>
        </w:tc>
        <w:tc>
          <w:tcPr>
            <w:tcW w:w="785" w:type="dxa"/>
            <w:tcMar>
              <w:top w:w="19" w:type="dxa"/>
              <w:left w:w="19" w:type="dxa"/>
              <w:bottom w:w="0" w:type="dxa"/>
              <w:right w:w="19" w:type="dxa"/>
            </w:tcMar>
            <w:vAlign w:val="center"/>
          </w:tcPr>
          <w:p w14:paraId="04DD5B43">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分</w:t>
            </w:r>
          </w:p>
        </w:tc>
        <w:tc>
          <w:tcPr>
            <w:tcW w:w="6981" w:type="dxa"/>
            <w:tcMar>
              <w:top w:w="19" w:type="dxa"/>
              <w:left w:w="19" w:type="dxa"/>
              <w:bottom w:w="0" w:type="dxa"/>
              <w:right w:w="19" w:type="dxa"/>
            </w:tcMar>
            <w:vAlign w:val="center"/>
          </w:tcPr>
          <w:p w14:paraId="388633D9">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（1） 团队人员实施过同类项目业绩，并需要提供相关证明材料复印件并加盖公章，提供一个项目经验证明得 1 分,实施经验证明材料需同时具备：合同及验收报告复印件或扫描件；</w:t>
            </w:r>
          </w:p>
          <w:p w14:paraId="2B57891F">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（2） 团队人员具备高级经济师且为硕士及以上学历的得 1 分，须提供有效资格证书复印件；</w:t>
            </w:r>
          </w:p>
          <w:p w14:paraId="6AC9B78B">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（3） 团队人员发表过医院绩效管理相关论文，每有一篇论文得 0.5 分；参与项目人员发表过医院绩效管理相关的著作，每有一本著作得 1 分，须提供相关论文或著作材料复印件。</w:t>
            </w:r>
          </w:p>
          <w:p w14:paraId="51397B63">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2" w:firstLineChars="20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val="0"/>
                <w:color w:val="000000"/>
                <w:kern w:val="0"/>
                <w:sz w:val="21"/>
                <w:szCs w:val="21"/>
                <w:highlight w:val="none"/>
                <w:lang w:val="en-US" w:eastAsia="zh-CN" w:bidi="ar-SA"/>
              </w:rPr>
              <w:t>说明：若项目团队成员中存在个人同时满足多项评分要求可累计得分。</w:t>
            </w:r>
          </w:p>
        </w:tc>
        <w:tc>
          <w:tcPr>
            <w:tcW w:w="500" w:type="dxa"/>
            <w:vAlign w:val="center"/>
          </w:tcPr>
          <w:p w14:paraId="7BAF345F">
            <w:pPr>
              <w:keepNext w:val="0"/>
              <w:keepLines w:val="0"/>
              <w:pageBreakBefore w:val="0"/>
              <w:widowControl w:val="0"/>
              <w:kinsoku/>
              <w:wordWrap/>
              <w:overflowPunct/>
              <w:topLinePunct w:val="0"/>
              <w:autoSpaceDE/>
              <w:autoSpaceDN/>
              <w:bidi w:val="0"/>
              <w:adjustRightInd w:val="0"/>
              <w:snapToGrid w:val="0"/>
              <w:spacing w:after="0" w:line="340" w:lineRule="exact"/>
              <w:jc w:val="center"/>
              <w:rPr>
                <w:rFonts w:hint="eastAsia" w:asciiTheme="minorEastAsia" w:hAnsiTheme="minorEastAsia" w:eastAsiaTheme="minorEastAsia" w:cstheme="minorEastAsia"/>
                <w:color w:val="000000"/>
                <w:sz w:val="21"/>
                <w:szCs w:val="21"/>
                <w:lang w:val="en-US" w:eastAsia="zh-CN" w:bidi="ar-SA"/>
              </w:rPr>
            </w:pPr>
          </w:p>
        </w:tc>
      </w:tr>
      <w:tr w14:paraId="1D06C06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652" w:hRule="atLeast"/>
          <w:jc w:val="center"/>
        </w:trPr>
        <w:tc>
          <w:tcPr>
            <w:tcW w:w="735" w:type="dxa"/>
            <w:vMerge w:val="continue"/>
            <w:tcBorders>
              <w:right w:val="single" w:color="auto" w:sz="4" w:space="0"/>
            </w:tcBorders>
            <w:tcMar>
              <w:top w:w="19" w:type="dxa"/>
              <w:left w:w="19" w:type="dxa"/>
              <w:bottom w:w="0" w:type="dxa"/>
              <w:right w:w="19" w:type="dxa"/>
            </w:tcMar>
            <w:vAlign w:val="center"/>
          </w:tcPr>
          <w:p w14:paraId="1950E10F">
            <w:pPr>
              <w:keepNext w:val="0"/>
              <w:keepLines w:val="0"/>
              <w:pageBreakBefore w:val="0"/>
              <w:widowControl w:val="0"/>
              <w:kinsoku/>
              <w:wordWrap/>
              <w:overflowPunct/>
              <w:topLinePunct w:val="0"/>
              <w:autoSpaceDE/>
              <w:autoSpaceDN/>
              <w:bidi w:val="0"/>
              <w:adjustRightInd w:val="0"/>
              <w:snapToGrid w:val="0"/>
              <w:spacing w:after="0" w:line="340" w:lineRule="exact"/>
              <w:jc w:val="center"/>
              <w:rPr>
                <w:rFonts w:hint="eastAsia" w:asciiTheme="minorEastAsia" w:hAnsiTheme="minorEastAsia" w:eastAsiaTheme="minorEastAsia" w:cstheme="minorEastAsia"/>
                <w:color w:val="000000"/>
                <w:sz w:val="21"/>
                <w:szCs w:val="21"/>
                <w:lang w:val="en-US" w:eastAsia="zh-CN" w:bidi="ar-SA"/>
              </w:rPr>
            </w:pPr>
          </w:p>
        </w:tc>
        <w:tc>
          <w:tcPr>
            <w:tcW w:w="821" w:type="dxa"/>
            <w:tcBorders>
              <w:left w:val="single" w:color="auto" w:sz="4" w:space="0"/>
            </w:tcBorders>
            <w:tcMar>
              <w:top w:w="19" w:type="dxa"/>
              <w:left w:w="19" w:type="dxa"/>
              <w:bottom w:w="0" w:type="dxa"/>
              <w:right w:w="19" w:type="dxa"/>
            </w:tcMar>
            <w:vAlign w:val="center"/>
          </w:tcPr>
          <w:p w14:paraId="6DEEA136">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类似项目业绩</w:t>
            </w:r>
          </w:p>
        </w:tc>
        <w:tc>
          <w:tcPr>
            <w:tcW w:w="785" w:type="dxa"/>
            <w:tcMar>
              <w:top w:w="19" w:type="dxa"/>
              <w:left w:w="19" w:type="dxa"/>
              <w:bottom w:w="0" w:type="dxa"/>
              <w:right w:w="19" w:type="dxa"/>
            </w:tcMar>
            <w:vAlign w:val="center"/>
          </w:tcPr>
          <w:p w14:paraId="67A7F0C4">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分</w:t>
            </w:r>
          </w:p>
        </w:tc>
        <w:tc>
          <w:tcPr>
            <w:tcW w:w="6981" w:type="dxa"/>
            <w:tcMar>
              <w:top w:w="19" w:type="dxa"/>
              <w:left w:w="19" w:type="dxa"/>
              <w:bottom w:w="0" w:type="dxa"/>
              <w:right w:w="19" w:type="dxa"/>
            </w:tcMar>
            <w:vAlign w:val="center"/>
          </w:tcPr>
          <w:p w14:paraId="365B66EE">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自2022年11月1日至今供应商承担过类似项目业绩每提供一份业绩得1分，本项最多得3分。（本项须提供成交通知书或委托合同关键页（包括合同首页、内容页、签字落款页）并加盖投标供应商公章，证明资料不提供或提供不齐全得0分）</w:t>
            </w:r>
          </w:p>
        </w:tc>
        <w:tc>
          <w:tcPr>
            <w:tcW w:w="500" w:type="dxa"/>
            <w:vAlign w:val="center"/>
          </w:tcPr>
          <w:p w14:paraId="7B3E95CA">
            <w:pPr>
              <w:keepNext w:val="0"/>
              <w:keepLines w:val="0"/>
              <w:pageBreakBefore w:val="0"/>
              <w:widowControl w:val="0"/>
              <w:kinsoku/>
              <w:wordWrap/>
              <w:overflowPunct/>
              <w:topLinePunct w:val="0"/>
              <w:autoSpaceDE/>
              <w:autoSpaceDN/>
              <w:bidi w:val="0"/>
              <w:adjustRightInd w:val="0"/>
              <w:snapToGrid w:val="0"/>
              <w:spacing w:after="0" w:line="340" w:lineRule="exact"/>
              <w:jc w:val="center"/>
              <w:rPr>
                <w:rFonts w:hint="eastAsia" w:asciiTheme="minorEastAsia" w:hAnsiTheme="minorEastAsia" w:eastAsiaTheme="minorEastAsia" w:cstheme="minorEastAsia"/>
                <w:color w:val="000000"/>
                <w:sz w:val="21"/>
                <w:szCs w:val="21"/>
                <w:lang w:val="en-US" w:eastAsia="zh-CN" w:bidi="ar-SA"/>
              </w:rPr>
            </w:pPr>
          </w:p>
        </w:tc>
      </w:tr>
      <w:tr w14:paraId="7697412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741" w:hRule="atLeast"/>
          <w:jc w:val="center"/>
        </w:trPr>
        <w:tc>
          <w:tcPr>
            <w:tcW w:w="735" w:type="dxa"/>
            <w:vMerge w:val="continue"/>
            <w:tcBorders>
              <w:right w:val="single" w:color="auto" w:sz="4" w:space="0"/>
            </w:tcBorders>
            <w:tcMar>
              <w:top w:w="19" w:type="dxa"/>
              <w:left w:w="19" w:type="dxa"/>
              <w:bottom w:w="0" w:type="dxa"/>
              <w:right w:w="19" w:type="dxa"/>
            </w:tcMar>
            <w:vAlign w:val="top"/>
          </w:tcPr>
          <w:p w14:paraId="590C7EB3">
            <w:pPr>
              <w:pStyle w:val="92"/>
              <w:keepNext w:val="0"/>
              <w:keepLines w:val="0"/>
              <w:pageBreakBefore w:val="0"/>
              <w:kinsoku/>
              <w:wordWrap/>
              <w:overflowPunct/>
              <w:topLinePunct w:val="0"/>
              <w:autoSpaceDE/>
              <w:autoSpaceDN/>
              <w:bidi w:val="0"/>
              <w:spacing w:before="65" w:line="340" w:lineRule="exact"/>
              <w:ind w:left="246" w:leftChars="0"/>
              <w:rPr>
                <w:rFonts w:hint="eastAsia" w:asciiTheme="minorEastAsia" w:hAnsiTheme="minorEastAsia" w:eastAsiaTheme="minorEastAsia" w:cstheme="minorEastAsia"/>
                <w:color w:val="000000"/>
                <w:sz w:val="21"/>
                <w:szCs w:val="21"/>
                <w:lang w:eastAsia="zh-CN"/>
              </w:rPr>
            </w:pPr>
          </w:p>
        </w:tc>
        <w:tc>
          <w:tcPr>
            <w:tcW w:w="821" w:type="dxa"/>
            <w:tcBorders>
              <w:left w:val="single" w:color="auto" w:sz="4" w:space="0"/>
            </w:tcBorders>
            <w:tcMar>
              <w:top w:w="19" w:type="dxa"/>
              <w:left w:w="19" w:type="dxa"/>
              <w:bottom w:w="0" w:type="dxa"/>
              <w:right w:w="19" w:type="dxa"/>
            </w:tcMar>
            <w:vAlign w:val="center"/>
          </w:tcPr>
          <w:p w14:paraId="329B1648">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保密</w:t>
            </w:r>
          </w:p>
          <w:p w14:paraId="5D2FEAB1">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要求</w:t>
            </w:r>
          </w:p>
        </w:tc>
        <w:tc>
          <w:tcPr>
            <w:tcW w:w="785" w:type="dxa"/>
            <w:tcMar>
              <w:top w:w="19" w:type="dxa"/>
              <w:left w:w="19" w:type="dxa"/>
              <w:bottom w:w="0" w:type="dxa"/>
              <w:right w:w="19" w:type="dxa"/>
            </w:tcMar>
            <w:vAlign w:val="center"/>
          </w:tcPr>
          <w:p w14:paraId="527FB744">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分</w:t>
            </w:r>
          </w:p>
        </w:tc>
        <w:tc>
          <w:tcPr>
            <w:tcW w:w="6981" w:type="dxa"/>
            <w:tcMar>
              <w:top w:w="19" w:type="dxa"/>
              <w:left w:w="19" w:type="dxa"/>
              <w:bottom w:w="0" w:type="dxa"/>
              <w:right w:w="19" w:type="dxa"/>
            </w:tcMar>
            <w:vAlign w:val="top"/>
          </w:tcPr>
          <w:p w14:paraId="72576B22">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应保证医院在使用系统及方案其任何一部分时，不受第三方侵权指控。同时不得向第三方泄露采购机构提供的技术文件等资料。</w:t>
            </w:r>
          </w:p>
          <w:p w14:paraId="4EB2C423">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①保密制度完整得3分；</w:t>
            </w:r>
          </w:p>
          <w:p w14:paraId="666BFD29">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②保密制度欠缺得2分；</w:t>
            </w:r>
          </w:p>
          <w:p w14:paraId="025E2FE1">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b w:val="0"/>
                <w:bCs/>
                <w:color w:val="000000"/>
                <w:kern w:val="0"/>
                <w:sz w:val="21"/>
                <w:szCs w:val="21"/>
                <w:highlight w:val="none"/>
                <w:lang w:val="en-US" w:eastAsia="zh-CN" w:bidi="ar-SA"/>
              </w:rPr>
              <w:t>③未提供不得分。</w:t>
            </w:r>
          </w:p>
        </w:tc>
        <w:tc>
          <w:tcPr>
            <w:tcW w:w="500" w:type="dxa"/>
            <w:vAlign w:val="center"/>
          </w:tcPr>
          <w:p w14:paraId="1C8B686B">
            <w:pPr>
              <w:keepNext w:val="0"/>
              <w:keepLines w:val="0"/>
              <w:pageBreakBefore w:val="0"/>
              <w:widowControl w:val="0"/>
              <w:kinsoku/>
              <w:wordWrap/>
              <w:overflowPunct/>
              <w:topLinePunct w:val="0"/>
              <w:autoSpaceDE/>
              <w:autoSpaceDN/>
              <w:bidi w:val="0"/>
              <w:adjustRightInd w:val="0"/>
              <w:snapToGrid w:val="0"/>
              <w:spacing w:after="0" w:line="340" w:lineRule="exact"/>
              <w:jc w:val="center"/>
              <w:rPr>
                <w:rFonts w:hint="eastAsia" w:asciiTheme="minorEastAsia" w:hAnsiTheme="minorEastAsia" w:eastAsiaTheme="minorEastAsia" w:cstheme="minorEastAsia"/>
                <w:color w:val="000000"/>
                <w:sz w:val="21"/>
                <w:szCs w:val="21"/>
                <w:lang w:val="en-US" w:eastAsia="zh-CN" w:bidi="ar-SA"/>
              </w:rPr>
            </w:pPr>
          </w:p>
        </w:tc>
      </w:tr>
      <w:tr w14:paraId="4E96C89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370" w:hRule="atLeast"/>
          <w:jc w:val="center"/>
        </w:trPr>
        <w:tc>
          <w:tcPr>
            <w:tcW w:w="735" w:type="dxa"/>
            <w:vMerge w:val="continue"/>
            <w:tcBorders>
              <w:right w:val="single" w:color="auto" w:sz="4" w:space="0"/>
            </w:tcBorders>
            <w:tcMar>
              <w:top w:w="19" w:type="dxa"/>
              <w:left w:w="19" w:type="dxa"/>
              <w:bottom w:w="0" w:type="dxa"/>
              <w:right w:w="19" w:type="dxa"/>
            </w:tcMar>
            <w:vAlign w:val="top"/>
          </w:tcPr>
          <w:p w14:paraId="1D087CFE">
            <w:pPr>
              <w:pStyle w:val="92"/>
              <w:keepNext w:val="0"/>
              <w:keepLines w:val="0"/>
              <w:pageBreakBefore w:val="0"/>
              <w:kinsoku/>
              <w:wordWrap/>
              <w:overflowPunct/>
              <w:topLinePunct w:val="0"/>
              <w:autoSpaceDE/>
              <w:autoSpaceDN/>
              <w:bidi w:val="0"/>
              <w:spacing w:before="65" w:line="340" w:lineRule="exact"/>
              <w:ind w:left="135" w:leftChars="0"/>
              <w:rPr>
                <w:rFonts w:hint="eastAsia" w:asciiTheme="minorEastAsia" w:hAnsiTheme="minorEastAsia" w:eastAsiaTheme="minorEastAsia" w:cstheme="minorEastAsia"/>
                <w:color w:val="000000"/>
                <w:sz w:val="21"/>
                <w:szCs w:val="21"/>
                <w:lang w:eastAsia="zh-CN"/>
              </w:rPr>
            </w:pPr>
          </w:p>
        </w:tc>
        <w:tc>
          <w:tcPr>
            <w:tcW w:w="821" w:type="dxa"/>
            <w:tcBorders>
              <w:left w:val="single" w:color="auto" w:sz="4" w:space="0"/>
            </w:tcBorders>
            <w:tcMar>
              <w:top w:w="19" w:type="dxa"/>
              <w:left w:w="19" w:type="dxa"/>
              <w:bottom w:w="0" w:type="dxa"/>
              <w:right w:w="19" w:type="dxa"/>
            </w:tcMar>
            <w:vAlign w:val="center"/>
          </w:tcPr>
          <w:p w14:paraId="2CDBD548">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合理化建议</w:t>
            </w:r>
          </w:p>
        </w:tc>
        <w:tc>
          <w:tcPr>
            <w:tcW w:w="785" w:type="dxa"/>
            <w:tcMar>
              <w:top w:w="19" w:type="dxa"/>
              <w:left w:w="19" w:type="dxa"/>
              <w:bottom w:w="0" w:type="dxa"/>
              <w:right w:w="19" w:type="dxa"/>
            </w:tcMar>
            <w:vAlign w:val="center"/>
          </w:tcPr>
          <w:p w14:paraId="60F2DDBB">
            <w:pPr>
              <w:keepNext w:val="0"/>
              <w:keepLines w:val="0"/>
              <w:pageBreakBefore w:val="0"/>
              <w:widowControl w:val="0"/>
              <w:kinsoku/>
              <w:wordWrap/>
              <w:overflowPunct/>
              <w:topLinePunct w:val="0"/>
              <w:autoSpaceDE/>
              <w:autoSpaceDN/>
              <w:bidi w:val="0"/>
              <w:adjustRightInd w:val="0"/>
              <w:snapToGrid w:val="0"/>
              <w:spacing w:after="0" w:line="340" w:lineRule="exact"/>
              <w:ind w:left="0" w:leftChars="0"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分</w:t>
            </w:r>
          </w:p>
        </w:tc>
        <w:tc>
          <w:tcPr>
            <w:tcW w:w="6981" w:type="dxa"/>
            <w:tcMar>
              <w:top w:w="19" w:type="dxa"/>
              <w:left w:w="19" w:type="dxa"/>
              <w:bottom w:w="0" w:type="dxa"/>
              <w:right w:w="19" w:type="dxa"/>
            </w:tcMar>
            <w:vAlign w:val="top"/>
          </w:tcPr>
          <w:p w14:paraId="4F338C70">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针对供应商对本项目提出的合理化建议进行评分；</w:t>
            </w:r>
          </w:p>
          <w:p w14:paraId="56D010ED">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①建议的可行度合理得 3分；</w:t>
            </w:r>
          </w:p>
          <w:p w14:paraId="635B73FD">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eastAsiaTheme="minorEastAsia" w:cstheme="minorEastAsia"/>
                <w:b w:val="0"/>
                <w:bCs/>
                <w:color w:val="000000"/>
                <w:kern w:val="0"/>
                <w:sz w:val="21"/>
                <w:szCs w:val="21"/>
                <w:highlight w:val="none"/>
                <w:lang w:val="en-US" w:eastAsia="zh-CN" w:bidi="ar-SA"/>
              </w:rPr>
              <w:t>②建议的可行度一般得2 分；</w:t>
            </w:r>
          </w:p>
          <w:p w14:paraId="6C205085">
            <w:pPr>
              <w:keepNext w:val="0"/>
              <w:keepLines w:val="0"/>
              <w:pageBreakBefore w:val="0"/>
              <w:widowControl w:val="0"/>
              <w:numPr>
                <w:ilvl w:val="0"/>
                <w:numId w:val="0"/>
              </w:numPr>
              <w:kinsoku/>
              <w:wordWrap/>
              <w:overflowPunct/>
              <w:topLinePunct w:val="0"/>
              <w:autoSpaceDE/>
              <w:autoSpaceDN/>
              <w:bidi w:val="0"/>
              <w:adjustRightInd w:val="0"/>
              <w:snapToGrid w:val="0"/>
              <w:spacing w:after="0" w:line="340" w:lineRule="exact"/>
              <w:ind w:left="0" w:leftChars="0" w:right="115" w:rightChars="55" w:firstLine="420" w:firstLineChars="200"/>
              <w:jc w:val="both"/>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b w:val="0"/>
                <w:bCs/>
                <w:color w:val="000000"/>
                <w:kern w:val="0"/>
                <w:sz w:val="21"/>
                <w:szCs w:val="21"/>
                <w:highlight w:val="none"/>
                <w:lang w:val="en-US" w:eastAsia="zh-CN" w:bidi="ar-SA"/>
              </w:rPr>
              <w:t>③未提供不得分。</w:t>
            </w:r>
          </w:p>
        </w:tc>
        <w:tc>
          <w:tcPr>
            <w:tcW w:w="500" w:type="dxa"/>
            <w:vAlign w:val="center"/>
          </w:tcPr>
          <w:p w14:paraId="641AB5F5">
            <w:pPr>
              <w:keepNext w:val="0"/>
              <w:keepLines w:val="0"/>
              <w:pageBreakBefore w:val="0"/>
              <w:widowControl w:val="0"/>
              <w:kinsoku/>
              <w:wordWrap/>
              <w:overflowPunct/>
              <w:topLinePunct w:val="0"/>
              <w:autoSpaceDE/>
              <w:autoSpaceDN/>
              <w:bidi w:val="0"/>
              <w:adjustRightInd w:val="0"/>
              <w:snapToGrid w:val="0"/>
              <w:spacing w:after="0" w:line="340" w:lineRule="exact"/>
              <w:jc w:val="center"/>
              <w:rPr>
                <w:rFonts w:hint="eastAsia" w:asciiTheme="minorEastAsia" w:hAnsiTheme="minorEastAsia" w:eastAsiaTheme="minorEastAsia" w:cstheme="minorEastAsia"/>
                <w:color w:val="000000"/>
                <w:sz w:val="21"/>
                <w:szCs w:val="21"/>
                <w:lang w:val="en-US" w:eastAsia="zh-CN" w:bidi="ar-SA"/>
              </w:rPr>
            </w:pPr>
          </w:p>
        </w:tc>
      </w:tr>
    </w:tbl>
    <w:p w14:paraId="29BCAF7C">
      <w:pPr>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仿宋_GB2312" w:hAnsi="仿宋_GB2312" w:eastAsia="仿宋_GB2312" w:cs="仿宋_GB2312"/>
          <w:sz w:val="28"/>
          <w:szCs w:val="28"/>
          <w:lang w:val="en-US" w:eastAsia="zh-CN"/>
        </w:rPr>
      </w:pPr>
    </w:p>
    <w:p w14:paraId="031F3EBA">
      <w:pPr>
        <w:pStyle w:val="14"/>
        <w:tabs>
          <w:tab w:val="left" w:pos="600"/>
        </w:tabs>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6AFE667">
      <w:pPr>
        <w:keepNext w:val="0"/>
        <w:keepLines w:val="0"/>
        <w:pageBreakBefore w:val="0"/>
        <w:widowControl/>
        <w:kinsoku/>
        <w:wordWrap/>
        <w:overflowPunct/>
        <w:topLinePunct w:val="0"/>
        <w:autoSpaceDE w:val="0"/>
        <w:autoSpaceDN w:val="0"/>
        <w:bidi w:val="0"/>
        <w:spacing w:line="500" w:lineRule="exact"/>
        <w:ind w:right="51"/>
        <w:textAlignment w:val="bottom"/>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2.3 特殊情况的处理</w:t>
      </w:r>
    </w:p>
    <w:p w14:paraId="776C8F49">
      <w:pPr>
        <w:keepNext w:val="0"/>
        <w:keepLines w:val="0"/>
        <w:pageBreakBefore w:val="0"/>
        <w:widowControl/>
        <w:kinsoku/>
        <w:wordWrap/>
        <w:overflowPunct/>
        <w:topLinePunct w:val="0"/>
        <w:autoSpaceDE w:val="0"/>
        <w:autoSpaceDN w:val="0"/>
        <w:bidi w:val="0"/>
        <w:spacing w:line="500" w:lineRule="exact"/>
        <w:ind w:right="53" w:firstLine="480" w:firstLineChars="200"/>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响应文件中如果出现前后不一致的，按照下列规定修正：</w:t>
      </w:r>
    </w:p>
    <w:p w14:paraId="0BA00CB2">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（1）响应文件中的大写金额与小写金额不一致的，以大写金额为准；</w:t>
      </w:r>
    </w:p>
    <w:p w14:paraId="705378D7">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（2）响应文件中的总报价与按单价计算的汇总报价不一致的，以单价计算的汇总报价为准；</w:t>
      </w:r>
    </w:p>
    <w:p w14:paraId="149E7455">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（3）响应文件中的报价有明显小数点错误的，以总报价为准，并修改报价；</w:t>
      </w:r>
    </w:p>
    <w:p w14:paraId="5BF8D7A9">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（4）响应文件中有关分项表内容与“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报价一览表”不一致的，以“</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报价一览表”为准；</w:t>
      </w:r>
    </w:p>
    <w:p w14:paraId="4FC2B946">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（5）响应文件中图表与文字表述不一致的，以文字表述为准；</w:t>
      </w:r>
    </w:p>
    <w:p w14:paraId="779F5944">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（6）响应文件正本与副本不一致的，以正本为准；</w:t>
      </w:r>
    </w:p>
    <w:p w14:paraId="179F284C">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（7）对不同文字文本响应文件的解释发生异议的，以中文文本为准。</w:t>
      </w:r>
    </w:p>
    <w:p w14:paraId="49B2E3E0">
      <w:pPr>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按上述修正错误的方法调整的报价应对供应商具有约束力。如果供应商不接受修正后的价格，</w:t>
      </w:r>
      <w:r>
        <w:rPr>
          <w:rFonts w:hint="eastAsia" w:asciiTheme="minorEastAsia" w:hAnsiTheme="minorEastAsia" w:eastAsiaTheme="minorEastAsia" w:cstheme="minorEastAsia"/>
          <w:b/>
          <w:color w:val="auto"/>
          <w:sz w:val="24"/>
          <w:szCs w:val="24"/>
          <w:highlight w:val="none"/>
        </w:rPr>
        <w:t>其响应文件将被拒绝</w:t>
      </w:r>
      <w:r>
        <w:rPr>
          <w:rFonts w:hint="eastAsia" w:asciiTheme="minorEastAsia" w:hAnsiTheme="minorEastAsia" w:eastAsiaTheme="minorEastAsia" w:cstheme="minorEastAsia"/>
          <w:color w:val="auto"/>
          <w:sz w:val="24"/>
          <w:szCs w:val="24"/>
          <w:highlight w:val="none"/>
        </w:rPr>
        <w:t>。</w:t>
      </w:r>
    </w:p>
    <w:p w14:paraId="2B9D7E92">
      <w:pPr>
        <w:keepNext w:val="0"/>
        <w:keepLines w:val="0"/>
        <w:pageBreakBefore w:val="0"/>
        <w:widowControl/>
        <w:kinsoku/>
        <w:wordWrap/>
        <w:overflowPunct/>
        <w:topLinePunct w:val="0"/>
        <w:autoSpaceDE w:val="0"/>
        <w:autoSpaceDN w:val="0"/>
        <w:bidi w:val="0"/>
        <w:spacing w:line="500" w:lineRule="exact"/>
        <w:ind w:right="53" w:firstLine="480" w:firstLineChars="200"/>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 评审过程中，各种数字的计算结果，均保留两位小数，第三位“四舍五入”，但计算百分数时应精确到千分位，万分位“四舍五入”。</w:t>
      </w:r>
    </w:p>
    <w:p w14:paraId="4B528312">
      <w:pPr>
        <w:keepNext w:val="0"/>
        <w:keepLines w:val="0"/>
        <w:pageBreakBefore w:val="0"/>
        <w:kinsoku/>
        <w:wordWrap/>
        <w:overflowPunct/>
        <w:topLinePunct w:val="0"/>
        <w:bidi w:val="0"/>
        <w:adjustRightInd w:val="0"/>
        <w:snapToGrid w:val="0"/>
        <w:spacing w:line="500" w:lineRule="exact"/>
        <w:ind w:firstLine="480"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2.3.3</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kern w:val="0"/>
          <w:sz w:val="24"/>
          <w:szCs w:val="24"/>
          <w:highlight w:val="none"/>
        </w:rPr>
        <w:t>报价异常处理</w:t>
      </w:r>
    </w:p>
    <w:p w14:paraId="34F48DC1">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2.3.2磋商报价异常处理</w:t>
      </w:r>
    </w:p>
    <w:p w14:paraId="637A23D9">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2.3.2.1 磋商小组认为供应商的最后报价明显低于其他通过资格性、符合性审查供应商的最后报价，有可能影响工程质量或者不能诚信履约的，应当要求其在评审现场合理的时间内提供书面说明，必要时提交相关证明材料。</w:t>
      </w:r>
    </w:p>
    <w:p w14:paraId="3EA349AC">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2.3.2.2 供应商证明其能够诚信履约，并承诺成交后提供磋商文件规定以外的履约担保的，可以继续参加评审，否则磋商小组应当将其作为无效响应文件处理。</w:t>
      </w:r>
    </w:p>
    <w:p w14:paraId="517DDBEB">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2.3.3 磋商小组成员打分超过得分界限或未按本办法赋分时，该成员的打分，按废票处理。</w:t>
      </w:r>
    </w:p>
    <w:p w14:paraId="5BC715CE">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2.3.4 评审过程中，各种数字的计算结果，均保留两位小数，第三位“四舍五入”，但计算百分数时应精确到千分位，万分位“四舍五入”。</w:t>
      </w:r>
    </w:p>
    <w:p w14:paraId="2CC76E76">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2.3.5 评审过程中，若出现本磋商办法以外的特殊情况时，将暂停评审，待磋商小组商榷后，再进行评审。</w:t>
      </w:r>
    </w:p>
    <w:p w14:paraId="5C7BCDE6">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2.3.6 评审过程中，若出现合格供应商不足3家时，采购人将依法重新组织采购活动。</w:t>
      </w:r>
    </w:p>
    <w:p w14:paraId="4A5082B6">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2.3.7 评审报告签署后，采购人或者采购代理机构发现存在本章第1.7.2条款情形之一的，应当组织原磋商小组进行重新评审，重新评审改变成交结果的，书面报告本级财政部门。</w:t>
      </w:r>
    </w:p>
    <w:p w14:paraId="67ACC36A">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2.3.8 采购人、采购代理机构发现磋商小组未按照磋商文件规定的评审标准进行评审的，应当重新开展采购活动，并同时书面报告本级财政部门。</w:t>
      </w:r>
    </w:p>
    <w:p w14:paraId="34DB3053">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2.3.9评审争议处理原则</w:t>
      </w:r>
    </w:p>
    <w:p w14:paraId="6DD18828">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磋商小组在评审过程中，对响应文件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14:paraId="6E76D73A">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bookmarkStart w:id="45" w:name="_Toc20651224"/>
      <w:r>
        <w:rPr>
          <w:rFonts w:hint="eastAsia" w:asciiTheme="minorEastAsia" w:hAnsiTheme="minorEastAsia" w:eastAsiaTheme="minorEastAsia" w:cstheme="minorEastAsia"/>
          <w:color w:val="auto"/>
          <w:spacing w:val="2"/>
          <w:sz w:val="24"/>
          <w:highlight w:val="none"/>
        </w:rPr>
        <w:t>2.3.10停止评</w:t>
      </w:r>
      <w:bookmarkEnd w:id="45"/>
      <w:r>
        <w:rPr>
          <w:rFonts w:hint="eastAsia" w:asciiTheme="minorEastAsia" w:hAnsiTheme="minorEastAsia" w:eastAsiaTheme="minorEastAsia" w:cstheme="minorEastAsia"/>
          <w:color w:val="auto"/>
          <w:spacing w:val="2"/>
          <w:sz w:val="24"/>
          <w:highlight w:val="none"/>
        </w:rPr>
        <w:t>审</w:t>
      </w:r>
    </w:p>
    <w:p w14:paraId="4420BA2D">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磋商小组发现磋商文件存在歧义、重大缺陷导致评审工作无法进行，或者磋商文件内容违反国家有关强制性规定的，应当停止评审工作，与采购人、采购代理机构沟通并作书面记录。采购人、采购代理机构应当确认和修改磋商文件后，重新组织采购活动。</w:t>
      </w:r>
    </w:p>
    <w:p w14:paraId="31E1CA9E">
      <w:pPr>
        <w:keepNext w:val="0"/>
        <w:keepLines w:val="0"/>
        <w:pageBreakBefore w:val="0"/>
        <w:tabs>
          <w:tab w:val="left" w:pos="7665"/>
        </w:tabs>
        <w:kinsoku/>
        <w:wordWrap/>
        <w:overflowPunct/>
        <w:topLinePunct w:val="0"/>
        <w:bidi w:val="0"/>
        <w:spacing w:line="500" w:lineRule="exact"/>
        <w:ind w:firstLine="482"/>
        <w:rPr>
          <w:rFonts w:hint="eastAsia" w:asciiTheme="minorEastAsia" w:hAnsiTheme="minorEastAsia" w:eastAsiaTheme="minorEastAsia" w:cstheme="minorEastAsia"/>
          <w:color w:val="auto"/>
          <w:spacing w:val="2"/>
          <w:sz w:val="24"/>
          <w:highlight w:val="none"/>
        </w:rPr>
      </w:pPr>
      <w:bookmarkStart w:id="46" w:name="_Toc20651225"/>
      <w:r>
        <w:rPr>
          <w:rFonts w:hint="eastAsia" w:asciiTheme="minorEastAsia" w:hAnsiTheme="minorEastAsia" w:eastAsiaTheme="minorEastAsia" w:cstheme="minorEastAsia"/>
          <w:color w:val="auto"/>
          <w:spacing w:val="2"/>
          <w:sz w:val="24"/>
          <w:highlight w:val="none"/>
        </w:rPr>
        <w:t>2.3.11采购人、采购代理机构发现磋商小组未按照磋商文件规定的评审标准进行评审的，应当重新开展采购活动，并同时书面报告本级财政部门。</w:t>
      </w:r>
    </w:p>
    <w:bookmarkEnd w:id="46"/>
    <w:p w14:paraId="0B77666B">
      <w:pPr>
        <w:tabs>
          <w:tab w:val="left" w:pos="7665"/>
        </w:tabs>
        <w:spacing w:line="360" w:lineRule="auto"/>
        <w:ind w:firstLine="482"/>
        <w:rPr>
          <w:rFonts w:hint="eastAsia" w:asciiTheme="minorEastAsia" w:hAnsiTheme="minorEastAsia" w:eastAsiaTheme="minorEastAsia" w:cstheme="minorEastAsia"/>
          <w:color w:val="auto"/>
          <w:spacing w:val="2"/>
          <w:sz w:val="24"/>
          <w:highlight w:val="none"/>
        </w:rPr>
      </w:pPr>
    </w:p>
    <w:p w14:paraId="4EE04B32">
      <w:pPr>
        <w:pageBreakBefore w:val="0"/>
        <w:numPr>
          <w:ilvl w:val="0"/>
          <w:numId w:val="0"/>
        </w:numPr>
        <w:tabs>
          <w:tab w:val="left" w:pos="7665"/>
        </w:tabs>
        <w:kinsoku/>
        <w:wordWrap/>
        <w:topLinePunct w:val="0"/>
        <w:autoSpaceDE/>
        <w:autoSpaceDN/>
        <w:bidi w:val="0"/>
        <w:spacing w:line="500" w:lineRule="exact"/>
        <w:jc w:val="center"/>
        <w:textAlignment w:val="auto"/>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highlight w:val="none"/>
          <w:lang w:eastAsia="zh-CN"/>
        </w:rPr>
        <w:br w:type="page"/>
      </w:r>
      <w:bookmarkStart w:id="47" w:name="_Toc20505"/>
      <w:bookmarkStart w:id="48" w:name="_Toc8803"/>
      <w:bookmarkStart w:id="49" w:name="_Toc13602"/>
      <w:r>
        <w:rPr>
          <w:rFonts w:hint="eastAsia" w:asciiTheme="minorEastAsia" w:hAnsiTheme="minorEastAsia" w:eastAsiaTheme="minorEastAsia" w:cstheme="minorEastAsia"/>
          <w:b/>
          <w:bCs/>
          <w:color w:val="auto"/>
          <w:sz w:val="30"/>
          <w:szCs w:val="30"/>
          <w:highlight w:val="none"/>
          <w:lang w:val="en-US" w:eastAsia="zh-CN"/>
        </w:rPr>
        <w:t xml:space="preserve">第五章  </w:t>
      </w:r>
      <w:r>
        <w:rPr>
          <w:rFonts w:hint="eastAsia" w:asciiTheme="minorEastAsia" w:hAnsiTheme="minorEastAsia" w:eastAsiaTheme="minorEastAsia" w:cstheme="minorEastAsia"/>
          <w:b/>
          <w:bCs/>
          <w:color w:val="auto"/>
          <w:sz w:val="30"/>
          <w:szCs w:val="30"/>
          <w:highlight w:val="none"/>
        </w:rPr>
        <w:t>采购</w:t>
      </w:r>
      <w:bookmarkEnd w:id="43"/>
      <w:r>
        <w:rPr>
          <w:rFonts w:hint="eastAsia" w:asciiTheme="minorEastAsia" w:hAnsiTheme="minorEastAsia" w:eastAsiaTheme="minorEastAsia" w:cstheme="minorEastAsia"/>
          <w:b/>
          <w:bCs/>
          <w:color w:val="auto"/>
          <w:sz w:val="30"/>
          <w:szCs w:val="30"/>
          <w:highlight w:val="none"/>
        </w:rPr>
        <w:t>需求</w:t>
      </w:r>
      <w:bookmarkEnd w:id="47"/>
      <w:bookmarkEnd w:id="48"/>
      <w:bookmarkEnd w:id="49"/>
    </w:p>
    <w:p w14:paraId="621F7C89">
      <w:pPr>
        <w:pStyle w:val="3"/>
        <w:pageBreakBefore w:val="0"/>
        <w:kinsoku/>
        <w:wordWrap/>
        <w:topLinePunct w:val="0"/>
        <w:autoSpaceDE/>
        <w:autoSpaceDN/>
        <w:bidi w:val="0"/>
        <w:spacing w:after="0" w:line="48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bookmarkStart w:id="50" w:name="_Toc26240"/>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项目概况及</w:t>
      </w:r>
      <w:r>
        <w:rPr>
          <w:rFonts w:hint="eastAsia" w:asciiTheme="minorEastAsia" w:hAnsiTheme="minorEastAsia" w:eastAsiaTheme="minorEastAsia" w:cstheme="minorEastAsia"/>
          <w:color w:val="auto"/>
          <w:sz w:val="24"/>
          <w:szCs w:val="24"/>
          <w:highlight w:val="none"/>
          <w:lang w:val="en-US" w:eastAsia="zh-CN"/>
        </w:rPr>
        <w:t>采购内容</w:t>
      </w:r>
      <w:bookmarkEnd w:id="50"/>
    </w:p>
    <w:p w14:paraId="43A3D398">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1、项目名称：编制《绩效考核分配方案》(三次)</w:t>
      </w:r>
    </w:p>
    <w:p w14:paraId="0B10E86A">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2、服务期（合同履行期）：合同签订后6个月内完成</w:t>
      </w:r>
    </w:p>
    <w:p w14:paraId="6B999CE5">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51" w:name="_Toc318"/>
      <w:r>
        <w:rPr>
          <w:rFonts w:hint="eastAsia" w:asciiTheme="minorEastAsia" w:hAnsiTheme="minorEastAsia" w:eastAsiaTheme="minorEastAsia" w:cstheme="minorEastAsia"/>
          <w:color w:val="auto"/>
          <w:sz w:val="24"/>
          <w:szCs w:val="24"/>
          <w:highlight w:val="none"/>
          <w:lang w:val="en-US" w:eastAsia="zh-CN"/>
        </w:rPr>
        <w:t>3、项目目标：</w:t>
      </w:r>
    </w:p>
    <w:p w14:paraId="6225E2B7">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了贯彻国家医改精神，根据医院的特点调整医院经营理念和模式、优化医院绩效工资分配激励机制和考核机制，按照国家、省、市相关医改文件和医保支付方式，建立以预算为基础，DIP/DRG为导向的现代医院绩效管理体系，充分调动医务人员工作积极性，整体提升医院的经营能力，促进医院持续、健康发展，结合医院实际情况特制订本方案。本方案突出中医特色，并对公共卫生、预防保健及健康管理类科室予以专门考量。</w:t>
      </w:r>
    </w:p>
    <w:bookmarkEnd w:id="51"/>
    <w:p w14:paraId="720D73EE">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color w:val="000000"/>
          <w:sz w:val="24"/>
          <w:szCs w:val="24"/>
          <w:highlight w:val="none"/>
          <w:lang w:val="en-US" w:eastAsia="zh-CN"/>
        </w:rPr>
      </w:pPr>
      <w:bookmarkStart w:id="52" w:name="_Toc20407"/>
      <w:bookmarkStart w:id="53" w:name="_Toc26958"/>
      <w:bookmarkStart w:id="54" w:name="_Toc26698"/>
      <w:bookmarkStart w:id="55" w:name="_Toc3697"/>
      <w:bookmarkStart w:id="56" w:name="_Toc28539"/>
      <w:bookmarkStart w:id="57" w:name="_Toc452708689"/>
      <w:r>
        <w:rPr>
          <w:rFonts w:hint="eastAsia" w:asciiTheme="minorEastAsia" w:hAnsiTheme="minorEastAsia" w:eastAsiaTheme="minorEastAsia" w:cstheme="minorEastAsia"/>
          <w:color w:val="auto"/>
          <w:sz w:val="24"/>
          <w:szCs w:val="24"/>
          <w:highlight w:val="none"/>
          <w:lang w:val="en-US" w:eastAsia="zh-CN"/>
        </w:rPr>
        <w:t>坚持“效率优先、兼顾公平、体现岗位差异，兼顾学科平衡，多劳多得、优绩优酬”的分配原则。坚持以预算和DRG/DIP病种为核心，体现病种的疑难程度、医疗服务质量好坏、专科发展快慢、运营效益高低等因素。重点向关键岗位、业务骨干和作出突出贡献的人员倾斜，合理拉开收入差距，调动医务人员积极性。遵守国家规定，绩效工资不与药品、耗材、检查、化验等业务收入挂钩。供应商通过搜集和整理医院数据资料，通过现场调研、访谈等方式，对医院的绩效运营进行评价，出具医院绩效运营评估报告。负责医院绩效工资一次分配方案设计、科室项目工作量核算设计、科室二次分配方案指导意见拟定、医院关键指标绩效考核方案设计、供应商负责对绩效发放进行指导，对科室反馈的问题进行解答和处理，对科室二次分配问题进行解答。</w:t>
      </w:r>
    </w:p>
    <w:p w14:paraId="51E4DA12">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leftChars="0"/>
        <w:jc w:val="both"/>
        <w:textAlignment w:val="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rPr>
        <w:t>二、</w:t>
      </w:r>
      <w:r>
        <w:rPr>
          <w:rFonts w:hint="eastAsia" w:asciiTheme="minorEastAsia" w:hAnsiTheme="minorEastAsia" w:eastAsiaTheme="minorEastAsia" w:cstheme="minorEastAsia"/>
          <w:b/>
          <w:bCs/>
          <w:color w:val="000000"/>
          <w:sz w:val="24"/>
          <w:szCs w:val="24"/>
          <w:highlight w:val="none"/>
        </w:rPr>
        <w:t>技术服务要求</w:t>
      </w:r>
      <w:r>
        <w:rPr>
          <w:rFonts w:hint="eastAsia" w:asciiTheme="minorEastAsia" w:hAnsiTheme="minorEastAsia" w:eastAsiaTheme="minorEastAsia" w:cstheme="minorEastAsia"/>
          <w:b/>
          <w:bCs/>
          <w:color w:val="000000"/>
          <w:sz w:val="24"/>
          <w:szCs w:val="24"/>
          <w:highlight w:val="none"/>
          <w:lang w:val="en-US" w:eastAsia="zh-CN"/>
        </w:rPr>
        <w:t xml:space="preserve"> </w:t>
      </w:r>
    </w:p>
    <w:p w14:paraId="1D9A6089">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both"/>
        <w:textAlignment w:val="auto"/>
        <w:outlineLvl w:val="1"/>
        <w:rPr>
          <w:rFonts w:hint="eastAsia" w:ascii="宋体" w:hAnsi="宋体" w:eastAsia="宋体" w:cs="宋体"/>
          <w:b/>
          <w:bCs/>
          <w:color w:val="000000"/>
          <w:sz w:val="24"/>
          <w:szCs w:val="24"/>
          <w:highlight w:val="none"/>
          <w:lang w:val="en-US" w:eastAsia="zh-CN"/>
        </w:rPr>
      </w:pPr>
      <w:bookmarkStart w:id="58" w:name="_Toc50480093"/>
      <w:bookmarkStart w:id="59" w:name="_Hlk66124353"/>
      <w:r>
        <w:rPr>
          <w:rFonts w:hint="eastAsia" w:ascii="宋体" w:hAnsi="宋体" w:eastAsia="宋体" w:cs="宋体"/>
          <w:b/>
          <w:bCs/>
          <w:color w:val="000000"/>
          <w:sz w:val="24"/>
          <w:szCs w:val="24"/>
          <w:highlight w:val="none"/>
        </w:rPr>
        <w:t>绩效</w:t>
      </w:r>
      <w:r>
        <w:rPr>
          <w:rFonts w:hint="eastAsia" w:ascii="宋体" w:hAnsi="宋体" w:eastAsia="宋体" w:cs="宋体"/>
          <w:b/>
          <w:bCs/>
          <w:color w:val="000000"/>
          <w:sz w:val="24"/>
          <w:szCs w:val="24"/>
          <w:highlight w:val="none"/>
          <w:lang w:eastAsia="zh-CN"/>
        </w:rPr>
        <w:t>管理</w:t>
      </w:r>
      <w:r>
        <w:rPr>
          <w:rFonts w:hint="eastAsia" w:ascii="宋体" w:hAnsi="宋体" w:eastAsia="宋体" w:cs="宋体"/>
          <w:b/>
          <w:bCs/>
          <w:color w:val="000000"/>
          <w:sz w:val="24"/>
          <w:szCs w:val="24"/>
          <w:highlight w:val="none"/>
        </w:rPr>
        <w:t>方案</w:t>
      </w:r>
      <w:r>
        <w:rPr>
          <w:rFonts w:hint="eastAsia" w:ascii="宋体" w:hAnsi="宋体" w:eastAsia="宋体" w:cs="宋体"/>
          <w:b/>
          <w:bCs/>
          <w:color w:val="000000"/>
          <w:sz w:val="24"/>
          <w:szCs w:val="24"/>
          <w:highlight w:val="none"/>
          <w:lang w:eastAsia="zh-CN"/>
        </w:rPr>
        <w:t>原则及</w:t>
      </w:r>
      <w:r>
        <w:rPr>
          <w:rFonts w:hint="eastAsia" w:ascii="宋体" w:hAnsi="宋体" w:eastAsia="宋体" w:cs="宋体"/>
          <w:b/>
          <w:bCs/>
          <w:color w:val="000000"/>
          <w:sz w:val="24"/>
          <w:szCs w:val="24"/>
          <w:highlight w:val="none"/>
        </w:rPr>
        <w:t>内容</w:t>
      </w:r>
    </w:p>
    <w:p w14:paraId="7A28288E">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both"/>
        <w:textAlignment w:val="auto"/>
        <w:outlineLvl w:val="1"/>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（一）方案制定原则</w:t>
      </w:r>
    </w:p>
    <w:p w14:paraId="4BDE3C20">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（1）坚持“效率优先、兼顾公平、体现岗位差异，兼顾学科平衡，多劳多得、优绩优酬”的分配原则。</w:t>
      </w:r>
    </w:p>
    <w:p w14:paraId="0B2CA088">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（2）坚持以预算和DIP/DRG病种为核心，体现病种的疑难程度、医疗服务质量好坏、专科发展快慢、运营效益高低等因素。</w:t>
      </w:r>
    </w:p>
    <w:p w14:paraId="7E8BFBA7">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（3）重点向关键岗位、业务骨干和作出突出贡献的人员倾斜，合理拉开收入差距，调动医务人员积极性。</w:t>
      </w:r>
    </w:p>
    <w:p w14:paraId="24C4C59A">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（4）遵守国家规定，绩效工资不与药品、耗材、检查、化验等业务收入挂钩。</w:t>
      </w:r>
    </w:p>
    <w:p w14:paraId="648F9FBC">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both"/>
        <w:textAlignment w:val="auto"/>
        <w:outlineLvl w:val="2"/>
        <w:rPr>
          <w:rFonts w:hint="eastAsia" w:ascii="宋体" w:hAnsi="宋体" w:eastAsia="宋体" w:cs="宋体"/>
          <w:b/>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（二</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绩效</w:t>
      </w:r>
      <w:r>
        <w:rPr>
          <w:rFonts w:hint="eastAsia" w:ascii="宋体" w:hAnsi="宋体" w:eastAsia="宋体" w:cs="宋体"/>
          <w:b/>
          <w:bCs/>
          <w:color w:val="000000"/>
          <w:sz w:val="24"/>
          <w:szCs w:val="24"/>
          <w:highlight w:val="none"/>
          <w:lang w:eastAsia="zh-CN"/>
        </w:rPr>
        <w:t>管理</w:t>
      </w:r>
      <w:r>
        <w:rPr>
          <w:rFonts w:hint="eastAsia" w:ascii="宋体" w:hAnsi="宋体" w:eastAsia="宋体" w:cs="宋体"/>
          <w:b/>
          <w:bCs/>
          <w:color w:val="000000"/>
          <w:sz w:val="24"/>
          <w:szCs w:val="24"/>
          <w:highlight w:val="none"/>
        </w:rPr>
        <w:t>方案</w:t>
      </w:r>
      <w:r>
        <w:rPr>
          <w:rFonts w:hint="eastAsia" w:ascii="宋体" w:hAnsi="宋体" w:eastAsia="宋体" w:cs="宋体"/>
          <w:b/>
          <w:bCs/>
          <w:color w:val="000000"/>
          <w:sz w:val="24"/>
          <w:szCs w:val="24"/>
          <w:highlight w:val="none"/>
          <w:lang w:eastAsia="zh-CN"/>
        </w:rPr>
        <w:t>总体规划</w:t>
      </w:r>
    </w:p>
    <w:p w14:paraId="77464510">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（1）评估调研：通过搜集和整理医院数据资料，现场调研、访谈等方式，对医院的绩效运营进行评价，出具医院绩效运营评估报告。</w:t>
      </w:r>
    </w:p>
    <w:p w14:paraId="70054CA4">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（2）设计医院绩效工资一次分配方案。</w:t>
      </w:r>
    </w:p>
    <w:p w14:paraId="14146E14">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（3）设计</w:t>
      </w:r>
      <w:r>
        <w:rPr>
          <w:rFonts w:hint="eastAsia" w:ascii="宋体" w:hAnsi="宋体" w:eastAsia="宋体" w:cs="宋体"/>
          <w:color w:val="000000"/>
          <w:sz w:val="24"/>
          <w:szCs w:val="24"/>
          <w:highlight w:val="none"/>
          <w:lang w:eastAsia="zh-CN"/>
        </w:rPr>
        <w:t>科室项目工作</w:t>
      </w:r>
      <w:r>
        <w:rPr>
          <w:rFonts w:hint="eastAsia" w:ascii="宋体" w:hAnsi="宋体" w:eastAsia="宋体" w:cs="宋体"/>
          <w:color w:val="000000"/>
          <w:sz w:val="24"/>
          <w:szCs w:val="24"/>
          <w:highlight w:val="none"/>
          <w:lang w:val="en-US" w:eastAsia="zh-CN"/>
        </w:rPr>
        <w:t>量</w:t>
      </w:r>
      <w:r>
        <w:rPr>
          <w:rFonts w:hint="eastAsia" w:ascii="宋体" w:hAnsi="宋体" w:eastAsia="宋体" w:cs="宋体"/>
          <w:color w:val="000000"/>
          <w:sz w:val="24"/>
          <w:szCs w:val="24"/>
          <w:highlight w:val="none"/>
          <w:lang w:eastAsia="zh-CN"/>
        </w:rPr>
        <w:t>核算</w:t>
      </w:r>
      <w:r>
        <w:rPr>
          <w:rFonts w:hint="eastAsia" w:ascii="宋体" w:hAnsi="宋体" w:eastAsia="宋体" w:cs="宋体"/>
          <w:color w:val="000000"/>
          <w:sz w:val="24"/>
          <w:szCs w:val="24"/>
          <w:highlight w:val="none"/>
          <w:lang w:val="en-US" w:eastAsia="zh-CN"/>
        </w:rPr>
        <w:t>。</w:t>
      </w:r>
    </w:p>
    <w:p w14:paraId="413557B2">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（4）指导科室拟定二次分配方案意见。</w:t>
      </w:r>
    </w:p>
    <w:p w14:paraId="7E27A668">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（5）设计医院关键指标绩效考核方案。</w:t>
      </w:r>
    </w:p>
    <w:p w14:paraId="66C94691">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（6）方案实施辅导：对绩效发放进行指导，对科室反馈的问题进行解答和处理，对科室二次分配问题进行解答。</w:t>
      </w:r>
    </w:p>
    <w:p w14:paraId="1D0D67D0">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（7）总结验收：对绩效试运行情况分析评估，对方案优化调整。</w:t>
      </w:r>
    </w:p>
    <w:p w14:paraId="71C10E53">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both"/>
        <w:textAlignment w:val="auto"/>
        <w:outlineLvl w:val="3"/>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（三）绩效分配框架</w:t>
      </w:r>
    </w:p>
    <w:p w14:paraId="63A69F31">
      <w:pPr>
        <w:keepNext w:val="0"/>
        <w:keepLines w:val="0"/>
        <w:pageBreakBefore w:val="0"/>
        <w:widowControl/>
        <w:kinsoku/>
        <w:wordWrap/>
        <w:overflowPunct w:val="0"/>
        <w:topLinePunct w:val="0"/>
        <w:autoSpaceDE/>
        <w:autoSpaceDN/>
        <w:bidi w:val="0"/>
        <w:adjustRightInd w:val="0"/>
        <w:snapToGrid w:val="0"/>
        <w:spacing w:line="480" w:lineRule="exact"/>
        <w:ind w:firstLine="482" w:firstLineChars="200"/>
        <w:jc w:val="both"/>
        <w:textAlignment w:val="auto"/>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b/>
          <w:bCs/>
          <w:color w:val="000000"/>
          <w:kern w:val="2"/>
          <w:sz w:val="24"/>
          <w:szCs w:val="24"/>
          <w:highlight w:val="none"/>
          <w:lang w:val="en-US" w:eastAsia="zh-CN"/>
        </w:rPr>
        <w:t>1、医、药、护、技绩效工资分配框架</w:t>
      </w:r>
    </w:p>
    <w:p w14:paraId="3C551C4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在医院财务预算的基础上，以</w:t>
      </w:r>
      <w:r>
        <w:rPr>
          <w:rFonts w:hint="eastAsia" w:ascii="宋体" w:hAnsi="宋体" w:eastAsia="宋体" w:cs="宋体"/>
          <w:kern w:val="2"/>
          <w:sz w:val="24"/>
          <w:szCs w:val="24"/>
          <w:highlight w:val="none"/>
          <w:lang w:val="en-US" w:eastAsia="zh-CN" w:bidi="ar-SA"/>
        </w:rPr>
        <w:t>DIP/DRG为导向，</w:t>
      </w:r>
      <w:r>
        <w:rPr>
          <w:rFonts w:hint="eastAsia" w:ascii="宋体" w:hAnsi="宋体" w:eastAsia="宋体" w:cs="宋体"/>
          <w:color w:val="000000"/>
          <w:sz w:val="24"/>
          <w:szCs w:val="24"/>
          <w:highlight w:val="none"/>
          <w:lang w:val="en-US" w:eastAsia="zh-CN"/>
        </w:rPr>
        <w:t>确定医、药、护、技各类人员绩效水平，制定</w:t>
      </w:r>
      <w:r>
        <w:rPr>
          <w:rFonts w:hint="eastAsia" w:ascii="宋体" w:hAnsi="宋体" w:eastAsia="宋体" w:cs="宋体"/>
          <w:kern w:val="2"/>
          <w:sz w:val="24"/>
          <w:szCs w:val="24"/>
          <w:highlight w:val="none"/>
          <w:lang w:val="en-US" w:eastAsia="zh-CN" w:bidi="ar-SA"/>
        </w:rPr>
        <w:t>现代绩效工资分配体系，具体内容包括：</w:t>
      </w:r>
    </w:p>
    <w:p w14:paraId="6E5C1E8F">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（1）医生绩效工资分配办法，以DIP/DRG点数绩效工资方法，成本核算或运营效率绩效工资方法以及重点项目绩效工资方法。</w:t>
      </w:r>
    </w:p>
    <w:p w14:paraId="2D04A255">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（2）护士绩效工资方法，以DIP/DRG点数绩效工资方法，成本核算或运营效率绩效工资方法或护理工作量、护理等级等绩效工资方法。</w:t>
      </w:r>
    </w:p>
    <w:p w14:paraId="573B7FDB">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（3）医技、医辅等科室绩效工资方法，以成本核算或工作量点数计算绩效工资或岗位系数计算绩效工资。</w:t>
      </w:r>
    </w:p>
    <w:p w14:paraId="0AABC3F9">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（4）专项绩效：手术绩效依据手术风险、技术难度等指标制定手术绩效方案并予以落实；根据情况设立门诊人次、会诊人次等其他重点项目绩效工资办法。</w:t>
      </w:r>
    </w:p>
    <w:p w14:paraId="4CD4B6D8">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（5）指导医药护技制定二次分配办法，分配到医疗组或者个人。</w:t>
      </w:r>
    </w:p>
    <w:p w14:paraId="5C3256BD">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（6）强化成本控制。在保证医疗质量安全的情况下，实施有效的成本管控，重点控制药品、耗材、办公用品等资源消耗成本。</w:t>
      </w:r>
    </w:p>
    <w:p w14:paraId="7BEB18E3">
      <w:pPr>
        <w:keepNext w:val="0"/>
        <w:keepLines w:val="0"/>
        <w:pageBreakBefore w:val="0"/>
        <w:widowControl/>
        <w:kinsoku/>
        <w:wordWrap/>
        <w:overflowPunct w:val="0"/>
        <w:topLinePunct w:val="0"/>
        <w:autoSpaceDE/>
        <w:autoSpaceDN/>
        <w:bidi w:val="0"/>
        <w:adjustRightInd w:val="0"/>
        <w:snapToGrid w:val="0"/>
        <w:spacing w:line="480" w:lineRule="exact"/>
        <w:ind w:left="0" w:leftChars="0" w:firstLine="482" w:firstLineChars="200"/>
        <w:jc w:val="both"/>
        <w:textAlignment w:val="auto"/>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b/>
          <w:bCs/>
          <w:color w:val="000000"/>
          <w:kern w:val="2"/>
          <w:sz w:val="24"/>
          <w:szCs w:val="24"/>
          <w:highlight w:val="none"/>
          <w:lang w:val="en-US" w:eastAsia="zh-CN"/>
        </w:rPr>
        <w:t>2、行政职能科室、后勤人员绩效分配框架</w:t>
      </w:r>
    </w:p>
    <w:p w14:paraId="3A96EDCF">
      <w:pPr>
        <w:keepNext w:val="0"/>
        <w:keepLines w:val="0"/>
        <w:pageBreakBefore w:val="0"/>
        <w:widowControl/>
        <w:kinsoku/>
        <w:wordWrap/>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推进</w:t>
      </w:r>
      <w:r>
        <w:rPr>
          <w:rFonts w:hint="eastAsia" w:ascii="宋体" w:hAnsi="宋体" w:eastAsia="宋体" w:cs="宋体"/>
          <w:color w:val="000000"/>
          <w:kern w:val="2"/>
          <w:sz w:val="24"/>
          <w:szCs w:val="24"/>
          <w:highlight w:val="none"/>
          <w:lang w:eastAsia="zh-CN"/>
        </w:rPr>
        <w:t>行</w:t>
      </w:r>
      <w:r>
        <w:rPr>
          <w:rFonts w:hint="eastAsia" w:ascii="宋体" w:hAnsi="宋体" w:eastAsia="宋体" w:cs="宋体"/>
          <w:color w:val="000000"/>
          <w:kern w:val="2"/>
          <w:sz w:val="24"/>
          <w:szCs w:val="24"/>
          <w:highlight w:val="none"/>
        </w:rPr>
        <w:t>政</w:t>
      </w:r>
      <w:r>
        <w:rPr>
          <w:rFonts w:hint="eastAsia" w:ascii="宋体" w:hAnsi="宋体" w:eastAsia="宋体" w:cs="宋体"/>
          <w:color w:val="000000"/>
          <w:kern w:val="2"/>
          <w:sz w:val="24"/>
          <w:szCs w:val="24"/>
          <w:highlight w:val="none"/>
          <w:lang w:eastAsia="zh-CN"/>
        </w:rPr>
        <w:t>职能科室</w:t>
      </w:r>
      <w:r>
        <w:rPr>
          <w:rFonts w:hint="eastAsia" w:ascii="宋体" w:hAnsi="宋体" w:eastAsia="宋体" w:cs="宋体"/>
          <w:color w:val="000000"/>
          <w:kern w:val="2"/>
          <w:sz w:val="24"/>
          <w:szCs w:val="24"/>
          <w:highlight w:val="none"/>
        </w:rPr>
        <w:t>、后勤岗位层级化管理，根据各</w:t>
      </w:r>
      <w:r>
        <w:rPr>
          <w:rFonts w:hint="eastAsia" w:ascii="宋体" w:hAnsi="宋体" w:eastAsia="宋体" w:cs="宋体"/>
          <w:color w:val="000000"/>
          <w:kern w:val="2"/>
          <w:sz w:val="24"/>
          <w:szCs w:val="24"/>
          <w:highlight w:val="none"/>
          <w:lang w:eastAsia="zh-CN"/>
        </w:rPr>
        <w:t>科室</w:t>
      </w:r>
      <w:r>
        <w:rPr>
          <w:rFonts w:hint="eastAsia" w:ascii="宋体" w:hAnsi="宋体" w:eastAsia="宋体" w:cs="宋体"/>
          <w:color w:val="000000"/>
          <w:kern w:val="2"/>
          <w:sz w:val="24"/>
          <w:szCs w:val="24"/>
          <w:highlight w:val="none"/>
        </w:rPr>
        <w:t>各岗位专业难度、风险程度、能力要求、工作强度等对</w:t>
      </w:r>
      <w:r>
        <w:rPr>
          <w:rFonts w:hint="eastAsia" w:ascii="宋体" w:hAnsi="宋体" w:eastAsia="宋体" w:cs="宋体"/>
          <w:color w:val="000000"/>
          <w:kern w:val="2"/>
          <w:sz w:val="24"/>
          <w:szCs w:val="24"/>
          <w:highlight w:val="none"/>
          <w:lang w:eastAsia="zh-CN"/>
        </w:rPr>
        <w:t>行</w:t>
      </w:r>
      <w:r>
        <w:rPr>
          <w:rFonts w:hint="eastAsia" w:ascii="宋体" w:hAnsi="宋体" w:eastAsia="宋体" w:cs="宋体"/>
          <w:color w:val="000000"/>
          <w:kern w:val="2"/>
          <w:sz w:val="24"/>
          <w:szCs w:val="24"/>
          <w:highlight w:val="none"/>
        </w:rPr>
        <w:t>政</w:t>
      </w:r>
      <w:r>
        <w:rPr>
          <w:rFonts w:hint="eastAsia" w:ascii="宋体" w:hAnsi="宋体" w:eastAsia="宋体" w:cs="宋体"/>
          <w:color w:val="000000"/>
          <w:kern w:val="2"/>
          <w:sz w:val="24"/>
          <w:szCs w:val="24"/>
          <w:highlight w:val="none"/>
          <w:lang w:eastAsia="zh-CN"/>
        </w:rPr>
        <w:t>职能科室</w:t>
      </w:r>
      <w:r>
        <w:rPr>
          <w:rFonts w:hint="eastAsia" w:ascii="宋体" w:hAnsi="宋体" w:eastAsia="宋体" w:cs="宋体"/>
          <w:color w:val="000000"/>
          <w:kern w:val="2"/>
          <w:sz w:val="24"/>
          <w:szCs w:val="24"/>
          <w:highlight w:val="none"/>
        </w:rPr>
        <w:t>、后勤岗位进行科学合理的描述及评估，确定相应的岗位系数，实现按岗取酬。</w:t>
      </w:r>
    </w:p>
    <w:p w14:paraId="5B29F5E0">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both"/>
        <w:textAlignment w:val="auto"/>
        <w:outlineLvl w:val="3"/>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kern w:val="2"/>
          <w:sz w:val="24"/>
          <w:szCs w:val="24"/>
          <w:highlight w:val="none"/>
          <w:lang w:val="en-US" w:eastAsia="zh-CN" w:bidi="ar-SA"/>
        </w:rPr>
        <w:t>3、</w:t>
      </w:r>
      <w:r>
        <w:rPr>
          <w:rFonts w:hint="eastAsia" w:ascii="宋体" w:hAnsi="宋体" w:eastAsia="宋体" w:cs="宋体"/>
          <w:b/>
          <w:color w:val="000000"/>
          <w:sz w:val="24"/>
          <w:szCs w:val="24"/>
          <w:highlight w:val="none"/>
          <w:lang w:val="en-US" w:eastAsia="zh-CN"/>
        </w:rPr>
        <w:t>DIP/DRG绩效的指标设计方案要求</w:t>
      </w:r>
    </w:p>
    <w:p w14:paraId="4F6195F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（1）总权重绩效：权重数可以整体反应出医务人员的风险程度、时间和精力的付出等以及能力体现，在绩效工资中重点考虑对总权重数（总产出）进行激励。</w:t>
      </w:r>
    </w:p>
    <w:p w14:paraId="23080A0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（2）中医特色激励：中医特色对医院技术水平提升有非常重要的促进作用，要重点激励中医特色项目的开展。</w:t>
      </w:r>
    </w:p>
    <w:p w14:paraId="5F0C477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（3）有效收入占比考核：激励科室调整收入结构。</w:t>
      </w:r>
    </w:p>
    <w:p w14:paraId="1A7CF8E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（4）权重≥2病例绩效：绩效设置权重≥2的病例激励。</w:t>
      </w:r>
    </w:p>
    <w:p w14:paraId="4C449D9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（5）DIP/DRG付费盈亏考核：科学的对各科室病种进行分析和预算，对科室盈亏进行考核，设定“盈利奖励、亏损扣罚”的措施。</w:t>
      </w:r>
    </w:p>
    <w:p w14:paraId="54F5E75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（6）CMI值考核：在绩效的设计需要考虑各科室CMI值，引导科室积极调整病种结</w:t>
      </w:r>
    </w:p>
    <w:p w14:paraId="30F5E8E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构，积极进修学习大重病治疗技术，提升科室技术水平。</w:t>
      </w:r>
    </w:p>
    <w:p w14:paraId="0C99307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（7）三四级手术激励：三四级手术对医院技术水平提升有非常重要的促进作用，要重点激励三四级手术。</w:t>
      </w:r>
    </w:p>
    <w:p w14:paraId="615CC8E2">
      <w:pPr>
        <w:pStyle w:val="91"/>
        <w:pageBreakBefore w:val="0"/>
        <w:kinsoku/>
        <w:wordWrap/>
        <w:topLinePunct w:val="0"/>
        <w:autoSpaceDE/>
        <w:autoSpaceDN/>
        <w:bidi w:val="0"/>
        <w:spacing w:line="480" w:lineRule="exact"/>
        <w:ind w:left="0" w:leftChars="0"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（四）特别修订原则</w:t>
      </w:r>
    </w:p>
    <w:p w14:paraId="37832DBB">
      <w:pPr>
        <w:pStyle w:val="26"/>
        <w:keepNext w:val="0"/>
        <w:keepLines w:val="0"/>
        <w:pageBreakBefore w:val="0"/>
        <w:widowControl/>
        <w:suppressLineNumbers w:val="0"/>
        <w:kinsoku/>
        <w:wordWrap/>
        <w:topLinePunct w:val="0"/>
        <w:autoSpaceDE/>
        <w:autoSpaceDN/>
        <w:bidi w:val="0"/>
        <w:spacing w:line="480" w:lineRule="exact"/>
        <w:textAlignment w:val="auto"/>
        <w:rPr>
          <w:rStyle w:val="42"/>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sz w:val="24"/>
          <w:szCs w:val="24"/>
          <w:highlight w:val="none"/>
          <w:lang w:val="en-US" w:eastAsia="zh-CN"/>
        </w:rPr>
        <w:t xml:space="preserve"> </w:t>
      </w:r>
      <w:r>
        <w:rPr>
          <w:rStyle w:val="42"/>
          <w:rFonts w:hint="eastAsia" w:ascii="宋体" w:hAnsi="宋体" w:eastAsia="宋体" w:cs="宋体"/>
          <w:color w:val="000000" w:themeColor="text1"/>
          <w:sz w:val="24"/>
          <w:szCs w:val="24"/>
          <w14:textFill>
            <w14:solidFill>
              <w14:schemeClr w14:val="tx1"/>
            </w14:solidFill>
          </w14:textFill>
        </w:rPr>
        <w:t>根据医院实际情况，本方案在制定过程中遵循以下补充原则：</w:t>
      </w:r>
    </w:p>
    <w:p w14:paraId="2DDB13E2">
      <w:pPr>
        <w:pStyle w:val="26"/>
        <w:keepNext w:val="0"/>
        <w:keepLines w:val="0"/>
        <w:pageBreakBefore w:val="0"/>
        <w:widowControl/>
        <w:suppressLineNumbers w:val="0"/>
        <w:kinsoku/>
        <w:wordWrap/>
        <w:topLinePunct w:val="0"/>
        <w:autoSpaceDE/>
        <w:autoSpaceDN/>
        <w:bidi w:val="0"/>
        <w:spacing w:line="480" w:lineRule="exact"/>
        <w:textAlignment w:val="auto"/>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lang w:val="en-US" w:eastAsia="zh-CN"/>
          <w14:textFill>
            <w14:solidFill>
              <w14:schemeClr w14:val="tx1"/>
            </w14:solidFill>
          </w14:textFill>
        </w:rPr>
        <w:t>1、</w:t>
      </w:r>
      <w:r>
        <w:rPr>
          <w:rStyle w:val="42"/>
          <w:rFonts w:hint="eastAsia" w:ascii="宋体" w:hAnsi="宋体" w:eastAsia="宋体" w:cs="宋体"/>
          <w:color w:val="000000" w:themeColor="text1"/>
          <w:sz w:val="24"/>
          <w:szCs w:val="24"/>
          <w14:textFill>
            <w14:solidFill>
              <w14:schemeClr w14:val="tx1"/>
            </w14:solidFill>
          </w14:textFill>
        </w:rPr>
        <w:t>突出中医特色，充分体现中医药服务在绩效体系中的价值导向；</w:t>
      </w:r>
    </w:p>
    <w:p w14:paraId="0EDE1993">
      <w:pPr>
        <w:pStyle w:val="26"/>
        <w:keepNext w:val="0"/>
        <w:keepLines w:val="0"/>
        <w:pageBreakBefore w:val="0"/>
        <w:widowControl/>
        <w:suppressLineNumbers w:val="0"/>
        <w:kinsoku/>
        <w:wordWrap/>
        <w:topLinePunct w:val="0"/>
        <w:autoSpaceDE/>
        <w:autoSpaceDN/>
        <w:bidi w:val="0"/>
        <w:spacing w:line="480" w:lineRule="exact"/>
        <w:ind w:left="0" w:leftChars="0" w:firstLine="480" w:firstLineChars="200"/>
        <w:textAlignment w:val="auto"/>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lang w:val="en-US" w:eastAsia="zh-CN"/>
          <w14:textFill>
            <w14:solidFill>
              <w14:schemeClr w14:val="tx1"/>
            </w14:solidFill>
          </w14:textFill>
        </w:rPr>
        <w:t>2、</w:t>
      </w:r>
      <w:r>
        <w:rPr>
          <w:rStyle w:val="42"/>
          <w:rFonts w:hint="eastAsia" w:ascii="宋体" w:hAnsi="宋体" w:eastAsia="宋体" w:cs="宋体"/>
          <w:color w:val="000000" w:themeColor="text1"/>
          <w:sz w:val="24"/>
          <w:szCs w:val="24"/>
          <w14:textFill>
            <w14:solidFill>
              <w14:schemeClr w14:val="tx1"/>
            </w14:solidFill>
          </w14:textFill>
        </w:rPr>
        <w:t>针对公卫办、接种门诊、治未病中心、体检科等具有公共卫生与健康管理职能的科室，单独设置科学合理的绩效核算办法；</w:t>
      </w:r>
    </w:p>
    <w:p w14:paraId="727E902F">
      <w:pPr>
        <w:pStyle w:val="26"/>
        <w:keepNext w:val="0"/>
        <w:keepLines w:val="0"/>
        <w:pageBreakBefore w:val="0"/>
        <w:widowControl/>
        <w:suppressLineNumbers w:val="0"/>
        <w:kinsoku/>
        <w:wordWrap/>
        <w:topLinePunct w:val="0"/>
        <w:autoSpaceDE/>
        <w:autoSpaceDN/>
        <w:bidi w:val="0"/>
        <w:spacing w:line="480" w:lineRule="exact"/>
        <w:textAlignment w:val="auto"/>
        <w:rPr>
          <w:rStyle w:val="42"/>
          <w:rFonts w:hint="eastAsia" w:ascii="宋体" w:hAnsi="宋体" w:eastAsia="宋体" w:cs="宋体"/>
          <w:color w:val="000000" w:themeColor="text1"/>
          <w:sz w:val="24"/>
          <w:szCs w:val="24"/>
          <w14:textFill>
            <w14:solidFill>
              <w14:schemeClr w14:val="tx1"/>
            </w14:solidFill>
          </w14:textFill>
        </w:rPr>
      </w:pPr>
      <w:r>
        <w:rPr>
          <w:rStyle w:val="42"/>
          <w:rFonts w:hint="eastAsia" w:ascii="宋体" w:hAnsi="宋体" w:eastAsia="宋体" w:cs="宋体"/>
          <w:color w:val="000000" w:themeColor="text1"/>
          <w:sz w:val="24"/>
          <w:szCs w:val="24"/>
          <w:lang w:val="en-US" w:eastAsia="zh-CN"/>
          <w14:textFill>
            <w14:solidFill>
              <w14:schemeClr w14:val="tx1"/>
            </w14:solidFill>
          </w14:textFill>
        </w:rPr>
        <w:t>3、</w:t>
      </w:r>
      <w:r>
        <w:rPr>
          <w:rStyle w:val="42"/>
          <w:rFonts w:hint="eastAsia" w:ascii="宋体" w:hAnsi="宋体" w:eastAsia="宋体" w:cs="宋体"/>
          <w:color w:val="000000" w:themeColor="text1"/>
          <w:sz w:val="24"/>
          <w:szCs w:val="24"/>
          <w14:textFill>
            <w14:solidFill>
              <w14:schemeClr w14:val="tx1"/>
            </w14:solidFill>
          </w14:textFill>
        </w:rPr>
        <w:t>同步指导医院制定《返聘人员管理办法》，明确返聘专家及高年资医务人员的绩效参与机制与分配标准，确保其技术经验得到合理体现。</w:t>
      </w:r>
    </w:p>
    <w:p w14:paraId="11AAA3D5">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both"/>
        <w:textAlignment w:val="auto"/>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（五）项目</w:t>
      </w:r>
      <w:r>
        <w:rPr>
          <w:rFonts w:hint="eastAsia" w:ascii="宋体" w:hAnsi="宋体" w:eastAsia="宋体" w:cs="宋体"/>
          <w:b/>
          <w:bCs/>
          <w:color w:val="000000"/>
          <w:sz w:val="24"/>
          <w:szCs w:val="24"/>
          <w:highlight w:val="none"/>
        </w:rPr>
        <w:t>培训</w:t>
      </w:r>
      <w:r>
        <w:rPr>
          <w:rFonts w:hint="eastAsia" w:ascii="宋体" w:hAnsi="宋体" w:eastAsia="宋体" w:cs="宋体"/>
          <w:b/>
          <w:bCs/>
          <w:color w:val="000000"/>
          <w:sz w:val="24"/>
          <w:szCs w:val="24"/>
          <w:highlight w:val="none"/>
          <w:lang w:eastAsia="zh-CN"/>
        </w:rPr>
        <w:t>要求</w:t>
      </w:r>
    </w:p>
    <w:p w14:paraId="4288D3D4">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医院绩效运营评估报告解读培训</w:t>
      </w:r>
      <w:r>
        <w:rPr>
          <w:rFonts w:hint="eastAsia" w:ascii="宋体" w:hAnsi="宋体" w:eastAsia="宋体" w:cs="宋体"/>
          <w:color w:val="000000"/>
          <w:sz w:val="24"/>
          <w:szCs w:val="24"/>
          <w:highlight w:val="none"/>
          <w:lang w:val="en-US" w:eastAsia="zh-CN"/>
        </w:rPr>
        <w:t>一次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授课对象：中层及以上）</w:t>
      </w:r>
      <w:r>
        <w:rPr>
          <w:rFonts w:hint="eastAsia" w:ascii="宋体" w:hAnsi="宋体" w:eastAsia="宋体" w:cs="宋体"/>
          <w:color w:val="000000"/>
          <w:sz w:val="24"/>
          <w:szCs w:val="24"/>
          <w:highlight w:val="none"/>
          <w:lang w:eastAsia="zh-CN"/>
        </w:rPr>
        <w:t>；</w:t>
      </w:r>
    </w:p>
    <w:p w14:paraId="5AB83DE7">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医院绩效工资改革理念培训</w:t>
      </w:r>
      <w:r>
        <w:rPr>
          <w:rFonts w:hint="eastAsia" w:ascii="宋体" w:hAnsi="宋体" w:eastAsia="宋体" w:cs="宋体"/>
          <w:color w:val="000000"/>
          <w:sz w:val="24"/>
          <w:szCs w:val="24"/>
          <w:highlight w:val="none"/>
          <w:lang w:val="en-US" w:eastAsia="zh-CN"/>
        </w:rPr>
        <w:t>一次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授课对象：中层及以上）</w:t>
      </w:r>
      <w:r>
        <w:rPr>
          <w:rFonts w:hint="eastAsia" w:ascii="宋体" w:hAnsi="宋体" w:eastAsia="宋体" w:cs="宋体"/>
          <w:color w:val="000000"/>
          <w:sz w:val="24"/>
          <w:szCs w:val="24"/>
          <w:highlight w:val="none"/>
          <w:lang w:eastAsia="zh-CN"/>
        </w:rPr>
        <w:t>；</w:t>
      </w:r>
    </w:p>
    <w:p w14:paraId="1E042297">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科室项目工作</w:t>
      </w:r>
      <w:r>
        <w:rPr>
          <w:rFonts w:hint="eastAsia" w:ascii="宋体" w:hAnsi="宋体" w:eastAsia="宋体" w:cs="宋体"/>
          <w:color w:val="000000"/>
          <w:sz w:val="24"/>
          <w:szCs w:val="24"/>
          <w:highlight w:val="none"/>
          <w:lang w:val="en-US" w:eastAsia="zh-CN"/>
        </w:rPr>
        <w:t>量</w:t>
      </w:r>
      <w:r>
        <w:rPr>
          <w:rFonts w:hint="eastAsia" w:ascii="宋体" w:hAnsi="宋体" w:eastAsia="宋体" w:cs="宋体"/>
          <w:color w:val="000000"/>
          <w:sz w:val="24"/>
          <w:szCs w:val="24"/>
          <w:highlight w:val="none"/>
          <w:lang w:eastAsia="zh-CN"/>
        </w:rPr>
        <w:t>核算和成本管控方案培训</w:t>
      </w:r>
      <w:r>
        <w:rPr>
          <w:rFonts w:hint="eastAsia" w:ascii="宋体" w:hAnsi="宋体" w:eastAsia="宋体" w:cs="宋体"/>
          <w:color w:val="000000"/>
          <w:sz w:val="24"/>
          <w:szCs w:val="24"/>
          <w:highlight w:val="none"/>
          <w:lang w:val="en-US" w:eastAsia="zh-CN"/>
        </w:rPr>
        <w:t>一次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授课对象：主任及护士长）</w:t>
      </w:r>
      <w:r>
        <w:rPr>
          <w:rFonts w:hint="eastAsia" w:ascii="宋体" w:hAnsi="宋体" w:eastAsia="宋体" w:cs="宋体"/>
          <w:color w:val="000000"/>
          <w:sz w:val="24"/>
          <w:szCs w:val="24"/>
          <w:highlight w:val="none"/>
          <w:lang w:eastAsia="zh-CN"/>
        </w:rPr>
        <w:t>；</w:t>
      </w:r>
    </w:p>
    <w:p w14:paraId="490DEEF2">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医院新绩效工资方案专题讲解与培训</w:t>
      </w:r>
      <w:r>
        <w:rPr>
          <w:rFonts w:hint="eastAsia" w:ascii="宋体" w:hAnsi="宋体" w:eastAsia="宋体" w:cs="宋体"/>
          <w:color w:val="000000"/>
          <w:sz w:val="24"/>
          <w:szCs w:val="24"/>
          <w:highlight w:val="none"/>
          <w:lang w:val="en-US" w:eastAsia="zh-CN"/>
        </w:rPr>
        <w:t>一次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授课对象：主任及护士长）</w:t>
      </w:r>
      <w:r>
        <w:rPr>
          <w:rFonts w:hint="eastAsia" w:ascii="宋体" w:hAnsi="宋体" w:eastAsia="宋体" w:cs="宋体"/>
          <w:color w:val="000000"/>
          <w:sz w:val="24"/>
          <w:szCs w:val="24"/>
          <w:highlight w:val="none"/>
          <w:lang w:eastAsia="zh-CN"/>
        </w:rPr>
        <w:t>；</w:t>
      </w:r>
    </w:p>
    <w:p w14:paraId="2B75B87A">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二次分配辅导培训</w:t>
      </w:r>
      <w:r>
        <w:rPr>
          <w:rFonts w:hint="eastAsia" w:ascii="宋体" w:hAnsi="宋体" w:eastAsia="宋体" w:cs="宋体"/>
          <w:color w:val="000000"/>
          <w:sz w:val="24"/>
          <w:szCs w:val="24"/>
          <w:highlight w:val="none"/>
          <w:lang w:val="en-US" w:eastAsia="zh-CN"/>
        </w:rPr>
        <w:t>二次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授课对象：主任及护士长）</w:t>
      </w:r>
      <w:r>
        <w:rPr>
          <w:rFonts w:hint="eastAsia" w:ascii="宋体" w:hAnsi="宋体" w:eastAsia="宋体" w:cs="宋体"/>
          <w:color w:val="000000"/>
          <w:sz w:val="24"/>
          <w:szCs w:val="24"/>
          <w:highlight w:val="none"/>
          <w:lang w:eastAsia="zh-CN"/>
        </w:rPr>
        <w:t>；</w:t>
      </w:r>
    </w:p>
    <w:p w14:paraId="7AF8E101">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绩效考核辅导培训</w:t>
      </w:r>
      <w:r>
        <w:rPr>
          <w:rFonts w:hint="eastAsia" w:ascii="宋体" w:hAnsi="宋体" w:eastAsia="宋体" w:cs="宋体"/>
          <w:color w:val="000000"/>
          <w:sz w:val="24"/>
          <w:szCs w:val="24"/>
          <w:highlight w:val="none"/>
          <w:lang w:val="en-US" w:eastAsia="zh-CN"/>
        </w:rPr>
        <w:t>一次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授课对象：行政、后勤负责人）</w:t>
      </w:r>
      <w:r>
        <w:rPr>
          <w:rFonts w:hint="eastAsia" w:ascii="宋体" w:hAnsi="宋体" w:eastAsia="宋体" w:cs="宋体"/>
          <w:color w:val="000000"/>
          <w:sz w:val="24"/>
          <w:szCs w:val="24"/>
          <w:highlight w:val="none"/>
          <w:lang w:eastAsia="zh-CN"/>
        </w:rPr>
        <w:t>；</w:t>
      </w:r>
    </w:p>
    <w:p w14:paraId="7C1F3D5C">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总结报告解读培训</w:t>
      </w:r>
      <w:r>
        <w:rPr>
          <w:rFonts w:hint="eastAsia" w:ascii="宋体" w:hAnsi="宋体" w:eastAsia="宋体" w:cs="宋体"/>
          <w:color w:val="000000"/>
          <w:sz w:val="24"/>
          <w:szCs w:val="24"/>
          <w:highlight w:val="none"/>
          <w:lang w:val="en-US" w:eastAsia="zh-CN"/>
        </w:rPr>
        <w:t>一次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授课对象：中层及以上）；</w:t>
      </w:r>
    </w:p>
    <w:p w14:paraId="7271F472">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小范围辅导及沟通；</w:t>
      </w:r>
    </w:p>
    <w:p w14:paraId="3DD78BF5">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9、本方案在制定、运行过程中出现的矛盾、问题及时解决；</w:t>
      </w:r>
    </w:p>
    <w:p w14:paraId="2DC36D56">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both"/>
        <w:textAlignment w:val="auto"/>
        <w:outlineLvl w:val="2"/>
        <w:rPr>
          <w:rFonts w:hint="eastAsia" w:ascii="宋体" w:hAnsi="宋体" w:eastAsia="宋体" w:cs="宋体"/>
          <w:b/>
          <w:bCs/>
          <w:color w:val="000000"/>
          <w:sz w:val="24"/>
          <w:szCs w:val="24"/>
          <w:highlight w:val="none"/>
          <w:lang w:eastAsia="zh-CN"/>
        </w:rPr>
      </w:pPr>
      <w:bookmarkStart w:id="60" w:name="_Toc50480092"/>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lang w:eastAsia="zh-CN"/>
        </w:rPr>
        <w:t>）项目成果</w:t>
      </w:r>
      <w:bookmarkEnd w:id="60"/>
      <w:r>
        <w:rPr>
          <w:rFonts w:hint="eastAsia" w:ascii="宋体" w:hAnsi="宋体" w:eastAsia="宋体" w:cs="宋体"/>
          <w:b/>
          <w:bCs/>
          <w:color w:val="000000"/>
          <w:sz w:val="24"/>
          <w:szCs w:val="24"/>
          <w:highlight w:val="none"/>
          <w:lang w:eastAsia="zh-CN"/>
        </w:rPr>
        <w:t>文件要求</w:t>
      </w:r>
    </w:p>
    <w:p w14:paraId="731F41AA">
      <w:pPr>
        <w:pageBreakBefore w:val="0"/>
        <w:widowControl w:val="0"/>
        <w:numPr>
          <w:ilvl w:val="0"/>
          <w:numId w:val="6"/>
        </w:numPr>
        <w:tabs>
          <w:tab w:val="clear" w:pos="0"/>
        </w:tabs>
        <w:kinsoku/>
        <w:wordWrap/>
        <w:overflowPunct/>
        <w:topLinePunct w:val="0"/>
        <w:autoSpaceDE/>
        <w:autoSpaceDN/>
        <w:bidi w:val="0"/>
        <w:adjustRightInd w:val="0"/>
        <w:snapToGrid w:val="0"/>
        <w:spacing w:line="480" w:lineRule="exact"/>
        <w:ind w:left="-15" w:leftChars="0" w:firstLine="495" w:firstLineChars="0"/>
        <w:jc w:val="both"/>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医院绩效运营评估报告；</w:t>
      </w:r>
    </w:p>
    <w:p w14:paraId="6E56E429">
      <w:pPr>
        <w:pageBreakBefore w:val="0"/>
        <w:widowControl w:val="0"/>
        <w:numPr>
          <w:ilvl w:val="0"/>
          <w:numId w:val="6"/>
        </w:numPr>
        <w:tabs>
          <w:tab w:val="clear" w:pos="0"/>
        </w:tabs>
        <w:kinsoku/>
        <w:wordWrap/>
        <w:overflowPunct/>
        <w:topLinePunct w:val="0"/>
        <w:autoSpaceDE/>
        <w:autoSpaceDN/>
        <w:bidi w:val="0"/>
        <w:adjustRightInd w:val="0"/>
        <w:snapToGrid w:val="0"/>
        <w:spacing w:line="480" w:lineRule="exact"/>
        <w:ind w:left="-15" w:leftChars="0" w:firstLine="495" w:firstLineChars="0"/>
        <w:jc w:val="both"/>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科室项目工作</w:t>
      </w:r>
      <w:r>
        <w:rPr>
          <w:rFonts w:hint="eastAsia" w:asciiTheme="minorEastAsia" w:hAnsiTheme="minorEastAsia" w:eastAsiaTheme="minorEastAsia" w:cstheme="minorEastAsia"/>
          <w:color w:val="000000"/>
          <w:sz w:val="24"/>
          <w:szCs w:val="24"/>
          <w:highlight w:val="none"/>
          <w:lang w:val="en-US" w:eastAsia="zh-CN"/>
        </w:rPr>
        <w:t>量</w:t>
      </w:r>
      <w:r>
        <w:rPr>
          <w:rFonts w:hint="eastAsia" w:asciiTheme="minorEastAsia" w:hAnsiTheme="minorEastAsia" w:eastAsiaTheme="minorEastAsia" w:cstheme="minorEastAsia"/>
          <w:color w:val="000000"/>
          <w:sz w:val="24"/>
          <w:szCs w:val="24"/>
          <w:highlight w:val="none"/>
          <w:lang w:eastAsia="zh-CN"/>
        </w:rPr>
        <w:t>核算和成本管控方案；</w:t>
      </w:r>
    </w:p>
    <w:p w14:paraId="17B05AD1">
      <w:pPr>
        <w:pageBreakBefore w:val="0"/>
        <w:widowControl w:val="0"/>
        <w:numPr>
          <w:ilvl w:val="0"/>
          <w:numId w:val="6"/>
        </w:numPr>
        <w:tabs>
          <w:tab w:val="clear" w:pos="0"/>
        </w:tabs>
        <w:kinsoku/>
        <w:wordWrap/>
        <w:overflowPunct/>
        <w:topLinePunct w:val="0"/>
        <w:autoSpaceDE/>
        <w:autoSpaceDN/>
        <w:bidi w:val="0"/>
        <w:adjustRightInd w:val="0"/>
        <w:snapToGrid w:val="0"/>
        <w:spacing w:line="480" w:lineRule="exact"/>
        <w:ind w:left="-15" w:leftChars="0" w:firstLine="495" w:firstLineChars="0"/>
        <w:jc w:val="both"/>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医院绩效工资一次分配方案；</w:t>
      </w:r>
    </w:p>
    <w:p w14:paraId="67CF840A">
      <w:pPr>
        <w:pageBreakBefore w:val="0"/>
        <w:widowControl w:val="0"/>
        <w:numPr>
          <w:ilvl w:val="0"/>
          <w:numId w:val="6"/>
        </w:numPr>
        <w:tabs>
          <w:tab w:val="clear" w:pos="0"/>
        </w:tabs>
        <w:kinsoku/>
        <w:wordWrap/>
        <w:overflowPunct/>
        <w:topLinePunct w:val="0"/>
        <w:autoSpaceDE/>
        <w:autoSpaceDN/>
        <w:bidi w:val="0"/>
        <w:adjustRightInd w:val="0"/>
        <w:snapToGrid w:val="0"/>
        <w:spacing w:line="480" w:lineRule="exact"/>
        <w:ind w:left="-15" w:leftChars="0" w:firstLine="495" w:firstLineChars="0"/>
        <w:jc w:val="both"/>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医院绩效工资二次分配指导意见和各科室二次绩效工资分配方案；</w:t>
      </w:r>
    </w:p>
    <w:p w14:paraId="31D981B5">
      <w:pPr>
        <w:pageBreakBefore w:val="0"/>
        <w:widowControl w:val="0"/>
        <w:numPr>
          <w:ilvl w:val="0"/>
          <w:numId w:val="6"/>
        </w:numPr>
        <w:tabs>
          <w:tab w:val="clear" w:pos="0"/>
        </w:tabs>
        <w:kinsoku/>
        <w:wordWrap/>
        <w:overflowPunct/>
        <w:topLinePunct w:val="0"/>
        <w:autoSpaceDE/>
        <w:autoSpaceDN/>
        <w:bidi w:val="0"/>
        <w:adjustRightInd w:val="0"/>
        <w:snapToGrid w:val="0"/>
        <w:spacing w:line="480" w:lineRule="exact"/>
        <w:ind w:left="-15" w:leftChars="0" w:firstLine="495" w:firstLineChars="0"/>
        <w:jc w:val="both"/>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医院绩效考核管理实施方案；</w:t>
      </w:r>
    </w:p>
    <w:p w14:paraId="2DE629CB">
      <w:pPr>
        <w:pageBreakBefore w:val="0"/>
        <w:widowControl w:val="0"/>
        <w:numPr>
          <w:ilvl w:val="0"/>
          <w:numId w:val="6"/>
        </w:numPr>
        <w:tabs>
          <w:tab w:val="clear" w:pos="0"/>
        </w:tabs>
        <w:kinsoku/>
        <w:wordWrap/>
        <w:overflowPunct/>
        <w:topLinePunct w:val="0"/>
        <w:autoSpaceDE/>
        <w:autoSpaceDN/>
        <w:bidi w:val="0"/>
        <w:adjustRightInd w:val="0"/>
        <w:snapToGrid w:val="0"/>
        <w:spacing w:line="480" w:lineRule="exact"/>
        <w:ind w:left="-15" w:leftChars="0" w:firstLine="495" w:firstLineChars="0"/>
        <w:jc w:val="both"/>
        <w:textAlignment w:val="auto"/>
        <w:rPr>
          <w:rFonts w:hint="eastAsia" w:ascii="宋体" w:hAnsi="宋体" w:eastAsia="宋体" w:cs="宋体"/>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eastAsia="zh-CN"/>
        </w:rPr>
        <w:t>医院绩效工资测算表；</w:t>
      </w:r>
    </w:p>
    <w:p w14:paraId="1661C409">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leftChars="0"/>
        <w:jc w:val="both"/>
        <w:textAlignment w:val="auto"/>
        <w:outlineLvl w:val="1"/>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rPr>
        <w:t>三、</w:t>
      </w:r>
      <w:r>
        <w:rPr>
          <w:rFonts w:hint="eastAsia" w:asciiTheme="minorEastAsia" w:hAnsiTheme="minorEastAsia" w:eastAsiaTheme="minorEastAsia" w:cstheme="minorEastAsia"/>
          <w:b/>
          <w:bCs/>
          <w:color w:val="000000"/>
          <w:sz w:val="24"/>
          <w:szCs w:val="24"/>
          <w:highlight w:val="none"/>
        </w:rPr>
        <w:t>商务要求</w:t>
      </w:r>
      <w:bookmarkEnd w:id="58"/>
    </w:p>
    <w:bookmarkEnd w:id="59"/>
    <w:p w14:paraId="54352576">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both"/>
        <w:textAlignment w:val="auto"/>
        <w:outlineLvl w:val="2"/>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lang w:val="zh-CN"/>
        </w:rPr>
        <w:t>）售后服务</w:t>
      </w:r>
    </w:p>
    <w:p w14:paraId="73C99EFE">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1、售后</w:t>
      </w:r>
      <w:r>
        <w:rPr>
          <w:rFonts w:hint="eastAsia" w:ascii="宋体" w:hAnsi="宋体" w:eastAsia="宋体" w:cs="宋体"/>
          <w:color w:val="000000" w:themeColor="text1"/>
          <w:sz w:val="24"/>
          <w:szCs w:val="24"/>
          <w:highlight w:val="none"/>
          <w14:textFill>
            <w14:solidFill>
              <w14:schemeClr w14:val="tx1"/>
            </w14:solidFill>
          </w14:textFill>
        </w:rPr>
        <w:t>服务期为</w:t>
      </w:r>
      <w:r>
        <w:rPr>
          <w:rFonts w:hint="eastAsia" w:ascii="宋体" w:hAnsi="宋体" w:eastAsia="宋体" w:cs="宋体"/>
          <w:color w:val="000000" w:themeColor="text1"/>
          <w:sz w:val="24"/>
          <w:szCs w:val="24"/>
          <w:highlight w:val="none"/>
          <w:lang w:eastAsia="zh-CN"/>
          <w14:textFill>
            <w14:solidFill>
              <w14:schemeClr w14:val="tx1"/>
            </w14:solidFill>
          </w14:textFill>
        </w:rPr>
        <w:t>两年（</w:t>
      </w:r>
      <w:r>
        <w:rPr>
          <w:rFonts w:hint="eastAsia" w:ascii="宋体" w:hAnsi="宋体" w:eastAsia="宋体" w:cs="宋体"/>
          <w:color w:val="000000" w:themeColor="text1"/>
          <w:sz w:val="24"/>
          <w:szCs w:val="24"/>
          <w:highlight w:val="none"/>
          <w14:textFill>
            <w14:solidFill>
              <w14:schemeClr w14:val="tx1"/>
            </w14:solidFill>
          </w14:textFill>
        </w:rPr>
        <w:t>试运行3个月后</w:t>
      </w:r>
      <w:r>
        <w:rPr>
          <w:rFonts w:hint="eastAsia" w:ascii="宋体" w:hAnsi="宋体" w:eastAsia="宋体" w:cs="宋体"/>
          <w:color w:val="000000" w:themeColor="text1"/>
          <w:sz w:val="24"/>
          <w:szCs w:val="24"/>
          <w:highlight w:val="none"/>
          <w:lang w:eastAsia="zh-CN"/>
          <w14:textFill>
            <w14:solidFill>
              <w14:schemeClr w14:val="tx1"/>
            </w14:solidFill>
          </w14:textFill>
        </w:rPr>
        <w:t>起）。</w:t>
      </w:r>
    </w:p>
    <w:p w14:paraId="3B45CEA7">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2、售后</w:t>
      </w:r>
      <w:r>
        <w:rPr>
          <w:rFonts w:hint="eastAsia" w:ascii="宋体" w:hAnsi="宋体" w:eastAsia="宋体" w:cs="宋体"/>
          <w:color w:val="000000" w:themeColor="text1"/>
          <w:sz w:val="24"/>
          <w:szCs w:val="24"/>
          <w:highlight w:val="none"/>
          <w14:textFill>
            <w14:solidFill>
              <w14:schemeClr w14:val="tx1"/>
            </w14:solidFill>
          </w14:textFill>
        </w:rPr>
        <w:t>服务期内提供免费</w:t>
      </w:r>
      <w:r>
        <w:rPr>
          <w:rFonts w:hint="eastAsia" w:ascii="宋体" w:hAnsi="宋体" w:eastAsia="宋体" w:cs="宋体"/>
          <w:color w:val="000000" w:themeColor="text1"/>
          <w:sz w:val="24"/>
          <w:szCs w:val="24"/>
          <w:highlight w:val="none"/>
          <w:lang w:eastAsia="zh-CN"/>
          <w14:textFill>
            <w14:solidFill>
              <w14:schemeClr w14:val="tx1"/>
            </w14:solidFill>
          </w14:textFill>
        </w:rPr>
        <w:t>上门服务，服务期满提供免费</w:t>
      </w:r>
      <w:r>
        <w:rPr>
          <w:rFonts w:hint="eastAsia" w:ascii="宋体" w:hAnsi="宋体" w:eastAsia="宋体" w:cs="宋体"/>
          <w:color w:val="000000" w:themeColor="text1"/>
          <w:sz w:val="24"/>
          <w:szCs w:val="24"/>
          <w:highlight w:val="none"/>
          <w14:textFill>
            <w14:solidFill>
              <w14:schemeClr w14:val="tx1"/>
            </w14:solidFill>
          </w14:textFill>
        </w:rPr>
        <w:t>的电话或远程咨询服务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ADDC52B">
      <w:pPr>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3、售后服务期</w:t>
      </w:r>
      <w:r>
        <w:rPr>
          <w:rFonts w:hint="eastAsia" w:ascii="宋体" w:hAnsi="宋体" w:eastAsia="宋体" w:cs="宋体"/>
          <w:color w:val="000000" w:themeColor="text1"/>
          <w:sz w:val="24"/>
          <w:szCs w:val="24"/>
          <w:highlight w:val="none"/>
          <w14:textFill>
            <w14:solidFill>
              <w14:schemeClr w14:val="tx1"/>
            </w14:solidFill>
          </w14:textFill>
        </w:rPr>
        <w:t>结束后每年对医院进行一次远程项目回访，跟踪了解方案运行情况。</w:t>
      </w:r>
    </w:p>
    <w:p w14:paraId="11A5C8F2">
      <w:pPr>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both"/>
        <w:textAlignment w:val="auto"/>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zh-CN"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val="zh-CN" w:eastAsia="zh-CN"/>
        </w:rPr>
        <w:t>）付款方式：</w:t>
      </w:r>
    </w:p>
    <w:p w14:paraId="7C582436">
      <w:pPr>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第一期：合同签订后，工作人员进院一周内支付合同总金额的20%；</w:t>
      </w:r>
    </w:p>
    <w:p w14:paraId="7AA8357B">
      <w:pPr>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第二期：医院绩效运营评估报告发布后一周内，支付合同总金额的30%；</w:t>
      </w:r>
    </w:p>
    <w:p w14:paraId="01B745F8">
      <w:pPr>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第三期：医院用新方案发放绩效后一周内，支付合同总金额的30%；</w:t>
      </w:r>
    </w:p>
    <w:p w14:paraId="5207F9D4">
      <w:pPr>
        <w:pageBreakBefore w:val="0"/>
        <w:widowControl w:val="0"/>
        <w:kinsoku/>
        <w:wordWrap/>
        <w:overflowPunct/>
        <w:topLinePunct w:val="0"/>
        <w:autoSpaceDE/>
        <w:autoSpaceDN/>
        <w:bidi w:val="0"/>
        <w:adjustRightInd w:val="0"/>
        <w:snapToGrid w:val="0"/>
        <w:spacing w:line="480" w:lineRule="exact"/>
        <w:ind w:left="0" w:leftChars="0"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第四期：发放绩效三个月，组织绩效方案确认后一周内，支付合同总金额的15%。</w:t>
      </w:r>
    </w:p>
    <w:p w14:paraId="391B31C5">
      <w:pPr>
        <w:pageBreakBefore w:val="0"/>
        <w:widowControl w:val="0"/>
        <w:kinsoku/>
        <w:wordWrap/>
        <w:overflowPunct/>
        <w:topLinePunct w:val="0"/>
        <w:autoSpaceDE/>
        <w:autoSpaceDN/>
        <w:bidi w:val="0"/>
        <w:adjustRightInd w:val="0"/>
        <w:snapToGrid w:val="0"/>
        <w:spacing w:line="48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第五期：正式运行一年后付余款的</w:t>
      </w:r>
      <w:r>
        <w:rPr>
          <w:rFonts w:hint="eastAsia" w:ascii="宋体" w:hAnsi="宋体" w:eastAsia="宋体" w:cs="宋体"/>
          <w:sz w:val="24"/>
          <w:szCs w:val="24"/>
          <w:lang w:val="en-US" w:eastAsia="zh-CN"/>
        </w:rPr>
        <w:t>5%。</w:t>
      </w:r>
    </w:p>
    <w:p w14:paraId="29EE6495">
      <w:pPr>
        <w:keepNext/>
        <w:keepLines/>
        <w:pageBreakBefore w:val="0"/>
        <w:widowControl w:val="0"/>
        <w:numPr>
          <w:ilvl w:val="0"/>
          <w:numId w:val="0"/>
        </w:numPr>
        <w:kinsoku/>
        <w:wordWrap/>
        <w:overflowPunct/>
        <w:topLinePunct w:val="0"/>
        <w:autoSpaceDE/>
        <w:autoSpaceDN/>
        <w:bidi w:val="0"/>
        <w:adjustRightInd w:val="0"/>
        <w:snapToGrid w:val="0"/>
        <w:spacing w:line="480" w:lineRule="exact"/>
        <w:ind w:leftChars="0" w:firstLine="482" w:firstLineChars="200"/>
        <w:jc w:val="both"/>
        <w:textAlignment w:val="auto"/>
        <w:outlineLvl w:val="2"/>
        <w:rPr>
          <w:rFonts w:hint="eastAsia" w:asciiTheme="minorEastAsia" w:hAnsiTheme="minorEastAsia" w:eastAsiaTheme="minorEastAsia" w:cstheme="minorEastAsia"/>
          <w:b/>
          <w:color w:val="000000"/>
          <w:sz w:val="24"/>
          <w:szCs w:val="24"/>
          <w:highlight w:val="none"/>
          <w:lang w:val="zh-CN"/>
        </w:rPr>
      </w:pPr>
      <w:r>
        <w:rPr>
          <w:rFonts w:hint="eastAsia" w:ascii="宋体" w:hAnsi="宋体" w:eastAsia="宋体" w:cs="宋体"/>
          <w:b/>
          <w:bCs/>
          <w:sz w:val="24"/>
          <w:szCs w:val="24"/>
          <w:highlight w:val="none"/>
          <w:lang w:val="zh-CN" w:eastAsia="zh-CN"/>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val="zh-CN" w:eastAsia="zh-CN"/>
        </w:rPr>
        <w:t>）</w:t>
      </w:r>
      <w:r>
        <w:rPr>
          <w:rFonts w:hint="eastAsia" w:asciiTheme="minorEastAsia" w:hAnsiTheme="minorEastAsia" w:eastAsiaTheme="minorEastAsia" w:cstheme="minorEastAsia"/>
          <w:b/>
          <w:color w:val="000000"/>
          <w:sz w:val="24"/>
          <w:szCs w:val="24"/>
          <w:highlight w:val="none"/>
          <w:lang w:val="zh-CN"/>
        </w:rPr>
        <w:t>服务期限</w:t>
      </w:r>
    </w:p>
    <w:p w14:paraId="1D2A85B2">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项目时间计划：本项目总体安排为签订合同2周内开始现场工作，节假日顺延，方案设计2-3个月，协助医院实施运行3个月，项目周期为合同签订后6个月内完成。</w:t>
      </w:r>
    </w:p>
    <w:p w14:paraId="5550B56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480" w:leftChars="0"/>
        <w:jc w:val="both"/>
        <w:textAlignment w:val="auto"/>
        <w:outlineLvl w:val="3"/>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color w:val="000000"/>
          <w:sz w:val="30"/>
          <w:szCs w:val="30"/>
          <w:highlight w:val="none"/>
        </w:rPr>
        <w:br w:type="page"/>
      </w:r>
    </w:p>
    <w:p w14:paraId="32F5A71B">
      <w:pPr>
        <w:pageBreakBefore w:val="0"/>
        <w:widowControl/>
        <w:kinsoku/>
        <w:wordWrap/>
        <w:overflowPunct/>
        <w:topLinePunct w:val="0"/>
        <w:autoSpaceDE/>
        <w:autoSpaceDN/>
        <w:bidi w:val="0"/>
        <w:snapToGrid/>
        <w:spacing w:line="500" w:lineRule="exact"/>
        <w:ind w:left="0" w:leftChars="0" w:firstLine="0" w:firstLineChars="0"/>
        <w:jc w:val="center"/>
        <w:outlineLvl w:val="0"/>
        <w:rPr>
          <w:rFonts w:hint="eastAsia" w:asciiTheme="minorEastAsia" w:hAnsiTheme="minorEastAsia" w:eastAsiaTheme="minorEastAsia" w:cstheme="minorEastAsia"/>
          <w:b/>
          <w:color w:val="000000"/>
          <w:sz w:val="30"/>
          <w:szCs w:val="30"/>
          <w:highlight w:val="none"/>
        </w:rPr>
      </w:pPr>
      <w:bookmarkStart w:id="61" w:name="_Toc7931"/>
      <w:r>
        <w:rPr>
          <w:rFonts w:hint="eastAsia" w:asciiTheme="minorEastAsia" w:hAnsiTheme="minorEastAsia" w:eastAsiaTheme="minorEastAsia" w:cstheme="minorEastAsia"/>
          <w:b/>
          <w:color w:val="000000"/>
          <w:sz w:val="30"/>
          <w:szCs w:val="30"/>
          <w:highlight w:val="none"/>
        </w:rPr>
        <w:t>第六章  政府采购合同格式</w:t>
      </w:r>
      <w:bookmarkEnd w:id="52"/>
      <w:bookmarkEnd w:id="53"/>
      <w:bookmarkEnd w:id="61"/>
    </w:p>
    <w:p w14:paraId="4D24F558">
      <w:pPr>
        <w:pStyle w:val="81"/>
        <w:pageBreakBefore w:val="0"/>
        <w:kinsoku/>
        <w:wordWrap/>
        <w:overflowPunct/>
        <w:topLinePunct w:val="0"/>
        <w:autoSpaceDE/>
        <w:autoSpaceDN/>
        <w:bidi w:val="0"/>
        <w:snapToGrid/>
        <w:spacing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合同编号：</w:t>
      </w:r>
    </w:p>
    <w:p w14:paraId="3A7A0A19">
      <w:pPr>
        <w:pStyle w:val="81"/>
        <w:pageBreakBefore w:val="0"/>
        <w:kinsoku/>
        <w:wordWrap/>
        <w:overflowPunct/>
        <w:topLinePunct w:val="0"/>
        <w:autoSpaceDE/>
        <w:autoSpaceDN/>
        <w:bidi w:val="0"/>
        <w:snapToGrid/>
        <w:spacing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签订地点： </w:t>
      </w:r>
    </w:p>
    <w:p w14:paraId="7052E43D">
      <w:pPr>
        <w:pStyle w:val="81"/>
        <w:pageBreakBefore w:val="0"/>
        <w:kinsoku/>
        <w:wordWrap/>
        <w:overflowPunct/>
        <w:topLinePunct w:val="0"/>
        <w:autoSpaceDE/>
        <w:autoSpaceDN/>
        <w:bidi w:val="0"/>
        <w:snapToGrid/>
        <w:spacing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签订时间：</w:t>
      </w:r>
    </w:p>
    <w:p w14:paraId="39B33F15">
      <w:pPr>
        <w:pStyle w:val="81"/>
        <w:pageBreakBefore w:val="0"/>
        <w:kinsoku/>
        <w:wordWrap/>
        <w:overflowPunct/>
        <w:topLinePunct w:val="0"/>
        <w:autoSpaceDE/>
        <w:autoSpaceDN/>
        <w:bidi w:val="0"/>
        <w:snapToGrid/>
        <w:spacing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采购人（甲方）：</w:t>
      </w:r>
    </w:p>
    <w:p w14:paraId="78698D80">
      <w:pPr>
        <w:pStyle w:val="81"/>
        <w:pageBreakBefore w:val="0"/>
        <w:kinsoku/>
        <w:wordWrap/>
        <w:overflowPunct/>
        <w:topLinePunct w:val="0"/>
        <w:autoSpaceDE/>
        <w:autoSpaceDN/>
        <w:bidi w:val="0"/>
        <w:snapToGrid/>
        <w:spacing w:line="500" w:lineRule="exact"/>
        <w:ind w:firstLine="42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供应商（乙方）：</w:t>
      </w:r>
    </w:p>
    <w:p w14:paraId="134F42B4">
      <w:pPr>
        <w:pStyle w:val="81"/>
        <w:pageBreakBefore w:val="0"/>
        <w:kinsoku/>
        <w:wordWrap/>
        <w:overflowPunct/>
        <w:topLinePunct w:val="0"/>
        <w:autoSpaceDE/>
        <w:autoSpaceDN/>
        <w:bidi w:val="0"/>
        <w:snapToGrid/>
        <w:spacing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根据《中华人民共和国政府采购法》及实施条例、《中华人民共和国民法典》和</w:t>
      </w:r>
      <w:r>
        <w:rPr>
          <w:rFonts w:hint="eastAsia" w:asciiTheme="minorEastAsia" w:hAnsiTheme="minorEastAsia" w:eastAsiaTheme="minorEastAsia" w:cstheme="minorEastAsia"/>
          <w:color w:val="auto"/>
          <w:sz w:val="24"/>
          <w:szCs w:val="24"/>
          <w:highlight w:val="none"/>
          <w:lang w:val="en-US" w:eastAsia="zh-CN"/>
        </w:rPr>
        <w:t>甲</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u w:val="single"/>
          <w:lang w:eastAsia="zh-CN"/>
        </w:rPr>
        <w:t>编制《绩效考核分配方案》(三次)</w:t>
      </w:r>
      <w:r>
        <w:rPr>
          <w:rFonts w:hint="eastAsia" w:asciiTheme="minorEastAsia" w:hAnsiTheme="minorEastAsia" w:eastAsiaTheme="minorEastAsia" w:cstheme="minorEastAsia"/>
          <w:color w:val="auto"/>
          <w:sz w:val="24"/>
          <w:szCs w:val="24"/>
          <w:highlight w:val="none"/>
        </w:rPr>
        <w:t>（采购项目编号：</w:t>
      </w:r>
      <w:r>
        <w:rPr>
          <w:rFonts w:hint="eastAsia" w:asciiTheme="minorEastAsia" w:hAnsiTheme="minorEastAsia" w:eastAsiaTheme="minorEastAsia" w:cstheme="minorEastAsia"/>
          <w:color w:val="auto"/>
          <w:sz w:val="24"/>
          <w:szCs w:val="24"/>
          <w:highlight w:val="none"/>
          <w:u w:val="single"/>
          <w:lang w:eastAsia="zh-CN"/>
        </w:rPr>
        <w:t>ZZDBJ招2025-008.1B2</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）的采购文件、响应文件等有关规定，为确保甲方采购项目的顺利实施，甲、乙双方在平等自愿原则下签订本合同，并共同遵守如下条款：</w:t>
      </w:r>
    </w:p>
    <w:p w14:paraId="6719D184">
      <w:pPr>
        <w:pageBreakBefore w:val="0"/>
        <w:numPr>
          <w:ilvl w:val="0"/>
          <w:numId w:val="0"/>
        </w:numPr>
        <w:tabs>
          <w:tab w:val="left" w:pos="1379"/>
        </w:tabs>
        <w:kinsoku/>
        <w:wordWrap/>
        <w:overflowPunct/>
        <w:topLinePunct w:val="0"/>
        <w:autoSpaceDE/>
        <w:autoSpaceDN/>
        <w:bidi w:val="0"/>
        <w:snapToGrid/>
        <w:spacing w:line="500" w:lineRule="exact"/>
        <w:ind w:firstLine="241" w:firstLineChars="100"/>
        <w:jc w:val="left"/>
        <w:outlineLvl w:val="1"/>
        <w:rPr>
          <w:rFonts w:hint="eastAsia" w:asciiTheme="minorEastAsia" w:hAnsiTheme="minorEastAsia" w:eastAsiaTheme="minorEastAsia" w:cstheme="minorEastAsia"/>
          <w:b/>
          <w:color w:val="auto"/>
          <w:sz w:val="24"/>
          <w:szCs w:val="24"/>
          <w:highlight w:val="none"/>
        </w:rPr>
      </w:pPr>
      <w:bookmarkStart w:id="62" w:name="_Toc1906"/>
      <w:r>
        <w:rPr>
          <w:rFonts w:hint="eastAsia" w:asciiTheme="minorEastAsia" w:hAnsiTheme="minorEastAsia" w:eastAsiaTheme="minorEastAsia" w:cstheme="minorEastAsia"/>
          <w:b/>
          <w:color w:val="auto"/>
          <w:sz w:val="24"/>
          <w:szCs w:val="24"/>
          <w:highlight w:val="none"/>
          <w:lang w:val="en-US" w:eastAsia="zh-CN"/>
        </w:rPr>
        <w:t xml:space="preserve">第一条 </w:t>
      </w:r>
      <w:r>
        <w:rPr>
          <w:rFonts w:hint="eastAsia" w:asciiTheme="minorEastAsia" w:hAnsiTheme="minorEastAsia" w:eastAsiaTheme="minorEastAsia" w:cstheme="minorEastAsia"/>
          <w:b/>
          <w:color w:val="auto"/>
          <w:sz w:val="24"/>
          <w:szCs w:val="24"/>
          <w:highlight w:val="none"/>
        </w:rPr>
        <w:t>项目基本情况</w:t>
      </w:r>
      <w:bookmarkEnd w:id="62"/>
    </w:p>
    <w:p w14:paraId="41A29AB1">
      <w:pPr>
        <w:pageBreakBefore w:val="0"/>
        <w:numPr>
          <w:ilvl w:val="0"/>
          <w:numId w:val="0"/>
        </w:numPr>
        <w:tabs>
          <w:tab w:val="left" w:pos="1379"/>
        </w:tabs>
        <w:kinsoku/>
        <w:wordWrap/>
        <w:overflowPunct/>
        <w:topLinePunct w:val="0"/>
        <w:autoSpaceDE/>
        <w:autoSpaceDN/>
        <w:bidi w:val="0"/>
        <w:snapToGrid/>
        <w:spacing w:line="500" w:lineRule="exact"/>
        <w:ind w:leftChars="200"/>
        <w:jc w:val="left"/>
        <w:outlineLvl w:val="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项目名称：</w:t>
      </w:r>
      <w:bookmarkStart w:id="63" w:name="_Toc6487"/>
      <w:r>
        <w:rPr>
          <w:rFonts w:hint="eastAsia" w:asciiTheme="minorEastAsia" w:hAnsiTheme="minorEastAsia" w:eastAsiaTheme="minorEastAsia" w:cstheme="minorEastAsia"/>
          <w:color w:val="auto"/>
          <w:sz w:val="24"/>
          <w:szCs w:val="24"/>
          <w:highlight w:val="none"/>
          <w:lang w:eastAsia="zh-CN"/>
        </w:rPr>
        <w:t>编制《绩效考核分配方案》(三次)</w:t>
      </w:r>
    </w:p>
    <w:p w14:paraId="35D55330">
      <w:pPr>
        <w:pageBreakBefore w:val="0"/>
        <w:numPr>
          <w:ilvl w:val="0"/>
          <w:numId w:val="0"/>
        </w:numPr>
        <w:tabs>
          <w:tab w:val="left" w:pos="1379"/>
        </w:tabs>
        <w:kinsoku/>
        <w:wordWrap/>
        <w:overflowPunct/>
        <w:topLinePunct w:val="0"/>
        <w:autoSpaceDE/>
        <w:autoSpaceDN/>
        <w:bidi w:val="0"/>
        <w:snapToGrid/>
        <w:spacing w:line="500" w:lineRule="exact"/>
        <w:ind w:firstLine="241" w:firstLineChars="100"/>
        <w:jc w:val="left"/>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 xml:space="preserve">第二条 </w:t>
      </w:r>
      <w:r>
        <w:rPr>
          <w:rFonts w:hint="eastAsia" w:asciiTheme="minorEastAsia" w:hAnsiTheme="minorEastAsia" w:eastAsiaTheme="minorEastAsia" w:cstheme="minorEastAsia"/>
          <w:b/>
          <w:color w:val="auto"/>
          <w:sz w:val="24"/>
          <w:szCs w:val="24"/>
          <w:highlight w:val="none"/>
        </w:rPr>
        <w:t>合同期限</w:t>
      </w:r>
      <w:bookmarkEnd w:id="63"/>
    </w:p>
    <w:p w14:paraId="741FFB95">
      <w:pPr>
        <w:pageBreakBefore w:val="0"/>
        <w:kinsoku/>
        <w:wordWrap/>
        <w:overflowPunct/>
        <w:topLinePunct w:val="0"/>
        <w:autoSpaceDE/>
        <w:autoSpaceDN/>
        <w:bidi w:val="0"/>
        <w:snapToGrid/>
        <w:spacing w:line="500" w:lineRule="exact"/>
        <w:ind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服务期（合同履行期）：合同签订后6个月内完成</w:t>
      </w:r>
    </w:p>
    <w:p w14:paraId="55F22B4E">
      <w:pPr>
        <w:pageBreakBefore w:val="0"/>
        <w:numPr>
          <w:ilvl w:val="0"/>
          <w:numId w:val="0"/>
        </w:numPr>
        <w:tabs>
          <w:tab w:val="left" w:pos="1379"/>
        </w:tabs>
        <w:kinsoku/>
        <w:wordWrap/>
        <w:overflowPunct/>
        <w:topLinePunct w:val="0"/>
        <w:autoSpaceDE/>
        <w:autoSpaceDN/>
        <w:bidi w:val="0"/>
        <w:snapToGrid/>
        <w:spacing w:line="500" w:lineRule="exact"/>
        <w:ind w:firstLine="241" w:firstLineChars="100"/>
        <w:jc w:val="left"/>
        <w:outlineLvl w:val="1"/>
        <w:rPr>
          <w:rFonts w:hint="eastAsia" w:asciiTheme="minorEastAsia" w:hAnsiTheme="minorEastAsia" w:eastAsiaTheme="minorEastAsia" w:cstheme="minorEastAsia"/>
          <w:b/>
          <w:color w:val="auto"/>
          <w:sz w:val="24"/>
          <w:szCs w:val="24"/>
          <w:highlight w:val="none"/>
        </w:rPr>
      </w:pPr>
      <w:bookmarkStart w:id="64" w:name="_Toc18933"/>
      <w:bookmarkStart w:id="65" w:name="_Toc211854449"/>
      <w:bookmarkStart w:id="66" w:name="_Toc283019214"/>
      <w:bookmarkStart w:id="67" w:name="_Toc239568418"/>
      <w:bookmarkStart w:id="68" w:name="_Toc241833903"/>
      <w:bookmarkStart w:id="69" w:name="_Toc225244852"/>
      <w:bookmarkStart w:id="70" w:name="_Toc237145406"/>
      <w:bookmarkStart w:id="71" w:name="_Toc232492928"/>
      <w:bookmarkStart w:id="72" w:name="_Toc211911348"/>
      <w:bookmarkStart w:id="73" w:name="_Toc247334841"/>
      <w:bookmarkStart w:id="74" w:name="_Toc212019594"/>
      <w:bookmarkStart w:id="75" w:name="_Toc282696226"/>
      <w:bookmarkStart w:id="76" w:name="_Toc251768862"/>
      <w:bookmarkStart w:id="77" w:name="_Toc238984975"/>
      <w:bookmarkStart w:id="78" w:name="_Toc286993786"/>
      <w:bookmarkStart w:id="79" w:name="_Toc239233914"/>
      <w:bookmarkStart w:id="80" w:name="_Toc185395249"/>
      <w:bookmarkStart w:id="81" w:name="_Toc225654644"/>
      <w:bookmarkStart w:id="82" w:name="_Toc225670751"/>
      <w:r>
        <w:rPr>
          <w:rFonts w:hint="eastAsia" w:asciiTheme="minorEastAsia" w:hAnsiTheme="minorEastAsia" w:eastAsiaTheme="minorEastAsia" w:cstheme="minorEastAsia"/>
          <w:b/>
          <w:color w:val="auto"/>
          <w:sz w:val="24"/>
          <w:szCs w:val="24"/>
          <w:highlight w:val="none"/>
          <w:lang w:val="en-US" w:eastAsia="zh-CN"/>
        </w:rPr>
        <w:t xml:space="preserve">第三条 </w:t>
      </w:r>
      <w:r>
        <w:rPr>
          <w:rFonts w:hint="eastAsia" w:asciiTheme="minorEastAsia" w:hAnsiTheme="minorEastAsia" w:eastAsiaTheme="minorEastAsia" w:cstheme="minorEastAsia"/>
          <w:b/>
          <w:color w:val="auto"/>
          <w:sz w:val="24"/>
          <w:szCs w:val="24"/>
          <w:highlight w:val="none"/>
        </w:rPr>
        <w:t>服务内容</w:t>
      </w:r>
      <w:r>
        <w:rPr>
          <w:rFonts w:hint="eastAsia" w:asciiTheme="minorEastAsia" w:hAnsiTheme="minorEastAsia" w:eastAsiaTheme="minorEastAsia" w:cstheme="minorEastAsia"/>
          <w:b/>
          <w:color w:val="auto"/>
          <w:sz w:val="24"/>
          <w:szCs w:val="24"/>
          <w:highlight w:val="none"/>
          <w:lang w:eastAsia="zh-CN"/>
        </w:rPr>
        <w:t>与</w:t>
      </w:r>
      <w:r>
        <w:rPr>
          <w:rFonts w:hint="eastAsia" w:asciiTheme="minorEastAsia" w:hAnsiTheme="minorEastAsia" w:eastAsiaTheme="minorEastAsia" w:cstheme="minorEastAsia"/>
          <w:b/>
          <w:color w:val="auto"/>
          <w:sz w:val="24"/>
          <w:szCs w:val="24"/>
          <w:highlight w:val="none"/>
        </w:rPr>
        <w:t>质量标准</w:t>
      </w:r>
      <w:bookmarkEnd w:id="64"/>
    </w:p>
    <w:p w14:paraId="11C4DE03">
      <w:pPr>
        <w:pStyle w:val="3"/>
        <w:pageBreakBefore w:val="0"/>
        <w:numPr>
          <w:ilvl w:val="0"/>
          <w:numId w:val="0"/>
        </w:numPr>
        <w:kinsoku/>
        <w:wordWrap/>
        <w:overflowPunct/>
        <w:topLinePunct w:val="0"/>
        <w:autoSpaceDE/>
        <w:autoSpaceDN/>
        <w:bidi w:val="0"/>
        <w:snapToGrid/>
        <w:spacing w:line="500" w:lineRule="exact"/>
        <w:ind w:leftChars="0" w:firstLine="482"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贯彻国家医改精神，根据医院的特点调整医院经营理念和模式、优化医院绩效工资分配激励机制和考核机制，按照国家、省、市相关医改文件和医保支付方式，建立以预算为基础，DRG/DIP为导向的现代医院绩效管理体系，充分调动医务人员工作积极性，整体提升医院的经营能力，促进医院持续、健康发展。</w:t>
      </w:r>
    </w:p>
    <w:p w14:paraId="1D972CBA">
      <w:pPr>
        <w:pStyle w:val="4"/>
        <w:pageBreakBefore w:val="0"/>
        <w:kinsoku/>
        <w:wordWrap/>
        <w:overflowPunct/>
        <w:topLinePunct w:val="0"/>
        <w:autoSpaceDE/>
        <w:autoSpaceDN/>
        <w:bidi w:val="0"/>
        <w:snapToGrid/>
        <w:spacing w:line="500" w:lineRule="exac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坚持“效率优先、兼顾公平、体现岗位差异，兼顾学科平衡，多劳多得、优绩优酬”的分配原则。坚持以预算和DRG/DIP病种为核心，体现病种的疑难程度、医疗服务质量好坏、专科发展快慢、运营效益高低等因素。重点向关键岗位、业务骨干和作出突出贡献的人员倾斜，合理拉开收入差距，调动医务人员积极性。遵守国家规定，绩效工资不与药品、耗材、检查、化验等业务收入挂钩。供应商通过搜集和整理医院数据资料，通过现场调研、访谈等方式，对医院的绩效运营进行评价，出具医院绩效运营评估报告。负责医院绩效工资一次分配方案设计、科室项目工作量核算设计、科室二次分配方案指导意见拟定、医院关键指标绩效考核方案设计、供应商负责对绩效发放进行指导，对科室反馈的问题进行解答和处理，对科室二次分配问题进行解答。</w:t>
      </w:r>
    </w:p>
    <w:p w14:paraId="06970661">
      <w:pPr>
        <w:pStyle w:val="4"/>
        <w:pageBreakBefore w:val="0"/>
        <w:kinsoku/>
        <w:wordWrap/>
        <w:overflowPunct/>
        <w:topLinePunct w:val="0"/>
        <w:autoSpaceDE/>
        <w:autoSpaceDN/>
        <w:bidi w:val="0"/>
        <w:snapToGrid/>
        <w:spacing w:line="500" w:lineRule="exact"/>
        <w:ind w:firstLine="660" w:firstLineChars="275"/>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质量标准：合格</w:t>
      </w:r>
    </w:p>
    <w:p w14:paraId="08544209">
      <w:pPr>
        <w:pageBreakBefore w:val="0"/>
        <w:numPr>
          <w:ilvl w:val="0"/>
          <w:numId w:val="0"/>
        </w:numPr>
        <w:tabs>
          <w:tab w:val="left" w:pos="1379"/>
        </w:tabs>
        <w:kinsoku/>
        <w:wordWrap/>
        <w:overflowPunct/>
        <w:topLinePunct w:val="0"/>
        <w:autoSpaceDE/>
        <w:autoSpaceDN/>
        <w:bidi w:val="0"/>
        <w:snapToGrid/>
        <w:spacing w:line="500" w:lineRule="exact"/>
        <w:ind w:leftChars="200"/>
        <w:jc w:val="left"/>
        <w:outlineLvl w:val="1"/>
        <w:rPr>
          <w:rFonts w:hint="default" w:asciiTheme="minorEastAsia" w:hAnsiTheme="minorEastAsia" w:eastAsiaTheme="minorEastAsia" w:cstheme="minorEastAsia"/>
          <w:b/>
          <w:color w:val="auto"/>
          <w:sz w:val="24"/>
          <w:szCs w:val="24"/>
          <w:highlight w:val="none"/>
          <w:lang w:val="en-US" w:eastAsia="zh-CN"/>
        </w:rPr>
      </w:pPr>
      <w:bookmarkStart w:id="83" w:name="_Toc29001"/>
      <w:r>
        <w:rPr>
          <w:rFonts w:hint="eastAsia" w:asciiTheme="minorEastAsia" w:hAnsiTheme="minorEastAsia" w:eastAsiaTheme="minorEastAsia" w:cstheme="minorEastAsia"/>
          <w:b/>
          <w:color w:val="auto"/>
          <w:sz w:val="24"/>
          <w:szCs w:val="24"/>
          <w:highlight w:val="none"/>
          <w:lang w:val="en-US" w:eastAsia="zh-CN"/>
        </w:rPr>
        <w:t xml:space="preserve">第四条 </w:t>
      </w:r>
      <w:r>
        <w:rPr>
          <w:rFonts w:hint="eastAsia" w:asciiTheme="minorEastAsia" w:hAnsiTheme="minorEastAsia" w:eastAsiaTheme="minorEastAsia" w:cstheme="minorEastAsia"/>
          <w:b/>
          <w:color w:val="auto"/>
          <w:sz w:val="24"/>
          <w:szCs w:val="24"/>
          <w:highlight w:val="none"/>
        </w:rPr>
        <w:t>服务费用</w:t>
      </w:r>
      <w:bookmarkEnd w:id="83"/>
      <w:r>
        <w:rPr>
          <w:rFonts w:hint="eastAsia" w:asciiTheme="minorEastAsia" w:hAnsiTheme="minorEastAsia" w:eastAsiaTheme="minorEastAsia" w:cstheme="minorEastAsia"/>
          <w:b/>
          <w:color w:val="auto"/>
          <w:sz w:val="24"/>
          <w:szCs w:val="24"/>
          <w:highlight w:val="none"/>
          <w:lang w:val="en-US" w:eastAsia="zh-CN"/>
        </w:rPr>
        <w:t>及支付方式</w:t>
      </w:r>
    </w:p>
    <w:p w14:paraId="04277E8B">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  </w:t>
      </w:r>
      <w:bookmarkStart w:id="84" w:name="_Toc12719"/>
      <w:r>
        <w:rPr>
          <w:rFonts w:hint="eastAsia" w:asciiTheme="minorEastAsia" w:hAnsiTheme="minorEastAsia" w:eastAsiaTheme="minorEastAsia" w:cstheme="minorEastAsia"/>
          <w:b w:val="0"/>
          <w:color w:val="auto"/>
          <w:sz w:val="24"/>
          <w:szCs w:val="24"/>
          <w:highlight w:val="none"/>
        </w:rPr>
        <w:t>1.服务总费用为人民币（大写）：</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元， ￥</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bookmarkEnd w:id="84"/>
    </w:p>
    <w:p w14:paraId="0DEDA592">
      <w:pPr>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2.本项目服务费用由以下组成：</w:t>
      </w:r>
    </w:p>
    <w:p w14:paraId="4ABFF3AA">
      <w:pPr>
        <w:pageBreakBefore w:val="0"/>
        <w:kinsoku/>
        <w:wordWrap/>
        <w:overflowPunct/>
        <w:topLinePunct w:val="0"/>
        <w:autoSpaceDE/>
        <w:autoSpaceDN/>
        <w:bidi w:val="0"/>
        <w:snapToGrid/>
        <w:spacing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万元；</w:t>
      </w:r>
    </w:p>
    <w:p w14:paraId="598A7288">
      <w:pPr>
        <w:pageBreakBefore w:val="0"/>
        <w:kinsoku/>
        <w:wordWrap/>
        <w:overflowPunct/>
        <w:topLinePunct w:val="0"/>
        <w:autoSpaceDE/>
        <w:autoSpaceDN/>
        <w:bidi w:val="0"/>
        <w:snapToGrid/>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万元；</w:t>
      </w:r>
    </w:p>
    <w:p w14:paraId="7BE3C452">
      <w:pPr>
        <w:pageBreakBefore w:val="0"/>
        <w:kinsoku/>
        <w:wordWrap/>
        <w:overflowPunct/>
        <w:topLinePunct w:val="0"/>
        <w:autoSpaceDE/>
        <w:autoSpaceDN/>
        <w:bidi w:val="0"/>
        <w:snapToGrid/>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万元。</w:t>
      </w:r>
    </w:p>
    <w:p w14:paraId="5995B4BB">
      <w:pPr>
        <w:pageBreakBefore w:val="0"/>
        <w:kinsoku/>
        <w:wordWrap/>
        <w:overflowPunct/>
        <w:topLinePunct w:val="0"/>
        <w:autoSpaceDE/>
        <w:autoSpaceDN/>
        <w:bidi w:val="0"/>
        <w:snapToGrid/>
        <w:spacing w:line="500" w:lineRule="exact"/>
        <w:ind w:firstLine="600" w:firstLineChars="2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p>
    <w:p w14:paraId="18C8FDDE">
      <w:pPr>
        <w:pageBreakBefore w:val="0"/>
        <w:numPr>
          <w:ilvl w:val="0"/>
          <w:numId w:val="0"/>
        </w:numPr>
        <w:kinsoku/>
        <w:wordWrap/>
        <w:overflowPunct/>
        <w:topLinePunct w:val="0"/>
        <w:autoSpaceDE/>
        <w:autoSpaceDN/>
        <w:bidi w:val="0"/>
        <w:snapToGrid/>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本合同执行期间服务总费用不变，甲方无须另向乙方支付本合同规定之外的其他任何费用。</w:t>
      </w:r>
    </w:p>
    <w:p w14:paraId="29D2D162">
      <w:pPr>
        <w:pageBreakBefore w:val="0"/>
        <w:kinsoku/>
        <w:wordWrap/>
        <w:overflowPunct/>
        <w:topLinePunct w:val="0"/>
        <w:autoSpaceDE/>
        <w:autoSpaceDN/>
        <w:bidi w:val="0"/>
        <w:snapToGrid/>
        <w:spacing w:line="500" w:lineRule="exact"/>
        <w:ind w:left="0" w:leftChars="0" w:firstLine="480" w:firstLineChars="200"/>
        <w:outlineLvl w:val="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4.</w:t>
      </w:r>
      <w:r>
        <w:rPr>
          <w:rFonts w:hint="eastAsia" w:asciiTheme="minorEastAsia" w:hAnsiTheme="minorEastAsia" w:eastAsiaTheme="minorEastAsia" w:cstheme="minorEastAsia"/>
          <w:b w:val="0"/>
          <w:bCs/>
          <w:color w:val="auto"/>
          <w:kern w:val="2"/>
          <w:sz w:val="24"/>
          <w:szCs w:val="24"/>
          <w:highlight w:val="none"/>
          <w:lang w:val="en-US" w:eastAsia="zh-CN" w:bidi="ar-SA"/>
        </w:rPr>
        <w:t>支付方式：</w:t>
      </w:r>
      <w:r>
        <w:rPr>
          <w:rFonts w:hint="eastAsia" w:asciiTheme="minorEastAsia" w:hAnsiTheme="minorEastAsia" w:eastAsiaTheme="minorEastAsia" w:cstheme="minorEastAsia"/>
          <w:b w:val="0"/>
          <w:bCs/>
          <w:color w:val="auto"/>
          <w:sz w:val="24"/>
          <w:szCs w:val="24"/>
          <w:highlight w:val="none"/>
        </w:rPr>
        <w:t xml:space="preserve">由 </w:t>
      </w:r>
      <w:r>
        <w:rPr>
          <w:rFonts w:hint="eastAsia" w:asciiTheme="minorEastAsia" w:hAnsiTheme="minorEastAsia" w:eastAsiaTheme="minorEastAsia" w:cstheme="minorEastAsia"/>
          <w:b w:val="0"/>
          <w:bCs/>
          <w:color w:val="auto"/>
          <w:sz w:val="24"/>
          <w:szCs w:val="24"/>
          <w:highlight w:val="none"/>
          <w:u w:val="single"/>
        </w:rPr>
        <w:t xml:space="preserve">采购人 </w:t>
      </w:r>
      <w:r>
        <w:rPr>
          <w:rFonts w:hint="eastAsia" w:asciiTheme="minorEastAsia" w:hAnsiTheme="minorEastAsia" w:eastAsiaTheme="minorEastAsia" w:cstheme="minorEastAsia"/>
          <w:b w:val="0"/>
          <w:bCs/>
          <w:color w:val="auto"/>
          <w:sz w:val="24"/>
          <w:szCs w:val="24"/>
          <w:highlight w:val="none"/>
        </w:rPr>
        <w:t>负责结算，乙方开具合同总价数的全额发票交采购人。</w:t>
      </w:r>
    </w:p>
    <w:p w14:paraId="407E1254">
      <w:pPr>
        <w:pStyle w:val="3"/>
        <w:pageBreakBefore w:val="0"/>
        <w:kinsoku/>
        <w:wordWrap/>
        <w:overflowPunct/>
        <w:topLinePunct w:val="0"/>
        <w:autoSpaceDE/>
        <w:autoSpaceDN/>
        <w:bidi w:val="0"/>
        <w:snapToGrid/>
        <w:spacing w:line="500" w:lineRule="exact"/>
        <w:ind w:firstLine="472" w:firstLineChars="196"/>
        <w:jc w:val="left"/>
        <w:rPr>
          <w:rFonts w:hint="default" w:asciiTheme="minorEastAsia" w:hAnsiTheme="minorEastAsia" w:eastAsiaTheme="minorEastAsia" w:cstheme="minorEastAsia"/>
          <w:b/>
          <w:color w:val="auto"/>
          <w:sz w:val="24"/>
          <w:szCs w:val="24"/>
          <w:highlight w:val="none"/>
          <w:lang w:val="en-US" w:eastAsia="zh-CN"/>
        </w:rPr>
      </w:pPr>
      <w:bookmarkStart w:id="85" w:name="_Toc26507"/>
      <w:r>
        <w:rPr>
          <w:rFonts w:hint="eastAsia" w:asciiTheme="minorEastAsia" w:hAnsiTheme="minorEastAsia" w:eastAsiaTheme="minorEastAsia" w:cstheme="minorEastAsia"/>
          <w:b/>
          <w:color w:val="auto"/>
          <w:sz w:val="24"/>
          <w:szCs w:val="24"/>
          <w:highlight w:val="none"/>
        </w:rPr>
        <w:t xml:space="preserve">第五条  </w:t>
      </w:r>
      <w:bookmarkEnd w:id="85"/>
      <w:r>
        <w:rPr>
          <w:rFonts w:hint="eastAsia" w:asciiTheme="minorEastAsia" w:hAnsiTheme="minorEastAsia" w:eastAsiaTheme="minorEastAsia" w:cstheme="minorEastAsia"/>
          <w:b/>
          <w:color w:val="auto"/>
          <w:sz w:val="24"/>
          <w:szCs w:val="24"/>
          <w:highlight w:val="none"/>
        </w:rPr>
        <w:t>技术服务</w:t>
      </w:r>
      <w:r>
        <w:rPr>
          <w:rFonts w:hint="eastAsia" w:asciiTheme="minorEastAsia" w:hAnsiTheme="minorEastAsia" w:eastAsiaTheme="minorEastAsia" w:cstheme="minorEastAsia"/>
          <w:b/>
          <w:color w:val="auto"/>
          <w:sz w:val="24"/>
          <w:szCs w:val="24"/>
          <w:highlight w:val="none"/>
          <w:lang w:val="en-US" w:eastAsia="zh-CN"/>
        </w:rPr>
        <w:t>及验收</w:t>
      </w:r>
    </w:p>
    <w:p w14:paraId="000CC272">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bookmarkStart w:id="86" w:name="_Toc21054"/>
      <w:r>
        <w:rPr>
          <w:rFonts w:hint="eastAsia" w:asciiTheme="minorEastAsia" w:hAnsiTheme="minorEastAsia" w:eastAsiaTheme="minorEastAsia" w:cstheme="minorEastAsia"/>
          <w:b w:val="0"/>
          <w:color w:val="auto"/>
          <w:sz w:val="24"/>
          <w:szCs w:val="24"/>
          <w:highlight w:val="none"/>
        </w:rPr>
        <w:t>1、对技术服务的要求：</w:t>
      </w:r>
    </w:p>
    <w:p w14:paraId="65AF320F">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2、技术资料：</w:t>
      </w:r>
    </w:p>
    <w:p w14:paraId="544C3D92">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3、技术培训：</w:t>
      </w:r>
    </w:p>
    <w:p w14:paraId="4AC06D78">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3-1、培训内容：</w:t>
      </w:r>
    </w:p>
    <w:p w14:paraId="65C60BFA">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3-2、培训地点：</w:t>
      </w:r>
    </w:p>
    <w:p w14:paraId="166A8AE8">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3-3、培训时间：</w:t>
      </w:r>
    </w:p>
    <w:p w14:paraId="6A52FF08">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3-4、培训人数：</w:t>
      </w:r>
    </w:p>
    <w:p w14:paraId="4A60A4CB">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3-5、培训费用：受训人员的食宿费、资料费、培训场地费、耗材（包括水电费等）费等已包含在合同总价中，甲方不再另行支付。</w:t>
      </w:r>
    </w:p>
    <w:p w14:paraId="3235BDB3">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4、售后服务</w:t>
      </w:r>
    </w:p>
    <w:p w14:paraId="2C477C43">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4-1、乙方在接到甲方电话通知后在    小时内派出合格的服务人员到达现场进行服务，承担相应费用。</w:t>
      </w:r>
    </w:p>
    <w:p w14:paraId="396FB9ED">
      <w:pPr>
        <w:pStyle w:val="4"/>
        <w:pageBreakBefore w:val="0"/>
        <w:kinsoku/>
        <w:wordWrap/>
        <w:overflowPunct/>
        <w:topLinePunct w:val="0"/>
        <w:autoSpaceDE/>
        <w:autoSpaceDN/>
        <w:bidi w:val="0"/>
        <w:snapToGrid/>
        <w:spacing w:line="50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4-2、如果乙方在收到通知后两天内没有弥补缺陷， 甲方可采取必要的补救措施，但其风险和费用将由乙方承担，甲方根据合同规定对乙方行使的其它权力不受影响。</w:t>
      </w:r>
    </w:p>
    <w:p w14:paraId="4ABA320B">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5</w:t>
      </w:r>
      <w:r>
        <w:rPr>
          <w:rFonts w:hint="eastAsia" w:asciiTheme="minorEastAsia" w:hAnsiTheme="minorEastAsia" w:eastAsiaTheme="minorEastAsia" w:cstheme="minorEastAsia"/>
          <w:b w:val="0"/>
          <w:color w:val="auto"/>
          <w:sz w:val="24"/>
          <w:szCs w:val="24"/>
          <w:highlight w:val="none"/>
        </w:rPr>
        <w:t>、验收</w:t>
      </w:r>
    </w:p>
    <w:p w14:paraId="69FD4E37">
      <w:pPr>
        <w:pStyle w:val="4"/>
        <w:pageBreakBefore w:val="0"/>
        <w:kinsoku/>
        <w:wordWrap/>
        <w:overflowPunct/>
        <w:topLinePunct w:val="0"/>
        <w:autoSpaceDE/>
        <w:autoSpaceDN/>
        <w:bidi w:val="0"/>
        <w:snapToGrid/>
        <w:spacing w:line="50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5-</w:t>
      </w:r>
      <w:r>
        <w:rPr>
          <w:rFonts w:hint="eastAsia" w:asciiTheme="minorEastAsia" w:hAnsiTheme="minorEastAsia" w:eastAsiaTheme="minorEastAsia" w:cstheme="minorEastAsia"/>
          <w:b w:val="0"/>
          <w:color w:val="auto"/>
          <w:sz w:val="24"/>
          <w:szCs w:val="24"/>
          <w:highlight w:val="none"/>
        </w:rPr>
        <w:t>1、验收：乙方完成服务内容后， 向甲方提出验收申请， 甲方接到乙方验收申请后组织验收（必要时可聘请相应专家或委托相应部门验收），验收合格后，出具使用验收合格证明。</w:t>
      </w:r>
    </w:p>
    <w:p w14:paraId="42E11173">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5-</w:t>
      </w:r>
      <w:r>
        <w:rPr>
          <w:rFonts w:hint="eastAsia" w:asciiTheme="minorEastAsia" w:hAnsiTheme="minorEastAsia" w:eastAsiaTheme="minorEastAsia" w:cstheme="minorEastAsia"/>
          <w:b w:val="0"/>
          <w:color w:val="auto"/>
          <w:sz w:val="24"/>
          <w:szCs w:val="24"/>
          <w:highlight w:val="none"/>
        </w:rPr>
        <w:t>2、最终验收：最终验收结果作为付款依据，乙方填写验收单，并向甲方提交实施过程中的所有资料，以便甲方日后管理和维护。</w:t>
      </w:r>
    </w:p>
    <w:p w14:paraId="32114C9E">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5-</w:t>
      </w:r>
      <w:r>
        <w:rPr>
          <w:rFonts w:hint="eastAsia" w:asciiTheme="minorEastAsia" w:hAnsiTheme="minorEastAsia" w:eastAsiaTheme="minorEastAsia" w:cstheme="minorEastAsia"/>
          <w:b w:val="0"/>
          <w:color w:val="auto"/>
          <w:sz w:val="24"/>
          <w:szCs w:val="24"/>
          <w:highlight w:val="none"/>
        </w:rPr>
        <w:t>3、质保期满后： 由乙方出具质保期运行质量报告，若存在质量问题，应按相应规定协商处理。</w:t>
      </w:r>
    </w:p>
    <w:p w14:paraId="4C68CBC0">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5-</w:t>
      </w:r>
      <w:r>
        <w:rPr>
          <w:rFonts w:hint="eastAsia" w:asciiTheme="minorEastAsia" w:hAnsiTheme="minorEastAsia" w:eastAsiaTheme="minorEastAsia" w:cstheme="minorEastAsia"/>
          <w:b w:val="0"/>
          <w:color w:val="auto"/>
          <w:sz w:val="24"/>
          <w:szCs w:val="24"/>
          <w:highlight w:val="none"/>
        </w:rPr>
        <w:t>4、验收依据：</w:t>
      </w:r>
    </w:p>
    <w:p w14:paraId="2FA92680">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5-</w:t>
      </w:r>
      <w:r>
        <w:rPr>
          <w:rFonts w:hint="eastAsia" w:asciiTheme="minorEastAsia" w:hAnsiTheme="minorEastAsia" w:eastAsiaTheme="minorEastAsia" w:cstheme="minorEastAsia"/>
          <w:b w:val="0"/>
          <w:color w:val="auto"/>
          <w:sz w:val="24"/>
          <w:szCs w:val="24"/>
          <w:highlight w:val="none"/>
        </w:rPr>
        <w:t>4-1、合同文本、合同附件、竞争性磋商文件、成交供应商的响应文件。</w:t>
      </w:r>
    </w:p>
    <w:p w14:paraId="67F95977">
      <w:pPr>
        <w:pStyle w:val="3"/>
        <w:pageBreakBefore w:val="0"/>
        <w:kinsoku/>
        <w:wordWrap/>
        <w:overflowPunct/>
        <w:topLinePunct w:val="0"/>
        <w:autoSpaceDE/>
        <w:autoSpaceDN/>
        <w:bidi w:val="0"/>
        <w:snapToGrid/>
        <w:spacing w:line="500" w:lineRule="exact"/>
        <w:ind w:firstLine="470" w:firstLineChars="196"/>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5-</w:t>
      </w:r>
      <w:r>
        <w:rPr>
          <w:rFonts w:hint="eastAsia" w:asciiTheme="minorEastAsia" w:hAnsiTheme="minorEastAsia" w:eastAsiaTheme="minorEastAsia" w:cstheme="minorEastAsia"/>
          <w:b w:val="0"/>
          <w:color w:val="auto"/>
          <w:sz w:val="24"/>
          <w:szCs w:val="24"/>
          <w:highlight w:val="none"/>
        </w:rPr>
        <w:t>4-2、国内相应的标准、规范。</w:t>
      </w:r>
    </w:p>
    <w:p w14:paraId="4B8CEED8">
      <w:pPr>
        <w:pageBreakBefore w:val="0"/>
        <w:kinsoku/>
        <w:wordWrap/>
        <w:overflowPunct/>
        <w:topLinePunct w:val="0"/>
        <w:autoSpaceDE/>
        <w:autoSpaceDN/>
        <w:bidi w:val="0"/>
        <w:snapToGrid/>
        <w:spacing w:line="500" w:lineRule="exact"/>
        <w:ind w:left="0" w:leftChars="0" w:firstLine="241" w:firstLineChars="100"/>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第六条   知识产权</w:t>
      </w:r>
      <w:bookmarkEnd w:id="86"/>
    </w:p>
    <w:p w14:paraId="7FE713E2">
      <w:pPr>
        <w:pageBreakBefore w:val="0"/>
        <w:tabs>
          <w:tab w:val="left" w:pos="1440"/>
        </w:tabs>
        <w:kinsoku/>
        <w:wordWrap/>
        <w:overflowPunct/>
        <w:topLinePunct w:val="0"/>
        <w:autoSpaceDE/>
        <w:autoSpaceDN/>
        <w:bidi w:val="0"/>
        <w:snapToGrid/>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乙方应保证所提供的服务或其任何一部分均不会侵犯任何第三方的专利权、商标权或著作权。</w:t>
      </w:r>
    </w:p>
    <w:p w14:paraId="3262403A">
      <w:pPr>
        <w:pageBreakBefore w:val="0"/>
        <w:kinsoku/>
        <w:wordWrap/>
        <w:overflowPunct/>
        <w:topLinePunct w:val="0"/>
        <w:autoSpaceDE/>
        <w:autoSpaceDN/>
        <w:bidi w:val="0"/>
        <w:snapToGrid/>
        <w:spacing w:line="500" w:lineRule="exact"/>
        <w:ind w:left="0" w:leftChars="0" w:firstLine="241" w:firstLineChars="100"/>
        <w:outlineLvl w:val="1"/>
        <w:rPr>
          <w:rFonts w:hint="eastAsia" w:asciiTheme="minorEastAsia" w:hAnsiTheme="minorEastAsia" w:eastAsiaTheme="minorEastAsia" w:cstheme="minorEastAsia"/>
          <w:b/>
          <w:color w:val="auto"/>
          <w:sz w:val="24"/>
          <w:szCs w:val="24"/>
          <w:highlight w:val="none"/>
        </w:rPr>
      </w:pPr>
      <w:bookmarkStart w:id="87" w:name="_Toc22784"/>
      <w:r>
        <w:rPr>
          <w:rFonts w:hint="eastAsia" w:asciiTheme="minorEastAsia" w:hAnsiTheme="minorEastAsia" w:eastAsiaTheme="minorEastAsia" w:cstheme="minorEastAsia"/>
          <w:b/>
          <w:color w:val="auto"/>
          <w:sz w:val="24"/>
          <w:szCs w:val="24"/>
          <w:highlight w:val="none"/>
        </w:rPr>
        <w:t>第七条  无产权瑕疵条款</w:t>
      </w:r>
      <w:bookmarkEnd w:id="87"/>
    </w:p>
    <w:p w14:paraId="1ACC059B">
      <w:pPr>
        <w:pageBreakBefore w:val="0"/>
        <w:tabs>
          <w:tab w:val="left" w:pos="1440"/>
        </w:tabs>
        <w:kinsoku/>
        <w:wordWrap/>
        <w:overflowPunct/>
        <w:topLinePunct w:val="0"/>
        <w:autoSpaceDE/>
        <w:autoSpaceDN/>
        <w:bidi w:val="0"/>
        <w:snapToGrid/>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乙方保证所提供的服务的所有权完全属于乙方且无任何抵押、查封等产权瑕疵。如有产权瑕疵的，视为乙方违约。乙方应负担由此而产生的一切损失。</w:t>
      </w:r>
    </w:p>
    <w:p w14:paraId="09078F18">
      <w:pPr>
        <w:pageBreakBefore w:val="0"/>
        <w:widowControl/>
        <w:kinsoku/>
        <w:wordWrap/>
        <w:overflowPunct/>
        <w:topLinePunct w:val="0"/>
        <w:autoSpaceDE/>
        <w:autoSpaceDN/>
        <w:bidi w:val="0"/>
        <w:snapToGrid/>
        <w:spacing w:line="500" w:lineRule="exact"/>
        <w:ind w:left="0" w:leftChars="0" w:firstLine="241" w:firstLineChars="100"/>
        <w:jc w:val="left"/>
        <w:outlineLvl w:val="1"/>
        <w:rPr>
          <w:rFonts w:hint="eastAsia" w:asciiTheme="minorEastAsia" w:hAnsiTheme="minorEastAsia" w:eastAsiaTheme="minorEastAsia" w:cstheme="minorEastAsia"/>
          <w:b/>
          <w:color w:val="auto"/>
          <w:sz w:val="24"/>
          <w:szCs w:val="24"/>
          <w:highlight w:val="none"/>
        </w:rPr>
      </w:pPr>
      <w:bookmarkStart w:id="88" w:name="_Toc27929"/>
      <w:r>
        <w:rPr>
          <w:rFonts w:hint="eastAsia" w:asciiTheme="minorEastAsia" w:hAnsiTheme="minorEastAsia" w:eastAsiaTheme="minorEastAsia" w:cstheme="minorEastAsia"/>
          <w:b/>
          <w:color w:val="auto"/>
          <w:sz w:val="24"/>
          <w:szCs w:val="24"/>
          <w:highlight w:val="none"/>
        </w:rPr>
        <w:t>第八条   履约保证金</w:t>
      </w:r>
      <w:bookmarkEnd w:id="88"/>
    </w:p>
    <w:p w14:paraId="3E7517CE">
      <w:pPr>
        <w:pageBreakBefore w:val="0"/>
        <w:widowControl/>
        <w:kinsoku/>
        <w:wordWrap/>
        <w:overflowPunct/>
        <w:topLinePunct w:val="0"/>
        <w:autoSpaceDE/>
        <w:autoSpaceDN/>
        <w:bidi w:val="0"/>
        <w:snapToGrid/>
        <w:spacing w:line="50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1.乙方在签订本合同之前，向甲方构提交履约保证金人民币（大写）</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元，￥</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06CE333F">
      <w:pPr>
        <w:pageBreakBefore w:val="0"/>
        <w:widowControl/>
        <w:kinsoku/>
        <w:wordWrap/>
        <w:overflowPunct/>
        <w:topLinePunct w:val="0"/>
        <w:autoSpaceDE/>
        <w:autoSpaceDN/>
        <w:bidi w:val="0"/>
        <w:snapToGrid/>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color w:val="auto"/>
          <w:kern w:val="0"/>
          <w:sz w:val="24"/>
          <w:szCs w:val="24"/>
          <w:highlight w:val="none"/>
        </w:rPr>
        <w:t>履约保证金的有效期为乙方承诺的服务期限。</w:t>
      </w:r>
    </w:p>
    <w:p w14:paraId="5AB700CB">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3.履约保证金作为违约金的一部分及用于补偿甲方因乙方不能履行合同义务而蒙受的损失。</w:t>
      </w:r>
    </w:p>
    <w:p w14:paraId="52135500">
      <w:pPr>
        <w:pageBreakBefore w:val="0"/>
        <w:widowControl/>
        <w:kinsoku/>
        <w:wordWrap/>
        <w:overflowPunct/>
        <w:topLinePunct w:val="0"/>
        <w:autoSpaceDE/>
        <w:autoSpaceDN/>
        <w:bidi w:val="0"/>
        <w:snapToGrid/>
        <w:spacing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w:t>
      </w:r>
      <w:r>
        <w:rPr>
          <w:rFonts w:hint="eastAsia" w:asciiTheme="minorEastAsia" w:hAnsiTheme="minorEastAsia" w:eastAsiaTheme="minorEastAsia" w:cstheme="minorEastAsia"/>
          <w:color w:val="auto"/>
          <w:sz w:val="24"/>
          <w:szCs w:val="24"/>
          <w:highlight w:val="none"/>
        </w:rPr>
        <w:t>服务期限结束后，甲方财务部门接到甲方确认本合同服务等约定事项已经履行完毕的正式书面文件后的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日内，向乙方退还履约保证金。</w:t>
      </w:r>
    </w:p>
    <w:p w14:paraId="222760F0">
      <w:pPr>
        <w:pageBreakBefore w:val="0"/>
        <w:widowControl/>
        <w:kinsoku/>
        <w:wordWrap/>
        <w:overflowPunct/>
        <w:topLinePunct w:val="0"/>
        <w:autoSpaceDE/>
        <w:autoSpaceDN/>
        <w:bidi w:val="0"/>
        <w:snapToGrid/>
        <w:spacing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5.乙方可以履约担保函的形式交纳履约保证金（格式见附件1）。</w:t>
      </w:r>
    </w:p>
    <w:p w14:paraId="528D8756">
      <w:pPr>
        <w:pageBreakBefore w:val="0"/>
        <w:kinsoku/>
        <w:wordWrap/>
        <w:overflowPunct/>
        <w:topLinePunct w:val="0"/>
        <w:autoSpaceDE/>
        <w:autoSpaceDN/>
        <w:bidi w:val="0"/>
        <w:snapToGrid/>
        <w:spacing w:line="500" w:lineRule="exact"/>
        <w:ind w:left="0" w:leftChars="0" w:firstLine="0" w:firstLineChars="0"/>
        <w:outlineLvl w:val="1"/>
        <w:rPr>
          <w:rFonts w:hint="eastAsia" w:asciiTheme="minorEastAsia" w:hAnsiTheme="minorEastAsia" w:eastAsiaTheme="minorEastAsia" w:cstheme="minorEastAsia"/>
          <w:b/>
          <w:color w:val="auto"/>
          <w:sz w:val="24"/>
          <w:szCs w:val="24"/>
          <w:highlight w:val="none"/>
        </w:rPr>
      </w:pPr>
      <w:bookmarkStart w:id="89" w:name="_Toc222"/>
      <w:r>
        <w:rPr>
          <w:rFonts w:hint="eastAsia" w:asciiTheme="minorEastAsia" w:hAnsiTheme="minorEastAsia" w:eastAsiaTheme="minorEastAsia" w:cstheme="minorEastAsia"/>
          <w:b/>
          <w:color w:val="auto"/>
          <w:sz w:val="24"/>
          <w:szCs w:val="24"/>
          <w:highlight w:val="none"/>
        </w:rPr>
        <w:t>第九条  甲方的权利和义务</w:t>
      </w:r>
      <w:bookmarkEnd w:id="89"/>
    </w:p>
    <w:p w14:paraId="455B785B">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24E560E8">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2.甲方有权依据双方签订的考评办法对乙方提供的服务进行定期考评。当考评结果未达到标准时，有权依据考评办法约定的数额扣除履约保证金。</w:t>
      </w:r>
    </w:p>
    <w:p w14:paraId="487B17A8">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3.负责检查监督乙方管理工作的实施及制度的执行情况。</w:t>
      </w:r>
    </w:p>
    <w:p w14:paraId="445E1020">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4.根据本合同规定，按时向乙方支付应付服务费用。</w:t>
      </w:r>
    </w:p>
    <w:p w14:paraId="58FA20A1">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5.国家法律、法规所规定由甲方承担的其它责任。</w:t>
      </w:r>
    </w:p>
    <w:p w14:paraId="32D9F31C">
      <w:pPr>
        <w:pageBreakBefore w:val="0"/>
        <w:kinsoku/>
        <w:wordWrap/>
        <w:overflowPunct/>
        <w:topLinePunct w:val="0"/>
        <w:autoSpaceDE/>
        <w:autoSpaceDN/>
        <w:bidi w:val="0"/>
        <w:snapToGrid/>
        <w:spacing w:line="500" w:lineRule="exact"/>
        <w:ind w:left="0" w:leftChars="0" w:firstLine="0" w:firstLineChars="0"/>
        <w:outlineLvl w:val="1"/>
        <w:rPr>
          <w:rFonts w:hint="eastAsia" w:asciiTheme="minorEastAsia" w:hAnsiTheme="minorEastAsia" w:eastAsiaTheme="minorEastAsia" w:cstheme="minorEastAsia"/>
          <w:b/>
          <w:color w:val="auto"/>
          <w:sz w:val="24"/>
          <w:szCs w:val="24"/>
          <w:highlight w:val="none"/>
        </w:rPr>
      </w:pPr>
      <w:bookmarkStart w:id="90" w:name="_Toc14805"/>
      <w:r>
        <w:rPr>
          <w:rFonts w:hint="eastAsia" w:asciiTheme="minorEastAsia" w:hAnsiTheme="minorEastAsia" w:eastAsiaTheme="minorEastAsia" w:cstheme="minorEastAsia"/>
          <w:b/>
          <w:color w:val="auto"/>
          <w:sz w:val="24"/>
          <w:szCs w:val="24"/>
          <w:highlight w:val="none"/>
        </w:rPr>
        <w:t>第十条  乙方的权利和义务</w:t>
      </w:r>
      <w:bookmarkEnd w:id="90"/>
    </w:p>
    <w:p w14:paraId="78571532">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1.对本合同规定的委托服务范围内的项目享有管理权及服务义务。</w:t>
      </w:r>
    </w:p>
    <w:p w14:paraId="05C0D879">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2.根据本合同的规定向甲方收取相关服务费用，并有权在本项目管理范围内管理及合理使用。</w:t>
      </w:r>
    </w:p>
    <w:p w14:paraId="792FE685">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3.及时向甲方通告本项目服务范围内有关服务的重大事项，及时配合处理投诉。</w:t>
      </w:r>
    </w:p>
    <w:p w14:paraId="774F7D9D">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bCs/>
          <w:color w:val="auto"/>
          <w:sz w:val="24"/>
          <w:szCs w:val="24"/>
          <w:highlight w:val="none"/>
        </w:rPr>
        <w:t>接受项目行业管理部门及政府有关部门的指导，接受甲方的监督。</w:t>
      </w:r>
    </w:p>
    <w:p w14:paraId="0C689C4B">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5.国家法律、法规所规定由乙方承担的其它责任。</w:t>
      </w:r>
    </w:p>
    <w:p w14:paraId="5C816A72">
      <w:pPr>
        <w:pageBreakBefore w:val="0"/>
        <w:kinsoku/>
        <w:wordWrap/>
        <w:overflowPunct/>
        <w:topLinePunct w:val="0"/>
        <w:autoSpaceDE/>
        <w:autoSpaceDN/>
        <w:bidi w:val="0"/>
        <w:snapToGrid/>
        <w:spacing w:line="500" w:lineRule="exact"/>
        <w:ind w:left="0" w:leftChars="0" w:firstLine="0" w:firstLineChars="0"/>
        <w:outlineLvl w:val="1"/>
        <w:rPr>
          <w:rFonts w:hint="eastAsia" w:asciiTheme="minorEastAsia" w:hAnsiTheme="minorEastAsia" w:eastAsiaTheme="minorEastAsia" w:cstheme="minorEastAsia"/>
          <w:b/>
          <w:color w:val="auto"/>
          <w:sz w:val="24"/>
          <w:szCs w:val="24"/>
          <w:highlight w:val="none"/>
        </w:rPr>
      </w:pPr>
      <w:bookmarkStart w:id="91" w:name="_Toc17616"/>
      <w:r>
        <w:rPr>
          <w:rFonts w:hint="eastAsia" w:asciiTheme="minorEastAsia" w:hAnsiTheme="minorEastAsia" w:eastAsiaTheme="minorEastAsia" w:cstheme="minorEastAsia"/>
          <w:b/>
          <w:color w:val="auto"/>
          <w:sz w:val="24"/>
          <w:szCs w:val="24"/>
          <w:highlight w:val="none"/>
        </w:rPr>
        <w:t>第十一条  违约责任</w:t>
      </w:r>
      <w:bookmarkEnd w:id="91"/>
    </w:p>
    <w:p w14:paraId="59AFFD34">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1.甲乙双方必须遵守本合同并执行合同中的各项规定，保证本合同的正常履行。</w:t>
      </w:r>
    </w:p>
    <w:p w14:paraId="5F735041">
      <w:pPr>
        <w:pageBreakBefore w:val="0"/>
        <w:kinsoku/>
        <w:wordWrap/>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6B919038">
      <w:pPr>
        <w:pageBreakBefore w:val="0"/>
        <w:kinsoku/>
        <w:wordWrap/>
        <w:overflowPunct/>
        <w:topLinePunct w:val="0"/>
        <w:autoSpaceDE/>
        <w:autoSpaceDN/>
        <w:bidi w:val="0"/>
        <w:snapToGrid/>
        <w:spacing w:line="500" w:lineRule="exact"/>
        <w:ind w:left="0" w:leftChars="0" w:firstLine="0" w:firstLineChars="0"/>
        <w:outlineLvl w:val="1"/>
        <w:rPr>
          <w:rFonts w:hint="eastAsia" w:asciiTheme="minorEastAsia" w:hAnsiTheme="minorEastAsia" w:eastAsiaTheme="minorEastAsia" w:cstheme="minorEastAsia"/>
          <w:b/>
          <w:color w:val="auto"/>
          <w:sz w:val="24"/>
          <w:szCs w:val="24"/>
          <w:highlight w:val="none"/>
        </w:rPr>
      </w:pPr>
      <w:bookmarkStart w:id="92" w:name="_Toc2602"/>
      <w:r>
        <w:rPr>
          <w:rFonts w:hint="eastAsia" w:asciiTheme="minorEastAsia" w:hAnsiTheme="minorEastAsia" w:eastAsiaTheme="minorEastAsia" w:cstheme="minorEastAsia"/>
          <w:b/>
          <w:color w:val="auto"/>
          <w:sz w:val="24"/>
          <w:szCs w:val="24"/>
          <w:highlight w:val="none"/>
        </w:rPr>
        <w:t>第十二条  不可抗力事件处理</w:t>
      </w:r>
      <w:bookmarkEnd w:id="92"/>
    </w:p>
    <w:p w14:paraId="201D3384">
      <w:pPr>
        <w:pageBreakBefore w:val="0"/>
        <w:tabs>
          <w:tab w:val="left" w:pos="0"/>
        </w:tabs>
        <w:kinsoku/>
        <w:wordWrap/>
        <w:overflowPunct/>
        <w:topLinePunct w:val="0"/>
        <w:autoSpaceDE/>
        <w:autoSpaceDN/>
        <w:bidi w:val="0"/>
        <w:snapToGrid/>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1.在合同有效期内，任何一方因不可抗力事件导致不能履行合同，则合同履行期可延长，其延长期与不可抗力影响期相同。</w:t>
      </w:r>
    </w:p>
    <w:p w14:paraId="4BDCED0F">
      <w:pPr>
        <w:pageBreakBefore w:val="0"/>
        <w:tabs>
          <w:tab w:val="left" w:pos="0"/>
        </w:tabs>
        <w:kinsoku/>
        <w:wordWrap/>
        <w:overflowPunct/>
        <w:topLinePunct w:val="0"/>
        <w:autoSpaceDE/>
        <w:autoSpaceDN/>
        <w:bidi w:val="0"/>
        <w:snapToGrid/>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2.不可抗力事件发生后，应立即通知对方，并寄送有关权威机构出具的证明。</w:t>
      </w:r>
    </w:p>
    <w:p w14:paraId="480B1EF5">
      <w:pPr>
        <w:pageBreakBefore w:val="0"/>
        <w:tabs>
          <w:tab w:val="left" w:pos="0"/>
        </w:tabs>
        <w:kinsoku/>
        <w:wordWrap/>
        <w:overflowPunct/>
        <w:topLinePunct w:val="0"/>
        <w:autoSpaceDE/>
        <w:autoSpaceDN/>
        <w:bidi w:val="0"/>
        <w:snapToGrid/>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3.不可抗力事件延续</w:t>
      </w:r>
      <w:r>
        <w:rPr>
          <w:rFonts w:hint="eastAsia" w:asciiTheme="minorEastAsia" w:hAnsiTheme="minorEastAsia" w:eastAsiaTheme="minorEastAsia" w:cstheme="minorEastAsia"/>
          <w:color w:val="auto"/>
          <w:sz w:val="24"/>
          <w:szCs w:val="24"/>
          <w:highlight w:val="none"/>
          <w:u w:val="single"/>
          <w:lang w:val="en-US" w:eastAsia="zh-CN"/>
        </w:rPr>
        <w:t xml:space="preserve"> 7 </w:t>
      </w:r>
      <w:r>
        <w:rPr>
          <w:rFonts w:hint="eastAsia" w:asciiTheme="minorEastAsia" w:hAnsiTheme="minorEastAsia" w:eastAsiaTheme="minorEastAsia" w:cstheme="minorEastAsia"/>
          <w:color w:val="auto"/>
          <w:sz w:val="24"/>
          <w:szCs w:val="24"/>
          <w:highlight w:val="none"/>
        </w:rPr>
        <w:t>天以上，双方应通过友好协商，确定是否继续履行合同。</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14:paraId="3ABBFF50">
      <w:pPr>
        <w:pageBreakBefore w:val="0"/>
        <w:widowControl/>
        <w:kinsoku/>
        <w:wordWrap/>
        <w:overflowPunct/>
        <w:topLinePunct w:val="0"/>
        <w:autoSpaceDE/>
        <w:autoSpaceDN/>
        <w:bidi w:val="0"/>
        <w:snapToGrid/>
        <w:spacing w:line="500" w:lineRule="exact"/>
        <w:ind w:left="0" w:leftChars="0" w:firstLine="0" w:firstLineChars="0"/>
        <w:jc w:val="left"/>
        <w:outlineLvl w:val="1"/>
        <w:rPr>
          <w:rFonts w:hint="eastAsia" w:asciiTheme="minorEastAsia" w:hAnsiTheme="minorEastAsia" w:eastAsiaTheme="minorEastAsia" w:cstheme="minorEastAsia"/>
          <w:color w:val="auto"/>
          <w:kern w:val="0"/>
          <w:sz w:val="24"/>
          <w:szCs w:val="24"/>
          <w:highlight w:val="none"/>
        </w:rPr>
      </w:pPr>
      <w:bookmarkStart w:id="93" w:name="_Toc12137"/>
      <w:bookmarkStart w:id="94" w:name="_Toc232492933"/>
      <w:bookmarkStart w:id="95" w:name="_Toc237145411"/>
      <w:bookmarkStart w:id="96" w:name="_Toc211854454"/>
      <w:bookmarkStart w:id="97" w:name="_Toc225244857"/>
      <w:bookmarkStart w:id="98" w:name="_Toc185395254"/>
      <w:bookmarkStart w:id="99" w:name="_Toc211911353"/>
      <w:bookmarkStart w:id="100" w:name="_Toc225670756"/>
      <w:bookmarkStart w:id="101" w:name="_Toc286993792"/>
      <w:bookmarkStart w:id="102" w:name="_Toc251768867"/>
      <w:bookmarkStart w:id="103" w:name="_Toc238984980"/>
      <w:bookmarkStart w:id="104" w:name="_Toc247334846"/>
      <w:bookmarkStart w:id="105" w:name="_Toc241833908"/>
      <w:bookmarkStart w:id="106" w:name="_Toc239568423"/>
      <w:bookmarkStart w:id="107" w:name="_Toc212019599"/>
      <w:bookmarkStart w:id="108" w:name="_Toc225654649"/>
      <w:bookmarkStart w:id="109" w:name="_Toc239233919"/>
      <w:r>
        <w:rPr>
          <w:rFonts w:hint="eastAsia" w:asciiTheme="minorEastAsia" w:hAnsiTheme="minorEastAsia" w:eastAsiaTheme="minorEastAsia" w:cstheme="minorEastAsia"/>
          <w:b/>
          <w:color w:val="auto"/>
          <w:sz w:val="24"/>
          <w:szCs w:val="24"/>
          <w:highlight w:val="none"/>
        </w:rPr>
        <w:t xml:space="preserve">第十三条  </w:t>
      </w:r>
      <w:r>
        <w:rPr>
          <w:rFonts w:hint="eastAsia" w:asciiTheme="minorEastAsia" w:hAnsiTheme="minorEastAsia" w:eastAsiaTheme="minorEastAsia" w:cstheme="minorEastAsia"/>
          <w:b/>
          <w:color w:val="auto"/>
          <w:kern w:val="0"/>
          <w:sz w:val="24"/>
          <w:szCs w:val="24"/>
          <w:highlight w:val="none"/>
        </w:rPr>
        <w:t>合同的变更和终止</w:t>
      </w:r>
      <w:bookmarkEnd w:id="93"/>
    </w:p>
    <w:p w14:paraId="38705AD3">
      <w:pPr>
        <w:pageBreakBefore w:val="0"/>
        <w:widowControl/>
        <w:kinsoku/>
        <w:wordWrap/>
        <w:overflowPunct/>
        <w:topLinePunct w:val="0"/>
        <w:autoSpaceDE/>
        <w:autoSpaceDN/>
        <w:bidi w:val="0"/>
        <w:snapToGrid/>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除《中华人民共和国政府采购法》第49条、第50条第二款规定的情形外，本合同一经签订，甲乙双方不得擅自变更、中止或终止合同。</w:t>
      </w:r>
    </w:p>
    <w:p w14:paraId="3F3DED22">
      <w:pPr>
        <w:pageBreakBefore w:val="0"/>
        <w:kinsoku/>
        <w:wordWrap/>
        <w:overflowPunct/>
        <w:topLinePunct w:val="0"/>
        <w:autoSpaceDE/>
        <w:autoSpaceDN/>
        <w:bidi w:val="0"/>
        <w:snapToGrid/>
        <w:spacing w:line="500" w:lineRule="exact"/>
        <w:ind w:left="0" w:leftChars="0" w:firstLine="0" w:firstLineChars="0"/>
        <w:outlineLvl w:val="1"/>
        <w:rPr>
          <w:rFonts w:hint="eastAsia" w:asciiTheme="minorEastAsia" w:hAnsiTheme="minorEastAsia" w:eastAsiaTheme="minorEastAsia" w:cstheme="minorEastAsia"/>
          <w:b/>
          <w:color w:val="auto"/>
          <w:sz w:val="24"/>
          <w:szCs w:val="24"/>
          <w:highlight w:val="none"/>
        </w:rPr>
      </w:pPr>
      <w:bookmarkStart w:id="110" w:name="_Toc10042"/>
      <w:r>
        <w:rPr>
          <w:rFonts w:hint="eastAsia" w:asciiTheme="minorEastAsia" w:hAnsiTheme="minorEastAsia" w:eastAsiaTheme="minorEastAsia" w:cstheme="minorEastAsia"/>
          <w:b/>
          <w:color w:val="auto"/>
          <w:sz w:val="24"/>
          <w:szCs w:val="24"/>
          <w:highlight w:val="none"/>
        </w:rPr>
        <w:t>第十四条  解决合同纠纷的方式</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4882771">
      <w:pPr>
        <w:pStyle w:val="81"/>
        <w:pageBreakBefore w:val="0"/>
        <w:kinsoku/>
        <w:wordWrap/>
        <w:overflowPunct/>
        <w:topLinePunct w:val="0"/>
        <w:autoSpaceDE/>
        <w:autoSpaceDN/>
        <w:bidi w:val="0"/>
        <w:snapToGrid/>
        <w:spacing w:line="500" w:lineRule="exact"/>
        <w:ind w:firstLine="42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1.在执行本合同中发生的或与本合同有关的争端，双方应通过友好协商解决，经协商在</w:t>
      </w:r>
      <w:r>
        <w:rPr>
          <w:rFonts w:hint="eastAsia" w:asciiTheme="minorEastAsia" w:hAnsiTheme="minorEastAsia" w:eastAsiaTheme="minorEastAsia" w:cstheme="minorEastAsia"/>
          <w:color w:val="auto"/>
          <w:sz w:val="24"/>
          <w:szCs w:val="24"/>
          <w:highlight w:val="none"/>
          <w:u w:val="single"/>
          <w:lang w:val="en-US" w:eastAsia="zh-CN"/>
        </w:rPr>
        <w:t xml:space="preserve"> 10 </w:t>
      </w:r>
      <w:r>
        <w:rPr>
          <w:rFonts w:hint="eastAsia" w:asciiTheme="minorEastAsia" w:hAnsiTheme="minorEastAsia" w:eastAsiaTheme="minorEastAsia" w:cstheme="minorEastAsia"/>
          <w:color w:val="auto"/>
          <w:sz w:val="24"/>
          <w:szCs w:val="24"/>
          <w:highlight w:val="none"/>
        </w:rPr>
        <w:t>天内不能达成协议时，</w:t>
      </w:r>
      <w:r>
        <w:rPr>
          <w:rFonts w:hint="eastAsia" w:asciiTheme="minorEastAsia" w:hAnsiTheme="minorEastAsia" w:eastAsiaTheme="minorEastAsia" w:cstheme="minorEastAsia"/>
          <w:color w:val="auto"/>
          <w:kern w:val="0"/>
          <w:sz w:val="24"/>
          <w:szCs w:val="24"/>
          <w:highlight w:val="none"/>
        </w:rPr>
        <w:t>则采取以下第</w:t>
      </w:r>
      <w:r>
        <w:rPr>
          <w:rFonts w:hint="eastAsia" w:asciiTheme="minorEastAsia" w:hAnsiTheme="minorEastAsia" w:eastAsiaTheme="minorEastAsia" w:cstheme="minorEastAsia"/>
          <w:color w:val="auto"/>
          <w:kern w:val="0"/>
          <w:sz w:val="24"/>
          <w:szCs w:val="24"/>
          <w:highlight w:val="none"/>
          <w:u w:val="single"/>
          <w:lang w:val="en-US" w:eastAsia="zh-CN"/>
        </w:rPr>
        <w:t xml:space="preserve">  1 </w:t>
      </w:r>
      <w:r>
        <w:rPr>
          <w:rFonts w:hint="eastAsia" w:asciiTheme="minorEastAsia" w:hAnsiTheme="minorEastAsia" w:eastAsiaTheme="minorEastAsia" w:cstheme="minorEastAsia"/>
          <w:color w:val="auto"/>
          <w:kern w:val="0"/>
          <w:sz w:val="24"/>
          <w:szCs w:val="24"/>
          <w:highlight w:val="none"/>
        </w:rPr>
        <w:t>种方式解决争议：</w:t>
      </w:r>
    </w:p>
    <w:p w14:paraId="0F206B3A">
      <w:pPr>
        <w:pStyle w:val="81"/>
        <w:pageBreakBefore w:val="0"/>
        <w:kinsoku/>
        <w:wordWrap/>
        <w:overflowPunct/>
        <w:topLinePunct w:val="0"/>
        <w:autoSpaceDE/>
        <w:autoSpaceDN/>
        <w:bidi w:val="0"/>
        <w:snapToGrid/>
        <w:spacing w:line="500" w:lineRule="exact"/>
        <w:ind w:firstLine="42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（1）向甲方所在地有管辖权的人民法院提起诉讼；</w:t>
      </w:r>
    </w:p>
    <w:p w14:paraId="417866D5">
      <w:pPr>
        <w:pStyle w:val="81"/>
        <w:pageBreakBefore w:val="0"/>
        <w:kinsoku/>
        <w:wordWrap/>
        <w:overflowPunct/>
        <w:topLinePunct w:val="0"/>
        <w:autoSpaceDE/>
        <w:autoSpaceDN/>
        <w:bidi w:val="0"/>
        <w:snapToGrid/>
        <w:spacing w:line="500" w:lineRule="exact"/>
        <w:ind w:firstLine="42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（2）向</w:t>
      </w:r>
      <w:r>
        <w:rPr>
          <w:rFonts w:hint="eastAsia" w:asciiTheme="minorEastAsia" w:hAnsiTheme="minorEastAsia" w:eastAsiaTheme="minorEastAsia" w:cstheme="minorEastAsia"/>
          <w:color w:val="auto"/>
          <w:kern w:val="0"/>
          <w:sz w:val="24"/>
          <w:szCs w:val="24"/>
          <w:highlight w:val="none"/>
          <w:u w:val="single"/>
          <w:lang w:val="en-US" w:eastAsia="zh-CN"/>
        </w:rPr>
        <w:t xml:space="preserve">  宝鸡   </w:t>
      </w:r>
      <w:r>
        <w:rPr>
          <w:rFonts w:hint="eastAsia" w:asciiTheme="minorEastAsia" w:hAnsiTheme="minorEastAsia" w:eastAsiaTheme="minorEastAsia" w:cstheme="minorEastAsia"/>
          <w:color w:val="auto"/>
          <w:kern w:val="0"/>
          <w:sz w:val="24"/>
          <w:szCs w:val="24"/>
          <w:highlight w:val="none"/>
        </w:rPr>
        <w:t>仲裁委员会按其仲裁规则申请仲裁。</w:t>
      </w:r>
    </w:p>
    <w:p w14:paraId="464321DE">
      <w:pPr>
        <w:pageBreakBefore w:val="0"/>
        <w:tabs>
          <w:tab w:val="left" w:pos="0"/>
        </w:tabs>
        <w:kinsoku/>
        <w:wordWrap/>
        <w:overflowPunct/>
        <w:topLinePunct w:val="0"/>
        <w:autoSpaceDE/>
        <w:autoSpaceDN/>
        <w:bidi w:val="0"/>
        <w:snapToGrid/>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2.在仲裁期间，本合同应继续履行。</w:t>
      </w:r>
    </w:p>
    <w:p w14:paraId="1F1A4188">
      <w:pPr>
        <w:pageBreakBefore w:val="0"/>
        <w:kinsoku/>
        <w:wordWrap/>
        <w:overflowPunct/>
        <w:topLinePunct w:val="0"/>
        <w:autoSpaceDE/>
        <w:autoSpaceDN/>
        <w:bidi w:val="0"/>
        <w:snapToGrid/>
        <w:spacing w:line="500" w:lineRule="exact"/>
        <w:ind w:left="0" w:leftChars="0" w:firstLine="0" w:firstLineChars="0"/>
        <w:outlineLvl w:val="1"/>
        <w:rPr>
          <w:rFonts w:hint="eastAsia" w:asciiTheme="minorEastAsia" w:hAnsiTheme="minorEastAsia" w:eastAsiaTheme="minorEastAsia" w:cstheme="minorEastAsia"/>
          <w:b/>
          <w:color w:val="auto"/>
          <w:sz w:val="24"/>
          <w:szCs w:val="24"/>
          <w:highlight w:val="none"/>
        </w:rPr>
      </w:pPr>
      <w:bookmarkStart w:id="111" w:name="_Toc283019219"/>
      <w:bookmarkStart w:id="112" w:name="_Toc225244858"/>
      <w:bookmarkStart w:id="113" w:name="_Toc232492934"/>
      <w:bookmarkStart w:id="114" w:name="_Toc251768868"/>
      <w:bookmarkStart w:id="115" w:name="_Toc247334847"/>
      <w:bookmarkStart w:id="116" w:name="_Toc225654650"/>
      <w:bookmarkStart w:id="117" w:name="_Toc241833909"/>
      <w:bookmarkStart w:id="118" w:name="_Toc238984981"/>
      <w:bookmarkStart w:id="119" w:name="_Toc211911354"/>
      <w:bookmarkStart w:id="120" w:name="_Toc185395255"/>
      <w:bookmarkStart w:id="121" w:name="_Toc239233920"/>
      <w:bookmarkStart w:id="122" w:name="_Toc286993793"/>
      <w:bookmarkStart w:id="123" w:name="_Toc237145412"/>
      <w:bookmarkStart w:id="124" w:name="_Toc212019600"/>
      <w:bookmarkStart w:id="125" w:name="_Toc282696231"/>
      <w:bookmarkStart w:id="126" w:name="_Toc239568424"/>
      <w:bookmarkStart w:id="127" w:name="_Toc225670757"/>
      <w:bookmarkStart w:id="128" w:name="_Toc211854455"/>
      <w:bookmarkStart w:id="129" w:name="_Toc29388"/>
      <w:r>
        <w:rPr>
          <w:rFonts w:hint="eastAsia" w:asciiTheme="minorEastAsia" w:hAnsiTheme="minorEastAsia" w:eastAsiaTheme="minorEastAsia" w:cstheme="minorEastAsia"/>
          <w:b/>
          <w:color w:val="auto"/>
          <w:sz w:val="24"/>
          <w:szCs w:val="24"/>
          <w:highlight w:val="none"/>
        </w:rPr>
        <w:t>第十四条  合同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Theme="minorEastAsia" w:hAnsiTheme="minorEastAsia" w:eastAsiaTheme="minorEastAsia" w:cstheme="minorEastAsia"/>
          <w:b/>
          <w:color w:val="auto"/>
          <w:sz w:val="24"/>
          <w:szCs w:val="24"/>
          <w:highlight w:val="none"/>
        </w:rPr>
        <w:t>生效及其他</w:t>
      </w:r>
      <w:bookmarkEnd w:id="129"/>
    </w:p>
    <w:p w14:paraId="0AC07E1A">
      <w:pPr>
        <w:pStyle w:val="53"/>
        <w:pageBreakBefore w:val="0"/>
        <w:kinsoku/>
        <w:wordWrap/>
        <w:overflowPunct/>
        <w:topLinePunct w:val="0"/>
        <w:autoSpaceDE/>
        <w:autoSpaceDN/>
        <w:bidi w:val="0"/>
        <w:snapToGrid/>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1.合同经双方法定代表人或授权委托代理人签字并加盖单位公章后生效。</w:t>
      </w:r>
    </w:p>
    <w:p w14:paraId="46E66B9A">
      <w:pPr>
        <w:pStyle w:val="53"/>
        <w:pageBreakBefore w:val="0"/>
        <w:kinsoku/>
        <w:wordWrap/>
        <w:overflowPunct/>
        <w:topLinePunct w:val="0"/>
        <w:autoSpaceDE/>
        <w:autoSpaceDN/>
        <w:bidi w:val="0"/>
        <w:snapToGrid/>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74B3ED6B">
      <w:pPr>
        <w:pStyle w:val="53"/>
        <w:pageBreakBefore w:val="0"/>
        <w:kinsoku/>
        <w:wordWrap/>
        <w:overflowPunct/>
        <w:topLinePunct w:val="0"/>
        <w:autoSpaceDE/>
        <w:autoSpaceDN/>
        <w:bidi w:val="0"/>
        <w:snapToGrid/>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3.本合同一式</w:t>
      </w:r>
      <w:r>
        <w:rPr>
          <w:rFonts w:hint="eastAsia" w:asciiTheme="minorEastAsia" w:hAnsiTheme="minorEastAsia" w:eastAsiaTheme="minorEastAsia" w:cstheme="minorEastAsia"/>
          <w:color w:val="auto"/>
          <w:sz w:val="24"/>
          <w:szCs w:val="24"/>
          <w:highlight w:val="none"/>
          <w:u w:val="single"/>
          <w:lang w:val="en-US" w:eastAsia="zh-CN"/>
        </w:rPr>
        <w:t xml:space="preserve">  6   </w:t>
      </w:r>
      <w:r>
        <w:rPr>
          <w:rFonts w:hint="eastAsia" w:asciiTheme="minorEastAsia" w:hAnsiTheme="minorEastAsia" w:eastAsiaTheme="minorEastAsia" w:cstheme="minorEastAsia"/>
          <w:color w:val="auto"/>
          <w:sz w:val="24"/>
          <w:szCs w:val="24"/>
          <w:highlight w:val="none"/>
        </w:rPr>
        <w:t>份，自双方签章之日起起效。甲方</w:t>
      </w:r>
      <w:r>
        <w:rPr>
          <w:rFonts w:hint="eastAsia" w:asciiTheme="minorEastAsia" w:hAnsiTheme="minorEastAsia" w:eastAsiaTheme="minorEastAsia" w:cstheme="minorEastAsia"/>
          <w:color w:val="auto"/>
          <w:sz w:val="24"/>
          <w:szCs w:val="24"/>
          <w:highlight w:val="none"/>
          <w:u w:val="single"/>
          <w:lang w:val="en-US" w:eastAsia="zh-CN"/>
        </w:rPr>
        <w:t xml:space="preserve"> 2  </w:t>
      </w:r>
      <w:r>
        <w:rPr>
          <w:rFonts w:hint="eastAsia" w:asciiTheme="minorEastAsia" w:hAnsiTheme="minorEastAsia" w:eastAsiaTheme="minorEastAsia" w:cstheme="minorEastAsia"/>
          <w:color w:val="auto"/>
          <w:sz w:val="24"/>
          <w:szCs w:val="24"/>
          <w:highlight w:val="none"/>
        </w:rPr>
        <w:t>份，乙方</w:t>
      </w:r>
      <w:r>
        <w:rPr>
          <w:rFonts w:hint="eastAsia" w:asciiTheme="minorEastAsia" w:hAnsiTheme="minorEastAsia" w:eastAsiaTheme="minorEastAsia" w:cstheme="minorEastAsia"/>
          <w:color w:val="auto"/>
          <w:sz w:val="24"/>
          <w:szCs w:val="24"/>
          <w:highlight w:val="none"/>
          <w:u w:val="single"/>
          <w:lang w:val="en-US" w:eastAsia="zh-CN"/>
        </w:rPr>
        <w:t xml:space="preserve"> 2  </w:t>
      </w:r>
      <w:r>
        <w:rPr>
          <w:rFonts w:hint="eastAsia" w:asciiTheme="minorEastAsia" w:hAnsiTheme="minorEastAsia" w:eastAsiaTheme="minorEastAsia" w:cstheme="minorEastAsia"/>
          <w:color w:val="auto"/>
          <w:sz w:val="24"/>
          <w:szCs w:val="24"/>
          <w:highlight w:val="none"/>
        </w:rPr>
        <w:t>份，政府采购代理机构</w:t>
      </w:r>
      <w:r>
        <w:rPr>
          <w:rFonts w:hint="eastAsia" w:asciiTheme="minorEastAsia" w:hAnsiTheme="minorEastAsia" w:eastAsiaTheme="minorEastAsia" w:cstheme="minorEastAsia"/>
          <w:color w:val="auto"/>
          <w:sz w:val="24"/>
          <w:szCs w:val="24"/>
          <w:highlight w:val="none"/>
          <w:u w:val="single"/>
          <w:lang w:val="en-US" w:eastAsia="zh-CN"/>
        </w:rPr>
        <w:t xml:space="preserve"> 1  </w:t>
      </w:r>
      <w:r>
        <w:rPr>
          <w:rFonts w:hint="eastAsia" w:asciiTheme="minorEastAsia" w:hAnsiTheme="minorEastAsia" w:eastAsiaTheme="minorEastAsia" w:cstheme="minorEastAsia"/>
          <w:color w:val="auto"/>
          <w:sz w:val="24"/>
          <w:szCs w:val="24"/>
          <w:highlight w:val="none"/>
        </w:rPr>
        <w:t>份，同级财政部门备案</w:t>
      </w:r>
      <w:r>
        <w:rPr>
          <w:rFonts w:hint="eastAsia" w:asciiTheme="minorEastAsia" w:hAnsiTheme="minorEastAsia" w:eastAsiaTheme="minorEastAsia" w:cstheme="minorEastAsia"/>
          <w:color w:val="auto"/>
          <w:sz w:val="24"/>
          <w:szCs w:val="24"/>
          <w:highlight w:val="none"/>
          <w:u w:val="single"/>
          <w:lang w:val="en-US" w:eastAsia="zh-CN"/>
        </w:rPr>
        <w:t xml:space="preserve"> 1 </w:t>
      </w:r>
      <w:r>
        <w:rPr>
          <w:rFonts w:hint="eastAsia" w:asciiTheme="minorEastAsia" w:hAnsiTheme="minorEastAsia" w:eastAsiaTheme="minorEastAsia" w:cstheme="minorEastAsia"/>
          <w:color w:val="auto"/>
          <w:sz w:val="24"/>
          <w:szCs w:val="24"/>
          <w:highlight w:val="none"/>
        </w:rPr>
        <w:t>份，具有同等法律效力。</w:t>
      </w:r>
    </w:p>
    <w:p w14:paraId="315FE111">
      <w:pPr>
        <w:pageBreakBefore w:val="0"/>
        <w:kinsoku/>
        <w:wordWrap/>
        <w:overflowPunct/>
        <w:topLinePunct w:val="0"/>
        <w:autoSpaceDE/>
        <w:autoSpaceDN/>
        <w:bidi w:val="0"/>
        <w:snapToGrid/>
        <w:spacing w:line="500" w:lineRule="exact"/>
        <w:ind w:left="0" w:leftChars="0" w:firstLine="0" w:firstLineChars="0"/>
        <w:outlineLvl w:val="1"/>
        <w:rPr>
          <w:rFonts w:hint="eastAsia" w:asciiTheme="minorEastAsia" w:hAnsiTheme="minorEastAsia" w:eastAsiaTheme="minorEastAsia" w:cstheme="minorEastAsia"/>
          <w:b/>
          <w:color w:val="auto"/>
          <w:sz w:val="24"/>
          <w:szCs w:val="24"/>
          <w:highlight w:val="none"/>
        </w:rPr>
      </w:pPr>
      <w:bookmarkStart w:id="130" w:name="_Toc31225"/>
      <w:r>
        <w:rPr>
          <w:rFonts w:hint="eastAsia" w:asciiTheme="minorEastAsia" w:hAnsiTheme="minorEastAsia" w:eastAsiaTheme="minorEastAsia" w:cstheme="minorEastAsia"/>
          <w:b/>
          <w:color w:val="auto"/>
          <w:sz w:val="24"/>
          <w:szCs w:val="24"/>
          <w:highlight w:val="none"/>
        </w:rPr>
        <w:t>第十五条  附件</w:t>
      </w:r>
      <w:bookmarkEnd w:id="130"/>
    </w:p>
    <w:p w14:paraId="610B05B7">
      <w:pPr>
        <w:pStyle w:val="5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文件</w:t>
      </w:r>
    </w:p>
    <w:p w14:paraId="4CF894BA">
      <w:pPr>
        <w:pStyle w:val="5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2.项目修改澄清文件</w:t>
      </w:r>
    </w:p>
    <w:p w14:paraId="489E4676">
      <w:pPr>
        <w:pStyle w:val="5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w:t>
      </w:r>
      <w:r>
        <w:rPr>
          <w:rFonts w:hint="eastAsia" w:asciiTheme="minorEastAsia" w:hAnsiTheme="minorEastAsia" w:eastAsiaTheme="minorEastAsia" w:cstheme="minorEastAsia"/>
          <w:color w:val="auto"/>
          <w:sz w:val="24"/>
          <w:szCs w:val="24"/>
          <w:highlight w:val="none"/>
          <w:lang w:val="en-US" w:eastAsia="zh-CN"/>
        </w:rPr>
        <w:t>投标响应</w:t>
      </w:r>
      <w:r>
        <w:rPr>
          <w:rFonts w:hint="eastAsia" w:asciiTheme="minorEastAsia" w:hAnsiTheme="minorEastAsia" w:eastAsiaTheme="minorEastAsia" w:cstheme="minorEastAsia"/>
          <w:color w:val="auto"/>
          <w:sz w:val="24"/>
          <w:szCs w:val="24"/>
          <w:highlight w:val="none"/>
        </w:rPr>
        <w:t>文件</w:t>
      </w:r>
    </w:p>
    <w:p w14:paraId="37423FC7">
      <w:pPr>
        <w:pStyle w:val="5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通知书</w:t>
      </w:r>
    </w:p>
    <w:p w14:paraId="1D361F3E">
      <w:pPr>
        <w:pStyle w:val="5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5.其他</w:t>
      </w:r>
    </w:p>
    <w:p w14:paraId="546C07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   （盖章）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乙方：   （盖章）</w:t>
      </w:r>
    </w:p>
    <w:p w14:paraId="3B4864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法定代表人（委托代理人）：             法定代表人（委托代理人）：</w:t>
      </w:r>
    </w:p>
    <w:p w14:paraId="758EAE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                             地    址：</w:t>
      </w:r>
    </w:p>
    <w:p w14:paraId="696F13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                             开户银行：</w:t>
      </w:r>
    </w:p>
    <w:p w14:paraId="6EC1B3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                                 账号：</w:t>
      </w:r>
    </w:p>
    <w:p w14:paraId="6142B2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                             电    话：</w:t>
      </w:r>
    </w:p>
    <w:p w14:paraId="0C7E4F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                             传    真：</w:t>
      </w:r>
    </w:p>
    <w:p w14:paraId="161656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ighlight w:val="none"/>
        </w:rPr>
      </w:pPr>
      <w:r>
        <w:rPr>
          <w:rFonts w:hint="eastAsia" w:asciiTheme="minorEastAsia" w:hAnsiTheme="minorEastAsia" w:eastAsiaTheme="minorEastAsia" w:cstheme="minorEastAsia"/>
          <w:color w:val="auto"/>
          <w:sz w:val="24"/>
          <w:szCs w:val="24"/>
          <w:highlight w:val="none"/>
        </w:rPr>
        <w:t>签约日期：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年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月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日</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签约日期：</w:t>
      </w:r>
      <w:r>
        <w:rPr>
          <w:rFonts w:hint="eastAsia" w:asciiTheme="minorEastAsia" w:hAnsiTheme="minorEastAsia" w:eastAsiaTheme="minorEastAsia" w:cstheme="minorEastAsia"/>
          <w:color w:val="auto"/>
          <w:sz w:val="24"/>
          <w:szCs w:val="24"/>
          <w:highlight w:val="none"/>
          <w:u w:val="single"/>
        </w:rPr>
        <w:t xml:space="preserve">    年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月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日</w:t>
      </w:r>
    </w:p>
    <w:p w14:paraId="510D52CE">
      <w:pPr>
        <w:pageBreakBefore w:val="0"/>
        <w:kinsoku/>
        <w:wordWrap/>
        <w:overflowPunct/>
        <w:topLinePunct w:val="0"/>
        <w:autoSpaceDE/>
        <w:autoSpaceDN/>
        <w:bidi w:val="0"/>
        <w:snapToGrid/>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289F48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附件1：</w:t>
      </w:r>
    </w:p>
    <w:p w14:paraId="1FD769D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8"/>
          <w:szCs w:val="28"/>
          <w:highlight w:val="none"/>
        </w:rPr>
        <w:t xml:space="preserve">政府采购履约担保函  </w:t>
      </w:r>
      <w:r>
        <w:rPr>
          <w:rFonts w:hint="eastAsia" w:asciiTheme="minorEastAsia" w:hAnsiTheme="minorEastAsia" w:eastAsiaTheme="minorEastAsia" w:cstheme="minorEastAsia"/>
          <w:color w:val="auto"/>
          <w:sz w:val="24"/>
          <w:szCs w:val="24"/>
          <w:highlight w:val="none"/>
        </w:rPr>
        <w:t xml:space="preserve">                                                     </w:t>
      </w:r>
    </w:p>
    <w:p w14:paraId="7DE5353E">
      <w:pPr>
        <w:keepNext w:val="0"/>
        <w:keepLines w:val="0"/>
        <w:pageBreakBefore w:val="0"/>
        <w:widowControl w:val="0"/>
        <w:kinsoku/>
        <w:wordWrap/>
        <w:overflowPunct/>
        <w:topLinePunct w:val="0"/>
        <w:autoSpaceDE/>
        <w:autoSpaceDN/>
        <w:bidi w:val="0"/>
        <w:adjustRightInd/>
        <w:snapToGrid/>
        <w:spacing w:line="440" w:lineRule="exact"/>
        <w:ind w:firstLine="7560" w:firstLineChars="3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编号：</w:t>
      </w:r>
    </w:p>
    <w:p w14:paraId="3A9A29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（采购人）：</w:t>
      </w:r>
    </w:p>
    <w:p w14:paraId="678B38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rPr>
      </w:pPr>
    </w:p>
    <w:p w14:paraId="64D959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鉴于你方与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（以下简称成交供应商）于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日签订编号为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政府采购合同》（以下简称主合同），且依据该合同的约定，成交供应商应在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日前向你方交纳履约保证金，且可以履约担保函的形式交纳履约保证金。应成交供应商的申请，我方以保证的方式向你方提供如下履约保证金担保：</w:t>
      </w:r>
    </w:p>
    <w:p w14:paraId="020AC388">
      <w:pPr>
        <w:keepNext w:val="0"/>
        <w:keepLines w:val="0"/>
        <w:pageBreakBefore w:val="0"/>
        <w:widowControl w:val="0"/>
        <w:kinsoku/>
        <w:wordWrap/>
        <w:overflowPunct/>
        <w:topLinePunct w:val="0"/>
        <w:autoSpaceDE/>
        <w:autoSpaceDN/>
        <w:bidi w:val="0"/>
        <w:adjustRightInd/>
        <w:snapToGrid/>
        <w:spacing w:before="120" w:beforeLines="50" w:after="120" w:afterLines="50" w:line="500" w:lineRule="exact"/>
        <w:ind w:firstLine="361" w:firstLineChars="15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一、保证责任的情形及保证金额</w:t>
      </w:r>
    </w:p>
    <w:p w14:paraId="3DF39A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（一）在成交供应商出现下列情形之一时，我方承担保证责任：</w:t>
      </w:r>
    </w:p>
    <w:p w14:paraId="052575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1.将成交项目转让给他人，或者在响应文件中未说明，且未经你方同意，将成交项目分包给他人的；</w:t>
      </w:r>
    </w:p>
    <w:p w14:paraId="555A22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2.主合同约定的应当缴纳履约保证金的情形: </w:t>
      </w:r>
    </w:p>
    <w:p w14:paraId="08FF34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（1）未按主合同约定的质量、数量和期限提供服务的；</w:t>
      </w:r>
    </w:p>
    <w:p w14:paraId="5D18AD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8039A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（二）我方的保证范围是主合同约定的合同价款总额的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%数额为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），币种为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。（即主合同履约保证金金额）</w:t>
      </w:r>
    </w:p>
    <w:p w14:paraId="68D04ED2">
      <w:pPr>
        <w:keepNext w:val="0"/>
        <w:keepLines w:val="0"/>
        <w:pageBreakBefore w:val="0"/>
        <w:widowControl w:val="0"/>
        <w:kinsoku/>
        <w:wordWrap/>
        <w:overflowPunct/>
        <w:topLinePunct w:val="0"/>
        <w:autoSpaceDE/>
        <w:autoSpaceDN/>
        <w:bidi w:val="0"/>
        <w:adjustRightInd/>
        <w:snapToGrid/>
        <w:spacing w:before="120" w:beforeLines="50" w:after="120" w:afterLines="50" w:line="500" w:lineRule="exact"/>
        <w:ind w:firstLine="361" w:firstLineChars="15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二、保证的方式及保证期间</w:t>
      </w:r>
    </w:p>
    <w:p w14:paraId="0F4EDA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我方保证的方式为：连带责任保证。</w:t>
      </w:r>
    </w:p>
    <w:p w14:paraId="07C6FF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我方保证的期间为：自本合同生效之日起至成交供应商按照主合同约定的供货期限届满后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w:t>
      </w:r>
    </w:p>
    <w:p w14:paraId="206ADA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如果成交供应商未按主合同约定向贵方供应货物的，由我方在保证金额内向你方支付上述款项。</w:t>
      </w:r>
    </w:p>
    <w:p w14:paraId="7801AAC4">
      <w:pPr>
        <w:keepNext w:val="0"/>
        <w:keepLines w:val="0"/>
        <w:pageBreakBefore w:val="0"/>
        <w:widowControl w:val="0"/>
        <w:kinsoku/>
        <w:wordWrap/>
        <w:overflowPunct/>
        <w:topLinePunct w:val="0"/>
        <w:autoSpaceDE/>
        <w:autoSpaceDN/>
        <w:bidi w:val="0"/>
        <w:adjustRightInd/>
        <w:snapToGrid/>
        <w:spacing w:before="120" w:beforeLines="50" w:after="120" w:afterLines="50" w:line="500" w:lineRule="exact"/>
        <w:ind w:firstLine="361" w:firstLineChars="15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三、承担保证责任的程序</w:t>
      </w:r>
    </w:p>
    <w:p w14:paraId="64AE42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1.你方要求我方承担保证责任的，应在本保函保证期间内向我方发出书面索赔通知。索赔通知应写明要求索赔的金额，支付款项应到达的帐号。并附有证明成交供应商违约事实的证明材料。</w:t>
      </w:r>
    </w:p>
    <w:p w14:paraId="010A0B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如果你方与成交供应商因货物质量问题产生争议，你方还需同时提供</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部门出具的质量检测报告，或经诉讼（仲裁）程序裁决后的裁决书、调解书，本保证人即按照检测结果或裁决书、调解书决定是否承担保证责任。</w:t>
      </w:r>
    </w:p>
    <w:p w14:paraId="1F2808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2.我方收到你方的书面索赔通知及相应证明材料，在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工作日内进行核定后按照本保函的承诺承担保证责任。</w:t>
      </w:r>
    </w:p>
    <w:p w14:paraId="7FF63993">
      <w:pPr>
        <w:keepNext w:val="0"/>
        <w:keepLines w:val="0"/>
        <w:pageBreakBefore w:val="0"/>
        <w:widowControl w:val="0"/>
        <w:kinsoku/>
        <w:wordWrap/>
        <w:overflowPunct/>
        <w:topLinePunct w:val="0"/>
        <w:autoSpaceDE/>
        <w:autoSpaceDN/>
        <w:bidi w:val="0"/>
        <w:adjustRightInd/>
        <w:snapToGrid/>
        <w:spacing w:before="120" w:beforeLines="50" w:after="120" w:afterLines="50" w:line="500" w:lineRule="exact"/>
        <w:ind w:firstLine="361" w:firstLineChars="15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四、保证责任的终止</w:t>
      </w:r>
    </w:p>
    <w:p w14:paraId="221528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1.保证期间届满你方未向我方书面主张保证责任的，自保证期间届满次日起，我方保证责任自动终止。保证期间届满前，主合同约定的服务全部验收合格的，自验收合格日起，我方保证责任自动终止。</w:t>
      </w:r>
    </w:p>
    <w:p w14:paraId="23010F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2.我方按照本保函向你方履行了保证责任后，自我方向你方支付款项（支付款项从我方账户划出）之日起，保证责任即终止。</w:t>
      </w:r>
    </w:p>
    <w:p w14:paraId="17028AD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3.按照法律法规的规定或出现应终止我方保证责任的其它情形的，我方在本保函项下的保证责任亦终止。</w:t>
      </w:r>
    </w:p>
    <w:p w14:paraId="5BD087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你方与成交供应商修改主合同，加重我方保证责任的，我方对加重部分不承担保证责任，但该等修改事先经我方书面同意的除外；你方与成交供应商修改主合同履行期限，我方保证期间仍依修改前的履行期限计算，但该等修改事先经我方书面同意的除外。</w:t>
      </w:r>
    </w:p>
    <w:p w14:paraId="7E31BCD0">
      <w:pPr>
        <w:keepNext w:val="0"/>
        <w:keepLines w:val="0"/>
        <w:pageBreakBefore w:val="0"/>
        <w:widowControl w:val="0"/>
        <w:kinsoku/>
        <w:wordWrap/>
        <w:overflowPunct/>
        <w:topLinePunct w:val="0"/>
        <w:autoSpaceDE/>
        <w:autoSpaceDN/>
        <w:bidi w:val="0"/>
        <w:adjustRightInd/>
        <w:snapToGrid/>
        <w:spacing w:before="120" w:beforeLines="50" w:after="120" w:afterLines="50" w:line="500" w:lineRule="exact"/>
        <w:ind w:firstLine="340" w:firstLineChars="141"/>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五、免责条款</w:t>
      </w:r>
    </w:p>
    <w:p w14:paraId="05ECB0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1.因你方违反主合同约定致使成交供应商不能履行义务的，我方不承担保证责任。</w:t>
      </w:r>
    </w:p>
    <w:p w14:paraId="3830BA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2.依照法律法规的规定或你方与成交供应商的另行约定，全部或者部分免除成交供应商应缴纳的保证金义务的，我方亦免除相应的保证责任。</w:t>
      </w:r>
    </w:p>
    <w:p w14:paraId="631F5C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3.因不可抗力造成成交供应商不能履行供货义务的，我方不承担保证责任。</w:t>
      </w:r>
    </w:p>
    <w:p w14:paraId="05683D9D">
      <w:pPr>
        <w:keepNext w:val="0"/>
        <w:keepLines w:val="0"/>
        <w:pageBreakBefore w:val="0"/>
        <w:widowControl w:val="0"/>
        <w:kinsoku/>
        <w:wordWrap/>
        <w:overflowPunct/>
        <w:topLinePunct w:val="0"/>
        <w:autoSpaceDE/>
        <w:autoSpaceDN/>
        <w:bidi w:val="0"/>
        <w:adjustRightInd/>
        <w:snapToGrid/>
        <w:spacing w:before="120" w:beforeLines="50" w:after="120" w:afterLines="50" w:line="500" w:lineRule="exact"/>
        <w:ind w:firstLine="340" w:firstLineChars="141"/>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六、争议的解决</w:t>
      </w:r>
    </w:p>
    <w:p w14:paraId="247EFB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因本保函发生的纠纷，由你我双方协商解决，协商不成的，通过诉讼程序解决，诉讼管辖地法院为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法院。</w:t>
      </w:r>
    </w:p>
    <w:p w14:paraId="326527CE">
      <w:pPr>
        <w:keepNext w:val="0"/>
        <w:keepLines w:val="0"/>
        <w:pageBreakBefore w:val="0"/>
        <w:widowControl w:val="0"/>
        <w:kinsoku/>
        <w:wordWrap/>
        <w:overflowPunct/>
        <w:topLinePunct w:val="0"/>
        <w:autoSpaceDE/>
        <w:autoSpaceDN/>
        <w:bidi w:val="0"/>
        <w:adjustRightInd/>
        <w:snapToGrid/>
        <w:spacing w:before="120" w:beforeLines="50" w:after="120" w:afterLines="50" w:line="500" w:lineRule="exact"/>
        <w:ind w:firstLine="241" w:firstLineChars="1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七、保函的生效</w:t>
      </w:r>
    </w:p>
    <w:p w14:paraId="4A87F6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本保函自我方加盖公章之日起生效。                                 </w:t>
      </w:r>
    </w:p>
    <w:p w14:paraId="4844AC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rPr>
      </w:pPr>
    </w:p>
    <w:p w14:paraId="7C810284">
      <w:pPr>
        <w:keepNext w:val="0"/>
        <w:keepLines w:val="0"/>
        <w:pageBreakBefore w:val="0"/>
        <w:widowControl w:val="0"/>
        <w:kinsoku/>
        <w:wordWrap/>
        <w:overflowPunct/>
        <w:topLinePunct w:val="0"/>
        <w:autoSpaceDE/>
        <w:autoSpaceDN/>
        <w:bidi w:val="0"/>
        <w:adjustRightInd/>
        <w:snapToGrid/>
        <w:spacing w:line="500" w:lineRule="exact"/>
        <w:ind w:firstLine="6000" w:firstLineChars="2500"/>
        <w:textAlignment w:val="auto"/>
        <w:rPr>
          <w:rFonts w:hint="eastAsia" w:asciiTheme="minorEastAsia" w:hAnsiTheme="minorEastAsia" w:eastAsiaTheme="minorEastAsia" w:cstheme="minorEastAsia"/>
          <w:color w:val="auto"/>
          <w:sz w:val="24"/>
          <w:szCs w:val="24"/>
          <w:highlight w:val="none"/>
        </w:rPr>
      </w:pPr>
    </w:p>
    <w:p w14:paraId="269EF760">
      <w:pPr>
        <w:keepNext w:val="0"/>
        <w:keepLines w:val="0"/>
        <w:pageBreakBefore w:val="0"/>
        <w:widowControl w:val="0"/>
        <w:kinsoku/>
        <w:wordWrap/>
        <w:overflowPunct/>
        <w:topLinePunct w:val="0"/>
        <w:autoSpaceDE/>
        <w:autoSpaceDN/>
        <w:bidi w:val="0"/>
        <w:adjustRightInd/>
        <w:snapToGrid/>
        <w:spacing w:line="500" w:lineRule="exact"/>
        <w:ind w:firstLine="6000" w:firstLineChars="2500"/>
        <w:textAlignment w:val="auto"/>
        <w:rPr>
          <w:rFonts w:hint="eastAsia" w:asciiTheme="minorEastAsia" w:hAnsiTheme="minorEastAsia" w:eastAsiaTheme="minorEastAsia" w:cstheme="minorEastAsia"/>
          <w:color w:val="auto"/>
          <w:sz w:val="24"/>
          <w:szCs w:val="24"/>
          <w:highlight w:val="none"/>
        </w:rPr>
      </w:pPr>
    </w:p>
    <w:p w14:paraId="6AE6E5D3">
      <w:pPr>
        <w:keepNext w:val="0"/>
        <w:keepLines w:val="0"/>
        <w:pageBreakBefore w:val="0"/>
        <w:widowControl w:val="0"/>
        <w:kinsoku/>
        <w:wordWrap/>
        <w:overflowPunct/>
        <w:topLinePunct w:val="0"/>
        <w:autoSpaceDE/>
        <w:autoSpaceDN/>
        <w:bidi w:val="0"/>
        <w:adjustRightInd/>
        <w:snapToGrid/>
        <w:spacing w:line="500" w:lineRule="exact"/>
        <w:ind w:firstLine="6000" w:firstLineChars="25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保证人：（盖单位章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14:paraId="119AD7AC">
      <w:pPr>
        <w:ind w:firstLine="6000" w:firstLineChars="25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u w:val="single"/>
        </w:rPr>
        <w:t xml:space="preserve">    年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highlight w:val="none"/>
        </w:rPr>
        <w:br w:type="page"/>
      </w:r>
    </w:p>
    <w:p w14:paraId="58CF0F68">
      <w:pPr>
        <w:pStyle w:val="2"/>
        <w:spacing w:line="520" w:lineRule="exact"/>
        <w:jc w:val="center"/>
        <w:outlineLvl w:val="0"/>
        <w:rPr>
          <w:rFonts w:hint="eastAsia" w:asciiTheme="minorEastAsia" w:hAnsiTheme="minorEastAsia" w:eastAsiaTheme="minorEastAsia" w:cstheme="minorEastAsia"/>
          <w:color w:val="auto"/>
          <w:sz w:val="30"/>
          <w:szCs w:val="30"/>
          <w:highlight w:val="none"/>
        </w:rPr>
      </w:pPr>
      <w:bookmarkStart w:id="131" w:name="_Toc30452"/>
      <w:bookmarkStart w:id="132" w:name="_Toc26532"/>
      <w:r>
        <w:rPr>
          <w:rFonts w:hint="eastAsia" w:asciiTheme="minorEastAsia" w:hAnsiTheme="minorEastAsia" w:eastAsiaTheme="minorEastAsia" w:cstheme="minorEastAsia"/>
          <w:color w:val="auto"/>
          <w:sz w:val="30"/>
          <w:szCs w:val="30"/>
          <w:highlight w:val="none"/>
        </w:rPr>
        <w:t>第</w:t>
      </w:r>
      <w:r>
        <w:rPr>
          <w:rFonts w:hint="eastAsia" w:asciiTheme="minorEastAsia" w:hAnsiTheme="minorEastAsia" w:eastAsiaTheme="minorEastAsia" w:cstheme="minorEastAsia"/>
          <w:color w:val="auto"/>
          <w:sz w:val="30"/>
          <w:szCs w:val="30"/>
          <w:highlight w:val="none"/>
          <w:lang w:val="en-US" w:eastAsia="zh-CN"/>
        </w:rPr>
        <w:t>七</w:t>
      </w:r>
      <w:r>
        <w:rPr>
          <w:rFonts w:hint="eastAsia" w:asciiTheme="minorEastAsia" w:hAnsiTheme="minorEastAsia" w:eastAsiaTheme="minorEastAsia" w:cstheme="minorEastAsia"/>
          <w:color w:val="auto"/>
          <w:sz w:val="30"/>
          <w:szCs w:val="30"/>
          <w:highlight w:val="none"/>
          <w:lang w:eastAsia="zh-CN"/>
        </w:rPr>
        <w:t>章</w:t>
      </w:r>
      <w:r>
        <w:rPr>
          <w:rFonts w:hint="eastAsia" w:asciiTheme="minorEastAsia" w:hAnsiTheme="minorEastAsia" w:eastAsiaTheme="minorEastAsia" w:cstheme="minorEastAsia"/>
          <w:color w:val="auto"/>
          <w:sz w:val="30"/>
          <w:szCs w:val="30"/>
          <w:highlight w:val="none"/>
          <w:lang w:val="en-US" w:eastAsia="zh-CN"/>
        </w:rPr>
        <w:t xml:space="preserve"> </w:t>
      </w:r>
      <w:r>
        <w:rPr>
          <w:rFonts w:hint="eastAsia" w:asciiTheme="minorEastAsia" w:hAnsiTheme="minorEastAsia" w:eastAsiaTheme="minorEastAsia" w:cstheme="minorEastAsia"/>
          <w:color w:val="auto"/>
          <w:sz w:val="30"/>
          <w:szCs w:val="30"/>
          <w:highlight w:val="none"/>
        </w:rPr>
        <w:t xml:space="preserve">  竞争性</w:t>
      </w:r>
      <w:r>
        <w:rPr>
          <w:rFonts w:hint="eastAsia" w:asciiTheme="minorEastAsia" w:hAnsiTheme="minorEastAsia" w:eastAsiaTheme="minorEastAsia" w:cstheme="minorEastAsia"/>
          <w:color w:val="auto"/>
          <w:sz w:val="30"/>
          <w:szCs w:val="30"/>
          <w:highlight w:val="none"/>
          <w:lang w:eastAsia="zh-CN"/>
        </w:rPr>
        <w:t>磋商</w:t>
      </w:r>
      <w:r>
        <w:rPr>
          <w:rFonts w:hint="eastAsia" w:asciiTheme="minorEastAsia" w:hAnsiTheme="minorEastAsia" w:eastAsiaTheme="minorEastAsia" w:cstheme="minorEastAsia"/>
          <w:color w:val="auto"/>
          <w:sz w:val="30"/>
          <w:szCs w:val="30"/>
          <w:highlight w:val="none"/>
        </w:rPr>
        <w:t>响应文件格式</w:t>
      </w:r>
      <w:bookmarkEnd w:id="54"/>
      <w:bookmarkEnd w:id="55"/>
      <w:bookmarkEnd w:id="56"/>
      <w:bookmarkEnd w:id="57"/>
      <w:bookmarkEnd w:id="131"/>
      <w:bookmarkEnd w:id="132"/>
    </w:p>
    <w:p w14:paraId="71A389D4">
      <w:pPr>
        <w:spacing w:line="480" w:lineRule="exact"/>
        <w:ind w:left="0" w:leftChars="0" w:firstLine="0" w:firstLineChars="0"/>
        <w:jc w:val="both"/>
        <w:rPr>
          <w:rFonts w:hint="eastAsia" w:asciiTheme="minorEastAsia" w:hAnsiTheme="minorEastAsia" w:eastAsiaTheme="minorEastAsia" w:cstheme="minorEastAsia"/>
          <w:color w:val="auto"/>
          <w:sz w:val="32"/>
          <w:szCs w:val="32"/>
          <w:highlight w:val="none"/>
        </w:rPr>
      </w:pPr>
    </w:p>
    <w:p w14:paraId="2E4FFCF9">
      <w:pPr>
        <w:spacing w:line="480" w:lineRule="exact"/>
        <w:ind w:left="0" w:leftChars="0" w:firstLine="0" w:firstLineChars="0"/>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竞争性</w:t>
      </w:r>
      <w:r>
        <w:rPr>
          <w:rFonts w:hint="eastAsia" w:asciiTheme="minorEastAsia" w:hAnsiTheme="minorEastAsia" w:eastAsiaTheme="minorEastAsia" w:cstheme="minorEastAsia"/>
          <w:b/>
          <w:bCs/>
          <w:color w:val="auto"/>
          <w:sz w:val="30"/>
          <w:szCs w:val="30"/>
          <w:highlight w:val="none"/>
          <w:lang w:eastAsia="zh-CN"/>
        </w:rPr>
        <w:t>磋商</w:t>
      </w:r>
      <w:r>
        <w:rPr>
          <w:rFonts w:hint="eastAsia" w:asciiTheme="minorEastAsia" w:hAnsiTheme="minorEastAsia" w:eastAsiaTheme="minorEastAsia" w:cstheme="minorEastAsia"/>
          <w:b/>
          <w:bCs/>
          <w:color w:val="auto"/>
          <w:sz w:val="30"/>
          <w:szCs w:val="30"/>
          <w:highlight w:val="none"/>
        </w:rPr>
        <w:t>响应文件编制说明</w:t>
      </w:r>
    </w:p>
    <w:p w14:paraId="70EF70AD">
      <w:pPr>
        <w:pStyle w:val="47"/>
        <w:rPr>
          <w:rFonts w:hint="eastAsia" w:asciiTheme="minorEastAsia" w:hAnsiTheme="minorEastAsia" w:eastAsiaTheme="minorEastAsia" w:cstheme="minorEastAsia"/>
          <w:color w:val="auto"/>
          <w:highlight w:val="none"/>
        </w:rPr>
      </w:pPr>
    </w:p>
    <w:p w14:paraId="6E8B2656">
      <w:pPr>
        <w:widowControl/>
        <w:spacing w:line="480" w:lineRule="auto"/>
        <w:ind w:firstLine="56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4"/>
          <w:szCs w:val="24"/>
          <w:highlight w:val="none"/>
        </w:rPr>
        <w:t>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响应文件应当使用竞争性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文件规定的全部格式（表格可以按同样格式扩展）编写，除明确允许供应商可以自行编写的外，供应商不得以“竞争性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响应文件格式”规定之外的方式填写相关内容。</w:t>
      </w:r>
    </w:p>
    <w:p w14:paraId="01529C8F">
      <w:pPr>
        <w:widowControl/>
        <w:spacing w:line="48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响应文件的编制应按照样本格式提供的内容，做出逐一明确的答复；供应商认为有必要，还可以做其它补充说明。</w:t>
      </w:r>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必须按照竞争性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的规定和要求由法定代表人或被授权人签字（或盖章）。</w:t>
      </w:r>
    </w:p>
    <w:p w14:paraId="595D1561">
      <w:pPr>
        <w:spacing w:line="520" w:lineRule="exact"/>
        <w:ind w:firstLine="560"/>
        <w:rPr>
          <w:rFonts w:hint="eastAsia" w:asciiTheme="minorEastAsia" w:hAnsiTheme="minorEastAsia" w:eastAsiaTheme="minorEastAsia" w:cstheme="minorEastAsia"/>
          <w:color w:val="auto"/>
          <w:sz w:val="28"/>
          <w:szCs w:val="28"/>
          <w:highlight w:val="none"/>
        </w:rPr>
      </w:pPr>
    </w:p>
    <w:p w14:paraId="71D0ABF6">
      <w:pPr>
        <w:spacing w:line="520" w:lineRule="exact"/>
        <w:ind w:firstLine="560"/>
        <w:rPr>
          <w:rFonts w:hint="eastAsia" w:asciiTheme="minorEastAsia" w:hAnsiTheme="minorEastAsia" w:eastAsiaTheme="minorEastAsia" w:cstheme="minorEastAsia"/>
          <w:color w:val="auto"/>
          <w:sz w:val="28"/>
          <w:szCs w:val="28"/>
          <w:highlight w:val="none"/>
        </w:rPr>
      </w:pPr>
    </w:p>
    <w:p w14:paraId="0FE985B7">
      <w:pPr>
        <w:spacing w:line="520" w:lineRule="exact"/>
        <w:ind w:firstLine="560"/>
        <w:rPr>
          <w:rFonts w:hint="eastAsia" w:asciiTheme="minorEastAsia" w:hAnsiTheme="minorEastAsia" w:eastAsiaTheme="minorEastAsia" w:cstheme="minorEastAsia"/>
          <w:color w:val="auto"/>
          <w:sz w:val="28"/>
          <w:szCs w:val="28"/>
          <w:highlight w:val="none"/>
        </w:rPr>
      </w:pPr>
    </w:p>
    <w:p w14:paraId="0FE7A6A7">
      <w:pPr>
        <w:spacing w:line="520" w:lineRule="exact"/>
        <w:ind w:firstLine="560"/>
        <w:rPr>
          <w:rFonts w:hint="eastAsia" w:asciiTheme="minorEastAsia" w:hAnsiTheme="minorEastAsia" w:eastAsiaTheme="minorEastAsia" w:cstheme="minorEastAsia"/>
          <w:color w:val="auto"/>
          <w:sz w:val="28"/>
          <w:szCs w:val="28"/>
          <w:highlight w:val="none"/>
        </w:rPr>
      </w:pPr>
    </w:p>
    <w:p w14:paraId="5B37DE1B">
      <w:pPr>
        <w:spacing w:line="520" w:lineRule="exact"/>
        <w:ind w:firstLine="560"/>
        <w:rPr>
          <w:rFonts w:hint="eastAsia" w:asciiTheme="minorEastAsia" w:hAnsiTheme="minorEastAsia" w:eastAsiaTheme="minorEastAsia" w:cstheme="minorEastAsia"/>
          <w:color w:val="auto"/>
          <w:sz w:val="28"/>
          <w:szCs w:val="28"/>
          <w:highlight w:val="none"/>
        </w:rPr>
      </w:pPr>
    </w:p>
    <w:p w14:paraId="61BF2D16">
      <w:pPr>
        <w:pStyle w:val="13"/>
        <w:rPr>
          <w:rFonts w:hint="eastAsia" w:asciiTheme="minorEastAsia" w:hAnsiTheme="minorEastAsia" w:eastAsiaTheme="minorEastAsia" w:cstheme="minorEastAsia"/>
          <w:color w:val="auto"/>
          <w:sz w:val="28"/>
          <w:szCs w:val="28"/>
          <w:highlight w:val="none"/>
        </w:rPr>
      </w:pPr>
    </w:p>
    <w:p w14:paraId="04191FC1">
      <w:pPr>
        <w:rPr>
          <w:rFonts w:hint="eastAsia" w:asciiTheme="minorEastAsia" w:hAnsiTheme="minorEastAsia" w:eastAsiaTheme="minorEastAsia" w:cstheme="minorEastAsia"/>
          <w:color w:val="auto"/>
          <w:highlight w:val="none"/>
        </w:rPr>
      </w:pPr>
    </w:p>
    <w:p w14:paraId="7B7D0178">
      <w:pPr>
        <w:pStyle w:val="47"/>
        <w:rPr>
          <w:rFonts w:hint="eastAsia" w:asciiTheme="minorEastAsia" w:hAnsiTheme="minorEastAsia" w:eastAsiaTheme="minorEastAsia" w:cstheme="minorEastAsia"/>
          <w:color w:val="auto"/>
          <w:highlight w:val="none"/>
        </w:rPr>
      </w:pPr>
    </w:p>
    <w:p w14:paraId="13C374C8">
      <w:pPr>
        <w:spacing w:line="520" w:lineRule="exact"/>
        <w:ind w:firstLine="560"/>
        <w:rPr>
          <w:rFonts w:hint="eastAsia" w:asciiTheme="minorEastAsia" w:hAnsiTheme="minorEastAsia" w:eastAsiaTheme="minorEastAsia" w:cstheme="minorEastAsia"/>
          <w:color w:val="auto"/>
          <w:sz w:val="28"/>
          <w:szCs w:val="28"/>
          <w:highlight w:val="none"/>
        </w:rPr>
      </w:pPr>
    </w:p>
    <w:p w14:paraId="562C04A0">
      <w:pPr>
        <w:spacing w:line="520" w:lineRule="exact"/>
        <w:ind w:firstLine="560"/>
        <w:rPr>
          <w:rFonts w:hint="eastAsia" w:asciiTheme="minorEastAsia" w:hAnsiTheme="minorEastAsia" w:eastAsiaTheme="minorEastAsia" w:cstheme="minorEastAsia"/>
          <w:color w:val="auto"/>
          <w:sz w:val="28"/>
          <w:szCs w:val="28"/>
          <w:highlight w:val="none"/>
        </w:rPr>
      </w:pPr>
    </w:p>
    <w:p w14:paraId="209B8400">
      <w:pPr>
        <w:spacing w:line="520" w:lineRule="exact"/>
        <w:ind w:firstLine="560"/>
        <w:rPr>
          <w:rFonts w:hint="eastAsia" w:asciiTheme="minorEastAsia" w:hAnsiTheme="minorEastAsia" w:eastAsiaTheme="minorEastAsia" w:cstheme="minorEastAsia"/>
          <w:color w:val="auto"/>
          <w:sz w:val="28"/>
          <w:szCs w:val="28"/>
          <w:highlight w:val="none"/>
        </w:rPr>
      </w:pPr>
    </w:p>
    <w:p w14:paraId="3FD95540">
      <w:pPr>
        <w:spacing w:line="520" w:lineRule="exact"/>
        <w:ind w:left="0" w:leftChars="0" w:firstLine="0" w:firstLineChars="0"/>
        <w:rPr>
          <w:rFonts w:hint="eastAsia" w:asciiTheme="minorEastAsia" w:hAnsiTheme="minorEastAsia" w:eastAsiaTheme="minorEastAsia" w:cstheme="minorEastAsia"/>
          <w:color w:val="auto"/>
          <w:sz w:val="28"/>
          <w:szCs w:val="28"/>
          <w:highlight w:val="none"/>
        </w:rPr>
      </w:pPr>
    </w:p>
    <w:p w14:paraId="1A32474A">
      <w:pPr>
        <w:spacing w:line="520" w:lineRule="exact"/>
        <w:ind w:left="0" w:leftChars="0" w:firstLine="0" w:firstLineChars="0"/>
        <w:jc w:val="both"/>
        <w:rPr>
          <w:rFonts w:hint="eastAsia" w:asciiTheme="minorEastAsia" w:hAnsiTheme="minorEastAsia" w:eastAsiaTheme="minorEastAsia" w:cstheme="minorEastAsia"/>
          <w:color w:val="auto"/>
          <w:sz w:val="28"/>
          <w:szCs w:val="28"/>
          <w:highlight w:val="none"/>
        </w:rPr>
      </w:pPr>
    </w:p>
    <w:p w14:paraId="27B69DDF">
      <w:pPr>
        <w:spacing w:line="520" w:lineRule="exact"/>
        <w:ind w:right="360" w:firstLine="723"/>
        <w:jc w:val="right"/>
        <w:rPr>
          <w:rFonts w:hint="eastAsia" w:asciiTheme="minorEastAsia" w:hAnsiTheme="minorEastAsia" w:eastAsiaTheme="minorEastAsia" w:cstheme="minorEastAsia"/>
          <w:b/>
          <w:color w:val="auto"/>
          <w:sz w:val="36"/>
          <w:szCs w:val="36"/>
          <w:highlight w:val="none"/>
          <w:bdr w:val="single" w:color="auto" w:sz="4" w:space="0"/>
          <w:shd w:val="pct10" w:color="auto" w:fill="FFFFFF"/>
        </w:rPr>
      </w:pPr>
    </w:p>
    <w:p w14:paraId="78CC0E57">
      <w:pPr>
        <w:pStyle w:val="13"/>
        <w:rPr>
          <w:rFonts w:hint="eastAsia" w:asciiTheme="minorEastAsia" w:hAnsiTheme="minorEastAsia" w:eastAsiaTheme="minorEastAsia" w:cstheme="minorEastAsia"/>
          <w:highlight w:val="none"/>
        </w:rPr>
      </w:pPr>
    </w:p>
    <w:p w14:paraId="01E4F046">
      <w:pPr>
        <w:spacing w:line="520" w:lineRule="exact"/>
        <w:ind w:left="0" w:leftChars="0" w:right="360" w:firstLine="0" w:firstLineChars="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政府采购项目</w:t>
      </w:r>
    </w:p>
    <w:p w14:paraId="550DE322">
      <w:pPr>
        <w:pStyle w:val="15"/>
        <w:spacing w:line="480" w:lineRule="auto"/>
        <w:ind w:left="0" w:leftChars="0" w:firstLine="0" w:firstLineChars="0"/>
        <w:jc w:val="both"/>
        <w:rPr>
          <w:rFonts w:hint="eastAsia" w:asciiTheme="minorEastAsia" w:hAnsiTheme="minorEastAsia" w:eastAsiaTheme="minorEastAsia" w:cstheme="minorEastAsia"/>
          <w:b/>
          <w:color w:val="auto"/>
          <w:kern w:val="2"/>
          <w:sz w:val="52"/>
          <w:szCs w:val="52"/>
          <w:highlight w:val="none"/>
          <w:lang w:val="en-US" w:eastAsia="zh-CN" w:bidi="ar-SA"/>
        </w:rPr>
      </w:pPr>
      <w:r>
        <w:rPr>
          <w:rFonts w:hint="eastAsia" w:asciiTheme="minorEastAsia" w:hAnsiTheme="minorEastAsia" w:eastAsiaTheme="minorEastAsia" w:cstheme="minorEastAsia"/>
          <w:b/>
          <w:color w:val="auto"/>
          <w:sz w:val="28"/>
          <w:szCs w:val="28"/>
          <w:highlight w:val="none"/>
        </w:rPr>
        <w:t>项目编号:</w:t>
      </w:r>
      <w:r>
        <w:rPr>
          <w:rFonts w:hint="eastAsia" w:asciiTheme="minorEastAsia" w:hAnsiTheme="minorEastAsia" w:eastAsiaTheme="minorEastAsia" w:cstheme="minorEastAsia"/>
          <w:b/>
          <w:color w:val="auto"/>
          <w:sz w:val="28"/>
          <w:szCs w:val="28"/>
          <w:highlight w:val="none"/>
          <w:lang w:val="en-US" w:eastAsia="zh-CN"/>
        </w:rPr>
        <w:t>ZZDBJ招2025-008.1B2</w:t>
      </w:r>
    </w:p>
    <w:p w14:paraId="6D58F2FE">
      <w:pPr>
        <w:pStyle w:val="15"/>
        <w:spacing w:line="480" w:lineRule="auto"/>
        <w:ind w:left="0" w:leftChars="0" w:firstLine="0" w:firstLineChars="0"/>
        <w:jc w:val="center"/>
        <w:rPr>
          <w:rFonts w:hint="eastAsia" w:asciiTheme="minorEastAsia" w:hAnsiTheme="minorEastAsia" w:eastAsiaTheme="minorEastAsia" w:cstheme="minorEastAsia"/>
          <w:b/>
          <w:color w:val="auto"/>
          <w:kern w:val="2"/>
          <w:sz w:val="24"/>
          <w:szCs w:val="24"/>
          <w:highlight w:val="none"/>
          <w:lang w:val="en-US" w:eastAsia="zh-CN" w:bidi="ar-SA"/>
        </w:rPr>
      </w:pPr>
    </w:p>
    <w:p w14:paraId="28F3B377">
      <w:pPr>
        <w:pStyle w:val="16"/>
        <w:jc w:val="center"/>
        <w:rPr>
          <w:rFonts w:hint="eastAsia" w:asciiTheme="minorEastAsia" w:hAnsiTheme="minorEastAsia" w:eastAsiaTheme="minorEastAsia" w:cstheme="minorEastAsia"/>
          <w:highlight w:val="none"/>
          <w:lang w:val="en-US" w:eastAsia="zh-CN"/>
        </w:rPr>
      </w:pPr>
    </w:p>
    <w:p w14:paraId="415DFD21">
      <w:pPr>
        <w:pStyle w:val="15"/>
        <w:rPr>
          <w:rFonts w:hint="eastAsia" w:asciiTheme="minorEastAsia" w:hAnsiTheme="minorEastAsia" w:eastAsiaTheme="minorEastAsia" w:cstheme="minorEastAsia"/>
          <w:highlight w:val="none"/>
          <w:lang w:val="en-US" w:eastAsia="zh-CN"/>
        </w:rPr>
      </w:pPr>
    </w:p>
    <w:p w14:paraId="62A64C88">
      <w:pPr>
        <w:pStyle w:val="24"/>
        <w:ind w:left="0" w:leftChars="0" w:firstLine="0" w:firstLineChars="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kern w:val="2"/>
          <w:sz w:val="52"/>
          <w:szCs w:val="52"/>
          <w:highlight w:val="none"/>
          <w:lang w:val="en-US" w:eastAsia="zh-CN" w:bidi="ar-SA"/>
        </w:rPr>
        <w:t>编制《绩效考核分配方案》(三次)</w:t>
      </w:r>
    </w:p>
    <w:p w14:paraId="5D628F5A">
      <w:pPr>
        <w:pStyle w:val="24"/>
        <w:rPr>
          <w:rFonts w:hint="eastAsia" w:asciiTheme="minorEastAsia" w:hAnsiTheme="minorEastAsia" w:eastAsiaTheme="minorEastAsia" w:cstheme="minorEastAsia"/>
          <w:b/>
          <w:color w:val="auto"/>
          <w:sz w:val="28"/>
          <w:szCs w:val="28"/>
          <w:highlight w:val="none"/>
        </w:rPr>
      </w:pPr>
    </w:p>
    <w:p w14:paraId="686B9302">
      <w:pPr>
        <w:pStyle w:val="24"/>
        <w:rPr>
          <w:rFonts w:hint="eastAsia" w:asciiTheme="minorEastAsia" w:hAnsiTheme="minorEastAsia" w:eastAsiaTheme="minorEastAsia" w:cstheme="minorEastAsia"/>
          <w:b/>
          <w:color w:val="auto"/>
          <w:sz w:val="28"/>
          <w:szCs w:val="28"/>
          <w:highlight w:val="none"/>
        </w:rPr>
      </w:pPr>
    </w:p>
    <w:p w14:paraId="457AAE5C">
      <w:pPr>
        <w:pStyle w:val="24"/>
        <w:rPr>
          <w:rFonts w:hint="eastAsia" w:asciiTheme="minorEastAsia" w:hAnsiTheme="minorEastAsia" w:eastAsiaTheme="minorEastAsia" w:cstheme="minorEastAsia"/>
          <w:b/>
          <w:color w:val="auto"/>
          <w:sz w:val="28"/>
          <w:szCs w:val="28"/>
          <w:highlight w:val="none"/>
        </w:rPr>
      </w:pPr>
    </w:p>
    <w:p w14:paraId="79C74597">
      <w:pPr>
        <w:pStyle w:val="24"/>
        <w:rPr>
          <w:rFonts w:hint="eastAsia" w:asciiTheme="minorEastAsia" w:hAnsiTheme="minorEastAsia" w:eastAsiaTheme="minorEastAsia" w:cstheme="minorEastAsia"/>
          <w:b/>
          <w:color w:val="auto"/>
          <w:sz w:val="28"/>
          <w:szCs w:val="28"/>
          <w:highlight w:val="none"/>
        </w:rPr>
      </w:pPr>
    </w:p>
    <w:p w14:paraId="1E4EA8B2">
      <w:pPr>
        <w:pStyle w:val="24"/>
        <w:rPr>
          <w:rFonts w:hint="eastAsia" w:asciiTheme="minorEastAsia" w:hAnsiTheme="minorEastAsia" w:eastAsiaTheme="minorEastAsia" w:cstheme="minorEastAsia"/>
          <w:b/>
          <w:color w:val="auto"/>
          <w:sz w:val="28"/>
          <w:szCs w:val="28"/>
          <w:highlight w:val="none"/>
        </w:rPr>
      </w:pPr>
    </w:p>
    <w:p w14:paraId="7C2F9C33">
      <w:pPr>
        <w:pStyle w:val="24"/>
        <w:spacing w:line="240" w:lineRule="auto"/>
        <w:ind w:left="0" w:leftChars="0" w:firstLine="0" w:firstLineChars="0"/>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t>竞争性磋商响应文件</w:t>
      </w:r>
    </w:p>
    <w:p w14:paraId="28F47967">
      <w:pPr>
        <w:pStyle w:val="24"/>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 xml:space="preserve"> </w:t>
      </w:r>
    </w:p>
    <w:p w14:paraId="47E1C578">
      <w:pPr>
        <w:pStyle w:val="24"/>
        <w:rPr>
          <w:rFonts w:hint="eastAsia" w:asciiTheme="minorEastAsia" w:hAnsiTheme="minorEastAsia" w:eastAsiaTheme="minorEastAsia" w:cstheme="minorEastAsia"/>
          <w:b/>
          <w:color w:val="auto"/>
          <w:sz w:val="28"/>
          <w:szCs w:val="28"/>
          <w:highlight w:val="none"/>
        </w:rPr>
      </w:pPr>
    </w:p>
    <w:p w14:paraId="0CC74D65">
      <w:pPr>
        <w:pStyle w:val="24"/>
        <w:rPr>
          <w:rFonts w:hint="eastAsia" w:asciiTheme="minorEastAsia" w:hAnsiTheme="minorEastAsia" w:eastAsiaTheme="minorEastAsia" w:cstheme="minorEastAsia"/>
          <w:b/>
          <w:color w:val="auto"/>
          <w:sz w:val="28"/>
          <w:szCs w:val="28"/>
          <w:highlight w:val="none"/>
        </w:rPr>
      </w:pPr>
    </w:p>
    <w:p w14:paraId="0CB228B8">
      <w:pPr>
        <w:pStyle w:val="24"/>
        <w:rPr>
          <w:rFonts w:hint="eastAsia" w:asciiTheme="minorEastAsia" w:hAnsiTheme="minorEastAsia" w:eastAsiaTheme="minorEastAsia" w:cstheme="minorEastAsia"/>
          <w:b/>
          <w:color w:val="auto"/>
          <w:sz w:val="28"/>
          <w:szCs w:val="28"/>
          <w:highlight w:val="none"/>
        </w:rPr>
      </w:pPr>
    </w:p>
    <w:p w14:paraId="6AC398C1">
      <w:pPr>
        <w:pStyle w:val="24"/>
        <w:rPr>
          <w:rFonts w:hint="eastAsia" w:asciiTheme="minorEastAsia" w:hAnsiTheme="minorEastAsia" w:eastAsiaTheme="minorEastAsia" w:cstheme="minorEastAsia"/>
          <w:b/>
          <w:color w:val="auto"/>
          <w:sz w:val="28"/>
          <w:szCs w:val="28"/>
          <w:highlight w:val="none"/>
        </w:rPr>
      </w:pPr>
    </w:p>
    <w:p w14:paraId="74F38CFC">
      <w:pPr>
        <w:spacing w:line="520" w:lineRule="exact"/>
        <w:ind w:firstLine="562"/>
        <w:rPr>
          <w:rFonts w:hint="eastAsia" w:asciiTheme="minorEastAsia" w:hAnsiTheme="minorEastAsia" w:eastAsiaTheme="minorEastAsia" w:cstheme="minorEastAsia"/>
          <w:b/>
          <w:color w:val="auto"/>
          <w:sz w:val="28"/>
          <w:szCs w:val="28"/>
          <w:highlight w:val="none"/>
        </w:rPr>
      </w:pPr>
    </w:p>
    <w:p w14:paraId="50358C52">
      <w:pPr>
        <w:spacing w:line="520" w:lineRule="exact"/>
        <w:ind w:left="0" w:leftChars="0" w:firstLine="1124" w:firstLineChars="400"/>
        <w:jc w:val="both"/>
        <w:rPr>
          <w:rFonts w:hint="eastAsia" w:asciiTheme="minorEastAsia" w:hAnsiTheme="minorEastAsia" w:eastAsiaTheme="minorEastAsia" w:cstheme="minorEastAsia"/>
          <w:b/>
          <w:bCs/>
          <w:color w:val="auto"/>
          <w:spacing w:val="20"/>
          <w:kern w:val="0"/>
          <w:sz w:val="28"/>
          <w:szCs w:val="28"/>
          <w:highlight w:val="none"/>
          <w:u w:val="none"/>
          <w:lang w:val="en-US" w:eastAsia="zh-CN"/>
        </w:rPr>
      </w:pPr>
      <w:r>
        <w:rPr>
          <w:rFonts w:hint="eastAsia" w:asciiTheme="minorEastAsia" w:hAnsiTheme="minorEastAsia" w:eastAsiaTheme="minorEastAsia" w:cstheme="minorEastAsia"/>
          <w:b/>
          <w:color w:val="auto"/>
          <w:sz w:val="28"/>
          <w:szCs w:val="28"/>
          <w:highlight w:val="none"/>
        </w:rPr>
        <w:t>供  应  商：</w:t>
      </w:r>
      <w:r>
        <w:rPr>
          <w:rFonts w:hint="eastAsia" w:asciiTheme="minorEastAsia" w:hAnsiTheme="minorEastAsia" w:eastAsiaTheme="minorEastAsia" w:cstheme="minorEastAsia"/>
          <w:b/>
          <w:bCs/>
          <w:color w:val="auto"/>
          <w:spacing w:val="20"/>
          <w:kern w:val="0"/>
          <w:sz w:val="28"/>
          <w:szCs w:val="28"/>
          <w:highlight w:val="none"/>
          <w:u w:val="single"/>
          <w:lang w:val="en-US" w:eastAsia="zh-CN"/>
        </w:rPr>
        <w:t xml:space="preserve">                   </w:t>
      </w:r>
      <w:r>
        <w:rPr>
          <w:rFonts w:hint="eastAsia" w:asciiTheme="minorEastAsia" w:hAnsiTheme="minorEastAsia" w:eastAsiaTheme="minorEastAsia" w:cstheme="minorEastAsia"/>
          <w:b/>
          <w:bCs/>
          <w:color w:val="auto"/>
          <w:spacing w:val="20"/>
          <w:kern w:val="0"/>
          <w:sz w:val="28"/>
          <w:szCs w:val="28"/>
          <w:highlight w:val="none"/>
          <w:u w:val="none"/>
          <w:lang w:val="en-US" w:eastAsia="zh-CN"/>
        </w:rPr>
        <w:t>（盖单位公章）</w:t>
      </w:r>
    </w:p>
    <w:p w14:paraId="6631E4B0">
      <w:pPr>
        <w:pStyle w:val="13"/>
        <w:jc w:val="center"/>
        <w:rPr>
          <w:rFonts w:hint="eastAsia" w:asciiTheme="minorEastAsia" w:hAnsiTheme="minorEastAsia" w:eastAsiaTheme="minorEastAsia" w:cstheme="minorEastAsia"/>
          <w:color w:val="auto"/>
          <w:sz w:val="28"/>
          <w:szCs w:val="28"/>
          <w:highlight w:val="none"/>
        </w:rPr>
      </w:pPr>
    </w:p>
    <w:p w14:paraId="7726CABB">
      <w:pPr>
        <w:spacing w:beforeLines="50" w:line="360" w:lineRule="auto"/>
        <w:ind w:left="0" w:leftChars="0" w:right="-78" w:rightChars="-37" w:firstLine="1124" w:firstLineChars="400"/>
        <w:jc w:val="both"/>
        <w:rPr>
          <w:rFonts w:hint="eastAsia" w:asciiTheme="minorEastAsia" w:hAnsiTheme="minorEastAsia" w:eastAsiaTheme="minorEastAsia" w:cstheme="minorEastAsia"/>
          <w:b/>
          <w:bCs/>
          <w:color w:val="auto"/>
          <w:spacing w:val="20"/>
          <w:kern w:val="0"/>
          <w:sz w:val="28"/>
          <w:szCs w:val="28"/>
          <w:highlight w:val="none"/>
          <w:u w:val="none"/>
          <w:lang w:val="en-US" w:eastAsia="zh-CN"/>
        </w:rPr>
      </w:pPr>
      <w:r>
        <w:rPr>
          <w:rFonts w:hint="eastAsia" w:asciiTheme="minorEastAsia" w:hAnsiTheme="minorEastAsia" w:eastAsiaTheme="minorEastAsia" w:cstheme="minorEastAsia"/>
          <w:b/>
          <w:color w:val="auto"/>
          <w:sz w:val="28"/>
          <w:szCs w:val="28"/>
          <w:highlight w:val="none"/>
          <w:lang w:eastAsia="zh-CN"/>
        </w:rPr>
        <w:t>法人或委托代理人</w:t>
      </w:r>
      <w:r>
        <w:rPr>
          <w:rFonts w:hint="eastAsia" w:asciiTheme="minorEastAsia" w:hAnsiTheme="minorEastAsia" w:eastAsiaTheme="minorEastAsia" w:cstheme="minorEastAsia"/>
          <w:b/>
          <w:bCs/>
          <w:color w:val="auto"/>
          <w:spacing w:val="20"/>
          <w:kern w:val="0"/>
          <w:sz w:val="28"/>
          <w:szCs w:val="28"/>
          <w:highlight w:val="none"/>
          <w:lang w:eastAsia="zh-CN"/>
        </w:rPr>
        <w:t>：</w:t>
      </w:r>
      <w:r>
        <w:rPr>
          <w:rFonts w:hint="eastAsia" w:asciiTheme="minorEastAsia" w:hAnsiTheme="minorEastAsia" w:eastAsiaTheme="minorEastAsia" w:cstheme="minorEastAsia"/>
          <w:b/>
          <w:bCs/>
          <w:color w:val="auto"/>
          <w:spacing w:val="20"/>
          <w:kern w:val="0"/>
          <w:sz w:val="28"/>
          <w:szCs w:val="28"/>
          <w:highlight w:val="none"/>
          <w:u w:val="single"/>
          <w:lang w:val="en-US" w:eastAsia="zh-CN"/>
        </w:rPr>
        <w:t xml:space="preserve">               </w:t>
      </w:r>
      <w:r>
        <w:rPr>
          <w:rFonts w:hint="eastAsia" w:asciiTheme="minorEastAsia" w:hAnsiTheme="minorEastAsia" w:eastAsiaTheme="minorEastAsia" w:cstheme="minorEastAsia"/>
          <w:b/>
          <w:bCs/>
          <w:color w:val="auto"/>
          <w:spacing w:val="20"/>
          <w:kern w:val="0"/>
          <w:sz w:val="28"/>
          <w:szCs w:val="28"/>
          <w:highlight w:val="none"/>
          <w:u w:val="none"/>
          <w:lang w:val="en-US" w:eastAsia="zh-CN"/>
        </w:rPr>
        <w:t>（签字或盖章）</w:t>
      </w:r>
    </w:p>
    <w:p w14:paraId="286F15A8">
      <w:pPr>
        <w:pStyle w:val="13"/>
        <w:jc w:val="center"/>
        <w:rPr>
          <w:rFonts w:hint="eastAsia" w:asciiTheme="minorEastAsia" w:hAnsiTheme="minorEastAsia" w:eastAsiaTheme="minorEastAsia" w:cstheme="minorEastAsia"/>
          <w:color w:val="auto"/>
          <w:sz w:val="28"/>
          <w:szCs w:val="28"/>
          <w:highlight w:val="none"/>
          <w:lang w:val="en-US" w:eastAsia="zh-CN"/>
        </w:rPr>
      </w:pPr>
    </w:p>
    <w:p w14:paraId="5B048E57">
      <w:pPr>
        <w:spacing w:beforeLines="50" w:line="360" w:lineRule="auto"/>
        <w:ind w:left="0" w:leftChars="0" w:right="-78" w:rightChars="-37" w:firstLine="1687" w:firstLineChars="600"/>
        <w:jc w:val="both"/>
        <w:rPr>
          <w:rFonts w:hint="eastAsia" w:asciiTheme="minorEastAsia" w:hAnsiTheme="minorEastAsia" w:eastAsiaTheme="minorEastAsia" w:cstheme="minorEastAsia"/>
          <w:b/>
          <w:bCs/>
          <w:color w:val="auto"/>
          <w:spacing w:val="20"/>
          <w:kern w:val="0"/>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 xml:space="preserve">日  期 </w:t>
      </w: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b/>
          <w:bCs/>
          <w:color w:val="auto"/>
          <w:spacing w:val="20"/>
          <w:kern w:val="0"/>
          <w:sz w:val="28"/>
          <w:szCs w:val="28"/>
          <w:highlight w:val="none"/>
          <w:u w:val="single"/>
          <w:lang w:eastAsia="zh-CN"/>
        </w:rPr>
        <w:t>年</w:t>
      </w:r>
      <w:r>
        <w:rPr>
          <w:rFonts w:hint="eastAsia" w:asciiTheme="minorEastAsia" w:hAnsiTheme="minorEastAsia" w:eastAsiaTheme="minorEastAsia" w:cstheme="minorEastAsia"/>
          <w:b/>
          <w:bCs/>
          <w:color w:val="auto"/>
          <w:spacing w:val="20"/>
          <w:kern w:val="0"/>
          <w:sz w:val="28"/>
          <w:szCs w:val="28"/>
          <w:highlight w:val="none"/>
          <w:u w:val="single"/>
          <w:lang w:val="en-US" w:eastAsia="zh-CN"/>
        </w:rPr>
        <w:t xml:space="preserve">   月   日</w:t>
      </w:r>
    </w:p>
    <w:p w14:paraId="7FFBAC02">
      <w:pPr>
        <w:rPr>
          <w:rFonts w:hint="eastAsia" w:asciiTheme="minorEastAsia" w:hAnsiTheme="minorEastAsia" w:eastAsiaTheme="minorEastAsia" w:cstheme="minorEastAsia"/>
          <w:b/>
          <w:bCs/>
          <w:color w:val="auto"/>
          <w:spacing w:val="20"/>
          <w:kern w:val="0"/>
          <w:sz w:val="30"/>
          <w:szCs w:val="30"/>
          <w:highlight w:val="none"/>
          <w:lang w:val="en-US" w:eastAsia="zh-CN"/>
        </w:rPr>
      </w:pPr>
      <w:r>
        <w:rPr>
          <w:rFonts w:hint="eastAsia" w:asciiTheme="minorEastAsia" w:hAnsiTheme="minorEastAsia" w:eastAsiaTheme="minorEastAsia" w:cstheme="minorEastAsia"/>
          <w:b/>
          <w:bCs/>
          <w:color w:val="auto"/>
          <w:spacing w:val="20"/>
          <w:kern w:val="0"/>
          <w:sz w:val="30"/>
          <w:szCs w:val="30"/>
          <w:highlight w:val="none"/>
          <w:lang w:val="en-US" w:eastAsia="zh-CN"/>
        </w:rPr>
        <w:br w:type="page"/>
      </w:r>
    </w:p>
    <w:p w14:paraId="03407F0B">
      <w:pPr>
        <w:numPr>
          <w:ilvl w:val="0"/>
          <w:numId w:val="0"/>
        </w:numPr>
        <w:spacing w:line="480" w:lineRule="auto"/>
        <w:ind w:leftChars="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 xml:space="preserve"> 目  录</w:t>
      </w:r>
    </w:p>
    <w:p w14:paraId="7FDD8D1F">
      <w:pPr>
        <w:rPr>
          <w:rFonts w:hint="eastAsia" w:asciiTheme="minorEastAsia" w:hAnsiTheme="minorEastAsia" w:eastAsiaTheme="minorEastAsia" w:cstheme="minorEastAsia"/>
          <w:b w:val="0"/>
          <w:bCs w:val="0"/>
          <w:color w:val="auto"/>
          <w:sz w:val="24"/>
          <w:szCs w:val="24"/>
          <w:highlight w:val="none"/>
          <w:lang w:val="en-US" w:eastAsia="zh-CN"/>
        </w:rPr>
      </w:pPr>
    </w:p>
    <w:p w14:paraId="36FB719D">
      <w:pP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第一部分、资格证明文件</w:t>
      </w:r>
    </w:p>
    <w:p w14:paraId="4C9CD4A0">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w:t>
      </w:r>
    </w:p>
    <w:p w14:paraId="453678D6">
      <w:pPr>
        <w:pStyle w:val="13"/>
        <w:numPr>
          <w:ilvl w:val="0"/>
          <w:numId w:val="7"/>
        </w:numPr>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符合性证明文件</w:t>
      </w:r>
    </w:p>
    <w:p w14:paraId="267BE985">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w:t>
      </w:r>
    </w:p>
    <w:p w14:paraId="01430437">
      <w:pPr>
        <w:pStyle w:val="13"/>
        <w:numPr>
          <w:ilvl w:val="0"/>
          <w:numId w:val="7"/>
        </w:numPr>
        <w:ind w:left="0" w:leftChars="0" w:firstLine="482"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响应方案</w:t>
      </w:r>
    </w:p>
    <w:p w14:paraId="1FFF9D7B">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w:t>
      </w:r>
    </w:p>
    <w:p w14:paraId="38935F46">
      <w:pPr>
        <w:numPr>
          <w:ilvl w:val="0"/>
          <w:numId w:val="0"/>
        </w:numPr>
        <w:spacing w:line="480" w:lineRule="auto"/>
        <w:ind w:leftChars="0"/>
        <w:jc w:val="left"/>
        <w:rPr>
          <w:rFonts w:hint="eastAsia" w:asciiTheme="minorEastAsia" w:hAnsiTheme="minorEastAsia" w:eastAsiaTheme="minorEastAsia" w:cstheme="minorEastAsia"/>
          <w:b w:val="0"/>
          <w:bCs w:val="0"/>
          <w:color w:val="auto"/>
          <w:sz w:val="24"/>
          <w:szCs w:val="24"/>
          <w:highlight w:val="none"/>
          <w:lang w:val="en-US" w:eastAsia="zh-CN"/>
        </w:rPr>
      </w:pPr>
    </w:p>
    <w:p w14:paraId="3B61D105">
      <w:pPr>
        <w:numPr>
          <w:ilvl w:val="0"/>
          <w:numId w:val="0"/>
        </w:numPr>
        <w:spacing w:line="480" w:lineRule="auto"/>
        <w:ind w:leftChars="0"/>
        <w:jc w:val="left"/>
        <w:rPr>
          <w:rFonts w:hint="eastAsia" w:asciiTheme="minorEastAsia" w:hAnsiTheme="minorEastAsia" w:eastAsiaTheme="minorEastAsia" w:cstheme="minorEastAsia"/>
          <w:b w:val="0"/>
          <w:bCs w:val="0"/>
          <w:color w:val="auto"/>
          <w:sz w:val="24"/>
          <w:szCs w:val="24"/>
          <w:highlight w:val="none"/>
          <w:lang w:val="en-US" w:eastAsia="zh-CN"/>
        </w:rPr>
      </w:pPr>
    </w:p>
    <w:p w14:paraId="4C0C9BAA">
      <w:pPr>
        <w:pStyle w:val="13"/>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详细格式自拟</w:t>
      </w:r>
    </w:p>
    <w:p w14:paraId="0040EDDC">
      <w:pP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br w:type="page"/>
      </w:r>
    </w:p>
    <w:p w14:paraId="08968A78">
      <w:pPr>
        <w:jc w:val="center"/>
        <w:rPr>
          <w:rFonts w:hint="eastAsia" w:asciiTheme="minorEastAsia" w:hAnsiTheme="minorEastAsia" w:eastAsiaTheme="minorEastAsia" w:cstheme="minorEastAsia"/>
          <w:b/>
          <w:bCs/>
          <w:color w:val="auto"/>
          <w:sz w:val="24"/>
          <w:szCs w:val="24"/>
          <w:highlight w:val="none"/>
          <w:lang w:val="en-US" w:eastAsia="zh-CN"/>
        </w:rPr>
      </w:pPr>
      <w:bookmarkStart w:id="133" w:name="_Toc15340"/>
      <w:bookmarkStart w:id="134" w:name="_Toc4223"/>
      <w:bookmarkStart w:id="135" w:name="_Toc5388"/>
      <w:bookmarkStart w:id="136" w:name="_Toc22423"/>
      <w:bookmarkStart w:id="137" w:name="_Toc15318"/>
      <w:bookmarkStart w:id="138" w:name="_Toc39"/>
      <w:bookmarkStart w:id="139" w:name="_Toc193187098"/>
      <w:bookmarkStart w:id="140" w:name="_Toc194663919"/>
      <w:bookmarkStart w:id="141" w:name="_Toc193126882"/>
      <w:bookmarkStart w:id="142" w:name="_Toc188808834"/>
      <w:r>
        <w:rPr>
          <w:rFonts w:hint="eastAsia" w:asciiTheme="minorEastAsia" w:hAnsiTheme="minorEastAsia" w:eastAsiaTheme="minorEastAsia" w:cstheme="minorEastAsia"/>
          <w:b/>
          <w:bCs/>
          <w:color w:val="auto"/>
          <w:sz w:val="24"/>
          <w:szCs w:val="24"/>
          <w:highlight w:val="none"/>
          <w:lang w:val="en-US" w:eastAsia="zh-CN"/>
        </w:rPr>
        <w:t>第一部分、资格证明文件</w:t>
      </w:r>
    </w:p>
    <w:tbl>
      <w:tblPr>
        <w:tblStyle w:val="30"/>
        <w:tblW w:w="8798" w:type="dxa"/>
        <w:tblInd w:w="3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3"/>
        <w:gridCol w:w="5609"/>
        <w:gridCol w:w="1010"/>
        <w:gridCol w:w="1266"/>
      </w:tblGrid>
      <w:tr w14:paraId="5F608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3" w:type="dxa"/>
            <w:vAlign w:val="center"/>
          </w:tcPr>
          <w:p w14:paraId="3B9AAFB2">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211" w:firstLineChars="100"/>
              <w:jc w:val="both"/>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5609" w:type="dxa"/>
            <w:vAlign w:val="center"/>
          </w:tcPr>
          <w:p w14:paraId="21FFE0E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审查因素</w:t>
            </w:r>
          </w:p>
        </w:tc>
        <w:tc>
          <w:tcPr>
            <w:tcW w:w="1010" w:type="dxa"/>
            <w:vAlign w:val="center"/>
          </w:tcPr>
          <w:p w14:paraId="00DA8D6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审查</w:t>
            </w:r>
          </w:p>
          <w:p w14:paraId="1FCBA57E">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标准</w:t>
            </w:r>
          </w:p>
        </w:tc>
        <w:tc>
          <w:tcPr>
            <w:tcW w:w="1266" w:type="dxa"/>
            <w:vAlign w:val="center"/>
          </w:tcPr>
          <w:p w14:paraId="3A465E3B">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备注</w:t>
            </w:r>
          </w:p>
        </w:tc>
      </w:tr>
      <w:tr w14:paraId="6C8F8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13" w:type="dxa"/>
            <w:vAlign w:val="center"/>
          </w:tcPr>
          <w:p w14:paraId="238F7AAE">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5609" w:type="dxa"/>
            <w:vAlign w:val="center"/>
          </w:tcPr>
          <w:p w14:paraId="74E818FC">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21" w:leftChars="-3" w:hanging="527" w:hangingChars="25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主体资格证明</w:t>
            </w:r>
            <w:r>
              <w:rPr>
                <w:rFonts w:hint="eastAsia" w:asciiTheme="minorEastAsia" w:hAnsiTheme="minorEastAsia" w:eastAsiaTheme="minorEastAsia" w:cstheme="minorEastAsia"/>
                <w:color w:val="auto"/>
                <w:kern w:val="0"/>
                <w:sz w:val="21"/>
                <w:szCs w:val="21"/>
                <w:highlight w:val="none"/>
              </w:rPr>
              <w:t xml:space="preserve">： </w:t>
            </w:r>
          </w:p>
          <w:p w14:paraId="1B75A95D">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3" w:hanging="525" w:hangingChars="25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供应商具有独立承担民事责任的能力，提供统一社会信用代</w:t>
            </w:r>
          </w:p>
          <w:p w14:paraId="425DC0B7">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3" w:hanging="525" w:hangingChars="25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码的营业执照；</w:t>
            </w:r>
          </w:p>
        </w:tc>
        <w:tc>
          <w:tcPr>
            <w:tcW w:w="1010" w:type="dxa"/>
            <w:vAlign w:val="center"/>
          </w:tcPr>
          <w:p w14:paraId="3B422849">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7A11B61A">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2EA79E0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465A1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13" w:type="dxa"/>
            <w:vAlign w:val="center"/>
          </w:tcPr>
          <w:p w14:paraId="6F146D5B">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5609" w:type="dxa"/>
            <w:vAlign w:val="center"/>
          </w:tcPr>
          <w:p w14:paraId="236CB2E1">
            <w:pPr>
              <w:keepNext w:val="0"/>
              <w:keepLines w:val="0"/>
              <w:pageBreakBefore w:val="0"/>
              <w:widowControl w:val="0"/>
              <w:numPr>
                <w:ilvl w:val="0"/>
                <w:numId w:val="5"/>
              </w:numPr>
              <w:tabs>
                <w:tab w:val="left" w:pos="0"/>
                <w:tab w:val="clear" w:pos="312"/>
              </w:tabs>
              <w:kinsoku/>
              <w:wordWrap/>
              <w:overflowPunct/>
              <w:topLinePunct w:val="0"/>
              <w:autoSpaceDE/>
              <w:autoSpaceDN/>
              <w:bidi w:val="0"/>
              <w:adjustRightInd w:val="0"/>
              <w:snapToGrid w:val="0"/>
              <w:spacing w:line="300" w:lineRule="exact"/>
              <w:ind w:left="519" w:leftChars="-3" w:hanging="525" w:hangingChars="25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法定代表人（负责人）参加磋商的：法定代表人（负责</w:t>
            </w:r>
          </w:p>
          <w:p w14:paraId="5E678B4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00" w:lineRule="exact"/>
              <w:ind w:leftChars="-253"/>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人）身份证明及身份证</w:t>
            </w:r>
          </w:p>
          <w:p w14:paraId="44091852">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3" w:hanging="525" w:hangingChars="25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(2)授权代表参加磋商的：授权委托书及授权代表身份证</w:t>
            </w:r>
          </w:p>
        </w:tc>
        <w:tc>
          <w:tcPr>
            <w:tcW w:w="1010" w:type="dxa"/>
            <w:vAlign w:val="center"/>
          </w:tcPr>
          <w:p w14:paraId="478C891B">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1E1C9E7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97" w:hanging="315" w:hangingChars="15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7593BCCB">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3" w:hanging="525" w:hangingChars="25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文件提</w:t>
            </w:r>
          </w:p>
          <w:p w14:paraId="2D6C9D0A">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519" w:leftChars="-3" w:hanging="525" w:hangingChars="25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供的格式</w:t>
            </w:r>
          </w:p>
        </w:tc>
      </w:tr>
      <w:tr w14:paraId="7BD29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13" w:type="dxa"/>
            <w:vAlign w:val="center"/>
          </w:tcPr>
          <w:p w14:paraId="4D39EB2A">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c>
          <w:tcPr>
            <w:tcW w:w="5609" w:type="dxa"/>
            <w:vAlign w:val="center"/>
          </w:tcPr>
          <w:p w14:paraId="0167C15A">
            <w:pPr>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税收缴纳证明：</w:t>
            </w:r>
          </w:p>
          <w:p w14:paraId="29ADD775">
            <w:pPr>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提供2024年11月至今已缴纳的至少3个月的完税证明，依法免税的单位应提供相关证明材料；</w:t>
            </w:r>
          </w:p>
        </w:tc>
        <w:tc>
          <w:tcPr>
            <w:tcW w:w="1010" w:type="dxa"/>
            <w:vAlign w:val="center"/>
          </w:tcPr>
          <w:p w14:paraId="79F4E3E7">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53B23FDA">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6CE56E53">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4ADDD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13" w:type="dxa"/>
            <w:vAlign w:val="center"/>
          </w:tcPr>
          <w:p w14:paraId="75DED4C3">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5609" w:type="dxa"/>
            <w:vAlign w:val="center"/>
          </w:tcPr>
          <w:p w14:paraId="302B1470">
            <w:pPr>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社保资金缴纳证明：</w:t>
            </w:r>
          </w:p>
          <w:p w14:paraId="3F72F253">
            <w:pPr>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提供2024年11月至今已缴存的至少3个月的社会保障资金缴存单据或社保机构开具的社会保险参保缴费情况证明，依法不需要缴纳社会保障资金的单位应提供相关证明材料；</w:t>
            </w:r>
          </w:p>
        </w:tc>
        <w:tc>
          <w:tcPr>
            <w:tcW w:w="1010" w:type="dxa"/>
            <w:vAlign w:val="center"/>
          </w:tcPr>
          <w:p w14:paraId="2859992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28803BCE">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246F3A9E">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368BD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13" w:type="dxa"/>
            <w:vAlign w:val="center"/>
          </w:tcPr>
          <w:p w14:paraId="27B8E74C">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5</w:t>
            </w:r>
          </w:p>
        </w:tc>
        <w:tc>
          <w:tcPr>
            <w:tcW w:w="5609" w:type="dxa"/>
            <w:vAlign w:val="center"/>
          </w:tcPr>
          <w:p w14:paraId="757B2459">
            <w:pPr>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财务状况报告</w:t>
            </w:r>
            <w:r>
              <w:rPr>
                <w:rFonts w:hint="eastAsia" w:asciiTheme="minorEastAsia" w:hAnsiTheme="minorEastAsia" w:eastAsiaTheme="minorEastAsia" w:cstheme="minorEastAsia"/>
                <w:color w:val="auto"/>
                <w:kern w:val="0"/>
                <w:sz w:val="21"/>
                <w:szCs w:val="21"/>
                <w:highlight w:val="none"/>
                <w:lang w:val="en-US" w:eastAsia="zh-CN"/>
              </w:rPr>
              <w:t>：提供2024年度经审计的财务报告（包含四表一注）或提供响应文件截止时间3个月内其基本账户开户银行出具的资信证明；</w:t>
            </w:r>
          </w:p>
        </w:tc>
        <w:tc>
          <w:tcPr>
            <w:tcW w:w="1010" w:type="dxa"/>
            <w:vAlign w:val="center"/>
          </w:tcPr>
          <w:p w14:paraId="78F5436B">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62BDAF67">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1553AC9C">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22849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13" w:type="dxa"/>
            <w:vAlign w:val="center"/>
          </w:tcPr>
          <w:p w14:paraId="492F6B5D">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5609" w:type="dxa"/>
            <w:vAlign w:val="center"/>
          </w:tcPr>
          <w:p w14:paraId="162343B8">
            <w:pPr>
              <w:keepNext w:val="0"/>
              <w:keepLines w:val="0"/>
              <w:pageBreakBefore w:val="0"/>
              <w:widowControl w:val="0"/>
              <w:kinsoku/>
              <w:wordWrap/>
              <w:overflowPunct/>
              <w:topLinePunct w:val="0"/>
              <w:autoSpaceDE/>
              <w:autoSpaceDN/>
              <w:bidi w:val="0"/>
              <w:spacing w:line="300" w:lineRule="exact"/>
              <w:ind w:left="0" w:leftChars="0"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参加本次政府采购活动近三年内在经营活动中没有重大违纪的书面声明；</w:t>
            </w:r>
          </w:p>
        </w:tc>
        <w:tc>
          <w:tcPr>
            <w:tcW w:w="1010" w:type="dxa"/>
            <w:vAlign w:val="center"/>
          </w:tcPr>
          <w:p w14:paraId="0C50A58A">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26A7263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2D8773DC">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文件提供的格式</w:t>
            </w:r>
          </w:p>
        </w:tc>
      </w:tr>
      <w:tr w14:paraId="7897A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3" w:type="dxa"/>
            <w:vAlign w:val="center"/>
          </w:tcPr>
          <w:p w14:paraId="3EC6049C">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w:t>
            </w:r>
          </w:p>
        </w:tc>
        <w:tc>
          <w:tcPr>
            <w:tcW w:w="5609" w:type="dxa"/>
            <w:vAlign w:val="center"/>
          </w:tcPr>
          <w:p w14:paraId="1BD9B911">
            <w:pPr>
              <w:keepNext w:val="0"/>
              <w:keepLines w:val="0"/>
              <w:pageBreakBefore w:val="0"/>
              <w:widowControl w:val="0"/>
              <w:kinsoku/>
              <w:wordWrap/>
              <w:overflowPunct/>
              <w:topLinePunct w:val="0"/>
              <w:autoSpaceDE/>
              <w:autoSpaceDN/>
              <w:bidi w:val="0"/>
              <w:spacing w:line="300" w:lineRule="exact"/>
              <w:ind w:left="0" w:leftChars="0" w:firstLine="0" w:firstLineChars="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单位负责人为同一人或者存在直接控股、管理关系的不同投标人，不得参加同一合同项下的政府采购活动；</w:t>
            </w:r>
          </w:p>
        </w:tc>
        <w:tc>
          <w:tcPr>
            <w:tcW w:w="1010" w:type="dxa"/>
            <w:vAlign w:val="center"/>
          </w:tcPr>
          <w:p w14:paraId="1208789B">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7C5B6BB5">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124737E2">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61559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913" w:type="dxa"/>
            <w:vAlign w:val="center"/>
          </w:tcPr>
          <w:p w14:paraId="0EDA398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w:t>
            </w:r>
          </w:p>
        </w:tc>
        <w:tc>
          <w:tcPr>
            <w:tcW w:w="5609" w:type="dxa"/>
            <w:vAlign w:val="center"/>
          </w:tcPr>
          <w:p w14:paraId="02809ABD">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信用记录：供应商不得为“信用中国”网站（www.creditchina.gov.cn）中被列入重大税收违法失信主体，不得为“中国执行信息公开网”(http://zxgk.court.gov.cn//)被列入失信被执行人,不得为“中国政府采购网”（www.ccgp.gov.cn）政府采购严重违法失信行为记录名单中被财政部门禁止参加政府采购活动的当事人，不得有行贿犯罪行为；</w:t>
            </w:r>
          </w:p>
        </w:tc>
        <w:tc>
          <w:tcPr>
            <w:tcW w:w="1010" w:type="dxa"/>
            <w:vAlign w:val="center"/>
          </w:tcPr>
          <w:p w14:paraId="2867913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1DC4E37B">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0DE5AE77">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提供证明材料</w:t>
            </w:r>
          </w:p>
        </w:tc>
      </w:tr>
      <w:tr w14:paraId="3B518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13" w:type="dxa"/>
            <w:vAlign w:val="center"/>
          </w:tcPr>
          <w:p w14:paraId="3A5D9603">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w:t>
            </w:r>
          </w:p>
        </w:tc>
        <w:tc>
          <w:tcPr>
            <w:tcW w:w="5609" w:type="dxa"/>
            <w:vAlign w:val="center"/>
          </w:tcPr>
          <w:p w14:paraId="4EFDF21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提供具有履行本项目合同所必需的技术设备和专业能力的承诺书</w:t>
            </w:r>
          </w:p>
        </w:tc>
        <w:tc>
          <w:tcPr>
            <w:tcW w:w="1010" w:type="dxa"/>
            <w:vAlign w:val="center"/>
          </w:tcPr>
          <w:p w14:paraId="26562D4B">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23169097">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57A0823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提供证明</w:t>
            </w:r>
            <w:r>
              <w:rPr>
                <w:rFonts w:hint="eastAsia" w:asciiTheme="minorEastAsia" w:hAnsiTheme="minorEastAsia" w:eastAsiaTheme="minorEastAsia" w:cstheme="minorEastAsia"/>
                <w:color w:val="auto"/>
                <w:kern w:val="0"/>
                <w:sz w:val="21"/>
                <w:szCs w:val="21"/>
                <w:highlight w:val="none"/>
                <w:lang w:eastAsia="zh-CN"/>
              </w:rPr>
              <w:t>材料</w:t>
            </w:r>
          </w:p>
        </w:tc>
      </w:tr>
      <w:tr w14:paraId="67C79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3" w:type="dxa"/>
            <w:vAlign w:val="center"/>
          </w:tcPr>
          <w:p w14:paraId="02253898">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5609" w:type="dxa"/>
            <w:vAlign w:val="center"/>
          </w:tcPr>
          <w:p w14:paraId="071D57C9">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交纳</w:t>
            </w:r>
            <w:r>
              <w:rPr>
                <w:rFonts w:hint="eastAsia" w:asciiTheme="minorEastAsia" w:hAnsiTheme="minorEastAsia" w:eastAsiaTheme="minorEastAsia" w:cstheme="minorEastAsia"/>
                <w:b/>
                <w:color w:val="auto"/>
                <w:kern w:val="0"/>
                <w:sz w:val="21"/>
                <w:szCs w:val="21"/>
                <w:highlight w:val="none"/>
                <w:lang w:eastAsia="zh-CN"/>
              </w:rPr>
              <w:t>磋商</w:t>
            </w:r>
            <w:r>
              <w:rPr>
                <w:rFonts w:hint="eastAsia" w:asciiTheme="minorEastAsia" w:hAnsiTheme="minorEastAsia" w:eastAsiaTheme="minorEastAsia" w:cstheme="minorEastAsia"/>
                <w:b/>
                <w:color w:val="auto"/>
                <w:kern w:val="0"/>
                <w:sz w:val="21"/>
                <w:szCs w:val="21"/>
                <w:highlight w:val="none"/>
              </w:rPr>
              <w:t>保证金证明：</w:t>
            </w:r>
          </w:p>
          <w:p w14:paraId="5A8A08DC">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磋商</w:t>
            </w:r>
            <w:r>
              <w:rPr>
                <w:rFonts w:hint="eastAsia" w:asciiTheme="minorEastAsia" w:hAnsiTheme="minorEastAsia" w:eastAsiaTheme="minorEastAsia" w:cstheme="minorEastAsia"/>
                <w:color w:val="auto"/>
                <w:kern w:val="0"/>
                <w:sz w:val="21"/>
                <w:szCs w:val="21"/>
                <w:highlight w:val="none"/>
              </w:rPr>
              <w:t>保证金交纳凭证</w:t>
            </w:r>
            <w:r>
              <w:rPr>
                <w:rFonts w:hint="eastAsia" w:asciiTheme="minorEastAsia" w:hAnsiTheme="minorEastAsia" w:eastAsiaTheme="minorEastAsia" w:cstheme="minorEastAsia"/>
                <w:color w:val="auto"/>
                <w:kern w:val="0"/>
                <w:sz w:val="21"/>
                <w:szCs w:val="21"/>
                <w:highlight w:val="none"/>
                <w:lang w:val="en-US" w:eastAsia="zh-CN"/>
              </w:rPr>
              <w:t>及开户许可证</w:t>
            </w:r>
          </w:p>
        </w:tc>
        <w:tc>
          <w:tcPr>
            <w:tcW w:w="1010" w:type="dxa"/>
            <w:vAlign w:val="center"/>
          </w:tcPr>
          <w:p w14:paraId="33521336">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4303F85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57B090CD">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提供证明</w:t>
            </w:r>
            <w:r>
              <w:rPr>
                <w:rFonts w:hint="eastAsia" w:asciiTheme="minorEastAsia" w:hAnsiTheme="minorEastAsia" w:eastAsiaTheme="minorEastAsia" w:cstheme="minorEastAsia"/>
                <w:color w:val="auto"/>
                <w:kern w:val="0"/>
                <w:sz w:val="21"/>
                <w:szCs w:val="21"/>
                <w:highlight w:val="none"/>
                <w:lang w:eastAsia="zh-CN"/>
              </w:rPr>
              <w:t>材料</w:t>
            </w:r>
          </w:p>
        </w:tc>
      </w:tr>
      <w:tr w14:paraId="7A75C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13" w:type="dxa"/>
            <w:vAlign w:val="center"/>
          </w:tcPr>
          <w:p w14:paraId="2A83FAC7">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w:t>
            </w:r>
          </w:p>
        </w:tc>
        <w:tc>
          <w:tcPr>
            <w:tcW w:w="5609" w:type="dxa"/>
            <w:vAlign w:val="center"/>
          </w:tcPr>
          <w:p w14:paraId="2192B194">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本项目不接受联合体（承诺书）</w:t>
            </w:r>
          </w:p>
        </w:tc>
        <w:tc>
          <w:tcPr>
            <w:tcW w:w="1010" w:type="dxa"/>
            <w:vAlign w:val="center"/>
          </w:tcPr>
          <w:p w14:paraId="6B01C70D">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合法</w:t>
            </w:r>
          </w:p>
          <w:p w14:paraId="07D407F9">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w:t>
            </w:r>
          </w:p>
        </w:tc>
        <w:tc>
          <w:tcPr>
            <w:tcW w:w="1266" w:type="dxa"/>
            <w:vAlign w:val="center"/>
          </w:tcPr>
          <w:p w14:paraId="56BF90B1">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提供证明</w:t>
            </w:r>
            <w:r>
              <w:rPr>
                <w:rFonts w:hint="eastAsia" w:asciiTheme="minorEastAsia" w:hAnsiTheme="minorEastAsia" w:eastAsiaTheme="minorEastAsia" w:cstheme="minorEastAsia"/>
                <w:color w:val="auto"/>
                <w:kern w:val="0"/>
                <w:sz w:val="21"/>
                <w:szCs w:val="21"/>
                <w:highlight w:val="none"/>
                <w:lang w:eastAsia="zh-CN"/>
              </w:rPr>
              <w:t>材料</w:t>
            </w:r>
          </w:p>
        </w:tc>
      </w:tr>
    </w:tbl>
    <w:p w14:paraId="09296530">
      <w:pPr>
        <w:spacing w:line="360" w:lineRule="auto"/>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响应文件中应附一套完整的资格证明材料，缺少一项或某项达不到</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文件要求的按无效响应文件处理，复印件加盖供应商单位公章</w:t>
      </w:r>
      <w:r>
        <w:rPr>
          <w:rFonts w:hint="eastAsia" w:asciiTheme="minorEastAsia" w:hAnsiTheme="minorEastAsia" w:eastAsiaTheme="minorEastAsia" w:cstheme="minorEastAsia"/>
          <w:b/>
          <w:bCs/>
          <w:color w:val="auto"/>
          <w:sz w:val="24"/>
          <w:szCs w:val="24"/>
          <w:highlight w:val="none"/>
          <w:lang w:eastAsia="zh-CN"/>
        </w:rPr>
        <w:t>。</w:t>
      </w:r>
    </w:p>
    <w:p w14:paraId="07FEEB52">
      <w:pPr>
        <w:rPr>
          <w:rFonts w:hint="eastAsia" w:asciiTheme="minorEastAsia" w:hAnsiTheme="minorEastAsia" w:eastAsiaTheme="minorEastAsia" w:cstheme="minorEastAsia"/>
          <w:bCs/>
          <w:caps/>
          <w:color w:val="auto"/>
          <w:sz w:val="24"/>
          <w:szCs w:val="24"/>
          <w:highlight w:val="none"/>
          <w:lang w:val="en-US" w:eastAsia="zh-CN"/>
        </w:rPr>
      </w:pPr>
      <w:r>
        <w:rPr>
          <w:rFonts w:hint="eastAsia" w:asciiTheme="minorEastAsia" w:hAnsiTheme="minorEastAsia" w:eastAsiaTheme="minorEastAsia" w:cstheme="minorEastAsia"/>
          <w:bCs/>
          <w:caps/>
          <w:color w:val="auto"/>
          <w:sz w:val="24"/>
          <w:szCs w:val="24"/>
          <w:highlight w:val="none"/>
          <w:lang w:val="en-US" w:eastAsia="zh-CN"/>
        </w:rPr>
        <w:br w:type="page"/>
      </w:r>
    </w:p>
    <w:p w14:paraId="3C8545CC">
      <w:pPr>
        <w:numPr>
          <w:ilvl w:val="0"/>
          <w:numId w:val="0"/>
        </w:numPr>
        <w:ind w:leftChars="0"/>
        <w:jc w:val="both"/>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附件1：</w:t>
      </w:r>
    </w:p>
    <w:p w14:paraId="2CA10D95">
      <w:pPr>
        <w:keepNext w:val="0"/>
        <w:keepLines w:val="0"/>
        <w:pageBreakBefore w:val="0"/>
        <w:widowControl w:val="0"/>
        <w:numPr>
          <w:ilvl w:val="0"/>
          <w:numId w:val="0"/>
        </w:numPr>
        <w:kinsoku/>
        <w:wordWrap/>
        <w:overflowPunct/>
        <w:topLinePunct w:val="0"/>
        <w:autoSpaceDE/>
        <w:autoSpaceDN/>
        <w:bidi w:val="0"/>
        <w:spacing w:line="500" w:lineRule="exact"/>
        <w:ind w:leftChars="0"/>
        <w:jc w:val="center"/>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法定代表人身份证明书或法定代表人授权委托书</w:t>
      </w:r>
    </w:p>
    <w:p w14:paraId="78C7C2E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w:t>
      </w:r>
    </w:p>
    <w:p w14:paraId="5E16159B">
      <w:pPr>
        <w:snapToGrid w:val="0"/>
        <w:spacing w:line="480" w:lineRule="auto"/>
        <w:rPr>
          <w:rFonts w:hint="eastAsia" w:asciiTheme="minorEastAsia" w:hAnsiTheme="minorEastAsia" w:eastAsiaTheme="minorEastAsia" w:cstheme="minorEastAsia"/>
          <w:color w:val="auto"/>
          <w:sz w:val="24"/>
          <w:szCs w:val="24"/>
          <w:highlight w:val="none"/>
        </w:rPr>
      </w:pPr>
    </w:p>
    <w:p w14:paraId="41D1DB9A">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75E40F7D">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统一社会信用代码：</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595CD1B5">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姓名：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年龄：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职务：</w:t>
      </w:r>
      <w:r>
        <w:rPr>
          <w:rFonts w:hint="eastAsia" w:asciiTheme="minorEastAsia" w:hAnsiTheme="minorEastAsia" w:eastAsiaTheme="minorEastAsia" w:cstheme="minorEastAsia"/>
          <w:color w:val="auto"/>
          <w:kern w:val="0"/>
          <w:sz w:val="24"/>
          <w:szCs w:val="24"/>
          <w:highlight w:val="none"/>
          <w:u w:val="single"/>
        </w:rPr>
        <w:t xml:space="preserve">             </w:t>
      </w:r>
    </w:p>
    <w:p w14:paraId="6521DCAB">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（供应商名称）的法定代表人。</w:t>
      </w:r>
    </w:p>
    <w:p w14:paraId="4C785A1E">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特此证明。</w:t>
      </w:r>
    </w:p>
    <w:p w14:paraId="300FB343">
      <w:pPr>
        <w:autoSpaceDE w:val="0"/>
        <w:autoSpaceDN w:val="0"/>
        <w:adjustRightInd w:val="0"/>
        <w:snapToGrid w:val="0"/>
        <w:spacing w:before="120" w:beforeLines="50"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p w14:paraId="25C62BC7">
      <w:pPr>
        <w:snapToGrid w:val="0"/>
        <w:spacing w:line="480" w:lineRule="auto"/>
        <w:rPr>
          <w:rFonts w:hint="eastAsia" w:asciiTheme="minorEastAsia" w:hAnsiTheme="minorEastAsia" w:eastAsiaTheme="minorEastAsia" w:cstheme="minorEastAsia"/>
          <w:color w:val="auto"/>
          <w:sz w:val="24"/>
          <w:szCs w:val="24"/>
          <w:highlight w:val="none"/>
        </w:rPr>
      </w:pPr>
    </w:p>
    <w:tbl>
      <w:tblPr>
        <w:tblStyle w:val="30"/>
        <w:tblpPr w:leftFromText="180" w:rightFromText="180" w:vertAnchor="text" w:horzAnchor="margin" w:tblpXSpec="center" w:tblpY="104"/>
        <w:tblW w:w="7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6"/>
      </w:tblGrid>
      <w:tr w14:paraId="4F3B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7036" w:type="dxa"/>
            <w:vAlign w:val="center"/>
          </w:tcPr>
          <w:p w14:paraId="35666DDC">
            <w:pPr>
              <w:snapToGrid w:val="0"/>
              <w:spacing w:line="480" w:lineRule="auto"/>
              <w:jc w:val="center"/>
              <w:rPr>
                <w:rFonts w:hint="eastAsia" w:asciiTheme="minorEastAsia" w:hAnsiTheme="minorEastAsia" w:eastAsiaTheme="minorEastAsia" w:cstheme="minorEastAsia"/>
                <w:color w:val="auto"/>
                <w:sz w:val="24"/>
                <w:szCs w:val="24"/>
                <w:highlight w:val="none"/>
              </w:rPr>
            </w:pPr>
          </w:p>
          <w:p w14:paraId="0FB143EF">
            <w:pPr>
              <w:snapToGrid w:val="0"/>
              <w:spacing w:line="480" w:lineRule="auto"/>
              <w:jc w:val="center"/>
              <w:rPr>
                <w:rFonts w:hint="eastAsia" w:asciiTheme="minorEastAsia" w:hAnsiTheme="minorEastAsia" w:eastAsiaTheme="minorEastAsia" w:cstheme="minorEastAsia"/>
                <w:color w:val="auto"/>
                <w:sz w:val="24"/>
                <w:szCs w:val="24"/>
                <w:highlight w:val="none"/>
              </w:rPr>
            </w:pPr>
          </w:p>
          <w:p w14:paraId="41C69C41">
            <w:pPr>
              <w:autoSpaceDE w:val="0"/>
              <w:autoSpaceDN w:val="0"/>
              <w:adjustRightInd w:val="0"/>
              <w:snapToGrid w:val="0"/>
              <w:spacing w:before="120" w:beforeLines="50"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法定代表人身份证正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反面复印件</w:t>
            </w:r>
          </w:p>
          <w:p w14:paraId="1A4F232D">
            <w:pPr>
              <w:snapToGrid w:val="0"/>
              <w:spacing w:line="480" w:lineRule="auto"/>
              <w:jc w:val="center"/>
              <w:rPr>
                <w:rFonts w:hint="eastAsia" w:asciiTheme="minorEastAsia" w:hAnsiTheme="minorEastAsia" w:eastAsiaTheme="minorEastAsia" w:cstheme="minorEastAsia"/>
                <w:color w:val="auto"/>
                <w:sz w:val="24"/>
                <w:szCs w:val="24"/>
                <w:highlight w:val="none"/>
              </w:rPr>
            </w:pPr>
          </w:p>
          <w:p w14:paraId="73D80D20">
            <w:pPr>
              <w:snapToGrid w:val="0"/>
              <w:spacing w:line="480" w:lineRule="auto"/>
              <w:jc w:val="center"/>
              <w:rPr>
                <w:rFonts w:hint="eastAsia" w:asciiTheme="minorEastAsia" w:hAnsiTheme="minorEastAsia" w:eastAsiaTheme="minorEastAsia" w:cstheme="minorEastAsia"/>
                <w:color w:val="auto"/>
                <w:sz w:val="24"/>
                <w:szCs w:val="24"/>
                <w:highlight w:val="none"/>
              </w:rPr>
            </w:pPr>
          </w:p>
        </w:tc>
      </w:tr>
    </w:tbl>
    <w:p w14:paraId="798A8ADD">
      <w:pPr>
        <w:snapToGrid w:val="0"/>
        <w:spacing w:line="480" w:lineRule="auto"/>
        <w:rPr>
          <w:rFonts w:hint="eastAsia" w:asciiTheme="minorEastAsia" w:hAnsiTheme="minorEastAsia" w:eastAsiaTheme="minorEastAsia" w:cstheme="minorEastAsia"/>
          <w:color w:val="auto"/>
          <w:sz w:val="24"/>
          <w:szCs w:val="24"/>
          <w:highlight w:val="none"/>
        </w:rPr>
      </w:pPr>
    </w:p>
    <w:p w14:paraId="465E617A">
      <w:pPr>
        <w:snapToGrid w:val="0"/>
        <w:rPr>
          <w:rFonts w:hint="eastAsia" w:asciiTheme="minorEastAsia" w:hAnsiTheme="minorEastAsia" w:eastAsiaTheme="minorEastAsia" w:cstheme="minorEastAsia"/>
          <w:color w:val="auto"/>
          <w:sz w:val="24"/>
          <w:szCs w:val="24"/>
          <w:highlight w:val="none"/>
        </w:rPr>
      </w:pPr>
    </w:p>
    <w:p w14:paraId="083DAA61">
      <w:pPr>
        <w:snapToGrid w:val="0"/>
        <w:rPr>
          <w:rFonts w:hint="eastAsia" w:asciiTheme="minorEastAsia" w:hAnsiTheme="minorEastAsia" w:eastAsiaTheme="minorEastAsia" w:cstheme="minorEastAsia"/>
          <w:color w:val="auto"/>
          <w:sz w:val="24"/>
          <w:szCs w:val="24"/>
          <w:highlight w:val="none"/>
        </w:rPr>
      </w:pPr>
    </w:p>
    <w:p w14:paraId="05CA6C03">
      <w:pPr>
        <w:snapToGrid w:val="0"/>
        <w:rPr>
          <w:rFonts w:hint="eastAsia" w:asciiTheme="minorEastAsia" w:hAnsiTheme="minorEastAsia" w:eastAsiaTheme="minorEastAsia" w:cstheme="minorEastAsia"/>
          <w:color w:val="auto"/>
          <w:sz w:val="24"/>
          <w:szCs w:val="24"/>
          <w:highlight w:val="none"/>
        </w:rPr>
      </w:pPr>
    </w:p>
    <w:p w14:paraId="67E3D26A">
      <w:pPr>
        <w:snapToGrid w:val="0"/>
        <w:rPr>
          <w:rFonts w:hint="eastAsia" w:asciiTheme="minorEastAsia" w:hAnsiTheme="minorEastAsia" w:eastAsiaTheme="minorEastAsia" w:cstheme="minorEastAsia"/>
          <w:color w:val="auto"/>
          <w:sz w:val="24"/>
          <w:szCs w:val="24"/>
          <w:highlight w:val="none"/>
        </w:rPr>
      </w:pPr>
    </w:p>
    <w:p w14:paraId="34A24182">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0E27841E">
      <w:pPr>
        <w:adjustRightInd w:val="0"/>
        <w:snapToGrid w:val="0"/>
        <w:spacing w:line="360" w:lineRule="auto"/>
        <w:ind w:right="420"/>
        <w:rPr>
          <w:rFonts w:hint="eastAsia" w:asciiTheme="minorEastAsia" w:hAnsiTheme="minorEastAsia" w:eastAsiaTheme="minorEastAsia" w:cstheme="minorEastAsia"/>
          <w:color w:val="auto"/>
          <w:sz w:val="24"/>
          <w:szCs w:val="24"/>
          <w:highlight w:val="none"/>
        </w:rPr>
      </w:pPr>
    </w:p>
    <w:p w14:paraId="035A8F24">
      <w:pPr>
        <w:adjustRightInd w:val="0"/>
        <w:snapToGrid w:val="0"/>
        <w:spacing w:line="360" w:lineRule="auto"/>
        <w:ind w:left="0" w:leftChars="0" w:right="420" w:firstLine="0" w:firstLineChars="0"/>
        <w:rPr>
          <w:rFonts w:hint="eastAsia" w:asciiTheme="minorEastAsia" w:hAnsiTheme="minorEastAsia" w:eastAsiaTheme="minorEastAsia" w:cstheme="minorEastAsia"/>
          <w:color w:val="auto"/>
          <w:sz w:val="24"/>
          <w:szCs w:val="24"/>
          <w:highlight w:val="none"/>
        </w:rPr>
      </w:pPr>
    </w:p>
    <w:p w14:paraId="67F549E2">
      <w:pPr>
        <w:adjustRightInd w:val="0"/>
        <w:snapToGrid w:val="0"/>
        <w:spacing w:line="360" w:lineRule="auto"/>
        <w:ind w:left="0" w:leftChars="0" w:right="420" w:firstLine="0" w:firstLineChars="0"/>
        <w:rPr>
          <w:rFonts w:hint="eastAsia" w:asciiTheme="minorEastAsia" w:hAnsiTheme="minorEastAsia" w:eastAsiaTheme="minorEastAsia" w:cstheme="minorEastAsia"/>
          <w:color w:val="auto"/>
          <w:sz w:val="24"/>
          <w:szCs w:val="24"/>
          <w:highlight w:val="none"/>
        </w:rPr>
      </w:pPr>
    </w:p>
    <w:p w14:paraId="5154FD4E">
      <w:pPr>
        <w:adjustRightInd w:val="0"/>
        <w:snapToGrid w:val="0"/>
        <w:spacing w:line="360" w:lineRule="auto"/>
        <w:ind w:right="420" w:firstLine="3720" w:firstLineChars="1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5C27C2EA">
      <w:pPr>
        <w:adjustRightInd w:val="0"/>
        <w:snapToGrid w:val="0"/>
        <w:spacing w:line="360" w:lineRule="auto"/>
        <w:ind w:right="420" w:firstLine="5520" w:firstLineChars="2300"/>
        <w:rPr>
          <w:rFonts w:hint="eastAsia" w:asciiTheme="minorEastAsia" w:hAnsiTheme="minorEastAsia" w:eastAsiaTheme="minorEastAsia" w:cstheme="minorEastAsia"/>
          <w:color w:val="auto"/>
          <w:sz w:val="24"/>
          <w:szCs w:val="24"/>
          <w:highlight w:val="none"/>
        </w:rPr>
      </w:pPr>
    </w:p>
    <w:p w14:paraId="6CABC860">
      <w:pPr>
        <w:spacing w:line="240" w:lineRule="auto"/>
        <w:ind w:firstLine="3840" w:firstLineChars="16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450BFE30">
      <w:pPr>
        <w:adjustRightInd w:val="0"/>
        <w:snapToGrid w:val="0"/>
        <w:spacing w:line="360" w:lineRule="auto"/>
        <w:ind w:right="420" w:firstLine="4860" w:firstLineChars="2025"/>
        <w:rPr>
          <w:rFonts w:hint="eastAsia" w:asciiTheme="minorEastAsia" w:hAnsiTheme="minorEastAsia" w:eastAsiaTheme="minorEastAsia" w:cstheme="minorEastAsia"/>
          <w:color w:val="auto"/>
          <w:sz w:val="24"/>
          <w:szCs w:val="24"/>
          <w:highlight w:val="none"/>
        </w:rPr>
      </w:pPr>
    </w:p>
    <w:p w14:paraId="3AF1CAD3">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6EEB65B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授权委托书</w:t>
      </w:r>
    </w:p>
    <w:p w14:paraId="2B41AEF8">
      <w:pPr>
        <w:spacing w:before="240" w:beforeLines="10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本人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（姓名）系</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（供应商名称）的法定代表人（单位负责人），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现委托</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（姓名）为我方代理人。代理人根据授权，以我方的名义签署、澄清确认、递交、撤回、修改</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（采购项目）响应文件、签订合同和全权处理一切与之有关的事宜，</w:t>
      </w:r>
      <w:r>
        <w:rPr>
          <w:rFonts w:hint="eastAsia" w:asciiTheme="minorEastAsia" w:hAnsiTheme="minorEastAsia" w:eastAsiaTheme="minorEastAsia" w:cstheme="minorEastAsia"/>
          <w:color w:val="auto"/>
          <w:kern w:val="0"/>
          <w:sz w:val="24"/>
          <w:szCs w:val="24"/>
          <w:highlight w:val="none"/>
        </w:rPr>
        <w:t>其法律后果由我方承担。</w:t>
      </w:r>
    </w:p>
    <w:p w14:paraId="23F4800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委托期限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自磋商响应截止之日起90日历天</w:t>
      </w:r>
      <w:r>
        <w:rPr>
          <w:rFonts w:hint="eastAsia" w:asciiTheme="minorEastAsia" w:hAnsiTheme="minorEastAsia" w:eastAsiaTheme="minorEastAsia" w:cstheme="minorEastAsia"/>
          <w:color w:val="auto"/>
          <w:sz w:val="24"/>
          <w:szCs w:val="24"/>
          <w:highlight w:val="none"/>
          <w:lang w:val="zh-CN"/>
        </w:rPr>
        <w:t>。</w:t>
      </w:r>
    </w:p>
    <w:p w14:paraId="6A1CC24D">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代理人无转委托权。</w:t>
      </w:r>
    </w:p>
    <w:p w14:paraId="5F6791E5">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zh-CN"/>
        </w:rPr>
        <w:t>附：法定代表人（单位负责人）身份证复印件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委托代理人身份证复印件</w:t>
      </w:r>
    </w:p>
    <w:tbl>
      <w:tblPr>
        <w:tblStyle w:val="30"/>
        <w:tblW w:w="806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060"/>
      </w:tblGrid>
      <w:tr w14:paraId="10A420A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196" w:hRule="atLeast"/>
          <w:jc w:val="center"/>
        </w:trPr>
        <w:tc>
          <w:tcPr>
            <w:tcW w:w="8060" w:type="dxa"/>
            <w:tcBorders>
              <w:top w:val="double" w:color="auto" w:sz="4" w:space="0"/>
              <w:left w:val="double" w:color="auto" w:sz="4" w:space="0"/>
              <w:bottom w:val="double" w:color="auto" w:sz="4" w:space="0"/>
              <w:right w:val="double" w:color="auto" w:sz="4" w:space="0"/>
            </w:tcBorders>
            <w:vAlign w:val="center"/>
          </w:tcPr>
          <w:p w14:paraId="7C56DC5D">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法定代表人身份证复印件（正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面）</w:t>
            </w:r>
          </w:p>
          <w:p w14:paraId="7AA65892">
            <w:pPr>
              <w:adjustRightInd w:val="0"/>
              <w:snapToGrid w:val="0"/>
              <w:rPr>
                <w:rFonts w:hint="eastAsia" w:asciiTheme="minorEastAsia" w:hAnsiTheme="minorEastAsia" w:eastAsiaTheme="minorEastAsia" w:cstheme="minorEastAsia"/>
                <w:color w:val="auto"/>
                <w:sz w:val="24"/>
                <w:szCs w:val="24"/>
                <w:highlight w:val="none"/>
              </w:rPr>
            </w:pPr>
          </w:p>
        </w:tc>
      </w:tr>
      <w:tr w14:paraId="3E8CF61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223" w:hRule="atLeast"/>
          <w:jc w:val="center"/>
        </w:trPr>
        <w:tc>
          <w:tcPr>
            <w:tcW w:w="8060" w:type="dxa"/>
            <w:tcBorders>
              <w:top w:val="double" w:color="auto" w:sz="4" w:space="0"/>
              <w:left w:val="double" w:color="auto" w:sz="4" w:space="0"/>
              <w:bottom w:val="double" w:color="auto" w:sz="4" w:space="0"/>
              <w:right w:val="double" w:color="auto" w:sz="4" w:space="0"/>
            </w:tcBorders>
            <w:vAlign w:val="center"/>
          </w:tcPr>
          <w:p w14:paraId="74D730B4">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委托代理人身份证复印件（正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面）</w:t>
            </w:r>
          </w:p>
          <w:p w14:paraId="0002ADA3">
            <w:pPr>
              <w:adjustRightInd w:val="0"/>
              <w:snapToGrid w:val="0"/>
              <w:rPr>
                <w:rFonts w:hint="eastAsia" w:asciiTheme="minorEastAsia" w:hAnsiTheme="minorEastAsia" w:eastAsiaTheme="minorEastAsia" w:cstheme="minorEastAsia"/>
                <w:color w:val="auto"/>
                <w:sz w:val="24"/>
                <w:szCs w:val="24"/>
                <w:highlight w:val="none"/>
              </w:rPr>
            </w:pPr>
          </w:p>
        </w:tc>
      </w:tr>
    </w:tbl>
    <w:p w14:paraId="6E36F072">
      <w:pPr>
        <w:ind w:left="0" w:leftChars="0" w:firstLine="0" w:firstLineChars="0"/>
        <w:rPr>
          <w:rFonts w:hint="eastAsia" w:asciiTheme="minorEastAsia" w:hAnsiTheme="minorEastAsia" w:eastAsiaTheme="minorEastAsia" w:cstheme="minorEastAsia"/>
          <w:color w:val="auto"/>
          <w:sz w:val="24"/>
          <w:szCs w:val="24"/>
          <w:highlight w:val="none"/>
        </w:rPr>
      </w:pPr>
    </w:p>
    <w:p w14:paraId="652B06E0">
      <w:pPr>
        <w:spacing w:before="120" w:beforeLines="50" w:line="240" w:lineRule="auto"/>
        <w:ind w:firstLine="3240" w:firstLineChars="1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  应  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p>
    <w:p w14:paraId="0A12735E">
      <w:pPr>
        <w:spacing w:line="240" w:lineRule="auto"/>
        <w:rPr>
          <w:rFonts w:hint="eastAsia" w:asciiTheme="minorEastAsia" w:hAnsiTheme="minorEastAsia" w:eastAsiaTheme="minorEastAsia" w:cstheme="minorEastAsia"/>
          <w:color w:val="auto"/>
          <w:sz w:val="24"/>
          <w:szCs w:val="24"/>
          <w:highlight w:val="none"/>
        </w:rPr>
      </w:pPr>
    </w:p>
    <w:p w14:paraId="4232FDC7">
      <w:pPr>
        <w:spacing w:line="240" w:lineRule="auto"/>
        <w:ind w:firstLine="3240" w:firstLineChars="1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法定代表人（单位负责人）: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（签名）</w:t>
      </w:r>
    </w:p>
    <w:p w14:paraId="0E07D957">
      <w:pPr>
        <w:spacing w:line="240" w:lineRule="auto"/>
        <w:rPr>
          <w:rFonts w:hint="eastAsia" w:asciiTheme="minorEastAsia" w:hAnsiTheme="minorEastAsia" w:eastAsiaTheme="minorEastAsia" w:cstheme="minorEastAsia"/>
          <w:color w:val="auto"/>
          <w:sz w:val="24"/>
          <w:szCs w:val="24"/>
          <w:highlight w:val="none"/>
        </w:rPr>
      </w:pPr>
    </w:p>
    <w:p w14:paraId="2F6FE309">
      <w:pPr>
        <w:spacing w:line="240" w:lineRule="auto"/>
        <w:ind w:firstLine="3240" w:firstLineChars="135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身 份 证 号：</w:t>
      </w:r>
      <w:r>
        <w:rPr>
          <w:rFonts w:hint="eastAsia" w:asciiTheme="minorEastAsia" w:hAnsiTheme="minorEastAsia" w:eastAsiaTheme="minorEastAsia" w:cstheme="minorEastAsia"/>
          <w:color w:val="auto"/>
          <w:sz w:val="24"/>
          <w:szCs w:val="24"/>
          <w:highlight w:val="none"/>
          <w:u w:val="single"/>
        </w:rPr>
        <w:t xml:space="preserve">                        </w:t>
      </w:r>
    </w:p>
    <w:p w14:paraId="28573921">
      <w:pPr>
        <w:spacing w:line="240" w:lineRule="auto"/>
        <w:rPr>
          <w:rFonts w:hint="eastAsia" w:asciiTheme="minorEastAsia" w:hAnsiTheme="minorEastAsia" w:eastAsiaTheme="minorEastAsia" w:cstheme="minorEastAsia"/>
          <w:color w:val="auto"/>
          <w:sz w:val="24"/>
          <w:szCs w:val="24"/>
          <w:highlight w:val="none"/>
        </w:rPr>
      </w:pPr>
    </w:p>
    <w:p w14:paraId="4F20984F">
      <w:pPr>
        <w:spacing w:line="240" w:lineRule="auto"/>
        <w:ind w:firstLine="3240" w:firstLineChars="1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（签名）     </w:t>
      </w:r>
    </w:p>
    <w:p w14:paraId="460FBD3A">
      <w:pPr>
        <w:spacing w:line="240" w:lineRule="auto"/>
        <w:jc w:val="left"/>
        <w:rPr>
          <w:rFonts w:hint="eastAsia" w:asciiTheme="minorEastAsia" w:hAnsiTheme="minorEastAsia" w:eastAsiaTheme="minorEastAsia" w:cstheme="minorEastAsia"/>
          <w:color w:val="auto"/>
          <w:sz w:val="24"/>
          <w:szCs w:val="24"/>
          <w:highlight w:val="none"/>
        </w:rPr>
      </w:pPr>
    </w:p>
    <w:p w14:paraId="63F0D3BF">
      <w:pPr>
        <w:spacing w:line="240" w:lineRule="auto"/>
        <w:ind w:firstLine="3240" w:firstLineChars="135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身 份 证 号：</w:t>
      </w:r>
      <w:r>
        <w:rPr>
          <w:rFonts w:hint="eastAsia" w:asciiTheme="minorEastAsia" w:hAnsiTheme="minorEastAsia" w:eastAsiaTheme="minorEastAsia" w:cstheme="minorEastAsia"/>
          <w:color w:val="auto"/>
          <w:sz w:val="24"/>
          <w:szCs w:val="24"/>
          <w:highlight w:val="none"/>
          <w:u w:val="single"/>
        </w:rPr>
        <w:t xml:space="preserve">                        </w:t>
      </w:r>
    </w:p>
    <w:p w14:paraId="58F40FB7">
      <w:pPr>
        <w:spacing w:line="240" w:lineRule="auto"/>
        <w:rPr>
          <w:rFonts w:hint="eastAsia" w:asciiTheme="minorEastAsia" w:hAnsiTheme="minorEastAsia" w:eastAsiaTheme="minorEastAsia" w:cstheme="minorEastAsia"/>
          <w:color w:val="auto"/>
          <w:sz w:val="24"/>
          <w:szCs w:val="24"/>
          <w:highlight w:val="none"/>
        </w:rPr>
      </w:pPr>
    </w:p>
    <w:p w14:paraId="40D66F8D">
      <w:pPr>
        <w:spacing w:line="240" w:lineRule="auto"/>
        <w:ind w:firstLine="3120" w:firstLineChars="13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 xml:space="preserve"> 授权委托日期：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16EFDD0E">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0366DAE2">
      <w:pPr>
        <w:numPr>
          <w:ilvl w:val="0"/>
          <w:numId w:val="0"/>
        </w:numPr>
        <w:bidi w:val="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附件2： </w:t>
      </w:r>
    </w:p>
    <w:p w14:paraId="415FE295">
      <w:pPr>
        <w:numPr>
          <w:ilvl w:val="0"/>
          <w:numId w:val="0"/>
        </w:numPr>
        <w:bidi w:val="0"/>
        <w:jc w:val="center"/>
        <w:outlineLvl w:val="0"/>
        <w:rPr>
          <w:rFonts w:hint="eastAsia" w:asciiTheme="minorEastAsia" w:hAnsiTheme="minorEastAsia" w:eastAsiaTheme="minorEastAsia" w:cstheme="minorEastAsia"/>
          <w:b/>
          <w:bCs/>
          <w:color w:val="auto"/>
          <w:sz w:val="24"/>
          <w:szCs w:val="24"/>
          <w:highlight w:val="none"/>
          <w:lang w:val="en-US" w:eastAsia="zh-CN"/>
        </w:rPr>
      </w:pPr>
      <w:bookmarkStart w:id="143" w:name="_Toc22698"/>
      <w:bookmarkStart w:id="144" w:name="_Toc22278"/>
      <w:bookmarkStart w:id="145" w:name="_Toc29619"/>
      <w:r>
        <w:rPr>
          <w:rFonts w:hint="eastAsia" w:asciiTheme="minorEastAsia" w:hAnsiTheme="minorEastAsia" w:eastAsiaTheme="minorEastAsia" w:cstheme="minorEastAsia"/>
          <w:b/>
          <w:bCs/>
          <w:color w:val="auto"/>
          <w:sz w:val="24"/>
          <w:szCs w:val="24"/>
          <w:highlight w:val="none"/>
          <w:lang w:val="en-US" w:eastAsia="zh-CN"/>
        </w:rPr>
        <w:t>近三年无重大违法、违纪书面声明（格式）</w:t>
      </w:r>
      <w:bookmarkEnd w:id="143"/>
      <w:bookmarkEnd w:id="144"/>
      <w:bookmarkEnd w:id="145"/>
    </w:p>
    <w:p w14:paraId="713C4DFB">
      <w:pPr>
        <w:pStyle w:val="47"/>
        <w:rPr>
          <w:rFonts w:hint="eastAsia" w:asciiTheme="minorEastAsia" w:hAnsiTheme="minorEastAsia" w:eastAsiaTheme="minorEastAsia" w:cstheme="minorEastAsia"/>
          <w:color w:val="auto"/>
          <w:sz w:val="24"/>
          <w:szCs w:val="24"/>
          <w:highlight w:val="none"/>
          <w:lang w:val="en-US" w:eastAsia="zh-CN"/>
        </w:rPr>
      </w:pPr>
    </w:p>
    <w:p w14:paraId="091600B0">
      <w:pPr>
        <w:numPr>
          <w:ilvl w:val="0"/>
          <w:numId w:val="0"/>
        </w:numPr>
        <w:bidi w:val="0"/>
        <w:jc w:val="center"/>
        <w:outlineLvl w:val="0"/>
        <w:rPr>
          <w:rFonts w:hint="eastAsia" w:asciiTheme="minorEastAsia" w:hAnsiTheme="minorEastAsia" w:eastAsiaTheme="minorEastAsia" w:cstheme="minorEastAsia"/>
          <w:b/>
          <w:bCs/>
          <w:color w:val="auto"/>
          <w:sz w:val="24"/>
          <w:szCs w:val="24"/>
          <w:highlight w:val="none"/>
          <w:lang w:val="en-US" w:eastAsia="zh-CN"/>
        </w:rPr>
      </w:pPr>
      <w:bookmarkStart w:id="146" w:name="_Toc19328"/>
      <w:bookmarkStart w:id="147" w:name="_Toc132"/>
      <w:bookmarkStart w:id="148" w:name="_Toc14357"/>
      <w:r>
        <w:rPr>
          <w:rFonts w:hint="eastAsia" w:asciiTheme="minorEastAsia" w:hAnsiTheme="minorEastAsia" w:eastAsiaTheme="minorEastAsia" w:cstheme="minorEastAsia"/>
          <w:b/>
          <w:bCs/>
          <w:color w:val="auto"/>
          <w:sz w:val="24"/>
          <w:szCs w:val="24"/>
          <w:highlight w:val="none"/>
          <w:lang w:val="en-US" w:eastAsia="zh-CN"/>
        </w:rPr>
        <w:t>近三年无重大违法、违纪书面声明</w:t>
      </w:r>
      <w:bookmarkEnd w:id="146"/>
      <w:bookmarkEnd w:id="147"/>
      <w:bookmarkEnd w:id="148"/>
    </w:p>
    <w:p w14:paraId="4710001B">
      <w:pPr>
        <w:pStyle w:val="15"/>
        <w:rPr>
          <w:rFonts w:hint="eastAsia" w:asciiTheme="minorEastAsia" w:hAnsiTheme="minorEastAsia" w:eastAsiaTheme="minorEastAsia" w:cstheme="minorEastAsia"/>
          <w:color w:val="auto"/>
          <w:sz w:val="24"/>
          <w:szCs w:val="24"/>
          <w:highlight w:val="none"/>
          <w:lang w:val="en-US" w:eastAsia="zh-CN"/>
        </w:rPr>
      </w:pPr>
    </w:p>
    <w:p w14:paraId="7E2751E1">
      <w:pPr>
        <w:spacing w:line="480" w:lineRule="exact"/>
        <w:ind w:left="0" w:leftChars="0" w:firstLine="0" w:firstLineChars="0"/>
        <w:outlineLvl w:val="0"/>
        <w:rPr>
          <w:rFonts w:hint="eastAsia" w:asciiTheme="minorEastAsia" w:hAnsiTheme="minorEastAsia" w:eastAsiaTheme="minorEastAsia" w:cstheme="minorEastAsia"/>
          <w:color w:val="auto"/>
          <w:sz w:val="24"/>
          <w:szCs w:val="24"/>
          <w:highlight w:val="none"/>
          <w:lang w:eastAsia="zh-CN"/>
        </w:rPr>
      </w:pPr>
      <w:bookmarkStart w:id="149" w:name="_Toc6967"/>
      <w:bookmarkStart w:id="150" w:name="_Toc2019"/>
      <w:bookmarkStart w:id="151" w:name="_Toc23712"/>
      <w:r>
        <w:rPr>
          <w:rFonts w:hint="eastAsia" w:asciiTheme="minorEastAsia" w:hAnsiTheme="minorEastAsia" w:eastAsiaTheme="minorEastAsia" w:cstheme="minorEastAsia"/>
          <w:b/>
          <w:color w:val="auto"/>
          <w:sz w:val="24"/>
          <w:szCs w:val="24"/>
          <w:highlight w:val="none"/>
        </w:rPr>
        <w:t>致：</w:t>
      </w:r>
      <w:bookmarkEnd w:id="149"/>
      <w:r>
        <w:rPr>
          <w:rFonts w:hint="eastAsia" w:asciiTheme="minorEastAsia" w:hAnsiTheme="minorEastAsia" w:eastAsiaTheme="minorEastAsia" w:cstheme="minorEastAsia"/>
          <w:b/>
          <w:color w:val="auto"/>
          <w:sz w:val="24"/>
          <w:szCs w:val="24"/>
          <w:highlight w:val="none"/>
          <w:u w:val="single"/>
          <w:lang w:eastAsia="zh-CN"/>
        </w:rPr>
        <w:t>中智达项目管理有限公司</w:t>
      </w:r>
      <w:bookmarkEnd w:id="150"/>
      <w:bookmarkEnd w:id="151"/>
      <w:r>
        <w:rPr>
          <w:rFonts w:hint="eastAsia" w:asciiTheme="minorEastAsia" w:hAnsiTheme="minorEastAsia" w:eastAsiaTheme="minorEastAsia" w:cstheme="minorEastAsia"/>
          <w:b/>
          <w:color w:val="auto"/>
          <w:sz w:val="24"/>
          <w:szCs w:val="24"/>
          <w:highlight w:val="none"/>
          <w:u w:val="single"/>
          <w:lang w:eastAsia="zh-CN"/>
        </w:rPr>
        <w:t xml:space="preserve">  </w:t>
      </w:r>
    </w:p>
    <w:p w14:paraId="63647583">
      <w:pPr>
        <w:spacing w:line="52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我单位声明参加本次政府采购活动</w:t>
      </w:r>
      <w:r>
        <w:rPr>
          <w:rFonts w:hint="eastAsia" w:asciiTheme="minorEastAsia" w:hAnsiTheme="minorEastAsia" w:eastAsiaTheme="minorEastAsia" w:cstheme="minorEastAsia"/>
          <w:color w:val="auto"/>
          <w:sz w:val="24"/>
          <w:szCs w:val="24"/>
          <w:highlight w:val="none"/>
          <w:lang w:eastAsia="zh-CN"/>
        </w:rPr>
        <w:t>近三年</w:t>
      </w:r>
      <w:r>
        <w:rPr>
          <w:rFonts w:hint="eastAsia" w:asciiTheme="minorEastAsia" w:hAnsiTheme="minorEastAsia" w:eastAsiaTheme="minorEastAsia" w:cstheme="minorEastAsia"/>
          <w:color w:val="auto"/>
          <w:sz w:val="24"/>
          <w:szCs w:val="24"/>
          <w:highlight w:val="none"/>
        </w:rPr>
        <w:t>内，在经营活动中没有重大违纪，以及未被列入失信被执行人、未在重大税收违法案件当事人名单及政府采购严重违法失信行为记录名单中。</w:t>
      </w:r>
    </w:p>
    <w:p w14:paraId="1F4447B9">
      <w:pPr>
        <w:spacing w:line="52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以上如构成虚假，自愿承担相关法律责任。</w:t>
      </w:r>
    </w:p>
    <w:p w14:paraId="42A59BCC">
      <w:pPr>
        <w:spacing w:line="360" w:lineRule="auto"/>
        <w:jc w:val="left"/>
        <w:rPr>
          <w:rFonts w:hint="eastAsia" w:asciiTheme="minorEastAsia" w:hAnsiTheme="minorEastAsia" w:eastAsiaTheme="minorEastAsia" w:cstheme="minorEastAsia"/>
          <w:b/>
          <w:color w:val="auto"/>
          <w:sz w:val="24"/>
          <w:szCs w:val="24"/>
          <w:highlight w:val="none"/>
        </w:rPr>
      </w:pPr>
    </w:p>
    <w:p w14:paraId="12E476F6">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0035787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p>
    <w:p w14:paraId="58BA4C7B">
      <w:pPr>
        <w:spacing w:line="480" w:lineRule="auto"/>
        <w:ind w:firstLine="480" w:firstLineChars="200"/>
        <w:jc w:val="left"/>
        <w:rPr>
          <w:rFonts w:hint="eastAsia" w:asciiTheme="minorEastAsia" w:hAnsiTheme="minorEastAsia" w:eastAsiaTheme="minorEastAsia" w:cstheme="minorEastAsia"/>
          <w:color w:val="auto"/>
          <w:sz w:val="24"/>
          <w:szCs w:val="24"/>
          <w:highlight w:val="none"/>
        </w:rPr>
      </w:pPr>
    </w:p>
    <w:p w14:paraId="42D31739">
      <w:pPr>
        <w:pStyle w:val="13"/>
        <w:rPr>
          <w:rFonts w:hint="eastAsia" w:asciiTheme="minorEastAsia" w:hAnsiTheme="minorEastAsia" w:eastAsiaTheme="minorEastAsia" w:cstheme="minorEastAsia"/>
          <w:highlight w:val="none"/>
        </w:rPr>
      </w:pPr>
    </w:p>
    <w:p w14:paraId="786E8E5D">
      <w:pPr>
        <w:spacing w:line="48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36A92FBE">
      <w:pPr>
        <w:spacing w:line="480" w:lineRule="auto"/>
        <w:ind w:firstLine="4080" w:firstLineChars="17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声明人（公章）：</w:t>
      </w:r>
      <w:r>
        <w:rPr>
          <w:rFonts w:hint="eastAsia" w:asciiTheme="minorEastAsia" w:hAnsiTheme="minorEastAsia" w:eastAsiaTheme="minorEastAsia" w:cstheme="minorEastAsia"/>
          <w:color w:val="auto"/>
          <w:sz w:val="24"/>
          <w:szCs w:val="24"/>
          <w:highlight w:val="none"/>
          <w:u w:val="single"/>
        </w:rPr>
        <w:t xml:space="preserve">                        </w:t>
      </w:r>
    </w:p>
    <w:p w14:paraId="4CF6BBFE">
      <w:pPr>
        <w:spacing w:line="48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7A5A6D49">
      <w:pPr>
        <w:tabs>
          <w:tab w:val="left" w:pos="3990"/>
        </w:tabs>
        <w:spacing w:line="48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                              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rPr>
        <w:t xml:space="preserve"> </w:t>
      </w:r>
    </w:p>
    <w:p w14:paraId="56C85603">
      <w:pPr>
        <w:rPr>
          <w:rFonts w:hint="eastAsia" w:asciiTheme="minorEastAsia" w:hAnsiTheme="minorEastAsia" w:eastAsiaTheme="minorEastAsia" w:cstheme="minorEastAsia"/>
          <w:color w:val="auto"/>
          <w:sz w:val="24"/>
          <w:szCs w:val="24"/>
          <w:highlight w:val="none"/>
          <w:lang w:val="zh-CN"/>
        </w:rPr>
      </w:pPr>
    </w:p>
    <w:p w14:paraId="351B99E6">
      <w:pPr>
        <w:ind w:left="0" w:leftChars="0" w:firstLine="0" w:firstLineChars="0"/>
        <w:rPr>
          <w:rFonts w:hint="eastAsia" w:asciiTheme="minorEastAsia" w:hAnsiTheme="minorEastAsia" w:eastAsiaTheme="minorEastAsia" w:cstheme="minorEastAsia"/>
          <w:color w:val="auto"/>
          <w:sz w:val="24"/>
          <w:szCs w:val="24"/>
          <w:highlight w:val="none"/>
          <w:u w:val="single"/>
          <w:lang w:val="zh-CN" w:eastAsia="zh-CN"/>
        </w:rPr>
      </w:pPr>
    </w:p>
    <w:p w14:paraId="492235B1">
      <w:pPr>
        <w:ind w:left="0" w:leftChars="0" w:firstLine="0" w:firstLineChars="0"/>
        <w:rPr>
          <w:rFonts w:hint="eastAsia" w:asciiTheme="minorEastAsia" w:hAnsiTheme="minorEastAsia" w:eastAsiaTheme="minorEastAsia" w:cstheme="minorEastAsia"/>
          <w:color w:val="auto"/>
          <w:sz w:val="24"/>
          <w:szCs w:val="24"/>
          <w:highlight w:val="none"/>
          <w:u w:val="single"/>
          <w:lang w:val="zh-CN" w:eastAsia="zh-CN"/>
        </w:rPr>
      </w:pPr>
    </w:p>
    <w:p w14:paraId="2D8C4AB8">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402EC5B7">
      <w:pPr>
        <w:pStyle w:val="13"/>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第二部分、符合性证明文件</w:t>
      </w:r>
    </w:p>
    <w:bookmarkEnd w:id="133"/>
    <w:bookmarkEnd w:id="134"/>
    <w:bookmarkEnd w:id="135"/>
    <w:bookmarkEnd w:id="136"/>
    <w:bookmarkEnd w:id="137"/>
    <w:bookmarkEnd w:id="138"/>
    <w:p w14:paraId="2EF61D2D">
      <w:pPr>
        <w:keepNext w:val="0"/>
        <w:keepLines w:val="0"/>
        <w:pageBreakBefore w:val="0"/>
        <w:widowControl w:val="0"/>
        <w:numPr>
          <w:ilvl w:val="0"/>
          <w:numId w:val="0"/>
        </w:numPr>
        <w:kinsoku/>
        <w:wordWrap/>
        <w:overflowPunct/>
        <w:topLinePunct w:val="0"/>
        <w:autoSpaceDE/>
        <w:autoSpaceDN/>
        <w:bidi w:val="0"/>
        <w:spacing w:line="500" w:lineRule="exact"/>
        <w:ind w:leftChars="0"/>
        <w:jc w:val="center"/>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响</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应</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函</w:t>
      </w:r>
    </w:p>
    <w:p w14:paraId="4BC4F61B">
      <w:pPr>
        <w:pStyle w:val="47"/>
        <w:keepNext w:val="0"/>
        <w:keepLines w:val="0"/>
        <w:pageBreakBefore w:val="0"/>
        <w:widowControl w:val="0"/>
        <w:numPr>
          <w:ilvl w:val="0"/>
          <w:numId w:val="0"/>
        </w:numPr>
        <w:kinsoku/>
        <w:wordWrap/>
        <w:overflowPunct/>
        <w:topLinePunct w:val="0"/>
        <w:autoSpaceDE/>
        <w:autoSpaceDN/>
        <w:bidi w:val="0"/>
        <w:spacing w:line="500" w:lineRule="exact"/>
        <w:ind w:leftChars="200"/>
        <w:rPr>
          <w:rFonts w:hint="eastAsia" w:asciiTheme="minorEastAsia" w:hAnsiTheme="minorEastAsia" w:eastAsiaTheme="minorEastAsia" w:cstheme="minorEastAsia"/>
          <w:color w:val="auto"/>
          <w:sz w:val="24"/>
          <w:szCs w:val="24"/>
          <w:highlight w:val="none"/>
          <w:lang w:val="en-US" w:eastAsia="zh-CN"/>
        </w:rPr>
      </w:pPr>
    </w:p>
    <w:p w14:paraId="517B483B">
      <w:pPr>
        <w:keepNext w:val="0"/>
        <w:keepLines w:val="0"/>
        <w:pageBreakBefore w:val="0"/>
        <w:widowControl w:val="0"/>
        <w:kinsoku/>
        <w:wordWrap/>
        <w:overflowPunct/>
        <w:topLinePunct w:val="0"/>
        <w:autoSpaceDE/>
        <w:autoSpaceDN/>
        <w:bidi w:val="0"/>
        <w:spacing w:line="500" w:lineRule="exact"/>
        <w:ind w:left="0" w:leftChars="0" w:firstLine="0" w:firstLineChars="0"/>
        <w:rPr>
          <w:rFonts w:hint="eastAsia" w:asciiTheme="minorEastAsia" w:hAnsiTheme="minorEastAsia" w:eastAsiaTheme="minorEastAsia" w:cstheme="minorEastAsia"/>
          <w:b w:val="0"/>
          <w:bCs/>
          <w:color w:val="auto"/>
          <w:sz w:val="24"/>
          <w:szCs w:val="24"/>
          <w:highlight w:val="none"/>
          <w:u w:val="single"/>
          <w:lang w:eastAsia="zh-CN"/>
        </w:rPr>
      </w:pPr>
      <w:r>
        <w:rPr>
          <w:rFonts w:hint="eastAsia" w:asciiTheme="minorEastAsia" w:hAnsiTheme="minorEastAsia" w:eastAsiaTheme="minorEastAsia" w:cstheme="minorEastAsia"/>
          <w:b w:val="0"/>
          <w:bCs/>
          <w:color w:val="auto"/>
          <w:sz w:val="24"/>
          <w:szCs w:val="24"/>
          <w:highlight w:val="none"/>
        </w:rPr>
        <w:t>致：</w:t>
      </w:r>
      <w:r>
        <w:rPr>
          <w:rFonts w:hint="eastAsia" w:asciiTheme="minorEastAsia" w:hAnsiTheme="minorEastAsia" w:eastAsiaTheme="minorEastAsia" w:cstheme="minorEastAsia"/>
          <w:b w:val="0"/>
          <w:bCs/>
          <w:color w:val="auto"/>
          <w:sz w:val="24"/>
          <w:szCs w:val="24"/>
          <w:highlight w:val="none"/>
          <w:u w:val="single"/>
          <w:lang w:val="en-US" w:eastAsia="zh-CN"/>
        </w:rPr>
        <w:t>麟游县中医医院</w:t>
      </w:r>
    </w:p>
    <w:p w14:paraId="0038113D">
      <w:pPr>
        <w:keepNext w:val="0"/>
        <w:keepLines w:val="0"/>
        <w:pageBreakBefore w:val="0"/>
        <w:widowControl w:val="0"/>
        <w:kinsoku/>
        <w:wordWrap/>
        <w:overflowPunct/>
        <w:topLinePunct w:val="0"/>
        <w:autoSpaceDE/>
        <w:autoSpaceDN/>
        <w:bidi w:val="0"/>
        <w:spacing w:line="50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根据贵单位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（采购</w:t>
      </w:r>
      <w:r>
        <w:rPr>
          <w:rFonts w:hint="eastAsia" w:asciiTheme="minorEastAsia" w:hAnsiTheme="minorEastAsia" w:eastAsiaTheme="minorEastAsia" w:cstheme="minorEastAsia"/>
          <w:color w:val="auto"/>
          <w:sz w:val="24"/>
          <w:szCs w:val="24"/>
          <w:highlight w:val="none"/>
          <w:u w:val="single"/>
          <w:lang w:eastAsia="zh-CN"/>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（项目编号）</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，我方代表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（姓名、职务）   </w:t>
      </w:r>
      <w:r>
        <w:rPr>
          <w:rFonts w:hint="eastAsia" w:asciiTheme="minorEastAsia" w:hAnsiTheme="minorEastAsia" w:eastAsiaTheme="minorEastAsia" w:cstheme="minorEastAsia"/>
          <w:color w:val="auto"/>
          <w:sz w:val="24"/>
          <w:szCs w:val="24"/>
          <w:highlight w:val="none"/>
        </w:rPr>
        <w:t>经正式授权并代表</w:t>
      </w:r>
      <w:r>
        <w:rPr>
          <w:rFonts w:hint="eastAsia" w:asciiTheme="minorEastAsia" w:hAnsiTheme="minorEastAsia" w:eastAsiaTheme="minorEastAsia" w:cstheme="minorEastAsia"/>
          <w:color w:val="auto"/>
          <w:sz w:val="24"/>
          <w:szCs w:val="24"/>
          <w:highlight w:val="none"/>
          <w:u w:val="single"/>
        </w:rPr>
        <w:t xml:space="preserve">     （供应商名称）     </w:t>
      </w:r>
      <w:r>
        <w:rPr>
          <w:rFonts w:hint="eastAsia" w:asciiTheme="minorEastAsia" w:hAnsiTheme="minorEastAsia" w:eastAsiaTheme="minorEastAsia" w:cstheme="minorEastAsia"/>
          <w:color w:val="auto"/>
          <w:sz w:val="24"/>
          <w:szCs w:val="24"/>
          <w:highlight w:val="none"/>
        </w:rPr>
        <w:t>就该项目进行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p>
    <w:p w14:paraId="38C5386C">
      <w:pPr>
        <w:keepNext w:val="0"/>
        <w:keepLines w:val="0"/>
        <w:pageBreakBefore w:val="0"/>
        <w:widowControl w:val="0"/>
        <w:kinsoku/>
        <w:wordWrap/>
        <w:overflowPunct/>
        <w:topLinePunct w:val="0"/>
        <w:autoSpaceDE/>
        <w:autoSpaceDN/>
        <w:bidi w:val="0"/>
        <w:spacing w:line="5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在此，我方郑重承诺以下诸点，并负法律责任：</w:t>
      </w:r>
    </w:p>
    <w:p w14:paraId="4A50B9D2">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1、我方具备本项目竞争性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文件中规定的资格条件。</w:t>
      </w:r>
    </w:p>
    <w:p w14:paraId="4820919C">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2、我方已详细审阅竞争性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响应文件，确认无误。</w:t>
      </w:r>
    </w:p>
    <w:p w14:paraId="77FB0458">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3、我方所附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报价表中应提交和交付的</w:t>
      </w:r>
      <w:r>
        <w:rPr>
          <w:rFonts w:hint="eastAsia" w:asciiTheme="minorEastAsia" w:hAnsiTheme="minorEastAsia" w:eastAsiaTheme="minorEastAsia" w:cstheme="minorEastAsia"/>
          <w:color w:val="auto"/>
          <w:sz w:val="24"/>
          <w:szCs w:val="24"/>
          <w:highlight w:val="none"/>
          <w:lang w:val="en-US" w:eastAsia="zh-CN"/>
        </w:rPr>
        <w:t>服务内容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总价为人民币：</w:t>
      </w:r>
    </w:p>
    <w:p w14:paraId="6EDAA93C">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3D7FD85A">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4、我方已详细审查全部竞争性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文件（包括澄清函、补充通知等），完全理解供应商须知的所有条款。</w:t>
      </w:r>
    </w:p>
    <w:p w14:paraId="07539B34">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5、我方完全满足和响应竞争性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文件中的各项商务和技术要求，若有偏差，已在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响应文件中明确说明。</w:t>
      </w:r>
    </w:p>
    <w:p w14:paraId="2585C7C7">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6、我方接受竞争性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文件中全部合同条款，且无任何异议；保证忠实地执行双方所签订的合同，并承担合同规定的责任和义务。</w:t>
      </w:r>
    </w:p>
    <w:p w14:paraId="06C8D049">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7、我方完全理解并同意竞争性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文件中有关没收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保证金、要求专业担保机构先行偿付和拒绝</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的条款。</w:t>
      </w:r>
    </w:p>
    <w:p w14:paraId="3D007B69">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8、我方同意按照要求提供</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响应有关的一切数据或资料。</w:t>
      </w:r>
    </w:p>
    <w:p w14:paraId="4086CBD4">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9、我方同意按竞争性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文件规定，遵守贵方有关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的各项规定和要求。</w:t>
      </w:r>
    </w:p>
    <w:p w14:paraId="620A66F3">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10、我方对本次</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 xml:space="preserve">内容及与本项目有关的知识产权、技术资料、商业秘密及相关信息保密。 </w:t>
      </w:r>
    </w:p>
    <w:p w14:paraId="1CF28190">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11、我方与采购人和采购代理机构无任何的隶属关系或者其他利害关系。</w:t>
      </w:r>
    </w:p>
    <w:p w14:paraId="79D68537">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12、若我方被选为成交供应商，我方保证按有关规定向贵方支付</w:t>
      </w:r>
      <w:r>
        <w:rPr>
          <w:rFonts w:hint="eastAsia" w:asciiTheme="minorEastAsia" w:hAnsiTheme="minorEastAsia" w:eastAsiaTheme="minorEastAsia" w:cstheme="minorEastAsia"/>
          <w:color w:val="auto"/>
          <w:sz w:val="24"/>
          <w:szCs w:val="24"/>
          <w:highlight w:val="none"/>
          <w:lang w:eastAsia="zh-CN"/>
        </w:rPr>
        <w:t>代理服务费</w:t>
      </w:r>
      <w:r>
        <w:rPr>
          <w:rFonts w:hint="eastAsia" w:asciiTheme="minorEastAsia" w:hAnsiTheme="minorEastAsia" w:eastAsiaTheme="minorEastAsia" w:cstheme="minorEastAsia"/>
          <w:color w:val="auto"/>
          <w:sz w:val="24"/>
          <w:szCs w:val="24"/>
          <w:highlight w:val="none"/>
        </w:rPr>
        <w:t>。</w:t>
      </w:r>
    </w:p>
    <w:p w14:paraId="37EDA595">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响应有效期为</w:t>
      </w:r>
      <w:r>
        <w:rPr>
          <w:rFonts w:hint="eastAsia" w:asciiTheme="minorEastAsia" w:hAnsiTheme="minorEastAsia" w:eastAsiaTheme="minorEastAsia" w:cstheme="minorEastAsia"/>
          <w:color w:val="auto"/>
          <w:sz w:val="24"/>
          <w:szCs w:val="24"/>
          <w:highlight w:val="none"/>
          <w:lang w:eastAsia="zh-CN"/>
        </w:rPr>
        <w:t>自提交磋商响应文件的截止之日起</w:t>
      </w:r>
      <w:r>
        <w:rPr>
          <w:rFonts w:hint="eastAsia" w:asciiTheme="minorEastAsia" w:hAnsiTheme="minorEastAsia" w:eastAsiaTheme="minorEastAsia" w:cstheme="minorEastAsia"/>
          <w:color w:val="auto"/>
          <w:sz w:val="24"/>
          <w:szCs w:val="24"/>
          <w:highlight w:val="none"/>
          <w:lang w:val="en-US" w:eastAsia="zh-CN"/>
        </w:rPr>
        <w:t>90</w:t>
      </w:r>
      <w:r>
        <w:rPr>
          <w:rFonts w:hint="eastAsia" w:asciiTheme="minorEastAsia" w:hAnsiTheme="minorEastAsia" w:eastAsiaTheme="minorEastAsia" w:cstheme="minorEastAsia"/>
          <w:color w:val="auto"/>
          <w:sz w:val="24"/>
          <w:szCs w:val="24"/>
          <w:highlight w:val="none"/>
          <w:lang w:eastAsia="zh-CN"/>
        </w:rPr>
        <w:t>个日历天</w:t>
      </w:r>
      <w:r>
        <w:rPr>
          <w:rFonts w:hint="eastAsia" w:asciiTheme="minorEastAsia" w:hAnsiTheme="minorEastAsia" w:eastAsiaTheme="minorEastAsia" w:cstheme="minorEastAsia"/>
          <w:color w:val="auto"/>
          <w:sz w:val="24"/>
          <w:szCs w:val="24"/>
          <w:highlight w:val="none"/>
        </w:rPr>
        <w:t>。</w:t>
      </w:r>
    </w:p>
    <w:p w14:paraId="687EE417">
      <w:pPr>
        <w:keepNext w:val="0"/>
        <w:keepLines w:val="0"/>
        <w:pageBreakBefore w:val="0"/>
        <w:widowControl w:val="0"/>
        <w:kinsoku/>
        <w:wordWrap/>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14、所有关于本项目的函电，请按下列地址联系：</w:t>
      </w:r>
    </w:p>
    <w:p w14:paraId="5EC607B3">
      <w:pPr>
        <w:pStyle w:val="53"/>
        <w:keepNext w:val="0"/>
        <w:keepLines w:val="0"/>
        <w:pageBreakBefore w:val="0"/>
        <w:widowControl w:val="0"/>
        <w:kinsoku/>
        <w:wordWrap/>
        <w:overflowPunct/>
        <w:topLinePunct w:val="0"/>
        <w:autoSpaceDE/>
        <w:autoSpaceDN/>
        <w:bidi w:val="0"/>
        <w:spacing w:line="500" w:lineRule="exact"/>
        <w:rPr>
          <w:rFonts w:hint="eastAsia" w:asciiTheme="minorEastAsia" w:hAnsiTheme="minorEastAsia" w:eastAsiaTheme="minorEastAsia" w:cstheme="minorEastAsia"/>
          <w:color w:val="auto"/>
          <w:sz w:val="24"/>
          <w:szCs w:val="24"/>
          <w:highlight w:val="none"/>
        </w:rPr>
      </w:pPr>
    </w:p>
    <w:p w14:paraId="7334EF25">
      <w:pPr>
        <w:keepNext w:val="0"/>
        <w:keepLines w:val="0"/>
        <w:pageBreakBefore w:val="0"/>
        <w:widowControl w:val="0"/>
        <w:kinsoku/>
        <w:wordWrap/>
        <w:overflowPunct/>
        <w:topLinePunct w:val="0"/>
        <w:autoSpaceDE/>
        <w:autoSpaceDN/>
        <w:bidi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供应商全称（</w:t>
      </w:r>
      <w:r>
        <w:rPr>
          <w:rFonts w:hint="eastAsia" w:asciiTheme="minorEastAsia" w:hAnsiTheme="minorEastAsia" w:eastAsiaTheme="minorEastAsia" w:cstheme="minorEastAsia"/>
          <w:color w:val="auto"/>
          <w:sz w:val="24"/>
          <w:szCs w:val="24"/>
          <w:highlight w:val="none"/>
          <w:lang w:val="en-US" w:eastAsia="zh-CN"/>
        </w:rPr>
        <w:t>盖</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rPr>
        <w:t xml:space="preserve">                                </w:t>
      </w:r>
    </w:p>
    <w:p w14:paraId="691CA6DC">
      <w:pPr>
        <w:keepNext w:val="0"/>
        <w:keepLines w:val="0"/>
        <w:pageBreakBefore w:val="0"/>
        <w:widowControl w:val="0"/>
        <w:kinsoku/>
        <w:wordWrap/>
        <w:overflowPunct/>
        <w:topLinePunct w:val="0"/>
        <w:autoSpaceDE/>
        <w:autoSpaceDN/>
        <w:bidi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u w:val="single"/>
        </w:rPr>
        <w:t xml:space="preserve">                                    </w:t>
      </w:r>
    </w:p>
    <w:p w14:paraId="2787174B">
      <w:pPr>
        <w:keepNext w:val="0"/>
        <w:keepLines w:val="0"/>
        <w:pageBreakBefore w:val="0"/>
        <w:widowControl w:val="0"/>
        <w:kinsoku/>
        <w:wordWrap/>
        <w:overflowPunct/>
        <w:topLinePunct w:val="0"/>
        <w:autoSpaceDE/>
        <w:autoSpaceDN/>
        <w:bidi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37622C73">
      <w:pPr>
        <w:keepNext w:val="0"/>
        <w:keepLines w:val="0"/>
        <w:pageBreakBefore w:val="0"/>
        <w:widowControl w:val="0"/>
        <w:kinsoku/>
        <w:wordWrap/>
        <w:overflowPunct/>
        <w:topLinePunct w:val="0"/>
        <w:autoSpaceDE/>
        <w:autoSpaceDN/>
        <w:bidi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p>
    <w:p w14:paraId="240D79F1">
      <w:pPr>
        <w:keepNext w:val="0"/>
        <w:keepLines w:val="0"/>
        <w:pageBreakBefore w:val="0"/>
        <w:widowControl w:val="0"/>
        <w:kinsoku/>
        <w:wordWrap/>
        <w:overflowPunct/>
        <w:topLinePunct w:val="0"/>
        <w:autoSpaceDE/>
        <w:autoSpaceDN/>
        <w:bidi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    号：</w:t>
      </w:r>
      <w:r>
        <w:rPr>
          <w:rFonts w:hint="eastAsia" w:asciiTheme="minorEastAsia" w:hAnsiTheme="minorEastAsia" w:eastAsiaTheme="minorEastAsia" w:cstheme="minorEastAsia"/>
          <w:color w:val="auto"/>
          <w:sz w:val="24"/>
          <w:szCs w:val="24"/>
          <w:highlight w:val="none"/>
          <w:u w:val="single"/>
        </w:rPr>
        <w:t xml:space="preserve">                                          </w:t>
      </w:r>
    </w:p>
    <w:p w14:paraId="414BFD49">
      <w:pPr>
        <w:keepNext w:val="0"/>
        <w:keepLines w:val="0"/>
        <w:pageBreakBefore w:val="0"/>
        <w:widowControl w:val="0"/>
        <w:kinsoku/>
        <w:wordWrap/>
        <w:overflowPunct/>
        <w:topLinePunct w:val="0"/>
        <w:autoSpaceDE/>
        <w:autoSpaceDN/>
        <w:bidi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D772587">
      <w:pPr>
        <w:keepNext w:val="0"/>
        <w:keepLines w:val="0"/>
        <w:pageBreakBefore w:val="0"/>
        <w:widowControl w:val="0"/>
        <w:kinsoku/>
        <w:wordWrap/>
        <w:overflowPunct/>
        <w:topLinePunct w:val="0"/>
        <w:autoSpaceDE/>
        <w:autoSpaceDN/>
        <w:bidi w:val="0"/>
        <w:snapToGrid w:val="0"/>
        <w:spacing w:line="500" w:lineRule="exact"/>
        <w:jc w:val="center"/>
        <w:rPr>
          <w:rFonts w:hint="eastAsia" w:asciiTheme="minorEastAsia" w:hAnsiTheme="minorEastAsia" w:eastAsiaTheme="minorEastAsia" w:cstheme="minorEastAsia"/>
          <w:color w:val="auto"/>
          <w:sz w:val="24"/>
          <w:szCs w:val="24"/>
          <w:highlight w:val="none"/>
        </w:rPr>
      </w:pPr>
    </w:p>
    <w:p w14:paraId="52D825F3">
      <w:pPr>
        <w:keepNext w:val="0"/>
        <w:keepLines w:val="0"/>
        <w:pageBreakBefore w:val="0"/>
        <w:widowControl w:val="0"/>
        <w:kinsoku/>
        <w:wordWrap/>
        <w:overflowPunct/>
        <w:topLinePunct w:val="0"/>
        <w:autoSpaceDE/>
        <w:autoSpaceDN/>
        <w:bidi w:val="0"/>
        <w:snapToGrid w:val="0"/>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6CDE276A">
      <w:pPr>
        <w:keepNext w:val="0"/>
        <w:keepLines w:val="0"/>
        <w:pageBreakBefore w:val="0"/>
        <w:widowControl w:val="0"/>
        <w:kinsoku/>
        <w:wordWrap/>
        <w:overflowPunct/>
        <w:topLinePunct w:val="0"/>
        <w:autoSpaceDE/>
        <w:autoSpaceDN/>
        <w:bidi w:val="0"/>
        <w:snapToGrid w:val="0"/>
        <w:spacing w:line="500" w:lineRule="exact"/>
        <w:jc w:val="center"/>
        <w:rPr>
          <w:rFonts w:hint="eastAsia" w:asciiTheme="minorEastAsia" w:hAnsiTheme="minorEastAsia" w:eastAsiaTheme="minorEastAsia" w:cstheme="minorEastAsia"/>
          <w:color w:val="auto"/>
          <w:sz w:val="24"/>
          <w:szCs w:val="24"/>
          <w:highlight w:val="none"/>
        </w:rPr>
      </w:pPr>
    </w:p>
    <w:p w14:paraId="44FF1BCF">
      <w:pPr>
        <w:keepNext w:val="0"/>
        <w:keepLines w:val="0"/>
        <w:pageBreakBefore w:val="0"/>
        <w:widowControl w:val="0"/>
        <w:kinsoku/>
        <w:wordWrap/>
        <w:overflowPunct/>
        <w:topLinePunct w:val="0"/>
        <w:autoSpaceDE/>
        <w:autoSpaceDN/>
        <w:bidi w:val="0"/>
        <w:snapToGrid w:val="0"/>
        <w:spacing w:line="500" w:lineRule="exact"/>
        <w:jc w:val="righ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zh-CN"/>
        </w:rPr>
        <w:t xml:space="preserve"> </w:t>
      </w:r>
    </w:p>
    <w:p w14:paraId="22337E90">
      <w:pPr>
        <w:pStyle w:val="14"/>
        <w:rPr>
          <w:rFonts w:hint="eastAsia" w:asciiTheme="minorEastAsia" w:hAnsiTheme="minorEastAsia" w:eastAsiaTheme="minorEastAsia" w:cstheme="minorEastAsia"/>
          <w:color w:val="auto"/>
          <w:sz w:val="24"/>
          <w:szCs w:val="24"/>
          <w:highlight w:val="none"/>
          <w:u w:val="single"/>
          <w:lang w:val="en-US" w:eastAsia="zh-CN"/>
        </w:rPr>
      </w:pPr>
    </w:p>
    <w:p w14:paraId="611A9AE2">
      <w:pPr>
        <w:pStyle w:val="14"/>
        <w:rPr>
          <w:rFonts w:hint="eastAsia" w:asciiTheme="minorEastAsia" w:hAnsiTheme="minorEastAsia" w:eastAsiaTheme="minorEastAsia" w:cstheme="minorEastAsia"/>
          <w:color w:val="auto"/>
          <w:sz w:val="24"/>
          <w:szCs w:val="24"/>
          <w:highlight w:val="none"/>
          <w:u w:val="single"/>
          <w:lang w:val="en-US" w:eastAsia="zh-CN"/>
        </w:rPr>
      </w:pPr>
    </w:p>
    <w:p w14:paraId="51A8B2AA">
      <w:pPr>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br w:type="page"/>
      </w:r>
    </w:p>
    <w:p w14:paraId="19421EF6">
      <w:pPr>
        <w:numPr>
          <w:ilvl w:val="0"/>
          <w:numId w:val="0"/>
        </w:numPr>
        <w:ind w:leftChars="0"/>
        <w:jc w:val="center"/>
        <w:outlineLvl w:val="9"/>
        <w:rPr>
          <w:rFonts w:hint="eastAsia" w:asciiTheme="minorEastAsia" w:hAnsiTheme="minorEastAsia" w:eastAsiaTheme="minorEastAsia" w:cstheme="minorEastAsia"/>
          <w:b/>
          <w:bCs/>
          <w:color w:val="auto"/>
          <w:sz w:val="24"/>
          <w:szCs w:val="24"/>
          <w:highlight w:val="none"/>
          <w:lang w:val="en-US" w:eastAsia="zh-CN"/>
        </w:rPr>
      </w:pPr>
      <w:bookmarkStart w:id="152" w:name="_Toc19231"/>
      <w:bookmarkStart w:id="153" w:name="_Toc31028"/>
      <w:bookmarkStart w:id="154" w:name="_Toc6924"/>
      <w:bookmarkStart w:id="155" w:name="_Toc31138"/>
      <w:bookmarkStart w:id="156" w:name="_Toc495681523"/>
      <w:bookmarkStart w:id="157" w:name="_Toc495908038"/>
      <w:bookmarkStart w:id="158" w:name="_Toc9496"/>
      <w:bookmarkStart w:id="159" w:name="_Toc495681396"/>
      <w:bookmarkStart w:id="160" w:name="_Toc495681242"/>
      <w:bookmarkStart w:id="161" w:name="_Toc31519"/>
      <w:bookmarkStart w:id="162" w:name="_Toc8463"/>
      <w:r>
        <w:rPr>
          <w:rFonts w:hint="eastAsia" w:asciiTheme="minorEastAsia" w:hAnsiTheme="minorEastAsia" w:eastAsiaTheme="minorEastAsia" w:cstheme="minorEastAsia"/>
          <w:b/>
          <w:bCs/>
          <w:color w:val="auto"/>
          <w:sz w:val="24"/>
          <w:szCs w:val="24"/>
          <w:highlight w:val="none"/>
          <w:lang w:val="en-US" w:eastAsia="zh-CN"/>
        </w:rPr>
        <w:t>2、第一次磋商报价表</w:t>
      </w:r>
    </w:p>
    <w:p w14:paraId="40A6F58A">
      <w:pPr>
        <w:pStyle w:val="53"/>
        <w:rPr>
          <w:rFonts w:hint="eastAsia" w:asciiTheme="minorEastAsia" w:hAnsiTheme="minorEastAsia" w:eastAsiaTheme="minorEastAsia" w:cstheme="minorEastAsia"/>
          <w:color w:val="auto"/>
          <w:sz w:val="24"/>
          <w:szCs w:val="24"/>
          <w:highlight w:val="none"/>
          <w:lang w:val="en-US" w:eastAsia="zh-CN"/>
        </w:rPr>
      </w:pPr>
    </w:p>
    <w:bookmarkEnd w:id="152"/>
    <w:bookmarkEnd w:id="153"/>
    <w:bookmarkEnd w:id="154"/>
    <w:bookmarkEnd w:id="155"/>
    <w:bookmarkEnd w:id="156"/>
    <w:bookmarkEnd w:id="157"/>
    <w:bookmarkEnd w:id="158"/>
    <w:bookmarkEnd w:id="159"/>
    <w:bookmarkEnd w:id="160"/>
    <w:bookmarkEnd w:id="161"/>
    <w:bookmarkEnd w:id="162"/>
    <w:tbl>
      <w:tblPr>
        <w:tblStyle w:val="30"/>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079"/>
      </w:tblGrid>
      <w:tr w14:paraId="6D48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0" w:type="dxa"/>
            <w:vAlign w:val="center"/>
          </w:tcPr>
          <w:p w14:paraId="49C19B0B">
            <w:pPr>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p>
        </w:tc>
        <w:tc>
          <w:tcPr>
            <w:tcW w:w="6079" w:type="dxa"/>
            <w:vAlign w:val="center"/>
          </w:tcPr>
          <w:p w14:paraId="44E6483B">
            <w:pPr>
              <w:spacing w:line="360" w:lineRule="auto"/>
              <w:jc w:val="center"/>
              <w:rPr>
                <w:rFonts w:hint="eastAsia" w:asciiTheme="minorEastAsia" w:hAnsiTheme="minorEastAsia" w:eastAsiaTheme="minorEastAsia" w:cstheme="minorEastAsia"/>
                <w:color w:val="auto"/>
                <w:sz w:val="24"/>
                <w:szCs w:val="24"/>
                <w:highlight w:val="none"/>
              </w:rPr>
            </w:pPr>
          </w:p>
        </w:tc>
      </w:tr>
      <w:tr w14:paraId="4C60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0" w:type="dxa"/>
            <w:vAlign w:val="center"/>
          </w:tcPr>
          <w:p w14:paraId="665440FB">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项目编号</w:t>
            </w:r>
          </w:p>
        </w:tc>
        <w:tc>
          <w:tcPr>
            <w:tcW w:w="6079" w:type="dxa"/>
            <w:vAlign w:val="center"/>
          </w:tcPr>
          <w:p w14:paraId="51C24341">
            <w:pPr>
              <w:spacing w:line="360" w:lineRule="auto"/>
              <w:jc w:val="center"/>
              <w:rPr>
                <w:rFonts w:hint="eastAsia" w:asciiTheme="minorEastAsia" w:hAnsiTheme="minorEastAsia" w:eastAsiaTheme="minorEastAsia" w:cstheme="minorEastAsia"/>
                <w:color w:val="auto"/>
                <w:sz w:val="24"/>
                <w:szCs w:val="24"/>
                <w:highlight w:val="none"/>
              </w:rPr>
            </w:pPr>
          </w:p>
        </w:tc>
      </w:tr>
      <w:tr w14:paraId="2AD1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520" w:type="dxa"/>
            <w:vAlign w:val="center"/>
          </w:tcPr>
          <w:p w14:paraId="093696C9">
            <w:pPr>
              <w:autoSpaceDE w:val="0"/>
              <w:autoSpaceDN w:val="0"/>
              <w:adjustRightInd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总报价（元）</w:t>
            </w:r>
          </w:p>
        </w:tc>
        <w:tc>
          <w:tcPr>
            <w:tcW w:w="6079" w:type="dxa"/>
            <w:vAlign w:val="center"/>
          </w:tcPr>
          <w:p w14:paraId="0C2EADB4">
            <w:pPr>
              <w:autoSpaceDE w:val="0"/>
              <w:autoSpaceDN w:val="0"/>
              <w:adjustRightIn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E20ABA2">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tc>
      </w:tr>
      <w:tr w14:paraId="7547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0" w:type="dxa"/>
            <w:vAlign w:val="center"/>
          </w:tcPr>
          <w:p w14:paraId="027E7702">
            <w:pPr>
              <w:autoSpaceDE w:val="0"/>
              <w:autoSpaceDN w:val="0"/>
              <w:adjustRightInd w:val="0"/>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服务期（合同履行期）</w:t>
            </w:r>
          </w:p>
        </w:tc>
        <w:tc>
          <w:tcPr>
            <w:tcW w:w="6079" w:type="dxa"/>
            <w:vAlign w:val="center"/>
          </w:tcPr>
          <w:p w14:paraId="545C365A">
            <w:pPr>
              <w:widowControl/>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w:t>
            </w:r>
          </w:p>
        </w:tc>
      </w:tr>
      <w:tr w14:paraId="40F4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520" w:type="dxa"/>
            <w:vAlign w:val="center"/>
          </w:tcPr>
          <w:p w14:paraId="1375829A">
            <w:pPr>
              <w:autoSpaceDE w:val="0"/>
              <w:autoSpaceDN w:val="0"/>
              <w:adjustRightInd w:val="0"/>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质量</w:t>
            </w:r>
          </w:p>
        </w:tc>
        <w:tc>
          <w:tcPr>
            <w:tcW w:w="6079" w:type="dxa"/>
            <w:vAlign w:val="center"/>
          </w:tcPr>
          <w:p w14:paraId="10D70B9C">
            <w:pPr>
              <w:widowControl/>
              <w:spacing w:line="360" w:lineRule="auto"/>
              <w:jc w:val="left"/>
              <w:rPr>
                <w:rFonts w:hint="eastAsia" w:asciiTheme="minorEastAsia" w:hAnsiTheme="minorEastAsia" w:eastAsiaTheme="minorEastAsia" w:cstheme="minorEastAsia"/>
                <w:color w:val="auto"/>
                <w:sz w:val="24"/>
                <w:szCs w:val="24"/>
                <w:highlight w:val="none"/>
              </w:rPr>
            </w:pPr>
          </w:p>
        </w:tc>
      </w:tr>
      <w:tr w14:paraId="21E0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599" w:type="dxa"/>
            <w:gridSpan w:val="2"/>
            <w:vAlign w:val="center"/>
          </w:tcPr>
          <w:p w14:paraId="7939F571">
            <w:pPr>
              <w:widowControl/>
              <w:spacing w:line="360" w:lineRule="auto"/>
              <w:ind w:left="0" w:leftChars="0" w:firstLine="0" w:firstLineChars="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说明：</w:t>
            </w:r>
            <w:r>
              <w:rPr>
                <w:rFonts w:hint="eastAsia" w:asciiTheme="minorEastAsia" w:hAnsiTheme="minorEastAsia" w:eastAsiaTheme="minorEastAsia" w:cstheme="minorEastAsia"/>
                <w:bCs/>
                <w:color w:val="auto"/>
                <w:kern w:val="0"/>
                <w:sz w:val="24"/>
                <w:szCs w:val="24"/>
                <w:highlight w:val="none"/>
                <w:lang w:eastAsia="zh-CN"/>
              </w:rPr>
              <w:t>磋商</w:t>
            </w:r>
            <w:r>
              <w:rPr>
                <w:rFonts w:hint="eastAsia" w:asciiTheme="minorEastAsia" w:hAnsiTheme="minorEastAsia" w:eastAsiaTheme="minorEastAsia" w:cstheme="minorEastAsia"/>
                <w:bCs/>
                <w:color w:val="auto"/>
                <w:kern w:val="0"/>
                <w:sz w:val="24"/>
                <w:szCs w:val="24"/>
                <w:highlight w:val="none"/>
              </w:rPr>
              <w:t>报价以元为单位，保留小数点后两位，大小写不一致时，以大写为准。</w:t>
            </w:r>
          </w:p>
        </w:tc>
      </w:tr>
    </w:tbl>
    <w:p w14:paraId="6EF7BCE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 xml:space="preserve">  </w:t>
      </w:r>
    </w:p>
    <w:p w14:paraId="440DCFF6">
      <w:pPr>
        <w:spacing w:line="480" w:lineRule="auto"/>
        <w:ind w:firstLine="2150" w:firstLineChars="896"/>
        <w:jc w:val="left"/>
        <w:rPr>
          <w:rFonts w:hint="eastAsia" w:asciiTheme="minorEastAsia" w:hAnsiTheme="minorEastAsia" w:eastAsiaTheme="minorEastAsia" w:cstheme="minorEastAsia"/>
          <w:color w:val="auto"/>
          <w:sz w:val="24"/>
          <w:szCs w:val="24"/>
          <w:highlight w:val="none"/>
        </w:rPr>
      </w:pPr>
    </w:p>
    <w:p w14:paraId="6B913149">
      <w:pPr>
        <w:spacing w:line="480" w:lineRule="auto"/>
        <w:ind w:firstLine="2150" w:firstLineChars="896"/>
        <w:jc w:val="left"/>
        <w:rPr>
          <w:rFonts w:hint="eastAsia" w:asciiTheme="minorEastAsia" w:hAnsiTheme="minorEastAsia" w:eastAsiaTheme="minorEastAsia" w:cstheme="minorEastAsia"/>
          <w:color w:val="auto"/>
          <w:sz w:val="24"/>
          <w:szCs w:val="24"/>
          <w:highlight w:val="none"/>
        </w:rPr>
      </w:pPr>
    </w:p>
    <w:p w14:paraId="30FE87A7">
      <w:pPr>
        <w:spacing w:line="480" w:lineRule="auto"/>
        <w:ind w:firstLine="2150" w:firstLineChars="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58EAF8CC">
      <w:pPr>
        <w:spacing w:line="480" w:lineRule="auto"/>
        <w:ind w:firstLine="2150" w:firstLineChars="896"/>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zh-CN"/>
        </w:rPr>
        <w:t>法定代表人或其委托代理人（签字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53497593">
      <w:pPr>
        <w:autoSpaceDE w:val="0"/>
        <w:autoSpaceDN w:val="0"/>
        <w:adjustRightInd w:val="0"/>
        <w:snapToGrid w:val="0"/>
        <w:spacing w:line="480" w:lineRule="auto"/>
        <w:ind w:firstLine="2150" w:firstLineChars="896"/>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bookmarkEnd w:id="139"/>
    <w:bookmarkEnd w:id="140"/>
    <w:bookmarkEnd w:id="141"/>
    <w:bookmarkEnd w:id="142"/>
    <w:p w14:paraId="7238554D">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7BD2D134">
      <w:pPr>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bookmarkStart w:id="163" w:name="_Toc188808852"/>
      <w:bookmarkStart w:id="164" w:name="_Toc193187108"/>
      <w:bookmarkStart w:id="165" w:name="_Toc193126902"/>
      <w:bookmarkStart w:id="166" w:name="_Toc194663939"/>
      <w:r>
        <w:rPr>
          <w:rFonts w:hint="eastAsia" w:asciiTheme="minorEastAsia" w:hAnsiTheme="minorEastAsia" w:eastAsiaTheme="minorEastAsia" w:cstheme="minorEastAsia"/>
          <w:b/>
          <w:bCs/>
          <w:color w:val="auto"/>
          <w:kern w:val="2"/>
          <w:sz w:val="24"/>
          <w:szCs w:val="24"/>
          <w:highlight w:val="none"/>
          <w:lang w:val="en-US" w:eastAsia="zh-CN" w:bidi="ar-SA"/>
        </w:rPr>
        <w:t>3、供应商承诺书</w:t>
      </w:r>
    </w:p>
    <w:p w14:paraId="660ABC2B">
      <w:pPr>
        <w:numPr>
          <w:ilvl w:val="0"/>
          <w:numId w:val="0"/>
        </w:numPr>
        <w:spacing w:after="240" w:afterLines="100" w:line="360" w:lineRule="auto"/>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（1）</w:t>
      </w:r>
      <w:r>
        <w:rPr>
          <w:rFonts w:hint="eastAsia" w:asciiTheme="minorEastAsia" w:hAnsiTheme="minorEastAsia" w:eastAsiaTheme="minorEastAsia" w:cstheme="minorEastAsia"/>
          <w:b w:val="0"/>
          <w:color w:val="auto"/>
          <w:sz w:val="24"/>
          <w:szCs w:val="24"/>
          <w:highlight w:val="none"/>
        </w:rPr>
        <w:t>履约承诺书</w:t>
      </w:r>
    </w:p>
    <w:p w14:paraId="0A787B84">
      <w:pPr>
        <w:keepNext w:val="0"/>
        <w:keepLines w:val="0"/>
        <w:pageBreakBefore w:val="0"/>
        <w:widowControl w:val="0"/>
        <w:kinsoku/>
        <w:overflowPunct/>
        <w:topLinePunct w:val="0"/>
        <w:bidi w:val="0"/>
        <w:snapToGrid/>
        <w:spacing w:before="120" w:beforeLines="50" w:after="120" w:afterLines="50" w:line="36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（采购人）：</w:t>
      </w:r>
    </w:p>
    <w:p w14:paraId="7BD522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我方全承诺</w:t>
      </w:r>
      <w:r>
        <w:rPr>
          <w:rFonts w:hint="eastAsia" w:asciiTheme="minorEastAsia" w:hAnsiTheme="minorEastAsia" w:eastAsiaTheme="minorEastAsia" w:cstheme="minorEastAsia"/>
          <w:b/>
          <w:bCs/>
          <w:color w:val="auto"/>
          <w:spacing w:val="20"/>
          <w:sz w:val="24"/>
          <w:szCs w:val="24"/>
          <w:highlight w:val="none"/>
        </w:rPr>
        <w:t xml:space="preserve"> </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磋商文件和合同条款。在此</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（供应商名称）的法人代表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（姓名）以合法地位郑重做如下承诺：</w:t>
      </w:r>
    </w:p>
    <w:p w14:paraId="3015F6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一旦成交，我方将承担合同规定的全部责任和义务。如果成交后不能履行合同规定义务，出现如下任何一种情况的，采购人有权没收履约保证金：</w:t>
      </w:r>
    </w:p>
    <w:p w14:paraId="515F5CC8">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1.投入的主要管理人员、机械设备数量和型号、管理及</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队伍的配置等与合同约定不符；</w:t>
      </w:r>
    </w:p>
    <w:p w14:paraId="73E45C87">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2.工程质量达不到合同要求，进度严重滞后，或该合同段控制工程进度影响了整体工程进度和项目总目标的实现任何一种情况；</w:t>
      </w:r>
    </w:p>
    <w:p w14:paraId="6EE1047A">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3.将工程转包或将主体工程违法分包，或以劳务协作为名，将工程违法分包给不具备相应资质的队伍或个体承包者；</w:t>
      </w:r>
    </w:p>
    <w:p w14:paraId="56D4A472">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4.在项目建设过程中因</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管理（包括：质量、进度、安全、廉政、资金使用、文明工地）受到省级以上主管部门通报批评或被新闻媒体曝光；</w:t>
      </w:r>
    </w:p>
    <w:p w14:paraId="738E52C1">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5.违规使用工程预付款，将建设资金从该合同段项目经理部抽走，或拖欠工程款、材料款和劳务费用。</w:t>
      </w:r>
    </w:p>
    <w:p w14:paraId="2D9F15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我公司还承诺，如果没收履约保证金不能免除我方的合同义务，接受采购人对我方所采取的如下任何处理措施：</w:t>
      </w:r>
    </w:p>
    <w:p w14:paraId="105ABB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（1）限期整改纠正，使工程建设满足采购人要求；</w:t>
      </w:r>
    </w:p>
    <w:p w14:paraId="25AF44FC">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（2）同意采购人从正常支付中扣除相应款项，直接支付所欠工程款和劳务费用；</w:t>
      </w:r>
    </w:p>
    <w:p w14:paraId="60694DB8">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（3）采购人有权终止供应商在本合同段的承包，或将本合同段工程中部分工作交由其他供应商或特殊分包人完成，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（供应商名称）无条件按照采购人规定的期限退场或接受调遣。在不解除本合同规定的承包人和义务的同时，由此引起的责任及相关费用均由供应商承担。</w:t>
      </w:r>
    </w:p>
    <w:p w14:paraId="0DE380E9">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（4）同意承担合同段清场而引起的材料、供货、设备租用、民工工资和其他相关损失费用，否则采购人有权采取必要的手段和措施，并无条件没收履约担保。</w:t>
      </w:r>
    </w:p>
    <w:p w14:paraId="2D43D4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本承诺和履约担保自合同签订之日起生效，在采购人向供应商颁发交工证书之日失效。</w:t>
      </w:r>
    </w:p>
    <w:p w14:paraId="59219525">
      <w:pPr>
        <w:keepNext w:val="0"/>
        <w:keepLines w:val="0"/>
        <w:pageBreakBefore w:val="0"/>
        <w:widowControl w:val="0"/>
        <w:kinsoku/>
        <w:overflowPunct/>
        <w:topLinePunct w:val="0"/>
        <w:autoSpaceDE w:val="0"/>
        <w:autoSpaceDN w:val="0"/>
        <w:bidi w:val="0"/>
        <w:adjustRightInd w:val="0"/>
        <w:snapToGrid/>
        <w:spacing w:line="360" w:lineRule="exact"/>
        <w:jc w:val="right"/>
        <w:textAlignment w:val="auto"/>
        <w:rPr>
          <w:rFonts w:hint="eastAsia" w:asciiTheme="minorEastAsia" w:hAnsiTheme="minorEastAsia" w:eastAsiaTheme="minorEastAsia" w:cstheme="minorEastAsia"/>
          <w:color w:val="auto"/>
          <w:kern w:val="0"/>
          <w:sz w:val="24"/>
          <w:szCs w:val="24"/>
          <w:highlight w:val="none"/>
        </w:rPr>
      </w:pPr>
    </w:p>
    <w:p w14:paraId="287E77CD">
      <w:pPr>
        <w:keepNext w:val="0"/>
        <w:keepLines w:val="0"/>
        <w:pageBreakBefore w:val="0"/>
        <w:widowControl w:val="0"/>
        <w:kinsoku/>
        <w:overflowPunct/>
        <w:topLinePunct w:val="0"/>
        <w:autoSpaceDE w:val="0"/>
        <w:autoSpaceDN w:val="0"/>
        <w:bidi w:val="0"/>
        <w:adjustRightInd w:val="0"/>
        <w:snapToGrid/>
        <w:spacing w:line="360" w:lineRule="exact"/>
        <w:ind w:right="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 应 商：</w:t>
      </w:r>
      <w:r>
        <w:rPr>
          <w:rFonts w:hint="eastAsia" w:asciiTheme="minorEastAsia" w:hAnsiTheme="minorEastAsia" w:eastAsiaTheme="minorEastAsia" w:cstheme="minorEastAsia"/>
          <w:color w:val="auto"/>
          <w:kern w:val="0"/>
          <w:sz w:val="24"/>
          <w:szCs w:val="24"/>
          <w:highlight w:val="none"/>
          <w:u w:val="none"/>
        </w:rPr>
        <w:t xml:space="preserve">                               </w:t>
      </w:r>
      <w:r>
        <w:rPr>
          <w:rFonts w:hint="eastAsia" w:asciiTheme="minorEastAsia" w:hAnsiTheme="minorEastAsia" w:eastAsiaTheme="minorEastAsia" w:cstheme="minorEastAsia"/>
          <w:color w:val="auto"/>
          <w:kern w:val="0"/>
          <w:sz w:val="24"/>
          <w:szCs w:val="24"/>
          <w:highlight w:val="none"/>
        </w:rPr>
        <w:t>（盖单位章）</w:t>
      </w:r>
    </w:p>
    <w:p w14:paraId="5B7A71B1">
      <w:pPr>
        <w:keepNext w:val="0"/>
        <w:keepLines w:val="0"/>
        <w:pageBreakBefore w:val="0"/>
        <w:widowControl w:val="0"/>
        <w:kinsoku/>
        <w:wordWrap w:val="0"/>
        <w:overflowPunct/>
        <w:topLinePunct w:val="0"/>
        <w:autoSpaceDE w:val="0"/>
        <w:autoSpaceDN w:val="0"/>
        <w:bidi w:val="0"/>
        <w:adjustRightInd w:val="0"/>
        <w:snapToGrid/>
        <w:spacing w:before="120" w:beforeLines="50" w:after="120" w:afterLines="50" w:line="360" w:lineRule="exact"/>
        <w:ind w:right="658"/>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法定代表人或委托代理人：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（签名</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rPr>
        <w:t>）</w:t>
      </w:r>
    </w:p>
    <w:p w14:paraId="4F856645">
      <w:pPr>
        <w:keepNext w:val="0"/>
        <w:keepLines w:val="0"/>
        <w:pageBreakBefore w:val="0"/>
        <w:widowControl w:val="0"/>
        <w:kinsoku/>
        <w:wordWrap w:val="0"/>
        <w:overflowPunct/>
        <w:topLinePunct w:val="0"/>
        <w:autoSpaceDE w:val="0"/>
        <w:autoSpaceDN w:val="0"/>
        <w:bidi w:val="0"/>
        <w:adjustRightInd w:val="0"/>
        <w:snapToGrid/>
        <w:spacing w:before="120" w:beforeLines="50" w:after="120" w:afterLines="50" w:line="360" w:lineRule="exact"/>
        <w:ind w:right="658"/>
        <w:textAlignment w:val="auto"/>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496BB707">
      <w:pPr>
        <w:pStyle w:val="5"/>
        <w:spacing w:before="240" w:beforeLines="100" w:after="120" w:afterLines="50" w:line="360" w:lineRule="auto"/>
        <w:jc w:val="center"/>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（2）质量安全责任承诺书</w:t>
      </w:r>
    </w:p>
    <w:p w14:paraId="35166D0E">
      <w:pPr>
        <w:spacing w:before="120" w:beforeLines="50" w:after="120" w:afterLines="50" w:line="50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（采购人）：</w:t>
      </w:r>
    </w:p>
    <w:p w14:paraId="6AF4ACC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为保证本采购项目顺利进行，作为投标人，现郑重承诺：</w:t>
      </w:r>
    </w:p>
    <w:p w14:paraId="2238179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1.我方所投产品的生产（包括设计、制造、安装、改造、维修等）、投入使用的材料等均完全符合国家现行质量、安全、环保标准和要求。</w:t>
      </w:r>
    </w:p>
    <w:p w14:paraId="49C1594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2.我方将严格按照国家现行相关储存、运输、安装调试技术标准及规范、服务标准及规范、</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标准及规范，在规定的时限内，保质、保量完成项目全部内容，并向采购人交付合格产品。</w:t>
      </w:r>
    </w:p>
    <w:p w14:paraId="14F849C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3.对于因产品生产质量以及储存、运输、安装调试、服务、</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等过程中产生的任何安全事故，我方承担全部责任。</w:t>
      </w:r>
    </w:p>
    <w:p w14:paraId="4301A6E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4.我方提供的货物、工程、服务等符合现行的国家、行业、地区、企业标准及要求，标准不一致的，以更为严格的为准，我方对提供的货物、工程、服务等的质量、安全、环保等承担全部责任。</w:t>
      </w:r>
    </w:p>
    <w:p w14:paraId="76AFDD98">
      <w:pPr>
        <w:spacing w:line="360" w:lineRule="auto"/>
        <w:rPr>
          <w:rFonts w:hint="eastAsia" w:asciiTheme="minorEastAsia" w:hAnsiTheme="minorEastAsia" w:eastAsiaTheme="minorEastAsia" w:cstheme="minorEastAsia"/>
          <w:color w:val="auto"/>
          <w:sz w:val="24"/>
          <w:szCs w:val="24"/>
          <w:highlight w:val="none"/>
        </w:rPr>
      </w:pPr>
    </w:p>
    <w:p w14:paraId="7C30F174">
      <w:pPr>
        <w:pStyle w:val="13"/>
        <w:rPr>
          <w:rFonts w:hint="eastAsia" w:asciiTheme="minorEastAsia" w:hAnsiTheme="minorEastAsia" w:eastAsiaTheme="minorEastAsia" w:cstheme="minorEastAsia"/>
          <w:color w:val="auto"/>
          <w:sz w:val="24"/>
          <w:szCs w:val="24"/>
          <w:highlight w:val="none"/>
        </w:rPr>
      </w:pPr>
    </w:p>
    <w:p w14:paraId="60072F17">
      <w:pPr>
        <w:rPr>
          <w:rFonts w:hint="eastAsia" w:asciiTheme="minorEastAsia" w:hAnsiTheme="minorEastAsia" w:eastAsiaTheme="minorEastAsia" w:cstheme="minorEastAsia"/>
          <w:color w:val="auto"/>
          <w:sz w:val="24"/>
          <w:szCs w:val="24"/>
          <w:highlight w:val="none"/>
        </w:rPr>
      </w:pPr>
    </w:p>
    <w:p w14:paraId="74B66FDD">
      <w:pPr>
        <w:pStyle w:val="13"/>
        <w:rPr>
          <w:rFonts w:hint="eastAsia" w:asciiTheme="minorEastAsia" w:hAnsiTheme="minorEastAsia" w:eastAsiaTheme="minorEastAsia" w:cstheme="minorEastAsia"/>
          <w:highlight w:val="none"/>
        </w:rPr>
      </w:pPr>
    </w:p>
    <w:p w14:paraId="732745FB">
      <w:pPr>
        <w:spacing w:line="360" w:lineRule="auto"/>
        <w:rPr>
          <w:rFonts w:hint="eastAsia" w:asciiTheme="minorEastAsia" w:hAnsiTheme="minorEastAsia" w:eastAsiaTheme="minorEastAsia" w:cstheme="minorEastAsia"/>
          <w:color w:val="auto"/>
          <w:sz w:val="24"/>
          <w:szCs w:val="24"/>
          <w:highlight w:val="none"/>
        </w:rPr>
      </w:pPr>
    </w:p>
    <w:p w14:paraId="1BE8B559">
      <w:pPr>
        <w:spacing w:line="360" w:lineRule="auto"/>
        <w:rPr>
          <w:rFonts w:hint="eastAsia" w:asciiTheme="minorEastAsia" w:hAnsiTheme="minorEastAsia" w:eastAsiaTheme="minorEastAsia" w:cstheme="minorEastAsia"/>
          <w:color w:val="auto"/>
          <w:sz w:val="24"/>
          <w:szCs w:val="24"/>
          <w:highlight w:val="none"/>
        </w:rPr>
      </w:pPr>
    </w:p>
    <w:p w14:paraId="706C0DF7">
      <w:pPr>
        <w:adjustRightInd w:val="0"/>
        <w:spacing w:line="360" w:lineRule="auto"/>
        <w:ind w:firstLine="420"/>
        <w:jc w:val="left"/>
        <w:rPr>
          <w:rFonts w:hint="eastAsia" w:asciiTheme="minorEastAsia" w:hAnsiTheme="minorEastAsia" w:eastAsiaTheme="minorEastAsia" w:cstheme="minorEastAsia"/>
          <w:color w:val="auto"/>
          <w:sz w:val="24"/>
          <w:szCs w:val="24"/>
          <w:highlight w:val="none"/>
        </w:rPr>
      </w:pPr>
    </w:p>
    <w:p w14:paraId="6620D1F3">
      <w:pPr>
        <w:adjustRightInd w:val="0"/>
        <w:spacing w:line="360" w:lineRule="auto"/>
        <w:ind w:firstLine="420"/>
        <w:jc w:val="left"/>
        <w:rPr>
          <w:rFonts w:hint="eastAsia" w:asciiTheme="minorEastAsia" w:hAnsiTheme="minorEastAsia" w:eastAsiaTheme="minorEastAsia" w:cstheme="minorEastAsia"/>
          <w:color w:val="auto"/>
          <w:sz w:val="24"/>
          <w:szCs w:val="24"/>
          <w:highlight w:val="none"/>
        </w:rPr>
      </w:pPr>
    </w:p>
    <w:p w14:paraId="6835695D">
      <w:pPr>
        <w:adjustRightInd w:val="0"/>
        <w:spacing w:line="360" w:lineRule="auto"/>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（供应商名称，盖单位章）</w:t>
      </w:r>
    </w:p>
    <w:p w14:paraId="0478A43C">
      <w:pPr>
        <w:adjustRightInd w:val="0"/>
        <w:spacing w:line="360" w:lineRule="auto"/>
        <w:ind w:firstLine="420"/>
        <w:jc w:val="left"/>
        <w:rPr>
          <w:rFonts w:hint="eastAsia" w:asciiTheme="minorEastAsia" w:hAnsiTheme="minorEastAsia" w:eastAsiaTheme="minorEastAsia" w:cstheme="minorEastAsia"/>
          <w:color w:val="auto"/>
          <w:sz w:val="24"/>
          <w:szCs w:val="24"/>
          <w:highlight w:val="none"/>
        </w:rPr>
      </w:pPr>
    </w:p>
    <w:p w14:paraId="09415FE8">
      <w:pPr>
        <w:adjustRightInd w:val="0"/>
        <w:spacing w:line="360" w:lineRule="auto"/>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0984CBEF">
      <w:pPr>
        <w:adjustRightInd w:val="0"/>
        <w:spacing w:line="400" w:lineRule="exact"/>
        <w:jc w:val="left"/>
        <w:rPr>
          <w:rFonts w:hint="eastAsia" w:asciiTheme="minorEastAsia" w:hAnsiTheme="minorEastAsia" w:eastAsiaTheme="minorEastAsia" w:cstheme="minorEastAsia"/>
          <w:b/>
          <w:color w:val="auto"/>
          <w:sz w:val="24"/>
          <w:szCs w:val="24"/>
          <w:highlight w:val="none"/>
        </w:rPr>
      </w:pPr>
    </w:p>
    <w:p w14:paraId="67729528">
      <w:pPr>
        <w:adjustRightInd w:val="0"/>
        <w:spacing w:line="400" w:lineRule="exact"/>
        <w:jc w:val="left"/>
        <w:rPr>
          <w:rFonts w:hint="eastAsia" w:asciiTheme="minorEastAsia" w:hAnsiTheme="minorEastAsia" w:eastAsiaTheme="minorEastAsia" w:cstheme="minorEastAsia"/>
          <w:b/>
          <w:bCs/>
          <w:color w:val="auto"/>
          <w:sz w:val="24"/>
          <w:szCs w:val="24"/>
          <w:highlight w:val="none"/>
        </w:rPr>
      </w:pPr>
    </w:p>
    <w:p w14:paraId="1C507F22">
      <w:pPr>
        <w:adjustRightInd w:val="0"/>
        <w:spacing w:line="400" w:lineRule="exact"/>
        <w:jc w:val="left"/>
        <w:rPr>
          <w:rFonts w:hint="eastAsia" w:asciiTheme="minorEastAsia" w:hAnsiTheme="minorEastAsia" w:eastAsiaTheme="minorEastAsia" w:cstheme="minorEastAsia"/>
          <w:b/>
          <w:bCs/>
          <w:color w:val="auto"/>
          <w:sz w:val="36"/>
          <w:szCs w:val="36"/>
          <w:highlight w:val="none"/>
        </w:rPr>
      </w:pPr>
    </w:p>
    <w:p w14:paraId="403B31C7">
      <w:pPr>
        <w:adjustRightInd w:val="0"/>
        <w:spacing w:line="400" w:lineRule="exact"/>
        <w:jc w:val="left"/>
        <w:rPr>
          <w:rFonts w:hint="eastAsia" w:asciiTheme="minorEastAsia" w:hAnsiTheme="minorEastAsia" w:eastAsiaTheme="minorEastAsia" w:cstheme="minorEastAsia"/>
          <w:b/>
          <w:bCs/>
          <w:color w:val="auto"/>
          <w:sz w:val="36"/>
          <w:szCs w:val="36"/>
          <w:highlight w:val="none"/>
        </w:rPr>
      </w:pPr>
    </w:p>
    <w:p w14:paraId="46934E97">
      <w:pPr>
        <w:pStyle w:val="5"/>
        <w:spacing w:before="240" w:beforeLines="100" w:after="120" w:afterLines="50" w:line="360" w:lineRule="auto"/>
        <w:jc w:val="center"/>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（3）参加政府采购活动行为自律承诺书</w:t>
      </w:r>
    </w:p>
    <w:p w14:paraId="6CB6EA8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作为参加本次政府采购项目的投标人，我方郑重承诺在参与政府采购活动中遵纪守法、公平竞争、诚实守信，如有违反愿承担一切责任及后果：</w:t>
      </w:r>
    </w:p>
    <w:p w14:paraId="20DD38E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1．不与采购人、采购代理机构、政府采购评审专家恶意串通，不向其行贿或提供其他不正当利益；</w:t>
      </w:r>
    </w:p>
    <w:p w14:paraId="05E20B7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2．不与其他投标人恶意串通，采取“围标、串标、陪标”等商业欺诈手段谋取中标、成交；</w:t>
      </w:r>
    </w:p>
    <w:p w14:paraId="335F999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3．不提供虚假或无效证明文件（包括但不限于资格证明文件、合同及验收文件、检验检测报告、从业人员资格证书、机构或所投产品的各类认证证书等）或虚假材料谋取中标；</w:t>
      </w:r>
    </w:p>
    <w:p w14:paraId="4D9518C4">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4．不采取不正当手段诋毁、排挤其他供应商；</w:t>
      </w:r>
      <w:r>
        <w:rPr>
          <w:rFonts w:hint="eastAsia" w:asciiTheme="minorEastAsia" w:hAnsiTheme="minorEastAsia" w:eastAsiaTheme="minorEastAsia" w:cstheme="minorEastAsia"/>
          <w:color w:val="auto"/>
          <w:sz w:val="24"/>
          <w:szCs w:val="24"/>
          <w:highlight w:val="none"/>
          <w:lang w:val="en-US" w:eastAsia="zh-CN"/>
        </w:rPr>
        <w:t xml:space="preserve"> </w:t>
      </w:r>
    </w:p>
    <w:p w14:paraId="2C06BAF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5．不以不正当理由拒不与采购人签订政府采购合同，或逾期签订政府采购合同，或不按照采购文件确定的事项签订政府采购合同；</w:t>
      </w:r>
    </w:p>
    <w:p w14:paraId="0881394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6．不以不正当理由拒绝履行合同义务，不会擅自变更、中止或者终止政府采购合同或将政府采购合同转包；</w:t>
      </w:r>
    </w:p>
    <w:p w14:paraId="43465F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7．不在提供商品、服务或工程</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过程中提供假冒伪劣产品，损害采购人的合法权益或公共利益；</w:t>
      </w:r>
    </w:p>
    <w:p w14:paraId="2A3B5B6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8．不采取捏造事实、提供虚假材料或者以非法手段取得证明材料进行质疑和投诉；</w:t>
      </w:r>
    </w:p>
    <w:p w14:paraId="5381703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9．不发生其他有悖于政府采购公开、公平、公正和诚信原则的行为。</w:t>
      </w:r>
    </w:p>
    <w:p w14:paraId="0CB8B1B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10．尊重和接受政府采购监督管理部门的监督和采购人、采购代理机构的政府采购工作要求，愿意承担因违约行为给采购人造成的损失。</w:t>
      </w:r>
    </w:p>
    <w:p w14:paraId="383D4965">
      <w:pPr>
        <w:spacing w:line="360" w:lineRule="auto"/>
        <w:ind w:firstLine="420" w:firstLineChars="200"/>
        <w:rPr>
          <w:rFonts w:hint="eastAsia" w:asciiTheme="minorEastAsia" w:hAnsiTheme="minorEastAsia" w:eastAsiaTheme="minorEastAsia" w:cstheme="minorEastAsia"/>
          <w:color w:val="auto"/>
          <w:szCs w:val="21"/>
          <w:highlight w:val="none"/>
        </w:rPr>
      </w:pPr>
    </w:p>
    <w:p w14:paraId="6AFFDC2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（供应商名称、加盖单位章）</w:t>
      </w:r>
    </w:p>
    <w:p w14:paraId="0F80AFF1">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5535EE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22876CC5">
      <w:pPr>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br w:type="page"/>
      </w:r>
    </w:p>
    <w:p w14:paraId="66F3C5E8">
      <w:pPr>
        <w:pStyle w:val="7"/>
        <w:spacing w:before="0" w:line="520" w:lineRule="exact"/>
        <w:ind w:firstLine="0" w:firstLineChars="0"/>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167" w:name="_Toc11040"/>
      <w:bookmarkStart w:id="168" w:name="_Toc2741"/>
      <w:r>
        <w:rPr>
          <w:rFonts w:hint="eastAsia" w:asciiTheme="minorEastAsia" w:hAnsiTheme="minorEastAsia" w:eastAsiaTheme="minorEastAsia" w:cstheme="minorEastAsia"/>
          <w:b w:val="0"/>
          <w:bCs w:val="0"/>
          <w:color w:val="auto"/>
          <w:kern w:val="2"/>
          <w:sz w:val="24"/>
          <w:szCs w:val="24"/>
          <w:highlight w:val="none"/>
          <w:lang w:val="en-US" w:eastAsia="zh-CN" w:bidi="ar-SA"/>
        </w:rPr>
        <w:t>（4）宝鸡市政府采购供应商诚信承诺书</w:t>
      </w:r>
      <w:bookmarkEnd w:id="167"/>
      <w:bookmarkEnd w:id="168"/>
    </w:p>
    <w:p w14:paraId="7C10BAF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bCs/>
          <w:color w:val="auto"/>
          <w:sz w:val="24"/>
          <w:szCs w:val="24"/>
          <w:highlight w:val="none"/>
        </w:rPr>
        <w:t>致：</w:t>
      </w:r>
      <w:r>
        <w:rPr>
          <w:rFonts w:hint="eastAsia" w:asciiTheme="minorEastAsia" w:hAnsiTheme="minorEastAsia" w:eastAsiaTheme="minorEastAsia" w:cstheme="minorEastAsia"/>
          <w:color w:val="auto"/>
          <w:kern w:val="0"/>
          <w:sz w:val="24"/>
          <w:szCs w:val="24"/>
          <w:highlight w:val="none"/>
          <w:u w:val="single"/>
          <w:lang w:val="en-US" w:eastAsia="zh-CN"/>
        </w:rPr>
        <w:t xml:space="preserve">麟游县中医医院 </w:t>
      </w:r>
    </w:p>
    <w:p w14:paraId="0357AA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统一社会信用代码证为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的我方</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（供应商名称）自愿参加贵单位组织的编号为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（采购项目编号）的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项目（采购</w:t>
      </w:r>
      <w:r>
        <w:rPr>
          <w:rFonts w:hint="eastAsia" w:asciiTheme="minorEastAsia" w:hAnsiTheme="minorEastAsia" w:eastAsiaTheme="minorEastAsia" w:cstheme="minorEastAsia"/>
          <w:color w:val="auto"/>
          <w:kern w:val="0"/>
          <w:sz w:val="24"/>
          <w:szCs w:val="24"/>
          <w:highlight w:val="none"/>
          <w:lang w:eastAsia="zh-CN"/>
        </w:rPr>
        <w:t>项目名称</w:t>
      </w:r>
      <w:r>
        <w:rPr>
          <w:rFonts w:hint="eastAsia" w:asciiTheme="minorEastAsia" w:hAnsiTheme="minorEastAsia" w:eastAsiaTheme="minorEastAsia" w:cstheme="minorEastAsia"/>
          <w:color w:val="auto"/>
          <w:kern w:val="0"/>
          <w:sz w:val="24"/>
          <w:szCs w:val="24"/>
          <w:highlight w:val="none"/>
        </w:rPr>
        <w:t>）的政府采购活动，我方已知悉并理解本项目采购文件的各项要求。为贯彻公开、公平、公正和诚实信用的政府采购原则，共同维护宝鸡市政府采购市场良好秩序，我方郑重声明和承诺如下：</w:t>
      </w:r>
    </w:p>
    <w:p w14:paraId="511B1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一、在参加本次政府采购活动中严格遵守《中国人民共和国政府采购法》等法律、法规、规章及宝鸡市有关规定。</w:t>
      </w:r>
    </w:p>
    <w:p w14:paraId="6E02E4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二、我方郑重声明。在参加本次政府采购活动三年内，无因违法经营受到刑事处罚或者责令停产停业、吊销许可证或者执照、较大数额罚款等重大违法记录。</w:t>
      </w:r>
    </w:p>
    <w:p w14:paraId="7D8B5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我方同时声明，在参加本次政府采购活动前，未被列入失信被执行人、重大税收违法案件当事人名单、政府采购严重违法失信行为记录名单。</w:t>
      </w:r>
    </w:p>
    <w:p w14:paraId="2A1F5EB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我方对以上生命的正式性负责，接收采购人、采购代理机构根据相关政策规定进行的信用记录查询。如发现以上声明不实，我方承担相应后果。</w:t>
      </w:r>
    </w:p>
    <w:p w14:paraId="24E7A3C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三、我方郑重承诺，在参加本次政府采购活动中：</w:t>
      </w:r>
    </w:p>
    <w:p w14:paraId="62B27BC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（1）不向采购人、采购代理机构和评审专家提供任何形式的商业贿赂或者提供其他不正当利益。对索取或接受商业贿赂的单位和个人，及时向财政部门和监察机关举报；</w:t>
      </w:r>
    </w:p>
    <w:p w14:paraId="2A58608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（2）不与其他供应商串通采取围标、陪标等商业欺诈手段谋取中标（成交）；</w:t>
      </w:r>
    </w:p>
    <w:p w14:paraId="2FC4C63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（3）不出借或借用资质；</w:t>
      </w:r>
    </w:p>
    <w:p w14:paraId="5240773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（4）不与采购人、采购代理机构、评审专家恶意串通；</w:t>
      </w:r>
    </w:p>
    <w:p w14:paraId="289945C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（5）不采取不正当手段诋毁、排挤其他供应商；</w:t>
      </w:r>
    </w:p>
    <w:p w14:paraId="2E1B910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（6）不以虚假材料谋取中标（成交）；</w:t>
      </w:r>
    </w:p>
    <w:p w14:paraId="7D60C74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（7）不以低于成本或恶意低价竞争；</w:t>
      </w:r>
    </w:p>
    <w:p w14:paraId="023F6DA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（8）不与采购人在招标采购过程中进行协商</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w:t>
      </w:r>
    </w:p>
    <w:p w14:paraId="17F5B58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（9）中标或者成交后不得提供假冒伪劣产品；</w:t>
      </w:r>
    </w:p>
    <w:p w14:paraId="46E3462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（10）中标或者成交后非因不可抗力不得变更投标（响应）文件中承诺的项目管理实施人员；</w:t>
      </w:r>
    </w:p>
    <w:p w14:paraId="13DC6DC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（11）中标或者成交后无正当理由不得拒不与采购人签订政府采购合同；</w:t>
      </w:r>
    </w:p>
    <w:p w14:paraId="499025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（12）不得有未按招标采购文件确定的事项与采购人签订政府采购合同，或者与采购人另行订立背离合同实质性内容协议的行为；</w:t>
      </w:r>
    </w:p>
    <w:p w14:paraId="493F655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（13）不转包或违法分包政府采购合同，不擅自变更、终止或者终止政府采购合同；</w:t>
      </w:r>
    </w:p>
    <w:p w14:paraId="69FD3C0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（14）不捏造事实、提供虚假材料或者以非法手段取得证明材料进行质疑、投诉；</w:t>
      </w:r>
    </w:p>
    <w:p w14:paraId="0F7707D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（15）不得有拒绝有关部门监督检查或者提供虚假情况的行为；</w:t>
      </w:r>
    </w:p>
    <w:p w14:paraId="37E55D0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（16）不得有其他违反国家法律法规和规章要求的违法犯罪或者失信行为</w:t>
      </w:r>
      <w:r>
        <w:rPr>
          <w:rFonts w:hint="eastAsia" w:asciiTheme="minorEastAsia" w:hAnsiTheme="minorEastAsia" w:eastAsiaTheme="minorEastAsia" w:cstheme="minorEastAsia"/>
          <w:color w:val="auto"/>
          <w:kern w:val="0"/>
          <w:sz w:val="24"/>
          <w:szCs w:val="24"/>
          <w:highlight w:val="none"/>
          <w:lang w:eastAsia="zh-CN"/>
        </w:rPr>
        <w:t>；</w:t>
      </w:r>
    </w:p>
    <w:p w14:paraId="569950A8">
      <w:pPr>
        <w:pStyle w:val="13"/>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17</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bidi="ar-SA"/>
        </w:rPr>
        <w:t>具有履行本项目合同所必需的技术设备和专业能力。</w:t>
      </w:r>
    </w:p>
    <w:p w14:paraId="766526F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四、如有违反以上声明或者承诺之一情形的，我方知悉并接受采购人、采购代理机构和政府采购监督管理部门等政府职能部门将采取以下一种或几种方式追究我方责任：</w:t>
      </w:r>
    </w:p>
    <w:p w14:paraId="5A6A8B3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1、投标（响应）无效；</w:t>
      </w:r>
    </w:p>
    <w:p w14:paraId="372CE09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2、不予退还</w:t>
      </w:r>
      <w:r>
        <w:rPr>
          <w:rFonts w:hint="eastAsia" w:asciiTheme="minorEastAsia" w:hAnsiTheme="minorEastAsia" w:eastAsiaTheme="minorEastAsia" w:cstheme="minorEastAsia"/>
          <w:color w:val="auto"/>
          <w:kern w:val="0"/>
          <w:sz w:val="24"/>
          <w:szCs w:val="24"/>
          <w:highlight w:val="none"/>
          <w:lang w:eastAsia="zh-CN"/>
        </w:rPr>
        <w:t>磋商</w:t>
      </w:r>
      <w:r>
        <w:rPr>
          <w:rFonts w:hint="eastAsia" w:asciiTheme="minorEastAsia" w:hAnsiTheme="minorEastAsia" w:eastAsiaTheme="minorEastAsia" w:cstheme="minorEastAsia"/>
          <w:color w:val="auto"/>
          <w:kern w:val="0"/>
          <w:sz w:val="24"/>
          <w:szCs w:val="24"/>
          <w:highlight w:val="none"/>
        </w:rPr>
        <w:t>保证金或者履约保证金；</w:t>
      </w:r>
    </w:p>
    <w:p w14:paraId="150FF48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3、约谈法定代表人或者主要负责人，责令整改；</w:t>
      </w:r>
    </w:p>
    <w:p w14:paraId="1144D18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4、中标（成交）无效；</w:t>
      </w:r>
    </w:p>
    <w:p w14:paraId="2A51EDC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5、处以采购金额千分之五以上千分之十以下的罚款，列入不良行为记录名单，在一至三年内禁止参加政府采购活动；</w:t>
      </w:r>
    </w:p>
    <w:p w14:paraId="183C84A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6、没收违法得所得；</w:t>
      </w:r>
    </w:p>
    <w:p w14:paraId="30FCD31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7、吊销营业执照；</w:t>
      </w:r>
    </w:p>
    <w:p w14:paraId="29420C5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8、政府相关部门的联合惩戒措施；</w:t>
      </w:r>
    </w:p>
    <w:p w14:paraId="78E221A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9、追究民事责任；</w:t>
      </w:r>
    </w:p>
    <w:p w14:paraId="0B4637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10、追究刑事责任；</w:t>
      </w:r>
    </w:p>
    <w:p w14:paraId="4D6CE90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11、法律法规规定的其他处理处罚措施。</w:t>
      </w:r>
    </w:p>
    <w:p w14:paraId="2B3F498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0"/>
          <w:sz w:val="24"/>
          <w:szCs w:val="24"/>
          <w:highlight w:val="none"/>
        </w:rPr>
      </w:pPr>
    </w:p>
    <w:p w14:paraId="35B852B3">
      <w:pPr>
        <w:pStyle w:val="47"/>
        <w:rPr>
          <w:rFonts w:hint="eastAsia" w:asciiTheme="minorEastAsia" w:hAnsiTheme="minorEastAsia" w:eastAsiaTheme="minorEastAsia" w:cstheme="minorEastAsia"/>
          <w:color w:val="auto"/>
          <w:sz w:val="24"/>
          <w:szCs w:val="24"/>
          <w:highlight w:val="none"/>
        </w:rPr>
      </w:pPr>
    </w:p>
    <w:p w14:paraId="1285C04D">
      <w:pPr>
        <w:spacing w:line="480" w:lineRule="auto"/>
        <w:ind w:firstLine="2160" w:firstLineChars="900"/>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（盖章）</w:t>
      </w:r>
    </w:p>
    <w:p w14:paraId="250AF32C">
      <w:pPr>
        <w:pStyle w:val="47"/>
        <w:spacing w:line="480" w:lineRule="auto"/>
        <w:ind w:left="1260" w:leftChars="0" w:firstLine="960" w:firstLineChars="4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32706658">
      <w:pPr>
        <w:pStyle w:val="15"/>
        <w:keepNext w:val="0"/>
        <w:keepLines w:val="0"/>
        <w:pageBreakBefore w:val="0"/>
        <w:widowControl w:val="0"/>
        <w:kinsoku/>
        <w:wordWrap/>
        <w:overflowPunct/>
        <w:topLinePunct w:val="0"/>
        <w:autoSpaceDE/>
        <w:autoSpaceDN/>
        <w:bidi w:val="0"/>
        <w:adjustRightInd/>
        <w:snapToGrid/>
        <w:spacing w:line="480" w:lineRule="auto"/>
        <w:ind w:left="1260" w:leftChars="0"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1DFC96AA">
      <w:pPr>
        <w:spacing w:line="48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sectPr>
          <w:footerReference r:id="rId7" w:type="first"/>
          <w:headerReference r:id="rId5" w:type="default"/>
          <w:footerReference r:id="rId6" w:type="default"/>
          <w:pgSz w:w="11905" w:h="16838"/>
          <w:pgMar w:top="1440" w:right="1083" w:bottom="1440" w:left="1083" w:header="850" w:footer="992" w:gutter="567"/>
          <w:pgBorders>
            <w:top w:val="none" w:sz="0" w:space="0"/>
            <w:left w:val="none" w:sz="0" w:space="0"/>
            <w:bottom w:val="none" w:sz="0" w:space="0"/>
            <w:right w:val="none" w:sz="0" w:space="0"/>
          </w:pgBorders>
          <w:pgNumType w:fmt="decimal" w:start="1"/>
          <w:cols w:space="0" w:num="1"/>
          <w:titlePg/>
          <w:docGrid w:type="lines" w:linePitch="314" w:charSpace="0"/>
        </w:sectPr>
      </w:pPr>
    </w:p>
    <w:p w14:paraId="2DAD2DB6">
      <w:pPr>
        <w:spacing w:before="0" w:line="520" w:lineRule="exact"/>
        <w:ind w:firstLine="0" w:firstLineChars="0"/>
        <w:jc w:val="center"/>
        <w:outlineLvl w:val="9"/>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（5）《拒绝政府采购领域商业贿赂承诺书》</w:t>
      </w:r>
    </w:p>
    <w:p w14:paraId="5AF8AC8F">
      <w:pPr>
        <w:spacing w:before="0" w:line="520" w:lineRule="exact"/>
        <w:ind w:firstLine="0" w:firstLineChars="0"/>
        <w:jc w:val="center"/>
        <w:outlineLvl w:val="9"/>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陕西省政府采购供应商</w:t>
      </w:r>
    </w:p>
    <w:p w14:paraId="05747650">
      <w:pPr>
        <w:spacing w:before="0" w:line="520" w:lineRule="exact"/>
        <w:ind w:firstLine="0" w:firstLineChars="0"/>
        <w:jc w:val="center"/>
        <w:outlineLvl w:val="9"/>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拒绝政府采购领域商业贿赂承诺书</w:t>
      </w:r>
    </w:p>
    <w:p w14:paraId="01421B29">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为响应党中央、国务院关于治理政府采购领域商业贿赂行为的号召，我单位在此庄严承诺： </w:t>
      </w:r>
    </w:p>
    <w:p w14:paraId="39701269">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1、在参与政府采购活动中遵纪守法、诚信经营、公平竞争。 </w:t>
      </w:r>
    </w:p>
    <w:p w14:paraId="1466D0DE">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2、不向采购人、采购代理机构和政府采购评审专家进行任何形式的商业贿赂以谋取交易机会。 </w:t>
      </w:r>
    </w:p>
    <w:p w14:paraId="0EF6A354">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3、不向政府采购采购代理机构和采购人提供虚假资质文件或采用虚假应标方式参与政府采购市场竞争并谋取成交。 </w:t>
      </w:r>
    </w:p>
    <w:p w14:paraId="2BFD4A7E">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4、不采取“围标、陪标”等商业欺诈手段获得政府采购定单。 </w:t>
      </w:r>
    </w:p>
    <w:p w14:paraId="3237EF32">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5、不采取不正当手段低毁、排挤其他供应商。 </w:t>
      </w:r>
    </w:p>
    <w:p w14:paraId="24B697AA">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6、不在提供商品和服务时“偷梁换柱、以次充好”损害采购人的合法权益。 </w:t>
      </w:r>
    </w:p>
    <w:p w14:paraId="5AC3A065">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7、不与采购人、采购代理机构政府采购评审专家或其它供应商恶意串通，进行质疑和投诉，维护政府采购市场秩序。 </w:t>
      </w:r>
    </w:p>
    <w:p w14:paraId="057A00A5">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8、尊重和接受政府采购监督管理部门的监督和政府采购代理机构采购要求，承担因违约行为给采购人造成的损失。 </w:t>
      </w:r>
    </w:p>
    <w:p w14:paraId="1CCB5B39">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　　9、不发生其他有悖于政府采购公开、公平、公正和诚信原则的行为。 </w:t>
      </w:r>
    </w:p>
    <w:p w14:paraId="4BA38D41">
      <w:pPr>
        <w:pageBreakBefore w:val="0"/>
        <w:widowControl/>
        <w:kinsoku/>
        <w:wordWrap/>
        <w:overflowPunct/>
        <w:topLinePunct w:val="0"/>
        <w:autoSpaceDE/>
        <w:autoSpaceDN/>
        <w:bidi w:val="0"/>
        <w:adjustRightInd/>
        <w:snapToGrid/>
        <w:spacing w:line="520" w:lineRule="exact"/>
        <w:ind w:firstLine="960" w:firstLineChars="4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承诺单位：</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 xml:space="preserve">（盖章） </w:t>
      </w:r>
    </w:p>
    <w:p w14:paraId="130E23D7">
      <w:pPr>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全权代表：</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 xml:space="preserve">（签字） </w:t>
      </w:r>
    </w:p>
    <w:p w14:paraId="111BEE92">
      <w:pPr>
        <w:pageBreakBefore w:val="0"/>
        <w:widowControl/>
        <w:kinsoku/>
        <w:wordWrap/>
        <w:overflowPunct/>
        <w:topLinePunct w:val="0"/>
        <w:autoSpaceDE/>
        <w:autoSpaceDN/>
        <w:bidi w:val="0"/>
        <w:adjustRightInd/>
        <w:snapToGrid/>
        <w:spacing w:line="520" w:lineRule="exact"/>
        <w:ind w:firstLine="960" w:firstLineChars="400"/>
        <w:textAlignment w:val="auto"/>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地　　址：</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6B22C2DD">
      <w:pPr>
        <w:pageBreakBefore w:val="0"/>
        <w:widowControl/>
        <w:kinsoku/>
        <w:wordWrap/>
        <w:overflowPunct/>
        <w:topLinePunct w:val="0"/>
        <w:autoSpaceDE/>
        <w:autoSpaceDN/>
        <w:bidi w:val="0"/>
        <w:adjustRightInd/>
        <w:snapToGrid/>
        <w:spacing w:line="520" w:lineRule="exact"/>
        <w:ind w:firstLine="960" w:firstLineChars="400"/>
        <w:textAlignment w:val="auto"/>
        <w:rPr>
          <w:rFonts w:hint="eastAsia" w:asciiTheme="minorEastAsia" w:hAnsiTheme="minorEastAsia" w:eastAsiaTheme="minorEastAsia" w:cstheme="minorEastAsia"/>
          <w:color w:val="auto"/>
          <w:kern w:val="0"/>
          <w:sz w:val="24"/>
          <w:szCs w:val="24"/>
          <w:highlight w:val="none"/>
          <w:u w:val="single"/>
          <w:lang w:eastAsia="zh-CN"/>
        </w:rPr>
      </w:pPr>
      <w:r>
        <w:rPr>
          <w:rFonts w:hint="eastAsia" w:asciiTheme="minorEastAsia" w:hAnsiTheme="minorEastAsia" w:eastAsiaTheme="minorEastAsia" w:cstheme="minorEastAsia"/>
          <w:color w:val="auto"/>
          <w:kern w:val="0"/>
          <w:sz w:val="24"/>
          <w:szCs w:val="24"/>
          <w:highlight w:val="none"/>
        </w:rPr>
        <w:t>邮    编：</w:t>
      </w:r>
      <w:r>
        <w:rPr>
          <w:rFonts w:hint="eastAsia" w:asciiTheme="minorEastAsia" w:hAnsiTheme="minorEastAsia" w:eastAsiaTheme="minorEastAsia" w:cstheme="minorEastAsia"/>
          <w:color w:val="auto"/>
          <w:kern w:val="0"/>
          <w:sz w:val="24"/>
          <w:szCs w:val="24"/>
          <w:highlight w:val="none"/>
          <w:u w:val="single"/>
        </w:rPr>
        <w:t xml:space="preserve">　　                     　　 </w:t>
      </w:r>
    </w:p>
    <w:p w14:paraId="78CCFB37">
      <w:pPr>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电　　话：</w:t>
      </w:r>
      <w:r>
        <w:rPr>
          <w:rFonts w:hint="eastAsia" w:asciiTheme="minorEastAsia" w:hAnsiTheme="minorEastAsia" w:eastAsiaTheme="minorEastAsia" w:cstheme="minorEastAsia"/>
          <w:color w:val="auto"/>
          <w:kern w:val="0"/>
          <w:sz w:val="24"/>
          <w:szCs w:val="24"/>
          <w:highlight w:val="none"/>
          <w:u w:val="single"/>
        </w:rPr>
        <w:t>　　　                　　　　</w:t>
      </w:r>
    </w:p>
    <w:p w14:paraId="4C5589EF">
      <w:pPr>
        <w:pStyle w:val="7"/>
        <w:pageBreakBefore w:val="0"/>
        <w:kinsoku/>
        <w:wordWrap/>
        <w:overflowPunct/>
        <w:topLinePunct w:val="0"/>
        <w:autoSpaceDE/>
        <w:autoSpaceDN/>
        <w:bidi w:val="0"/>
        <w:adjustRightInd/>
        <w:snapToGrid/>
        <w:spacing w:before="0" w:line="520" w:lineRule="exact"/>
        <w:ind w:firstLine="0" w:firstLineChars="0"/>
        <w:textAlignment w:val="auto"/>
        <w:outlineLvl w:val="9"/>
        <w:rPr>
          <w:rFonts w:hint="eastAsia" w:asciiTheme="minorEastAsia" w:hAnsiTheme="minorEastAsia" w:eastAsiaTheme="minorEastAsia" w:cstheme="minorEastAsia"/>
          <w:color w:val="auto"/>
          <w:sz w:val="24"/>
          <w:szCs w:val="24"/>
          <w:highlight w:val="none"/>
        </w:rPr>
        <w:sectPr>
          <w:footerReference r:id="rId9" w:type="first"/>
          <w:footerReference r:id="rId8" w:type="default"/>
          <w:pgSz w:w="11905" w:h="16838"/>
          <w:pgMar w:top="1440" w:right="1083" w:bottom="1440" w:left="1083" w:header="850" w:footer="992" w:gutter="567"/>
          <w:pgBorders>
            <w:top w:val="none" w:sz="0" w:space="0"/>
            <w:left w:val="none" w:sz="0" w:space="0"/>
            <w:bottom w:val="none" w:sz="0" w:space="0"/>
            <w:right w:val="none" w:sz="0" w:space="0"/>
          </w:pgBorders>
          <w:pgNumType w:fmt="decimal"/>
          <w:cols w:space="0" w:num="1"/>
          <w:titlePg/>
          <w:rtlGutter w:val="0"/>
          <w:docGrid w:type="lines" w:linePitch="314" w:charSpace="0"/>
        </w:sectPr>
      </w:pPr>
    </w:p>
    <w:p w14:paraId="152D9EAE">
      <w:pPr>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4、磋商声明书</w:t>
      </w:r>
    </w:p>
    <w:p w14:paraId="47DC8BAA">
      <w:pPr>
        <w:pStyle w:val="51"/>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bCs/>
          <w:color w:val="auto"/>
          <w:sz w:val="24"/>
          <w:szCs w:val="24"/>
          <w:highlight w:val="none"/>
        </w:rPr>
        <w:t>致：</w:t>
      </w:r>
      <w:r>
        <w:rPr>
          <w:rFonts w:hint="eastAsia" w:asciiTheme="minorEastAsia" w:hAnsiTheme="minorEastAsia" w:eastAsiaTheme="minorEastAsia" w:cstheme="minorEastAsia"/>
          <w:color w:val="auto"/>
          <w:kern w:val="0"/>
          <w:sz w:val="24"/>
          <w:szCs w:val="24"/>
          <w:highlight w:val="none"/>
          <w:u w:val="single"/>
          <w:lang w:val="en-US" w:eastAsia="zh-CN"/>
        </w:rPr>
        <w:t>麟游县中医医院</w:t>
      </w:r>
    </w:p>
    <w:p w14:paraId="51B21E58">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69" w:name="_Toc458617487"/>
      <w:r>
        <w:rPr>
          <w:rFonts w:hint="eastAsia" w:asciiTheme="minorEastAsia" w:hAnsiTheme="minorEastAsia" w:eastAsiaTheme="minorEastAsia" w:cstheme="minorEastAsia"/>
          <w:color w:val="auto"/>
          <w:sz w:val="24"/>
          <w:szCs w:val="24"/>
          <w:highlight w:val="none"/>
        </w:rPr>
        <w:t>我公司</w:t>
      </w:r>
      <w:r>
        <w:rPr>
          <w:rFonts w:hint="eastAsia" w:asciiTheme="minorEastAsia" w:hAnsiTheme="minorEastAsia" w:eastAsiaTheme="minorEastAsia" w:cstheme="minorEastAsia"/>
          <w:color w:val="auto"/>
          <w:sz w:val="24"/>
          <w:szCs w:val="24"/>
          <w:highlight w:val="none"/>
          <w:u w:val="single"/>
        </w:rPr>
        <w:t xml:space="preserve">       （供应商名称）       </w:t>
      </w:r>
      <w:r>
        <w:rPr>
          <w:rFonts w:hint="eastAsia" w:asciiTheme="minorEastAsia" w:hAnsiTheme="minorEastAsia" w:eastAsiaTheme="minorEastAsia" w:cstheme="minorEastAsia"/>
          <w:color w:val="auto"/>
          <w:sz w:val="24"/>
          <w:szCs w:val="24"/>
          <w:highlight w:val="none"/>
        </w:rPr>
        <w:t>，就参加</w:t>
      </w:r>
      <w:r>
        <w:rPr>
          <w:rFonts w:hint="eastAsia" w:asciiTheme="minorEastAsia" w:hAnsiTheme="minorEastAsia" w:eastAsiaTheme="minorEastAsia" w:cstheme="minorEastAsia"/>
          <w:color w:val="auto"/>
          <w:sz w:val="24"/>
          <w:szCs w:val="24"/>
          <w:highlight w:val="none"/>
          <w:u w:val="single"/>
        </w:rPr>
        <w:t xml:space="preserve">      （采购</w:t>
      </w:r>
      <w:r>
        <w:rPr>
          <w:rFonts w:hint="eastAsia" w:asciiTheme="minorEastAsia" w:hAnsiTheme="minorEastAsia" w:eastAsiaTheme="minorEastAsia" w:cstheme="minorEastAsia"/>
          <w:color w:val="auto"/>
          <w:sz w:val="24"/>
          <w:szCs w:val="24"/>
          <w:highlight w:val="none"/>
          <w:u w:val="single"/>
          <w:lang w:eastAsia="zh-CN"/>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事宜，在此郑重声明：</w:t>
      </w:r>
      <w:bookmarkEnd w:id="169"/>
    </w:p>
    <w:p w14:paraId="385022B1">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0" w:name="_Toc458617488"/>
      <w:r>
        <w:rPr>
          <w:rFonts w:hint="eastAsia" w:asciiTheme="minorEastAsia" w:hAnsiTheme="minorEastAsia" w:eastAsiaTheme="minorEastAsia" w:cstheme="minorEastAsia"/>
          <w:color w:val="auto"/>
          <w:sz w:val="24"/>
          <w:szCs w:val="24"/>
          <w:highlight w:val="none"/>
        </w:rPr>
        <w:t>1、我公司所提交的竞争性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响应文件全部真实有效；</w:t>
      </w:r>
      <w:bookmarkEnd w:id="170"/>
    </w:p>
    <w:p w14:paraId="46B592F1">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1" w:name="_Toc458617489"/>
      <w:r>
        <w:rPr>
          <w:rFonts w:hint="eastAsia" w:asciiTheme="minorEastAsia" w:hAnsiTheme="minorEastAsia" w:eastAsiaTheme="minorEastAsia" w:cstheme="minorEastAsia"/>
          <w:color w:val="auto"/>
          <w:sz w:val="24"/>
          <w:szCs w:val="24"/>
          <w:highlight w:val="none"/>
        </w:rPr>
        <w:t>2、我公司近3年来无因安全事故、质量事故、投标违规等不良记录被政府有关部门处罚期内的情形存在；</w:t>
      </w:r>
      <w:bookmarkEnd w:id="171"/>
    </w:p>
    <w:p w14:paraId="4482E524">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2" w:name="_Toc458617490"/>
      <w:r>
        <w:rPr>
          <w:rFonts w:hint="eastAsia" w:asciiTheme="minorEastAsia" w:hAnsiTheme="minorEastAsia" w:eastAsiaTheme="minorEastAsia" w:cstheme="minorEastAsia"/>
          <w:color w:val="auto"/>
          <w:sz w:val="24"/>
          <w:szCs w:val="24"/>
          <w:highlight w:val="none"/>
        </w:rPr>
        <w:t>3、我公司近3年来无违规违法经营受到责令停产（或停止经营）、吊销生产许可证（或经营许可证）、较大数额罚款等行政处罚的情形存在；</w:t>
      </w:r>
      <w:bookmarkEnd w:id="172"/>
    </w:p>
    <w:p w14:paraId="283DE2B1">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3" w:name="_Toc458617491"/>
      <w:r>
        <w:rPr>
          <w:rFonts w:hint="eastAsia" w:asciiTheme="minorEastAsia" w:hAnsiTheme="minorEastAsia" w:eastAsiaTheme="minorEastAsia" w:cstheme="minorEastAsia"/>
          <w:color w:val="auto"/>
          <w:sz w:val="24"/>
          <w:szCs w:val="24"/>
          <w:highlight w:val="none"/>
        </w:rPr>
        <w:t>4、我公司无企业财产被查封、冻结或处于破产状态或严重亏损状态等情形存在；</w:t>
      </w:r>
      <w:bookmarkEnd w:id="173"/>
    </w:p>
    <w:p w14:paraId="671698C0">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4" w:name="_Toc458617492"/>
      <w:r>
        <w:rPr>
          <w:rFonts w:hint="eastAsia" w:asciiTheme="minorEastAsia" w:hAnsiTheme="minorEastAsia" w:eastAsiaTheme="minorEastAsia" w:cstheme="minorEastAsia"/>
          <w:color w:val="auto"/>
          <w:sz w:val="24"/>
          <w:szCs w:val="24"/>
          <w:highlight w:val="none"/>
        </w:rPr>
        <w:t>5、我公司承诺在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过程中，保证不与其他单位围标、串标，不出让</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资格，不采取不正当手段诋毁、排挤其他</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供应商，不向采购代理机构、评审委员会成员行贿。</w:t>
      </w:r>
      <w:bookmarkEnd w:id="174"/>
    </w:p>
    <w:p w14:paraId="3CC2FC87">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bookmarkStart w:id="175" w:name="_Toc458617493"/>
      <w:r>
        <w:rPr>
          <w:rFonts w:hint="eastAsia" w:asciiTheme="minorEastAsia" w:hAnsiTheme="minorEastAsia" w:eastAsiaTheme="minorEastAsia" w:cstheme="minorEastAsia"/>
          <w:color w:val="auto"/>
          <w:sz w:val="24"/>
          <w:szCs w:val="24"/>
          <w:highlight w:val="none"/>
        </w:rPr>
        <w:t>以上声明若违反，一经查实，本公司愿意接受政府有关部门的相应处罚，并愿意承担由此带来的法律后果。</w:t>
      </w:r>
      <w:bookmarkEnd w:id="175"/>
    </w:p>
    <w:p w14:paraId="123D4A8B">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p>
    <w:p w14:paraId="590286AC">
      <w:pPr>
        <w:pStyle w:val="51"/>
        <w:keepNext w:val="0"/>
        <w:keepLines w:val="0"/>
        <w:pageBreakBefore w:val="0"/>
        <w:widowControl/>
        <w:kinsoku/>
        <w:wordWrap/>
        <w:overflowPunct/>
        <w:topLinePunct w:val="0"/>
        <w:autoSpaceDE/>
        <w:autoSpaceDN/>
        <w:bidi w:val="0"/>
        <w:adjustRightInd/>
        <w:snapToGrid/>
        <w:spacing w:line="520" w:lineRule="exact"/>
        <w:ind w:firstLine="530" w:firstLineChars="221"/>
        <w:textAlignment w:val="auto"/>
        <w:rPr>
          <w:rFonts w:hint="eastAsia" w:asciiTheme="minorEastAsia" w:hAnsiTheme="minorEastAsia" w:eastAsiaTheme="minorEastAsia" w:cstheme="minorEastAsia"/>
          <w:color w:val="auto"/>
          <w:sz w:val="24"/>
          <w:szCs w:val="24"/>
          <w:highlight w:val="none"/>
        </w:rPr>
      </w:pPr>
    </w:p>
    <w:p w14:paraId="790AD2C5">
      <w:pPr>
        <w:pStyle w:val="51"/>
        <w:keepNext w:val="0"/>
        <w:keepLines w:val="0"/>
        <w:pageBreakBefore w:val="0"/>
        <w:widowControl/>
        <w:kinsoku/>
        <w:wordWrap/>
        <w:overflowPunct/>
        <w:topLinePunct w:val="0"/>
        <w:autoSpaceDE/>
        <w:autoSpaceDN/>
        <w:bidi w:val="0"/>
        <w:adjustRightInd/>
        <w:snapToGrid/>
        <w:spacing w:line="520" w:lineRule="exact"/>
        <w:ind w:firstLine="410" w:firstLineChars="171"/>
        <w:textAlignment w:val="auto"/>
        <w:rPr>
          <w:rFonts w:hint="eastAsia" w:asciiTheme="minorEastAsia" w:hAnsiTheme="minorEastAsia" w:eastAsiaTheme="minorEastAsia" w:cstheme="minorEastAsia"/>
          <w:color w:val="auto"/>
          <w:sz w:val="24"/>
          <w:szCs w:val="24"/>
          <w:highlight w:val="none"/>
        </w:rPr>
      </w:pPr>
      <w:bookmarkStart w:id="176" w:name="_Toc458617494"/>
      <w:r>
        <w:rPr>
          <w:rFonts w:hint="eastAsia" w:asciiTheme="minorEastAsia" w:hAnsiTheme="minorEastAsia" w:eastAsiaTheme="minorEastAsia" w:cstheme="minorEastAsia"/>
          <w:color w:val="auto"/>
          <w:sz w:val="24"/>
          <w:szCs w:val="24"/>
          <w:highlight w:val="none"/>
        </w:rPr>
        <w:t>特此声明！</w:t>
      </w:r>
      <w:bookmarkEnd w:id="176"/>
    </w:p>
    <w:p w14:paraId="54F918C2">
      <w:pPr>
        <w:pStyle w:val="51"/>
        <w:keepNext w:val="0"/>
        <w:keepLines w:val="0"/>
        <w:pageBreakBefore w:val="0"/>
        <w:widowControl/>
        <w:kinsoku/>
        <w:wordWrap/>
        <w:overflowPunct/>
        <w:topLinePunct w:val="0"/>
        <w:autoSpaceDE/>
        <w:autoSpaceDN/>
        <w:bidi w:val="0"/>
        <w:adjustRightInd/>
        <w:snapToGrid/>
        <w:spacing w:line="520" w:lineRule="exact"/>
        <w:ind w:firstLine="410" w:firstLineChars="171"/>
        <w:textAlignment w:val="auto"/>
        <w:rPr>
          <w:rFonts w:hint="eastAsia" w:asciiTheme="minorEastAsia" w:hAnsiTheme="minorEastAsia" w:eastAsiaTheme="minorEastAsia" w:cstheme="minorEastAsia"/>
          <w:color w:val="auto"/>
          <w:sz w:val="24"/>
          <w:szCs w:val="24"/>
          <w:highlight w:val="none"/>
        </w:rPr>
      </w:pPr>
      <w:bookmarkStart w:id="177" w:name="_Toc458617495"/>
      <w:r>
        <w:rPr>
          <w:rFonts w:hint="eastAsia" w:asciiTheme="minorEastAsia" w:hAnsiTheme="minorEastAsia" w:eastAsiaTheme="minorEastAsia" w:cstheme="minorEastAsia"/>
          <w:color w:val="auto"/>
          <w:sz w:val="24"/>
          <w:szCs w:val="24"/>
          <w:highlight w:val="none"/>
        </w:rPr>
        <w:t>声  明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（供应商名称、公章）</w:t>
      </w:r>
      <w:bookmarkEnd w:id="177"/>
    </w:p>
    <w:p w14:paraId="1D699E67">
      <w:pPr>
        <w:pStyle w:val="51"/>
        <w:keepNext w:val="0"/>
        <w:keepLines w:val="0"/>
        <w:pageBreakBefore w:val="0"/>
        <w:widowControl/>
        <w:kinsoku/>
        <w:wordWrap/>
        <w:overflowPunct/>
        <w:topLinePunct w:val="0"/>
        <w:autoSpaceDE/>
        <w:autoSpaceDN/>
        <w:bidi w:val="0"/>
        <w:adjustRightInd/>
        <w:snapToGrid/>
        <w:spacing w:line="520" w:lineRule="exact"/>
        <w:ind w:firstLine="410" w:firstLineChars="171"/>
        <w:textAlignment w:val="auto"/>
        <w:rPr>
          <w:rFonts w:hint="eastAsia" w:asciiTheme="minorEastAsia" w:hAnsiTheme="minorEastAsia" w:eastAsiaTheme="minorEastAsia" w:cstheme="minorEastAsia"/>
          <w:color w:val="auto"/>
          <w:sz w:val="24"/>
          <w:szCs w:val="24"/>
          <w:highlight w:val="none"/>
        </w:rPr>
      </w:pPr>
      <w:bookmarkStart w:id="178" w:name="_Toc458617496"/>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（签字</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盖章）</w:t>
      </w:r>
      <w:bookmarkEnd w:id="178"/>
    </w:p>
    <w:p w14:paraId="4BCD86EE">
      <w:pPr>
        <w:pStyle w:val="51"/>
        <w:keepNext w:val="0"/>
        <w:keepLines w:val="0"/>
        <w:pageBreakBefore w:val="0"/>
        <w:widowControl/>
        <w:kinsoku/>
        <w:wordWrap/>
        <w:overflowPunct/>
        <w:topLinePunct w:val="0"/>
        <w:autoSpaceDE/>
        <w:autoSpaceDN/>
        <w:bidi w:val="0"/>
        <w:adjustRightInd/>
        <w:snapToGrid/>
        <w:spacing w:line="520" w:lineRule="exact"/>
        <w:ind w:firstLine="410" w:firstLineChars="171"/>
        <w:textAlignment w:val="auto"/>
        <w:rPr>
          <w:rFonts w:hint="eastAsia" w:asciiTheme="minorEastAsia" w:hAnsiTheme="minorEastAsia" w:eastAsiaTheme="minorEastAsia" w:cstheme="minorEastAsia"/>
          <w:color w:val="auto"/>
          <w:sz w:val="24"/>
          <w:szCs w:val="24"/>
          <w:highlight w:val="none"/>
        </w:rPr>
      </w:pPr>
      <w:bookmarkStart w:id="179" w:name="_Toc458617497"/>
      <w:r>
        <w:rPr>
          <w:rFonts w:hint="eastAsia" w:asciiTheme="minorEastAsia" w:hAnsiTheme="minorEastAsia" w:eastAsiaTheme="minorEastAsia" w:cstheme="minorEastAsia"/>
          <w:color w:val="auto"/>
          <w:sz w:val="24"/>
          <w:szCs w:val="24"/>
          <w:highlight w:val="none"/>
        </w:rPr>
        <w:t>日      期：</w:t>
      </w:r>
      <w:bookmarkEnd w:id="179"/>
      <w:r>
        <w:rPr>
          <w:rFonts w:hint="eastAsia" w:asciiTheme="minorEastAsia" w:hAnsiTheme="minorEastAsia" w:eastAsiaTheme="minorEastAsia" w:cstheme="minorEastAsia"/>
          <w:color w:val="auto"/>
          <w:kern w:val="0"/>
          <w:sz w:val="24"/>
          <w:szCs w:val="24"/>
          <w:highlight w:val="none"/>
          <w:u w:val="single"/>
        </w:rPr>
        <w:t xml:space="preserve">              </w:t>
      </w:r>
    </w:p>
    <w:p w14:paraId="3D31E5C9">
      <w:pPr>
        <w:rPr>
          <w:rFonts w:hint="eastAsia" w:asciiTheme="minorEastAsia" w:hAnsiTheme="minorEastAsia" w:eastAsiaTheme="minorEastAsia" w:cstheme="minorEastAsia"/>
          <w:b/>
          <w:bCs w:val="0"/>
          <w:color w:val="auto"/>
          <w:sz w:val="24"/>
          <w:szCs w:val="24"/>
          <w:highlight w:val="none"/>
          <w:lang w:val="en-US" w:eastAsia="zh-CN"/>
        </w:rPr>
      </w:pPr>
    </w:p>
    <w:p w14:paraId="1A699C95">
      <w:pPr>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br w:type="page"/>
      </w:r>
    </w:p>
    <w:p w14:paraId="21B94D17">
      <w:pPr>
        <w:spacing w:after="240" w:afterLines="100" w:line="360" w:lineRule="auto"/>
        <w:jc w:val="center"/>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5、技术服务偏离表</w:t>
      </w:r>
    </w:p>
    <w:p w14:paraId="2A9D516F">
      <w:pPr>
        <w:pStyle w:val="4"/>
        <w:spacing w:before="120" w:beforeLines="50" w:after="120" w:afterLines="50"/>
        <w:ind w:firstLine="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4"/>
          <w:szCs w:val="24"/>
          <w:highlight w:val="none"/>
          <w:lang w:val="en-US" w:eastAsia="zh-CN"/>
        </w:rPr>
        <w:t>项目名称</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color w:val="auto"/>
          <w:sz w:val="24"/>
          <w:szCs w:val="24"/>
          <w:highlight w:val="none"/>
          <w:lang w:eastAsia="zh-CN"/>
        </w:rPr>
        <w:t>项目编号</w:t>
      </w:r>
      <w:r>
        <w:rPr>
          <w:rFonts w:hint="eastAsia" w:asciiTheme="minorEastAsia" w:hAnsiTheme="minorEastAsia" w:eastAsiaTheme="minorEastAsia" w:cstheme="minorEastAsia"/>
          <w:color w:val="auto"/>
          <w:sz w:val="24"/>
          <w:szCs w:val="24"/>
          <w:highlight w:val="none"/>
        </w:rPr>
        <w:t>：</w:t>
      </w:r>
    </w:p>
    <w:tbl>
      <w:tblPr>
        <w:tblStyle w:val="30"/>
        <w:tblW w:w="88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164"/>
        <w:gridCol w:w="2203"/>
        <w:gridCol w:w="1848"/>
        <w:gridCol w:w="1266"/>
      </w:tblGrid>
      <w:tr w14:paraId="5FFFD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340" w:type="dxa"/>
            <w:vAlign w:val="center"/>
          </w:tcPr>
          <w:p w14:paraId="079BD7AA">
            <w:pPr>
              <w:spacing w:line="520" w:lineRule="exact"/>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序号</w:t>
            </w:r>
          </w:p>
        </w:tc>
        <w:tc>
          <w:tcPr>
            <w:tcW w:w="2164" w:type="dxa"/>
            <w:vAlign w:val="center"/>
          </w:tcPr>
          <w:p w14:paraId="765DCFE3">
            <w:pPr>
              <w:spacing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磋商文件服务</w:t>
            </w:r>
          </w:p>
          <w:p w14:paraId="612B30A8">
            <w:pPr>
              <w:spacing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（技术）要求</w:t>
            </w:r>
          </w:p>
        </w:tc>
        <w:tc>
          <w:tcPr>
            <w:tcW w:w="2203" w:type="dxa"/>
            <w:vAlign w:val="center"/>
          </w:tcPr>
          <w:p w14:paraId="637C3FD2">
            <w:pPr>
              <w:spacing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响应文件服务</w:t>
            </w:r>
          </w:p>
          <w:p w14:paraId="56342F68">
            <w:pPr>
              <w:spacing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（技术）响应</w:t>
            </w:r>
          </w:p>
        </w:tc>
        <w:tc>
          <w:tcPr>
            <w:tcW w:w="1848" w:type="dxa"/>
            <w:vAlign w:val="center"/>
          </w:tcPr>
          <w:p w14:paraId="7926D1B2">
            <w:pPr>
              <w:spacing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偏离情况</w:t>
            </w:r>
          </w:p>
        </w:tc>
        <w:tc>
          <w:tcPr>
            <w:tcW w:w="1266" w:type="dxa"/>
            <w:vAlign w:val="center"/>
          </w:tcPr>
          <w:p w14:paraId="0F66AA28">
            <w:pPr>
              <w:spacing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说明</w:t>
            </w:r>
          </w:p>
        </w:tc>
      </w:tr>
      <w:tr w14:paraId="08A9E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1785614A">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59A8D1AD">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1C430A27">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4A0686EB">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47F9B785">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299B5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4BA4A692">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1DCA3E17">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4577AFE6">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7C8532EE">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54D08A27">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12EE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226D0971">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73D6E1E9">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7C79E62D">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05E07CEC">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2E408852">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4938D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209F2A05">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01BBE3F0">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02B1FA25">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009532DC">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5CE12B7D">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40F49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4CCE498B">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75A0B48A">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4986EAC7">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64445A9B">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60E5C67C">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537AE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164E722F">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3492E18A">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636697FF">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7ABAAB20">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0D760E61">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19EB3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604A866E">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6E5801B5">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515FCFAC">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0D543F1B">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7C2214AF">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3D855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6CEA5535">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49ED1974">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133D0228">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72030573">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1C4E741B">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34EA1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658BC107">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7632FB60">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1A63AF51">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48C5B4E2">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5CBE19B8">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5C9C3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1064208C">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53A4A8B0">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02BC28A5">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64FE8C4C">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5770CCC5">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641C9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353BC869">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1CC224F6">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48915D6D">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4325A52C">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3F78939D">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48ADB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40" w:type="dxa"/>
            <w:vAlign w:val="top"/>
          </w:tcPr>
          <w:p w14:paraId="1E380F1B">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164" w:type="dxa"/>
            <w:vAlign w:val="top"/>
          </w:tcPr>
          <w:p w14:paraId="6345DF38">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2203" w:type="dxa"/>
            <w:vAlign w:val="top"/>
          </w:tcPr>
          <w:p w14:paraId="205BEEE1">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848" w:type="dxa"/>
            <w:vAlign w:val="top"/>
          </w:tcPr>
          <w:p w14:paraId="1A33AA60">
            <w:pPr>
              <w:adjustRightInd w:val="0"/>
              <w:snapToGrid w:val="0"/>
              <w:spacing w:line="360" w:lineRule="auto"/>
              <w:ind w:right="24"/>
              <w:rPr>
                <w:rFonts w:hint="eastAsia" w:asciiTheme="minorEastAsia" w:hAnsiTheme="minorEastAsia" w:eastAsiaTheme="minorEastAsia" w:cstheme="minorEastAsia"/>
                <w:bCs/>
                <w:sz w:val="24"/>
                <w:highlight w:val="none"/>
              </w:rPr>
            </w:pPr>
          </w:p>
        </w:tc>
        <w:tc>
          <w:tcPr>
            <w:tcW w:w="1266" w:type="dxa"/>
            <w:vAlign w:val="top"/>
          </w:tcPr>
          <w:p w14:paraId="478C000E">
            <w:pPr>
              <w:adjustRightInd w:val="0"/>
              <w:snapToGrid w:val="0"/>
              <w:spacing w:line="360" w:lineRule="auto"/>
              <w:ind w:right="24"/>
              <w:rPr>
                <w:rFonts w:hint="eastAsia" w:asciiTheme="minorEastAsia" w:hAnsiTheme="minorEastAsia" w:eastAsiaTheme="minorEastAsia" w:cstheme="minorEastAsia"/>
                <w:bCs/>
                <w:sz w:val="24"/>
                <w:highlight w:val="none"/>
              </w:rPr>
            </w:pPr>
          </w:p>
        </w:tc>
      </w:tr>
      <w:tr w14:paraId="24E12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8821" w:type="dxa"/>
            <w:gridSpan w:val="5"/>
            <w:vAlign w:val="center"/>
          </w:tcPr>
          <w:p w14:paraId="41F66773">
            <w:pPr>
              <w:ind w:left="0" w:leftChars="0"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注：</w:t>
            </w:r>
            <w:r>
              <w:rPr>
                <w:rFonts w:hint="eastAsia" w:asciiTheme="minorEastAsia" w:hAnsiTheme="minorEastAsia" w:eastAsiaTheme="minorEastAsia" w:cstheme="minorEastAsia"/>
                <w:szCs w:val="21"/>
                <w:highlight w:val="none"/>
              </w:rPr>
              <w:t>1.偏离应按照</w:t>
            </w:r>
            <w:r>
              <w:rPr>
                <w:rFonts w:hint="eastAsia" w:asciiTheme="minorEastAsia" w:hAnsiTheme="minorEastAsia" w:eastAsiaTheme="minorEastAsia" w:cstheme="minorEastAsia"/>
                <w:szCs w:val="21"/>
                <w:highlight w:val="none"/>
                <w:lang w:eastAsia="zh-CN"/>
              </w:rPr>
              <w:t>磋商文件</w:t>
            </w:r>
            <w:r>
              <w:rPr>
                <w:rFonts w:hint="eastAsia" w:asciiTheme="minorEastAsia" w:hAnsiTheme="minorEastAsia" w:eastAsiaTheme="minorEastAsia" w:cstheme="minorEastAsia"/>
                <w:szCs w:val="21"/>
                <w:highlight w:val="none"/>
                <w:lang w:val="en-US" w:eastAsia="zh-CN"/>
              </w:rPr>
              <w:t>技术服务</w:t>
            </w:r>
            <w:r>
              <w:rPr>
                <w:rFonts w:hint="eastAsia" w:asciiTheme="minorEastAsia" w:hAnsiTheme="minorEastAsia" w:eastAsiaTheme="minorEastAsia" w:cstheme="minorEastAsia"/>
                <w:szCs w:val="21"/>
                <w:highlight w:val="none"/>
              </w:rPr>
              <w:t>条款定义理解，本表只填写有偏离的情况。</w:t>
            </w:r>
          </w:p>
          <w:p w14:paraId="275648EA">
            <w:pPr>
              <w:adjustRightInd w:val="0"/>
              <w:snapToGrid w:val="0"/>
              <w:ind w:right="24"/>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Cs w:val="21"/>
                <w:highlight w:val="none"/>
              </w:rPr>
              <w:t>2.对技术条款中所有要求，除本表所列出偏离外，均视为供应商响应其余全部技术条款要求；如供应商响应磋商文件所有技术条款要求的，必须提交空白表，否则，其</w:t>
            </w:r>
            <w:r>
              <w:rPr>
                <w:rFonts w:hint="eastAsia" w:asciiTheme="minorEastAsia" w:hAnsiTheme="minorEastAsia" w:eastAsiaTheme="minorEastAsia" w:cstheme="minorEastAsia"/>
                <w:b/>
                <w:szCs w:val="21"/>
                <w:highlight w:val="none"/>
              </w:rPr>
              <w:t>响应文件无效</w:t>
            </w:r>
            <w:r>
              <w:rPr>
                <w:rFonts w:hint="eastAsia" w:asciiTheme="minorEastAsia" w:hAnsiTheme="minorEastAsia" w:eastAsiaTheme="minorEastAsia" w:cstheme="minorEastAsia"/>
                <w:szCs w:val="21"/>
                <w:highlight w:val="none"/>
              </w:rPr>
              <w:t>。</w:t>
            </w:r>
          </w:p>
        </w:tc>
      </w:tr>
    </w:tbl>
    <w:p w14:paraId="7B670C14">
      <w:pPr>
        <w:adjustRightInd w:val="0"/>
        <w:spacing w:line="400" w:lineRule="exact"/>
        <w:ind w:firstLine="480" w:firstLineChars="200"/>
        <w:jc w:val="left"/>
        <w:rPr>
          <w:rFonts w:hint="eastAsia" w:asciiTheme="minorEastAsia" w:hAnsiTheme="minorEastAsia" w:eastAsiaTheme="minorEastAsia" w:cstheme="minorEastAsia"/>
          <w:bCs/>
          <w:color w:val="auto"/>
          <w:sz w:val="24"/>
          <w:szCs w:val="24"/>
          <w:highlight w:val="none"/>
        </w:rPr>
      </w:pPr>
    </w:p>
    <w:p w14:paraId="609E7B3B">
      <w:pPr>
        <w:spacing w:line="360" w:lineRule="auto"/>
        <w:ind w:left="1260" w:leftChars="0" w:firstLine="420" w:firstLineChars="0"/>
        <w:jc w:val="left"/>
        <w:outlineLvl w:val="9"/>
        <w:rPr>
          <w:rFonts w:hint="eastAsia" w:asciiTheme="minorEastAsia" w:hAnsiTheme="minorEastAsia" w:eastAsiaTheme="minorEastAsia" w:cstheme="minorEastAsia"/>
          <w:b w:val="0"/>
          <w:bCs w:val="0"/>
          <w:color w:val="auto"/>
          <w:sz w:val="24"/>
          <w:szCs w:val="24"/>
          <w:highlight w:val="none"/>
          <w:lang w:val="en-US" w:eastAsia="zh-CN"/>
        </w:rPr>
      </w:pPr>
    </w:p>
    <w:p w14:paraId="67682774">
      <w:pPr>
        <w:spacing w:line="360" w:lineRule="auto"/>
        <w:ind w:left="1260" w:leftChars="0" w:firstLine="420" w:firstLineChars="0"/>
        <w:jc w:val="left"/>
        <w:outlineLvl w:val="9"/>
        <w:rPr>
          <w:rFonts w:hint="eastAsia" w:asciiTheme="minorEastAsia" w:hAnsiTheme="minorEastAsia" w:eastAsiaTheme="minorEastAsia" w:cstheme="minorEastAsia"/>
          <w:b w:val="0"/>
          <w:bCs w:val="0"/>
          <w:color w:val="auto"/>
          <w:sz w:val="24"/>
          <w:szCs w:val="24"/>
          <w:highlight w:val="none"/>
          <w:lang w:val="en-US" w:eastAsia="zh-CN"/>
        </w:rPr>
      </w:pPr>
    </w:p>
    <w:p w14:paraId="6959B65A">
      <w:pPr>
        <w:spacing w:line="360" w:lineRule="auto"/>
        <w:ind w:left="1260" w:leftChars="0" w:firstLine="420" w:firstLineChars="0"/>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     章）</w:t>
      </w:r>
    </w:p>
    <w:p w14:paraId="124CED9A">
      <w:pPr>
        <w:pStyle w:val="47"/>
        <w:spacing w:line="360" w:lineRule="auto"/>
        <w:ind w:left="1260" w:leftChars="0" w:firstLine="42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3F3EF757">
      <w:pPr>
        <w:pStyle w:val="15"/>
        <w:keepNext w:val="0"/>
        <w:keepLines w:val="0"/>
        <w:pageBreakBefore w:val="0"/>
        <w:widowControl w:val="0"/>
        <w:kinsoku/>
        <w:wordWrap/>
        <w:overflowPunct/>
        <w:topLinePunct w:val="0"/>
        <w:autoSpaceDE/>
        <w:autoSpaceDN/>
        <w:bidi w:val="0"/>
        <w:adjustRightInd/>
        <w:snapToGrid/>
        <w:spacing w:line="360" w:lineRule="auto"/>
        <w:ind w:left="1260" w:leftChars="0" w:firstLine="420" w:firstLineChars="0"/>
        <w:textAlignment w:val="auto"/>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571E7F03">
      <w:pPr>
        <w:numPr>
          <w:ilvl w:val="0"/>
          <w:numId w:val="8"/>
        </w:numPr>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br w:type="page"/>
      </w:r>
    </w:p>
    <w:p w14:paraId="5EC1A424">
      <w:pPr>
        <w:spacing w:after="240" w:afterLines="100" w:line="360" w:lineRule="auto"/>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6</w:t>
      </w:r>
      <w:r>
        <w:rPr>
          <w:rFonts w:hint="eastAsia" w:asciiTheme="minorEastAsia" w:hAnsiTheme="minorEastAsia" w:eastAsiaTheme="minorEastAsia" w:cstheme="minorEastAsia"/>
          <w:b/>
          <w:bCs w:val="0"/>
          <w:color w:val="auto"/>
          <w:sz w:val="24"/>
          <w:szCs w:val="24"/>
          <w:highlight w:val="none"/>
        </w:rPr>
        <w:t>、</w:t>
      </w:r>
      <w:r>
        <w:rPr>
          <w:rFonts w:hint="eastAsia" w:asciiTheme="minorEastAsia" w:hAnsiTheme="minorEastAsia" w:eastAsiaTheme="minorEastAsia" w:cstheme="minorEastAsia"/>
          <w:b/>
          <w:bCs w:val="0"/>
          <w:color w:val="auto"/>
          <w:sz w:val="24"/>
          <w:szCs w:val="24"/>
          <w:highlight w:val="none"/>
          <w:lang w:val="en-US" w:eastAsia="zh-CN"/>
        </w:rPr>
        <w:t>商务与</w:t>
      </w:r>
      <w:r>
        <w:rPr>
          <w:rFonts w:hint="eastAsia" w:asciiTheme="minorEastAsia" w:hAnsiTheme="minorEastAsia" w:eastAsiaTheme="minorEastAsia" w:cstheme="minorEastAsia"/>
          <w:b/>
          <w:bCs w:val="0"/>
          <w:color w:val="auto"/>
          <w:sz w:val="24"/>
          <w:szCs w:val="24"/>
          <w:highlight w:val="none"/>
        </w:rPr>
        <w:t>合同条款偏离表</w:t>
      </w:r>
    </w:p>
    <w:p w14:paraId="55C611D4">
      <w:pPr>
        <w:spacing w:after="120" w:afterLines="50"/>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 xml:space="preserve"> 项目编号</w:t>
      </w:r>
      <w:r>
        <w:rPr>
          <w:rFonts w:hint="eastAsia" w:asciiTheme="minorEastAsia" w:hAnsiTheme="minorEastAsia" w:eastAsiaTheme="minorEastAsia" w:cstheme="minorEastAsia"/>
          <w:color w:val="auto"/>
          <w:sz w:val="24"/>
          <w:szCs w:val="24"/>
          <w:highlight w:val="none"/>
        </w:rPr>
        <w:t xml:space="preserve">：    </w:t>
      </w:r>
    </w:p>
    <w:tbl>
      <w:tblPr>
        <w:tblStyle w:val="30"/>
        <w:tblW w:w="87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579"/>
        <w:gridCol w:w="1999"/>
        <w:gridCol w:w="2833"/>
        <w:gridCol w:w="1126"/>
      </w:tblGrid>
      <w:tr w14:paraId="0347ACE9">
        <w:tblPrEx>
          <w:tblCellMar>
            <w:top w:w="0" w:type="dxa"/>
            <w:left w:w="108" w:type="dxa"/>
            <w:bottom w:w="0" w:type="dxa"/>
            <w:right w:w="108" w:type="dxa"/>
          </w:tblCellMar>
        </w:tblPrEx>
        <w:trPr>
          <w:trHeight w:val="1239" w:hRule="atLeast"/>
          <w:jc w:val="center"/>
        </w:trPr>
        <w:tc>
          <w:tcPr>
            <w:tcW w:w="1260" w:type="dxa"/>
            <w:vAlign w:val="center"/>
          </w:tcPr>
          <w:p w14:paraId="4B2ADAEA">
            <w:pPr>
              <w:spacing w:line="520" w:lineRule="exact"/>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序号</w:t>
            </w:r>
          </w:p>
        </w:tc>
        <w:tc>
          <w:tcPr>
            <w:tcW w:w="1579" w:type="dxa"/>
            <w:vAlign w:val="center"/>
          </w:tcPr>
          <w:p w14:paraId="4D57ABC1">
            <w:pPr>
              <w:spacing w:line="240" w:lineRule="auto"/>
              <w:ind w:left="0" w:leftChars="0"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竞争性</w:t>
            </w:r>
            <w:r>
              <w:rPr>
                <w:rFonts w:hint="eastAsia" w:asciiTheme="minorEastAsia" w:hAnsiTheme="minorEastAsia" w:eastAsiaTheme="minorEastAsia" w:cstheme="minorEastAsia"/>
                <w:b w:val="0"/>
                <w:bCs w:val="0"/>
                <w:color w:val="auto"/>
                <w:sz w:val="24"/>
                <w:szCs w:val="24"/>
                <w:highlight w:val="none"/>
                <w:lang w:eastAsia="zh-CN"/>
              </w:rPr>
              <w:t>磋商</w:t>
            </w: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b w:val="0"/>
                <w:bCs w:val="0"/>
                <w:color w:val="auto"/>
                <w:sz w:val="24"/>
                <w:szCs w:val="24"/>
                <w:highlight w:val="none"/>
                <w:lang w:val="en-US" w:eastAsia="zh-CN"/>
              </w:rPr>
              <w:t>商务合同</w:t>
            </w:r>
            <w:r>
              <w:rPr>
                <w:rFonts w:hint="eastAsia" w:asciiTheme="minorEastAsia" w:hAnsiTheme="minorEastAsia" w:eastAsiaTheme="minorEastAsia" w:cstheme="minorEastAsia"/>
                <w:b w:val="0"/>
                <w:bCs w:val="0"/>
                <w:color w:val="auto"/>
                <w:sz w:val="24"/>
                <w:szCs w:val="24"/>
                <w:highlight w:val="none"/>
              </w:rPr>
              <w:t>要求</w:t>
            </w:r>
          </w:p>
        </w:tc>
        <w:tc>
          <w:tcPr>
            <w:tcW w:w="1999" w:type="dxa"/>
            <w:vAlign w:val="center"/>
          </w:tcPr>
          <w:p w14:paraId="098E2CF6">
            <w:pPr>
              <w:spacing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竞争性</w:t>
            </w:r>
            <w:r>
              <w:rPr>
                <w:rFonts w:hint="eastAsia" w:asciiTheme="minorEastAsia" w:hAnsiTheme="minorEastAsia" w:eastAsiaTheme="minorEastAsia" w:cstheme="minorEastAsia"/>
                <w:b w:val="0"/>
                <w:bCs w:val="0"/>
                <w:color w:val="auto"/>
                <w:sz w:val="24"/>
                <w:szCs w:val="24"/>
                <w:highlight w:val="none"/>
                <w:lang w:eastAsia="zh-CN"/>
              </w:rPr>
              <w:t>磋商</w:t>
            </w:r>
            <w:r>
              <w:rPr>
                <w:rFonts w:hint="eastAsia" w:asciiTheme="minorEastAsia" w:hAnsiTheme="minorEastAsia" w:eastAsiaTheme="minorEastAsia" w:cstheme="minorEastAsia"/>
                <w:b w:val="0"/>
                <w:bCs w:val="0"/>
                <w:color w:val="auto"/>
                <w:sz w:val="24"/>
                <w:szCs w:val="24"/>
                <w:highlight w:val="none"/>
              </w:rPr>
              <w:t>响应</w:t>
            </w:r>
          </w:p>
          <w:p w14:paraId="2DB46DBD">
            <w:pPr>
              <w:spacing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b w:val="0"/>
                <w:bCs w:val="0"/>
                <w:color w:val="auto"/>
                <w:sz w:val="24"/>
                <w:szCs w:val="24"/>
                <w:highlight w:val="none"/>
                <w:lang w:val="en-US" w:eastAsia="zh-CN"/>
              </w:rPr>
              <w:t>商务合同</w:t>
            </w:r>
            <w:r>
              <w:rPr>
                <w:rFonts w:hint="eastAsia" w:asciiTheme="minorEastAsia" w:hAnsiTheme="minorEastAsia" w:eastAsiaTheme="minorEastAsia" w:cstheme="minorEastAsia"/>
                <w:b w:val="0"/>
                <w:bCs w:val="0"/>
                <w:color w:val="auto"/>
                <w:sz w:val="24"/>
                <w:szCs w:val="24"/>
                <w:highlight w:val="none"/>
              </w:rPr>
              <w:t>响应</w:t>
            </w:r>
          </w:p>
        </w:tc>
        <w:tc>
          <w:tcPr>
            <w:tcW w:w="2833" w:type="dxa"/>
            <w:vAlign w:val="center"/>
          </w:tcPr>
          <w:p w14:paraId="22C744C2">
            <w:pPr>
              <w:spacing w:line="520" w:lineRule="exact"/>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偏离情况</w:t>
            </w:r>
          </w:p>
        </w:tc>
        <w:tc>
          <w:tcPr>
            <w:tcW w:w="1126" w:type="dxa"/>
            <w:vAlign w:val="center"/>
          </w:tcPr>
          <w:p w14:paraId="6167A2DA">
            <w:pPr>
              <w:spacing w:line="520" w:lineRule="exact"/>
              <w:ind w:firstLine="170" w:firstLineChars="71"/>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说明</w:t>
            </w:r>
          </w:p>
        </w:tc>
      </w:tr>
      <w:tr w14:paraId="0E5AD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vAlign w:val="center"/>
          </w:tcPr>
          <w:p w14:paraId="311ED2D9">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1AAD6144">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6DAB4A79">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1A7C7BFA">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0098B83C">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734CB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vAlign w:val="center"/>
          </w:tcPr>
          <w:p w14:paraId="03BBBBC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13091FD3">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5A5ECE9A">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7896DAB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61588D00">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54DA4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vAlign w:val="center"/>
          </w:tcPr>
          <w:p w14:paraId="21EE6FD9">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4F8A98C8">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27449D2E">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48160C12">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657EAA66">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577DE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vAlign w:val="center"/>
          </w:tcPr>
          <w:p w14:paraId="61677ED2">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319352BF">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5F1888D1">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242A1D8E">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6968DBD2">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2FC5E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vAlign w:val="center"/>
          </w:tcPr>
          <w:p w14:paraId="640853E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759D928B">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3E76ACA5">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49843BD5">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790ED4EB">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36818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vAlign w:val="center"/>
          </w:tcPr>
          <w:p w14:paraId="659004EF">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0B5F8DA4">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27E85A0F">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5BCB6AC7">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1947BDBC">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252BE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vAlign w:val="center"/>
          </w:tcPr>
          <w:p w14:paraId="4855B73F">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1EBCE903">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110C671D">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76875800">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6D871E9B">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55312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vAlign w:val="center"/>
          </w:tcPr>
          <w:p w14:paraId="26337ED3">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5DBC0B64">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4665BF66">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236DF9C9">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0A9B33E9">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08DB6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vAlign w:val="center"/>
          </w:tcPr>
          <w:p w14:paraId="7BC30BCA">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0DAE9CBB">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352E7D91">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47B32294">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76C7AFF7">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3DE3C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60" w:type="dxa"/>
            <w:vAlign w:val="center"/>
          </w:tcPr>
          <w:p w14:paraId="7C245ACC">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34CCC16C">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4B4FBE40">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02A139CA">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604EA4A9">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06A7E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0" w:type="dxa"/>
            <w:vAlign w:val="center"/>
          </w:tcPr>
          <w:p w14:paraId="0421E6E3">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579" w:type="dxa"/>
            <w:vAlign w:val="center"/>
          </w:tcPr>
          <w:p w14:paraId="6119C711">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999" w:type="dxa"/>
            <w:vAlign w:val="center"/>
          </w:tcPr>
          <w:p w14:paraId="3FD1D702">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833" w:type="dxa"/>
            <w:vAlign w:val="center"/>
          </w:tcPr>
          <w:p w14:paraId="05C3E826">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1126" w:type="dxa"/>
            <w:vAlign w:val="top"/>
          </w:tcPr>
          <w:p w14:paraId="6BFEFF9C">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104B4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797" w:type="dxa"/>
            <w:gridSpan w:val="5"/>
            <w:vAlign w:val="center"/>
          </w:tcPr>
          <w:p w14:paraId="3894B9C3">
            <w:pPr>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1.偏离应按</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商文件</w:t>
            </w:r>
            <w:r>
              <w:rPr>
                <w:rFonts w:hint="eastAsia" w:asciiTheme="minorEastAsia" w:hAnsiTheme="minorEastAsia" w:eastAsiaTheme="minorEastAsia" w:cstheme="minorEastAsia"/>
                <w:color w:val="auto"/>
                <w:sz w:val="21"/>
                <w:szCs w:val="21"/>
                <w:highlight w:val="none"/>
                <w:lang w:val="en-US" w:eastAsia="zh-CN"/>
              </w:rPr>
              <w:t>商务与合同</w:t>
            </w:r>
            <w:r>
              <w:rPr>
                <w:rFonts w:hint="eastAsia" w:asciiTheme="minorEastAsia" w:hAnsiTheme="minorEastAsia" w:eastAsiaTheme="minorEastAsia" w:cstheme="minorEastAsia"/>
                <w:color w:val="auto"/>
                <w:sz w:val="21"/>
                <w:szCs w:val="21"/>
                <w:highlight w:val="none"/>
              </w:rPr>
              <w:t>条款定义理解，本表只填写有偏离的情况。</w:t>
            </w:r>
          </w:p>
          <w:p w14:paraId="425A0E26">
            <w:pPr>
              <w:adjustRightInd w:val="0"/>
              <w:snapToGrid w:val="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rPr>
              <w:t>2.对</w:t>
            </w:r>
            <w:r>
              <w:rPr>
                <w:rFonts w:hint="eastAsia" w:asciiTheme="minorEastAsia" w:hAnsiTheme="minorEastAsia" w:eastAsiaTheme="minorEastAsia" w:cstheme="minorEastAsia"/>
                <w:color w:val="auto"/>
                <w:sz w:val="21"/>
                <w:szCs w:val="21"/>
                <w:highlight w:val="none"/>
                <w:lang w:val="en-US" w:eastAsia="zh-CN"/>
              </w:rPr>
              <w:t>商务及合同</w:t>
            </w:r>
            <w:r>
              <w:rPr>
                <w:rFonts w:hint="eastAsia" w:asciiTheme="minorEastAsia" w:hAnsiTheme="minorEastAsia" w:eastAsiaTheme="minorEastAsia" w:cstheme="minorEastAsia"/>
                <w:color w:val="auto"/>
                <w:sz w:val="21"/>
                <w:szCs w:val="21"/>
                <w:highlight w:val="none"/>
              </w:rPr>
              <w:t>条款中所有要求，除本表所列出偏离外，均视为供应商响应其余全部</w:t>
            </w:r>
            <w:r>
              <w:rPr>
                <w:rFonts w:hint="eastAsia" w:asciiTheme="minorEastAsia" w:hAnsiTheme="minorEastAsia" w:eastAsiaTheme="minorEastAsia" w:cstheme="minorEastAsia"/>
                <w:color w:val="auto"/>
                <w:sz w:val="21"/>
                <w:szCs w:val="21"/>
                <w:highlight w:val="none"/>
                <w:lang w:val="en-US" w:eastAsia="zh-CN"/>
              </w:rPr>
              <w:t>商务合同</w:t>
            </w:r>
            <w:r>
              <w:rPr>
                <w:rFonts w:hint="eastAsia" w:asciiTheme="minorEastAsia" w:hAnsiTheme="minorEastAsia" w:eastAsiaTheme="minorEastAsia" w:cstheme="minorEastAsia"/>
                <w:color w:val="auto"/>
                <w:sz w:val="21"/>
                <w:szCs w:val="21"/>
                <w:highlight w:val="none"/>
              </w:rPr>
              <w:t>要求；如供应商响应</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文件所有</w:t>
            </w:r>
            <w:r>
              <w:rPr>
                <w:rFonts w:hint="eastAsia" w:asciiTheme="minorEastAsia" w:hAnsiTheme="minorEastAsia" w:eastAsiaTheme="minorEastAsia" w:cstheme="minorEastAsia"/>
                <w:color w:val="auto"/>
                <w:sz w:val="21"/>
                <w:szCs w:val="21"/>
                <w:highlight w:val="none"/>
                <w:lang w:val="en-US" w:eastAsia="zh-CN"/>
              </w:rPr>
              <w:t>商务合同</w:t>
            </w:r>
            <w:r>
              <w:rPr>
                <w:rFonts w:hint="eastAsia" w:asciiTheme="minorEastAsia" w:hAnsiTheme="minorEastAsia" w:eastAsiaTheme="minorEastAsia" w:cstheme="minorEastAsia"/>
                <w:color w:val="auto"/>
                <w:sz w:val="21"/>
                <w:szCs w:val="21"/>
                <w:highlight w:val="none"/>
              </w:rPr>
              <w:t>要求的，必须提交空白表，否则，其</w:t>
            </w:r>
            <w:r>
              <w:rPr>
                <w:rFonts w:hint="eastAsia" w:asciiTheme="minorEastAsia" w:hAnsiTheme="minorEastAsia" w:eastAsiaTheme="minorEastAsia" w:cstheme="minorEastAsia"/>
                <w:b/>
                <w:color w:val="auto"/>
                <w:sz w:val="21"/>
                <w:szCs w:val="21"/>
                <w:highlight w:val="none"/>
              </w:rPr>
              <w:t>响应文件无效</w:t>
            </w:r>
            <w:r>
              <w:rPr>
                <w:rFonts w:hint="eastAsia" w:asciiTheme="minorEastAsia" w:hAnsiTheme="minorEastAsia" w:eastAsiaTheme="minorEastAsia" w:cstheme="minorEastAsia"/>
                <w:color w:val="auto"/>
                <w:sz w:val="21"/>
                <w:szCs w:val="21"/>
                <w:highlight w:val="none"/>
              </w:rPr>
              <w:t>。</w:t>
            </w:r>
          </w:p>
        </w:tc>
      </w:tr>
    </w:tbl>
    <w:p w14:paraId="680AE5B6">
      <w:pPr>
        <w:adjustRightInd w:val="0"/>
        <w:spacing w:line="400" w:lineRule="exact"/>
        <w:ind w:firstLine="480" w:firstLineChars="200"/>
        <w:jc w:val="left"/>
        <w:rPr>
          <w:rFonts w:hint="eastAsia" w:asciiTheme="minorEastAsia" w:hAnsiTheme="minorEastAsia" w:eastAsiaTheme="minorEastAsia" w:cstheme="minorEastAsia"/>
          <w:bCs/>
          <w:color w:val="auto"/>
          <w:sz w:val="24"/>
          <w:szCs w:val="24"/>
          <w:highlight w:val="none"/>
        </w:rPr>
      </w:pPr>
    </w:p>
    <w:p w14:paraId="7EB19241">
      <w:pPr>
        <w:adjustRightInd w:val="0"/>
        <w:spacing w:line="400" w:lineRule="exact"/>
        <w:ind w:firstLine="480" w:firstLineChars="200"/>
        <w:jc w:val="left"/>
        <w:rPr>
          <w:rFonts w:hint="eastAsia" w:asciiTheme="minorEastAsia" w:hAnsiTheme="minorEastAsia" w:eastAsiaTheme="minorEastAsia" w:cstheme="minorEastAsia"/>
          <w:bCs/>
          <w:color w:val="auto"/>
          <w:sz w:val="24"/>
          <w:szCs w:val="24"/>
          <w:highlight w:val="none"/>
        </w:rPr>
      </w:pPr>
    </w:p>
    <w:p w14:paraId="3EFDA5C9">
      <w:pPr>
        <w:spacing w:line="360" w:lineRule="auto"/>
        <w:ind w:left="1260" w:leftChars="0" w:firstLine="420" w:firstLineChars="0"/>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      章）</w:t>
      </w:r>
    </w:p>
    <w:p w14:paraId="1D14512C">
      <w:pPr>
        <w:pStyle w:val="47"/>
        <w:spacing w:line="360" w:lineRule="auto"/>
        <w:ind w:left="1260" w:leftChars="0" w:firstLine="42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21AE914B">
      <w:pPr>
        <w:pStyle w:val="15"/>
        <w:keepNext w:val="0"/>
        <w:keepLines w:val="0"/>
        <w:pageBreakBefore w:val="0"/>
        <w:widowControl w:val="0"/>
        <w:kinsoku/>
        <w:wordWrap/>
        <w:overflowPunct/>
        <w:topLinePunct w:val="0"/>
        <w:autoSpaceDE/>
        <w:autoSpaceDN/>
        <w:bidi w:val="0"/>
        <w:adjustRightInd/>
        <w:snapToGrid/>
        <w:spacing w:line="360" w:lineRule="auto"/>
        <w:ind w:left="1260" w:leftChars="0" w:firstLine="420" w:firstLineChars="0"/>
        <w:textAlignment w:val="auto"/>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571EDDB4">
      <w:pPr>
        <w:spacing w:line="520" w:lineRule="exact"/>
        <w:ind w:left="420" w:firstLine="0" w:firstLineChars="0"/>
        <w:rPr>
          <w:rFonts w:hint="eastAsia" w:asciiTheme="minorEastAsia" w:hAnsiTheme="minorEastAsia" w:eastAsiaTheme="minorEastAsia" w:cstheme="minorEastAsia"/>
          <w:color w:val="auto"/>
          <w:sz w:val="24"/>
          <w:szCs w:val="24"/>
          <w:highlight w:val="none"/>
        </w:rPr>
      </w:pPr>
    </w:p>
    <w:p w14:paraId="415588C9">
      <w:pP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br w:type="page"/>
      </w:r>
    </w:p>
    <w:p w14:paraId="02263AF7">
      <w:pPr>
        <w:pStyle w:val="13"/>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第三部分、响应方案</w:t>
      </w:r>
    </w:p>
    <w:p w14:paraId="413E6AD2">
      <w:pPr>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1、服务方案</w:t>
      </w:r>
    </w:p>
    <w:p w14:paraId="584C366E">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Theme="minorEastAsia" w:hAnsiTheme="minorEastAsia" w:eastAsiaTheme="minorEastAsia" w:cstheme="minorEastAsia"/>
          <w:color w:val="auto"/>
          <w:sz w:val="24"/>
          <w:szCs w:val="24"/>
          <w:highlight w:val="none"/>
        </w:rPr>
      </w:pPr>
    </w:p>
    <w:p w14:paraId="3492482F">
      <w:pPr>
        <w:pStyle w:val="90"/>
        <w:numPr>
          <w:ilvl w:val="0"/>
          <w:numId w:val="0"/>
        </w:numPr>
        <w:autoSpaceDE w:val="0"/>
        <w:autoSpaceDN w:val="0"/>
        <w:adjustRightInd w:val="0"/>
        <w:spacing w:line="360" w:lineRule="auto"/>
        <w:ind w:firstLine="240" w:firstLineChars="1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1、依照磋商文件第四章综合评分明细表各条款的要求，结合项目采购内容及要求编制服务方案；</w:t>
      </w:r>
    </w:p>
    <w:p w14:paraId="11AB889E">
      <w:pPr>
        <w:pStyle w:val="90"/>
        <w:numPr>
          <w:ilvl w:val="0"/>
          <w:numId w:val="0"/>
        </w:numPr>
        <w:autoSpaceDE w:val="0"/>
        <w:autoSpaceDN w:val="0"/>
        <w:adjustRightInd w:val="0"/>
        <w:spacing w:line="360" w:lineRule="auto"/>
        <w:ind w:firstLine="240" w:firstLineChars="1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2、服务商认为有利于本次磋商的其他情况说明。</w:t>
      </w:r>
    </w:p>
    <w:p w14:paraId="0A1CDF44">
      <w:pPr>
        <w:pStyle w:val="90"/>
        <w:numPr>
          <w:ilvl w:val="0"/>
          <w:numId w:val="0"/>
        </w:numPr>
        <w:autoSpaceDE w:val="0"/>
        <w:autoSpaceDN w:val="0"/>
        <w:adjustRightInd w:val="0"/>
        <w:spacing w:line="360" w:lineRule="auto"/>
        <w:ind w:firstLine="240" w:firstLineChars="100"/>
        <w:jc w:val="left"/>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3、格式自拟。</w:t>
      </w:r>
    </w:p>
    <w:p w14:paraId="59D58B2C">
      <w:pPr>
        <w:adjustRightInd w:val="0"/>
        <w:snapToGrid w:val="0"/>
        <w:spacing w:line="360" w:lineRule="auto"/>
        <w:ind w:firstLine="720" w:firstLineChars="3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6178F0E3">
      <w:pPr>
        <w:pStyle w:val="1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5B963160">
      <w:pPr>
        <w:pStyle w:val="24"/>
        <w:rPr>
          <w:rFonts w:hint="eastAsia" w:asciiTheme="minorEastAsia" w:hAnsiTheme="minorEastAsia" w:eastAsiaTheme="minorEastAsia" w:cstheme="minorEastAsia"/>
          <w:color w:val="auto"/>
          <w:sz w:val="24"/>
          <w:szCs w:val="24"/>
          <w:highlight w:val="none"/>
          <w:lang w:eastAsia="zh-CN"/>
        </w:rPr>
      </w:pPr>
    </w:p>
    <w:p w14:paraId="779DC051">
      <w:pPr>
        <w:pStyle w:val="24"/>
        <w:rPr>
          <w:rFonts w:hint="eastAsia" w:asciiTheme="minorEastAsia" w:hAnsiTheme="minorEastAsia" w:eastAsiaTheme="minorEastAsia" w:cstheme="minorEastAsia"/>
          <w:color w:val="auto"/>
          <w:sz w:val="24"/>
          <w:szCs w:val="24"/>
          <w:highlight w:val="none"/>
          <w:lang w:eastAsia="zh-CN"/>
        </w:rPr>
      </w:pPr>
    </w:p>
    <w:p w14:paraId="6E52CCA2">
      <w:pPr>
        <w:pStyle w:val="24"/>
        <w:rPr>
          <w:rFonts w:hint="eastAsia" w:asciiTheme="minorEastAsia" w:hAnsiTheme="minorEastAsia" w:eastAsiaTheme="minorEastAsia" w:cstheme="minorEastAsia"/>
          <w:color w:val="auto"/>
          <w:sz w:val="24"/>
          <w:szCs w:val="24"/>
          <w:highlight w:val="none"/>
          <w:lang w:eastAsia="zh-CN"/>
        </w:rPr>
      </w:pPr>
    </w:p>
    <w:p w14:paraId="3B4F9A58">
      <w:pPr>
        <w:pStyle w:val="24"/>
        <w:rPr>
          <w:rFonts w:hint="eastAsia" w:asciiTheme="minorEastAsia" w:hAnsiTheme="minorEastAsia" w:eastAsiaTheme="minorEastAsia" w:cstheme="minorEastAsia"/>
          <w:color w:val="auto"/>
          <w:sz w:val="24"/>
          <w:szCs w:val="24"/>
          <w:highlight w:val="none"/>
          <w:lang w:eastAsia="zh-CN"/>
        </w:rPr>
      </w:pPr>
    </w:p>
    <w:p w14:paraId="209EDD7C">
      <w:pPr>
        <w:pStyle w:val="24"/>
        <w:rPr>
          <w:rFonts w:hint="eastAsia" w:asciiTheme="minorEastAsia" w:hAnsiTheme="minorEastAsia" w:eastAsiaTheme="minorEastAsia" w:cstheme="minorEastAsia"/>
          <w:color w:val="auto"/>
          <w:sz w:val="24"/>
          <w:szCs w:val="24"/>
          <w:highlight w:val="none"/>
          <w:lang w:eastAsia="zh-CN"/>
        </w:rPr>
      </w:pPr>
    </w:p>
    <w:p w14:paraId="20F413F7">
      <w:pPr>
        <w:pStyle w:val="24"/>
        <w:rPr>
          <w:rFonts w:hint="eastAsia" w:asciiTheme="minorEastAsia" w:hAnsiTheme="minorEastAsia" w:eastAsiaTheme="minorEastAsia" w:cstheme="minorEastAsia"/>
          <w:color w:val="auto"/>
          <w:sz w:val="24"/>
          <w:szCs w:val="24"/>
          <w:highlight w:val="none"/>
          <w:lang w:eastAsia="zh-CN"/>
        </w:rPr>
      </w:pPr>
    </w:p>
    <w:p w14:paraId="23E56D7D">
      <w:pPr>
        <w:pStyle w:val="24"/>
        <w:rPr>
          <w:rFonts w:hint="eastAsia" w:asciiTheme="minorEastAsia" w:hAnsiTheme="minorEastAsia" w:eastAsiaTheme="minorEastAsia" w:cstheme="minorEastAsia"/>
          <w:color w:val="auto"/>
          <w:sz w:val="24"/>
          <w:szCs w:val="24"/>
          <w:highlight w:val="none"/>
          <w:lang w:eastAsia="zh-CN"/>
        </w:rPr>
      </w:pPr>
    </w:p>
    <w:p w14:paraId="73B72738">
      <w:pPr>
        <w:pStyle w:val="24"/>
        <w:rPr>
          <w:rFonts w:hint="eastAsia" w:asciiTheme="minorEastAsia" w:hAnsiTheme="minorEastAsia" w:eastAsiaTheme="minorEastAsia" w:cstheme="minorEastAsia"/>
          <w:color w:val="auto"/>
          <w:sz w:val="24"/>
          <w:szCs w:val="24"/>
          <w:highlight w:val="none"/>
          <w:lang w:eastAsia="zh-CN"/>
        </w:rPr>
      </w:pPr>
    </w:p>
    <w:p w14:paraId="5DD170E6">
      <w:pPr>
        <w:pStyle w:val="24"/>
        <w:rPr>
          <w:rFonts w:hint="eastAsia" w:asciiTheme="minorEastAsia" w:hAnsiTheme="minorEastAsia" w:eastAsiaTheme="minorEastAsia" w:cstheme="minorEastAsia"/>
          <w:color w:val="auto"/>
          <w:sz w:val="24"/>
          <w:szCs w:val="24"/>
          <w:highlight w:val="none"/>
          <w:lang w:eastAsia="zh-CN"/>
        </w:rPr>
      </w:pPr>
    </w:p>
    <w:p w14:paraId="01472C32">
      <w:pPr>
        <w:pStyle w:val="24"/>
        <w:rPr>
          <w:rFonts w:hint="eastAsia" w:asciiTheme="minorEastAsia" w:hAnsiTheme="minorEastAsia" w:eastAsiaTheme="minorEastAsia" w:cstheme="minorEastAsia"/>
          <w:color w:val="auto"/>
          <w:sz w:val="24"/>
          <w:szCs w:val="24"/>
          <w:highlight w:val="none"/>
          <w:lang w:eastAsia="zh-CN"/>
        </w:rPr>
      </w:pPr>
    </w:p>
    <w:p w14:paraId="1405FE1B">
      <w:pPr>
        <w:pStyle w:val="24"/>
        <w:rPr>
          <w:rFonts w:hint="eastAsia" w:asciiTheme="minorEastAsia" w:hAnsiTheme="minorEastAsia" w:eastAsiaTheme="minorEastAsia" w:cstheme="minorEastAsia"/>
          <w:color w:val="auto"/>
          <w:sz w:val="24"/>
          <w:szCs w:val="24"/>
          <w:highlight w:val="none"/>
          <w:lang w:eastAsia="zh-CN"/>
        </w:rPr>
      </w:pPr>
    </w:p>
    <w:p w14:paraId="42571B43">
      <w:pPr>
        <w:pStyle w:val="24"/>
        <w:rPr>
          <w:rFonts w:hint="eastAsia" w:asciiTheme="minorEastAsia" w:hAnsiTheme="minorEastAsia" w:eastAsiaTheme="minorEastAsia" w:cstheme="minorEastAsia"/>
          <w:color w:val="auto"/>
          <w:sz w:val="24"/>
          <w:szCs w:val="24"/>
          <w:highlight w:val="none"/>
          <w:lang w:eastAsia="zh-CN"/>
        </w:rPr>
      </w:pPr>
    </w:p>
    <w:p w14:paraId="0A1DFE4A">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p>
    <w:bookmarkEnd w:id="163"/>
    <w:bookmarkEnd w:id="164"/>
    <w:bookmarkEnd w:id="165"/>
    <w:bookmarkEnd w:id="166"/>
    <w:p w14:paraId="113F1CA1">
      <w:pPr>
        <w:pStyle w:val="7"/>
        <w:spacing w:before="0" w:line="520" w:lineRule="exact"/>
        <w:ind w:firstLine="0" w:firstLineChars="0"/>
        <w:jc w:val="center"/>
        <w:outlineLvl w:val="0"/>
        <w:rPr>
          <w:rFonts w:hint="eastAsia" w:asciiTheme="minorEastAsia" w:hAnsiTheme="minorEastAsia" w:eastAsiaTheme="minorEastAsia" w:cstheme="minorEastAsia"/>
          <w:color w:val="auto"/>
          <w:sz w:val="24"/>
          <w:szCs w:val="24"/>
          <w:highlight w:val="none"/>
          <w:lang w:val="en-US" w:eastAsia="zh-CN"/>
        </w:rPr>
      </w:pPr>
      <w:bookmarkStart w:id="180" w:name="_Toc31245"/>
      <w:bookmarkStart w:id="181" w:name="_Toc31321"/>
      <w:bookmarkStart w:id="182" w:name="_Toc6973"/>
      <w:r>
        <w:rPr>
          <w:rFonts w:hint="eastAsia" w:asciiTheme="minorEastAsia" w:hAnsiTheme="minorEastAsia" w:eastAsiaTheme="minorEastAsia" w:cstheme="minorEastAsia"/>
          <w:color w:val="auto"/>
          <w:sz w:val="24"/>
          <w:szCs w:val="24"/>
          <w:highlight w:val="none"/>
          <w:lang w:val="en-US" w:eastAsia="zh-CN"/>
        </w:rPr>
        <w:t>2、享受政府采购优惠政策的证明材料</w:t>
      </w:r>
      <w:bookmarkEnd w:id="180"/>
      <w:bookmarkEnd w:id="181"/>
      <w:bookmarkEnd w:id="182"/>
    </w:p>
    <w:p w14:paraId="5636245E">
      <w:pPr>
        <w:pStyle w:val="7"/>
        <w:spacing w:before="0" w:line="520" w:lineRule="exact"/>
        <w:ind w:firstLine="0" w:firstLineChars="0"/>
        <w:outlineLvl w:val="0"/>
        <w:rPr>
          <w:rFonts w:hint="eastAsia" w:asciiTheme="minorEastAsia" w:hAnsiTheme="minorEastAsia" w:eastAsiaTheme="minorEastAsia" w:cstheme="minorEastAsia"/>
          <w:color w:val="auto"/>
          <w:sz w:val="24"/>
          <w:szCs w:val="24"/>
          <w:highlight w:val="none"/>
          <w:lang w:val="en-US" w:eastAsia="zh-CN"/>
        </w:rPr>
      </w:pPr>
      <w:bookmarkStart w:id="183" w:name="_Toc7628"/>
      <w:bookmarkStart w:id="184" w:name="_Toc12816"/>
      <w:bookmarkStart w:id="185" w:name="_Toc3106"/>
      <w:r>
        <w:rPr>
          <w:rFonts w:hint="eastAsia" w:asciiTheme="minorEastAsia" w:hAnsiTheme="minorEastAsia" w:eastAsiaTheme="minorEastAsia" w:cstheme="minorEastAsia"/>
          <w:color w:val="auto"/>
          <w:sz w:val="24"/>
          <w:szCs w:val="24"/>
          <w:highlight w:val="none"/>
          <w:lang w:val="en-US" w:eastAsia="zh-CN"/>
        </w:rPr>
        <w:t>附件3：</w:t>
      </w:r>
      <w:bookmarkEnd w:id="183"/>
      <w:bookmarkEnd w:id="184"/>
      <w:bookmarkEnd w:id="185"/>
    </w:p>
    <w:p w14:paraId="1C3FE688">
      <w:pPr>
        <w:pStyle w:val="7"/>
        <w:spacing w:before="0" w:line="520" w:lineRule="exact"/>
        <w:ind w:firstLine="0" w:firstLineChars="0"/>
        <w:jc w:val="center"/>
        <w:outlineLvl w:val="0"/>
        <w:rPr>
          <w:rFonts w:hint="eastAsia" w:asciiTheme="minorEastAsia" w:hAnsiTheme="minorEastAsia" w:eastAsiaTheme="minorEastAsia" w:cstheme="minorEastAsia"/>
          <w:color w:val="auto"/>
          <w:sz w:val="24"/>
          <w:szCs w:val="24"/>
          <w:highlight w:val="none"/>
          <w:lang w:eastAsia="zh-CN"/>
        </w:rPr>
      </w:pPr>
      <w:bookmarkStart w:id="186" w:name="_Toc5084"/>
      <w:bookmarkStart w:id="187" w:name="_Toc11721"/>
      <w:bookmarkStart w:id="188" w:name="_Toc12130"/>
      <w:r>
        <w:rPr>
          <w:rFonts w:hint="eastAsia" w:asciiTheme="minorEastAsia" w:hAnsiTheme="minorEastAsia" w:eastAsiaTheme="minorEastAsia" w:cstheme="minorEastAsia"/>
          <w:color w:val="auto"/>
          <w:sz w:val="24"/>
          <w:szCs w:val="24"/>
          <w:highlight w:val="none"/>
          <w:lang w:eastAsia="zh-CN"/>
        </w:rPr>
        <w:t>《小微企业声明函》（</w:t>
      </w:r>
      <w:r>
        <w:rPr>
          <w:rFonts w:hint="eastAsia" w:asciiTheme="minorEastAsia" w:hAnsiTheme="minorEastAsia" w:eastAsiaTheme="minorEastAsia" w:cstheme="minorEastAsia"/>
          <w:color w:val="auto"/>
          <w:sz w:val="24"/>
          <w:szCs w:val="24"/>
          <w:highlight w:val="none"/>
          <w:lang w:val="en-US" w:eastAsia="zh-CN"/>
        </w:rPr>
        <w:t>格式</w:t>
      </w:r>
      <w:r>
        <w:rPr>
          <w:rFonts w:hint="eastAsia" w:asciiTheme="minorEastAsia" w:hAnsiTheme="minorEastAsia" w:eastAsiaTheme="minorEastAsia" w:cstheme="minorEastAsia"/>
          <w:color w:val="auto"/>
          <w:sz w:val="24"/>
          <w:szCs w:val="24"/>
          <w:highlight w:val="none"/>
          <w:lang w:eastAsia="zh-CN"/>
        </w:rPr>
        <w:t>）</w:t>
      </w:r>
      <w:bookmarkEnd w:id="186"/>
      <w:bookmarkEnd w:id="187"/>
      <w:bookmarkEnd w:id="188"/>
    </w:p>
    <w:p w14:paraId="7E9CDDE3">
      <w:pPr>
        <w:pStyle w:val="18"/>
        <w:adjustRightInd w:val="0"/>
        <w:snapToGrid w:val="0"/>
        <w:spacing w:line="360" w:lineRule="auto"/>
        <w:ind w:firstLine="3735" w:firstLineChars="1550"/>
        <w:jc w:val="both"/>
        <w:rPr>
          <w:rFonts w:hint="eastAsia" w:asciiTheme="minorEastAsia" w:hAnsiTheme="minorEastAsia" w:eastAsiaTheme="minorEastAsia" w:cstheme="minorEastAsia"/>
          <w:b/>
          <w:bCs/>
          <w:color w:val="auto"/>
          <w:kern w:val="0"/>
          <w:sz w:val="24"/>
          <w:szCs w:val="24"/>
          <w:highlight w:val="none"/>
          <w:lang w:val="en-US" w:eastAsia="zh-CN" w:bidi="ar-SA"/>
        </w:rPr>
      </w:pPr>
      <w:bookmarkStart w:id="189" w:name="_Toc30563"/>
      <w:bookmarkStart w:id="190" w:name="_Toc19434"/>
      <w:r>
        <w:rPr>
          <w:rFonts w:hint="eastAsia" w:asciiTheme="minorEastAsia" w:hAnsiTheme="minorEastAsia" w:eastAsiaTheme="minorEastAsia" w:cstheme="minorEastAsia"/>
          <w:b/>
          <w:bCs/>
          <w:color w:val="auto"/>
          <w:kern w:val="0"/>
          <w:sz w:val="24"/>
          <w:szCs w:val="24"/>
          <w:highlight w:val="none"/>
          <w:lang w:val="en-US" w:eastAsia="zh-CN" w:bidi="ar-SA"/>
        </w:rPr>
        <w:t>中小企业声明函</w:t>
      </w:r>
    </w:p>
    <w:p w14:paraId="708FFC20">
      <w:pPr>
        <w:spacing w:line="360" w:lineRule="auto"/>
        <w:ind w:firstLine="756" w:firstLineChars="300"/>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spacing w:val="6"/>
          <w:sz w:val="24"/>
          <w:szCs w:val="24"/>
          <w:highlight w:val="none"/>
          <w:u w:val="single"/>
        </w:rPr>
        <w:t>采 购 人 名 称</w:t>
      </w:r>
      <w:r>
        <w:rPr>
          <w:rFonts w:hint="eastAsia" w:asciiTheme="minorEastAsia" w:hAnsiTheme="minorEastAsia" w:eastAsiaTheme="minorEastAsia" w:cstheme="minorEastAsia"/>
          <w:spacing w:val="6"/>
          <w:sz w:val="24"/>
          <w:szCs w:val="24"/>
          <w:highlight w:val="none"/>
        </w:rPr>
        <w:t>)的(</w:t>
      </w:r>
      <w:r>
        <w:rPr>
          <w:rFonts w:hint="eastAsia" w:asciiTheme="minorEastAsia" w:hAnsiTheme="minorEastAsia" w:eastAsiaTheme="minorEastAsia" w:cstheme="minorEastAsia"/>
          <w:spacing w:val="6"/>
          <w:sz w:val="24"/>
          <w:szCs w:val="24"/>
          <w:highlight w:val="none"/>
          <w:u w:val="single"/>
        </w:rPr>
        <w:t>项 目 名 称</w:t>
      </w:r>
      <w:r>
        <w:rPr>
          <w:rFonts w:hint="eastAsia" w:asciiTheme="minorEastAsia" w:hAnsiTheme="minorEastAsia" w:eastAsiaTheme="minorEastAsia" w:cstheme="minorEastAsia"/>
          <w:spacing w:val="6"/>
          <w:sz w:val="24"/>
          <w:szCs w:val="24"/>
          <w:highlight w:val="none"/>
        </w:rPr>
        <w:t>)采购活动，服务全部由符合政策要求的中小企业承接。相关企业(含联合体中的中小企业)的具体情况如下:</w:t>
      </w:r>
    </w:p>
    <w:p w14:paraId="66D9D0CA">
      <w:pPr>
        <w:spacing w:line="360" w:lineRule="auto"/>
        <w:ind w:firstLine="504" w:firstLineChars="200"/>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1.(</w:t>
      </w:r>
      <w:r>
        <w:rPr>
          <w:rFonts w:hint="eastAsia" w:asciiTheme="minorEastAsia" w:hAnsiTheme="minorEastAsia" w:eastAsiaTheme="minorEastAsia" w:cstheme="minorEastAsia"/>
          <w:spacing w:val="6"/>
          <w:sz w:val="24"/>
          <w:szCs w:val="24"/>
          <w:highlight w:val="none"/>
          <w:u w:val="single"/>
        </w:rPr>
        <w:t>标 的 名 称</w:t>
      </w:r>
      <w:r>
        <w:rPr>
          <w:rFonts w:hint="eastAsia" w:asciiTheme="minorEastAsia" w:hAnsiTheme="minorEastAsia" w:eastAsiaTheme="minorEastAsia" w:cstheme="minorEastAsia"/>
          <w:spacing w:val="6"/>
          <w:sz w:val="24"/>
          <w:szCs w:val="24"/>
          <w:highlight w:val="none"/>
        </w:rPr>
        <w:t>) ，属于(</w:t>
      </w:r>
      <w:r>
        <w:rPr>
          <w:rFonts w:hint="eastAsia" w:asciiTheme="minorEastAsia" w:hAnsiTheme="minorEastAsia" w:eastAsiaTheme="minorEastAsia" w:cstheme="minorEastAsia"/>
          <w:spacing w:val="6"/>
          <w:sz w:val="24"/>
          <w:szCs w:val="24"/>
          <w:highlight w:val="none"/>
          <w:u w:val="single"/>
        </w:rPr>
        <w:t>采购文件中明确的所属行业</w:t>
      </w:r>
      <w:r>
        <w:rPr>
          <w:rFonts w:hint="eastAsia" w:asciiTheme="minorEastAsia" w:hAnsiTheme="minorEastAsia" w:eastAsiaTheme="minorEastAsia" w:cstheme="minorEastAsia"/>
          <w:spacing w:val="6"/>
          <w:sz w:val="24"/>
          <w:szCs w:val="24"/>
          <w:highlight w:val="none"/>
        </w:rPr>
        <w:t>);承接企业为(</w:t>
      </w:r>
      <w:r>
        <w:rPr>
          <w:rFonts w:hint="eastAsia" w:asciiTheme="minorEastAsia" w:hAnsiTheme="minorEastAsia" w:eastAsiaTheme="minorEastAsia" w:cstheme="minorEastAsia"/>
          <w:spacing w:val="6"/>
          <w:sz w:val="24"/>
          <w:szCs w:val="24"/>
          <w:highlight w:val="none"/>
          <w:u w:val="single"/>
        </w:rPr>
        <w:t>企 业 名 称</w:t>
      </w:r>
      <w:r>
        <w:rPr>
          <w:rFonts w:hint="eastAsia" w:asciiTheme="minorEastAsia" w:hAnsiTheme="minorEastAsia" w:eastAsiaTheme="minorEastAsia" w:cstheme="minorEastAsia"/>
          <w:spacing w:val="6"/>
          <w:sz w:val="24"/>
          <w:szCs w:val="24"/>
          <w:highlight w:val="none"/>
        </w:rPr>
        <w:t>)，从业人员</w:t>
      </w:r>
      <w:r>
        <w:rPr>
          <w:rFonts w:hint="eastAsia" w:asciiTheme="minorEastAsia" w:hAnsiTheme="minorEastAsia" w:eastAsiaTheme="minorEastAsia" w:cstheme="minorEastAsia"/>
          <w:spacing w:val="6"/>
          <w:sz w:val="24"/>
          <w:szCs w:val="24"/>
          <w:highlight w:val="none"/>
          <w:u w:val="single"/>
        </w:rPr>
        <w:t xml:space="preserve">     </w:t>
      </w:r>
      <w:r>
        <w:rPr>
          <w:rFonts w:hint="eastAsia" w:asciiTheme="minorEastAsia" w:hAnsiTheme="minorEastAsia" w:eastAsiaTheme="minorEastAsia" w:cstheme="minorEastAsia"/>
          <w:spacing w:val="6"/>
          <w:sz w:val="24"/>
          <w:szCs w:val="24"/>
          <w:highlight w:val="none"/>
        </w:rPr>
        <w:t>人，营业收入为</w:t>
      </w:r>
      <w:r>
        <w:rPr>
          <w:rFonts w:hint="eastAsia" w:asciiTheme="minorEastAsia" w:hAnsiTheme="minorEastAsia" w:eastAsiaTheme="minorEastAsia" w:cstheme="minorEastAsia"/>
          <w:spacing w:val="6"/>
          <w:sz w:val="24"/>
          <w:szCs w:val="24"/>
          <w:highlight w:val="none"/>
          <w:u w:val="single"/>
        </w:rPr>
        <w:t xml:space="preserve">          </w:t>
      </w:r>
      <w:r>
        <w:rPr>
          <w:rFonts w:hint="eastAsia" w:asciiTheme="minorEastAsia" w:hAnsiTheme="minorEastAsia" w:eastAsiaTheme="minorEastAsia" w:cstheme="minorEastAsia"/>
          <w:spacing w:val="6"/>
          <w:sz w:val="24"/>
          <w:szCs w:val="24"/>
          <w:highlight w:val="none"/>
        </w:rPr>
        <w:t>万元，资产总额为</w:t>
      </w:r>
      <w:r>
        <w:rPr>
          <w:rFonts w:hint="eastAsia" w:asciiTheme="minorEastAsia" w:hAnsiTheme="minorEastAsia" w:eastAsiaTheme="minorEastAsia" w:cstheme="minorEastAsia"/>
          <w:spacing w:val="6"/>
          <w:sz w:val="24"/>
          <w:szCs w:val="24"/>
          <w:highlight w:val="none"/>
          <w:u w:val="single"/>
        </w:rPr>
        <w:t xml:space="preserve">         </w:t>
      </w:r>
      <w:r>
        <w:rPr>
          <w:rFonts w:hint="eastAsia" w:asciiTheme="minorEastAsia" w:hAnsiTheme="minorEastAsia" w:eastAsiaTheme="minorEastAsia" w:cstheme="minorEastAsia"/>
          <w:spacing w:val="6"/>
          <w:sz w:val="24"/>
          <w:szCs w:val="24"/>
          <w:highlight w:val="none"/>
        </w:rPr>
        <w:t>万元，属于(中型企业、小型企业、微型企业);</w:t>
      </w:r>
    </w:p>
    <w:p w14:paraId="534EA9C6">
      <w:pPr>
        <w:spacing w:line="360" w:lineRule="auto"/>
        <w:ind w:firstLine="504" w:firstLineChars="200"/>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2.(</w:t>
      </w:r>
      <w:r>
        <w:rPr>
          <w:rFonts w:hint="eastAsia" w:asciiTheme="minorEastAsia" w:hAnsiTheme="minorEastAsia" w:eastAsiaTheme="minorEastAsia" w:cstheme="minorEastAsia"/>
          <w:spacing w:val="6"/>
          <w:sz w:val="24"/>
          <w:szCs w:val="24"/>
          <w:highlight w:val="none"/>
          <w:u w:val="single"/>
        </w:rPr>
        <w:t>标 的 名 称</w:t>
      </w:r>
      <w:r>
        <w:rPr>
          <w:rFonts w:hint="eastAsia" w:asciiTheme="minorEastAsia" w:hAnsiTheme="minorEastAsia" w:eastAsiaTheme="minorEastAsia" w:cstheme="minorEastAsia"/>
          <w:spacing w:val="6"/>
          <w:sz w:val="24"/>
          <w:szCs w:val="24"/>
          <w:highlight w:val="none"/>
        </w:rPr>
        <w:t>) ，属于(</w:t>
      </w:r>
      <w:r>
        <w:rPr>
          <w:rFonts w:hint="eastAsia" w:asciiTheme="minorEastAsia" w:hAnsiTheme="minorEastAsia" w:eastAsiaTheme="minorEastAsia" w:cstheme="minorEastAsia"/>
          <w:spacing w:val="6"/>
          <w:sz w:val="24"/>
          <w:szCs w:val="24"/>
          <w:highlight w:val="none"/>
          <w:u w:val="single"/>
        </w:rPr>
        <w:t>采购文件中明确的所属行业</w:t>
      </w:r>
      <w:r>
        <w:rPr>
          <w:rFonts w:hint="eastAsia" w:asciiTheme="minorEastAsia" w:hAnsiTheme="minorEastAsia" w:eastAsiaTheme="minorEastAsia" w:cstheme="minorEastAsia"/>
          <w:spacing w:val="6"/>
          <w:sz w:val="24"/>
          <w:szCs w:val="24"/>
          <w:highlight w:val="none"/>
        </w:rPr>
        <w:t>);承接企业为(</w:t>
      </w:r>
      <w:r>
        <w:rPr>
          <w:rFonts w:hint="eastAsia" w:asciiTheme="minorEastAsia" w:hAnsiTheme="minorEastAsia" w:eastAsiaTheme="minorEastAsia" w:cstheme="minorEastAsia"/>
          <w:spacing w:val="6"/>
          <w:sz w:val="24"/>
          <w:szCs w:val="24"/>
          <w:highlight w:val="none"/>
          <w:u w:val="single"/>
        </w:rPr>
        <w:t>企 业 名 称</w:t>
      </w:r>
      <w:r>
        <w:rPr>
          <w:rFonts w:hint="eastAsia" w:asciiTheme="minorEastAsia" w:hAnsiTheme="minorEastAsia" w:eastAsiaTheme="minorEastAsia" w:cstheme="minorEastAsia"/>
          <w:spacing w:val="6"/>
          <w:sz w:val="24"/>
          <w:szCs w:val="24"/>
          <w:highlight w:val="none"/>
        </w:rPr>
        <w:t>)，从业人员</w:t>
      </w:r>
      <w:r>
        <w:rPr>
          <w:rFonts w:hint="eastAsia" w:asciiTheme="minorEastAsia" w:hAnsiTheme="minorEastAsia" w:eastAsiaTheme="minorEastAsia" w:cstheme="minorEastAsia"/>
          <w:spacing w:val="6"/>
          <w:sz w:val="24"/>
          <w:szCs w:val="24"/>
          <w:highlight w:val="none"/>
          <w:u w:val="single"/>
        </w:rPr>
        <w:t xml:space="preserve">     </w:t>
      </w:r>
      <w:r>
        <w:rPr>
          <w:rFonts w:hint="eastAsia" w:asciiTheme="minorEastAsia" w:hAnsiTheme="minorEastAsia" w:eastAsiaTheme="minorEastAsia" w:cstheme="minorEastAsia"/>
          <w:spacing w:val="6"/>
          <w:sz w:val="24"/>
          <w:szCs w:val="24"/>
          <w:highlight w:val="none"/>
        </w:rPr>
        <w:t>人，营业收入为</w:t>
      </w:r>
      <w:r>
        <w:rPr>
          <w:rFonts w:hint="eastAsia" w:asciiTheme="minorEastAsia" w:hAnsiTheme="minorEastAsia" w:eastAsiaTheme="minorEastAsia" w:cstheme="minorEastAsia"/>
          <w:spacing w:val="6"/>
          <w:sz w:val="24"/>
          <w:szCs w:val="24"/>
          <w:highlight w:val="none"/>
          <w:u w:val="single"/>
        </w:rPr>
        <w:t xml:space="preserve">          </w:t>
      </w:r>
      <w:r>
        <w:rPr>
          <w:rFonts w:hint="eastAsia" w:asciiTheme="minorEastAsia" w:hAnsiTheme="minorEastAsia" w:eastAsiaTheme="minorEastAsia" w:cstheme="minorEastAsia"/>
          <w:spacing w:val="6"/>
          <w:sz w:val="24"/>
          <w:szCs w:val="24"/>
          <w:highlight w:val="none"/>
        </w:rPr>
        <w:t>万元，资产总额为</w:t>
      </w:r>
      <w:r>
        <w:rPr>
          <w:rFonts w:hint="eastAsia" w:asciiTheme="minorEastAsia" w:hAnsiTheme="minorEastAsia" w:eastAsiaTheme="minorEastAsia" w:cstheme="minorEastAsia"/>
          <w:spacing w:val="6"/>
          <w:sz w:val="24"/>
          <w:szCs w:val="24"/>
          <w:highlight w:val="none"/>
          <w:u w:val="single"/>
        </w:rPr>
        <w:t xml:space="preserve">         </w:t>
      </w:r>
      <w:r>
        <w:rPr>
          <w:rFonts w:hint="eastAsia" w:asciiTheme="minorEastAsia" w:hAnsiTheme="minorEastAsia" w:eastAsiaTheme="minorEastAsia" w:cstheme="minorEastAsia"/>
          <w:spacing w:val="6"/>
          <w:sz w:val="24"/>
          <w:szCs w:val="24"/>
          <w:highlight w:val="none"/>
        </w:rPr>
        <w:t>万元，属于(中型企业、小型企业、微型企业);</w:t>
      </w:r>
    </w:p>
    <w:p w14:paraId="32EF23B9">
      <w:pPr>
        <w:spacing w:before="480" w:beforeLines="200"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以上企业，不属于大企业的分支机构，不存在控股股东为大企业的情形，也不存在与大企业的负责人为同一人的情形。</w:t>
      </w:r>
    </w:p>
    <w:p w14:paraId="4B1D9AD2">
      <w:pPr>
        <w:spacing w:before="480" w:beforeLines="200"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本企业对上述声明内容的真实性负责。如有虚假，将依法承担相应责任。</w:t>
      </w:r>
    </w:p>
    <w:p w14:paraId="739C55C0">
      <w:pPr>
        <w:spacing w:line="480" w:lineRule="auto"/>
        <w:jc w:val="left"/>
        <w:outlineLvl w:val="9"/>
        <w:rPr>
          <w:rFonts w:hint="eastAsia" w:asciiTheme="minorEastAsia" w:hAnsiTheme="minorEastAsia" w:eastAsiaTheme="minorEastAsia" w:cstheme="minorEastAsia"/>
          <w:b w:val="0"/>
          <w:bCs w:val="0"/>
          <w:color w:val="auto"/>
          <w:sz w:val="24"/>
          <w:szCs w:val="24"/>
          <w:highlight w:val="none"/>
          <w:lang w:val="en-US" w:eastAsia="zh-CN"/>
        </w:rPr>
      </w:pPr>
    </w:p>
    <w:p w14:paraId="64C7F6C8">
      <w:pPr>
        <w:spacing w:line="480" w:lineRule="auto"/>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     章）</w:t>
      </w:r>
    </w:p>
    <w:p w14:paraId="1351BE2E">
      <w:pPr>
        <w:pStyle w:val="47"/>
        <w:spacing w:line="480" w:lineRule="auto"/>
        <w:ind w:left="0"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0F0988B1">
      <w:pPr>
        <w:pStyle w:val="1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bookmarkEnd w:id="189"/>
    <w:bookmarkEnd w:id="190"/>
    <w:p w14:paraId="3E21AAC5">
      <w:pPr>
        <w:pStyle w:val="7"/>
        <w:spacing w:before="0" w:line="520" w:lineRule="exact"/>
        <w:ind w:firstLine="0" w:firstLineChars="0"/>
        <w:outlineLvl w:val="0"/>
        <w:rPr>
          <w:rFonts w:hint="eastAsia" w:asciiTheme="minorEastAsia" w:hAnsiTheme="minorEastAsia" w:eastAsiaTheme="minorEastAsia" w:cstheme="minorEastAsia"/>
          <w:color w:val="auto"/>
          <w:sz w:val="24"/>
          <w:szCs w:val="24"/>
          <w:highlight w:val="none"/>
          <w:lang w:val="en-US" w:eastAsia="zh-CN"/>
        </w:rPr>
      </w:pPr>
      <w:bookmarkStart w:id="191" w:name="_Toc32325"/>
      <w:bookmarkStart w:id="192" w:name="_Toc5312"/>
      <w:bookmarkStart w:id="193" w:name="_Toc21592"/>
      <w:r>
        <w:rPr>
          <w:rFonts w:hint="eastAsia" w:asciiTheme="minorEastAsia" w:hAnsiTheme="minorEastAsia" w:eastAsiaTheme="minorEastAsia" w:cstheme="minorEastAsia"/>
          <w:color w:val="auto"/>
          <w:sz w:val="24"/>
          <w:szCs w:val="24"/>
          <w:highlight w:val="none"/>
          <w:lang w:val="en-US" w:eastAsia="zh-CN"/>
        </w:rPr>
        <w:t>附件4：</w:t>
      </w:r>
      <w:bookmarkEnd w:id="191"/>
      <w:bookmarkEnd w:id="192"/>
      <w:bookmarkEnd w:id="193"/>
    </w:p>
    <w:p w14:paraId="44A3D15A">
      <w:pPr>
        <w:pStyle w:val="7"/>
        <w:spacing w:before="0" w:line="520" w:lineRule="exact"/>
        <w:ind w:firstLine="0" w:firstLineChars="0"/>
        <w:jc w:val="center"/>
        <w:outlineLvl w:val="0"/>
        <w:rPr>
          <w:rFonts w:hint="eastAsia" w:asciiTheme="minorEastAsia" w:hAnsiTheme="minorEastAsia" w:eastAsiaTheme="minorEastAsia" w:cstheme="minorEastAsia"/>
          <w:color w:val="auto"/>
          <w:sz w:val="24"/>
          <w:szCs w:val="24"/>
          <w:highlight w:val="none"/>
          <w:lang w:eastAsia="zh-CN"/>
        </w:rPr>
      </w:pPr>
      <w:bookmarkStart w:id="194" w:name="_Toc94"/>
      <w:bookmarkStart w:id="195" w:name="_Toc9367"/>
      <w:bookmarkStart w:id="196" w:name="_Toc32046"/>
      <w:r>
        <w:rPr>
          <w:rFonts w:hint="eastAsia" w:asciiTheme="minorEastAsia" w:hAnsiTheme="minorEastAsia" w:eastAsiaTheme="minorEastAsia" w:cstheme="minorEastAsia"/>
          <w:color w:val="auto"/>
          <w:sz w:val="24"/>
          <w:szCs w:val="24"/>
          <w:highlight w:val="none"/>
        </w:rPr>
        <w:t>《残疾人福利性单位声明函》</w:t>
      </w:r>
      <w:r>
        <w:rPr>
          <w:rFonts w:hint="eastAsia" w:asciiTheme="minorEastAsia" w:hAnsiTheme="minorEastAsia" w:eastAsiaTheme="minorEastAsia" w:cstheme="minorEastAsia"/>
          <w:color w:val="auto"/>
          <w:sz w:val="24"/>
          <w:szCs w:val="24"/>
          <w:highlight w:val="none"/>
          <w:lang w:eastAsia="zh-CN"/>
        </w:rPr>
        <w:t>（格式）</w:t>
      </w:r>
      <w:bookmarkEnd w:id="194"/>
      <w:bookmarkEnd w:id="195"/>
      <w:bookmarkEnd w:id="196"/>
    </w:p>
    <w:p w14:paraId="0BCA094B">
      <w:pPr>
        <w:spacing w:line="520" w:lineRule="exact"/>
        <w:ind w:firstLine="108" w:firstLineChars="45"/>
        <w:jc w:val="center"/>
        <w:outlineLvl w:val="0"/>
        <w:rPr>
          <w:rFonts w:hint="eastAsia" w:asciiTheme="minorEastAsia" w:hAnsiTheme="minorEastAsia" w:eastAsiaTheme="minorEastAsia" w:cstheme="minorEastAsia"/>
          <w:b/>
          <w:color w:val="auto"/>
          <w:sz w:val="24"/>
          <w:szCs w:val="24"/>
          <w:highlight w:val="none"/>
          <w:lang w:eastAsia="zh-CN"/>
        </w:rPr>
      </w:pPr>
      <w:bookmarkStart w:id="197" w:name="_Toc26383"/>
      <w:bookmarkStart w:id="198" w:name="_Toc6728"/>
      <w:bookmarkStart w:id="199" w:name="_Toc28017"/>
      <w:bookmarkStart w:id="200" w:name="OLE_LINK14"/>
      <w:r>
        <w:rPr>
          <w:rFonts w:hint="eastAsia" w:asciiTheme="minorEastAsia" w:hAnsiTheme="minorEastAsia" w:eastAsiaTheme="minorEastAsia" w:cstheme="minorEastAsia"/>
          <w:b/>
          <w:color w:val="auto"/>
          <w:sz w:val="24"/>
          <w:szCs w:val="24"/>
          <w:highlight w:val="none"/>
        </w:rPr>
        <w:t>残疾人福利性单位声明函</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非残疾人福利性单位不填</w:t>
      </w:r>
      <w:r>
        <w:rPr>
          <w:rFonts w:hint="eastAsia" w:asciiTheme="minorEastAsia" w:hAnsiTheme="minorEastAsia" w:eastAsiaTheme="minorEastAsia" w:cstheme="minorEastAsia"/>
          <w:b/>
          <w:color w:val="auto"/>
          <w:sz w:val="24"/>
          <w:szCs w:val="24"/>
          <w:highlight w:val="none"/>
          <w:lang w:eastAsia="zh-CN"/>
        </w:rPr>
        <w:t>）</w:t>
      </w:r>
      <w:bookmarkEnd w:id="197"/>
      <w:bookmarkEnd w:id="198"/>
      <w:bookmarkEnd w:id="199"/>
    </w:p>
    <w:bookmarkEnd w:id="200"/>
    <w:p w14:paraId="394DCEE3">
      <w:pPr>
        <w:spacing w:line="520" w:lineRule="exact"/>
        <w:ind w:firstLine="0" w:firstLineChars="0"/>
        <w:rPr>
          <w:rFonts w:hint="eastAsia" w:asciiTheme="minorEastAsia" w:hAnsiTheme="minorEastAsia" w:eastAsiaTheme="minorEastAsia" w:cstheme="minorEastAsia"/>
          <w:b/>
          <w:color w:val="auto"/>
          <w:sz w:val="24"/>
          <w:szCs w:val="24"/>
          <w:highlight w:val="none"/>
        </w:rPr>
      </w:pPr>
    </w:p>
    <w:p w14:paraId="6C326529">
      <w:pPr>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305175C">
      <w:pPr>
        <w:spacing w:line="52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25B056D3">
      <w:pPr>
        <w:spacing w:line="52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若内容属实，请附相关部门证明文件，加盖公章。</w:t>
      </w:r>
    </w:p>
    <w:p w14:paraId="0F277016">
      <w:pPr>
        <w:spacing w:line="520" w:lineRule="exact"/>
        <w:ind w:firstLine="640"/>
        <w:jc w:val="center"/>
        <w:rPr>
          <w:rFonts w:hint="eastAsia" w:asciiTheme="minorEastAsia" w:hAnsiTheme="minorEastAsia" w:eastAsiaTheme="minorEastAsia" w:cstheme="minorEastAsia"/>
          <w:color w:val="auto"/>
          <w:sz w:val="24"/>
          <w:szCs w:val="24"/>
          <w:highlight w:val="none"/>
        </w:rPr>
      </w:pPr>
    </w:p>
    <w:p w14:paraId="42C4B577">
      <w:pPr>
        <w:spacing w:line="520" w:lineRule="exact"/>
        <w:ind w:firstLine="640"/>
        <w:jc w:val="center"/>
        <w:rPr>
          <w:rFonts w:hint="eastAsia" w:asciiTheme="minorEastAsia" w:hAnsiTheme="minorEastAsia" w:eastAsiaTheme="minorEastAsia" w:cstheme="minorEastAsia"/>
          <w:color w:val="auto"/>
          <w:sz w:val="24"/>
          <w:szCs w:val="24"/>
          <w:highlight w:val="none"/>
        </w:rPr>
      </w:pPr>
    </w:p>
    <w:p w14:paraId="723523C5">
      <w:pPr>
        <w:spacing w:line="520" w:lineRule="exact"/>
        <w:ind w:firstLine="640"/>
        <w:jc w:val="center"/>
        <w:rPr>
          <w:rFonts w:hint="eastAsia" w:asciiTheme="minorEastAsia" w:hAnsiTheme="minorEastAsia" w:eastAsiaTheme="minorEastAsia" w:cstheme="minorEastAsia"/>
          <w:color w:val="auto"/>
          <w:sz w:val="24"/>
          <w:szCs w:val="24"/>
          <w:highlight w:val="none"/>
        </w:rPr>
      </w:pPr>
    </w:p>
    <w:p w14:paraId="4DCFC768">
      <w:pPr>
        <w:spacing w:line="520" w:lineRule="exact"/>
        <w:ind w:firstLine="640"/>
        <w:jc w:val="center"/>
        <w:rPr>
          <w:rFonts w:hint="eastAsia" w:asciiTheme="minorEastAsia" w:hAnsiTheme="minorEastAsia" w:eastAsiaTheme="minorEastAsia" w:cstheme="minorEastAsia"/>
          <w:color w:val="auto"/>
          <w:sz w:val="24"/>
          <w:szCs w:val="24"/>
          <w:highlight w:val="none"/>
        </w:rPr>
      </w:pPr>
    </w:p>
    <w:p w14:paraId="66951831">
      <w:pPr>
        <w:pStyle w:val="13"/>
        <w:rPr>
          <w:rFonts w:hint="eastAsia" w:asciiTheme="minorEastAsia" w:hAnsiTheme="minorEastAsia" w:eastAsiaTheme="minorEastAsia" w:cstheme="minorEastAsia"/>
          <w:color w:val="auto"/>
          <w:sz w:val="24"/>
          <w:szCs w:val="24"/>
          <w:highlight w:val="none"/>
        </w:rPr>
      </w:pPr>
    </w:p>
    <w:p w14:paraId="0287D528">
      <w:pPr>
        <w:pStyle w:val="24"/>
        <w:rPr>
          <w:rFonts w:hint="eastAsia" w:asciiTheme="minorEastAsia" w:hAnsiTheme="minorEastAsia" w:eastAsiaTheme="minorEastAsia" w:cstheme="minorEastAsia"/>
          <w:color w:val="auto"/>
          <w:sz w:val="24"/>
          <w:szCs w:val="24"/>
          <w:highlight w:val="none"/>
        </w:rPr>
      </w:pPr>
    </w:p>
    <w:p w14:paraId="7BE60874">
      <w:pPr>
        <w:pStyle w:val="24"/>
        <w:rPr>
          <w:rFonts w:hint="eastAsia" w:asciiTheme="minorEastAsia" w:hAnsiTheme="minorEastAsia" w:eastAsiaTheme="minorEastAsia" w:cstheme="minorEastAsia"/>
          <w:color w:val="auto"/>
          <w:sz w:val="24"/>
          <w:szCs w:val="24"/>
          <w:highlight w:val="none"/>
        </w:rPr>
      </w:pPr>
    </w:p>
    <w:p w14:paraId="60E2E265">
      <w:pPr>
        <w:pStyle w:val="24"/>
        <w:rPr>
          <w:rFonts w:hint="eastAsia" w:asciiTheme="minorEastAsia" w:hAnsiTheme="minorEastAsia" w:eastAsiaTheme="minorEastAsia" w:cstheme="minorEastAsia"/>
          <w:color w:val="auto"/>
          <w:sz w:val="24"/>
          <w:szCs w:val="24"/>
          <w:highlight w:val="none"/>
        </w:rPr>
      </w:pPr>
    </w:p>
    <w:p w14:paraId="05215B59">
      <w:pPr>
        <w:spacing w:line="480" w:lineRule="auto"/>
        <w:ind w:firstLine="2160" w:firstLineChars="900"/>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     章）</w:t>
      </w:r>
    </w:p>
    <w:p w14:paraId="3E1DFBB6">
      <w:pPr>
        <w:pStyle w:val="47"/>
        <w:spacing w:line="480" w:lineRule="auto"/>
        <w:ind w:left="1260" w:leftChars="0" w:firstLine="960" w:firstLineChars="4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04201171">
      <w:pPr>
        <w:pStyle w:val="15"/>
        <w:keepNext w:val="0"/>
        <w:keepLines w:val="0"/>
        <w:pageBreakBefore w:val="0"/>
        <w:widowControl w:val="0"/>
        <w:kinsoku/>
        <w:wordWrap/>
        <w:overflowPunct/>
        <w:topLinePunct w:val="0"/>
        <w:autoSpaceDE/>
        <w:autoSpaceDN/>
        <w:bidi w:val="0"/>
        <w:adjustRightInd/>
        <w:snapToGrid/>
        <w:spacing w:line="480" w:lineRule="auto"/>
        <w:ind w:left="1260" w:leftChars="0"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405A66DF">
      <w:pPr>
        <w:spacing w:line="48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sectPr>
          <w:footerReference r:id="rId12" w:type="first"/>
          <w:headerReference r:id="rId10" w:type="default"/>
          <w:footerReference r:id="rId11" w:type="default"/>
          <w:pgSz w:w="11905" w:h="16838"/>
          <w:pgMar w:top="1440" w:right="1083" w:bottom="1440" w:left="1083" w:header="850" w:footer="992" w:gutter="567"/>
          <w:pgBorders>
            <w:top w:val="none" w:sz="0" w:space="0"/>
            <w:left w:val="none" w:sz="0" w:space="0"/>
            <w:bottom w:val="none" w:sz="0" w:space="0"/>
            <w:right w:val="none" w:sz="0" w:space="0"/>
          </w:pgBorders>
          <w:pgNumType w:fmt="decimal"/>
          <w:cols w:space="0" w:num="1"/>
          <w:titlePg/>
          <w:docGrid w:type="lines" w:linePitch="314" w:charSpace="0"/>
        </w:sectPr>
      </w:pPr>
    </w:p>
    <w:p w14:paraId="23D45574">
      <w:pPr>
        <w:ind w:left="0" w:leftChars="0" w:firstLine="0" w:firstLineChars="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附件5：</w:t>
      </w:r>
    </w:p>
    <w:p w14:paraId="72D82B1C">
      <w:pPr>
        <w:ind w:left="0" w:leftChars="0" w:firstLine="0" w:firstLineChars="0"/>
        <w:jc w:val="center"/>
        <w:outlineLvl w:val="0"/>
        <w:rPr>
          <w:rFonts w:hint="eastAsia" w:asciiTheme="minorEastAsia" w:hAnsiTheme="minorEastAsia" w:eastAsiaTheme="minorEastAsia" w:cstheme="minorEastAsia"/>
          <w:b/>
          <w:bCs/>
          <w:color w:val="auto"/>
          <w:sz w:val="24"/>
          <w:szCs w:val="24"/>
          <w:highlight w:val="none"/>
          <w:lang w:val="en-US" w:eastAsia="zh-CN"/>
        </w:rPr>
      </w:pPr>
      <w:bookmarkStart w:id="201" w:name="_Toc29865"/>
      <w:bookmarkStart w:id="202" w:name="_Toc6047"/>
      <w:bookmarkStart w:id="203" w:name="_Toc16693"/>
      <w:r>
        <w:rPr>
          <w:rFonts w:hint="eastAsia" w:asciiTheme="minorEastAsia" w:hAnsiTheme="minorEastAsia" w:eastAsiaTheme="minorEastAsia" w:cstheme="minorEastAsia"/>
          <w:b/>
          <w:bCs/>
          <w:color w:val="auto"/>
          <w:kern w:val="2"/>
          <w:sz w:val="24"/>
          <w:szCs w:val="24"/>
          <w:highlight w:val="none"/>
          <w:lang w:val="en-US" w:eastAsia="zh-CN" w:bidi="ar-SA"/>
        </w:rPr>
        <w:t>《监狱企业证明文件》（格式）</w:t>
      </w:r>
      <w:bookmarkEnd w:id="201"/>
      <w:bookmarkEnd w:id="202"/>
      <w:bookmarkEnd w:id="203"/>
      <w:r>
        <w:rPr>
          <w:rFonts w:hint="eastAsia" w:asciiTheme="minorEastAsia" w:hAnsiTheme="minorEastAsia" w:eastAsiaTheme="minorEastAsia" w:cstheme="minorEastAsia"/>
          <w:b/>
          <w:bCs/>
          <w:color w:val="auto"/>
          <w:sz w:val="24"/>
          <w:szCs w:val="24"/>
          <w:highlight w:val="none"/>
          <w:lang w:val="en-US" w:eastAsia="zh-CN"/>
        </w:rPr>
        <w:t xml:space="preserve">  </w:t>
      </w:r>
    </w:p>
    <w:p w14:paraId="73E6C138">
      <w:pPr>
        <w:tabs>
          <w:tab w:val="left" w:pos="4860"/>
        </w:tabs>
        <w:spacing w:line="588" w:lineRule="exact"/>
        <w:ind w:right="156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  </w:t>
      </w:r>
      <w:bookmarkStart w:id="204" w:name="_Toc13473"/>
      <w:bookmarkStart w:id="205" w:name="_Toc10551"/>
      <w:bookmarkStart w:id="206" w:name="_Toc4843"/>
      <w:r>
        <w:rPr>
          <w:rFonts w:hint="eastAsia" w:asciiTheme="minorEastAsia" w:hAnsiTheme="minorEastAsia" w:eastAsiaTheme="minorEastAsia" w:cstheme="minorEastAsia"/>
          <w:b/>
          <w:bCs/>
          <w:color w:val="auto"/>
          <w:sz w:val="24"/>
          <w:szCs w:val="24"/>
          <w:highlight w:val="none"/>
        </w:rPr>
        <w:t>监狱企业证明文件</w:t>
      </w:r>
      <w:r>
        <w:rPr>
          <w:rFonts w:hint="eastAsia" w:asciiTheme="minorEastAsia" w:hAnsiTheme="minorEastAsia" w:eastAsiaTheme="minorEastAsia" w:cstheme="minorEastAsia"/>
          <w:b/>
          <w:color w:val="auto"/>
          <w:sz w:val="24"/>
          <w:szCs w:val="24"/>
          <w:highlight w:val="none"/>
        </w:rPr>
        <w:t>（非监狱企业单位不填）</w:t>
      </w:r>
      <w:bookmarkEnd w:id="204"/>
      <w:bookmarkEnd w:id="205"/>
      <w:bookmarkEnd w:id="206"/>
    </w:p>
    <w:p w14:paraId="77D5191D">
      <w:pPr>
        <w:spacing w:line="52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18E93EB2">
      <w:pPr>
        <w:spacing w:line="480" w:lineRule="auto"/>
        <w:ind w:firstLine="2160" w:firstLineChars="900"/>
        <w:jc w:val="left"/>
        <w:outlineLvl w:val="9"/>
        <w:rPr>
          <w:rFonts w:hint="eastAsia" w:asciiTheme="minorEastAsia" w:hAnsiTheme="minorEastAsia" w:eastAsiaTheme="minorEastAsia" w:cstheme="minorEastAsia"/>
          <w:b w:val="0"/>
          <w:bCs w:val="0"/>
          <w:color w:val="auto"/>
          <w:sz w:val="24"/>
          <w:szCs w:val="24"/>
          <w:highlight w:val="none"/>
          <w:lang w:val="en-US" w:eastAsia="zh-CN"/>
        </w:rPr>
      </w:pPr>
    </w:p>
    <w:p w14:paraId="350FA36E">
      <w:pPr>
        <w:spacing w:line="480" w:lineRule="auto"/>
        <w:ind w:firstLine="2160" w:firstLineChars="900"/>
        <w:jc w:val="left"/>
        <w:outlineLvl w:val="9"/>
        <w:rPr>
          <w:rFonts w:hint="eastAsia" w:asciiTheme="minorEastAsia" w:hAnsiTheme="minorEastAsia" w:eastAsiaTheme="minorEastAsia" w:cstheme="minorEastAsia"/>
          <w:b w:val="0"/>
          <w:bCs w:val="0"/>
          <w:color w:val="auto"/>
          <w:sz w:val="24"/>
          <w:szCs w:val="24"/>
          <w:highlight w:val="none"/>
          <w:lang w:val="en-US" w:eastAsia="zh-CN"/>
        </w:rPr>
      </w:pPr>
    </w:p>
    <w:p w14:paraId="78EBF36C">
      <w:pPr>
        <w:pStyle w:val="13"/>
        <w:rPr>
          <w:rFonts w:hint="eastAsia" w:asciiTheme="minorEastAsia" w:hAnsiTheme="minorEastAsia" w:eastAsiaTheme="minorEastAsia" w:cstheme="minorEastAsia"/>
          <w:b w:val="0"/>
          <w:bCs w:val="0"/>
          <w:color w:val="auto"/>
          <w:sz w:val="24"/>
          <w:szCs w:val="24"/>
          <w:highlight w:val="none"/>
          <w:lang w:val="en-US" w:eastAsia="zh-CN"/>
        </w:rPr>
      </w:pPr>
    </w:p>
    <w:p w14:paraId="48BFD07B">
      <w:pPr>
        <w:rPr>
          <w:rFonts w:hint="eastAsia" w:asciiTheme="minorEastAsia" w:hAnsiTheme="minorEastAsia" w:eastAsiaTheme="minorEastAsia" w:cstheme="minorEastAsia"/>
          <w:b w:val="0"/>
          <w:bCs w:val="0"/>
          <w:color w:val="auto"/>
          <w:sz w:val="24"/>
          <w:szCs w:val="24"/>
          <w:highlight w:val="none"/>
          <w:lang w:val="en-US" w:eastAsia="zh-CN"/>
        </w:rPr>
      </w:pPr>
    </w:p>
    <w:p w14:paraId="51E4595E">
      <w:pPr>
        <w:pStyle w:val="13"/>
        <w:rPr>
          <w:rFonts w:hint="eastAsia" w:asciiTheme="minorEastAsia" w:hAnsiTheme="minorEastAsia" w:eastAsiaTheme="minorEastAsia" w:cstheme="minorEastAsia"/>
          <w:b w:val="0"/>
          <w:bCs w:val="0"/>
          <w:color w:val="auto"/>
          <w:sz w:val="24"/>
          <w:szCs w:val="24"/>
          <w:highlight w:val="none"/>
          <w:lang w:val="en-US" w:eastAsia="zh-CN"/>
        </w:rPr>
      </w:pPr>
    </w:p>
    <w:p w14:paraId="760EEE44">
      <w:pPr>
        <w:rPr>
          <w:rFonts w:hint="eastAsia" w:asciiTheme="minorEastAsia" w:hAnsiTheme="minorEastAsia" w:eastAsiaTheme="minorEastAsia" w:cstheme="minorEastAsia"/>
          <w:b w:val="0"/>
          <w:bCs w:val="0"/>
          <w:color w:val="auto"/>
          <w:sz w:val="24"/>
          <w:szCs w:val="24"/>
          <w:highlight w:val="none"/>
          <w:lang w:val="en-US" w:eastAsia="zh-CN"/>
        </w:rPr>
      </w:pPr>
    </w:p>
    <w:p w14:paraId="5DD5827E">
      <w:pPr>
        <w:pStyle w:val="13"/>
        <w:rPr>
          <w:rFonts w:hint="eastAsia" w:asciiTheme="minorEastAsia" w:hAnsiTheme="minorEastAsia" w:eastAsiaTheme="minorEastAsia" w:cstheme="minorEastAsia"/>
          <w:b w:val="0"/>
          <w:bCs w:val="0"/>
          <w:color w:val="auto"/>
          <w:sz w:val="24"/>
          <w:szCs w:val="24"/>
          <w:highlight w:val="none"/>
          <w:lang w:val="en-US" w:eastAsia="zh-CN"/>
        </w:rPr>
      </w:pPr>
    </w:p>
    <w:p w14:paraId="4A0E48CD">
      <w:pPr>
        <w:rPr>
          <w:rFonts w:hint="eastAsia" w:asciiTheme="minorEastAsia" w:hAnsiTheme="minorEastAsia" w:eastAsiaTheme="minorEastAsia" w:cstheme="minorEastAsia"/>
          <w:highlight w:val="none"/>
          <w:lang w:val="en-US" w:eastAsia="zh-CN"/>
        </w:rPr>
      </w:pPr>
    </w:p>
    <w:p w14:paraId="4D003B19">
      <w:pPr>
        <w:pStyle w:val="13"/>
        <w:rPr>
          <w:rFonts w:hint="eastAsia" w:asciiTheme="minorEastAsia" w:hAnsiTheme="minorEastAsia" w:eastAsiaTheme="minorEastAsia" w:cstheme="minorEastAsia"/>
          <w:highlight w:val="none"/>
          <w:lang w:val="en-US" w:eastAsia="zh-CN"/>
        </w:rPr>
      </w:pPr>
    </w:p>
    <w:p w14:paraId="19B4811C">
      <w:pPr>
        <w:rPr>
          <w:rFonts w:hint="eastAsia" w:asciiTheme="minorEastAsia" w:hAnsiTheme="minorEastAsia" w:eastAsiaTheme="minorEastAsia" w:cstheme="minorEastAsia"/>
          <w:highlight w:val="none"/>
          <w:lang w:val="en-US" w:eastAsia="zh-CN"/>
        </w:rPr>
      </w:pPr>
    </w:p>
    <w:p w14:paraId="72D54482">
      <w:pPr>
        <w:spacing w:line="480" w:lineRule="auto"/>
        <w:ind w:firstLine="2160" w:firstLineChars="900"/>
        <w:jc w:val="left"/>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（盖章）</w:t>
      </w:r>
    </w:p>
    <w:p w14:paraId="0CA0ECC7">
      <w:pPr>
        <w:pStyle w:val="47"/>
        <w:spacing w:line="480" w:lineRule="auto"/>
        <w:ind w:left="1260" w:leftChars="0" w:firstLine="960" w:firstLineChars="4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法定代表人或其委托代理人：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 xml:space="preserve"> （签字</w:t>
      </w:r>
      <w:r>
        <w:rPr>
          <w:rFonts w:hint="eastAsia" w:asciiTheme="minorEastAsia" w:hAnsiTheme="minorEastAsia" w:eastAsiaTheme="minorEastAsia" w:cstheme="minorEastAsia"/>
          <w:color w:val="auto"/>
          <w:sz w:val="24"/>
          <w:szCs w:val="24"/>
          <w:highlight w:val="none"/>
          <w:lang w:val="en-US" w:eastAsia="zh-CN"/>
        </w:rPr>
        <w:t>或盖章</w:t>
      </w:r>
      <w:r>
        <w:rPr>
          <w:rFonts w:hint="eastAsia" w:asciiTheme="minorEastAsia" w:hAnsiTheme="minorEastAsia" w:eastAsiaTheme="minorEastAsia" w:cstheme="minorEastAsia"/>
          <w:color w:val="auto"/>
          <w:sz w:val="24"/>
          <w:szCs w:val="24"/>
          <w:highlight w:val="none"/>
          <w:lang w:val="zh-CN"/>
        </w:rPr>
        <w:t>）</w:t>
      </w:r>
    </w:p>
    <w:p w14:paraId="2884A84A">
      <w:pPr>
        <w:pStyle w:val="15"/>
        <w:keepNext w:val="0"/>
        <w:keepLines w:val="0"/>
        <w:pageBreakBefore w:val="0"/>
        <w:widowControl w:val="0"/>
        <w:kinsoku/>
        <w:wordWrap/>
        <w:overflowPunct/>
        <w:topLinePunct w:val="0"/>
        <w:autoSpaceDE/>
        <w:autoSpaceDN/>
        <w:bidi w:val="0"/>
        <w:adjustRightInd/>
        <w:snapToGrid/>
        <w:spacing w:line="480" w:lineRule="auto"/>
        <w:ind w:left="1260" w:leftChars="0" w:firstLine="960" w:firstLineChars="400"/>
        <w:textAlignment w:val="auto"/>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日     期：</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zh-CN"/>
        </w:rPr>
        <w:t xml:space="preserve">   </w:t>
      </w:r>
    </w:p>
    <w:p w14:paraId="749303C8">
      <w:pPr>
        <w:rPr>
          <w:rFonts w:hint="eastAsia" w:asciiTheme="minorEastAsia" w:hAnsiTheme="minorEastAsia" w:eastAsiaTheme="minorEastAsia" w:cstheme="minorEastAsia"/>
          <w:color w:val="auto"/>
          <w:sz w:val="24"/>
          <w:szCs w:val="24"/>
          <w:highlight w:val="none"/>
          <w:u w:val="single"/>
          <w:lang w:val="zh-CN" w:eastAsia="zh-CN"/>
        </w:rPr>
      </w:pPr>
      <w:r>
        <w:rPr>
          <w:rFonts w:hint="eastAsia" w:asciiTheme="minorEastAsia" w:hAnsiTheme="minorEastAsia" w:eastAsiaTheme="minorEastAsia" w:cstheme="minorEastAsia"/>
          <w:color w:val="auto"/>
          <w:sz w:val="24"/>
          <w:szCs w:val="24"/>
          <w:highlight w:val="none"/>
          <w:u w:val="single"/>
          <w:lang w:val="zh-CN" w:eastAsia="zh-CN"/>
        </w:rPr>
        <w:br w:type="page"/>
      </w:r>
    </w:p>
    <w:p w14:paraId="22140BF6">
      <w:pPr>
        <w:pStyle w:val="7"/>
        <w:spacing w:before="0" w:line="520" w:lineRule="exact"/>
        <w:ind w:firstLine="0" w:firstLineChars="0"/>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3、供应商需要补充说明的事宜</w:t>
      </w:r>
    </w:p>
    <w:p w14:paraId="2D72F56A">
      <w:pPr>
        <w:spacing w:beforeAutospacing="0" w:line="520" w:lineRule="exact"/>
        <w:ind w:left="420" w:firstLine="0" w:firstLineChars="0"/>
        <w:rPr>
          <w:rFonts w:hint="eastAsia" w:asciiTheme="minorEastAsia" w:hAnsiTheme="minorEastAsia" w:eastAsiaTheme="minorEastAsia" w:cstheme="minorEastAsia"/>
          <w:highlight w:val="none"/>
          <w:lang w:val="zh-CN"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供应商其它补充材料；</w:t>
      </w:r>
    </w:p>
    <w:sectPr>
      <w:footerReference r:id="rId15" w:type="first"/>
      <w:headerReference r:id="rId13" w:type="default"/>
      <w:footerReference r:id="rId14" w:type="default"/>
      <w:pgSz w:w="11905" w:h="16838"/>
      <w:pgMar w:top="1440" w:right="1083" w:bottom="1440" w:left="1083" w:header="850" w:footer="992" w:gutter="567"/>
      <w:pgBorders>
        <w:top w:val="none" w:sz="0" w:space="0"/>
        <w:left w:val="none" w:sz="0" w:space="0"/>
        <w:bottom w:val="none" w:sz="0" w:space="0"/>
        <w:right w:val="none" w:sz="0" w:space="0"/>
      </w:pgBorders>
      <w:pgNumType w:fmt="decimal"/>
      <w:cols w:space="0" w:num="1"/>
      <w:titlePg/>
      <w:rtlGutter w:val="0"/>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8633">
    <w:pPr>
      <w:spacing w:line="280" w:lineRule="exact"/>
      <w:rPr>
        <w:rFonts w:ascii="宋体" w:hAnsi="宋体"/>
        <w:b/>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2861310</wp:posOffset>
              </wp:positionH>
              <wp:positionV relativeFrom="paragraph">
                <wp:posOffset>-95250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B46A1">
                          <w:pPr>
                            <w:pStyle w:val="2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3pt;margin-top:-7.5pt;height:144pt;width:144pt;mso-position-horizontal-relative:margin;mso-wrap-style:none;z-index:251659264;mso-width-relative:page;mso-height-relative:page;" filled="f" stroked="f" coordsize="21600,21600" o:gfxdata="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o42CtgAAAALAQAADwAAAAAAAAABACAAAAAiAAAAZHJzL2Rvd25yZXYueG1s&#10;UEsBAhQAFAAAAAgAh07iQOsAOHoxAgAAYwQAAA4AAAAAAAAAAQAgAAAAJwEAAGRycy9lMm9Eb2Mu&#10;eG1sUEsFBgAAAAAGAAYAWQEAAMoFAAAAAA==&#10;">
              <v:fill on="f" focussize="0,0"/>
              <v:stroke on="f" weight="0.5pt"/>
              <v:imagedata o:title=""/>
              <o:lock v:ext="edit" aspectratio="f"/>
              <v:textbox inset="0mm,0mm,0mm,0mm" style="mso-fit-shape-to-text:t;">
                <w:txbxContent>
                  <w:p w14:paraId="079B46A1">
                    <w:pPr>
                      <w:pStyle w:val="2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BCD8">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5E4B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E55E4B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C3E5A">
    <w:pPr>
      <w:pStyle w:val="20"/>
      <w:ind w:firstLine="0" w:firstLineChars="0"/>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D6C99">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D7D6C99">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004E">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21608">
                          <w:pPr>
                            <w:pStyle w:val="2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C721608">
                    <w:pPr>
                      <w:pStyle w:val="2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6EFE4">
    <w:pPr>
      <w:spacing w:line="280" w:lineRule="exact"/>
      <w:rPr>
        <w:rFonts w:ascii="宋体" w:hAnsi="宋体"/>
        <w:b/>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2F26">
                          <w:pPr>
                            <w:pStyle w:val="2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5B2F26">
                    <w:pPr>
                      <w:pStyle w:val="2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6867">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FA3DD">
                          <w:pPr>
                            <w:pStyle w:val="2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F9FA3DD">
                    <w:pPr>
                      <w:pStyle w:val="2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C847">
    <w:pPr>
      <w:pStyle w:val="20"/>
      <w:ind w:firstLine="48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1F338">
                          <w:pPr>
                            <w:pStyle w:val="2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D01F338">
                    <w:pPr>
                      <w:pStyle w:val="20"/>
                    </w:pPr>
                    <w:r>
                      <w:fldChar w:fldCharType="begin"/>
                    </w:r>
                    <w:r>
                      <w:instrText xml:space="preserve"> PAGE  \* MERGEFORMAT </w:instrText>
                    </w:r>
                    <w:r>
                      <w:fldChar w:fldCharType="separate"/>
                    </w:r>
                    <w:r>
                      <w:t>84</w:t>
                    </w:r>
                    <w:r>
                      <w:fldChar w:fldCharType="end"/>
                    </w:r>
                  </w:p>
                </w:txbxContent>
              </v:textbox>
            </v:shape>
          </w:pict>
        </mc:Fallback>
      </mc:AlternateContent>
    </w:r>
  </w:p>
  <w:p w14:paraId="123831B7">
    <w:pPr>
      <w:pStyle w:val="20"/>
      <w:ind w:firstLine="0" w:firstLineChars="0"/>
      <w:rPr>
        <w:rFonts w:ascii="宋体" w:hAnsi="宋体"/>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0B60">
    <w:pPr>
      <w:pStyle w:val="2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A637A">
                          <w:pPr>
                            <w:pStyle w:val="2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BFA637A">
                    <w:pPr>
                      <w:pStyle w:val="2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BA30">
    <w:pPr>
      <w:pStyle w:val="21"/>
      <w:pBdr>
        <w:bottom w:val="none" w:color="auto" w:sz="0" w:space="3"/>
      </w:pBdr>
      <w:tabs>
        <w:tab w:val="clear" w:pos="4153"/>
      </w:tabs>
      <w:ind w:left="0" w:leftChars="0" w:firstLine="0" w:firstLineChars="0"/>
      <w:jc w:val="center"/>
      <w:rPr>
        <w:rFonts w:hint="default" w:eastAsia="宋体"/>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2983">
    <w:pPr>
      <w:pStyle w:val="21"/>
      <w:pBdr>
        <w:bottom w:val="none" w:color="auto" w:sz="0" w:space="3"/>
      </w:pBdr>
      <w:tabs>
        <w:tab w:val="clear" w:pos="4153"/>
      </w:tabs>
      <w:ind w:left="0" w:leftChars="0" w:firstLine="0" w:firstLineChars="0"/>
      <w:jc w:val="center"/>
      <w:rPr>
        <w:rFonts w:hint="default" w:eastAsia="宋体"/>
        <w:sz w:val="18"/>
        <w:szCs w:val="18"/>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D449C">
    <w:pPr>
      <w:pStyle w:val="21"/>
      <w:pBdr>
        <w:bottom w:val="none" w:color="auto" w:sz="0" w:space="3"/>
      </w:pBdr>
      <w:tabs>
        <w:tab w:val="clear" w:pos="4153"/>
      </w:tabs>
      <w:ind w:left="0" w:leftChars="0" w:firstLine="0" w:firstLineChars="0"/>
      <w:jc w:val="center"/>
      <w:rPr>
        <w:rFonts w:hint="default" w:eastAsia="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1C98B"/>
    <w:multiLevelType w:val="singleLevel"/>
    <w:tmpl w:val="A971C98B"/>
    <w:lvl w:ilvl="0" w:tentative="0">
      <w:start w:val="1"/>
      <w:numFmt w:val="decimal"/>
      <w:lvlText w:val="%1."/>
      <w:lvlJc w:val="left"/>
      <w:pPr>
        <w:tabs>
          <w:tab w:val="left" w:pos="312"/>
        </w:tabs>
      </w:pPr>
    </w:lvl>
  </w:abstractNum>
  <w:abstractNum w:abstractNumId="1">
    <w:nsid w:val="AF4D41E4"/>
    <w:multiLevelType w:val="singleLevel"/>
    <w:tmpl w:val="AF4D41E4"/>
    <w:lvl w:ilvl="0" w:tentative="0">
      <w:start w:val="1"/>
      <w:numFmt w:val="chineseCounting"/>
      <w:suff w:val="nothing"/>
      <w:lvlText w:val="%1、"/>
      <w:lvlJc w:val="left"/>
      <w:rPr>
        <w:rFonts w:hint="eastAsia"/>
      </w:rPr>
    </w:lvl>
  </w:abstractNum>
  <w:abstractNum w:abstractNumId="2">
    <w:nsid w:val="E0315338"/>
    <w:multiLevelType w:val="singleLevel"/>
    <w:tmpl w:val="E0315338"/>
    <w:lvl w:ilvl="0" w:tentative="0">
      <w:start w:val="1"/>
      <w:numFmt w:val="decimal"/>
      <w:suff w:val="nothing"/>
      <w:lvlText w:val="（%1）"/>
      <w:lvlJc w:val="left"/>
      <w:pPr>
        <w:tabs>
          <w:tab w:val="left" w:pos="0"/>
        </w:tabs>
        <w:ind w:left="425" w:hanging="425"/>
      </w:pPr>
      <w:rPr>
        <w:rFonts w:hint="default"/>
      </w:rPr>
    </w:lvl>
  </w:abstractNum>
  <w:abstractNum w:abstractNumId="3">
    <w:nsid w:val="E73E327E"/>
    <w:multiLevelType w:val="singleLevel"/>
    <w:tmpl w:val="E73E327E"/>
    <w:lvl w:ilvl="0" w:tentative="0">
      <w:start w:val="2"/>
      <w:numFmt w:val="chineseCounting"/>
      <w:suff w:val="nothing"/>
      <w:lvlText w:val="第%1部分、"/>
      <w:lvlJc w:val="left"/>
      <w:rPr>
        <w:rFonts w:hint="eastAsia"/>
      </w:rPr>
    </w:lvl>
  </w:abstractNum>
  <w:abstractNum w:abstractNumId="4">
    <w:nsid w:val="045CB0A3"/>
    <w:multiLevelType w:val="singleLevel"/>
    <w:tmpl w:val="045CB0A3"/>
    <w:lvl w:ilvl="0" w:tentative="0">
      <w:start w:val="1"/>
      <w:numFmt w:val="decimal"/>
      <w:lvlText w:val="(%1)"/>
      <w:lvlJc w:val="left"/>
      <w:pPr>
        <w:tabs>
          <w:tab w:val="left" w:pos="312"/>
        </w:tabs>
      </w:p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6">
    <w:nsid w:val="4593FBAD"/>
    <w:multiLevelType w:val="singleLevel"/>
    <w:tmpl w:val="4593FBAD"/>
    <w:lvl w:ilvl="0" w:tentative="0">
      <w:start w:val="5"/>
      <w:numFmt w:val="decimal"/>
      <w:suff w:val="nothing"/>
      <w:lvlText w:val="%1、"/>
      <w:lvlJc w:val="left"/>
    </w:lvl>
  </w:abstractNum>
  <w:abstractNum w:abstractNumId="7">
    <w:nsid w:val="467284DC"/>
    <w:multiLevelType w:val="singleLevel"/>
    <w:tmpl w:val="467284DC"/>
    <w:lvl w:ilvl="0" w:tentative="0">
      <w:start w:val="2"/>
      <w:numFmt w:val="chineseCounting"/>
      <w:suff w:val="space"/>
      <w:lvlText w:val="第%1章"/>
      <w:lvlJc w:val="left"/>
      <w:rPr>
        <w:rFonts w:hint="eastAsi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0"/>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documentProtection w:enforcement="0"/>
  <w:defaultTabStop w:val="420"/>
  <w:drawingGridHorizontalSpacing w:val="210"/>
  <w:drawingGridVerticalSpacing w:val="15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2Y0ZDdmMWVjMDg2ZTJmODk2Y2RkOTkwNDAyNWUifQ=="/>
  </w:docVars>
  <w:rsids>
    <w:rsidRoot w:val="00172A27"/>
    <w:rsid w:val="00000BDA"/>
    <w:rsid w:val="00002CD1"/>
    <w:rsid w:val="00005402"/>
    <w:rsid w:val="00005941"/>
    <w:rsid w:val="00041AD1"/>
    <w:rsid w:val="00050743"/>
    <w:rsid w:val="00060C6A"/>
    <w:rsid w:val="0007201D"/>
    <w:rsid w:val="00074FB2"/>
    <w:rsid w:val="000861CB"/>
    <w:rsid w:val="000A1970"/>
    <w:rsid w:val="000A7932"/>
    <w:rsid w:val="000A7D2E"/>
    <w:rsid w:val="000C03F2"/>
    <w:rsid w:val="000C6E28"/>
    <w:rsid w:val="000E7B1F"/>
    <w:rsid w:val="000F08FD"/>
    <w:rsid w:val="0010612A"/>
    <w:rsid w:val="00124BD9"/>
    <w:rsid w:val="00125131"/>
    <w:rsid w:val="00132B75"/>
    <w:rsid w:val="00134908"/>
    <w:rsid w:val="00160607"/>
    <w:rsid w:val="0018278B"/>
    <w:rsid w:val="0019212A"/>
    <w:rsid w:val="001A08C7"/>
    <w:rsid w:val="001A2911"/>
    <w:rsid w:val="001E6339"/>
    <w:rsid w:val="002001D9"/>
    <w:rsid w:val="002113E9"/>
    <w:rsid w:val="00230734"/>
    <w:rsid w:val="00246844"/>
    <w:rsid w:val="002601E6"/>
    <w:rsid w:val="0028098F"/>
    <w:rsid w:val="0028137B"/>
    <w:rsid w:val="00294527"/>
    <w:rsid w:val="002A20FC"/>
    <w:rsid w:val="002A246C"/>
    <w:rsid w:val="002A3F8D"/>
    <w:rsid w:val="002C1130"/>
    <w:rsid w:val="002D2BE7"/>
    <w:rsid w:val="002E3D95"/>
    <w:rsid w:val="002E433D"/>
    <w:rsid w:val="002E7E18"/>
    <w:rsid w:val="002F111D"/>
    <w:rsid w:val="00307653"/>
    <w:rsid w:val="00320926"/>
    <w:rsid w:val="00327E85"/>
    <w:rsid w:val="00331505"/>
    <w:rsid w:val="00331D34"/>
    <w:rsid w:val="00334112"/>
    <w:rsid w:val="0033589A"/>
    <w:rsid w:val="003423CC"/>
    <w:rsid w:val="00345B9C"/>
    <w:rsid w:val="0035116F"/>
    <w:rsid w:val="00361B45"/>
    <w:rsid w:val="00372347"/>
    <w:rsid w:val="0038723E"/>
    <w:rsid w:val="00387C8F"/>
    <w:rsid w:val="003A05F7"/>
    <w:rsid w:val="003A2314"/>
    <w:rsid w:val="003A6B66"/>
    <w:rsid w:val="003B2319"/>
    <w:rsid w:val="003D33A2"/>
    <w:rsid w:val="003F1738"/>
    <w:rsid w:val="0040047B"/>
    <w:rsid w:val="0043289F"/>
    <w:rsid w:val="004362EF"/>
    <w:rsid w:val="00451AE4"/>
    <w:rsid w:val="004544EC"/>
    <w:rsid w:val="00455D04"/>
    <w:rsid w:val="00466DC3"/>
    <w:rsid w:val="004860ED"/>
    <w:rsid w:val="004951F6"/>
    <w:rsid w:val="004A0673"/>
    <w:rsid w:val="004B4FCB"/>
    <w:rsid w:val="004F06D1"/>
    <w:rsid w:val="004F6FA9"/>
    <w:rsid w:val="00521053"/>
    <w:rsid w:val="00524B6E"/>
    <w:rsid w:val="00530FE9"/>
    <w:rsid w:val="00532C50"/>
    <w:rsid w:val="005577B6"/>
    <w:rsid w:val="00560718"/>
    <w:rsid w:val="005840EF"/>
    <w:rsid w:val="005A3C06"/>
    <w:rsid w:val="005A69AD"/>
    <w:rsid w:val="005B009E"/>
    <w:rsid w:val="005E456F"/>
    <w:rsid w:val="00602F3F"/>
    <w:rsid w:val="006061B9"/>
    <w:rsid w:val="00610AC5"/>
    <w:rsid w:val="006174F8"/>
    <w:rsid w:val="00627516"/>
    <w:rsid w:val="006617C5"/>
    <w:rsid w:val="00662F33"/>
    <w:rsid w:val="0067732F"/>
    <w:rsid w:val="006A06DE"/>
    <w:rsid w:val="006A1CB2"/>
    <w:rsid w:val="006C50AA"/>
    <w:rsid w:val="006C54AB"/>
    <w:rsid w:val="006E0A8C"/>
    <w:rsid w:val="006E2AED"/>
    <w:rsid w:val="006E4218"/>
    <w:rsid w:val="006E6865"/>
    <w:rsid w:val="00712198"/>
    <w:rsid w:val="00712B43"/>
    <w:rsid w:val="00717707"/>
    <w:rsid w:val="00720F21"/>
    <w:rsid w:val="007236A0"/>
    <w:rsid w:val="00724B84"/>
    <w:rsid w:val="00737E15"/>
    <w:rsid w:val="007401D7"/>
    <w:rsid w:val="00740D02"/>
    <w:rsid w:val="00740DCB"/>
    <w:rsid w:val="00757B3F"/>
    <w:rsid w:val="00785329"/>
    <w:rsid w:val="007A4E72"/>
    <w:rsid w:val="007B79E8"/>
    <w:rsid w:val="007D13A0"/>
    <w:rsid w:val="007E16D8"/>
    <w:rsid w:val="007E60B7"/>
    <w:rsid w:val="007F095D"/>
    <w:rsid w:val="00803ED0"/>
    <w:rsid w:val="0081040F"/>
    <w:rsid w:val="00820218"/>
    <w:rsid w:val="00830209"/>
    <w:rsid w:val="00841FF9"/>
    <w:rsid w:val="0085027D"/>
    <w:rsid w:val="008570B9"/>
    <w:rsid w:val="00884235"/>
    <w:rsid w:val="008876E9"/>
    <w:rsid w:val="00887BC2"/>
    <w:rsid w:val="008960F8"/>
    <w:rsid w:val="008967D6"/>
    <w:rsid w:val="008A0690"/>
    <w:rsid w:val="008A618E"/>
    <w:rsid w:val="008A65CB"/>
    <w:rsid w:val="008B3CAD"/>
    <w:rsid w:val="008C4F70"/>
    <w:rsid w:val="008D34F5"/>
    <w:rsid w:val="008D3BEE"/>
    <w:rsid w:val="008F5DB4"/>
    <w:rsid w:val="00901FC6"/>
    <w:rsid w:val="009117AB"/>
    <w:rsid w:val="00934DBB"/>
    <w:rsid w:val="00942892"/>
    <w:rsid w:val="0095226B"/>
    <w:rsid w:val="00955EB6"/>
    <w:rsid w:val="009579D5"/>
    <w:rsid w:val="00971089"/>
    <w:rsid w:val="009837BE"/>
    <w:rsid w:val="00990A3C"/>
    <w:rsid w:val="0099397D"/>
    <w:rsid w:val="00996E4B"/>
    <w:rsid w:val="009A0920"/>
    <w:rsid w:val="009A26E0"/>
    <w:rsid w:val="009B39C2"/>
    <w:rsid w:val="009B3EA7"/>
    <w:rsid w:val="009B6A54"/>
    <w:rsid w:val="009E3B5D"/>
    <w:rsid w:val="009E4E26"/>
    <w:rsid w:val="009F7EC1"/>
    <w:rsid w:val="00A07571"/>
    <w:rsid w:val="00A10558"/>
    <w:rsid w:val="00A11A32"/>
    <w:rsid w:val="00A305F7"/>
    <w:rsid w:val="00A323B6"/>
    <w:rsid w:val="00A33C90"/>
    <w:rsid w:val="00A36836"/>
    <w:rsid w:val="00A42CB1"/>
    <w:rsid w:val="00A50A7C"/>
    <w:rsid w:val="00A51653"/>
    <w:rsid w:val="00AB7CB8"/>
    <w:rsid w:val="00AC0F23"/>
    <w:rsid w:val="00AC483C"/>
    <w:rsid w:val="00AD3BA4"/>
    <w:rsid w:val="00AE3A1C"/>
    <w:rsid w:val="00AF08C0"/>
    <w:rsid w:val="00AF1562"/>
    <w:rsid w:val="00AF72D5"/>
    <w:rsid w:val="00B174FD"/>
    <w:rsid w:val="00B54299"/>
    <w:rsid w:val="00B62E1E"/>
    <w:rsid w:val="00B63A3B"/>
    <w:rsid w:val="00B64495"/>
    <w:rsid w:val="00B6561D"/>
    <w:rsid w:val="00B71BDB"/>
    <w:rsid w:val="00B7651D"/>
    <w:rsid w:val="00BA1937"/>
    <w:rsid w:val="00BA74AA"/>
    <w:rsid w:val="00BA77C7"/>
    <w:rsid w:val="00C0350C"/>
    <w:rsid w:val="00C05FA6"/>
    <w:rsid w:val="00C07976"/>
    <w:rsid w:val="00C14AB4"/>
    <w:rsid w:val="00C369DD"/>
    <w:rsid w:val="00C85278"/>
    <w:rsid w:val="00C937B8"/>
    <w:rsid w:val="00CB2895"/>
    <w:rsid w:val="00CC7C85"/>
    <w:rsid w:val="00CD635D"/>
    <w:rsid w:val="00CE24C5"/>
    <w:rsid w:val="00CF2A8B"/>
    <w:rsid w:val="00CF7756"/>
    <w:rsid w:val="00D019D8"/>
    <w:rsid w:val="00D0574D"/>
    <w:rsid w:val="00D075E6"/>
    <w:rsid w:val="00D248AE"/>
    <w:rsid w:val="00D3073F"/>
    <w:rsid w:val="00D31784"/>
    <w:rsid w:val="00D32E59"/>
    <w:rsid w:val="00D451AA"/>
    <w:rsid w:val="00D57459"/>
    <w:rsid w:val="00D62DAF"/>
    <w:rsid w:val="00D7391C"/>
    <w:rsid w:val="00DA1429"/>
    <w:rsid w:val="00DB10A3"/>
    <w:rsid w:val="00DB2CB0"/>
    <w:rsid w:val="00DD0536"/>
    <w:rsid w:val="00DD3A61"/>
    <w:rsid w:val="00DE67B1"/>
    <w:rsid w:val="00DF7EE4"/>
    <w:rsid w:val="00E01684"/>
    <w:rsid w:val="00E21993"/>
    <w:rsid w:val="00E26FF9"/>
    <w:rsid w:val="00E6284A"/>
    <w:rsid w:val="00E90D12"/>
    <w:rsid w:val="00EA0587"/>
    <w:rsid w:val="00EB09E8"/>
    <w:rsid w:val="00EB25F1"/>
    <w:rsid w:val="00EC1D26"/>
    <w:rsid w:val="00ED36CB"/>
    <w:rsid w:val="00EE410B"/>
    <w:rsid w:val="00EE56BE"/>
    <w:rsid w:val="00EF7650"/>
    <w:rsid w:val="00F00476"/>
    <w:rsid w:val="00F02276"/>
    <w:rsid w:val="00F11F53"/>
    <w:rsid w:val="00F12BCC"/>
    <w:rsid w:val="00F33728"/>
    <w:rsid w:val="00F466B1"/>
    <w:rsid w:val="00F52208"/>
    <w:rsid w:val="00F62B23"/>
    <w:rsid w:val="00F63043"/>
    <w:rsid w:val="00F63BC1"/>
    <w:rsid w:val="00F76FBC"/>
    <w:rsid w:val="00F86929"/>
    <w:rsid w:val="00F91871"/>
    <w:rsid w:val="00FA0450"/>
    <w:rsid w:val="00FA1D35"/>
    <w:rsid w:val="00FD3859"/>
    <w:rsid w:val="00FD7BC3"/>
    <w:rsid w:val="010C1511"/>
    <w:rsid w:val="01162B84"/>
    <w:rsid w:val="014619CB"/>
    <w:rsid w:val="014F57A9"/>
    <w:rsid w:val="01605517"/>
    <w:rsid w:val="01797F8F"/>
    <w:rsid w:val="017E0477"/>
    <w:rsid w:val="01814321"/>
    <w:rsid w:val="019D73AC"/>
    <w:rsid w:val="01BA6406"/>
    <w:rsid w:val="01CE7CDB"/>
    <w:rsid w:val="01D75FD3"/>
    <w:rsid w:val="0202001C"/>
    <w:rsid w:val="02251150"/>
    <w:rsid w:val="02260AA1"/>
    <w:rsid w:val="02301B99"/>
    <w:rsid w:val="0284375E"/>
    <w:rsid w:val="02A14633"/>
    <w:rsid w:val="02A97BE9"/>
    <w:rsid w:val="02CD5A6F"/>
    <w:rsid w:val="02CE3A19"/>
    <w:rsid w:val="02CF29B1"/>
    <w:rsid w:val="02F82AEF"/>
    <w:rsid w:val="030B70A5"/>
    <w:rsid w:val="032A6F1F"/>
    <w:rsid w:val="032C18EA"/>
    <w:rsid w:val="03462792"/>
    <w:rsid w:val="03490487"/>
    <w:rsid w:val="038A3960"/>
    <w:rsid w:val="038D0666"/>
    <w:rsid w:val="03BE04A3"/>
    <w:rsid w:val="03C86237"/>
    <w:rsid w:val="03CE6B59"/>
    <w:rsid w:val="03DA068D"/>
    <w:rsid w:val="03E53E41"/>
    <w:rsid w:val="040B069A"/>
    <w:rsid w:val="04121542"/>
    <w:rsid w:val="041C3EAA"/>
    <w:rsid w:val="042915D4"/>
    <w:rsid w:val="0435689D"/>
    <w:rsid w:val="04431451"/>
    <w:rsid w:val="044F7FA7"/>
    <w:rsid w:val="045B39AD"/>
    <w:rsid w:val="046917C8"/>
    <w:rsid w:val="04A63D5B"/>
    <w:rsid w:val="04AA2EB9"/>
    <w:rsid w:val="04B76A0F"/>
    <w:rsid w:val="04CB54AC"/>
    <w:rsid w:val="04F82B4C"/>
    <w:rsid w:val="05012C80"/>
    <w:rsid w:val="05107B33"/>
    <w:rsid w:val="052714BD"/>
    <w:rsid w:val="05706B86"/>
    <w:rsid w:val="057102F4"/>
    <w:rsid w:val="058401C5"/>
    <w:rsid w:val="05A94A52"/>
    <w:rsid w:val="05B747B5"/>
    <w:rsid w:val="05C05ECA"/>
    <w:rsid w:val="05C446C1"/>
    <w:rsid w:val="05C45ED8"/>
    <w:rsid w:val="05C462DF"/>
    <w:rsid w:val="05CF1AFF"/>
    <w:rsid w:val="05D43F64"/>
    <w:rsid w:val="05DA5172"/>
    <w:rsid w:val="05DF009E"/>
    <w:rsid w:val="05DF2EB7"/>
    <w:rsid w:val="05F72E03"/>
    <w:rsid w:val="060D3850"/>
    <w:rsid w:val="063F1D3B"/>
    <w:rsid w:val="06417385"/>
    <w:rsid w:val="065240A5"/>
    <w:rsid w:val="069F5975"/>
    <w:rsid w:val="06AC5FC8"/>
    <w:rsid w:val="06EC37ED"/>
    <w:rsid w:val="06F25426"/>
    <w:rsid w:val="070206B7"/>
    <w:rsid w:val="071579E5"/>
    <w:rsid w:val="07177C01"/>
    <w:rsid w:val="074A5052"/>
    <w:rsid w:val="075229E7"/>
    <w:rsid w:val="07545BA3"/>
    <w:rsid w:val="075514AC"/>
    <w:rsid w:val="07846E6E"/>
    <w:rsid w:val="07942A0A"/>
    <w:rsid w:val="079D2727"/>
    <w:rsid w:val="07B36BAA"/>
    <w:rsid w:val="07CE30A5"/>
    <w:rsid w:val="07E9569A"/>
    <w:rsid w:val="08181E19"/>
    <w:rsid w:val="08253086"/>
    <w:rsid w:val="08461A0E"/>
    <w:rsid w:val="08490528"/>
    <w:rsid w:val="086354E8"/>
    <w:rsid w:val="086F1377"/>
    <w:rsid w:val="08876261"/>
    <w:rsid w:val="088E69BA"/>
    <w:rsid w:val="08AD37BE"/>
    <w:rsid w:val="08B000F1"/>
    <w:rsid w:val="08C16076"/>
    <w:rsid w:val="08D13667"/>
    <w:rsid w:val="08E75CAB"/>
    <w:rsid w:val="08F301FA"/>
    <w:rsid w:val="091A6ECE"/>
    <w:rsid w:val="09241359"/>
    <w:rsid w:val="092A51B9"/>
    <w:rsid w:val="09546E5A"/>
    <w:rsid w:val="095B65B9"/>
    <w:rsid w:val="09644C54"/>
    <w:rsid w:val="09861926"/>
    <w:rsid w:val="099E6C43"/>
    <w:rsid w:val="09C621B3"/>
    <w:rsid w:val="09CF2487"/>
    <w:rsid w:val="09E60981"/>
    <w:rsid w:val="0A256191"/>
    <w:rsid w:val="0A2E299B"/>
    <w:rsid w:val="0A410123"/>
    <w:rsid w:val="0A4F76B2"/>
    <w:rsid w:val="0A690BF1"/>
    <w:rsid w:val="0A7662D4"/>
    <w:rsid w:val="0A9F7A40"/>
    <w:rsid w:val="0AB87005"/>
    <w:rsid w:val="0AC21BFA"/>
    <w:rsid w:val="0AF34B96"/>
    <w:rsid w:val="0AF64791"/>
    <w:rsid w:val="0AF72DEA"/>
    <w:rsid w:val="0AFF3DB4"/>
    <w:rsid w:val="0B1E56CA"/>
    <w:rsid w:val="0B2C095F"/>
    <w:rsid w:val="0B37537A"/>
    <w:rsid w:val="0B444D3D"/>
    <w:rsid w:val="0BBE3729"/>
    <w:rsid w:val="0BDD3577"/>
    <w:rsid w:val="0BDF154A"/>
    <w:rsid w:val="0C0369A6"/>
    <w:rsid w:val="0C1D04B6"/>
    <w:rsid w:val="0C344DB1"/>
    <w:rsid w:val="0C784998"/>
    <w:rsid w:val="0C945850"/>
    <w:rsid w:val="0CC31FBD"/>
    <w:rsid w:val="0CC954FA"/>
    <w:rsid w:val="0CD46C87"/>
    <w:rsid w:val="0D002EE5"/>
    <w:rsid w:val="0D0A071C"/>
    <w:rsid w:val="0D2A397D"/>
    <w:rsid w:val="0D3635FF"/>
    <w:rsid w:val="0D3E52E2"/>
    <w:rsid w:val="0D5D10AC"/>
    <w:rsid w:val="0D7F02AE"/>
    <w:rsid w:val="0D834AA8"/>
    <w:rsid w:val="0D8976BC"/>
    <w:rsid w:val="0D916CB8"/>
    <w:rsid w:val="0DA51EB4"/>
    <w:rsid w:val="0DAF65AC"/>
    <w:rsid w:val="0DB7090B"/>
    <w:rsid w:val="0DC3019B"/>
    <w:rsid w:val="0DCD26CE"/>
    <w:rsid w:val="0DCE1378"/>
    <w:rsid w:val="0DEF5EB5"/>
    <w:rsid w:val="0E06452B"/>
    <w:rsid w:val="0E3759DB"/>
    <w:rsid w:val="0E524C63"/>
    <w:rsid w:val="0E526D1E"/>
    <w:rsid w:val="0E652AC5"/>
    <w:rsid w:val="0E82022A"/>
    <w:rsid w:val="0EB214D9"/>
    <w:rsid w:val="0ED30B62"/>
    <w:rsid w:val="0F136F00"/>
    <w:rsid w:val="0F22295F"/>
    <w:rsid w:val="0F3B4094"/>
    <w:rsid w:val="0F5948A1"/>
    <w:rsid w:val="0FED59A3"/>
    <w:rsid w:val="1008458B"/>
    <w:rsid w:val="10190546"/>
    <w:rsid w:val="101A606C"/>
    <w:rsid w:val="10283402"/>
    <w:rsid w:val="103958FB"/>
    <w:rsid w:val="104C7C15"/>
    <w:rsid w:val="10713773"/>
    <w:rsid w:val="10E86C02"/>
    <w:rsid w:val="10EA4C46"/>
    <w:rsid w:val="10ED39E0"/>
    <w:rsid w:val="10F51815"/>
    <w:rsid w:val="11021A7C"/>
    <w:rsid w:val="110977C3"/>
    <w:rsid w:val="11116F88"/>
    <w:rsid w:val="1112327D"/>
    <w:rsid w:val="111B209C"/>
    <w:rsid w:val="114535BD"/>
    <w:rsid w:val="11641C95"/>
    <w:rsid w:val="118332D7"/>
    <w:rsid w:val="11AE18A1"/>
    <w:rsid w:val="11BD13A5"/>
    <w:rsid w:val="11E861A6"/>
    <w:rsid w:val="11F83520"/>
    <w:rsid w:val="121C60CC"/>
    <w:rsid w:val="122B712F"/>
    <w:rsid w:val="12302D61"/>
    <w:rsid w:val="12487C82"/>
    <w:rsid w:val="126B224A"/>
    <w:rsid w:val="126F6B6A"/>
    <w:rsid w:val="12706417"/>
    <w:rsid w:val="12747FB2"/>
    <w:rsid w:val="127D0124"/>
    <w:rsid w:val="127E0B34"/>
    <w:rsid w:val="128D0276"/>
    <w:rsid w:val="12B04C8F"/>
    <w:rsid w:val="12B207DE"/>
    <w:rsid w:val="13103EF7"/>
    <w:rsid w:val="13171183"/>
    <w:rsid w:val="132C019B"/>
    <w:rsid w:val="137A0018"/>
    <w:rsid w:val="137D0DEC"/>
    <w:rsid w:val="13943FC4"/>
    <w:rsid w:val="13BB5261"/>
    <w:rsid w:val="13DA7FEC"/>
    <w:rsid w:val="13EA05A8"/>
    <w:rsid w:val="13F11BD6"/>
    <w:rsid w:val="14100460"/>
    <w:rsid w:val="141014C7"/>
    <w:rsid w:val="143112D2"/>
    <w:rsid w:val="14326EE2"/>
    <w:rsid w:val="1448631D"/>
    <w:rsid w:val="145B4B9E"/>
    <w:rsid w:val="14633C50"/>
    <w:rsid w:val="14687BCE"/>
    <w:rsid w:val="14733D41"/>
    <w:rsid w:val="14AC1563"/>
    <w:rsid w:val="14B57FEC"/>
    <w:rsid w:val="14B7657F"/>
    <w:rsid w:val="14BD513D"/>
    <w:rsid w:val="14C12F5A"/>
    <w:rsid w:val="14D20BD1"/>
    <w:rsid w:val="14FF4901"/>
    <w:rsid w:val="15051CFE"/>
    <w:rsid w:val="15125E28"/>
    <w:rsid w:val="154A40A8"/>
    <w:rsid w:val="155C4236"/>
    <w:rsid w:val="156B5551"/>
    <w:rsid w:val="157B135B"/>
    <w:rsid w:val="159E5049"/>
    <w:rsid w:val="15F71B1B"/>
    <w:rsid w:val="15FA2BC8"/>
    <w:rsid w:val="1616238A"/>
    <w:rsid w:val="16166E00"/>
    <w:rsid w:val="1617643A"/>
    <w:rsid w:val="16336643"/>
    <w:rsid w:val="16435107"/>
    <w:rsid w:val="165C0F52"/>
    <w:rsid w:val="16633A8B"/>
    <w:rsid w:val="16650559"/>
    <w:rsid w:val="16877857"/>
    <w:rsid w:val="16B94831"/>
    <w:rsid w:val="16D42C63"/>
    <w:rsid w:val="16E61BB5"/>
    <w:rsid w:val="16EB2510"/>
    <w:rsid w:val="16EF5BB7"/>
    <w:rsid w:val="16F80247"/>
    <w:rsid w:val="170535D2"/>
    <w:rsid w:val="171F0119"/>
    <w:rsid w:val="172579DE"/>
    <w:rsid w:val="172D39A9"/>
    <w:rsid w:val="17320D57"/>
    <w:rsid w:val="17341D79"/>
    <w:rsid w:val="173704A2"/>
    <w:rsid w:val="17586147"/>
    <w:rsid w:val="17901809"/>
    <w:rsid w:val="17966F17"/>
    <w:rsid w:val="17A032FB"/>
    <w:rsid w:val="17B62B1E"/>
    <w:rsid w:val="17C22223"/>
    <w:rsid w:val="17EB44C6"/>
    <w:rsid w:val="180F3F2C"/>
    <w:rsid w:val="18142B44"/>
    <w:rsid w:val="18307632"/>
    <w:rsid w:val="1835402A"/>
    <w:rsid w:val="183838D1"/>
    <w:rsid w:val="184316F9"/>
    <w:rsid w:val="18470786"/>
    <w:rsid w:val="185A01E2"/>
    <w:rsid w:val="1877562E"/>
    <w:rsid w:val="18820C52"/>
    <w:rsid w:val="188C387F"/>
    <w:rsid w:val="18C80D5B"/>
    <w:rsid w:val="18F05177"/>
    <w:rsid w:val="1903789F"/>
    <w:rsid w:val="191E6BCD"/>
    <w:rsid w:val="193C094E"/>
    <w:rsid w:val="19591D0C"/>
    <w:rsid w:val="19803190"/>
    <w:rsid w:val="198F12B9"/>
    <w:rsid w:val="199045AE"/>
    <w:rsid w:val="19974381"/>
    <w:rsid w:val="19AD151C"/>
    <w:rsid w:val="19C403E2"/>
    <w:rsid w:val="19D345FA"/>
    <w:rsid w:val="19D55C86"/>
    <w:rsid w:val="19DE635C"/>
    <w:rsid w:val="19E73463"/>
    <w:rsid w:val="1A081978"/>
    <w:rsid w:val="1A127D0D"/>
    <w:rsid w:val="1A291608"/>
    <w:rsid w:val="1A367F46"/>
    <w:rsid w:val="1A69473A"/>
    <w:rsid w:val="1A8213DE"/>
    <w:rsid w:val="1A866FEF"/>
    <w:rsid w:val="1AA11B06"/>
    <w:rsid w:val="1AC53A17"/>
    <w:rsid w:val="1AC94716"/>
    <w:rsid w:val="1ACA0E1F"/>
    <w:rsid w:val="1B0E67CD"/>
    <w:rsid w:val="1B0F4269"/>
    <w:rsid w:val="1B1C713C"/>
    <w:rsid w:val="1B373115"/>
    <w:rsid w:val="1B523329"/>
    <w:rsid w:val="1B701236"/>
    <w:rsid w:val="1B766FB8"/>
    <w:rsid w:val="1B7A2DDF"/>
    <w:rsid w:val="1B9428DD"/>
    <w:rsid w:val="1BB306CD"/>
    <w:rsid w:val="1BB40010"/>
    <w:rsid w:val="1BB5521A"/>
    <w:rsid w:val="1BE12A66"/>
    <w:rsid w:val="1BE65DEF"/>
    <w:rsid w:val="1C057BD0"/>
    <w:rsid w:val="1C09595D"/>
    <w:rsid w:val="1C1A24F6"/>
    <w:rsid w:val="1C310F17"/>
    <w:rsid w:val="1C41749B"/>
    <w:rsid w:val="1C4345D0"/>
    <w:rsid w:val="1C4F1DA3"/>
    <w:rsid w:val="1C62609F"/>
    <w:rsid w:val="1C7B4FB1"/>
    <w:rsid w:val="1CAA0809"/>
    <w:rsid w:val="1CAF64B4"/>
    <w:rsid w:val="1CDB00AF"/>
    <w:rsid w:val="1CF856B4"/>
    <w:rsid w:val="1D0B27B6"/>
    <w:rsid w:val="1D127FAE"/>
    <w:rsid w:val="1D185C90"/>
    <w:rsid w:val="1D5E22DD"/>
    <w:rsid w:val="1D873E63"/>
    <w:rsid w:val="1DB2181A"/>
    <w:rsid w:val="1DC52889"/>
    <w:rsid w:val="1DD91315"/>
    <w:rsid w:val="1DE53CB5"/>
    <w:rsid w:val="1E211BF0"/>
    <w:rsid w:val="1E296894"/>
    <w:rsid w:val="1E4160E0"/>
    <w:rsid w:val="1E4946EC"/>
    <w:rsid w:val="1E6C36CA"/>
    <w:rsid w:val="1E8E1153"/>
    <w:rsid w:val="1E9113D7"/>
    <w:rsid w:val="1EA25BAA"/>
    <w:rsid w:val="1EAD3892"/>
    <w:rsid w:val="1EB15DEE"/>
    <w:rsid w:val="1EB44CC5"/>
    <w:rsid w:val="1EDA1FF3"/>
    <w:rsid w:val="1EFA3C38"/>
    <w:rsid w:val="1F0625BA"/>
    <w:rsid w:val="1F065D9E"/>
    <w:rsid w:val="1F2A318B"/>
    <w:rsid w:val="1F51312D"/>
    <w:rsid w:val="1F5570C1"/>
    <w:rsid w:val="1F7D2DEF"/>
    <w:rsid w:val="1F86727A"/>
    <w:rsid w:val="1F8E612F"/>
    <w:rsid w:val="1FF329D5"/>
    <w:rsid w:val="1FF47729"/>
    <w:rsid w:val="1FFE4899"/>
    <w:rsid w:val="20372DA2"/>
    <w:rsid w:val="204B6E41"/>
    <w:rsid w:val="2075292D"/>
    <w:rsid w:val="207574C7"/>
    <w:rsid w:val="20AF3447"/>
    <w:rsid w:val="20BB33A7"/>
    <w:rsid w:val="20F40E9A"/>
    <w:rsid w:val="21002854"/>
    <w:rsid w:val="210C161E"/>
    <w:rsid w:val="212C5BFF"/>
    <w:rsid w:val="21352002"/>
    <w:rsid w:val="213571AA"/>
    <w:rsid w:val="213A7EBB"/>
    <w:rsid w:val="21674E89"/>
    <w:rsid w:val="2169571E"/>
    <w:rsid w:val="216C4E21"/>
    <w:rsid w:val="218E547E"/>
    <w:rsid w:val="21A44904"/>
    <w:rsid w:val="21F91F85"/>
    <w:rsid w:val="22322BC7"/>
    <w:rsid w:val="223C00C4"/>
    <w:rsid w:val="2240464B"/>
    <w:rsid w:val="22B616AD"/>
    <w:rsid w:val="22B76F01"/>
    <w:rsid w:val="22B91715"/>
    <w:rsid w:val="22BC31BB"/>
    <w:rsid w:val="22DD3E77"/>
    <w:rsid w:val="22ED0BEB"/>
    <w:rsid w:val="235715D1"/>
    <w:rsid w:val="237F64BA"/>
    <w:rsid w:val="23A01028"/>
    <w:rsid w:val="23AF50A6"/>
    <w:rsid w:val="23C17137"/>
    <w:rsid w:val="23CB5BA3"/>
    <w:rsid w:val="23FA23D8"/>
    <w:rsid w:val="24053ACF"/>
    <w:rsid w:val="24184152"/>
    <w:rsid w:val="24904464"/>
    <w:rsid w:val="249E6E14"/>
    <w:rsid w:val="24A83EAE"/>
    <w:rsid w:val="24AE0DC0"/>
    <w:rsid w:val="24BB0485"/>
    <w:rsid w:val="24BE4D5C"/>
    <w:rsid w:val="24C06D8A"/>
    <w:rsid w:val="24CF06C7"/>
    <w:rsid w:val="24F05AB0"/>
    <w:rsid w:val="25147436"/>
    <w:rsid w:val="25240784"/>
    <w:rsid w:val="253269B6"/>
    <w:rsid w:val="253D0C2E"/>
    <w:rsid w:val="254B2E8E"/>
    <w:rsid w:val="254C749A"/>
    <w:rsid w:val="255B2F57"/>
    <w:rsid w:val="25710085"/>
    <w:rsid w:val="2580476C"/>
    <w:rsid w:val="259124D5"/>
    <w:rsid w:val="25993EFA"/>
    <w:rsid w:val="259D531E"/>
    <w:rsid w:val="25B577CB"/>
    <w:rsid w:val="25C1713F"/>
    <w:rsid w:val="25D61D38"/>
    <w:rsid w:val="26085B5B"/>
    <w:rsid w:val="262D0A99"/>
    <w:rsid w:val="262D51AF"/>
    <w:rsid w:val="26453A33"/>
    <w:rsid w:val="26793695"/>
    <w:rsid w:val="267B0F30"/>
    <w:rsid w:val="26895FE2"/>
    <w:rsid w:val="26964247"/>
    <w:rsid w:val="26A70A5F"/>
    <w:rsid w:val="26BA7ACA"/>
    <w:rsid w:val="26BD004B"/>
    <w:rsid w:val="26DD1E76"/>
    <w:rsid w:val="26FB7898"/>
    <w:rsid w:val="27201D62"/>
    <w:rsid w:val="27264AD6"/>
    <w:rsid w:val="273677D8"/>
    <w:rsid w:val="27421CD9"/>
    <w:rsid w:val="2752025A"/>
    <w:rsid w:val="276119F8"/>
    <w:rsid w:val="276975B2"/>
    <w:rsid w:val="276D142B"/>
    <w:rsid w:val="276E04CD"/>
    <w:rsid w:val="27745528"/>
    <w:rsid w:val="27D24773"/>
    <w:rsid w:val="27E13DAB"/>
    <w:rsid w:val="283E0826"/>
    <w:rsid w:val="283F26BC"/>
    <w:rsid w:val="285F3130"/>
    <w:rsid w:val="287656A9"/>
    <w:rsid w:val="28856DEA"/>
    <w:rsid w:val="28935C31"/>
    <w:rsid w:val="28AF1916"/>
    <w:rsid w:val="28C36276"/>
    <w:rsid w:val="28D32D10"/>
    <w:rsid w:val="28D77066"/>
    <w:rsid w:val="28DE3491"/>
    <w:rsid w:val="28FD5667"/>
    <w:rsid w:val="29065BB3"/>
    <w:rsid w:val="29520A3C"/>
    <w:rsid w:val="29581063"/>
    <w:rsid w:val="29AA122F"/>
    <w:rsid w:val="29BD5A15"/>
    <w:rsid w:val="29F26020"/>
    <w:rsid w:val="2A0C2A49"/>
    <w:rsid w:val="2A1A022B"/>
    <w:rsid w:val="2A5F0CB9"/>
    <w:rsid w:val="2A5F287C"/>
    <w:rsid w:val="2A685EFA"/>
    <w:rsid w:val="2A887CF2"/>
    <w:rsid w:val="2A895779"/>
    <w:rsid w:val="2A913313"/>
    <w:rsid w:val="2A954815"/>
    <w:rsid w:val="2ABE6DF4"/>
    <w:rsid w:val="2AFA66B8"/>
    <w:rsid w:val="2B1471CE"/>
    <w:rsid w:val="2B1933A5"/>
    <w:rsid w:val="2B4C0A3A"/>
    <w:rsid w:val="2B4D52AF"/>
    <w:rsid w:val="2B7D7783"/>
    <w:rsid w:val="2B7E6E47"/>
    <w:rsid w:val="2B8B4429"/>
    <w:rsid w:val="2B9D1BD3"/>
    <w:rsid w:val="2BA67961"/>
    <w:rsid w:val="2BA94A1C"/>
    <w:rsid w:val="2BDF1DD6"/>
    <w:rsid w:val="2BE47802"/>
    <w:rsid w:val="2C221547"/>
    <w:rsid w:val="2C2B3683"/>
    <w:rsid w:val="2C2C1A2B"/>
    <w:rsid w:val="2C4C13AD"/>
    <w:rsid w:val="2C5C2C5E"/>
    <w:rsid w:val="2C78744F"/>
    <w:rsid w:val="2C8D2CC3"/>
    <w:rsid w:val="2C9961AA"/>
    <w:rsid w:val="2CCB206F"/>
    <w:rsid w:val="2CD16A6A"/>
    <w:rsid w:val="2CD4025C"/>
    <w:rsid w:val="2CD45AC9"/>
    <w:rsid w:val="2CE33AFF"/>
    <w:rsid w:val="2CE64D88"/>
    <w:rsid w:val="2CFB5B08"/>
    <w:rsid w:val="2D376E83"/>
    <w:rsid w:val="2D52184C"/>
    <w:rsid w:val="2D880AB0"/>
    <w:rsid w:val="2DBB4D93"/>
    <w:rsid w:val="2DBD4E3A"/>
    <w:rsid w:val="2DC35F52"/>
    <w:rsid w:val="2DCB177F"/>
    <w:rsid w:val="2DCE060F"/>
    <w:rsid w:val="2DD2692A"/>
    <w:rsid w:val="2DE955A4"/>
    <w:rsid w:val="2DF6387A"/>
    <w:rsid w:val="2E0A65FD"/>
    <w:rsid w:val="2E3D144C"/>
    <w:rsid w:val="2E4C6E72"/>
    <w:rsid w:val="2E552A66"/>
    <w:rsid w:val="2E5A1FFE"/>
    <w:rsid w:val="2E842D85"/>
    <w:rsid w:val="2EAC6B47"/>
    <w:rsid w:val="2EDC4F13"/>
    <w:rsid w:val="2EDE1785"/>
    <w:rsid w:val="2EE70873"/>
    <w:rsid w:val="2F092ADC"/>
    <w:rsid w:val="2F195277"/>
    <w:rsid w:val="2F1C3757"/>
    <w:rsid w:val="2F2410C6"/>
    <w:rsid w:val="2F302FA6"/>
    <w:rsid w:val="2F3258B6"/>
    <w:rsid w:val="2F4B7B98"/>
    <w:rsid w:val="2F4D56BE"/>
    <w:rsid w:val="2F590507"/>
    <w:rsid w:val="2F670849"/>
    <w:rsid w:val="2F6D332C"/>
    <w:rsid w:val="2FE41B89"/>
    <w:rsid w:val="2FF034A9"/>
    <w:rsid w:val="2FFE4C5E"/>
    <w:rsid w:val="30177BBE"/>
    <w:rsid w:val="3028087F"/>
    <w:rsid w:val="30495890"/>
    <w:rsid w:val="304D3ACD"/>
    <w:rsid w:val="305371F2"/>
    <w:rsid w:val="308B2FF5"/>
    <w:rsid w:val="30CB6AC3"/>
    <w:rsid w:val="30D76C74"/>
    <w:rsid w:val="30DC13F0"/>
    <w:rsid w:val="30DF2C8E"/>
    <w:rsid w:val="30DF4A3C"/>
    <w:rsid w:val="30F960DF"/>
    <w:rsid w:val="31141CD2"/>
    <w:rsid w:val="31175F84"/>
    <w:rsid w:val="311A5C23"/>
    <w:rsid w:val="314E6F3A"/>
    <w:rsid w:val="31871181"/>
    <w:rsid w:val="31880508"/>
    <w:rsid w:val="318D5235"/>
    <w:rsid w:val="319D4C6E"/>
    <w:rsid w:val="31A15090"/>
    <w:rsid w:val="31AA329C"/>
    <w:rsid w:val="322B199C"/>
    <w:rsid w:val="322E7A29"/>
    <w:rsid w:val="3280797D"/>
    <w:rsid w:val="32A42095"/>
    <w:rsid w:val="32C9777E"/>
    <w:rsid w:val="32CF1EC0"/>
    <w:rsid w:val="32E11F1C"/>
    <w:rsid w:val="32E41FF1"/>
    <w:rsid w:val="331A1B21"/>
    <w:rsid w:val="33251397"/>
    <w:rsid w:val="333C43BC"/>
    <w:rsid w:val="33412663"/>
    <w:rsid w:val="33705E1F"/>
    <w:rsid w:val="339F273E"/>
    <w:rsid w:val="33A23C92"/>
    <w:rsid w:val="33AF0BEC"/>
    <w:rsid w:val="33C75C31"/>
    <w:rsid w:val="33F474BA"/>
    <w:rsid w:val="34504586"/>
    <w:rsid w:val="3461586D"/>
    <w:rsid w:val="348222AE"/>
    <w:rsid w:val="348D3030"/>
    <w:rsid w:val="34BB756E"/>
    <w:rsid w:val="34BC163A"/>
    <w:rsid w:val="34DB4661"/>
    <w:rsid w:val="34E3062E"/>
    <w:rsid w:val="34E44001"/>
    <w:rsid w:val="351729F7"/>
    <w:rsid w:val="353667BB"/>
    <w:rsid w:val="353C420B"/>
    <w:rsid w:val="35493093"/>
    <w:rsid w:val="35690D78"/>
    <w:rsid w:val="358E0106"/>
    <w:rsid w:val="35CF46CC"/>
    <w:rsid w:val="35E1140C"/>
    <w:rsid w:val="35E816ED"/>
    <w:rsid w:val="35F72828"/>
    <w:rsid w:val="36050AA1"/>
    <w:rsid w:val="361013B4"/>
    <w:rsid w:val="363661D5"/>
    <w:rsid w:val="365E4655"/>
    <w:rsid w:val="36855E10"/>
    <w:rsid w:val="368F0CB2"/>
    <w:rsid w:val="36987B67"/>
    <w:rsid w:val="36AD48B5"/>
    <w:rsid w:val="36B10C29"/>
    <w:rsid w:val="36B50719"/>
    <w:rsid w:val="36B92101"/>
    <w:rsid w:val="36C624AE"/>
    <w:rsid w:val="36FD0F01"/>
    <w:rsid w:val="36FD1924"/>
    <w:rsid w:val="36FF276A"/>
    <w:rsid w:val="36FF3742"/>
    <w:rsid w:val="3712124C"/>
    <w:rsid w:val="37312F46"/>
    <w:rsid w:val="373D1B65"/>
    <w:rsid w:val="37460D68"/>
    <w:rsid w:val="374E20B4"/>
    <w:rsid w:val="37645C9B"/>
    <w:rsid w:val="377B7D8F"/>
    <w:rsid w:val="378A79BC"/>
    <w:rsid w:val="37CD55EE"/>
    <w:rsid w:val="380F5C07"/>
    <w:rsid w:val="381D06EE"/>
    <w:rsid w:val="385505E5"/>
    <w:rsid w:val="38576B25"/>
    <w:rsid w:val="3865122D"/>
    <w:rsid w:val="38913B26"/>
    <w:rsid w:val="38947DA8"/>
    <w:rsid w:val="38A51606"/>
    <w:rsid w:val="38AC025A"/>
    <w:rsid w:val="38D96215"/>
    <w:rsid w:val="38DD5D05"/>
    <w:rsid w:val="38F13A6D"/>
    <w:rsid w:val="38F80D91"/>
    <w:rsid w:val="391A4397"/>
    <w:rsid w:val="3923323B"/>
    <w:rsid w:val="392A318C"/>
    <w:rsid w:val="39454843"/>
    <w:rsid w:val="39736669"/>
    <w:rsid w:val="39A8054D"/>
    <w:rsid w:val="39A95845"/>
    <w:rsid w:val="39BB5C70"/>
    <w:rsid w:val="39C26CA4"/>
    <w:rsid w:val="39C35E6F"/>
    <w:rsid w:val="39C80763"/>
    <w:rsid w:val="39CA16D6"/>
    <w:rsid w:val="39EE5CF0"/>
    <w:rsid w:val="3A276927"/>
    <w:rsid w:val="3A296D28"/>
    <w:rsid w:val="3A341025"/>
    <w:rsid w:val="3A4C4AAD"/>
    <w:rsid w:val="3A4F49E1"/>
    <w:rsid w:val="3A4F67A6"/>
    <w:rsid w:val="3A6342D0"/>
    <w:rsid w:val="3A696247"/>
    <w:rsid w:val="3AA43A2C"/>
    <w:rsid w:val="3ABD64EA"/>
    <w:rsid w:val="3AC777D8"/>
    <w:rsid w:val="3AD23D56"/>
    <w:rsid w:val="3AEF7F72"/>
    <w:rsid w:val="3B0E6E8B"/>
    <w:rsid w:val="3B294D7C"/>
    <w:rsid w:val="3B2A0FAA"/>
    <w:rsid w:val="3B3E2069"/>
    <w:rsid w:val="3B4F7C09"/>
    <w:rsid w:val="3B51341F"/>
    <w:rsid w:val="3B5174DF"/>
    <w:rsid w:val="3B7979B8"/>
    <w:rsid w:val="3B920E0E"/>
    <w:rsid w:val="3BA5573D"/>
    <w:rsid w:val="3BA743A8"/>
    <w:rsid w:val="3BC92571"/>
    <w:rsid w:val="3BE450AA"/>
    <w:rsid w:val="3C080519"/>
    <w:rsid w:val="3C2459F9"/>
    <w:rsid w:val="3C312660"/>
    <w:rsid w:val="3C4073E3"/>
    <w:rsid w:val="3C7249B6"/>
    <w:rsid w:val="3C73683F"/>
    <w:rsid w:val="3CAD45E4"/>
    <w:rsid w:val="3CD84C82"/>
    <w:rsid w:val="3D1102E9"/>
    <w:rsid w:val="3D211A92"/>
    <w:rsid w:val="3D31661F"/>
    <w:rsid w:val="3D385C00"/>
    <w:rsid w:val="3D4102B6"/>
    <w:rsid w:val="3D4C5207"/>
    <w:rsid w:val="3D69400B"/>
    <w:rsid w:val="3D813C05"/>
    <w:rsid w:val="3D856813"/>
    <w:rsid w:val="3D874664"/>
    <w:rsid w:val="3D88190B"/>
    <w:rsid w:val="3D9045B5"/>
    <w:rsid w:val="3DC60709"/>
    <w:rsid w:val="3DF71593"/>
    <w:rsid w:val="3E1273D0"/>
    <w:rsid w:val="3E4B21C4"/>
    <w:rsid w:val="3E5801B1"/>
    <w:rsid w:val="3E650094"/>
    <w:rsid w:val="3E741759"/>
    <w:rsid w:val="3E784AEC"/>
    <w:rsid w:val="3E817133"/>
    <w:rsid w:val="3E8310FD"/>
    <w:rsid w:val="3EAF4DE8"/>
    <w:rsid w:val="3EEE6A52"/>
    <w:rsid w:val="3EF32D92"/>
    <w:rsid w:val="3F066A65"/>
    <w:rsid w:val="3F1A5D9D"/>
    <w:rsid w:val="3F32452F"/>
    <w:rsid w:val="3F394D68"/>
    <w:rsid w:val="3F485E99"/>
    <w:rsid w:val="3F5369C5"/>
    <w:rsid w:val="3F6A5E19"/>
    <w:rsid w:val="3F6F1681"/>
    <w:rsid w:val="3F8E3C85"/>
    <w:rsid w:val="3F9335C1"/>
    <w:rsid w:val="3FB63EAA"/>
    <w:rsid w:val="3FC347BE"/>
    <w:rsid w:val="3FD4133A"/>
    <w:rsid w:val="3FD80FD4"/>
    <w:rsid w:val="3FF52DBA"/>
    <w:rsid w:val="3FFC2066"/>
    <w:rsid w:val="40140539"/>
    <w:rsid w:val="402A3E6D"/>
    <w:rsid w:val="404708C6"/>
    <w:rsid w:val="404A2CE8"/>
    <w:rsid w:val="40512269"/>
    <w:rsid w:val="40552625"/>
    <w:rsid w:val="406D3E12"/>
    <w:rsid w:val="40774C91"/>
    <w:rsid w:val="40792EDA"/>
    <w:rsid w:val="40A315E2"/>
    <w:rsid w:val="40B04005"/>
    <w:rsid w:val="40DA41C0"/>
    <w:rsid w:val="4100471D"/>
    <w:rsid w:val="41015482"/>
    <w:rsid w:val="4105401E"/>
    <w:rsid w:val="413907D9"/>
    <w:rsid w:val="414A68F0"/>
    <w:rsid w:val="4162149D"/>
    <w:rsid w:val="41632B09"/>
    <w:rsid w:val="419051D7"/>
    <w:rsid w:val="41B46F4C"/>
    <w:rsid w:val="41B6661A"/>
    <w:rsid w:val="41E24282"/>
    <w:rsid w:val="41E76CD6"/>
    <w:rsid w:val="42014B04"/>
    <w:rsid w:val="42150760"/>
    <w:rsid w:val="42494D08"/>
    <w:rsid w:val="425F59DD"/>
    <w:rsid w:val="427B49AA"/>
    <w:rsid w:val="42963344"/>
    <w:rsid w:val="42A258CA"/>
    <w:rsid w:val="42B0684E"/>
    <w:rsid w:val="42D87FBC"/>
    <w:rsid w:val="42DB3E9B"/>
    <w:rsid w:val="42F43ECD"/>
    <w:rsid w:val="43045686"/>
    <w:rsid w:val="430E7CDA"/>
    <w:rsid w:val="431274CF"/>
    <w:rsid w:val="43184D30"/>
    <w:rsid w:val="43271E38"/>
    <w:rsid w:val="43351ADA"/>
    <w:rsid w:val="435D1AE3"/>
    <w:rsid w:val="43A930FF"/>
    <w:rsid w:val="43B15A82"/>
    <w:rsid w:val="43CF6B92"/>
    <w:rsid w:val="43D07B0F"/>
    <w:rsid w:val="43E77FD2"/>
    <w:rsid w:val="44197E71"/>
    <w:rsid w:val="441F5C81"/>
    <w:rsid w:val="442411A9"/>
    <w:rsid w:val="4465706B"/>
    <w:rsid w:val="44A36A71"/>
    <w:rsid w:val="44BF7496"/>
    <w:rsid w:val="44C5660C"/>
    <w:rsid w:val="44CA3E60"/>
    <w:rsid w:val="44DD1E87"/>
    <w:rsid w:val="44F67674"/>
    <w:rsid w:val="453F429A"/>
    <w:rsid w:val="45916A22"/>
    <w:rsid w:val="45A30251"/>
    <w:rsid w:val="45B62B7F"/>
    <w:rsid w:val="45F67075"/>
    <w:rsid w:val="45F9503F"/>
    <w:rsid w:val="460074D7"/>
    <w:rsid w:val="4601631D"/>
    <w:rsid w:val="46156655"/>
    <w:rsid w:val="461D1CB0"/>
    <w:rsid w:val="46410D35"/>
    <w:rsid w:val="46712183"/>
    <w:rsid w:val="46913477"/>
    <w:rsid w:val="469C1FB7"/>
    <w:rsid w:val="469F4F9C"/>
    <w:rsid w:val="46B37F45"/>
    <w:rsid w:val="46C7315E"/>
    <w:rsid w:val="46E717E5"/>
    <w:rsid w:val="46E841F3"/>
    <w:rsid w:val="46F5091B"/>
    <w:rsid w:val="46FA1DD1"/>
    <w:rsid w:val="47044E98"/>
    <w:rsid w:val="470A74D1"/>
    <w:rsid w:val="470E124A"/>
    <w:rsid w:val="47161AFE"/>
    <w:rsid w:val="4723712B"/>
    <w:rsid w:val="47452DBF"/>
    <w:rsid w:val="474867B9"/>
    <w:rsid w:val="47490A0A"/>
    <w:rsid w:val="474F4272"/>
    <w:rsid w:val="47606B93"/>
    <w:rsid w:val="476561F7"/>
    <w:rsid w:val="47797C67"/>
    <w:rsid w:val="47C27897"/>
    <w:rsid w:val="47EC4CD1"/>
    <w:rsid w:val="483250E7"/>
    <w:rsid w:val="483321EC"/>
    <w:rsid w:val="483E2043"/>
    <w:rsid w:val="48531B40"/>
    <w:rsid w:val="48755A36"/>
    <w:rsid w:val="489108BA"/>
    <w:rsid w:val="48965917"/>
    <w:rsid w:val="489A11DF"/>
    <w:rsid w:val="48A37F64"/>
    <w:rsid w:val="48A565CB"/>
    <w:rsid w:val="48BD04F4"/>
    <w:rsid w:val="48C4268C"/>
    <w:rsid w:val="48F50E49"/>
    <w:rsid w:val="48FF3564"/>
    <w:rsid w:val="49180A1A"/>
    <w:rsid w:val="492B03C7"/>
    <w:rsid w:val="49470F79"/>
    <w:rsid w:val="494B74E7"/>
    <w:rsid w:val="49535B70"/>
    <w:rsid w:val="49565A11"/>
    <w:rsid w:val="49997A45"/>
    <w:rsid w:val="499F4DE4"/>
    <w:rsid w:val="49AC37B1"/>
    <w:rsid w:val="49CB7B10"/>
    <w:rsid w:val="49D22F38"/>
    <w:rsid w:val="49E432C1"/>
    <w:rsid w:val="4A235B57"/>
    <w:rsid w:val="4A4977A0"/>
    <w:rsid w:val="4A54394D"/>
    <w:rsid w:val="4A851D59"/>
    <w:rsid w:val="4AAA61F4"/>
    <w:rsid w:val="4AB924A6"/>
    <w:rsid w:val="4ABD3CDB"/>
    <w:rsid w:val="4AC11B60"/>
    <w:rsid w:val="4AFC3A99"/>
    <w:rsid w:val="4B052E99"/>
    <w:rsid w:val="4B096283"/>
    <w:rsid w:val="4B13425A"/>
    <w:rsid w:val="4B305936"/>
    <w:rsid w:val="4B3B01F7"/>
    <w:rsid w:val="4B5A4F93"/>
    <w:rsid w:val="4B5E0F27"/>
    <w:rsid w:val="4B6D116B"/>
    <w:rsid w:val="4B7224AB"/>
    <w:rsid w:val="4B9B3BFA"/>
    <w:rsid w:val="4BB548C0"/>
    <w:rsid w:val="4BC01DCD"/>
    <w:rsid w:val="4BD42748"/>
    <w:rsid w:val="4BE566B2"/>
    <w:rsid w:val="4BE716CC"/>
    <w:rsid w:val="4BEF02BB"/>
    <w:rsid w:val="4C051897"/>
    <w:rsid w:val="4C0A0767"/>
    <w:rsid w:val="4C1C011A"/>
    <w:rsid w:val="4C8177CF"/>
    <w:rsid w:val="4CB01C13"/>
    <w:rsid w:val="4CBA4EBC"/>
    <w:rsid w:val="4CDE4F94"/>
    <w:rsid w:val="4CE23492"/>
    <w:rsid w:val="4CE92A73"/>
    <w:rsid w:val="4D0D5C8D"/>
    <w:rsid w:val="4D0E072B"/>
    <w:rsid w:val="4D255A89"/>
    <w:rsid w:val="4D607942"/>
    <w:rsid w:val="4D85232C"/>
    <w:rsid w:val="4DA44C16"/>
    <w:rsid w:val="4DAE165B"/>
    <w:rsid w:val="4DAE68CB"/>
    <w:rsid w:val="4DB73152"/>
    <w:rsid w:val="4DCF38C0"/>
    <w:rsid w:val="4DDA23BB"/>
    <w:rsid w:val="4DF004C4"/>
    <w:rsid w:val="4E1C4782"/>
    <w:rsid w:val="4E2D6CE2"/>
    <w:rsid w:val="4E41501E"/>
    <w:rsid w:val="4E5552C4"/>
    <w:rsid w:val="4E671319"/>
    <w:rsid w:val="4E9702AC"/>
    <w:rsid w:val="4EA11660"/>
    <w:rsid w:val="4EDE412D"/>
    <w:rsid w:val="4EE27864"/>
    <w:rsid w:val="4EE47719"/>
    <w:rsid w:val="4F0771E0"/>
    <w:rsid w:val="4F0F42E7"/>
    <w:rsid w:val="4F1B2C8C"/>
    <w:rsid w:val="4F1F27CB"/>
    <w:rsid w:val="4F29332A"/>
    <w:rsid w:val="4F604B42"/>
    <w:rsid w:val="4F834E0C"/>
    <w:rsid w:val="4F9842DC"/>
    <w:rsid w:val="4FA70208"/>
    <w:rsid w:val="4FAF1422"/>
    <w:rsid w:val="4FB33151"/>
    <w:rsid w:val="4FB520CE"/>
    <w:rsid w:val="4FB6225D"/>
    <w:rsid w:val="4FB74E4D"/>
    <w:rsid w:val="4FBC446F"/>
    <w:rsid w:val="4FCE2A71"/>
    <w:rsid w:val="5015592D"/>
    <w:rsid w:val="50393E82"/>
    <w:rsid w:val="504D3319"/>
    <w:rsid w:val="50564E78"/>
    <w:rsid w:val="507B2CC5"/>
    <w:rsid w:val="508E0C32"/>
    <w:rsid w:val="50A36325"/>
    <w:rsid w:val="50B71F0B"/>
    <w:rsid w:val="50B94892"/>
    <w:rsid w:val="50C726C5"/>
    <w:rsid w:val="50E043C0"/>
    <w:rsid w:val="51053BF3"/>
    <w:rsid w:val="511D36C2"/>
    <w:rsid w:val="51357696"/>
    <w:rsid w:val="514559E4"/>
    <w:rsid w:val="516015D3"/>
    <w:rsid w:val="516954EA"/>
    <w:rsid w:val="51731E48"/>
    <w:rsid w:val="51850890"/>
    <w:rsid w:val="518F4106"/>
    <w:rsid w:val="51A47B70"/>
    <w:rsid w:val="51C6305E"/>
    <w:rsid w:val="51FF6894"/>
    <w:rsid w:val="52214472"/>
    <w:rsid w:val="522D6F59"/>
    <w:rsid w:val="5235115E"/>
    <w:rsid w:val="526D37FE"/>
    <w:rsid w:val="52833A3A"/>
    <w:rsid w:val="52837B73"/>
    <w:rsid w:val="52B01B7D"/>
    <w:rsid w:val="52DA6152"/>
    <w:rsid w:val="52EF4B5B"/>
    <w:rsid w:val="52F61A46"/>
    <w:rsid w:val="53087A18"/>
    <w:rsid w:val="53220A8C"/>
    <w:rsid w:val="53267CAD"/>
    <w:rsid w:val="53313F04"/>
    <w:rsid w:val="5360631A"/>
    <w:rsid w:val="536A09D1"/>
    <w:rsid w:val="5382777D"/>
    <w:rsid w:val="53844FCF"/>
    <w:rsid w:val="538C5511"/>
    <w:rsid w:val="53F21610"/>
    <w:rsid w:val="53F23969"/>
    <w:rsid w:val="53FE1E11"/>
    <w:rsid w:val="5406215C"/>
    <w:rsid w:val="541E78D9"/>
    <w:rsid w:val="542D21D9"/>
    <w:rsid w:val="542F4543"/>
    <w:rsid w:val="54497D93"/>
    <w:rsid w:val="547C04BF"/>
    <w:rsid w:val="547F7922"/>
    <w:rsid w:val="54813591"/>
    <w:rsid w:val="5483138F"/>
    <w:rsid w:val="54C3651B"/>
    <w:rsid w:val="54D8295A"/>
    <w:rsid w:val="54F067AF"/>
    <w:rsid w:val="550325C9"/>
    <w:rsid w:val="551F233A"/>
    <w:rsid w:val="55335652"/>
    <w:rsid w:val="55697977"/>
    <w:rsid w:val="556C75FD"/>
    <w:rsid w:val="557C0063"/>
    <w:rsid w:val="55B65945"/>
    <w:rsid w:val="561B739D"/>
    <w:rsid w:val="566B44F9"/>
    <w:rsid w:val="569A2918"/>
    <w:rsid w:val="56CE4A87"/>
    <w:rsid w:val="56E1798D"/>
    <w:rsid w:val="56E96D0D"/>
    <w:rsid w:val="572733C5"/>
    <w:rsid w:val="573C3DC9"/>
    <w:rsid w:val="57435475"/>
    <w:rsid w:val="575116E6"/>
    <w:rsid w:val="57637333"/>
    <w:rsid w:val="576E3ADD"/>
    <w:rsid w:val="578A4715"/>
    <w:rsid w:val="57AE6D93"/>
    <w:rsid w:val="57C65681"/>
    <w:rsid w:val="57E664A3"/>
    <w:rsid w:val="57EA3B43"/>
    <w:rsid w:val="58123872"/>
    <w:rsid w:val="585369D4"/>
    <w:rsid w:val="58736E3D"/>
    <w:rsid w:val="587965EA"/>
    <w:rsid w:val="5886386C"/>
    <w:rsid w:val="589539B3"/>
    <w:rsid w:val="58994BE9"/>
    <w:rsid w:val="58B04A27"/>
    <w:rsid w:val="58C47EF0"/>
    <w:rsid w:val="58DD210E"/>
    <w:rsid w:val="58E6255C"/>
    <w:rsid w:val="591F5596"/>
    <w:rsid w:val="593B074D"/>
    <w:rsid w:val="595B41EB"/>
    <w:rsid w:val="595D3A01"/>
    <w:rsid w:val="597933D0"/>
    <w:rsid w:val="59C014FD"/>
    <w:rsid w:val="59D02528"/>
    <w:rsid w:val="59E50152"/>
    <w:rsid w:val="59E96DB1"/>
    <w:rsid w:val="59F53829"/>
    <w:rsid w:val="5A2813B5"/>
    <w:rsid w:val="5A4A633C"/>
    <w:rsid w:val="5A5221E9"/>
    <w:rsid w:val="5A5277D0"/>
    <w:rsid w:val="5A5365AD"/>
    <w:rsid w:val="5A5C2E63"/>
    <w:rsid w:val="5A62692D"/>
    <w:rsid w:val="5A6C4824"/>
    <w:rsid w:val="5AA858A6"/>
    <w:rsid w:val="5AAB580B"/>
    <w:rsid w:val="5AAE0E58"/>
    <w:rsid w:val="5AB64E01"/>
    <w:rsid w:val="5AB7294A"/>
    <w:rsid w:val="5ABF1E48"/>
    <w:rsid w:val="5AF32D0E"/>
    <w:rsid w:val="5AF820D3"/>
    <w:rsid w:val="5B2443D6"/>
    <w:rsid w:val="5B2776DB"/>
    <w:rsid w:val="5B2F7DF4"/>
    <w:rsid w:val="5B465534"/>
    <w:rsid w:val="5B4C14A4"/>
    <w:rsid w:val="5B4D347F"/>
    <w:rsid w:val="5B4F3703"/>
    <w:rsid w:val="5B7237C3"/>
    <w:rsid w:val="5B8B5273"/>
    <w:rsid w:val="5B8D4150"/>
    <w:rsid w:val="5B952655"/>
    <w:rsid w:val="5BCB36A0"/>
    <w:rsid w:val="5BD26DC8"/>
    <w:rsid w:val="5BD46AE9"/>
    <w:rsid w:val="5BD9388B"/>
    <w:rsid w:val="5BFD2097"/>
    <w:rsid w:val="5C1530C9"/>
    <w:rsid w:val="5C1E5D13"/>
    <w:rsid w:val="5C3F727D"/>
    <w:rsid w:val="5C4B6B03"/>
    <w:rsid w:val="5C74009B"/>
    <w:rsid w:val="5C78171D"/>
    <w:rsid w:val="5C844709"/>
    <w:rsid w:val="5C8F147F"/>
    <w:rsid w:val="5C9B0BD5"/>
    <w:rsid w:val="5C9C18B0"/>
    <w:rsid w:val="5CA249EC"/>
    <w:rsid w:val="5CAE15E3"/>
    <w:rsid w:val="5CBD7356"/>
    <w:rsid w:val="5CD41AAD"/>
    <w:rsid w:val="5CDE4C9C"/>
    <w:rsid w:val="5CEB13BF"/>
    <w:rsid w:val="5D094A6B"/>
    <w:rsid w:val="5D363F59"/>
    <w:rsid w:val="5D406DE2"/>
    <w:rsid w:val="5D794026"/>
    <w:rsid w:val="5D79574D"/>
    <w:rsid w:val="5D9407D9"/>
    <w:rsid w:val="5D9965F4"/>
    <w:rsid w:val="5DB708E0"/>
    <w:rsid w:val="5DC61DF5"/>
    <w:rsid w:val="5DE36D9A"/>
    <w:rsid w:val="5DE66AAE"/>
    <w:rsid w:val="5DE93185"/>
    <w:rsid w:val="5DEA03F9"/>
    <w:rsid w:val="5DED6487"/>
    <w:rsid w:val="5DFE3EA4"/>
    <w:rsid w:val="5DFE5341"/>
    <w:rsid w:val="5DFF280D"/>
    <w:rsid w:val="5E004D2C"/>
    <w:rsid w:val="5E092458"/>
    <w:rsid w:val="5E49515E"/>
    <w:rsid w:val="5E5E5AD6"/>
    <w:rsid w:val="5E611A65"/>
    <w:rsid w:val="5E9709D8"/>
    <w:rsid w:val="5EBC5719"/>
    <w:rsid w:val="5EC055C6"/>
    <w:rsid w:val="5ED02A2C"/>
    <w:rsid w:val="5ED03A93"/>
    <w:rsid w:val="5EFA2EFC"/>
    <w:rsid w:val="5F1B37D5"/>
    <w:rsid w:val="5F2C785A"/>
    <w:rsid w:val="5F567A52"/>
    <w:rsid w:val="5F6C12F1"/>
    <w:rsid w:val="5F8E3724"/>
    <w:rsid w:val="5F993F77"/>
    <w:rsid w:val="5FBF5EDA"/>
    <w:rsid w:val="5FCD3683"/>
    <w:rsid w:val="5FD365E5"/>
    <w:rsid w:val="60040827"/>
    <w:rsid w:val="602E6D04"/>
    <w:rsid w:val="60326B7B"/>
    <w:rsid w:val="603D5158"/>
    <w:rsid w:val="603D641C"/>
    <w:rsid w:val="605943B4"/>
    <w:rsid w:val="605B55DE"/>
    <w:rsid w:val="605D2EC0"/>
    <w:rsid w:val="608748E2"/>
    <w:rsid w:val="609D5BF6"/>
    <w:rsid w:val="60A3343E"/>
    <w:rsid w:val="60BD1DF5"/>
    <w:rsid w:val="60D64C64"/>
    <w:rsid w:val="60DA0BF8"/>
    <w:rsid w:val="614378DA"/>
    <w:rsid w:val="61475B62"/>
    <w:rsid w:val="614B38A4"/>
    <w:rsid w:val="615F02B8"/>
    <w:rsid w:val="616710AC"/>
    <w:rsid w:val="617F4A66"/>
    <w:rsid w:val="61B50F59"/>
    <w:rsid w:val="61BF7588"/>
    <w:rsid w:val="61E27730"/>
    <w:rsid w:val="62195C38"/>
    <w:rsid w:val="62294BE7"/>
    <w:rsid w:val="623C4F9B"/>
    <w:rsid w:val="623E047D"/>
    <w:rsid w:val="62456545"/>
    <w:rsid w:val="629A4EFB"/>
    <w:rsid w:val="62D41677"/>
    <w:rsid w:val="62E06520"/>
    <w:rsid w:val="63026DF8"/>
    <w:rsid w:val="63064468"/>
    <w:rsid w:val="630D5AEA"/>
    <w:rsid w:val="633A7AAD"/>
    <w:rsid w:val="635F3637"/>
    <w:rsid w:val="636D2535"/>
    <w:rsid w:val="6376620E"/>
    <w:rsid w:val="638C16E4"/>
    <w:rsid w:val="639130C5"/>
    <w:rsid w:val="63932BF6"/>
    <w:rsid w:val="639B133D"/>
    <w:rsid w:val="63A47EED"/>
    <w:rsid w:val="63CE7C12"/>
    <w:rsid w:val="63F2405B"/>
    <w:rsid w:val="63FD6001"/>
    <w:rsid w:val="641702FF"/>
    <w:rsid w:val="641E02AD"/>
    <w:rsid w:val="644D678D"/>
    <w:rsid w:val="645E569D"/>
    <w:rsid w:val="646B3A43"/>
    <w:rsid w:val="647563B8"/>
    <w:rsid w:val="648F1CFA"/>
    <w:rsid w:val="64C46673"/>
    <w:rsid w:val="64D26CC1"/>
    <w:rsid w:val="64EF7066"/>
    <w:rsid w:val="64F70CF3"/>
    <w:rsid w:val="650A168A"/>
    <w:rsid w:val="651A4ABD"/>
    <w:rsid w:val="65404DA2"/>
    <w:rsid w:val="654A470C"/>
    <w:rsid w:val="65543E02"/>
    <w:rsid w:val="6578309D"/>
    <w:rsid w:val="658D7658"/>
    <w:rsid w:val="65A35A33"/>
    <w:rsid w:val="65AC2438"/>
    <w:rsid w:val="65D11106"/>
    <w:rsid w:val="65F10A49"/>
    <w:rsid w:val="65FC7F22"/>
    <w:rsid w:val="66236C76"/>
    <w:rsid w:val="66252916"/>
    <w:rsid w:val="664E7D0E"/>
    <w:rsid w:val="6663343E"/>
    <w:rsid w:val="66694FCF"/>
    <w:rsid w:val="666A7424"/>
    <w:rsid w:val="667A4675"/>
    <w:rsid w:val="66890F14"/>
    <w:rsid w:val="669929BC"/>
    <w:rsid w:val="66A852F5"/>
    <w:rsid w:val="66D103A8"/>
    <w:rsid w:val="66E60A07"/>
    <w:rsid w:val="66E64FEB"/>
    <w:rsid w:val="674633FE"/>
    <w:rsid w:val="67515045"/>
    <w:rsid w:val="675F0860"/>
    <w:rsid w:val="675F1E54"/>
    <w:rsid w:val="6775532B"/>
    <w:rsid w:val="67760F4F"/>
    <w:rsid w:val="677C449A"/>
    <w:rsid w:val="678135B8"/>
    <w:rsid w:val="67824A73"/>
    <w:rsid w:val="678F62EE"/>
    <w:rsid w:val="67BC07C3"/>
    <w:rsid w:val="67D16185"/>
    <w:rsid w:val="67FA3DD0"/>
    <w:rsid w:val="682A2E8F"/>
    <w:rsid w:val="68445049"/>
    <w:rsid w:val="685A5C7A"/>
    <w:rsid w:val="686D103D"/>
    <w:rsid w:val="688E1B8B"/>
    <w:rsid w:val="68E649B6"/>
    <w:rsid w:val="68E96C4B"/>
    <w:rsid w:val="68F74404"/>
    <w:rsid w:val="69417EED"/>
    <w:rsid w:val="6945690F"/>
    <w:rsid w:val="694B48D3"/>
    <w:rsid w:val="69590003"/>
    <w:rsid w:val="696C40C9"/>
    <w:rsid w:val="69913E1E"/>
    <w:rsid w:val="699F4C46"/>
    <w:rsid w:val="69A46D16"/>
    <w:rsid w:val="69C00342"/>
    <w:rsid w:val="69EA7883"/>
    <w:rsid w:val="69F0323B"/>
    <w:rsid w:val="6A0415FE"/>
    <w:rsid w:val="6A071A31"/>
    <w:rsid w:val="6A255CDC"/>
    <w:rsid w:val="6A2D100B"/>
    <w:rsid w:val="6A535ACC"/>
    <w:rsid w:val="6A6E0279"/>
    <w:rsid w:val="6A784EEB"/>
    <w:rsid w:val="6A911F2B"/>
    <w:rsid w:val="6A9A5B6B"/>
    <w:rsid w:val="6AAB7162"/>
    <w:rsid w:val="6AB82292"/>
    <w:rsid w:val="6AC41DCA"/>
    <w:rsid w:val="6AD045C0"/>
    <w:rsid w:val="6AF35CF4"/>
    <w:rsid w:val="6AF37A21"/>
    <w:rsid w:val="6AFD3AEE"/>
    <w:rsid w:val="6B0A1EDA"/>
    <w:rsid w:val="6B0B768B"/>
    <w:rsid w:val="6B340F05"/>
    <w:rsid w:val="6B363B99"/>
    <w:rsid w:val="6B421874"/>
    <w:rsid w:val="6B5D6BE3"/>
    <w:rsid w:val="6B877EFD"/>
    <w:rsid w:val="6B8F25DF"/>
    <w:rsid w:val="6BB46A94"/>
    <w:rsid w:val="6BB5049A"/>
    <w:rsid w:val="6BC54253"/>
    <w:rsid w:val="6BD558A4"/>
    <w:rsid w:val="6BE008DA"/>
    <w:rsid w:val="6BF6265F"/>
    <w:rsid w:val="6BF67767"/>
    <w:rsid w:val="6BF96149"/>
    <w:rsid w:val="6C125595"/>
    <w:rsid w:val="6C151B6B"/>
    <w:rsid w:val="6C292A34"/>
    <w:rsid w:val="6C385E0F"/>
    <w:rsid w:val="6C3A4C95"/>
    <w:rsid w:val="6C4076DB"/>
    <w:rsid w:val="6C417D7E"/>
    <w:rsid w:val="6C6B4119"/>
    <w:rsid w:val="6C6B6BA9"/>
    <w:rsid w:val="6C6E179B"/>
    <w:rsid w:val="6C7C7008"/>
    <w:rsid w:val="6C8643C6"/>
    <w:rsid w:val="6C9A25F9"/>
    <w:rsid w:val="6C9F7A56"/>
    <w:rsid w:val="6CA363A7"/>
    <w:rsid w:val="6CA53C7B"/>
    <w:rsid w:val="6CCF432B"/>
    <w:rsid w:val="6CD920E2"/>
    <w:rsid w:val="6D113D91"/>
    <w:rsid w:val="6D116B25"/>
    <w:rsid w:val="6D1E08A2"/>
    <w:rsid w:val="6D1E78C6"/>
    <w:rsid w:val="6D1F49BB"/>
    <w:rsid w:val="6D282CEC"/>
    <w:rsid w:val="6D3E161D"/>
    <w:rsid w:val="6D404CD5"/>
    <w:rsid w:val="6D6636EA"/>
    <w:rsid w:val="6D772F7F"/>
    <w:rsid w:val="6D986D98"/>
    <w:rsid w:val="6D9A281E"/>
    <w:rsid w:val="6DAD1663"/>
    <w:rsid w:val="6DDB64CE"/>
    <w:rsid w:val="6DF44AC8"/>
    <w:rsid w:val="6DFF3A4C"/>
    <w:rsid w:val="6E096679"/>
    <w:rsid w:val="6E0B4179"/>
    <w:rsid w:val="6E162B44"/>
    <w:rsid w:val="6E20699B"/>
    <w:rsid w:val="6E3B1639"/>
    <w:rsid w:val="6E673F6F"/>
    <w:rsid w:val="6E7070FA"/>
    <w:rsid w:val="6E9452AC"/>
    <w:rsid w:val="6EA5707A"/>
    <w:rsid w:val="6ECA1E1E"/>
    <w:rsid w:val="6ED67DC4"/>
    <w:rsid w:val="6EED60D3"/>
    <w:rsid w:val="6EF020B7"/>
    <w:rsid w:val="6F1C062E"/>
    <w:rsid w:val="6F202742"/>
    <w:rsid w:val="6F504E19"/>
    <w:rsid w:val="6F5A6C77"/>
    <w:rsid w:val="6F793060"/>
    <w:rsid w:val="6F837FC0"/>
    <w:rsid w:val="6FC50886"/>
    <w:rsid w:val="70012B54"/>
    <w:rsid w:val="70032111"/>
    <w:rsid w:val="700958FF"/>
    <w:rsid w:val="70392CED"/>
    <w:rsid w:val="703E41A6"/>
    <w:rsid w:val="70436AA5"/>
    <w:rsid w:val="706408F5"/>
    <w:rsid w:val="70682C9E"/>
    <w:rsid w:val="707F0E75"/>
    <w:rsid w:val="708323E1"/>
    <w:rsid w:val="708451F5"/>
    <w:rsid w:val="70862B2B"/>
    <w:rsid w:val="70927F1D"/>
    <w:rsid w:val="70EE58BC"/>
    <w:rsid w:val="70F82A47"/>
    <w:rsid w:val="71035517"/>
    <w:rsid w:val="711B4160"/>
    <w:rsid w:val="711E3FED"/>
    <w:rsid w:val="713028A8"/>
    <w:rsid w:val="71325EE7"/>
    <w:rsid w:val="713734FD"/>
    <w:rsid w:val="713F74C2"/>
    <w:rsid w:val="714F0CAE"/>
    <w:rsid w:val="717166C9"/>
    <w:rsid w:val="717414E2"/>
    <w:rsid w:val="719426FE"/>
    <w:rsid w:val="71AC73A6"/>
    <w:rsid w:val="71AD090F"/>
    <w:rsid w:val="71D3553B"/>
    <w:rsid w:val="71DE507E"/>
    <w:rsid w:val="720553A9"/>
    <w:rsid w:val="720F4264"/>
    <w:rsid w:val="72121AFE"/>
    <w:rsid w:val="72136096"/>
    <w:rsid w:val="7220427F"/>
    <w:rsid w:val="7224673B"/>
    <w:rsid w:val="72275320"/>
    <w:rsid w:val="72804CD0"/>
    <w:rsid w:val="72962946"/>
    <w:rsid w:val="72AA681E"/>
    <w:rsid w:val="72D37256"/>
    <w:rsid w:val="72D65243"/>
    <w:rsid w:val="72D76DD9"/>
    <w:rsid w:val="730C06CE"/>
    <w:rsid w:val="730E64E0"/>
    <w:rsid w:val="731A5665"/>
    <w:rsid w:val="73330F42"/>
    <w:rsid w:val="735452E9"/>
    <w:rsid w:val="7358775B"/>
    <w:rsid w:val="736C43BF"/>
    <w:rsid w:val="73702CF6"/>
    <w:rsid w:val="739C6A45"/>
    <w:rsid w:val="73B02548"/>
    <w:rsid w:val="73DD6485"/>
    <w:rsid w:val="73EF6A1C"/>
    <w:rsid w:val="741C1999"/>
    <w:rsid w:val="741C22B6"/>
    <w:rsid w:val="74255FEB"/>
    <w:rsid w:val="742B12F3"/>
    <w:rsid w:val="742C285F"/>
    <w:rsid w:val="74575638"/>
    <w:rsid w:val="74662A75"/>
    <w:rsid w:val="747D5FA1"/>
    <w:rsid w:val="747E0200"/>
    <w:rsid w:val="749D71DB"/>
    <w:rsid w:val="74A57E4D"/>
    <w:rsid w:val="74BE028C"/>
    <w:rsid w:val="74EB0EBB"/>
    <w:rsid w:val="74F60441"/>
    <w:rsid w:val="75093403"/>
    <w:rsid w:val="75186775"/>
    <w:rsid w:val="751B3E16"/>
    <w:rsid w:val="753176D8"/>
    <w:rsid w:val="75346B5B"/>
    <w:rsid w:val="753F0BD2"/>
    <w:rsid w:val="755220B9"/>
    <w:rsid w:val="755602FE"/>
    <w:rsid w:val="75605B4F"/>
    <w:rsid w:val="75704D2D"/>
    <w:rsid w:val="759206EF"/>
    <w:rsid w:val="75993AFB"/>
    <w:rsid w:val="75BC31F4"/>
    <w:rsid w:val="75C31803"/>
    <w:rsid w:val="75E023B5"/>
    <w:rsid w:val="760C0D09"/>
    <w:rsid w:val="760F2FFC"/>
    <w:rsid w:val="767B6EBC"/>
    <w:rsid w:val="767B7569"/>
    <w:rsid w:val="7693433A"/>
    <w:rsid w:val="76C3221F"/>
    <w:rsid w:val="76C50835"/>
    <w:rsid w:val="770C491A"/>
    <w:rsid w:val="77183DD1"/>
    <w:rsid w:val="77195A27"/>
    <w:rsid w:val="771F06A7"/>
    <w:rsid w:val="772C0DD1"/>
    <w:rsid w:val="77381FCA"/>
    <w:rsid w:val="773B19CA"/>
    <w:rsid w:val="773D3837"/>
    <w:rsid w:val="7747638D"/>
    <w:rsid w:val="77480B48"/>
    <w:rsid w:val="77564021"/>
    <w:rsid w:val="77831EC2"/>
    <w:rsid w:val="77892045"/>
    <w:rsid w:val="778925D9"/>
    <w:rsid w:val="77D85F42"/>
    <w:rsid w:val="77DB7262"/>
    <w:rsid w:val="77E5662D"/>
    <w:rsid w:val="77FB2566"/>
    <w:rsid w:val="78064210"/>
    <w:rsid w:val="782642CC"/>
    <w:rsid w:val="783E5C50"/>
    <w:rsid w:val="784E1A0A"/>
    <w:rsid w:val="78570929"/>
    <w:rsid w:val="785B21C7"/>
    <w:rsid w:val="785B3F75"/>
    <w:rsid w:val="789027B0"/>
    <w:rsid w:val="78A266C7"/>
    <w:rsid w:val="78A321D2"/>
    <w:rsid w:val="78B47F53"/>
    <w:rsid w:val="78C15749"/>
    <w:rsid w:val="78D23D3F"/>
    <w:rsid w:val="78D86D9C"/>
    <w:rsid w:val="791D718A"/>
    <w:rsid w:val="794B4E5D"/>
    <w:rsid w:val="79554E68"/>
    <w:rsid w:val="79584B14"/>
    <w:rsid w:val="795A6AB0"/>
    <w:rsid w:val="797A63B2"/>
    <w:rsid w:val="7986584C"/>
    <w:rsid w:val="79A22753"/>
    <w:rsid w:val="79B778D1"/>
    <w:rsid w:val="79B92B8C"/>
    <w:rsid w:val="79E8203B"/>
    <w:rsid w:val="79ED2571"/>
    <w:rsid w:val="79F0693F"/>
    <w:rsid w:val="79F91C98"/>
    <w:rsid w:val="7A02256C"/>
    <w:rsid w:val="7A05524C"/>
    <w:rsid w:val="7A18601E"/>
    <w:rsid w:val="7A223A11"/>
    <w:rsid w:val="7A2F58C7"/>
    <w:rsid w:val="7A613399"/>
    <w:rsid w:val="7A7E313A"/>
    <w:rsid w:val="7A8C63BA"/>
    <w:rsid w:val="7AD26FEE"/>
    <w:rsid w:val="7ADD3307"/>
    <w:rsid w:val="7B032B29"/>
    <w:rsid w:val="7B36328B"/>
    <w:rsid w:val="7B646B38"/>
    <w:rsid w:val="7B876987"/>
    <w:rsid w:val="7BAE5F0A"/>
    <w:rsid w:val="7BB1016A"/>
    <w:rsid w:val="7BB31275"/>
    <w:rsid w:val="7BB404C9"/>
    <w:rsid w:val="7BCE579E"/>
    <w:rsid w:val="7BD81177"/>
    <w:rsid w:val="7BED7BDD"/>
    <w:rsid w:val="7BF41FC0"/>
    <w:rsid w:val="7C177107"/>
    <w:rsid w:val="7C1B2AF6"/>
    <w:rsid w:val="7C1E1BC0"/>
    <w:rsid w:val="7C3E33B8"/>
    <w:rsid w:val="7C560DBE"/>
    <w:rsid w:val="7C580C52"/>
    <w:rsid w:val="7C6929D9"/>
    <w:rsid w:val="7C765EAD"/>
    <w:rsid w:val="7C922BDE"/>
    <w:rsid w:val="7CA16A54"/>
    <w:rsid w:val="7CB91BF8"/>
    <w:rsid w:val="7CCA45BF"/>
    <w:rsid w:val="7CE0171B"/>
    <w:rsid w:val="7CF5344E"/>
    <w:rsid w:val="7D272678"/>
    <w:rsid w:val="7D534E47"/>
    <w:rsid w:val="7D5F6D53"/>
    <w:rsid w:val="7D856813"/>
    <w:rsid w:val="7DB27958"/>
    <w:rsid w:val="7DB5056D"/>
    <w:rsid w:val="7DB859C6"/>
    <w:rsid w:val="7DBA23A5"/>
    <w:rsid w:val="7DBB6C93"/>
    <w:rsid w:val="7DC00764"/>
    <w:rsid w:val="7DC46119"/>
    <w:rsid w:val="7DDD367E"/>
    <w:rsid w:val="7E01332B"/>
    <w:rsid w:val="7E2766A8"/>
    <w:rsid w:val="7E4322D7"/>
    <w:rsid w:val="7E492112"/>
    <w:rsid w:val="7E5E7184"/>
    <w:rsid w:val="7E68083E"/>
    <w:rsid w:val="7E6D5F5F"/>
    <w:rsid w:val="7E8D720B"/>
    <w:rsid w:val="7E8E0A07"/>
    <w:rsid w:val="7E9A536A"/>
    <w:rsid w:val="7EA057D6"/>
    <w:rsid w:val="7EC00FD6"/>
    <w:rsid w:val="7ED44A81"/>
    <w:rsid w:val="7ED64D7F"/>
    <w:rsid w:val="7EE72C33"/>
    <w:rsid w:val="7EEC6B92"/>
    <w:rsid w:val="7EF944E8"/>
    <w:rsid w:val="7F08472B"/>
    <w:rsid w:val="7F0A63E4"/>
    <w:rsid w:val="7F2E26D9"/>
    <w:rsid w:val="7F8C2C66"/>
    <w:rsid w:val="7FA35B88"/>
    <w:rsid w:val="7FC80734"/>
    <w:rsid w:val="7FDD1714"/>
    <w:rsid w:val="7FE45EE8"/>
    <w:rsid w:val="7FE70C9B"/>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line="576" w:lineRule="auto"/>
      <w:outlineLvl w:val="0"/>
    </w:pPr>
    <w:rPr>
      <w:b/>
      <w:bCs/>
      <w:kern w:val="44"/>
      <w:sz w:val="44"/>
      <w:szCs w:val="44"/>
    </w:rPr>
  </w:style>
  <w:style w:type="paragraph" w:styleId="3">
    <w:name w:val="heading 2"/>
    <w:basedOn w:val="1"/>
    <w:next w:val="4"/>
    <w:link w:val="83"/>
    <w:qFormat/>
    <w:uiPriority w:val="99"/>
    <w:pPr>
      <w:keepNext/>
      <w:keepLines/>
      <w:spacing w:line="413" w:lineRule="auto"/>
      <w:outlineLvl w:val="1"/>
    </w:pPr>
    <w:rPr>
      <w:rFonts w:ascii="Arial" w:hAnsi="Arial" w:eastAsia="黑体"/>
      <w:b/>
      <w:bCs/>
      <w:sz w:val="32"/>
      <w:szCs w:val="32"/>
    </w:rPr>
  </w:style>
  <w:style w:type="paragraph" w:styleId="5">
    <w:name w:val="heading 3"/>
    <w:basedOn w:val="1"/>
    <w:next w:val="4"/>
    <w:qFormat/>
    <w:uiPriority w:val="0"/>
    <w:pPr>
      <w:keepNext/>
      <w:keepLines/>
      <w:spacing w:before="260" w:after="260" w:line="412" w:lineRule="auto"/>
      <w:outlineLvl w:val="2"/>
    </w:pPr>
    <w:rPr>
      <w:b/>
      <w:sz w:val="32"/>
      <w:szCs w:val="20"/>
    </w:rPr>
  </w:style>
  <w:style w:type="paragraph" w:styleId="6">
    <w:name w:val="heading 4"/>
    <w:basedOn w:val="1"/>
    <w:next w:val="1"/>
    <w:qFormat/>
    <w:uiPriority w:val="0"/>
    <w:pPr>
      <w:keepNext/>
      <w:keepLines/>
      <w:tabs>
        <w:tab w:val="left" w:pos="864"/>
      </w:tabs>
      <w:spacing w:line="360" w:lineRule="auto"/>
      <w:ind w:left="864" w:hanging="864"/>
      <w:outlineLvl w:val="3"/>
    </w:pPr>
    <w:rPr>
      <w:rFonts w:ascii="Arial" w:hAnsi="Arial"/>
      <w:bCs/>
      <w:szCs w:val="28"/>
    </w:rPr>
  </w:style>
  <w:style w:type="paragraph" w:styleId="7">
    <w:name w:val="heading 5"/>
    <w:basedOn w:val="1"/>
    <w:next w:val="1"/>
    <w:qFormat/>
    <w:uiPriority w:val="99"/>
    <w:pPr>
      <w:keepNext/>
      <w:keepLines/>
      <w:spacing w:before="280" w:after="290" w:line="376" w:lineRule="auto"/>
      <w:outlineLvl w:val="4"/>
    </w:pPr>
    <w:rPr>
      <w:b/>
      <w:bCs/>
      <w:sz w:val="28"/>
      <w:szCs w:val="28"/>
    </w:rPr>
  </w:style>
  <w:style w:type="paragraph" w:styleId="8">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4"/>
    <w:qFormat/>
    <w:uiPriority w:val="0"/>
    <w:pPr>
      <w:keepNext/>
      <w:keepLines/>
      <w:numPr>
        <w:ilvl w:val="6"/>
        <w:numId w:val="1"/>
      </w:numPr>
      <w:spacing w:before="240" w:after="64" w:line="316" w:lineRule="auto"/>
      <w:outlineLvl w:val="6"/>
    </w:pPr>
    <w:rPr>
      <w:b/>
      <w:sz w:val="24"/>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10">
    <w:name w:val="Document Map"/>
    <w:basedOn w:val="1"/>
    <w:link w:val="52"/>
    <w:qFormat/>
    <w:uiPriority w:val="0"/>
    <w:rPr>
      <w:rFonts w:ascii="宋体"/>
      <w:sz w:val="18"/>
      <w:szCs w:val="18"/>
    </w:rPr>
  </w:style>
  <w:style w:type="paragraph" w:styleId="11">
    <w:name w:val="toa heading"/>
    <w:basedOn w:val="1"/>
    <w:next w:val="1"/>
    <w:qFormat/>
    <w:uiPriority w:val="0"/>
    <w:pPr>
      <w:spacing w:before="120" w:beforeLines="0" w:beforeAutospacing="0"/>
    </w:pPr>
    <w:rPr>
      <w:rFonts w:ascii="Arial" w:hAnsi="Arial"/>
      <w:sz w:val="24"/>
    </w:rPr>
  </w:style>
  <w:style w:type="paragraph" w:styleId="12">
    <w:name w:val="annotation text"/>
    <w:basedOn w:val="1"/>
    <w:qFormat/>
    <w:uiPriority w:val="0"/>
    <w:pPr>
      <w:jc w:val="left"/>
    </w:pPr>
  </w:style>
  <w:style w:type="paragraph" w:styleId="13">
    <w:name w:val="Body Text"/>
    <w:basedOn w:val="1"/>
    <w:next w:val="1"/>
    <w:qFormat/>
    <w:uiPriority w:val="0"/>
    <w:pPr>
      <w:spacing w:after="120"/>
    </w:pPr>
    <w:rPr>
      <w:rFonts w:ascii="Times New Roman" w:hAnsi="Times New Roman" w:eastAsia="Times New Roman" w:cs="Times New Roman"/>
    </w:rPr>
  </w:style>
  <w:style w:type="paragraph" w:styleId="14">
    <w:name w:val="Body Text Indent"/>
    <w:basedOn w:val="1"/>
    <w:next w:val="15"/>
    <w:qFormat/>
    <w:uiPriority w:val="0"/>
    <w:pPr>
      <w:ind w:firstLine="552"/>
    </w:pPr>
    <w:rPr>
      <w:rFonts w:ascii="宋体"/>
      <w:sz w:val="28"/>
    </w:rPr>
  </w:style>
  <w:style w:type="paragraph" w:styleId="15">
    <w:name w:val="Body Text First Indent 2"/>
    <w:basedOn w:val="14"/>
    <w:next w:val="16"/>
    <w:qFormat/>
    <w:uiPriority w:val="0"/>
    <w:pPr>
      <w:ind w:firstLine="420" w:firstLineChars="200"/>
    </w:pPr>
  </w:style>
  <w:style w:type="paragraph" w:styleId="16">
    <w:name w:val="Body Text First Indent"/>
    <w:basedOn w:val="13"/>
    <w:next w:val="15"/>
    <w:unhideWhenUsed/>
    <w:qFormat/>
    <w:uiPriority w:val="99"/>
    <w:pPr>
      <w:ind w:firstLine="420" w:firstLineChars="100"/>
    </w:pPr>
  </w:style>
  <w:style w:type="paragraph" w:styleId="17">
    <w:name w:val="Block Text"/>
    <w:basedOn w:val="1"/>
    <w:next w:val="18"/>
    <w:qFormat/>
    <w:uiPriority w:val="99"/>
    <w:pPr>
      <w:adjustRightInd w:val="0"/>
      <w:ind w:left="420" w:right="33"/>
      <w:jc w:val="left"/>
      <w:textAlignment w:val="baseline"/>
    </w:pPr>
    <w:rPr>
      <w:rFonts w:ascii="Times New Roman" w:hAnsi="Times New Roman" w:cs="Times New Roman"/>
      <w:kern w:val="0"/>
      <w:sz w:val="24"/>
      <w:szCs w:val="24"/>
    </w:rPr>
  </w:style>
  <w:style w:type="paragraph" w:styleId="18">
    <w:name w:val="Plain Text"/>
    <w:basedOn w:val="1"/>
    <w:qFormat/>
    <w:uiPriority w:val="0"/>
    <w:rPr>
      <w:rFonts w:ascii="宋体" w:hAnsi="Courier New" w:cs="Courier New"/>
      <w:szCs w:val="21"/>
    </w:rPr>
  </w:style>
  <w:style w:type="paragraph" w:styleId="19">
    <w:name w:val="Body Text Indent 2"/>
    <w:basedOn w:val="1"/>
    <w:qFormat/>
    <w:uiPriority w:val="0"/>
    <w:pPr>
      <w:ind w:firstLine="630"/>
    </w:pPr>
    <w:rPr>
      <w:sz w:val="32"/>
      <w:szCs w:val="20"/>
    </w:rPr>
  </w:style>
  <w:style w:type="paragraph" w:styleId="20">
    <w:name w:val="footer"/>
    <w:basedOn w:val="1"/>
    <w:qFormat/>
    <w:uiPriority w:val="99"/>
    <w:pPr>
      <w:tabs>
        <w:tab w:val="center" w:pos="4153"/>
        <w:tab w:val="right" w:pos="8306"/>
      </w:tabs>
      <w:snapToGrid w:val="0"/>
      <w:jc w:val="left"/>
    </w:pPr>
    <w:rPr>
      <w:sz w:val="18"/>
      <w:szCs w:val="18"/>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4">
    <w:name w:val="Body Text 2"/>
    <w:basedOn w:val="1"/>
    <w:unhideWhenUsed/>
    <w:qFormat/>
    <w:uiPriority w:val="99"/>
    <w:rPr>
      <w:sz w:val="28"/>
    </w:rPr>
  </w:style>
  <w:style w:type="paragraph" w:styleId="25">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1"/>
      <w:szCs w:val="22"/>
    </w:rPr>
  </w:style>
  <w:style w:type="paragraph" w:styleId="2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8">
    <w:name w:val="Title"/>
    <w:basedOn w:val="1"/>
    <w:next w:val="1"/>
    <w:qFormat/>
    <w:uiPriority w:val="0"/>
    <w:pPr>
      <w:spacing w:before="240" w:after="60"/>
      <w:jc w:val="center"/>
      <w:outlineLvl w:val="0"/>
    </w:pPr>
    <w:rPr>
      <w:rFonts w:ascii="Cambria" w:hAnsi="Cambria" w:cs="Times New Roman"/>
      <w:b/>
      <w:bCs/>
      <w:sz w:val="32"/>
      <w:szCs w:val="32"/>
    </w:rPr>
  </w:style>
  <w:style w:type="paragraph" w:styleId="29">
    <w:name w:val="annotation subject"/>
    <w:basedOn w:val="12"/>
    <w:next w:val="1"/>
    <w:qFormat/>
    <w:uiPriority w:val="0"/>
    <w:pPr>
      <w:adjustRightInd/>
      <w:spacing w:line="240" w:lineRule="auto"/>
      <w:textAlignment w:val="auto"/>
    </w:pPr>
    <w:rPr>
      <w:b/>
      <w:bCs/>
      <w:kern w:val="2"/>
      <w:sz w:val="21"/>
      <w:szCs w:val="24"/>
    </w:rPr>
  </w:style>
  <w:style w:type="table" w:styleId="31">
    <w:name w:val="Table Grid"/>
    <w:basedOn w:val="30"/>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FollowedHyperlink"/>
    <w:basedOn w:val="32"/>
    <w:qFormat/>
    <w:uiPriority w:val="0"/>
    <w:rPr>
      <w:color w:val="800080"/>
      <w:u w:val="none"/>
    </w:rPr>
  </w:style>
  <w:style w:type="character" w:styleId="36">
    <w:name w:val="Emphasis"/>
    <w:basedOn w:val="32"/>
    <w:qFormat/>
    <w:uiPriority w:val="0"/>
  </w:style>
  <w:style w:type="character" w:styleId="37">
    <w:name w:val="HTML Definition"/>
    <w:basedOn w:val="32"/>
    <w:qFormat/>
    <w:uiPriority w:val="0"/>
  </w:style>
  <w:style w:type="character" w:styleId="38">
    <w:name w:val="HTML Typewriter"/>
    <w:basedOn w:val="32"/>
    <w:qFormat/>
    <w:uiPriority w:val="0"/>
    <w:rPr>
      <w:rFonts w:ascii="monospace" w:hAnsi="monospace" w:eastAsia="monospace" w:cs="monospace"/>
      <w:sz w:val="20"/>
    </w:rPr>
  </w:style>
  <w:style w:type="character" w:styleId="39">
    <w:name w:val="HTML Acronym"/>
    <w:basedOn w:val="32"/>
    <w:qFormat/>
    <w:uiPriority w:val="0"/>
    <w:rPr>
      <w:rFonts w:ascii="ActionIcon ! important" w:hAnsi="ActionIcon ! important" w:eastAsia="ActionIcon ! important" w:cs="ActionIcon ! important"/>
      <w:vanish/>
      <w:color w:val="3D4B62"/>
      <w:sz w:val="24"/>
      <w:szCs w:val="24"/>
    </w:rPr>
  </w:style>
  <w:style w:type="character" w:styleId="40">
    <w:name w:val="HTML Variable"/>
    <w:basedOn w:val="32"/>
    <w:qFormat/>
    <w:uiPriority w:val="0"/>
  </w:style>
  <w:style w:type="character" w:styleId="41">
    <w:name w:val="Hyperlink"/>
    <w:basedOn w:val="32"/>
    <w:qFormat/>
    <w:uiPriority w:val="99"/>
    <w:rPr>
      <w:color w:val="0000FF"/>
      <w:u w:val="single"/>
    </w:rPr>
  </w:style>
  <w:style w:type="character" w:styleId="42">
    <w:name w:val="HTML Code"/>
    <w:basedOn w:val="32"/>
    <w:qFormat/>
    <w:uiPriority w:val="0"/>
    <w:rPr>
      <w:rFonts w:hint="default" w:ascii="monospace" w:hAnsi="monospace" w:eastAsia="monospace" w:cs="monospace"/>
      <w:sz w:val="20"/>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qFormat/>
    <w:uiPriority w:val="0"/>
    <w:rPr>
      <w:rFonts w:hint="default" w:ascii="monospace" w:hAnsi="monospace" w:eastAsia="monospace" w:cs="monospace"/>
    </w:rPr>
  </w:style>
  <w:style w:type="paragraph" w:customStyle="1" w:styleId="46">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47">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48">
    <w:name w:val="列出段落1"/>
    <w:basedOn w:val="1"/>
    <w:qFormat/>
    <w:uiPriority w:val="34"/>
    <w:pPr>
      <w:ind w:firstLine="420"/>
    </w:pPr>
    <w:rPr>
      <w:szCs w:val="20"/>
    </w:rPr>
  </w:style>
  <w:style w:type="paragraph" w:customStyle="1" w:styleId="49">
    <w:name w:val="p15"/>
    <w:basedOn w:val="1"/>
    <w:qFormat/>
    <w:uiPriority w:val="99"/>
    <w:pPr>
      <w:widowControl/>
    </w:pPr>
    <w:rPr>
      <w:kern w:val="0"/>
      <w:szCs w:val="21"/>
    </w:rPr>
  </w:style>
  <w:style w:type="paragraph" w:customStyle="1" w:styleId="50">
    <w:name w:val="No Spacing"/>
    <w:qFormat/>
    <w:uiPriority w:val="0"/>
    <w:pPr>
      <w:widowControl w:val="0"/>
      <w:spacing w:line="50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52">
    <w:name w:val="文档结构图 Char"/>
    <w:basedOn w:val="32"/>
    <w:link w:val="10"/>
    <w:qFormat/>
    <w:uiPriority w:val="0"/>
    <w:rPr>
      <w:rFonts w:ascii="宋体"/>
      <w:kern w:val="2"/>
      <w:sz w:val="18"/>
      <w:szCs w:val="18"/>
    </w:rPr>
  </w:style>
  <w:style w:type="paragraph" w:customStyle="1" w:styleId="53">
    <w:name w:val="List Paragraph"/>
    <w:basedOn w:val="1"/>
    <w:qFormat/>
    <w:uiPriority w:val="34"/>
    <w:pPr>
      <w:ind w:firstLine="420"/>
    </w:pPr>
  </w:style>
  <w:style w:type="character" w:customStyle="1" w:styleId="54">
    <w:name w:val="font01"/>
    <w:basedOn w:val="32"/>
    <w:qFormat/>
    <w:uiPriority w:val="0"/>
    <w:rPr>
      <w:rFonts w:hint="eastAsia" w:ascii="宋体" w:hAnsi="宋体" w:eastAsia="宋体" w:cs="宋体"/>
      <w:color w:val="000000"/>
      <w:sz w:val="22"/>
      <w:szCs w:val="22"/>
      <w:u w:val="none"/>
    </w:rPr>
  </w:style>
  <w:style w:type="paragraph" w:customStyle="1" w:styleId="55">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56">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7">
    <w:name w:val="active6"/>
    <w:basedOn w:val="32"/>
    <w:qFormat/>
    <w:uiPriority w:val="0"/>
    <w:rPr>
      <w:color w:val="00FF00"/>
      <w:shd w:val="clear" w:fill="000000"/>
    </w:rPr>
  </w:style>
  <w:style w:type="character" w:customStyle="1" w:styleId="58">
    <w:name w:val="proollist"/>
    <w:basedOn w:val="32"/>
    <w:qFormat/>
    <w:uiPriority w:val="0"/>
  </w:style>
  <w:style w:type="character" w:customStyle="1" w:styleId="59">
    <w:name w:val="span-long"/>
    <w:basedOn w:val="32"/>
    <w:qFormat/>
    <w:uiPriority w:val="0"/>
  </w:style>
  <w:style w:type="character" w:customStyle="1" w:styleId="60">
    <w:name w:val="input-direction"/>
    <w:basedOn w:val="32"/>
    <w:qFormat/>
    <w:uiPriority w:val="0"/>
    <w:rPr>
      <w:color w:val="FF6600"/>
    </w:rPr>
  </w:style>
  <w:style w:type="character" w:customStyle="1" w:styleId="61">
    <w:name w:val="beforeinfotext"/>
    <w:basedOn w:val="32"/>
    <w:qFormat/>
    <w:uiPriority w:val="0"/>
    <w:rPr>
      <w:color w:val="666666"/>
    </w:rPr>
  </w:style>
  <w:style w:type="character" w:customStyle="1" w:styleId="62">
    <w:name w:val="hilite6"/>
    <w:basedOn w:val="32"/>
    <w:qFormat/>
    <w:uiPriority w:val="0"/>
    <w:rPr>
      <w:color w:val="FFFFFF"/>
      <w:shd w:val="clear" w:fill="666677"/>
    </w:rPr>
  </w:style>
  <w:style w:type="character" w:customStyle="1" w:styleId="63">
    <w:name w:val="stclosebtn"/>
    <w:basedOn w:val="32"/>
    <w:qFormat/>
    <w:uiPriority w:val="0"/>
  </w:style>
  <w:style w:type="character" w:customStyle="1" w:styleId="64">
    <w:name w:val="tmpztreemove_arrow"/>
    <w:basedOn w:val="32"/>
    <w:qFormat/>
    <w:uiPriority w:val="0"/>
  </w:style>
  <w:style w:type="character" w:customStyle="1" w:styleId="65">
    <w:name w:val="phone"/>
    <w:basedOn w:val="32"/>
    <w:qFormat/>
    <w:uiPriority w:val="0"/>
    <w:rPr>
      <w:color w:val="FF8833"/>
      <w:sz w:val="18"/>
      <w:szCs w:val="18"/>
    </w:rPr>
  </w:style>
  <w:style w:type="character" w:customStyle="1" w:styleId="66">
    <w:name w:val="number"/>
    <w:basedOn w:val="32"/>
    <w:qFormat/>
    <w:uiPriority w:val="0"/>
    <w:rPr>
      <w:color w:val="FF8833"/>
      <w:sz w:val="18"/>
      <w:szCs w:val="18"/>
    </w:rPr>
  </w:style>
  <w:style w:type="character" w:customStyle="1" w:styleId="67">
    <w:name w:val="button2"/>
    <w:basedOn w:val="32"/>
    <w:qFormat/>
    <w:uiPriority w:val="0"/>
  </w:style>
  <w:style w:type="paragraph" w:customStyle="1" w:styleId="68">
    <w:name w:val="title14"/>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9">
    <w:name w:val="正文缩进2格"/>
    <w:basedOn w:val="1"/>
    <w:qFormat/>
    <w:uiPriority w:val="0"/>
    <w:pPr>
      <w:spacing w:line="600" w:lineRule="exact"/>
      <w:ind w:firstLine="639" w:firstLineChars="206"/>
    </w:pPr>
    <w:rPr>
      <w:rFonts w:ascii="仿宋_GB2312" w:hAnsi="宋体" w:eastAsia="仿宋_GB2312"/>
      <w:sz w:val="31"/>
    </w:rPr>
  </w:style>
  <w:style w:type="character" w:customStyle="1" w:styleId="70">
    <w:name w:val="button"/>
    <w:basedOn w:val="32"/>
    <w:qFormat/>
    <w:uiPriority w:val="0"/>
  </w:style>
  <w:style w:type="character" w:customStyle="1" w:styleId="71">
    <w:name w:val="hilite"/>
    <w:basedOn w:val="32"/>
    <w:qFormat/>
    <w:uiPriority w:val="0"/>
    <w:rPr>
      <w:color w:val="FFFFFF"/>
      <w:shd w:val="clear" w:fill="666677"/>
    </w:rPr>
  </w:style>
  <w:style w:type="character" w:customStyle="1" w:styleId="72">
    <w:name w:val="font151"/>
    <w:basedOn w:val="32"/>
    <w:qFormat/>
    <w:uiPriority w:val="0"/>
    <w:rPr>
      <w:rFonts w:ascii="宋体" w:hAnsi="宋体" w:eastAsia="宋体" w:cs="宋体"/>
      <w:color w:val="000000"/>
      <w:sz w:val="20"/>
      <w:szCs w:val="20"/>
      <w:u w:val="none"/>
    </w:rPr>
  </w:style>
  <w:style w:type="character" w:customStyle="1" w:styleId="73">
    <w:name w:val="font21"/>
    <w:basedOn w:val="32"/>
    <w:qFormat/>
    <w:uiPriority w:val="0"/>
    <w:rPr>
      <w:rFonts w:hint="eastAsia" w:ascii="宋体" w:hAnsi="宋体" w:eastAsia="宋体" w:cs="宋体"/>
      <w:color w:val="000000"/>
      <w:sz w:val="20"/>
      <w:szCs w:val="20"/>
      <w:u w:val="none"/>
    </w:rPr>
  </w:style>
  <w:style w:type="character" w:customStyle="1" w:styleId="74">
    <w:name w:val="font81"/>
    <w:basedOn w:val="32"/>
    <w:qFormat/>
    <w:uiPriority w:val="0"/>
    <w:rPr>
      <w:rFonts w:hint="eastAsia" w:ascii="宋体" w:hAnsi="宋体" w:eastAsia="宋体" w:cs="宋体"/>
      <w:color w:val="000000"/>
      <w:sz w:val="20"/>
      <w:szCs w:val="20"/>
      <w:u w:val="none"/>
    </w:rPr>
  </w:style>
  <w:style w:type="character" w:customStyle="1" w:styleId="75">
    <w:name w:val="font121"/>
    <w:basedOn w:val="32"/>
    <w:qFormat/>
    <w:uiPriority w:val="0"/>
    <w:rPr>
      <w:rFonts w:ascii="宋体" w:hAnsi="宋体" w:eastAsia="宋体" w:cs="宋体"/>
      <w:color w:val="000000"/>
      <w:sz w:val="20"/>
      <w:szCs w:val="20"/>
      <w:u w:val="none"/>
    </w:rPr>
  </w:style>
  <w:style w:type="character" w:customStyle="1" w:styleId="76">
    <w:name w:val="font41"/>
    <w:basedOn w:val="32"/>
    <w:qFormat/>
    <w:uiPriority w:val="0"/>
    <w:rPr>
      <w:rFonts w:hint="eastAsia" w:ascii="宋体" w:hAnsi="宋体" w:eastAsia="宋体" w:cs="宋体"/>
      <w:color w:val="000000"/>
      <w:sz w:val="20"/>
      <w:szCs w:val="20"/>
      <w:u w:val="none"/>
    </w:rPr>
  </w:style>
  <w:style w:type="character" w:customStyle="1" w:styleId="77">
    <w:name w:val="font141"/>
    <w:basedOn w:val="32"/>
    <w:qFormat/>
    <w:uiPriority w:val="0"/>
    <w:rPr>
      <w:rFonts w:ascii="宋体" w:hAnsi="宋体" w:eastAsia="宋体" w:cs="宋体"/>
      <w:color w:val="000000"/>
      <w:sz w:val="20"/>
      <w:szCs w:val="20"/>
      <w:u w:val="none"/>
    </w:rPr>
  </w:style>
  <w:style w:type="character" w:customStyle="1" w:styleId="78">
    <w:name w:val="font112"/>
    <w:basedOn w:val="32"/>
    <w:qFormat/>
    <w:uiPriority w:val="0"/>
    <w:rPr>
      <w:rFonts w:hint="eastAsia" w:ascii="宋体" w:hAnsi="宋体" w:eastAsia="宋体" w:cs="宋体"/>
      <w:color w:val="FF0000"/>
      <w:sz w:val="20"/>
      <w:szCs w:val="20"/>
      <w:u w:val="none"/>
    </w:rPr>
  </w:style>
  <w:style w:type="character" w:customStyle="1" w:styleId="79">
    <w:name w:val="font101"/>
    <w:basedOn w:val="32"/>
    <w:qFormat/>
    <w:uiPriority w:val="0"/>
    <w:rPr>
      <w:rFonts w:ascii="Arial" w:hAnsi="Arial" w:cs="Arial"/>
      <w:color w:val="000000"/>
      <w:sz w:val="20"/>
      <w:szCs w:val="20"/>
      <w:u w:val="none"/>
    </w:rPr>
  </w:style>
  <w:style w:type="character" w:customStyle="1" w:styleId="80">
    <w:name w:val="font11"/>
    <w:basedOn w:val="32"/>
    <w:qFormat/>
    <w:uiPriority w:val="0"/>
    <w:rPr>
      <w:rFonts w:hint="eastAsia" w:ascii="宋体" w:hAnsi="宋体" w:eastAsia="宋体" w:cs="宋体"/>
      <w:color w:val="000000"/>
      <w:sz w:val="22"/>
      <w:szCs w:val="22"/>
      <w:u w:val="none"/>
    </w:rPr>
  </w:style>
  <w:style w:type="paragraph" w:customStyle="1" w:styleId="81">
    <w:name w:val="样式 首行缩进:  2 字符"/>
    <w:basedOn w:val="1"/>
    <w:qFormat/>
    <w:uiPriority w:val="99"/>
    <w:pPr>
      <w:spacing w:line="400" w:lineRule="exact"/>
      <w:ind w:firstLine="200" w:firstLineChars="200"/>
    </w:pPr>
    <w:rPr>
      <w:rFonts w:cs="宋体"/>
      <w:szCs w:val="24"/>
    </w:rPr>
  </w:style>
  <w:style w:type="paragraph" w:customStyle="1" w:styleId="82">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83">
    <w:name w:val="标题 2 Char"/>
    <w:link w:val="3"/>
    <w:qFormat/>
    <w:uiPriority w:val="0"/>
    <w:rPr>
      <w:rFonts w:ascii="Arial" w:hAnsi="Arial" w:eastAsia="黑体"/>
      <w:b/>
      <w:bCs/>
      <w:sz w:val="32"/>
      <w:szCs w:val="32"/>
    </w:rPr>
  </w:style>
  <w:style w:type="paragraph" w:customStyle="1" w:styleId="8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p0"/>
    <w:basedOn w:val="1"/>
    <w:qFormat/>
    <w:uiPriority w:val="0"/>
    <w:pPr>
      <w:widowControl/>
    </w:pPr>
    <w:rPr>
      <w:kern w:val="0"/>
      <w:szCs w:val="21"/>
    </w:rPr>
  </w:style>
  <w:style w:type="paragraph" w:customStyle="1" w:styleId="87">
    <w:name w:val="Normal Indent1"/>
    <w:qFormat/>
    <w:uiPriority w:val="0"/>
    <w:pPr>
      <w:widowControl w:val="0"/>
      <w:spacing w:line="660" w:lineRule="exact"/>
      <w:ind w:firstLine="720" w:firstLineChars="200"/>
      <w:jc w:val="both"/>
    </w:pPr>
    <w:rPr>
      <w:rFonts w:ascii="Calibri" w:hAnsi="Calibri" w:eastAsia="楷体_GB2312" w:cs="Times New Roman"/>
      <w:kern w:val="2"/>
      <w:sz w:val="21"/>
      <w:szCs w:val="24"/>
      <w:lang w:val="en-US" w:eastAsia="zh-CN" w:bidi="ar-SA"/>
    </w:rPr>
  </w:style>
  <w:style w:type="paragraph" w:customStyle="1" w:styleId="88">
    <w:name w:val="WPSOffice手动目录 1"/>
    <w:qFormat/>
    <w:uiPriority w:val="0"/>
    <w:pPr>
      <w:ind w:leftChars="0"/>
    </w:pPr>
    <w:rPr>
      <w:rFonts w:ascii="Times New Roman" w:hAnsi="Times New Roman" w:eastAsia="宋体" w:cs="Times New Roman"/>
      <w:sz w:val="20"/>
      <w:szCs w:val="20"/>
    </w:rPr>
  </w:style>
  <w:style w:type="paragraph" w:customStyle="1" w:styleId="8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90">
    <w:name w:val="列出段落2"/>
    <w:basedOn w:val="1"/>
    <w:qFormat/>
    <w:uiPriority w:val="34"/>
    <w:pPr>
      <w:ind w:firstLine="420" w:firstLineChars="200"/>
    </w:pPr>
    <w:rPr>
      <w:sz w:val="24"/>
    </w:rPr>
  </w:style>
  <w:style w:type="paragraph" w:customStyle="1" w:styleId="91">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paragraph" w:customStyle="1" w:styleId="9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C9C5C-8C55-4F11-A6E2-98E177649487}">
  <ds:schemaRefs/>
</ds:datastoreItem>
</file>

<file path=docProps/app.xml><?xml version="1.0" encoding="utf-8"?>
<Properties xmlns="http://schemas.openxmlformats.org/officeDocument/2006/extended-properties" xmlns:vt="http://schemas.openxmlformats.org/officeDocument/2006/docPropsVTypes">
  <Template>Normal</Template>
  <Pages>88</Pages>
  <Words>14255</Words>
  <Characters>15521</Characters>
  <Lines>205</Lines>
  <Paragraphs>57</Paragraphs>
  <TotalTime>48</TotalTime>
  <ScaleCrop>false</ScaleCrop>
  <LinksUpToDate>false</LinksUpToDate>
  <CharactersWithSpaces>15783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2019-06-27T08:32:00Z</dcterms:created>
  <dc:creator>Z.</dc:creator>
  <cp:lastModifiedBy>hyl</cp:lastModifiedBy>
  <cp:lastPrinted>2026-01-16T08:41:00Z</cp:lastPrinted>
  <dcterms:modified xsi:type="dcterms:W3CDTF">2026-01-19T01:29:34Z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69D298EEF8584DB4AA9364832E25CE27_13</vt:lpwstr>
  </property>
  <property fmtid="{D5CDD505-2E9C-101B-9397-08002B2CF9AE}" pid="4" name="KSOTemplateDocerSaveRecord">
    <vt:lpwstr>eyJoZGlkIjoiOTRlYjY3ZGEzODIzMWFmZjgwMjc1N2I0NWVhNjNlMDIiLCJ1c2VySWQiOiIzMTc3NzU1MDEifQ==</vt:lpwstr>
  </property>
</Properties>
</file>