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E24F">
      <w:pPr>
        <w:pStyle w:val="4"/>
        <w:spacing w:line="480" w:lineRule="exact"/>
        <w:jc w:val="center"/>
      </w:pPr>
      <w:r>
        <w:rPr>
          <w:rFonts w:ascii="仿宋_GB2312" w:hAnsi="仿宋_GB2312" w:eastAsia="仿宋_GB2312" w:cs="仿宋_GB2312"/>
          <w:b/>
          <w:sz w:val="36"/>
        </w:rPr>
        <w:t>麟游县档案馆提升改造项目竞争性磋商公告</w:t>
      </w:r>
    </w:p>
    <w:p w14:paraId="14DA9BAD">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6F21724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麟游县档案馆提升改造项目采购项目的潜在供应商应在全国公共资源交易平台（陕西省·宝鸡市）（http://ggzy.baoji.gov.cn/）获取采购文件，并于 2026年02月04日 14时00分 （北京时间）前提交响应文件。</w:t>
      </w:r>
    </w:p>
    <w:p w14:paraId="2940517F">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7CB8D3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项目编号：NBC-2025-ZFCS-G-171</w:t>
      </w:r>
    </w:p>
    <w:p w14:paraId="7D4F356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项目名称：麟游县档案馆提升改造项目</w:t>
      </w:r>
    </w:p>
    <w:p w14:paraId="5BE5EF41">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4BCCE65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预算金额：2,811,303.34元</w:t>
      </w:r>
    </w:p>
    <w:p w14:paraId="0D5F6BD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09E37B58">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合同包1(麟游县档案馆提升改造项目):</w:t>
      </w:r>
    </w:p>
    <w:p w14:paraId="20E3665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合同包预算金额：2,811,303.34元</w:t>
      </w:r>
    </w:p>
    <w:p w14:paraId="71AC2CE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合同包最高限价：2,643,997.15元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1240"/>
        <w:gridCol w:w="1520"/>
        <w:gridCol w:w="1540"/>
        <w:gridCol w:w="1620"/>
        <w:gridCol w:w="1656"/>
      </w:tblGrid>
      <w:tr w14:paraId="0D8C0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vAlign w:val="center"/>
          </w:tcPr>
          <w:p w14:paraId="3C41127D">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40" w:type="dxa"/>
            <w:vAlign w:val="center"/>
          </w:tcPr>
          <w:p w14:paraId="164F490C">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520" w:type="dxa"/>
            <w:vAlign w:val="center"/>
          </w:tcPr>
          <w:p w14:paraId="00BBA9BA">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540" w:type="dxa"/>
            <w:vAlign w:val="center"/>
          </w:tcPr>
          <w:p w14:paraId="6F2E9E5E">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620" w:type="dxa"/>
            <w:vAlign w:val="center"/>
          </w:tcPr>
          <w:p w14:paraId="3578CFE8">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656" w:type="dxa"/>
            <w:vAlign w:val="center"/>
          </w:tcPr>
          <w:p w14:paraId="38BF0179">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70B3B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vAlign w:val="center"/>
          </w:tcPr>
          <w:p w14:paraId="6D4FD5A0">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bookmarkStart w:id="0" w:name="_GoBack" w:colFirst="2" w:colLast="2"/>
            <w:r>
              <w:rPr>
                <w:rFonts w:hint="eastAsia" w:ascii="宋体" w:hAnsi="宋体" w:eastAsia="宋体" w:cs="宋体"/>
                <w:sz w:val="24"/>
                <w:szCs w:val="24"/>
              </w:rPr>
              <w:t>1-1</w:t>
            </w:r>
          </w:p>
        </w:tc>
        <w:tc>
          <w:tcPr>
            <w:tcW w:w="1240" w:type="dxa"/>
            <w:vAlign w:val="center"/>
          </w:tcPr>
          <w:p w14:paraId="4F1263E3">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其他安装</w:t>
            </w:r>
          </w:p>
        </w:tc>
        <w:tc>
          <w:tcPr>
            <w:tcW w:w="1520" w:type="dxa"/>
            <w:vAlign w:val="center"/>
          </w:tcPr>
          <w:p w14:paraId="10094A29">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2811303.34</w:t>
            </w:r>
          </w:p>
        </w:tc>
        <w:tc>
          <w:tcPr>
            <w:tcW w:w="1540" w:type="dxa"/>
            <w:vAlign w:val="center"/>
          </w:tcPr>
          <w:p w14:paraId="25F4AF58">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620" w:type="dxa"/>
            <w:vAlign w:val="center"/>
          </w:tcPr>
          <w:p w14:paraId="3D53E396">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56" w:type="dxa"/>
            <w:vAlign w:val="center"/>
          </w:tcPr>
          <w:p w14:paraId="6AB033E2">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2,811,303.34</w:t>
            </w:r>
          </w:p>
        </w:tc>
      </w:tr>
      <w:bookmarkEnd w:id="0"/>
    </w:tbl>
    <w:p w14:paraId="6530A178">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084139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544D8BEA">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57FAF2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DB57F8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2CD046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合同包1(麟游县档案馆提升改造项目)落实政府采购政策需满足的资格要求如下:</w:t>
      </w:r>
    </w:p>
    <w:p w14:paraId="114B39E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小企业发展政策：《政府采购促进中小企业发展管理办法》（财库〔2020〕46号）；《财政部、司法部关于政府采购支持监狱企业发展有关问题的通知》（财库〔2014〕68号）；《关于促进残疾人就业政府采购政策的通知》（财库〔2017〕141号）；《财政部关于进一步加大政府采购支持中小企业力度的通知》（财库〔2022〕19号）；《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 xml:space="preserve">（2）绿色发展政策：《国务院办公厅关于建立政府强制采购节能产品制度的通知》（国办发〔2007〕51号）；《财政部、国家发展改革委、生态环境部、市场监管总局关于调整优化节能产品、环境标志产品政府采购执行机制的通知》（财库〔2019〕9号）；《商品包装政府采购需求标准（试行）》和《快递包装政府采购需求标准（试行）》（财办库〔2020〕123号）。   </w:t>
      </w:r>
      <w:r>
        <w:rPr>
          <w:rFonts w:hint="eastAsia" w:ascii="宋体" w:hAnsi="宋体" w:eastAsia="宋体" w:cs="宋体"/>
          <w:sz w:val="24"/>
          <w:szCs w:val="24"/>
        </w:rPr>
        <w:br w:type="textWrapping"/>
      </w:r>
      <w:r>
        <w:rPr>
          <w:rFonts w:hint="eastAsia" w:ascii="宋体" w:hAnsi="宋体" w:eastAsia="宋体" w:cs="宋体"/>
          <w:sz w:val="24"/>
          <w:szCs w:val="24"/>
        </w:rPr>
        <w:t>（3）支持本国产业政策：《财政部关于印发&lt;进口产品管理办法&gt;的通知》（财库〔2007〕119号）；《财政部办公厅关于政府采购进口产品管理有关问题的通知》（财办库〔2008〕248号）。</w:t>
      </w:r>
      <w:r>
        <w:rPr>
          <w:rFonts w:hint="eastAsia" w:ascii="宋体" w:hAnsi="宋体" w:eastAsia="宋体" w:cs="宋体"/>
          <w:sz w:val="24"/>
          <w:szCs w:val="24"/>
        </w:rPr>
        <w:br w:type="textWrapping"/>
      </w:r>
      <w:r>
        <w:rPr>
          <w:rFonts w:hint="eastAsia" w:ascii="宋体" w:hAnsi="宋体" w:eastAsia="宋体" w:cs="宋体"/>
          <w:sz w:val="24"/>
          <w:szCs w:val="24"/>
        </w:rPr>
        <w:t>（4）其他需要落实的政府采购政策；如有最新颁布的政府采购政策，按最新的文件执行。</w:t>
      </w:r>
    </w:p>
    <w:p w14:paraId="364228E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87E0EB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合同包1(麟游县档案馆提升改造项目)特定资格要求如下:</w:t>
      </w:r>
    </w:p>
    <w:p w14:paraId="40B997C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3-1.供应商具有独立承担民事责任能力的法人、其他组织或自然人，并出具合法有效的统一社会信用代码的营业执照或事业单位法人证书等国家规定的相关证明，自然人参与的提供其身份证明；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sz w:val="24"/>
          <w:szCs w:val="24"/>
        </w:rPr>
        <w:br w:type="textWrapping"/>
      </w:r>
      <w:r>
        <w:rPr>
          <w:rFonts w:hint="eastAsia" w:ascii="宋体" w:hAnsi="宋体" w:eastAsia="宋体" w:cs="宋体"/>
          <w:sz w:val="24"/>
          <w:szCs w:val="24"/>
        </w:rPr>
        <w:t xml:space="preserve">    3-2.供应商须具备合法有效的建设行政主管部门核发的消防设施工程专业承包二级及以上资质，且年检合格、具有有效的安全生产许可证；</w:t>
      </w:r>
      <w:r>
        <w:rPr>
          <w:rFonts w:hint="eastAsia" w:ascii="宋体" w:hAnsi="宋体" w:eastAsia="宋体" w:cs="宋体"/>
          <w:sz w:val="24"/>
          <w:szCs w:val="24"/>
        </w:rPr>
        <w:br w:type="textWrapping"/>
      </w:r>
      <w:r>
        <w:rPr>
          <w:rFonts w:hint="eastAsia" w:ascii="宋体" w:hAnsi="宋体" w:eastAsia="宋体" w:cs="宋体"/>
          <w:sz w:val="24"/>
          <w:szCs w:val="24"/>
        </w:rPr>
        <w:t xml:space="preserve">    3-3.供应商拟派项目经理须具有行政主管部门颁发的机电工程专业二级及以上注册建造师执业资格和有效的安全生产考核B证，且项目经理未担任其他在建项目（提供无在建承诺书）；</w:t>
      </w:r>
      <w:r>
        <w:rPr>
          <w:rFonts w:hint="eastAsia" w:ascii="宋体" w:hAnsi="宋体" w:eastAsia="宋体" w:cs="宋体"/>
          <w:sz w:val="24"/>
          <w:szCs w:val="24"/>
        </w:rPr>
        <w:br w:type="textWrapping"/>
      </w:r>
      <w:r>
        <w:rPr>
          <w:rFonts w:hint="eastAsia" w:ascii="宋体" w:hAnsi="宋体" w:eastAsia="宋体" w:cs="宋体"/>
          <w:sz w:val="24"/>
          <w:szCs w:val="24"/>
        </w:rPr>
        <w:t xml:space="preserve">    3-4.供应商应授权合法的人员参加磋商全过程，其中法定代表人直接参加磋商的，须出具法人身份证，并与营业执照上信息一致；法定代表人授权代表参加磋商的，须出具法定代表人授权书及授权代表身份证；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宋体" w:hAnsi="宋体" w:eastAsia="宋体" w:cs="宋体"/>
          <w:sz w:val="24"/>
          <w:szCs w:val="24"/>
        </w:rPr>
        <w:br w:type="textWrapping"/>
      </w:r>
      <w:r>
        <w:rPr>
          <w:rFonts w:hint="eastAsia" w:ascii="宋体" w:hAnsi="宋体" w:eastAsia="宋体" w:cs="宋体"/>
          <w:sz w:val="24"/>
          <w:szCs w:val="24"/>
        </w:rPr>
        <w:t xml:space="preserve">    3-5.供应商提供2024年度的财务审计报告（至少包括资产负债表和利润表，成立时间至提交竞争性磋商响应文件截止时间不足一年的可提供成立后任意时段的资产负债表），或其开标前半年内基本存款账户开户银行出具的资信证明（附开户许可证或开户备案证明）； </w:t>
      </w:r>
      <w:r>
        <w:rPr>
          <w:rFonts w:hint="eastAsia" w:ascii="宋体" w:hAnsi="宋体" w:eastAsia="宋体" w:cs="宋体"/>
          <w:sz w:val="24"/>
          <w:szCs w:val="24"/>
        </w:rPr>
        <w:br w:type="textWrapping"/>
      </w:r>
      <w:r>
        <w:rPr>
          <w:rFonts w:hint="eastAsia" w:ascii="宋体" w:hAnsi="宋体" w:eastAsia="宋体" w:cs="宋体"/>
          <w:sz w:val="24"/>
          <w:szCs w:val="24"/>
        </w:rPr>
        <w:t xml:space="preserve">    3-6.供应商提供2025年01月至今已缴纳的至少任意连续六个月的纳税证明或完税证明，依法免税的单位应提供相关证明材料；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 xml:space="preserve">    3-7.供应商提供2025年01月至今已缴纳的至少任意连续六个月的社会保障资金缴存单据或社保机构开具的社会保险参保缴费情况证明，依法不需要缴纳社会保障资金的单位应提供相关证明材料；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 xml:space="preserve">   3-8.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rPr>
        <w:t xml:space="preserve">   3-9.供应商负责人为同一人或者存在直接控股、管理关系的不同供应商，不得同时参加本项目磋商，提供承诺书； </w:t>
      </w:r>
      <w:r>
        <w:rPr>
          <w:rFonts w:hint="eastAsia" w:ascii="宋体" w:hAnsi="宋体" w:eastAsia="宋体" w:cs="宋体"/>
          <w:sz w:val="24"/>
          <w:szCs w:val="24"/>
        </w:rPr>
        <w:br w:type="textWrapping"/>
      </w:r>
      <w:r>
        <w:rPr>
          <w:rFonts w:hint="eastAsia" w:ascii="宋体" w:hAnsi="宋体" w:eastAsia="宋体" w:cs="宋体"/>
          <w:sz w:val="24"/>
          <w:szCs w:val="24"/>
        </w:rPr>
        <w:t xml:space="preserve">   3-10.参加政府采购活动前三年内，在经营活动中没有重大违法记录的书面声明；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   3-11.具有履行合同所必需的设备和专业技术能力的承诺书；</w:t>
      </w:r>
      <w:r>
        <w:rPr>
          <w:rFonts w:hint="eastAsia" w:ascii="宋体" w:hAnsi="宋体" w:eastAsia="宋体" w:cs="宋体"/>
          <w:sz w:val="24"/>
          <w:szCs w:val="24"/>
        </w:rPr>
        <w:br w:type="textWrapping"/>
      </w:r>
      <w:r>
        <w:rPr>
          <w:rFonts w:hint="eastAsia" w:ascii="宋体" w:hAnsi="宋体" w:eastAsia="宋体" w:cs="宋体"/>
          <w:sz w:val="24"/>
          <w:szCs w:val="24"/>
        </w:rPr>
        <w:t xml:space="preserve">   3-12.本项目专门面向中小企业采购（提供书面声明）。</w:t>
      </w:r>
    </w:p>
    <w:p w14:paraId="10340554">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6A99C4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2026年01月22日 至 2026年01月28日 ，每天上午 08:00:00 至 12:00:00 ，下午 12:00:00 至 18:00:00 （北京时间）</w:t>
      </w:r>
    </w:p>
    <w:p w14:paraId="5B96E3F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途径：全国公共资源交易平台（陕西省·宝鸡市）（http://ggzy.baoji.gov.cn/）</w:t>
      </w:r>
    </w:p>
    <w:p w14:paraId="54C916E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495E21A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456FFBA2">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3690705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2026年02月04日 14时00分00秒 （北京时间）</w:t>
      </w:r>
    </w:p>
    <w:p w14:paraId="633D179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地点：宝鸡市公共资源交易平台递交电子响应文件</w:t>
      </w:r>
    </w:p>
    <w:p w14:paraId="3DC9B1E3">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402C39B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2026年02月04日 14时00分00秒 （北京时间）</w:t>
      </w:r>
    </w:p>
    <w:p w14:paraId="72F05A0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地点：宝鸡市公共资源交易平台（不见面开标）</w:t>
      </w:r>
    </w:p>
    <w:p w14:paraId="40D094FB">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3716EB9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73B46E9">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75E95798">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注：1.请各投标供应商按照陕西省财政厅关于政府采购供应商注册登记有关事项的通知中的要求，通过陕西省政府采购网（http://www.ccgp-shaanxi.gov.cn/）注册登记加入陕西省政府采购供应商库并及时办理CA数字证书（陕西CA锁）；</w:t>
      </w:r>
    </w:p>
    <w:p w14:paraId="179D0FA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各投标供应商使用CA证书登录全国公共资源交易平台（陕西省宝鸡市）宝鸡市公共资源交易中心（http://ggzy.baoji.gov.cn/）交易平台〖首页〉电子交易平台〉企业端〗后，在〖招标公告/出让公告〗模块中选择有意向的项目点击“我要投标”，确认成功后即可从〖我的项目〉项目流程〉交易文件下载〗中下载电子磋商文件（*.SXSZF格式），如未及时下载电子文件（*.SXSZF格式），所引起的不良后果由投标供应商自行承担；</w:t>
      </w:r>
    </w:p>
    <w:p w14:paraId="7E77EC4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3.投标供应商在网上填写的单位信息（单位名称、营业执照相关信息）应与采购文件要求及后期上传的电子磋商响应文件中相关信息一致，否则造成资格审查不通过的后果由投标供应商自负；</w:t>
      </w:r>
    </w:p>
    <w:p w14:paraId="633F005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本项目采用电子开标方式，各投标供应商可登录全国公共资源交易平台（陕西省·宝鸡市）宝鸡市公共资源交易中心（http://ggzy.baoji.gov.cn/）下载《政府采购电子标书制作工具》、《政府采购投标单位操作手册》,按照流程制作电子标书并在投标截止时间前上传电子磋商响应文件。因投标供应商自身设施故障或自身原因导致无法完成投标的，由投标供应商自行承担后果；</w:t>
      </w:r>
    </w:p>
    <w:p w14:paraId="7107AFC1">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5.未完成网上投标或未在规定时间内在平台上下载电子采购文件的，导致无法完成后续流程的责任自负；</w:t>
      </w:r>
    </w:p>
    <w:p w14:paraId="3C99E6B1">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6.如有技术性问题，请先翻阅操作手册或致电软件开发商，技术支持热线：4009280095、4009980000。</w:t>
      </w:r>
    </w:p>
    <w:p w14:paraId="718DBEF6">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2B74530E">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6C792E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名称：麟游县档案局</w:t>
      </w:r>
    </w:p>
    <w:p w14:paraId="11956A9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地址：宝鸡市麟游县</w:t>
      </w:r>
    </w:p>
    <w:p w14:paraId="74BB103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联系方式：13772250736</w:t>
      </w:r>
    </w:p>
    <w:p w14:paraId="24C2AE1A">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2DF85B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名称：纳百川项目管理咨询有限公司</w:t>
      </w:r>
    </w:p>
    <w:p w14:paraId="28FFFE6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地址：陕西省西安市雁塔区西安曲江新区雁翔路旺座曲江K座1701室</w:t>
      </w:r>
    </w:p>
    <w:p w14:paraId="43D9B267">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联系方式：15829502121</w:t>
      </w:r>
    </w:p>
    <w:p w14:paraId="5EA1E4C5">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900D79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项目联系人：成乐</w:t>
      </w:r>
    </w:p>
    <w:p w14:paraId="0B4A9C1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电话：15829502121</w:t>
      </w:r>
    </w:p>
    <w:p w14:paraId="5110B20C">
      <w:pPr>
        <w:pStyle w:val="4"/>
        <w:jc w:val="right"/>
      </w:pPr>
      <w:r>
        <w:rPr>
          <w:rFonts w:hint="eastAsia" w:ascii="宋体" w:hAnsi="宋体" w:eastAsia="宋体" w:cs="宋体"/>
          <w:sz w:val="24"/>
          <w:szCs w:val="24"/>
        </w:rPr>
        <w:t>纳百川项目管理咨询有限公司</w:t>
      </w:r>
      <w:r>
        <w:br w:type="textWrapping"/>
      </w:r>
    </w:p>
    <w:p w14:paraId="41E019C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AD7160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2605</Words>
  <Characters>3109</Characters>
  <Lines>0</Lines>
  <Paragraphs>0</Paragraphs>
  <TotalTime>1</TotalTime>
  <ScaleCrop>false</ScaleCrop>
  <LinksUpToDate>false</LinksUpToDate>
  <CharactersWithSpaces>3184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biu~biu~biu</cp:lastModifiedBy>
  <dcterms:modified xsi:type="dcterms:W3CDTF">2026-01-21T07:35:29Z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eyJoZGlkIjoiZGUwZjRjMGZhZTcxNzIyY2Y5NWIwZGJhOTRlMzNjMDUiLCJ1c2VySWQiOiI1ODMwNDk5NDIifQ==</vt:lpwstr>
  </property>
  <property fmtid="{D5CDD505-2E9C-101B-9397-08002B2CF9AE}" pid="4" name="ICV">
    <vt:lpwstr>F83263C04C754013B1E91ED7CD3F114B_12</vt:lpwstr>
  </property>
</Properties>
</file>