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53629">
      <w:pPr>
        <w:spacing w:line="560" w:lineRule="exact"/>
        <w:jc w:val="center"/>
        <w:rPr>
          <w:rFonts w:hint="eastAsia" w:eastAsiaTheme="minorEastAsia"/>
          <w:lang w:eastAsia="zh-CN"/>
        </w:rPr>
      </w:pPr>
      <w:r>
        <w:rPr>
          <w:rFonts w:hint="eastAsia" w:ascii="方正小标宋简体" w:hAnsi="方正小标宋简体" w:eastAsia="方正小标宋简体" w:cs="方正小标宋简体"/>
          <w:sz w:val="44"/>
          <w:szCs w:val="44"/>
          <w:lang w:val="en-US" w:eastAsia="zh-CN"/>
        </w:rPr>
        <w:t>采购需求</w:t>
      </w:r>
    </w:p>
    <w:p w14:paraId="6C23FA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中央城市工作会议精神，落实《中共中央办公厅、国务院办公厅关于持续推进城市更新行动的意见》以及省、市相关工作部署，抢抓国家县城建设试点机遇，科学系统推进三原县城市更新工作，全面提升城市功能、品质与活力。</w:t>
      </w:r>
    </w:p>
    <w:p w14:paraId="2D67363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一、项目背景</w:t>
      </w:r>
    </w:p>
    <w:p w14:paraId="079DA6C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我国城市发展进入了新的历史时期，城市建设由大规模开发的增量建设方式转为存量提质改造和增量结构调整并重。实施城市更新行动，是推动城市高质量发展、不断满足人民美好生活需要的重要举措。2025年7月，中央城市工作会议时隔十年再次召开，会议指出以建设创新、宜居、美丽、韧性、文明、智慧的现代化人民城市为目标，以推动城市高质量发展为主题，以坚持城市内涵式发展为主线，以推进城市更新为重要抓手，大力推动城市结构优化、动能转换、品质提升、绿色转型、文脉赓续、治理增效。2025年5月，《中共中央办公厅 国务院办公厅关于持续推进城市更新行动的意见》印发实施，要求依据国土空间规划，结合城市体检评估结果，制定实施城市更新专项规划，确定城市更新行动目标、重点任务、建设项目和实施时序，建立完善“专项规划－片区策划－项目实施方案”的规划实施体系。</w:t>
      </w:r>
    </w:p>
    <w:p w14:paraId="3D73F8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原县正处于转型发展的关键时期，编制城市更新专项规划，是落实国家战略要求、顺应城市发展规律、回应人民群众对美好生活向往的迫切需要。规划旨在衔接国土空间总体规划，深化城市体检成果运用，系统谋划“十五五”期间（2026-2030年）全县城市更新的目标、策略、重点任务和行动计划，为有序实施城市更新行动、争取政策资金支持、建设宜居韧性智慧城市提供法定依据和行动纲领。</w:t>
      </w:r>
    </w:p>
    <w:p w14:paraId="477C0D36">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二、项目目标</w:t>
      </w:r>
    </w:p>
    <w:p w14:paraId="6F0937D4">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（一）战略引领目标：</w:t>
      </w:r>
      <w:r>
        <w:rPr>
          <w:rFonts w:hint="eastAsia" w:ascii="仿宋_GB2312" w:hAnsi="仿宋_GB2312" w:eastAsia="仿宋_GB2312" w:cs="仿宋_GB2312"/>
          <w:sz w:val="32"/>
          <w:szCs w:val="32"/>
        </w:rPr>
        <w:t>明确“十五五”期间三原县城市更新的总体战略、空间格局与发展方向，引导城市内涵式、集约型、绿色化发展。</w:t>
      </w:r>
    </w:p>
    <w:p w14:paraId="3261E235">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（二）问题导向目标</w:t>
      </w:r>
      <w:r>
        <w:rPr>
          <w:rFonts w:hint="eastAsia" w:ascii="仿宋_GB2312" w:hAnsi="仿宋_GB2312" w:eastAsia="仿宋_GB2312" w:cs="仿宋_GB2312"/>
          <w:sz w:val="32"/>
          <w:szCs w:val="32"/>
        </w:rPr>
        <w:t>：针对城市体检发现的功能短板、品质洼地和安全隐患，提出系统性解决方案和更新策略，有效补短板、强弱项。</w:t>
      </w:r>
    </w:p>
    <w:p w14:paraId="74085341">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（三）实施导向目标：</w:t>
      </w:r>
      <w:r>
        <w:rPr>
          <w:rFonts w:hint="eastAsia" w:ascii="仿宋_GB2312" w:hAnsi="仿宋_GB2312" w:eastAsia="仿宋_GB2312" w:cs="仿宋_GB2312"/>
          <w:sz w:val="32"/>
          <w:szCs w:val="32"/>
        </w:rPr>
        <w:t>建立“专项规划—片区策划—项目实施方案”的规划实施体系，形成清晰的城市更新项目库，明确近中期重点更新区域和项目，保障规划可落地、可实施。</w:t>
      </w:r>
    </w:p>
    <w:p w14:paraId="60CC739A">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（四）政策创新目标：</w:t>
      </w:r>
      <w:r>
        <w:rPr>
          <w:rFonts w:hint="eastAsia" w:ascii="仿宋_GB2312" w:hAnsi="仿宋_GB2312" w:eastAsia="仿宋_GB2312" w:cs="仿宋_GB2312"/>
          <w:sz w:val="32"/>
          <w:szCs w:val="32"/>
        </w:rPr>
        <w:t>探索符合三原实际的城市更新实施模式、投融资机制和政策保障体系，激发多元主体参与活力。</w:t>
      </w:r>
    </w:p>
    <w:p w14:paraId="5CFB18E6">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三、编制原则</w:t>
      </w:r>
    </w:p>
    <w:p w14:paraId="60868372">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（一）以人为本，民生优先：</w:t>
      </w:r>
      <w:r>
        <w:rPr>
          <w:rFonts w:hint="eastAsia" w:ascii="仿宋_GB2312" w:hAnsi="仿宋_GB2312" w:eastAsia="仿宋_GB2312" w:cs="仿宋_GB2312"/>
          <w:sz w:val="32"/>
          <w:szCs w:val="32"/>
        </w:rPr>
        <w:t>聚焦人民群众急难愁盼问题，优先推进民生补短板项目，提升公共服务水平和人居环境质量。</w:t>
      </w:r>
    </w:p>
    <w:p w14:paraId="7012A45C">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（二）规划统筹，系统推进：</w:t>
      </w:r>
      <w:r>
        <w:rPr>
          <w:rFonts w:hint="eastAsia" w:ascii="仿宋_GB2312" w:hAnsi="仿宋_GB2312" w:eastAsia="仿宋_GB2312" w:cs="仿宋_GB2312"/>
          <w:sz w:val="32"/>
          <w:szCs w:val="32"/>
        </w:rPr>
        <w:t>坚持“多规合一”，加强与国土空间规划及各专项规划的衔接，统筹空间、功能、产业、文化、生态等多元要素。</w:t>
      </w:r>
    </w:p>
    <w:p w14:paraId="3164B6C1">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（三）保护传承，特色彰显：</w:t>
      </w:r>
      <w:r>
        <w:rPr>
          <w:rFonts w:hint="eastAsia" w:ascii="仿宋_GB2312" w:hAnsi="仿宋_GB2312" w:eastAsia="仿宋_GB2312" w:cs="仿宋_GB2312"/>
          <w:sz w:val="32"/>
          <w:szCs w:val="32"/>
        </w:rPr>
        <w:t>注重历史文化遗产保护与活化利用，延续城市文脉，塑造富有三原特色的城市风貌。</w:t>
      </w:r>
    </w:p>
    <w:p w14:paraId="799A2365">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（四）政府引导，市场运作：</w:t>
      </w:r>
      <w:r>
        <w:rPr>
          <w:rFonts w:hint="eastAsia" w:ascii="仿宋_GB2312" w:hAnsi="仿宋_GB2312" w:eastAsia="仿宋_GB2312" w:cs="仿宋_GB2312"/>
          <w:sz w:val="32"/>
          <w:szCs w:val="32"/>
        </w:rPr>
        <w:t>发挥政府规划引导、政策支持和公共服务作用，创新投融资模式，鼓励社会资本参与。</w:t>
      </w:r>
    </w:p>
    <w:p w14:paraId="581F57B5">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（五）因地制宜，分类施策：</w:t>
      </w:r>
      <w:r>
        <w:rPr>
          <w:rFonts w:hint="eastAsia" w:ascii="仿宋_GB2312" w:hAnsi="仿宋_GB2312" w:eastAsia="仿宋_GB2312" w:cs="仿宋_GB2312"/>
          <w:sz w:val="32"/>
          <w:szCs w:val="32"/>
        </w:rPr>
        <w:t>根据不同区域、不同类型更新对象的特征和问题，制定差异化的更新策略和实施路径。</w:t>
      </w:r>
    </w:p>
    <w:p w14:paraId="59D565B9">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（六）智慧赋能，长效治理：</w:t>
      </w:r>
      <w:r>
        <w:rPr>
          <w:rFonts w:hint="eastAsia" w:ascii="仿宋_GB2312" w:hAnsi="仿宋_GB2312" w:eastAsia="仿宋_GB2312" w:cs="仿宋_GB2312"/>
          <w:sz w:val="32"/>
          <w:szCs w:val="32"/>
        </w:rPr>
        <w:t>运用数字化、信息化手段，提升城市更新规划、建设、管理的智能化水平，健全长效治理机制。</w:t>
      </w:r>
    </w:p>
    <w:p w14:paraId="1E18CAF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四、规划范围与期限</w:t>
      </w:r>
    </w:p>
    <w:p w14:paraId="3B3F4E91">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规划范围：</w:t>
      </w:r>
      <w:r>
        <w:rPr>
          <w:rFonts w:hint="eastAsia" w:ascii="仿宋_GB2312" w:hAnsi="仿宋_GB2312" w:eastAsia="仿宋_GB2312" w:cs="仿宋_GB2312"/>
          <w:sz w:val="32"/>
          <w:szCs w:val="32"/>
        </w:rPr>
        <w:t>三原县县域范围，重点聚焦县城建成区及需要实施更新的重点城镇、片区。</w:t>
      </w:r>
    </w:p>
    <w:p w14:paraId="690F62EF">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规划期限：</w:t>
      </w:r>
      <w:r>
        <w:rPr>
          <w:rFonts w:hint="eastAsia" w:ascii="仿宋_GB2312" w:hAnsi="仿宋_GB2312" w:eastAsia="仿宋_GB2312" w:cs="仿宋_GB2312"/>
          <w:sz w:val="32"/>
          <w:szCs w:val="32"/>
        </w:rPr>
        <w:t>本规划基期年为2025年，规划期限为2026-2030年（“十五五”期间），远景展望至2035年。</w:t>
      </w:r>
    </w:p>
    <w:p w14:paraId="1C5E619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b w:val="0"/>
          <w:sz w:val="32"/>
          <w:szCs w:val="32"/>
        </w:rPr>
        <w:t>、项目须执行的标准、规范</w:t>
      </w:r>
    </w:p>
    <w:p w14:paraId="6BD242F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1.《中共中央、国务院关于推动城市高质量发展的意见》（中发〔2025〕16号）</w:t>
      </w:r>
    </w:p>
    <w:p w14:paraId="7C5F82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rPr>
        <w:t>.《中共中央关于制定国民经济和社会发展第十五个五年规划的建议》，2025年</w:t>
      </w:r>
    </w:p>
    <w:p w14:paraId="17864D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3.中共中央办公厅 国务院办公厅印发《关于推进以县城为重要载体的城镇化建设的意见》</w:t>
      </w:r>
    </w:p>
    <w:p w14:paraId="772ABFFA">
      <w:pPr>
        <w:snapToGrid/>
        <w:spacing w:line="560" w:lineRule="exact"/>
        <w:ind w:firstLine="640" w:firstLineChars="200"/>
        <w:contextualSpacing w:val="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auto"/>
          <w:sz w:val="32"/>
          <w:szCs w:val="32"/>
        </w:rPr>
        <w:t>.《中共中央办公厅、国务院办公厅关于持续推进城市更新行动的意见》（中办发〔2025〕34号）</w:t>
      </w:r>
    </w:p>
    <w:p w14:paraId="17A90C12">
      <w:pPr>
        <w:widowControl w:val="0"/>
        <w:snapToGrid/>
        <w:spacing w:line="560" w:lineRule="exact"/>
        <w:ind w:firstLine="640" w:firstLineChars="200"/>
        <w:contextualSpacing w:val="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auto"/>
          <w:sz w:val="32"/>
          <w:szCs w:val="32"/>
        </w:rPr>
        <w:t>.《住房城乡建设部办公厅关于印发城市更新规划编制导则的通知》（</w:t>
      </w:r>
      <w:r>
        <w:rPr>
          <w:rFonts w:hint="eastAsia" w:ascii="仿宋_GB2312" w:hAnsi="仿宋_GB2312" w:eastAsia="仿宋_GB2312" w:cs="仿宋_GB2312"/>
          <w:color w:val="auto"/>
          <w:sz w:val="32"/>
          <w:szCs w:val="32"/>
          <w:lang w:bidi="ar-SA"/>
        </w:rPr>
        <w:t xml:space="preserve">建办科〔 2025 〕46 号 </w:t>
      </w:r>
      <w:r>
        <w:rPr>
          <w:rFonts w:hint="eastAsia" w:ascii="仿宋_GB2312" w:hAnsi="仿宋_GB2312" w:eastAsia="仿宋_GB2312" w:cs="仿宋_GB2312"/>
          <w:color w:val="auto"/>
          <w:sz w:val="32"/>
          <w:szCs w:val="32"/>
        </w:rPr>
        <w:t>）</w:t>
      </w:r>
    </w:p>
    <w:p w14:paraId="34BF964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color w:val="auto"/>
          <w:sz w:val="32"/>
          <w:szCs w:val="32"/>
          <w:lang w:bidi="ar-SA"/>
        </w:rPr>
        <w:t>.《住房城乡建设部建筑节能与科技司关于印发城市更新规划编制工作手册的通知》（建司局函科〔 2025 〕19号）</w:t>
      </w:r>
    </w:p>
    <w:p w14:paraId="5269A9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陕西省的城市更新专项规划相关指引及技术措施</w:t>
      </w:r>
    </w:p>
    <w:p w14:paraId="4FF7408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六、主要内容</w:t>
      </w:r>
    </w:p>
    <w:p w14:paraId="577F8D6B">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（一）现状评估与更新诊断：</w:t>
      </w:r>
      <w:r>
        <w:rPr>
          <w:rFonts w:hint="eastAsia" w:ascii="仿宋_GB2312" w:hAnsi="仿宋_GB2312" w:eastAsia="仿宋_GB2312" w:cs="仿宋_GB2312"/>
          <w:kern w:val="2"/>
          <w:sz w:val="32"/>
          <w:szCs w:val="32"/>
        </w:rPr>
        <w:t>开展基础研究，</w:t>
      </w:r>
      <w:r>
        <w:rPr>
          <w:rFonts w:hint="eastAsia" w:ascii="仿宋_GB2312" w:hAnsi="仿宋_GB2312" w:eastAsia="仿宋_GB2312" w:cs="仿宋_GB2312"/>
          <w:sz w:val="32"/>
          <w:szCs w:val="32"/>
        </w:rPr>
        <w:t>分析三原县城市发展现状，</w:t>
      </w:r>
      <w:r>
        <w:rPr>
          <w:rFonts w:hint="eastAsia" w:ascii="仿宋_GB2312" w:hAnsi="仿宋_GB2312" w:eastAsia="仿宋_GB2312" w:cs="仿宋_GB2312"/>
          <w:spacing w:val="0"/>
          <w:kern w:val="2"/>
          <w:sz w:val="32"/>
          <w:szCs w:val="32"/>
        </w:rPr>
        <w:t>充分运用历年城市体检成果，</w:t>
      </w:r>
      <w:r>
        <w:rPr>
          <w:rFonts w:hint="eastAsia" w:ascii="仿宋_GB2312" w:hAnsi="仿宋_GB2312" w:eastAsia="仿宋_GB2312" w:cs="仿宋_GB2312"/>
          <w:sz w:val="32"/>
          <w:szCs w:val="32"/>
        </w:rPr>
        <w:t>深化城市体检成果运用，</w:t>
      </w:r>
      <w:r>
        <w:rPr>
          <w:rFonts w:hint="eastAsia" w:ascii="仿宋_GB2312" w:hAnsi="仿宋_GB2312" w:eastAsia="仿宋_GB2312" w:cs="仿宋_GB2312"/>
          <w:spacing w:val="0"/>
          <w:kern w:val="2"/>
          <w:sz w:val="32"/>
          <w:szCs w:val="32"/>
        </w:rPr>
        <w:t>识别城市更新资源的空间分布，</w:t>
      </w:r>
      <w:r>
        <w:rPr>
          <w:rFonts w:hint="eastAsia" w:ascii="仿宋_GB2312" w:hAnsi="仿宋_GB2312" w:eastAsia="仿宋_GB2312" w:cs="仿宋_GB2312"/>
          <w:sz w:val="32"/>
          <w:szCs w:val="32"/>
        </w:rPr>
        <w:t>精准识别在功能布局、基础设施、公共服务、人居环境、安全韧性、历史文化保护、产业发展等方面存在的问题与更新需求。</w:t>
      </w:r>
    </w:p>
    <w:p w14:paraId="74A39A95">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（二）目标战略与更新定位：</w:t>
      </w:r>
      <w:r>
        <w:rPr>
          <w:rFonts w:hint="eastAsia" w:ascii="仿宋_GB2312" w:hAnsi="仿宋_GB2312" w:eastAsia="仿宋_GB2312" w:cs="仿宋_GB2312"/>
          <w:sz w:val="32"/>
          <w:szCs w:val="32"/>
        </w:rPr>
        <w:t>基于上位规划与区域发展要求，</w:t>
      </w:r>
      <w:r>
        <w:rPr>
          <w:rFonts w:hint="eastAsia" w:ascii="仿宋_GB2312" w:hAnsi="仿宋_GB2312" w:eastAsia="仿宋_GB2312" w:cs="仿宋_GB2312"/>
          <w:spacing w:val="0"/>
          <w:kern w:val="2"/>
          <w:sz w:val="32"/>
          <w:szCs w:val="32"/>
        </w:rPr>
        <w:t>落实“十五五”国民经济和社会发展规划目标，衔接国土空间总体规划，</w:t>
      </w:r>
      <w:r>
        <w:rPr>
          <w:rFonts w:hint="eastAsia" w:ascii="仿宋_GB2312" w:hAnsi="仿宋_GB2312" w:eastAsia="仿宋_GB2312" w:cs="仿宋_GB2312"/>
          <w:sz w:val="32"/>
          <w:szCs w:val="32"/>
        </w:rPr>
        <w:t>明确“十五五”期间城市更新的总体目标、核心指标与战略定位。提出城市更新的核心策略、空间导向和总体思路。</w:t>
      </w:r>
    </w:p>
    <w:p w14:paraId="1E0FC760">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（三）更新空间布局与分区指引：</w:t>
      </w:r>
      <w:r>
        <w:rPr>
          <w:rFonts w:hint="eastAsia" w:ascii="仿宋_GB2312" w:hAnsi="仿宋_GB2312" w:eastAsia="仿宋_GB2312" w:cs="仿宋_GB2312"/>
          <w:spacing w:val="0"/>
          <w:kern w:val="2"/>
          <w:sz w:val="32"/>
          <w:szCs w:val="32"/>
        </w:rPr>
        <w:t>对标“一个优化”</w:t>
      </w:r>
      <w:r>
        <w:rPr>
          <w:rFonts w:hint="eastAsia" w:ascii="仿宋_GB2312" w:hAnsi="仿宋_GB2312" w:eastAsia="仿宋_GB2312" w:cs="仿宋_GB2312"/>
          <w:sz w:val="32"/>
          <w:szCs w:val="32"/>
        </w:rPr>
        <w:t>、</w:t>
      </w:r>
      <w:r>
        <w:rPr>
          <w:rFonts w:hint="eastAsia" w:ascii="仿宋_GB2312" w:hAnsi="仿宋_GB2312" w:eastAsia="仿宋_GB2312" w:cs="仿宋_GB2312"/>
          <w:spacing w:val="0"/>
          <w:kern w:val="2"/>
          <w:sz w:val="32"/>
          <w:szCs w:val="32"/>
        </w:rPr>
        <w:t>“六大建设”</w:t>
      </w:r>
      <w:r>
        <w:rPr>
          <w:rFonts w:hint="eastAsia" w:ascii="仿宋_GB2312" w:hAnsi="仿宋_GB2312" w:eastAsia="仿宋_GB2312" w:cs="仿宋_GB2312"/>
          <w:sz w:val="32"/>
          <w:szCs w:val="32"/>
        </w:rPr>
        <w:t>、</w:t>
      </w:r>
      <w:r>
        <w:rPr>
          <w:rFonts w:hint="eastAsia" w:ascii="仿宋_GB2312" w:hAnsi="仿宋_GB2312" w:eastAsia="仿宋_GB2312" w:cs="仿宋_GB2312"/>
          <w:spacing w:val="0"/>
          <w:kern w:val="2"/>
          <w:sz w:val="32"/>
          <w:szCs w:val="32"/>
        </w:rPr>
        <w:t>“八大任务”要求，优化城市业态、功能结构和空间布局，</w:t>
      </w:r>
      <w:r>
        <w:rPr>
          <w:rFonts w:hint="eastAsia" w:ascii="仿宋_GB2312" w:hAnsi="仿宋_GB2312" w:eastAsia="仿宋_GB2312" w:cs="仿宋_GB2312"/>
          <w:sz w:val="32"/>
          <w:szCs w:val="32"/>
        </w:rPr>
        <w:t>划定城市更新重点区域和一般区域。针对老旧住区、老旧厂区、老旧街区、城中村等不同类型更新对象，以及公共空间、基础设施等系统更新需求，进行空间布局优化和更新分区，提出各分区的更新导向、重点任务和控制要求。</w:t>
      </w:r>
    </w:p>
    <w:p w14:paraId="00770D09">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（四）重点领域更新规划</w:t>
      </w:r>
    </w:p>
    <w:p w14:paraId="7A83B07B">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居住社区综合改善：</w:t>
      </w:r>
      <w:r>
        <w:rPr>
          <w:rFonts w:hint="eastAsia" w:ascii="仿宋_GB2312" w:hAnsi="仿宋_GB2312" w:eastAsia="仿宋_GB2312" w:cs="仿宋_GB2312"/>
          <w:sz w:val="32"/>
          <w:szCs w:val="32"/>
        </w:rPr>
        <w:t>聚焦老旧小区改造、社区公共服务设施补短板、无障碍环境建设等。</w:t>
      </w:r>
    </w:p>
    <w:p w14:paraId="4E50B586">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产业园区聚能增效：</w:t>
      </w:r>
      <w:r>
        <w:rPr>
          <w:rFonts w:hint="eastAsia" w:ascii="仿宋_GB2312" w:hAnsi="仿宋_GB2312" w:eastAsia="仿宋_GB2312" w:cs="仿宋_GB2312"/>
          <w:sz w:val="32"/>
          <w:szCs w:val="32"/>
        </w:rPr>
        <w:t>推动低效产业用地转型升级，完善产业配套，促进产城融合。</w:t>
      </w:r>
    </w:p>
    <w:p w14:paraId="207C3E96">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老旧街区活力焕新：</w:t>
      </w:r>
      <w:r>
        <w:rPr>
          <w:rFonts w:hint="eastAsia" w:ascii="仿宋_GB2312" w:hAnsi="仿宋_GB2312" w:eastAsia="仿宋_GB2312" w:cs="仿宋_GB2312"/>
          <w:sz w:val="32"/>
          <w:szCs w:val="32"/>
        </w:rPr>
        <w:t>推动商业街区、历史街区等更新改造，提升活力与特色。</w:t>
      </w:r>
    </w:p>
    <w:p w14:paraId="5F37FCD1">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历史传承及景区风貌塑造：</w:t>
      </w:r>
      <w:r>
        <w:rPr>
          <w:rFonts w:hint="eastAsia" w:ascii="仿宋_GB2312" w:hAnsi="仿宋_GB2312" w:eastAsia="仿宋_GB2312" w:cs="仿宋_GB2312"/>
          <w:sz w:val="32"/>
          <w:szCs w:val="32"/>
        </w:rPr>
        <w:t xml:space="preserve"> 保护历史文化遗产，控制城市风貌，提升景观品质。</w:t>
      </w:r>
    </w:p>
    <w:p w14:paraId="0A025186">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城市设施提档升级：</w:t>
      </w:r>
      <w:r>
        <w:rPr>
          <w:rFonts w:hint="eastAsia" w:ascii="仿宋_GB2312" w:hAnsi="仿宋_GB2312" w:eastAsia="仿宋_GB2312" w:cs="仿宋_GB2312"/>
          <w:sz w:val="32"/>
          <w:szCs w:val="32"/>
        </w:rPr>
        <w:t>统筹道路交通、市政管网、防灾减灾、智慧城市等基础设施更新改造。</w:t>
      </w:r>
    </w:p>
    <w:p w14:paraId="4499CBFE">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（五）行动计划与项目库建设：</w:t>
      </w:r>
      <w:r>
        <w:rPr>
          <w:rFonts w:hint="eastAsia" w:ascii="仿宋_GB2312" w:hAnsi="仿宋_GB2312" w:eastAsia="仿宋_GB2312" w:cs="仿宋_GB2312"/>
          <w:sz w:val="32"/>
          <w:szCs w:val="32"/>
        </w:rPr>
        <w:t>制定“十五五”期间城市更新行动计划和年度实施建议。建立动态更新的城市更新项目库，明确项目位置、内容、规模、投资估算、实施主体、时序安排及资金筹措建议，并与国家、省项目申报体系对接。</w:t>
      </w:r>
    </w:p>
    <w:p w14:paraId="565DCA97">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（六）实施保障机制研究：</w:t>
      </w:r>
      <w:r>
        <w:rPr>
          <w:rFonts w:hint="eastAsia" w:ascii="仿宋_GB2312" w:hAnsi="仿宋_GB2312" w:eastAsia="仿宋_GB2312" w:cs="仿宋_GB2312"/>
          <w:sz w:val="32"/>
          <w:szCs w:val="32"/>
        </w:rPr>
        <w:t>研究提出规划实施的组织管理机制、政策支持体系（包括土地、规划、财税、金融等）、投融资模式创新、公众参与机制及监督考核办法。</w:t>
      </w:r>
    </w:p>
    <w:p w14:paraId="255CD900">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（七）规划成果要求：</w:t>
      </w:r>
      <w:r>
        <w:rPr>
          <w:rFonts w:hint="eastAsia" w:ascii="仿宋_GB2312" w:hAnsi="仿宋_GB2312" w:eastAsia="仿宋_GB2312" w:cs="仿宋_GB2312"/>
          <w:sz w:val="32"/>
          <w:szCs w:val="32"/>
        </w:rPr>
        <w:t>形成完整的《三原县城市更新专项规划（2026-2030年）》成果，包括规划文本、图集、说明书、专题研究及城市更新项目库清单等。</w:t>
      </w:r>
    </w:p>
    <w:p w14:paraId="2DA4646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七、规划组织与进度要求</w:t>
      </w:r>
    </w:p>
    <w:p w14:paraId="2A85D1D5">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（一）组织保障：</w:t>
      </w:r>
      <w:r>
        <w:rPr>
          <w:rFonts w:hint="eastAsia" w:ascii="仿宋_GB2312" w:hAnsi="仿宋_GB2312" w:eastAsia="仿宋_GB2312" w:cs="仿宋_GB2312"/>
          <w:sz w:val="32"/>
          <w:szCs w:val="32"/>
        </w:rPr>
        <w:t>成立由县政府牵头，县住建局具体负责，县发改、财政、自然资源、文旅、民政等相关部门协同配合的规划编制工作领导小组，保障规划编制工作顺利进行。</w:t>
      </w:r>
    </w:p>
    <w:p w14:paraId="181A46E8">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（二）编制单位要求：</w:t>
      </w:r>
      <w:r>
        <w:rPr>
          <w:rFonts w:hint="eastAsia" w:ascii="仿宋_GB2312" w:hAnsi="仿宋_GB2312" w:eastAsia="仿宋_GB2312" w:cs="仿宋_GB2312"/>
          <w:sz w:val="32"/>
          <w:szCs w:val="32"/>
        </w:rPr>
        <w:t>承担规划编制的单位需具备城乡规划编制乙级及以上资质，拥有丰富的城市更新类规划实践经验，项目团队人员结构合理。</w:t>
      </w:r>
    </w:p>
    <w:p w14:paraId="7A63D038">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（三）进度安排：</w:t>
      </w:r>
      <w:r>
        <w:rPr>
          <w:rFonts w:hint="eastAsia" w:ascii="仿宋_GB2312" w:hAnsi="仿宋_GB2312" w:eastAsia="仿宋_GB2312" w:cs="仿宋_GB2312"/>
          <w:sz w:val="32"/>
          <w:szCs w:val="32"/>
        </w:rPr>
        <w:t>规划编制总周期为3个月。包括现状调研与专题研究（1个月）、规划方案编制与多方论证（1个月）、成果完善与报批（1个月）。具体进度在合同中明确。</w:t>
      </w:r>
    </w:p>
    <w:p w14:paraId="38EB4E07">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（四）技术咨询服务：</w:t>
      </w:r>
      <w:r>
        <w:rPr>
          <w:rFonts w:hint="eastAsia" w:ascii="仿宋_GB2312" w:hAnsi="仿宋_GB2312" w:eastAsia="仿宋_GB2312" w:cs="仿宋_GB2312"/>
          <w:sz w:val="32"/>
          <w:szCs w:val="32"/>
        </w:rPr>
        <w:t>规划编制单位需提供自规划批复之日起为期两年的后续技术咨询服务，协助规划解读、政策研究、试点申报及实施过程中的技术问题解答。</w:t>
      </w:r>
    </w:p>
    <w:p w14:paraId="6A5E234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八、成果要求</w:t>
      </w:r>
    </w:p>
    <w:p w14:paraId="58ECC95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规划成果需通过专家评审、部门审议和法定报批程序。成果质量应符合国家、陕西省关于城市更新专项规划编制的相关技术规范与政策要求，并对接住房和城乡建设部相关试点申报要求。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BBF09B1B">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BD378A"/>
    <w:rsid w:val="00084273"/>
    <w:rsid w:val="000B38EB"/>
    <w:rsid w:val="001471ED"/>
    <w:rsid w:val="00341401"/>
    <w:rsid w:val="00371D67"/>
    <w:rsid w:val="003B5796"/>
    <w:rsid w:val="00410BB4"/>
    <w:rsid w:val="004766B1"/>
    <w:rsid w:val="00597FFA"/>
    <w:rsid w:val="005F1D0D"/>
    <w:rsid w:val="006C0259"/>
    <w:rsid w:val="00744F0D"/>
    <w:rsid w:val="00810BBF"/>
    <w:rsid w:val="008B60E6"/>
    <w:rsid w:val="0090113E"/>
    <w:rsid w:val="00972DB4"/>
    <w:rsid w:val="009D5D7A"/>
    <w:rsid w:val="00A103DE"/>
    <w:rsid w:val="00B759CD"/>
    <w:rsid w:val="00CD5144"/>
    <w:rsid w:val="00E009AF"/>
    <w:rsid w:val="3BBD378A"/>
    <w:rsid w:val="458636AE"/>
    <w:rsid w:val="659E0FC7"/>
    <w:rsid w:val="7BF9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uiPriority w:val="0"/>
    <w:rPr>
      <w:kern w:val="2"/>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标题 1 字符"/>
    <w:basedOn w:val="7"/>
    <w:link w:val="2"/>
    <w:qFormat/>
    <w:uiPriority w:val="0"/>
    <w:rPr>
      <w:rFonts w:ascii="Times New Roman" w:hAnsi="Times New Roman" w:eastAsia="宋体" w:cs="Times New Roman"/>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2934</Words>
  <Characters>3004</Characters>
  <Lines>22</Lines>
  <Paragraphs>6</Paragraphs>
  <TotalTime>1</TotalTime>
  <ScaleCrop>false</ScaleCrop>
  <LinksUpToDate>false</LinksUpToDate>
  <CharactersWithSpaces>3014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2026-01-22T02:23:00Z</dcterms:created>
  <dc:creator>刘一百</dc:creator>
  <cp:lastModifiedBy>·</cp:lastModifiedBy>
  <dcterms:modified xsi:type="dcterms:W3CDTF">2026-01-22T08:51:32Z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6B67FA13E5EF4DD289A5B8EDEC733EA7_11</vt:lpwstr>
  </property>
  <property fmtid="{D5CDD505-2E9C-101B-9397-08002B2CF9AE}" pid="4" name="KSOTemplateDocerSaveRecord">
    <vt:lpwstr>eyJoZGlkIjoiOWRkYWJjMGI3NGU0YmE5NTE3ZDEwOTc3YWU0ODhlZjkiLCJ1c2VySWQiOiI0NTMzNDYxODAifQ==</vt:lpwstr>
  </property>
</Properties>
</file>