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A8810"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420" w:hanging="420"/>
        <w:jc w:val="center"/>
        <w:textAlignment w:val="auto"/>
        <w:rPr>
          <w:rFonts w:hint="eastAsia" w:ascii="仿宋" w:hAnsi="仿宋" w:eastAsia="仿宋"/>
          <w:b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b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采购需求</w:t>
      </w:r>
    </w:p>
    <w:p w14:paraId="5878E6B6"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420" w:hanging="420"/>
        <w:textAlignment w:val="auto"/>
        <w:rPr>
          <w:rFonts w:ascii="仿宋" w:hAnsi="仿宋" w:eastAsia="仿宋"/>
          <w:b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" w:hAnsi="仿宋" w:eastAsia="仿宋"/>
          <w:b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一、项目</w:t>
      </w:r>
      <w:r>
        <w:rPr>
          <w:rFonts w:hint="eastAsia" w:ascii="仿宋" w:hAnsi="仿宋" w:eastAsia="仿宋"/>
          <w:b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概况</w:t>
      </w:r>
    </w:p>
    <w:p w14:paraId="69F8D8A6">
      <w:pPr>
        <w:ind w:firstLine="560" w:firstLineChars="200"/>
        <w:rPr>
          <w:rFonts w:hint="default" w:ascii="仿宋_GB2312" w:eastAsia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西安市鄠邑区五竹街道总面积36平方公里，下辖22个行政村，耕地面积耕地面积4万余亩。按照西安市农业农村局关于印发《西安市整域推进农业废弃物循环利用试点项目实施方案》的工作要求，拟在全街道22个行政村范围内，推进农业废弃物循环利用。</w:t>
      </w:r>
    </w:p>
    <w:p w14:paraId="1A13B92A"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420" w:hanging="420"/>
        <w:textAlignment w:val="auto"/>
        <w:rPr>
          <w:rFonts w:ascii="仿宋" w:hAnsi="仿宋" w:eastAsia="仿宋"/>
          <w:b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b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二、服务内容</w:t>
      </w:r>
    </w:p>
    <w:p w14:paraId="3EE34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（一）建设地点：</w:t>
      </w:r>
    </w:p>
    <w:p w14:paraId="6915B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西安市鄠邑区五竹街道辖区内。</w:t>
      </w:r>
    </w:p>
    <w:p w14:paraId="1B877610">
      <w:pPr>
        <w:ind w:firstLine="562" w:firstLineChars="200"/>
        <w:rPr>
          <w:rFonts w:hint="eastAsia" w:ascii="仿宋_GB2312" w:eastAsia="仿宋_GB2312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（二）建设内容：</w:t>
      </w:r>
    </w:p>
    <w:p w14:paraId="2DDA0E12">
      <w:pPr>
        <w:ind w:firstLine="562" w:firstLineChars="200"/>
        <w:rPr>
          <w:rFonts w:hint="default" w:ascii="仿宋_GB2312" w:eastAsia="仿宋_GB2312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1、建设“前端”收集贮存体系</w:t>
      </w:r>
    </w:p>
    <w:p w14:paraId="73319C68">
      <w:pPr>
        <w:ind w:firstLine="560" w:firstLineChars="200"/>
        <w:rPr>
          <w:rFonts w:hint="eastAsia" w:ascii="仿宋_GB2312" w:eastAsia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①</w:t>
      </w:r>
      <w:r>
        <w:rPr>
          <w:rFonts w:hint="eastAsia" w:ascii="仿宋_GB2312" w:eastAsia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购置2辆物料粉碎车；2辆单排座轻型栏板卡车；6 辆树枝粉碎收集三轮车，在各村之间流动收集农业废弃物。</w:t>
      </w:r>
    </w:p>
    <w:p w14:paraId="7C5B6313">
      <w:pPr>
        <w:ind w:firstLine="560" w:firstLineChars="200"/>
        <w:rPr>
          <w:rFonts w:hint="eastAsia" w:ascii="仿宋_GB2312" w:eastAsia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②</w:t>
      </w:r>
      <w:r>
        <w:rPr>
          <w:rFonts w:hint="eastAsia" w:ascii="仿宋_GB2312" w:eastAsia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组织宣传活动5场；对22个行政村农废培训活动5场；制作农业废弃物分类堆放、利用等知识宣传手册 5000份；系统化宣传，微信等推广制作，宣传视频不少于3个；制作宣传横幅 200条；购买围裙、洗洁精等用于与农户置换农业废弃物的各类生活用品3000件；制作制度牌、标识牌；新建10个集中收集点。</w:t>
      </w:r>
    </w:p>
    <w:p w14:paraId="3B9009B5">
      <w:pPr>
        <w:ind w:firstLine="562" w:firstLineChars="200"/>
        <w:rPr>
          <w:rFonts w:hint="default" w:ascii="仿宋_GB2312" w:eastAsia="仿宋_GB2312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2、建设“中端”统一转运体系</w:t>
      </w:r>
    </w:p>
    <w:p w14:paraId="3C020377">
      <w:pPr>
        <w:ind w:firstLine="560" w:firstLineChars="200"/>
        <w:rPr>
          <w:rFonts w:hint="eastAsia" w:ascii="仿宋_GB2312" w:eastAsia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①</w:t>
      </w:r>
      <w:r>
        <w:rPr>
          <w:rFonts w:hint="eastAsia" w:ascii="仿宋_GB2312" w:eastAsia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收集、转运畜禽粪污 500 吨。</w:t>
      </w:r>
    </w:p>
    <w:p w14:paraId="25EA09D9">
      <w:pPr>
        <w:ind w:firstLine="560" w:firstLineChars="200"/>
        <w:rPr>
          <w:rFonts w:hint="eastAsia" w:ascii="仿宋_GB2312" w:eastAsia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②</w:t>
      </w:r>
      <w:r>
        <w:rPr>
          <w:rFonts w:hint="eastAsia" w:ascii="仿宋_GB2312" w:eastAsia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收集、转运农作物秸秆等农业废弃物 3500</w:t>
      </w:r>
      <w:r>
        <w:rPr>
          <w:rFonts w:hint="default"/>
          <w:color w:val="0D0D0D" w:themeColor="text1" w:themeTint="F2"/>
          <w:sz w:val="28"/>
          <w:highlight w:val="none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341630</wp:posOffset>
                </wp:positionV>
                <wp:extent cx="5238750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810" y="7517130"/>
                          <a:ext cx="523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26.9pt;height:0pt;width:412.5pt;z-index:251659264;mso-width-relative:page;mso-height-relative:page;" filled="f" stroked="t" coordsize="21600,21600" o:gfxdata="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9hsxV0wAAAAYBAAAPAAAAAAAAAAEAIAAAACIAAABk&#10;cnMvZG93bnJldi54bWxQSwECFAAUAAAACACHTuJA8pMLggsCAAD2AwAADgAAAAAAAAABACAAAAAi&#10;AQAAZHJzL2Uyb0RvYy54bWxQSwUGAAAAAAYABgBZAQAAnwUAAAAA&#10;">
                <v:fill on="f" focussize="0,0"/>
                <v:stroke weight="1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D0D0D" w:themeColor="text1" w:themeTint="F2"/>
          <w:sz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吨</w:t>
      </w:r>
      <w:r>
        <w:rPr>
          <w:rFonts w:hint="eastAsia" w:ascii="仿宋_GB2312" w:eastAsia="仿宋_GB2312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5118E556">
      <w:pPr>
        <w:rPr>
          <w:rFonts w:ascii="仿宋" w:hAnsi="仿宋" w:eastAsia="仿宋"/>
          <w:b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b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三、技术要求</w:t>
      </w:r>
    </w:p>
    <w:p w14:paraId="483FD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（一）农业废弃物循环利用整体服务技术</w:t>
      </w: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要求</w:t>
      </w:r>
    </w:p>
    <w:p w14:paraId="4ECF7BD4">
      <w:pPr>
        <w:widowControl w:val="0"/>
        <w:spacing w:after="0" w:line="60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资源化利用：采用先进的技术和工艺，将农林废弃物转化为有价值的资源，如有机肥、生物质能源等，实现资源的循环利用。</w:t>
      </w:r>
    </w:p>
    <w:p w14:paraId="150C3580">
      <w:pPr>
        <w:widowControl w:val="0"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无害化处理：在处理过程中，确保不会对环境造成污染，不会对人体健康产生危害。对于畜禽粪污等废弃物，进行严格的消毒和无害化处理，防止病菌的传播。</w:t>
      </w:r>
    </w:p>
    <w:p w14:paraId="4B5BBDD3">
      <w:pPr>
        <w:widowControl w:val="0"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高效利用：提高处理效率，降低处理成本，确保处理后的废弃物能够得到充分利用，实现经济效益和环境效益的双赢。</w:t>
      </w:r>
    </w:p>
    <w:p w14:paraId="07E5C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（二）采购车辆技术参数</w:t>
      </w:r>
    </w:p>
    <w:tbl>
      <w:tblPr>
        <w:tblStyle w:val="3"/>
        <w:tblW w:w="9152" w:type="dxa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89"/>
        <w:gridCol w:w="1479"/>
        <w:gridCol w:w="5239"/>
        <w:gridCol w:w="700"/>
      </w:tblGrid>
      <w:tr w14:paraId="22F2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4FB6B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</w:p>
        </w:tc>
        <w:tc>
          <w:tcPr>
            <w:tcW w:w="789" w:type="dxa"/>
          </w:tcPr>
          <w:p w14:paraId="2CD3F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数量</w:t>
            </w:r>
          </w:p>
        </w:tc>
        <w:tc>
          <w:tcPr>
            <w:tcW w:w="1479" w:type="dxa"/>
          </w:tcPr>
          <w:p w14:paraId="27C2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5239" w:type="dxa"/>
          </w:tcPr>
          <w:p w14:paraId="5917B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技术参数</w:t>
            </w:r>
          </w:p>
        </w:tc>
        <w:tc>
          <w:tcPr>
            <w:tcW w:w="700" w:type="dxa"/>
          </w:tcPr>
          <w:p w14:paraId="33CA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备注</w:t>
            </w:r>
          </w:p>
        </w:tc>
      </w:tr>
      <w:tr w14:paraId="323D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7867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辆</w:t>
            </w:r>
          </w:p>
        </w:tc>
        <w:tc>
          <w:tcPr>
            <w:tcW w:w="789" w:type="dxa"/>
            <w:vAlign w:val="center"/>
          </w:tcPr>
          <w:p w14:paraId="7A2DE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479" w:type="dxa"/>
            <w:vAlign w:val="center"/>
          </w:tcPr>
          <w:p w14:paraId="5F0DE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物料粉碎车</w:t>
            </w:r>
          </w:p>
        </w:tc>
        <w:tc>
          <w:tcPr>
            <w:tcW w:w="5239" w:type="dxa"/>
          </w:tcPr>
          <w:p w14:paraId="3BE21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1、燃料种类：柴油；</w:t>
            </w:r>
          </w:p>
          <w:p w14:paraId="7086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2、底盘排放标准：国六；</w:t>
            </w:r>
          </w:p>
          <w:p w14:paraId="2750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3、发动机额定功率：≥100kW</w:t>
            </w:r>
          </w:p>
          <w:p w14:paraId="178E8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4、总质量：≥4490kg；整备质量≥3900kg；</w:t>
            </w:r>
          </w:p>
          <w:p w14:paraId="257E4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5、轴距(mm)：≥3300，排量(ml)：≥2300；</w:t>
            </w:r>
          </w:p>
          <w:p w14:paraId="39165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6、外形尺寸（长×宽×高）：长≥5980mm；宽≥2060mm；高≥2990mm；</w:t>
            </w:r>
          </w:p>
          <w:p w14:paraId="0234A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7、前悬/后悬：≥1055/1617mm；</w:t>
            </w:r>
          </w:p>
          <w:p w14:paraId="12401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8、接近角/离去角：≥28/15(°)；</w:t>
            </w:r>
          </w:p>
          <w:p w14:paraId="459EE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9、车速：≥110(km/h)；</w:t>
            </w:r>
          </w:p>
          <w:p w14:paraId="74CD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10、最大进料尺寸：≥400mm*300mm；</w:t>
            </w:r>
          </w:p>
          <w:p w14:paraId="3EBF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11、料仓容积≥10.5m³；</w:t>
            </w:r>
          </w:p>
          <w:p w14:paraId="7D620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12、内置同等或优于鼓式双面切刀粉碎机，最大粉碎直径：≥200mm；</w:t>
            </w:r>
          </w:p>
          <w:p w14:paraId="3FCE6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13、其他性能及要</w:t>
            </w: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求:驾驶室配置冷暖空调，电动玻璃，中控锁，ABS，大灯自动调节，倒车影像。粉碎仓一体化成型。粉碎装置安装在托架上,四周密封，防止粉碎的木屑四处飞溅，保证安全性。厢体具备后倾翻油缸举升卸料。控制方式PLC控制模式。整机驱动为液压驱动方式，驱动动力从底盘变速箱侧窗口取力器取力，主机取力(无副发) 机械式，工作压力高，驱动扭矩大（采用先进的液压技术和智能化控制系统，操作简单）。满足农业废弃物田间收集及转运。</w:t>
            </w:r>
          </w:p>
        </w:tc>
        <w:tc>
          <w:tcPr>
            <w:tcW w:w="700" w:type="dxa"/>
          </w:tcPr>
          <w:p w14:paraId="338A6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A24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0107B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辆</w:t>
            </w:r>
          </w:p>
        </w:tc>
        <w:tc>
          <w:tcPr>
            <w:tcW w:w="789" w:type="dxa"/>
            <w:vAlign w:val="center"/>
          </w:tcPr>
          <w:p w14:paraId="6116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479" w:type="dxa"/>
            <w:vAlign w:val="center"/>
          </w:tcPr>
          <w:p w14:paraId="5ED5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单排座轻型栏板卡车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83D4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1、燃料种类:汽油；</w:t>
            </w:r>
          </w:p>
          <w:p w14:paraId="5B39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2、</w:t>
            </w: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发动机:汽油发动机；</w:t>
            </w:r>
          </w:p>
          <w:p w14:paraId="49EF7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排量(L):排量≥1.49；</w:t>
            </w:r>
          </w:p>
          <w:p w14:paraId="417DC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  <w:r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功率(KW):功率≥83；</w:t>
            </w:r>
          </w:p>
          <w:p w14:paraId="6CA05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排放标准:国六；</w:t>
            </w:r>
          </w:p>
          <w:p w14:paraId="322E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变速箱: 5 档；</w:t>
            </w:r>
          </w:p>
          <w:p w14:paraId="05C63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  <w:r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外廓尺寸(mm):5995≥长≥5520,2000≥宽≥1800,2230≥高≥2045；</w:t>
            </w:r>
          </w:p>
          <w:p w14:paraId="4D02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  <w:r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货箱尺寸(mm):3500≥长≥3400,1850≥宽≥1700，400≥高≥355；</w:t>
            </w:r>
          </w:p>
          <w:p w14:paraId="34A9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  <w:r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轮胎数:6个；</w:t>
            </w:r>
          </w:p>
          <w:p w14:paraId="35AC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轴距(mm):轴距≥2800；</w:t>
            </w:r>
          </w:p>
          <w:p w14:paraId="08735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11、总质量(kg):≥3495；</w:t>
            </w:r>
          </w:p>
          <w:p w14:paraId="783F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12、额定载质量(kg):≥1700；</w:t>
            </w:r>
          </w:p>
          <w:p w14:paraId="2921F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13、乘员人数:≥2人；</w:t>
            </w:r>
          </w:p>
          <w:p w14:paraId="3E357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14、其他配置及要求:中控锁、遥控钥匙、空调、电动门窗，倒车影像；满足农业废弃物田间收集及转运。</w:t>
            </w:r>
          </w:p>
        </w:tc>
        <w:tc>
          <w:tcPr>
            <w:tcW w:w="700" w:type="dxa"/>
          </w:tcPr>
          <w:p w14:paraId="4C894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8EA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1FE6E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辆</w:t>
            </w:r>
          </w:p>
        </w:tc>
        <w:tc>
          <w:tcPr>
            <w:tcW w:w="789" w:type="dxa"/>
            <w:vAlign w:val="center"/>
          </w:tcPr>
          <w:p w14:paraId="2569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479" w:type="dxa"/>
            <w:vAlign w:val="center"/>
          </w:tcPr>
          <w:p w14:paraId="3282F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树枝粉碎收集三轮车</w:t>
            </w:r>
          </w:p>
        </w:tc>
        <w:tc>
          <w:tcPr>
            <w:tcW w:w="5239" w:type="dxa"/>
          </w:tcPr>
          <w:p w14:paraId="2F052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1、行走动力: 电；</w:t>
            </w:r>
          </w:p>
          <w:p w14:paraId="6E54C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2、配套粉碎动力:汽油机；</w:t>
            </w:r>
          </w:p>
          <w:p w14:paraId="22DE1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3、总质量(kg）≥500kg；</w:t>
            </w:r>
          </w:p>
          <w:p w14:paraId="26C67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4、行走电机:≥60V1500W；</w:t>
            </w:r>
          </w:p>
          <w:p w14:paraId="42FA7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5、收料箱容量：≥1.4m³；</w:t>
            </w:r>
          </w:p>
          <w:p w14:paraId="66B5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6、粉碎物长度：≤30mm，粉碎物料直径：≤10cm；</w:t>
            </w:r>
          </w:p>
          <w:p w14:paraId="37A02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7、出料口数量：双出料口，自动卸料；</w:t>
            </w:r>
          </w:p>
          <w:p w14:paraId="49549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8、外廓尺寸(mm):长≥3400宽≥1120高≥1500</w:t>
            </w:r>
          </w:p>
          <w:p w14:paraId="7CE77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9、行走电池:60V32A铅酸免维护；</w:t>
            </w:r>
          </w:p>
          <w:p w14:paraId="386C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10、轮胎数:3个；</w:t>
            </w:r>
          </w:p>
          <w:p w14:paraId="0408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11、刀片长度:≥300mm；刀片材质:同等或优于优质高速钢，刀片数量:≥3片；</w:t>
            </w:r>
          </w:p>
          <w:p w14:paraId="216A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12、续航里程:≥15km，满足村内及田间短途收集要求；</w:t>
            </w:r>
          </w:p>
          <w:p w14:paraId="5F027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13、粉碎效率：≥800kg/h；</w:t>
            </w:r>
          </w:p>
        </w:tc>
        <w:tc>
          <w:tcPr>
            <w:tcW w:w="700" w:type="dxa"/>
          </w:tcPr>
          <w:p w14:paraId="5C6B2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450B8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1587184"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420" w:hanging="420"/>
        <w:textAlignment w:val="auto"/>
        <w:rPr>
          <w:rFonts w:ascii="仿宋" w:hAnsi="仿宋" w:eastAsia="仿宋"/>
          <w:b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b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四、服务要求</w:t>
      </w:r>
    </w:p>
    <w:p w14:paraId="1DCD4D86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2" w:firstLineChars="200"/>
        <w:rPr>
          <w:rFonts w:hint="eastAsia" w:ascii="仿宋" w:hAnsi="仿宋" w:eastAsia="仿宋"/>
          <w:b/>
          <w:color w:val="0D0D0D" w:themeColor="text1" w:themeTint="F2"/>
          <w:sz w:val="28"/>
          <w:szCs w:val="28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b/>
          <w:color w:val="0D0D0D" w:themeColor="text1" w:themeTint="F2"/>
          <w:sz w:val="28"/>
          <w:szCs w:val="28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" w:hAnsi="仿宋" w:eastAsia="仿宋"/>
          <w:b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</w:t>
      </w:r>
      <w:r>
        <w:rPr>
          <w:rFonts w:hint="eastAsia" w:ascii="仿宋" w:hAnsi="仿宋" w:eastAsia="仿宋"/>
          <w:b/>
          <w:color w:val="0D0D0D" w:themeColor="text1" w:themeTint="F2"/>
          <w:sz w:val="28"/>
          <w:szCs w:val="28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仿宋" w:hAnsi="仿宋" w:eastAsia="仿宋"/>
          <w:b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人员</w:t>
      </w:r>
      <w:r>
        <w:rPr>
          <w:rFonts w:hint="eastAsia" w:ascii="仿宋" w:hAnsi="仿宋" w:eastAsia="仿宋"/>
          <w:b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要求</w:t>
      </w:r>
    </w:p>
    <w:p w14:paraId="25DD498A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 项目经理：全面负责项目的各项管理工作，包括制定工作计划、项目的日常管理、协调组织和现场管理、质量管控等。</w:t>
      </w:r>
    </w:p>
    <w:p w14:paraId="581657AA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 技术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负责人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：应具备丰富的农业废弃物处理经验和技术知识，能够指导项目的技术实施，解决技术难题，并对项目的技术方案进行评审和优化。</w:t>
      </w:r>
    </w:p>
    <w:p w14:paraId="328EC536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 操作人员：包括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运输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驾驶人员、设备操作人员等，应熟悉作业机械和操作流程，能够按照项目要求进行操作和维护。同时，这些人员还需要接受相关的安全教育和培训，确保操作过程中的安全。</w:t>
      </w:r>
    </w:p>
    <w:p w14:paraId="347A848E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2" w:firstLineChars="200"/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</w:t>
      </w: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专业设备</w:t>
      </w: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要求</w:t>
      </w:r>
    </w:p>
    <w:p w14:paraId="4FBDD046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 秸秆处理设备：包括秸秆粉碎机、秸秆打包机等，用于将秸秆进行粉碎便于后续的储存和利用。</w:t>
      </w:r>
    </w:p>
    <w:p w14:paraId="015DDF26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 畜禽粪污处理设备：用于将畜禽粪污进行发酵和加工成有机肥，实现资源的循环利用。</w:t>
      </w:r>
    </w:p>
    <w:p w14:paraId="7068EEA3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运输设备：包括农用车、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货车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等，用于将处理后的秸秆和有机肥进行运输，满足项目的实际需求。</w:t>
      </w:r>
    </w:p>
    <w:p w14:paraId="51F95402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2" w:firstLineChars="200"/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</w:t>
      </w: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服务标准</w:t>
      </w:r>
    </w:p>
    <w:p w14:paraId="6663EEB0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 处理效率：确保项目能够高效处理农林废弃物，提高资源的利用率和回收率。</w:t>
      </w:r>
    </w:p>
    <w:p w14:paraId="11580F7B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 环保达标：在处理过程中，应严格遵守环保法规和标准，确保处理后的废弃物不会对环境和人体健康造成危害。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</w:p>
    <w:p w14:paraId="29D08A00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 技术先进：采用先进的技术和工艺，提高处理效果和产品质量，降低处理成本。</w:t>
      </w:r>
    </w:p>
    <w:p w14:paraId="7D7B68A5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 服务质量：提供优质的服务，包括技术咨询、设备维护、操作培训等，确保项目的顺利实施和长期稳定运行。</w:t>
      </w:r>
    </w:p>
    <w:p w14:paraId="34DD8BB1">
      <w:pPr>
        <w:widowControl w:val="0"/>
        <w:pBdr>
          <w:bottom w:val="single" w:color="FFFFFF" w:sz="4" w:space="31"/>
        </w:pBdr>
        <w:adjustRightInd/>
        <w:spacing w:after="0" w:line="600" w:lineRule="exact"/>
        <w:rPr>
          <w:rFonts w:ascii="仿宋" w:hAnsi="仿宋" w:eastAsia="仿宋"/>
          <w:b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405130</wp:posOffset>
                </wp:positionV>
                <wp:extent cx="542925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9810" y="4367530"/>
                          <a:ext cx="5429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7pt;margin-top:31.9pt;height:0pt;width:427.5pt;z-index:251660288;mso-width-relative:page;mso-height-relative:page;" filled="f" stroked="t" coordsize="21600,21600" o:gfxdata="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62yr7XAAAACQEAAA8AAAAAAAAAAQAgAAAA&#10;IgAAAGRycy9kb3ducmV2LnhtbFBLAQIUABQAAAAIAIdO4kBjaVuzDAIAAPYDAAAOAAAAAAAAAAEA&#10;IAAAACYBAABkcnMvZTJvRG9jLnhtbFBLBQYAAAAABgAGAFkBAACkBQAAAAA=&#10;">
                <v:fill on="f" focussize="0,0"/>
                <v:stroke weight="1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五、商务要求</w:t>
      </w:r>
    </w:p>
    <w:p w14:paraId="60B8B70C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2" w:firstLineChars="200"/>
        <w:rPr>
          <w:rFonts w:hint="default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（一）服务期限</w:t>
      </w: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供货期限、车辆质保期、保修范围</w:t>
      </w:r>
    </w:p>
    <w:p w14:paraId="02C5F817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1、项目总服务期限：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自合同签订之日起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12   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个月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3925524A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2、车辆供货期限：合同签订后 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30  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个日历天供货、安装、调试完毕。</w:t>
      </w:r>
    </w:p>
    <w:p w14:paraId="13FE118F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3、车辆质保期：1年。</w:t>
      </w:r>
    </w:p>
    <w:p w14:paraId="3D0C3E92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4、车辆保修范围：</w:t>
      </w:r>
      <w:r>
        <w:rPr>
          <w:rFonts w:hint="default" w:ascii="Calibri" w:hAnsi="Calibri" w:eastAsia="仿宋_GB2312" w:cs="Calibri"/>
          <w:b w:val="0"/>
          <w:bCs w:val="0"/>
          <w:color w:val="0D0D0D" w:themeColor="text1" w:themeTint="F2"/>
          <w:sz w:val="22"/>
          <w:szCs w:val="2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①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成交供应商应按国家及行业要求实行质量保障和服务。国家规定“三包”范围的，其产品质量保证期不得低于“三包”规定；成交供应商的质量保证期承诺优于国家“三包”规定的，按成交供应商实际承诺执行。质保期成交供应商必须严格按照采购文件要求的质量标准供货，在质保期出现质量问题（人为损坏除外），由中标人负责免费维修或更换。 </w:t>
      </w:r>
      <w:r>
        <w:rPr>
          <w:rFonts w:hint="default" w:ascii="Calibri" w:hAnsi="Calibri" w:eastAsia="仿宋_GB2312" w:cs="Calibri"/>
          <w:b w:val="0"/>
          <w:bCs w:val="0"/>
          <w:color w:val="0D0D0D" w:themeColor="text1" w:themeTint="F2"/>
          <w:sz w:val="22"/>
          <w:szCs w:val="2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②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成交供应商需为本项目提供售后服务团队，负责维修及抢修（含配件耗材的更换），售后服务部门在接到电话后2小时内响应，8小时内派专业技术人员到达现场解决问题，最迟在2个工作日内修复。 </w:t>
      </w:r>
      <w:r>
        <w:rPr>
          <w:rFonts w:hint="default" w:ascii="Calibri" w:hAnsi="Calibri" w:eastAsia="仿宋_GB2312" w:cs="Calibri"/>
          <w:b w:val="0"/>
          <w:bCs w:val="0"/>
          <w:color w:val="0D0D0D" w:themeColor="text1" w:themeTint="F2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③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质保期内，成交供应商怠于承担保修责任的，甲方有权委托第三方负责维修，由此产生的全部费用由乙方承担。质保期满后，成交供应商仍应向采购人提供及时的、优质的、价格优惠的技术服务，备品备件供应充足，所需费用由采购人承担。</w:t>
      </w:r>
    </w:p>
    <w:p w14:paraId="1507E243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5、其他要求：投标产品符合</w:t>
      </w:r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车辆管理部门上户标准，合同金额（不包含税、保险费及上牌费），如不能上户采购人有权要求无条件终止合同，一切损失由中标供应商承担。</w:t>
      </w:r>
    </w:p>
    <w:p w14:paraId="7A9E9081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2" w:firstLineChars="200"/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（二）款项结算</w:t>
      </w:r>
    </w:p>
    <w:p w14:paraId="30526D40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1、合同签订后，达到付款条件起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30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日内，支付合同总金额的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80 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%。</w:t>
      </w:r>
    </w:p>
    <w:p w14:paraId="045891ED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2、项目验收合格后，达到付款条件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起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30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日内支付合同总金额的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20 </w:t>
      </w:r>
      <w:r>
        <w:rPr>
          <w:rFonts w:hint="eastAsia" w:ascii="Times New Roman" w:hAnsi="Times New Roman" w:eastAsia="仿宋_GB2312" w:cs="Times New Roman"/>
          <w:b w:val="0"/>
          <w:bCs w:val="0"/>
          <w:color w:val="0D0D0D" w:themeColor="text1" w:themeTint="F2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%。</w:t>
      </w:r>
    </w:p>
    <w:p w14:paraId="2E37AE8F">
      <w:pPr>
        <w:widowControl w:val="0"/>
        <w:pBdr>
          <w:bottom w:val="single" w:color="FFFFFF" w:sz="4" w:space="31"/>
        </w:pBdr>
        <w:adjustRightInd/>
        <w:spacing w:after="0" w:line="600" w:lineRule="exact"/>
        <w:rPr>
          <w:rFonts w:hint="default" w:ascii="仿宋" w:hAnsi="仿宋" w:eastAsia="仿宋"/>
          <w:b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378460</wp:posOffset>
                </wp:positionV>
                <wp:extent cx="5567045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7007860"/>
                          <a:ext cx="5567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4pt;margin-top:29.8pt;height:0pt;width:438.35pt;z-index:251661312;mso-width-relative:page;mso-height-relative:page;" filled="f" stroked="t" coordsize="21600,21600" o:gfxdata="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NbzzU2QAAAAkBAAAPAAAAAAAAAAEAIAAA&#10;ACIAAABkcnMvZG93bnJldi54bWxQSwECFAAUAAAACACHTuJAw2y9zQsCAAD2AwAADgAAAAAAAAAB&#10;ACAAAAAoAQAAZHJzL2Uyb0RvYy54bWxQSwUGAAAAAAYABgBZAQAApQUAAAAA&#10;">
                <v:fill on="f" focussize="0,0"/>
                <v:stroke weight="1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六、其他</w:t>
      </w:r>
    </w:p>
    <w:p w14:paraId="19AAECCE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2" w:firstLineChars="200"/>
        <w:rPr>
          <w:rFonts w:hint="default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（一）质量验收标准或规范</w:t>
      </w:r>
    </w:p>
    <w:p w14:paraId="447ECAF9">
      <w:pPr>
        <w:widowControl w:val="0"/>
        <w:numPr>
          <w:ilvl w:val="0"/>
          <w:numId w:val="0"/>
        </w:numPr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符合国家相关质量标准并满足采购人需求。</w:t>
      </w:r>
    </w:p>
    <w:p w14:paraId="4EF0E028">
      <w:pPr>
        <w:widowControl w:val="0"/>
        <w:numPr>
          <w:ilvl w:val="0"/>
          <w:numId w:val="0"/>
        </w:numPr>
        <w:pBdr>
          <w:bottom w:val="single" w:color="FFFFFF" w:sz="4" w:space="31"/>
        </w:pBdr>
        <w:adjustRightInd/>
        <w:spacing w:after="0" w:line="600" w:lineRule="exact"/>
        <w:ind w:firstLine="562" w:firstLineChars="200"/>
        <w:rPr>
          <w:rFonts w:hint="default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</w:t>
      </w: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违约责任</w:t>
      </w:r>
    </w:p>
    <w:p w14:paraId="14384128">
      <w:pPr>
        <w:widowControl w:val="0"/>
        <w:pBdr>
          <w:bottom w:val="single" w:color="FFFFFF" w:sz="4" w:space="31"/>
        </w:pBdr>
        <w:adjustRightInd/>
        <w:spacing w:after="0" w:line="600" w:lineRule="exact"/>
        <w:ind w:firstLine="560" w:firstLineChars="200"/>
        <w:rPr>
          <w:rFonts w:hint="eastAsia"/>
          <w:color w:val="0D0D0D" w:themeColor="text1" w:themeTint="F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违约责任按《中华人民共和国民法典》处理中的相关条款执行。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</w:p>
    <w:p w14:paraId="5BE5816B">
      <w:pPr>
        <w:rPr>
          <w:color w:val="0D0D0D" w:themeColor="text1" w:themeTint="F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735D3"/>
    <w:rsid w:val="275A15CE"/>
    <w:rsid w:val="442B7241"/>
    <w:rsid w:val="49F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1821</Words>
  <Characters>1858</Characters>
  <DocSecurity>0</DocSecurity>
  <Lines>0</Lines>
  <Paragraphs>0</Paragraphs>
  <ScaleCrop>false</ScaleCrop>
  <LinksUpToDate>false</LinksUpToDate>
  <CharactersWithSpaces>1896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2026-02-05T06:33:00Z</dcterms:created>
  <dcterms:modified xsi:type="dcterms:W3CDTF">2026-02-06T06:16:56Z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eyJoZGlkIjoiMWFjNWQ3NmRkMzQ0MTBhM2FmMTM1NWQwNTU3MWFhOWQiLCJ1c2VySWQiOiIxNjg2MjM3MjQ3In0=</vt:lpwstr>
  </property>
  <property fmtid="{D5CDD505-2E9C-101B-9397-08002B2CF9AE}" pid="4" name="ICV">
    <vt:lpwstr>60F18F248B3640899241196BAEDBF6A6_12</vt:lpwstr>
  </property>
</Properties>
</file>