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28925">
      <w:pPr>
        <w:spacing w:line="480" w:lineRule="exact"/>
        <w:ind w:right="137"/>
        <w:jc w:val="right"/>
        <w:rPr>
          <w:rFonts w:ascii="宋体" w:hAnsi="宋体"/>
          <w:b/>
          <w:sz w:val="28"/>
          <w:szCs w:val="24"/>
          <w:highlight w:val="none"/>
        </w:rPr>
      </w:pPr>
      <w:r>
        <w:rPr>
          <w:rFonts w:hint="eastAsia" w:ascii="宋体" w:hAnsi="宋体"/>
          <w:b/>
          <w:sz w:val="28"/>
          <w:szCs w:val="24"/>
          <w:highlight w:val="none"/>
        </w:rPr>
        <w:t xml:space="preserve"> 政府采购项目</w:t>
      </w:r>
    </w:p>
    <w:p w14:paraId="43EB41BB">
      <w:pPr>
        <w:spacing w:line="360" w:lineRule="auto"/>
        <w:rPr>
          <w:rStyle w:val="88"/>
          <w:rFonts w:hint="default" w:ascii="宋体" w:hAnsi="宋体" w:eastAsia="宋体" w:cs="Arial"/>
          <w:b/>
          <w:sz w:val="28"/>
          <w:szCs w:val="24"/>
          <w:highlight w:val="none"/>
          <w:lang w:val="en-US" w:eastAsia="zh-CN"/>
        </w:rPr>
      </w:pPr>
      <w:r>
        <w:rPr>
          <w:rStyle w:val="88"/>
          <w:rFonts w:hint="eastAsia" w:ascii="宋体" w:hAnsi="宋体" w:cs="Arial"/>
          <w:b/>
          <w:sz w:val="28"/>
          <w:szCs w:val="24"/>
          <w:highlight w:val="none"/>
        </w:rPr>
        <w:t>项目编号：</w:t>
      </w:r>
      <w:r>
        <w:rPr>
          <w:rStyle w:val="88"/>
          <w:rFonts w:hint="eastAsia" w:ascii="宋体" w:hAnsi="宋体" w:cs="Arial"/>
          <w:b/>
          <w:sz w:val="28"/>
          <w:szCs w:val="24"/>
          <w:highlight w:val="none"/>
          <w:lang w:eastAsia="zh-CN"/>
        </w:rPr>
        <w:t>AKSH2025-ZGK-186</w:t>
      </w:r>
    </w:p>
    <w:p w14:paraId="7D245155">
      <w:pPr>
        <w:pStyle w:val="36"/>
        <w:jc w:val="both"/>
        <w:rPr>
          <w:highlight w:val="none"/>
        </w:rPr>
      </w:pPr>
    </w:p>
    <w:p w14:paraId="45D95445">
      <w:pPr>
        <w:pStyle w:val="36"/>
        <w:jc w:val="both"/>
        <w:rPr>
          <w:sz w:val="24"/>
          <w:szCs w:val="24"/>
          <w:highlight w:val="none"/>
        </w:rPr>
      </w:pPr>
    </w:p>
    <w:p w14:paraId="6AA5A8A7">
      <w:pPr>
        <w:pStyle w:val="28"/>
        <w:rPr>
          <w:highlight w:val="none"/>
        </w:rPr>
      </w:pPr>
    </w:p>
    <w:p w14:paraId="2B45FA7A">
      <w:pPr>
        <w:spacing w:line="360" w:lineRule="auto"/>
        <w:jc w:val="center"/>
        <w:rPr>
          <w:rFonts w:hint="eastAsia" w:ascii="宋体" w:hAnsi="宋体" w:eastAsia="宋体"/>
          <w:b/>
          <w:sz w:val="52"/>
          <w:szCs w:val="52"/>
          <w:highlight w:val="none"/>
          <w:lang w:eastAsia="zh-CN"/>
        </w:rPr>
      </w:pPr>
      <w:r>
        <w:rPr>
          <w:rFonts w:hint="eastAsia" w:ascii="宋体" w:hAnsi="宋体"/>
          <w:b/>
          <w:sz w:val="52"/>
          <w:szCs w:val="52"/>
          <w:highlight w:val="none"/>
          <w:lang w:eastAsia="zh-CN"/>
        </w:rPr>
        <w:t>安康市中心医院资产管理系统及资产数据治理服务采购项目</w:t>
      </w:r>
    </w:p>
    <w:p w14:paraId="0F4127B2">
      <w:pPr>
        <w:spacing w:line="360" w:lineRule="auto"/>
        <w:ind w:left="3202" w:leftChars="309" w:hanging="2553" w:hangingChars="489"/>
        <w:jc w:val="left"/>
        <w:rPr>
          <w:rFonts w:hint="eastAsia" w:ascii="宋体" w:hAnsi="宋体"/>
          <w:b/>
          <w:sz w:val="52"/>
          <w:szCs w:val="52"/>
          <w:highlight w:val="none"/>
        </w:rPr>
      </w:pPr>
    </w:p>
    <w:p w14:paraId="1B3361FF">
      <w:pPr>
        <w:spacing w:line="360" w:lineRule="auto"/>
        <w:ind w:left="3202" w:leftChars="309" w:hanging="2553" w:hangingChars="489"/>
        <w:jc w:val="center"/>
        <w:rPr>
          <w:rFonts w:ascii="宋体" w:hAnsi="宋体"/>
          <w:b/>
          <w:sz w:val="52"/>
          <w:szCs w:val="52"/>
          <w:highlight w:val="none"/>
        </w:rPr>
      </w:pPr>
      <w:r>
        <w:rPr>
          <w:rFonts w:ascii="宋体" w:hAnsi="宋体"/>
          <w:b/>
          <w:sz w:val="52"/>
          <w:szCs w:val="52"/>
          <w:highlight w:val="none"/>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18CC8BD8">
      <w:pPr>
        <w:pStyle w:val="17"/>
        <w:rPr>
          <w:rFonts w:ascii="宋体" w:hAnsi="宋体"/>
          <w:b/>
          <w:sz w:val="52"/>
          <w:szCs w:val="52"/>
          <w:highlight w:val="none"/>
        </w:rPr>
      </w:pPr>
    </w:p>
    <w:p w14:paraId="4F7BF40F">
      <w:pPr>
        <w:pStyle w:val="42"/>
        <w:rPr>
          <w:highlight w:val="none"/>
        </w:rPr>
      </w:pPr>
    </w:p>
    <w:p w14:paraId="3D873885">
      <w:pPr>
        <w:jc w:val="center"/>
        <w:rPr>
          <w:rFonts w:ascii="宋体" w:hAnsi="宋体"/>
          <w:b/>
          <w:sz w:val="52"/>
          <w:szCs w:val="52"/>
          <w:highlight w:val="none"/>
        </w:rPr>
      </w:pPr>
      <w:r>
        <w:rPr>
          <w:rFonts w:hint="eastAsia" w:ascii="宋体" w:hAnsi="宋体"/>
          <w:b/>
          <w:sz w:val="52"/>
          <w:szCs w:val="52"/>
          <w:highlight w:val="none"/>
        </w:rPr>
        <w:t xml:space="preserve">  </w:t>
      </w:r>
      <w:r>
        <w:rPr>
          <w:rFonts w:ascii="宋体" w:hAnsi="宋体"/>
          <w:b/>
          <w:sz w:val="52"/>
          <w:szCs w:val="52"/>
          <w:highlight w:val="none"/>
        </w:rPr>
        <w:t>招</w:t>
      </w:r>
      <w:r>
        <w:rPr>
          <w:rFonts w:hint="eastAsia" w:ascii="宋体" w:hAnsi="宋体"/>
          <w:b/>
          <w:color w:val="FF0000"/>
          <w:sz w:val="52"/>
          <w:szCs w:val="52"/>
          <w:highlight w:val="none"/>
        </w:rPr>
        <w:t xml:space="preserve"> </w:t>
      </w:r>
      <w:r>
        <w:rPr>
          <w:rFonts w:ascii="宋体" w:hAnsi="宋体"/>
          <w:b/>
          <w:sz w:val="52"/>
          <w:szCs w:val="52"/>
          <w:highlight w:val="none"/>
        </w:rPr>
        <w:t>标</w:t>
      </w:r>
      <w:r>
        <w:rPr>
          <w:rFonts w:hint="eastAsia" w:ascii="宋体" w:hAnsi="宋体"/>
          <w:b/>
          <w:sz w:val="52"/>
          <w:szCs w:val="52"/>
          <w:highlight w:val="none"/>
        </w:rPr>
        <w:t xml:space="preserve">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4A92568D">
      <w:pPr>
        <w:jc w:val="center"/>
        <w:rPr>
          <w:rFonts w:ascii="宋体" w:hAnsi="宋体"/>
          <w:b/>
          <w:sz w:val="24"/>
          <w:szCs w:val="24"/>
          <w:highlight w:val="none"/>
        </w:rPr>
      </w:pPr>
    </w:p>
    <w:p w14:paraId="06758561">
      <w:pPr>
        <w:pStyle w:val="16"/>
        <w:rPr>
          <w:rFonts w:ascii="宋体" w:hAnsi="宋体"/>
          <w:b/>
          <w:sz w:val="24"/>
          <w:szCs w:val="24"/>
          <w:highlight w:val="none"/>
        </w:rPr>
      </w:pPr>
    </w:p>
    <w:p w14:paraId="3DD77BDF">
      <w:pPr>
        <w:pStyle w:val="16"/>
        <w:rPr>
          <w:rFonts w:ascii="宋体" w:hAnsi="宋体"/>
          <w:b/>
          <w:sz w:val="24"/>
          <w:szCs w:val="24"/>
          <w:highlight w:val="none"/>
        </w:rPr>
      </w:pPr>
    </w:p>
    <w:p w14:paraId="0541A4B6">
      <w:pPr>
        <w:pStyle w:val="16"/>
        <w:rPr>
          <w:rFonts w:ascii="宋体" w:hAnsi="宋体"/>
          <w:b/>
          <w:sz w:val="24"/>
          <w:szCs w:val="24"/>
          <w:highlight w:val="none"/>
        </w:rPr>
      </w:pPr>
    </w:p>
    <w:p w14:paraId="423E92F6">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eastAsia="宋体"/>
          <w:b/>
          <w:sz w:val="30"/>
          <w:szCs w:val="30"/>
          <w:highlight w:val="none"/>
          <w:lang w:eastAsia="zh-CN"/>
        </w:rPr>
      </w:pPr>
      <w:r>
        <w:rPr>
          <w:rFonts w:ascii="宋体" w:hAnsi="宋体"/>
          <w:b/>
          <w:sz w:val="30"/>
          <w:szCs w:val="30"/>
          <w:highlight w:val="none"/>
        </w:rPr>
        <w:t>采</w:t>
      </w:r>
      <w:r>
        <w:rPr>
          <w:rFonts w:hint="eastAsia" w:ascii="宋体" w:hAnsi="宋体"/>
          <w:b/>
          <w:sz w:val="30"/>
          <w:szCs w:val="30"/>
          <w:highlight w:val="none"/>
          <w:lang w:val="en-US" w:eastAsia="zh-CN"/>
        </w:rPr>
        <w:t xml:space="preserve">   </w:t>
      </w:r>
      <w:r>
        <w:rPr>
          <w:rFonts w:ascii="宋体" w:hAnsi="宋体"/>
          <w:b/>
          <w:sz w:val="30"/>
          <w:szCs w:val="30"/>
          <w:highlight w:val="none"/>
        </w:rPr>
        <w:t>购</w:t>
      </w:r>
      <w:r>
        <w:rPr>
          <w:rFonts w:hint="eastAsia" w:ascii="宋体" w:hAnsi="宋体"/>
          <w:b/>
          <w:sz w:val="30"/>
          <w:szCs w:val="30"/>
          <w:highlight w:val="none"/>
          <w:lang w:val="en-US" w:eastAsia="zh-CN"/>
        </w:rPr>
        <w:t xml:space="preserve">   </w:t>
      </w:r>
      <w:r>
        <w:rPr>
          <w:rFonts w:hint="eastAsia" w:ascii="宋体" w:hAnsi="宋体"/>
          <w:b/>
          <w:sz w:val="30"/>
          <w:szCs w:val="30"/>
          <w:highlight w:val="none"/>
        </w:rPr>
        <w:t>人</w:t>
      </w:r>
      <w:r>
        <w:rPr>
          <w:rFonts w:ascii="宋体" w:hAnsi="宋体"/>
          <w:b/>
          <w:sz w:val="30"/>
          <w:szCs w:val="30"/>
          <w:highlight w:val="none"/>
        </w:rPr>
        <w:t>：</w:t>
      </w:r>
      <w:r>
        <w:rPr>
          <w:rFonts w:hint="eastAsia" w:ascii="宋体" w:hAnsi="宋体"/>
          <w:b/>
          <w:sz w:val="30"/>
          <w:szCs w:val="30"/>
          <w:highlight w:val="none"/>
          <w:lang w:eastAsia="zh-CN"/>
        </w:rPr>
        <w:t>安康市中心医院</w:t>
      </w:r>
    </w:p>
    <w:p w14:paraId="40E1F801">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b/>
          <w:sz w:val="30"/>
          <w:szCs w:val="30"/>
          <w:highlight w:val="none"/>
        </w:rPr>
      </w:pPr>
      <w:r>
        <w:rPr>
          <w:rFonts w:hint="eastAsia" w:ascii="宋体" w:hAnsi="宋体"/>
          <w:b/>
          <w:sz w:val="30"/>
          <w:szCs w:val="30"/>
          <w:highlight w:val="none"/>
        </w:rPr>
        <w:t>采购代理机构</w:t>
      </w:r>
      <w:r>
        <w:rPr>
          <w:rFonts w:ascii="宋体" w:hAnsi="宋体"/>
          <w:b/>
          <w:sz w:val="30"/>
          <w:szCs w:val="30"/>
          <w:highlight w:val="none"/>
        </w:rPr>
        <w:t>：</w:t>
      </w:r>
      <w:r>
        <w:rPr>
          <w:rFonts w:hint="eastAsia" w:ascii="宋体" w:hAnsi="宋体"/>
          <w:b/>
          <w:sz w:val="30"/>
          <w:szCs w:val="30"/>
          <w:highlight w:val="none"/>
        </w:rPr>
        <w:t>安康尚昊招标代理有限公司</w:t>
      </w:r>
    </w:p>
    <w:p w14:paraId="5F6927FD">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ascii="宋体" w:hAnsi="宋体"/>
          <w:b/>
          <w:bCs/>
          <w:sz w:val="30"/>
          <w:szCs w:val="30"/>
          <w:highlight w:val="none"/>
        </w:rPr>
      </w:pPr>
      <w:r>
        <w:rPr>
          <w:rFonts w:hint="eastAsia" w:ascii="宋体" w:hAnsi="宋体" w:cs="Arial"/>
          <w:b/>
          <w:bCs/>
          <w:sz w:val="30"/>
          <w:szCs w:val="30"/>
          <w:highlight w:val="none"/>
          <w:lang w:val="en-US" w:eastAsia="zh-CN"/>
        </w:rPr>
        <w:t>日        期：二〇二六年一</w:t>
      </w:r>
      <w:r>
        <w:rPr>
          <w:rFonts w:ascii="宋体" w:hAnsi="宋体"/>
          <w:b/>
          <w:bCs/>
          <w:sz w:val="30"/>
          <w:szCs w:val="30"/>
          <w:highlight w:val="none"/>
        </w:rPr>
        <w:t>月</w:t>
      </w:r>
    </w:p>
    <w:p w14:paraId="1B2CB78B">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sz w:val="30"/>
          <w:szCs w:val="30"/>
          <w:highlight w:val="none"/>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rtlGutter w:val="0"/>
          <w:docGrid w:type="lines" w:linePitch="326" w:charSpace="0"/>
        </w:sectPr>
      </w:pPr>
      <w:bookmarkStart w:id="0" w:name="_Toc23258603"/>
    </w:p>
    <w:p w14:paraId="093DDC13">
      <w:pPr>
        <w:pStyle w:val="2"/>
        <w:tabs>
          <w:tab w:val="center" w:pos="4535"/>
          <w:tab w:val="left" w:pos="6489"/>
        </w:tabs>
        <w:spacing w:before="0" w:after="0" w:line="360" w:lineRule="auto"/>
        <w:jc w:val="left"/>
        <w:rPr>
          <w:rFonts w:ascii="宋体" w:hAnsi="宋体"/>
          <w:sz w:val="48"/>
          <w:szCs w:val="36"/>
          <w:highlight w:val="none"/>
        </w:rPr>
      </w:pPr>
      <w:r>
        <w:rPr>
          <w:rFonts w:ascii="宋体" w:hAnsi="宋体"/>
          <w:sz w:val="48"/>
          <w:szCs w:val="36"/>
          <w:highlight w:val="none"/>
        </w:rPr>
        <w:tab/>
      </w:r>
      <w:bookmarkStart w:id="1" w:name="_Toc38441518"/>
    </w:p>
    <w:p w14:paraId="2B79A911">
      <w:pPr>
        <w:pStyle w:val="2"/>
        <w:tabs>
          <w:tab w:val="center" w:pos="4535"/>
          <w:tab w:val="left" w:pos="6489"/>
        </w:tabs>
        <w:spacing w:before="0" w:after="0" w:line="360" w:lineRule="auto"/>
        <w:ind w:firstLine="3373" w:firstLineChars="700"/>
        <w:rPr>
          <w:rFonts w:ascii="宋体" w:hAnsi="宋体"/>
          <w:sz w:val="48"/>
          <w:szCs w:val="36"/>
          <w:highlight w:val="none"/>
        </w:rPr>
      </w:pPr>
      <w:bookmarkStart w:id="2" w:name="_Toc4802"/>
      <w:bookmarkStart w:id="3" w:name="_Toc11077"/>
      <w:r>
        <w:rPr>
          <w:rFonts w:hint="eastAsia" w:ascii="宋体" w:hAnsi="宋体"/>
          <w:sz w:val="48"/>
          <w:szCs w:val="36"/>
          <w:highlight w:val="none"/>
        </w:rPr>
        <w:t>目  录</w:t>
      </w:r>
      <w:bookmarkEnd w:id="1"/>
      <w:bookmarkEnd w:id="2"/>
      <w:bookmarkEnd w:id="3"/>
    </w:p>
    <w:p w14:paraId="55C65BF8">
      <w:pPr>
        <w:rPr>
          <w:highlight w:val="none"/>
        </w:rPr>
      </w:pPr>
    </w:p>
    <w:p w14:paraId="567BF27E">
      <w:pPr>
        <w:pStyle w:val="30"/>
        <w:tabs>
          <w:tab w:val="right" w:leader="dot" w:pos="9071"/>
        </w:tabs>
        <w:rPr>
          <w:rFonts w:hint="eastAsia" w:ascii="宋体" w:hAnsi="宋体" w:eastAsia="宋体" w:cs="宋体"/>
          <w:sz w:val="32"/>
          <w:szCs w:val="32"/>
          <w:highlight w:val="none"/>
        </w:rPr>
      </w:pPr>
      <w:bookmarkStart w:id="4" w:name="OLE_LINK57"/>
      <w:bookmarkStart w:id="5" w:name="OLE_LINK40"/>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"1-1" \h \z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_Toc12136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_Toc12136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7C716D5">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_Toc27727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_Toc27727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63E0B3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_Toc1882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_Toc1882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26C8838">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采购内容</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_Toc30693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33E4F06">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_Toc31854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_Toc31854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F48F3A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_Toc23239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第六章 合同格式（仅供参考）</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_Toc23239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1113D60">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_Toc28814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ED68A94">
      <w:pPr>
        <w:spacing w:line="480" w:lineRule="auto"/>
        <w:rPr>
          <w:highlight w:val="none"/>
        </w:rPr>
      </w:pPr>
      <w:r>
        <w:rPr>
          <w:rFonts w:hint="eastAsia" w:ascii="宋体" w:hAnsi="宋体" w:eastAsia="宋体" w:cs="宋体"/>
          <w:sz w:val="32"/>
          <w:szCs w:val="32"/>
          <w:highlight w:val="none"/>
        </w:rPr>
        <w:fldChar w:fldCharType="end"/>
      </w:r>
      <w:bookmarkEnd w:id="4"/>
    </w:p>
    <w:bookmarkEnd w:id="5"/>
    <w:p w14:paraId="6DF2256B">
      <w:pPr>
        <w:rPr>
          <w:highlight w:val="none"/>
        </w:rPr>
      </w:pPr>
    </w:p>
    <w:p w14:paraId="17260790">
      <w:pPr>
        <w:spacing w:line="360" w:lineRule="exact"/>
        <w:rPr>
          <w:highlight w:val="none"/>
        </w:rPr>
        <w:sectPr>
          <w:footerReference r:id="rId9" w:type="first"/>
          <w:headerReference r:id="rId7" w:type="default"/>
          <w:footerReference r:id="rId8" w:type="default"/>
          <w:pgSz w:w="11905" w:h="16838"/>
          <w:pgMar w:top="1247" w:right="1417" w:bottom="1247" w:left="1417" w:header="964" w:footer="992" w:gutter="0"/>
          <w:pgNumType w:fmt="decimal" w:start="1" w:chapStyle="1"/>
          <w:cols w:space="0" w:num="1"/>
          <w:rtlGutter w:val="0"/>
          <w:docGrid w:type="lines" w:linePitch="326" w:charSpace="0"/>
        </w:sectPr>
      </w:pPr>
    </w:p>
    <w:p w14:paraId="3DBC3449">
      <w:pPr>
        <w:pStyle w:val="2"/>
        <w:spacing w:before="0" w:after="0" w:line="500" w:lineRule="exact"/>
        <w:jc w:val="center"/>
        <w:rPr>
          <w:rFonts w:ascii="宋体" w:hAnsi="宋体"/>
          <w:sz w:val="36"/>
          <w:szCs w:val="36"/>
          <w:highlight w:val="none"/>
        </w:rPr>
      </w:pPr>
      <w:bookmarkStart w:id="6" w:name="_Toc12136"/>
      <w:bookmarkStart w:id="7" w:name="_Toc26541320"/>
      <w:r>
        <w:rPr>
          <w:rFonts w:hint="eastAsia" w:ascii="宋体" w:hAnsi="宋体"/>
          <w:sz w:val="36"/>
          <w:szCs w:val="36"/>
          <w:highlight w:val="none"/>
        </w:rPr>
        <w:t xml:space="preserve">第一章 </w:t>
      </w:r>
      <w:bookmarkStart w:id="8" w:name="OLE_LINK1"/>
      <w:r>
        <w:rPr>
          <w:rFonts w:hint="eastAsia" w:ascii="宋体" w:hAnsi="宋体"/>
          <w:sz w:val="36"/>
          <w:szCs w:val="36"/>
          <w:highlight w:val="none"/>
        </w:rPr>
        <w:t>招标公告</w:t>
      </w:r>
      <w:bookmarkEnd w:id="0"/>
      <w:bookmarkEnd w:id="6"/>
      <w:bookmarkEnd w:id="7"/>
    </w:p>
    <w:bookmarkEnd w:id="8"/>
    <w:p w14:paraId="572973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项目概况</w:t>
      </w:r>
    </w:p>
    <w:p w14:paraId="4F51BA4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安康市中心医院资产管理系统及资产数据治理服务采购项目</w:t>
      </w:r>
      <w:r>
        <w:rPr>
          <w:rFonts w:hint="eastAsia" w:ascii="宋体" w:hAnsi="宋体" w:eastAsia="宋体" w:cs="宋体"/>
          <w:i w:val="0"/>
          <w:iCs w:val="0"/>
          <w:caps w:val="0"/>
          <w:color w:val="333333"/>
          <w:spacing w:val="0"/>
          <w:sz w:val="24"/>
          <w:szCs w:val="24"/>
          <w:shd w:val="clear" w:fill="FFFFFF"/>
        </w:rPr>
        <w:t>的潜在投标人应在全国公共资源交易中心平台（陕西省 安康市）获取招标文件，并于2026年02月04日 09时00分（北京时间）前递交投标文件。</w:t>
      </w:r>
    </w:p>
    <w:p w14:paraId="5C34BC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一、项目基本情况</w:t>
      </w:r>
    </w:p>
    <w:p w14:paraId="6BE5285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AKSH2025-ZGK-186</w:t>
      </w:r>
    </w:p>
    <w:p w14:paraId="18E014C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安康市中心医院资产管理系统及资产数据治理服务采购项目</w:t>
      </w:r>
    </w:p>
    <w:p w14:paraId="6F6BEB0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0CEDC8B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预算金额：990,000.00元</w:t>
      </w:r>
    </w:p>
    <w:p w14:paraId="510D1B1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239D8F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安康市中心医院资产管理系统及资产数据治理服务采购项目</w:t>
      </w:r>
      <w:r>
        <w:rPr>
          <w:rFonts w:hint="eastAsia" w:ascii="宋体" w:hAnsi="宋体" w:eastAsia="宋体" w:cs="宋体"/>
          <w:i w:val="0"/>
          <w:iCs w:val="0"/>
          <w:caps w:val="0"/>
          <w:color w:val="333333"/>
          <w:spacing w:val="0"/>
          <w:sz w:val="24"/>
          <w:szCs w:val="24"/>
          <w:shd w:val="clear" w:fill="FFFFFF"/>
        </w:rPr>
        <w:t>):</w:t>
      </w:r>
    </w:p>
    <w:p w14:paraId="31452D9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rPr>
        <w:t>预算金额：990,000.00元</w:t>
      </w:r>
    </w:p>
    <w:p w14:paraId="0AB8B22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0,000.00元</w:t>
      </w:r>
    </w:p>
    <w:tbl>
      <w:tblPr>
        <w:tblStyle w:val="44"/>
        <w:tblW w:w="10418"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0"/>
        <w:gridCol w:w="1536"/>
        <w:gridCol w:w="1769"/>
        <w:gridCol w:w="1193"/>
        <w:gridCol w:w="1810"/>
        <w:gridCol w:w="1680"/>
        <w:gridCol w:w="1680"/>
      </w:tblGrid>
      <w:tr w14:paraId="018DE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E70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BA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5715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191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A16F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693B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C87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9F21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DC4C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7DAA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AEA3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应用软件</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4E7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资产管理系统及资产信息数据治理服务</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1CE5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年</w:t>
            </w:r>
            <w:r>
              <w:rPr>
                <w:rFonts w:hint="eastAsia" w:ascii="宋体" w:hAnsi="宋体" w:eastAsia="宋体" w:cs="宋体"/>
                <w:color w:val="auto"/>
                <w:sz w:val="24"/>
                <w:szCs w:val="24"/>
              </w:rPr>
              <w:t>)</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C734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88A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990,000.00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C10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0,000.00</w:t>
            </w:r>
          </w:p>
        </w:tc>
      </w:tr>
    </w:tbl>
    <w:p w14:paraId="3FD4124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CB95F9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fill="FFFFFF"/>
        </w:rPr>
        <w:t>合同履行期限：签订合同后 180个日历日内交付（含安装调试验收）</w:t>
      </w:r>
      <w:r>
        <w:rPr>
          <w:rFonts w:hint="eastAsia" w:ascii="宋体" w:hAnsi="宋体" w:eastAsia="宋体"/>
          <w:color w:val="auto"/>
          <w:kern w:val="0"/>
          <w:sz w:val="24"/>
          <w:szCs w:val="24"/>
          <w:highlight w:val="none"/>
          <w:lang w:val="en-US" w:eastAsia="zh-CN"/>
        </w:rPr>
        <w:t>。</w:t>
      </w:r>
    </w:p>
    <w:p w14:paraId="65E6D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二、申请人的资格要求：</w:t>
      </w:r>
    </w:p>
    <w:p w14:paraId="0010DC0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480B272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4C2565B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安康市中心医院资产管理系统及资产数据治理服务采购项目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1FDD539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692C2A5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7B8BCF61">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2A8138C">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4A0A32C8">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20DF605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7C7C2D12">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4A8DCB9C">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3471B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2BFEE0F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安康市中心医院资产管理系统及资产数据治理服务采购项目</w:t>
      </w:r>
      <w:r>
        <w:rPr>
          <w:rFonts w:hint="eastAsia" w:ascii="宋体" w:hAnsi="宋体" w:eastAsia="宋体" w:cs="宋体"/>
          <w:i w:val="0"/>
          <w:iCs w:val="0"/>
          <w:caps w:val="0"/>
          <w:color w:val="333333"/>
          <w:spacing w:val="0"/>
          <w:sz w:val="24"/>
          <w:szCs w:val="24"/>
          <w:shd w:val="clear" w:fill="FFFFFF"/>
        </w:rPr>
        <w:t>)特定资格要求如下:</w:t>
      </w:r>
    </w:p>
    <w:p w14:paraId="3CB804DA">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DB7AD3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AEB3B8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D4E5B9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517867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233D898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200992E">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8892E8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8.提供书面声明，承诺具备履行合同所需的设备和专业技术能力承诺书（可附设备清单或技术人员简历佐证）。</w:t>
      </w:r>
    </w:p>
    <w:p w14:paraId="21BFDD3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p w14:paraId="1677B4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三、获取招标文件</w:t>
      </w:r>
    </w:p>
    <w:p w14:paraId="32B3997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时间：2026年01月14日至2026年01月20日，每天上午08:00:00至12:00:00，下午14:00:00至18:00:00（北京时间）</w:t>
      </w:r>
    </w:p>
    <w:p w14:paraId="7C71B0A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途径：全国公共资源交易中心平台（陕西省 安康市）</w:t>
      </w:r>
    </w:p>
    <w:p w14:paraId="330C4B4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339801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25E3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53D82D9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时间：2026年02月04日 09时00分00秒（北京时间）</w:t>
      </w:r>
    </w:p>
    <w:p w14:paraId="7FA27F9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提交投标文件地点：全国公共资源交易中心平台（陕西省 安康市）</w:t>
      </w:r>
    </w:p>
    <w:p w14:paraId="7C25D92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开标地点：安康不见面开标大厅系统</w:t>
      </w:r>
      <w:r>
        <w:rPr>
          <w:rFonts w:hint="eastAsia" w:cs="宋体"/>
          <w:i w:val="0"/>
          <w:iCs w:val="0"/>
          <w:caps w:val="0"/>
          <w:color w:val="333333"/>
          <w:spacing w:val="0"/>
          <w:sz w:val="24"/>
          <w:szCs w:val="24"/>
          <w:shd w:val="clear" w:fill="FFFFFF"/>
          <w:lang w:eastAsia="zh-CN"/>
        </w:rPr>
        <w:t>（http://219.145.206.209/BidOpeningHall/bidopeninghallaction/hall/login）</w:t>
      </w:r>
    </w:p>
    <w:p w14:paraId="21B3D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五、公告期限</w:t>
      </w:r>
    </w:p>
    <w:p w14:paraId="1FF40A6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B51B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六、其他补充事宜</w:t>
      </w:r>
    </w:p>
    <w:p w14:paraId="4DDC3B4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FF0000"/>
          <w:sz w:val="24"/>
          <w:szCs w:val="24"/>
          <w:lang w:eastAsia="zh-CN"/>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7B6A4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63137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034037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安康市中心医院</w:t>
      </w:r>
      <w:r>
        <w:rPr>
          <w:rFonts w:hint="eastAsia" w:ascii="宋体" w:hAnsi="宋体" w:eastAsia="宋体" w:cs="宋体"/>
          <w:i w:val="0"/>
          <w:iCs w:val="0"/>
          <w:caps w:val="0"/>
          <w:color w:val="auto"/>
          <w:spacing w:val="0"/>
          <w:sz w:val="24"/>
          <w:szCs w:val="24"/>
          <w:shd w:val="clear" w:fill="FFFFFF"/>
          <w:lang w:eastAsia="zh-CN"/>
        </w:rPr>
        <w:t xml:space="preserve"> </w:t>
      </w:r>
    </w:p>
    <w:p w14:paraId="3639C7C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地址：陕西省安康市汉滨区金州南路85号</w:t>
      </w:r>
    </w:p>
    <w:p w14:paraId="55D75AF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联系方式：19909150521</w:t>
      </w:r>
    </w:p>
    <w:p w14:paraId="361EE4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80A39F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4623B1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137DBB0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216B7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E9A7C8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11771CB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7324224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安康尚昊招标代理有限公司</w:t>
      </w:r>
    </w:p>
    <w:p w14:paraId="7D5AEA3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2026年1月13日</w:t>
      </w:r>
    </w:p>
    <w:p w14:paraId="35CC6E32">
      <w:pPr>
        <w:widowControl/>
        <w:jc w:val="left"/>
        <w:rPr>
          <w:rFonts w:hint="eastAsia" w:ascii="宋体" w:hAnsi="宋体" w:cs="宋体"/>
          <w:b/>
          <w:bCs/>
          <w:color w:val="FF0000"/>
          <w:kern w:val="44"/>
          <w:sz w:val="32"/>
          <w:szCs w:val="32"/>
          <w:highlight w:val="none"/>
        </w:rPr>
      </w:pPr>
    </w:p>
    <w:p w14:paraId="35F00132">
      <w:pPr>
        <w:widowControl/>
        <w:jc w:val="left"/>
        <w:rPr>
          <w:rFonts w:hint="eastAsia" w:ascii="宋体" w:hAnsi="宋体" w:cs="宋体"/>
          <w:b/>
          <w:bCs/>
          <w:kern w:val="44"/>
          <w:sz w:val="32"/>
          <w:szCs w:val="32"/>
          <w:highlight w:val="none"/>
        </w:rPr>
        <w:sectPr>
          <w:headerReference r:id="rId10" w:type="first"/>
          <w:footerReference r:id="rId12" w:type="first"/>
          <w:footerReference r:id="rId11" w:type="default"/>
          <w:pgSz w:w="11905" w:h="16838"/>
          <w:pgMar w:top="1247" w:right="1417" w:bottom="1247" w:left="1417" w:header="964" w:footer="992" w:gutter="0"/>
          <w:pgNumType w:fmt="decimal" w:chapStyle="1"/>
          <w:cols w:space="0" w:num="1"/>
          <w:rtlGutter w:val="0"/>
          <w:docGrid w:type="lines" w:linePitch="326" w:charSpace="0"/>
        </w:sectPr>
      </w:pPr>
    </w:p>
    <w:p w14:paraId="22E4E1DC">
      <w:pPr>
        <w:widowControl/>
        <w:jc w:val="left"/>
        <w:rPr>
          <w:rFonts w:ascii="宋体" w:hAnsi="宋体" w:cs="宋体"/>
          <w:b/>
          <w:bCs/>
          <w:kern w:val="44"/>
          <w:sz w:val="32"/>
          <w:szCs w:val="32"/>
          <w:highlight w:val="none"/>
        </w:rPr>
      </w:pPr>
      <w:r>
        <w:rPr>
          <w:rFonts w:hint="eastAsia" w:ascii="宋体" w:hAnsi="宋体" w:cs="宋体"/>
          <w:b/>
          <w:bCs/>
          <w:kern w:val="44"/>
          <w:sz w:val="32"/>
          <w:szCs w:val="32"/>
          <w:highlight w:val="none"/>
        </w:rPr>
        <w:t>特别提醒：</w:t>
      </w:r>
    </w:p>
    <w:p w14:paraId="0C082EA5">
      <w:pPr>
        <w:spacing w:line="460" w:lineRule="exact"/>
        <w:ind w:firstLine="482" w:firstLineChars="200"/>
        <w:jc w:val="left"/>
        <w:rPr>
          <w:rFonts w:ascii="宋体" w:hAnsi="宋体" w:cs="宋体"/>
          <w:b/>
          <w:bCs/>
          <w:color w:val="000000"/>
          <w:sz w:val="24"/>
          <w:szCs w:val="24"/>
        </w:rPr>
      </w:pPr>
      <w:bookmarkStart w:id="9" w:name="_Toc386388995"/>
      <w:bookmarkStart w:id="10" w:name="_Toc358364316"/>
      <w:bookmarkStart w:id="11" w:name="_Toc358893502"/>
      <w:bookmarkStart w:id="12" w:name="_Toc380336722"/>
      <w:bookmarkStart w:id="13" w:name="_Toc347478673"/>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color w:val="auto"/>
          <w:sz w:val="24"/>
          <w:szCs w:val="24"/>
        </w:rPr>
        <w:t>，按无效投标对待。</w:t>
      </w:r>
      <w:r>
        <w:rPr>
          <w:rFonts w:hint="eastAsia" w:ascii="宋体" w:hAnsi="宋体" w:cs="宋体"/>
          <w:b/>
          <w:bCs/>
          <w:color w:val="000000"/>
          <w:sz w:val="24"/>
          <w:szCs w:val="24"/>
        </w:rPr>
        <w:t>“不见面大厅”登录网址为：</w:t>
      </w:r>
    </w:p>
    <w:p w14:paraId="37958685">
      <w:pPr>
        <w:spacing w:line="460" w:lineRule="exact"/>
        <w:ind w:firstLine="482" w:firstLineChars="200"/>
        <w:jc w:val="left"/>
        <w:rPr>
          <w:rFonts w:ascii="宋体" w:hAnsi="宋体" w:cs="宋体"/>
          <w:b/>
          <w:bCs/>
          <w:color w:val="000000"/>
          <w:sz w:val="24"/>
          <w:szCs w:val="24"/>
          <w:highlight w:val="none"/>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试行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》规定执行。</w:t>
      </w:r>
    </w:p>
    <w:p w14:paraId="113E0EA8">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制作电子投标文件</w:t>
      </w:r>
    </w:p>
    <w:p w14:paraId="7BB952EB">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14EB21AD">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3</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递交电子投标文件</w:t>
      </w:r>
    </w:p>
    <w:p w14:paraId="2E4D546F">
      <w:pPr>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登录全国公共资源交易中心平台（陕西省）（http://www.sxggzyjy.cn/），选择“电子交易平台——陕</w:t>
      </w:r>
      <w:r>
        <w:rPr>
          <w:rFonts w:hint="eastAsia" w:ascii="宋体" w:hAnsi="宋体" w:cs="宋体"/>
          <w:b/>
          <w:bCs/>
          <w:kern w:val="0"/>
          <w:sz w:val="24"/>
          <w:szCs w:val="24"/>
          <w:highlight w:val="none"/>
          <w:lang w:eastAsia="zh-CN"/>
        </w:rPr>
        <w:t>西省</w:t>
      </w:r>
      <w:r>
        <w:rPr>
          <w:rFonts w:hint="eastAsia" w:ascii="宋体" w:hAnsi="宋体" w:cs="宋体"/>
          <w:b/>
          <w:bCs/>
          <w:kern w:val="0"/>
          <w:sz w:val="24"/>
          <w:szCs w:val="24"/>
          <w:highlight w:val="none"/>
        </w:rPr>
        <w:t>政府采购交易系统——企业端”进行登录，登录后选择“交易乙方”身份进入，进入菜单“采购业务—我的项目——项目流程——上传响应文件”，上传加密的电子投标文件。上传成功后，电子化平台将予以记录。</w:t>
      </w:r>
    </w:p>
    <w:p w14:paraId="78A1E935">
      <w:pPr>
        <w:pStyle w:val="64"/>
        <w:spacing w:line="460" w:lineRule="exact"/>
        <w:ind w:firstLine="482"/>
        <w:rPr>
          <w:rFonts w:ascii="宋体" w:hAnsi="宋体" w:cs="宋体"/>
          <w:b/>
          <w:bCs/>
          <w:kern w:val="0"/>
          <w:sz w:val="24"/>
          <w:szCs w:val="24"/>
          <w:highlight w:val="none"/>
        </w:rPr>
      </w:pPr>
      <w:r>
        <w:rPr>
          <w:rFonts w:hint="eastAsia" w:ascii="宋体" w:hAnsi="宋体" w:cs="宋体"/>
          <w:b/>
          <w:bCs/>
          <w:kern w:val="0"/>
          <w:sz w:val="24"/>
          <w:szCs w:val="24"/>
          <w:highlight w:val="none"/>
        </w:rPr>
        <w:t>项目如有变更文件，则应点击“项目流程——答疑文件下载”下载更新后的电子招标文件（*.SXSCF），使用旧版电子招标文件制作的电子投标文件，系统将拒绝接收。</w:t>
      </w:r>
    </w:p>
    <w:p w14:paraId="2F6EC068">
      <w:pPr>
        <w:widowControl/>
        <w:tabs>
          <w:tab w:val="left" w:pos="1620"/>
        </w:tabs>
        <w:snapToGrid w:val="0"/>
        <w:spacing w:line="46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电子投标文件技术支持：4009280095、4009980000</w:t>
      </w:r>
    </w:p>
    <w:p w14:paraId="610A114D">
      <w:pPr>
        <w:widowControl/>
        <w:tabs>
          <w:tab w:val="left" w:pos="1620"/>
        </w:tabs>
        <w:snapToGrid w:val="0"/>
        <w:spacing w:line="40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7E554D2">
      <w:pPr>
        <w:rPr>
          <w:highlight w:val="none"/>
        </w:rPr>
      </w:pPr>
    </w:p>
    <w:p w14:paraId="18E06A7F">
      <w:pPr>
        <w:widowControl/>
        <w:jc w:val="left"/>
        <w:rPr>
          <w:rFonts w:ascii="宋体" w:hAnsi="宋体"/>
          <w:b/>
          <w:bCs/>
          <w:kern w:val="44"/>
          <w:sz w:val="36"/>
          <w:szCs w:val="36"/>
          <w:highlight w:val="none"/>
        </w:rPr>
      </w:pPr>
      <w:r>
        <w:rPr>
          <w:rFonts w:ascii="宋体" w:hAnsi="宋体"/>
          <w:sz w:val="36"/>
          <w:szCs w:val="36"/>
          <w:highlight w:val="none"/>
        </w:rPr>
        <w:br w:type="page"/>
      </w:r>
    </w:p>
    <w:p w14:paraId="6934044F">
      <w:pPr>
        <w:pStyle w:val="2"/>
        <w:spacing w:before="0" w:after="0" w:line="500" w:lineRule="exact"/>
        <w:jc w:val="center"/>
        <w:rPr>
          <w:rFonts w:ascii="宋体" w:hAnsi="宋体"/>
          <w:sz w:val="36"/>
          <w:szCs w:val="36"/>
          <w:highlight w:val="none"/>
        </w:rPr>
      </w:pPr>
      <w:bookmarkStart w:id="14" w:name="_Toc23258604"/>
      <w:bookmarkStart w:id="15" w:name="_Toc27727"/>
      <w:bookmarkStart w:id="16" w:name="_Toc26541321"/>
      <w:r>
        <w:rPr>
          <w:rFonts w:hint="eastAsia" w:ascii="宋体" w:hAnsi="宋体"/>
          <w:sz w:val="36"/>
          <w:szCs w:val="36"/>
          <w:highlight w:val="none"/>
        </w:rPr>
        <w:t>第二章 投标人须知前附表</w:t>
      </w:r>
      <w:bookmarkEnd w:id="9"/>
      <w:bookmarkEnd w:id="10"/>
      <w:bookmarkEnd w:id="11"/>
      <w:bookmarkEnd w:id="12"/>
      <w:bookmarkEnd w:id="14"/>
      <w:bookmarkEnd w:id="15"/>
      <w:bookmarkEnd w:id="16"/>
    </w:p>
    <w:tbl>
      <w:tblPr>
        <w:tblStyle w:val="44"/>
        <w:tblW w:w="9585" w:type="dxa"/>
        <w:jc w:val="center"/>
        <w:tblLayout w:type="fixed"/>
        <w:tblCellMar>
          <w:top w:w="0" w:type="dxa"/>
          <w:left w:w="108" w:type="dxa"/>
          <w:bottom w:w="0" w:type="dxa"/>
          <w:right w:w="108" w:type="dxa"/>
        </w:tblCellMar>
      </w:tblPr>
      <w:tblGrid>
        <w:gridCol w:w="620"/>
        <w:gridCol w:w="1785"/>
        <w:gridCol w:w="7180"/>
      </w:tblGrid>
      <w:tr w14:paraId="5C05D037">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B9603AD">
            <w:pPr>
              <w:widowControl/>
              <w:spacing w:line="440" w:lineRule="exact"/>
              <w:jc w:val="center"/>
              <w:rPr>
                <w:rFonts w:ascii="宋体" w:hAnsi="宋体"/>
                <w:b/>
                <w:bCs/>
                <w:kern w:val="0"/>
                <w:sz w:val="24"/>
                <w:szCs w:val="24"/>
                <w:highlight w:val="none"/>
              </w:rPr>
            </w:pPr>
            <w:r>
              <w:rPr>
                <w:rFonts w:hint="eastAsia" w:ascii="宋体" w:hAnsi="宋体"/>
                <w:b/>
                <w:bCs/>
                <w:kern w:val="0"/>
                <w:sz w:val="24"/>
                <w:szCs w:val="24"/>
                <w:highlight w:val="none"/>
              </w:rPr>
              <w:t>序号</w:t>
            </w:r>
          </w:p>
        </w:tc>
        <w:tc>
          <w:tcPr>
            <w:tcW w:w="1785" w:type="dxa"/>
            <w:tcBorders>
              <w:top w:val="single" w:color="000000" w:sz="4" w:space="0"/>
              <w:left w:val="nil"/>
              <w:bottom w:val="single" w:color="000000" w:sz="4" w:space="0"/>
              <w:right w:val="single" w:color="auto" w:sz="4" w:space="0"/>
            </w:tcBorders>
            <w:vAlign w:val="center"/>
          </w:tcPr>
          <w:p w14:paraId="73DB0D5E">
            <w:pPr>
              <w:widowControl/>
              <w:spacing w:line="440" w:lineRule="exact"/>
              <w:jc w:val="center"/>
              <w:rPr>
                <w:rFonts w:ascii="宋体" w:hAnsi="宋体"/>
                <w:b/>
                <w:bCs/>
                <w:kern w:val="0"/>
                <w:sz w:val="24"/>
                <w:szCs w:val="24"/>
                <w:highlight w:val="none"/>
              </w:rPr>
            </w:pPr>
            <w:r>
              <w:rPr>
                <w:rFonts w:ascii="宋体" w:hAnsi="宋体"/>
                <w:b/>
                <w:bCs/>
                <w:kern w:val="0"/>
                <w:sz w:val="24"/>
                <w:szCs w:val="24"/>
                <w:highlight w:val="none"/>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1F0DA30">
            <w:pPr>
              <w:spacing w:line="440" w:lineRule="exact"/>
              <w:jc w:val="center"/>
              <w:rPr>
                <w:rFonts w:ascii="宋体" w:hAnsi="宋体"/>
                <w:b/>
                <w:bCs/>
                <w:kern w:val="0"/>
                <w:sz w:val="24"/>
                <w:szCs w:val="24"/>
                <w:highlight w:val="none"/>
              </w:rPr>
            </w:pPr>
          </w:p>
        </w:tc>
      </w:tr>
      <w:tr w14:paraId="20D253E0">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E8743C">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A6B6B8D">
            <w:pPr>
              <w:widowControl/>
              <w:spacing w:line="440" w:lineRule="exact"/>
              <w:ind w:left="19" w:hanging="19"/>
              <w:jc w:val="center"/>
              <w:rPr>
                <w:rFonts w:ascii="宋体" w:hAnsi="宋体"/>
                <w:kern w:val="0"/>
                <w:sz w:val="24"/>
                <w:szCs w:val="24"/>
                <w:highlight w:val="none"/>
              </w:rPr>
            </w:pPr>
            <w:r>
              <w:rPr>
                <w:rFonts w:hint="eastAsia" w:ascii="宋体" w:hAnsi="宋体"/>
                <w:kern w:val="0"/>
                <w:sz w:val="24"/>
                <w:szCs w:val="24"/>
                <w:highlight w:val="none"/>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002E6D53">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kern w:val="0"/>
                <w:sz w:val="24"/>
                <w:szCs w:val="24"/>
                <w:highlight w:val="none"/>
                <w:lang w:val="en-US" w:eastAsia="zh-CN"/>
              </w:rPr>
              <w:t>安康市中心医院</w:t>
            </w:r>
          </w:p>
        </w:tc>
      </w:tr>
      <w:tr w14:paraId="259FB146">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7BF6AED">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660D779B">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5EE2412">
            <w:pPr>
              <w:widowControl/>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安康尚昊</w:t>
            </w:r>
            <w:r>
              <w:rPr>
                <w:rFonts w:ascii="宋体" w:hAnsi="宋体"/>
                <w:color w:val="000000" w:themeColor="text1"/>
                <w:sz w:val="24"/>
                <w:szCs w:val="24"/>
                <w:highlight w:val="none"/>
                <w14:textFill>
                  <w14:solidFill>
                    <w14:schemeClr w14:val="tx1"/>
                  </w14:solidFill>
                </w14:textFill>
              </w:rPr>
              <w:t>招标代理有限公司</w:t>
            </w:r>
          </w:p>
        </w:tc>
      </w:tr>
      <w:tr w14:paraId="70ABD91C">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0FC54F8E">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single" w:color="auto" w:sz="4" w:space="0"/>
              <w:bottom w:val="single" w:color="000000" w:sz="4" w:space="0"/>
              <w:right w:val="single" w:color="auto" w:sz="4" w:space="0"/>
            </w:tcBorders>
            <w:vAlign w:val="center"/>
          </w:tcPr>
          <w:p w14:paraId="7B9DB83D">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6319EF96">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安康市中心医院资产管理系统及资产数据治理服务采购项目</w:t>
            </w:r>
          </w:p>
        </w:tc>
      </w:tr>
      <w:tr w14:paraId="78487C4C">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5EF49CEA">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right w:val="single" w:color="auto" w:sz="4" w:space="0"/>
            </w:tcBorders>
            <w:vAlign w:val="center"/>
          </w:tcPr>
          <w:p w14:paraId="2B51EBA6">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项目编号</w:t>
            </w:r>
          </w:p>
        </w:tc>
        <w:tc>
          <w:tcPr>
            <w:tcW w:w="7180" w:type="dxa"/>
            <w:tcBorders>
              <w:top w:val="single" w:color="000000" w:sz="4" w:space="0"/>
              <w:left w:val="single" w:color="auto" w:sz="4" w:space="0"/>
              <w:right w:val="single" w:color="000000" w:sz="4" w:space="0"/>
            </w:tcBorders>
            <w:vAlign w:val="center"/>
          </w:tcPr>
          <w:p w14:paraId="09D5418D">
            <w:pPr>
              <w:widowControl/>
              <w:snapToGrid w:val="0"/>
              <w:spacing w:line="460" w:lineRule="exact"/>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AKSH2025-ZGK-186</w:t>
            </w:r>
          </w:p>
        </w:tc>
      </w:tr>
      <w:tr w14:paraId="4573EBDE">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DC7D74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030EEAF">
            <w:pPr>
              <w:widowControl/>
              <w:spacing w:line="440" w:lineRule="exact"/>
              <w:jc w:val="center"/>
              <w:rPr>
                <w:rFonts w:ascii="宋体" w:hAnsi="宋体"/>
                <w:kern w:val="0"/>
                <w:sz w:val="24"/>
                <w:szCs w:val="24"/>
                <w:highlight w:val="none"/>
              </w:rPr>
            </w:pPr>
            <w:r>
              <w:rPr>
                <w:rFonts w:ascii="宋体" w:hAnsi="宋体"/>
                <w:kern w:val="0"/>
                <w:sz w:val="24"/>
                <w:szCs w:val="24"/>
                <w:highlight w:val="none"/>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0ADE42E">
            <w:pPr>
              <w:spacing w:line="440" w:lineRule="exact"/>
              <w:rPr>
                <w:rFonts w:ascii="宋体" w:hAnsi="宋体"/>
                <w:kern w:val="0"/>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投标人所报的价格应考虑到可能发生的所有与完成本项目相关服务及履行合同义务有关的一切费用。</w:t>
            </w:r>
          </w:p>
          <w:p w14:paraId="0CAB9A9E">
            <w:pPr>
              <w:widowControl/>
              <w:spacing w:line="440" w:lineRule="exact"/>
              <w:rPr>
                <w:rFonts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投标人必须对所投项目进行完整报价，不接受（将拒绝）只对部分服务进行报价的投标。</w:t>
            </w:r>
          </w:p>
        </w:tc>
      </w:tr>
      <w:tr w14:paraId="2CA422A9">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B6F94E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75290038">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557664BB">
            <w:pPr>
              <w:widowControl/>
              <w:spacing w:line="440" w:lineRule="exact"/>
              <w:rPr>
                <w:rFonts w:hint="default" w:ascii="宋体" w:hAnsi="宋体" w:eastAsia="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940,000.00元</w:t>
            </w:r>
          </w:p>
        </w:tc>
      </w:tr>
      <w:tr w14:paraId="6451BF84">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6B67DA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11295B08">
            <w:pPr>
              <w:widowControl/>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45E60E51">
            <w:pPr>
              <w:numPr>
                <w:ilvl w:val="0"/>
                <w:numId w:val="0"/>
              </w:numPr>
              <w:spacing w:line="460" w:lineRule="exact"/>
              <w:rPr>
                <w:rFonts w:hint="eastAsia" w:ascii="宋体" w:hAnsi="宋体" w:eastAsia="宋体"/>
                <w:color w:val="auto"/>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签订合同后 180个日历日内交付（含安装调试验收）</w:t>
            </w:r>
          </w:p>
        </w:tc>
      </w:tr>
      <w:tr w14:paraId="3113F3AE">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165A286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366BCE7">
            <w:pPr>
              <w:widowControl/>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E64DCE0">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合同付款方式为分期支付</w:t>
            </w:r>
            <w:r>
              <w:rPr>
                <w:rFonts w:hint="eastAsia" w:asciiTheme="minorEastAsia" w:hAnsiTheme="minorEastAsia" w:eastAsiaTheme="minorEastAsia" w:cstheme="minorEastAsia"/>
                <w:color w:val="auto"/>
                <w:sz w:val="24"/>
                <w:szCs w:val="18"/>
                <w:lang w:val="en-US" w:eastAsia="zh-CN"/>
              </w:rPr>
              <w:t>：</w:t>
            </w:r>
          </w:p>
          <w:p w14:paraId="42A3FD8B">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w:t>
            </w:r>
            <w:r>
              <w:rPr>
                <w:rFonts w:hint="eastAsia" w:asciiTheme="minorEastAsia" w:hAnsiTheme="minorEastAsia" w:eastAsiaTheme="minorEastAsia" w:cstheme="minorEastAsia"/>
                <w:color w:val="auto"/>
                <w:sz w:val="24"/>
                <w:szCs w:val="18"/>
                <w:lang w:val="en-US" w:eastAsia="zh-CN"/>
              </w:rPr>
              <w:t>1</w:t>
            </w:r>
            <w:r>
              <w:rPr>
                <w:rFonts w:hint="default" w:asciiTheme="minorEastAsia" w:hAnsiTheme="minorEastAsia" w:eastAsiaTheme="minorEastAsia" w:cstheme="minorEastAsia"/>
                <w:color w:val="auto"/>
                <w:sz w:val="24"/>
                <w:szCs w:val="18"/>
                <w:lang w:val="en-US" w:eastAsia="zh-CN"/>
              </w:rPr>
              <w:t>）软件全部安装运行上线后，支付合同总金额的30%。</w:t>
            </w:r>
          </w:p>
          <w:p w14:paraId="447A86EC">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w:t>
            </w:r>
            <w:r>
              <w:rPr>
                <w:rFonts w:hint="eastAsia" w:asciiTheme="minorEastAsia" w:hAnsiTheme="minorEastAsia" w:eastAsiaTheme="minorEastAsia" w:cstheme="minorEastAsia"/>
                <w:color w:val="auto"/>
                <w:sz w:val="24"/>
                <w:szCs w:val="18"/>
                <w:lang w:val="en-US" w:eastAsia="zh-CN"/>
              </w:rPr>
              <w:t>2</w:t>
            </w:r>
            <w:r>
              <w:rPr>
                <w:rFonts w:hint="default" w:asciiTheme="minorEastAsia" w:hAnsiTheme="minorEastAsia" w:eastAsiaTheme="minorEastAsia" w:cstheme="minorEastAsia"/>
                <w:color w:val="auto"/>
                <w:sz w:val="24"/>
                <w:szCs w:val="18"/>
                <w:lang w:val="en-US" w:eastAsia="zh-CN"/>
              </w:rPr>
              <w:t>）完成全部服务项目后，支付至合同总金额的60%。</w:t>
            </w:r>
          </w:p>
          <w:p w14:paraId="48C5DA49">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w:t>
            </w:r>
            <w:r>
              <w:rPr>
                <w:rFonts w:hint="eastAsia" w:asciiTheme="minorEastAsia" w:hAnsiTheme="minorEastAsia" w:eastAsiaTheme="minorEastAsia" w:cstheme="minorEastAsia"/>
                <w:color w:val="auto"/>
                <w:sz w:val="24"/>
                <w:szCs w:val="18"/>
                <w:lang w:val="en-US" w:eastAsia="zh-CN"/>
              </w:rPr>
              <w:t>3</w:t>
            </w:r>
            <w:r>
              <w:rPr>
                <w:rFonts w:hint="default" w:asciiTheme="minorEastAsia" w:hAnsiTheme="minorEastAsia" w:eastAsiaTheme="minorEastAsia" w:cstheme="minorEastAsia"/>
                <w:color w:val="auto"/>
                <w:sz w:val="24"/>
                <w:szCs w:val="18"/>
                <w:lang w:val="en-US" w:eastAsia="zh-CN"/>
              </w:rPr>
              <w:t>）项目整体验收通过之后，凭验收报告支付至合同总金额的90%。</w:t>
            </w:r>
          </w:p>
          <w:p w14:paraId="0B0A7BDC">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w:t>
            </w:r>
            <w:r>
              <w:rPr>
                <w:rFonts w:hint="eastAsia" w:asciiTheme="minorEastAsia" w:hAnsiTheme="minorEastAsia" w:eastAsiaTheme="minorEastAsia" w:cstheme="minorEastAsia"/>
                <w:color w:val="auto"/>
                <w:sz w:val="24"/>
                <w:szCs w:val="18"/>
                <w:lang w:val="en-US" w:eastAsia="zh-CN"/>
              </w:rPr>
              <w:t>4</w:t>
            </w:r>
            <w:r>
              <w:rPr>
                <w:rFonts w:hint="default" w:asciiTheme="minorEastAsia" w:hAnsiTheme="minorEastAsia" w:eastAsiaTheme="minorEastAsia" w:cstheme="minorEastAsia"/>
                <w:color w:val="auto"/>
                <w:sz w:val="24"/>
                <w:szCs w:val="18"/>
                <w:lang w:val="en-US" w:eastAsia="zh-CN"/>
              </w:rPr>
              <w:t>）依据售后服务的情况，支付合同总金额的剩余款项。若售后服务有缺项，则对余款进行相应扣除。</w:t>
            </w:r>
          </w:p>
          <w:p w14:paraId="777E0468">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w:t>
            </w:r>
            <w:r>
              <w:rPr>
                <w:rFonts w:hint="eastAsia" w:asciiTheme="minorEastAsia" w:hAnsiTheme="minorEastAsia" w:eastAsiaTheme="minorEastAsia" w:cstheme="minorEastAsia"/>
                <w:color w:val="auto"/>
                <w:sz w:val="24"/>
                <w:szCs w:val="18"/>
                <w:lang w:val="en-US" w:eastAsia="zh-CN"/>
              </w:rPr>
              <w:t>5</w:t>
            </w:r>
            <w:r>
              <w:rPr>
                <w:rFonts w:hint="default" w:asciiTheme="minorEastAsia" w:hAnsiTheme="minorEastAsia" w:eastAsiaTheme="minorEastAsia" w:cstheme="minorEastAsia"/>
                <w:color w:val="auto"/>
                <w:sz w:val="24"/>
                <w:szCs w:val="18"/>
                <w:lang w:val="en-US" w:eastAsia="zh-CN"/>
              </w:rPr>
              <w:t>）如乙方未提供发票或提供的发票不符合要求，甲方有权拒绝付款。</w:t>
            </w:r>
          </w:p>
        </w:tc>
      </w:tr>
      <w:bookmarkEnd w:id="17"/>
      <w:tr w14:paraId="3BEB9B2D">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2F01BF9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right w:val="single" w:color="auto" w:sz="4" w:space="0"/>
            </w:tcBorders>
            <w:vAlign w:val="center"/>
          </w:tcPr>
          <w:p w14:paraId="37D1E054">
            <w:pPr>
              <w:spacing w:line="440" w:lineRule="exact"/>
              <w:jc w:val="center"/>
              <w:rPr>
                <w:rFonts w:ascii="宋体" w:hAnsi="宋体"/>
                <w:sz w:val="24"/>
                <w:szCs w:val="24"/>
                <w:highlight w:val="none"/>
              </w:rPr>
            </w:pPr>
            <w:r>
              <w:rPr>
                <w:rFonts w:hint="eastAsia" w:ascii="宋体" w:hAnsi="宋体"/>
                <w:sz w:val="24"/>
                <w:szCs w:val="24"/>
                <w:highlight w:val="none"/>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7C725A9E">
            <w:pPr>
              <w:numPr>
                <w:ilvl w:val="0"/>
                <w:numId w:val="0"/>
              </w:numPr>
              <w:spacing w:line="460" w:lineRule="exac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本项目不设置投标保证金</w:t>
            </w:r>
          </w:p>
        </w:tc>
      </w:tr>
      <w:tr w14:paraId="545989A4">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5C4273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38E75995">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60F139EC">
            <w:pPr>
              <w:widowControl/>
              <w:spacing w:line="440" w:lineRule="exact"/>
              <w:rPr>
                <w:rFonts w:ascii="宋体" w:hAnsi="宋体"/>
                <w:kern w:val="0"/>
                <w:sz w:val="24"/>
                <w:szCs w:val="24"/>
                <w:highlight w:val="none"/>
              </w:rPr>
            </w:pPr>
            <w:r>
              <w:rPr>
                <w:rFonts w:hint="eastAsia" w:ascii="宋体" w:hAnsi="宋体"/>
                <w:kern w:val="0"/>
                <w:sz w:val="24"/>
                <w:szCs w:val="24"/>
                <w:highlight w:val="none"/>
              </w:rPr>
              <w:t>投标文件递交截止时间起算，投标有效期为90日历天。</w:t>
            </w:r>
          </w:p>
        </w:tc>
      </w:tr>
      <w:tr w14:paraId="00E96B34">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3ACDC3C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right w:val="single" w:color="auto" w:sz="4" w:space="0"/>
            </w:tcBorders>
            <w:vAlign w:val="center"/>
          </w:tcPr>
          <w:p w14:paraId="728C5A06">
            <w:pPr>
              <w:tabs>
                <w:tab w:val="center" w:pos="4153"/>
                <w:tab w:val="right" w:pos="8306"/>
              </w:tabs>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资格证明文件</w:t>
            </w:r>
          </w:p>
          <w:p w14:paraId="313A2301">
            <w:pPr>
              <w:tabs>
                <w:tab w:val="center" w:pos="4153"/>
                <w:tab w:val="right" w:pos="8306"/>
              </w:tabs>
              <w:snapToGrid w:val="0"/>
              <w:spacing w:line="440" w:lineRule="exact"/>
              <w:jc w:val="center"/>
              <w:rPr>
                <w:rFonts w:hint="eastAsia" w:ascii="宋体" w:hAnsi="宋体"/>
                <w:color w:val="000000" w:themeColor="text1"/>
                <w:sz w:val="24"/>
                <w:szCs w:val="24"/>
                <w:highlight w:val="none"/>
                <w:lang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2A9EE8E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0E1D507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7779304F">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69E2C5D1">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2C8B2B7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17A9003">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695A6D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DC49EE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8.提供书面声明，承诺具备履行合同所需的设备和专业技术能力承诺书（可附设备清单或技术人员简历佐证）。</w:t>
            </w:r>
          </w:p>
          <w:p w14:paraId="256CB94D">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tc>
      </w:tr>
      <w:tr w14:paraId="7566F008">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9F7EC2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99A6DAB">
            <w:pPr>
              <w:widowControl/>
              <w:spacing w:line="440" w:lineRule="exact"/>
              <w:jc w:val="center"/>
              <w:rPr>
                <w:rFonts w:ascii="宋体" w:hAnsi="宋体"/>
                <w:kern w:val="0"/>
                <w:sz w:val="24"/>
                <w:szCs w:val="24"/>
                <w:highlight w:val="none"/>
              </w:rPr>
            </w:pPr>
            <w:r>
              <w:rPr>
                <w:rFonts w:ascii="宋体" w:hAnsi="宋体"/>
                <w:kern w:val="0"/>
                <w:sz w:val="24"/>
                <w:szCs w:val="24"/>
                <w:highlight w:val="none"/>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05E4B71">
            <w:pPr>
              <w:widowControl/>
              <w:spacing w:line="440" w:lineRule="exact"/>
              <w:rPr>
                <w:rFonts w:ascii="宋体" w:hAnsi="宋体"/>
                <w:kern w:val="0"/>
                <w:sz w:val="24"/>
                <w:szCs w:val="24"/>
                <w:highlight w:val="none"/>
              </w:rPr>
            </w:pPr>
            <w:r>
              <w:rPr>
                <w:rFonts w:hint="eastAsia" w:ascii="宋体" w:hAnsi="宋体"/>
                <w:sz w:val="24"/>
                <w:szCs w:val="24"/>
                <w:highlight w:val="none"/>
              </w:rPr>
              <w:t>公开招标</w:t>
            </w:r>
          </w:p>
        </w:tc>
      </w:tr>
      <w:tr w14:paraId="1619D38E">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F557CA1">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5D46FB38">
            <w:pPr>
              <w:widowControl/>
              <w:spacing w:line="440" w:lineRule="exact"/>
              <w:jc w:val="center"/>
              <w:rPr>
                <w:rFonts w:ascii="宋体" w:hAnsi="宋体"/>
                <w:sz w:val="24"/>
                <w:szCs w:val="24"/>
                <w:highlight w:val="none"/>
              </w:rPr>
            </w:pPr>
            <w:r>
              <w:rPr>
                <w:rFonts w:hint="eastAsia" w:ascii="宋体" w:hAnsi="宋体"/>
                <w:sz w:val="24"/>
                <w:szCs w:val="24"/>
                <w:highlight w:val="none"/>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E3FE8AB">
            <w:pPr>
              <w:spacing w:line="440" w:lineRule="exact"/>
              <w:rPr>
                <w:rFonts w:ascii="宋体" w:hAnsi="宋体"/>
                <w:sz w:val="24"/>
                <w:szCs w:val="24"/>
                <w:highlight w:val="none"/>
              </w:rPr>
            </w:pPr>
            <w:r>
              <w:rPr>
                <w:rFonts w:hint="eastAsia" w:ascii="宋体" w:hAnsi="宋体"/>
                <w:sz w:val="24"/>
                <w:szCs w:val="24"/>
                <w:highlight w:val="none"/>
              </w:rPr>
              <w:t>综合评分法</w:t>
            </w:r>
          </w:p>
        </w:tc>
      </w:tr>
      <w:tr w14:paraId="3D3C0DA3">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485FF0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76E875B">
            <w:pPr>
              <w:widowControl/>
              <w:spacing w:line="440" w:lineRule="exact"/>
              <w:jc w:val="center"/>
              <w:rPr>
                <w:rFonts w:ascii="宋体" w:hAnsi="宋体"/>
                <w:sz w:val="24"/>
                <w:szCs w:val="24"/>
                <w:highlight w:val="none"/>
              </w:rPr>
            </w:pPr>
            <w:r>
              <w:rPr>
                <w:rFonts w:hint="eastAsia" w:ascii="宋体" w:hAnsi="宋体"/>
                <w:sz w:val="24"/>
                <w:szCs w:val="24"/>
                <w:highlight w:val="none"/>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A78006B">
            <w:pPr>
              <w:spacing w:line="440" w:lineRule="exact"/>
              <w:rPr>
                <w:rFonts w:ascii="宋体" w:hAnsi="宋体"/>
                <w:sz w:val="24"/>
                <w:szCs w:val="24"/>
                <w:highlight w:val="none"/>
              </w:rPr>
            </w:pPr>
            <w:r>
              <w:rPr>
                <w:rFonts w:hint="eastAsia" w:ascii="宋体" w:hAnsi="宋体"/>
                <w:sz w:val="24"/>
                <w:szCs w:val="24"/>
                <w:highlight w:val="none"/>
              </w:rPr>
              <w:t>投标截止时间结束后参加投标的供应商不足三家的，除采购任务取消情形外，招标采购单位应当报告财政管理部门，由财政管理部门按照以下原则处理：</w:t>
            </w:r>
          </w:p>
          <w:p w14:paraId="432AE8BF">
            <w:pPr>
              <w:spacing w:line="440" w:lineRule="exact"/>
              <w:ind w:firstLine="480" w:firstLineChars="200"/>
              <w:rPr>
                <w:rFonts w:ascii="宋体" w:hAnsi="宋体"/>
                <w:sz w:val="24"/>
                <w:szCs w:val="24"/>
                <w:highlight w:val="none"/>
              </w:rPr>
            </w:pPr>
            <w:r>
              <w:rPr>
                <w:rFonts w:hint="eastAsia" w:ascii="宋体" w:hAnsi="宋体"/>
                <w:sz w:val="24"/>
                <w:szCs w:val="24"/>
                <w:highlight w:val="none"/>
              </w:rPr>
              <w:t>（1）招标文件没有不合理条款、招标公告时间及程序符合规定的，同意采取竞争性谈判、询价或者单一来源方式采购；</w:t>
            </w:r>
          </w:p>
          <w:p w14:paraId="4C3DC9B6">
            <w:pPr>
              <w:spacing w:line="440" w:lineRule="exact"/>
              <w:ind w:firstLine="480" w:firstLineChars="200"/>
              <w:rPr>
                <w:rFonts w:ascii="宋体" w:hAnsi="宋体"/>
                <w:sz w:val="24"/>
                <w:szCs w:val="24"/>
                <w:highlight w:val="none"/>
              </w:rPr>
            </w:pPr>
            <w:r>
              <w:rPr>
                <w:rFonts w:hint="eastAsia" w:ascii="宋体" w:hAnsi="宋体"/>
                <w:sz w:val="24"/>
                <w:szCs w:val="24"/>
                <w:highlight w:val="none"/>
              </w:rPr>
              <w:t>（2）招标文件存在不合理条款的，招标公告时间及程序不符合规定的，应予废标，并责成招标采购单位依法重新招标。</w:t>
            </w:r>
          </w:p>
          <w:p w14:paraId="3DAD0570">
            <w:pPr>
              <w:spacing w:line="440" w:lineRule="exact"/>
              <w:ind w:firstLine="480" w:firstLineChars="200"/>
              <w:rPr>
                <w:rFonts w:ascii="宋体" w:hAnsi="宋体"/>
                <w:sz w:val="24"/>
                <w:szCs w:val="24"/>
                <w:highlight w:val="none"/>
              </w:rPr>
            </w:pPr>
            <w:r>
              <w:rPr>
                <w:rFonts w:hint="eastAsia" w:ascii="宋体" w:hAnsi="宋体"/>
                <w:sz w:val="24"/>
                <w:szCs w:val="24"/>
                <w:highlight w:val="none"/>
              </w:rPr>
              <w:t>（3）在评标期间，出现符合专业条件的供应商或者对招标文件作出实质响应的供应商不足三家情形的，可以比照前款规定执行。</w:t>
            </w:r>
          </w:p>
        </w:tc>
      </w:tr>
      <w:tr w14:paraId="4F642038">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730E7C">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28C2F1EB">
            <w:pPr>
              <w:spacing w:line="259" w:lineRule="auto"/>
              <w:jc w:val="center"/>
              <w:rPr>
                <w:rFonts w:ascii="宋体" w:hAnsi="宋体"/>
                <w:color w:val="auto"/>
                <w:sz w:val="24"/>
                <w:szCs w:val="24"/>
                <w:highlight w:val="none"/>
              </w:rPr>
            </w:pPr>
            <w:r>
              <w:rPr>
                <w:rFonts w:hint="eastAsia" w:asciiTheme="minorEastAsia" w:hAnsiTheme="minorEastAsia" w:eastAsiaTheme="minorEastAsia"/>
                <w:color w:val="auto"/>
                <w:sz w:val="24"/>
                <w:szCs w:val="24"/>
                <w:lang w:val="en-US" w:eastAsia="zh-CN"/>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439434EE">
            <w:pPr>
              <w:pStyle w:val="64"/>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s="Times New Roman" w:asciiTheme="minorEastAsia" w:hAnsiTheme="minorEastAsia" w:eastAsiaTheme="minorEastAsia"/>
                <w:color w:val="0000FF"/>
                <w:kern w:val="0"/>
                <w:sz w:val="24"/>
                <w:szCs w:val="24"/>
                <w:highlight w:val="none"/>
                <w:lang w:val="en-US" w:eastAsia="zh-CN" w:bidi="ar-SA"/>
              </w:rPr>
            </w:pPr>
            <w:bookmarkStart w:id="18" w:name="OLE_LINK48"/>
            <w:r>
              <w:rPr>
                <w:rFonts w:hint="eastAsia" w:ascii="宋体" w:hAnsi="宋体" w:eastAsia="宋体" w:cs="Times New Roman"/>
                <w:color w:val="auto"/>
                <w:kern w:val="2"/>
                <w:sz w:val="24"/>
                <w:szCs w:val="24"/>
                <w:highlight w:val="none"/>
                <w:lang w:val="en-US" w:eastAsia="zh-CN" w:bidi="ar-SA"/>
              </w:rPr>
              <w:t>采购标的对应的中小企业划分标准所属行业为软件和信息技术服务业。</w:t>
            </w:r>
            <w:bookmarkEnd w:id="18"/>
            <w:r>
              <w:rPr>
                <w:rFonts w:hint="eastAsia" w:ascii="宋体" w:hAnsi="宋体" w:eastAsia="宋体" w:cs="Times New Roman"/>
                <w:color w:val="auto"/>
                <w:kern w:val="2"/>
                <w:sz w:val="24"/>
                <w:szCs w:val="24"/>
                <w:highlight w:val="none"/>
                <w:lang w:val="en-US" w:eastAsia="zh-CN" w:bidi="ar-SA"/>
              </w:rPr>
              <w:t>软件和信息技术服务业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3DE83E2">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37FB2E5">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2D059B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开标</w:t>
            </w:r>
            <w:r>
              <w:rPr>
                <w:rFonts w:asciiTheme="minorEastAsia" w:hAnsiTheme="minorEastAsia"/>
                <w:sz w:val="24"/>
                <w:szCs w:val="24"/>
                <w:highlight w:val="none"/>
              </w:rPr>
              <w:t>时间</w:t>
            </w:r>
            <w:r>
              <w:rPr>
                <w:rFonts w:hint="eastAsia" w:asciiTheme="minorEastAsia" w:hAnsiTheme="minorEastAsia"/>
                <w:sz w:val="24"/>
                <w:szCs w:val="24"/>
                <w:highlight w:val="none"/>
              </w:rPr>
              <w:t>、</w:t>
            </w:r>
          </w:p>
          <w:p w14:paraId="3C8487FA">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7FDCE32">
            <w:pPr>
              <w:overflowPunct w:val="0"/>
              <w:adjustRightInd w:val="0"/>
              <w:snapToGrid w:val="0"/>
              <w:spacing w:line="440" w:lineRule="exact"/>
              <w:rPr>
                <w:rFonts w:ascii="宋体" w:hAnsi="宋体" w:cs="宋体"/>
                <w:kern w:val="0"/>
                <w:sz w:val="24"/>
                <w:szCs w:val="28"/>
                <w:highlight w:val="none"/>
              </w:rPr>
            </w:pPr>
            <w:r>
              <w:rPr>
                <w:rFonts w:hint="eastAsia" w:ascii="宋体" w:hAnsi="宋体"/>
                <w:color w:val="000000" w:themeColor="text1"/>
                <w:sz w:val="24"/>
                <w:szCs w:val="24"/>
                <w:highlight w:val="none"/>
                <w14:textFill>
                  <w14:solidFill>
                    <w14:schemeClr w14:val="tx1"/>
                  </w14:solidFill>
                </w14:textFill>
              </w:rPr>
              <w:t>开标时间</w:t>
            </w:r>
            <w:r>
              <w:rPr>
                <w:rFonts w:hint="eastAsia" w:ascii="宋体" w:hAnsi="宋体"/>
                <w:color w:val="auto"/>
                <w:sz w:val="24"/>
                <w:szCs w:val="24"/>
                <w:highlight w:val="none"/>
              </w:rPr>
              <w:t>：</w:t>
            </w:r>
            <w:bookmarkStart w:id="19" w:name="OLE_LINK47"/>
            <w:r>
              <w:rPr>
                <w:rFonts w:hint="eastAsia" w:ascii="宋体" w:hAnsi="宋体" w:eastAsia="宋体" w:cs="宋体"/>
                <w:i w:val="0"/>
                <w:iCs w:val="0"/>
                <w:caps w:val="0"/>
                <w:color w:val="333333"/>
                <w:spacing w:val="0"/>
                <w:sz w:val="24"/>
                <w:szCs w:val="24"/>
                <w:shd w:val="clear" w:fill="FFFFFF"/>
              </w:rPr>
              <w:t>2026年02月04日 09时00分00秒</w:t>
            </w:r>
            <w:r>
              <w:rPr>
                <w:rFonts w:hint="eastAsia" w:ascii="宋体" w:hAnsi="宋体" w:cs="宋体"/>
                <w:color w:val="auto"/>
                <w:kern w:val="0"/>
                <w:sz w:val="24"/>
                <w:szCs w:val="24"/>
                <w:highlight w:val="none"/>
                <w:lang w:val="en-US" w:eastAsia="zh-CN"/>
              </w:rPr>
              <w:t xml:space="preserve">  </w:t>
            </w:r>
            <w:bookmarkEnd w:id="19"/>
          </w:p>
          <w:p w14:paraId="3E2C1D87">
            <w:pPr>
              <w:pStyle w:val="39"/>
              <w:shd w:val="clear" w:color="auto" w:fill="FFFFFF"/>
              <w:spacing w:before="0" w:beforeAutospacing="0" w:after="0" w:afterAutospacing="0" w:line="440" w:lineRule="exact"/>
              <w:rPr>
                <w:szCs w:val="24"/>
                <w:highlight w:val="none"/>
              </w:rPr>
            </w:pPr>
            <w:r>
              <w:rPr>
                <w:rFonts w:hint="eastAsia"/>
                <w:szCs w:val="24"/>
                <w:highlight w:val="none"/>
              </w:rPr>
              <w:t>开标地点：</w:t>
            </w:r>
            <w:r>
              <w:rPr>
                <w:rFonts w:ascii="宋体" w:hAnsi="宋体" w:eastAsia="宋体" w:cs="宋体"/>
                <w:sz w:val="24"/>
                <w:szCs w:val="24"/>
              </w:rPr>
              <w:t>安康不见面开标大厅系统</w:t>
            </w:r>
          </w:p>
          <w:p w14:paraId="01BE0C5C">
            <w:pPr>
              <w:overflowPunct w:val="0"/>
              <w:adjustRightInd w:val="0"/>
              <w:snapToGrid w:val="0"/>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（如有变动，另行通知）。</w:t>
            </w:r>
          </w:p>
        </w:tc>
      </w:tr>
      <w:tr w14:paraId="335A35DA">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AAC9820">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tcPr>
          <w:p w14:paraId="6DCC7F9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val="en-US" w:eastAsia="zh-CN"/>
              </w:rPr>
              <w:t>投标</w:t>
            </w:r>
            <w:r>
              <w:rPr>
                <w:rFonts w:asciiTheme="minorEastAsia" w:hAnsiTheme="minorEastAsia"/>
                <w:sz w:val="24"/>
                <w:szCs w:val="24"/>
                <w:highlight w:val="none"/>
              </w:rPr>
              <w:t>文件</w:t>
            </w:r>
          </w:p>
          <w:p w14:paraId="09CA1C12">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4FBA819">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2026年02月04日 09时00分00秒</w:t>
            </w:r>
            <w:r>
              <w:rPr>
                <w:rFonts w:hint="eastAsia" w:ascii="宋体" w:hAnsi="宋体"/>
                <w:color w:val="auto"/>
                <w:sz w:val="24"/>
                <w:szCs w:val="24"/>
                <w:highlight w:val="none"/>
              </w:rPr>
              <w:t>止</w:t>
            </w:r>
          </w:p>
        </w:tc>
      </w:tr>
      <w:tr w14:paraId="09E3F794">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49175C1">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D6B03A8">
            <w:pPr>
              <w:widowControl/>
              <w:spacing w:line="440" w:lineRule="exact"/>
              <w:jc w:val="center"/>
              <w:rPr>
                <w:rFonts w:ascii="宋体" w:hAnsi="宋体"/>
                <w:sz w:val="24"/>
                <w:szCs w:val="24"/>
                <w:highlight w:val="none"/>
              </w:rPr>
            </w:pPr>
            <w:r>
              <w:rPr>
                <w:rFonts w:hint="eastAsia" w:ascii="宋体" w:hAnsi="宋体"/>
                <w:sz w:val="24"/>
                <w:szCs w:val="24"/>
                <w:highlight w:val="none"/>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66835C47">
            <w:pPr>
              <w:spacing w:line="440" w:lineRule="exact"/>
              <w:rPr>
                <w:rFonts w:ascii="宋体" w:hAnsi="宋体"/>
                <w:sz w:val="24"/>
                <w:szCs w:val="24"/>
                <w:highlight w:val="none"/>
              </w:rPr>
            </w:pPr>
            <w:r>
              <w:rPr>
                <w:rFonts w:hint="eastAsia" w:ascii="宋体" w:hAnsi="宋体"/>
                <w:sz w:val="24"/>
                <w:szCs w:val="24"/>
                <w:highlight w:val="none"/>
              </w:rPr>
              <w:t>根据《中华人民共和国政府采购法</w:t>
            </w:r>
            <w:r>
              <w:rPr>
                <w:rFonts w:hint="eastAsia" w:ascii="宋体" w:hAnsi="宋体"/>
                <w:sz w:val="24"/>
                <w:szCs w:val="24"/>
                <w:highlight w:val="none"/>
                <w:lang w:eastAsia="zh-CN"/>
              </w:rPr>
              <w:t>》《中华人民共和国政府采购法实施条例</w:t>
            </w:r>
            <w:r>
              <w:rPr>
                <w:rFonts w:hint="eastAsia" w:ascii="宋体" w:hAnsi="宋体"/>
                <w:sz w:val="24"/>
                <w:szCs w:val="24"/>
                <w:highlight w:val="none"/>
              </w:rPr>
              <w:t>》等有关法律规定组建评标小组。</w:t>
            </w:r>
          </w:p>
        </w:tc>
      </w:tr>
      <w:tr w14:paraId="437B9C4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1C40EE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B34398B">
            <w:pPr>
              <w:spacing w:line="440" w:lineRule="exact"/>
              <w:ind w:right="109"/>
              <w:jc w:val="center"/>
              <w:rPr>
                <w:rFonts w:asciiTheme="minorEastAsia" w:hAnsiTheme="minorEastAsia"/>
                <w:sz w:val="24"/>
                <w:szCs w:val="24"/>
                <w:highlight w:val="none"/>
              </w:rPr>
            </w:pPr>
            <w:r>
              <w:rPr>
                <w:rFonts w:hint="eastAsia" w:ascii="宋体" w:hAnsi="宋体"/>
                <w:sz w:val="24"/>
                <w:szCs w:val="24"/>
                <w:highlight w:val="none"/>
              </w:rPr>
              <w:t>勘查</w:t>
            </w:r>
          </w:p>
        </w:tc>
        <w:tc>
          <w:tcPr>
            <w:tcW w:w="7180" w:type="dxa"/>
            <w:tcBorders>
              <w:top w:val="single" w:color="000000" w:sz="4" w:space="0"/>
              <w:left w:val="single" w:color="000000" w:sz="4" w:space="0"/>
              <w:bottom w:val="single" w:color="000000" w:sz="4" w:space="0"/>
              <w:right w:val="single" w:color="000000" w:sz="4" w:space="0"/>
            </w:tcBorders>
          </w:tcPr>
          <w:p w14:paraId="573E3F08">
            <w:pPr>
              <w:widowControl/>
              <w:spacing w:line="440" w:lineRule="exact"/>
              <w:rPr>
                <w:rFonts w:ascii="宋体" w:hAnsi="宋体"/>
                <w:sz w:val="24"/>
                <w:szCs w:val="24"/>
                <w:highlight w:val="none"/>
              </w:rPr>
            </w:pPr>
            <w:r>
              <w:rPr>
                <w:rFonts w:hint="eastAsia" w:ascii="宋体" w:hAnsi="宋体"/>
                <w:sz w:val="24"/>
                <w:szCs w:val="24"/>
                <w:highlight w:val="none"/>
              </w:rPr>
              <w:t>1.采购代理机构不组织统一现场勘察，由供应商自行安排。</w:t>
            </w:r>
          </w:p>
          <w:p w14:paraId="110F9D67">
            <w:pPr>
              <w:widowControl/>
              <w:spacing w:line="440" w:lineRule="exact"/>
              <w:jc w:val="left"/>
              <w:rPr>
                <w:rFonts w:asciiTheme="minorEastAsia" w:hAnsiTheme="minorEastAsia"/>
                <w:sz w:val="24"/>
                <w:szCs w:val="24"/>
                <w:highlight w:val="none"/>
              </w:rPr>
            </w:pPr>
            <w:r>
              <w:rPr>
                <w:rFonts w:hint="eastAsia" w:ascii="宋体" w:hAnsi="宋体"/>
                <w:sz w:val="24"/>
                <w:szCs w:val="24"/>
                <w:highlight w:val="none"/>
              </w:rPr>
              <w:t>2.供应商勘察现场发生的一切费用自理，并自行负责在勘察现场发生的人员伤亡和财产损失。</w:t>
            </w:r>
          </w:p>
        </w:tc>
      </w:tr>
      <w:tr w14:paraId="1127343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BF30406">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922D3BD">
            <w:pPr>
              <w:spacing w:line="440" w:lineRule="exact"/>
              <w:ind w:right="109"/>
              <w:jc w:val="center"/>
              <w:rPr>
                <w:rFonts w:asciiTheme="minorEastAsia" w:hAnsiTheme="minorEastAsia"/>
                <w:sz w:val="24"/>
                <w:szCs w:val="24"/>
                <w:highlight w:val="none"/>
              </w:rPr>
            </w:pPr>
            <w:r>
              <w:rPr>
                <w:rFonts w:ascii="宋体" w:hAnsi="宋体"/>
                <w:sz w:val="24"/>
                <w:szCs w:val="24"/>
                <w:highlight w:val="none"/>
              </w:rPr>
              <w:t>答疑</w:t>
            </w:r>
          </w:p>
        </w:tc>
        <w:tc>
          <w:tcPr>
            <w:tcW w:w="7180" w:type="dxa"/>
            <w:tcBorders>
              <w:top w:val="single" w:color="000000" w:sz="4" w:space="0"/>
              <w:left w:val="single" w:color="000000" w:sz="4" w:space="0"/>
              <w:bottom w:val="single" w:color="000000" w:sz="4" w:space="0"/>
              <w:right w:val="single" w:color="000000" w:sz="4" w:space="0"/>
            </w:tcBorders>
          </w:tcPr>
          <w:p w14:paraId="4F4C4DA7">
            <w:pPr>
              <w:spacing w:line="440" w:lineRule="exact"/>
              <w:ind w:right="-11"/>
              <w:rPr>
                <w:rFonts w:asciiTheme="minorEastAsia" w:hAnsiTheme="minorEastAsia"/>
                <w:sz w:val="24"/>
                <w:szCs w:val="24"/>
                <w:highlight w:val="none"/>
              </w:rPr>
            </w:pPr>
            <w:r>
              <w:rPr>
                <w:rFonts w:asciiTheme="minorEastAsia" w:hAnsiTheme="minorEastAsia"/>
                <w:sz w:val="24"/>
                <w:szCs w:val="24"/>
                <w:highlight w:val="none"/>
              </w:rPr>
              <w:t xml:space="preserve">如有疑问，投标人需书面提出，经采购人收集问题后，统一答疑。 </w:t>
            </w:r>
          </w:p>
        </w:tc>
      </w:tr>
      <w:tr w14:paraId="0FC62C9B">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27CCD8">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0577A5E">
            <w:pPr>
              <w:keepNext w:val="0"/>
              <w:keepLines w:val="0"/>
              <w:pageBreakBefore w:val="0"/>
              <w:kinsoku/>
              <w:wordWrap/>
              <w:topLinePunct w:val="0"/>
              <w:bidi w:val="0"/>
              <w:adjustRightInd w:val="0"/>
              <w:snapToGrid w:val="0"/>
              <w:spacing w:line="360" w:lineRule="auto"/>
              <w:ind w:right="109" w:rightChars="0"/>
              <w:jc w:val="center"/>
              <w:textAlignment w:val="auto"/>
              <w:rPr>
                <w:rFonts w:ascii="宋体" w:hAnsi="宋体"/>
                <w:b/>
                <w:bCs/>
                <w:sz w:val="24"/>
                <w:szCs w:val="24"/>
                <w:highlight w:val="none"/>
              </w:rPr>
            </w:pPr>
            <w:r>
              <w:rPr>
                <w:rFonts w:hint="default" w:ascii="宋体" w:hAnsi="宋体" w:eastAsia="宋体"/>
                <w:b/>
                <w:bCs/>
                <w:sz w:val="24"/>
                <w:szCs w:val="24"/>
                <w:highlight w:val="none"/>
                <w:lang w:val="en-US" w:eastAsia="zh-CN"/>
              </w:rPr>
              <w:t>纸质投标</w:t>
            </w:r>
            <w:r>
              <w:rPr>
                <w:rFonts w:hint="eastAsia" w:ascii="宋体" w:hAnsi="宋体"/>
                <w:b/>
                <w:bCs/>
                <w:sz w:val="24"/>
                <w:szCs w:val="24"/>
                <w:highlight w:val="none"/>
                <w:lang w:val="en-US" w:eastAsia="zh-CN"/>
              </w:rPr>
              <w:t>文件</w:t>
            </w:r>
            <w:r>
              <w:rPr>
                <w:rFonts w:hint="default" w:ascii="宋体" w:hAnsi="宋体" w:eastAsia="宋体"/>
                <w:b/>
                <w:bCs/>
                <w:sz w:val="24"/>
                <w:szCs w:val="24"/>
                <w:highlight w:val="none"/>
                <w:lang w:val="en-US" w:eastAsia="zh-CN"/>
              </w:rPr>
              <w:t>递交</w:t>
            </w:r>
            <w:r>
              <w:rPr>
                <w:rFonts w:hint="eastAsia" w:ascii="宋体" w:hAnsi="宋体"/>
                <w:b/>
                <w:bCs/>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5EE84A31">
            <w:pPr>
              <w:keepNext w:val="0"/>
              <w:keepLines w:val="0"/>
              <w:pageBreakBefore w:val="0"/>
              <w:kinsoku/>
              <w:wordWrap/>
              <w:topLinePunct w:val="0"/>
              <w:bidi w:val="0"/>
              <w:adjustRightInd w:val="0"/>
              <w:snapToGrid w:val="0"/>
              <w:spacing w:line="360" w:lineRule="auto"/>
              <w:ind w:right="-11" w:rightChars="0" w:firstLine="482" w:firstLineChars="200"/>
              <w:textAlignment w:val="auto"/>
              <w:rPr>
                <w:rFonts w:asciiTheme="minorEastAsia" w:hAnsiTheme="minorEastAsia"/>
                <w:b/>
                <w:bCs/>
                <w:sz w:val="24"/>
                <w:szCs w:val="24"/>
                <w:highlight w:val="none"/>
              </w:rPr>
            </w:pPr>
            <w:r>
              <w:rPr>
                <w:rFonts w:hint="eastAsia" w:ascii="思源宋体 CN Light" w:hAnsi="思源宋体 CN Light" w:eastAsia="思源宋体 CN Light" w:cs="思源宋体 CN Light"/>
                <w:b/>
                <w:bCs/>
                <w:color w:val="auto"/>
                <w:sz w:val="24"/>
                <w:szCs w:val="24"/>
              </w:rPr>
              <w:t>投标供应商</w:t>
            </w:r>
            <w:r>
              <w:rPr>
                <w:rFonts w:hint="eastAsia" w:ascii="思源宋体 CN Light" w:hAnsi="思源宋体 CN Light" w:eastAsia="思源宋体 CN Light" w:cs="思源宋体 CN Light"/>
                <w:b/>
                <w:bCs/>
                <w:color w:val="auto"/>
                <w:sz w:val="24"/>
                <w:szCs w:val="24"/>
                <w:lang w:eastAsia="zh-CN"/>
              </w:rPr>
              <w:t>在开标时</w:t>
            </w:r>
            <w:r>
              <w:rPr>
                <w:rFonts w:hint="eastAsia" w:ascii="思源宋体 CN Light" w:hAnsi="思源宋体 CN Light" w:eastAsia="思源宋体 CN Light" w:cs="思源宋体 CN Light"/>
                <w:b/>
                <w:bCs/>
                <w:color w:val="auto"/>
                <w:sz w:val="24"/>
                <w:szCs w:val="24"/>
              </w:rPr>
              <w:t>无需提交纸质投标文件，待</w:t>
            </w:r>
            <w:r>
              <w:rPr>
                <w:rFonts w:hint="eastAsia" w:ascii="思源宋体 CN Light" w:hAnsi="思源宋体 CN Light" w:eastAsia="思源宋体 CN Light" w:cs="思源宋体 CN Light"/>
                <w:b/>
                <w:bCs/>
                <w:color w:val="auto"/>
                <w:sz w:val="24"/>
                <w:szCs w:val="24"/>
                <w:lang w:eastAsia="zh-CN"/>
              </w:rPr>
              <w:t>开标结束</w:t>
            </w:r>
            <w:r>
              <w:rPr>
                <w:rFonts w:hint="eastAsia" w:ascii="思源宋体 CN Light" w:hAnsi="思源宋体 CN Light" w:eastAsia="思源宋体 CN Light" w:cs="思源宋体 CN Light"/>
                <w:b/>
                <w:bCs/>
                <w:color w:val="auto"/>
                <w:sz w:val="24"/>
                <w:szCs w:val="24"/>
              </w:rPr>
              <w:t>后，</w:t>
            </w:r>
            <w:r>
              <w:rPr>
                <w:rFonts w:hint="eastAsia" w:ascii="思源宋体 CN Light" w:hAnsi="思源宋体 CN Light" w:eastAsia="思源宋体 CN Light" w:cs="思源宋体 CN Light"/>
                <w:b/>
                <w:bCs/>
                <w:color w:val="auto"/>
                <w:sz w:val="24"/>
                <w:szCs w:val="24"/>
                <w:lang w:eastAsia="zh-CN"/>
              </w:rPr>
              <w:t>中标单位</w:t>
            </w:r>
            <w:r>
              <w:rPr>
                <w:rFonts w:hint="eastAsia" w:ascii="思源宋体 CN Light" w:hAnsi="思源宋体 CN Light" w:eastAsia="思源宋体 CN Light" w:cs="思源宋体 CN Light"/>
                <w:b/>
                <w:bCs/>
                <w:color w:val="auto"/>
                <w:sz w:val="24"/>
                <w:szCs w:val="24"/>
                <w:lang w:val="en-US" w:eastAsia="zh-CN"/>
              </w:rPr>
              <w:t>在领取中标通知书时</w:t>
            </w:r>
            <w:r>
              <w:rPr>
                <w:rFonts w:hint="eastAsia" w:ascii="思源宋体 CN Light" w:hAnsi="思源宋体 CN Light" w:eastAsia="思源宋体 CN Light" w:cs="思源宋体 CN Light"/>
                <w:b/>
                <w:bCs/>
                <w:color w:val="auto"/>
                <w:sz w:val="24"/>
                <w:szCs w:val="24"/>
                <w:lang w:eastAsia="zh-CN"/>
              </w:rPr>
              <w:t>需补交</w:t>
            </w:r>
            <w:r>
              <w:rPr>
                <w:rFonts w:hint="eastAsia" w:ascii="思源宋体 CN Light" w:hAnsi="思源宋体 CN Light" w:eastAsia="思源宋体 CN Light" w:cs="思源宋体 CN Light"/>
                <w:b/>
                <w:bCs/>
                <w:color w:val="auto"/>
                <w:sz w:val="24"/>
                <w:szCs w:val="24"/>
                <w:lang w:val="en-US" w:eastAsia="zh-CN"/>
              </w:rPr>
              <w:t>两套</w:t>
            </w:r>
            <w:r>
              <w:rPr>
                <w:rFonts w:hint="eastAsia" w:ascii="思源宋体 CN Light" w:hAnsi="思源宋体 CN Light" w:eastAsia="思源宋体 CN Light" w:cs="思源宋体 CN Light"/>
                <w:b/>
                <w:bCs/>
                <w:color w:val="auto"/>
                <w:sz w:val="24"/>
                <w:szCs w:val="24"/>
                <w:lang w:eastAsia="zh-CN"/>
              </w:rPr>
              <w:t>纸质投标文件，</w:t>
            </w:r>
            <w:r>
              <w:rPr>
                <w:rFonts w:hint="eastAsia" w:ascii="思源宋体 CN Light" w:hAnsi="思源宋体 CN Light" w:eastAsia="思源宋体 CN Light" w:cs="思源宋体 CN Light"/>
                <w:b/>
                <w:bCs/>
                <w:color w:val="auto"/>
                <w:sz w:val="24"/>
                <w:szCs w:val="24"/>
                <w:lang w:val="en-US" w:eastAsia="zh-CN"/>
              </w:rPr>
              <w:t>纸质投标文件需与</w:t>
            </w:r>
            <w:r>
              <w:rPr>
                <w:rFonts w:hint="eastAsia" w:ascii="宋体" w:hAnsi="宋体" w:cs="宋体"/>
                <w:b/>
                <w:bCs/>
                <w:kern w:val="0"/>
                <w:sz w:val="24"/>
                <w:szCs w:val="24"/>
                <w:highlight w:val="none"/>
              </w:rPr>
              <w:t>全国公共资源交易中心平台（陕西省）</w:t>
            </w:r>
            <w:r>
              <w:rPr>
                <w:rFonts w:hint="eastAsia" w:ascii="宋体" w:hAnsi="宋体" w:cs="宋体"/>
                <w:b/>
                <w:bCs/>
                <w:kern w:val="0"/>
                <w:sz w:val="24"/>
                <w:szCs w:val="24"/>
                <w:highlight w:val="none"/>
                <w:lang w:val="en-US" w:eastAsia="zh-CN"/>
              </w:rPr>
              <w:t>平台上传的电子投标文件一致</w:t>
            </w:r>
            <w:r>
              <w:rPr>
                <w:rFonts w:hint="eastAsia" w:ascii="思源宋体 CN Light" w:hAnsi="思源宋体 CN Light" w:eastAsia="思源宋体 CN Light" w:cs="思源宋体 CN Light"/>
                <w:b/>
                <w:bCs/>
                <w:color w:val="auto"/>
                <w:sz w:val="24"/>
                <w:szCs w:val="24"/>
                <w:lang w:eastAsia="zh-CN"/>
              </w:rPr>
              <w:t>。</w:t>
            </w:r>
          </w:p>
        </w:tc>
      </w:tr>
      <w:bookmarkEnd w:id="13"/>
    </w:tbl>
    <w:p w14:paraId="2EF33678">
      <w:pPr>
        <w:widowControl/>
        <w:jc w:val="left"/>
        <w:rPr>
          <w:rFonts w:ascii="宋体" w:hAnsi="宋体"/>
          <w:b/>
          <w:bCs/>
          <w:kern w:val="44"/>
          <w:sz w:val="36"/>
          <w:szCs w:val="36"/>
          <w:highlight w:val="none"/>
        </w:rPr>
      </w:pPr>
      <w:r>
        <w:rPr>
          <w:rFonts w:ascii="宋体" w:hAnsi="宋体"/>
          <w:sz w:val="36"/>
          <w:szCs w:val="36"/>
          <w:highlight w:val="none"/>
        </w:rPr>
        <w:br w:type="page"/>
      </w:r>
    </w:p>
    <w:p w14:paraId="58D1DCB7">
      <w:pPr>
        <w:pStyle w:val="2"/>
        <w:spacing w:before="0" w:after="0" w:line="480" w:lineRule="exact"/>
        <w:jc w:val="center"/>
        <w:rPr>
          <w:rFonts w:ascii="宋体" w:hAnsi="宋体"/>
          <w:sz w:val="36"/>
          <w:szCs w:val="36"/>
          <w:highlight w:val="none"/>
        </w:rPr>
      </w:pPr>
      <w:bookmarkStart w:id="20" w:name="_Toc23258605"/>
      <w:bookmarkStart w:id="21" w:name="_Toc1882"/>
      <w:bookmarkStart w:id="22" w:name="_Toc26541322"/>
      <w:r>
        <w:rPr>
          <w:rFonts w:hint="eastAsia" w:ascii="宋体" w:hAnsi="宋体"/>
          <w:sz w:val="36"/>
          <w:szCs w:val="36"/>
          <w:highlight w:val="none"/>
        </w:rPr>
        <w:t>第三章 投标人须知</w:t>
      </w:r>
      <w:bookmarkEnd w:id="20"/>
      <w:bookmarkEnd w:id="21"/>
      <w:bookmarkEnd w:id="22"/>
    </w:p>
    <w:p w14:paraId="17D1E1C4">
      <w:pPr>
        <w:pStyle w:val="3"/>
        <w:spacing w:before="0" w:after="0" w:line="480" w:lineRule="exact"/>
        <w:jc w:val="center"/>
        <w:rPr>
          <w:highlight w:val="none"/>
        </w:rPr>
      </w:pPr>
      <w:bookmarkStart w:id="23" w:name="_Toc26541323"/>
      <w:bookmarkStart w:id="24" w:name="_Toc23258606"/>
      <w:r>
        <w:rPr>
          <w:rFonts w:hint="eastAsia"/>
          <w:highlight w:val="none"/>
        </w:rPr>
        <w:t>一、总则</w:t>
      </w:r>
      <w:bookmarkEnd w:id="23"/>
      <w:bookmarkEnd w:id="24"/>
    </w:p>
    <w:p w14:paraId="7C8A2C1B">
      <w:pPr>
        <w:autoSpaceDE w:val="0"/>
        <w:autoSpaceDN w:val="0"/>
        <w:adjustRightInd w:val="0"/>
        <w:spacing w:line="360" w:lineRule="auto"/>
        <w:ind w:firstLine="482" w:firstLineChars="200"/>
        <w:rPr>
          <w:rFonts w:ascii="宋体" w:hAnsi="宋体"/>
          <w:b/>
          <w:sz w:val="24"/>
          <w:szCs w:val="24"/>
          <w:highlight w:val="none"/>
        </w:rPr>
      </w:pPr>
      <w:bookmarkStart w:id="25" w:name="_Toc311415573"/>
      <w:bookmarkStart w:id="26" w:name="_Toc358364321"/>
      <w:bookmarkStart w:id="27" w:name="_Toc380336727"/>
      <w:bookmarkStart w:id="28" w:name="_Toc409689049"/>
      <w:r>
        <w:rPr>
          <w:rFonts w:ascii="宋体" w:hAnsi="宋体"/>
          <w:b/>
          <w:sz w:val="24"/>
          <w:szCs w:val="24"/>
          <w:highlight w:val="none"/>
        </w:rPr>
        <w:t>1</w:t>
      </w:r>
      <w:r>
        <w:rPr>
          <w:rFonts w:hint="eastAsia" w:ascii="宋体" w:hAnsi="宋体"/>
          <w:b/>
          <w:sz w:val="24"/>
          <w:szCs w:val="24"/>
          <w:highlight w:val="none"/>
          <w:lang w:val="en-US" w:eastAsia="zh-CN"/>
        </w:rPr>
        <w:t>.</w:t>
      </w:r>
      <w:r>
        <w:rPr>
          <w:rFonts w:hint="eastAsia" w:ascii="宋体" w:hAnsi="宋体"/>
          <w:b/>
          <w:sz w:val="24"/>
          <w:szCs w:val="24"/>
          <w:highlight w:val="none"/>
        </w:rPr>
        <w:t>项目概况</w:t>
      </w:r>
    </w:p>
    <w:p w14:paraId="0DBA750A">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1.1</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根据《中华人民共和国政府采购法》《中华人民共和国政府采购法实施条例》等有关法律法规和规章，本项目已具备招标条件，现进行招标。</w:t>
      </w:r>
    </w:p>
    <w:p w14:paraId="5B25B52B">
      <w:pPr>
        <w:autoSpaceDE w:val="0"/>
        <w:autoSpaceDN w:val="0"/>
        <w:adjustRightInd w:val="0"/>
        <w:spacing w:line="360" w:lineRule="auto"/>
        <w:ind w:firstLine="360" w:firstLineChars="150"/>
        <w:rPr>
          <w:rFonts w:ascii="宋体" w:hAnsi="宋体"/>
          <w:sz w:val="24"/>
          <w:szCs w:val="21"/>
          <w:highlight w:val="none"/>
        </w:rPr>
      </w:pPr>
      <w:r>
        <w:rPr>
          <w:rFonts w:ascii="宋体" w:hAnsi="宋体"/>
          <w:sz w:val="24"/>
          <w:szCs w:val="21"/>
          <w:highlight w:val="none"/>
          <w:lang w:val="zh-CN"/>
        </w:rPr>
        <w:t>1.2</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采购人：</w:t>
      </w:r>
      <w:r>
        <w:rPr>
          <w:rFonts w:hint="eastAsia" w:ascii="宋体" w:hAnsi="宋体" w:cs="宋体"/>
          <w:kern w:val="0"/>
          <w:sz w:val="24"/>
          <w:szCs w:val="24"/>
          <w:highlight w:val="none"/>
          <w:lang w:val="en-US" w:eastAsia="zh-CN"/>
        </w:rPr>
        <w:t>安康市中心医院</w:t>
      </w:r>
    </w:p>
    <w:p w14:paraId="2CF5758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rPr>
        <w:t>1.3</w:t>
      </w:r>
      <w:r>
        <w:rPr>
          <w:rFonts w:hint="eastAsia" w:ascii="宋体" w:hAnsi="宋体"/>
          <w:sz w:val="24"/>
          <w:szCs w:val="21"/>
          <w:highlight w:val="none"/>
        </w:rPr>
        <w:t xml:space="preserve"> </w:t>
      </w:r>
      <w:r>
        <w:rPr>
          <w:rFonts w:hint="eastAsia" w:ascii="宋体" w:hAnsi="宋体"/>
          <w:sz w:val="24"/>
          <w:szCs w:val="21"/>
          <w:highlight w:val="none"/>
          <w:lang w:val="zh-CN"/>
        </w:rPr>
        <w:t>采购代理机构：</w:t>
      </w:r>
      <w:r>
        <w:rPr>
          <w:rFonts w:hint="eastAsia" w:ascii="宋体" w:hAnsi="宋体"/>
          <w:sz w:val="24"/>
          <w:szCs w:val="21"/>
          <w:highlight w:val="none"/>
        </w:rPr>
        <w:t>安康尚昊招标代理有限公司</w:t>
      </w:r>
    </w:p>
    <w:p w14:paraId="02195208">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1.4</w:t>
      </w:r>
      <w:r>
        <w:rPr>
          <w:rFonts w:hint="eastAsia" w:ascii="宋体" w:hAnsi="宋体"/>
          <w:sz w:val="24"/>
          <w:szCs w:val="21"/>
          <w:highlight w:val="none"/>
        </w:rPr>
        <w:t xml:space="preserve"> </w:t>
      </w:r>
      <w:r>
        <w:rPr>
          <w:rFonts w:hint="eastAsia" w:ascii="宋体" w:hAnsi="宋体"/>
          <w:sz w:val="24"/>
          <w:szCs w:val="21"/>
          <w:highlight w:val="none"/>
          <w:lang w:val="zh-CN"/>
        </w:rPr>
        <w:t>采购项目名称：安康市中心医院资产管理系统及资产数据治理服务采购项目。</w:t>
      </w:r>
    </w:p>
    <w:p w14:paraId="4F02BCC1">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招标范围、服务期、项目地点</w:t>
      </w:r>
    </w:p>
    <w:p w14:paraId="4F94F81D">
      <w:pPr>
        <w:pStyle w:val="64"/>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rPr>
      </w:pPr>
      <w:r>
        <w:rPr>
          <w:rFonts w:ascii="宋体" w:hAnsi="宋体"/>
          <w:color w:val="auto"/>
          <w:sz w:val="24"/>
          <w:szCs w:val="21"/>
          <w:highlight w:val="none"/>
          <w:lang w:val="zh-CN"/>
        </w:rPr>
        <w:t>2.1</w:t>
      </w:r>
      <w:r>
        <w:rPr>
          <w:rFonts w:hint="eastAsia" w:ascii="宋体" w:hAnsi="宋体"/>
          <w:color w:val="auto"/>
          <w:sz w:val="24"/>
          <w:szCs w:val="21"/>
          <w:highlight w:val="none"/>
        </w:rPr>
        <w:t xml:space="preserve"> </w:t>
      </w:r>
      <w:bookmarkStart w:id="29" w:name="OLE_LINK61"/>
      <w:r>
        <w:rPr>
          <w:rFonts w:hint="eastAsia" w:ascii="宋体" w:hAnsi="宋体"/>
          <w:color w:val="auto"/>
          <w:sz w:val="24"/>
          <w:szCs w:val="21"/>
          <w:highlight w:val="none"/>
          <w:lang w:val="zh-CN"/>
        </w:rPr>
        <w:t>招标范围：安康市中心医院资产管理系统及资产数据治理服务采购项目，预算金额：</w:t>
      </w:r>
      <w:r>
        <w:rPr>
          <w:rFonts w:hint="eastAsia" w:ascii="宋体" w:hAnsi="宋体"/>
          <w:color w:val="auto"/>
          <w:sz w:val="24"/>
          <w:szCs w:val="21"/>
          <w:highlight w:val="none"/>
          <w:lang w:val="en-US" w:eastAsia="zh-CN"/>
        </w:rPr>
        <w:t>99</w:t>
      </w:r>
      <w:r>
        <w:rPr>
          <w:rFonts w:hint="eastAsia" w:ascii="宋体" w:hAnsi="宋体"/>
          <w:color w:val="auto"/>
          <w:sz w:val="24"/>
          <w:szCs w:val="21"/>
          <w:highlight w:val="none"/>
          <w:lang w:val="zh-CN"/>
        </w:rPr>
        <w:t>0,000.00元，最高限价：</w:t>
      </w:r>
      <w:r>
        <w:rPr>
          <w:rFonts w:hint="eastAsia" w:ascii="宋体" w:hAnsi="宋体"/>
          <w:color w:val="auto"/>
          <w:sz w:val="24"/>
          <w:szCs w:val="21"/>
          <w:highlight w:val="none"/>
          <w:lang w:val="en-US" w:eastAsia="zh-CN"/>
        </w:rPr>
        <w:t>94</w:t>
      </w:r>
      <w:r>
        <w:rPr>
          <w:rFonts w:hint="eastAsia" w:ascii="宋体" w:hAnsi="宋体"/>
          <w:color w:val="auto"/>
          <w:sz w:val="24"/>
          <w:szCs w:val="21"/>
          <w:highlight w:val="none"/>
          <w:lang w:val="zh-CN"/>
        </w:rPr>
        <w:t>0,000.00元；项目概况：资产管理系统及资产信息数据治理服务；简要技术要求、用途：自用，技术要求详见招标文件“采购内容”。</w:t>
      </w:r>
    </w:p>
    <w:p w14:paraId="4B09DD51">
      <w:pPr>
        <w:numPr>
          <w:ilvl w:val="0"/>
          <w:numId w:val="0"/>
        </w:numPr>
        <w:spacing w:line="460" w:lineRule="exact"/>
        <w:ind w:firstLine="480" w:firstLineChars="200"/>
        <w:rPr>
          <w:rFonts w:hint="eastAsia" w:ascii="宋体" w:hAnsi="宋体"/>
          <w:color w:val="auto"/>
          <w:kern w:val="0"/>
          <w:sz w:val="24"/>
          <w:szCs w:val="24"/>
          <w:highlight w:val="none"/>
          <w:lang w:val="en-US"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.合同履行期：签订合同后 180个日历日内交付（含安装调试验收）。</w:t>
      </w:r>
    </w:p>
    <w:bookmarkEnd w:id="29"/>
    <w:p w14:paraId="427BF2B6">
      <w:pPr>
        <w:autoSpaceDE w:val="0"/>
        <w:autoSpaceDN w:val="0"/>
        <w:adjustRightInd w:val="0"/>
        <w:spacing w:line="360" w:lineRule="auto"/>
        <w:ind w:firstLine="480" w:firstLineChars="200"/>
        <w:rPr>
          <w:rFonts w:hint="default"/>
          <w:color w:val="auto"/>
          <w:highlight w:val="none"/>
          <w:lang w:val="en-US"/>
        </w:rPr>
      </w:pPr>
      <w:r>
        <w:rPr>
          <w:rFonts w:hint="eastAsia" w:ascii="宋体" w:hAnsi="宋体"/>
          <w:color w:val="auto"/>
          <w:kern w:val="0"/>
          <w:sz w:val="24"/>
          <w:szCs w:val="24"/>
          <w:highlight w:val="none"/>
        </w:rPr>
        <w:t>2.3 项目地点：</w:t>
      </w:r>
      <w:r>
        <w:rPr>
          <w:rFonts w:hint="eastAsia" w:ascii="宋体" w:hAnsi="宋体"/>
          <w:color w:val="auto"/>
          <w:kern w:val="0"/>
          <w:sz w:val="24"/>
          <w:szCs w:val="24"/>
          <w:highlight w:val="none"/>
          <w:lang w:val="en-US" w:eastAsia="zh-CN"/>
        </w:rPr>
        <w:t>采购人指定地点。</w:t>
      </w:r>
    </w:p>
    <w:p w14:paraId="6845747A">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 xml:space="preserve"> 投标人资格要求</w:t>
      </w:r>
    </w:p>
    <w:p w14:paraId="2855EF5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3.1</w:t>
      </w:r>
      <w:r>
        <w:rPr>
          <w:rFonts w:hint="eastAsia" w:ascii="宋体" w:hAnsi="宋体"/>
          <w:sz w:val="24"/>
          <w:szCs w:val="21"/>
          <w:highlight w:val="none"/>
          <w:lang w:val="zh-CN"/>
        </w:rPr>
        <w:t xml:space="preserve"> 投标人应具备的资格条件：见投标人须知前附表。</w:t>
      </w:r>
    </w:p>
    <w:p w14:paraId="311E81CF">
      <w:pPr>
        <w:spacing w:line="360" w:lineRule="auto"/>
        <w:ind w:firstLine="482" w:firstLineChars="200"/>
        <w:rPr>
          <w:rFonts w:ascii="宋体" w:hAnsi="宋体"/>
          <w:b/>
          <w:sz w:val="24"/>
          <w:szCs w:val="24"/>
          <w:highlight w:val="none"/>
        </w:rPr>
      </w:pPr>
      <w:r>
        <w:rPr>
          <w:rFonts w:ascii="宋体" w:hAnsi="宋体"/>
          <w:b/>
          <w:sz w:val="24"/>
          <w:szCs w:val="24"/>
          <w:highlight w:val="none"/>
        </w:rPr>
        <w:t>4</w:t>
      </w:r>
      <w:r>
        <w:rPr>
          <w:rFonts w:hint="eastAsia" w:ascii="宋体" w:hAnsi="宋体"/>
          <w:b/>
          <w:sz w:val="24"/>
          <w:szCs w:val="24"/>
          <w:highlight w:val="none"/>
        </w:rPr>
        <w:t>．合格的投标人</w:t>
      </w:r>
      <w:bookmarkEnd w:id="25"/>
    </w:p>
    <w:p w14:paraId="047909AF">
      <w:pPr>
        <w:spacing w:line="400" w:lineRule="exact"/>
        <w:ind w:firstLine="480" w:firstLineChars="200"/>
        <w:rPr>
          <w:rFonts w:ascii="宋体" w:hAnsi="宋体" w:cs="宋体"/>
          <w:color w:val="000000"/>
          <w:kern w:val="0"/>
          <w:sz w:val="24"/>
          <w:szCs w:val="20"/>
          <w:highlight w:val="none"/>
        </w:rPr>
      </w:pPr>
      <w:bookmarkStart w:id="30" w:name="_Toc311415575"/>
      <w:r>
        <w:rPr>
          <w:rFonts w:hint="eastAsia" w:ascii="宋体" w:hAnsi="宋体" w:cs="宋体"/>
          <w:color w:val="000000"/>
          <w:kern w:val="0"/>
          <w:sz w:val="24"/>
          <w:szCs w:val="20"/>
          <w:highlight w:val="none"/>
        </w:rPr>
        <w:t>4.1符合《中华人民共和国政府采购法》第二十二条要求具备的条件、并具备</w:t>
      </w:r>
      <w:r>
        <w:rPr>
          <w:rFonts w:hint="eastAsia" w:ascii="宋体" w:hAnsi="宋体" w:cs="宋体"/>
          <w:bCs/>
          <w:color w:val="000000"/>
          <w:kern w:val="0"/>
          <w:sz w:val="24"/>
          <w:szCs w:val="20"/>
          <w:highlight w:val="none"/>
        </w:rPr>
        <w:t>国家规定的</w:t>
      </w:r>
      <w:r>
        <w:rPr>
          <w:rFonts w:hint="eastAsia" w:ascii="宋体" w:hAnsi="宋体" w:cs="宋体"/>
          <w:bCs/>
          <w:color w:val="000000"/>
          <w:kern w:val="0"/>
          <w:sz w:val="24"/>
          <w:szCs w:val="20"/>
          <w:highlight w:val="none"/>
          <w:lang w:eastAsia="zh-CN"/>
        </w:rPr>
        <w:t>相关</w:t>
      </w:r>
      <w:r>
        <w:rPr>
          <w:rFonts w:hint="eastAsia" w:ascii="宋体" w:hAnsi="宋体" w:cs="宋体"/>
          <w:bCs/>
          <w:color w:val="000000"/>
          <w:kern w:val="0"/>
          <w:sz w:val="24"/>
          <w:szCs w:val="20"/>
          <w:highlight w:val="none"/>
        </w:rPr>
        <w:t>行业必备</w:t>
      </w:r>
      <w:r>
        <w:rPr>
          <w:rFonts w:hint="eastAsia" w:ascii="宋体" w:hAnsi="宋体" w:cs="宋体"/>
          <w:bCs/>
          <w:color w:val="000000"/>
          <w:kern w:val="0"/>
          <w:sz w:val="24"/>
          <w:szCs w:val="20"/>
          <w:highlight w:val="none"/>
          <w:lang w:val="en-US" w:eastAsia="zh-CN"/>
        </w:rPr>
        <w:t>资格</w:t>
      </w:r>
      <w:r>
        <w:rPr>
          <w:rFonts w:hint="eastAsia" w:ascii="宋体" w:hAnsi="宋体" w:cs="宋体"/>
          <w:bCs/>
          <w:color w:val="000000"/>
          <w:kern w:val="0"/>
          <w:sz w:val="24"/>
          <w:szCs w:val="20"/>
          <w:highlight w:val="none"/>
        </w:rPr>
        <w:t>，</w:t>
      </w:r>
      <w:r>
        <w:rPr>
          <w:rFonts w:hint="eastAsia" w:ascii="宋体" w:hAnsi="宋体" w:cs="宋体"/>
          <w:color w:val="000000"/>
          <w:kern w:val="0"/>
          <w:sz w:val="24"/>
          <w:szCs w:val="20"/>
          <w:highlight w:val="none"/>
        </w:rPr>
        <w:t>有能力提供本次招标采购货物和服务的制造商或授权投标人。</w:t>
      </w:r>
    </w:p>
    <w:p w14:paraId="40867F09">
      <w:pPr>
        <w:snapToGrid w:val="0"/>
        <w:spacing w:line="400" w:lineRule="exact"/>
        <w:ind w:firstLine="480" w:firstLineChars="200"/>
        <w:rPr>
          <w:rFonts w:ascii="宋体" w:hAnsi="宋体" w:cs="宋体"/>
          <w:b/>
          <w:color w:val="000000"/>
          <w:sz w:val="24"/>
          <w:szCs w:val="24"/>
          <w:highlight w:val="none"/>
        </w:rPr>
      </w:pPr>
      <w:r>
        <w:rPr>
          <w:rFonts w:ascii="宋体" w:hAnsi="宋体" w:cs="宋体"/>
          <w:color w:val="000000"/>
          <w:kern w:val="0"/>
          <w:sz w:val="24"/>
          <w:szCs w:val="20"/>
          <w:highlight w:val="none"/>
        </w:rPr>
        <w:t>4.2</w:t>
      </w:r>
      <w:r>
        <w:rPr>
          <w:rFonts w:hint="eastAsia" w:ascii="宋体" w:hAnsi="宋体" w:cs="宋体"/>
          <w:color w:val="000000"/>
          <w:sz w:val="24"/>
          <w:szCs w:val="24"/>
          <w:highlight w:val="none"/>
        </w:rPr>
        <w:t>投标人如有下列情形之一的按废标处理：</w:t>
      </w:r>
    </w:p>
    <w:p w14:paraId="3375CB7F">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（1）为招标人不具有独立法人资格的附属机构（单位）；</w:t>
      </w:r>
    </w:p>
    <w:p w14:paraId="54D326B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（2）为本招标项目提供采购代理服务的；</w:t>
      </w:r>
    </w:p>
    <w:p w14:paraId="2BC21B8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（3）与本招标项目的采购代理机构同为一个法定代表人的；</w:t>
      </w:r>
    </w:p>
    <w:p w14:paraId="48175F8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（4）与本招标项目采购代理机构相互控股或参股的；</w:t>
      </w:r>
    </w:p>
    <w:p w14:paraId="6B8BD1A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（5）与本招标项目采购代理机构相互任职或工作的；</w:t>
      </w:r>
    </w:p>
    <w:p w14:paraId="2C6F0C6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14:paraId="4271BFF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14:paraId="255C929A">
      <w:pPr>
        <w:snapToGrid w:val="0"/>
        <w:spacing w:line="440" w:lineRule="exact"/>
        <w:ind w:firstLine="480" w:firstLineChars="200"/>
        <w:rPr>
          <w:highlight w:val="none"/>
        </w:rPr>
      </w:pPr>
      <w:r>
        <w:rPr>
          <w:rFonts w:hint="eastAsia" w:ascii="宋体" w:hAnsi="宋体" w:cs="宋体"/>
          <w:sz w:val="24"/>
          <w:szCs w:val="24"/>
          <w:highlight w:val="none"/>
        </w:rPr>
        <w:t>（8）被省级或招标项目备案地司法部门或财政监管部门作行政处罚（或不良行为记录），但不在其行政处罚期（或不良行为记录期）内的除外。</w:t>
      </w:r>
    </w:p>
    <w:p w14:paraId="7F45DF64">
      <w:pPr>
        <w:spacing w:line="360" w:lineRule="auto"/>
        <w:ind w:firstLine="482" w:firstLineChars="200"/>
        <w:rPr>
          <w:rFonts w:ascii="宋体" w:hAnsi="宋体"/>
          <w:b/>
          <w:sz w:val="24"/>
          <w:szCs w:val="24"/>
          <w:highlight w:val="none"/>
        </w:rPr>
      </w:pPr>
      <w:r>
        <w:rPr>
          <w:rFonts w:ascii="宋体" w:hAnsi="宋体"/>
          <w:b/>
          <w:sz w:val="24"/>
          <w:szCs w:val="24"/>
          <w:highlight w:val="none"/>
        </w:rPr>
        <w:t>5</w:t>
      </w:r>
      <w:r>
        <w:rPr>
          <w:rFonts w:hint="eastAsia" w:ascii="宋体" w:hAnsi="宋体"/>
          <w:b/>
          <w:sz w:val="24"/>
          <w:szCs w:val="24"/>
          <w:highlight w:val="none"/>
          <w:lang w:val="en-US" w:eastAsia="zh-CN"/>
        </w:rPr>
        <w:t>.</w:t>
      </w:r>
      <w:r>
        <w:rPr>
          <w:rFonts w:hint="eastAsia" w:ascii="宋体" w:hAnsi="宋体"/>
          <w:b/>
          <w:sz w:val="24"/>
          <w:szCs w:val="24"/>
          <w:highlight w:val="none"/>
        </w:rPr>
        <w:t>费用承担</w:t>
      </w:r>
    </w:p>
    <w:p w14:paraId="3B969B0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投标人准备和参加投标活动发生的费用自理。</w:t>
      </w:r>
    </w:p>
    <w:p w14:paraId="327F65AE">
      <w:pPr>
        <w:spacing w:line="360" w:lineRule="auto"/>
        <w:ind w:firstLine="482" w:firstLineChars="200"/>
        <w:rPr>
          <w:rFonts w:ascii="宋体" w:hAnsi="宋体"/>
          <w:b/>
          <w:sz w:val="24"/>
          <w:szCs w:val="24"/>
          <w:highlight w:val="none"/>
        </w:rPr>
      </w:pPr>
      <w:r>
        <w:rPr>
          <w:rFonts w:ascii="宋体" w:hAnsi="宋体"/>
          <w:b/>
          <w:sz w:val="24"/>
          <w:szCs w:val="24"/>
          <w:highlight w:val="none"/>
        </w:rPr>
        <w:t>6</w:t>
      </w:r>
      <w:r>
        <w:rPr>
          <w:rFonts w:hint="eastAsia" w:ascii="宋体" w:hAnsi="宋体"/>
          <w:b/>
          <w:sz w:val="24"/>
          <w:szCs w:val="24"/>
          <w:highlight w:val="none"/>
          <w:lang w:val="en-US" w:eastAsia="zh-CN"/>
        </w:rPr>
        <w:t>.</w:t>
      </w:r>
      <w:r>
        <w:rPr>
          <w:rFonts w:hint="eastAsia" w:ascii="宋体" w:hAnsi="宋体"/>
          <w:b/>
          <w:sz w:val="24"/>
          <w:szCs w:val="24"/>
          <w:highlight w:val="none"/>
        </w:rPr>
        <w:t>保密</w:t>
      </w:r>
    </w:p>
    <w:p w14:paraId="5392BF8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参与政府采购活动的各方应对招标文件和投标文件中的商业和技术等秘密保密，否则应承担相应的法律责任。</w:t>
      </w:r>
    </w:p>
    <w:p w14:paraId="530338FE">
      <w:pPr>
        <w:spacing w:line="360" w:lineRule="auto"/>
        <w:ind w:firstLine="482" w:firstLineChars="200"/>
        <w:rPr>
          <w:rFonts w:ascii="宋体" w:hAnsi="宋体"/>
          <w:b/>
          <w:sz w:val="24"/>
          <w:szCs w:val="24"/>
          <w:highlight w:val="none"/>
        </w:rPr>
      </w:pPr>
      <w:r>
        <w:rPr>
          <w:rFonts w:ascii="宋体" w:hAnsi="宋体"/>
          <w:b/>
          <w:sz w:val="24"/>
          <w:szCs w:val="24"/>
          <w:highlight w:val="none"/>
        </w:rPr>
        <w:t>7</w:t>
      </w:r>
      <w:r>
        <w:rPr>
          <w:rFonts w:hint="eastAsia" w:ascii="宋体" w:hAnsi="宋体"/>
          <w:b/>
          <w:sz w:val="24"/>
          <w:szCs w:val="24"/>
          <w:highlight w:val="none"/>
          <w:lang w:val="en-US" w:eastAsia="zh-CN"/>
        </w:rPr>
        <w:t>.</w:t>
      </w:r>
      <w:r>
        <w:rPr>
          <w:rFonts w:hint="eastAsia" w:ascii="宋体" w:hAnsi="宋体"/>
          <w:b/>
          <w:sz w:val="24"/>
          <w:szCs w:val="24"/>
          <w:highlight w:val="none"/>
        </w:rPr>
        <w:t>语言文字</w:t>
      </w:r>
    </w:p>
    <w:p w14:paraId="20F5FFAF">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招标文件和投标文件使用的语言文字为中文。专业术语使用外文的，应附有中文注释。</w:t>
      </w:r>
    </w:p>
    <w:p w14:paraId="76E6BCEB">
      <w:pPr>
        <w:spacing w:line="360" w:lineRule="auto"/>
        <w:ind w:firstLine="482" w:firstLineChars="200"/>
        <w:rPr>
          <w:rFonts w:ascii="宋体" w:hAnsi="宋体"/>
          <w:b/>
          <w:sz w:val="24"/>
          <w:szCs w:val="24"/>
          <w:highlight w:val="none"/>
        </w:rPr>
      </w:pPr>
      <w:r>
        <w:rPr>
          <w:rFonts w:ascii="宋体" w:hAnsi="宋体"/>
          <w:b/>
          <w:sz w:val="24"/>
          <w:szCs w:val="24"/>
          <w:highlight w:val="none"/>
        </w:rPr>
        <w:t>8</w:t>
      </w:r>
      <w:r>
        <w:rPr>
          <w:rFonts w:hint="eastAsia" w:ascii="宋体" w:hAnsi="宋体"/>
          <w:b/>
          <w:sz w:val="24"/>
          <w:szCs w:val="24"/>
          <w:highlight w:val="none"/>
          <w:lang w:val="en-US" w:eastAsia="zh-CN"/>
        </w:rPr>
        <w:t>.</w:t>
      </w:r>
      <w:r>
        <w:rPr>
          <w:rFonts w:hint="eastAsia" w:ascii="宋体" w:hAnsi="宋体"/>
          <w:b/>
          <w:sz w:val="24"/>
          <w:szCs w:val="24"/>
          <w:highlight w:val="none"/>
        </w:rPr>
        <w:t>计量单位</w:t>
      </w:r>
    </w:p>
    <w:p w14:paraId="65210A06">
      <w:pPr>
        <w:pStyle w:val="17"/>
        <w:ind w:firstLine="360" w:firstLineChars="150"/>
        <w:rPr>
          <w:rFonts w:cs="Times New Roman"/>
          <w:kern w:val="2"/>
          <w:sz w:val="24"/>
          <w:szCs w:val="24"/>
          <w:highlight w:val="none"/>
          <w:lang w:val="en-US" w:bidi="ar-SA"/>
        </w:rPr>
      </w:pPr>
      <w:r>
        <w:rPr>
          <w:rFonts w:hint="eastAsia" w:cs="Times New Roman"/>
          <w:kern w:val="2"/>
          <w:sz w:val="24"/>
          <w:szCs w:val="24"/>
          <w:highlight w:val="none"/>
          <w:lang w:val="en-US" w:bidi="ar-SA"/>
        </w:rPr>
        <w:t>所有计量均采用中华人民共和国法定计量单位。</w:t>
      </w:r>
    </w:p>
    <w:p w14:paraId="3EFC27E9">
      <w:pPr>
        <w:spacing w:line="360" w:lineRule="auto"/>
        <w:ind w:firstLine="482" w:firstLineChars="200"/>
        <w:rPr>
          <w:rFonts w:ascii="宋体" w:hAnsi="宋体"/>
          <w:b/>
          <w:sz w:val="24"/>
          <w:szCs w:val="24"/>
          <w:highlight w:val="none"/>
        </w:rPr>
      </w:pPr>
      <w:r>
        <w:rPr>
          <w:rFonts w:ascii="宋体" w:hAnsi="宋体"/>
          <w:b/>
          <w:sz w:val="24"/>
          <w:szCs w:val="24"/>
          <w:highlight w:val="none"/>
        </w:rPr>
        <w:t>9</w:t>
      </w:r>
      <w:r>
        <w:rPr>
          <w:rFonts w:hint="eastAsia" w:ascii="宋体" w:hAnsi="宋体"/>
          <w:b/>
          <w:sz w:val="24"/>
          <w:szCs w:val="24"/>
          <w:highlight w:val="none"/>
          <w:lang w:val="en-US" w:eastAsia="zh-CN"/>
        </w:rPr>
        <w:t>.</w:t>
      </w:r>
      <w:r>
        <w:rPr>
          <w:rFonts w:hint="eastAsia" w:ascii="宋体" w:hAnsi="宋体"/>
          <w:b/>
          <w:sz w:val="24"/>
          <w:szCs w:val="24"/>
          <w:highlight w:val="none"/>
        </w:rPr>
        <w:t>响应和偏差</w:t>
      </w:r>
    </w:p>
    <w:p w14:paraId="53D9F31B">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投标文件应对招标文件的实质性要求和条件作出满足性或更有利于采购人的响应，否则投标人的投标按无效处理。</w:t>
      </w:r>
    </w:p>
    <w:p w14:paraId="4114469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投标人应根据招标文件的要求提供详细的技术支持资料、服务计划等内容对招标文件作出响应。</w:t>
      </w:r>
    </w:p>
    <w:p w14:paraId="614D7CA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9.3</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投标文件对招标文件的全部偏差，均应在投标文件的商务和技术偏差表中列明，除列明的内容外，视为投标人响应招标文件的全部要求。</w:t>
      </w:r>
    </w:p>
    <w:bookmarkEnd w:id="30"/>
    <w:p w14:paraId="6382771C">
      <w:pPr>
        <w:pStyle w:val="3"/>
        <w:spacing w:before="0" w:after="0" w:line="415" w:lineRule="auto"/>
        <w:jc w:val="center"/>
        <w:rPr>
          <w:highlight w:val="none"/>
        </w:rPr>
      </w:pPr>
      <w:bookmarkStart w:id="31" w:name="_Toc26541324"/>
      <w:bookmarkStart w:id="32" w:name="_Toc23258607"/>
      <w:r>
        <w:rPr>
          <w:rFonts w:hint="eastAsia"/>
          <w:highlight w:val="none"/>
        </w:rPr>
        <w:t>二、招标文件</w:t>
      </w:r>
      <w:bookmarkEnd w:id="31"/>
      <w:bookmarkEnd w:id="32"/>
    </w:p>
    <w:p w14:paraId="69D00ACE">
      <w:pPr>
        <w:spacing w:line="360" w:lineRule="auto"/>
        <w:ind w:firstLine="482" w:firstLineChars="200"/>
        <w:rPr>
          <w:rFonts w:ascii="宋体" w:hAnsi="宋体"/>
          <w:b/>
          <w:sz w:val="24"/>
          <w:szCs w:val="24"/>
          <w:highlight w:val="none"/>
        </w:rPr>
      </w:pPr>
      <w:bookmarkStart w:id="33" w:name="_Toc311415577"/>
      <w:r>
        <w:rPr>
          <w:rFonts w:ascii="宋体" w:hAnsi="宋体"/>
          <w:b/>
          <w:sz w:val="24"/>
          <w:szCs w:val="24"/>
          <w:highlight w:val="none"/>
        </w:rPr>
        <w:t>10</w:t>
      </w:r>
      <w:r>
        <w:rPr>
          <w:rFonts w:hint="eastAsia" w:ascii="宋体" w:hAnsi="宋体"/>
          <w:b/>
          <w:sz w:val="24"/>
          <w:szCs w:val="24"/>
          <w:highlight w:val="none"/>
          <w:lang w:val="en-US" w:eastAsia="zh-CN"/>
        </w:rPr>
        <w:t>.</w:t>
      </w:r>
      <w:r>
        <w:rPr>
          <w:rFonts w:hint="eastAsia" w:ascii="宋体" w:hAnsi="宋体"/>
          <w:b/>
          <w:sz w:val="24"/>
          <w:szCs w:val="24"/>
          <w:highlight w:val="none"/>
        </w:rPr>
        <w:t>招标文件的构成</w:t>
      </w:r>
      <w:bookmarkEnd w:id="33"/>
    </w:p>
    <w:p w14:paraId="268169D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10.1</w:t>
      </w:r>
      <w:r>
        <w:rPr>
          <w:rFonts w:hint="eastAsia" w:ascii="宋体" w:hAnsi="宋体"/>
          <w:sz w:val="24"/>
          <w:szCs w:val="24"/>
          <w:highlight w:val="none"/>
        </w:rPr>
        <w:t>招标文件用以阐明所需提供的货物及服务、采购、投标程序和合同条件。招标文件包括：</w:t>
      </w:r>
    </w:p>
    <w:p w14:paraId="7F8A6DAC">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招标公告</w:t>
      </w:r>
    </w:p>
    <w:p w14:paraId="635D3DBD">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投标人须知前附表</w:t>
      </w:r>
    </w:p>
    <w:p w14:paraId="04582612">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（3）投标人须知</w:t>
      </w:r>
    </w:p>
    <w:p w14:paraId="742BC9AF">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（4）采购内容</w:t>
      </w:r>
    </w:p>
    <w:p w14:paraId="53AFBB1E">
      <w:pPr>
        <w:overflowPunct w:val="0"/>
        <w:adjustRightInd w:val="0"/>
        <w:snapToGrid w:val="0"/>
        <w:spacing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商务要求</w:t>
      </w:r>
    </w:p>
    <w:p w14:paraId="1DDDF4AE">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）合同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文本</w:t>
      </w:r>
    </w:p>
    <w:p w14:paraId="1CBBFDDA">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）投标文件格式</w:t>
      </w:r>
    </w:p>
    <w:p w14:paraId="620F6F8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57F5BEC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10.3</w:t>
      </w:r>
      <w:r>
        <w:rPr>
          <w:rFonts w:hint="eastAsia" w:ascii="宋体" w:hAnsi="宋体"/>
          <w:sz w:val="24"/>
          <w:szCs w:val="24"/>
          <w:highlight w:val="none"/>
        </w:rPr>
        <w:t>招标文件的获取：招标采购公告发布后，有意向的投标人应从采购代理机构</w:t>
      </w:r>
      <w:r>
        <w:rPr>
          <w:rFonts w:hint="eastAsia" w:ascii="宋体" w:hAnsi="宋体"/>
          <w:sz w:val="24"/>
          <w:szCs w:val="24"/>
          <w:highlight w:val="none"/>
          <w:lang w:val="en-US" w:eastAsia="zh-CN"/>
        </w:rPr>
        <w:t>获取</w:t>
      </w:r>
      <w:r>
        <w:rPr>
          <w:rFonts w:hint="eastAsia" w:ascii="宋体" w:hAnsi="宋体"/>
          <w:sz w:val="24"/>
          <w:szCs w:val="24"/>
          <w:highlight w:val="none"/>
        </w:rPr>
        <w:t>招标文件，仅作为本次招标使用。</w:t>
      </w:r>
    </w:p>
    <w:p w14:paraId="3EEC1A9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10.4本招标文件的解释权归</w:t>
      </w:r>
      <w:r>
        <w:rPr>
          <w:rFonts w:hint="eastAsia" w:ascii="宋体" w:hAnsi="宋体"/>
          <w:sz w:val="24"/>
          <w:szCs w:val="24"/>
          <w:highlight w:val="none"/>
        </w:rPr>
        <w:t>安康尚昊</w:t>
      </w:r>
      <w:r>
        <w:rPr>
          <w:rFonts w:ascii="宋体" w:hAnsi="宋体"/>
          <w:sz w:val="24"/>
          <w:szCs w:val="24"/>
          <w:highlight w:val="none"/>
        </w:rPr>
        <w:t>招标代理有限公司</w:t>
      </w:r>
      <w:r>
        <w:rPr>
          <w:rFonts w:hint="eastAsia" w:ascii="宋体" w:hAnsi="宋体"/>
          <w:sz w:val="24"/>
          <w:szCs w:val="24"/>
          <w:highlight w:val="none"/>
        </w:rPr>
        <w:t>。</w:t>
      </w:r>
    </w:p>
    <w:p w14:paraId="65B86FDE">
      <w:pPr>
        <w:spacing w:line="360" w:lineRule="auto"/>
        <w:ind w:firstLine="482" w:firstLineChars="200"/>
        <w:rPr>
          <w:rFonts w:ascii="宋体" w:hAnsi="宋体"/>
          <w:b/>
          <w:sz w:val="24"/>
          <w:szCs w:val="24"/>
          <w:highlight w:val="none"/>
        </w:rPr>
      </w:pPr>
      <w:bookmarkStart w:id="34" w:name="_Toc311415578"/>
      <w:r>
        <w:rPr>
          <w:rFonts w:ascii="宋体" w:hAnsi="宋体"/>
          <w:b/>
          <w:sz w:val="24"/>
          <w:szCs w:val="24"/>
          <w:highlight w:val="none"/>
        </w:rPr>
        <w:t>11</w:t>
      </w:r>
      <w:r>
        <w:rPr>
          <w:rFonts w:hint="eastAsia" w:ascii="宋体" w:hAnsi="宋体"/>
          <w:b/>
          <w:sz w:val="24"/>
          <w:szCs w:val="24"/>
          <w:highlight w:val="none"/>
          <w:lang w:val="en-US" w:eastAsia="zh-CN"/>
        </w:rPr>
        <w:t>.</w:t>
      </w:r>
      <w:r>
        <w:rPr>
          <w:rFonts w:hint="eastAsia" w:ascii="宋体" w:hAnsi="宋体"/>
          <w:b/>
          <w:sz w:val="24"/>
          <w:szCs w:val="24"/>
          <w:highlight w:val="none"/>
        </w:rPr>
        <w:t>招标文件的澄清</w:t>
      </w:r>
      <w:bookmarkEnd w:id="34"/>
    </w:p>
    <w:p w14:paraId="5247638C">
      <w:pPr>
        <w:spacing w:line="500" w:lineRule="exact"/>
        <w:ind w:firstLine="480" w:firstLineChars="200"/>
        <w:rPr>
          <w:rFonts w:ascii="宋体" w:hAnsi="宋体"/>
          <w:sz w:val="24"/>
          <w:szCs w:val="24"/>
          <w:highlight w:val="none"/>
        </w:rPr>
      </w:pPr>
      <w:r>
        <w:rPr>
          <w:rFonts w:ascii="宋体" w:hAnsi="宋体"/>
          <w:sz w:val="24"/>
          <w:szCs w:val="24"/>
          <w:highlight w:val="none"/>
        </w:rPr>
        <w:t>11.1</w:t>
      </w:r>
      <w:r>
        <w:rPr>
          <w:rFonts w:hint="eastAsia" w:ascii="宋体" w:hAnsi="宋体"/>
          <w:sz w:val="24"/>
          <w:szCs w:val="24"/>
          <w:highlight w:val="none"/>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111AC9FC">
      <w:pPr>
        <w:spacing w:line="500" w:lineRule="exact"/>
        <w:ind w:firstLine="480" w:firstLineChars="200"/>
        <w:rPr>
          <w:rFonts w:ascii="宋体" w:hAnsi="宋体"/>
          <w:sz w:val="24"/>
          <w:szCs w:val="24"/>
          <w:highlight w:val="none"/>
        </w:rPr>
      </w:pPr>
      <w:r>
        <w:rPr>
          <w:rFonts w:ascii="宋体" w:hAnsi="宋体"/>
          <w:sz w:val="24"/>
          <w:szCs w:val="24"/>
          <w:highlight w:val="none"/>
        </w:rPr>
        <w:t>11.2</w:t>
      </w:r>
      <w:r>
        <w:rPr>
          <w:rFonts w:hint="eastAsia" w:ascii="宋体" w:hAnsi="宋体"/>
          <w:sz w:val="24"/>
          <w:szCs w:val="24"/>
          <w:highlight w:val="none"/>
        </w:rPr>
        <w:t>对于在规定时间内收到的投标人依法提出的询问或者质疑，</w:t>
      </w:r>
      <w:r>
        <w:rPr>
          <w:rFonts w:ascii="宋体" w:hAnsi="宋体"/>
          <w:sz w:val="24"/>
          <w:szCs w:val="24"/>
          <w:highlight w:val="none"/>
        </w:rPr>
        <w:t>采购代理机构将</w:t>
      </w:r>
      <w:r>
        <w:rPr>
          <w:rFonts w:hint="eastAsia" w:ascii="宋体" w:hAnsi="宋体"/>
          <w:sz w:val="24"/>
          <w:szCs w:val="24"/>
          <w:highlight w:val="none"/>
        </w:rPr>
        <w:t>按程序及时</w:t>
      </w:r>
      <w:r>
        <w:rPr>
          <w:rFonts w:hint="eastAsia" w:ascii="宋体" w:hAnsi="宋体"/>
          <w:sz w:val="24"/>
          <w:szCs w:val="24"/>
          <w:highlight w:val="none"/>
          <w:lang w:eastAsia="zh-CN"/>
        </w:rPr>
        <w:t>作出</w:t>
      </w:r>
      <w:r>
        <w:rPr>
          <w:rFonts w:hint="eastAsia" w:ascii="宋体" w:hAnsi="宋体"/>
          <w:sz w:val="24"/>
          <w:szCs w:val="24"/>
          <w:highlight w:val="none"/>
        </w:rPr>
        <w:t>答复，若对招标文件做出实质性变动，则按照相关规定延长投标截止时间。</w:t>
      </w:r>
    </w:p>
    <w:p w14:paraId="4561F92D">
      <w:pPr>
        <w:spacing w:line="500" w:lineRule="exact"/>
        <w:ind w:firstLine="480" w:firstLineChars="200"/>
        <w:rPr>
          <w:rFonts w:ascii="宋体" w:hAnsi="宋体"/>
          <w:sz w:val="24"/>
          <w:szCs w:val="24"/>
          <w:highlight w:val="none"/>
        </w:rPr>
      </w:pPr>
      <w:r>
        <w:rPr>
          <w:rFonts w:ascii="宋体" w:hAnsi="宋体"/>
          <w:sz w:val="24"/>
          <w:szCs w:val="24"/>
          <w:highlight w:val="none"/>
        </w:rPr>
        <w:t>11.3</w:t>
      </w:r>
      <w:r>
        <w:rPr>
          <w:rFonts w:hint="eastAsia" w:ascii="宋体" w:hAnsi="宋体"/>
          <w:sz w:val="24"/>
          <w:szCs w:val="24"/>
          <w:highlight w:val="none"/>
        </w:rPr>
        <w:t>投标人提出质疑应当有明确的请求和必要的证明材料。</w:t>
      </w:r>
    </w:p>
    <w:p w14:paraId="182B428E">
      <w:pPr>
        <w:spacing w:line="360" w:lineRule="auto"/>
        <w:ind w:firstLine="482" w:firstLineChars="200"/>
        <w:rPr>
          <w:rFonts w:ascii="宋体" w:hAnsi="宋体"/>
          <w:b/>
          <w:sz w:val="24"/>
          <w:szCs w:val="24"/>
          <w:highlight w:val="none"/>
        </w:rPr>
      </w:pPr>
      <w:bookmarkStart w:id="35" w:name="_Toc311415579"/>
      <w:r>
        <w:rPr>
          <w:rFonts w:ascii="宋体" w:hAnsi="宋体"/>
          <w:b/>
          <w:sz w:val="24"/>
          <w:szCs w:val="24"/>
          <w:highlight w:val="none"/>
        </w:rPr>
        <w:t>12</w:t>
      </w:r>
      <w:r>
        <w:rPr>
          <w:rFonts w:hint="eastAsia" w:ascii="宋体" w:hAnsi="宋体"/>
          <w:b/>
          <w:sz w:val="24"/>
          <w:szCs w:val="24"/>
          <w:highlight w:val="none"/>
          <w:lang w:val="en-US" w:eastAsia="zh-CN"/>
        </w:rPr>
        <w:t>.</w:t>
      </w:r>
      <w:r>
        <w:rPr>
          <w:rFonts w:hint="eastAsia" w:ascii="宋体" w:hAnsi="宋体"/>
          <w:b/>
          <w:sz w:val="24"/>
          <w:szCs w:val="24"/>
          <w:highlight w:val="none"/>
        </w:rPr>
        <w:t>招标文件的修改</w:t>
      </w:r>
      <w:bookmarkEnd w:id="35"/>
    </w:p>
    <w:p w14:paraId="6FC9E7D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12.1招标采购单位如果对已发出的招标文件进行</w:t>
      </w:r>
      <w:r>
        <w:rPr>
          <w:rFonts w:hint="eastAsia" w:ascii="宋体" w:hAnsi="宋体"/>
          <w:sz w:val="24"/>
          <w:szCs w:val="24"/>
          <w:highlight w:val="none"/>
        </w:rPr>
        <w:t>必要的澄清或者</w:t>
      </w:r>
      <w:r>
        <w:rPr>
          <w:rFonts w:ascii="宋体" w:hAnsi="宋体"/>
          <w:sz w:val="24"/>
          <w:szCs w:val="24"/>
          <w:highlight w:val="none"/>
        </w:rPr>
        <w:t>修改，将在招标文件要求提交投标文件截止时间</w:t>
      </w:r>
      <w:r>
        <w:rPr>
          <w:rFonts w:hint="eastAsia" w:ascii="宋体" w:hAnsi="宋体"/>
          <w:sz w:val="24"/>
          <w:szCs w:val="24"/>
          <w:highlight w:val="none"/>
        </w:rPr>
        <w:t>15</w:t>
      </w:r>
      <w:r>
        <w:rPr>
          <w:rFonts w:ascii="宋体" w:hAnsi="宋体"/>
          <w:sz w:val="24"/>
          <w:szCs w:val="24"/>
          <w:highlight w:val="none"/>
        </w:rPr>
        <w:t>日前，</w:t>
      </w:r>
      <w:r>
        <w:rPr>
          <w:rFonts w:hint="eastAsia" w:ascii="宋体" w:hAnsi="宋体"/>
          <w:sz w:val="24"/>
          <w:szCs w:val="24"/>
          <w:highlight w:val="none"/>
        </w:rPr>
        <w:t>不足15日的，顺延提交投标文件的截止时间，</w:t>
      </w:r>
      <w:r>
        <w:rPr>
          <w:rFonts w:ascii="宋体" w:hAnsi="宋体"/>
          <w:sz w:val="24"/>
          <w:szCs w:val="24"/>
          <w:highlight w:val="none"/>
        </w:rPr>
        <w:t>在发布招标公告的财政部门指定媒体上</w:t>
      </w:r>
      <w:r>
        <w:rPr>
          <w:rFonts w:hint="eastAsia" w:ascii="宋体" w:hAnsi="宋体"/>
          <w:sz w:val="24"/>
          <w:szCs w:val="24"/>
          <w:highlight w:val="none"/>
        </w:rPr>
        <w:t>由采购代理机构</w:t>
      </w:r>
      <w:r>
        <w:rPr>
          <w:rFonts w:ascii="宋体" w:hAnsi="宋体"/>
          <w:sz w:val="24"/>
          <w:szCs w:val="24"/>
          <w:highlight w:val="none"/>
        </w:rPr>
        <w:t>发布变更公告，并以书面形式通知所有</w:t>
      </w:r>
      <w:r>
        <w:rPr>
          <w:rFonts w:hint="eastAsia" w:ascii="宋体" w:hAnsi="宋体"/>
          <w:sz w:val="24"/>
          <w:szCs w:val="24"/>
          <w:highlight w:val="none"/>
        </w:rPr>
        <w:t>获取</w:t>
      </w:r>
      <w:r>
        <w:rPr>
          <w:rFonts w:ascii="宋体" w:hAnsi="宋体"/>
          <w:sz w:val="24"/>
          <w:szCs w:val="24"/>
          <w:highlight w:val="none"/>
        </w:rPr>
        <w:t>招标文件的单位。该澄清或者修改的内容为招标文件的组成部分。</w:t>
      </w:r>
    </w:p>
    <w:p w14:paraId="6F53EC0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12.2</w:t>
      </w:r>
      <w:r>
        <w:rPr>
          <w:rFonts w:hint="eastAsia" w:ascii="宋体" w:hAnsi="宋体"/>
          <w:sz w:val="24"/>
          <w:szCs w:val="24"/>
          <w:highlight w:val="none"/>
        </w:rPr>
        <w:t>招标文件的修改书将构成招标文件的一部分，对采购人和投标人都具有约束力。</w:t>
      </w:r>
    </w:p>
    <w:p w14:paraId="5822C3CE">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highlight w:val="none"/>
        </w:rPr>
        <w:t>获取</w:t>
      </w:r>
      <w:r>
        <w:rPr>
          <w:rFonts w:ascii="宋体" w:hAnsi="宋体"/>
          <w:sz w:val="24"/>
          <w:szCs w:val="24"/>
          <w:highlight w:val="none"/>
        </w:rPr>
        <w:t>招标文件的单位。</w:t>
      </w:r>
    </w:p>
    <w:p w14:paraId="5F0CAA3A">
      <w:pPr>
        <w:pStyle w:val="3"/>
        <w:spacing w:before="0" w:after="0" w:line="480" w:lineRule="exact"/>
        <w:jc w:val="center"/>
        <w:rPr>
          <w:highlight w:val="none"/>
        </w:rPr>
      </w:pPr>
      <w:bookmarkStart w:id="36" w:name="_Toc26541325"/>
      <w:bookmarkStart w:id="37" w:name="_Toc23258608"/>
      <w:r>
        <w:rPr>
          <w:rFonts w:hint="eastAsia"/>
          <w:highlight w:val="none"/>
        </w:rPr>
        <w:t>三、投标文件</w:t>
      </w:r>
      <w:bookmarkEnd w:id="36"/>
      <w:bookmarkEnd w:id="37"/>
    </w:p>
    <w:p w14:paraId="27C6A4D3">
      <w:pPr>
        <w:spacing w:line="360" w:lineRule="auto"/>
        <w:ind w:firstLine="482" w:firstLineChars="200"/>
        <w:rPr>
          <w:rFonts w:ascii="宋体" w:hAnsi="宋体"/>
          <w:b/>
          <w:sz w:val="24"/>
          <w:szCs w:val="24"/>
          <w:highlight w:val="none"/>
        </w:rPr>
      </w:pPr>
      <w:bookmarkStart w:id="38" w:name="_Toc311415581"/>
      <w:r>
        <w:rPr>
          <w:rFonts w:ascii="宋体" w:hAnsi="宋体"/>
          <w:b/>
          <w:sz w:val="24"/>
          <w:szCs w:val="24"/>
          <w:highlight w:val="none"/>
        </w:rPr>
        <w:t>13</w:t>
      </w:r>
      <w:r>
        <w:rPr>
          <w:rFonts w:hint="eastAsia" w:ascii="宋体" w:hAnsi="宋体"/>
          <w:b/>
          <w:sz w:val="24"/>
          <w:szCs w:val="24"/>
          <w:highlight w:val="none"/>
          <w:lang w:val="en-US" w:eastAsia="zh-CN"/>
        </w:rPr>
        <w:t>.</w:t>
      </w:r>
      <w:r>
        <w:rPr>
          <w:rFonts w:hint="eastAsia" w:ascii="宋体" w:hAnsi="宋体"/>
          <w:b/>
          <w:sz w:val="24"/>
          <w:szCs w:val="24"/>
          <w:highlight w:val="none"/>
        </w:rPr>
        <w:t>投标文件编制的原则</w:t>
      </w:r>
      <w:bookmarkEnd w:id="38"/>
    </w:p>
    <w:p w14:paraId="15CF0ED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13.1</w:t>
      </w:r>
      <w:r>
        <w:rPr>
          <w:rFonts w:hint="eastAsia" w:ascii="宋体" w:hAnsi="宋体"/>
          <w:sz w:val="24"/>
          <w:szCs w:val="24"/>
          <w:highlight w:val="none"/>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highlight w:val="none"/>
          <w:lang w:eastAsia="zh-CN"/>
        </w:rPr>
        <w:t>”“</w:t>
      </w:r>
      <w:r>
        <w:rPr>
          <w:rFonts w:hint="eastAsia" w:ascii="宋体" w:hAnsi="宋体"/>
          <w:sz w:val="24"/>
          <w:szCs w:val="24"/>
          <w:highlight w:val="none"/>
        </w:rPr>
        <w:t xml:space="preserve">没有相应指标”等明确的回答文字。投标文件中留有空项的或没有按格式制作的，将被视为不完整响应的投标文件，其投标将有可能被拒绝。 </w:t>
      </w:r>
    </w:p>
    <w:p w14:paraId="2EB3A8A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13.2</w:t>
      </w:r>
      <w:r>
        <w:rPr>
          <w:rFonts w:hint="eastAsia" w:ascii="宋体" w:hAnsi="宋体"/>
          <w:sz w:val="24"/>
          <w:szCs w:val="24"/>
          <w:highlight w:val="none"/>
        </w:rPr>
        <w:t>投标人必须保证投标文件所提供的全部资料真实可靠，并接受对其中任何资料进一步审查的要求。</w:t>
      </w:r>
    </w:p>
    <w:p w14:paraId="568FD82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13.3</w:t>
      </w:r>
      <w:r>
        <w:rPr>
          <w:rFonts w:hint="eastAsia" w:ascii="宋体" w:hAnsi="宋体"/>
          <w:sz w:val="24"/>
          <w:szCs w:val="24"/>
          <w:highlight w:val="none"/>
        </w:rPr>
        <w:t>投标文件须对招标文件中的内容做出实质性和完整性的响应，否则其投标将被视为无效投标。</w:t>
      </w:r>
    </w:p>
    <w:p w14:paraId="7D56B6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13.4</w:t>
      </w:r>
      <w:r>
        <w:rPr>
          <w:rFonts w:hint="eastAsia" w:ascii="宋体" w:hAnsi="宋体" w:cs="宋体"/>
          <w:sz w:val="24"/>
          <w:szCs w:val="28"/>
          <w:highlight w:val="none"/>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highlight w:val="none"/>
        </w:rPr>
        <w:t>利权、商标权或其它知识产权而引起法律纠纷和经济纠纷，由供应商承担所有相关责任。</w:t>
      </w:r>
    </w:p>
    <w:p w14:paraId="48DC1D87">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13.5采购人享有本项目在实施过程中产生的知识成果及知识产权。</w:t>
      </w:r>
    </w:p>
    <w:p w14:paraId="3F8480B4">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78754F9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13.7 如供应商所不拥有的知识产权，则在投标报价中必须包括合法获取该知识产权的相关费用。</w:t>
      </w:r>
    </w:p>
    <w:p w14:paraId="5F30E01B">
      <w:pPr>
        <w:snapToGrid w:val="0"/>
        <w:spacing w:line="440" w:lineRule="exact"/>
        <w:ind w:firstLine="482" w:firstLineChars="200"/>
        <w:rPr>
          <w:rFonts w:ascii="宋体" w:hAnsi="宋体" w:cs="宋体"/>
          <w:b/>
          <w:color w:val="000000"/>
          <w:kern w:val="0"/>
          <w:sz w:val="24"/>
          <w:szCs w:val="24"/>
          <w:highlight w:val="none"/>
        </w:rPr>
      </w:pPr>
      <w:r>
        <w:rPr>
          <w:rFonts w:ascii="宋体" w:hAnsi="宋体" w:cs="宋体"/>
          <w:b/>
          <w:color w:val="000000"/>
          <w:kern w:val="0"/>
          <w:sz w:val="24"/>
          <w:szCs w:val="24"/>
          <w:highlight w:val="none"/>
        </w:rPr>
        <w:t>14</w:t>
      </w:r>
      <w:r>
        <w:rPr>
          <w:rFonts w:hint="eastAsia" w:ascii="宋体" w:hAnsi="宋体" w:cs="宋体"/>
          <w:b/>
          <w:color w:val="000000"/>
          <w:kern w:val="0"/>
          <w:sz w:val="24"/>
          <w:szCs w:val="24"/>
          <w:highlight w:val="none"/>
          <w:lang w:val="en-US" w:eastAsia="zh-CN"/>
        </w:rPr>
        <w:t>.</w:t>
      </w:r>
      <w:r>
        <w:rPr>
          <w:rFonts w:hint="eastAsia" w:ascii="宋体" w:hAnsi="宋体" w:cs="宋体"/>
          <w:b/>
          <w:color w:val="000000"/>
          <w:kern w:val="0"/>
          <w:sz w:val="24"/>
          <w:szCs w:val="24"/>
          <w:highlight w:val="none"/>
        </w:rPr>
        <w:t>投标文件构成和格式</w:t>
      </w:r>
    </w:p>
    <w:p w14:paraId="1798CB99">
      <w:pPr>
        <w:adjustRightInd w:val="0"/>
        <w:snapToGrid w:val="0"/>
        <w:spacing w:line="440" w:lineRule="exact"/>
        <w:ind w:firstLine="480" w:firstLineChars="200"/>
        <w:rPr>
          <w:rFonts w:ascii="宋体" w:hAnsi="宋体" w:cs="宋体"/>
          <w:bCs/>
          <w:kern w:val="0"/>
          <w:sz w:val="24"/>
          <w:szCs w:val="24"/>
          <w:highlight w:val="none"/>
        </w:rPr>
      </w:pPr>
      <w:r>
        <w:rPr>
          <w:rFonts w:ascii="宋体" w:hAnsi="宋体" w:cs="宋体"/>
          <w:bCs/>
          <w:kern w:val="0"/>
          <w:sz w:val="24"/>
          <w:szCs w:val="24"/>
          <w:highlight w:val="none"/>
        </w:rPr>
        <w:t>14.1</w:t>
      </w:r>
      <w:r>
        <w:rPr>
          <w:rFonts w:hint="eastAsia" w:ascii="宋体" w:hAnsi="宋体" w:cs="宋体"/>
          <w:bCs/>
          <w:kern w:val="0"/>
          <w:sz w:val="24"/>
          <w:szCs w:val="24"/>
          <w:highlight w:val="none"/>
        </w:rPr>
        <w:t>文件的制作和签名</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rPr>
        <w:t>14.1.1为确保采购项目顺利开展，本项目采用电子</w:t>
      </w:r>
      <w:bookmarkStart w:id="39" w:name="_Hlk34128658"/>
      <w:r>
        <w:rPr>
          <w:rFonts w:hint="eastAsia" w:ascii="宋体" w:hAnsi="宋体" w:cs="宋体"/>
          <w:bCs/>
          <w:kern w:val="0"/>
          <w:sz w:val="24"/>
          <w:szCs w:val="24"/>
          <w:highlight w:val="none"/>
        </w:rPr>
        <w:t>投标文件</w:t>
      </w:r>
      <w:bookmarkEnd w:id="39"/>
      <w:r>
        <w:rPr>
          <w:rFonts w:hint="eastAsia" w:ascii="宋体" w:hAnsi="宋体" w:cs="宋体"/>
          <w:bCs/>
          <w:kern w:val="0"/>
          <w:sz w:val="24"/>
          <w:szCs w:val="24"/>
          <w:highlight w:val="none"/>
        </w:rPr>
        <w:t>。投标人在投标前须提供电子投标文件。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171841DB">
      <w:pPr>
        <w:snapToGrid w:val="0"/>
        <w:spacing w:line="440" w:lineRule="exact"/>
        <w:ind w:firstLine="480" w:firstLineChars="200"/>
        <w:rPr>
          <w:rFonts w:ascii="宋体" w:hAnsi="宋体" w:cs="宋体"/>
          <w:color w:val="000000"/>
          <w:kern w:val="0"/>
          <w:sz w:val="24"/>
          <w:szCs w:val="24"/>
          <w:highlight w:val="none"/>
        </w:rPr>
      </w:pP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2投标人应按照本须知第</w:t>
      </w: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.1条的内容及第</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部分提供的格式编写投标文件，不得缺少招标文件要求填写的表格或提交的资料。</w:t>
      </w:r>
    </w:p>
    <w:bookmarkEnd w:id="26"/>
    <w:bookmarkEnd w:id="27"/>
    <w:bookmarkEnd w:id="28"/>
    <w:p w14:paraId="7A234DE2">
      <w:pPr>
        <w:spacing w:line="360" w:lineRule="auto"/>
        <w:ind w:firstLine="482" w:firstLineChars="200"/>
        <w:rPr>
          <w:rFonts w:ascii="宋体" w:hAnsi="宋体"/>
          <w:b/>
          <w:sz w:val="24"/>
          <w:szCs w:val="24"/>
          <w:highlight w:val="none"/>
        </w:rPr>
      </w:pPr>
      <w:bookmarkStart w:id="40" w:name="_Toc311415586"/>
      <w:bookmarkStart w:id="41" w:name="_Toc380336738"/>
      <w:bookmarkStart w:id="42" w:name="_Toc358364332"/>
      <w:bookmarkStart w:id="43" w:name="_Toc409689060"/>
      <w:r>
        <w:rPr>
          <w:rFonts w:ascii="宋体" w:hAnsi="宋体"/>
          <w:b/>
          <w:sz w:val="24"/>
          <w:szCs w:val="24"/>
          <w:highlight w:val="none"/>
        </w:rPr>
        <w:t>15</w:t>
      </w:r>
      <w:r>
        <w:rPr>
          <w:rFonts w:hint="eastAsia" w:ascii="宋体" w:hAnsi="宋体"/>
          <w:b/>
          <w:sz w:val="24"/>
          <w:szCs w:val="24"/>
          <w:highlight w:val="none"/>
          <w:lang w:val="en-US" w:eastAsia="zh-CN"/>
        </w:rPr>
        <w:t>.</w:t>
      </w:r>
      <w:r>
        <w:rPr>
          <w:rFonts w:hint="eastAsia" w:ascii="宋体" w:hAnsi="宋体"/>
          <w:b/>
          <w:sz w:val="24"/>
          <w:szCs w:val="24"/>
          <w:highlight w:val="none"/>
        </w:rPr>
        <w:t>投标报价</w:t>
      </w:r>
      <w:bookmarkEnd w:id="40"/>
    </w:p>
    <w:bookmarkEnd w:id="41"/>
    <w:bookmarkEnd w:id="42"/>
    <w:bookmarkEnd w:id="43"/>
    <w:p w14:paraId="272B17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15.1</w:t>
      </w:r>
      <w:r>
        <w:rPr>
          <w:rFonts w:hint="eastAsia" w:ascii="宋体" w:hAnsi="宋体"/>
          <w:sz w:val="24"/>
          <w:szCs w:val="24"/>
          <w:highlight w:val="none"/>
        </w:rPr>
        <w:t>“报价表”填写时应注意下列要求：</w:t>
      </w:r>
    </w:p>
    <w:p w14:paraId="5A2EF88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（1）本项目的投标报价应结合市场自主报价并承担风险；</w:t>
      </w:r>
    </w:p>
    <w:p w14:paraId="188C6BA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（2）投标报价依据现行及省级有关规定并结合市场情况填报投标报价；</w:t>
      </w:r>
    </w:p>
    <w:p w14:paraId="558498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 各投标人应在投标文件中标明分项报价；  </w:t>
      </w:r>
    </w:p>
    <w:p w14:paraId="1DA8382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w:t>
      </w:r>
      <w:bookmarkStart w:id="44" w:name="_Toc347478689"/>
      <w:bookmarkEnd w:id="44"/>
      <w:bookmarkStart w:id="45" w:name="_Toc30437"/>
      <w:bookmarkEnd w:id="45"/>
      <w:bookmarkStart w:id="46" w:name="_Toc311415587"/>
      <w:bookmarkStart w:id="47" w:name="_Toc380336739"/>
      <w:bookmarkStart w:id="48" w:name="_Toc358364333"/>
      <w:bookmarkStart w:id="49" w:name="_Toc409689061"/>
      <w:r>
        <w:rPr>
          <w:rFonts w:hint="eastAsia" w:ascii="宋体" w:hAnsi="宋体"/>
          <w:sz w:val="24"/>
          <w:szCs w:val="24"/>
          <w:highlight w:val="none"/>
        </w:rPr>
        <w:t>）凡因投标人对招标阅读不深、理解不透、误解、疏漏</w:t>
      </w:r>
      <w:r>
        <w:rPr>
          <w:rFonts w:hint="eastAsia" w:ascii="宋体" w:hAnsi="宋体"/>
          <w:sz w:val="24"/>
          <w:szCs w:val="24"/>
          <w:highlight w:val="none"/>
          <w:lang w:eastAsia="zh-CN"/>
        </w:rPr>
        <w:t>或</w:t>
      </w:r>
      <w:r>
        <w:rPr>
          <w:rFonts w:hint="eastAsia" w:ascii="宋体" w:hAnsi="宋体"/>
          <w:sz w:val="24"/>
          <w:szCs w:val="24"/>
          <w:highlight w:val="none"/>
        </w:rPr>
        <w:t>因市场行情了解不清造成的后果和风险均由各投标人自负；</w:t>
      </w:r>
    </w:p>
    <w:p w14:paraId="089A057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最低报价不作为中标的唯一条件。</w:t>
      </w:r>
    </w:p>
    <w:p w14:paraId="250E36FD">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16</w:t>
      </w:r>
      <w:r>
        <w:rPr>
          <w:rFonts w:hint="eastAsia" w:ascii="宋体" w:hAnsi="宋体"/>
          <w:b/>
          <w:sz w:val="24"/>
          <w:szCs w:val="24"/>
          <w:highlight w:val="none"/>
          <w:lang w:val="en-US" w:eastAsia="zh-CN"/>
        </w:rPr>
        <w:t>.</w:t>
      </w:r>
      <w:r>
        <w:rPr>
          <w:rFonts w:hint="eastAsia" w:ascii="宋体" w:hAnsi="宋体"/>
          <w:b/>
          <w:sz w:val="24"/>
          <w:szCs w:val="24"/>
          <w:highlight w:val="none"/>
        </w:rPr>
        <w:t>投标货币</w:t>
      </w:r>
      <w:bookmarkEnd w:id="46"/>
    </w:p>
    <w:p w14:paraId="60CA63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投标应以人民币报价。任何包含非人民币报价的投标</w:t>
      </w:r>
      <w:r>
        <w:rPr>
          <w:rFonts w:hint="eastAsia" w:ascii="宋体" w:hAnsi="宋体"/>
          <w:sz w:val="24"/>
          <w:szCs w:val="24"/>
          <w:highlight w:val="none"/>
        </w:rPr>
        <w:t>均按照无效投标处理</w:t>
      </w:r>
      <w:r>
        <w:rPr>
          <w:rFonts w:ascii="宋体" w:hAnsi="宋体"/>
          <w:sz w:val="24"/>
          <w:szCs w:val="24"/>
          <w:highlight w:val="none"/>
        </w:rPr>
        <w:t>。</w:t>
      </w:r>
    </w:p>
    <w:p w14:paraId="4254F2F0">
      <w:pPr>
        <w:spacing w:line="360" w:lineRule="auto"/>
        <w:ind w:firstLine="482" w:firstLineChars="200"/>
        <w:rPr>
          <w:rFonts w:ascii="宋体" w:hAnsi="宋体"/>
          <w:b/>
          <w:sz w:val="24"/>
          <w:szCs w:val="24"/>
          <w:highlight w:val="none"/>
        </w:rPr>
      </w:pPr>
      <w:bookmarkStart w:id="50" w:name="_Toc311415588"/>
      <w:r>
        <w:rPr>
          <w:rFonts w:ascii="宋体" w:hAnsi="宋体"/>
          <w:b/>
          <w:sz w:val="24"/>
          <w:szCs w:val="24"/>
          <w:highlight w:val="none"/>
        </w:rPr>
        <w:t>17</w:t>
      </w:r>
      <w:r>
        <w:rPr>
          <w:rFonts w:hint="eastAsia" w:ascii="宋体" w:hAnsi="宋体"/>
          <w:b/>
          <w:sz w:val="24"/>
          <w:szCs w:val="24"/>
          <w:highlight w:val="none"/>
          <w:lang w:val="en-US" w:eastAsia="zh-CN"/>
        </w:rPr>
        <w:t>.</w:t>
      </w:r>
      <w:r>
        <w:rPr>
          <w:rFonts w:hint="eastAsia" w:ascii="宋体" w:hAnsi="宋体"/>
          <w:b/>
          <w:sz w:val="24"/>
          <w:szCs w:val="24"/>
          <w:highlight w:val="none"/>
        </w:rPr>
        <w:t>投标人资格的证明文件</w:t>
      </w:r>
      <w:bookmarkEnd w:id="50"/>
    </w:p>
    <w:p w14:paraId="48270CA9">
      <w:pPr>
        <w:spacing w:line="360" w:lineRule="auto"/>
        <w:ind w:firstLine="480" w:firstLineChars="200"/>
        <w:rPr>
          <w:rFonts w:ascii="宋体" w:hAnsi="宋体"/>
          <w:sz w:val="24"/>
          <w:szCs w:val="24"/>
          <w:highlight w:val="none"/>
        </w:rPr>
      </w:pPr>
      <w:r>
        <w:rPr>
          <w:rFonts w:ascii="宋体" w:hAnsi="宋体"/>
          <w:sz w:val="24"/>
          <w:szCs w:val="24"/>
          <w:highlight w:val="none"/>
        </w:rPr>
        <w:t>17.1</w:t>
      </w:r>
      <w:r>
        <w:rPr>
          <w:rFonts w:hint="eastAsia" w:ascii="宋体" w:hAnsi="宋体"/>
          <w:sz w:val="24"/>
          <w:szCs w:val="24"/>
          <w:highlight w:val="none"/>
        </w:rPr>
        <w:t>投标人</w:t>
      </w:r>
      <w:r>
        <w:rPr>
          <w:rFonts w:ascii="宋体" w:hAnsi="宋体"/>
          <w:sz w:val="24"/>
          <w:szCs w:val="24"/>
          <w:highlight w:val="none"/>
        </w:rPr>
        <w:t>须</w:t>
      </w:r>
      <w:r>
        <w:rPr>
          <w:rFonts w:hint="eastAsia" w:ascii="宋体" w:hAnsi="宋体"/>
          <w:sz w:val="24"/>
          <w:szCs w:val="24"/>
          <w:highlight w:val="none"/>
        </w:rPr>
        <w:t>按招标文件要求，</w:t>
      </w:r>
      <w:r>
        <w:rPr>
          <w:rFonts w:ascii="宋体" w:hAnsi="宋体"/>
          <w:sz w:val="24"/>
          <w:szCs w:val="24"/>
          <w:highlight w:val="none"/>
        </w:rPr>
        <w:t>提</w:t>
      </w:r>
      <w:r>
        <w:rPr>
          <w:rFonts w:hint="eastAsia" w:ascii="宋体" w:hAnsi="宋体"/>
          <w:sz w:val="24"/>
          <w:szCs w:val="24"/>
          <w:highlight w:val="none"/>
        </w:rPr>
        <w:t>供</w:t>
      </w:r>
      <w:r>
        <w:rPr>
          <w:rFonts w:ascii="宋体" w:hAnsi="宋体"/>
          <w:sz w:val="24"/>
          <w:szCs w:val="24"/>
          <w:highlight w:val="none"/>
        </w:rPr>
        <w:t>资格</w:t>
      </w:r>
      <w:r>
        <w:rPr>
          <w:rFonts w:hint="eastAsia" w:ascii="宋体" w:hAnsi="宋体"/>
          <w:sz w:val="24"/>
          <w:szCs w:val="24"/>
          <w:highlight w:val="none"/>
        </w:rPr>
        <w:t>证明文件，未按要求提供或提供不全的，其投标按照无效投标处理。</w:t>
      </w:r>
    </w:p>
    <w:p w14:paraId="5331D60A">
      <w:pPr>
        <w:spacing w:line="360" w:lineRule="auto"/>
        <w:ind w:firstLine="480" w:firstLineChars="200"/>
        <w:rPr>
          <w:rFonts w:ascii="宋体" w:hAnsi="宋体"/>
          <w:sz w:val="24"/>
          <w:szCs w:val="24"/>
          <w:highlight w:val="none"/>
        </w:rPr>
      </w:pPr>
      <w:r>
        <w:rPr>
          <w:rFonts w:ascii="宋体" w:hAnsi="宋体"/>
          <w:sz w:val="24"/>
          <w:szCs w:val="24"/>
          <w:highlight w:val="none"/>
        </w:rPr>
        <w:t>17.2</w:t>
      </w:r>
      <w:r>
        <w:rPr>
          <w:rFonts w:hint="eastAsia" w:ascii="宋体" w:hAnsi="宋体"/>
          <w:sz w:val="24"/>
          <w:szCs w:val="24"/>
          <w:highlight w:val="none"/>
        </w:rPr>
        <w:t>如果招标文件有要求统一格式的，必须按统一格式提供，未按要求提供的，其投标按照无效投标处理。</w:t>
      </w:r>
    </w:p>
    <w:p w14:paraId="3F63C496">
      <w:pPr>
        <w:spacing w:line="360" w:lineRule="auto"/>
        <w:ind w:firstLine="480" w:firstLineChars="200"/>
        <w:rPr>
          <w:rFonts w:ascii="宋体" w:hAnsi="宋体"/>
          <w:sz w:val="24"/>
          <w:szCs w:val="24"/>
          <w:highlight w:val="none"/>
        </w:rPr>
      </w:pPr>
      <w:r>
        <w:rPr>
          <w:rFonts w:ascii="宋体" w:hAnsi="宋体"/>
          <w:sz w:val="24"/>
          <w:szCs w:val="24"/>
          <w:highlight w:val="none"/>
        </w:rPr>
        <w:t>17.3</w:t>
      </w:r>
      <w:r>
        <w:rPr>
          <w:rFonts w:hint="eastAsia" w:ascii="宋体" w:hAnsi="宋体"/>
          <w:sz w:val="24"/>
          <w:szCs w:val="24"/>
          <w:highlight w:val="none"/>
        </w:rPr>
        <w:t>资格证明文件有效期从开标之日起算不得少于投标文件有效期。</w:t>
      </w:r>
    </w:p>
    <w:bookmarkEnd w:id="47"/>
    <w:bookmarkEnd w:id="48"/>
    <w:bookmarkEnd w:id="49"/>
    <w:p w14:paraId="41012AF3">
      <w:pPr>
        <w:numPr>
          <w:ilvl w:val="0"/>
          <w:numId w:val="0"/>
        </w:numPr>
        <w:spacing w:line="360" w:lineRule="auto"/>
        <w:ind w:firstLine="482" w:firstLineChars="200"/>
        <w:rPr>
          <w:rFonts w:ascii="宋体" w:hAnsi="宋体"/>
          <w:b/>
          <w:sz w:val="24"/>
          <w:szCs w:val="24"/>
          <w:highlight w:val="none"/>
        </w:rPr>
      </w:pPr>
      <w:bookmarkStart w:id="51" w:name="_Toc311415590"/>
      <w:r>
        <w:rPr>
          <w:rFonts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highlight w:val="none"/>
        </w:rPr>
        <w:t>投标保证金</w:t>
      </w:r>
      <w:bookmarkEnd w:id="51"/>
    </w:p>
    <w:p w14:paraId="3A2CFD99">
      <w:pPr>
        <w:pStyle w:val="36"/>
        <w:ind w:firstLine="480" w:firstLineChars="200"/>
        <w:jc w:val="both"/>
        <w:rPr>
          <w:rFonts w:ascii="宋体" w:hAnsi="宋体"/>
          <w:b w:val="0"/>
          <w:bCs w:val="0"/>
          <w:spacing w:val="0"/>
          <w:w w:val="100"/>
          <w:sz w:val="24"/>
          <w:szCs w:val="24"/>
          <w:highlight w:val="none"/>
        </w:rPr>
      </w:pPr>
      <w:r>
        <w:rPr>
          <w:rFonts w:hint="eastAsia" w:ascii="宋体" w:hAnsi="宋体"/>
          <w:b w:val="0"/>
          <w:bCs w:val="0"/>
          <w:spacing w:val="0"/>
          <w:w w:val="100"/>
          <w:sz w:val="24"/>
          <w:szCs w:val="24"/>
          <w:highlight w:val="none"/>
        </w:rPr>
        <w:t>本项目不设置投标保证金</w:t>
      </w:r>
    </w:p>
    <w:p w14:paraId="2DF2604C">
      <w:pPr>
        <w:spacing w:line="360" w:lineRule="auto"/>
        <w:ind w:firstLine="482" w:firstLineChars="200"/>
        <w:rPr>
          <w:rFonts w:ascii="宋体" w:hAnsi="宋体"/>
          <w:sz w:val="24"/>
          <w:szCs w:val="24"/>
          <w:highlight w:val="none"/>
        </w:rPr>
      </w:pPr>
      <w:bookmarkStart w:id="52" w:name="_Toc311415591"/>
      <w:r>
        <w:rPr>
          <w:rFonts w:ascii="宋体" w:hAnsi="宋体"/>
          <w:b/>
          <w:sz w:val="24"/>
          <w:szCs w:val="24"/>
          <w:highlight w:val="none"/>
        </w:rPr>
        <w:t>19</w:t>
      </w:r>
      <w:r>
        <w:rPr>
          <w:rFonts w:hint="eastAsia" w:ascii="宋体" w:hAnsi="宋体"/>
          <w:b/>
          <w:sz w:val="24"/>
          <w:szCs w:val="24"/>
          <w:highlight w:val="none"/>
          <w:lang w:val="en-US" w:eastAsia="zh-CN"/>
        </w:rPr>
        <w:t>.</w:t>
      </w:r>
      <w:r>
        <w:rPr>
          <w:rFonts w:hint="eastAsia" w:ascii="宋体" w:hAnsi="宋体"/>
          <w:b/>
          <w:sz w:val="24"/>
          <w:szCs w:val="24"/>
          <w:highlight w:val="none"/>
        </w:rPr>
        <w:t>投标有效期</w:t>
      </w:r>
      <w:bookmarkEnd w:id="52"/>
    </w:p>
    <w:p w14:paraId="4CC906E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19.1</w:t>
      </w:r>
      <w:r>
        <w:rPr>
          <w:rFonts w:hint="eastAsia" w:ascii="宋体" w:hAnsi="宋体"/>
          <w:sz w:val="24"/>
          <w:szCs w:val="24"/>
          <w:highlight w:val="none"/>
        </w:rPr>
        <w:t>投标文件递交截止时间起算，投标有效期为90日历天。投标文件的有效期比本须知规定的有效期短的，</w:t>
      </w:r>
      <w:r>
        <w:rPr>
          <w:rFonts w:ascii="宋体" w:hAnsi="宋体"/>
          <w:sz w:val="24"/>
          <w:szCs w:val="24"/>
          <w:highlight w:val="none"/>
        </w:rPr>
        <w:t>将</w:t>
      </w:r>
      <w:r>
        <w:rPr>
          <w:rFonts w:hint="eastAsia" w:ascii="宋体" w:hAnsi="宋体"/>
          <w:sz w:val="24"/>
          <w:szCs w:val="24"/>
          <w:highlight w:val="none"/>
        </w:rPr>
        <w:t>按照无效投标处理</w:t>
      </w:r>
      <w:r>
        <w:rPr>
          <w:rFonts w:ascii="宋体" w:hAnsi="宋体"/>
          <w:sz w:val="24"/>
          <w:szCs w:val="24"/>
          <w:highlight w:val="none"/>
        </w:rPr>
        <w:t>。</w:t>
      </w:r>
    </w:p>
    <w:p w14:paraId="06B8103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19.2</w:t>
      </w:r>
      <w:r>
        <w:rPr>
          <w:rFonts w:hint="eastAsia" w:ascii="宋体" w:hAnsi="宋体"/>
          <w:sz w:val="24"/>
          <w:szCs w:val="24"/>
          <w:highlight w:val="none"/>
        </w:rPr>
        <w:t>在特殊情况下，在原投标有效期期满之前，采购人可征得投标人同意延长投标有效期。这种要求与答复均应为书面形式提交。</w:t>
      </w:r>
    </w:p>
    <w:p w14:paraId="645FAEB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19.3 </w:t>
      </w:r>
      <w:r>
        <w:rPr>
          <w:rFonts w:hint="eastAsia" w:ascii="宋体" w:hAnsi="宋体"/>
          <w:sz w:val="24"/>
          <w:szCs w:val="24"/>
          <w:highlight w:val="none"/>
        </w:rPr>
        <w:t>中标供应商投标文件有效期自动延长至合同执行完毕。</w:t>
      </w:r>
    </w:p>
    <w:p w14:paraId="672C6D9A">
      <w:pPr>
        <w:spacing w:line="360" w:lineRule="auto"/>
        <w:ind w:firstLine="482" w:firstLineChars="200"/>
        <w:rPr>
          <w:rFonts w:ascii="宋体" w:hAnsi="宋体"/>
          <w:b/>
          <w:sz w:val="24"/>
          <w:szCs w:val="24"/>
          <w:highlight w:val="none"/>
        </w:rPr>
      </w:pPr>
      <w:bookmarkStart w:id="53" w:name="_Toc311415595"/>
      <w:r>
        <w:rPr>
          <w:rFonts w:ascii="宋体" w:hAnsi="宋体"/>
          <w:b/>
          <w:sz w:val="24"/>
          <w:szCs w:val="24"/>
          <w:highlight w:val="none"/>
        </w:rPr>
        <w:t>20</w:t>
      </w:r>
      <w:r>
        <w:rPr>
          <w:rFonts w:hint="eastAsia" w:ascii="宋体" w:hAnsi="宋体"/>
          <w:b/>
          <w:sz w:val="24"/>
          <w:szCs w:val="24"/>
          <w:highlight w:val="none"/>
          <w:lang w:val="en-US" w:eastAsia="zh-CN"/>
        </w:rPr>
        <w:t>.</w:t>
      </w:r>
      <w:r>
        <w:rPr>
          <w:rFonts w:hint="eastAsia" w:ascii="宋体" w:hAnsi="宋体"/>
          <w:b/>
          <w:sz w:val="24"/>
          <w:szCs w:val="24"/>
          <w:highlight w:val="none"/>
        </w:rPr>
        <w:t>投标文件的格式</w:t>
      </w:r>
    </w:p>
    <w:p w14:paraId="1DC77806">
      <w:pPr>
        <w:spacing w:line="360" w:lineRule="auto"/>
        <w:ind w:firstLine="480" w:firstLineChars="200"/>
        <w:rPr>
          <w:rFonts w:ascii="宋体" w:hAnsi="宋体"/>
          <w:sz w:val="24"/>
          <w:szCs w:val="24"/>
          <w:highlight w:val="none"/>
        </w:rPr>
      </w:pPr>
      <w:r>
        <w:rPr>
          <w:rFonts w:ascii="宋体" w:hAnsi="宋体"/>
          <w:sz w:val="24"/>
          <w:szCs w:val="24"/>
          <w:highlight w:val="none"/>
        </w:rPr>
        <w:t>20.1</w:t>
      </w:r>
      <w:r>
        <w:rPr>
          <w:rFonts w:hint="eastAsia" w:ascii="宋体" w:hAnsi="宋体"/>
          <w:sz w:val="24"/>
          <w:szCs w:val="24"/>
          <w:highlight w:val="none"/>
        </w:rPr>
        <w:t>供应商须依据招标文件内容和投标文件格式的要求编制投标文件；并编制目录和对应的页码。</w:t>
      </w:r>
    </w:p>
    <w:p w14:paraId="105E8E7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20.</w:t>
      </w:r>
      <w:r>
        <w:rPr>
          <w:rFonts w:hint="eastAsia" w:ascii="宋体" w:hAnsi="宋体"/>
          <w:sz w:val="24"/>
          <w:szCs w:val="24"/>
          <w:highlight w:val="none"/>
        </w:rPr>
        <w:t>2本次</w:t>
      </w:r>
      <w:r>
        <w:rPr>
          <w:rFonts w:hint="eastAsia" w:ascii="宋体" w:hAnsi="宋体"/>
          <w:color w:val="000000" w:themeColor="text1"/>
          <w:sz w:val="24"/>
          <w:szCs w:val="24"/>
          <w:highlight w:val="none"/>
          <w14:textFill>
            <w14:solidFill>
              <w14:schemeClr w14:val="tx1"/>
            </w14:solidFill>
          </w14:textFill>
        </w:rPr>
        <w:t>招标</w:t>
      </w:r>
      <w:r>
        <w:rPr>
          <w:rFonts w:hint="eastAsia" w:ascii="宋体" w:hAnsi="宋体"/>
          <w:sz w:val="24"/>
          <w:szCs w:val="24"/>
          <w:highlight w:val="none"/>
        </w:rPr>
        <w:t>只接受简体中文文字的投标文件；如投标文件中出现外文资料，必须配以中文译文。否则，由此引发的一切责任由供应商自负。</w:t>
      </w:r>
    </w:p>
    <w:p w14:paraId="066AB1B3">
      <w:pPr>
        <w:overflowPunct w:val="0"/>
        <w:adjustRightInd w:val="0"/>
        <w:snapToGrid w:val="0"/>
        <w:spacing w:line="360" w:lineRule="auto"/>
        <w:ind w:firstLine="480" w:firstLineChars="200"/>
        <w:rPr>
          <w:highlight w:val="none"/>
        </w:rPr>
      </w:pPr>
      <w:r>
        <w:rPr>
          <w:rFonts w:ascii="宋体" w:hAnsi="宋体"/>
          <w:sz w:val="24"/>
          <w:szCs w:val="24"/>
          <w:highlight w:val="none"/>
        </w:rPr>
        <w:t>20.</w:t>
      </w:r>
      <w:r>
        <w:rPr>
          <w:rFonts w:hint="eastAsia" w:ascii="宋体" w:hAnsi="宋体"/>
          <w:sz w:val="24"/>
          <w:szCs w:val="24"/>
          <w:highlight w:val="none"/>
        </w:rPr>
        <w:t>3拒绝接受以电话、传真、电子邮件形式</w:t>
      </w:r>
      <w:r>
        <w:rPr>
          <w:rFonts w:hint="eastAsia" w:ascii="宋体" w:hAnsi="宋体"/>
          <w:color w:val="000000" w:themeColor="text1"/>
          <w:sz w:val="24"/>
          <w:szCs w:val="24"/>
          <w:highlight w:val="none"/>
          <w14:textFill>
            <w14:solidFill>
              <w14:schemeClr w14:val="tx1"/>
            </w14:solidFill>
          </w14:textFill>
        </w:rPr>
        <w:t>的投标。</w:t>
      </w:r>
    </w:p>
    <w:p w14:paraId="521E3BF8">
      <w:pPr>
        <w:pStyle w:val="3"/>
        <w:spacing w:before="0" w:after="0" w:line="480" w:lineRule="exact"/>
        <w:jc w:val="center"/>
        <w:rPr>
          <w:highlight w:val="none"/>
        </w:rPr>
      </w:pPr>
      <w:bookmarkStart w:id="54" w:name="_Toc4747"/>
      <w:bookmarkStart w:id="55" w:name="_Toc536429375"/>
      <w:bookmarkStart w:id="56" w:name="_Toc19543339"/>
      <w:bookmarkStart w:id="57" w:name="_Toc536202382"/>
      <w:bookmarkStart w:id="58" w:name="_Toc3565"/>
      <w:bookmarkStart w:id="59" w:name="_Toc536202305"/>
      <w:bookmarkStart w:id="60" w:name="_Toc536429322"/>
      <w:bookmarkStart w:id="61" w:name="_Toc3736"/>
      <w:r>
        <w:rPr>
          <w:rFonts w:hint="eastAsia"/>
          <w:highlight w:val="none"/>
        </w:rPr>
        <w:t>四、</w:t>
      </w:r>
      <w:r>
        <w:rPr>
          <w:rFonts w:hint="eastAsia"/>
          <w:highlight w:val="none"/>
          <w:lang w:val="en-US" w:eastAsia="zh-CN"/>
        </w:rPr>
        <w:t>投标</w:t>
      </w:r>
      <w:r>
        <w:rPr>
          <w:rFonts w:hint="eastAsia"/>
          <w:highlight w:val="none"/>
        </w:rPr>
        <w:t>文件的递交</w:t>
      </w:r>
      <w:bookmarkEnd w:id="54"/>
      <w:bookmarkEnd w:id="55"/>
      <w:bookmarkEnd w:id="56"/>
      <w:bookmarkEnd w:id="57"/>
      <w:bookmarkEnd w:id="58"/>
      <w:bookmarkEnd w:id="59"/>
      <w:bookmarkEnd w:id="60"/>
    </w:p>
    <w:bookmarkEnd w:id="61"/>
    <w:p w14:paraId="4527BD91">
      <w:pPr>
        <w:keepNext/>
        <w:keepLines/>
        <w:spacing w:line="400" w:lineRule="exact"/>
        <w:ind w:firstLine="482" w:firstLineChars="200"/>
        <w:outlineLvl w:val="2"/>
        <w:rPr>
          <w:rFonts w:ascii="宋体" w:hAnsi="宋体" w:cs="宋体"/>
          <w:b/>
          <w:bCs/>
          <w:sz w:val="24"/>
          <w:szCs w:val="28"/>
          <w:highlight w:val="none"/>
        </w:rPr>
      </w:pPr>
      <w:bookmarkStart w:id="62" w:name="_Toc3685"/>
      <w:bookmarkStart w:id="63" w:name="_Toc536202306"/>
      <w:r>
        <w:rPr>
          <w:rFonts w:ascii="宋体" w:hAnsi="宋体" w:cs="宋体"/>
          <w:b/>
          <w:bCs/>
          <w:sz w:val="24"/>
          <w:szCs w:val="28"/>
          <w:highlight w:val="none"/>
        </w:rPr>
        <w:t>21</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投标文件递交</w:t>
      </w:r>
      <w:bookmarkEnd w:id="62"/>
      <w:bookmarkEnd w:id="63"/>
    </w:p>
    <w:p w14:paraId="1CC060CA">
      <w:pPr>
        <w:adjustRightInd w:val="0"/>
        <w:snapToGrid w:val="0"/>
        <w:spacing w:line="440" w:lineRule="exact"/>
        <w:ind w:firstLine="480" w:firstLineChars="200"/>
        <w:rPr>
          <w:rFonts w:ascii="宋体" w:hAnsi="宋体" w:cs="宋体"/>
          <w:b/>
          <w:color w:val="000000"/>
          <w:kern w:val="0"/>
          <w:sz w:val="24"/>
          <w:szCs w:val="24"/>
          <w:highlight w:val="none"/>
        </w:rPr>
      </w:pPr>
      <w:r>
        <w:rPr>
          <w:rFonts w:ascii="宋体" w:hAnsi="宋体" w:cs="宋体"/>
          <w:color w:val="000000"/>
          <w:kern w:val="0"/>
          <w:sz w:val="24"/>
          <w:szCs w:val="24"/>
          <w:highlight w:val="none"/>
        </w:rPr>
        <w:t>21.</w:t>
      </w:r>
      <w:r>
        <w:rPr>
          <w:rFonts w:hint="eastAsia" w:ascii="宋体" w:hAnsi="宋体" w:cs="宋体"/>
          <w:color w:val="000000"/>
          <w:kern w:val="0"/>
          <w:sz w:val="24"/>
          <w:szCs w:val="24"/>
          <w:highlight w:val="none"/>
        </w:rPr>
        <w:t>1电子投标文件递交与解密</w:t>
      </w:r>
    </w:p>
    <w:p w14:paraId="70A3CE9C">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电子投标文件可于提交投标文件截止时间前任意时段登录全国公共资源交易平台（陕西省）网站[电子交易平台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企业端]进行提交，逾期系统将拒绝接收。提交时，供应商应登录全国公共资源交易中心平台（陕西省），选择“首页</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我的项目”，点击[项目流程]，在打开的[项目管理]对话框中选择[上传响应文件]，上传加密的电子投标文件（*  .SXSTF），上传成功后，电子化平台将予以记录。</w:t>
      </w:r>
    </w:p>
    <w:p w14:paraId="435F1530">
      <w:pPr>
        <w:widowControl/>
        <w:tabs>
          <w:tab w:val="left" w:pos="0"/>
        </w:tabs>
        <w:spacing w:line="400" w:lineRule="exact"/>
        <w:ind w:firstLine="480" w:firstLineChars="200"/>
        <w:jc w:val="left"/>
        <w:rPr>
          <w:rFonts w:ascii="宋体" w:hAnsi="Calibri"/>
          <w:sz w:val="24"/>
          <w:szCs w:val="28"/>
          <w:highlight w:val="none"/>
        </w:rPr>
      </w:pPr>
      <w:r>
        <w:rPr>
          <w:rFonts w:hint="eastAsia" w:ascii="宋体" w:hAnsi="宋体" w:cs="宋体"/>
          <w:sz w:val="24"/>
          <w:szCs w:val="28"/>
          <w:highlight w:val="none"/>
        </w:rPr>
        <w:t>22.2代理机构不接受邮寄的投标文件；</w:t>
      </w:r>
    </w:p>
    <w:p w14:paraId="4D57AECA">
      <w:pPr>
        <w:widowControl/>
        <w:tabs>
          <w:tab w:val="left" w:pos="0"/>
        </w:tabs>
        <w:spacing w:line="400" w:lineRule="exact"/>
        <w:ind w:firstLine="480" w:firstLineChars="200"/>
        <w:jc w:val="left"/>
        <w:rPr>
          <w:rFonts w:ascii="宋体" w:hAnsi="宋体" w:cs="宋体"/>
          <w:sz w:val="24"/>
          <w:szCs w:val="28"/>
          <w:highlight w:val="none"/>
        </w:rPr>
      </w:pPr>
      <w:r>
        <w:rPr>
          <w:rFonts w:hint="eastAsia" w:ascii="宋体" w:hAnsi="宋体" w:cs="宋体"/>
          <w:sz w:val="24"/>
          <w:szCs w:val="28"/>
          <w:highlight w:val="none"/>
        </w:rPr>
        <w:t>22.3无论供应商成交与否，其投标文件恕不退还。</w:t>
      </w:r>
    </w:p>
    <w:p w14:paraId="500ED965">
      <w:pPr>
        <w:pStyle w:val="17"/>
        <w:rPr>
          <w:highlight w:val="none"/>
        </w:rPr>
      </w:pPr>
    </w:p>
    <w:p w14:paraId="40526D8E">
      <w:pPr>
        <w:keepNext/>
        <w:keepLines/>
        <w:spacing w:line="400" w:lineRule="exact"/>
        <w:ind w:firstLine="482" w:firstLineChars="200"/>
        <w:outlineLvl w:val="2"/>
        <w:rPr>
          <w:rFonts w:ascii="宋体" w:hAnsi="Calibri"/>
          <w:b/>
          <w:bCs/>
          <w:sz w:val="24"/>
          <w:szCs w:val="28"/>
          <w:highlight w:val="none"/>
        </w:rPr>
      </w:pPr>
      <w:r>
        <w:rPr>
          <w:rFonts w:ascii="宋体" w:hAnsi="宋体" w:cs="宋体"/>
          <w:b/>
          <w:bCs/>
          <w:sz w:val="24"/>
          <w:szCs w:val="28"/>
          <w:highlight w:val="none"/>
        </w:rPr>
        <w:t>22</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投标文件的修改和撤回</w:t>
      </w:r>
    </w:p>
    <w:p w14:paraId="6FA448B9">
      <w:pPr>
        <w:widowControl/>
        <w:tabs>
          <w:tab w:val="left" w:pos="0"/>
        </w:tabs>
        <w:spacing w:line="400" w:lineRule="exact"/>
        <w:ind w:firstLine="480" w:firstLineChars="200"/>
        <w:jc w:val="left"/>
        <w:rPr>
          <w:rFonts w:ascii="宋体" w:hAnsi="宋体" w:cs="宋体"/>
          <w:sz w:val="24"/>
          <w:szCs w:val="28"/>
          <w:highlight w:val="none"/>
        </w:rPr>
      </w:pPr>
      <w:r>
        <w:rPr>
          <w:rFonts w:ascii="宋体" w:hAnsi="宋体" w:cs="宋体"/>
          <w:sz w:val="24"/>
          <w:szCs w:val="28"/>
          <w:highlight w:val="none"/>
        </w:rPr>
        <w:t>22.1</w:t>
      </w:r>
      <w:r>
        <w:rPr>
          <w:rFonts w:hint="eastAsia" w:ascii="宋体" w:hAnsi="宋体" w:cs="宋体"/>
          <w:sz w:val="24"/>
          <w:szCs w:val="28"/>
          <w:highlight w:val="none"/>
        </w:rPr>
        <w:t>供应商在上传投标文件以后，在规定的投标截止时间之前</w:t>
      </w:r>
      <w:r>
        <w:rPr>
          <w:rFonts w:hint="eastAsia" w:ascii="宋体" w:hAnsi="宋体" w:cs="宋体"/>
          <w:sz w:val="24"/>
          <w:szCs w:val="28"/>
          <w:highlight w:val="none"/>
          <w:lang w:eastAsia="zh-CN"/>
        </w:rPr>
        <w:t>，</w:t>
      </w:r>
      <w:r>
        <w:rPr>
          <w:rFonts w:hint="eastAsia" w:ascii="宋体" w:hAnsi="宋体" w:cs="宋体"/>
          <w:sz w:val="24"/>
          <w:szCs w:val="28"/>
          <w:highlight w:val="none"/>
        </w:rPr>
        <w:t>可以对已递交的投标文件进行修改、撤回。补充、修改的内容应当按招标文件要求签章、加密上传。</w:t>
      </w:r>
    </w:p>
    <w:p w14:paraId="57E09E98">
      <w:pPr>
        <w:widowControl/>
        <w:tabs>
          <w:tab w:val="left" w:pos="0"/>
        </w:tabs>
        <w:spacing w:line="400" w:lineRule="exact"/>
        <w:ind w:firstLine="480" w:firstLineChars="200"/>
        <w:jc w:val="left"/>
        <w:rPr>
          <w:rFonts w:ascii="宋体" w:hAnsi="Calibri"/>
          <w:sz w:val="24"/>
          <w:szCs w:val="28"/>
          <w:highlight w:val="none"/>
        </w:rPr>
      </w:pPr>
      <w:r>
        <w:rPr>
          <w:rFonts w:ascii="宋体" w:hAnsi="宋体" w:cs="宋体"/>
          <w:sz w:val="24"/>
          <w:szCs w:val="28"/>
          <w:highlight w:val="none"/>
        </w:rPr>
        <w:t>22.4</w:t>
      </w:r>
      <w:r>
        <w:rPr>
          <w:rFonts w:hint="eastAsia" w:ascii="宋体" w:hAnsi="宋体" w:cs="宋体"/>
          <w:sz w:val="24"/>
          <w:szCs w:val="28"/>
          <w:highlight w:val="none"/>
        </w:rPr>
        <w:t>投标截止时间之后，供应商不得补充、修改投标文件。</w:t>
      </w:r>
    </w:p>
    <w:p w14:paraId="448DAEF9">
      <w:pPr>
        <w:pStyle w:val="17"/>
        <w:rPr>
          <w:highlight w:val="none"/>
          <w:lang w:val="en-US" w:bidi="ar-SA"/>
        </w:rPr>
      </w:pPr>
    </w:p>
    <w:bookmarkEnd w:id="53"/>
    <w:p w14:paraId="77ED022D">
      <w:pPr>
        <w:pStyle w:val="3"/>
        <w:spacing w:before="0" w:after="0" w:line="415" w:lineRule="auto"/>
        <w:jc w:val="center"/>
        <w:rPr>
          <w:highlight w:val="none"/>
        </w:rPr>
      </w:pPr>
      <w:bookmarkStart w:id="64" w:name="_Toc23258609"/>
      <w:bookmarkStart w:id="65" w:name="_Toc26541326"/>
      <w:r>
        <w:rPr>
          <w:rFonts w:hint="eastAsia"/>
          <w:highlight w:val="none"/>
        </w:rPr>
        <w:t>五、开标、评标、定标</w:t>
      </w:r>
      <w:bookmarkEnd w:id="64"/>
      <w:bookmarkEnd w:id="65"/>
    </w:p>
    <w:p w14:paraId="6A9691B6">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23</w:t>
      </w:r>
      <w:r>
        <w:rPr>
          <w:rFonts w:hint="eastAsia" w:ascii="宋体" w:hAnsi="宋体"/>
          <w:b/>
          <w:sz w:val="24"/>
          <w:szCs w:val="24"/>
          <w:highlight w:val="none"/>
          <w:lang w:val="en-US" w:eastAsia="zh-CN"/>
        </w:rPr>
        <w:t>.</w:t>
      </w:r>
      <w:r>
        <w:rPr>
          <w:rFonts w:hint="eastAsia" w:ascii="宋体" w:hAnsi="宋体"/>
          <w:b/>
          <w:sz w:val="24"/>
          <w:szCs w:val="24"/>
          <w:highlight w:val="none"/>
        </w:rPr>
        <w:t>开标</w:t>
      </w:r>
    </w:p>
    <w:p w14:paraId="1C1DF6E1">
      <w:pPr>
        <w:overflowPunct w:val="0"/>
        <w:adjustRightInd w:val="0"/>
        <w:snapToGrid w:val="0"/>
        <w:spacing w:line="360" w:lineRule="auto"/>
        <w:ind w:firstLine="480" w:firstLineChars="200"/>
        <w:rPr>
          <w:rFonts w:ascii="宋体" w:hAnsi="宋体"/>
          <w:sz w:val="24"/>
          <w:szCs w:val="24"/>
          <w:highlight w:val="none"/>
        </w:rPr>
      </w:pPr>
      <w:bookmarkStart w:id="66" w:name="_Toc311415599"/>
      <w:r>
        <w:rPr>
          <w:rFonts w:ascii="宋体" w:hAnsi="宋体"/>
          <w:sz w:val="24"/>
          <w:szCs w:val="24"/>
          <w:highlight w:val="none"/>
        </w:rPr>
        <w:t>23.1采购代理机构在</w:t>
      </w:r>
      <w:r>
        <w:rPr>
          <w:rFonts w:hint="eastAsia" w:ascii="宋体" w:hAnsi="宋体"/>
          <w:sz w:val="24"/>
          <w:szCs w:val="24"/>
          <w:highlight w:val="none"/>
        </w:rPr>
        <w:t>招标文件</w:t>
      </w:r>
      <w:r>
        <w:rPr>
          <w:rFonts w:ascii="宋体" w:hAnsi="宋体"/>
          <w:sz w:val="24"/>
          <w:szCs w:val="24"/>
          <w:highlight w:val="none"/>
        </w:rPr>
        <w:t>规定的时间和地点组织公开开标</w:t>
      </w:r>
      <w:r>
        <w:rPr>
          <w:rFonts w:hint="eastAsia" w:ascii="宋体" w:hAnsi="宋体"/>
          <w:sz w:val="24"/>
          <w:szCs w:val="24"/>
          <w:highlight w:val="none"/>
        </w:rPr>
        <w:t>，</w:t>
      </w:r>
      <w:r>
        <w:rPr>
          <w:rFonts w:hint="eastAsia" w:ascii="宋体" w:hAnsi="宋体" w:cs="宋体"/>
          <w:spacing w:val="-8"/>
          <w:sz w:val="24"/>
          <w:szCs w:val="24"/>
          <w:highlight w:val="none"/>
        </w:rPr>
        <w:t>整个过程受政府采购监管机构的监督、管理。</w:t>
      </w:r>
    </w:p>
    <w:p w14:paraId="50F5B86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23.2</w:t>
      </w:r>
      <w:r>
        <w:rPr>
          <w:rFonts w:hint="eastAsia" w:ascii="宋体" w:hAnsi="宋体"/>
          <w:sz w:val="24"/>
          <w:szCs w:val="24"/>
          <w:highlight w:val="none"/>
        </w:rPr>
        <w:t>开标仪式由采购代理机构主持，采购人代表及有关人员参加。</w:t>
      </w:r>
    </w:p>
    <w:p w14:paraId="0F6C04EC">
      <w:pPr>
        <w:spacing w:line="460" w:lineRule="exact"/>
        <w:ind w:firstLine="480" w:firstLineChars="200"/>
        <w:rPr>
          <w:rFonts w:ascii="宋体" w:hAnsi="宋体" w:cs="宋体"/>
          <w:spacing w:val="-8"/>
          <w:sz w:val="24"/>
          <w:szCs w:val="24"/>
        </w:rPr>
      </w:pPr>
      <w:r>
        <w:rPr>
          <w:rFonts w:ascii="宋体" w:hAnsi="宋体"/>
          <w:sz w:val="24"/>
          <w:szCs w:val="24"/>
          <w:highlight w:val="none"/>
        </w:rPr>
        <w:t>23.</w:t>
      </w:r>
      <w:r>
        <w:rPr>
          <w:rFonts w:hint="eastAsia" w:ascii="宋体" w:hAnsi="宋体"/>
          <w:sz w:val="24"/>
          <w:szCs w:val="24"/>
          <w:highlight w:val="none"/>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588B8137">
      <w:pPr>
        <w:spacing w:line="460" w:lineRule="exact"/>
        <w:ind w:firstLine="448" w:firstLineChars="200"/>
        <w:rPr>
          <w:rFonts w:hint="eastAsia"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4CEF3DB6">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27937D5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15C6490B">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w:t>
      </w:r>
      <w:r>
        <w:rPr>
          <w:rFonts w:hint="eastAsia" w:ascii="宋体" w:hAnsi="宋体" w:cs="宋体"/>
          <w:spacing w:val="-8"/>
          <w:sz w:val="24"/>
          <w:szCs w:val="24"/>
          <w:lang w:val="en-US" w:eastAsia="zh-CN"/>
        </w:rPr>
        <w:t>标</w:t>
      </w:r>
      <w:r>
        <w:rPr>
          <w:rFonts w:hint="eastAsia" w:ascii="宋体" w:hAnsi="宋体" w:cs="宋体"/>
          <w:spacing w:val="-8"/>
          <w:sz w:val="24"/>
          <w:szCs w:val="24"/>
        </w:rPr>
        <w:t>大厅右侧公告及互动栏目信息。</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分钟，投标单位需在解密时间规定内完成</w:t>
      </w:r>
      <w:r>
        <w:rPr>
          <w:rFonts w:hint="eastAsia" w:ascii="宋体" w:hAnsi="宋体" w:cs="宋体"/>
          <w:spacing w:val="-8"/>
          <w:sz w:val="24"/>
          <w:szCs w:val="24"/>
          <w:lang w:val="en-US" w:eastAsia="zh-CN"/>
        </w:rPr>
        <w:t>投标文件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时间内完成解密的，采购代理机构将在系统中退回未解密的投标文件，被退回的投标文件将不再参与后续的开标活动</w:t>
      </w:r>
      <w:r>
        <w:rPr>
          <w:rFonts w:hint="eastAsia" w:ascii="宋体" w:hAnsi="宋体" w:cs="宋体"/>
          <w:spacing w:val="-8"/>
          <w:sz w:val="24"/>
          <w:szCs w:val="24"/>
        </w:rPr>
        <w:t>。所有投标单位解密完成后由开标人员将响应文件导入开评标系统。</w:t>
      </w:r>
    </w:p>
    <w:p w14:paraId="2AF08F91">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23.</w:t>
      </w:r>
      <w:r>
        <w:rPr>
          <w:rFonts w:hint="eastAsia" w:ascii="宋体" w:hAnsi="宋体" w:cs="宋体"/>
          <w:spacing w:val="-8"/>
          <w:sz w:val="24"/>
          <w:szCs w:val="24"/>
          <w:highlight w:val="none"/>
          <w:lang w:val="en-US" w:eastAsia="zh-CN"/>
        </w:rPr>
        <w:t>4</w:t>
      </w:r>
      <w:r>
        <w:rPr>
          <w:rFonts w:hint="eastAsia" w:ascii="宋体" w:hAnsi="宋体" w:cs="宋体"/>
          <w:spacing w:val="-8"/>
          <w:sz w:val="24"/>
          <w:szCs w:val="24"/>
          <w:highlight w:val="none"/>
        </w:rPr>
        <w:t>特殊情形下的应急处置</w:t>
      </w:r>
    </w:p>
    <w:p w14:paraId="3F4C1224">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在开标、评审过程中，如因停电、断网、电子化系统故障等原因导致电子 化开、评标无法正常进行时，将按照采购监管机构及公共资源交易中心统一安排部署开展后续采购活动。</w:t>
      </w:r>
    </w:p>
    <w:p w14:paraId="4BA8C687">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24</w:t>
      </w:r>
      <w:r>
        <w:rPr>
          <w:rFonts w:hint="eastAsia" w:ascii="宋体" w:hAnsi="宋体"/>
          <w:b/>
          <w:sz w:val="24"/>
          <w:szCs w:val="24"/>
          <w:highlight w:val="none"/>
          <w:lang w:val="en-US" w:eastAsia="zh-CN"/>
        </w:rPr>
        <w:t>.</w:t>
      </w:r>
      <w:r>
        <w:rPr>
          <w:rFonts w:hint="eastAsia" w:ascii="宋体" w:hAnsi="宋体"/>
          <w:b/>
          <w:sz w:val="24"/>
          <w:szCs w:val="24"/>
          <w:highlight w:val="none"/>
        </w:rPr>
        <w:t>采购人或采购代理机构</w:t>
      </w:r>
    </w:p>
    <w:p w14:paraId="2098BA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24.1核对评审专家身份和采购人代表授权函，对评审专家在政府采购活动中的职责履行情况予以记录，并及时将有关违法违规行为向财政部门报告；</w:t>
      </w:r>
    </w:p>
    <w:p w14:paraId="5D0295A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24.2宣布评标纪律；</w:t>
      </w:r>
    </w:p>
    <w:p w14:paraId="37E017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3</w:t>
      </w:r>
      <w:r>
        <w:rPr>
          <w:rFonts w:ascii="宋体" w:hAnsi="宋体"/>
          <w:sz w:val="24"/>
          <w:szCs w:val="24"/>
          <w:highlight w:val="none"/>
        </w:rPr>
        <w:t>公布投标人名单，告知评审专家应当回避的情形；</w:t>
      </w:r>
    </w:p>
    <w:p w14:paraId="6DC16E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w:t>
      </w:r>
      <w:r>
        <w:rPr>
          <w:rFonts w:ascii="宋体" w:hAnsi="宋体"/>
          <w:sz w:val="24"/>
          <w:szCs w:val="24"/>
          <w:highlight w:val="none"/>
        </w:rPr>
        <w:t>组织评标委员会推选评标组长，采购人代表不得担任组长；</w:t>
      </w:r>
    </w:p>
    <w:p w14:paraId="116F6C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.5</w:t>
      </w:r>
      <w:r>
        <w:rPr>
          <w:rFonts w:ascii="宋体" w:hAnsi="宋体"/>
          <w:sz w:val="24"/>
          <w:szCs w:val="24"/>
          <w:highlight w:val="none"/>
        </w:rPr>
        <w:t>根据评标委员会的要求介绍政府采购相关政策法规、招标文件</w:t>
      </w:r>
      <w:r>
        <w:rPr>
          <w:rFonts w:hint="eastAsia" w:ascii="宋体" w:hAnsi="宋体"/>
          <w:sz w:val="24"/>
          <w:szCs w:val="24"/>
          <w:highlight w:val="none"/>
        </w:rPr>
        <w:t>；</w:t>
      </w:r>
    </w:p>
    <w:p w14:paraId="4B7F181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.6依法对投标人的资格进行审查；</w:t>
      </w:r>
    </w:p>
    <w:p w14:paraId="63D1275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.7依法维</w:t>
      </w:r>
      <w:r>
        <w:rPr>
          <w:rFonts w:ascii="宋体" w:hAnsi="宋体"/>
          <w:sz w:val="24"/>
          <w:szCs w:val="24"/>
          <w:highlight w:val="none"/>
        </w:rPr>
        <w:t>护评标秩序，监督评标委员会依照招标文件规定的评标程序、方法和标准进行独立评审，及时制止和纠正采购人代表、评审专家的倾向性言论或者违法违规行为；</w:t>
      </w:r>
    </w:p>
    <w:p w14:paraId="3825A53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.8核</w:t>
      </w:r>
      <w:r>
        <w:rPr>
          <w:rFonts w:ascii="宋体" w:hAnsi="宋体"/>
          <w:sz w:val="24"/>
          <w:szCs w:val="24"/>
          <w:highlight w:val="none"/>
        </w:rPr>
        <w:t>对评标结果</w:t>
      </w:r>
      <w:r>
        <w:rPr>
          <w:rFonts w:hint="eastAsia" w:ascii="宋体" w:hAnsi="宋体"/>
          <w:sz w:val="24"/>
          <w:szCs w:val="24"/>
          <w:highlight w:val="none"/>
        </w:rPr>
        <w:t>，</w:t>
      </w:r>
      <w:r>
        <w:rPr>
          <w:rFonts w:ascii="宋体" w:hAnsi="宋体"/>
          <w:sz w:val="24"/>
          <w:szCs w:val="24"/>
          <w:highlight w:val="none"/>
        </w:rPr>
        <w:t>有分值汇总计算错误的</w:t>
      </w:r>
      <w:r>
        <w:rPr>
          <w:rFonts w:hint="eastAsia" w:ascii="宋体" w:hAnsi="宋体"/>
          <w:sz w:val="24"/>
          <w:szCs w:val="24"/>
          <w:highlight w:val="none"/>
        </w:rPr>
        <w:t>、</w:t>
      </w:r>
      <w:r>
        <w:rPr>
          <w:rFonts w:ascii="宋体" w:hAnsi="宋体"/>
          <w:sz w:val="24"/>
          <w:szCs w:val="24"/>
          <w:highlight w:val="none"/>
        </w:rPr>
        <w:t>分项评分超出评分标准范围的</w:t>
      </w:r>
      <w:r>
        <w:rPr>
          <w:rFonts w:hint="eastAsia" w:ascii="宋体" w:hAnsi="宋体"/>
          <w:sz w:val="24"/>
          <w:szCs w:val="24"/>
          <w:highlight w:val="none"/>
        </w:rPr>
        <w:t>、</w:t>
      </w:r>
      <w:r>
        <w:rPr>
          <w:rFonts w:ascii="宋体" w:hAnsi="宋体"/>
          <w:sz w:val="24"/>
          <w:szCs w:val="24"/>
          <w:highlight w:val="none"/>
        </w:rPr>
        <w:t>评标委员会成员对客观评审因素评分不一致的</w:t>
      </w:r>
      <w:r>
        <w:rPr>
          <w:rFonts w:hint="eastAsia" w:ascii="宋体" w:hAnsi="宋体"/>
          <w:sz w:val="24"/>
          <w:szCs w:val="24"/>
          <w:highlight w:val="none"/>
        </w:rPr>
        <w:t>、</w:t>
      </w:r>
      <w:r>
        <w:rPr>
          <w:rFonts w:ascii="宋体" w:hAnsi="宋体"/>
          <w:sz w:val="24"/>
          <w:szCs w:val="24"/>
          <w:highlight w:val="none"/>
        </w:rPr>
        <w:t>经评标委员会认定评分畸高、畸低的</w:t>
      </w:r>
      <w:r>
        <w:rPr>
          <w:rFonts w:hint="eastAsia" w:ascii="宋体" w:hAnsi="宋体"/>
          <w:sz w:val="24"/>
          <w:szCs w:val="24"/>
          <w:highlight w:val="none"/>
        </w:rPr>
        <w:t>，</w:t>
      </w:r>
      <w:r>
        <w:rPr>
          <w:rFonts w:ascii="宋体" w:hAnsi="宋体"/>
          <w:sz w:val="24"/>
          <w:szCs w:val="24"/>
          <w:highlight w:val="none"/>
        </w:rPr>
        <w:t>要求评标委员会复核或者书面说明理由</w:t>
      </w:r>
      <w:r>
        <w:rPr>
          <w:rFonts w:hint="eastAsia" w:ascii="宋体" w:hAnsi="宋体"/>
          <w:sz w:val="24"/>
          <w:szCs w:val="24"/>
          <w:highlight w:val="none"/>
        </w:rPr>
        <w:t>。</w:t>
      </w:r>
      <w:r>
        <w:rPr>
          <w:rFonts w:ascii="宋体" w:hAnsi="宋体"/>
          <w:sz w:val="24"/>
          <w:szCs w:val="24"/>
          <w:highlight w:val="none"/>
        </w:rPr>
        <w:t>评标委员会拒绝的，应予记录并向本级财政部门报告；</w:t>
      </w:r>
    </w:p>
    <w:p w14:paraId="74BBC8E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.9</w:t>
      </w:r>
      <w:r>
        <w:rPr>
          <w:rFonts w:ascii="宋体" w:hAnsi="宋体"/>
          <w:sz w:val="24"/>
          <w:szCs w:val="24"/>
          <w:highlight w:val="none"/>
        </w:rPr>
        <w:t>与评标有关的其他事项</w:t>
      </w:r>
      <w:r>
        <w:rPr>
          <w:rFonts w:hint="eastAsia" w:ascii="宋体" w:hAnsi="宋体"/>
          <w:sz w:val="24"/>
          <w:szCs w:val="24"/>
          <w:highlight w:val="none"/>
        </w:rPr>
        <w:t>。</w:t>
      </w:r>
    </w:p>
    <w:p w14:paraId="1C0518FE">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25</w:t>
      </w:r>
      <w:r>
        <w:rPr>
          <w:rFonts w:hint="eastAsia" w:ascii="宋体" w:hAnsi="宋体"/>
          <w:b/>
          <w:sz w:val="24"/>
          <w:szCs w:val="24"/>
          <w:highlight w:val="none"/>
          <w:lang w:val="en-US" w:eastAsia="zh-CN"/>
        </w:rPr>
        <w:t>.</w:t>
      </w:r>
      <w:r>
        <w:rPr>
          <w:rFonts w:hint="eastAsia" w:ascii="宋体" w:hAnsi="宋体"/>
          <w:b/>
          <w:sz w:val="24"/>
          <w:szCs w:val="24"/>
          <w:highlight w:val="none"/>
        </w:rPr>
        <w:t>评标委员会</w:t>
      </w:r>
      <w:bookmarkEnd w:id="66"/>
    </w:p>
    <w:p w14:paraId="0C5FDB9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.1 采购人将根据本次招标项目的特点，参照《中华人民共和国政府采购法》等有关规定组建评标委员会；</w:t>
      </w:r>
    </w:p>
    <w:p w14:paraId="61701A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.2 评标委员会成员由采购人及评审专家组成，负责评标活动。专家人选在专家库中随机抽取，</w:t>
      </w:r>
      <w:r>
        <w:rPr>
          <w:rFonts w:ascii="宋体" w:hAnsi="宋体"/>
          <w:sz w:val="24"/>
          <w:szCs w:val="24"/>
          <w:highlight w:val="none"/>
        </w:rPr>
        <w:t>其中评审专家不得少于成员总数的三分之二</w:t>
      </w:r>
      <w:r>
        <w:rPr>
          <w:rFonts w:hint="eastAsia" w:ascii="宋体" w:hAnsi="宋体"/>
          <w:sz w:val="24"/>
          <w:szCs w:val="24"/>
          <w:highlight w:val="none"/>
        </w:rPr>
        <w:t>；</w:t>
      </w:r>
    </w:p>
    <w:p w14:paraId="3B04984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.3评审专家从省级以上财政部门设立的政府采购评审专家库中，通过随机方式抽取评审专家；</w:t>
      </w:r>
    </w:p>
    <w:p w14:paraId="0C72D79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.4 评标委员会成员对各投标人投标文件进行</w:t>
      </w:r>
      <w:r>
        <w:rPr>
          <w:rFonts w:ascii="宋体" w:hAnsi="宋体"/>
          <w:sz w:val="24"/>
          <w:szCs w:val="24"/>
          <w:highlight w:val="none"/>
        </w:rPr>
        <w:t>审查、评价投标文件是否符合招标文件的商务、技术等实质性要求；</w:t>
      </w:r>
    </w:p>
    <w:p w14:paraId="2CC85B5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.5</w:t>
      </w:r>
      <w:r>
        <w:rPr>
          <w:rFonts w:ascii="宋体" w:hAnsi="宋体"/>
          <w:sz w:val="24"/>
          <w:szCs w:val="24"/>
          <w:highlight w:val="none"/>
        </w:rPr>
        <w:t>要求投标人对投标文件有关事项作出澄清或者说明；</w:t>
      </w:r>
    </w:p>
    <w:p w14:paraId="1BBDEA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.6</w:t>
      </w:r>
      <w:r>
        <w:rPr>
          <w:rFonts w:ascii="宋体" w:hAnsi="宋体"/>
          <w:sz w:val="24"/>
          <w:szCs w:val="24"/>
          <w:highlight w:val="none"/>
        </w:rPr>
        <w:t>对投标文件进行比较和评价；</w:t>
      </w:r>
    </w:p>
    <w:p w14:paraId="2FE28FF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.7</w:t>
      </w:r>
      <w:r>
        <w:rPr>
          <w:rFonts w:ascii="宋体" w:hAnsi="宋体"/>
          <w:sz w:val="24"/>
          <w:szCs w:val="24"/>
          <w:highlight w:val="none"/>
        </w:rPr>
        <w:t>确定中标候选人名单，</w:t>
      </w:r>
      <w:r>
        <w:rPr>
          <w:rFonts w:hint="eastAsia" w:ascii="宋体" w:hAnsi="宋体"/>
          <w:sz w:val="24"/>
          <w:szCs w:val="24"/>
          <w:highlight w:val="none"/>
        </w:rPr>
        <w:t>或</w:t>
      </w:r>
      <w:r>
        <w:rPr>
          <w:rFonts w:ascii="宋体" w:hAnsi="宋体"/>
          <w:sz w:val="24"/>
          <w:szCs w:val="24"/>
          <w:highlight w:val="none"/>
        </w:rPr>
        <w:t>根据采购人委托直接确定中标人；</w:t>
      </w:r>
    </w:p>
    <w:p w14:paraId="27BCC60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.8</w:t>
      </w:r>
      <w:r>
        <w:rPr>
          <w:rFonts w:ascii="宋体" w:hAnsi="宋体"/>
          <w:sz w:val="24"/>
          <w:szCs w:val="24"/>
          <w:highlight w:val="none"/>
        </w:rPr>
        <w:t>向采购人、采购代理机构或者有关部门报告评标中发现的违法行为</w:t>
      </w:r>
      <w:r>
        <w:rPr>
          <w:rFonts w:hint="eastAsia" w:ascii="宋体" w:hAnsi="宋体"/>
          <w:sz w:val="24"/>
          <w:szCs w:val="24"/>
          <w:highlight w:val="none"/>
        </w:rPr>
        <w:t>（如果有）；</w:t>
      </w:r>
    </w:p>
    <w:p w14:paraId="4BD970C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.9评标委员会有权对整个招标过程中出现的一切问题，根据《中华人民共和国政府采购法》和《政府采购货物和服务招标管理办法》的规定，本着公开、公平、公正的原则，进行处理。</w:t>
      </w:r>
    </w:p>
    <w:p w14:paraId="20A82550">
      <w:pPr>
        <w:overflowPunct w:val="0"/>
        <w:adjustRightInd w:val="0"/>
        <w:snapToGrid w:val="0"/>
        <w:spacing w:line="360" w:lineRule="auto"/>
        <w:ind w:firstLine="482" w:firstLineChars="200"/>
        <w:rPr>
          <w:rFonts w:hint="eastAsia" w:ascii="宋体" w:hAnsi="宋体" w:eastAsia="宋体"/>
          <w:sz w:val="24"/>
          <w:szCs w:val="24"/>
          <w:highlight w:val="none"/>
          <w:lang w:eastAsia="zh-CN"/>
        </w:rPr>
      </w:pPr>
      <w:bookmarkStart w:id="67" w:name="_Toc311415601"/>
      <w:bookmarkStart w:id="68" w:name="_Toc311415600"/>
      <w:r>
        <w:rPr>
          <w:rFonts w:ascii="宋体" w:hAnsi="宋体"/>
          <w:b/>
          <w:sz w:val="24"/>
          <w:szCs w:val="24"/>
          <w:highlight w:val="none"/>
        </w:rPr>
        <w:t>26</w:t>
      </w:r>
      <w:r>
        <w:rPr>
          <w:rFonts w:hint="eastAsia" w:ascii="宋体" w:hAnsi="宋体"/>
          <w:b/>
          <w:sz w:val="24"/>
          <w:szCs w:val="24"/>
          <w:highlight w:val="none"/>
          <w:lang w:val="en-US" w:eastAsia="zh-CN"/>
        </w:rPr>
        <w:t>.</w:t>
      </w:r>
      <w:r>
        <w:rPr>
          <w:rFonts w:hint="eastAsia" w:ascii="宋体" w:hAnsi="宋体"/>
          <w:b/>
          <w:sz w:val="24"/>
          <w:szCs w:val="24"/>
          <w:highlight w:val="none"/>
        </w:rPr>
        <w:t>投标文件的初审</w:t>
      </w:r>
      <w:bookmarkEnd w:id="67"/>
    </w:p>
    <w:p w14:paraId="5AE636A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w:t>
      </w:r>
      <w:r>
        <w:rPr>
          <w:rFonts w:hint="eastAsia" w:ascii="宋体" w:hAnsi="宋体"/>
          <w:sz w:val="24"/>
          <w:szCs w:val="24"/>
          <w:highlight w:val="none"/>
        </w:rPr>
        <w:t>.1投标文件的资格性审查：依据法律法规和招标文件的规定，按照招标文件中投</w:t>
      </w:r>
      <w:r>
        <w:rPr>
          <w:rFonts w:hint="eastAsia" w:ascii="宋体" w:hAnsi="宋体"/>
          <w:color w:val="auto"/>
          <w:sz w:val="24"/>
          <w:szCs w:val="24"/>
          <w:highlight w:val="none"/>
        </w:rPr>
        <w:t>标人须知前附表</w:t>
      </w:r>
      <w:r>
        <w:rPr>
          <w:rFonts w:hint="eastAsia" w:ascii="宋体" w:hAnsi="宋体"/>
          <w:color w:val="auto"/>
          <w:sz w:val="24"/>
          <w:szCs w:val="24"/>
          <w:highlight w:val="none"/>
          <w:lang w:val="en-US" w:eastAsia="zh-CN"/>
        </w:rPr>
        <w:t>资格要求</w:t>
      </w:r>
      <w:r>
        <w:rPr>
          <w:rFonts w:hint="eastAsia" w:ascii="宋体" w:hAnsi="宋体"/>
          <w:sz w:val="24"/>
          <w:szCs w:val="24"/>
          <w:highlight w:val="none"/>
        </w:rPr>
        <w:t>对投标人</w:t>
      </w:r>
      <w:r>
        <w:rPr>
          <w:rFonts w:hint="eastAsia" w:ascii="宋体" w:hAnsi="宋体"/>
          <w:color w:val="auto"/>
          <w:sz w:val="24"/>
          <w:szCs w:val="24"/>
          <w:highlight w:val="none"/>
        </w:rPr>
        <w:t>进行资格审查，以</w:t>
      </w:r>
      <w:r>
        <w:rPr>
          <w:rFonts w:hint="eastAsia" w:ascii="宋体" w:hAnsi="宋体"/>
          <w:sz w:val="24"/>
          <w:szCs w:val="24"/>
          <w:highlight w:val="none"/>
        </w:rPr>
        <w:t>确保投标人是否具备相应的投标资格，任意一条不符合要求的，按无效投标处理。</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highlight w:val="none"/>
        </w:rPr>
        <w:t>26</w:t>
      </w:r>
      <w:r>
        <w:rPr>
          <w:rFonts w:hint="eastAsia" w:ascii="宋体" w:hAnsi="宋体"/>
          <w:sz w:val="24"/>
          <w:szCs w:val="24"/>
          <w:highlight w:val="none"/>
        </w:rPr>
        <w:t>.2</w:t>
      </w:r>
      <w:r>
        <w:rPr>
          <w:rFonts w:hint="eastAsia" w:ascii="宋体" w:hAnsi="宋体"/>
          <w:sz w:val="24"/>
          <w:szCs w:val="24"/>
        </w:rPr>
        <w:t>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6B8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03A541F7">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DDDF011">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40B7713">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461F15">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69DE14">
            <w:pPr>
              <w:widowControl/>
              <w:spacing w:line="288"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未通过原因</w:t>
            </w:r>
          </w:p>
        </w:tc>
      </w:tr>
      <w:tr w14:paraId="74A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055C6A1">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2447" w:type="dxa"/>
            <w:tcBorders>
              <w:top w:val="single" w:color="auto" w:sz="4" w:space="0"/>
              <w:left w:val="single" w:color="auto" w:sz="4" w:space="0"/>
              <w:bottom w:val="single" w:color="auto" w:sz="4" w:space="0"/>
              <w:right w:val="single" w:color="auto" w:sz="4" w:space="0"/>
            </w:tcBorders>
          </w:tcPr>
          <w:p w14:paraId="4E45ADB0">
            <w:pPr>
              <w:widowControl/>
              <w:spacing w:line="288" w:lineRule="auto"/>
              <w:ind w:firstLine="200"/>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投标文件封面、投标函、法定代表人委托授权书三处的项目名称、项目编号、标段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36B47765">
            <w:pPr>
              <w:widowControl/>
              <w:spacing w:line="288" w:lineRule="auto"/>
              <w:ind w:firstLine="200"/>
              <w:jc w:val="left"/>
              <w:rPr>
                <w:rFonts w:ascii="宋体" w:hAnsi="宋体" w:cs="宋体"/>
                <w:bCs/>
                <w:kern w:val="0"/>
                <w:sz w:val="24"/>
                <w:szCs w:val="24"/>
                <w:highlight w:val="none"/>
              </w:rPr>
            </w:pPr>
            <w:r>
              <w:rPr>
                <w:rFonts w:hint="eastAsia" w:ascii="宋体" w:hAnsi="宋体" w:cs="宋体"/>
                <w:bCs/>
                <w:kern w:val="0"/>
                <w:sz w:val="24"/>
                <w:szCs w:val="24"/>
                <w:highlight w:val="none"/>
              </w:rPr>
              <w:t>三处均无遗漏，且与所投项目名称、项目编号、标段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完全一致。</w:t>
            </w:r>
          </w:p>
        </w:tc>
        <w:tc>
          <w:tcPr>
            <w:tcW w:w="1005" w:type="dxa"/>
            <w:tcBorders>
              <w:top w:val="single" w:color="auto" w:sz="4" w:space="0"/>
              <w:left w:val="single" w:color="auto" w:sz="4" w:space="0"/>
              <w:bottom w:val="single" w:color="auto" w:sz="4" w:space="0"/>
              <w:right w:val="single" w:color="auto" w:sz="4" w:space="0"/>
            </w:tcBorders>
          </w:tcPr>
          <w:p w14:paraId="368A563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83C3AEC">
            <w:pPr>
              <w:widowControl/>
              <w:spacing w:line="288" w:lineRule="auto"/>
              <w:ind w:firstLine="200"/>
              <w:rPr>
                <w:rFonts w:ascii="宋体" w:hAnsi="宋体" w:cs="宋体"/>
                <w:b/>
                <w:bCs/>
                <w:kern w:val="0"/>
                <w:sz w:val="24"/>
                <w:szCs w:val="24"/>
                <w:highlight w:val="none"/>
              </w:rPr>
            </w:pPr>
          </w:p>
        </w:tc>
      </w:tr>
      <w:tr w14:paraId="446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5860469">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2447" w:type="dxa"/>
            <w:tcBorders>
              <w:top w:val="single" w:color="auto" w:sz="4" w:space="0"/>
              <w:left w:val="single" w:color="auto" w:sz="4" w:space="0"/>
              <w:bottom w:val="single" w:color="auto" w:sz="4" w:space="0"/>
              <w:right w:val="single" w:color="auto" w:sz="4" w:space="0"/>
            </w:tcBorders>
            <w:vAlign w:val="center"/>
          </w:tcPr>
          <w:p w14:paraId="1E32109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4DCD943A">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均按招标文件要求签字、盖章。</w:t>
            </w:r>
          </w:p>
          <w:p w14:paraId="70D64E85">
            <w:pPr>
              <w:widowControl/>
              <w:spacing w:line="288" w:lineRule="auto"/>
              <w:ind w:firstLine="200"/>
              <w:rPr>
                <w:rFonts w:ascii="宋体" w:hAnsi="宋体" w:cs="宋体"/>
                <w:bCs/>
                <w:kern w:val="0"/>
                <w:sz w:val="24"/>
                <w:szCs w:val="24"/>
                <w:highlight w:val="none"/>
              </w:rPr>
            </w:pPr>
            <w:r>
              <w:rPr>
                <w:rFonts w:hint="eastAsia" w:ascii="宋体" w:hAnsi="宋体" w:cs="宋体"/>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0421FDCB">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E8DB220">
            <w:pPr>
              <w:widowControl/>
              <w:spacing w:line="288" w:lineRule="auto"/>
              <w:ind w:firstLine="200"/>
              <w:rPr>
                <w:rFonts w:ascii="宋体" w:hAnsi="宋体" w:cs="宋体"/>
                <w:b/>
                <w:bCs/>
                <w:kern w:val="0"/>
                <w:sz w:val="24"/>
                <w:szCs w:val="24"/>
                <w:highlight w:val="none"/>
              </w:rPr>
            </w:pPr>
          </w:p>
        </w:tc>
      </w:tr>
      <w:tr w14:paraId="3447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632380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2447" w:type="dxa"/>
            <w:tcBorders>
              <w:top w:val="single" w:color="auto" w:sz="4" w:space="0"/>
              <w:left w:val="single" w:color="auto" w:sz="4" w:space="0"/>
              <w:bottom w:val="single" w:color="auto" w:sz="4" w:space="0"/>
              <w:right w:val="single" w:color="auto" w:sz="4" w:space="0"/>
            </w:tcBorders>
            <w:vAlign w:val="center"/>
          </w:tcPr>
          <w:p w14:paraId="0AC0008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tcPr>
          <w:p w14:paraId="4B9EC749">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投标文件应包含以下内容：</w:t>
            </w:r>
          </w:p>
          <w:p w14:paraId="146EC4A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一、投标函</w:t>
            </w:r>
          </w:p>
          <w:p w14:paraId="7FF28530">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二、投标一览表</w:t>
            </w:r>
          </w:p>
          <w:p w14:paraId="5C5EDCB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三</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资格证明文件</w:t>
            </w:r>
          </w:p>
          <w:p w14:paraId="1F96466E">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四、</w:t>
            </w:r>
            <w:r>
              <w:rPr>
                <w:rFonts w:hint="eastAsia" w:ascii="宋体" w:hAnsi="宋体" w:cs="宋体"/>
                <w:kern w:val="0"/>
                <w:sz w:val="24"/>
                <w:szCs w:val="24"/>
                <w:highlight w:val="none"/>
                <w:lang w:val="en-US" w:eastAsia="zh-CN"/>
              </w:rPr>
              <w:t>技术商务</w:t>
            </w:r>
            <w:r>
              <w:rPr>
                <w:rFonts w:hint="eastAsia" w:ascii="宋体" w:hAnsi="宋体" w:cs="宋体"/>
                <w:kern w:val="0"/>
                <w:sz w:val="24"/>
                <w:szCs w:val="24"/>
                <w:highlight w:val="none"/>
              </w:rPr>
              <w:t>响应偏离表</w:t>
            </w:r>
          </w:p>
          <w:p w14:paraId="784D3FD8">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五、投标方案</w:t>
            </w:r>
          </w:p>
          <w:p w14:paraId="695E5F29">
            <w:pPr>
              <w:pStyle w:val="28"/>
              <w:spacing w:line="288" w:lineRule="auto"/>
              <w:ind w:firstLine="240" w:firstLineChars="100"/>
              <w:rPr>
                <w:rFonts w:ascii="宋体" w:hAnsi="宋体" w:cs="宋体"/>
                <w:b/>
                <w:bCs/>
                <w:kern w:val="0"/>
                <w:sz w:val="24"/>
                <w:szCs w:val="24"/>
                <w:highlight w:val="none"/>
              </w:rPr>
            </w:pPr>
            <w:r>
              <w:rPr>
                <w:rFonts w:hint="eastAsia" w:ascii="宋体" w:hAnsi="宋体" w:cs="宋体"/>
                <w:kern w:val="0"/>
                <w:sz w:val="24"/>
                <w:szCs w:val="24"/>
                <w:highlight w:val="none"/>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21C7AF0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532A17C8">
            <w:pPr>
              <w:widowControl/>
              <w:spacing w:line="288" w:lineRule="auto"/>
              <w:ind w:firstLine="200"/>
              <w:rPr>
                <w:rFonts w:ascii="宋体" w:hAnsi="宋体" w:cs="宋体"/>
                <w:b/>
                <w:bCs/>
                <w:kern w:val="0"/>
                <w:sz w:val="24"/>
                <w:szCs w:val="24"/>
                <w:highlight w:val="none"/>
              </w:rPr>
            </w:pPr>
          </w:p>
        </w:tc>
      </w:tr>
      <w:tr w14:paraId="7462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6DA5BAC">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4</w:t>
            </w:r>
          </w:p>
        </w:tc>
        <w:tc>
          <w:tcPr>
            <w:tcW w:w="2447" w:type="dxa"/>
            <w:tcBorders>
              <w:top w:val="single" w:color="auto" w:sz="4" w:space="0"/>
              <w:left w:val="single" w:color="auto" w:sz="4" w:space="0"/>
              <w:bottom w:val="single" w:color="auto" w:sz="4" w:space="0"/>
              <w:right w:val="single" w:color="auto" w:sz="4" w:space="0"/>
            </w:tcBorders>
            <w:vAlign w:val="center"/>
          </w:tcPr>
          <w:p w14:paraId="4309ED74">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662FF11C">
            <w:pPr>
              <w:widowControl/>
              <w:spacing w:line="288" w:lineRule="auto"/>
              <w:ind w:firstLine="200"/>
              <w:jc w:val="center"/>
              <w:rPr>
                <w:rFonts w:ascii="宋体" w:hAnsi="宋体" w:cs="宋体"/>
                <w:b/>
                <w:bCs/>
                <w:kern w:val="0"/>
                <w:sz w:val="24"/>
                <w:szCs w:val="24"/>
                <w:highlight w:val="none"/>
              </w:rPr>
            </w:pPr>
            <w:r>
              <w:rPr>
                <w:rFonts w:hint="eastAsia" w:ascii="宋体" w:hAnsi="宋体" w:cs="宋体"/>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BB14735">
            <w:pPr>
              <w:widowControl/>
              <w:spacing w:line="288" w:lineRule="auto"/>
              <w:ind w:firstLine="200"/>
              <w:jc w:val="center"/>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1A6E14C5">
            <w:pPr>
              <w:widowControl/>
              <w:spacing w:line="288" w:lineRule="auto"/>
              <w:ind w:firstLine="200"/>
              <w:rPr>
                <w:rFonts w:ascii="宋体" w:hAnsi="宋体" w:cs="宋体"/>
                <w:b/>
                <w:bCs/>
                <w:kern w:val="0"/>
                <w:sz w:val="24"/>
                <w:szCs w:val="24"/>
                <w:highlight w:val="none"/>
              </w:rPr>
            </w:pPr>
          </w:p>
        </w:tc>
      </w:tr>
      <w:tr w14:paraId="1C17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2B651C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5</w:t>
            </w:r>
          </w:p>
        </w:tc>
        <w:tc>
          <w:tcPr>
            <w:tcW w:w="2447" w:type="dxa"/>
            <w:tcBorders>
              <w:top w:val="single" w:color="auto" w:sz="4" w:space="0"/>
              <w:left w:val="single" w:color="auto" w:sz="4" w:space="0"/>
              <w:bottom w:val="single" w:color="auto" w:sz="4" w:space="0"/>
              <w:right w:val="single" w:color="auto" w:sz="4" w:space="0"/>
            </w:tcBorders>
            <w:vAlign w:val="center"/>
          </w:tcPr>
          <w:p w14:paraId="09F5F90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tcPr>
          <w:p w14:paraId="6FDC6A70">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（1）投标报价符合唯一性要求：</w:t>
            </w:r>
          </w:p>
          <w:p w14:paraId="1D18C01B">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（2）开标一览表填写符合要求；</w:t>
            </w:r>
          </w:p>
          <w:p w14:paraId="0A743658">
            <w:pPr>
              <w:widowControl/>
              <w:spacing w:line="288" w:lineRule="auto"/>
              <w:rPr>
                <w:rFonts w:ascii="宋体" w:hAnsi="宋体" w:cs="宋体"/>
                <w:sz w:val="24"/>
                <w:szCs w:val="24"/>
                <w:highlight w:val="none"/>
              </w:rPr>
            </w:pPr>
            <w:r>
              <w:rPr>
                <w:rFonts w:hint="eastAsia" w:ascii="宋体" w:hAnsi="宋体" w:cs="宋体"/>
                <w:bCs/>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62896C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C453EFF">
            <w:pPr>
              <w:widowControl/>
              <w:spacing w:line="288" w:lineRule="auto"/>
              <w:ind w:firstLine="200"/>
              <w:rPr>
                <w:rFonts w:ascii="宋体" w:hAnsi="宋体" w:cs="宋体"/>
                <w:b/>
                <w:bCs/>
                <w:kern w:val="0"/>
                <w:sz w:val="24"/>
                <w:szCs w:val="24"/>
                <w:highlight w:val="none"/>
              </w:rPr>
            </w:pPr>
          </w:p>
        </w:tc>
      </w:tr>
      <w:tr w14:paraId="537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5FF7F07">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6</w:t>
            </w:r>
          </w:p>
        </w:tc>
        <w:tc>
          <w:tcPr>
            <w:tcW w:w="2447" w:type="dxa"/>
            <w:tcBorders>
              <w:top w:val="single" w:color="auto" w:sz="4" w:space="0"/>
              <w:left w:val="single" w:color="auto" w:sz="4" w:space="0"/>
              <w:bottom w:val="single" w:color="auto" w:sz="4" w:space="0"/>
              <w:right w:val="single" w:color="auto" w:sz="4" w:space="0"/>
            </w:tcBorders>
            <w:vAlign w:val="center"/>
          </w:tcPr>
          <w:p w14:paraId="12E3DD5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121A2F89">
            <w:pPr>
              <w:widowControl/>
              <w:spacing w:line="288" w:lineRule="auto"/>
              <w:ind w:firstLine="200"/>
              <w:jc w:val="center"/>
              <w:rPr>
                <w:rFonts w:ascii="宋体" w:hAnsi="宋体" w:cs="宋体"/>
                <w:sz w:val="24"/>
                <w:szCs w:val="24"/>
                <w:highlight w:val="none"/>
              </w:rPr>
            </w:pPr>
            <w:r>
              <w:rPr>
                <w:rFonts w:hint="eastAsia" w:ascii="宋体" w:hAnsi="宋体" w:cs="宋体"/>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065F12B5">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3582699A">
            <w:pPr>
              <w:widowControl/>
              <w:spacing w:line="288" w:lineRule="auto"/>
              <w:ind w:firstLine="200"/>
              <w:rPr>
                <w:rFonts w:ascii="宋体" w:hAnsi="宋体" w:cs="宋体"/>
                <w:b/>
                <w:bCs/>
                <w:kern w:val="0"/>
                <w:sz w:val="24"/>
                <w:szCs w:val="24"/>
                <w:highlight w:val="none"/>
              </w:rPr>
            </w:pPr>
          </w:p>
        </w:tc>
      </w:tr>
      <w:tr w14:paraId="669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4BACB71">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7</w:t>
            </w:r>
          </w:p>
        </w:tc>
        <w:tc>
          <w:tcPr>
            <w:tcW w:w="2447" w:type="dxa"/>
            <w:tcBorders>
              <w:top w:val="single" w:color="auto" w:sz="4" w:space="0"/>
              <w:left w:val="single" w:color="auto" w:sz="4" w:space="0"/>
              <w:bottom w:val="single" w:color="auto" w:sz="4" w:space="0"/>
              <w:right w:val="single" w:color="auto" w:sz="4" w:space="0"/>
            </w:tcBorders>
            <w:vAlign w:val="center"/>
          </w:tcPr>
          <w:p w14:paraId="09AA0E6D">
            <w:pPr>
              <w:widowControl/>
              <w:spacing w:line="288" w:lineRule="auto"/>
              <w:jc w:val="center"/>
              <w:rPr>
                <w:rFonts w:ascii="宋体" w:hAnsi="宋体" w:cs="宋体"/>
                <w:bCs/>
                <w:kern w:val="0"/>
                <w:sz w:val="24"/>
                <w:szCs w:val="24"/>
                <w:highlight w:val="none"/>
              </w:rPr>
            </w:pPr>
            <w:r>
              <w:rPr>
                <w:rFonts w:hint="eastAsia" w:ascii="宋体" w:hAnsi="宋体" w:cs="宋体"/>
                <w:bCs/>
                <w:sz w:val="24"/>
                <w:szCs w:val="24"/>
                <w:highlight w:val="none"/>
              </w:rPr>
              <w:t>合同</w:t>
            </w:r>
            <w:r>
              <w:rPr>
                <w:rFonts w:hint="eastAsia" w:ascii="宋体" w:hAnsi="宋体" w:cs="宋体"/>
                <w:bCs/>
                <w:sz w:val="24"/>
                <w:szCs w:val="24"/>
                <w:highlight w:val="none"/>
                <w:lang w:val="en-US" w:eastAsia="zh-CN"/>
              </w:rPr>
              <w:t>文本</w:t>
            </w:r>
            <w:r>
              <w:rPr>
                <w:rFonts w:hint="eastAsia" w:ascii="宋体" w:hAnsi="宋体" w:cs="宋体"/>
                <w:bCs/>
                <w:sz w:val="24"/>
                <w:szCs w:val="24"/>
                <w:highlight w:val="none"/>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7CA95D73">
            <w:pPr>
              <w:widowControl/>
              <w:spacing w:line="288" w:lineRule="auto"/>
              <w:jc w:val="center"/>
              <w:rPr>
                <w:rFonts w:ascii="宋体" w:hAnsi="宋体" w:cs="宋体"/>
                <w:sz w:val="24"/>
                <w:szCs w:val="24"/>
                <w:highlight w:val="none"/>
              </w:rPr>
            </w:pPr>
            <w:r>
              <w:rPr>
                <w:rFonts w:hint="eastAsia" w:ascii="宋体" w:hAnsi="宋体" w:cs="宋体"/>
                <w:sz w:val="24"/>
                <w:szCs w:val="24"/>
                <w:highlight w:val="none"/>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1CED65C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49F3FE1">
            <w:pPr>
              <w:widowControl/>
              <w:spacing w:line="288" w:lineRule="auto"/>
              <w:ind w:firstLine="200"/>
              <w:rPr>
                <w:rFonts w:ascii="宋体" w:hAnsi="宋体" w:cs="宋体"/>
                <w:b/>
                <w:bCs/>
                <w:kern w:val="0"/>
                <w:sz w:val="24"/>
                <w:szCs w:val="24"/>
                <w:highlight w:val="none"/>
              </w:rPr>
            </w:pPr>
          </w:p>
        </w:tc>
      </w:tr>
      <w:tr w14:paraId="78A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9F71DC0">
            <w:pPr>
              <w:widowControl/>
              <w:spacing w:line="288" w:lineRule="auto"/>
              <w:ind w:firstLine="200"/>
              <w:jc w:val="left"/>
              <w:rPr>
                <w:rFonts w:ascii="宋体" w:hAnsi="宋体" w:cs="宋体"/>
                <w:b/>
                <w:bCs/>
                <w:kern w:val="0"/>
                <w:sz w:val="24"/>
                <w:szCs w:val="24"/>
                <w:highlight w:val="none"/>
              </w:rPr>
            </w:pPr>
            <w:r>
              <w:rPr>
                <w:rFonts w:hint="eastAsia" w:ascii="宋体" w:hAnsi="宋体" w:cs="宋体"/>
                <w:b/>
                <w:bCs/>
                <w:kern w:val="0"/>
                <w:sz w:val="24"/>
                <w:szCs w:val="24"/>
                <w:highlight w:val="none"/>
              </w:rPr>
              <w:t>评标委员会成员：（签字）</w:t>
            </w:r>
          </w:p>
        </w:tc>
      </w:tr>
    </w:tbl>
    <w:p w14:paraId="3ED9FBC7">
      <w:pPr>
        <w:pStyle w:val="17"/>
        <w:rPr>
          <w:highlight w:val="none"/>
        </w:rPr>
      </w:pPr>
    </w:p>
    <w:p w14:paraId="0F2B33D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26.2.3</w:t>
      </w:r>
      <w:r>
        <w:rPr>
          <w:rFonts w:hint="eastAsia" w:ascii="宋体" w:hAnsi="宋体"/>
          <w:sz w:val="24"/>
          <w:szCs w:val="24"/>
          <w:highlight w:val="none"/>
        </w:rPr>
        <w:t>开标时，响应文件中出现下列情况，修正原则为：</w:t>
      </w:r>
    </w:p>
    <w:p w14:paraId="0012F9A6">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（1）投标文件中</w:t>
      </w:r>
      <w:r>
        <w:rPr>
          <w:rFonts w:hint="eastAsia" w:ascii="宋体" w:hAnsi="宋体"/>
          <w:sz w:val="24"/>
          <w:szCs w:val="24"/>
          <w:highlight w:val="none"/>
          <w:lang w:val="en-US" w:eastAsia="zh-CN"/>
        </w:rPr>
        <w:t>开标一览表（报价表）</w:t>
      </w:r>
      <w:r>
        <w:rPr>
          <w:rFonts w:hint="eastAsia" w:ascii="宋体" w:hAnsi="宋体"/>
          <w:sz w:val="24"/>
          <w:szCs w:val="24"/>
          <w:highlight w:val="none"/>
        </w:rPr>
        <w:t>内容与投标文件中</w:t>
      </w:r>
      <w:r>
        <w:rPr>
          <w:rFonts w:hint="eastAsia" w:ascii="宋体" w:hAnsi="宋体"/>
          <w:sz w:val="24"/>
          <w:szCs w:val="24"/>
          <w:highlight w:val="none"/>
          <w:lang w:val="en-US" w:eastAsia="zh-CN"/>
        </w:rPr>
        <w:t>相应</w:t>
      </w:r>
      <w:r>
        <w:rPr>
          <w:rFonts w:hint="eastAsia" w:ascii="宋体" w:hAnsi="宋体"/>
          <w:sz w:val="24"/>
          <w:szCs w:val="24"/>
          <w:highlight w:val="none"/>
        </w:rPr>
        <w:t>内容不一致的，以</w:t>
      </w:r>
      <w:r>
        <w:rPr>
          <w:rFonts w:hint="eastAsia" w:ascii="宋体" w:hAnsi="宋体"/>
          <w:sz w:val="24"/>
          <w:szCs w:val="24"/>
          <w:highlight w:val="none"/>
          <w:lang w:val="en-US" w:eastAsia="zh-CN"/>
        </w:rPr>
        <w:t>开标一览表（报价表）</w:t>
      </w:r>
      <w:r>
        <w:rPr>
          <w:rFonts w:hint="eastAsia" w:ascii="宋体" w:hAnsi="宋体"/>
          <w:sz w:val="24"/>
          <w:szCs w:val="24"/>
          <w:highlight w:val="none"/>
        </w:rPr>
        <w:t>为准；</w:t>
      </w:r>
    </w:p>
    <w:p w14:paraId="0594200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（2）大写金额和小写金额不一致的，以大写金额为准；</w:t>
      </w:r>
    </w:p>
    <w:p w14:paraId="1CD68F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（3）单价金额小数点或者百分比有明显错位的，以</w:t>
      </w:r>
      <w:r>
        <w:rPr>
          <w:rFonts w:hint="eastAsia" w:ascii="宋体" w:hAnsi="宋体"/>
          <w:sz w:val="24"/>
          <w:szCs w:val="24"/>
          <w:highlight w:val="none"/>
          <w:lang w:val="en-US" w:eastAsia="zh-CN"/>
        </w:rPr>
        <w:t>开标一览表</w:t>
      </w:r>
      <w:r>
        <w:rPr>
          <w:rFonts w:hint="eastAsia" w:ascii="宋体" w:hAnsi="宋体"/>
          <w:sz w:val="24"/>
          <w:szCs w:val="24"/>
          <w:highlight w:val="none"/>
        </w:rPr>
        <w:t>的总价为准，并修改单价；</w:t>
      </w:r>
    </w:p>
    <w:p w14:paraId="119A491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（4）总价金额与按单价汇总金额不一致的，以单价金额计算结果为准； </w:t>
      </w:r>
    </w:p>
    <w:p w14:paraId="2DE67212">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41FF8EA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26.3</w:t>
      </w:r>
      <w:r>
        <w:rPr>
          <w:rFonts w:hint="eastAsia" w:ascii="宋体" w:hAnsi="宋体"/>
          <w:sz w:val="24"/>
          <w:szCs w:val="24"/>
          <w:highlight w:val="none"/>
        </w:rPr>
        <w:t>通过对投标人及投标文件符合性审查，出现下列情况之一者（但不限于），按无效投标处理：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27157C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EFC0469">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27</w:t>
      </w:r>
      <w:r>
        <w:rPr>
          <w:rFonts w:hint="eastAsia" w:ascii="宋体" w:hAnsi="宋体"/>
          <w:b/>
          <w:sz w:val="24"/>
          <w:szCs w:val="24"/>
          <w:highlight w:val="none"/>
          <w:lang w:val="en-US" w:eastAsia="zh-CN"/>
        </w:rPr>
        <w:t>.</w:t>
      </w:r>
      <w:r>
        <w:rPr>
          <w:rFonts w:hint="eastAsia" w:ascii="宋体" w:hAnsi="宋体"/>
          <w:b/>
          <w:sz w:val="24"/>
          <w:szCs w:val="24"/>
          <w:highlight w:val="none"/>
        </w:rPr>
        <w:t>投标文件的澄清</w:t>
      </w:r>
      <w:bookmarkEnd w:id="68"/>
    </w:p>
    <w:p w14:paraId="5F66C164">
      <w:pPr>
        <w:spacing w:line="360" w:lineRule="auto"/>
        <w:ind w:firstLine="480" w:firstLineChars="200"/>
        <w:rPr>
          <w:rFonts w:ascii="宋体" w:hAnsi="宋体"/>
          <w:sz w:val="24"/>
          <w:szCs w:val="24"/>
          <w:highlight w:val="none"/>
        </w:rPr>
      </w:pPr>
      <w:r>
        <w:rPr>
          <w:rFonts w:ascii="宋体" w:hAnsi="宋体"/>
          <w:sz w:val="24"/>
          <w:szCs w:val="24"/>
          <w:highlight w:val="none"/>
        </w:rPr>
        <w:t>27.1对于投标文件中含义不明确、同类问题表述不一致或者有明显文字和计算错误的内容，评标委员会要求投标人作出必要的澄清、说明或者补正。</w:t>
      </w:r>
    </w:p>
    <w:p w14:paraId="0EF594BD">
      <w:pPr>
        <w:spacing w:line="360" w:lineRule="auto"/>
        <w:ind w:firstLine="480" w:firstLineChars="200"/>
        <w:rPr>
          <w:rFonts w:ascii="宋体" w:hAnsi="宋体"/>
          <w:sz w:val="24"/>
          <w:szCs w:val="24"/>
          <w:highlight w:val="none"/>
        </w:rPr>
      </w:pPr>
      <w:r>
        <w:rPr>
          <w:rFonts w:ascii="宋体" w:hAnsi="宋体"/>
          <w:sz w:val="24"/>
          <w:szCs w:val="24"/>
          <w:highlight w:val="none"/>
        </w:rPr>
        <w:t>27.2投标人的澄清、说明或者补正应当采用书面形式，由法定代表人或其授权的代表签字。投标人的澄清、说明或者补正不得超出投标文件的范围或者改变投标文件的实质性内容。</w:t>
      </w:r>
    </w:p>
    <w:p w14:paraId="233B860F">
      <w:pPr>
        <w:overflowPunct w:val="0"/>
        <w:adjustRightInd w:val="0"/>
        <w:snapToGrid w:val="0"/>
        <w:spacing w:line="360" w:lineRule="auto"/>
        <w:ind w:firstLine="482" w:firstLineChars="200"/>
        <w:rPr>
          <w:rFonts w:ascii="宋体" w:hAnsi="宋体"/>
          <w:b/>
          <w:sz w:val="24"/>
          <w:szCs w:val="24"/>
          <w:highlight w:val="none"/>
        </w:rPr>
      </w:pPr>
      <w:bookmarkStart w:id="69" w:name="_Toc311415604"/>
      <w:r>
        <w:rPr>
          <w:rFonts w:ascii="宋体" w:hAnsi="宋体"/>
          <w:b/>
          <w:sz w:val="24"/>
          <w:szCs w:val="24"/>
          <w:highlight w:val="none"/>
        </w:rPr>
        <w:t>28</w:t>
      </w:r>
      <w:r>
        <w:rPr>
          <w:rFonts w:hint="eastAsia" w:ascii="宋体" w:hAnsi="宋体"/>
          <w:b/>
          <w:sz w:val="24"/>
          <w:szCs w:val="24"/>
          <w:highlight w:val="none"/>
          <w:lang w:val="en-US" w:eastAsia="zh-CN"/>
        </w:rPr>
        <w:t>.</w:t>
      </w:r>
      <w:r>
        <w:rPr>
          <w:rFonts w:hint="eastAsia" w:ascii="宋体" w:hAnsi="宋体"/>
          <w:b/>
          <w:sz w:val="24"/>
          <w:szCs w:val="24"/>
          <w:highlight w:val="none"/>
        </w:rPr>
        <w:t>评标原则及主要方法</w:t>
      </w:r>
      <w:bookmarkEnd w:id="69"/>
    </w:p>
    <w:p w14:paraId="2DD1FF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28.1</w:t>
      </w:r>
      <w:r>
        <w:rPr>
          <w:rFonts w:hint="eastAsia" w:ascii="宋体" w:hAnsi="宋体"/>
          <w:sz w:val="24"/>
          <w:szCs w:val="24"/>
          <w:highlight w:val="none"/>
        </w:rPr>
        <w:t>评标委员会将遵循公平、公正和择优的原则，对所有投标人的投标文件评审，都采用相同的程序和标准；</w:t>
      </w:r>
    </w:p>
    <w:p w14:paraId="05D3513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28.2</w:t>
      </w:r>
      <w:r>
        <w:rPr>
          <w:rFonts w:hint="eastAsia" w:ascii="宋体" w:hAnsi="宋体"/>
          <w:sz w:val="24"/>
          <w:szCs w:val="24"/>
          <w:highlight w:val="none"/>
        </w:rPr>
        <w:t>评审过程的保密：在投标文件的评审、比较、中标候选人推荐以及授予合同的过程中，投标人向采购人和评标委员会施加影响的任何行为，都将会导致其报价被拒绝；</w:t>
      </w:r>
    </w:p>
    <w:p w14:paraId="7923E9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28.3</w:t>
      </w:r>
      <w:r>
        <w:rPr>
          <w:rFonts w:hint="eastAsia" w:ascii="宋体" w:hAnsi="宋体"/>
          <w:sz w:val="24"/>
          <w:szCs w:val="24"/>
          <w:highlight w:val="none"/>
        </w:rPr>
        <w:t>评标原则和办法：</w:t>
      </w:r>
    </w:p>
    <w:p w14:paraId="56ADF75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综合评分法：</w:t>
      </w:r>
      <w:r>
        <w:rPr>
          <w:rFonts w:ascii="宋体" w:hAnsi="宋体"/>
          <w:sz w:val="24"/>
          <w:szCs w:val="24"/>
          <w:highlight w:val="none"/>
        </w:rPr>
        <w:t>是指投标文件满足招标文件全部实质性要求，且按照评审因素的量化指标评审得分最高的投标人为中标候选人的评标方法。</w:t>
      </w:r>
    </w:p>
    <w:tbl>
      <w:tblPr>
        <w:tblStyle w:val="45"/>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0C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01682AE">
            <w:pPr>
              <w:overflowPunct w:val="0"/>
              <w:adjustRightInd w:val="0"/>
              <w:snapToGrid w:val="0"/>
              <w:spacing w:line="360" w:lineRule="auto"/>
              <w:rPr>
                <w:rFonts w:ascii="宋体" w:hAnsi="宋体"/>
                <w:sz w:val="24"/>
                <w:szCs w:val="24"/>
                <w:highlight w:val="none"/>
              </w:rPr>
            </w:pPr>
          </w:p>
        </w:tc>
      </w:tr>
      <w:tr w14:paraId="2D3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5424944E">
            <w:pPr>
              <w:overflowPunct w:val="0"/>
              <w:adjustRightInd w:val="0"/>
              <w:snapToGrid w:val="0"/>
              <w:spacing w:line="360" w:lineRule="auto"/>
              <w:rPr>
                <w:rFonts w:ascii="宋体" w:hAnsi="宋体"/>
                <w:sz w:val="24"/>
                <w:szCs w:val="24"/>
                <w:highlight w:val="none"/>
              </w:rPr>
            </w:pPr>
          </w:p>
        </w:tc>
      </w:tr>
    </w:tbl>
    <w:p w14:paraId="6022EA48">
      <w:pPr>
        <w:overflowPunct w:val="0"/>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具体评审因素</w:t>
      </w:r>
      <w:r>
        <w:rPr>
          <w:rFonts w:ascii="宋体" w:hAnsi="宋体"/>
          <w:sz w:val="24"/>
          <w:szCs w:val="24"/>
          <w:highlight w:val="none"/>
        </w:rPr>
        <w:t>量化指标</w:t>
      </w:r>
      <w:r>
        <w:rPr>
          <w:rFonts w:hint="eastAsia" w:ascii="宋体" w:hAnsi="宋体"/>
          <w:sz w:val="24"/>
          <w:szCs w:val="24"/>
          <w:highlight w:val="none"/>
        </w:rPr>
        <w:t>和分值如下：</w:t>
      </w:r>
    </w:p>
    <w:p w14:paraId="525954A2">
      <w:pPr>
        <w:pStyle w:val="12"/>
        <w:keepNext w:val="0"/>
        <w:keepLines w:val="0"/>
        <w:pageBreakBefore w:val="0"/>
        <w:widowControl w:val="0"/>
        <w:kinsoku/>
        <w:wordWrap/>
        <w:overflowPunct/>
        <w:topLinePunct w:val="0"/>
        <w:autoSpaceDE/>
        <w:autoSpaceDN/>
        <w:bidi w:val="0"/>
        <w:adjustRightInd w:val="0"/>
        <w:snapToGrid w:val="0"/>
        <w:jc w:val="center"/>
        <w:textAlignment w:val="baseline"/>
        <w:rPr>
          <w:rFonts w:hint="default"/>
          <w:color w:val="auto"/>
          <w:highlight w:val="none"/>
          <w:lang w:val="en-US"/>
        </w:rPr>
      </w:pPr>
      <w:r>
        <w:rPr>
          <w:rFonts w:hint="eastAsia" w:ascii="宋体" w:hAnsi="宋体" w:cs="宋体"/>
          <w:b/>
          <w:bCs/>
          <w:color w:val="auto"/>
          <w:kern w:val="0"/>
          <w:sz w:val="24"/>
          <w:szCs w:val="24"/>
          <w:highlight w:val="none"/>
          <w:lang w:val="en-US" w:eastAsia="zh-CN" w:bidi="zh-CN"/>
        </w:rPr>
        <w:t>评分明细表</w:t>
      </w:r>
    </w:p>
    <w:tbl>
      <w:tblPr>
        <w:tblStyle w:val="44"/>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2"/>
        <w:gridCol w:w="8290"/>
        <w:gridCol w:w="880"/>
      </w:tblGrid>
      <w:tr w14:paraId="496D8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0CDE9C26">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w:t>
            </w:r>
          </w:p>
          <w:p w14:paraId="773FA903">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因素</w:t>
            </w: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662785A3">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内     容</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4A8D3EE">
            <w:pPr>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分值</w:t>
            </w:r>
          </w:p>
        </w:tc>
      </w:tr>
      <w:tr w14:paraId="48E2C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C2E3159">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w:t>
            </w:r>
          </w:p>
          <w:p w14:paraId="599501F6">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w:t>
            </w: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12CFA4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根据投标</w:t>
            </w:r>
            <w:r>
              <w:rPr>
                <w:rFonts w:hint="eastAsia" w:ascii="宋体" w:hAnsi="宋体" w:eastAsia="宋体" w:cs="宋体"/>
                <w:b w:val="0"/>
                <w:bCs/>
                <w:color w:val="auto"/>
                <w:spacing w:val="-2"/>
                <w:kern w:val="0"/>
                <w:sz w:val="24"/>
                <w:szCs w:val="24"/>
                <w:highlight w:val="none"/>
                <w:lang w:val="en-US" w:eastAsia="zh-CN"/>
              </w:rPr>
              <w:t>报</w:t>
            </w:r>
            <w:r>
              <w:rPr>
                <w:rFonts w:hint="eastAsia" w:ascii="宋体" w:hAnsi="宋体" w:eastAsia="宋体" w:cs="宋体"/>
                <w:b w:val="0"/>
                <w:bCs/>
                <w:color w:val="auto"/>
                <w:spacing w:val="-2"/>
                <w:kern w:val="0"/>
                <w:sz w:val="24"/>
                <w:szCs w:val="24"/>
                <w:highlight w:val="none"/>
              </w:rPr>
              <w:t>价评分[满足招标文件要求且投标价格最低的投标报价为评标基准价，投标报价得分=（评标基准价／投标报价）×30，计算分数时四舍五入取小数点后两位]</w:t>
            </w:r>
          </w:p>
          <w:p w14:paraId="1A1177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注：符合采购优惠政策的按政策执行。</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3D816A4">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30</w:t>
            </w:r>
            <w:r>
              <w:rPr>
                <w:rFonts w:hint="eastAsia" w:ascii="宋体" w:hAnsi="宋体" w:cs="宋体"/>
                <w:b w:val="0"/>
                <w:bCs/>
                <w:color w:val="auto"/>
                <w:sz w:val="24"/>
                <w:szCs w:val="24"/>
                <w:highlight w:val="none"/>
                <w:lang w:val="en-US" w:eastAsia="zh-CN"/>
              </w:rPr>
              <w:t>分</w:t>
            </w:r>
          </w:p>
        </w:tc>
      </w:tr>
      <w:tr w14:paraId="2C3AA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1637960D">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w:t>
            </w:r>
          </w:p>
          <w:p w14:paraId="21092881">
            <w:pPr>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响应</w:t>
            </w: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76209061">
            <w:pPr>
              <w:spacing w:line="360" w:lineRule="auto"/>
              <w:jc w:val="left"/>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投标文件对</w:t>
            </w:r>
            <w:r>
              <w:rPr>
                <w:rFonts w:hint="eastAsia" w:ascii="宋体" w:hAnsi="宋体" w:cs="宋体"/>
                <w:b w:val="0"/>
                <w:bCs/>
                <w:color w:val="auto"/>
                <w:spacing w:val="-2"/>
                <w:kern w:val="0"/>
                <w:sz w:val="24"/>
                <w:szCs w:val="24"/>
                <w:highlight w:val="none"/>
                <w:lang w:val="en-US" w:eastAsia="zh-CN"/>
              </w:rPr>
              <w:t>交付</w:t>
            </w:r>
            <w:r>
              <w:rPr>
                <w:rFonts w:hint="eastAsia" w:ascii="宋体" w:hAnsi="宋体" w:eastAsia="宋体" w:cs="宋体"/>
                <w:b w:val="0"/>
                <w:bCs/>
                <w:color w:val="auto"/>
                <w:spacing w:val="-2"/>
                <w:kern w:val="0"/>
                <w:sz w:val="24"/>
                <w:szCs w:val="24"/>
                <w:highlight w:val="none"/>
              </w:rPr>
              <w:t>期、质保期、付款方式、验收等商务要求进行响应，完全响应要求并逐条说明的计</w:t>
            </w:r>
            <w:r>
              <w:rPr>
                <w:rFonts w:hint="eastAsia" w:ascii="宋体" w:hAnsi="宋体" w:cs="宋体"/>
                <w:b w:val="0"/>
                <w:bCs/>
                <w:color w:val="auto"/>
                <w:spacing w:val="-2"/>
                <w:kern w:val="0"/>
                <w:sz w:val="24"/>
                <w:szCs w:val="24"/>
                <w:highlight w:val="none"/>
                <w:lang w:val="en-US" w:eastAsia="zh-CN"/>
              </w:rPr>
              <w:t>3</w:t>
            </w:r>
            <w:r>
              <w:rPr>
                <w:rFonts w:hint="eastAsia" w:ascii="宋体" w:hAnsi="宋体" w:eastAsia="宋体" w:cs="宋体"/>
                <w:b w:val="0"/>
                <w:bCs/>
                <w:color w:val="auto"/>
                <w:spacing w:val="-2"/>
                <w:kern w:val="0"/>
                <w:sz w:val="24"/>
                <w:szCs w:val="24"/>
                <w:highlight w:val="none"/>
              </w:rPr>
              <w:t>分，未做详细响应的，按响应程度计</w:t>
            </w:r>
            <w:r>
              <w:rPr>
                <w:rFonts w:hint="eastAsia" w:ascii="宋体" w:hAnsi="宋体" w:cs="宋体"/>
                <w:b w:val="0"/>
                <w:bCs/>
                <w:color w:val="auto"/>
                <w:spacing w:val="-2"/>
                <w:kern w:val="0"/>
                <w:sz w:val="24"/>
                <w:szCs w:val="24"/>
                <w:highlight w:val="none"/>
                <w:lang w:val="en-US" w:eastAsia="zh-CN"/>
              </w:rPr>
              <w:t>0.1</w:t>
            </w:r>
            <w:r>
              <w:rPr>
                <w:rFonts w:hint="eastAsia" w:ascii="宋体" w:hAnsi="宋体" w:eastAsia="宋体" w:cs="宋体"/>
                <w:b w:val="0"/>
                <w:bCs/>
                <w:color w:val="auto"/>
                <w:spacing w:val="-2"/>
                <w:kern w:val="0"/>
                <w:sz w:val="24"/>
                <w:szCs w:val="24"/>
                <w:highlight w:val="none"/>
              </w:rPr>
              <w:t>～</w:t>
            </w:r>
            <w:r>
              <w:rPr>
                <w:rFonts w:hint="eastAsia" w:ascii="宋体" w:hAnsi="宋体" w:cs="宋体"/>
                <w:b w:val="0"/>
                <w:bCs/>
                <w:color w:val="auto"/>
                <w:spacing w:val="-2"/>
                <w:kern w:val="0"/>
                <w:sz w:val="24"/>
                <w:szCs w:val="24"/>
                <w:highlight w:val="none"/>
                <w:lang w:val="en-US" w:eastAsia="zh-CN"/>
              </w:rPr>
              <w:t>2.0</w:t>
            </w:r>
            <w:r>
              <w:rPr>
                <w:rFonts w:hint="eastAsia" w:ascii="宋体" w:hAnsi="宋体" w:eastAsia="宋体" w:cs="宋体"/>
                <w:b w:val="0"/>
                <w:bCs/>
                <w:color w:val="auto"/>
                <w:spacing w:val="-2"/>
                <w:kern w:val="0"/>
                <w:sz w:val="24"/>
                <w:szCs w:val="24"/>
                <w:highlight w:val="none"/>
              </w:rPr>
              <w:t>分，未响应不得分。</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9F7DB8D">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pacing w:val="6"/>
                <w:sz w:val="24"/>
                <w:szCs w:val="24"/>
                <w:highlight w:val="none"/>
                <w:lang w:val="en-US" w:eastAsia="zh-CN"/>
              </w:rPr>
              <w:t>3分</w:t>
            </w:r>
          </w:p>
        </w:tc>
      </w:tr>
      <w:tr w14:paraId="2C9CB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jc w:val="center"/>
        </w:trPr>
        <w:tc>
          <w:tcPr>
            <w:tcW w:w="1232" w:type="dxa"/>
            <w:vMerge w:val="restart"/>
            <w:tcBorders>
              <w:top w:val="single" w:color="auto" w:sz="4" w:space="0"/>
              <w:left w:val="single" w:color="auto" w:sz="4" w:space="0"/>
              <w:right w:val="single" w:color="auto" w:sz="4" w:space="0"/>
            </w:tcBorders>
            <w:shd w:val="clear" w:color="auto" w:fill="auto"/>
            <w:vAlign w:val="center"/>
          </w:tcPr>
          <w:p w14:paraId="5E07999E">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w:t>
            </w:r>
          </w:p>
          <w:p w14:paraId="42128F7E">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指标</w:t>
            </w: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334DC1A3">
            <w:pPr>
              <w:shd w:val="clear"/>
              <w:spacing w:line="360" w:lineRule="auto"/>
              <w:ind w:left="-94" w:leftChars="-45" w:firstLine="120" w:firstLineChars="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技术参数</w:t>
            </w:r>
          </w:p>
          <w:p w14:paraId="136F2410">
            <w:pPr>
              <w:numPr>
                <w:ilvl w:val="0"/>
                <w:numId w:val="0"/>
              </w:numPr>
              <w:shd w:val="clear"/>
              <w:spacing w:line="360" w:lineRule="auto"/>
              <w:ind w:left="-94" w:leftChars="-45"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技术参数完全响应或优于招标技术参数要求</w:t>
            </w:r>
            <w:r>
              <w:rPr>
                <w:rFonts w:hint="eastAsia" w:ascii="宋体" w:hAnsi="宋体" w:cs="宋体"/>
                <w:b w:val="0"/>
                <w:bCs/>
                <w:color w:val="auto"/>
                <w:sz w:val="24"/>
                <w:szCs w:val="24"/>
                <w:highlight w:val="none"/>
                <w:lang w:val="en-US" w:eastAsia="zh-CN"/>
              </w:rPr>
              <w:t>（含</w:t>
            </w:r>
            <w:r>
              <w:rPr>
                <w:rFonts w:ascii="Segoe UI" w:hAnsi="Segoe UI" w:eastAsia="Segoe UI" w:cs="Segoe UI"/>
                <w:i w:val="0"/>
                <w:iCs w:val="0"/>
                <w:caps w:val="0"/>
                <w:spacing w:val="0"/>
                <w:sz w:val="24"/>
                <w:szCs w:val="24"/>
                <w:shd w:val="clear" w:fill="FFFFFF"/>
              </w:rPr>
              <w:t>系统功能、数据对接、数据治理、二次开发能力</w:t>
            </w:r>
            <w:r>
              <w:rPr>
                <w:rFonts w:hint="eastAsia" w:ascii="Segoe UI" w:hAnsi="Segoe UI" w:eastAsia="宋体" w:cs="Segoe UI"/>
                <w:i w:val="0"/>
                <w:iCs w:val="0"/>
                <w:caps w:val="0"/>
                <w:spacing w:val="0"/>
                <w:sz w:val="24"/>
                <w:szCs w:val="24"/>
                <w:shd w:val="clear" w:fill="FFFFFF"/>
                <w:lang w:val="en-US" w:eastAsia="zh-CN"/>
              </w:rPr>
              <w:t>等</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，技术资料齐全得计20分；</w:t>
            </w:r>
            <w:r>
              <w:rPr>
                <w:rFonts w:hint="eastAsia" w:ascii="宋体" w:hAnsi="宋体" w:eastAsia="宋体" w:cs="宋体"/>
                <w:color w:val="auto"/>
                <w:sz w:val="24"/>
                <w:szCs w:val="24"/>
                <w:highlight w:val="none"/>
              </w:rPr>
              <w:t>其中加“</w:t>
            </w:r>
            <w:r>
              <w:rPr>
                <w:rFonts w:hint="eastAsia" w:eastAsia="宋体" w:cs="宋体"/>
                <w:color w:val="auto"/>
                <w:sz w:val="21"/>
                <w:szCs w:val="21"/>
              </w:rPr>
              <w:t>★</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一项不满足扣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w:t>
            </w:r>
            <w:r>
              <w:rPr>
                <w:rFonts w:hint="eastAsia" w:eastAsia="宋体" w:cs="宋体"/>
                <w:color w:val="auto"/>
                <w:sz w:val="21"/>
                <w:szCs w:val="21"/>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项技术参数，一项不满足扣1分，扣完为止。</w:t>
            </w:r>
          </w:p>
          <w:p w14:paraId="7826AA11">
            <w:pPr>
              <w:numPr>
                <w:ilvl w:val="0"/>
                <w:numId w:val="0"/>
              </w:numPr>
              <w:shd w:val="clear"/>
              <w:spacing w:line="360" w:lineRule="auto"/>
              <w:ind w:leftChars="5"/>
              <w:rPr>
                <w:rFonts w:hint="eastAsia" w:ascii="宋体" w:hAnsi="宋体" w:eastAsia="宋体" w:cs="宋体"/>
                <w:b w:val="0"/>
                <w:bCs/>
                <w:color w:val="0000FF"/>
                <w:spacing w:val="4"/>
                <w:sz w:val="24"/>
                <w:szCs w:val="24"/>
                <w:lang w:val="en-US" w:eastAsia="zh-CN"/>
              </w:rPr>
            </w:pPr>
            <w:r>
              <w:rPr>
                <w:rFonts w:hint="eastAsia" w:ascii="宋体" w:hAnsi="宋体" w:eastAsia="宋体" w:cs="宋体"/>
                <w:b w:val="0"/>
                <w:bCs/>
                <w:color w:val="auto"/>
                <w:sz w:val="24"/>
                <w:szCs w:val="24"/>
                <w:highlight w:val="none"/>
                <w:lang w:val="en-US" w:eastAsia="zh-CN"/>
              </w:rPr>
              <w:t>提供证明材料（包括但不限于</w:t>
            </w:r>
            <w:r>
              <w:rPr>
                <w:rFonts w:hint="eastAsia" w:ascii="宋体" w:hAnsi="宋体" w:cs="宋体"/>
                <w:b w:val="0"/>
                <w:bCs/>
                <w:color w:val="auto"/>
                <w:sz w:val="24"/>
                <w:szCs w:val="24"/>
                <w:highlight w:val="none"/>
                <w:lang w:val="en-US" w:eastAsia="zh-CN"/>
              </w:rPr>
              <w:t>检验</w:t>
            </w:r>
            <w:r>
              <w:rPr>
                <w:rFonts w:hint="eastAsia" w:ascii="宋体" w:hAnsi="宋体" w:eastAsia="宋体" w:cs="宋体"/>
                <w:b w:val="0"/>
                <w:bCs/>
                <w:color w:val="auto"/>
                <w:sz w:val="24"/>
                <w:szCs w:val="24"/>
                <w:highlight w:val="none"/>
                <w:lang w:val="en-US" w:eastAsia="zh-CN"/>
              </w:rPr>
              <w:t>检测报告，技术说明资料，照片，官网或功能截图（如有）等证明材料）</w:t>
            </w:r>
            <w:r>
              <w:rPr>
                <w:rFonts w:hint="eastAsia" w:ascii="宋体" w:hAnsi="宋体" w:cs="宋体"/>
                <w:b w:val="0"/>
                <w:bCs/>
                <w:color w:val="auto"/>
                <w:sz w:val="24"/>
                <w:szCs w:val="24"/>
                <w:highlight w:val="none"/>
                <w:lang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0DDCB62">
            <w:pPr>
              <w:spacing w:line="360" w:lineRule="auto"/>
              <w:jc w:val="center"/>
              <w:rPr>
                <w:rFonts w:hint="default"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val="en-US" w:eastAsia="zh-CN"/>
              </w:rPr>
              <w:t>20</w:t>
            </w:r>
            <w:r>
              <w:rPr>
                <w:rFonts w:hint="eastAsia" w:ascii="宋体" w:hAnsi="宋体" w:cs="宋体"/>
                <w:b w:val="0"/>
                <w:bCs/>
                <w:color w:val="auto"/>
                <w:spacing w:val="6"/>
                <w:sz w:val="24"/>
                <w:szCs w:val="24"/>
                <w:highlight w:val="none"/>
                <w:lang w:val="en-US" w:eastAsia="zh-CN"/>
              </w:rPr>
              <w:t>分</w:t>
            </w:r>
          </w:p>
        </w:tc>
      </w:tr>
      <w:tr w14:paraId="7745F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4" w:hRule="atLeast"/>
          <w:jc w:val="center"/>
        </w:trPr>
        <w:tc>
          <w:tcPr>
            <w:tcW w:w="1232" w:type="dxa"/>
            <w:vMerge w:val="continue"/>
            <w:tcBorders>
              <w:left w:val="single" w:color="auto" w:sz="4" w:space="0"/>
              <w:bottom w:val="single" w:color="auto" w:sz="4" w:space="0"/>
              <w:right w:val="single" w:color="auto" w:sz="4" w:space="0"/>
            </w:tcBorders>
            <w:shd w:val="clear" w:color="auto" w:fill="auto"/>
            <w:vAlign w:val="center"/>
          </w:tcPr>
          <w:p w14:paraId="0B1744FB">
            <w:pPr>
              <w:spacing w:line="360" w:lineRule="auto"/>
              <w:jc w:val="center"/>
              <w:rPr>
                <w:rFonts w:hint="eastAsia" w:ascii="宋体" w:hAnsi="宋体" w:eastAsia="宋体" w:cs="宋体"/>
                <w:b w:val="0"/>
                <w:bCs/>
                <w:color w:val="auto"/>
                <w:sz w:val="24"/>
                <w:szCs w:val="24"/>
                <w:highlight w:val="none"/>
                <w:lang w:val="en-US" w:eastAsia="zh-CN"/>
              </w:rPr>
            </w:pP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0757C444">
            <w:pPr>
              <w:pStyle w:val="94"/>
              <w:spacing w:before="65" w:line="425" w:lineRule="exact"/>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系统功能设计</w:t>
            </w:r>
            <w:r>
              <w:rPr>
                <w:rFonts w:hint="eastAsia" w:ascii="宋体" w:hAnsi="宋体" w:cs="宋体"/>
                <w:b w:val="0"/>
                <w:bCs/>
                <w:snapToGrid w:val="0"/>
                <w:color w:val="auto"/>
                <w:kern w:val="0"/>
                <w:sz w:val="24"/>
                <w:szCs w:val="24"/>
                <w:highlight w:val="none"/>
                <w:lang w:val="en-US" w:eastAsia="zh-CN" w:bidi="ar-SA"/>
              </w:rPr>
              <w:t>与兼容</w:t>
            </w:r>
            <w:r>
              <w:rPr>
                <w:rFonts w:hint="eastAsia" w:ascii="宋体" w:hAnsi="宋体" w:eastAsia="宋体" w:cs="宋体"/>
                <w:b w:val="0"/>
                <w:bCs/>
                <w:snapToGrid w:val="0"/>
                <w:color w:val="auto"/>
                <w:kern w:val="0"/>
                <w:sz w:val="24"/>
                <w:szCs w:val="24"/>
                <w:highlight w:val="none"/>
                <w:lang w:val="en-US" w:eastAsia="zh-CN" w:bidi="ar-SA"/>
              </w:rPr>
              <w:t xml:space="preserve"> </w:t>
            </w:r>
          </w:p>
          <w:p w14:paraId="400DA5B3">
            <w:pPr>
              <w:pStyle w:val="94"/>
              <w:spacing w:before="65" w:line="425" w:lineRule="exact"/>
              <w:rPr>
                <w:rFonts w:hint="eastAsia" w:ascii="Segoe UI" w:hAnsi="Segoe UI" w:eastAsia="Segoe UI" w:cs="Segoe UI"/>
                <w:i w:val="0"/>
                <w:iCs w:val="0"/>
                <w:caps w:val="0"/>
                <w:spacing w:val="0"/>
                <w:sz w:val="24"/>
                <w:szCs w:val="24"/>
                <w:shd w:val="clear" w:fill="FFFFFF"/>
                <w:lang w:val="en-US" w:eastAsia="zh-CN"/>
              </w:rPr>
            </w:pPr>
            <w:r>
              <w:rPr>
                <w:rFonts w:hint="eastAsia" w:ascii="宋体" w:hAnsi="宋体" w:eastAsia="宋体" w:cs="宋体"/>
                <w:b w:val="0"/>
                <w:bCs/>
                <w:color w:val="auto"/>
                <w:spacing w:val="6"/>
                <w:sz w:val="24"/>
                <w:szCs w:val="24"/>
              </w:rPr>
              <w:t>系统架构合理、功能覆盖全流程管理，且与医院现有系统（会计核算、预算管理、合同管理、成本管理、人力资源管理、物资、设备、绩效等）无缝对接，支持移动端一体化应用的计</w:t>
            </w:r>
            <w:r>
              <w:rPr>
                <w:rFonts w:hint="eastAsia" w:ascii="宋体" w:hAnsi="宋体" w:eastAsia="宋体" w:cs="宋体"/>
                <w:b w:val="0"/>
                <w:bCs/>
                <w:color w:val="auto"/>
                <w:spacing w:val="6"/>
                <w:sz w:val="24"/>
                <w:szCs w:val="24"/>
                <w:lang w:val="en-US" w:eastAsia="zh-CN"/>
              </w:rPr>
              <w:t>3.1</w:t>
            </w:r>
            <w:r>
              <w:rPr>
                <w:rFonts w:hint="eastAsia" w:ascii="宋体" w:hAnsi="宋体" w:eastAsia="宋体" w:cs="宋体"/>
                <w:b w:val="0"/>
                <w:bCs/>
                <w:color w:val="auto"/>
                <w:spacing w:val="6"/>
                <w:sz w:val="24"/>
                <w:szCs w:val="24"/>
              </w:rPr>
              <w:t>～</w:t>
            </w:r>
            <w:r>
              <w:rPr>
                <w:rFonts w:hint="eastAsia" w:ascii="宋体" w:hAnsi="宋体" w:eastAsia="宋体" w:cs="宋体"/>
                <w:b w:val="0"/>
                <w:bCs/>
                <w:color w:val="auto"/>
                <w:spacing w:val="6"/>
                <w:sz w:val="24"/>
                <w:szCs w:val="24"/>
                <w:lang w:val="en-US" w:eastAsia="zh-CN"/>
              </w:rPr>
              <w:t>5.0</w:t>
            </w:r>
            <w:r>
              <w:rPr>
                <w:rFonts w:hint="eastAsia" w:ascii="宋体" w:hAnsi="宋体" w:eastAsia="宋体" w:cs="宋体"/>
                <w:b w:val="0"/>
                <w:bCs/>
                <w:color w:val="auto"/>
                <w:spacing w:val="6"/>
                <w:sz w:val="24"/>
                <w:szCs w:val="24"/>
              </w:rPr>
              <w:t>分；功能基本满足</w:t>
            </w:r>
            <w:r>
              <w:rPr>
                <w:rFonts w:hint="eastAsia" w:ascii="宋体" w:hAnsi="宋体" w:eastAsia="宋体" w:cs="宋体"/>
                <w:b w:val="0"/>
                <w:bCs/>
                <w:color w:val="auto"/>
                <w:spacing w:val="6"/>
                <w:sz w:val="24"/>
                <w:szCs w:val="24"/>
                <w:lang w:val="en-US" w:eastAsia="zh-CN"/>
              </w:rPr>
              <w:t>单</w:t>
            </w:r>
            <w:r>
              <w:rPr>
                <w:rFonts w:hint="eastAsia" w:ascii="宋体" w:hAnsi="宋体" w:eastAsia="宋体" w:cs="宋体"/>
                <w:b w:val="0"/>
                <w:bCs/>
                <w:color w:val="auto"/>
                <w:spacing w:val="6"/>
                <w:sz w:val="24"/>
                <w:szCs w:val="24"/>
              </w:rPr>
              <w:t>对接存在障碍的计</w:t>
            </w:r>
            <w:r>
              <w:rPr>
                <w:rFonts w:hint="eastAsia" w:ascii="宋体" w:hAnsi="宋体" w:eastAsia="宋体" w:cs="宋体"/>
                <w:b w:val="0"/>
                <w:bCs/>
                <w:color w:val="auto"/>
                <w:spacing w:val="6"/>
                <w:sz w:val="24"/>
                <w:szCs w:val="24"/>
                <w:lang w:val="en-US" w:eastAsia="zh-CN"/>
              </w:rPr>
              <w:t>0.1</w:t>
            </w:r>
            <w:r>
              <w:rPr>
                <w:rFonts w:hint="eastAsia" w:ascii="宋体" w:hAnsi="宋体" w:eastAsia="宋体" w:cs="宋体"/>
                <w:b w:val="0"/>
                <w:bCs/>
                <w:color w:val="auto"/>
                <w:spacing w:val="6"/>
                <w:sz w:val="24"/>
                <w:szCs w:val="24"/>
              </w:rPr>
              <w:t>～</w:t>
            </w:r>
            <w:r>
              <w:rPr>
                <w:rFonts w:hint="eastAsia" w:ascii="宋体" w:hAnsi="宋体" w:eastAsia="宋体" w:cs="宋体"/>
                <w:b w:val="0"/>
                <w:bCs/>
                <w:color w:val="auto"/>
                <w:spacing w:val="6"/>
                <w:sz w:val="24"/>
                <w:szCs w:val="24"/>
                <w:lang w:val="en-US" w:eastAsia="zh-CN"/>
              </w:rPr>
              <w:t>3.0</w:t>
            </w:r>
            <w:r>
              <w:rPr>
                <w:rFonts w:hint="eastAsia" w:ascii="宋体" w:hAnsi="宋体" w:eastAsia="宋体" w:cs="宋体"/>
                <w:b w:val="0"/>
                <w:bCs/>
                <w:color w:val="auto"/>
                <w:spacing w:val="6"/>
                <w:sz w:val="24"/>
                <w:szCs w:val="24"/>
              </w:rPr>
              <w:t>分；未提供有效方案的不得分。</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F92505D">
            <w:pPr>
              <w:spacing w:line="360" w:lineRule="auto"/>
              <w:jc w:val="center"/>
              <w:rPr>
                <w:rFonts w:hint="default" w:ascii="宋体" w:hAnsi="宋体" w:eastAsia="宋体" w:cs="宋体"/>
                <w:b w:val="0"/>
                <w:bCs/>
                <w:color w:val="auto"/>
                <w:spacing w:val="6"/>
                <w:sz w:val="24"/>
                <w:szCs w:val="24"/>
                <w:highlight w:val="none"/>
                <w:lang w:val="en-US" w:eastAsia="zh-CN"/>
              </w:rPr>
            </w:pPr>
            <w:r>
              <w:rPr>
                <w:rFonts w:hint="eastAsia" w:ascii="宋体" w:hAnsi="宋体" w:cs="宋体"/>
                <w:b w:val="0"/>
                <w:bCs/>
                <w:color w:val="auto"/>
                <w:spacing w:val="6"/>
                <w:sz w:val="24"/>
                <w:szCs w:val="24"/>
                <w:highlight w:val="none"/>
                <w:lang w:val="en-US" w:eastAsia="zh-CN"/>
              </w:rPr>
              <w:t>5分</w:t>
            </w:r>
          </w:p>
        </w:tc>
      </w:tr>
      <w:tr w14:paraId="4B2AA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jc w:val="center"/>
        </w:trPr>
        <w:tc>
          <w:tcPr>
            <w:tcW w:w="1232" w:type="dxa"/>
            <w:vMerge w:val="continue"/>
            <w:tcBorders>
              <w:left w:val="single" w:color="auto" w:sz="4" w:space="0"/>
              <w:bottom w:val="single" w:color="auto" w:sz="4" w:space="0"/>
              <w:right w:val="single" w:color="auto" w:sz="4" w:space="0"/>
            </w:tcBorders>
            <w:shd w:val="clear" w:color="auto" w:fill="auto"/>
            <w:vAlign w:val="center"/>
          </w:tcPr>
          <w:p w14:paraId="6CF6119D">
            <w:pPr>
              <w:spacing w:line="360" w:lineRule="auto"/>
              <w:jc w:val="center"/>
              <w:rPr>
                <w:rFonts w:hint="eastAsia" w:ascii="宋体" w:hAnsi="宋体" w:eastAsia="宋体" w:cs="宋体"/>
                <w:b w:val="0"/>
                <w:bCs/>
                <w:color w:val="auto"/>
                <w:sz w:val="24"/>
                <w:szCs w:val="24"/>
                <w:highlight w:val="none"/>
                <w:lang w:val="en-US" w:eastAsia="zh-CN"/>
              </w:rPr>
            </w:pP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520E205B">
            <w:pPr>
              <w:pStyle w:val="94"/>
              <w:spacing w:before="65" w:line="425" w:lineRule="exact"/>
              <w:rPr>
                <w:rFonts w:ascii="Segoe UI" w:hAnsi="Segoe UI" w:eastAsia="Segoe UI" w:cs="Segoe UI"/>
                <w:i w:val="0"/>
                <w:iCs w:val="0"/>
                <w:caps w:val="0"/>
                <w:spacing w:val="0"/>
                <w:sz w:val="24"/>
                <w:szCs w:val="24"/>
                <w:shd w:val="clear" w:fill="FFFFFF"/>
              </w:rPr>
            </w:pPr>
            <w:r>
              <w:rPr>
                <w:rFonts w:ascii="Segoe UI" w:hAnsi="Segoe UI" w:eastAsia="Segoe UI" w:cs="Segoe UI"/>
                <w:i w:val="0"/>
                <w:iCs w:val="0"/>
                <w:caps w:val="0"/>
                <w:spacing w:val="0"/>
                <w:sz w:val="24"/>
                <w:szCs w:val="24"/>
                <w:shd w:val="clear" w:fill="FFFFFF"/>
              </w:rPr>
              <w:t>数据治理能力</w:t>
            </w:r>
          </w:p>
          <w:p w14:paraId="0B677434">
            <w:pPr>
              <w:pStyle w:val="94"/>
              <w:spacing w:before="65" w:line="425" w:lineRule="exact"/>
              <w:rPr>
                <w:rFonts w:ascii="Segoe UI" w:hAnsi="Segoe UI" w:eastAsia="Segoe UI" w:cs="Segoe UI"/>
                <w:i w:val="0"/>
                <w:iCs w:val="0"/>
                <w:caps w:val="0"/>
                <w:spacing w:val="0"/>
                <w:sz w:val="24"/>
                <w:szCs w:val="24"/>
                <w:shd w:val="clear" w:fill="FFFFFF"/>
              </w:rPr>
            </w:pPr>
            <w:r>
              <w:rPr>
                <w:rFonts w:hint="eastAsia" w:ascii="宋体" w:hAnsi="宋体" w:eastAsia="宋体" w:cs="宋体"/>
                <w:b w:val="0"/>
                <w:bCs/>
                <w:color w:val="auto"/>
                <w:spacing w:val="6"/>
                <w:sz w:val="24"/>
                <w:szCs w:val="24"/>
              </w:rPr>
              <w:t>提供完善的资产清查与盘点、审计报告编制、信息录入及上传申报方案，支持与财政资产系统数据交互</w:t>
            </w:r>
            <w:r>
              <w:rPr>
                <w:rFonts w:hint="eastAsia" w:ascii="宋体" w:hAnsi="宋体" w:eastAsia="宋体" w:cs="宋体"/>
                <w:b w:val="0"/>
                <w:bCs/>
                <w:color w:val="auto"/>
                <w:spacing w:val="6"/>
                <w:sz w:val="24"/>
                <w:szCs w:val="24"/>
                <w:lang w:eastAsia="zh-CN"/>
              </w:rPr>
              <w:t>，</w:t>
            </w:r>
            <w:r>
              <w:rPr>
                <w:rFonts w:hint="eastAsia" w:ascii="宋体" w:hAnsi="宋体" w:eastAsia="宋体" w:cs="宋体"/>
                <w:b w:val="0"/>
                <w:bCs/>
                <w:color w:val="auto"/>
                <w:spacing w:val="6"/>
                <w:sz w:val="24"/>
                <w:szCs w:val="24"/>
              </w:rPr>
              <w:t>的计</w:t>
            </w:r>
            <w:r>
              <w:rPr>
                <w:rFonts w:hint="eastAsia" w:ascii="宋体" w:hAnsi="宋体" w:eastAsia="宋体" w:cs="宋体"/>
                <w:b w:val="0"/>
                <w:bCs/>
                <w:color w:val="auto"/>
                <w:spacing w:val="6"/>
                <w:sz w:val="24"/>
                <w:szCs w:val="24"/>
                <w:lang w:val="en-US" w:eastAsia="zh-CN"/>
              </w:rPr>
              <w:t>3.1</w:t>
            </w:r>
            <w:r>
              <w:rPr>
                <w:rFonts w:hint="eastAsia" w:ascii="宋体" w:hAnsi="宋体" w:eastAsia="宋体" w:cs="宋体"/>
                <w:b w:val="0"/>
                <w:bCs/>
                <w:color w:val="auto"/>
                <w:spacing w:val="6"/>
                <w:sz w:val="24"/>
                <w:szCs w:val="24"/>
              </w:rPr>
              <w:t>～</w:t>
            </w:r>
            <w:r>
              <w:rPr>
                <w:rFonts w:hint="eastAsia" w:ascii="宋体" w:hAnsi="宋体" w:eastAsia="宋体" w:cs="宋体"/>
                <w:b w:val="0"/>
                <w:bCs/>
                <w:color w:val="auto"/>
                <w:spacing w:val="6"/>
                <w:sz w:val="24"/>
                <w:szCs w:val="24"/>
                <w:lang w:val="en-US" w:eastAsia="zh-CN"/>
              </w:rPr>
              <w:t>5.0</w:t>
            </w:r>
            <w:r>
              <w:rPr>
                <w:rFonts w:hint="eastAsia" w:ascii="宋体" w:hAnsi="宋体" w:eastAsia="宋体" w:cs="宋体"/>
                <w:b w:val="0"/>
                <w:bCs/>
                <w:color w:val="auto"/>
                <w:spacing w:val="6"/>
                <w:sz w:val="24"/>
                <w:szCs w:val="24"/>
              </w:rPr>
              <w:t>分；方案基本可行但缺乏细节的计</w:t>
            </w:r>
            <w:r>
              <w:rPr>
                <w:rFonts w:hint="eastAsia" w:ascii="宋体" w:hAnsi="宋体" w:eastAsia="宋体" w:cs="宋体"/>
                <w:b w:val="0"/>
                <w:bCs/>
                <w:color w:val="auto"/>
                <w:spacing w:val="6"/>
                <w:sz w:val="24"/>
                <w:szCs w:val="24"/>
                <w:lang w:val="en-US" w:eastAsia="zh-CN"/>
              </w:rPr>
              <w:t>0.1</w:t>
            </w:r>
            <w:r>
              <w:rPr>
                <w:rFonts w:hint="eastAsia" w:ascii="宋体" w:hAnsi="宋体" w:eastAsia="宋体" w:cs="宋体"/>
                <w:b w:val="0"/>
                <w:bCs/>
                <w:color w:val="auto"/>
                <w:spacing w:val="6"/>
                <w:sz w:val="24"/>
                <w:szCs w:val="24"/>
              </w:rPr>
              <w:t>～</w:t>
            </w:r>
            <w:r>
              <w:rPr>
                <w:rFonts w:hint="eastAsia" w:ascii="宋体" w:hAnsi="宋体" w:eastAsia="宋体" w:cs="宋体"/>
                <w:b w:val="0"/>
                <w:bCs/>
                <w:color w:val="auto"/>
                <w:spacing w:val="6"/>
                <w:sz w:val="24"/>
                <w:szCs w:val="24"/>
                <w:lang w:val="en-US" w:eastAsia="zh-CN"/>
              </w:rPr>
              <w:t>3.0</w:t>
            </w:r>
            <w:r>
              <w:rPr>
                <w:rFonts w:hint="eastAsia" w:ascii="宋体" w:hAnsi="宋体" w:eastAsia="宋体" w:cs="宋体"/>
                <w:b w:val="0"/>
                <w:bCs/>
                <w:color w:val="auto"/>
                <w:spacing w:val="6"/>
                <w:sz w:val="24"/>
                <w:szCs w:val="24"/>
              </w:rPr>
              <w:t>分；未提供有效方案的不得分。</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0510CEA">
            <w:pPr>
              <w:spacing w:line="360" w:lineRule="auto"/>
              <w:jc w:val="center"/>
              <w:rPr>
                <w:rFonts w:hint="default" w:ascii="宋体" w:hAnsi="宋体" w:eastAsia="宋体" w:cs="宋体"/>
                <w:b w:val="0"/>
                <w:bCs/>
                <w:color w:val="auto"/>
                <w:spacing w:val="6"/>
                <w:sz w:val="24"/>
                <w:szCs w:val="24"/>
                <w:highlight w:val="none"/>
                <w:lang w:val="en-US" w:eastAsia="zh-CN"/>
              </w:rPr>
            </w:pPr>
            <w:r>
              <w:rPr>
                <w:rFonts w:hint="eastAsia" w:ascii="宋体" w:hAnsi="宋体" w:cs="宋体"/>
                <w:b w:val="0"/>
                <w:bCs/>
                <w:color w:val="auto"/>
                <w:spacing w:val="6"/>
                <w:sz w:val="24"/>
                <w:szCs w:val="24"/>
                <w:highlight w:val="none"/>
                <w:lang w:val="en-US" w:eastAsia="zh-CN"/>
              </w:rPr>
              <w:t>5分</w:t>
            </w:r>
          </w:p>
        </w:tc>
      </w:tr>
      <w:tr w14:paraId="14182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7B025E33">
            <w:pPr>
              <w:kinsoku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实施方案</w:t>
            </w:r>
          </w:p>
          <w:p w14:paraId="756618DA">
            <w:pPr>
              <w:kinsoku w:val="0"/>
              <w:spacing w:line="360" w:lineRule="auto"/>
              <w:jc w:val="both"/>
              <w:rPr>
                <w:rFonts w:hint="eastAsia" w:ascii="宋体" w:hAnsi="宋体" w:eastAsia="宋体" w:cs="宋体"/>
                <w:b w:val="0"/>
                <w:bCs/>
                <w:color w:val="auto"/>
                <w:spacing w:val="-2"/>
                <w:kern w:val="0"/>
                <w:sz w:val="24"/>
                <w:szCs w:val="24"/>
                <w:highlight w:val="none"/>
                <w:lang w:eastAsia="zh-CN"/>
              </w:rPr>
            </w:pP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1F1710D2">
            <w:pPr>
              <w:kinsoku w:val="0"/>
              <w:spacing w:line="360" w:lineRule="auto"/>
              <w:rPr>
                <w:rFonts w:hint="eastAsia" w:ascii="宋体" w:hAnsi="宋体" w:eastAsia="宋体" w:cs="宋体"/>
                <w:b w:val="0"/>
                <w:bCs/>
                <w:color w:val="auto"/>
                <w:spacing w:val="-2"/>
                <w:kern w:val="0"/>
                <w:sz w:val="24"/>
                <w:szCs w:val="24"/>
                <w:highlight w:val="none"/>
                <w:lang w:eastAsia="zh-CN"/>
              </w:rPr>
            </w:pPr>
            <w:r>
              <w:rPr>
                <w:rFonts w:hint="eastAsia" w:ascii="宋体" w:hAnsi="宋体" w:eastAsia="宋体" w:cs="宋体"/>
                <w:b w:val="0"/>
                <w:bCs/>
                <w:color w:val="auto"/>
                <w:sz w:val="24"/>
                <w:szCs w:val="24"/>
              </w:rPr>
              <w:t>投标人根据本项目实际情况提供实施方案包括但不限于①</w:t>
            </w:r>
            <w:r>
              <w:rPr>
                <w:rFonts w:ascii="宋体" w:hAnsi="宋体" w:eastAsia="宋体" w:cs="宋体"/>
                <w:sz w:val="24"/>
                <w:szCs w:val="24"/>
              </w:rPr>
              <w:t>项目团队人员配置及专业能力</w:t>
            </w:r>
            <w:r>
              <w:rPr>
                <w:rFonts w:hint="eastAsia" w:ascii="宋体" w:hAnsi="宋体" w:eastAsia="宋体" w:cs="宋体"/>
                <w:b w:val="0"/>
                <w:bCs/>
                <w:color w:val="auto"/>
                <w:sz w:val="24"/>
                <w:szCs w:val="24"/>
              </w:rPr>
              <w:t>；②关键时间节点；③进度保障措施；④</w:t>
            </w:r>
            <w:r>
              <w:rPr>
                <w:rFonts w:ascii="宋体" w:hAnsi="宋体" w:eastAsia="宋体" w:cs="宋体"/>
                <w:sz w:val="24"/>
                <w:szCs w:val="24"/>
              </w:rPr>
              <w:t>供货方案；</w:t>
            </w:r>
            <w:r>
              <w:rPr>
                <w:rFonts w:hint="eastAsia" w:ascii="宋体" w:hAnsi="宋体" w:eastAsia="宋体" w:cs="宋体"/>
                <w:b w:val="0"/>
                <w:bCs/>
                <w:color w:val="auto"/>
                <w:sz w:val="24"/>
                <w:szCs w:val="24"/>
              </w:rPr>
              <w:t>⑤</w:t>
            </w:r>
            <w:r>
              <w:rPr>
                <w:rFonts w:ascii="宋体" w:hAnsi="宋体" w:eastAsia="宋体" w:cs="宋体"/>
                <w:sz w:val="24"/>
                <w:szCs w:val="24"/>
              </w:rPr>
              <w:t>安装调试方案；</w:t>
            </w:r>
            <w:r>
              <w:rPr>
                <w:rFonts w:hint="eastAsia" w:ascii="宋体" w:hAnsi="宋体" w:eastAsia="宋体" w:cs="宋体"/>
                <w:b w:val="0"/>
                <w:bCs/>
                <w:color w:val="auto"/>
                <w:sz w:val="24"/>
                <w:szCs w:val="24"/>
              </w:rPr>
              <w:t>⑥技术支持方案；</w:t>
            </w:r>
            <w:r>
              <w:rPr>
                <w:rFonts w:hint="eastAsia" w:ascii="微软雅黑" w:hAnsi="微软雅黑" w:eastAsia="微软雅黑" w:cs="微软雅黑"/>
                <w:b w:val="0"/>
                <w:bCs/>
                <w:color w:val="auto"/>
                <w:sz w:val="24"/>
                <w:szCs w:val="24"/>
              </w:rPr>
              <w:t>⑦</w:t>
            </w:r>
            <w:r>
              <w:rPr>
                <w:rFonts w:hint="eastAsia" w:ascii="宋体" w:hAnsi="宋体" w:eastAsia="宋体" w:cs="宋体"/>
                <w:b w:val="0"/>
                <w:bCs/>
                <w:color w:val="auto"/>
                <w:sz w:val="24"/>
                <w:szCs w:val="24"/>
              </w:rPr>
              <w:t>验收方案；⑧应急处理方案等。</w:t>
            </w:r>
            <w:r>
              <w:rPr>
                <w:rFonts w:hint="eastAsia" w:ascii="宋体" w:hAnsi="宋体" w:eastAsia="宋体" w:cs="宋体"/>
                <w:sz w:val="24"/>
                <w:szCs w:val="24"/>
              </w:rPr>
              <w:t>方案各部分内容全面详细、阐述条理清晰详尽、符合本项目采购需求得</w:t>
            </w:r>
            <w:r>
              <w:rPr>
                <w:rFonts w:hint="eastAsia" w:ascii="宋体" w:hAnsi="宋体" w:cs="宋体"/>
                <w:sz w:val="24"/>
                <w:szCs w:val="24"/>
                <w:lang w:val="en-US" w:eastAsia="zh-CN"/>
              </w:rPr>
              <w:t>16</w:t>
            </w:r>
            <w:r>
              <w:rPr>
                <w:rFonts w:hint="eastAsia" w:ascii="宋体" w:hAnsi="宋体" w:eastAsia="宋体" w:cs="宋体"/>
                <w:sz w:val="24"/>
                <w:szCs w:val="24"/>
              </w:rPr>
              <w:t>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c>
          <w:tcPr>
            <w:tcW w:w="880" w:type="dxa"/>
            <w:tcBorders>
              <w:top w:val="single" w:color="auto" w:sz="4" w:space="0"/>
              <w:left w:val="single" w:color="auto" w:sz="4" w:space="0"/>
              <w:right w:val="single" w:color="auto" w:sz="4" w:space="0"/>
            </w:tcBorders>
            <w:shd w:val="clear" w:color="auto" w:fill="auto"/>
            <w:vAlign w:val="center"/>
          </w:tcPr>
          <w:p w14:paraId="03F95F93">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r>
              <w:rPr>
                <w:rFonts w:hint="eastAsia" w:ascii="宋体" w:hAnsi="宋体" w:cs="宋体"/>
                <w:b w:val="0"/>
                <w:bCs/>
                <w:color w:val="auto"/>
                <w:sz w:val="24"/>
                <w:szCs w:val="24"/>
                <w:highlight w:val="none"/>
                <w:lang w:val="en-US" w:eastAsia="zh-CN"/>
              </w:rPr>
              <w:t>分</w:t>
            </w:r>
          </w:p>
        </w:tc>
      </w:tr>
      <w:tr w14:paraId="786B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2" w:type="dxa"/>
            <w:tcBorders>
              <w:top w:val="single" w:color="auto" w:sz="4" w:space="0"/>
              <w:left w:val="single" w:color="auto" w:sz="4" w:space="0"/>
              <w:right w:val="single" w:color="auto" w:sz="4" w:space="0"/>
            </w:tcBorders>
            <w:shd w:val="clear" w:color="auto" w:fill="auto"/>
            <w:vAlign w:val="center"/>
          </w:tcPr>
          <w:p w14:paraId="51432439">
            <w:pPr>
              <w:pStyle w:val="94"/>
              <w:spacing w:before="65" w:line="228" w:lineRule="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lang w:val="en-US" w:eastAsia="zh-CN"/>
              </w:rPr>
              <w:t>采购产品来源渠道</w:t>
            </w:r>
          </w:p>
        </w:tc>
        <w:tc>
          <w:tcPr>
            <w:tcW w:w="8290" w:type="dxa"/>
            <w:tcBorders>
              <w:top w:val="single" w:color="auto" w:sz="4" w:space="0"/>
              <w:left w:val="single" w:color="auto" w:sz="4" w:space="0"/>
              <w:right w:val="single" w:color="auto" w:sz="4" w:space="0"/>
            </w:tcBorders>
            <w:shd w:val="clear" w:color="auto" w:fill="auto"/>
            <w:vAlign w:val="top"/>
          </w:tcPr>
          <w:p w14:paraId="34D4E2CB">
            <w:pPr>
              <w:numPr>
                <w:ilvl w:val="0"/>
                <w:numId w:val="0"/>
              </w:num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6"/>
                <w:sz w:val="24"/>
                <w:szCs w:val="24"/>
                <w:lang w:val="en-US" w:eastAsia="zh-CN"/>
              </w:rPr>
              <w:t>投标人</w:t>
            </w:r>
            <w:r>
              <w:rPr>
                <w:rFonts w:hint="eastAsia" w:ascii="宋体" w:hAnsi="宋体" w:cs="宋体"/>
                <w:b w:val="0"/>
                <w:bCs/>
                <w:color w:val="auto"/>
                <w:spacing w:val="16"/>
                <w:sz w:val="24"/>
                <w:szCs w:val="24"/>
                <w:lang w:val="en-US" w:eastAsia="zh-CN"/>
              </w:rPr>
              <w:t>提供</w:t>
            </w:r>
            <w:r>
              <w:rPr>
                <w:rFonts w:hint="eastAsia" w:ascii="宋体" w:hAnsi="宋体" w:eastAsia="宋体" w:cs="宋体"/>
                <w:b w:val="0"/>
                <w:bCs/>
                <w:color w:val="auto"/>
                <w:spacing w:val="16"/>
                <w:sz w:val="24"/>
                <w:szCs w:val="24"/>
                <w:lang w:val="en-US" w:eastAsia="zh-CN"/>
              </w:rPr>
              <w:t>所投产品及配套产品来源渠道合法</w:t>
            </w:r>
            <w:r>
              <w:rPr>
                <w:rFonts w:hint="eastAsia" w:ascii="宋体" w:hAnsi="宋体" w:cs="宋体"/>
                <w:b w:val="0"/>
                <w:bCs/>
                <w:color w:val="auto"/>
                <w:spacing w:val="16"/>
                <w:sz w:val="24"/>
                <w:szCs w:val="24"/>
                <w:lang w:val="en-US" w:eastAsia="zh-CN"/>
              </w:rPr>
              <w:t>证明材料</w:t>
            </w:r>
            <w:r>
              <w:rPr>
                <w:rFonts w:hint="eastAsia" w:ascii="宋体" w:hAnsi="宋体" w:eastAsia="宋体" w:cs="宋体"/>
                <w:b w:val="0"/>
                <w:bCs/>
                <w:color w:val="auto"/>
                <w:spacing w:val="16"/>
                <w:sz w:val="24"/>
                <w:szCs w:val="24"/>
                <w:lang w:val="en-US" w:eastAsia="zh-CN"/>
              </w:rPr>
              <w:t>（包括但不限于原厂授权或代理授权等其它证明材料），提供相关证明材料</w:t>
            </w:r>
            <w:r>
              <w:rPr>
                <w:rFonts w:hint="eastAsia" w:ascii="宋体" w:hAnsi="宋体" w:cs="宋体"/>
                <w:b w:val="0"/>
                <w:bCs/>
                <w:color w:val="auto"/>
                <w:spacing w:val="16"/>
                <w:sz w:val="24"/>
                <w:szCs w:val="24"/>
                <w:lang w:val="en-US" w:eastAsia="zh-CN"/>
              </w:rPr>
              <w:t>，</w:t>
            </w:r>
            <w:r>
              <w:rPr>
                <w:rFonts w:hint="eastAsia" w:ascii="宋体" w:hAnsi="宋体" w:eastAsia="宋体" w:cs="宋体"/>
                <w:b w:val="0"/>
                <w:bCs/>
                <w:color w:val="auto"/>
                <w:spacing w:val="16"/>
                <w:sz w:val="24"/>
                <w:szCs w:val="24"/>
                <w:lang w:val="en-US" w:eastAsia="zh-CN"/>
              </w:rPr>
              <w:t>证明材料</w:t>
            </w:r>
            <w:r>
              <w:rPr>
                <w:rFonts w:hint="eastAsia" w:ascii="宋体" w:hAnsi="宋体" w:cs="宋体"/>
                <w:b w:val="0"/>
                <w:bCs/>
                <w:color w:val="auto"/>
                <w:spacing w:val="16"/>
                <w:sz w:val="24"/>
                <w:szCs w:val="24"/>
                <w:lang w:val="en-US" w:eastAsia="zh-CN"/>
              </w:rPr>
              <w:t>齐全</w:t>
            </w:r>
            <w:r>
              <w:rPr>
                <w:rFonts w:hint="eastAsia" w:ascii="宋体" w:hAnsi="宋体" w:eastAsia="宋体" w:cs="宋体"/>
                <w:b w:val="0"/>
                <w:bCs/>
                <w:color w:val="auto"/>
                <w:spacing w:val="16"/>
                <w:sz w:val="24"/>
                <w:szCs w:val="24"/>
                <w:lang w:val="en-US" w:eastAsia="zh-CN"/>
              </w:rPr>
              <w:t>计</w:t>
            </w:r>
            <w:r>
              <w:rPr>
                <w:rFonts w:hint="eastAsia" w:ascii="宋体" w:hAnsi="宋体" w:cs="宋体"/>
                <w:b w:val="0"/>
                <w:bCs/>
                <w:color w:val="auto"/>
                <w:spacing w:val="16"/>
                <w:sz w:val="24"/>
                <w:szCs w:val="24"/>
                <w:lang w:val="en-US" w:eastAsia="zh-CN"/>
              </w:rPr>
              <w:t>5</w:t>
            </w:r>
            <w:r>
              <w:rPr>
                <w:rFonts w:hint="eastAsia" w:ascii="宋体" w:hAnsi="宋体" w:eastAsia="宋体" w:cs="宋体"/>
                <w:b w:val="0"/>
                <w:bCs/>
                <w:color w:val="auto"/>
                <w:spacing w:val="16"/>
                <w:sz w:val="24"/>
                <w:szCs w:val="24"/>
                <w:lang w:val="en-US" w:eastAsia="zh-CN"/>
              </w:rPr>
              <w:t>分，</w:t>
            </w:r>
            <w:r>
              <w:rPr>
                <w:rFonts w:hint="eastAsia" w:ascii="宋体" w:hAnsi="宋体" w:cs="宋体"/>
                <w:b w:val="0"/>
                <w:bCs/>
                <w:color w:val="auto"/>
                <w:spacing w:val="16"/>
                <w:sz w:val="24"/>
                <w:szCs w:val="24"/>
                <w:lang w:val="en-US" w:eastAsia="zh-CN"/>
              </w:rPr>
              <w:t>不齐全或</w:t>
            </w:r>
            <w:r>
              <w:rPr>
                <w:rFonts w:hint="eastAsia" w:ascii="宋体" w:hAnsi="宋体" w:eastAsia="宋体" w:cs="宋体"/>
                <w:b w:val="0"/>
                <w:bCs/>
                <w:color w:val="auto"/>
                <w:spacing w:val="16"/>
                <w:sz w:val="24"/>
                <w:szCs w:val="24"/>
                <w:lang w:val="en-US" w:eastAsia="zh-CN"/>
              </w:rPr>
              <w:t>未提供得0分。</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3D8A6A9">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5分</w:t>
            </w:r>
          </w:p>
        </w:tc>
      </w:tr>
      <w:tr w14:paraId="78B1C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7C1FDAE">
            <w:pPr>
              <w:kinsoku w:val="0"/>
              <w:spacing w:line="360" w:lineRule="auto"/>
              <w:ind w:left="1" w:leftChars="-51" w:hanging="108" w:hangingChars="45"/>
              <w:jc w:val="center"/>
              <w:rPr>
                <w:rFonts w:hint="eastAsia" w:ascii="宋体" w:hAnsi="宋体" w:eastAsia="宋体" w:cs="宋体"/>
                <w:b w:val="0"/>
                <w:bCs/>
                <w:color w:val="auto"/>
                <w:spacing w:val="-2"/>
                <w:kern w:val="0"/>
                <w:sz w:val="24"/>
                <w:szCs w:val="24"/>
                <w:highlight w:val="none"/>
                <w:lang w:val="en-US" w:eastAsia="zh-CN"/>
              </w:rPr>
            </w:pPr>
            <w:r>
              <w:rPr>
                <w:rFonts w:hint="eastAsia" w:ascii="宋体" w:hAnsi="宋体" w:eastAsia="宋体" w:cs="宋体"/>
                <w:b w:val="0"/>
                <w:bCs/>
                <w:color w:val="auto"/>
                <w:sz w:val="24"/>
                <w:szCs w:val="24"/>
                <w:highlight w:val="none"/>
              </w:rPr>
              <w:t>业绩</w:t>
            </w:r>
          </w:p>
        </w:tc>
        <w:tc>
          <w:tcPr>
            <w:tcW w:w="8290" w:type="dxa"/>
            <w:tcBorders>
              <w:top w:val="single" w:color="auto" w:sz="4" w:space="0"/>
              <w:left w:val="single" w:color="auto" w:sz="4" w:space="0"/>
              <w:bottom w:val="single" w:color="auto" w:sz="4" w:space="0"/>
              <w:right w:val="single" w:color="auto" w:sz="4" w:space="0"/>
            </w:tcBorders>
            <w:shd w:val="clear" w:color="auto" w:fill="auto"/>
            <w:vAlign w:val="center"/>
          </w:tcPr>
          <w:p w14:paraId="6A371B63">
            <w:pPr>
              <w:kinsoku w:val="0"/>
              <w:spacing w:line="360" w:lineRule="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z w:val="24"/>
                <w:szCs w:val="24"/>
                <w:highlight w:val="none"/>
              </w:rPr>
              <w:t>提供</w:t>
            </w:r>
            <w:r>
              <w:rPr>
                <w:rFonts w:hint="eastAsia" w:ascii="宋体" w:hAnsi="宋体" w:cs="宋体"/>
                <w:b w:val="0"/>
                <w:bCs/>
                <w:color w:val="auto"/>
                <w:sz w:val="24"/>
                <w:szCs w:val="24"/>
                <w:highlight w:val="none"/>
                <w:lang w:val="en-US" w:eastAsia="zh-CN"/>
              </w:rPr>
              <w:t>投标人2022</w:t>
            </w:r>
            <w:r>
              <w:rPr>
                <w:rFonts w:hint="eastAsia" w:ascii="宋体" w:hAnsi="宋体" w:eastAsia="宋体" w:cs="宋体"/>
                <w:b w:val="0"/>
                <w:bCs/>
                <w:color w:val="auto"/>
                <w:sz w:val="24"/>
                <w:szCs w:val="24"/>
                <w:highlight w:val="none"/>
                <w:lang w:val="en-US" w:eastAsia="zh-CN"/>
              </w:rPr>
              <w:t>年</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月1日至今</w:t>
            </w:r>
            <w:r>
              <w:rPr>
                <w:rFonts w:hint="eastAsia" w:ascii="宋体" w:hAnsi="宋体" w:eastAsia="宋体" w:cs="宋体"/>
                <w:b w:val="0"/>
                <w:bCs/>
                <w:color w:val="auto"/>
                <w:sz w:val="24"/>
                <w:szCs w:val="24"/>
                <w:highlight w:val="none"/>
              </w:rPr>
              <w:t>类似业绩，每提供一份业绩计</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分，最多得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分（投标文件中须提供</w:t>
            </w:r>
            <w:r>
              <w:rPr>
                <w:rFonts w:hint="eastAsia" w:ascii="宋体" w:hAnsi="宋体" w:eastAsia="宋体" w:cs="宋体"/>
                <w:b w:val="0"/>
                <w:bCs/>
                <w:color w:val="auto"/>
                <w:sz w:val="24"/>
                <w:szCs w:val="24"/>
                <w:highlight w:val="none"/>
                <w:lang w:val="en-US" w:eastAsia="zh-CN"/>
              </w:rPr>
              <w:t>清晰可辨</w:t>
            </w:r>
            <w:r>
              <w:rPr>
                <w:rFonts w:hint="eastAsia" w:ascii="宋体" w:hAnsi="宋体" w:eastAsia="宋体" w:cs="宋体"/>
                <w:b w:val="0"/>
                <w:bCs/>
                <w:color w:val="auto"/>
                <w:sz w:val="24"/>
                <w:szCs w:val="24"/>
                <w:highlight w:val="none"/>
              </w:rPr>
              <w:t>项目采购合同复印件，否则此项业绩不计分）。</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A560EF">
            <w:pPr>
              <w:kinsoku w:val="0"/>
              <w:spacing w:line="360" w:lineRule="auto"/>
              <w:jc w:val="center"/>
              <w:rPr>
                <w:rFonts w:hint="eastAsia" w:ascii="宋体" w:hAnsi="宋体" w:eastAsia="宋体" w:cs="宋体"/>
                <w:b w:val="0"/>
                <w:bCs/>
                <w:color w:val="auto"/>
                <w:spacing w:val="-2"/>
                <w:kern w:val="0"/>
                <w:sz w:val="24"/>
                <w:szCs w:val="24"/>
                <w:highlight w:val="none"/>
                <w:lang w:val="en-US" w:eastAsia="zh-CN"/>
              </w:rPr>
            </w:pPr>
            <w:r>
              <w:rPr>
                <w:rFonts w:hint="eastAsia" w:ascii="宋体" w:hAnsi="宋体" w:cs="宋体"/>
                <w:b w:val="0"/>
                <w:bCs/>
                <w:color w:val="auto"/>
                <w:sz w:val="24"/>
                <w:szCs w:val="24"/>
                <w:highlight w:val="none"/>
                <w:lang w:val="en-US" w:eastAsia="zh-CN"/>
              </w:rPr>
              <w:t>6分</w:t>
            </w:r>
          </w:p>
        </w:tc>
      </w:tr>
      <w:tr w14:paraId="2DDBA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232" w:type="dxa"/>
            <w:tcBorders>
              <w:top w:val="single" w:color="auto" w:sz="4" w:space="0"/>
              <w:left w:val="single" w:color="auto" w:sz="4" w:space="0"/>
              <w:right w:val="single" w:color="auto" w:sz="4" w:space="0"/>
            </w:tcBorders>
            <w:shd w:val="clear" w:color="auto" w:fill="auto"/>
            <w:vAlign w:val="center"/>
          </w:tcPr>
          <w:p w14:paraId="64299C0F">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售后</w:t>
            </w:r>
          </w:p>
          <w:p w14:paraId="4F03EB1E">
            <w:pPr>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服务</w:t>
            </w:r>
          </w:p>
        </w:tc>
        <w:tc>
          <w:tcPr>
            <w:tcW w:w="8290" w:type="dxa"/>
            <w:tcBorders>
              <w:top w:val="single" w:color="auto" w:sz="4" w:space="0"/>
              <w:left w:val="single" w:color="auto" w:sz="4" w:space="0"/>
              <w:right w:val="single" w:color="auto" w:sz="4" w:space="0"/>
            </w:tcBorders>
            <w:shd w:val="clear" w:color="auto" w:fill="auto"/>
            <w:vAlign w:val="center"/>
          </w:tcPr>
          <w:p w14:paraId="1D3BBFC2">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根据本项目特点，提供售后服务方案。具体包括：①针对本项目售后服务承诺；②有完整的培训计划，包括培训时间、地点、人数、方式；③有相应的技术支持及售后服务机构（提供有效的办公场所证明材料）；④售后服务机构组成，人员从业经历及相关人员资料证明（身份证明、学历证明、人员证书）；⑤售后服务响应（电话支持、线上操作、到场服务）。</w:t>
            </w:r>
          </w:p>
          <w:p w14:paraId="63C1EE58">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sz w:val="24"/>
                <w:szCs w:val="24"/>
              </w:rPr>
              <w:t>方案各部分内容全面详细、阐述条理清晰详尽、符合本项目采购需求得</w:t>
            </w:r>
            <w:r>
              <w:rPr>
                <w:rFonts w:hint="eastAsia" w:ascii="宋体" w:hAnsi="宋体" w:cs="宋体"/>
                <w:sz w:val="24"/>
                <w:szCs w:val="24"/>
                <w:lang w:val="en-US" w:eastAsia="zh-CN"/>
              </w:rPr>
              <w:t>10</w:t>
            </w:r>
            <w:r>
              <w:rPr>
                <w:rFonts w:hint="eastAsia" w:ascii="宋体" w:hAnsi="宋体" w:eastAsia="宋体" w:cs="宋体"/>
                <w:sz w:val="24"/>
                <w:szCs w:val="24"/>
              </w:rPr>
              <w:t>分；评审内容每缺一项扣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分，扣完为止；评审内容有一项内容缺陷扣0.5-</w:t>
            </w:r>
            <w:r>
              <w:rPr>
                <w:rFonts w:hint="eastAsia" w:ascii="宋体" w:hAnsi="宋体" w:eastAsia="宋体" w:cs="宋体"/>
                <w:sz w:val="24"/>
                <w:szCs w:val="24"/>
                <w:lang w:val="en-US" w:eastAsia="zh-CN"/>
              </w:rPr>
              <w:t>1.5</w:t>
            </w:r>
            <w:r>
              <w:rPr>
                <w:rFonts w:hint="eastAsia" w:ascii="宋体" w:hAnsi="宋体" w:eastAsia="宋体" w:cs="宋体"/>
                <w:sz w:val="24"/>
                <w:szCs w:val="24"/>
              </w:rPr>
              <w:t>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3F00BAC">
            <w:pPr>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10分</w:t>
            </w:r>
          </w:p>
        </w:tc>
      </w:tr>
    </w:tbl>
    <w:p w14:paraId="1765693A">
      <w:pPr>
        <w:pStyle w:val="17"/>
      </w:pPr>
    </w:p>
    <w:tbl>
      <w:tblPr>
        <w:tblStyle w:val="45"/>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FD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0D9B9579">
            <w:pPr>
              <w:adjustRightInd w:val="0"/>
              <w:snapToGrid w:val="0"/>
              <w:spacing w:line="288" w:lineRule="auto"/>
              <w:rPr>
                <w:rFonts w:ascii="宋体" w:hAnsi="宋体" w:cs="宋体"/>
                <w:sz w:val="24"/>
                <w:szCs w:val="24"/>
                <w:highlight w:val="none"/>
              </w:rPr>
            </w:pPr>
          </w:p>
        </w:tc>
      </w:tr>
    </w:tbl>
    <w:tbl>
      <w:tblPr>
        <w:tblStyle w:val="45"/>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7F1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079C3569">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w:t>
            </w:r>
          </w:p>
        </w:tc>
      </w:tr>
    </w:tbl>
    <w:tbl>
      <w:tblPr>
        <w:tblStyle w:val="45"/>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49C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64D8DFF">
            <w:pPr>
              <w:adjustRightInd w:val="0"/>
              <w:snapToGrid w:val="0"/>
              <w:spacing w:line="288" w:lineRule="auto"/>
              <w:rPr>
                <w:rFonts w:ascii="宋体" w:hAnsi="宋体" w:cs="宋体"/>
                <w:sz w:val="24"/>
                <w:szCs w:val="24"/>
                <w:highlight w:val="none"/>
              </w:rPr>
            </w:pPr>
          </w:p>
        </w:tc>
      </w:tr>
      <w:tr w14:paraId="3A57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3CA8B18">
            <w:pPr>
              <w:adjustRightInd w:val="0"/>
              <w:snapToGrid w:val="0"/>
              <w:spacing w:line="288" w:lineRule="auto"/>
              <w:rPr>
                <w:rFonts w:ascii="宋体" w:hAnsi="宋体" w:cs="宋体"/>
                <w:sz w:val="24"/>
                <w:szCs w:val="24"/>
                <w:highlight w:val="none"/>
              </w:rPr>
            </w:pPr>
          </w:p>
        </w:tc>
      </w:tr>
    </w:tbl>
    <w:tbl>
      <w:tblPr>
        <w:tblStyle w:val="45"/>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BF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43BF9268">
            <w:pPr>
              <w:adjustRightInd w:val="0"/>
              <w:snapToGrid w:val="0"/>
              <w:spacing w:line="288" w:lineRule="auto"/>
              <w:rPr>
                <w:rFonts w:ascii="宋体" w:hAnsi="宋体" w:cs="宋体"/>
                <w:sz w:val="24"/>
                <w:szCs w:val="24"/>
                <w:highlight w:val="none"/>
              </w:rPr>
            </w:pPr>
          </w:p>
        </w:tc>
        <w:tc>
          <w:tcPr>
            <w:tcW w:w="236" w:type="dxa"/>
          </w:tcPr>
          <w:p w14:paraId="4FD6669F">
            <w:pPr>
              <w:adjustRightInd w:val="0"/>
              <w:snapToGrid w:val="0"/>
              <w:spacing w:line="288" w:lineRule="auto"/>
              <w:rPr>
                <w:rFonts w:ascii="宋体" w:hAnsi="宋体" w:cs="宋体"/>
                <w:sz w:val="24"/>
                <w:szCs w:val="24"/>
                <w:highlight w:val="none"/>
              </w:rPr>
            </w:pPr>
          </w:p>
        </w:tc>
      </w:tr>
    </w:tbl>
    <w:p w14:paraId="3372233C">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备注：</w:t>
      </w:r>
    </w:p>
    <w:p w14:paraId="493FD4F7">
      <w:pPr>
        <w:adjustRightInd w:val="0"/>
        <w:snapToGrid w:val="0"/>
        <w:spacing w:line="288" w:lineRule="auto"/>
        <w:ind w:firstLine="480" w:firstLineChars="200"/>
        <w:rPr>
          <w:rFonts w:ascii="宋体" w:hAnsi="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以上各项打分均由评标委员会独立评分，评分相邻</w:t>
      </w:r>
      <w:r>
        <w:rPr>
          <w:rFonts w:hint="eastAsia" w:ascii="宋体" w:hAnsi="宋体" w:cs="宋体"/>
          <w:sz w:val="24"/>
          <w:szCs w:val="24"/>
          <w:highlight w:val="none"/>
          <w:lang w:eastAsia="zh-CN"/>
        </w:rPr>
        <w:t>两档之间的</w:t>
      </w:r>
      <w:r>
        <w:rPr>
          <w:rFonts w:hint="eastAsia" w:ascii="宋体" w:hAnsi="宋体" w:cs="宋体"/>
          <w:sz w:val="24"/>
          <w:szCs w:val="24"/>
          <w:highlight w:val="none"/>
        </w:rPr>
        <w:t>得分</w:t>
      </w:r>
      <w:r>
        <w:rPr>
          <w:rFonts w:hint="eastAsia" w:ascii="宋体" w:hAnsi="宋体"/>
          <w:sz w:val="24"/>
          <w:szCs w:val="24"/>
          <w:highlight w:val="none"/>
        </w:rPr>
        <w:t>，归属于较低一档</w:t>
      </w:r>
      <w:r>
        <w:rPr>
          <w:rFonts w:hint="eastAsia" w:ascii="宋体" w:hAnsi="宋体"/>
          <w:sz w:val="24"/>
          <w:szCs w:val="24"/>
          <w:highlight w:val="none"/>
          <w:lang w:eastAsia="zh-CN"/>
        </w:rPr>
        <w:t>，</w:t>
      </w:r>
      <w:r>
        <w:rPr>
          <w:rFonts w:hint="eastAsia" w:ascii="宋体" w:hAnsi="宋体"/>
          <w:sz w:val="24"/>
          <w:szCs w:val="24"/>
          <w:highlight w:val="none"/>
        </w:rPr>
        <w:t>两档之间可取小数点进行打分，按评审后综合得分由高到低推荐一至三名中标候选人。</w:t>
      </w:r>
    </w:p>
    <w:p w14:paraId="7377387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 评标委员会认为投标人的报价明显低于其他通过符合性审</w:t>
      </w:r>
      <w:r>
        <w:rPr>
          <w:rFonts w:hint="eastAsia" w:ascii="宋体" w:hAnsi="宋体"/>
          <w:sz w:val="24"/>
          <w:szCs w:val="24"/>
          <w:highlight w:val="none"/>
          <w:lang w:eastAsia="zh-CN"/>
        </w:rPr>
        <w:t>查的</w:t>
      </w:r>
      <w:r>
        <w:rPr>
          <w:rFonts w:ascii="宋体" w:hAnsi="宋体"/>
          <w:sz w:val="24"/>
          <w:szCs w:val="24"/>
          <w:highlight w:val="none"/>
        </w:rPr>
        <w:t>投标人的报价，有可能影响</w:t>
      </w:r>
      <w:r>
        <w:rPr>
          <w:rFonts w:hint="eastAsia" w:ascii="宋体" w:hAnsi="宋体"/>
          <w:sz w:val="24"/>
          <w:szCs w:val="24"/>
          <w:highlight w:val="none"/>
        </w:rPr>
        <w:t>服务</w:t>
      </w:r>
      <w:r>
        <w:rPr>
          <w:rFonts w:ascii="宋体" w:hAnsi="宋体"/>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1344FA51">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若出现综合得分并列时，</w:t>
      </w:r>
      <w:r>
        <w:rPr>
          <w:rFonts w:ascii="宋体" w:hAnsi="宋体"/>
          <w:sz w:val="24"/>
          <w:szCs w:val="24"/>
          <w:highlight w:val="none"/>
        </w:rPr>
        <w:t>按投标报价由低到高顺序排列。得分且投标报价相同的并列。投标文件满足招标文件全部实质性要求，且按照评审因素的量化指标评审得分最高的投标人为排名第一的中标候选人。</w:t>
      </w:r>
    </w:p>
    <w:p w14:paraId="6B44065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数字均保留两位小数，第三位“四舍五入”。</w:t>
      </w:r>
    </w:p>
    <w:p w14:paraId="16DE85DE">
      <w:pPr>
        <w:pStyle w:val="17"/>
        <w:spacing w:line="360" w:lineRule="auto"/>
        <w:ind w:firstLine="480" w:firstLineChars="200"/>
        <w:rPr>
          <w:rFonts w:asciiTheme="minorEastAsia" w:hAnsiTheme="minorEastAsia" w:eastAsiaTheme="minorEastAsia"/>
          <w:bCs/>
          <w:color w:val="auto"/>
          <w:kern w:val="2"/>
          <w:sz w:val="24"/>
          <w:szCs w:val="24"/>
          <w:highlight w:val="none"/>
          <w:lang w:val="en-US"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w:t>
      </w:r>
      <w:bookmarkStart w:id="70" w:name="OLE_LINK3"/>
      <w:bookmarkStart w:id="71" w:name="OLE_LINK65"/>
      <w:r>
        <w:rPr>
          <w:rFonts w:hint="eastAsia"/>
          <w:color w:val="auto"/>
          <w:sz w:val="24"/>
          <w:szCs w:val="24"/>
          <w:highlight w:val="none"/>
          <w:lang w:val="en-US" w:eastAsia="zh-CN"/>
        </w:rPr>
        <w:t>投标人提供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70"/>
    <w:bookmarkEnd w:id="71"/>
    <w:p w14:paraId="5AE1981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评审时，投标人符合投标人须知33条采购政策的按照采购政策执行。</w:t>
      </w:r>
    </w:p>
    <w:p w14:paraId="7F0900BA">
      <w:pPr>
        <w:spacing w:line="360" w:lineRule="auto"/>
        <w:ind w:firstLine="480" w:firstLineChars="200"/>
        <w:rPr>
          <w:rFonts w:ascii="宋体" w:hAnsi="宋体"/>
          <w:sz w:val="24"/>
          <w:szCs w:val="24"/>
          <w:highlight w:val="none"/>
        </w:rPr>
      </w:pPr>
      <w:r>
        <w:rPr>
          <w:rFonts w:ascii="宋体" w:hAnsi="宋体"/>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FB2A22C">
      <w:pPr>
        <w:adjustRightInd w:val="0"/>
        <w:snapToGrid w:val="0"/>
        <w:spacing w:line="360" w:lineRule="auto"/>
        <w:ind w:firstLine="482" w:firstLineChars="200"/>
        <w:rPr>
          <w:rFonts w:ascii="宋体" w:hAnsi="宋体"/>
          <w:sz w:val="24"/>
          <w:szCs w:val="24"/>
          <w:highlight w:val="none"/>
        </w:rPr>
      </w:pPr>
      <w:bookmarkStart w:id="72" w:name="_Toc409689064"/>
      <w:bookmarkStart w:id="73" w:name="_Toc358364336"/>
      <w:bookmarkStart w:id="74" w:name="_Toc380336742"/>
      <w:r>
        <w:rPr>
          <w:rFonts w:ascii="宋体" w:hAnsi="宋体"/>
          <w:b/>
          <w:sz w:val="24"/>
          <w:szCs w:val="24"/>
          <w:highlight w:val="none"/>
        </w:rPr>
        <w:t>29</w:t>
      </w:r>
      <w:r>
        <w:rPr>
          <w:rFonts w:hint="eastAsia" w:ascii="宋体" w:hAnsi="宋体"/>
          <w:b/>
          <w:sz w:val="24"/>
          <w:szCs w:val="24"/>
          <w:highlight w:val="none"/>
          <w:lang w:val="en-US" w:eastAsia="zh-CN"/>
        </w:rPr>
        <w:t>.</w:t>
      </w:r>
      <w:r>
        <w:rPr>
          <w:rFonts w:hint="eastAsia" w:ascii="宋体" w:hAnsi="宋体"/>
          <w:b/>
          <w:sz w:val="24"/>
          <w:szCs w:val="24"/>
          <w:highlight w:val="none"/>
        </w:rPr>
        <w:t>定标</w:t>
      </w:r>
    </w:p>
    <w:p w14:paraId="3099A032">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29.1</w:t>
      </w:r>
      <w:r>
        <w:rPr>
          <w:rFonts w:hint="eastAsia" w:ascii="宋体" w:hAnsi="宋体"/>
          <w:sz w:val="24"/>
          <w:szCs w:val="24"/>
          <w:highlight w:val="none"/>
        </w:rPr>
        <w:t>采购代理机构应当在评标结束后2个工作日内，将评标报告送采购人定标。</w:t>
      </w:r>
    </w:p>
    <w:p w14:paraId="40C79306">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29.2采购人应当自收到评标报告之日起</w:t>
      </w:r>
      <w:r>
        <w:rPr>
          <w:rFonts w:hint="eastAsia" w:ascii="宋体" w:hAnsi="宋体"/>
          <w:sz w:val="24"/>
          <w:szCs w:val="24"/>
          <w:highlight w:val="none"/>
        </w:rPr>
        <w:t>5</w:t>
      </w:r>
      <w:r>
        <w:rPr>
          <w:rFonts w:ascii="宋体" w:hAnsi="宋体"/>
          <w:sz w:val="24"/>
          <w:szCs w:val="24"/>
          <w:highlight w:val="none"/>
        </w:rPr>
        <w:t>个工作日内，在评标报告确定的中标候选人名单中按顺序确定中标人</w:t>
      </w:r>
      <w:r>
        <w:rPr>
          <w:rFonts w:hint="eastAsia" w:ascii="宋体" w:hAnsi="宋体"/>
          <w:sz w:val="24"/>
          <w:szCs w:val="24"/>
          <w:highlight w:val="none"/>
        </w:rPr>
        <w:t>，复函采购代理机构。</w:t>
      </w:r>
    </w:p>
    <w:p w14:paraId="35E3E70C">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29.3</w:t>
      </w:r>
      <w:r>
        <w:rPr>
          <w:rFonts w:hint="eastAsia" w:ascii="宋体" w:hAnsi="宋体"/>
          <w:sz w:val="24"/>
          <w:szCs w:val="24"/>
          <w:highlight w:val="none"/>
        </w:rPr>
        <w:t>采购代理机构在采购人确定中标单位2个工作日内，在省级以上财政部门指定的媒体上公告</w:t>
      </w:r>
      <w:r>
        <w:rPr>
          <w:rFonts w:ascii="ˎ̥" w:hAnsi="ˎ̥"/>
          <w:sz w:val="24"/>
          <w:szCs w:val="24"/>
          <w:highlight w:val="none"/>
        </w:rPr>
        <w:t>中标结果</w:t>
      </w:r>
      <w:r>
        <w:rPr>
          <w:rFonts w:hint="eastAsia" w:ascii="ˎ̥" w:hAnsi="ˎ̥"/>
          <w:sz w:val="24"/>
          <w:szCs w:val="24"/>
          <w:highlight w:val="none"/>
        </w:rPr>
        <w:t>。</w:t>
      </w:r>
    </w:p>
    <w:p w14:paraId="256387EB">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29.4</w:t>
      </w:r>
      <w:r>
        <w:rPr>
          <w:rFonts w:hint="eastAsia" w:ascii="宋体" w:hAnsi="宋体"/>
          <w:sz w:val="24"/>
          <w:szCs w:val="24"/>
          <w:highlight w:val="none"/>
        </w:rPr>
        <w:t>采购代理机构向中标供应商发出《中标通知书》。</w:t>
      </w:r>
    </w:p>
    <w:p w14:paraId="38231D65">
      <w:pPr>
        <w:spacing w:line="420" w:lineRule="exact"/>
        <w:ind w:firstLine="482" w:firstLineChars="200"/>
        <w:rPr>
          <w:rFonts w:ascii="宋体" w:hAnsi="宋体"/>
          <w:b/>
          <w:sz w:val="24"/>
          <w:szCs w:val="24"/>
          <w:highlight w:val="none"/>
        </w:rPr>
      </w:pPr>
      <w:bookmarkStart w:id="75" w:name="_Toc296590983"/>
      <w:bookmarkStart w:id="76" w:name="_Toc246996962"/>
      <w:bookmarkStart w:id="77" w:name="_Toc296602462"/>
      <w:bookmarkStart w:id="78" w:name="_Toc247085733"/>
      <w:bookmarkStart w:id="79" w:name="_Toc179632593"/>
      <w:bookmarkStart w:id="80" w:name="_Toc246996219"/>
      <w:bookmarkStart w:id="81" w:name="_Toc152045575"/>
      <w:bookmarkStart w:id="82" w:name="_Toc144974543"/>
      <w:bookmarkStart w:id="83" w:name="_Toc152042351"/>
      <w:bookmarkStart w:id="84" w:name="_Toc311415614"/>
      <w:r>
        <w:rPr>
          <w:rFonts w:ascii="宋体" w:hAnsi="宋体"/>
          <w:b/>
          <w:sz w:val="24"/>
          <w:szCs w:val="24"/>
          <w:highlight w:val="none"/>
        </w:rPr>
        <w:t>30</w:t>
      </w:r>
      <w:r>
        <w:rPr>
          <w:rFonts w:hint="eastAsia" w:ascii="宋体" w:hAnsi="宋体"/>
          <w:b/>
          <w:sz w:val="24"/>
          <w:szCs w:val="24"/>
          <w:highlight w:val="none"/>
          <w:lang w:val="en-US" w:eastAsia="zh-CN"/>
        </w:rPr>
        <w:t>.</w:t>
      </w:r>
      <w:r>
        <w:rPr>
          <w:rFonts w:hint="eastAsia" w:ascii="宋体" w:hAnsi="宋体"/>
          <w:b/>
          <w:sz w:val="24"/>
          <w:szCs w:val="24"/>
          <w:highlight w:val="none"/>
        </w:rPr>
        <w:t>签订合同</w:t>
      </w:r>
    </w:p>
    <w:p w14:paraId="02822615">
      <w:pPr>
        <w:spacing w:line="360" w:lineRule="auto"/>
        <w:ind w:firstLine="480" w:firstLineChars="200"/>
        <w:rPr>
          <w:rFonts w:ascii="宋体" w:hAnsi="宋体"/>
          <w:sz w:val="24"/>
          <w:szCs w:val="24"/>
          <w:highlight w:val="none"/>
        </w:rPr>
      </w:pPr>
      <w:r>
        <w:rPr>
          <w:rFonts w:ascii="宋体" w:hAnsi="宋体"/>
          <w:sz w:val="24"/>
          <w:szCs w:val="24"/>
          <w:highlight w:val="none"/>
        </w:rPr>
        <w:t>30.1</w:t>
      </w:r>
      <w:r>
        <w:rPr>
          <w:rFonts w:hint="eastAsia" w:ascii="宋体" w:hAnsi="宋体"/>
          <w:sz w:val="24"/>
          <w:szCs w:val="24"/>
          <w:highlight w:val="none"/>
        </w:rPr>
        <w:t>成交后，成交供应商在收到成交通知书后</w:t>
      </w:r>
      <w:r>
        <w:rPr>
          <w:rFonts w:hint="eastAsia" w:ascii="宋体" w:hAnsi="宋体"/>
          <w:sz w:val="24"/>
          <w:szCs w:val="24"/>
          <w:highlight w:val="none"/>
          <w:lang w:val="en-US" w:eastAsia="zh-CN"/>
        </w:rPr>
        <w:t>25</w:t>
      </w:r>
      <w:r>
        <w:rPr>
          <w:rFonts w:hint="eastAsia" w:ascii="宋体" w:hAnsi="宋体"/>
          <w:sz w:val="24"/>
          <w:szCs w:val="24"/>
          <w:highlight w:val="none"/>
        </w:rPr>
        <w:t>日内，应按招标文件的要求与采购人洽谈合同条款，并签订供货合同，同时送监督机构备案，招标文件及成交供应商的投标文件均作为合同的组成部分。</w:t>
      </w:r>
    </w:p>
    <w:p w14:paraId="4055FF90">
      <w:pPr>
        <w:spacing w:line="360" w:lineRule="auto"/>
        <w:ind w:firstLine="480" w:firstLineChars="200"/>
        <w:rPr>
          <w:rFonts w:ascii="宋体" w:hAnsi="宋体"/>
          <w:sz w:val="24"/>
          <w:szCs w:val="24"/>
          <w:highlight w:val="none"/>
        </w:rPr>
      </w:pPr>
      <w:r>
        <w:rPr>
          <w:rFonts w:ascii="宋体" w:hAnsi="宋体"/>
          <w:sz w:val="24"/>
          <w:szCs w:val="24"/>
          <w:highlight w:val="none"/>
        </w:rPr>
        <w:t>30.2</w:t>
      </w:r>
      <w:r>
        <w:rPr>
          <w:rFonts w:hint="eastAsia" w:ascii="宋体" w:hAnsi="宋体"/>
          <w:sz w:val="24"/>
          <w:szCs w:val="24"/>
          <w:highlight w:val="none"/>
        </w:rPr>
        <w:t>采购人不得向成交供应商提出超出招标文件以外的任何要求作为签订合同的条件，不得与成交供应商订立背离招标文件确定的合同文本以及采购服务要求实质性内容的协议。</w:t>
      </w:r>
    </w:p>
    <w:p w14:paraId="700E6212">
      <w:pPr>
        <w:spacing w:line="360" w:lineRule="auto"/>
        <w:ind w:firstLine="480" w:firstLineChars="200"/>
        <w:rPr>
          <w:rFonts w:ascii="宋体" w:hAnsi="宋体"/>
          <w:sz w:val="24"/>
          <w:szCs w:val="24"/>
          <w:highlight w:val="none"/>
        </w:rPr>
      </w:pPr>
      <w:r>
        <w:rPr>
          <w:rFonts w:ascii="宋体" w:hAnsi="宋体"/>
          <w:sz w:val="24"/>
          <w:szCs w:val="24"/>
          <w:highlight w:val="none"/>
        </w:rPr>
        <w:t>30.3</w:t>
      </w:r>
      <w:r>
        <w:rPr>
          <w:rFonts w:hint="eastAsia" w:ascii="宋体" w:hAnsi="宋体"/>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B036BE2">
      <w:pPr>
        <w:spacing w:line="360" w:lineRule="auto"/>
        <w:ind w:firstLine="480" w:firstLineChars="200"/>
        <w:rPr>
          <w:rFonts w:ascii="宋体" w:hAnsi="宋体"/>
          <w:sz w:val="24"/>
          <w:szCs w:val="24"/>
          <w:highlight w:val="none"/>
        </w:rPr>
      </w:pPr>
      <w:r>
        <w:rPr>
          <w:rFonts w:ascii="宋体" w:hAnsi="宋体"/>
          <w:sz w:val="24"/>
          <w:szCs w:val="24"/>
          <w:highlight w:val="none"/>
        </w:rPr>
        <w:t>30.4</w:t>
      </w:r>
      <w:r>
        <w:rPr>
          <w:rFonts w:hint="eastAsia" w:ascii="宋体" w:hAnsi="宋体"/>
          <w:sz w:val="24"/>
          <w:szCs w:val="24"/>
          <w:highlight w:val="none"/>
        </w:rPr>
        <w:t>政府采购合同在执行过程中，确需修改、变更时，应当按照相应的审核批准程序办理。</w:t>
      </w:r>
    </w:p>
    <w:p w14:paraId="6B81FC9A">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30.5 </w:t>
      </w:r>
      <w:r>
        <w:rPr>
          <w:rFonts w:hint="eastAsia" w:ascii="宋体" w:hAnsi="宋体"/>
          <w:sz w:val="24"/>
          <w:szCs w:val="24"/>
          <w:highlight w:val="none"/>
        </w:rPr>
        <w:t>招标文件、投标文件、澄清等为政府采购合同的组成部分，具有同等法律效力。</w:t>
      </w:r>
    </w:p>
    <w:p w14:paraId="223B381F">
      <w:pPr>
        <w:spacing w:line="360" w:lineRule="auto"/>
        <w:ind w:firstLine="480" w:firstLineChars="200"/>
        <w:rPr>
          <w:rFonts w:ascii="宋体" w:hAnsi="宋体"/>
          <w:sz w:val="24"/>
          <w:szCs w:val="24"/>
          <w:highlight w:val="none"/>
        </w:rPr>
      </w:pPr>
      <w:r>
        <w:rPr>
          <w:rFonts w:ascii="宋体" w:hAnsi="宋体"/>
          <w:sz w:val="24"/>
          <w:szCs w:val="24"/>
          <w:highlight w:val="none"/>
        </w:rPr>
        <w:t>30.6</w:t>
      </w:r>
      <w:r>
        <w:rPr>
          <w:rFonts w:hint="eastAsia" w:ascii="宋体" w:hAnsi="宋体"/>
          <w:sz w:val="24"/>
          <w:szCs w:val="24"/>
          <w:highlight w:val="none"/>
        </w:rPr>
        <w:t>政府采购管理部门在合同履行期间以及履行期后，可以随时检查项目的执行情况，对采购标准、采购内容进行调查核实，并对发现的问题进行处理。</w:t>
      </w:r>
    </w:p>
    <w:p w14:paraId="2A11BF21">
      <w:pPr>
        <w:pStyle w:val="3"/>
        <w:spacing w:before="0" w:after="0" w:line="420" w:lineRule="exact"/>
        <w:jc w:val="center"/>
        <w:rPr>
          <w:highlight w:val="none"/>
        </w:rPr>
      </w:pPr>
      <w:bookmarkStart w:id="85" w:name="_Toc26541327"/>
      <w:bookmarkStart w:id="86" w:name="_Toc23258610"/>
      <w:r>
        <w:rPr>
          <w:rFonts w:hint="eastAsia"/>
          <w:highlight w:val="none"/>
        </w:rPr>
        <w:t>六、代理服务费</w:t>
      </w:r>
      <w:bookmarkEnd w:id="85"/>
      <w:bookmarkEnd w:id="86"/>
    </w:p>
    <w:bookmarkEnd w:id="75"/>
    <w:bookmarkEnd w:id="76"/>
    <w:bookmarkEnd w:id="77"/>
    <w:bookmarkEnd w:id="78"/>
    <w:bookmarkEnd w:id="79"/>
    <w:bookmarkEnd w:id="80"/>
    <w:bookmarkEnd w:id="81"/>
    <w:bookmarkEnd w:id="82"/>
    <w:bookmarkEnd w:id="83"/>
    <w:p w14:paraId="70C3EC30">
      <w:pPr>
        <w:spacing w:line="420" w:lineRule="exact"/>
        <w:ind w:firstLine="482" w:firstLineChars="200"/>
        <w:rPr>
          <w:rFonts w:ascii="宋体" w:hAnsi="宋体"/>
          <w:b/>
          <w:sz w:val="24"/>
          <w:szCs w:val="24"/>
          <w:highlight w:val="none"/>
        </w:rPr>
      </w:pPr>
      <w:bookmarkStart w:id="87" w:name="_Toc144974546"/>
      <w:r>
        <w:rPr>
          <w:rFonts w:ascii="宋体" w:hAnsi="宋体"/>
          <w:b/>
          <w:sz w:val="24"/>
          <w:szCs w:val="24"/>
          <w:highlight w:val="none"/>
        </w:rPr>
        <w:t>31</w:t>
      </w:r>
      <w:r>
        <w:rPr>
          <w:rFonts w:hint="eastAsia" w:ascii="宋体" w:hAnsi="宋体"/>
          <w:b/>
          <w:sz w:val="24"/>
          <w:szCs w:val="24"/>
          <w:highlight w:val="none"/>
          <w:lang w:val="en-US" w:eastAsia="zh-CN"/>
        </w:rPr>
        <w:t>.</w:t>
      </w:r>
      <w:r>
        <w:rPr>
          <w:rFonts w:hint="eastAsia" w:ascii="宋体" w:hAnsi="宋体"/>
          <w:b/>
          <w:sz w:val="24"/>
          <w:szCs w:val="24"/>
          <w:highlight w:val="none"/>
        </w:rPr>
        <w:t>代理服务费</w:t>
      </w:r>
    </w:p>
    <w:bookmarkEnd w:id="87"/>
    <w:p w14:paraId="7B63BB83">
      <w:pPr>
        <w:spacing w:line="360" w:lineRule="auto"/>
        <w:ind w:firstLine="600" w:firstLineChars="250"/>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 xml:space="preserve"> 中标人：需先缴纳足额服务费，凭借转账凭证前来领取中标通知书。</w:t>
      </w:r>
    </w:p>
    <w:p w14:paraId="46CECBB5">
      <w:pPr>
        <w:spacing w:line="360" w:lineRule="auto"/>
        <w:ind w:firstLine="600" w:firstLineChars="250"/>
        <w:rPr>
          <w:rFonts w:ascii="宋体" w:hAnsi="宋体"/>
          <w:sz w:val="24"/>
          <w:szCs w:val="24"/>
          <w:highlight w:val="none"/>
        </w:rPr>
      </w:pPr>
      <w:r>
        <w:rPr>
          <w:rFonts w:ascii="宋体" w:hAnsi="宋体"/>
          <w:sz w:val="24"/>
          <w:szCs w:val="24"/>
          <w:highlight w:val="none"/>
        </w:rPr>
        <w:t>31.2</w:t>
      </w:r>
      <w:r>
        <w:rPr>
          <w:rFonts w:hint="eastAsia" w:ascii="宋体" w:hAnsi="宋体"/>
          <w:sz w:val="24"/>
          <w:szCs w:val="24"/>
          <w:highlight w:val="none"/>
        </w:rPr>
        <w:t xml:space="preserve"> </w:t>
      </w:r>
      <w:r>
        <w:rPr>
          <w:rFonts w:hint="eastAsia" w:ascii="宋体" w:hAnsi="宋体"/>
          <w:sz w:val="24"/>
          <w:szCs w:val="24"/>
        </w:rPr>
        <w:t>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）规定标准计取。（采购代理机构开户名称：安康尚昊招标代理有限公司  开户行名称：中国建设银行股份有限公司安康分行营业部  帐      号：61050166371100000492）</w:t>
      </w:r>
    </w:p>
    <w:p w14:paraId="6C07374B">
      <w:pPr>
        <w:pStyle w:val="3"/>
        <w:spacing w:before="0" w:after="0" w:line="400" w:lineRule="exact"/>
        <w:jc w:val="center"/>
        <w:rPr>
          <w:highlight w:val="none"/>
        </w:rPr>
      </w:pPr>
      <w:bookmarkStart w:id="88" w:name="_Toc23258611"/>
      <w:bookmarkStart w:id="89" w:name="_Toc26541328"/>
      <w:r>
        <w:rPr>
          <w:rFonts w:hint="eastAsia"/>
          <w:highlight w:val="none"/>
        </w:rPr>
        <w:t>七</w:t>
      </w:r>
      <w:r>
        <w:rPr>
          <w:highlight w:val="none"/>
        </w:rPr>
        <w:t>、</w:t>
      </w:r>
      <w:r>
        <w:rPr>
          <w:rFonts w:hint="eastAsia"/>
          <w:highlight w:val="none"/>
        </w:rPr>
        <w:t>质疑、投诉</w:t>
      </w:r>
      <w:bookmarkEnd w:id="88"/>
      <w:bookmarkEnd w:id="89"/>
    </w:p>
    <w:p w14:paraId="2487A295">
      <w:pPr>
        <w:spacing w:line="400" w:lineRule="exact"/>
        <w:ind w:firstLine="482" w:firstLineChars="200"/>
        <w:rPr>
          <w:rFonts w:ascii="宋体" w:hAnsi="宋体"/>
          <w:b/>
          <w:snapToGrid w:val="0"/>
          <w:sz w:val="24"/>
          <w:szCs w:val="24"/>
          <w:highlight w:val="none"/>
        </w:rPr>
      </w:pPr>
      <w:r>
        <w:rPr>
          <w:rFonts w:ascii="宋体" w:hAnsi="宋体"/>
          <w:b/>
          <w:snapToGrid w:val="0"/>
          <w:sz w:val="24"/>
          <w:szCs w:val="24"/>
          <w:highlight w:val="none"/>
        </w:rPr>
        <w:t>32</w:t>
      </w:r>
      <w:r>
        <w:rPr>
          <w:rFonts w:hint="eastAsia" w:ascii="宋体" w:hAnsi="宋体"/>
          <w:b/>
          <w:snapToGrid w:val="0"/>
          <w:sz w:val="24"/>
          <w:szCs w:val="24"/>
          <w:highlight w:val="none"/>
          <w:lang w:val="en-US" w:eastAsia="zh-CN"/>
        </w:rPr>
        <w:t>.</w:t>
      </w:r>
      <w:r>
        <w:rPr>
          <w:rFonts w:hint="eastAsia" w:ascii="宋体" w:hAnsi="宋体"/>
          <w:b/>
          <w:snapToGrid w:val="0"/>
          <w:sz w:val="24"/>
          <w:szCs w:val="24"/>
          <w:highlight w:val="none"/>
        </w:rPr>
        <w:t>质疑、</w:t>
      </w:r>
      <w:r>
        <w:rPr>
          <w:rFonts w:ascii="宋体" w:hAnsi="宋体"/>
          <w:b/>
          <w:snapToGrid w:val="0"/>
          <w:sz w:val="24"/>
          <w:szCs w:val="24"/>
          <w:highlight w:val="none"/>
        </w:rPr>
        <w:t>投诉</w:t>
      </w:r>
    </w:p>
    <w:p w14:paraId="5F0C90D7">
      <w:pPr>
        <w:spacing w:line="360" w:lineRule="auto"/>
        <w:ind w:firstLine="480" w:firstLineChars="200"/>
        <w:rPr>
          <w:rFonts w:ascii="宋体" w:hAnsi="宋体"/>
          <w:sz w:val="24"/>
          <w:szCs w:val="24"/>
          <w:highlight w:val="none"/>
        </w:rPr>
      </w:pPr>
      <w:r>
        <w:rPr>
          <w:rFonts w:hint="eastAsia" w:ascii="宋体" w:hAnsi="宋体"/>
          <w:sz w:val="24"/>
          <w:szCs w:val="24"/>
          <w:highlight w:val="none"/>
        </w:rPr>
        <w:t>质疑或投诉的接收和处理应当按照《中华人民共和国政府采购法》及其实施条例、《政府采购质疑和投诉办法</w:t>
      </w:r>
      <w:r>
        <w:rPr>
          <w:rFonts w:hint="eastAsia" w:ascii="宋体" w:hAnsi="宋体"/>
          <w:sz w:val="24"/>
          <w:szCs w:val="24"/>
          <w:highlight w:val="none"/>
          <w:lang w:eastAsia="zh-CN"/>
        </w:rPr>
        <w:t>》《</w:t>
      </w:r>
      <w:r>
        <w:rPr>
          <w:rFonts w:hint="eastAsia" w:ascii="宋体" w:hAnsi="宋体"/>
          <w:sz w:val="24"/>
          <w:szCs w:val="24"/>
          <w:highlight w:val="none"/>
        </w:rPr>
        <w:t>财政部关于加强政府采购供应商投诉受理审查工作的通知》等的相关规定办理。</w:t>
      </w:r>
    </w:p>
    <w:p w14:paraId="12C1FD1B">
      <w:pPr>
        <w:spacing w:line="360" w:lineRule="auto"/>
        <w:ind w:firstLine="480" w:firstLineChars="200"/>
        <w:rPr>
          <w:rFonts w:ascii="宋体" w:hAnsi="宋体"/>
          <w:sz w:val="24"/>
          <w:szCs w:val="24"/>
          <w:highlight w:val="none"/>
        </w:rPr>
      </w:pPr>
      <w:r>
        <w:rPr>
          <w:rFonts w:ascii="宋体" w:hAnsi="宋体"/>
          <w:sz w:val="24"/>
          <w:szCs w:val="24"/>
          <w:highlight w:val="none"/>
        </w:rPr>
        <w:t>32.1</w:t>
      </w:r>
      <w:r>
        <w:rPr>
          <w:rFonts w:hint="eastAsia" w:ascii="宋体" w:hAnsi="宋体"/>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694BC83">
      <w:pPr>
        <w:spacing w:line="360" w:lineRule="auto"/>
        <w:ind w:firstLine="480" w:firstLineChars="200"/>
        <w:rPr>
          <w:rFonts w:ascii="宋体" w:hAnsi="宋体"/>
          <w:sz w:val="24"/>
          <w:szCs w:val="24"/>
          <w:highlight w:val="none"/>
        </w:rPr>
      </w:pPr>
      <w:r>
        <w:rPr>
          <w:rFonts w:hint="eastAsia" w:ascii="宋体" w:hAnsi="宋体"/>
          <w:sz w:val="24"/>
          <w:szCs w:val="24"/>
          <w:highlight w:val="none"/>
        </w:rPr>
        <w:t>（1）对采购文件提出质疑的，为收到采购文件之日或者采购文件公告期限届满之日；</w:t>
      </w:r>
    </w:p>
    <w:p w14:paraId="5ADC43FA">
      <w:pPr>
        <w:spacing w:line="360" w:lineRule="auto"/>
        <w:ind w:firstLine="480" w:firstLineChars="200"/>
        <w:rPr>
          <w:rFonts w:ascii="宋体" w:hAnsi="宋体"/>
          <w:sz w:val="24"/>
          <w:szCs w:val="24"/>
          <w:highlight w:val="none"/>
        </w:rPr>
      </w:pPr>
      <w:r>
        <w:rPr>
          <w:rFonts w:hint="eastAsia" w:ascii="宋体" w:hAnsi="宋体"/>
          <w:sz w:val="24"/>
          <w:szCs w:val="24"/>
          <w:highlight w:val="none"/>
        </w:rPr>
        <w:t>（2）对采购过程提出质疑的，为各采购程序环节结束之日；</w:t>
      </w:r>
    </w:p>
    <w:p w14:paraId="736E4264">
      <w:pPr>
        <w:spacing w:line="360" w:lineRule="auto"/>
        <w:ind w:firstLine="480" w:firstLineChars="200"/>
        <w:rPr>
          <w:rFonts w:ascii="宋体" w:hAnsi="宋体"/>
          <w:sz w:val="24"/>
          <w:szCs w:val="24"/>
          <w:highlight w:val="none"/>
        </w:rPr>
      </w:pPr>
      <w:r>
        <w:rPr>
          <w:rFonts w:hint="eastAsia" w:ascii="宋体" w:hAnsi="宋体"/>
          <w:sz w:val="24"/>
          <w:szCs w:val="24"/>
          <w:highlight w:val="none"/>
        </w:rPr>
        <w:t>（3）对中标或者成交结果提出质疑的，为中标或者成交结果公告期限届满之日。</w:t>
      </w:r>
    </w:p>
    <w:p w14:paraId="1784AFCE">
      <w:pPr>
        <w:spacing w:line="360" w:lineRule="auto"/>
        <w:ind w:firstLine="480" w:firstLineChars="200"/>
        <w:rPr>
          <w:rFonts w:ascii="宋体" w:hAnsi="宋体"/>
          <w:sz w:val="24"/>
          <w:szCs w:val="24"/>
          <w:highlight w:val="none"/>
        </w:rPr>
      </w:pPr>
      <w:r>
        <w:rPr>
          <w:rFonts w:ascii="宋体" w:hAnsi="宋体"/>
          <w:sz w:val="24"/>
          <w:szCs w:val="24"/>
          <w:highlight w:val="none"/>
        </w:rPr>
        <w:t>32.2</w:t>
      </w:r>
      <w:r>
        <w:rPr>
          <w:rFonts w:hint="eastAsia" w:ascii="宋体" w:hAnsi="宋体"/>
          <w:sz w:val="24"/>
          <w:szCs w:val="24"/>
          <w:highlight w:val="none"/>
        </w:rPr>
        <w:t>供应商应当在法定质疑期内一次性提出针对同一采购程序环节的质疑。</w:t>
      </w:r>
    </w:p>
    <w:p w14:paraId="0242D2FF">
      <w:pPr>
        <w:spacing w:line="360"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质疑函应当包括下列主要内容：</w:t>
      </w:r>
    </w:p>
    <w:p w14:paraId="5FC762F8">
      <w:pPr>
        <w:spacing w:line="360" w:lineRule="auto"/>
        <w:ind w:firstLine="480" w:firstLineChars="200"/>
        <w:rPr>
          <w:rFonts w:ascii="宋体" w:hAnsi="宋体"/>
          <w:sz w:val="24"/>
          <w:szCs w:val="24"/>
          <w:highlight w:val="none"/>
        </w:rPr>
      </w:pPr>
      <w:r>
        <w:rPr>
          <w:rFonts w:hint="eastAsia" w:ascii="宋体" w:hAnsi="宋体"/>
          <w:sz w:val="24"/>
          <w:szCs w:val="24"/>
          <w:highlight w:val="none"/>
        </w:rPr>
        <w:t>（1）供应商的姓名或者名称、地址、邮编、联系人及联系电话；</w:t>
      </w:r>
    </w:p>
    <w:p w14:paraId="33022169">
      <w:pPr>
        <w:spacing w:line="360" w:lineRule="auto"/>
        <w:ind w:firstLine="480" w:firstLineChars="200"/>
        <w:rPr>
          <w:rFonts w:ascii="宋体" w:hAnsi="宋体"/>
          <w:sz w:val="24"/>
          <w:szCs w:val="24"/>
          <w:highlight w:val="none"/>
        </w:rPr>
      </w:pPr>
      <w:r>
        <w:rPr>
          <w:rFonts w:hint="eastAsia" w:ascii="宋体" w:hAnsi="宋体"/>
          <w:sz w:val="24"/>
          <w:szCs w:val="24"/>
          <w:highlight w:val="none"/>
        </w:rPr>
        <w:t>（2）质疑项目的名称、编号；</w:t>
      </w:r>
    </w:p>
    <w:p w14:paraId="60C5E406">
      <w:pPr>
        <w:spacing w:line="360" w:lineRule="auto"/>
        <w:ind w:firstLine="480" w:firstLineChars="200"/>
        <w:rPr>
          <w:rFonts w:ascii="宋体" w:hAnsi="宋体"/>
          <w:sz w:val="24"/>
          <w:szCs w:val="24"/>
          <w:highlight w:val="none"/>
        </w:rPr>
      </w:pPr>
      <w:r>
        <w:rPr>
          <w:rFonts w:hint="eastAsia" w:ascii="宋体" w:hAnsi="宋体"/>
          <w:sz w:val="24"/>
          <w:szCs w:val="24"/>
          <w:highlight w:val="none"/>
        </w:rPr>
        <w:t>（3）具体、明确的质疑事项和与质疑事项相关的请求；</w:t>
      </w:r>
    </w:p>
    <w:p w14:paraId="0A48848C">
      <w:pPr>
        <w:spacing w:line="360" w:lineRule="auto"/>
        <w:ind w:firstLine="480" w:firstLineChars="200"/>
        <w:rPr>
          <w:rFonts w:ascii="宋体" w:hAnsi="宋体"/>
          <w:sz w:val="24"/>
          <w:szCs w:val="24"/>
          <w:highlight w:val="none"/>
        </w:rPr>
      </w:pPr>
      <w:r>
        <w:rPr>
          <w:rFonts w:hint="eastAsia" w:ascii="宋体" w:hAnsi="宋体"/>
          <w:sz w:val="24"/>
          <w:szCs w:val="24"/>
          <w:highlight w:val="none"/>
        </w:rPr>
        <w:t>（4）事实依据；</w:t>
      </w:r>
    </w:p>
    <w:p w14:paraId="3574C3BB">
      <w:pPr>
        <w:spacing w:line="360" w:lineRule="auto"/>
        <w:ind w:firstLine="480" w:firstLineChars="200"/>
        <w:rPr>
          <w:rFonts w:ascii="宋体" w:hAnsi="宋体"/>
          <w:sz w:val="24"/>
          <w:szCs w:val="24"/>
          <w:highlight w:val="none"/>
        </w:rPr>
      </w:pPr>
      <w:r>
        <w:rPr>
          <w:rFonts w:hint="eastAsia" w:ascii="宋体" w:hAnsi="宋体"/>
          <w:sz w:val="24"/>
          <w:szCs w:val="24"/>
          <w:highlight w:val="none"/>
        </w:rPr>
        <w:t>（5）必要的法律依据；</w:t>
      </w:r>
    </w:p>
    <w:p w14:paraId="593FD88F">
      <w:pPr>
        <w:spacing w:line="360" w:lineRule="auto"/>
        <w:ind w:firstLine="480" w:firstLineChars="200"/>
        <w:rPr>
          <w:rFonts w:ascii="宋体" w:hAnsi="宋体"/>
          <w:sz w:val="24"/>
          <w:szCs w:val="24"/>
          <w:highlight w:val="none"/>
        </w:rPr>
      </w:pPr>
      <w:r>
        <w:rPr>
          <w:rFonts w:hint="eastAsia" w:ascii="宋体" w:hAnsi="宋体"/>
          <w:sz w:val="24"/>
          <w:szCs w:val="24"/>
          <w:highlight w:val="none"/>
        </w:rPr>
        <w:t>（6）提出质疑的日期。</w:t>
      </w:r>
    </w:p>
    <w:p w14:paraId="5594241A">
      <w:pPr>
        <w:spacing w:line="360" w:lineRule="auto"/>
        <w:ind w:firstLine="480" w:firstLineChars="200"/>
        <w:rPr>
          <w:rFonts w:ascii="宋体" w:hAnsi="宋体"/>
          <w:sz w:val="24"/>
          <w:szCs w:val="24"/>
          <w:highlight w:val="none"/>
        </w:rPr>
      </w:pPr>
      <w:r>
        <w:rPr>
          <w:rFonts w:ascii="宋体" w:hAnsi="宋体"/>
          <w:sz w:val="24"/>
          <w:szCs w:val="24"/>
          <w:highlight w:val="none"/>
        </w:rPr>
        <w:t>32.4</w:t>
      </w:r>
      <w:r>
        <w:rPr>
          <w:rFonts w:hint="eastAsia" w:ascii="宋体" w:hAnsi="宋体"/>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17EA7EB">
      <w:pPr>
        <w:spacing w:line="360" w:lineRule="auto"/>
        <w:ind w:firstLine="480" w:firstLineChars="200"/>
        <w:rPr>
          <w:rFonts w:ascii="宋体" w:hAnsi="宋体"/>
          <w:sz w:val="24"/>
          <w:szCs w:val="24"/>
          <w:highlight w:val="none"/>
        </w:rPr>
      </w:pPr>
      <w:r>
        <w:rPr>
          <w:rFonts w:ascii="宋体" w:hAnsi="宋体"/>
          <w:sz w:val="24"/>
          <w:szCs w:val="24"/>
          <w:highlight w:val="none"/>
        </w:rPr>
        <w:t>32.5</w:t>
      </w:r>
      <w:r>
        <w:rPr>
          <w:rFonts w:hint="eastAsia" w:ascii="宋体" w:hAnsi="宋体"/>
          <w:sz w:val="24"/>
          <w:szCs w:val="24"/>
          <w:highlight w:val="none"/>
        </w:rPr>
        <w:t>质疑函内容不得含有虚假、恶意</w:t>
      </w:r>
      <w:r>
        <w:rPr>
          <w:rFonts w:hint="eastAsia" w:ascii="宋体" w:hAnsi="宋体"/>
          <w:sz w:val="24"/>
          <w:szCs w:val="24"/>
          <w:highlight w:val="none"/>
          <w:lang w:eastAsia="zh-CN"/>
        </w:rPr>
        <w:t>成分</w:t>
      </w:r>
      <w:r>
        <w:rPr>
          <w:rFonts w:hint="eastAsia" w:ascii="宋体" w:hAnsi="宋体"/>
          <w:sz w:val="24"/>
          <w:szCs w:val="24"/>
          <w:highlight w:val="none"/>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highlight w:val="none"/>
          <w:lang w:eastAsia="zh-CN"/>
        </w:rPr>
        <w:t>滥用职权</w:t>
      </w:r>
      <w:r>
        <w:rPr>
          <w:rFonts w:hint="eastAsia" w:ascii="宋体" w:hAnsi="宋体"/>
          <w:sz w:val="24"/>
          <w:szCs w:val="24"/>
          <w:highlight w:val="none"/>
        </w:rPr>
        <w:t>扰乱采购秩序的恶意质疑者，采购人、采购代理机构应当依法驳回。</w:t>
      </w:r>
    </w:p>
    <w:p w14:paraId="196D7A45">
      <w:pPr>
        <w:spacing w:line="360" w:lineRule="auto"/>
        <w:ind w:firstLine="480" w:firstLineChars="200"/>
        <w:rPr>
          <w:rFonts w:ascii="宋体" w:hAnsi="宋体"/>
          <w:sz w:val="24"/>
          <w:szCs w:val="24"/>
          <w:highlight w:val="none"/>
        </w:rPr>
      </w:pPr>
      <w:r>
        <w:rPr>
          <w:rFonts w:ascii="宋体" w:hAnsi="宋体"/>
          <w:sz w:val="24"/>
          <w:szCs w:val="24"/>
          <w:highlight w:val="none"/>
        </w:rPr>
        <w:t>32.6</w:t>
      </w:r>
      <w:r>
        <w:rPr>
          <w:rFonts w:hint="eastAsia" w:ascii="宋体" w:hAnsi="宋体"/>
          <w:sz w:val="24"/>
          <w:szCs w:val="24"/>
          <w:highlight w:val="none"/>
        </w:rPr>
        <w:t xml:space="preserve">质疑函接收方式：由自然人本人或法定代表人或者其授权代表携带书面原件及身份证明原件到现场递交，否则不予受理 。 </w:t>
      </w:r>
    </w:p>
    <w:p w14:paraId="1DD8D5C4">
      <w:pPr>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质疑受理部门：安康尚昊招标代理有限公司</w:t>
      </w:r>
    </w:p>
    <w:p w14:paraId="7572E36B">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质疑受理电话：15991480332</w:t>
      </w:r>
    </w:p>
    <w:p w14:paraId="6A34575D">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32.8</w:t>
      </w:r>
      <w:r>
        <w:rPr>
          <w:rFonts w:hint="eastAsia" w:ascii="宋体" w:hAnsi="宋体"/>
          <w:sz w:val="24"/>
          <w:szCs w:val="24"/>
          <w:highlight w:val="none"/>
        </w:rPr>
        <w:t>提交质疑函地点：</w:t>
      </w:r>
      <w:r>
        <w:rPr>
          <w:rFonts w:hint="eastAsia" w:ascii="宋体" w:hAnsi="宋体"/>
          <w:sz w:val="24"/>
          <w:szCs w:val="24"/>
          <w:highlight w:val="none"/>
          <w:lang w:eastAsia="zh-CN"/>
        </w:rPr>
        <w:t>安康市高新区高新观澜8栋二单元801室</w:t>
      </w:r>
    </w:p>
    <w:p w14:paraId="3F9E1EC5">
      <w:pPr>
        <w:spacing w:line="360" w:lineRule="auto"/>
        <w:ind w:firstLine="480" w:firstLineChars="200"/>
        <w:rPr>
          <w:rFonts w:ascii="宋体" w:hAnsi="宋体"/>
          <w:sz w:val="24"/>
          <w:szCs w:val="24"/>
          <w:highlight w:val="none"/>
        </w:rPr>
      </w:pPr>
      <w:r>
        <w:rPr>
          <w:rFonts w:ascii="宋体" w:hAnsi="宋体"/>
          <w:sz w:val="24"/>
          <w:szCs w:val="24"/>
          <w:highlight w:val="none"/>
        </w:rPr>
        <w:t>32.9</w:t>
      </w:r>
      <w:r>
        <w:rPr>
          <w:rFonts w:hint="eastAsia" w:ascii="宋体" w:hAnsi="宋体"/>
          <w:sz w:val="24"/>
          <w:szCs w:val="24"/>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E761968">
      <w:pPr>
        <w:spacing w:line="480" w:lineRule="exact"/>
        <w:ind w:firstLine="480" w:firstLineChars="200"/>
        <w:rPr>
          <w:rFonts w:ascii="宋体" w:hAnsi="宋体"/>
          <w:sz w:val="24"/>
          <w:szCs w:val="24"/>
          <w:highlight w:val="none"/>
        </w:rPr>
      </w:pPr>
      <w:r>
        <w:rPr>
          <w:rFonts w:ascii="宋体" w:hAnsi="宋体"/>
          <w:sz w:val="24"/>
          <w:szCs w:val="24"/>
          <w:highlight w:val="none"/>
        </w:rPr>
        <w:t>32.10</w:t>
      </w:r>
      <w:r>
        <w:rPr>
          <w:rFonts w:hint="eastAsia" w:ascii="宋体" w:hAnsi="宋体"/>
          <w:sz w:val="24"/>
          <w:szCs w:val="24"/>
          <w:highlight w:val="none"/>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4213983">
      <w:pPr>
        <w:spacing w:line="480" w:lineRule="exact"/>
        <w:ind w:firstLine="480" w:firstLineChars="200"/>
        <w:rPr>
          <w:rFonts w:ascii="宋体" w:hAnsi="宋体"/>
          <w:sz w:val="24"/>
          <w:szCs w:val="24"/>
          <w:highlight w:val="none"/>
        </w:rPr>
      </w:pPr>
      <w:r>
        <w:rPr>
          <w:rFonts w:ascii="宋体" w:hAnsi="宋体"/>
          <w:sz w:val="24"/>
          <w:szCs w:val="24"/>
          <w:highlight w:val="none"/>
        </w:rPr>
        <w:t>32.11</w:t>
      </w:r>
      <w:r>
        <w:rPr>
          <w:rFonts w:hint="eastAsia" w:ascii="宋体" w:hAnsi="宋体"/>
          <w:sz w:val="24"/>
          <w:szCs w:val="24"/>
          <w:highlight w:val="none"/>
        </w:rPr>
        <w:t xml:space="preserve"> 质疑函应当使用中文。</w:t>
      </w:r>
    </w:p>
    <w:p w14:paraId="6C4648AE">
      <w:pPr>
        <w:pStyle w:val="3"/>
        <w:spacing w:before="0" w:after="0" w:line="480" w:lineRule="exact"/>
        <w:jc w:val="center"/>
        <w:rPr>
          <w:highlight w:val="none"/>
        </w:rPr>
      </w:pPr>
      <w:bookmarkStart w:id="90" w:name="_Toc26541329"/>
      <w:bookmarkStart w:id="91" w:name="_Toc23258612"/>
      <w:r>
        <w:rPr>
          <w:rFonts w:hint="eastAsia"/>
          <w:highlight w:val="none"/>
        </w:rPr>
        <w:t>八、采购政策</w:t>
      </w:r>
      <w:bookmarkEnd w:id="90"/>
      <w:bookmarkEnd w:id="91"/>
    </w:p>
    <w:p w14:paraId="0B0F1D36">
      <w:pPr>
        <w:spacing w:line="480" w:lineRule="exact"/>
        <w:rPr>
          <w:rFonts w:ascii="宋体" w:hAnsi="宋体"/>
          <w:b/>
          <w:snapToGrid w:val="0"/>
          <w:sz w:val="24"/>
          <w:szCs w:val="24"/>
          <w:highlight w:val="none"/>
        </w:rPr>
      </w:pPr>
      <w:r>
        <w:rPr>
          <w:rFonts w:ascii="宋体" w:hAnsi="宋体"/>
          <w:b/>
          <w:snapToGrid w:val="0"/>
          <w:sz w:val="24"/>
          <w:szCs w:val="24"/>
          <w:highlight w:val="none"/>
        </w:rPr>
        <w:t>33</w:t>
      </w:r>
      <w:r>
        <w:rPr>
          <w:rFonts w:hint="eastAsia" w:ascii="宋体" w:hAnsi="宋体"/>
          <w:b/>
          <w:snapToGrid w:val="0"/>
          <w:sz w:val="24"/>
          <w:szCs w:val="24"/>
          <w:highlight w:val="none"/>
        </w:rPr>
        <w:t>.采购政策</w:t>
      </w:r>
    </w:p>
    <w:p w14:paraId="6B3E881B">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4674B13">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19B80FC">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highlight w:val="none"/>
          <w:shd w:val="clear" w:color="auto" w:fill="FFFFFF"/>
          <w:lang w:eastAsia="zh-CN"/>
        </w:rPr>
        <w:t>给予</w:t>
      </w:r>
      <w:r>
        <w:rPr>
          <w:rFonts w:hint="eastAsia" w:ascii="宋体" w:hAnsi="宋体" w:cs="宋体"/>
          <w:color w:val="333333"/>
          <w:sz w:val="24"/>
          <w:szCs w:val="24"/>
          <w:highlight w:val="none"/>
          <w:shd w:val="clear" w:color="auto" w:fill="FFFFFF"/>
        </w:rPr>
        <w:t>10%的价格扣除，用扣除后的价格参与评审；</w:t>
      </w:r>
    </w:p>
    <w:p w14:paraId="3034BF4F">
      <w:pPr>
        <w:snapToGrid w:val="0"/>
        <w:spacing w:line="460" w:lineRule="exact"/>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w:t>
      </w:r>
      <w:r>
        <w:rPr>
          <w:rFonts w:hint="eastAsia" w:ascii="宋体" w:hAnsi="宋体" w:eastAsia="宋体" w:cs="宋体"/>
          <w:color w:val="333333"/>
          <w:sz w:val="24"/>
          <w:szCs w:val="24"/>
          <w:highlight w:val="none"/>
          <w:shd w:val="clear" w:color="auto" w:fill="FFFFFF"/>
        </w:rPr>
        <w:t>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（4）对专门面向中小企业采购项目，不再执行价格扣除政策。</w:t>
      </w:r>
    </w:p>
    <w:p w14:paraId="28D51445">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（5）对非专门面向中小企业采购项目，执行以上价格扣除政策。</w:t>
      </w:r>
    </w:p>
    <w:p w14:paraId="2CCCDDCD">
      <w:pPr>
        <w:spacing w:line="480" w:lineRule="exact"/>
        <w:ind w:firstLine="482" w:firstLineChars="200"/>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highlight w:val="none"/>
          <w:lang w:eastAsia="zh-CN"/>
        </w:rPr>
        <w:t>，</w:t>
      </w:r>
      <w:r>
        <w:rPr>
          <w:rFonts w:hint="eastAsia" w:ascii="宋体" w:hAnsi="宋体"/>
          <w:sz w:val="24"/>
          <w:szCs w:val="24"/>
          <w:highlight w:val="none"/>
        </w:rPr>
        <w:t>对既属于监狱企业、福利企业，同时又满足中小微企业规定的投标单位，其价格扣除仅适用一次。</w:t>
      </w:r>
    </w:p>
    <w:p w14:paraId="54C3F77D">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2D2541D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②所投产品为“环境标志产品政府采购清单”所列产品，在性能、技术、服务等指标同等的条件下，应当优先采用；</w:t>
      </w:r>
    </w:p>
    <w:p w14:paraId="7765C049">
      <w:pPr>
        <w:spacing w:line="480" w:lineRule="exact"/>
        <w:ind w:firstLine="480" w:firstLineChars="200"/>
        <w:rPr>
          <w:rFonts w:ascii="宋体" w:hAnsi="宋体"/>
          <w:sz w:val="24"/>
          <w:szCs w:val="24"/>
          <w:highlight w:val="none"/>
        </w:rPr>
      </w:pPr>
      <w:r>
        <w:rPr>
          <w:rFonts w:hint="eastAsia" w:ascii="宋体" w:hAnsi="宋体"/>
          <w:sz w:val="24"/>
          <w:szCs w:val="24"/>
          <w:highlight w:val="none"/>
        </w:rPr>
        <w:t>③节能产品根据《国务院办公厅关于建立政府强制采购节能产品制度的通知》国办发</w:t>
      </w:r>
      <w:r>
        <w:rPr>
          <w:rFonts w:hint="eastAsia" w:ascii="宋体" w:hAnsi="宋体"/>
          <w:sz w:val="24"/>
          <w:szCs w:val="24"/>
          <w:highlight w:val="none"/>
          <w:lang w:eastAsia="zh-CN"/>
        </w:rPr>
        <w:t>〔</w:t>
      </w:r>
      <w:r>
        <w:rPr>
          <w:rFonts w:hint="eastAsia" w:ascii="宋体" w:hAnsi="宋体"/>
          <w:sz w:val="24"/>
          <w:szCs w:val="24"/>
          <w:highlight w:val="none"/>
        </w:rPr>
        <w:t>2007</w:t>
      </w:r>
      <w:r>
        <w:rPr>
          <w:rFonts w:hint="eastAsia" w:ascii="宋体" w:hAnsi="宋体"/>
          <w:sz w:val="24"/>
          <w:szCs w:val="24"/>
          <w:highlight w:val="none"/>
          <w:lang w:eastAsia="zh-CN"/>
        </w:rPr>
        <w:t>〕</w:t>
      </w:r>
      <w:r>
        <w:rPr>
          <w:rFonts w:hint="eastAsia" w:ascii="宋体" w:hAnsi="宋体"/>
          <w:sz w:val="24"/>
          <w:szCs w:val="24"/>
          <w:highlight w:val="none"/>
        </w:rPr>
        <w:t>51号的规定，以中国政府采购网（http://www.ccgp.gov.cn/）公布的最新一期节能产品政府采购清单为准；</w:t>
      </w:r>
    </w:p>
    <w:p w14:paraId="0369BE1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④环境标志产品根据《环境标志产品政府采购实施的意见》（财库</w:t>
      </w:r>
      <w:r>
        <w:rPr>
          <w:rFonts w:hint="eastAsia" w:ascii="宋体" w:hAnsi="宋体"/>
          <w:sz w:val="24"/>
          <w:szCs w:val="24"/>
          <w:highlight w:val="none"/>
          <w:lang w:eastAsia="zh-CN"/>
        </w:rPr>
        <w:t>〔2006〕90号</w:t>
      </w:r>
      <w:r>
        <w:rPr>
          <w:rFonts w:hint="eastAsia" w:ascii="宋体" w:hAnsi="宋体"/>
          <w:sz w:val="24"/>
          <w:szCs w:val="24"/>
          <w:highlight w:val="none"/>
        </w:rPr>
        <w:t>）的规定，以中国政府采购网（http://www.ccgp.gov.cn/）公布的最新一期环境标志产品政府采购清单为准；</w:t>
      </w:r>
    </w:p>
    <w:p w14:paraId="10CB119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⑤若节能、环保、环境标志清单内的产品仅是构成投标产品的部件、组件或零件的，则该投标产品不享受鼓励优惠政策；</w:t>
      </w:r>
    </w:p>
    <w:p w14:paraId="7237F51A">
      <w:pPr>
        <w:spacing w:line="480" w:lineRule="exact"/>
        <w:ind w:firstLine="480" w:firstLineChars="200"/>
        <w:rPr>
          <w:rFonts w:ascii="Calibri" w:hAnsi="Calibri"/>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关于信用记录的查询和使用</w:t>
      </w:r>
    </w:p>
    <w:p w14:paraId="012BC154">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①采购人将在</w:t>
      </w:r>
      <w:r>
        <w:rPr>
          <w:rFonts w:ascii="宋体" w:hAnsi="宋体"/>
          <w:sz w:val="24"/>
          <w:szCs w:val="24"/>
          <w:highlight w:val="none"/>
        </w:rPr>
        <w:t>资格审查</w:t>
      </w:r>
      <w:r>
        <w:rPr>
          <w:rFonts w:hint="eastAsia" w:ascii="宋体" w:hAnsi="宋体"/>
          <w:sz w:val="24"/>
          <w:szCs w:val="24"/>
          <w:highlight w:val="none"/>
        </w:rPr>
        <w:t>阶段通过【</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szCs w:val="24"/>
          <w:highlight w:val="none"/>
        </w:rPr>
        <w:t>信用中国</w:t>
      </w:r>
      <w:r>
        <w:rPr>
          <w:rFonts w:hint="eastAsia" w:ascii="宋体" w:hAnsi="宋体"/>
          <w:sz w:val="24"/>
          <w:szCs w:val="24"/>
          <w:highlight w:val="none"/>
        </w:rPr>
        <w:fldChar w:fldCharType="end"/>
      </w:r>
      <w:r>
        <w:rPr>
          <w:rFonts w:hint="eastAsia" w:ascii="宋体" w:hAnsi="宋体"/>
          <w:sz w:val="24"/>
          <w:szCs w:val="24"/>
          <w:highlight w:val="none"/>
        </w:rPr>
        <w:t>（www.creditchina.gov.cn）】、【</w:t>
      </w:r>
      <w:r>
        <w:rPr>
          <w:rFonts w:hint="eastAsia"/>
          <w:highlight w:val="none"/>
        </w:rPr>
        <w:fldChar w:fldCharType="begin"/>
      </w:r>
      <w:r>
        <w:rPr>
          <w:highlight w:val="none"/>
        </w:rPr>
        <w:instrText xml:space="preserve"> HYPERLINK "http://www.ccgp.gov.cn/cr/list" </w:instrText>
      </w:r>
      <w:r>
        <w:rPr>
          <w:rFonts w:hint="eastAsia"/>
          <w:highlight w:val="none"/>
        </w:rPr>
        <w:fldChar w:fldCharType="separate"/>
      </w:r>
      <w:r>
        <w:rPr>
          <w:rFonts w:hint="eastAsia" w:ascii="宋体" w:hAnsi="宋体"/>
          <w:sz w:val="24"/>
          <w:szCs w:val="24"/>
          <w:highlight w:val="none"/>
        </w:rPr>
        <w:t>中国政府采购网</w:t>
      </w:r>
      <w:r>
        <w:rPr>
          <w:rFonts w:hint="eastAsia" w:ascii="宋体" w:hAnsi="宋体"/>
          <w:sz w:val="24"/>
          <w:szCs w:val="24"/>
          <w:highlight w:val="none"/>
        </w:rPr>
        <w:fldChar w:fldCharType="end"/>
      </w:r>
      <w:r>
        <w:rPr>
          <w:rFonts w:hint="eastAsia" w:ascii="宋体" w:hAnsi="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AA848F1">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②投标人在参加政府采购活动前3年内因违法经营被禁止在一定期限内参加政府采购活动，期限届满的，可以参加政府采购活动的，但投标人应提供相关证明材料；</w:t>
      </w:r>
    </w:p>
    <w:p w14:paraId="62AD32C3">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③</w:t>
      </w:r>
      <w:r>
        <w:rPr>
          <w:rFonts w:ascii="宋体" w:hAnsi="宋体"/>
          <w:sz w:val="24"/>
          <w:szCs w:val="24"/>
          <w:highlight w:val="none"/>
        </w:rPr>
        <w:t>信用记录查询的截止时点为“</w:t>
      </w:r>
      <w:r>
        <w:rPr>
          <w:rFonts w:hint="eastAsia" w:ascii="宋体" w:hAnsi="宋体"/>
          <w:sz w:val="24"/>
          <w:szCs w:val="24"/>
          <w:highlight w:val="none"/>
        </w:rPr>
        <w:t>招标文件发售之日起至投标截止日前</w:t>
      </w:r>
      <w:r>
        <w:rPr>
          <w:rFonts w:ascii="宋体" w:hAnsi="宋体"/>
          <w:sz w:val="24"/>
          <w:szCs w:val="24"/>
          <w:highlight w:val="none"/>
        </w:rPr>
        <w:t>”。</w:t>
      </w:r>
      <w:r>
        <w:rPr>
          <w:rFonts w:hint="eastAsia" w:ascii="宋体" w:hAnsi="宋体"/>
          <w:sz w:val="24"/>
          <w:szCs w:val="24"/>
          <w:highlight w:val="none"/>
        </w:rPr>
        <w:t>信用记录查询的结果，将以截图保存至电子介质的形式留存。投标人未如实填报《投标人书面声明函》的，视为“投标人提供虚假材料谋取中标、成交的”行为。</w:t>
      </w:r>
      <w:bookmarkEnd w:id="72"/>
      <w:bookmarkEnd w:id="73"/>
      <w:bookmarkEnd w:id="74"/>
      <w:bookmarkEnd w:id="84"/>
    </w:p>
    <w:p w14:paraId="2D5374B7">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lang w:val="zh-CN"/>
        </w:rPr>
        <w:t>）融资政策</w:t>
      </w:r>
    </w:p>
    <w:p w14:paraId="494ED0F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6A244756">
      <w:pPr>
        <w:pStyle w:val="3"/>
        <w:spacing w:before="0" w:after="0" w:line="440" w:lineRule="exact"/>
        <w:jc w:val="center"/>
        <w:rPr>
          <w:highlight w:val="none"/>
        </w:rPr>
      </w:pPr>
      <w:bookmarkStart w:id="92" w:name="_Toc23258613"/>
      <w:bookmarkStart w:id="93" w:name="_Toc26541330"/>
      <w:r>
        <w:rPr>
          <w:rFonts w:hint="eastAsia"/>
          <w:highlight w:val="none"/>
        </w:rPr>
        <w:t>九</w:t>
      </w:r>
      <w:r>
        <w:rPr>
          <w:highlight w:val="none"/>
        </w:rPr>
        <w:t>、</w:t>
      </w:r>
      <w:r>
        <w:rPr>
          <w:rFonts w:hint="eastAsia"/>
          <w:highlight w:val="none"/>
          <w:lang w:eastAsia="zh-CN"/>
        </w:rPr>
        <w:t>其他</w:t>
      </w:r>
      <w:r>
        <w:rPr>
          <w:rFonts w:hint="eastAsia"/>
          <w:highlight w:val="none"/>
        </w:rPr>
        <w:t>事项</w:t>
      </w:r>
      <w:bookmarkEnd w:id="92"/>
      <w:bookmarkEnd w:id="93"/>
    </w:p>
    <w:p w14:paraId="14DB24D3">
      <w:pPr>
        <w:spacing w:line="440" w:lineRule="exac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w:t>
      </w:r>
      <w:r>
        <w:rPr>
          <w:rFonts w:hint="eastAsia" w:ascii="宋体" w:hAnsi="宋体"/>
          <w:b/>
          <w:color w:val="000000" w:themeColor="text1"/>
          <w:sz w:val="24"/>
          <w:szCs w:val="24"/>
          <w:highlight w:val="none"/>
          <w:lang w:val="en-US"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其它事项</w:t>
      </w:r>
    </w:p>
    <w:p w14:paraId="0DC89DAD">
      <w:pPr>
        <w:spacing w:line="44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w:t>
      </w:r>
      <w:r>
        <w:rPr>
          <w:rFonts w:hint="eastAsia" w:ascii="宋体" w:hAnsi="宋体"/>
          <w:color w:val="000000" w:themeColor="text1"/>
          <w:sz w:val="24"/>
          <w:szCs w:val="24"/>
          <w:highlight w:val="none"/>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6E5534B">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（1）招标文件没有不合理条款、招标公告时间及程序符合规定的，同意采取竞争性谈判、询价或者单一来源方式采购；</w:t>
      </w:r>
    </w:p>
    <w:p w14:paraId="6B4AC39F">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（2）招标文件存在不合理条款的，招标公告时间及程序不符合规定的，应予废标，并责成招标采购单位依法重新招标。</w:t>
      </w:r>
    </w:p>
    <w:p w14:paraId="3B06D09E">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在评标期间，出现符合专业条件的供应商或者对招标文件作出实质响应的供应商不足三家情形的，可以比照前款规定执行。</w:t>
      </w:r>
    </w:p>
    <w:p w14:paraId="2F012213">
      <w:pPr>
        <w:spacing w:line="480" w:lineRule="exact"/>
        <w:ind w:firstLine="240" w:firstLineChars="100"/>
        <w:rPr>
          <w:rFonts w:ascii="宋体" w:hAnsi="宋体"/>
          <w:color w:val="FF0000"/>
          <w:highlight w:val="none"/>
        </w:rPr>
        <w:sectPr>
          <w:footerReference r:id="rId13" w:type="default"/>
          <w:pgSz w:w="11905" w:h="16838"/>
          <w:pgMar w:top="1247" w:right="1417" w:bottom="1247" w:left="1417" w:header="964" w:footer="992" w:gutter="0"/>
          <w:pgNumType w:fmt="decimal" w:chapStyle="1"/>
          <w:cols w:space="0" w:num="1"/>
          <w:rtlGutter w:val="0"/>
          <w:docGrid w:type="lines" w:linePitch="326" w:charSpace="0"/>
        </w:sect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4" w:name="_Toc26541331"/>
      <w:bookmarkStart w:id="95" w:name="_Toc53"/>
      <w:bookmarkStart w:id="96" w:name="_Toc484198838"/>
      <w:bookmarkStart w:id="97" w:name="_Toc23258614"/>
    </w:p>
    <w:p w14:paraId="7163CCF0">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98" w:name="_Toc30693"/>
      <w:r>
        <w:rPr>
          <w:rFonts w:hint="eastAsia" w:ascii="宋体" w:hAnsi="宋体" w:eastAsia="宋体" w:cs="Times New Roman"/>
          <w:b/>
          <w:bCs/>
          <w:color w:val="auto"/>
          <w:kern w:val="44"/>
          <w:sz w:val="44"/>
          <w:szCs w:val="44"/>
          <w:lang w:val="en-US" w:eastAsia="zh-CN" w:bidi="ar-SA"/>
        </w:rPr>
        <w:t>第四章</w:t>
      </w:r>
      <w:r>
        <w:rPr>
          <w:rFonts w:hint="eastAsia" w:ascii="宋体" w:hAnsi="宋体" w:cs="Times New Roman"/>
          <w:b/>
          <w:bCs/>
          <w:color w:val="auto"/>
          <w:kern w:val="44"/>
          <w:sz w:val="44"/>
          <w:szCs w:val="44"/>
          <w:lang w:val="en-US" w:eastAsia="zh-CN" w:bidi="ar-SA"/>
        </w:rPr>
        <w:t xml:space="preserve"> </w:t>
      </w:r>
      <w:r>
        <w:rPr>
          <w:rFonts w:hint="eastAsia" w:ascii="宋体" w:hAnsi="宋体"/>
          <w:color w:val="auto"/>
          <w:highlight w:val="none"/>
        </w:rPr>
        <w:t>采购内容</w:t>
      </w:r>
      <w:bookmarkEnd w:id="98"/>
    </w:p>
    <w:p w14:paraId="49CAE89F">
      <w:pPr>
        <w:numPr>
          <w:ilvl w:val="0"/>
          <w:numId w:val="0"/>
        </w:numPr>
        <w:spacing w:line="560" w:lineRule="exact"/>
        <w:ind w:firstLine="482" w:firstLineChars="200"/>
        <w:textAlignment w:val="baseline"/>
        <w:rPr>
          <w:rFonts w:hint="eastAsia" w:ascii="宋体" w:hAnsi="宋体" w:eastAsia="宋体" w:cs="宋体"/>
          <w:b/>
          <w:bCs/>
          <w:color w:val="auto"/>
          <w:sz w:val="24"/>
          <w:szCs w:val="24"/>
          <w:highlight w:val="none"/>
          <w:lang w:val="en-US" w:eastAsia="zh-CN"/>
        </w:rPr>
      </w:pPr>
      <w:bookmarkStart w:id="99" w:name="OLE_LINK87"/>
      <w:bookmarkStart w:id="100" w:name="OLE_LINK82"/>
      <w:r>
        <w:rPr>
          <w:rFonts w:hint="eastAsia" w:ascii="宋体" w:hAnsi="宋体" w:eastAsia="宋体" w:cs="宋体"/>
          <w:b/>
          <w:bCs/>
          <w:color w:val="auto"/>
          <w:sz w:val="24"/>
          <w:szCs w:val="24"/>
          <w:highlight w:val="none"/>
          <w:lang w:val="en-US" w:eastAsia="zh-CN"/>
        </w:rPr>
        <w:t>一、采购清单</w:t>
      </w:r>
    </w:p>
    <w:tbl>
      <w:tblPr>
        <w:tblStyle w:val="44"/>
        <w:tblW w:w="9470" w:type="dxa"/>
        <w:tblInd w:w="-186" w:type="dxa"/>
        <w:tblLayout w:type="fixed"/>
        <w:tblCellMar>
          <w:top w:w="0" w:type="dxa"/>
          <w:left w:w="108" w:type="dxa"/>
          <w:bottom w:w="0" w:type="dxa"/>
          <w:right w:w="108" w:type="dxa"/>
        </w:tblCellMar>
      </w:tblPr>
      <w:tblGrid>
        <w:gridCol w:w="768"/>
        <w:gridCol w:w="1252"/>
        <w:gridCol w:w="5537"/>
        <w:gridCol w:w="1913"/>
      </w:tblGrid>
      <w:tr w14:paraId="3AFEEE5A">
        <w:tblPrEx>
          <w:tblCellMar>
            <w:top w:w="0" w:type="dxa"/>
            <w:left w:w="108" w:type="dxa"/>
            <w:bottom w:w="0" w:type="dxa"/>
            <w:right w:w="108" w:type="dxa"/>
          </w:tblCellMar>
        </w:tblPrEx>
        <w:trPr>
          <w:trHeight w:val="627" w:hRule="atLeast"/>
        </w:trPr>
        <w:tc>
          <w:tcPr>
            <w:tcW w:w="768" w:type="dxa"/>
            <w:tcBorders>
              <w:top w:val="single" w:color="000000" w:sz="4" w:space="0"/>
              <w:left w:val="single" w:color="000000" w:sz="4" w:space="0"/>
              <w:bottom w:val="single" w:color="auto" w:sz="4" w:space="0"/>
              <w:right w:val="single" w:color="000000" w:sz="4" w:space="0"/>
            </w:tcBorders>
            <w:noWrap/>
            <w:vAlign w:val="center"/>
          </w:tcPr>
          <w:p w14:paraId="62D95259">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序号</w:t>
            </w:r>
          </w:p>
        </w:tc>
        <w:tc>
          <w:tcPr>
            <w:tcW w:w="1252" w:type="dxa"/>
            <w:tcBorders>
              <w:top w:val="single" w:color="000000" w:sz="4" w:space="0"/>
              <w:left w:val="single" w:color="000000" w:sz="4" w:space="0"/>
              <w:bottom w:val="single" w:color="auto" w:sz="4" w:space="0"/>
              <w:right w:val="single" w:color="000000" w:sz="4" w:space="0"/>
            </w:tcBorders>
            <w:noWrap/>
            <w:vAlign w:val="center"/>
          </w:tcPr>
          <w:p w14:paraId="4D3B6554">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类别</w:t>
            </w:r>
          </w:p>
        </w:tc>
        <w:tc>
          <w:tcPr>
            <w:tcW w:w="5537" w:type="dxa"/>
            <w:tcBorders>
              <w:top w:val="single" w:color="000000" w:sz="4" w:space="0"/>
              <w:left w:val="single" w:color="000000" w:sz="4" w:space="0"/>
              <w:bottom w:val="single" w:color="auto" w:sz="4" w:space="0"/>
              <w:right w:val="single" w:color="000000" w:sz="4" w:space="0"/>
            </w:tcBorders>
            <w:noWrap/>
            <w:vAlign w:val="center"/>
          </w:tcPr>
          <w:p w14:paraId="5351BC65">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类别</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FE8E55F">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数量</w:t>
            </w:r>
          </w:p>
        </w:tc>
      </w:tr>
      <w:tr w14:paraId="281A396B">
        <w:tblPrEx>
          <w:tblCellMar>
            <w:top w:w="0" w:type="dxa"/>
            <w:left w:w="108" w:type="dxa"/>
            <w:bottom w:w="0" w:type="dxa"/>
            <w:right w:w="108" w:type="dxa"/>
          </w:tblCellMar>
        </w:tblPrEx>
        <w:trPr>
          <w:trHeight w:val="390" w:hRule="atLeast"/>
        </w:trPr>
        <w:tc>
          <w:tcPr>
            <w:tcW w:w="768" w:type="dxa"/>
            <w:vMerge w:val="restart"/>
            <w:tcBorders>
              <w:top w:val="single" w:color="auto" w:sz="4" w:space="0"/>
              <w:left w:val="single" w:color="auto" w:sz="4" w:space="0"/>
              <w:right w:val="single" w:color="auto" w:sz="4" w:space="0"/>
            </w:tcBorders>
            <w:noWrap/>
            <w:vAlign w:val="center"/>
          </w:tcPr>
          <w:p w14:paraId="329C91A7">
            <w:pPr>
              <w:spacing w:line="360" w:lineRule="exact"/>
              <w:ind w:firstLine="0" w:firstLineChars="0"/>
              <w:jc w:val="center"/>
              <w:rPr>
                <w:rFonts w:hint="eastAsia" w:ascii="宋体" w:hAnsi="宋体" w:eastAsia="宋体" w:cs="宋体"/>
                <w:sz w:val="24"/>
                <w:szCs w:val="24"/>
                <w:shd w:val="clear" w:color="auto" w:fill="FFFFFF"/>
              </w:rPr>
            </w:pPr>
          </w:p>
          <w:p w14:paraId="667E5C28">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p w14:paraId="54E29272">
            <w:pPr>
              <w:tabs>
                <w:tab w:val="center" w:pos="236"/>
              </w:tabs>
              <w:spacing w:line="360" w:lineRule="exact"/>
              <w:ind w:firstLine="0" w:firstLineChars="0"/>
              <w:jc w:val="center"/>
              <w:rPr>
                <w:rFonts w:hint="eastAsia" w:ascii="宋体" w:hAnsi="宋体" w:eastAsia="宋体" w:cs="宋体"/>
                <w:sz w:val="24"/>
                <w:szCs w:val="24"/>
                <w:shd w:val="clear" w:color="auto" w:fill="FFFFFF"/>
              </w:rPr>
            </w:pPr>
          </w:p>
        </w:tc>
        <w:tc>
          <w:tcPr>
            <w:tcW w:w="1252" w:type="dxa"/>
            <w:vMerge w:val="restart"/>
            <w:tcBorders>
              <w:top w:val="single" w:color="auto" w:sz="4" w:space="0"/>
              <w:left w:val="single" w:color="auto" w:sz="4" w:space="0"/>
              <w:right w:val="single" w:color="auto" w:sz="4" w:space="0"/>
            </w:tcBorders>
            <w:noWrap/>
            <w:vAlign w:val="center"/>
          </w:tcPr>
          <w:p w14:paraId="415B8C05">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软件</w:t>
            </w:r>
          </w:p>
        </w:tc>
        <w:tc>
          <w:tcPr>
            <w:tcW w:w="5537" w:type="dxa"/>
            <w:tcBorders>
              <w:top w:val="single" w:color="auto" w:sz="4" w:space="0"/>
              <w:left w:val="single" w:color="auto" w:sz="4" w:space="0"/>
              <w:bottom w:val="single" w:color="auto" w:sz="4" w:space="0"/>
              <w:right w:val="single" w:color="auto" w:sz="4" w:space="0"/>
            </w:tcBorders>
            <w:noWrap/>
            <w:vAlign w:val="center"/>
          </w:tcPr>
          <w:p w14:paraId="3F23E4C1">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资产管理系统</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6F53C430">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74AF7F00">
        <w:tblPrEx>
          <w:tblCellMar>
            <w:top w:w="0" w:type="dxa"/>
            <w:left w:w="108" w:type="dxa"/>
            <w:bottom w:w="0" w:type="dxa"/>
            <w:right w:w="108" w:type="dxa"/>
          </w:tblCellMar>
        </w:tblPrEx>
        <w:trPr>
          <w:trHeight w:val="1115" w:hRule="atLeast"/>
        </w:trPr>
        <w:tc>
          <w:tcPr>
            <w:tcW w:w="768" w:type="dxa"/>
            <w:vMerge w:val="continue"/>
            <w:tcBorders>
              <w:left w:val="single" w:color="auto" w:sz="4" w:space="0"/>
              <w:bottom w:val="single" w:color="auto" w:sz="4" w:space="0"/>
              <w:right w:val="single" w:color="auto" w:sz="4" w:space="0"/>
            </w:tcBorders>
            <w:noWrap/>
            <w:vAlign w:val="center"/>
          </w:tcPr>
          <w:p w14:paraId="3D27EA73">
            <w:pPr>
              <w:tabs>
                <w:tab w:val="center" w:pos="236"/>
              </w:tabs>
              <w:spacing w:line="360" w:lineRule="exact"/>
              <w:ind w:firstLine="0" w:firstLineChars="0"/>
              <w:jc w:val="center"/>
              <w:rPr>
                <w:rFonts w:hint="eastAsia" w:ascii="宋体" w:hAnsi="宋体" w:eastAsia="宋体" w:cs="宋体"/>
                <w:sz w:val="24"/>
                <w:szCs w:val="24"/>
                <w:shd w:val="clear" w:color="auto" w:fill="FFFFFF"/>
              </w:rPr>
            </w:pPr>
          </w:p>
        </w:tc>
        <w:tc>
          <w:tcPr>
            <w:tcW w:w="1252" w:type="dxa"/>
            <w:vMerge w:val="continue"/>
            <w:tcBorders>
              <w:left w:val="single" w:color="auto" w:sz="4" w:space="0"/>
              <w:bottom w:val="single" w:color="auto" w:sz="4" w:space="0"/>
              <w:right w:val="single" w:color="auto" w:sz="4" w:space="0"/>
            </w:tcBorders>
            <w:noWrap/>
            <w:vAlign w:val="center"/>
          </w:tcPr>
          <w:p w14:paraId="59AA4B5A">
            <w:pPr>
              <w:spacing w:line="360" w:lineRule="exact"/>
              <w:ind w:firstLine="0" w:firstLineChars="0"/>
              <w:jc w:val="center"/>
              <w:rPr>
                <w:rFonts w:hint="eastAsia" w:ascii="宋体" w:hAnsi="宋体" w:eastAsia="宋体" w:cs="宋体"/>
                <w:sz w:val="24"/>
                <w:szCs w:val="24"/>
                <w:shd w:val="clear" w:color="auto" w:fill="FFFFFF"/>
              </w:rPr>
            </w:pPr>
          </w:p>
        </w:tc>
        <w:tc>
          <w:tcPr>
            <w:tcW w:w="5537" w:type="dxa"/>
            <w:tcBorders>
              <w:top w:val="single" w:color="auto" w:sz="4" w:space="0"/>
              <w:left w:val="single" w:color="auto" w:sz="4" w:space="0"/>
              <w:bottom w:val="single" w:color="auto" w:sz="4" w:space="0"/>
              <w:right w:val="single" w:color="auto" w:sz="4" w:space="0"/>
            </w:tcBorders>
            <w:noWrap/>
            <w:vAlign w:val="center"/>
          </w:tcPr>
          <w:p w14:paraId="3C756BBE">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接口费用（包含实施中需要支付的第三方接口费，需完成与医院现有的会计核算、预算管理、合同管理、成本管理、人力资源管理、物资、设备、绩效等业务系统对接，实现数据双向交互。）</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852E82D">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65E05594">
        <w:tblPrEx>
          <w:tblCellMar>
            <w:top w:w="0" w:type="dxa"/>
            <w:left w:w="108" w:type="dxa"/>
            <w:bottom w:w="0" w:type="dxa"/>
            <w:right w:w="108" w:type="dxa"/>
          </w:tblCellMar>
        </w:tblPrEx>
        <w:trPr>
          <w:trHeight w:val="455" w:hRule="atLeast"/>
        </w:trPr>
        <w:tc>
          <w:tcPr>
            <w:tcW w:w="768" w:type="dxa"/>
            <w:vMerge w:val="restart"/>
            <w:tcBorders>
              <w:top w:val="single" w:color="auto" w:sz="4" w:space="0"/>
              <w:left w:val="single" w:color="auto" w:sz="4" w:space="0"/>
              <w:right w:val="single" w:color="auto" w:sz="4" w:space="0"/>
            </w:tcBorders>
            <w:noWrap/>
            <w:vAlign w:val="center"/>
          </w:tcPr>
          <w:p w14:paraId="230F39EF">
            <w:pPr>
              <w:tabs>
                <w:tab w:val="center" w:pos="236"/>
              </w:tabs>
              <w:spacing w:line="360" w:lineRule="exact"/>
              <w:ind w:firstLine="0" w:firstLineChars="0"/>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2</w:t>
            </w:r>
          </w:p>
        </w:tc>
        <w:tc>
          <w:tcPr>
            <w:tcW w:w="1252" w:type="dxa"/>
            <w:vMerge w:val="restart"/>
            <w:tcBorders>
              <w:left w:val="single" w:color="auto" w:sz="4" w:space="0"/>
              <w:right w:val="single" w:color="auto" w:sz="4" w:space="0"/>
            </w:tcBorders>
            <w:noWrap/>
            <w:vAlign w:val="center"/>
          </w:tcPr>
          <w:p w14:paraId="6D69DBBF">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资产信息数据治理服务</w:t>
            </w:r>
          </w:p>
        </w:tc>
        <w:tc>
          <w:tcPr>
            <w:tcW w:w="5537" w:type="dxa"/>
            <w:tcBorders>
              <w:top w:val="single" w:color="auto" w:sz="4" w:space="0"/>
              <w:left w:val="single" w:color="auto" w:sz="4" w:space="0"/>
              <w:bottom w:val="single" w:color="auto" w:sz="4" w:space="0"/>
              <w:right w:val="single" w:color="auto" w:sz="4" w:space="0"/>
            </w:tcBorders>
            <w:noWrap/>
            <w:vAlign w:val="center"/>
          </w:tcPr>
          <w:p w14:paraId="6F91FD02">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kern w:val="0"/>
                <w:sz w:val="24"/>
                <w:szCs w:val="24"/>
                <w:lang w:bidi="ar"/>
              </w:rPr>
              <w:t>资产清查与盘点</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CC3C6B8">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129CF3CF">
        <w:tblPrEx>
          <w:tblCellMar>
            <w:top w:w="0" w:type="dxa"/>
            <w:left w:w="108" w:type="dxa"/>
            <w:bottom w:w="0" w:type="dxa"/>
            <w:right w:w="108" w:type="dxa"/>
          </w:tblCellMar>
        </w:tblPrEx>
        <w:trPr>
          <w:trHeight w:val="454" w:hRule="atLeast"/>
        </w:trPr>
        <w:tc>
          <w:tcPr>
            <w:tcW w:w="768" w:type="dxa"/>
            <w:vMerge w:val="continue"/>
            <w:tcBorders>
              <w:left w:val="single" w:color="auto" w:sz="4" w:space="0"/>
              <w:right w:val="single" w:color="auto" w:sz="4" w:space="0"/>
            </w:tcBorders>
            <w:noWrap/>
            <w:vAlign w:val="center"/>
          </w:tcPr>
          <w:p w14:paraId="5020E122">
            <w:pPr>
              <w:tabs>
                <w:tab w:val="center" w:pos="236"/>
              </w:tabs>
              <w:spacing w:line="360" w:lineRule="exact"/>
              <w:ind w:firstLine="0" w:firstLineChars="0"/>
              <w:jc w:val="center"/>
              <w:rPr>
                <w:rFonts w:hint="eastAsia" w:ascii="宋体" w:hAnsi="宋体" w:eastAsia="宋体" w:cs="宋体"/>
                <w:sz w:val="24"/>
                <w:szCs w:val="24"/>
                <w:shd w:val="clear" w:color="auto" w:fill="FFFFFF"/>
              </w:rPr>
            </w:pPr>
          </w:p>
        </w:tc>
        <w:tc>
          <w:tcPr>
            <w:tcW w:w="1252" w:type="dxa"/>
            <w:vMerge w:val="continue"/>
            <w:tcBorders>
              <w:left w:val="single" w:color="auto" w:sz="4" w:space="0"/>
              <w:right w:val="single" w:color="auto" w:sz="4" w:space="0"/>
            </w:tcBorders>
            <w:noWrap/>
            <w:vAlign w:val="center"/>
          </w:tcPr>
          <w:p w14:paraId="096EDD4D">
            <w:pPr>
              <w:spacing w:line="360" w:lineRule="exact"/>
              <w:ind w:firstLine="480"/>
              <w:jc w:val="center"/>
              <w:rPr>
                <w:rFonts w:hint="eastAsia" w:ascii="宋体" w:hAnsi="宋体" w:eastAsia="宋体" w:cs="宋体"/>
                <w:sz w:val="24"/>
                <w:szCs w:val="24"/>
                <w:shd w:val="clear" w:color="auto" w:fill="FFFFFF"/>
              </w:rPr>
            </w:pPr>
          </w:p>
        </w:tc>
        <w:tc>
          <w:tcPr>
            <w:tcW w:w="5537" w:type="dxa"/>
            <w:tcBorders>
              <w:top w:val="single" w:color="auto" w:sz="4" w:space="0"/>
              <w:left w:val="single" w:color="auto" w:sz="4" w:space="0"/>
              <w:bottom w:val="single" w:color="auto" w:sz="4" w:space="0"/>
              <w:right w:val="single" w:color="auto" w:sz="4" w:space="0"/>
            </w:tcBorders>
            <w:noWrap/>
            <w:vAlign w:val="center"/>
          </w:tcPr>
          <w:p w14:paraId="4EF9D340">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kern w:val="0"/>
                <w:sz w:val="24"/>
                <w:szCs w:val="24"/>
                <w:lang w:bidi="ar"/>
              </w:rPr>
              <w:t>编制资产清查审计报告</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7333ED31">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639227DD">
        <w:tblPrEx>
          <w:tblCellMar>
            <w:top w:w="0" w:type="dxa"/>
            <w:left w:w="108" w:type="dxa"/>
            <w:bottom w:w="0" w:type="dxa"/>
            <w:right w:w="108" w:type="dxa"/>
          </w:tblCellMar>
        </w:tblPrEx>
        <w:trPr>
          <w:trHeight w:val="454" w:hRule="atLeast"/>
        </w:trPr>
        <w:tc>
          <w:tcPr>
            <w:tcW w:w="768" w:type="dxa"/>
            <w:vMerge w:val="continue"/>
            <w:tcBorders>
              <w:left w:val="single" w:color="auto" w:sz="4" w:space="0"/>
              <w:right w:val="single" w:color="auto" w:sz="4" w:space="0"/>
            </w:tcBorders>
            <w:noWrap/>
            <w:vAlign w:val="center"/>
          </w:tcPr>
          <w:p w14:paraId="31215128">
            <w:pPr>
              <w:tabs>
                <w:tab w:val="center" w:pos="236"/>
              </w:tabs>
              <w:spacing w:line="360" w:lineRule="exact"/>
              <w:ind w:firstLine="0" w:firstLineChars="0"/>
              <w:jc w:val="center"/>
              <w:rPr>
                <w:rFonts w:hint="eastAsia" w:ascii="宋体" w:hAnsi="宋体" w:eastAsia="宋体" w:cs="宋体"/>
                <w:sz w:val="24"/>
                <w:szCs w:val="24"/>
                <w:shd w:val="clear" w:color="auto" w:fill="FFFFFF"/>
              </w:rPr>
            </w:pPr>
          </w:p>
        </w:tc>
        <w:tc>
          <w:tcPr>
            <w:tcW w:w="1252" w:type="dxa"/>
            <w:vMerge w:val="continue"/>
            <w:tcBorders>
              <w:left w:val="single" w:color="auto" w:sz="4" w:space="0"/>
              <w:right w:val="single" w:color="auto" w:sz="4" w:space="0"/>
            </w:tcBorders>
            <w:noWrap/>
            <w:vAlign w:val="center"/>
          </w:tcPr>
          <w:p w14:paraId="08DF492A">
            <w:pPr>
              <w:spacing w:line="360" w:lineRule="exact"/>
              <w:ind w:firstLine="480"/>
              <w:jc w:val="center"/>
              <w:rPr>
                <w:rFonts w:hint="eastAsia" w:ascii="宋体" w:hAnsi="宋体" w:eastAsia="宋体" w:cs="宋体"/>
                <w:sz w:val="24"/>
                <w:szCs w:val="24"/>
                <w:shd w:val="clear" w:color="auto" w:fill="FFFFFF"/>
              </w:rPr>
            </w:pPr>
          </w:p>
        </w:tc>
        <w:tc>
          <w:tcPr>
            <w:tcW w:w="5537" w:type="dxa"/>
            <w:tcBorders>
              <w:top w:val="single" w:color="auto" w:sz="4" w:space="0"/>
              <w:left w:val="single" w:color="auto" w:sz="4" w:space="0"/>
              <w:bottom w:val="single" w:color="auto" w:sz="4" w:space="0"/>
              <w:right w:val="single" w:color="auto" w:sz="4" w:space="0"/>
            </w:tcBorders>
            <w:noWrap/>
            <w:vAlign w:val="center"/>
          </w:tcPr>
          <w:p w14:paraId="0E828716">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kern w:val="0"/>
                <w:sz w:val="24"/>
                <w:szCs w:val="24"/>
                <w:lang w:bidi="ar"/>
              </w:rPr>
              <w:t>信息录入</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4901012">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62682EBF">
        <w:tblPrEx>
          <w:tblCellMar>
            <w:top w:w="0" w:type="dxa"/>
            <w:left w:w="108" w:type="dxa"/>
            <w:bottom w:w="0" w:type="dxa"/>
            <w:right w:w="108" w:type="dxa"/>
          </w:tblCellMar>
        </w:tblPrEx>
        <w:trPr>
          <w:trHeight w:val="454" w:hRule="atLeast"/>
        </w:trPr>
        <w:tc>
          <w:tcPr>
            <w:tcW w:w="768" w:type="dxa"/>
            <w:vMerge w:val="continue"/>
            <w:tcBorders>
              <w:left w:val="single" w:color="auto" w:sz="4" w:space="0"/>
              <w:bottom w:val="single" w:color="auto" w:sz="4" w:space="0"/>
              <w:right w:val="single" w:color="auto" w:sz="4" w:space="0"/>
            </w:tcBorders>
            <w:noWrap/>
            <w:vAlign w:val="center"/>
          </w:tcPr>
          <w:p w14:paraId="116F0114">
            <w:pPr>
              <w:tabs>
                <w:tab w:val="center" w:pos="236"/>
              </w:tabs>
              <w:spacing w:line="360" w:lineRule="exact"/>
              <w:ind w:firstLine="0" w:firstLineChars="0"/>
              <w:jc w:val="center"/>
              <w:rPr>
                <w:rFonts w:hint="eastAsia" w:ascii="宋体" w:hAnsi="宋体" w:eastAsia="宋体" w:cs="宋体"/>
                <w:sz w:val="24"/>
                <w:szCs w:val="24"/>
                <w:shd w:val="clear" w:color="auto" w:fill="FFFFFF"/>
              </w:rPr>
            </w:pPr>
          </w:p>
        </w:tc>
        <w:tc>
          <w:tcPr>
            <w:tcW w:w="1252" w:type="dxa"/>
            <w:vMerge w:val="continue"/>
            <w:tcBorders>
              <w:left w:val="single" w:color="auto" w:sz="4" w:space="0"/>
              <w:bottom w:val="single" w:color="auto" w:sz="4" w:space="0"/>
              <w:right w:val="single" w:color="auto" w:sz="4" w:space="0"/>
            </w:tcBorders>
            <w:noWrap/>
            <w:vAlign w:val="center"/>
          </w:tcPr>
          <w:p w14:paraId="0A6E6369">
            <w:pPr>
              <w:spacing w:line="360" w:lineRule="exact"/>
              <w:ind w:firstLine="0" w:firstLineChars="0"/>
              <w:jc w:val="center"/>
              <w:rPr>
                <w:rFonts w:hint="eastAsia" w:ascii="宋体" w:hAnsi="宋体" w:eastAsia="宋体" w:cs="宋体"/>
                <w:sz w:val="24"/>
                <w:szCs w:val="24"/>
                <w:shd w:val="clear" w:color="auto" w:fill="FFFFFF"/>
              </w:rPr>
            </w:pPr>
          </w:p>
        </w:tc>
        <w:tc>
          <w:tcPr>
            <w:tcW w:w="5537" w:type="dxa"/>
            <w:tcBorders>
              <w:top w:val="single" w:color="auto" w:sz="4" w:space="0"/>
              <w:left w:val="single" w:color="auto" w:sz="4" w:space="0"/>
              <w:bottom w:val="single" w:color="auto" w:sz="4" w:space="0"/>
              <w:right w:val="single" w:color="auto" w:sz="4" w:space="0"/>
            </w:tcBorders>
            <w:noWrap/>
            <w:vAlign w:val="center"/>
          </w:tcPr>
          <w:p w14:paraId="2C3F1F28">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kern w:val="0"/>
                <w:sz w:val="24"/>
                <w:szCs w:val="24"/>
                <w:lang w:bidi="ar"/>
              </w:rPr>
              <w:t>上传申报</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35142A3">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r w14:paraId="6F1984A8">
        <w:tblPrEx>
          <w:tblCellMar>
            <w:top w:w="0" w:type="dxa"/>
            <w:left w:w="108" w:type="dxa"/>
            <w:bottom w:w="0" w:type="dxa"/>
            <w:right w:w="108" w:type="dxa"/>
          </w:tblCellMar>
        </w:tblPrEx>
        <w:trPr>
          <w:trHeight w:val="333"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4FC3595">
            <w:pPr>
              <w:spacing w:line="360" w:lineRule="exact"/>
              <w:ind w:firstLine="0" w:firstLineChars="0"/>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3</w:t>
            </w:r>
          </w:p>
        </w:tc>
        <w:tc>
          <w:tcPr>
            <w:tcW w:w="6789" w:type="dxa"/>
            <w:gridSpan w:val="2"/>
            <w:tcBorders>
              <w:top w:val="single" w:color="auto" w:sz="4" w:space="0"/>
              <w:left w:val="single" w:color="auto" w:sz="4" w:space="0"/>
              <w:bottom w:val="single" w:color="auto" w:sz="4" w:space="0"/>
              <w:right w:val="single" w:color="auto" w:sz="4" w:space="0"/>
            </w:tcBorders>
            <w:noWrap/>
            <w:vAlign w:val="center"/>
          </w:tcPr>
          <w:p w14:paraId="3A0318A7">
            <w:pPr>
              <w:spacing w:line="360" w:lineRule="exact"/>
              <w:ind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国产数据库（正版授权数据库）</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02C8F6B7">
            <w:pPr>
              <w:spacing w:line="360" w:lineRule="exact"/>
              <w:ind w:firstLine="0" w:firstLineChars="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1项</w:t>
            </w:r>
          </w:p>
        </w:tc>
      </w:tr>
    </w:tbl>
    <w:p w14:paraId="7993B5C2">
      <w:pPr>
        <w:rPr>
          <w:rFonts w:hint="eastAsia"/>
          <w:lang w:val="en-US" w:eastAsia="zh-CN"/>
        </w:rPr>
      </w:pPr>
    </w:p>
    <w:p w14:paraId="3273BA27">
      <w:pPr>
        <w:numPr>
          <w:ilvl w:val="0"/>
          <w:numId w:val="0"/>
        </w:numPr>
        <w:spacing w:line="56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二、总体要求：</w:t>
      </w:r>
    </w:p>
    <w:p w14:paraId="121AE7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2.1系统设计必须遵循国家相关法律、法规，尤其是计算机信息系统安全、智慧管理、互联互通的有关标准要求。</w:t>
      </w:r>
    </w:p>
    <w:p w14:paraId="784DAE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2.2供应商所作的需求分析和系统设计应完全满足我院的系统建设需求和国家相关法律、规范要求。</w:t>
      </w:r>
    </w:p>
    <w:p w14:paraId="2EAA43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2.3供应商必须有针对本项目的质量保证体系和组织，并制订质量保证计划。</w:t>
      </w:r>
    </w:p>
    <w:p w14:paraId="25B511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2.4供应商应根据项目建设的具体内容和整体工期要求，提交切实可行的项目工作计划。</w:t>
      </w:r>
    </w:p>
    <w:p w14:paraId="010832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2.5供应商必须提供近三年三级甲等医院的成熟案例合同及验收报告。</w:t>
      </w:r>
    </w:p>
    <w:p w14:paraId="4A1AD6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2.6供应商应具备现场二次开发的能力。</w:t>
      </w:r>
    </w:p>
    <w:p w14:paraId="6B5B59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2.7资产管理系统应完全达到《医院信息化建设应用技术指引（2017 年版）》、《医院智慧管理分级评估标准体系（试行）》（国卫办医函〔2021〕86 号）等文件规定的相关功能要求，必须满足《公立医院运营管理系统信息化功能指引》（国卫办财务函[2022]126号）“四、资产域”章节规定的所有功能要求。</w:t>
      </w:r>
    </w:p>
    <w:p w14:paraId="18FA32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2.8资产管理系统必须满足医院集团化管理的需求，即必须解决医院一个主体多个法人现状下的资产管理需求。</w:t>
      </w:r>
    </w:p>
    <w:p w14:paraId="2589CB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2.9根据医院实际需要，系统建设中应完成包括但不限于与集成平台、会计核算、预算管理、合同管理、成本管理、人力资源管理、物资、设备、绩效等医院现有的业务系统对接，实现数据双向交互。</w:t>
      </w:r>
    </w:p>
    <w:p w14:paraId="705F53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2.10系统必须支持与陕西省财政资产系统的无缝衔接，实现固定资产信息数据的双向交互。</w:t>
      </w:r>
    </w:p>
    <w:p w14:paraId="30E33840">
      <w:pPr>
        <w:numPr>
          <w:ilvl w:val="0"/>
          <w:numId w:val="0"/>
        </w:numPr>
        <w:spacing w:line="56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三、建设内容：</w:t>
      </w:r>
    </w:p>
    <w:p w14:paraId="073731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3.1实现资产采购、验收、入库、建卡、出库、调拨、计提折旧/摊销、盘点、报废等全流程的信息化管理，提高资产管理水平和工作效率，促进资产管理规范化、科学化和精细化管理。</w:t>
      </w:r>
    </w:p>
    <w:p w14:paraId="0756C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3.2实现资产系统与医院预算管理、会计核算、成本管理、合同管理等业务系统的互联互通，完成资产信息数据的共享。</w:t>
      </w:r>
    </w:p>
    <w:p w14:paraId="71D0DD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满足财政部门、卫生主管部门对资产动态监管要求，包括对资产配置、使用、处置等关键环节的审批管理，以及定期报送资产相关报表等，确保医院资产信息与财政部门、卫生主管部门相关系统中的信息完全一致。</w:t>
      </w:r>
    </w:p>
    <w:p w14:paraId="28903074">
      <w:pPr>
        <w:numPr>
          <w:ilvl w:val="0"/>
          <w:numId w:val="0"/>
        </w:numPr>
        <w:spacing w:line="560" w:lineRule="exact"/>
        <w:ind w:firstLine="482" w:firstLineChars="20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四、内容及技术要求</w:t>
      </w:r>
    </w:p>
    <w:p w14:paraId="5A3E9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资产管理系统基本功能要求：</w:t>
      </w:r>
    </w:p>
    <w:tbl>
      <w:tblPr>
        <w:tblStyle w:val="4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355"/>
        <w:gridCol w:w="1428"/>
        <w:gridCol w:w="1260"/>
        <w:gridCol w:w="180"/>
        <w:gridCol w:w="5242"/>
      </w:tblGrid>
      <w:tr w14:paraId="70AD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497" w:type="dxa"/>
            <w:noWrap w:val="0"/>
            <w:tcMar>
              <w:top w:w="19" w:type="dxa"/>
              <w:left w:w="19" w:type="dxa"/>
              <w:bottom w:w="68" w:type="dxa"/>
              <w:right w:w="19" w:type="dxa"/>
            </w:tcMar>
            <w:vAlign w:val="center"/>
          </w:tcPr>
          <w:p w14:paraId="2A7C7383">
            <w:pPr>
              <w:ind w:firstLine="0" w:firstLineChars="0"/>
              <w:jc w:val="center"/>
              <w:rPr>
                <w:rFonts w:hint="eastAsia" w:eastAsia="宋体" w:cs="宋体"/>
                <w:b/>
                <w:bCs/>
                <w:sz w:val="21"/>
                <w:szCs w:val="21"/>
              </w:rPr>
            </w:pPr>
            <w:r>
              <w:rPr>
                <w:rFonts w:hint="eastAsia" w:eastAsia="宋体" w:cs="宋体"/>
                <w:b/>
                <w:bCs/>
                <w:sz w:val="21"/>
                <w:szCs w:val="21"/>
              </w:rPr>
              <w:t>序号</w:t>
            </w:r>
          </w:p>
        </w:tc>
        <w:tc>
          <w:tcPr>
            <w:tcW w:w="1355" w:type="dxa"/>
            <w:noWrap w:val="0"/>
            <w:tcMar>
              <w:top w:w="19" w:type="dxa"/>
              <w:left w:w="19" w:type="dxa"/>
              <w:bottom w:w="68" w:type="dxa"/>
              <w:right w:w="19" w:type="dxa"/>
            </w:tcMar>
            <w:vAlign w:val="center"/>
          </w:tcPr>
          <w:p w14:paraId="017899AA">
            <w:pPr>
              <w:ind w:firstLine="422"/>
              <w:rPr>
                <w:rFonts w:hint="eastAsia" w:eastAsia="宋体" w:cs="宋体"/>
                <w:b/>
                <w:bCs/>
                <w:sz w:val="21"/>
                <w:szCs w:val="21"/>
              </w:rPr>
            </w:pPr>
            <w:r>
              <w:rPr>
                <w:rFonts w:hint="eastAsia" w:eastAsia="宋体" w:cs="宋体"/>
                <w:b/>
                <w:bCs/>
                <w:sz w:val="21"/>
                <w:szCs w:val="21"/>
              </w:rPr>
              <w:t>模块</w:t>
            </w:r>
          </w:p>
        </w:tc>
        <w:tc>
          <w:tcPr>
            <w:tcW w:w="8110" w:type="dxa"/>
            <w:gridSpan w:val="4"/>
            <w:noWrap w:val="0"/>
            <w:tcMar>
              <w:top w:w="19" w:type="dxa"/>
              <w:left w:w="19" w:type="dxa"/>
              <w:bottom w:w="68" w:type="dxa"/>
              <w:right w:w="19" w:type="dxa"/>
            </w:tcMar>
            <w:vAlign w:val="center"/>
          </w:tcPr>
          <w:p w14:paraId="7DAABF9C">
            <w:pPr>
              <w:ind w:firstLine="422"/>
              <w:jc w:val="center"/>
              <w:rPr>
                <w:rFonts w:hint="eastAsia" w:eastAsia="宋体" w:cs="宋体"/>
                <w:b/>
                <w:bCs/>
                <w:sz w:val="21"/>
                <w:szCs w:val="21"/>
              </w:rPr>
            </w:pPr>
            <w:r>
              <w:rPr>
                <w:rFonts w:hint="eastAsia" w:eastAsia="宋体" w:cs="宋体"/>
                <w:b/>
                <w:bCs/>
                <w:sz w:val="21"/>
                <w:szCs w:val="21"/>
              </w:rPr>
              <w:t>功能描述</w:t>
            </w:r>
          </w:p>
        </w:tc>
      </w:tr>
      <w:tr w14:paraId="7678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2EF44974">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w:t>
            </w:r>
          </w:p>
        </w:tc>
        <w:tc>
          <w:tcPr>
            <w:tcW w:w="1355" w:type="dxa"/>
            <w:vMerge w:val="restart"/>
            <w:shd w:val="clear" w:color="auto" w:fill="FFFFFF"/>
            <w:noWrap w:val="0"/>
            <w:tcMar>
              <w:top w:w="19" w:type="dxa"/>
              <w:left w:w="19" w:type="dxa"/>
              <w:bottom w:w="68" w:type="dxa"/>
              <w:right w:w="19" w:type="dxa"/>
            </w:tcMar>
            <w:vAlign w:val="center"/>
          </w:tcPr>
          <w:p w14:paraId="268E5FBA">
            <w:pPr>
              <w:widowControl/>
              <w:spacing w:line="360" w:lineRule="exact"/>
              <w:ind w:firstLine="0" w:firstLineChars="0"/>
              <w:jc w:val="center"/>
              <w:rPr>
                <w:rFonts w:hint="eastAsia" w:eastAsia="宋体" w:cs="宋体"/>
                <w:kern w:val="0"/>
                <w:sz w:val="21"/>
                <w:szCs w:val="21"/>
                <w:lang w:bidi="ar"/>
              </w:rPr>
            </w:pPr>
            <w:r>
              <w:rPr>
                <w:rFonts w:hint="eastAsia" w:eastAsia="宋体" w:cs="宋体"/>
                <w:sz w:val="21"/>
                <w:szCs w:val="21"/>
              </w:rPr>
              <w:t>基础信息管理</w:t>
            </w:r>
          </w:p>
        </w:tc>
        <w:tc>
          <w:tcPr>
            <w:tcW w:w="8110" w:type="dxa"/>
            <w:gridSpan w:val="4"/>
            <w:shd w:val="clear" w:color="auto" w:fill="FFFFFF"/>
            <w:noWrap w:val="0"/>
            <w:tcMar>
              <w:top w:w="19" w:type="dxa"/>
              <w:left w:w="19" w:type="dxa"/>
              <w:bottom w:w="68" w:type="dxa"/>
              <w:right w:w="19" w:type="dxa"/>
            </w:tcMar>
            <w:vAlign w:val="center"/>
          </w:tcPr>
          <w:p w14:paraId="5F889F88">
            <w:pPr>
              <w:widowControl/>
              <w:spacing w:line="360" w:lineRule="exact"/>
              <w:ind w:firstLine="0" w:firstLineChars="0"/>
              <w:jc w:val="left"/>
              <w:rPr>
                <w:rFonts w:hint="eastAsia" w:eastAsia="宋体" w:cs="宋体"/>
                <w:kern w:val="0"/>
                <w:sz w:val="21"/>
                <w:szCs w:val="21"/>
                <w:lang w:bidi="ar"/>
              </w:rPr>
            </w:pPr>
            <w:r>
              <w:rPr>
                <w:rFonts w:hint="eastAsia" w:eastAsia="宋体" w:cs="宋体"/>
                <w:sz w:val="21"/>
                <w:szCs w:val="21"/>
              </w:rPr>
              <w:t>系统支持对包括单位基本信息、部门、人员、存放地点、仓库、供应商、入出库类别、资产分类、资产信息等基础档案的新增、查询、删改等维护操作。各类档案应按照医院既定的编码规则进行编码管理</w:t>
            </w:r>
          </w:p>
        </w:tc>
      </w:tr>
      <w:tr w14:paraId="77BC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02F89878">
            <w:pPr>
              <w:widowControl/>
              <w:ind w:firstLine="210" w:firstLineChars="100"/>
              <w:rPr>
                <w:rFonts w:hint="eastAsia" w:eastAsia="宋体" w:cs="宋体"/>
                <w:kern w:val="0"/>
                <w:sz w:val="21"/>
                <w:szCs w:val="21"/>
                <w:lang w:bidi="ar"/>
              </w:rPr>
            </w:pPr>
            <w:r>
              <w:rPr>
                <w:rFonts w:hint="eastAsia" w:eastAsia="宋体" w:cs="宋体"/>
                <w:kern w:val="0"/>
                <w:sz w:val="21"/>
                <w:szCs w:val="21"/>
                <w:lang w:bidi="ar"/>
              </w:rPr>
              <w:t>2</w:t>
            </w:r>
          </w:p>
        </w:tc>
        <w:tc>
          <w:tcPr>
            <w:tcW w:w="1355" w:type="dxa"/>
            <w:vMerge w:val="continue"/>
            <w:shd w:val="clear" w:color="auto" w:fill="FFFFFF"/>
            <w:noWrap w:val="0"/>
            <w:tcMar>
              <w:top w:w="19" w:type="dxa"/>
              <w:left w:w="19" w:type="dxa"/>
              <w:bottom w:w="68" w:type="dxa"/>
              <w:right w:w="19" w:type="dxa"/>
            </w:tcMar>
            <w:vAlign w:val="center"/>
          </w:tcPr>
          <w:p w14:paraId="11843AEB">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7F769E39">
            <w:pPr>
              <w:widowControl/>
              <w:spacing w:line="360" w:lineRule="exact"/>
              <w:ind w:firstLine="0" w:firstLineChars="0"/>
              <w:jc w:val="left"/>
              <w:rPr>
                <w:rFonts w:hint="eastAsia" w:eastAsia="宋体" w:cs="宋体"/>
                <w:sz w:val="21"/>
                <w:szCs w:val="21"/>
              </w:rPr>
            </w:pPr>
            <w:r>
              <w:rPr>
                <w:rFonts w:hint="eastAsia" w:eastAsia="宋体" w:cs="宋体"/>
                <w:sz w:val="21"/>
                <w:szCs w:val="21"/>
              </w:rPr>
              <w:t>部门档案应支持与医院会计核算系统对接，自动获取并更新部门档案信息。</w:t>
            </w:r>
          </w:p>
        </w:tc>
      </w:tr>
      <w:tr w14:paraId="259A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2882B0A5">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3</w:t>
            </w:r>
          </w:p>
        </w:tc>
        <w:tc>
          <w:tcPr>
            <w:tcW w:w="1355" w:type="dxa"/>
            <w:vMerge w:val="continue"/>
            <w:shd w:val="clear" w:color="auto" w:fill="FFFFFF"/>
            <w:noWrap w:val="0"/>
            <w:tcMar>
              <w:top w:w="19" w:type="dxa"/>
              <w:left w:w="19" w:type="dxa"/>
              <w:bottom w:w="68" w:type="dxa"/>
              <w:right w:w="19" w:type="dxa"/>
            </w:tcMar>
            <w:vAlign w:val="center"/>
          </w:tcPr>
          <w:p w14:paraId="0E7CC24C">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3ACFB091">
            <w:pPr>
              <w:widowControl/>
              <w:spacing w:line="360" w:lineRule="exact"/>
              <w:ind w:firstLine="0" w:firstLineChars="0"/>
              <w:jc w:val="left"/>
              <w:rPr>
                <w:rFonts w:hint="eastAsia" w:eastAsia="宋体" w:cs="宋体"/>
                <w:sz w:val="21"/>
                <w:szCs w:val="21"/>
              </w:rPr>
            </w:pPr>
            <w:r>
              <w:rPr>
                <w:rFonts w:hint="eastAsia" w:eastAsia="宋体" w:cs="宋体"/>
                <w:sz w:val="21"/>
                <w:szCs w:val="21"/>
              </w:rPr>
              <w:t>人员档案应支持与医院人力资源管理系统对接，自动获取并更新人员档案信息。</w:t>
            </w:r>
          </w:p>
        </w:tc>
      </w:tr>
      <w:tr w14:paraId="383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5204C532">
            <w:pPr>
              <w:widowControl/>
              <w:tabs>
                <w:tab w:val="center" w:pos="231"/>
              </w:tabs>
              <w:ind w:firstLine="0" w:firstLineChars="0"/>
              <w:jc w:val="center"/>
              <w:rPr>
                <w:rFonts w:hint="eastAsia" w:eastAsia="宋体" w:cs="宋体"/>
                <w:kern w:val="0"/>
                <w:sz w:val="21"/>
                <w:szCs w:val="21"/>
                <w:lang w:bidi="ar"/>
              </w:rPr>
            </w:pPr>
            <w:r>
              <w:rPr>
                <w:rFonts w:hint="eastAsia" w:eastAsia="宋体" w:cs="宋体"/>
                <w:kern w:val="0"/>
                <w:sz w:val="21"/>
                <w:szCs w:val="21"/>
                <w:lang w:bidi="ar"/>
              </w:rPr>
              <w:t>4</w:t>
            </w:r>
          </w:p>
        </w:tc>
        <w:tc>
          <w:tcPr>
            <w:tcW w:w="1355" w:type="dxa"/>
            <w:vMerge w:val="continue"/>
            <w:shd w:val="clear" w:color="auto" w:fill="FFFFFF"/>
            <w:noWrap w:val="0"/>
            <w:tcMar>
              <w:top w:w="19" w:type="dxa"/>
              <w:left w:w="19" w:type="dxa"/>
              <w:bottom w:w="68" w:type="dxa"/>
              <w:right w:w="19" w:type="dxa"/>
            </w:tcMar>
            <w:vAlign w:val="center"/>
          </w:tcPr>
          <w:p w14:paraId="52B10925">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133039E2">
            <w:pPr>
              <w:widowControl/>
              <w:spacing w:line="360" w:lineRule="exact"/>
              <w:ind w:firstLine="0" w:firstLineChars="0"/>
              <w:jc w:val="left"/>
              <w:rPr>
                <w:rFonts w:hint="eastAsia" w:eastAsia="宋体" w:cs="宋体"/>
                <w:sz w:val="21"/>
                <w:szCs w:val="21"/>
              </w:rPr>
            </w:pPr>
            <w:r>
              <w:rPr>
                <w:rFonts w:hint="eastAsia" w:eastAsia="宋体" w:cs="宋体"/>
                <w:sz w:val="21"/>
                <w:szCs w:val="21"/>
              </w:rPr>
              <w:t>供应商档案支持供应商基础信息、资质管理等，并支持与医院会计核算系统对接，自动向会计核算系统推送新增供应商信息。</w:t>
            </w:r>
          </w:p>
        </w:tc>
      </w:tr>
      <w:tr w14:paraId="58CA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21E983E">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5</w:t>
            </w:r>
          </w:p>
        </w:tc>
        <w:tc>
          <w:tcPr>
            <w:tcW w:w="1355" w:type="dxa"/>
            <w:vMerge w:val="continue"/>
            <w:shd w:val="clear" w:color="auto" w:fill="FFFFFF"/>
            <w:noWrap w:val="0"/>
            <w:tcMar>
              <w:top w:w="19" w:type="dxa"/>
              <w:left w:w="19" w:type="dxa"/>
              <w:bottom w:w="68" w:type="dxa"/>
              <w:right w:w="19" w:type="dxa"/>
            </w:tcMar>
            <w:vAlign w:val="center"/>
          </w:tcPr>
          <w:p w14:paraId="474F7EB3">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77B6D8A3">
            <w:pPr>
              <w:widowControl/>
              <w:spacing w:line="360" w:lineRule="exact"/>
              <w:ind w:firstLine="0" w:firstLineChars="0"/>
              <w:jc w:val="left"/>
              <w:rPr>
                <w:rFonts w:hint="eastAsia" w:eastAsia="宋体" w:cs="宋体"/>
                <w:sz w:val="21"/>
                <w:szCs w:val="21"/>
              </w:rPr>
            </w:pPr>
            <w:r>
              <w:rPr>
                <w:rFonts w:hint="eastAsia" w:eastAsia="宋体" w:cs="宋体"/>
                <w:sz w:val="21"/>
                <w:szCs w:val="21"/>
              </w:rPr>
              <w:t>入出库类别档案支持按照医院管理需求对入出库进行分类管理，入库类别包括物资采购入库、固定资产采购入库、无形资产采购入库、自建入库、盘盈入库、调拨入库、捐赠入库等，出库类别包括领用出库、盘亏出库、调拨出库、捐赠出库、报废（损）出库等。</w:t>
            </w:r>
          </w:p>
        </w:tc>
      </w:tr>
      <w:tr w14:paraId="720C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74A3187">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6</w:t>
            </w:r>
          </w:p>
        </w:tc>
        <w:tc>
          <w:tcPr>
            <w:tcW w:w="1355" w:type="dxa"/>
            <w:shd w:val="clear" w:color="auto" w:fill="FFFFFF"/>
            <w:noWrap w:val="0"/>
            <w:tcMar>
              <w:top w:w="19" w:type="dxa"/>
              <w:left w:w="19" w:type="dxa"/>
              <w:bottom w:w="68" w:type="dxa"/>
              <w:right w:w="19" w:type="dxa"/>
            </w:tcMar>
            <w:vAlign w:val="center"/>
          </w:tcPr>
          <w:p w14:paraId="3A607C2E">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合同管理</w:t>
            </w:r>
          </w:p>
          <w:p w14:paraId="3A8053C7">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2DFE565E">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系统与医院合同管理系统对接，支持自动获取医院合同系统录入的资产采购、维保等合同的合同编号、金额、供应商、签订日期、履约进度等关键合同信息，并与资产卡片关联匹配。</w:t>
            </w:r>
          </w:p>
        </w:tc>
      </w:tr>
      <w:tr w14:paraId="33D2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44F8FE9E">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7</w:t>
            </w:r>
          </w:p>
        </w:tc>
        <w:tc>
          <w:tcPr>
            <w:tcW w:w="1355" w:type="dxa"/>
            <w:vMerge w:val="restart"/>
            <w:shd w:val="clear" w:color="auto" w:fill="FFFFFF"/>
            <w:noWrap w:val="0"/>
            <w:tcMar>
              <w:top w:w="19" w:type="dxa"/>
              <w:left w:w="19" w:type="dxa"/>
              <w:bottom w:w="68" w:type="dxa"/>
              <w:right w:w="19" w:type="dxa"/>
            </w:tcMar>
            <w:vAlign w:val="center"/>
          </w:tcPr>
          <w:p w14:paraId="39FD4E89">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发票管理</w:t>
            </w:r>
          </w:p>
        </w:tc>
        <w:tc>
          <w:tcPr>
            <w:tcW w:w="8110" w:type="dxa"/>
            <w:gridSpan w:val="4"/>
            <w:shd w:val="clear" w:color="auto" w:fill="FFFFFF"/>
            <w:noWrap w:val="0"/>
            <w:tcMar>
              <w:top w:w="19" w:type="dxa"/>
              <w:left w:w="19" w:type="dxa"/>
              <w:bottom w:w="68" w:type="dxa"/>
              <w:right w:w="19" w:type="dxa"/>
            </w:tcMar>
            <w:vAlign w:val="center"/>
          </w:tcPr>
          <w:p w14:paraId="39984EF2">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系统支持按照合同、入库单录入发票，发票信息应包含合同编号/入库单号、发票号、发票金额、开具日期、经办人等。</w:t>
            </w:r>
          </w:p>
        </w:tc>
      </w:tr>
      <w:tr w14:paraId="747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7DE3CDF7">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8</w:t>
            </w:r>
          </w:p>
        </w:tc>
        <w:tc>
          <w:tcPr>
            <w:tcW w:w="1355" w:type="dxa"/>
            <w:vMerge w:val="continue"/>
            <w:shd w:val="clear" w:color="auto" w:fill="FFFFFF"/>
            <w:noWrap w:val="0"/>
            <w:tcMar>
              <w:top w:w="19" w:type="dxa"/>
              <w:left w:w="19" w:type="dxa"/>
              <w:bottom w:w="68" w:type="dxa"/>
              <w:right w:w="19" w:type="dxa"/>
            </w:tcMar>
            <w:vAlign w:val="center"/>
          </w:tcPr>
          <w:p w14:paraId="1E81321A">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0480EB24">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系统支持合同与发票的“一对多关系”，即一份合同在不同执行阶段对应不同的发票，支持入库单与发票的“一对多/多对一关系”即同一张入库单对应多张发票或多张入库单对应同一张发票。</w:t>
            </w:r>
          </w:p>
        </w:tc>
      </w:tr>
      <w:tr w14:paraId="36AE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0C15C06D">
            <w:pPr>
              <w:widowControl/>
              <w:ind w:firstLine="420"/>
              <w:jc w:val="center"/>
              <w:rPr>
                <w:rFonts w:hint="eastAsia" w:eastAsia="宋体" w:cs="宋体"/>
                <w:kern w:val="0"/>
                <w:sz w:val="21"/>
                <w:szCs w:val="21"/>
                <w:lang w:bidi="ar"/>
              </w:rPr>
            </w:pPr>
          </w:p>
        </w:tc>
        <w:tc>
          <w:tcPr>
            <w:tcW w:w="1355" w:type="dxa"/>
            <w:vMerge w:val="continue"/>
            <w:shd w:val="clear" w:color="auto" w:fill="FFFFFF"/>
            <w:noWrap w:val="0"/>
            <w:tcMar>
              <w:top w:w="19" w:type="dxa"/>
              <w:left w:w="19" w:type="dxa"/>
              <w:bottom w:w="68" w:type="dxa"/>
              <w:right w:w="19" w:type="dxa"/>
            </w:tcMar>
            <w:vAlign w:val="center"/>
          </w:tcPr>
          <w:p w14:paraId="778C4990">
            <w:pPr>
              <w:widowControl/>
              <w:spacing w:line="360" w:lineRule="exact"/>
              <w:ind w:firstLine="420"/>
              <w:jc w:val="left"/>
              <w:rPr>
                <w:rFonts w:hint="eastAsia" w:eastAsia="宋体" w:cs="宋体"/>
                <w:kern w:val="0"/>
                <w:sz w:val="21"/>
                <w:szCs w:val="21"/>
                <w:lang w:bidi="ar"/>
              </w:rPr>
            </w:pPr>
          </w:p>
        </w:tc>
        <w:tc>
          <w:tcPr>
            <w:tcW w:w="8110" w:type="dxa"/>
            <w:gridSpan w:val="4"/>
            <w:shd w:val="clear" w:color="auto" w:fill="FFFFFF"/>
            <w:noWrap w:val="0"/>
            <w:tcMar>
              <w:top w:w="19" w:type="dxa"/>
              <w:left w:w="19" w:type="dxa"/>
              <w:bottom w:w="68" w:type="dxa"/>
              <w:right w:w="19" w:type="dxa"/>
            </w:tcMar>
            <w:vAlign w:val="center"/>
          </w:tcPr>
          <w:p w14:paraId="292646EB">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系统能够实现按供应商汇总发票金额，并定期向会计核算系统推送各供应商当期开票金额，由会计核算系统生成当期供应商挂账会计凭证。</w:t>
            </w:r>
          </w:p>
        </w:tc>
      </w:tr>
      <w:tr w14:paraId="48A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7" w:type="dxa"/>
            <w:vMerge w:val="restart"/>
            <w:shd w:val="clear" w:color="auto" w:fill="FFFFFF"/>
            <w:noWrap w:val="0"/>
            <w:tcMar>
              <w:top w:w="19" w:type="dxa"/>
              <w:left w:w="19" w:type="dxa"/>
              <w:bottom w:w="68" w:type="dxa"/>
              <w:right w:w="19" w:type="dxa"/>
            </w:tcMar>
            <w:vAlign w:val="center"/>
          </w:tcPr>
          <w:p w14:paraId="39A69E4D">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9</w:t>
            </w:r>
          </w:p>
        </w:tc>
        <w:tc>
          <w:tcPr>
            <w:tcW w:w="1355" w:type="dxa"/>
            <w:vMerge w:val="restart"/>
            <w:shd w:val="clear" w:color="auto" w:fill="FFFFFF"/>
            <w:noWrap w:val="0"/>
            <w:tcMar>
              <w:top w:w="19" w:type="dxa"/>
              <w:left w:w="19" w:type="dxa"/>
              <w:bottom w:w="68" w:type="dxa"/>
              <w:right w:w="19" w:type="dxa"/>
            </w:tcMar>
            <w:vAlign w:val="center"/>
          </w:tcPr>
          <w:p w14:paraId="04FE55E1">
            <w:pPr>
              <w:widowControl/>
              <w:spacing w:line="360" w:lineRule="exact"/>
              <w:ind w:firstLine="0" w:firstLineChars="0"/>
              <w:jc w:val="left"/>
              <w:rPr>
                <w:rFonts w:hint="eastAsia" w:eastAsia="宋体" w:cs="宋体"/>
                <w:kern w:val="0"/>
                <w:sz w:val="21"/>
                <w:szCs w:val="21"/>
                <w:lang w:bidi="ar"/>
              </w:rPr>
            </w:pPr>
            <w:r>
              <w:rPr>
                <w:rFonts w:hint="eastAsia" w:eastAsia="宋体" w:cs="宋体"/>
                <w:kern w:val="0"/>
                <w:sz w:val="21"/>
                <w:szCs w:val="21"/>
                <w:lang w:bidi="ar"/>
              </w:rPr>
              <w:t>固定资产管理</w:t>
            </w:r>
          </w:p>
        </w:tc>
        <w:tc>
          <w:tcPr>
            <w:tcW w:w="1428" w:type="dxa"/>
            <w:vMerge w:val="restart"/>
            <w:shd w:val="clear" w:color="auto" w:fill="FFFFFF"/>
            <w:noWrap w:val="0"/>
            <w:tcMar>
              <w:top w:w="19" w:type="dxa"/>
              <w:left w:w="19" w:type="dxa"/>
              <w:bottom w:w="68" w:type="dxa"/>
              <w:right w:w="19" w:type="dxa"/>
            </w:tcMar>
            <w:vAlign w:val="center"/>
          </w:tcPr>
          <w:p w14:paraId="3F961A56">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固定资产购置管理（系统支持按资产配置标准和资产购置预算自动生成资产购置计划。</w:t>
            </w:r>
          </w:p>
          <w:p w14:paraId="3817A58B">
            <w:pPr>
              <w:widowControl/>
              <w:spacing w:line="360" w:lineRule="exact"/>
              <w:ind w:firstLine="0" w:firstLineChars="0"/>
              <w:jc w:val="center"/>
              <w:rPr>
                <w:rFonts w:hint="eastAsia" w:eastAsia="宋体" w:cs="宋体"/>
                <w:sz w:val="21"/>
                <w:szCs w:val="21"/>
              </w:rPr>
            </w:pPr>
            <w:r>
              <w:rPr>
                <w:rFonts w:hint="eastAsia" w:eastAsia="宋体" w:cs="宋体"/>
                <w:sz w:val="21"/>
                <w:szCs w:val="21"/>
              </w:rPr>
              <w:t>）</w:t>
            </w:r>
          </w:p>
        </w:tc>
        <w:tc>
          <w:tcPr>
            <w:tcW w:w="1260" w:type="dxa"/>
            <w:vMerge w:val="restart"/>
            <w:shd w:val="clear" w:color="auto" w:fill="FFFFFF"/>
            <w:noWrap w:val="0"/>
            <w:tcMar>
              <w:top w:w="19" w:type="dxa"/>
              <w:left w:w="19" w:type="dxa"/>
              <w:bottom w:w="68" w:type="dxa"/>
              <w:right w:w="19" w:type="dxa"/>
            </w:tcMar>
            <w:vAlign w:val="center"/>
          </w:tcPr>
          <w:p w14:paraId="4CA72F7E">
            <w:pPr>
              <w:widowControl/>
              <w:spacing w:line="360" w:lineRule="exact"/>
              <w:ind w:firstLine="0" w:firstLineChars="0"/>
              <w:jc w:val="center"/>
              <w:rPr>
                <w:rFonts w:hint="eastAsia" w:eastAsia="宋体" w:cs="宋体"/>
                <w:sz w:val="21"/>
                <w:szCs w:val="21"/>
              </w:rPr>
            </w:pPr>
            <w:r>
              <w:rPr>
                <w:rFonts w:hint="eastAsia" w:eastAsia="宋体" w:cs="宋体"/>
                <w:sz w:val="21"/>
                <w:szCs w:val="21"/>
              </w:rPr>
              <w:t>资产配置标准模式</w:t>
            </w:r>
          </w:p>
        </w:tc>
        <w:tc>
          <w:tcPr>
            <w:tcW w:w="5422" w:type="dxa"/>
            <w:gridSpan w:val="2"/>
            <w:shd w:val="clear" w:color="auto" w:fill="FFFFFF"/>
            <w:noWrap w:val="0"/>
            <w:tcMar>
              <w:top w:w="19" w:type="dxa"/>
              <w:left w:w="19" w:type="dxa"/>
              <w:bottom w:w="68" w:type="dxa"/>
              <w:right w:w="19" w:type="dxa"/>
            </w:tcMar>
            <w:vAlign w:val="center"/>
          </w:tcPr>
          <w:p w14:paraId="652CF2B8">
            <w:pPr>
              <w:widowControl/>
              <w:spacing w:line="360" w:lineRule="exact"/>
              <w:ind w:firstLine="0" w:firstLineChars="0"/>
              <w:jc w:val="left"/>
              <w:rPr>
                <w:rFonts w:hint="eastAsia" w:eastAsia="宋体" w:cs="宋体"/>
                <w:sz w:val="21"/>
                <w:szCs w:val="21"/>
              </w:rPr>
            </w:pPr>
            <w:r>
              <w:rPr>
                <w:rFonts w:hint="eastAsia" w:eastAsia="宋体" w:cs="宋体"/>
                <w:sz w:val="21"/>
                <w:szCs w:val="21"/>
              </w:rPr>
              <w:t>完善部门配置信息:</w:t>
            </w:r>
          </w:p>
          <w:p w14:paraId="12E77BC2">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系统根据人员档案自动汇总部门内部各类人员数量，支持业务用房、办公室、会议室等数量、面积的录入。</w:t>
            </w:r>
          </w:p>
        </w:tc>
      </w:tr>
      <w:tr w14:paraId="435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97" w:type="dxa"/>
            <w:vMerge w:val="continue"/>
            <w:shd w:val="clear" w:color="auto" w:fill="FFFFFF"/>
            <w:noWrap w:val="0"/>
            <w:tcMar>
              <w:top w:w="19" w:type="dxa"/>
              <w:left w:w="19" w:type="dxa"/>
              <w:bottom w:w="68" w:type="dxa"/>
              <w:right w:w="19" w:type="dxa"/>
            </w:tcMar>
            <w:vAlign w:val="center"/>
          </w:tcPr>
          <w:p w14:paraId="4FB8F097">
            <w:pPr>
              <w:widowControl/>
              <w:spacing w:line="360" w:lineRule="exact"/>
              <w:ind w:firstLine="0" w:firstLineChars="0"/>
              <w:jc w:val="center"/>
              <w:rPr>
                <w:rFonts w:hint="eastAsia"/>
              </w:rPr>
            </w:pPr>
          </w:p>
        </w:tc>
        <w:tc>
          <w:tcPr>
            <w:tcW w:w="1355" w:type="dxa"/>
            <w:vMerge w:val="continue"/>
            <w:shd w:val="clear" w:color="auto" w:fill="FFFFFF"/>
            <w:noWrap w:val="0"/>
            <w:tcMar>
              <w:top w:w="19" w:type="dxa"/>
              <w:left w:w="19" w:type="dxa"/>
              <w:bottom w:w="68" w:type="dxa"/>
              <w:right w:w="19" w:type="dxa"/>
            </w:tcMar>
            <w:vAlign w:val="center"/>
          </w:tcPr>
          <w:p w14:paraId="1F326F27">
            <w:pPr>
              <w:widowControl/>
              <w:spacing w:line="360" w:lineRule="exact"/>
              <w:ind w:firstLine="0" w:firstLineChars="0"/>
              <w:jc w:val="left"/>
              <w:rPr>
                <w:rFonts w:hint="eastAsia"/>
              </w:rPr>
            </w:pPr>
          </w:p>
        </w:tc>
        <w:tc>
          <w:tcPr>
            <w:tcW w:w="1428" w:type="dxa"/>
            <w:vMerge w:val="continue"/>
            <w:shd w:val="clear" w:color="auto" w:fill="FFFFFF"/>
            <w:noWrap w:val="0"/>
            <w:tcMar>
              <w:top w:w="19" w:type="dxa"/>
              <w:left w:w="19" w:type="dxa"/>
              <w:bottom w:w="68" w:type="dxa"/>
              <w:right w:w="19" w:type="dxa"/>
            </w:tcMar>
            <w:vAlign w:val="center"/>
          </w:tcPr>
          <w:p w14:paraId="7325CA16">
            <w:pPr>
              <w:widowControl/>
              <w:spacing w:line="360" w:lineRule="exact"/>
              <w:ind w:firstLine="0" w:firstLineChars="0"/>
              <w:jc w:val="left"/>
              <w:rPr>
                <w:rFonts w:hint="eastAsia"/>
              </w:rPr>
            </w:pPr>
          </w:p>
        </w:tc>
        <w:tc>
          <w:tcPr>
            <w:tcW w:w="1260" w:type="dxa"/>
            <w:vMerge w:val="continue"/>
            <w:shd w:val="clear" w:color="auto" w:fill="FFFFFF"/>
            <w:noWrap w:val="0"/>
            <w:tcMar>
              <w:top w:w="19" w:type="dxa"/>
              <w:left w:w="19" w:type="dxa"/>
              <w:bottom w:w="68" w:type="dxa"/>
              <w:right w:w="19" w:type="dxa"/>
            </w:tcMar>
            <w:vAlign w:val="center"/>
          </w:tcPr>
          <w:p w14:paraId="61B7616E">
            <w:pPr>
              <w:widowControl/>
              <w:spacing w:line="360" w:lineRule="exact"/>
              <w:ind w:firstLine="0" w:firstLineChars="0"/>
              <w:jc w:val="left"/>
              <w:rPr>
                <w:rFonts w:hint="eastAsia"/>
              </w:rPr>
            </w:pPr>
          </w:p>
        </w:tc>
        <w:tc>
          <w:tcPr>
            <w:tcW w:w="5422" w:type="dxa"/>
            <w:gridSpan w:val="2"/>
            <w:shd w:val="clear" w:color="auto" w:fill="FFFFFF"/>
            <w:noWrap w:val="0"/>
            <w:tcMar>
              <w:top w:w="19" w:type="dxa"/>
              <w:left w:w="19" w:type="dxa"/>
              <w:bottom w:w="68" w:type="dxa"/>
              <w:right w:w="19" w:type="dxa"/>
            </w:tcMar>
            <w:vAlign w:val="center"/>
          </w:tcPr>
          <w:p w14:paraId="556A86AC">
            <w:pPr>
              <w:widowControl/>
              <w:spacing w:line="360" w:lineRule="exact"/>
              <w:ind w:firstLine="0" w:firstLineChars="0"/>
              <w:jc w:val="left"/>
              <w:rPr>
                <w:rFonts w:hint="eastAsia" w:eastAsia="宋体" w:cs="宋体"/>
                <w:sz w:val="21"/>
                <w:szCs w:val="21"/>
              </w:rPr>
            </w:pPr>
            <w:r>
              <w:rPr>
                <w:rFonts w:hint="eastAsia" w:eastAsia="宋体" w:cs="宋体"/>
                <w:sz w:val="21"/>
                <w:szCs w:val="21"/>
              </w:rPr>
              <w:t>自定义配置标准：</w:t>
            </w:r>
          </w:p>
          <w:p w14:paraId="0C563F91">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系统根据医院制定的配置标准，结合各部门人员、房屋情况自动生成各部门的资产配置标准。</w:t>
            </w:r>
          </w:p>
        </w:tc>
      </w:tr>
      <w:tr w14:paraId="6274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97" w:type="dxa"/>
            <w:vMerge w:val="continue"/>
            <w:shd w:val="clear" w:color="auto" w:fill="FFFFFF"/>
            <w:noWrap w:val="0"/>
            <w:tcMar>
              <w:top w:w="19" w:type="dxa"/>
              <w:left w:w="19" w:type="dxa"/>
              <w:bottom w:w="68" w:type="dxa"/>
              <w:right w:w="19" w:type="dxa"/>
            </w:tcMar>
            <w:vAlign w:val="center"/>
          </w:tcPr>
          <w:p w14:paraId="65C241E9">
            <w:pPr>
              <w:widowControl/>
              <w:spacing w:line="360" w:lineRule="exact"/>
              <w:ind w:firstLine="0" w:firstLineChars="0"/>
              <w:jc w:val="center"/>
              <w:rPr>
                <w:rFonts w:hint="eastAsia" w:eastAsia="宋体" w:cs="宋体"/>
                <w:sz w:val="21"/>
                <w:szCs w:val="21"/>
              </w:rPr>
            </w:pPr>
          </w:p>
        </w:tc>
        <w:tc>
          <w:tcPr>
            <w:tcW w:w="1355" w:type="dxa"/>
            <w:vMerge w:val="continue"/>
            <w:shd w:val="clear" w:color="auto" w:fill="FFFFFF"/>
            <w:noWrap w:val="0"/>
            <w:tcMar>
              <w:top w:w="19" w:type="dxa"/>
              <w:left w:w="19" w:type="dxa"/>
              <w:bottom w:w="68" w:type="dxa"/>
              <w:right w:w="19" w:type="dxa"/>
            </w:tcMar>
            <w:vAlign w:val="center"/>
          </w:tcPr>
          <w:p w14:paraId="2BC081CD">
            <w:pPr>
              <w:widowControl/>
              <w:spacing w:line="360" w:lineRule="exact"/>
              <w:ind w:firstLine="0" w:firstLineChars="0"/>
              <w:jc w:val="left"/>
              <w:rPr>
                <w:rFonts w:hint="eastAsia" w:eastAsia="宋体" w:cs="宋体"/>
                <w:sz w:val="21"/>
                <w:szCs w:val="21"/>
              </w:rPr>
            </w:pPr>
          </w:p>
        </w:tc>
        <w:tc>
          <w:tcPr>
            <w:tcW w:w="1428" w:type="dxa"/>
            <w:vMerge w:val="continue"/>
            <w:shd w:val="clear" w:color="auto" w:fill="FFFFFF"/>
            <w:noWrap w:val="0"/>
            <w:tcMar>
              <w:top w:w="19" w:type="dxa"/>
              <w:left w:w="19" w:type="dxa"/>
              <w:bottom w:w="68" w:type="dxa"/>
              <w:right w:w="19" w:type="dxa"/>
            </w:tcMar>
            <w:vAlign w:val="center"/>
          </w:tcPr>
          <w:p w14:paraId="4C15639F">
            <w:pPr>
              <w:widowControl/>
              <w:spacing w:line="360" w:lineRule="exact"/>
              <w:ind w:firstLine="0" w:firstLineChars="0"/>
              <w:jc w:val="left"/>
              <w:rPr>
                <w:rFonts w:hint="eastAsia" w:eastAsia="宋体" w:cs="宋体"/>
                <w:sz w:val="21"/>
                <w:szCs w:val="21"/>
              </w:rPr>
            </w:pPr>
          </w:p>
        </w:tc>
        <w:tc>
          <w:tcPr>
            <w:tcW w:w="1260" w:type="dxa"/>
            <w:vMerge w:val="continue"/>
            <w:shd w:val="clear" w:color="auto" w:fill="FFFFFF"/>
            <w:noWrap w:val="0"/>
            <w:tcMar>
              <w:top w:w="19" w:type="dxa"/>
              <w:left w:w="19" w:type="dxa"/>
              <w:bottom w:w="68" w:type="dxa"/>
              <w:right w:w="19" w:type="dxa"/>
            </w:tcMar>
            <w:vAlign w:val="center"/>
          </w:tcPr>
          <w:p w14:paraId="2AAC1B3C">
            <w:pPr>
              <w:widowControl/>
              <w:spacing w:line="360" w:lineRule="exact"/>
              <w:ind w:firstLine="0" w:firstLineChars="0"/>
              <w:jc w:val="left"/>
              <w:rPr>
                <w:rFonts w:hint="eastAsia" w:eastAsia="宋体" w:cs="宋体"/>
                <w:sz w:val="21"/>
                <w:szCs w:val="21"/>
              </w:rPr>
            </w:pPr>
          </w:p>
        </w:tc>
        <w:tc>
          <w:tcPr>
            <w:tcW w:w="5422" w:type="dxa"/>
            <w:gridSpan w:val="2"/>
            <w:shd w:val="clear" w:color="auto" w:fill="FFFFFF"/>
            <w:noWrap w:val="0"/>
            <w:tcMar>
              <w:top w:w="19" w:type="dxa"/>
              <w:left w:w="19" w:type="dxa"/>
              <w:bottom w:w="68" w:type="dxa"/>
              <w:right w:w="19" w:type="dxa"/>
            </w:tcMar>
            <w:vAlign w:val="center"/>
          </w:tcPr>
          <w:p w14:paraId="1BD59AAC">
            <w:pPr>
              <w:widowControl/>
              <w:spacing w:line="360" w:lineRule="exact"/>
              <w:ind w:firstLine="0" w:firstLineChars="0"/>
              <w:jc w:val="left"/>
              <w:rPr>
                <w:rFonts w:hint="eastAsia" w:eastAsia="宋体" w:cs="宋体"/>
                <w:sz w:val="21"/>
                <w:szCs w:val="21"/>
              </w:rPr>
            </w:pPr>
            <w:r>
              <w:rPr>
                <w:rFonts w:hint="eastAsia" w:eastAsia="宋体" w:cs="宋体"/>
                <w:sz w:val="21"/>
                <w:szCs w:val="21"/>
              </w:rPr>
              <w:t>资产配置计划：</w:t>
            </w:r>
          </w:p>
          <w:p w14:paraId="69C5770D">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系统支持根据各部门资产配置标准及资产现存量自动计算出每个资产配置分类的可配置数量，部门资产管理员可根据资产存量情况，资产可配置数量，填写采购计划数量，最终生成本部门的资产购置计划。</w:t>
            </w:r>
          </w:p>
        </w:tc>
      </w:tr>
      <w:tr w14:paraId="28C0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497" w:type="dxa"/>
            <w:vMerge w:val="restart"/>
            <w:shd w:val="clear" w:color="auto" w:fill="FFFFFF"/>
            <w:noWrap w:val="0"/>
            <w:tcMar>
              <w:top w:w="19" w:type="dxa"/>
              <w:left w:w="19" w:type="dxa"/>
              <w:bottom w:w="68" w:type="dxa"/>
              <w:right w:w="19" w:type="dxa"/>
            </w:tcMar>
            <w:vAlign w:val="center"/>
          </w:tcPr>
          <w:p w14:paraId="42137615">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10</w:t>
            </w:r>
          </w:p>
        </w:tc>
        <w:tc>
          <w:tcPr>
            <w:tcW w:w="1355" w:type="dxa"/>
            <w:vMerge w:val="continue"/>
            <w:shd w:val="clear" w:color="auto" w:fill="FFFFFF"/>
            <w:noWrap w:val="0"/>
            <w:tcMar>
              <w:top w:w="19" w:type="dxa"/>
              <w:left w:w="19" w:type="dxa"/>
              <w:bottom w:w="68" w:type="dxa"/>
              <w:right w:w="19" w:type="dxa"/>
            </w:tcMar>
            <w:vAlign w:val="center"/>
          </w:tcPr>
          <w:p w14:paraId="6CE6C9F1">
            <w:pPr>
              <w:widowControl/>
              <w:spacing w:line="360" w:lineRule="exact"/>
              <w:ind w:firstLine="420"/>
              <w:jc w:val="left"/>
              <w:rPr>
                <w:rFonts w:hint="eastAsia" w:eastAsia="宋体" w:cs="宋体"/>
                <w:kern w:val="0"/>
                <w:sz w:val="21"/>
                <w:szCs w:val="21"/>
                <w:lang w:bidi="ar"/>
              </w:rPr>
            </w:pPr>
          </w:p>
        </w:tc>
        <w:tc>
          <w:tcPr>
            <w:tcW w:w="1428" w:type="dxa"/>
            <w:vMerge w:val="continue"/>
            <w:shd w:val="clear" w:color="auto" w:fill="FFFFFF"/>
            <w:noWrap w:val="0"/>
            <w:tcMar>
              <w:top w:w="19" w:type="dxa"/>
              <w:left w:w="19" w:type="dxa"/>
              <w:bottom w:w="68" w:type="dxa"/>
              <w:right w:w="19" w:type="dxa"/>
            </w:tcMar>
            <w:vAlign w:val="center"/>
          </w:tcPr>
          <w:p w14:paraId="6BDFFD71">
            <w:pPr>
              <w:widowControl/>
              <w:spacing w:line="360" w:lineRule="exact"/>
              <w:ind w:firstLine="0" w:firstLineChars="0"/>
              <w:jc w:val="left"/>
              <w:rPr>
                <w:rFonts w:hint="eastAsia" w:eastAsia="宋体" w:cs="宋体"/>
                <w:sz w:val="21"/>
                <w:szCs w:val="21"/>
              </w:rPr>
            </w:pPr>
          </w:p>
        </w:tc>
        <w:tc>
          <w:tcPr>
            <w:tcW w:w="1260" w:type="dxa"/>
            <w:vMerge w:val="restart"/>
            <w:shd w:val="clear" w:color="auto" w:fill="FFFFFF"/>
            <w:noWrap w:val="0"/>
            <w:tcMar>
              <w:top w:w="19" w:type="dxa"/>
              <w:left w:w="19" w:type="dxa"/>
              <w:bottom w:w="68" w:type="dxa"/>
              <w:right w:w="19" w:type="dxa"/>
            </w:tcMar>
            <w:vAlign w:val="center"/>
          </w:tcPr>
          <w:p w14:paraId="24A9A4E9">
            <w:pPr>
              <w:widowControl/>
              <w:spacing w:line="360" w:lineRule="exact"/>
              <w:ind w:firstLine="0" w:firstLineChars="0"/>
              <w:jc w:val="center"/>
              <w:rPr>
                <w:rFonts w:hint="eastAsia" w:eastAsia="宋体" w:cs="宋体"/>
                <w:sz w:val="21"/>
                <w:szCs w:val="21"/>
              </w:rPr>
            </w:pPr>
            <w:r>
              <w:rPr>
                <w:rFonts w:hint="eastAsia" w:eastAsia="宋体" w:cs="宋体"/>
                <w:sz w:val="21"/>
                <w:szCs w:val="21"/>
              </w:rPr>
              <w:t>资产购置预算模式</w:t>
            </w:r>
          </w:p>
        </w:tc>
        <w:tc>
          <w:tcPr>
            <w:tcW w:w="5422" w:type="dxa"/>
            <w:gridSpan w:val="2"/>
            <w:shd w:val="clear" w:color="auto" w:fill="FFFFFF"/>
            <w:noWrap w:val="0"/>
            <w:tcMar>
              <w:top w:w="19" w:type="dxa"/>
              <w:left w:w="19" w:type="dxa"/>
              <w:bottom w:w="68" w:type="dxa"/>
              <w:right w:w="19" w:type="dxa"/>
            </w:tcMar>
            <w:vAlign w:val="center"/>
          </w:tcPr>
          <w:p w14:paraId="53D39766">
            <w:pPr>
              <w:widowControl/>
              <w:spacing w:line="360" w:lineRule="exact"/>
              <w:ind w:firstLine="0" w:firstLineChars="0"/>
              <w:jc w:val="left"/>
              <w:rPr>
                <w:rFonts w:hint="eastAsia" w:eastAsia="宋体" w:cs="宋体"/>
                <w:sz w:val="21"/>
                <w:szCs w:val="21"/>
              </w:rPr>
            </w:pPr>
            <w:r>
              <w:rPr>
                <w:rFonts w:hint="eastAsia" w:eastAsia="宋体" w:cs="宋体"/>
                <w:sz w:val="21"/>
                <w:szCs w:val="21"/>
              </w:rPr>
              <w:t>获取资产购置预算：</w:t>
            </w:r>
          </w:p>
          <w:p w14:paraId="73D6A17B">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系统通过与医院预算管理系统对接，自动获取医院项目类预算信息，并划分至不同的归口管理部门。</w:t>
            </w:r>
          </w:p>
        </w:tc>
      </w:tr>
      <w:tr w14:paraId="0B9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497" w:type="dxa"/>
            <w:vMerge w:val="continue"/>
            <w:shd w:val="clear" w:color="auto" w:fill="FFFFFF"/>
            <w:noWrap w:val="0"/>
            <w:tcMar>
              <w:top w:w="19" w:type="dxa"/>
              <w:left w:w="19" w:type="dxa"/>
              <w:bottom w:w="68" w:type="dxa"/>
              <w:right w:w="19" w:type="dxa"/>
            </w:tcMar>
            <w:vAlign w:val="center"/>
          </w:tcPr>
          <w:p w14:paraId="4984C844">
            <w:pPr>
              <w:widowControl/>
              <w:spacing w:line="360" w:lineRule="exact"/>
              <w:ind w:firstLine="0" w:firstLineChars="0"/>
              <w:jc w:val="center"/>
              <w:rPr>
                <w:rFonts w:hint="eastAsia"/>
              </w:rPr>
            </w:pPr>
          </w:p>
        </w:tc>
        <w:tc>
          <w:tcPr>
            <w:tcW w:w="1355" w:type="dxa"/>
            <w:vMerge w:val="continue"/>
            <w:shd w:val="clear" w:color="auto" w:fill="FFFFFF"/>
            <w:noWrap w:val="0"/>
            <w:tcMar>
              <w:top w:w="19" w:type="dxa"/>
              <w:left w:w="19" w:type="dxa"/>
              <w:bottom w:w="68" w:type="dxa"/>
              <w:right w:w="19" w:type="dxa"/>
            </w:tcMar>
            <w:vAlign w:val="center"/>
          </w:tcPr>
          <w:p w14:paraId="383AD0F1">
            <w:pPr>
              <w:widowControl/>
              <w:spacing w:line="360" w:lineRule="exact"/>
              <w:ind w:firstLine="0" w:firstLineChars="0"/>
              <w:jc w:val="left"/>
              <w:rPr>
                <w:rFonts w:hint="eastAsia"/>
              </w:rPr>
            </w:pPr>
          </w:p>
        </w:tc>
        <w:tc>
          <w:tcPr>
            <w:tcW w:w="1428" w:type="dxa"/>
            <w:vMerge w:val="continue"/>
            <w:shd w:val="clear" w:color="auto" w:fill="FFFFFF"/>
            <w:noWrap w:val="0"/>
            <w:tcMar>
              <w:top w:w="19" w:type="dxa"/>
              <w:left w:w="19" w:type="dxa"/>
              <w:bottom w:w="68" w:type="dxa"/>
              <w:right w:w="19" w:type="dxa"/>
            </w:tcMar>
            <w:vAlign w:val="center"/>
          </w:tcPr>
          <w:p w14:paraId="0EBF7769">
            <w:pPr>
              <w:widowControl/>
              <w:spacing w:line="360" w:lineRule="exact"/>
              <w:ind w:firstLine="0" w:firstLineChars="0"/>
              <w:jc w:val="left"/>
              <w:rPr>
                <w:rFonts w:hint="eastAsia"/>
              </w:rPr>
            </w:pPr>
          </w:p>
        </w:tc>
        <w:tc>
          <w:tcPr>
            <w:tcW w:w="1260" w:type="dxa"/>
            <w:vMerge w:val="continue"/>
            <w:shd w:val="clear" w:color="auto" w:fill="FFFFFF"/>
            <w:noWrap w:val="0"/>
            <w:tcMar>
              <w:top w:w="19" w:type="dxa"/>
              <w:left w:w="19" w:type="dxa"/>
              <w:bottom w:w="68" w:type="dxa"/>
              <w:right w:w="19" w:type="dxa"/>
            </w:tcMar>
            <w:vAlign w:val="center"/>
          </w:tcPr>
          <w:p w14:paraId="70209DD3">
            <w:pPr>
              <w:widowControl/>
              <w:spacing w:line="360" w:lineRule="exact"/>
              <w:ind w:firstLine="0" w:firstLineChars="0"/>
              <w:jc w:val="center"/>
              <w:rPr>
                <w:rFonts w:hint="eastAsia"/>
              </w:rPr>
            </w:pPr>
          </w:p>
        </w:tc>
        <w:tc>
          <w:tcPr>
            <w:tcW w:w="5422" w:type="dxa"/>
            <w:gridSpan w:val="2"/>
            <w:shd w:val="clear" w:color="auto" w:fill="FFFFFF"/>
            <w:noWrap w:val="0"/>
            <w:tcMar>
              <w:top w:w="19" w:type="dxa"/>
              <w:left w:w="19" w:type="dxa"/>
              <w:bottom w:w="68" w:type="dxa"/>
              <w:right w:w="19" w:type="dxa"/>
            </w:tcMar>
            <w:vAlign w:val="center"/>
          </w:tcPr>
          <w:p w14:paraId="6907D24F">
            <w:pPr>
              <w:widowControl/>
              <w:spacing w:line="360" w:lineRule="exact"/>
              <w:ind w:firstLine="0" w:firstLineChars="0"/>
              <w:jc w:val="left"/>
              <w:rPr>
                <w:rFonts w:hint="eastAsia" w:eastAsia="宋体" w:cs="宋体"/>
                <w:sz w:val="21"/>
                <w:szCs w:val="21"/>
              </w:rPr>
            </w:pPr>
            <w:r>
              <w:rPr>
                <w:rFonts w:hint="eastAsia" w:eastAsia="宋体" w:cs="宋体"/>
                <w:sz w:val="21"/>
                <w:szCs w:val="21"/>
              </w:rPr>
              <w:t>生成资产配置计划：</w:t>
            </w:r>
          </w:p>
          <w:p w14:paraId="2D090659">
            <w:pPr>
              <w:widowControl/>
              <w:spacing w:line="360" w:lineRule="exact"/>
              <w:ind w:firstLine="0" w:firstLineChars="0"/>
              <w:jc w:val="left"/>
              <w:rPr>
                <w:rFonts w:hint="eastAsia" w:eastAsia="宋体" w:cs="宋体"/>
                <w:sz w:val="21"/>
                <w:szCs w:val="21"/>
              </w:rPr>
            </w:pPr>
            <w:r>
              <w:rPr>
                <w:rFonts w:hint="eastAsia" w:eastAsia="宋体" w:cs="宋体"/>
                <w:sz w:val="21"/>
                <w:szCs w:val="21"/>
              </w:rPr>
              <w:t>各归口管理部门资产管理员在本部门的项目预算中挑选当期拟采购项目，生成本部门资产购置计划。</w:t>
            </w:r>
          </w:p>
        </w:tc>
      </w:tr>
      <w:tr w14:paraId="6885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00D6FD3F">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11</w:t>
            </w:r>
          </w:p>
        </w:tc>
        <w:tc>
          <w:tcPr>
            <w:tcW w:w="1355" w:type="dxa"/>
            <w:vMerge w:val="continue"/>
            <w:shd w:val="clear" w:color="auto" w:fill="FFFFFF"/>
            <w:noWrap w:val="0"/>
            <w:tcMar>
              <w:top w:w="19" w:type="dxa"/>
              <w:left w:w="19" w:type="dxa"/>
              <w:bottom w:w="68" w:type="dxa"/>
              <w:right w:w="19" w:type="dxa"/>
            </w:tcMar>
            <w:vAlign w:val="center"/>
          </w:tcPr>
          <w:p w14:paraId="2DAF9BDC">
            <w:pPr>
              <w:widowControl/>
              <w:spacing w:line="360" w:lineRule="exact"/>
              <w:ind w:firstLine="420"/>
              <w:jc w:val="left"/>
              <w:rPr>
                <w:rFonts w:hint="eastAsia" w:eastAsia="宋体" w:cs="宋体"/>
                <w:kern w:val="0"/>
                <w:sz w:val="21"/>
                <w:szCs w:val="21"/>
                <w:lang w:bidi="ar"/>
              </w:rPr>
            </w:pPr>
          </w:p>
        </w:tc>
        <w:tc>
          <w:tcPr>
            <w:tcW w:w="1428" w:type="dxa"/>
            <w:vMerge w:val="continue"/>
            <w:shd w:val="clear" w:color="auto" w:fill="FFFFFF"/>
            <w:noWrap w:val="0"/>
            <w:tcMar>
              <w:top w:w="19" w:type="dxa"/>
              <w:left w:w="19" w:type="dxa"/>
              <w:bottom w:w="68" w:type="dxa"/>
              <w:right w:w="19" w:type="dxa"/>
            </w:tcMar>
            <w:vAlign w:val="center"/>
          </w:tcPr>
          <w:p w14:paraId="15847271">
            <w:pPr>
              <w:widowControl/>
              <w:spacing w:line="360" w:lineRule="exact"/>
              <w:ind w:firstLine="0" w:firstLineChars="0"/>
              <w:jc w:val="left"/>
              <w:rPr>
                <w:rFonts w:hint="eastAsia" w:eastAsia="宋体" w:cs="宋体"/>
                <w:sz w:val="21"/>
                <w:szCs w:val="21"/>
              </w:rPr>
            </w:pPr>
          </w:p>
        </w:tc>
        <w:tc>
          <w:tcPr>
            <w:tcW w:w="1260" w:type="dxa"/>
            <w:shd w:val="clear" w:color="auto" w:fill="FFFFFF"/>
            <w:noWrap w:val="0"/>
            <w:tcMar>
              <w:top w:w="19" w:type="dxa"/>
              <w:left w:w="19" w:type="dxa"/>
              <w:bottom w:w="68" w:type="dxa"/>
              <w:right w:w="19" w:type="dxa"/>
            </w:tcMar>
            <w:vAlign w:val="center"/>
          </w:tcPr>
          <w:p w14:paraId="3C122964">
            <w:pPr>
              <w:widowControl/>
              <w:spacing w:line="360" w:lineRule="exact"/>
              <w:ind w:firstLine="0" w:firstLineChars="0"/>
              <w:jc w:val="center"/>
              <w:rPr>
                <w:rFonts w:hint="eastAsia" w:eastAsia="宋体" w:cs="宋体"/>
                <w:sz w:val="21"/>
                <w:szCs w:val="21"/>
              </w:rPr>
            </w:pPr>
            <w:r>
              <w:rPr>
                <w:rFonts w:hint="eastAsia" w:eastAsia="宋体" w:cs="宋体"/>
                <w:sz w:val="21"/>
                <w:szCs w:val="21"/>
              </w:rPr>
              <w:t>购置计划审批</w:t>
            </w:r>
          </w:p>
          <w:p w14:paraId="002AC6ED">
            <w:pPr>
              <w:widowControl/>
              <w:spacing w:line="360" w:lineRule="exact"/>
              <w:ind w:firstLine="0" w:firstLineChars="0"/>
              <w:jc w:val="center"/>
              <w:rPr>
                <w:rFonts w:hint="eastAsia" w:eastAsia="宋体" w:cs="宋体"/>
                <w:sz w:val="21"/>
                <w:szCs w:val="21"/>
              </w:rPr>
            </w:pPr>
          </w:p>
        </w:tc>
        <w:tc>
          <w:tcPr>
            <w:tcW w:w="5422" w:type="dxa"/>
            <w:gridSpan w:val="2"/>
            <w:shd w:val="clear" w:color="auto" w:fill="FFFFFF"/>
            <w:noWrap w:val="0"/>
            <w:tcMar>
              <w:top w:w="19" w:type="dxa"/>
              <w:left w:w="19" w:type="dxa"/>
              <w:bottom w:w="68" w:type="dxa"/>
              <w:right w:w="19" w:type="dxa"/>
            </w:tcMar>
            <w:vAlign w:val="center"/>
          </w:tcPr>
          <w:p w14:paraId="459A42B2">
            <w:pPr>
              <w:widowControl/>
              <w:spacing w:line="360" w:lineRule="exact"/>
              <w:ind w:firstLine="0" w:firstLineChars="0"/>
              <w:jc w:val="left"/>
              <w:rPr>
                <w:rFonts w:hint="eastAsia" w:eastAsia="宋体" w:cs="宋体"/>
                <w:sz w:val="21"/>
                <w:szCs w:val="21"/>
              </w:rPr>
            </w:pPr>
            <w:r>
              <w:rPr>
                <w:rFonts w:hint="eastAsia" w:eastAsia="宋体" w:cs="宋体"/>
                <w:sz w:val="21"/>
                <w:szCs w:val="21"/>
              </w:rPr>
              <w:t>各部门生成的资产配置计划按照医院规定的审批流程进行审批，系统支持自定义审批流程，支持按资产归口管理权限、金额大小等维度分类设置审批流程。</w:t>
            </w:r>
          </w:p>
        </w:tc>
      </w:tr>
      <w:tr w14:paraId="4BF5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47A0C1EE">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12</w:t>
            </w:r>
          </w:p>
        </w:tc>
        <w:tc>
          <w:tcPr>
            <w:tcW w:w="1355" w:type="dxa"/>
            <w:vMerge w:val="continue"/>
            <w:shd w:val="clear" w:color="auto" w:fill="FFFFFF"/>
            <w:noWrap w:val="0"/>
            <w:tcMar>
              <w:top w:w="19" w:type="dxa"/>
              <w:left w:w="19" w:type="dxa"/>
              <w:bottom w:w="68" w:type="dxa"/>
              <w:right w:w="19" w:type="dxa"/>
            </w:tcMar>
            <w:vAlign w:val="center"/>
          </w:tcPr>
          <w:p w14:paraId="79D7D226">
            <w:pPr>
              <w:widowControl/>
              <w:spacing w:line="360" w:lineRule="exact"/>
              <w:ind w:firstLine="420"/>
              <w:jc w:val="left"/>
              <w:rPr>
                <w:rFonts w:hint="eastAsia" w:eastAsia="宋体" w:cs="宋体"/>
                <w:kern w:val="0"/>
                <w:sz w:val="21"/>
                <w:szCs w:val="21"/>
                <w:lang w:bidi="ar"/>
              </w:rPr>
            </w:pPr>
          </w:p>
        </w:tc>
        <w:tc>
          <w:tcPr>
            <w:tcW w:w="1428" w:type="dxa"/>
            <w:vMerge w:val="continue"/>
            <w:shd w:val="clear" w:color="auto" w:fill="FFFFFF"/>
            <w:noWrap w:val="0"/>
            <w:tcMar>
              <w:top w:w="19" w:type="dxa"/>
              <w:left w:w="19" w:type="dxa"/>
              <w:bottom w:w="68" w:type="dxa"/>
              <w:right w:w="19" w:type="dxa"/>
            </w:tcMar>
            <w:vAlign w:val="center"/>
          </w:tcPr>
          <w:p w14:paraId="7E09AB70">
            <w:pPr>
              <w:widowControl/>
              <w:spacing w:line="360" w:lineRule="exact"/>
              <w:ind w:firstLine="0" w:firstLineChars="0"/>
              <w:jc w:val="left"/>
              <w:rPr>
                <w:rFonts w:hint="eastAsia" w:eastAsia="宋体" w:cs="宋体"/>
                <w:sz w:val="21"/>
                <w:szCs w:val="21"/>
              </w:rPr>
            </w:pPr>
          </w:p>
        </w:tc>
        <w:tc>
          <w:tcPr>
            <w:tcW w:w="1260" w:type="dxa"/>
            <w:shd w:val="clear" w:color="auto" w:fill="FFFFFF"/>
            <w:noWrap w:val="0"/>
            <w:tcMar>
              <w:top w:w="19" w:type="dxa"/>
              <w:left w:w="19" w:type="dxa"/>
              <w:bottom w:w="68" w:type="dxa"/>
              <w:right w:w="19" w:type="dxa"/>
            </w:tcMar>
            <w:vAlign w:val="center"/>
          </w:tcPr>
          <w:p w14:paraId="46EC4B6A">
            <w:pPr>
              <w:widowControl/>
              <w:spacing w:line="360" w:lineRule="exact"/>
              <w:ind w:firstLine="0" w:firstLineChars="0"/>
              <w:jc w:val="center"/>
              <w:rPr>
                <w:rFonts w:hint="eastAsia" w:eastAsia="宋体" w:cs="宋体"/>
                <w:sz w:val="21"/>
                <w:szCs w:val="21"/>
              </w:rPr>
            </w:pPr>
            <w:r>
              <w:rPr>
                <w:rFonts w:hint="eastAsia" w:eastAsia="宋体" w:cs="宋体"/>
                <w:sz w:val="21"/>
                <w:szCs w:val="21"/>
              </w:rPr>
              <w:t>购置计划汇总</w:t>
            </w:r>
          </w:p>
        </w:tc>
        <w:tc>
          <w:tcPr>
            <w:tcW w:w="5422" w:type="dxa"/>
            <w:gridSpan w:val="2"/>
            <w:shd w:val="clear" w:color="auto" w:fill="FFFFFF"/>
            <w:noWrap w:val="0"/>
            <w:tcMar>
              <w:top w:w="19" w:type="dxa"/>
              <w:left w:w="19" w:type="dxa"/>
              <w:bottom w:w="68" w:type="dxa"/>
              <w:right w:w="19" w:type="dxa"/>
            </w:tcMar>
            <w:vAlign w:val="center"/>
          </w:tcPr>
          <w:p w14:paraId="1C88C111">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系统支持对审批通过的配置计划自动汇总，形成医院的资产购置方案。</w:t>
            </w:r>
          </w:p>
        </w:tc>
      </w:tr>
      <w:tr w14:paraId="42B6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EDE0126">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13</w:t>
            </w:r>
          </w:p>
        </w:tc>
        <w:tc>
          <w:tcPr>
            <w:tcW w:w="1355" w:type="dxa"/>
            <w:vMerge w:val="continue"/>
            <w:shd w:val="clear" w:color="auto" w:fill="FFFFFF"/>
            <w:noWrap w:val="0"/>
            <w:tcMar>
              <w:top w:w="19" w:type="dxa"/>
              <w:left w:w="19" w:type="dxa"/>
              <w:bottom w:w="68" w:type="dxa"/>
              <w:right w:w="19" w:type="dxa"/>
            </w:tcMar>
            <w:vAlign w:val="center"/>
          </w:tcPr>
          <w:p w14:paraId="31A5B445">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000B5C93">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固定资产采购</w:t>
            </w:r>
          </w:p>
        </w:tc>
        <w:tc>
          <w:tcPr>
            <w:tcW w:w="6682" w:type="dxa"/>
            <w:gridSpan w:val="3"/>
            <w:shd w:val="clear" w:color="auto" w:fill="FFFFFF"/>
            <w:noWrap w:val="0"/>
            <w:tcMar>
              <w:top w:w="19" w:type="dxa"/>
              <w:left w:w="19" w:type="dxa"/>
              <w:bottom w:w="68" w:type="dxa"/>
              <w:right w:w="19" w:type="dxa"/>
            </w:tcMar>
            <w:vAlign w:val="center"/>
          </w:tcPr>
          <w:p w14:paraId="7C7E5C99">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系统支持按照批准的资产配置方案分批或批量生成资产采购单据，并按照医院内部管理需求配置审批流程，完成资产采购审批。</w:t>
            </w:r>
          </w:p>
        </w:tc>
      </w:tr>
      <w:tr w14:paraId="365A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42E09B76">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14</w:t>
            </w:r>
          </w:p>
        </w:tc>
        <w:tc>
          <w:tcPr>
            <w:tcW w:w="1355" w:type="dxa"/>
            <w:vMerge w:val="continue"/>
            <w:shd w:val="clear" w:color="auto" w:fill="FFFFFF"/>
            <w:noWrap w:val="0"/>
            <w:tcMar>
              <w:top w:w="19" w:type="dxa"/>
              <w:left w:w="19" w:type="dxa"/>
              <w:bottom w:w="68" w:type="dxa"/>
              <w:right w:w="19" w:type="dxa"/>
            </w:tcMar>
            <w:vAlign w:val="center"/>
          </w:tcPr>
          <w:p w14:paraId="157DB1F6">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0367BA29">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固定资产验收</w:t>
            </w:r>
          </w:p>
        </w:tc>
        <w:tc>
          <w:tcPr>
            <w:tcW w:w="6682" w:type="dxa"/>
            <w:gridSpan w:val="3"/>
            <w:shd w:val="clear" w:color="auto" w:fill="FFFFFF"/>
            <w:noWrap w:val="0"/>
            <w:tcMar>
              <w:top w:w="19" w:type="dxa"/>
              <w:left w:w="19" w:type="dxa"/>
              <w:bottom w:w="68" w:type="dxa"/>
              <w:right w:w="19" w:type="dxa"/>
            </w:tcMar>
            <w:vAlign w:val="center"/>
          </w:tcPr>
          <w:p w14:paraId="05B61CEC">
            <w:pPr>
              <w:widowControl/>
              <w:numPr>
                <w:ilvl w:val="0"/>
                <w:numId w:val="3"/>
              </w:numPr>
              <w:spacing w:line="360" w:lineRule="exact"/>
              <w:ind w:firstLine="0" w:firstLineChars="0"/>
              <w:jc w:val="left"/>
              <w:rPr>
                <w:rFonts w:hint="eastAsia" w:eastAsia="宋体" w:cs="宋体"/>
                <w:sz w:val="21"/>
                <w:szCs w:val="21"/>
              </w:rPr>
            </w:pPr>
            <w:r>
              <w:rPr>
                <w:rFonts w:hint="eastAsia" w:eastAsia="宋体" w:cs="宋体"/>
                <w:sz w:val="21"/>
                <w:szCs w:val="21"/>
              </w:rPr>
              <w:t>系统支持根据已完成的资产采购单生成验收单或新增录入验收单，记录包括资产名称、规格型号、数量、单价、金额、外包装、质量、验收结果、验收人等验收信息，支持上传保存验收过程图片、文档资料等。</w:t>
            </w:r>
          </w:p>
          <w:p w14:paraId="593323F0">
            <w:pPr>
              <w:widowControl/>
              <w:spacing w:line="360" w:lineRule="exact"/>
              <w:ind w:firstLine="0" w:firstLineChars="0"/>
              <w:jc w:val="left"/>
              <w:rPr>
                <w:rFonts w:hint="eastAsia" w:eastAsia="宋体" w:cs="宋体"/>
                <w:sz w:val="21"/>
                <w:szCs w:val="21"/>
              </w:rPr>
            </w:pPr>
          </w:p>
          <w:p w14:paraId="256D0CF6">
            <w:pPr>
              <w:widowControl/>
              <w:spacing w:line="360" w:lineRule="exact"/>
              <w:ind w:firstLine="0" w:firstLineChars="0"/>
              <w:jc w:val="left"/>
              <w:rPr>
                <w:rFonts w:hint="eastAsia" w:eastAsia="宋体" w:cs="宋体"/>
                <w:sz w:val="21"/>
                <w:szCs w:val="21"/>
              </w:rPr>
            </w:pPr>
            <w:r>
              <w:rPr>
                <w:rFonts w:hint="eastAsia" w:eastAsia="宋体" w:cs="宋体"/>
                <w:sz w:val="21"/>
                <w:szCs w:val="21"/>
              </w:rPr>
              <w:t>2、系统支持按照医院内部管理需求配置验收审批流程，完成资产验收审批。</w:t>
            </w:r>
          </w:p>
        </w:tc>
      </w:tr>
      <w:tr w14:paraId="79A4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564C881F">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15</w:t>
            </w:r>
          </w:p>
        </w:tc>
        <w:tc>
          <w:tcPr>
            <w:tcW w:w="1355" w:type="dxa"/>
            <w:vMerge w:val="continue"/>
            <w:shd w:val="clear" w:color="auto" w:fill="FFFFFF"/>
            <w:noWrap w:val="0"/>
            <w:tcMar>
              <w:top w:w="19" w:type="dxa"/>
              <w:left w:w="19" w:type="dxa"/>
              <w:bottom w:w="68" w:type="dxa"/>
              <w:right w:w="19" w:type="dxa"/>
            </w:tcMar>
            <w:vAlign w:val="center"/>
          </w:tcPr>
          <w:p w14:paraId="0E11BF35">
            <w:pPr>
              <w:widowControl/>
              <w:spacing w:line="360" w:lineRule="exact"/>
              <w:ind w:firstLine="420"/>
              <w:jc w:val="left"/>
              <w:rPr>
                <w:rFonts w:hint="eastAsia" w:eastAsia="宋体" w:cs="宋体"/>
                <w:kern w:val="0"/>
                <w:sz w:val="21"/>
                <w:szCs w:val="21"/>
                <w:lang w:bidi="ar"/>
              </w:rPr>
            </w:pPr>
          </w:p>
        </w:tc>
        <w:tc>
          <w:tcPr>
            <w:tcW w:w="1428" w:type="dxa"/>
            <w:vMerge w:val="restart"/>
            <w:shd w:val="clear" w:color="auto" w:fill="FFFFFF"/>
            <w:noWrap w:val="0"/>
            <w:tcMar>
              <w:top w:w="19" w:type="dxa"/>
              <w:left w:w="19" w:type="dxa"/>
              <w:bottom w:w="68" w:type="dxa"/>
              <w:right w:w="19" w:type="dxa"/>
            </w:tcMar>
            <w:vAlign w:val="center"/>
          </w:tcPr>
          <w:p w14:paraId="61DD9944">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固定资产入库</w:t>
            </w:r>
          </w:p>
        </w:tc>
        <w:tc>
          <w:tcPr>
            <w:tcW w:w="1260" w:type="dxa"/>
            <w:shd w:val="clear" w:color="auto" w:fill="FFFFFF"/>
            <w:noWrap w:val="0"/>
            <w:tcMar>
              <w:top w:w="19" w:type="dxa"/>
              <w:left w:w="19" w:type="dxa"/>
              <w:bottom w:w="68" w:type="dxa"/>
              <w:right w:w="19" w:type="dxa"/>
            </w:tcMar>
            <w:vAlign w:val="center"/>
          </w:tcPr>
          <w:p w14:paraId="5A20C10D">
            <w:pPr>
              <w:widowControl/>
              <w:spacing w:line="360" w:lineRule="exact"/>
              <w:ind w:firstLine="0" w:firstLineChars="0"/>
              <w:jc w:val="center"/>
              <w:rPr>
                <w:rFonts w:hint="eastAsia" w:eastAsia="宋体" w:cs="宋体"/>
                <w:sz w:val="21"/>
                <w:szCs w:val="21"/>
              </w:rPr>
            </w:pPr>
            <w:r>
              <w:rPr>
                <w:rFonts w:hint="eastAsia" w:eastAsia="宋体" w:cs="宋体"/>
                <w:sz w:val="21"/>
                <w:szCs w:val="21"/>
              </w:rPr>
              <w:t>采购资产入库</w:t>
            </w:r>
          </w:p>
        </w:tc>
        <w:tc>
          <w:tcPr>
            <w:tcW w:w="5422" w:type="dxa"/>
            <w:gridSpan w:val="2"/>
            <w:shd w:val="clear" w:color="auto" w:fill="FFFFFF"/>
            <w:noWrap w:val="0"/>
            <w:tcMar>
              <w:top w:w="19" w:type="dxa"/>
              <w:left w:w="19" w:type="dxa"/>
              <w:bottom w:w="68" w:type="dxa"/>
              <w:right w:w="19" w:type="dxa"/>
            </w:tcMar>
            <w:vAlign w:val="center"/>
          </w:tcPr>
          <w:p w14:paraId="0B94FB92">
            <w:pPr>
              <w:widowControl/>
              <w:spacing w:line="360" w:lineRule="exact"/>
              <w:ind w:firstLine="0" w:firstLineChars="0"/>
              <w:jc w:val="left"/>
              <w:rPr>
                <w:rFonts w:hint="eastAsia" w:eastAsia="宋体" w:cs="宋体"/>
                <w:sz w:val="21"/>
                <w:szCs w:val="21"/>
              </w:rPr>
            </w:pPr>
            <w:r>
              <w:rPr>
                <w:rFonts w:hint="eastAsia" w:eastAsia="宋体" w:cs="宋体"/>
                <w:sz w:val="21"/>
                <w:szCs w:val="21"/>
              </w:rPr>
              <w:t>1、系统支持根据已完成的验收单生成资产入库单，并按照医院内部管理需求配置入库单模板与审批流程，完成资产入库手续。</w:t>
            </w:r>
          </w:p>
          <w:p w14:paraId="480A5755">
            <w:pPr>
              <w:widowControl/>
              <w:spacing w:line="360" w:lineRule="exact"/>
              <w:ind w:firstLine="0" w:firstLineChars="0"/>
              <w:jc w:val="left"/>
              <w:rPr>
                <w:rFonts w:hint="eastAsia" w:eastAsia="宋体" w:cs="宋体"/>
                <w:sz w:val="21"/>
                <w:szCs w:val="21"/>
              </w:rPr>
            </w:pPr>
            <w:r>
              <w:rPr>
                <w:rFonts w:hint="eastAsia" w:eastAsia="宋体" w:cs="宋体"/>
                <w:sz w:val="21"/>
                <w:szCs w:val="21"/>
              </w:rPr>
              <w:t>2、系统支持与医院会计核算系统进行对接，验收入库完成后，将相关入库信息推送至医院会计核算系统生成相关会计凭证。</w:t>
            </w:r>
          </w:p>
        </w:tc>
      </w:tr>
      <w:tr w14:paraId="4FF9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58BA32AC">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16</w:t>
            </w:r>
          </w:p>
        </w:tc>
        <w:tc>
          <w:tcPr>
            <w:tcW w:w="1355" w:type="dxa"/>
            <w:vMerge w:val="continue"/>
            <w:shd w:val="clear" w:color="auto" w:fill="FFFFFF"/>
            <w:noWrap w:val="0"/>
            <w:tcMar>
              <w:top w:w="19" w:type="dxa"/>
              <w:left w:w="19" w:type="dxa"/>
              <w:bottom w:w="68" w:type="dxa"/>
              <w:right w:w="19" w:type="dxa"/>
            </w:tcMar>
            <w:vAlign w:val="center"/>
          </w:tcPr>
          <w:p w14:paraId="007F3D69">
            <w:pPr>
              <w:widowControl/>
              <w:spacing w:line="360" w:lineRule="exact"/>
              <w:ind w:firstLine="420"/>
              <w:jc w:val="left"/>
              <w:rPr>
                <w:rFonts w:hint="eastAsia" w:eastAsia="宋体" w:cs="宋体"/>
                <w:kern w:val="0"/>
                <w:sz w:val="21"/>
                <w:szCs w:val="21"/>
                <w:lang w:bidi="ar"/>
              </w:rPr>
            </w:pPr>
          </w:p>
        </w:tc>
        <w:tc>
          <w:tcPr>
            <w:tcW w:w="1428" w:type="dxa"/>
            <w:vMerge w:val="continue"/>
            <w:shd w:val="clear" w:color="auto" w:fill="FFFFFF"/>
            <w:noWrap w:val="0"/>
            <w:tcMar>
              <w:top w:w="19" w:type="dxa"/>
              <w:left w:w="19" w:type="dxa"/>
              <w:bottom w:w="68" w:type="dxa"/>
              <w:right w:w="19" w:type="dxa"/>
            </w:tcMar>
            <w:vAlign w:val="center"/>
          </w:tcPr>
          <w:p w14:paraId="2431846C">
            <w:pPr>
              <w:widowControl/>
              <w:spacing w:line="360" w:lineRule="exact"/>
              <w:ind w:firstLine="0" w:firstLineChars="0"/>
              <w:jc w:val="left"/>
              <w:rPr>
                <w:rFonts w:hint="eastAsia" w:eastAsia="宋体" w:cs="宋体"/>
                <w:sz w:val="21"/>
                <w:szCs w:val="21"/>
              </w:rPr>
            </w:pPr>
          </w:p>
        </w:tc>
        <w:tc>
          <w:tcPr>
            <w:tcW w:w="1260" w:type="dxa"/>
            <w:shd w:val="clear" w:color="auto" w:fill="FFFFFF"/>
            <w:noWrap w:val="0"/>
            <w:tcMar>
              <w:top w:w="19" w:type="dxa"/>
              <w:left w:w="19" w:type="dxa"/>
              <w:bottom w:w="68" w:type="dxa"/>
              <w:right w:w="19" w:type="dxa"/>
            </w:tcMar>
            <w:vAlign w:val="center"/>
          </w:tcPr>
          <w:p w14:paraId="286C19AD">
            <w:pPr>
              <w:widowControl/>
              <w:spacing w:line="360" w:lineRule="exact"/>
              <w:ind w:firstLine="0" w:firstLineChars="0"/>
              <w:jc w:val="left"/>
              <w:rPr>
                <w:rFonts w:hint="eastAsia" w:eastAsia="宋体" w:cs="宋体"/>
                <w:sz w:val="21"/>
                <w:szCs w:val="21"/>
              </w:rPr>
            </w:pPr>
            <w:r>
              <w:rPr>
                <w:rFonts w:hint="eastAsia" w:eastAsia="宋体" w:cs="宋体"/>
                <w:sz w:val="21"/>
                <w:szCs w:val="21"/>
              </w:rPr>
              <w:t>在建工程转固定资产</w:t>
            </w:r>
          </w:p>
        </w:tc>
        <w:tc>
          <w:tcPr>
            <w:tcW w:w="5422" w:type="dxa"/>
            <w:gridSpan w:val="2"/>
            <w:shd w:val="clear" w:color="auto" w:fill="FFFFFF"/>
            <w:noWrap w:val="0"/>
            <w:tcMar>
              <w:top w:w="19" w:type="dxa"/>
              <w:left w:w="19" w:type="dxa"/>
              <w:bottom w:w="68" w:type="dxa"/>
              <w:right w:w="19" w:type="dxa"/>
            </w:tcMar>
            <w:vAlign w:val="center"/>
          </w:tcPr>
          <w:p w14:paraId="5DC40255">
            <w:pPr>
              <w:widowControl/>
              <w:spacing w:line="360" w:lineRule="exact"/>
              <w:ind w:firstLine="0" w:firstLineChars="0"/>
              <w:jc w:val="left"/>
              <w:rPr>
                <w:rFonts w:hint="eastAsia" w:eastAsia="宋体" w:cs="宋体"/>
                <w:sz w:val="21"/>
                <w:szCs w:val="21"/>
              </w:rPr>
            </w:pPr>
            <w:r>
              <w:rPr>
                <w:rFonts w:hint="eastAsia" w:eastAsia="宋体" w:cs="宋体"/>
                <w:sz w:val="21"/>
                <w:szCs w:val="21"/>
              </w:rPr>
              <w:t>1、医院在建工程转入固定资产时，系统支持在建工程待摊费用按照转入资产价值进行分摊，并记录资产转入价值和分摊价值，确定转固后的固定资产实际价值。</w:t>
            </w:r>
          </w:p>
          <w:p w14:paraId="735726F1">
            <w:pPr>
              <w:widowControl/>
              <w:spacing w:line="360" w:lineRule="exact"/>
              <w:ind w:firstLine="0" w:firstLineChars="0"/>
              <w:jc w:val="left"/>
              <w:rPr>
                <w:rFonts w:hint="eastAsia" w:eastAsia="宋体" w:cs="宋体"/>
                <w:sz w:val="21"/>
                <w:szCs w:val="21"/>
              </w:rPr>
            </w:pPr>
            <w:r>
              <w:rPr>
                <w:rFonts w:hint="eastAsia" w:eastAsia="宋体" w:cs="宋体"/>
                <w:sz w:val="21"/>
                <w:szCs w:val="21"/>
              </w:rPr>
              <w:t>2、转固后，系统支持按照资产实际使用情况补提折旧。</w:t>
            </w:r>
          </w:p>
          <w:p w14:paraId="150C1E12">
            <w:pPr>
              <w:widowControl/>
              <w:spacing w:line="360" w:lineRule="exact"/>
              <w:ind w:firstLine="0" w:firstLineChars="0"/>
              <w:jc w:val="left"/>
              <w:rPr>
                <w:rFonts w:hint="eastAsia" w:eastAsia="宋体" w:cs="宋体"/>
                <w:sz w:val="21"/>
                <w:szCs w:val="21"/>
              </w:rPr>
            </w:pPr>
            <w:r>
              <w:rPr>
                <w:rFonts w:hint="eastAsia" w:eastAsia="宋体" w:cs="宋体"/>
                <w:sz w:val="21"/>
                <w:szCs w:val="21"/>
              </w:rPr>
              <w:t>3、系统支持将转固后的资产入账信息推送至医院会计核算系统生成相关会计凭证。</w:t>
            </w:r>
          </w:p>
        </w:tc>
      </w:tr>
      <w:tr w14:paraId="4A58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50109D7">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17</w:t>
            </w:r>
          </w:p>
        </w:tc>
        <w:tc>
          <w:tcPr>
            <w:tcW w:w="1355" w:type="dxa"/>
            <w:vMerge w:val="continue"/>
            <w:shd w:val="clear" w:color="auto" w:fill="FFFFFF"/>
            <w:noWrap w:val="0"/>
            <w:tcMar>
              <w:top w:w="19" w:type="dxa"/>
              <w:left w:w="19" w:type="dxa"/>
              <w:bottom w:w="68" w:type="dxa"/>
              <w:right w:w="19" w:type="dxa"/>
            </w:tcMar>
            <w:vAlign w:val="center"/>
          </w:tcPr>
          <w:p w14:paraId="28ED9E83">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3B5B173D">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固定资产信息卡</w:t>
            </w:r>
          </w:p>
        </w:tc>
        <w:tc>
          <w:tcPr>
            <w:tcW w:w="6682" w:type="dxa"/>
            <w:gridSpan w:val="3"/>
            <w:shd w:val="clear" w:color="auto" w:fill="FFFFFF"/>
            <w:noWrap w:val="0"/>
            <w:tcMar>
              <w:top w:w="19" w:type="dxa"/>
              <w:left w:w="19" w:type="dxa"/>
              <w:bottom w:w="68" w:type="dxa"/>
              <w:right w:w="19" w:type="dxa"/>
            </w:tcMar>
            <w:vAlign w:val="center"/>
          </w:tcPr>
          <w:p w14:paraId="17F56F77">
            <w:pPr>
              <w:widowControl/>
              <w:spacing w:line="360" w:lineRule="exact"/>
              <w:ind w:firstLine="0" w:firstLineChars="0"/>
              <w:jc w:val="left"/>
              <w:rPr>
                <w:rFonts w:hint="eastAsia" w:eastAsia="宋体" w:cs="宋体"/>
                <w:sz w:val="21"/>
                <w:szCs w:val="21"/>
              </w:rPr>
            </w:pPr>
            <w:r>
              <w:rPr>
                <w:rFonts w:hint="eastAsia" w:eastAsia="宋体" w:cs="宋体"/>
                <w:sz w:val="21"/>
                <w:szCs w:val="21"/>
              </w:rPr>
              <w:t>1、系统支持对已入库固定资产按照国家、行业规定的资产分类建立资产信息卡，记录固定资产基本信息、财务信息、使用信息及处置信息等，并针对不同类别资产特点设置特性信息，以满足各类资产管理需要。</w:t>
            </w:r>
          </w:p>
          <w:p w14:paraId="578B70A7">
            <w:pPr>
              <w:widowControl/>
              <w:spacing w:line="360" w:lineRule="exact"/>
              <w:ind w:firstLine="0" w:firstLineChars="0"/>
              <w:jc w:val="left"/>
              <w:rPr>
                <w:rFonts w:hint="eastAsia" w:eastAsia="宋体" w:cs="宋体"/>
                <w:sz w:val="21"/>
                <w:szCs w:val="21"/>
              </w:rPr>
            </w:pPr>
            <w:r>
              <w:rPr>
                <w:rFonts w:hint="eastAsia" w:eastAsia="宋体" w:cs="宋体"/>
                <w:sz w:val="21"/>
                <w:szCs w:val="21"/>
              </w:rPr>
              <w:t>2、系统应实现资产信息卡自动记录资产后续使用、变动等信息。</w:t>
            </w:r>
          </w:p>
          <w:p w14:paraId="7378A93C">
            <w:pPr>
              <w:widowControl/>
              <w:spacing w:line="360" w:lineRule="exact"/>
              <w:ind w:firstLine="0" w:firstLineChars="0"/>
              <w:jc w:val="left"/>
              <w:rPr>
                <w:rFonts w:hint="eastAsia" w:eastAsia="宋体" w:cs="宋体"/>
                <w:sz w:val="21"/>
                <w:szCs w:val="21"/>
              </w:rPr>
            </w:pPr>
            <w:r>
              <w:rPr>
                <w:rFonts w:hint="eastAsia" w:eastAsia="宋体" w:cs="宋体"/>
                <w:sz w:val="21"/>
                <w:szCs w:val="21"/>
              </w:rPr>
              <w:t>3、系统应与医院成本管理系统对接，推送固定资产卡片信息。</w:t>
            </w:r>
          </w:p>
        </w:tc>
      </w:tr>
      <w:tr w14:paraId="30A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04BACF97">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18</w:t>
            </w:r>
          </w:p>
        </w:tc>
        <w:tc>
          <w:tcPr>
            <w:tcW w:w="1355" w:type="dxa"/>
            <w:vMerge w:val="continue"/>
            <w:shd w:val="clear" w:color="auto" w:fill="FFFFFF"/>
            <w:noWrap w:val="0"/>
            <w:tcMar>
              <w:top w:w="19" w:type="dxa"/>
              <w:left w:w="19" w:type="dxa"/>
              <w:bottom w:w="68" w:type="dxa"/>
              <w:right w:w="19" w:type="dxa"/>
            </w:tcMar>
            <w:vAlign w:val="center"/>
          </w:tcPr>
          <w:p w14:paraId="517A3447">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0D5891AA">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固定资产标签管理</w:t>
            </w:r>
          </w:p>
        </w:tc>
        <w:tc>
          <w:tcPr>
            <w:tcW w:w="6682" w:type="dxa"/>
            <w:gridSpan w:val="3"/>
            <w:shd w:val="clear" w:color="auto" w:fill="FFFFFF"/>
            <w:noWrap w:val="0"/>
            <w:tcMar>
              <w:top w:w="19" w:type="dxa"/>
              <w:left w:w="19" w:type="dxa"/>
              <w:bottom w:w="68" w:type="dxa"/>
              <w:right w:w="19" w:type="dxa"/>
            </w:tcMar>
            <w:vAlign w:val="center"/>
          </w:tcPr>
          <w:p w14:paraId="6E90586B">
            <w:pPr>
              <w:widowControl/>
              <w:spacing w:line="360" w:lineRule="exact"/>
              <w:ind w:firstLine="0" w:firstLineChars="0"/>
              <w:jc w:val="left"/>
              <w:rPr>
                <w:rFonts w:hint="eastAsia" w:eastAsia="宋体" w:cs="宋体"/>
                <w:sz w:val="21"/>
                <w:szCs w:val="21"/>
              </w:rPr>
            </w:pPr>
            <w:r>
              <w:rPr>
                <w:rFonts w:hint="eastAsia" w:eastAsia="宋体" w:cs="宋体"/>
                <w:sz w:val="21"/>
                <w:szCs w:val="21"/>
              </w:rPr>
              <w:t>对于已建卡的固定资产，系统提供条形码、二维码、RFID等标签管理功能。标签信息应包括资产编码、名称、规格型号、使用及管理部门、存放地点等信息。</w:t>
            </w:r>
          </w:p>
        </w:tc>
      </w:tr>
      <w:tr w14:paraId="1875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45A59115">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19</w:t>
            </w:r>
          </w:p>
        </w:tc>
        <w:tc>
          <w:tcPr>
            <w:tcW w:w="1355" w:type="dxa"/>
            <w:vMerge w:val="continue"/>
            <w:shd w:val="clear" w:color="auto" w:fill="FFFFFF"/>
            <w:noWrap w:val="0"/>
            <w:tcMar>
              <w:top w:w="19" w:type="dxa"/>
              <w:left w:w="19" w:type="dxa"/>
              <w:bottom w:w="68" w:type="dxa"/>
              <w:right w:w="19" w:type="dxa"/>
            </w:tcMar>
            <w:vAlign w:val="center"/>
          </w:tcPr>
          <w:p w14:paraId="59AA2B61">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546A0FE8">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固定资产出库</w:t>
            </w:r>
          </w:p>
        </w:tc>
        <w:tc>
          <w:tcPr>
            <w:tcW w:w="6682" w:type="dxa"/>
            <w:gridSpan w:val="3"/>
            <w:shd w:val="clear" w:color="auto" w:fill="FFFFFF"/>
            <w:noWrap w:val="0"/>
            <w:tcMar>
              <w:top w:w="19" w:type="dxa"/>
              <w:left w:w="19" w:type="dxa"/>
              <w:bottom w:w="68" w:type="dxa"/>
              <w:right w:w="19" w:type="dxa"/>
            </w:tcMar>
            <w:vAlign w:val="center"/>
          </w:tcPr>
          <w:p w14:paraId="400CF02B">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对已完成建卡的资产根据资产购置方案生成资产出库单或新增录入出库单，记入对应资产使用科室，并将使用科室、存放地点、使用人等信息反写至资产信息卡。按照医院内部管理需求配置出库单模板与审批流程，完成资产出库手续。</w:t>
            </w:r>
          </w:p>
        </w:tc>
      </w:tr>
      <w:tr w14:paraId="60E1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5E64E75E">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20</w:t>
            </w:r>
          </w:p>
        </w:tc>
        <w:tc>
          <w:tcPr>
            <w:tcW w:w="1355" w:type="dxa"/>
            <w:vMerge w:val="continue"/>
            <w:shd w:val="clear" w:color="auto" w:fill="FFFFFF"/>
            <w:noWrap w:val="0"/>
            <w:tcMar>
              <w:top w:w="19" w:type="dxa"/>
              <w:left w:w="19" w:type="dxa"/>
              <w:bottom w:w="68" w:type="dxa"/>
              <w:right w:w="19" w:type="dxa"/>
            </w:tcMar>
            <w:vAlign w:val="center"/>
          </w:tcPr>
          <w:p w14:paraId="2753418A">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336FAB12">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固定资产调拨</w:t>
            </w:r>
          </w:p>
        </w:tc>
        <w:tc>
          <w:tcPr>
            <w:tcW w:w="6682" w:type="dxa"/>
            <w:gridSpan w:val="3"/>
            <w:shd w:val="clear" w:color="auto" w:fill="FFFFFF"/>
            <w:noWrap w:val="0"/>
            <w:tcMar>
              <w:top w:w="19" w:type="dxa"/>
              <w:left w:w="19" w:type="dxa"/>
              <w:bottom w:w="68" w:type="dxa"/>
              <w:right w:w="19" w:type="dxa"/>
            </w:tcMar>
            <w:vAlign w:val="center"/>
          </w:tcPr>
          <w:p w14:paraId="769E30EB">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系统提供“资产调拨”功能，按医院内部管理要求通过审批并完成实物交接后，完成固定资产在部门间的调拨，并变更资产相关信息反写至资产信息卡。</w:t>
            </w:r>
          </w:p>
        </w:tc>
      </w:tr>
      <w:tr w14:paraId="7E2E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76073CBB">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21</w:t>
            </w:r>
          </w:p>
        </w:tc>
        <w:tc>
          <w:tcPr>
            <w:tcW w:w="1355" w:type="dxa"/>
            <w:vMerge w:val="continue"/>
            <w:shd w:val="clear" w:color="auto" w:fill="FFFFFF"/>
            <w:noWrap w:val="0"/>
            <w:tcMar>
              <w:top w:w="19" w:type="dxa"/>
              <w:left w:w="19" w:type="dxa"/>
              <w:bottom w:w="68" w:type="dxa"/>
              <w:right w:w="19" w:type="dxa"/>
            </w:tcMar>
            <w:vAlign w:val="center"/>
          </w:tcPr>
          <w:p w14:paraId="5C4A1B04">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4474998E">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固定资产变动</w:t>
            </w:r>
          </w:p>
        </w:tc>
        <w:tc>
          <w:tcPr>
            <w:tcW w:w="6682" w:type="dxa"/>
            <w:gridSpan w:val="3"/>
            <w:shd w:val="clear" w:color="auto" w:fill="FFFFFF"/>
            <w:noWrap w:val="0"/>
            <w:tcMar>
              <w:top w:w="19" w:type="dxa"/>
              <w:left w:w="19" w:type="dxa"/>
              <w:bottom w:w="68" w:type="dxa"/>
              <w:right w:w="19" w:type="dxa"/>
            </w:tcMar>
            <w:vAlign w:val="center"/>
          </w:tcPr>
          <w:p w14:paraId="111D8F98">
            <w:pPr>
              <w:widowControl/>
              <w:spacing w:line="360" w:lineRule="exact"/>
              <w:ind w:firstLine="0" w:firstLineChars="0"/>
              <w:jc w:val="left"/>
              <w:rPr>
                <w:rFonts w:hint="eastAsia" w:eastAsia="宋体" w:cs="宋体"/>
                <w:sz w:val="21"/>
                <w:szCs w:val="21"/>
              </w:rPr>
            </w:pPr>
            <w:r>
              <w:rPr>
                <w:rFonts w:hint="eastAsia" w:eastAsia="宋体" w:cs="宋体"/>
                <w:sz w:val="21"/>
                <w:szCs w:val="21"/>
              </w:rPr>
              <w:t>1、系统提供资产变动功能，按照医院内部管理要求通过审批后完成信息变动，并自动记录每一笔变动业务，将变动信息反写至资产信息卡。</w:t>
            </w:r>
          </w:p>
          <w:p w14:paraId="1EBC11D0">
            <w:pPr>
              <w:widowControl/>
              <w:spacing w:line="360" w:lineRule="exact"/>
              <w:ind w:firstLine="0" w:firstLineChars="0"/>
              <w:jc w:val="left"/>
              <w:rPr>
                <w:rFonts w:hint="eastAsia" w:eastAsia="宋体" w:cs="宋体"/>
                <w:sz w:val="21"/>
                <w:szCs w:val="21"/>
              </w:rPr>
            </w:pPr>
            <w:r>
              <w:rPr>
                <w:rFonts w:hint="eastAsia" w:eastAsia="宋体" w:cs="宋体"/>
                <w:sz w:val="21"/>
                <w:szCs w:val="21"/>
              </w:rPr>
              <w:t>2、资产变动分为一般信息变动与财务信息变动。其中，一般信息变动包括资产名称、规格、使用部门、存放地点等不涉及会计处理的信息变动；财务信息变动包括原值、资产类别、资金来源等涉及会计处理的信息变动，在变动完成后，系统应将变动信息推送至医院会计核算系统，进行相应会计处理。</w:t>
            </w:r>
          </w:p>
        </w:tc>
      </w:tr>
      <w:tr w14:paraId="6E66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BB165C0">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22</w:t>
            </w:r>
          </w:p>
        </w:tc>
        <w:tc>
          <w:tcPr>
            <w:tcW w:w="1355" w:type="dxa"/>
            <w:vMerge w:val="continue"/>
            <w:shd w:val="clear" w:color="auto" w:fill="FFFFFF"/>
            <w:noWrap w:val="0"/>
            <w:tcMar>
              <w:top w:w="19" w:type="dxa"/>
              <w:left w:w="19" w:type="dxa"/>
              <w:bottom w:w="68" w:type="dxa"/>
              <w:right w:w="19" w:type="dxa"/>
            </w:tcMar>
            <w:vAlign w:val="center"/>
          </w:tcPr>
          <w:p w14:paraId="68425133">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7CC8CC98">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固定资产拆分</w:t>
            </w:r>
          </w:p>
        </w:tc>
        <w:tc>
          <w:tcPr>
            <w:tcW w:w="6682" w:type="dxa"/>
            <w:gridSpan w:val="3"/>
            <w:shd w:val="clear" w:color="auto" w:fill="FFFFFF"/>
            <w:noWrap w:val="0"/>
            <w:tcMar>
              <w:top w:w="19" w:type="dxa"/>
              <w:left w:w="19" w:type="dxa"/>
              <w:bottom w:w="68" w:type="dxa"/>
              <w:right w:w="19" w:type="dxa"/>
            </w:tcMar>
            <w:vAlign w:val="center"/>
          </w:tcPr>
          <w:p w14:paraId="5881E13C">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系统支持按照非土地房屋类资产的数量和土地房屋类资产的面积等维度对资产进行拆分，确保拆分后资产的数量、面积、原值、净值合计与拆分前相等。</w:t>
            </w:r>
          </w:p>
        </w:tc>
      </w:tr>
      <w:tr w14:paraId="0317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22219AC3">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23</w:t>
            </w:r>
          </w:p>
        </w:tc>
        <w:tc>
          <w:tcPr>
            <w:tcW w:w="1355" w:type="dxa"/>
            <w:vMerge w:val="continue"/>
            <w:shd w:val="clear" w:color="auto" w:fill="FFFFFF"/>
            <w:noWrap w:val="0"/>
            <w:tcMar>
              <w:top w:w="19" w:type="dxa"/>
              <w:left w:w="19" w:type="dxa"/>
              <w:bottom w:w="68" w:type="dxa"/>
              <w:right w:w="19" w:type="dxa"/>
            </w:tcMar>
            <w:vAlign w:val="center"/>
          </w:tcPr>
          <w:p w14:paraId="33EE419B">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08EC589F">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固定资产维修</w:t>
            </w:r>
          </w:p>
        </w:tc>
        <w:tc>
          <w:tcPr>
            <w:tcW w:w="6682" w:type="dxa"/>
            <w:gridSpan w:val="3"/>
            <w:shd w:val="clear" w:color="auto" w:fill="FFFFFF"/>
            <w:noWrap w:val="0"/>
            <w:tcMar>
              <w:top w:w="19" w:type="dxa"/>
              <w:left w:w="19" w:type="dxa"/>
              <w:bottom w:w="68" w:type="dxa"/>
              <w:right w:w="19" w:type="dxa"/>
            </w:tcMar>
            <w:vAlign w:val="center"/>
          </w:tcPr>
          <w:p w14:paraId="5B2602D8">
            <w:pPr>
              <w:widowControl/>
              <w:spacing w:line="360" w:lineRule="exact"/>
              <w:ind w:firstLine="0" w:firstLineChars="0"/>
              <w:jc w:val="left"/>
              <w:rPr>
                <w:rFonts w:hint="eastAsia" w:eastAsia="宋体" w:cs="宋体"/>
                <w:sz w:val="21"/>
                <w:szCs w:val="21"/>
              </w:rPr>
            </w:pPr>
            <w:r>
              <w:rPr>
                <w:rFonts w:hint="eastAsia" w:eastAsia="宋体" w:cs="宋体"/>
                <w:sz w:val="21"/>
                <w:szCs w:val="21"/>
              </w:rPr>
              <w:t>1、系统支持设备维修申请、派单、维修记录等功能。</w:t>
            </w:r>
          </w:p>
          <w:p w14:paraId="4C54DA20">
            <w:pPr>
              <w:widowControl/>
              <w:spacing w:line="360" w:lineRule="exact"/>
              <w:ind w:firstLine="0" w:firstLineChars="0"/>
              <w:jc w:val="left"/>
              <w:rPr>
                <w:rFonts w:hint="eastAsia" w:eastAsia="宋体" w:cs="宋体"/>
                <w:sz w:val="21"/>
                <w:szCs w:val="21"/>
              </w:rPr>
            </w:pPr>
            <w:r>
              <w:rPr>
                <w:rFonts w:hint="eastAsia" w:eastAsia="宋体" w:cs="宋体"/>
                <w:sz w:val="21"/>
                <w:szCs w:val="21"/>
              </w:rPr>
              <w:t>2、维修申请由设备使用科室或设备巡检人员发起，支持上传图片、文档等资料。</w:t>
            </w:r>
          </w:p>
          <w:p w14:paraId="54EDF7F6">
            <w:pPr>
              <w:widowControl/>
              <w:spacing w:line="360" w:lineRule="exact"/>
              <w:ind w:firstLine="0" w:firstLineChars="0"/>
              <w:jc w:val="left"/>
              <w:rPr>
                <w:rFonts w:hint="eastAsia" w:eastAsia="宋体" w:cs="宋体"/>
                <w:sz w:val="21"/>
                <w:szCs w:val="21"/>
              </w:rPr>
            </w:pPr>
            <w:r>
              <w:rPr>
                <w:rFonts w:hint="eastAsia" w:eastAsia="宋体" w:cs="宋体"/>
                <w:sz w:val="21"/>
                <w:szCs w:val="21"/>
              </w:rPr>
              <w:t>3、设备管理部门接收维修申请后根据情况派发维修任务，维修人员接单后进行维修，并记录故障原因、处置措施、维修配件、维修工时等维修情况。</w:t>
            </w:r>
          </w:p>
          <w:p w14:paraId="1EFF74FC">
            <w:pPr>
              <w:widowControl/>
              <w:spacing w:line="360" w:lineRule="exact"/>
              <w:ind w:firstLine="0" w:firstLineChars="0"/>
              <w:jc w:val="left"/>
              <w:rPr>
                <w:rFonts w:hint="eastAsia" w:eastAsia="宋体" w:cs="宋体"/>
                <w:sz w:val="21"/>
                <w:szCs w:val="21"/>
              </w:rPr>
            </w:pPr>
            <w:r>
              <w:rPr>
                <w:rFonts w:hint="eastAsia" w:eastAsia="宋体" w:cs="宋体"/>
                <w:sz w:val="21"/>
                <w:szCs w:val="21"/>
              </w:rPr>
              <w:t>4、系统支持查看设备维修记录，并可对设备维修数据进行多维度统计分析。</w:t>
            </w:r>
          </w:p>
        </w:tc>
      </w:tr>
      <w:tr w14:paraId="1852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41B60CF7">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24</w:t>
            </w:r>
          </w:p>
        </w:tc>
        <w:tc>
          <w:tcPr>
            <w:tcW w:w="1355" w:type="dxa"/>
            <w:vMerge w:val="continue"/>
            <w:shd w:val="clear" w:color="auto" w:fill="FFFFFF"/>
            <w:noWrap w:val="0"/>
            <w:tcMar>
              <w:top w:w="19" w:type="dxa"/>
              <w:left w:w="19" w:type="dxa"/>
              <w:bottom w:w="68" w:type="dxa"/>
              <w:right w:w="19" w:type="dxa"/>
            </w:tcMar>
            <w:vAlign w:val="center"/>
          </w:tcPr>
          <w:p w14:paraId="243653A1">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0954FD9B">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固定资产保养</w:t>
            </w:r>
          </w:p>
        </w:tc>
        <w:tc>
          <w:tcPr>
            <w:tcW w:w="6682" w:type="dxa"/>
            <w:gridSpan w:val="3"/>
            <w:shd w:val="clear" w:color="auto" w:fill="FFFFFF"/>
            <w:noWrap w:val="0"/>
            <w:tcMar>
              <w:top w:w="19" w:type="dxa"/>
              <w:left w:w="19" w:type="dxa"/>
              <w:bottom w:w="68" w:type="dxa"/>
              <w:right w:w="19" w:type="dxa"/>
            </w:tcMar>
            <w:vAlign w:val="center"/>
          </w:tcPr>
          <w:p w14:paraId="346FECBE">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系统支持设备保养计划、巡检、保养预警、统计分析等功能。其中，保养计划应支持录入或导入功能；巡检应支持录入巡检计划、巡检记录等功能。</w:t>
            </w:r>
          </w:p>
        </w:tc>
      </w:tr>
      <w:tr w14:paraId="43A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7087E395">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25</w:t>
            </w:r>
          </w:p>
        </w:tc>
        <w:tc>
          <w:tcPr>
            <w:tcW w:w="1355" w:type="dxa"/>
            <w:vMerge w:val="continue"/>
            <w:shd w:val="clear" w:color="auto" w:fill="FFFFFF"/>
            <w:noWrap w:val="0"/>
            <w:tcMar>
              <w:top w:w="19" w:type="dxa"/>
              <w:left w:w="19" w:type="dxa"/>
              <w:bottom w:w="68" w:type="dxa"/>
              <w:right w:w="19" w:type="dxa"/>
            </w:tcMar>
            <w:vAlign w:val="center"/>
          </w:tcPr>
          <w:p w14:paraId="72C26484">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6FF8039F">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固定资产计量</w:t>
            </w:r>
          </w:p>
        </w:tc>
        <w:tc>
          <w:tcPr>
            <w:tcW w:w="6682" w:type="dxa"/>
            <w:gridSpan w:val="3"/>
            <w:shd w:val="clear" w:color="auto" w:fill="FFFFFF"/>
            <w:noWrap w:val="0"/>
            <w:tcMar>
              <w:top w:w="19" w:type="dxa"/>
              <w:left w:w="19" w:type="dxa"/>
              <w:bottom w:w="68" w:type="dxa"/>
              <w:right w:w="19" w:type="dxa"/>
            </w:tcMar>
            <w:vAlign w:val="center"/>
          </w:tcPr>
          <w:p w14:paraId="3A64DEBB">
            <w:pPr>
              <w:widowControl/>
              <w:spacing w:line="360" w:lineRule="exact"/>
              <w:ind w:firstLine="0" w:firstLineChars="0"/>
              <w:jc w:val="left"/>
              <w:rPr>
                <w:rFonts w:hint="eastAsia" w:eastAsia="宋体" w:cs="宋体"/>
                <w:sz w:val="21"/>
                <w:szCs w:val="21"/>
              </w:rPr>
            </w:pPr>
            <w:r>
              <w:rPr>
                <w:rFonts w:hint="eastAsia" w:eastAsia="宋体" w:cs="宋体"/>
                <w:sz w:val="21"/>
                <w:szCs w:val="21"/>
              </w:rPr>
              <w:t>对于需进行计量检测的设备，系统支持通过资产信息科中的特殊字段进行标识区分，并支持录入或导入检测计划、检测结果记录及检测数据统计分析等功能。</w:t>
            </w:r>
          </w:p>
        </w:tc>
      </w:tr>
      <w:tr w14:paraId="64AA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3E442F5F">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26</w:t>
            </w:r>
          </w:p>
        </w:tc>
        <w:tc>
          <w:tcPr>
            <w:tcW w:w="1355" w:type="dxa"/>
            <w:vMerge w:val="continue"/>
            <w:shd w:val="clear" w:color="auto" w:fill="FFFFFF"/>
            <w:noWrap w:val="0"/>
            <w:tcMar>
              <w:top w:w="19" w:type="dxa"/>
              <w:left w:w="19" w:type="dxa"/>
              <w:bottom w:w="68" w:type="dxa"/>
              <w:right w:w="19" w:type="dxa"/>
            </w:tcMar>
            <w:vAlign w:val="center"/>
          </w:tcPr>
          <w:p w14:paraId="3FD6F33B">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1BB9481E">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固定资产调剂</w:t>
            </w:r>
          </w:p>
        </w:tc>
        <w:tc>
          <w:tcPr>
            <w:tcW w:w="6682" w:type="dxa"/>
            <w:gridSpan w:val="3"/>
            <w:shd w:val="clear" w:color="auto" w:fill="FFFFFF"/>
            <w:noWrap w:val="0"/>
            <w:tcMar>
              <w:top w:w="19" w:type="dxa"/>
              <w:left w:w="19" w:type="dxa"/>
              <w:bottom w:w="68" w:type="dxa"/>
              <w:right w:w="19" w:type="dxa"/>
            </w:tcMar>
            <w:vAlign w:val="center"/>
          </w:tcPr>
          <w:p w14:paraId="1EF5CEF1">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支持固定资产调剂平台功能，使用/管理部门将未用固定资产发布至调剂平台，有需要的科室可在调剂平台发起使用申请，审批通过后，将固定资产调拨至对应科室，并将使用科室、存放地点等信息反写至资产信息卡。</w:t>
            </w:r>
          </w:p>
        </w:tc>
      </w:tr>
      <w:tr w14:paraId="1CEC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7" w:type="dxa"/>
            <w:shd w:val="clear" w:color="auto" w:fill="FFFFFF"/>
            <w:noWrap w:val="0"/>
            <w:tcMar>
              <w:top w:w="19" w:type="dxa"/>
              <w:left w:w="19" w:type="dxa"/>
              <w:bottom w:w="68" w:type="dxa"/>
              <w:right w:w="19" w:type="dxa"/>
            </w:tcMar>
            <w:vAlign w:val="center"/>
          </w:tcPr>
          <w:p w14:paraId="68303526">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27</w:t>
            </w:r>
          </w:p>
        </w:tc>
        <w:tc>
          <w:tcPr>
            <w:tcW w:w="1355" w:type="dxa"/>
            <w:vMerge w:val="continue"/>
            <w:shd w:val="clear" w:color="auto" w:fill="FFFFFF"/>
            <w:noWrap w:val="0"/>
            <w:tcMar>
              <w:top w:w="19" w:type="dxa"/>
              <w:left w:w="19" w:type="dxa"/>
              <w:bottom w:w="68" w:type="dxa"/>
              <w:right w:w="19" w:type="dxa"/>
            </w:tcMar>
            <w:vAlign w:val="center"/>
          </w:tcPr>
          <w:p w14:paraId="00DD674F">
            <w:pPr>
              <w:widowControl/>
              <w:spacing w:line="360" w:lineRule="exact"/>
              <w:ind w:firstLine="420"/>
              <w:jc w:val="left"/>
              <w:rPr>
                <w:rFonts w:hint="eastAsia" w:eastAsia="宋体" w:cs="宋体"/>
                <w:kern w:val="0"/>
                <w:sz w:val="21"/>
                <w:szCs w:val="21"/>
                <w:lang w:bidi="ar"/>
              </w:rPr>
            </w:pPr>
          </w:p>
        </w:tc>
        <w:tc>
          <w:tcPr>
            <w:tcW w:w="1428" w:type="dxa"/>
            <w:shd w:val="clear" w:color="auto" w:fill="FFFFFF"/>
            <w:noWrap w:val="0"/>
            <w:tcMar>
              <w:top w:w="19" w:type="dxa"/>
              <w:left w:w="19" w:type="dxa"/>
              <w:bottom w:w="68" w:type="dxa"/>
              <w:right w:w="19" w:type="dxa"/>
            </w:tcMar>
            <w:vAlign w:val="center"/>
          </w:tcPr>
          <w:p w14:paraId="583AAE49">
            <w:pPr>
              <w:widowControl/>
              <w:spacing w:line="360" w:lineRule="exact"/>
              <w:ind w:firstLine="0" w:firstLineChars="0"/>
              <w:jc w:val="center"/>
              <w:rPr>
                <w:rFonts w:hint="eastAsia" w:eastAsia="宋体" w:cs="宋体"/>
                <w:sz w:val="21"/>
                <w:szCs w:val="21"/>
              </w:rPr>
            </w:pPr>
            <w:r>
              <w:rPr>
                <w:rFonts w:hint="eastAsia" w:eastAsia="宋体" w:cs="宋体"/>
                <w:sz w:val="21"/>
                <w:szCs w:val="21"/>
              </w:rPr>
              <w:t>计提折旧/摊销</w:t>
            </w:r>
          </w:p>
        </w:tc>
        <w:tc>
          <w:tcPr>
            <w:tcW w:w="6682" w:type="dxa"/>
            <w:gridSpan w:val="3"/>
            <w:shd w:val="clear" w:color="auto" w:fill="FFFFFF"/>
            <w:noWrap w:val="0"/>
            <w:tcMar>
              <w:top w:w="19" w:type="dxa"/>
              <w:left w:w="19" w:type="dxa"/>
              <w:bottom w:w="68" w:type="dxa"/>
              <w:right w:w="19" w:type="dxa"/>
            </w:tcMar>
            <w:vAlign w:val="center"/>
          </w:tcPr>
          <w:p w14:paraId="71666A25">
            <w:pPr>
              <w:widowControl/>
              <w:spacing w:line="360" w:lineRule="exact"/>
              <w:ind w:firstLine="0" w:firstLineChars="0"/>
              <w:jc w:val="left"/>
              <w:rPr>
                <w:rFonts w:hint="eastAsia" w:eastAsia="宋体" w:cs="宋体"/>
                <w:sz w:val="21"/>
                <w:szCs w:val="21"/>
              </w:rPr>
            </w:pPr>
            <w:r>
              <w:rPr>
                <w:rFonts w:hint="eastAsia" w:eastAsia="宋体" w:cs="宋体"/>
                <w:sz w:val="21"/>
                <w:szCs w:val="21"/>
              </w:rPr>
              <w:t>1、系统应当按照国家规定的折旧/摊销年限、折旧/摊销方法，按月对资产卡片计提折旧/摊销。对于多部门共同使用的资产，应支持按医院确定的分摊方法将折旧/摊销分配至相关使用科室。对于存在多种资金来源的资产，应支持按资金性质分别核算折旧/摊销。</w:t>
            </w:r>
          </w:p>
          <w:p w14:paraId="572F3433">
            <w:pPr>
              <w:widowControl/>
              <w:spacing w:line="360" w:lineRule="exact"/>
              <w:ind w:firstLine="0" w:firstLineChars="0"/>
              <w:jc w:val="left"/>
              <w:rPr>
                <w:rFonts w:hint="eastAsia" w:eastAsia="宋体" w:cs="宋体"/>
                <w:sz w:val="21"/>
                <w:szCs w:val="21"/>
              </w:rPr>
            </w:pPr>
            <w:r>
              <w:rPr>
                <w:rFonts w:hint="eastAsia" w:eastAsia="宋体" w:cs="宋体"/>
                <w:sz w:val="21"/>
                <w:szCs w:val="21"/>
              </w:rPr>
              <w:t>月末应将折旧/摊销推送至会计核算系统进行相应会计处理。</w:t>
            </w:r>
          </w:p>
          <w:p w14:paraId="529C84F4">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系统应支持与医院成本管理系统对接，推送固定资产折旧/摊销信息。</w:t>
            </w:r>
          </w:p>
          <w:p w14:paraId="74D304F8">
            <w:pPr>
              <w:widowControl/>
              <w:spacing w:line="360" w:lineRule="exact"/>
              <w:ind w:firstLine="0" w:firstLineChars="0"/>
              <w:jc w:val="left"/>
              <w:rPr>
                <w:rFonts w:hint="eastAsia" w:eastAsia="宋体" w:cs="宋体"/>
                <w:sz w:val="21"/>
                <w:szCs w:val="21"/>
              </w:rPr>
            </w:pPr>
            <w:r>
              <w:rPr>
                <w:rFonts w:hint="eastAsia" w:eastAsia="宋体" w:cs="宋体"/>
                <w:sz w:val="21"/>
                <w:szCs w:val="21"/>
              </w:rPr>
              <w:t>★2、系统应当确保本系统计提的折旧/摊销</w:t>
            </w:r>
            <w:r>
              <w:rPr>
                <w:rFonts w:hint="eastAsia" w:eastAsia="宋体" w:cs="宋体"/>
                <w:b/>
                <w:bCs/>
                <w:sz w:val="21"/>
                <w:szCs w:val="21"/>
              </w:rPr>
              <w:t>与财政资产系统计提的折旧完全一致。</w:t>
            </w:r>
          </w:p>
        </w:tc>
      </w:tr>
      <w:tr w14:paraId="24A7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3" w:hRule="atLeast"/>
          <w:jc w:val="center"/>
        </w:trPr>
        <w:tc>
          <w:tcPr>
            <w:tcW w:w="497" w:type="dxa"/>
            <w:vMerge w:val="restart"/>
            <w:shd w:val="clear" w:color="auto" w:fill="FFFFFF"/>
            <w:noWrap w:val="0"/>
            <w:tcMar>
              <w:top w:w="19" w:type="dxa"/>
              <w:left w:w="19" w:type="dxa"/>
              <w:bottom w:w="68" w:type="dxa"/>
              <w:right w:w="19" w:type="dxa"/>
            </w:tcMar>
            <w:vAlign w:val="center"/>
          </w:tcPr>
          <w:p w14:paraId="10172671">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28</w:t>
            </w:r>
          </w:p>
        </w:tc>
        <w:tc>
          <w:tcPr>
            <w:tcW w:w="1355" w:type="dxa"/>
            <w:vMerge w:val="continue"/>
            <w:shd w:val="clear" w:color="auto" w:fill="FFFFFF"/>
            <w:noWrap w:val="0"/>
            <w:tcMar>
              <w:top w:w="19" w:type="dxa"/>
              <w:left w:w="19" w:type="dxa"/>
              <w:bottom w:w="68" w:type="dxa"/>
              <w:right w:w="19" w:type="dxa"/>
            </w:tcMar>
            <w:vAlign w:val="center"/>
          </w:tcPr>
          <w:p w14:paraId="32CACDA7">
            <w:pPr>
              <w:widowControl/>
              <w:spacing w:line="360" w:lineRule="exact"/>
              <w:ind w:firstLine="420"/>
              <w:jc w:val="left"/>
              <w:rPr>
                <w:rFonts w:hint="eastAsia" w:eastAsia="宋体" w:cs="宋体"/>
                <w:kern w:val="0"/>
                <w:sz w:val="21"/>
                <w:szCs w:val="21"/>
                <w:lang w:bidi="ar"/>
              </w:rPr>
            </w:pPr>
          </w:p>
        </w:tc>
        <w:tc>
          <w:tcPr>
            <w:tcW w:w="1428" w:type="dxa"/>
            <w:vMerge w:val="restart"/>
            <w:shd w:val="clear" w:color="auto" w:fill="FFFFFF"/>
            <w:noWrap w:val="0"/>
            <w:tcMar>
              <w:top w:w="19" w:type="dxa"/>
              <w:left w:w="19" w:type="dxa"/>
              <w:bottom w:w="68" w:type="dxa"/>
              <w:right w:w="19" w:type="dxa"/>
            </w:tcMar>
            <w:vAlign w:val="center"/>
          </w:tcPr>
          <w:p w14:paraId="51B88486">
            <w:pPr>
              <w:widowControl/>
              <w:spacing w:line="360" w:lineRule="exact"/>
              <w:ind w:firstLine="0" w:firstLineChars="0"/>
              <w:jc w:val="center"/>
              <w:rPr>
                <w:rFonts w:hint="eastAsia" w:eastAsia="宋体" w:cs="宋体"/>
                <w:sz w:val="21"/>
                <w:szCs w:val="21"/>
              </w:rPr>
            </w:pPr>
            <w:r>
              <w:rPr>
                <w:rFonts w:hint="eastAsia" w:eastAsia="宋体" w:cs="宋体"/>
                <w:sz w:val="21"/>
                <w:szCs w:val="21"/>
              </w:rPr>
              <w:t>固定资产处置（系统支持对处置全流程的图片、文档资料上传、保存管理功能。</w:t>
            </w:r>
          </w:p>
          <w:p w14:paraId="45AA501F">
            <w:pPr>
              <w:widowControl/>
              <w:spacing w:line="360" w:lineRule="exact"/>
              <w:ind w:firstLine="0" w:firstLineChars="0"/>
              <w:jc w:val="center"/>
              <w:rPr>
                <w:rFonts w:hint="eastAsia" w:eastAsia="宋体" w:cs="宋体"/>
                <w:sz w:val="21"/>
                <w:szCs w:val="21"/>
              </w:rPr>
            </w:pPr>
            <w:r>
              <w:rPr>
                <w:rFonts w:hint="eastAsia" w:eastAsia="宋体" w:cs="宋体"/>
                <w:sz w:val="21"/>
                <w:szCs w:val="21"/>
              </w:rPr>
              <w:t>）</w:t>
            </w:r>
          </w:p>
          <w:p w14:paraId="7614AE25">
            <w:pPr>
              <w:widowControl/>
              <w:spacing w:line="360" w:lineRule="exact"/>
              <w:ind w:firstLine="0" w:firstLineChars="0"/>
              <w:jc w:val="center"/>
              <w:rPr>
                <w:rFonts w:hint="eastAsia" w:eastAsia="宋体" w:cs="宋体"/>
                <w:sz w:val="21"/>
                <w:szCs w:val="21"/>
              </w:rPr>
            </w:pPr>
          </w:p>
        </w:tc>
        <w:tc>
          <w:tcPr>
            <w:tcW w:w="1440" w:type="dxa"/>
            <w:gridSpan w:val="2"/>
            <w:shd w:val="clear" w:color="auto" w:fill="FFFFFF"/>
            <w:noWrap w:val="0"/>
            <w:tcMar>
              <w:top w:w="19" w:type="dxa"/>
              <w:left w:w="19" w:type="dxa"/>
              <w:bottom w:w="68" w:type="dxa"/>
              <w:right w:w="19" w:type="dxa"/>
            </w:tcMar>
            <w:vAlign w:val="center"/>
          </w:tcPr>
          <w:p w14:paraId="3DDC9706">
            <w:pPr>
              <w:widowControl/>
              <w:spacing w:line="360" w:lineRule="exact"/>
              <w:ind w:firstLine="0" w:firstLineChars="0"/>
              <w:jc w:val="center"/>
              <w:rPr>
                <w:rFonts w:hint="eastAsia" w:eastAsia="宋体" w:cs="宋体"/>
                <w:sz w:val="21"/>
                <w:szCs w:val="21"/>
              </w:rPr>
            </w:pPr>
            <w:r>
              <w:rPr>
                <w:rFonts w:hint="eastAsia" w:eastAsia="宋体" w:cs="宋体"/>
                <w:sz w:val="21"/>
                <w:szCs w:val="21"/>
              </w:rPr>
              <w:t>内部处置</w:t>
            </w:r>
          </w:p>
        </w:tc>
        <w:tc>
          <w:tcPr>
            <w:tcW w:w="5242" w:type="dxa"/>
            <w:shd w:val="clear" w:color="auto" w:fill="FFFFFF"/>
            <w:noWrap w:val="0"/>
            <w:tcMar>
              <w:top w:w="19" w:type="dxa"/>
              <w:left w:w="19" w:type="dxa"/>
              <w:bottom w:w="68" w:type="dxa"/>
              <w:right w:w="19" w:type="dxa"/>
            </w:tcMar>
            <w:vAlign w:val="center"/>
          </w:tcPr>
          <w:p w14:paraId="49DD9AE8">
            <w:pPr>
              <w:widowControl/>
              <w:spacing w:line="360" w:lineRule="exact"/>
              <w:ind w:firstLine="0" w:firstLineChars="0"/>
              <w:jc w:val="left"/>
              <w:rPr>
                <w:rFonts w:hint="eastAsia" w:eastAsia="宋体" w:cs="宋体"/>
                <w:sz w:val="21"/>
                <w:szCs w:val="21"/>
              </w:rPr>
            </w:pPr>
            <w:r>
              <w:rPr>
                <w:rFonts w:hint="eastAsia" w:eastAsia="宋体" w:cs="宋体"/>
                <w:sz w:val="21"/>
                <w:szCs w:val="21"/>
              </w:rPr>
              <w:t>★系统提供“资产内部处置”功能，实现资产从使用人名下转移到待报废库。系统支持按照医院内部管理要求配置资产内部处置审批流程，审批通过后，自动进入待报废库。</w:t>
            </w:r>
          </w:p>
        </w:tc>
      </w:tr>
      <w:tr w14:paraId="3806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3" w:hRule="atLeast"/>
          <w:jc w:val="center"/>
        </w:trPr>
        <w:tc>
          <w:tcPr>
            <w:tcW w:w="497" w:type="dxa"/>
            <w:vMerge w:val="continue"/>
            <w:shd w:val="clear" w:color="auto" w:fill="FFFFFF"/>
            <w:noWrap w:val="0"/>
            <w:tcMar>
              <w:top w:w="19" w:type="dxa"/>
              <w:left w:w="19" w:type="dxa"/>
              <w:bottom w:w="68" w:type="dxa"/>
              <w:right w:w="19" w:type="dxa"/>
            </w:tcMar>
            <w:vAlign w:val="center"/>
          </w:tcPr>
          <w:p w14:paraId="34775CF2">
            <w:pPr>
              <w:widowControl/>
              <w:spacing w:line="360" w:lineRule="exact"/>
              <w:ind w:firstLine="0" w:firstLineChars="0"/>
              <w:jc w:val="center"/>
              <w:rPr>
                <w:rFonts w:hint="eastAsia"/>
              </w:rPr>
            </w:pPr>
          </w:p>
        </w:tc>
        <w:tc>
          <w:tcPr>
            <w:tcW w:w="1355" w:type="dxa"/>
            <w:vMerge w:val="continue"/>
            <w:shd w:val="clear" w:color="auto" w:fill="FFFFFF"/>
            <w:noWrap w:val="0"/>
            <w:tcMar>
              <w:top w:w="19" w:type="dxa"/>
              <w:left w:w="19" w:type="dxa"/>
              <w:bottom w:w="68" w:type="dxa"/>
              <w:right w:w="19" w:type="dxa"/>
            </w:tcMar>
            <w:vAlign w:val="center"/>
          </w:tcPr>
          <w:p w14:paraId="539A5609">
            <w:pPr>
              <w:widowControl/>
              <w:spacing w:line="360" w:lineRule="exact"/>
              <w:ind w:firstLine="0" w:firstLineChars="0"/>
              <w:jc w:val="left"/>
              <w:rPr>
                <w:rFonts w:hint="eastAsia"/>
              </w:rPr>
            </w:pPr>
          </w:p>
        </w:tc>
        <w:tc>
          <w:tcPr>
            <w:tcW w:w="1428" w:type="dxa"/>
            <w:vMerge w:val="continue"/>
            <w:shd w:val="clear" w:color="auto" w:fill="FFFFFF"/>
            <w:noWrap w:val="0"/>
            <w:tcMar>
              <w:top w:w="19" w:type="dxa"/>
              <w:left w:w="19" w:type="dxa"/>
              <w:bottom w:w="68" w:type="dxa"/>
              <w:right w:w="19" w:type="dxa"/>
            </w:tcMar>
            <w:vAlign w:val="center"/>
          </w:tcPr>
          <w:p w14:paraId="0BBF5AE6">
            <w:pPr>
              <w:widowControl/>
              <w:spacing w:line="360" w:lineRule="exact"/>
              <w:ind w:firstLine="0" w:firstLineChars="0"/>
              <w:jc w:val="left"/>
              <w:rPr>
                <w:rFonts w:hint="eastAsia"/>
              </w:rPr>
            </w:pPr>
          </w:p>
        </w:tc>
        <w:tc>
          <w:tcPr>
            <w:tcW w:w="1440" w:type="dxa"/>
            <w:gridSpan w:val="2"/>
            <w:shd w:val="clear" w:color="auto" w:fill="FFFFFF"/>
            <w:noWrap w:val="0"/>
            <w:tcMar>
              <w:top w:w="19" w:type="dxa"/>
              <w:left w:w="19" w:type="dxa"/>
              <w:bottom w:w="68" w:type="dxa"/>
              <w:right w:w="19" w:type="dxa"/>
            </w:tcMar>
            <w:vAlign w:val="center"/>
          </w:tcPr>
          <w:p w14:paraId="5B6B8C94">
            <w:pPr>
              <w:widowControl/>
              <w:tabs>
                <w:tab w:val="left" w:pos="671"/>
              </w:tabs>
              <w:spacing w:line="360" w:lineRule="exact"/>
              <w:ind w:firstLine="0" w:firstLineChars="0"/>
              <w:jc w:val="center"/>
              <w:rPr>
                <w:rFonts w:hint="eastAsia" w:eastAsia="宋体" w:cs="宋体"/>
                <w:sz w:val="21"/>
                <w:szCs w:val="21"/>
              </w:rPr>
            </w:pPr>
            <w:r>
              <w:rPr>
                <w:rFonts w:hint="eastAsia" w:eastAsia="宋体" w:cs="宋体"/>
                <w:sz w:val="21"/>
                <w:szCs w:val="21"/>
              </w:rPr>
              <w:t>外部处置</w:t>
            </w:r>
          </w:p>
        </w:tc>
        <w:tc>
          <w:tcPr>
            <w:tcW w:w="5242" w:type="dxa"/>
            <w:shd w:val="clear" w:color="auto" w:fill="FFFFFF"/>
            <w:noWrap w:val="0"/>
            <w:tcMar>
              <w:top w:w="19" w:type="dxa"/>
              <w:left w:w="19" w:type="dxa"/>
              <w:bottom w:w="68" w:type="dxa"/>
              <w:right w:w="19" w:type="dxa"/>
            </w:tcMar>
            <w:vAlign w:val="center"/>
          </w:tcPr>
          <w:p w14:paraId="1D7FB051">
            <w:pPr>
              <w:spacing w:line="360" w:lineRule="exact"/>
              <w:ind w:firstLine="0" w:firstLineChars="0"/>
              <w:rPr>
                <w:rFonts w:hint="eastAsia" w:eastAsia="宋体" w:cs="宋体"/>
                <w:sz w:val="21"/>
                <w:szCs w:val="21"/>
              </w:rPr>
            </w:pPr>
            <w:r>
              <w:rPr>
                <w:rFonts w:hint="eastAsia" w:eastAsia="宋体" w:cs="宋体"/>
                <w:sz w:val="21"/>
                <w:szCs w:val="21"/>
              </w:rPr>
              <w:t>系统支持处置申报功能，实现按上级主管部门的要求上传资产处置资料、填制处置申请单并推送至陕西省财政资产管理系统，进行在线或离线审批。在财政资产管理系统中完成处置的资产信息，本系统能自动获取，并实现处置资产自动下账。完成下账后，将资产处置信息推送至医院会计核算系统进行会计处理。</w:t>
            </w:r>
          </w:p>
        </w:tc>
      </w:tr>
      <w:tr w14:paraId="7F89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497" w:type="dxa"/>
            <w:shd w:val="clear" w:color="auto" w:fill="FFFFFF"/>
            <w:noWrap w:val="0"/>
            <w:tcMar>
              <w:top w:w="19" w:type="dxa"/>
              <w:left w:w="19" w:type="dxa"/>
              <w:bottom w:w="68" w:type="dxa"/>
              <w:right w:w="19" w:type="dxa"/>
            </w:tcMar>
            <w:vAlign w:val="center"/>
          </w:tcPr>
          <w:p w14:paraId="191FF7F6">
            <w:pPr>
              <w:widowControl/>
              <w:spacing w:line="360" w:lineRule="exact"/>
              <w:ind w:firstLine="0" w:firstLineChars="0"/>
              <w:jc w:val="center"/>
              <w:rPr>
                <w:rFonts w:hint="eastAsia"/>
              </w:rPr>
            </w:pPr>
            <w:r>
              <w:rPr>
                <w:rFonts w:hint="eastAsia" w:eastAsia="宋体" w:cs="宋体"/>
                <w:kern w:val="0"/>
                <w:sz w:val="21"/>
                <w:szCs w:val="21"/>
                <w:lang w:bidi="ar"/>
              </w:rPr>
              <w:t>29</w:t>
            </w:r>
          </w:p>
        </w:tc>
        <w:tc>
          <w:tcPr>
            <w:tcW w:w="1355" w:type="dxa"/>
            <w:vMerge w:val="continue"/>
            <w:shd w:val="clear" w:color="auto" w:fill="FFFFFF"/>
            <w:noWrap w:val="0"/>
            <w:tcMar>
              <w:top w:w="19" w:type="dxa"/>
              <w:left w:w="19" w:type="dxa"/>
              <w:bottom w:w="68" w:type="dxa"/>
              <w:right w:w="19" w:type="dxa"/>
            </w:tcMar>
            <w:vAlign w:val="center"/>
          </w:tcPr>
          <w:p w14:paraId="4337B9F2">
            <w:pPr>
              <w:widowControl/>
              <w:spacing w:line="360" w:lineRule="exact"/>
              <w:ind w:firstLine="0" w:firstLineChars="0"/>
              <w:jc w:val="left"/>
              <w:rPr>
                <w:rFonts w:hint="eastAsia"/>
              </w:rPr>
            </w:pPr>
          </w:p>
        </w:tc>
        <w:tc>
          <w:tcPr>
            <w:tcW w:w="1428" w:type="dxa"/>
            <w:shd w:val="clear" w:color="auto" w:fill="FFFFFF"/>
            <w:noWrap w:val="0"/>
            <w:tcMar>
              <w:top w:w="19" w:type="dxa"/>
              <w:left w:w="19" w:type="dxa"/>
              <w:bottom w:w="68" w:type="dxa"/>
              <w:right w:w="19" w:type="dxa"/>
            </w:tcMar>
            <w:vAlign w:val="center"/>
          </w:tcPr>
          <w:p w14:paraId="36881EB7">
            <w:pPr>
              <w:widowControl/>
              <w:spacing w:line="360" w:lineRule="exact"/>
              <w:ind w:firstLine="0" w:firstLineChars="0"/>
              <w:jc w:val="left"/>
              <w:rPr>
                <w:rFonts w:hint="eastAsia"/>
              </w:rPr>
            </w:pPr>
            <w:r>
              <w:rPr>
                <w:rFonts w:hint="eastAsia" w:eastAsia="宋体" w:cs="宋体"/>
                <w:sz w:val="21"/>
                <w:szCs w:val="21"/>
              </w:rPr>
              <w:t>数据治理</w:t>
            </w:r>
          </w:p>
        </w:tc>
        <w:tc>
          <w:tcPr>
            <w:tcW w:w="6682" w:type="dxa"/>
            <w:gridSpan w:val="3"/>
            <w:shd w:val="clear" w:color="auto" w:fill="FFFFFF"/>
            <w:noWrap w:val="0"/>
            <w:tcMar>
              <w:top w:w="19" w:type="dxa"/>
              <w:left w:w="19" w:type="dxa"/>
              <w:bottom w:w="68" w:type="dxa"/>
              <w:right w:w="19" w:type="dxa"/>
            </w:tcMar>
            <w:vAlign w:val="center"/>
          </w:tcPr>
          <w:p w14:paraId="248788AE">
            <w:pPr>
              <w:spacing w:line="360" w:lineRule="exact"/>
              <w:ind w:firstLine="0" w:firstLineChars="0"/>
              <w:rPr>
                <w:rFonts w:hint="eastAsia" w:eastAsia="宋体" w:cs="宋体"/>
                <w:sz w:val="21"/>
                <w:szCs w:val="21"/>
              </w:rPr>
            </w:pPr>
            <w:r>
              <w:rPr>
                <w:rFonts w:hint="eastAsia" w:eastAsia="宋体" w:cs="宋体"/>
                <w:sz w:val="21"/>
                <w:szCs w:val="21"/>
              </w:rPr>
              <w:t>系统应支持对资产卡片按上级主管部门的相关要求预制数据检查规则，实现对资产数据质量的体检功能，自动检测出潜在问题卡片，提醒用户完善修改，最终提高资产卡片的数据质量。</w:t>
            </w:r>
          </w:p>
        </w:tc>
      </w:tr>
      <w:tr w14:paraId="211E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2D20BE39">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30</w:t>
            </w:r>
          </w:p>
        </w:tc>
        <w:tc>
          <w:tcPr>
            <w:tcW w:w="1355" w:type="dxa"/>
            <w:vMerge w:val="restart"/>
            <w:shd w:val="clear" w:color="auto" w:fill="FFFFFF"/>
            <w:noWrap w:val="0"/>
            <w:tcMar>
              <w:top w:w="19" w:type="dxa"/>
              <w:left w:w="19" w:type="dxa"/>
              <w:bottom w:w="68" w:type="dxa"/>
              <w:right w:w="19" w:type="dxa"/>
            </w:tcMar>
            <w:vAlign w:val="center"/>
          </w:tcPr>
          <w:p w14:paraId="6A56A882">
            <w:pPr>
              <w:widowControl/>
              <w:spacing w:line="360" w:lineRule="exact"/>
              <w:ind w:firstLine="0" w:firstLineChars="0"/>
              <w:jc w:val="center"/>
              <w:rPr>
                <w:rFonts w:hint="eastAsia" w:eastAsia="宋体" w:cs="宋体"/>
                <w:sz w:val="21"/>
                <w:szCs w:val="21"/>
              </w:rPr>
            </w:pPr>
            <w:r>
              <w:rPr>
                <w:rFonts w:hint="eastAsia" w:eastAsia="宋体" w:cs="宋体"/>
                <w:sz w:val="21"/>
                <w:szCs w:val="21"/>
              </w:rPr>
              <w:t>物资管理</w:t>
            </w:r>
          </w:p>
          <w:p w14:paraId="6A17E9B1">
            <w:pPr>
              <w:widowControl/>
              <w:spacing w:line="360" w:lineRule="exact"/>
              <w:ind w:firstLine="0" w:firstLineChars="0"/>
              <w:jc w:val="center"/>
              <w:rPr>
                <w:rFonts w:hint="eastAsia" w:eastAsia="宋体" w:cs="宋体"/>
                <w:sz w:val="21"/>
                <w:szCs w:val="21"/>
              </w:rPr>
            </w:pPr>
            <w:r>
              <w:rPr>
                <w:rFonts w:hint="eastAsia" w:eastAsia="宋体" w:cs="宋体"/>
                <w:sz w:val="21"/>
                <w:szCs w:val="21"/>
              </w:rPr>
              <w:t>（物资管理是指对医院的低值易耗品、办公材料、维修配件等进行采购、保管、分配等的管理。系统应提供物资采购、入库、出库、调拨、库存管理、报损报废管理等功能。</w:t>
            </w:r>
          </w:p>
          <w:p w14:paraId="203EB7A8">
            <w:pPr>
              <w:widowControl/>
              <w:spacing w:line="360" w:lineRule="exact"/>
              <w:ind w:firstLine="0" w:firstLineChars="0"/>
              <w:jc w:val="center"/>
              <w:rPr>
                <w:rFonts w:hint="eastAsia" w:eastAsia="宋体"/>
              </w:rPr>
            </w:pPr>
            <w:r>
              <w:rPr>
                <w:rFonts w:hint="eastAsia" w:eastAsia="宋体" w:cs="宋体"/>
                <w:sz w:val="21"/>
                <w:szCs w:val="21"/>
              </w:rPr>
              <w:t>）</w:t>
            </w:r>
          </w:p>
        </w:tc>
        <w:tc>
          <w:tcPr>
            <w:tcW w:w="1428" w:type="dxa"/>
            <w:shd w:val="clear" w:color="auto" w:fill="FFFFFF"/>
            <w:noWrap w:val="0"/>
            <w:tcMar>
              <w:top w:w="19" w:type="dxa"/>
              <w:left w:w="19" w:type="dxa"/>
              <w:bottom w:w="68" w:type="dxa"/>
              <w:right w:w="19" w:type="dxa"/>
            </w:tcMar>
            <w:vAlign w:val="center"/>
          </w:tcPr>
          <w:p w14:paraId="6823D500">
            <w:pPr>
              <w:widowControl/>
              <w:spacing w:line="360" w:lineRule="exact"/>
              <w:ind w:firstLine="0" w:firstLineChars="0"/>
              <w:jc w:val="left"/>
              <w:rPr>
                <w:rFonts w:hint="eastAsia" w:eastAsia="宋体" w:cs="宋体"/>
                <w:sz w:val="21"/>
                <w:szCs w:val="21"/>
              </w:rPr>
            </w:pPr>
            <w:r>
              <w:rPr>
                <w:rFonts w:hint="eastAsia" w:eastAsia="宋体" w:cs="宋体"/>
                <w:sz w:val="21"/>
                <w:szCs w:val="21"/>
              </w:rPr>
              <w:t>物资采购</w:t>
            </w:r>
          </w:p>
        </w:tc>
        <w:tc>
          <w:tcPr>
            <w:tcW w:w="6682" w:type="dxa"/>
            <w:gridSpan w:val="3"/>
            <w:shd w:val="clear" w:color="auto" w:fill="FFFFFF"/>
            <w:noWrap w:val="0"/>
            <w:tcMar>
              <w:top w:w="19" w:type="dxa"/>
              <w:left w:w="19" w:type="dxa"/>
              <w:bottom w:w="68" w:type="dxa"/>
              <w:right w:w="19" w:type="dxa"/>
            </w:tcMar>
            <w:vAlign w:val="center"/>
          </w:tcPr>
          <w:p w14:paraId="33AE0D38">
            <w:pPr>
              <w:spacing w:line="360" w:lineRule="exact"/>
              <w:ind w:firstLine="0" w:firstLineChars="0"/>
              <w:rPr>
                <w:rFonts w:hint="eastAsia" w:eastAsia="宋体" w:cs="宋体"/>
                <w:sz w:val="21"/>
                <w:szCs w:val="21"/>
              </w:rPr>
            </w:pPr>
            <w:r>
              <w:rPr>
                <w:rFonts w:hint="eastAsia" w:eastAsia="宋体" w:cs="宋体"/>
                <w:sz w:val="21"/>
                <w:szCs w:val="21"/>
              </w:rPr>
              <w:t>系统支持由使用科室提交物资领用申请单，归口管理部门汇总领用申请单后，结合物资现存量，生成物资采购计划，审批通过后生成物资采购单。</w:t>
            </w:r>
          </w:p>
        </w:tc>
      </w:tr>
      <w:tr w14:paraId="5DDC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1B7F6907">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31</w:t>
            </w:r>
          </w:p>
        </w:tc>
        <w:tc>
          <w:tcPr>
            <w:tcW w:w="1355" w:type="dxa"/>
            <w:vMerge w:val="continue"/>
            <w:shd w:val="clear" w:color="auto" w:fill="FFFFFF"/>
            <w:noWrap w:val="0"/>
            <w:tcMar>
              <w:top w:w="19" w:type="dxa"/>
              <w:left w:w="19" w:type="dxa"/>
              <w:bottom w:w="68" w:type="dxa"/>
              <w:right w:w="19" w:type="dxa"/>
            </w:tcMar>
            <w:vAlign w:val="center"/>
          </w:tcPr>
          <w:p w14:paraId="3B917DF0">
            <w:pPr>
              <w:spacing w:line="360" w:lineRule="exact"/>
              <w:ind w:firstLine="0" w:firstLineChars="0"/>
              <w:rPr>
                <w:rFonts w:hint="eastAsia"/>
              </w:rPr>
            </w:pPr>
          </w:p>
        </w:tc>
        <w:tc>
          <w:tcPr>
            <w:tcW w:w="1428" w:type="dxa"/>
            <w:shd w:val="clear" w:color="auto" w:fill="FFFFFF"/>
            <w:noWrap w:val="0"/>
            <w:tcMar>
              <w:top w:w="19" w:type="dxa"/>
              <w:left w:w="19" w:type="dxa"/>
              <w:bottom w:w="68" w:type="dxa"/>
              <w:right w:w="19" w:type="dxa"/>
            </w:tcMar>
            <w:vAlign w:val="center"/>
          </w:tcPr>
          <w:p w14:paraId="7A965793">
            <w:pPr>
              <w:spacing w:line="360" w:lineRule="exact"/>
              <w:ind w:firstLine="0" w:firstLineChars="0"/>
              <w:rPr>
                <w:rFonts w:hint="eastAsia"/>
              </w:rPr>
            </w:pPr>
            <w:r>
              <w:rPr>
                <w:rFonts w:hint="eastAsia" w:eastAsia="宋体" w:cs="宋体"/>
                <w:sz w:val="21"/>
                <w:szCs w:val="21"/>
              </w:rPr>
              <w:t>验收入库</w:t>
            </w:r>
          </w:p>
        </w:tc>
        <w:tc>
          <w:tcPr>
            <w:tcW w:w="6682" w:type="dxa"/>
            <w:gridSpan w:val="3"/>
            <w:shd w:val="clear" w:color="auto" w:fill="FFFFFF"/>
            <w:noWrap w:val="0"/>
            <w:tcMar>
              <w:top w:w="19" w:type="dxa"/>
              <w:left w:w="19" w:type="dxa"/>
              <w:bottom w:w="68" w:type="dxa"/>
              <w:right w:w="19" w:type="dxa"/>
            </w:tcMar>
            <w:vAlign w:val="center"/>
          </w:tcPr>
          <w:p w14:paraId="6B9B1511">
            <w:pPr>
              <w:spacing w:line="360" w:lineRule="exact"/>
              <w:ind w:firstLine="0" w:firstLineChars="0"/>
              <w:rPr>
                <w:rFonts w:hint="eastAsia" w:eastAsia="宋体" w:cs="宋体"/>
                <w:sz w:val="21"/>
                <w:szCs w:val="21"/>
              </w:rPr>
            </w:pPr>
            <w:r>
              <w:rPr>
                <w:rFonts w:hint="eastAsia" w:eastAsia="宋体" w:cs="宋体"/>
                <w:sz w:val="21"/>
                <w:szCs w:val="21"/>
              </w:rPr>
              <w:t>1、系统支持根据已完成的物资采购单生成验收单或新增录入验收单，记录包括物资名称、规格型号、数量、单价、金额、外包装、质量、验收结果、验收人等验收信息，支持上传保存验收过程图片、文档资料等。</w:t>
            </w:r>
          </w:p>
          <w:p w14:paraId="060E6309">
            <w:pPr>
              <w:spacing w:line="360" w:lineRule="exact"/>
              <w:ind w:firstLine="0" w:firstLineChars="0"/>
              <w:rPr>
                <w:rFonts w:hint="eastAsia" w:eastAsia="宋体" w:cs="宋体"/>
                <w:sz w:val="21"/>
                <w:szCs w:val="21"/>
              </w:rPr>
            </w:pPr>
            <w:r>
              <w:rPr>
                <w:rFonts w:hint="eastAsia" w:eastAsia="宋体" w:cs="宋体"/>
                <w:sz w:val="21"/>
                <w:szCs w:val="21"/>
              </w:rPr>
              <w:t>2、系统支持按照医院内部管理需求配置验收审批流程，完成物资验收审批。</w:t>
            </w:r>
          </w:p>
          <w:p w14:paraId="17BAEF46">
            <w:pPr>
              <w:spacing w:line="360" w:lineRule="exact"/>
              <w:ind w:firstLine="0" w:firstLineChars="0"/>
              <w:rPr>
                <w:rFonts w:hint="eastAsia" w:eastAsia="宋体" w:cs="宋体"/>
                <w:sz w:val="21"/>
                <w:szCs w:val="21"/>
              </w:rPr>
            </w:pPr>
            <w:r>
              <w:rPr>
                <w:rFonts w:hint="eastAsia" w:eastAsia="宋体" w:cs="宋体"/>
                <w:sz w:val="21"/>
                <w:szCs w:val="21"/>
              </w:rPr>
              <w:t>3、系统支持根据已完成的物资验收单生成入库单，并能够按医院管理需要配置不同的入库单模板及审批流程，审批通过后完成物资入库。系统支持将已入库物资信息推送至医院会计核算系统进行相应会计处理。</w:t>
            </w:r>
          </w:p>
        </w:tc>
      </w:tr>
      <w:tr w14:paraId="6C9C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7BF19E72">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32</w:t>
            </w:r>
          </w:p>
        </w:tc>
        <w:tc>
          <w:tcPr>
            <w:tcW w:w="1355" w:type="dxa"/>
            <w:vMerge w:val="continue"/>
            <w:shd w:val="clear" w:color="auto" w:fill="FFFFFF"/>
            <w:noWrap w:val="0"/>
            <w:tcMar>
              <w:top w:w="19" w:type="dxa"/>
              <w:left w:w="19" w:type="dxa"/>
              <w:bottom w:w="68" w:type="dxa"/>
              <w:right w:w="19" w:type="dxa"/>
            </w:tcMar>
            <w:vAlign w:val="center"/>
          </w:tcPr>
          <w:p w14:paraId="41050CB3">
            <w:pPr>
              <w:spacing w:line="360" w:lineRule="exact"/>
              <w:ind w:firstLine="0" w:firstLineChars="0"/>
              <w:rPr>
                <w:rFonts w:hint="eastAsia" w:eastAsia="宋体" w:cs="宋体"/>
                <w:sz w:val="21"/>
                <w:szCs w:val="21"/>
              </w:rPr>
            </w:pPr>
          </w:p>
        </w:tc>
        <w:tc>
          <w:tcPr>
            <w:tcW w:w="1428" w:type="dxa"/>
            <w:shd w:val="clear" w:color="auto" w:fill="FFFFFF"/>
            <w:noWrap w:val="0"/>
            <w:tcMar>
              <w:top w:w="19" w:type="dxa"/>
              <w:left w:w="19" w:type="dxa"/>
              <w:bottom w:w="68" w:type="dxa"/>
              <w:right w:w="19" w:type="dxa"/>
            </w:tcMar>
            <w:vAlign w:val="center"/>
          </w:tcPr>
          <w:p w14:paraId="480A9D43">
            <w:pPr>
              <w:spacing w:line="360" w:lineRule="exact"/>
              <w:ind w:firstLine="0" w:firstLineChars="0"/>
              <w:rPr>
                <w:rFonts w:hint="eastAsia" w:eastAsia="宋体" w:cs="宋体"/>
                <w:sz w:val="21"/>
                <w:szCs w:val="21"/>
              </w:rPr>
            </w:pPr>
            <w:r>
              <w:rPr>
                <w:rFonts w:hint="eastAsia" w:eastAsia="宋体" w:cs="宋体"/>
                <w:sz w:val="21"/>
                <w:szCs w:val="21"/>
              </w:rPr>
              <w:t>领用出库</w:t>
            </w:r>
          </w:p>
        </w:tc>
        <w:tc>
          <w:tcPr>
            <w:tcW w:w="6682" w:type="dxa"/>
            <w:gridSpan w:val="3"/>
            <w:shd w:val="clear" w:color="auto" w:fill="FFFFFF"/>
            <w:noWrap w:val="0"/>
            <w:tcMar>
              <w:top w:w="19" w:type="dxa"/>
              <w:left w:w="19" w:type="dxa"/>
              <w:bottom w:w="68" w:type="dxa"/>
              <w:right w:w="19" w:type="dxa"/>
            </w:tcMar>
            <w:vAlign w:val="center"/>
          </w:tcPr>
          <w:p w14:paraId="2F9D5D37">
            <w:pPr>
              <w:spacing w:line="360" w:lineRule="exact"/>
              <w:ind w:firstLine="0" w:firstLineChars="0"/>
              <w:rPr>
                <w:rFonts w:hint="eastAsia" w:eastAsia="宋体" w:cs="宋体"/>
                <w:sz w:val="21"/>
                <w:szCs w:val="21"/>
              </w:rPr>
            </w:pPr>
            <w:r>
              <w:rPr>
                <w:rFonts w:hint="eastAsia" w:eastAsia="宋体" w:cs="宋体"/>
                <w:sz w:val="21"/>
                <w:szCs w:val="21"/>
              </w:rPr>
              <w:t>1、系统支持按照领用申请单办理出库业务或新增录入出库单，出库单应记录物资编码、名称、规格、数量、单价、金额、使用科室等信息。</w:t>
            </w:r>
          </w:p>
          <w:p w14:paraId="24B48429">
            <w:pPr>
              <w:spacing w:line="360" w:lineRule="exact"/>
              <w:ind w:firstLine="0" w:firstLineChars="0"/>
              <w:rPr>
                <w:rFonts w:hint="eastAsia" w:eastAsia="宋体" w:cs="宋体"/>
                <w:sz w:val="21"/>
                <w:szCs w:val="21"/>
              </w:rPr>
            </w:pPr>
            <w:r>
              <w:rPr>
                <w:rFonts w:hint="eastAsia" w:eastAsia="宋体" w:cs="宋体"/>
                <w:sz w:val="21"/>
                <w:szCs w:val="21"/>
              </w:rPr>
              <w:t>2、系统支持将完成出库手续的出库单信息推送至医院会计核算系统进行相应会计处理生成会计凭证。</w:t>
            </w:r>
          </w:p>
          <w:p w14:paraId="1A488D1D">
            <w:pPr>
              <w:spacing w:line="360" w:lineRule="exact"/>
              <w:ind w:firstLine="0" w:firstLineChars="0"/>
              <w:rPr>
                <w:rFonts w:hint="eastAsia" w:eastAsia="宋体" w:cs="宋体"/>
                <w:sz w:val="21"/>
                <w:szCs w:val="21"/>
              </w:rPr>
            </w:pPr>
            <w:r>
              <w:rPr>
                <w:rFonts w:hint="eastAsia" w:eastAsia="宋体" w:cs="宋体"/>
                <w:sz w:val="21"/>
                <w:szCs w:val="21"/>
              </w:rPr>
              <w:t>3、系统支持与医院成本管理系统对接，将出库领用明细数据推送至成本管理系统。</w:t>
            </w:r>
          </w:p>
        </w:tc>
      </w:tr>
      <w:tr w14:paraId="0367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497" w:type="dxa"/>
            <w:shd w:val="clear" w:color="auto" w:fill="FFFFFF"/>
            <w:noWrap w:val="0"/>
            <w:tcMar>
              <w:top w:w="19" w:type="dxa"/>
              <w:left w:w="19" w:type="dxa"/>
              <w:bottom w:w="68" w:type="dxa"/>
              <w:right w:w="19" w:type="dxa"/>
            </w:tcMar>
            <w:vAlign w:val="center"/>
          </w:tcPr>
          <w:p w14:paraId="2983435B">
            <w:pPr>
              <w:spacing w:line="360" w:lineRule="exact"/>
              <w:ind w:firstLine="0" w:firstLineChars="0"/>
              <w:jc w:val="center"/>
              <w:rPr>
                <w:rFonts w:hint="eastAsia" w:eastAsia="宋体" w:cs="宋体"/>
                <w:sz w:val="21"/>
                <w:szCs w:val="21"/>
              </w:rPr>
            </w:pPr>
            <w:r>
              <w:rPr>
                <w:rFonts w:hint="eastAsia" w:eastAsia="宋体" w:cs="宋体"/>
                <w:sz w:val="21"/>
                <w:szCs w:val="21"/>
              </w:rPr>
              <w:t>33</w:t>
            </w:r>
          </w:p>
        </w:tc>
        <w:tc>
          <w:tcPr>
            <w:tcW w:w="1355" w:type="dxa"/>
            <w:vMerge w:val="continue"/>
            <w:shd w:val="clear" w:color="auto" w:fill="FFFFFF"/>
            <w:noWrap w:val="0"/>
            <w:tcMar>
              <w:top w:w="19" w:type="dxa"/>
              <w:left w:w="19" w:type="dxa"/>
              <w:bottom w:w="68" w:type="dxa"/>
              <w:right w:w="19" w:type="dxa"/>
            </w:tcMar>
            <w:vAlign w:val="center"/>
          </w:tcPr>
          <w:p w14:paraId="262898C6">
            <w:pPr>
              <w:spacing w:line="360" w:lineRule="exact"/>
              <w:ind w:firstLine="0" w:firstLineChars="0"/>
              <w:rPr>
                <w:rFonts w:hint="eastAsia" w:eastAsia="宋体" w:cs="宋体"/>
                <w:sz w:val="21"/>
                <w:szCs w:val="21"/>
              </w:rPr>
            </w:pPr>
          </w:p>
        </w:tc>
        <w:tc>
          <w:tcPr>
            <w:tcW w:w="1428" w:type="dxa"/>
            <w:shd w:val="clear" w:color="auto" w:fill="FFFFFF"/>
            <w:noWrap w:val="0"/>
            <w:tcMar>
              <w:top w:w="19" w:type="dxa"/>
              <w:left w:w="19" w:type="dxa"/>
              <w:bottom w:w="68" w:type="dxa"/>
              <w:right w:w="19" w:type="dxa"/>
            </w:tcMar>
            <w:vAlign w:val="center"/>
          </w:tcPr>
          <w:p w14:paraId="345F3B1B">
            <w:pPr>
              <w:spacing w:line="360" w:lineRule="exact"/>
              <w:ind w:firstLine="0" w:firstLineChars="0"/>
              <w:rPr>
                <w:rFonts w:hint="eastAsia" w:eastAsia="宋体" w:cs="宋体"/>
                <w:sz w:val="21"/>
                <w:szCs w:val="21"/>
              </w:rPr>
            </w:pPr>
            <w:r>
              <w:rPr>
                <w:rFonts w:hint="eastAsia" w:eastAsia="宋体" w:cs="宋体"/>
                <w:sz w:val="21"/>
                <w:szCs w:val="21"/>
              </w:rPr>
              <w:t>物资调拨</w:t>
            </w:r>
          </w:p>
        </w:tc>
        <w:tc>
          <w:tcPr>
            <w:tcW w:w="6682" w:type="dxa"/>
            <w:gridSpan w:val="3"/>
            <w:shd w:val="clear" w:color="auto" w:fill="FFFFFF"/>
            <w:noWrap w:val="0"/>
            <w:tcMar>
              <w:top w:w="19" w:type="dxa"/>
              <w:left w:w="19" w:type="dxa"/>
              <w:bottom w:w="68" w:type="dxa"/>
              <w:right w:w="19" w:type="dxa"/>
            </w:tcMar>
            <w:vAlign w:val="center"/>
          </w:tcPr>
          <w:p w14:paraId="64058755">
            <w:pPr>
              <w:spacing w:line="360" w:lineRule="exact"/>
              <w:ind w:firstLine="0" w:firstLineChars="0"/>
              <w:rPr>
                <w:rFonts w:hint="eastAsia" w:eastAsia="宋体" w:cs="宋体"/>
                <w:sz w:val="21"/>
                <w:szCs w:val="21"/>
              </w:rPr>
            </w:pPr>
            <w:r>
              <w:rPr>
                <w:rFonts w:hint="eastAsia" w:eastAsia="宋体" w:cs="宋体"/>
                <w:sz w:val="21"/>
                <w:szCs w:val="21"/>
              </w:rPr>
              <w:t>系统支持物资在存放地点、仓库之间的进行调拨。</w:t>
            </w:r>
          </w:p>
        </w:tc>
      </w:tr>
      <w:tr w14:paraId="65D6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66788EC">
            <w:pPr>
              <w:spacing w:line="360" w:lineRule="exact"/>
              <w:ind w:firstLine="0" w:firstLineChars="0"/>
              <w:jc w:val="center"/>
              <w:rPr>
                <w:rFonts w:hint="eastAsia" w:eastAsia="宋体" w:cs="宋体"/>
                <w:sz w:val="21"/>
                <w:szCs w:val="21"/>
              </w:rPr>
            </w:pPr>
            <w:r>
              <w:rPr>
                <w:rFonts w:hint="eastAsia" w:eastAsia="宋体" w:cs="宋体"/>
                <w:sz w:val="21"/>
                <w:szCs w:val="21"/>
              </w:rPr>
              <w:t>34</w:t>
            </w:r>
          </w:p>
        </w:tc>
        <w:tc>
          <w:tcPr>
            <w:tcW w:w="1355" w:type="dxa"/>
            <w:vMerge w:val="continue"/>
            <w:shd w:val="clear" w:color="auto" w:fill="FFFFFF"/>
            <w:noWrap w:val="0"/>
            <w:tcMar>
              <w:top w:w="19" w:type="dxa"/>
              <w:left w:w="19" w:type="dxa"/>
              <w:bottom w:w="68" w:type="dxa"/>
              <w:right w:w="19" w:type="dxa"/>
            </w:tcMar>
            <w:vAlign w:val="center"/>
          </w:tcPr>
          <w:p w14:paraId="0A3A13D7">
            <w:pPr>
              <w:spacing w:line="360" w:lineRule="exact"/>
              <w:ind w:firstLine="0" w:firstLineChars="0"/>
              <w:rPr>
                <w:rFonts w:hint="eastAsia" w:eastAsia="宋体" w:cs="宋体"/>
                <w:sz w:val="21"/>
                <w:szCs w:val="21"/>
              </w:rPr>
            </w:pPr>
          </w:p>
        </w:tc>
        <w:tc>
          <w:tcPr>
            <w:tcW w:w="1428" w:type="dxa"/>
            <w:shd w:val="clear" w:color="auto" w:fill="FFFFFF"/>
            <w:noWrap w:val="0"/>
            <w:tcMar>
              <w:top w:w="19" w:type="dxa"/>
              <w:left w:w="19" w:type="dxa"/>
              <w:bottom w:w="68" w:type="dxa"/>
              <w:right w:w="19" w:type="dxa"/>
            </w:tcMar>
            <w:vAlign w:val="center"/>
          </w:tcPr>
          <w:p w14:paraId="757685AB">
            <w:pPr>
              <w:spacing w:line="360" w:lineRule="exact"/>
              <w:ind w:firstLine="0" w:firstLineChars="0"/>
              <w:rPr>
                <w:rFonts w:hint="eastAsia" w:eastAsia="宋体" w:cs="宋体"/>
                <w:sz w:val="21"/>
                <w:szCs w:val="21"/>
              </w:rPr>
            </w:pPr>
            <w:r>
              <w:rPr>
                <w:rFonts w:hint="eastAsia" w:eastAsia="宋体" w:cs="宋体"/>
                <w:sz w:val="21"/>
                <w:szCs w:val="21"/>
              </w:rPr>
              <w:t>库存管理</w:t>
            </w:r>
          </w:p>
        </w:tc>
        <w:tc>
          <w:tcPr>
            <w:tcW w:w="6682" w:type="dxa"/>
            <w:gridSpan w:val="3"/>
            <w:shd w:val="clear" w:color="auto" w:fill="FFFFFF"/>
            <w:noWrap w:val="0"/>
            <w:tcMar>
              <w:top w:w="19" w:type="dxa"/>
              <w:left w:w="19" w:type="dxa"/>
              <w:bottom w:w="68" w:type="dxa"/>
              <w:right w:w="19" w:type="dxa"/>
            </w:tcMar>
            <w:vAlign w:val="center"/>
          </w:tcPr>
          <w:p w14:paraId="58E27782">
            <w:pPr>
              <w:spacing w:line="360" w:lineRule="exact"/>
              <w:ind w:firstLine="0" w:firstLineChars="0"/>
              <w:rPr>
                <w:rFonts w:hint="eastAsia" w:eastAsia="宋体" w:cs="宋体"/>
                <w:sz w:val="21"/>
                <w:szCs w:val="21"/>
              </w:rPr>
            </w:pPr>
            <w:r>
              <w:rPr>
                <w:rFonts w:hint="eastAsia" w:eastAsia="宋体" w:cs="宋体"/>
                <w:sz w:val="21"/>
                <w:szCs w:val="21"/>
              </w:rPr>
              <w:t>1、系统支持批次管理、有效期管理、定额控制管理、库存预警管理等功能，并记录各项物资入出库流水形成库存台账。</w:t>
            </w:r>
          </w:p>
          <w:p w14:paraId="279899AD">
            <w:pPr>
              <w:spacing w:line="360" w:lineRule="exact"/>
              <w:ind w:firstLine="0" w:firstLineChars="0"/>
              <w:rPr>
                <w:rFonts w:hint="eastAsia" w:eastAsia="宋体" w:cs="宋体"/>
                <w:sz w:val="21"/>
                <w:szCs w:val="21"/>
              </w:rPr>
            </w:pPr>
            <w:r>
              <w:rPr>
                <w:rFonts w:hint="eastAsia" w:eastAsia="宋体" w:cs="宋体"/>
                <w:sz w:val="21"/>
                <w:szCs w:val="21"/>
              </w:rPr>
              <w:t>2、定额控制管理应支持按照医院确定的规则设置各项物资的定额标准。</w:t>
            </w:r>
          </w:p>
          <w:p w14:paraId="185FC167">
            <w:pPr>
              <w:spacing w:line="360" w:lineRule="exact"/>
              <w:ind w:firstLine="0" w:firstLineChars="0"/>
              <w:rPr>
                <w:rFonts w:hint="eastAsia" w:eastAsia="宋体" w:cs="宋体"/>
                <w:sz w:val="21"/>
                <w:szCs w:val="21"/>
              </w:rPr>
            </w:pPr>
            <w:r>
              <w:rPr>
                <w:rFonts w:hint="eastAsia" w:eastAsia="宋体" w:cs="宋体"/>
                <w:sz w:val="21"/>
                <w:szCs w:val="21"/>
              </w:rPr>
              <w:t>3、库存预警管理应支持按照医院确定的各项物资保险储备量并结合现存量，实现各项物资的库存预警。</w:t>
            </w:r>
          </w:p>
        </w:tc>
      </w:tr>
      <w:tr w14:paraId="6BD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DF84B13">
            <w:pPr>
              <w:spacing w:line="360" w:lineRule="exact"/>
              <w:ind w:firstLine="0" w:firstLineChars="0"/>
              <w:jc w:val="center"/>
              <w:rPr>
                <w:rFonts w:hint="eastAsia" w:eastAsia="宋体" w:cs="宋体"/>
                <w:sz w:val="21"/>
                <w:szCs w:val="21"/>
              </w:rPr>
            </w:pPr>
            <w:r>
              <w:rPr>
                <w:rFonts w:hint="eastAsia" w:eastAsia="宋体" w:cs="宋体"/>
                <w:sz w:val="21"/>
                <w:szCs w:val="21"/>
              </w:rPr>
              <w:t>35</w:t>
            </w:r>
          </w:p>
        </w:tc>
        <w:tc>
          <w:tcPr>
            <w:tcW w:w="1355" w:type="dxa"/>
            <w:vMerge w:val="continue"/>
            <w:shd w:val="clear" w:color="auto" w:fill="FFFFFF"/>
            <w:noWrap w:val="0"/>
            <w:tcMar>
              <w:top w:w="19" w:type="dxa"/>
              <w:left w:w="19" w:type="dxa"/>
              <w:bottom w:w="68" w:type="dxa"/>
              <w:right w:w="19" w:type="dxa"/>
            </w:tcMar>
            <w:vAlign w:val="center"/>
          </w:tcPr>
          <w:p w14:paraId="29948C95">
            <w:pPr>
              <w:spacing w:line="360" w:lineRule="exact"/>
              <w:ind w:firstLine="0" w:firstLineChars="0"/>
              <w:rPr>
                <w:rFonts w:hint="eastAsia" w:eastAsia="宋体" w:cs="宋体"/>
                <w:sz w:val="21"/>
                <w:szCs w:val="21"/>
              </w:rPr>
            </w:pPr>
          </w:p>
        </w:tc>
        <w:tc>
          <w:tcPr>
            <w:tcW w:w="1428" w:type="dxa"/>
            <w:shd w:val="clear" w:color="auto" w:fill="FFFFFF"/>
            <w:noWrap w:val="0"/>
            <w:tcMar>
              <w:top w:w="19" w:type="dxa"/>
              <w:left w:w="19" w:type="dxa"/>
              <w:bottom w:w="68" w:type="dxa"/>
              <w:right w:w="19" w:type="dxa"/>
            </w:tcMar>
            <w:vAlign w:val="center"/>
          </w:tcPr>
          <w:p w14:paraId="40C06CA0">
            <w:pPr>
              <w:spacing w:line="360" w:lineRule="exact"/>
              <w:ind w:firstLine="0" w:firstLineChars="0"/>
              <w:rPr>
                <w:rFonts w:hint="eastAsia" w:eastAsia="宋体" w:cs="宋体"/>
                <w:sz w:val="21"/>
                <w:szCs w:val="21"/>
              </w:rPr>
            </w:pPr>
            <w:r>
              <w:rPr>
                <w:rFonts w:hint="eastAsia" w:eastAsia="宋体" w:cs="宋体"/>
                <w:sz w:val="21"/>
                <w:szCs w:val="21"/>
              </w:rPr>
              <w:t>报损报废</w:t>
            </w:r>
          </w:p>
        </w:tc>
        <w:tc>
          <w:tcPr>
            <w:tcW w:w="6682" w:type="dxa"/>
            <w:gridSpan w:val="3"/>
            <w:shd w:val="clear" w:color="auto" w:fill="FFFFFF"/>
            <w:noWrap w:val="0"/>
            <w:tcMar>
              <w:top w:w="19" w:type="dxa"/>
              <w:left w:w="19" w:type="dxa"/>
              <w:bottom w:w="68" w:type="dxa"/>
              <w:right w:w="19" w:type="dxa"/>
            </w:tcMar>
            <w:vAlign w:val="center"/>
          </w:tcPr>
          <w:p w14:paraId="14FF3B74">
            <w:pPr>
              <w:spacing w:line="360" w:lineRule="exact"/>
              <w:ind w:firstLine="0" w:firstLineChars="0"/>
              <w:rPr>
                <w:rFonts w:hint="eastAsia" w:eastAsia="宋体" w:cs="宋体"/>
                <w:sz w:val="21"/>
                <w:szCs w:val="21"/>
              </w:rPr>
            </w:pPr>
            <w:r>
              <w:rPr>
                <w:rFonts w:hint="eastAsia" w:eastAsia="宋体" w:cs="宋体"/>
                <w:sz w:val="21"/>
                <w:szCs w:val="21"/>
              </w:rPr>
              <w:t>系统支持物资报损报废申请功能，按医院内部管理要求配置申请单模板及审批流程，支持附件上传，审批完成后实现相应物资的下账，并将报损报废物资信息推送至医院会计核算系统进行相应会计处理。</w:t>
            </w:r>
          </w:p>
        </w:tc>
      </w:tr>
      <w:tr w14:paraId="41B9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FA8B541">
            <w:pPr>
              <w:spacing w:line="360" w:lineRule="exact"/>
              <w:ind w:firstLine="0" w:firstLineChars="0"/>
              <w:jc w:val="center"/>
              <w:rPr>
                <w:rFonts w:hint="eastAsia" w:eastAsia="宋体" w:cs="宋体"/>
                <w:sz w:val="21"/>
                <w:szCs w:val="21"/>
              </w:rPr>
            </w:pPr>
            <w:r>
              <w:rPr>
                <w:rFonts w:hint="eastAsia" w:eastAsia="宋体" w:cs="宋体"/>
                <w:sz w:val="21"/>
                <w:szCs w:val="21"/>
              </w:rPr>
              <w:t>36</w:t>
            </w:r>
          </w:p>
        </w:tc>
        <w:tc>
          <w:tcPr>
            <w:tcW w:w="1355" w:type="dxa"/>
            <w:vMerge w:val="restart"/>
            <w:shd w:val="clear" w:color="auto" w:fill="FFFFFF"/>
            <w:noWrap w:val="0"/>
            <w:tcMar>
              <w:top w:w="19" w:type="dxa"/>
              <w:left w:w="19" w:type="dxa"/>
              <w:bottom w:w="68" w:type="dxa"/>
              <w:right w:w="19" w:type="dxa"/>
            </w:tcMar>
            <w:vAlign w:val="center"/>
          </w:tcPr>
          <w:p w14:paraId="4C5EB17F">
            <w:pPr>
              <w:spacing w:line="360" w:lineRule="exact"/>
              <w:ind w:firstLine="0" w:firstLineChars="0"/>
              <w:jc w:val="center"/>
              <w:rPr>
                <w:rFonts w:hint="eastAsia" w:eastAsia="宋体" w:cs="宋体"/>
                <w:sz w:val="21"/>
                <w:szCs w:val="21"/>
              </w:rPr>
            </w:pPr>
            <w:r>
              <w:rPr>
                <w:rFonts w:hint="eastAsia" w:eastAsia="宋体" w:cs="宋体"/>
                <w:sz w:val="21"/>
                <w:szCs w:val="21"/>
              </w:rPr>
              <w:t>资产盘点</w:t>
            </w:r>
          </w:p>
        </w:tc>
        <w:tc>
          <w:tcPr>
            <w:tcW w:w="8110" w:type="dxa"/>
            <w:gridSpan w:val="4"/>
            <w:shd w:val="clear" w:color="auto" w:fill="FFFFFF"/>
            <w:noWrap w:val="0"/>
            <w:tcMar>
              <w:top w:w="19" w:type="dxa"/>
              <w:left w:w="19" w:type="dxa"/>
              <w:bottom w:w="68" w:type="dxa"/>
              <w:right w:w="19" w:type="dxa"/>
            </w:tcMar>
            <w:vAlign w:val="center"/>
          </w:tcPr>
          <w:p w14:paraId="55EFEE09">
            <w:pPr>
              <w:spacing w:line="360" w:lineRule="exact"/>
              <w:ind w:firstLine="0" w:firstLineChars="0"/>
              <w:rPr>
                <w:rFonts w:hint="eastAsia" w:eastAsia="宋体" w:cs="宋体"/>
                <w:sz w:val="21"/>
                <w:szCs w:val="21"/>
              </w:rPr>
            </w:pPr>
            <w:r>
              <w:rPr>
                <w:rFonts w:hint="eastAsia" w:eastAsia="宋体" w:cs="宋体"/>
                <w:sz w:val="21"/>
                <w:szCs w:val="21"/>
              </w:rPr>
              <w:t>系统应分别支持固定资产与物资的盘点功能。支持资产盘点任务创建、分配下发、回收、汇总等功能。支持按部门、资产分类等组合条件确定盘点资产的范围进行自助盘点。</w:t>
            </w:r>
          </w:p>
        </w:tc>
      </w:tr>
      <w:tr w14:paraId="7249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0D23CFC">
            <w:pPr>
              <w:spacing w:line="360" w:lineRule="exact"/>
              <w:ind w:firstLine="0" w:firstLineChars="0"/>
              <w:jc w:val="center"/>
              <w:rPr>
                <w:rFonts w:hint="eastAsia" w:eastAsia="宋体" w:cs="宋体"/>
                <w:sz w:val="21"/>
                <w:szCs w:val="21"/>
              </w:rPr>
            </w:pPr>
            <w:r>
              <w:rPr>
                <w:rFonts w:hint="eastAsia" w:eastAsia="宋体" w:cs="宋体"/>
                <w:sz w:val="21"/>
                <w:szCs w:val="21"/>
              </w:rPr>
              <w:t>37</w:t>
            </w:r>
          </w:p>
        </w:tc>
        <w:tc>
          <w:tcPr>
            <w:tcW w:w="1355" w:type="dxa"/>
            <w:vMerge w:val="continue"/>
            <w:shd w:val="clear" w:color="auto" w:fill="FFFFFF"/>
            <w:noWrap w:val="0"/>
            <w:tcMar>
              <w:top w:w="19" w:type="dxa"/>
              <w:left w:w="19" w:type="dxa"/>
              <w:bottom w:w="68" w:type="dxa"/>
              <w:right w:w="19" w:type="dxa"/>
            </w:tcMar>
            <w:vAlign w:val="center"/>
          </w:tcPr>
          <w:p w14:paraId="5A315EDB">
            <w:pPr>
              <w:spacing w:line="360" w:lineRule="exact"/>
              <w:ind w:firstLine="0" w:firstLineChars="0"/>
              <w:jc w:val="center"/>
              <w:rPr>
                <w:rFonts w:hint="eastAsia" w:eastAsia="宋体" w:cs="宋体"/>
                <w:sz w:val="21"/>
                <w:szCs w:val="21"/>
              </w:rPr>
            </w:pPr>
          </w:p>
        </w:tc>
        <w:tc>
          <w:tcPr>
            <w:tcW w:w="8110" w:type="dxa"/>
            <w:gridSpan w:val="4"/>
            <w:shd w:val="clear" w:color="auto" w:fill="FFFFFF"/>
            <w:noWrap w:val="0"/>
            <w:tcMar>
              <w:top w:w="19" w:type="dxa"/>
              <w:left w:w="19" w:type="dxa"/>
              <w:bottom w:w="68" w:type="dxa"/>
              <w:right w:w="19" w:type="dxa"/>
            </w:tcMar>
            <w:vAlign w:val="center"/>
          </w:tcPr>
          <w:p w14:paraId="45353BD8">
            <w:pPr>
              <w:spacing w:line="360" w:lineRule="exact"/>
              <w:ind w:firstLine="0" w:firstLineChars="0"/>
              <w:rPr>
                <w:rFonts w:hint="eastAsia" w:eastAsia="宋体" w:cs="宋体"/>
                <w:sz w:val="21"/>
                <w:szCs w:val="21"/>
              </w:rPr>
            </w:pPr>
            <w:r>
              <w:rPr>
                <w:rFonts w:hint="eastAsia" w:eastAsia="宋体" w:cs="宋体"/>
                <w:sz w:val="21"/>
                <w:szCs w:val="21"/>
              </w:rPr>
              <w:t>盘点结束后，统计盘盈盘亏数据生成盘点报表，按医院内部管理要求配置盘点报表模板与审批流程，审批通过后，系统自动进行相应处理，并将盘盈盘亏数据推送至医院会计核算系统进行相应会计处理。</w:t>
            </w:r>
          </w:p>
        </w:tc>
      </w:tr>
      <w:tr w14:paraId="0820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46220F0A">
            <w:pPr>
              <w:spacing w:line="360" w:lineRule="exact"/>
              <w:ind w:firstLine="0" w:firstLineChars="0"/>
              <w:jc w:val="center"/>
              <w:rPr>
                <w:rFonts w:hint="eastAsia" w:eastAsia="宋体" w:cs="宋体"/>
                <w:sz w:val="21"/>
                <w:szCs w:val="21"/>
              </w:rPr>
            </w:pPr>
            <w:r>
              <w:rPr>
                <w:rFonts w:hint="eastAsia" w:eastAsia="宋体" w:cs="宋体"/>
                <w:sz w:val="21"/>
                <w:szCs w:val="21"/>
              </w:rPr>
              <w:t>38</w:t>
            </w:r>
          </w:p>
        </w:tc>
        <w:tc>
          <w:tcPr>
            <w:tcW w:w="1355" w:type="dxa"/>
            <w:vMerge w:val="continue"/>
            <w:shd w:val="clear" w:color="auto" w:fill="FFFFFF"/>
            <w:noWrap w:val="0"/>
            <w:tcMar>
              <w:top w:w="19" w:type="dxa"/>
              <w:left w:w="19" w:type="dxa"/>
              <w:bottom w:w="68" w:type="dxa"/>
              <w:right w:w="19" w:type="dxa"/>
            </w:tcMar>
            <w:vAlign w:val="center"/>
          </w:tcPr>
          <w:p w14:paraId="60EE6B55">
            <w:pPr>
              <w:spacing w:line="360" w:lineRule="exact"/>
              <w:ind w:firstLine="0" w:firstLineChars="0"/>
              <w:jc w:val="center"/>
              <w:rPr>
                <w:rFonts w:hint="eastAsia" w:eastAsia="宋体" w:cs="宋体"/>
                <w:sz w:val="21"/>
                <w:szCs w:val="21"/>
              </w:rPr>
            </w:pPr>
          </w:p>
        </w:tc>
        <w:tc>
          <w:tcPr>
            <w:tcW w:w="8110" w:type="dxa"/>
            <w:gridSpan w:val="4"/>
            <w:shd w:val="clear" w:color="auto" w:fill="FFFFFF"/>
            <w:noWrap w:val="0"/>
            <w:tcMar>
              <w:top w:w="19" w:type="dxa"/>
              <w:left w:w="19" w:type="dxa"/>
              <w:bottom w:w="68" w:type="dxa"/>
              <w:right w:w="19" w:type="dxa"/>
            </w:tcMar>
            <w:vAlign w:val="center"/>
          </w:tcPr>
          <w:p w14:paraId="29A36137">
            <w:pPr>
              <w:spacing w:line="360" w:lineRule="exact"/>
              <w:ind w:firstLine="0" w:firstLineChars="0"/>
              <w:rPr>
                <w:rFonts w:hint="eastAsia" w:eastAsia="宋体" w:cs="宋体"/>
                <w:sz w:val="21"/>
                <w:szCs w:val="21"/>
              </w:rPr>
            </w:pPr>
            <w:r>
              <w:rPr>
                <w:rFonts w:hint="eastAsia" w:eastAsia="宋体" w:cs="宋体"/>
                <w:sz w:val="21"/>
                <w:szCs w:val="21"/>
              </w:rPr>
              <w:t>盘点手段应支持APP盘点、扫码枪（二维码、条形码）盘点、RFID设备盘点等。</w:t>
            </w:r>
          </w:p>
        </w:tc>
      </w:tr>
      <w:tr w14:paraId="22D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3379B577">
            <w:pPr>
              <w:spacing w:line="360" w:lineRule="exact"/>
              <w:ind w:firstLine="0" w:firstLineChars="0"/>
              <w:jc w:val="center"/>
              <w:rPr>
                <w:rFonts w:hint="eastAsia" w:eastAsia="宋体" w:cs="宋体"/>
                <w:sz w:val="21"/>
                <w:szCs w:val="21"/>
              </w:rPr>
            </w:pPr>
            <w:r>
              <w:rPr>
                <w:rFonts w:hint="eastAsia" w:eastAsia="宋体" w:cs="宋体"/>
                <w:sz w:val="21"/>
                <w:szCs w:val="21"/>
              </w:rPr>
              <w:t>39</w:t>
            </w:r>
          </w:p>
        </w:tc>
        <w:tc>
          <w:tcPr>
            <w:tcW w:w="1355" w:type="dxa"/>
            <w:vMerge w:val="continue"/>
            <w:shd w:val="clear" w:color="auto" w:fill="FFFFFF"/>
            <w:noWrap w:val="0"/>
            <w:tcMar>
              <w:top w:w="19" w:type="dxa"/>
              <w:left w:w="19" w:type="dxa"/>
              <w:bottom w:w="68" w:type="dxa"/>
              <w:right w:w="19" w:type="dxa"/>
            </w:tcMar>
            <w:vAlign w:val="center"/>
          </w:tcPr>
          <w:p w14:paraId="26F37D12">
            <w:pPr>
              <w:spacing w:line="360" w:lineRule="exact"/>
              <w:ind w:firstLine="0" w:firstLineChars="0"/>
              <w:jc w:val="center"/>
              <w:rPr>
                <w:rFonts w:hint="eastAsia" w:eastAsia="宋体" w:cs="宋体"/>
                <w:sz w:val="21"/>
                <w:szCs w:val="21"/>
              </w:rPr>
            </w:pPr>
          </w:p>
        </w:tc>
        <w:tc>
          <w:tcPr>
            <w:tcW w:w="8110" w:type="dxa"/>
            <w:gridSpan w:val="4"/>
            <w:shd w:val="clear" w:color="auto" w:fill="FFFFFF"/>
            <w:noWrap w:val="0"/>
            <w:tcMar>
              <w:top w:w="19" w:type="dxa"/>
              <w:left w:w="19" w:type="dxa"/>
              <w:bottom w:w="68" w:type="dxa"/>
              <w:right w:w="19" w:type="dxa"/>
            </w:tcMar>
            <w:vAlign w:val="center"/>
          </w:tcPr>
          <w:p w14:paraId="73AE679B">
            <w:pPr>
              <w:spacing w:line="360" w:lineRule="exact"/>
              <w:ind w:firstLine="0" w:firstLineChars="0"/>
              <w:rPr>
                <w:rFonts w:hint="eastAsia" w:eastAsia="宋体" w:cs="宋体"/>
                <w:sz w:val="21"/>
                <w:szCs w:val="21"/>
              </w:rPr>
            </w:pPr>
            <w:r>
              <w:rPr>
                <w:rFonts w:hint="eastAsia" w:eastAsia="宋体" w:cs="宋体"/>
                <w:sz w:val="21"/>
                <w:szCs w:val="21"/>
              </w:rPr>
              <w:t>固定资产盘点功能还应当与卫健委资产系统及财政资产系统每年的盘点任务相衔接。</w:t>
            </w:r>
          </w:p>
        </w:tc>
      </w:tr>
      <w:tr w14:paraId="31D2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80F14BB">
            <w:pPr>
              <w:spacing w:line="360" w:lineRule="exact"/>
              <w:ind w:firstLine="0" w:firstLineChars="0"/>
              <w:jc w:val="center"/>
              <w:rPr>
                <w:rFonts w:hint="eastAsia" w:eastAsia="宋体" w:cs="宋体"/>
                <w:sz w:val="21"/>
                <w:szCs w:val="21"/>
              </w:rPr>
            </w:pPr>
            <w:r>
              <w:rPr>
                <w:rFonts w:hint="eastAsia" w:eastAsia="宋体" w:cs="宋体"/>
                <w:sz w:val="21"/>
                <w:szCs w:val="21"/>
              </w:rPr>
              <w:t>40</w:t>
            </w:r>
          </w:p>
        </w:tc>
        <w:tc>
          <w:tcPr>
            <w:tcW w:w="1355" w:type="dxa"/>
            <w:shd w:val="clear" w:color="auto" w:fill="FFFFFF"/>
            <w:noWrap w:val="0"/>
            <w:tcMar>
              <w:top w:w="19" w:type="dxa"/>
              <w:left w:w="19" w:type="dxa"/>
              <w:bottom w:w="68" w:type="dxa"/>
              <w:right w:w="19" w:type="dxa"/>
            </w:tcMar>
            <w:vAlign w:val="center"/>
          </w:tcPr>
          <w:p w14:paraId="4C27344A">
            <w:pPr>
              <w:spacing w:line="360" w:lineRule="exact"/>
              <w:ind w:firstLine="0" w:firstLineChars="0"/>
              <w:jc w:val="center"/>
              <w:rPr>
                <w:rFonts w:hint="eastAsia" w:eastAsia="宋体" w:cs="宋体"/>
                <w:sz w:val="21"/>
                <w:szCs w:val="21"/>
              </w:rPr>
            </w:pPr>
            <w:r>
              <w:rPr>
                <w:rFonts w:hint="eastAsia" w:eastAsia="宋体" w:cs="宋体"/>
                <w:sz w:val="21"/>
                <w:szCs w:val="21"/>
              </w:rPr>
              <w:t>报表中心</w:t>
            </w:r>
          </w:p>
        </w:tc>
        <w:tc>
          <w:tcPr>
            <w:tcW w:w="8110" w:type="dxa"/>
            <w:gridSpan w:val="4"/>
            <w:shd w:val="clear" w:color="auto" w:fill="FFFFFF"/>
            <w:noWrap w:val="0"/>
            <w:tcMar>
              <w:top w:w="19" w:type="dxa"/>
              <w:left w:w="19" w:type="dxa"/>
              <w:bottom w:w="68" w:type="dxa"/>
              <w:right w:w="19" w:type="dxa"/>
            </w:tcMar>
            <w:vAlign w:val="center"/>
          </w:tcPr>
          <w:p w14:paraId="125458DE">
            <w:pPr>
              <w:spacing w:line="360" w:lineRule="exact"/>
              <w:ind w:firstLine="0" w:firstLineChars="0"/>
              <w:rPr>
                <w:rFonts w:hint="eastAsia" w:eastAsia="宋体" w:cs="宋体"/>
                <w:sz w:val="21"/>
                <w:szCs w:val="21"/>
              </w:rPr>
            </w:pPr>
            <w:r>
              <w:rPr>
                <w:rFonts w:hint="eastAsia" w:eastAsia="宋体" w:cs="宋体"/>
                <w:sz w:val="21"/>
                <w:szCs w:val="21"/>
              </w:rPr>
              <w:t>系统应以资产动态数据库为基础，分别建立固定资产与物资的报表及数据查询中心，实时地查询和分析资产使用及增减变动情况，生成各类报表。支持个性化设置查询条件及定制报表类型、模板。报表应包括表格形式与图表形式。</w:t>
            </w:r>
          </w:p>
        </w:tc>
      </w:tr>
      <w:tr w14:paraId="5EB3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25A66265">
            <w:pPr>
              <w:spacing w:line="360" w:lineRule="exact"/>
              <w:ind w:firstLine="0" w:firstLineChars="0"/>
              <w:jc w:val="center"/>
              <w:rPr>
                <w:rFonts w:hint="eastAsia" w:eastAsia="宋体" w:cs="宋体"/>
                <w:sz w:val="21"/>
                <w:szCs w:val="21"/>
              </w:rPr>
            </w:pPr>
            <w:r>
              <w:rPr>
                <w:rFonts w:hint="eastAsia" w:eastAsia="宋体" w:cs="宋体"/>
                <w:sz w:val="21"/>
                <w:szCs w:val="21"/>
              </w:rPr>
              <w:t>41</w:t>
            </w:r>
          </w:p>
        </w:tc>
        <w:tc>
          <w:tcPr>
            <w:tcW w:w="1355" w:type="dxa"/>
            <w:shd w:val="clear" w:color="auto" w:fill="FFFFFF"/>
            <w:noWrap w:val="0"/>
            <w:tcMar>
              <w:top w:w="19" w:type="dxa"/>
              <w:left w:w="19" w:type="dxa"/>
              <w:bottom w:w="68" w:type="dxa"/>
              <w:right w:w="19" w:type="dxa"/>
            </w:tcMar>
            <w:vAlign w:val="center"/>
          </w:tcPr>
          <w:p w14:paraId="71A58FC9">
            <w:pPr>
              <w:spacing w:line="360" w:lineRule="exact"/>
              <w:ind w:firstLine="0" w:firstLineChars="0"/>
              <w:jc w:val="center"/>
              <w:rPr>
                <w:rFonts w:hint="eastAsia" w:eastAsia="宋体" w:cs="宋体"/>
                <w:sz w:val="21"/>
                <w:szCs w:val="21"/>
              </w:rPr>
            </w:pPr>
            <w:r>
              <w:rPr>
                <w:rFonts w:hint="eastAsia" w:eastAsia="宋体" w:cs="宋体"/>
                <w:sz w:val="21"/>
                <w:szCs w:val="21"/>
              </w:rPr>
              <w:t>一体化应用</w:t>
            </w:r>
          </w:p>
        </w:tc>
        <w:tc>
          <w:tcPr>
            <w:tcW w:w="8110" w:type="dxa"/>
            <w:gridSpan w:val="4"/>
            <w:shd w:val="clear" w:color="auto" w:fill="FFFFFF"/>
            <w:noWrap w:val="0"/>
            <w:tcMar>
              <w:top w:w="19" w:type="dxa"/>
              <w:left w:w="19" w:type="dxa"/>
              <w:bottom w:w="68" w:type="dxa"/>
              <w:right w:w="19" w:type="dxa"/>
            </w:tcMar>
            <w:vAlign w:val="center"/>
          </w:tcPr>
          <w:p w14:paraId="6112ECF2">
            <w:pPr>
              <w:spacing w:line="360" w:lineRule="exact"/>
              <w:ind w:firstLine="0" w:firstLineChars="0"/>
              <w:rPr>
                <w:rFonts w:hint="eastAsia" w:eastAsia="宋体" w:cs="宋体"/>
                <w:sz w:val="21"/>
                <w:szCs w:val="21"/>
              </w:rPr>
            </w:pPr>
            <w:r>
              <w:rPr>
                <w:rFonts w:hint="eastAsia" w:eastAsia="宋体" w:cs="宋体"/>
                <w:sz w:val="21"/>
                <w:szCs w:val="21"/>
              </w:rPr>
              <w:t>系统应实现PC端与移动端应用一体化、同步化，支持与医院OA或钉钉集成，实现单点登录。移动端应至少实现查询通知公告、发起业务办理申请、查询业务处理进展及办理结果、业务审批、上传附件、查询名下资产、移动盘点等功能。</w:t>
            </w:r>
          </w:p>
        </w:tc>
      </w:tr>
      <w:tr w14:paraId="1608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497" w:type="dxa"/>
            <w:shd w:val="clear" w:color="auto" w:fill="FFFFFF"/>
            <w:noWrap w:val="0"/>
            <w:tcMar>
              <w:top w:w="19" w:type="dxa"/>
              <w:left w:w="19" w:type="dxa"/>
              <w:bottom w:w="68" w:type="dxa"/>
              <w:right w:w="19" w:type="dxa"/>
            </w:tcMar>
            <w:vAlign w:val="center"/>
          </w:tcPr>
          <w:p w14:paraId="5280433A">
            <w:pPr>
              <w:spacing w:line="360" w:lineRule="exact"/>
              <w:ind w:firstLine="0" w:firstLineChars="0"/>
              <w:jc w:val="center"/>
              <w:rPr>
                <w:rFonts w:hint="eastAsia" w:eastAsia="宋体" w:cs="宋体"/>
                <w:sz w:val="21"/>
                <w:szCs w:val="21"/>
              </w:rPr>
            </w:pPr>
            <w:r>
              <w:rPr>
                <w:rFonts w:hint="eastAsia" w:eastAsia="宋体" w:cs="宋体"/>
                <w:sz w:val="21"/>
                <w:szCs w:val="21"/>
              </w:rPr>
              <w:t>42</w:t>
            </w:r>
          </w:p>
        </w:tc>
        <w:tc>
          <w:tcPr>
            <w:tcW w:w="1355" w:type="dxa"/>
            <w:shd w:val="clear" w:color="auto" w:fill="FFFFFF"/>
            <w:noWrap w:val="0"/>
            <w:tcMar>
              <w:top w:w="19" w:type="dxa"/>
              <w:left w:w="19" w:type="dxa"/>
              <w:bottom w:w="68" w:type="dxa"/>
              <w:right w:w="19" w:type="dxa"/>
            </w:tcMar>
            <w:vAlign w:val="center"/>
          </w:tcPr>
          <w:p w14:paraId="7EA9F7A7">
            <w:pPr>
              <w:spacing w:line="360" w:lineRule="exact"/>
              <w:ind w:firstLine="0" w:firstLineChars="0"/>
              <w:rPr>
                <w:rFonts w:hint="eastAsia" w:eastAsia="宋体" w:cs="宋体"/>
                <w:sz w:val="21"/>
                <w:szCs w:val="21"/>
              </w:rPr>
            </w:pPr>
            <w:r>
              <w:rPr>
                <w:rFonts w:hint="eastAsia" w:eastAsia="宋体" w:cs="宋体"/>
                <w:sz w:val="21"/>
                <w:szCs w:val="21"/>
              </w:rPr>
              <w:t>第三方接口</w:t>
            </w:r>
          </w:p>
        </w:tc>
        <w:tc>
          <w:tcPr>
            <w:tcW w:w="8110" w:type="dxa"/>
            <w:gridSpan w:val="4"/>
            <w:shd w:val="clear" w:color="auto" w:fill="FFFFFF"/>
            <w:noWrap w:val="0"/>
            <w:tcMar>
              <w:top w:w="19" w:type="dxa"/>
              <w:left w:w="19" w:type="dxa"/>
              <w:bottom w:w="68" w:type="dxa"/>
              <w:right w:w="19" w:type="dxa"/>
            </w:tcMar>
            <w:vAlign w:val="center"/>
          </w:tcPr>
          <w:p w14:paraId="378168E3">
            <w:pPr>
              <w:spacing w:line="360" w:lineRule="exact"/>
              <w:ind w:firstLine="0" w:firstLineChars="0"/>
              <w:rPr>
                <w:rFonts w:hint="eastAsia" w:eastAsia="宋体" w:cs="宋体"/>
                <w:sz w:val="21"/>
                <w:szCs w:val="21"/>
              </w:rPr>
            </w:pPr>
            <w:r>
              <w:rPr>
                <w:rFonts w:hint="eastAsia" w:eastAsia="宋体" w:cs="宋体"/>
                <w:sz w:val="21"/>
                <w:szCs w:val="21"/>
              </w:rPr>
              <w:t>1、系统必须支持与陕西省财政资产系统的无缝衔接，实现固定资产信息数据的双向交互。</w:t>
            </w:r>
          </w:p>
          <w:p w14:paraId="753A9E76">
            <w:pPr>
              <w:spacing w:line="360" w:lineRule="exact"/>
              <w:ind w:firstLine="0" w:firstLineChars="0"/>
              <w:rPr>
                <w:rFonts w:hint="eastAsia" w:eastAsia="宋体" w:cs="宋体"/>
                <w:sz w:val="21"/>
                <w:szCs w:val="21"/>
              </w:rPr>
            </w:pPr>
            <w:r>
              <w:rPr>
                <w:rFonts w:hint="eastAsia" w:eastAsia="宋体" w:cs="宋体"/>
                <w:sz w:val="21"/>
                <w:szCs w:val="21"/>
              </w:rPr>
              <w:t>2、根据医院实际需要，系统应与医院现有的会计核算、预算管理、合同管理、成本管理、人力资源管理、物资、设备、绩效等业务系统对接，实现数据双向交互。</w:t>
            </w:r>
          </w:p>
        </w:tc>
      </w:tr>
    </w:tbl>
    <w:p w14:paraId="70A92635">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4.2资产信息数据治理服务要求：</w:t>
      </w:r>
    </w:p>
    <w:p w14:paraId="71BF6DE1">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对医院截至清查基准日的所有固定资产进行清查盘点、粘贴标签，并出具经第三方会计师事务所审计的资产清查报告。</w:t>
      </w:r>
    </w:p>
    <w:tbl>
      <w:tblPr>
        <w:tblStyle w:val="44"/>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9"/>
        <w:gridCol w:w="1365"/>
        <w:gridCol w:w="1475"/>
        <w:gridCol w:w="6966"/>
      </w:tblGrid>
      <w:tr w14:paraId="05BC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499" w:type="dxa"/>
            <w:noWrap w:val="0"/>
            <w:tcMar>
              <w:top w:w="19" w:type="dxa"/>
              <w:left w:w="19" w:type="dxa"/>
              <w:bottom w:w="68" w:type="dxa"/>
              <w:right w:w="19" w:type="dxa"/>
            </w:tcMar>
            <w:vAlign w:val="center"/>
          </w:tcPr>
          <w:p w14:paraId="3BC4F40A">
            <w:pPr>
              <w:ind w:firstLine="0" w:firstLineChars="0"/>
              <w:jc w:val="center"/>
              <w:rPr>
                <w:rFonts w:hint="eastAsia" w:eastAsia="宋体" w:cs="宋体"/>
                <w:b/>
                <w:bCs/>
                <w:sz w:val="21"/>
                <w:szCs w:val="21"/>
              </w:rPr>
            </w:pPr>
            <w:r>
              <w:rPr>
                <w:rFonts w:hint="eastAsia" w:eastAsia="宋体" w:cs="宋体"/>
                <w:b/>
                <w:bCs/>
                <w:sz w:val="21"/>
                <w:szCs w:val="21"/>
              </w:rPr>
              <w:t>序号</w:t>
            </w:r>
          </w:p>
        </w:tc>
        <w:tc>
          <w:tcPr>
            <w:tcW w:w="1365" w:type="dxa"/>
            <w:noWrap w:val="0"/>
            <w:tcMar>
              <w:top w:w="19" w:type="dxa"/>
              <w:left w:w="19" w:type="dxa"/>
              <w:bottom w:w="68" w:type="dxa"/>
              <w:right w:w="19" w:type="dxa"/>
            </w:tcMar>
            <w:vAlign w:val="center"/>
          </w:tcPr>
          <w:p w14:paraId="2AECD386">
            <w:pPr>
              <w:ind w:firstLine="422"/>
              <w:rPr>
                <w:rFonts w:hint="eastAsia" w:eastAsia="宋体" w:cs="宋体"/>
                <w:b/>
                <w:bCs/>
                <w:sz w:val="21"/>
                <w:szCs w:val="21"/>
              </w:rPr>
            </w:pPr>
            <w:r>
              <w:rPr>
                <w:rFonts w:hint="eastAsia" w:eastAsia="宋体" w:cs="宋体"/>
                <w:b/>
                <w:bCs/>
                <w:sz w:val="21"/>
                <w:szCs w:val="21"/>
              </w:rPr>
              <w:t>模块</w:t>
            </w:r>
          </w:p>
        </w:tc>
        <w:tc>
          <w:tcPr>
            <w:tcW w:w="1475" w:type="dxa"/>
            <w:noWrap w:val="0"/>
            <w:vAlign w:val="top"/>
          </w:tcPr>
          <w:p w14:paraId="13DFA7FA">
            <w:pPr>
              <w:ind w:firstLine="422"/>
              <w:rPr>
                <w:rFonts w:hint="eastAsia" w:eastAsia="宋体" w:cs="宋体"/>
                <w:b/>
                <w:bCs/>
                <w:sz w:val="21"/>
                <w:szCs w:val="21"/>
              </w:rPr>
            </w:pPr>
            <w:r>
              <w:rPr>
                <w:rFonts w:hint="eastAsia" w:eastAsia="宋体" w:cs="宋体"/>
                <w:b/>
                <w:bCs/>
                <w:sz w:val="21"/>
                <w:szCs w:val="21"/>
              </w:rPr>
              <w:t>子模块</w:t>
            </w:r>
          </w:p>
        </w:tc>
        <w:tc>
          <w:tcPr>
            <w:tcW w:w="6966" w:type="dxa"/>
            <w:noWrap w:val="0"/>
            <w:tcMar>
              <w:top w:w="19" w:type="dxa"/>
              <w:left w:w="19" w:type="dxa"/>
              <w:bottom w:w="68" w:type="dxa"/>
              <w:right w:w="19" w:type="dxa"/>
            </w:tcMar>
            <w:vAlign w:val="center"/>
          </w:tcPr>
          <w:p w14:paraId="0346955E">
            <w:pPr>
              <w:ind w:firstLine="422"/>
              <w:jc w:val="center"/>
              <w:rPr>
                <w:rFonts w:hint="eastAsia" w:eastAsia="宋体" w:cs="宋体"/>
                <w:b/>
                <w:bCs/>
                <w:sz w:val="21"/>
                <w:szCs w:val="21"/>
              </w:rPr>
            </w:pPr>
            <w:r>
              <w:rPr>
                <w:rFonts w:hint="eastAsia" w:eastAsia="宋体" w:cs="宋体"/>
                <w:b/>
                <w:bCs/>
                <w:sz w:val="21"/>
                <w:szCs w:val="21"/>
              </w:rPr>
              <w:t>功能描述</w:t>
            </w:r>
          </w:p>
        </w:tc>
      </w:tr>
      <w:tr w14:paraId="7F91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38923FF6">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1</w:t>
            </w:r>
          </w:p>
        </w:tc>
        <w:tc>
          <w:tcPr>
            <w:tcW w:w="1365" w:type="dxa"/>
            <w:vMerge w:val="restart"/>
            <w:shd w:val="clear" w:color="auto" w:fill="FFFFFF"/>
            <w:noWrap w:val="0"/>
            <w:tcMar>
              <w:top w:w="19" w:type="dxa"/>
              <w:left w:w="19" w:type="dxa"/>
              <w:bottom w:w="68" w:type="dxa"/>
              <w:right w:w="19" w:type="dxa"/>
            </w:tcMar>
            <w:vAlign w:val="center"/>
          </w:tcPr>
          <w:p w14:paraId="138EBAC8">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资产清查与盘点</w:t>
            </w:r>
          </w:p>
        </w:tc>
        <w:tc>
          <w:tcPr>
            <w:tcW w:w="1475" w:type="dxa"/>
            <w:shd w:val="clear" w:color="auto" w:fill="FFFFFF"/>
            <w:noWrap w:val="0"/>
            <w:vAlign w:val="center"/>
          </w:tcPr>
          <w:p w14:paraId="082AEA67">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盘点方案制定</w:t>
            </w:r>
          </w:p>
        </w:tc>
        <w:tc>
          <w:tcPr>
            <w:tcW w:w="6966" w:type="dxa"/>
            <w:shd w:val="clear" w:color="auto" w:fill="FFFFFF"/>
            <w:noWrap w:val="0"/>
            <w:tcMar>
              <w:top w:w="19" w:type="dxa"/>
              <w:left w:w="19" w:type="dxa"/>
              <w:bottom w:w="68" w:type="dxa"/>
              <w:right w:w="19" w:type="dxa"/>
            </w:tcMar>
            <w:vAlign w:val="center"/>
          </w:tcPr>
          <w:p w14:paraId="313DC5F7">
            <w:pPr>
              <w:widowControl/>
              <w:spacing w:line="360" w:lineRule="exact"/>
              <w:ind w:firstLine="0" w:firstLineChars="0"/>
              <w:jc w:val="left"/>
              <w:rPr>
                <w:rFonts w:hint="eastAsia" w:eastAsia="宋体" w:cs="宋体"/>
                <w:kern w:val="0"/>
                <w:sz w:val="21"/>
                <w:szCs w:val="21"/>
                <w:lang w:bidi="ar"/>
              </w:rPr>
            </w:pPr>
            <w:r>
              <w:rPr>
                <w:rFonts w:hint="eastAsia" w:eastAsia="宋体" w:cs="宋体"/>
                <w:kern w:val="0"/>
                <w:sz w:val="21"/>
                <w:szCs w:val="21"/>
                <w:lang w:bidi="ar"/>
              </w:rPr>
              <w:t>按照医院需求制定资产盘点方案，明确工作目标、盘点范围、盘点方式、时间计划、盘点分工、盘点核实信息、表单样式等。</w:t>
            </w:r>
          </w:p>
        </w:tc>
      </w:tr>
      <w:tr w14:paraId="5F33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57D8D900">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2</w:t>
            </w:r>
          </w:p>
        </w:tc>
        <w:tc>
          <w:tcPr>
            <w:tcW w:w="1365" w:type="dxa"/>
            <w:vMerge w:val="continue"/>
            <w:shd w:val="clear" w:color="auto" w:fill="FFFFFF"/>
            <w:noWrap w:val="0"/>
            <w:tcMar>
              <w:top w:w="19" w:type="dxa"/>
              <w:left w:w="19" w:type="dxa"/>
              <w:bottom w:w="68" w:type="dxa"/>
              <w:right w:w="19" w:type="dxa"/>
            </w:tcMar>
            <w:vAlign w:val="center"/>
          </w:tcPr>
          <w:p w14:paraId="440D57ED">
            <w:pPr>
              <w:widowControl/>
              <w:spacing w:line="360" w:lineRule="exact"/>
              <w:ind w:firstLine="0" w:firstLineChars="0"/>
              <w:jc w:val="center"/>
              <w:rPr>
                <w:rFonts w:hint="eastAsia" w:eastAsia="宋体" w:cs="宋体"/>
                <w:kern w:val="0"/>
                <w:sz w:val="21"/>
                <w:szCs w:val="21"/>
                <w:lang w:bidi="ar"/>
              </w:rPr>
            </w:pPr>
          </w:p>
        </w:tc>
        <w:tc>
          <w:tcPr>
            <w:tcW w:w="1475" w:type="dxa"/>
            <w:shd w:val="clear" w:color="auto" w:fill="FFFFFF"/>
            <w:noWrap w:val="0"/>
            <w:vAlign w:val="center"/>
          </w:tcPr>
          <w:p w14:paraId="789C7867">
            <w:pPr>
              <w:widowControl/>
              <w:spacing w:line="360" w:lineRule="exact"/>
              <w:ind w:firstLine="0" w:firstLineChars="0"/>
              <w:jc w:val="center"/>
              <w:rPr>
                <w:rFonts w:hint="eastAsia" w:eastAsia="宋体" w:cs="宋体"/>
                <w:sz w:val="21"/>
                <w:szCs w:val="21"/>
              </w:rPr>
            </w:pPr>
            <w:r>
              <w:rPr>
                <w:rFonts w:hint="eastAsia" w:eastAsia="宋体" w:cs="宋体"/>
                <w:kern w:val="0"/>
                <w:sz w:val="21"/>
                <w:szCs w:val="21"/>
                <w:lang w:bidi="ar"/>
              </w:rPr>
              <w:t>资产账务核实</w:t>
            </w:r>
          </w:p>
        </w:tc>
        <w:tc>
          <w:tcPr>
            <w:tcW w:w="6966" w:type="dxa"/>
            <w:shd w:val="clear" w:color="auto" w:fill="FFFFFF"/>
            <w:noWrap w:val="0"/>
            <w:tcMar>
              <w:top w:w="19" w:type="dxa"/>
              <w:left w:w="19" w:type="dxa"/>
              <w:bottom w:w="68" w:type="dxa"/>
              <w:right w:w="19" w:type="dxa"/>
            </w:tcMar>
            <w:vAlign w:val="center"/>
          </w:tcPr>
          <w:p w14:paraId="5267C0DE">
            <w:pPr>
              <w:widowControl/>
              <w:spacing w:line="360" w:lineRule="exact"/>
              <w:ind w:firstLine="0" w:firstLineChars="0"/>
              <w:jc w:val="left"/>
              <w:rPr>
                <w:rFonts w:hint="eastAsia" w:eastAsia="宋体" w:cs="宋体"/>
                <w:sz w:val="21"/>
                <w:szCs w:val="21"/>
              </w:rPr>
            </w:pPr>
            <w:r>
              <w:rPr>
                <w:rFonts w:hint="eastAsia" w:eastAsia="宋体" w:cs="宋体"/>
                <w:sz w:val="21"/>
                <w:szCs w:val="21"/>
              </w:rPr>
              <w:t>核对截至清查基准日涉及到的所有固定资产、无形资产相关凭证、发票、明细清单等，确保财务账与资产账相符。确定资产盘点明细账。</w:t>
            </w:r>
          </w:p>
        </w:tc>
      </w:tr>
      <w:tr w14:paraId="61B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5366A72A">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3</w:t>
            </w:r>
          </w:p>
        </w:tc>
        <w:tc>
          <w:tcPr>
            <w:tcW w:w="1365" w:type="dxa"/>
            <w:vMerge w:val="continue"/>
            <w:shd w:val="clear" w:color="auto" w:fill="FFFFFF"/>
            <w:noWrap w:val="0"/>
            <w:tcMar>
              <w:top w:w="19" w:type="dxa"/>
              <w:left w:w="19" w:type="dxa"/>
              <w:bottom w:w="68" w:type="dxa"/>
              <w:right w:w="19" w:type="dxa"/>
            </w:tcMar>
            <w:vAlign w:val="center"/>
          </w:tcPr>
          <w:p w14:paraId="39511D15">
            <w:pPr>
              <w:widowControl/>
              <w:spacing w:line="360" w:lineRule="exact"/>
              <w:ind w:firstLine="0" w:firstLineChars="0"/>
              <w:jc w:val="center"/>
              <w:rPr>
                <w:rFonts w:hint="eastAsia" w:eastAsia="宋体" w:cs="宋体"/>
                <w:kern w:val="0"/>
                <w:sz w:val="21"/>
                <w:szCs w:val="21"/>
                <w:lang w:bidi="ar"/>
              </w:rPr>
            </w:pPr>
          </w:p>
        </w:tc>
        <w:tc>
          <w:tcPr>
            <w:tcW w:w="1475" w:type="dxa"/>
            <w:vMerge w:val="restart"/>
            <w:shd w:val="clear" w:color="auto" w:fill="FFFFFF"/>
            <w:noWrap w:val="0"/>
            <w:vAlign w:val="center"/>
          </w:tcPr>
          <w:p w14:paraId="042FEF8E">
            <w:pPr>
              <w:widowControl/>
              <w:spacing w:line="360" w:lineRule="exact"/>
              <w:ind w:firstLine="0" w:firstLineChars="0"/>
              <w:jc w:val="center"/>
              <w:rPr>
                <w:rFonts w:hint="eastAsia" w:eastAsia="宋体" w:cs="宋体"/>
                <w:sz w:val="21"/>
                <w:szCs w:val="21"/>
              </w:rPr>
            </w:pPr>
            <w:r>
              <w:rPr>
                <w:rFonts w:hint="eastAsia" w:eastAsia="宋体" w:cs="宋体"/>
                <w:kern w:val="0"/>
                <w:sz w:val="21"/>
                <w:szCs w:val="21"/>
                <w:lang w:bidi="ar"/>
              </w:rPr>
              <w:t>实物盘点与粘贴标签</w:t>
            </w:r>
          </w:p>
        </w:tc>
        <w:tc>
          <w:tcPr>
            <w:tcW w:w="6966" w:type="dxa"/>
            <w:shd w:val="clear" w:color="auto" w:fill="FFFFFF"/>
            <w:noWrap w:val="0"/>
            <w:tcMar>
              <w:top w:w="19" w:type="dxa"/>
              <w:left w:w="19" w:type="dxa"/>
              <w:bottom w:w="68" w:type="dxa"/>
              <w:right w:w="19" w:type="dxa"/>
            </w:tcMar>
            <w:vAlign w:val="center"/>
          </w:tcPr>
          <w:p w14:paraId="0F779D13">
            <w:pPr>
              <w:widowControl/>
              <w:spacing w:line="360" w:lineRule="exact"/>
              <w:ind w:firstLine="0" w:firstLineChars="0"/>
              <w:jc w:val="left"/>
              <w:rPr>
                <w:rFonts w:hint="eastAsia" w:eastAsia="宋体" w:cs="宋体"/>
                <w:sz w:val="21"/>
                <w:szCs w:val="21"/>
              </w:rPr>
            </w:pPr>
            <w:r>
              <w:rPr>
                <w:rFonts w:hint="eastAsia" w:eastAsia="宋体" w:cs="宋体"/>
                <w:sz w:val="21"/>
                <w:szCs w:val="21"/>
              </w:rPr>
              <w:t>对所有资产进行实地盘点，记录盘盈盘亏结果及问题，并核查使用部门、使用人、存放地点等实物信息的真实性。</w:t>
            </w:r>
          </w:p>
        </w:tc>
      </w:tr>
      <w:tr w14:paraId="575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2E11D00F">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4</w:t>
            </w:r>
          </w:p>
        </w:tc>
        <w:tc>
          <w:tcPr>
            <w:tcW w:w="1365" w:type="dxa"/>
            <w:vMerge w:val="continue"/>
            <w:shd w:val="clear" w:color="auto" w:fill="FFFFFF"/>
            <w:noWrap w:val="0"/>
            <w:tcMar>
              <w:top w:w="19" w:type="dxa"/>
              <w:left w:w="19" w:type="dxa"/>
              <w:bottom w:w="68" w:type="dxa"/>
              <w:right w:w="19" w:type="dxa"/>
            </w:tcMar>
            <w:vAlign w:val="center"/>
          </w:tcPr>
          <w:p w14:paraId="2C97C3FA">
            <w:pPr>
              <w:widowControl/>
              <w:spacing w:line="360" w:lineRule="exact"/>
              <w:ind w:firstLine="0" w:firstLineChars="0"/>
              <w:jc w:val="center"/>
              <w:rPr>
                <w:rFonts w:hint="eastAsia" w:eastAsia="宋体" w:cs="宋体"/>
                <w:kern w:val="0"/>
                <w:sz w:val="21"/>
                <w:szCs w:val="21"/>
                <w:lang w:bidi="ar"/>
              </w:rPr>
            </w:pPr>
          </w:p>
        </w:tc>
        <w:tc>
          <w:tcPr>
            <w:tcW w:w="1475" w:type="dxa"/>
            <w:vMerge w:val="continue"/>
            <w:shd w:val="clear" w:color="auto" w:fill="FFFFFF"/>
            <w:noWrap w:val="0"/>
            <w:vAlign w:val="center"/>
          </w:tcPr>
          <w:p w14:paraId="13E37DFB">
            <w:pPr>
              <w:widowControl/>
              <w:spacing w:line="360" w:lineRule="exact"/>
              <w:ind w:firstLine="0" w:firstLineChars="0"/>
              <w:jc w:val="left"/>
              <w:rPr>
                <w:rFonts w:hint="eastAsia" w:eastAsia="宋体" w:cs="宋体"/>
                <w:sz w:val="21"/>
                <w:szCs w:val="21"/>
              </w:rPr>
            </w:pPr>
          </w:p>
        </w:tc>
        <w:tc>
          <w:tcPr>
            <w:tcW w:w="6966" w:type="dxa"/>
            <w:shd w:val="clear" w:color="auto" w:fill="FFFFFF"/>
            <w:noWrap w:val="0"/>
            <w:tcMar>
              <w:top w:w="19" w:type="dxa"/>
              <w:left w:w="19" w:type="dxa"/>
              <w:bottom w:w="68" w:type="dxa"/>
              <w:right w:w="19" w:type="dxa"/>
            </w:tcMar>
            <w:vAlign w:val="center"/>
          </w:tcPr>
          <w:p w14:paraId="6475A0CC">
            <w:pPr>
              <w:widowControl/>
              <w:spacing w:line="360" w:lineRule="exact"/>
              <w:ind w:firstLine="0" w:firstLineChars="0"/>
              <w:jc w:val="left"/>
              <w:rPr>
                <w:rFonts w:hint="eastAsia" w:eastAsia="宋体" w:cs="宋体"/>
                <w:sz w:val="21"/>
                <w:szCs w:val="21"/>
              </w:rPr>
            </w:pPr>
            <w:r>
              <w:rPr>
                <w:rFonts w:hint="eastAsia" w:eastAsia="宋体" w:cs="宋体"/>
                <w:sz w:val="21"/>
                <w:szCs w:val="21"/>
              </w:rPr>
              <w:t>打印固定资产标签并进行粘贴。</w:t>
            </w:r>
          </w:p>
        </w:tc>
      </w:tr>
      <w:tr w14:paraId="2700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247AD9A5">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5</w:t>
            </w:r>
          </w:p>
        </w:tc>
        <w:tc>
          <w:tcPr>
            <w:tcW w:w="1365" w:type="dxa"/>
            <w:vMerge w:val="continue"/>
            <w:shd w:val="clear" w:color="auto" w:fill="FFFFFF"/>
            <w:noWrap w:val="0"/>
            <w:tcMar>
              <w:top w:w="19" w:type="dxa"/>
              <w:left w:w="19" w:type="dxa"/>
              <w:bottom w:w="68" w:type="dxa"/>
              <w:right w:w="19" w:type="dxa"/>
            </w:tcMar>
            <w:vAlign w:val="center"/>
          </w:tcPr>
          <w:p w14:paraId="5B0D0FE3">
            <w:pPr>
              <w:widowControl/>
              <w:spacing w:line="360" w:lineRule="exact"/>
              <w:ind w:firstLine="0" w:firstLineChars="0"/>
              <w:jc w:val="center"/>
              <w:rPr>
                <w:rFonts w:hint="eastAsia" w:eastAsia="宋体" w:cs="宋体"/>
                <w:kern w:val="0"/>
                <w:sz w:val="21"/>
                <w:szCs w:val="21"/>
                <w:lang w:bidi="ar"/>
              </w:rPr>
            </w:pPr>
          </w:p>
        </w:tc>
        <w:tc>
          <w:tcPr>
            <w:tcW w:w="1475" w:type="dxa"/>
            <w:vMerge w:val="continue"/>
            <w:shd w:val="clear" w:color="auto" w:fill="FFFFFF"/>
            <w:noWrap w:val="0"/>
            <w:vAlign w:val="center"/>
          </w:tcPr>
          <w:p w14:paraId="48A77623">
            <w:pPr>
              <w:widowControl/>
              <w:spacing w:line="360" w:lineRule="exact"/>
              <w:ind w:firstLine="0" w:firstLineChars="0"/>
              <w:jc w:val="left"/>
              <w:rPr>
                <w:rFonts w:hint="eastAsia" w:eastAsia="宋体" w:cs="宋体"/>
                <w:sz w:val="21"/>
                <w:szCs w:val="21"/>
              </w:rPr>
            </w:pPr>
          </w:p>
        </w:tc>
        <w:tc>
          <w:tcPr>
            <w:tcW w:w="6966" w:type="dxa"/>
            <w:shd w:val="clear" w:color="auto" w:fill="FFFFFF"/>
            <w:noWrap w:val="0"/>
            <w:tcMar>
              <w:top w:w="19" w:type="dxa"/>
              <w:left w:w="19" w:type="dxa"/>
              <w:bottom w:w="68" w:type="dxa"/>
              <w:right w:w="19" w:type="dxa"/>
            </w:tcMar>
            <w:vAlign w:val="center"/>
          </w:tcPr>
          <w:p w14:paraId="03561188">
            <w:pPr>
              <w:widowControl/>
              <w:spacing w:line="360" w:lineRule="exact"/>
              <w:ind w:firstLine="0" w:firstLineChars="0"/>
              <w:jc w:val="left"/>
              <w:rPr>
                <w:rFonts w:hint="eastAsia" w:eastAsia="宋体" w:cs="宋体"/>
                <w:sz w:val="21"/>
                <w:szCs w:val="21"/>
              </w:rPr>
            </w:pPr>
            <w:r>
              <w:rPr>
                <w:rFonts w:hint="eastAsia" w:eastAsia="宋体" w:cs="宋体"/>
                <w:sz w:val="21"/>
                <w:szCs w:val="21"/>
              </w:rPr>
              <w:t>将盘点单按部门或人员拆分并打印成册，由各部门负责人或使用人签字确认，对于有问题账目予以书面说明。</w:t>
            </w:r>
          </w:p>
        </w:tc>
      </w:tr>
      <w:tr w14:paraId="094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565DBB60">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6</w:t>
            </w:r>
          </w:p>
        </w:tc>
        <w:tc>
          <w:tcPr>
            <w:tcW w:w="1365" w:type="dxa"/>
            <w:shd w:val="clear" w:color="auto" w:fill="FFFFFF"/>
            <w:noWrap w:val="0"/>
            <w:tcMar>
              <w:top w:w="19" w:type="dxa"/>
              <w:left w:w="19" w:type="dxa"/>
              <w:bottom w:w="68" w:type="dxa"/>
              <w:right w:w="19" w:type="dxa"/>
            </w:tcMar>
            <w:vAlign w:val="center"/>
          </w:tcPr>
          <w:p w14:paraId="5D25EC1F">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编制资产清查审计报告</w:t>
            </w:r>
          </w:p>
        </w:tc>
        <w:tc>
          <w:tcPr>
            <w:tcW w:w="1475" w:type="dxa"/>
            <w:shd w:val="clear" w:color="auto" w:fill="FFFFFF"/>
            <w:noWrap w:val="0"/>
            <w:vAlign w:val="center"/>
          </w:tcPr>
          <w:p w14:paraId="74F6EAFA">
            <w:pPr>
              <w:widowControl/>
              <w:spacing w:line="360" w:lineRule="exact"/>
              <w:ind w:firstLine="0" w:firstLineChars="0"/>
              <w:jc w:val="center"/>
              <w:rPr>
                <w:rFonts w:hint="eastAsia" w:eastAsia="宋体" w:cs="宋体"/>
                <w:sz w:val="21"/>
                <w:szCs w:val="21"/>
              </w:rPr>
            </w:pPr>
            <w:r>
              <w:rPr>
                <w:rFonts w:hint="eastAsia" w:eastAsia="宋体" w:cs="宋体"/>
                <w:sz w:val="21"/>
                <w:szCs w:val="21"/>
              </w:rPr>
              <w:t>-</w:t>
            </w:r>
          </w:p>
        </w:tc>
        <w:tc>
          <w:tcPr>
            <w:tcW w:w="6966" w:type="dxa"/>
            <w:shd w:val="clear" w:color="auto" w:fill="FFFFFF"/>
            <w:noWrap w:val="0"/>
            <w:tcMar>
              <w:top w:w="19" w:type="dxa"/>
              <w:left w:w="19" w:type="dxa"/>
              <w:bottom w:w="68" w:type="dxa"/>
              <w:right w:w="19" w:type="dxa"/>
            </w:tcMar>
            <w:vAlign w:val="center"/>
          </w:tcPr>
          <w:p w14:paraId="0490A10F">
            <w:pPr>
              <w:widowControl/>
              <w:spacing w:line="360" w:lineRule="exact"/>
              <w:ind w:firstLine="0" w:firstLineChars="0"/>
              <w:jc w:val="left"/>
              <w:rPr>
                <w:rFonts w:hint="eastAsia" w:eastAsia="宋体" w:cs="宋体"/>
                <w:sz w:val="21"/>
                <w:szCs w:val="21"/>
              </w:rPr>
            </w:pPr>
            <w:r>
              <w:rPr>
                <w:rFonts w:hint="eastAsia" w:eastAsia="宋体" w:cs="宋体"/>
                <w:sz w:val="21"/>
                <w:szCs w:val="21"/>
              </w:rPr>
              <w:t>对盘点工作的过程组织、盘点结果等内容进行全面总结；聘请第三方会计师事务所根据医院盘点结果编制审计报告。</w:t>
            </w:r>
          </w:p>
        </w:tc>
      </w:tr>
      <w:tr w14:paraId="1213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6DE1CCFB">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7</w:t>
            </w:r>
          </w:p>
        </w:tc>
        <w:tc>
          <w:tcPr>
            <w:tcW w:w="1365" w:type="dxa"/>
            <w:shd w:val="clear" w:color="auto" w:fill="FFFFFF"/>
            <w:noWrap w:val="0"/>
            <w:tcMar>
              <w:top w:w="19" w:type="dxa"/>
              <w:left w:w="19" w:type="dxa"/>
              <w:bottom w:w="68" w:type="dxa"/>
              <w:right w:w="19" w:type="dxa"/>
            </w:tcMar>
            <w:vAlign w:val="center"/>
          </w:tcPr>
          <w:p w14:paraId="01479047">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信息录入</w:t>
            </w:r>
          </w:p>
        </w:tc>
        <w:tc>
          <w:tcPr>
            <w:tcW w:w="1475" w:type="dxa"/>
            <w:shd w:val="clear" w:color="auto" w:fill="FFFFFF"/>
            <w:noWrap w:val="0"/>
            <w:vAlign w:val="center"/>
          </w:tcPr>
          <w:p w14:paraId="09A35C6B">
            <w:pPr>
              <w:widowControl/>
              <w:spacing w:line="360" w:lineRule="exact"/>
              <w:ind w:firstLine="0" w:firstLineChars="0"/>
              <w:jc w:val="center"/>
              <w:rPr>
                <w:rFonts w:hint="eastAsia" w:eastAsia="宋体" w:cs="宋体"/>
                <w:sz w:val="21"/>
                <w:szCs w:val="21"/>
              </w:rPr>
            </w:pPr>
            <w:r>
              <w:rPr>
                <w:rFonts w:hint="eastAsia" w:eastAsia="宋体" w:cs="宋体"/>
                <w:sz w:val="21"/>
                <w:szCs w:val="21"/>
              </w:rPr>
              <w:t>-</w:t>
            </w:r>
          </w:p>
        </w:tc>
        <w:tc>
          <w:tcPr>
            <w:tcW w:w="6966" w:type="dxa"/>
            <w:shd w:val="clear" w:color="auto" w:fill="FFFFFF"/>
            <w:noWrap w:val="0"/>
            <w:tcMar>
              <w:top w:w="19" w:type="dxa"/>
              <w:left w:w="19" w:type="dxa"/>
              <w:bottom w:w="68" w:type="dxa"/>
              <w:right w:w="19" w:type="dxa"/>
            </w:tcMar>
            <w:vAlign w:val="center"/>
          </w:tcPr>
          <w:p w14:paraId="780E88A1">
            <w:pPr>
              <w:widowControl/>
              <w:spacing w:line="360" w:lineRule="exact"/>
              <w:ind w:firstLine="0" w:firstLineChars="0"/>
              <w:jc w:val="left"/>
              <w:rPr>
                <w:rFonts w:hint="eastAsia" w:eastAsia="宋体" w:cs="宋体"/>
                <w:color w:val="FF0000"/>
                <w:sz w:val="21"/>
                <w:szCs w:val="21"/>
              </w:rPr>
            </w:pPr>
            <w:r>
              <w:rPr>
                <w:rFonts w:hint="eastAsia" w:eastAsia="宋体" w:cs="宋体"/>
                <w:sz w:val="21"/>
                <w:szCs w:val="21"/>
              </w:rPr>
              <w:t>根据实物盘点结果及清查审计报告，将相关资产基本信息和使用信息变化在资产系统中逐条登记。对于常规性错误如分类错误、科目错误等，及时在资产系统中逐条处理。</w:t>
            </w:r>
          </w:p>
        </w:tc>
      </w:tr>
      <w:tr w14:paraId="0A8F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99" w:type="dxa"/>
            <w:shd w:val="clear" w:color="auto" w:fill="FFFFFF"/>
            <w:noWrap w:val="0"/>
            <w:tcMar>
              <w:top w:w="19" w:type="dxa"/>
              <w:left w:w="19" w:type="dxa"/>
              <w:bottom w:w="68" w:type="dxa"/>
              <w:right w:w="19" w:type="dxa"/>
            </w:tcMar>
            <w:vAlign w:val="center"/>
          </w:tcPr>
          <w:p w14:paraId="0B356ECA">
            <w:pPr>
              <w:widowControl/>
              <w:ind w:firstLine="0" w:firstLineChars="0"/>
              <w:jc w:val="center"/>
              <w:rPr>
                <w:rFonts w:hint="eastAsia" w:eastAsia="宋体" w:cs="宋体"/>
                <w:kern w:val="0"/>
                <w:sz w:val="21"/>
                <w:szCs w:val="21"/>
                <w:lang w:bidi="ar"/>
              </w:rPr>
            </w:pPr>
            <w:r>
              <w:rPr>
                <w:rFonts w:hint="eastAsia" w:eastAsia="宋体" w:cs="宋体"/>
                <w:kern w:val="0"/>
                <w:sz w:val="21"/>
                <w:szCs w:val="21"/>
                <w:lang w:bidi="ar"/>
              </w:rPr>
              <w:t>8</w:t>
            </w:r>
          </w:p>
        </w:tc>
        <w:tc>
          <w:tcPr>
            <w:tcW w:w="1365" w:type="dxa"/>
            <w:shd w:val="clear" w:color="auto" w:fill="FFFFFF"/>
            <w:noWrap w:val="0"/>
            <w:tcMar>
              <w:top w:w="19" w:type="dxa"/>
              <w:left w:w="19" w:type="dxa"/>
              <w:bottom w:w="68" w:type="dxa"/>
              <w:right w:w="19" w:type="dxa"/>
            </w:tcMar>
            <w:vAlign w:val="center"/>
          </w:tcPr>
          <w:p w14:paraId="1CFDD7E6">
            <w:pPr>
              <w:widowControl/>
              <w:spacing w:line="360" w:lineRule="exact"/>
              <w:ind w:firstLine="0" w:firstLineChars="0"/>
              <w:jc w:val="center"/>
              <w:rPr>
                <w:rFonts w:hint="eastAsia" w:eastAsia="宋体" w:cs="宋体"/>
                <w:kern w:val="0"/>
                <w:sz w:val="21"/>
                <w:szCs w:val="21"/>
                <w:lang w:bidi="ar"/>
              </w:rPr>
            </w:pPr>
            <w:r>
              <w:rPr>
                <w:rFonts w:hint="eastAsia" w:eastAsia="宋体" w:cs="宋体"/>
                <w:kern w:val="0"/>
                <w:sz w:val="21"/>
                <w:szCs w:val="21"/>
                <w:lang w:bidi="ar"/>
              </w:rPr>
              <w:t>上传申报</w:t>
            </w:r>
          </w:p>
        </w:tc>
        <w:tc>
          <w:tcPr>
            <w:tcW w:w="1475" w:type="dxa"/>
            <w:shd w:val="clear" w:color="auto" w:fill="FFFFFF"/>
            <w:noWrap w:val="0"/>
            <w:vAlign w:val="center"/>
          </w:tcPr>
          <w:p w14:paraId="79414E7C">
            <w:pPr>
              <w:widowControl/>
              <w:spacing w:line="360" w:lineRule="exact"/>
              <w:ind w:firstLine="0" w:firstLineChars="0"/>
              <w:jc w:val="center"/>
              <w:rPr>
                <w:rFonts w:hint="eastAsia" w:eastAsia="宋体" w:cs="宋体"/>
                <w:sz w:val="21"/>
                <w:szCs w:val="21"/>
              </w:rPr>
            </w:pPr>
            <w:r>
              <w:rPr>
                <w:rFonts w:hint="eastAsia" w:eastAsia="宋体" w:cs="宋体"/>
                <w:sz w:val="21"/>
                <w:szCs w:val="21"/>
              </w:rPr>
              <w:t>-</w:t>
            </w:r>
          </w:p>
        </w:tc>
        <w:tc>
          <w:tcPr>
            <w:tcW w:w="6966" w:type="dxa"/>
            <w:shd w:val="clear" w:color="auto" w:fill="FFFFFF"/>
            <w:noWrap w:val="0"/>
            <w:tcMar>
              <w:top w:w="19" w:type="dxa"/>
              <w:left w:w="19" w:type="dxa"/>
              <w:bottom w:w="68" w:type="dxa"/>
              <w:right w:w="19" w:type="dxa"/>
            </w:tcMar>
            <w:vAlign w:val="center"/>
          </w:tcPr>
          <w:p w14:paraId="5FDC53E4">
            <w:pPr>
              <w:widowControl/>
              <w:spacing w:line="360" w:lineRule="exact"/>
              <w:ind w:firstLine="0" w:firstLineChars="0"/>
              <w:jc w:val="left"/>
              <w:rPr>
                <w:rFonts w:hint="eastAsia" w:eastAsia="宋体" w:cs="宋体"/>
                <w:sz w:val="21"/>
                <w:szCs w:val="21"/>
              </w:rPr>
            </w:pPr>
            <w:r>
              <w:rPr>
                <w:rFonts w:hint="eastAsia" w:eastAsia="宋体" w:cs="宋体"/>
                <w:sz w:val="21"/>
                <w:szCs w:val="21"/>
              </w:rPr>
              <w:t>将调整后的资产数据通过接口上传至财政资产系统，并生成相关报表。</w:t>
            </w:r>
          </w:p>
        </w:tc>
      </w:tr>
    </w:tbl>
    <w:p w14:paraId="02E90A57">
      <w:pPr>
        <w:keepNext w:val="0"/>
        <w:keepLines w:val="0"/>
        <w:pageBreakBefore w:val="0"/>
        <w:kinsoku/>
        <w:wordWrap/>
        <w:overflowPunct/>
        <w:topLinePunct w:val="0"/>
        <w:bidi w:val="0"/>
        <w:spacing w:line="520" w:lineRule="exact"/>
        <w:ind w:firstLine="640" w:firstLineChars="200"/>
        <w:jc w:val="left"/>
        <w:rPr>
          <w:rFonts w:hint="eastAsia" w:ascii="仿宋" w:hAnsi="仿宋" w:eastAsia="仿宋"/>
          <w:color w:val="auto"/>
          <w:sz w:val="32"/>
          <w:szCs w:val="32"/>
          <w:lang w:val="en-US" w:eastAsia="zh-CN"/>
        </w:rPr>
        <w:sectPr>
          <w:headerReference r:id="rId14" w:type="default"/>
          <w:footerReference r:id="rId15" w:type="default"/>
          <w:pgSz w:w="11905" w:h="16838"/>
          <w:pgMar w:top="1247" w:right="1417" w:bottom="1247" w:left="1417" w:header="964" w:footer="992" w:gutter="0"/>
          <w:pgNumType w:fmt="decimal" w:chapStyle="1"/>
          <w:cols w:space="0" w:num="1"/>
          <w:rtlGutter w:val="0"/>
          <w:docGrid w:type="lines" w:linePitch="326" w:charSpace="0"/>
        </w:sectPr>
      </w:pPr>
    </w:p>
    <w:p w14:paraId="65BD33D4">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4.3其他要求：</w:t>
      </w:r>
    </w:p>
    <w:p w14:paraId="4E0511B3">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（1）无用户并发数限制，无装机点位数限制。</w:t>
      </w:r>
    </w:p>
    <w:p w14:paraId="03B627EA">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（2）厂商具备现场二次开发的能力。</w:t>
      </w:r>
    </w:p>
    <w:p w14:paraId="1F29FFCF">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（3）系统需实现全院信息的完整共享，应与院内已经有的（集成平台、会计核算、预算管理、合同管理、成本管理、人力资源管理、物资、设备、绩效等）软件系统免费对接，</w:t>
      </w:r>
      <w:r>
        <w:rPr>
          <w:rFonts w:hint="eastAsia" w:ascii="宋体" w:hAnsi="宋体" w:eastAsia="宋体" w:cs="宋体"/>
          <w:color w:val="auto"/>
          <w:sz w:val="24"/>
          <w:szCs w:val="24"/>
          <w:lang w:val="en-GB" w:eastAsia="zh-CN"/>
        </w:rPr>
        <w:t>并支付第三方接口费用，完成数据交互。</w:t>
      </w:r>
    </w:p>
    <w:p w14:paraId="507E1639">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（4）数据备份：要有完备的数据备份方案；</w:t>
      </w:r>
    </w:p>
    <w:p w14:paraId="44E496DE">
      <w:pPr>
        <w:keepNext w:val="0"/>
        <w:keepLines w:val="0"/>
        <w:pageBreakBefore w:val="0"/>
        <w:kinsoku/>
        <w:wordWrap/>
        <w:overflowPunct/>
        <w:topLinePunct w:val="0"/>
        <w:bidi w:val="0"/>
        <w:spacing w:line="5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（5）无版权纠纷，符合等保2.0要求，在质保期内免费升级。</w:t>
      </w:r>
    </w:p>
    <w:p w14:paraId="5DDB1138">
      <w:pPr>
        <w:keepNext w:val="0"/>
        <w:keepLines w:val="0"/>
        <w:pageBreakBefore w:val="0"/>
        <w:kinsoku/>
        <w:wordWrap/>
        <w:overflowPunct/>
        <w:topLinePunct w:val="0"/>
        <w:bidi w:val="0"/>
        <w:spacing w:line="520" w:lineRule="exact"/>
        <w:ind w:firstLine="640" w:firstLineChars="200"/>
        <w:jc w:val="left"/>
        <w:rPr>
          <w:rFonts w:hint="eastAsia" w:ascii="仿宋" w:hAnsi="仿宋" w:eastAsia="仿宋"/>
          <w:color w:val="auto"/>
          <w:sz w:val="32"/>
          <w:szCs w:val="32"/>
          <w:lang w:val="en-US" w:eastAsia="zh-CN"/>
        </w:rPr>
      </w:pPr>
    </w:p>
    <w:p w14:paraId="7A01429B">
      <w:pPr>
        <w:rPr>
          <w:rFonts w:hint="eastAsia"/>
          <w:lang w:val="en-US" w:eastAsia="zh-CN"/>
        </w:rPr>
      </w:pPr>
    </w:p>
    <w:p w14:paraId="1D9C500C">
      <w:pPr>
        <w:rPr>
          <w:rFonts w:hint="eastAsia"/>
          <w:lang w:val="en-US" w:eastAsia="zh-CN"/>
        </w:rPr>
        <w:sectPr>
          <w:pgSz w:w="11905" w:h="16838"/>
          <w:pgMar w:top="1247" w:right="1417" w:bottom="1247" w:left="1417" w:header="964" w:footer="992" w:gutter="0"/>
          <w:pgNumType w:fmt="decimal" w:chapStyle="1"/>
          <w:cols w:space="0" w:num="1"/>
          <w:rtlGutter w:val="0"/>
          <w:docGrid w:type="lines" w:linePitch="326" w:charSpace="0"/>
        </w:sectPr>
      </w:pPr>
    </w:p>
    <w:p w14:paraId="3DDC8198">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rPr>
      </w:pPr>
      <w:r>
        <w:rPr>
          <w:rFonts w:hint="eastAsia" w:ascii="宋体" w:hAnsi="宋体" w:eastAsia="宋体" w:cs="Times New Roman"/>
          <w:b/>
          <w:bCs/>
          <w:color w:val="auto"/>
          <w:kern w:val="44"/>
          <w:sz w:val="44"/>
          <w:szCs w:val="44"/>
          <w:lang w:val="en-US" w:eastAsia="zh-CN" w:bidi="ar-SA"/>
        </w:rPr>
        <w:t>第五章</w:t>
      </w:r>
      <w:bookmarkEnd w:id="99"/>
      <w:r>
        <w:rPr>
          <w:rFonts w:hint="eastAsia" w:ascii="宋体" w:hAnsi="宋体" w:eastAsia="宋体" w:cs="Times New Roman"/>
          <w:color w:val="auto"/>
          <w:highlight w:val="none"/>
          <w:lang w:val="en-US" w:eastAsia="zh-CN"/>
        </w:rPr>
        <w:t xml:space="preserve">  </w:t>
      </w:r>
      <w:bookmarkStart w:id="101" w:name="OLE_LINK83"/>
      <w:bookmarkStart w:id="102" w:name="_Toc31854"/>
      <w:r>
        <w:rPr>
          <w:rFonts w:hint="eastAsia" w:ascii="宋体" w:hAnsi="宋体" w:eastAsia="宋体" w:cs="Times New Roman"/>
          <w:color w:val="auto"/>
          <w:highlight w:val="none"/>
        </w:rPr>
        <w:t>商务要求</w:t>
      </w:r>
      <w:bookmarkEnd w:id="101"/>
      <w:bookmarkEnd w:id="102"/>
    </w:p>
    <w:bookmarkEnd w:id="100"/>
    <w:p w14:paraId="6F7FAF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p>
    <w:p w14:paraId="1D19D995">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1.项目实施、培训及售后要求</w:t>
      </w:r>
    </w:p>
    <w:p w14:paraId="05D78654">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1.1项目</w:t>
      </w:r>
      <w:r>
        <w:rPr>
          <w:rFonts w:hint="eastAsia" w:ascii="宋体" w:hAnsi="宋体" w:eastAsia="宋体" w:cs="宋体"/>
          <w:color w:val="auto"/>
          <w:kern w:val="2"/>
          <w:sz w:val="24"/>
          <w:szCs w:val="24"/>
          <w:lang w:val="en-US" w:eastAsia="zh-CN" w:bidi="ar-SA"/>
        </w:rPr>
        <w:t>交付时间：合同签订后一周内工程师驻场实施，180个日历日内交付（含安装调试验收）。</w:t>
      </w:r>
    </w:p>
    <w:p w14:paraId="1094B14E">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1.2项目实施管理要求</w:t>
      </w:r>
    </w:p>
    <w:p w14:paraId="271C8D3D">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结合医院实际情况，拟定详细的系统实施计划，含测试、试运行、培训及上线计划。承诺保证在合同规定时间内上线及上线系统的基本平稳。</w:t>
      </w:r>
    </w:p>
    <w:p w14:paraId="3270D28A">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1.3人员培训要求</w:t>
      </w:r>
    </w:p>
    <w:p w14:paraId="1A626E3A">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对象包括系统管理员、管理人员、操作员。系统管理员培训内容为系统中涉及的相关技术内容；管理人员培训内容为系统流程和相关管理思想；操作员为系统的操作培训。包含但不限于资产审计、自查自纠等政策类培训，可根据医院实际情况定制培训项目。</w:t>
      </w:r>
    </w:p>
    <w:p w14:paraId="608AF53C">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1.4售后服务要求 </w:t>
      </w:r>
    </w:p>
    <w:p w14:paraId="16A90417">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（1）免费送货上门、安装调试合格、技术培训。</w:t>
      </w:r>
    </w:p>
    <w:p w14:paraId="18246353">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（2）在使用过程中若产品发生质量问题或故障，在接到采购人通知后30分钟内响应，需要上门服务的须24个小时内到达故障现场处理，一般故障处理时限不超过36小时。</w:t>
      </w:r>
    </w:p>
    <w:p w14:paraId="525214F9">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（3）提供7*24小时系统故障电话响应。</w:t>
      </w:r>
    </w:p>
    <w:p w14:paraId="7B0FC10C">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（4）售后服务期限：</w:t>
      </w:r>
    </w:p>
    <w:p w14:paraId="79E66BB4">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软件服务：验收合格后三年内免费提供维保服务。三年后服务费原则上不高于成交价的5%。</w:t>
      </w:r>
    </w:p>
    <w:p w14:paraId="40820C2A">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2.付款比例及方式：合同付款方式为分期支付。</w:t>
      </w:r>
    </w:p>
    <w:p w14:paraId="70309DD0">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（1）软件全部安装运行上线后，支付合同总金额的30%。</w:t>
      </w:r>
    </w:p>
    <w:p w14:paraId="064604E1">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（2）完成全部服务项目后，支付至合同总金额的60%。</w:t>
      </w:r>
    </w:p>
    <w:p w14:paraId="3AFC1DF9">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（3）项目整体验收通过之后，凭验收报告支付至合同总金额的90%。</w:t>
      </w:r>
    </w:p>
    <w:p w14:paraId="148697C5">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（4）依据售后服务的情况，支付合同总金额的剩余款项。若售后服务有缺项，则对余款进行相应扣除。</w:t>
      </w:r>
    </w:p>
    <w:p w14:paraId="37ECF612">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（5）如乙方未提供发票或提供的发票不符合要求，甲方有权拒绝付款。</w:t>
      </w:r>
    </w:p>
    <w:p w14:paraId="206A0489">
      <w:pPr>
        <w:pStyle w:val="16"/>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3.交货地点：安康市中心医院</w:t>
      </w:r>
    </w:p>
    <w:p w14:paraId="00337CC5">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p>
    <w:bookmarkEnd w:id="94"/>
    <w:bookmarkEnd w:id="95"/>
    <w:bookmarkEnd w:id="96"/>
    <w:bookmarkEnd w:id="97"/>
    <w:p w14:paraId="024BEC23">
      <w:pPr>
        <w:pStyle w:val="28"/>
        <w:jc w:val="center"/>
        <w:rPr>
          <w:rFonts w:hint="eastAsia" w:ascii="宋体" w:hAnsi="宋体" w:eastAsia="宋体" w:cs="Times New Roman"/>
          <w:b/>
          <w:bCs/>
          <w:color w:val="auto"/>
          <w:kern w:val="44"/>
          <w:sz w:val="44"/>
          <w:szCs w:val="44"/>
          <w:lang w:val="en-US" w:eastAsia="zh-CN" w:bidi="ar-SA"/>
        </w:rPr>
      </w:pPr>
      <w:bookmarkStart w:id="103" w:name="OLE_LINK86"/>
      <w:bookmarkStart w:id="104" w:name="_Toc23239"/>
      <w:bookmarkStart w:id="105" w:name="OLE_LINK29"/>
      <w:bookmarkStart w:id="106" w:name="OLE_LINK81"/>
      <w:bookmarkStart w:id="107" w:name="_Toc23258621"/>
      <w:bookmarkStart w:id="108" w:name="OLE_LINK85"/>
      <w:bookmarkStart w:id="109" w:name="_Toc26541332"/>
      <w:bookmarkStart w:id="110" w:name="_Toc484890084"/>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六</w:t>
      </w:r>
      <w:r>
        <w:rPr>
          <w:rFonts w:hint="eastAsia" w:ascii="宋体" w:hAnsi="宋体" w:eastAsia="宋体" w:cs="Times New Roman"/>
          <w:b/>
          <w:bCs/>
          <w:color w:val="auto"/>
          <w:kern w:val="44"/>
          <w:sz w:val="44"/>
          <w:szCs w:val="44"/>
          <w:lang w:val="en-US" w:eastAsia="zh-CN" w:bidi="ar-SA"/>
        </w:rPr>
        <w:t>章</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合同格式（仅供参考</w:t>
      </w:r>
      <w:bookmarkEnd w:id="103"/>
      <w:r>
        <w:rPr>
          <w:rFonts w:hint="eastAsia" w:ascii="宋体" w:hAnsi="宋体" w:eastAsia="宋体" w:cs="Times New Roman"/>
          <w:b/>
          <w:bCs/>
          <w:color w:val="auto"/>
          <w:kern w:val="44"/>
          <w:sz w:val="44"/>
          <w:szCs w:val="44"/>
          <w:lang w:val="en-US" w:eastAsia="zh-CN" w:bidi="ar-SA"/>
        </w:rPr>
        <w:t>）</w:t>
      </w:r>
      <w:bookmarkEnd w:id="104"/>
    </w:p>
    <w:bookmarkEnd w:id="105"/>
    <w:bookmarkEnd w:id="106"/>
    <w:bookmarkEnd w:id="107"/>
    <w:bookmarkEnd w:id="108"/>
    <w:bookmarkEnd w:id="109"/>
    <w:bookmarkEnd w:id="110"/>
    <w:p w14:paraId="291A8DB0">
      <w:pPr>
        <w:jc w:val="center"/>
        <w:rPr>
          <w:rFonts w:hint="eastAsia" w:ascii="仿宋_GB2312" w:hAnsi="仿宋_GB2312" w:eastAsia="仿宋_GB2312" w:cs="仿宋_GB2312"/>
          <w:color w:val="auto"/>
          <w:sz w:val="32"/>
          <w:szCs w:val="32"/>
        </w:rPr>
      </w:pPr>
      <w:bookmarkStart w:id="111" w:name="_Toc417906114"/>
      <w:bookmarkStart w:id="112" w:name="_Toc484890085"/>
      <w:bookmarkStart w:id="113" w:name="_Toc23258622"/>
      <w:bookmarkStart w:id="114" w:name="_Toc26541333"/>
      <w:bookmarkStart w:id="115" w:name="_Toc528240830"/>
      <w:bookmarkStart w:id="116" w:name="OLE_LINK84"/>
      <w:r>
        <w:rPr>
          <w:rFonts w:hint="eastAsia" w:ascii="宋体" w:hAnsi="宋体"/>
          <w:b/>
          <w:color w:val="auto"/>
          <w:sz w:val="24"/>
          <w:lang w:val="zh-CN"/>
        </w:rPr>
        <w:t>（此合同只作为参考，最终合同以采购人给出的合同定稿为准。）</w:t>
      </w:r>
    </w:p>
    <w:p w14:paraId="0A7F62DD">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合同编号：</w:t>
      </w:r>
      <w:r>
        <w:rPr>
          <w:rFonts w:hint="eastAsia" w:ascii="仿宋_GB2312" w:hAnsi="仿宋_GB2312" w:eastAsia="仿宋_GB2312" w:cs="仿宋_GB2312"/>
          <w:color w:val="auto"/>
          <w:sz w:val="32"/>
          <w:szCs w:val="32"/>
          <w:lang w:val="en-US" w:eastAsia="zh-CN"/>
        </w:rPr>
        <w:t>XXK-2026-XX</w:t>
      </w:r>
    </w:p>
    <w:p w14:paraId="4BB11E20">
      <w:pPr>
        <w:rPr>
          <w:color w:val="auto"/>
        </w:rPr>
      </w:pPr>
    </w:p>
    <w:p w14:paraId="7C3D32F6">
      <w:pPr>
        <w:rPr>
          <w:color w:val="auto"/>
        </w:rPr>
      </w:pPr>
    </w:p>
    <w:p w14:paraId="01585335">
      <w:pPr>
        <w:rPr>
          <w:color w:val="auto"/>
        </w:rPr>
      </w:pPr>
    </w:p>
    <w:p w14:paraId="7F91FE8A">
      <w:pPr>
        <w:rPr>
          <w:color w:val="auto"/>
        </w:rPr>
      </w:pPr>
    </w:p>
    <w:p w14:paraId="0502845B">
      <w:pPr>
        <w:rPr>
          <w:color w:val="auto"/>
        </w:rPr>
      </w:pPr>
    </w:p>
    <w:p w14:paraId="7B093A14">
      <w:pPr>
        <w:rPr>
          <w:color w:val="auto"/>
        </w:rPr>
      </w:pPr>
    </w:p>
    <w:p w14:paraId="55B58CC0">
      <w:pPr>
        <w:rPr>
          <w:color w:val="auto"/>
        </w:rPr>
      </w:pPr>
    </w:p>
    <w:p w14:paraId="1683F1F8">
      <w:pPr>
        <w:rPr>
          <w:color w:val="auto"/>
        </w:rPr>
      </w:pPr>
    </w:p>
    <w:p w14:paraId="354248D6">
      <w:pPr>
        <w:spacing w:after="0" w:line="240" w:lineRule="auto"/>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rPr>
        <w:t>安康市中心医院</w:t>
      </w:r>
    </w:p>
    <w:p w14:paraId="08316F50">
      <w:pPr>
        <w:spacing w:after="0" w:line="240" w:lineRule="auto"/>
        <w:jc w:val="center"/>
        <w:rPr>
          <w:rFonts w:hint="default" w:ascii="仿宋_GB2312" w:hAnsi="仿宋_GB2312" w:eastAsia="仿宋_GB2312" w:cs="仿宋_GB2312"/>
          <w:b/>
          <w:bCs/>
          <w:sz w:val="72"/>
          <w:szCs w:val="72"/>
          <w:lang w:val="en-US" w:eastAsia="zh-CN"/>
        </w:rPr>
      </w:pPr>
      <w:r>
        <w:rPr>
          <w:rFonts w:hint="eastAsia" w:ascii="仿宋_GB2312" w:hAnsi="仿宋_GB2312" w:eastAsia="仿宋_GB2312" w:cs="仿宋_GB2312"/>
          <w:b/>
          <w:bCs/>
          <w:sz w:val="72"/>
          <w:szCs w:val="72"/>
          <w:lang w:val="en-US" w:eastAsia="zh-CN"/>
        </w:rPr>
        <w:t>xxxxx</w:t>
      </w:r>
    </w:p>
    <w:p w14:paraId="1F1D7EC2">
      <w:pPr>
        <w:spacing w:after="0" w:line="240" w:lineRule="auto"/>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eastAsia="zh-CN"/>
        </w:rPr>
        <w:t>项目</w:t>
      </w:r>
      <w:r>
        <w:rPr>
          <w:rFonts w:hint="eastAsia" w:ascii="仿宋_GB2312" w:hAnsi="仿宋_GB2312" w:eastAsia="仿宋_GB2312" w:cs="仿宋_GB2312"/>
          <w:b/>
          <w:bCs/>
          <w:sz w:val="72"/>
          <w:szCs w:val="72"/>
        </w:rPr>
        <w:t>合同书</w:t>
      </w:r>
    </w:p>
    <w:p w14:paraId="33DD5EA6">
      <w:pPr>
        <w:jc w:val="center"/>
        <w:rPr>
          <w:rFonts w:ascii="仿宋_GB2312" w:hAnsi="仿宋_GB2312" w:eastAsia="仿宋_GB2312" w:cs="仿宋_GB2312"/>
          <w:color w:val="auto"/>
          <w:sz w:val="48"/>
          <w:szCs w:val="48"/>
        </w:rPr>
      </w:pPr>
    </w:p>
    <w:p w14:paraId="7D37EA5A">
      <w:pPr>
        <w:rPr>
          <w:color w:val="auto"/>
        </w:rPr>
      </w:pPr>
    </w:p>
    <w:p w14:paraId="59197EE3">
      <w:pPr>
        <w:rPr>
          <w:color w:val="auto"/>
        </w:rPr>
      </w:pPr>
    </w:p>
    <w:p w14:paraId="0260FB1D">
      <w:pPr>
        <w:rPr>
          <w:color w:val="auto"/>
        </w:rPr>
      </w:pPr>
    </w:p>
    <w:p w14:paraId="17D00773">
      <w:pPr>
        <w:rPr>
          <w:color w:val="auto"/>
        </w:rPr>
      </w:pPr>
    </w:p>
    <w:p w14:paraId="3663AAD9">
      <w:pPr>
        <w:rPr>
          <w:rFonts w:ascii="仿宋_GB2312" w:hAnsi="仿宋_GB2312" w:eastAsia="仿宋_GB2312" w:cs="仿宋_GB2312"/>
          <w:color w:val="auto"/>
          <w:sz w:val="32"/>
          <w:szCs w:val="32"/>
        </w:rPr>
      </w:pPr>
    </w:p>
    <w:p w14:paraId="3FA660EB">
      <w:pPr>
        <w:rPr>
          <w:rFonts w:ascii="仿宋_GB2312" w:hAnsi="仿宋_GB2312" w:eastAsia="仿宋_GB2312" w:cs="仿宋_GB2312"/>
          <w:color w:val="auto"/>
          <w:sz w:val="32"/>
          <w:szCs w:val="32"/>
        </w:rPr>
      </w:pPr>
    </w:p>
    <w:p w14:paraId="7822CE7F">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方：安康市中心医院</w:t>
      </w:r>
    </w:p>
    <w:p w14:paraId="4A0737F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方：</w:t>
      </w:r>
    </w:p>
    <w:p w14:paraId="49220A6A">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签订地点：安康市中心医院</w:t>
      </w:r>
    </w:p>
    <w:p w14:paraId="042FFB73">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签订时间：   年   月   日</w:t>
      </w:r>
    </w:p>
    <w:p w14:paraId="0FEC9CE5">
      <w:pPr>
        <w:pStyle w:val="17"/>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eastAsia"/>
          <w:sz w:val="32"/>
          <w:szCs w:val="32"/>
          <w:lang w:val="en-US" w:eastAsia="zh-CN"/>
        </w:rPr>
      </w:pPr>
    </w:p>
    <w:p w14:paraId="5C5FAD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依据《中华人民共和国民法典》有关法律、法规之规定，在公开招标的基础上，根据中标结果，甲、乙双方签订安康市中心医院XXX采购项目（项目编号：XXK-</w:t>
      </w:r>
      <w:r>
        <w:rPr>
          <w:rFonts w:hint="eastAsia" w:ascii="宋体" w:hAnsi="宋体" w:cs="宋体"/>
          <w:color w:val="auto"/>
          <w:sz w:val="24"/>
          <w:szCs w:val="24"/>
          <w:lang w:val="en-US" w:eastAsia="zh-CN"/>
        </w:rPr>
        <w:t>2026</w:t>
      </w:r>
      <w:r>
        <w:rPr>
          <w:rFonts w:hint="eastAsia" w:ascii="宋体" w:hAnsi="宋体" w:eastAsia="宋体" w:cs="宋体"/>
          <w:color w:val="auto"/>
          <w:sz w:val="24"/>
          <w:szCs w:val="24"/>
          <w:lang w:val="en-US" w:eastAsia="zh-CN"/>
        </w:rPr>
        <w:t>-XX）合同。</w:t>
      </w:r>
    </w:p>
    <w:p w14:paraId="15DB9F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一、合同内容：</w:t>
      </w:r>
      <w:r>
        <w:rPr>
          <w:rFonts w:hint="eastAsia" w:ascii="宋体" w:hAnsi="宋体" w:eastAsia="宋体" w:cs="宋体"/>
          <w:color w:val="auto"/>
          <w:sz w:val="24"/>
          <w:szCs w:val="24"/>
          <w:lang w:val="en-US" w:eastAsia="zh-CN"/>
        </w:rPr>
        <w:t>XXX项目</w:t>
      </w:r>
      <w:r>
        <w:rPr>
          <w:rFonts w:hint="eastAsia" w:ascii="宋体" w:hAnsi="宋体" w:eastAsia="宋体" w:cs="宋体"/>
          <w:color w:val="auto"/>
          <w:sz w:val="24"/>
          <w:szCs w:val="24"/>
        </w:rPr>
        <w:t>（后附</w:t>
      </w:r>
      <w:r>
        <w:rPr>
          <w:rFonts w:hint="eastAsia" w:ascii="宋体" w:hAnsi="宋体" w:eastAsia="宋体" w:cs="宋体"/>
          <w:color w:val="auto"/>
          <w:sz w:val="24"/>
          <w:szCs w:val="24"/>
          <w:lang w:val="en-US" w:eastAsia="zh-CN"/>
        </w:rPr>
        <w:t>软件功能说明及服务清单</w:t>
      </w:r>
      <w:r>
        <w:rPr>
          <w:rFonts w:hint="eastAsia" w:ascii="宋体" w:hAnsi="宋体" w:eastAsia="宋体" w:cs="宋体"/>
          <w:color w:val="auto"/>
          <w:sz w:val="24"/>
          <w:szCs w:val="24"/>
        </w:rPr>
        <w:t>）。</w:t>
      </w:r>
    </w:p>
    <w:p w14:paraId="2A076D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二、合同总价格：大</w:t>
      </w:r>
      <w:r>
        <w:rPr>
          <w:rFonts w:hint="eastAsia" w:ascii="宋体" w:hAnsi="宋体" w:eastAsia="宋体" w:cs="宋体"/>
          <w:color w:val="auto"/>
          <w:sz w:val="24"/>
          <w:szCs w:val="24"/>
          <w:lang w:eastAsia="zh-CN"/>
        </w:rPr>
        <w:t>写：</w:t>
      </w:r>
      <w:r>
        <w:rPr>
          <w:rFonts w:hint="eastAsia" w:ascii="宋体" w:hAnsi="宋体" w:eastAsia="宋体" w:cs="宋体"/>
          <w:color w:val="auto"/>
          <w:sz w:val="24"/>
          <w:szCs w:val="24"/>
          <w:lang w:val="en-US" w:eastAsia="zh-CN"/>
        </w:rPr>
        <w:t xml:space="preserve">XX </w:t>
      </w:r>
      <w:r>
        <w:rPr>
          <w:rFonts w:hint="eastAsia" w:ascii="宋体" w:hAnsi="宋体" w:eastAsia="宋体" w:cs="宋体"/>
          <w:color w:val="auto"/>
          <w:sz w:val="24"/>
          <w:szCs w:val="24"/>
          <w:lang w:eastAsia="zh-CN"/>
        </w:rPr>
        <w:t>；</w:t>
      </w:r>
    </w:p>
    <w:p w14:paraId="7B46F4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小写：￥</w:t>
      </w:r>
      <w:r>
        <w:rPr>
          <w:rFonts w:hint="eastAsia" w:ascii="宋体" w:hAnsi="宋体" w:eastAsia="宋体" w:cs="宋体"/>
          <w:color w:val="auto"/>
          <w:sz w:val="24"/>
          <w:szCs w:val="24"/>
          <w:lang w:val="en-US" w:eastAsia="zh-CN"/>
        </w:rPr>
        <w:t xml:space="preserve">  XX元整</w:t>
      </w:r>
      <w:r>
        <w:rPr>
          <w:rFonts w:hint="eastAsia" w:ascii="宋体" w:hAnsi="宋体" w:eastAsia="宋体" w:cs="宋体"/>
          <w:color w:val="auto"/>
          <w:sz w:val="24"/>
          <w:szCs w:val="24"/>
        </w:rPr>
        <w:t>（包括运杂费、保险费、搬运费、税费、安装费、调试费、培训费等</w:t>
      </w:r>
      <w:r>
        <w:rPr>
          <w:rFonts w:hint="eastAsia" w:ascii="宋体" w:hAnsi="宋体" w:eastAsia="宋体" w:cs="宋体"/>
          <w:color w:val="auto"/>
          <w:sz w:val="24"/>
          <w:szCs w:val="24"/>
          <w:lang w:eastAsia="zh-CN"/>
        </w:rPr>
        <w:t>一切费用，一次包死，不受市场价变化的影响，不受实际数量变化的影响</w:t>
      </w:r>
      <w:r>
        <w:rPr>
          <w:rFonts w:hint="eastAsia" w:ascii="宋体" w:hAnsi="宋体" w:eastAsia="宋体" w:cs="宋体"/>
          <w:color w:val="auto"/>
          <w:sz w:val="24"/>
          <w:szCs w:val="24"/>
        </w:rPr>
        <w:t>）。</w:t>
      </w:r>
    </w:p>
    <w:p w14:paraId="165939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付款方式：</w:t>
      </w:r>
      <w:r>
        <w:rPr>
          <w:rFonts w:hint="eastAsia" w:ascii="宋体" w:hAnsi="宋体" w:eastAsia="宋体" w:cs="宋体"/>
          <w:color w:val="auto"/>
          <w:sz w:val="24"/>
          <w:szCs w:val="24"/>
          <w:lang w:val="en-US" w:eastAsia="zh-CN"/>
        </w:rPr>
        <w:t>合同付款方式为分期支付。</w:t>
      </w:r>
    </w:p>
    <w:p w14:paraId="22E620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软件全部安装运行上线后，支付合同总金额的30%。</w:t>
      </w:r>
    </w:p>
    <w:p w14:paraId="633442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完成全部服务项目后，支付至合同总金额的60%。</w:t>
      </w:r>
    </w:p>
    <w:p w14:paraId="60030A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val="en-US" w:eastAsia="zh-CN"/>
        </w:rPr>
        <w:t>项目整体验收通过之后，凭验收报告支付至合同总金额的90%。</w:t>
      </w:r>
    </w:p>
    <w:p w14:paraId="0E72E9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依据售后服务的情况，支付合同总金额的剩余款项。若售后服务有缺项，则对余款进行相应扣除。</w:t>
      </w:r>
    </w:p>
    <w:p w14:paraId="1609B8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lang w:val="en-US" w:eastAsia="zh-CN"/>
        </w:rPr>
        <w:t>如乙方未提供发票或提供的发票不符合要求，甲方有权拒绝付款。</w:t>
      </w:r>
    </w:p>
    <w:p w14:paraId="4CC1E9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四、交货时间和地点：</w:t>
      </w:r>
    </w:p>
    <w:p w14:paraId="74362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交货时间：合同签订</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一周</w:t>
      </w:r>
      <w:r>
        <w:rPr>
          <w:rFonts w:hint="eastAsia" w:ascii="宋体" w:hAnsi="宋体" w:eastAsia="宋体" w:cs="宋体"/>
          <w:color w:val="auto"/>
          <w:sz w:val="24"/>
          <w:szCs w:val="24"/>
        </w:rPr>
        <w:t>内工程师驻场实施</w:t>
      </w:r>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lang w:val="en-US" w:eastAsia="zh-CN" w:bidi="ar-SA"/>
        </w:rPr>
        <w:t>180个日历日内交付（含安装调试验收）</w:t>
      </w:r>
      <w:r>
        <w:rPr>
          <w:rFonts w:hint="eastAsia" w:ascii="宋体" w:hAnsi="宋体" w:eastAsia="宋体" w:cs="宋体"/>
          <w:color w:val="auto"/>
          <w:sz w:val="24"/>
          <w:szCs w:val="24"/>
        </w:rPr>
        <w:t>。</w:t>
      </w:r>
    </w:p>
    <w:p w14:paraId="0B559A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交货地点：安康市中心医院</w:t>
      </w:r>
      <w:r>
        <w:rPr>
          <w:rFonts w:hint="eastAsia" w:ascii="宋体" w:hAnsi="宋体" w:eastAsia="宋体" w:cs="宋体"/>
          <w:color w:val="auto"/>
          <w:sz w:val="24"/>
          <w:szCs w:val="24"/>
          <w:lang w:eastAsia="zh-CN"/>
        </w:rPr>
        <w:t>指定</w:t>
      </w:r>
      <w:r>
        <w:rPr>
          <w:rFonts w:hint="eastAsia" w:ascii="宋体" w:hAnsi="宋体" w:eastAsia="宋体" w:cs="宋体"/>
          <w:color w:val="auto"/>
          <w:sz w:val="24"/>
          <w:szCs w:val="24"/>
        </w:rPr>
        <w:t>地点。</w:t>
      </w:r>
    </w:p>
    <w:p w14:paraId="53D9B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质量要求：软件功能符合招标文件的要求，亦满足医院所提其他的个性化需求。</w:t>
      </w:r>
    </w:p>
    <w:p w14:paraId="7E3FBA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售后服务：</w:t>
      </w:r>
    </w:p>
    <w:p w14:paraId="635C5D90">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1.免费送货上门、安装调试合格、技术培训。</w:t>
      </w:r>
    </w:p>
    <w:p w14:paraId="4B0A9654">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2.在使用过程中若产品发生质量问题或故障，在接到采购人通知后30分钟内响应，需要上门服务的须24个小时内到达故障现场处理，一般故障处理时限不超过36小时。</w:t>
      </w:r>
    </w:p>
    <w:p w14:paraId="195EEED2">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3.提供7*24小时系统故障电话响应。</w:t>
      </w:r>
    </w:p>
    <w:p w14:paraId="23F313EE">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4.售后服务期限：</w:t>
      </w:r>
    </w:p>
    <w:p w14:paraId="63D67F01">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软件服务：验收合格后三年内免费提供维保服务。三年后服务费原则上不高于成交价的5%。</w:t>
      </w:r>
    </w:p>
    <w:p w14:paraId="19838E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甲方的责任和义务</w:t>
      </w:r>
    </w:p>
    <w:p w14:paraId="492AFF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1.甲方有权获得乙方所提交的软件交付成果、服务及相关知识产权。</w:t>
      </w:r>
    </w:p>
    <w:p w14:paraId="78708D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2.甲方有权及时了解和监督软件开发的进展情况。</w:t>
      </w:r>
    </w:p>
    <w:p w14:paraId="6C453E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3.甲方应向乙方提供完成软件开发所必需的资料和工作条件。</w:t>
      </w:r>
    </w:p>
    <w:p w14:paraId="328C26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4.甲方应当按照合同约定向乙方支付合同价款。</w:t>
      </w:r>
    </w:p>
    <w:p w14:paraId="452CF17E">
      <w:pPr>
        <w:pStyle w:val="33"/>
        <w:keepNext w:val="0"/>
        <w:keepLines w:val="0"/>
        <w:pageBreakBefore w:val="0"/>
        <w:widowControl w:val="0"/>
        <w:tabs>
          <w:tab w:val="left" w:pos="900"/>
        </w:tabs>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八、乙方的责任和义务</w:t>
      </w:r>
    </w:p>
    <w:p w14:paraId="6421AB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1.乙方有权按照本合同约定收取合同价款。</w:t>
      </w:r>
    </w:p>
    <w:p w14:paraId="0590FF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2.乙方有权要求甲方提供软件开发所必需的资料和支持。</w:t>
      </w:r>
    </w:p>
    <w:p w14:paraId="13F417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w:t>
      </w:r>
      <w:r>
        <w:rPr>
          <w:rFonts w:hint="eastAsia" w:ascii="宋体" w:hAnsi="宋体" w:eastAsia="宋体" w:cs="宋体"/>
          <w:color w:val="auto"/>
          <w:kern w:val="2"/>
          <w:sz w:val="24"/>
          <w:szCs w:val="24"/>
          <w:lang w:val="en-US" w:eastAsia="zh-CN" w:bidi="ar-SA"/>
        </w:rPr>
        <w:t>试、</w:t>
      </w:r>
      <w:r>
        <w:rPr>
          <w:rFonts w:hint="eastAsia" w:ascii="宋体" w:hAnsi="宋体" w:eastAsia="宋体" w:cs="宋体"/>
          <w:color w:val="auto"/>
          <w:sz w:val="24"/>
          <w:szCs w:val="24"/>
          <w:lang w:val="en-US" w:eastAsia="zh-CN"/>
        </w:rPr>
        <w:t>测试、验收、运行、维护和培训的需要。</w:t>
      </w:r>
    </w:p>
    <w:p w14:paraId="3F2E12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4.乙方应派遣身体健康、有工作经验和相应技能的技术人员到甲方现场提供开发实施、安装、调试、测试、试运行、维护及培训等技术服务，该技术服务费用包括在合同价格内。</w:t>
      </w:r>
    </w:p>
    <w:p w14:paraId="16B151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14:paraId="0D4396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6.在售后服务期内，乙方应负责免费向甲方提供与软件有关新的或改进的运行经验、技术开发和安全方面的所有资料及信息，且负责对本合同项下的软件进行免费更新、升级。</w:t>
      </w:r>
    </w:p>
    <w:p w14:paraId="456AE4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7.乙方保证其所交付软件产品及服务不存在任何权利瑕疵，如任何第三方就乙方交付的软件产品及服务向甲方提起侵权索赔，乙方应负责与第三方交涉，并承担由此引起的一切法律责任，相关费用由乙方承担。</w:t>
      </w:r>
    </w:p>
    <w:p w14:paraId="78F809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14:paraId="7C4D56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9.乙方保证和医院有关的技术信息和资料，不得透露给第三方。</w:t>
      </w:r>
    </w:p>
    <w:p w14:paraId="5C6ACE5B">
      <w:pPr>
        <w:pStyle w:val="33"/>
        <w:keepNext w:val="0"/>
        <w:keepLines w:val="0"/>
        <w:pageBreakBefore w:val="0"/>
        <w:widowControl w:val="0"/>
        <w:tabs>
          <w:tab w:val="left" w:pos="900"/>
        </w:tabs>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九、技术服务</w:t>
      </w:r>
    </w:p>
    <w:p w14:paraId="2877235E">
      <w:pPr>
        <w:pStyle w:val="158"/>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1.无用户并发数限制，无装机点位数限制。</w:t>
      </w:r>
    </w:p>
    <w:p w14:paraId="64273168">
      <w:pPr>
        <w:pStyle w:val="158"/>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2.厂商具备现场二次开发的能力。</w:t>
      </w:r>
    </w:p>
    <w:p w14:paraId="64BF2194">
      <w:pPr>
        <w:pStyle w:val="17"/>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3.系统需实现全院信息的完整共享，应与院内已经有的（集成平台、会计核算、预算管理、合同管理、成本管理、人力资源管理、物资、设备、绩效等）软件系统免费对接。</w:t>
      </w:r>
    </w:p>
    <w:p w14:paraId="17A5E517">
      <w:pPr>
        <w:pStyle w:val="158"/>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4.数据备份：要有完备的数据备份方案。</w:t>
      </w:r>
    </w:p>
    <w:p w14:paraId="0C3913FF">
      <w:pPr>
        <w:pStyle w:val="158"/>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5.无版权纠纷，符合等保2.0要求，在质保期内免费升级。</w:t>
      </w:r>
    </w:p>
    <w:p w14:paraId="11A3C7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十、验收</w:t>
      </w:r>
    </w:p>
    <w:p w14:paraId="5E313243">
      <w:pPr>
        <w:pStyle w:val="158"/>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向甲方交付所开发的软件产品后进入试运行期，试运行期限为3个月，如果在试运行期间，如发现软件产品有缺陷，或性能和质量不符甲方要求时，乙方有责任对其进行修改和更正。同时试运行期依据上述修改、更正期间进行相应顺延。</w:t>
      </w:r>
    </w:p>
    <w:p w14:paraId="3DEB6E31">
      <w:pPr>
        <w:pStyle w:val="158"/>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份。</w:t>
      </w:r>
    </w:p>
    <w:p w14:paraId="50511B3E">
      <w:pPr>
        <w:pStyle w:val="158"/>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3.验收不合格，由乙方负责更正和修改，直至验收合格。</w:t>
      </w:r>
    </w:p>
    <w:p w14:paraId="26FF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十一、争议解决办法：</w:t>
      </w:r>
    </w:p>
    <w:p w14:paraId="727501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双方当事人因履行本合同所产生的一切争议，应先行协商解决，协商不成，任何一方可向</w:t>
      </w:r>
      <w:r>
        <w:rPr>
          <w:rFonts w:hint="eastAsia" w:ascii="宋体" w:hAnsi="宋体" w:eastAsia="宋体" w:cs="宋体"/>
          <w:color w:val="auto"/>
          <w:sz w:val="24"/>
          <w:szCs w:val="24"/>
          <w:lang w:val="en-US" w:eastAsia="zh-CN"/>
        </w:rPr>
        <w:t>甲方总院所在地</w:t>
      </w:r>
      <w:r>
        <w:rPr>
          <w:rFonts w:hint="eastAsia" w:ascii="宋体" w:hAnsi="宋体" w:eastAsia="宋体" w:cs="宋体"/>
          <w:color w:val="auto"/>
          <w:sz w:val="24"/>
          <w:szCs w:val="24"/>
        </w:rPr>
        <w:t>仲裁委员会申请仲裁或向人民法院起诉。</w:t>
      </w:r>
    </w:p>
    <w:p w14:paraId="5DE8E6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十二、不可抗力</w:t>
      </w:r>
    </w:p>
    <w:p w14:paraId="084041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1.如合同双方中任何一方由于不可抗力，如：地震、水灾、台风、战争和其他双方都认为的不可抗力原因而无法按期履行合同。由双方协商确定后，合同执行的时间做相应延期。</w:t>
      </w:r>
    </w:p>
    <w:p w14:paraId="763E14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2.受影响方应尽快将所发生的不可抗力事故的情况以电话或传真通知另一方，并在不可抗力发生</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天内尽快用传真和挂号信将有关权威机构出具的证明文件提交另一方确认。</w:t>
      </w:r>
    </w:p>
    <w:p w14:paraId="2B393D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3.当不可抗力事故终止或事故消除后，受阻方应尽快用传真或电传通知对方关于不可抗力形势的解除并以挂号信加以确认，并继续履行合同。</w:t>
      </w:r>
    </w:p>
    <w:p w14:paraId="23E67A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4.如果不可抗力阻碍合同的履行超过</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天，双方就合同的进一步履行问题进行讨论并达成一致意见。</w:t>
      </w:r>
    </w:p>
    <w:p w14:paraId="452EDC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、其它：</w:t>
      </w:r>
    </w:p>
    <w:p w14:paraId="5A8671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本合同经双方代表签字加盖单位公章或合同专用章生效。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与本合同具有同等法律效应。</w:t>
      </w:r>
    </w:p>
    <w:p w14:paraId="335902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本合同如有未</w:t>
      </w:r>
      <w:r>
        <w:rPr>
          <w:rFonts w:hint="eastAsia" w:ascii="宋体" w:hAnsi="宋体" w:eastAsia="宋体" w:cs="宋体"/>
          <w:color w:val="auto"/>
          <w:sz w:val="24"/>
          <w:szCs w:val="24"/>
          <w:lang w:eastAsia="zh-CN"/>
        </w:rPr>
        <w:t>尽事宜由双方协商解</w:t>
      </w:r>
      <w:r>
        <w:rPr>
          <w:rFonts w:hint="eastAsia" w:ascii="宋体" w:hAnsi="宋体" w:eastAsia="宋体" w:cs="宋体"/>
          <w:color w:val="auto"/>
          <w:sz w:val="24"/>
          <w:szCs w:val="24"/>
        </w:rPr>
        <w:t>决，如双方协商一致或签订补充协议，补充协议与本合同具有同等法律效力。</w:t>
      </w:r>
    </w:p>
    <w:p w14:paraId="5AE8AD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份，双方各持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投标文件和本合同</w:t>
      </w:r>
      <w:r>
        <w:rPr>
          <w:rFonts w:hint="eastAsia" w:ascii="宋体" w:hAnsi="宋体" w:eastAsia="宋体" w:cs="宋体"/>
          <w:color w:val="auto"/>
          <w:sz w:val="24"/>
          <w:szCs w:val="24"/>
        </w:rPr>
        <w:t>具有同等法律效力，双方签字盖章后生效。</w:t>
      </w:r>
    </w:p>
    <w:p w14:paraId="6CB472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p>
    <w:p w14:paraId="529C98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eastAsia="zh-CN"/>
        </w:rPr>
        <w:t>软件功能</w:t>
      </w:r>
      <w:r>
        <w:rPr>
          <w:rFonts w:hint="eastAsia" w:ascii="宋体" w:hAnsi="宋体" w:eastAsia="宋体" w:cs="宋体"/>
          <w:color w:val="auto"/>
          <w:sz w:val="24"/>
          <w:szCs w:val="24"/>
          <w:lang w:val="en-US" w:eastAsia="zh-CN"/>
        </w:rPr>
        <w:t>说明及服务清单</w:t>
      </w:r>
    </w:p>
    <w:p w14:paraId="45A9746E">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rPr>
      </w:pPr>
    </w:p>
    <w:tbl>
      <w:tblPr>
        <w:tblStyle w:val="44"/>
        <w:tblW w:w="0" w:type="auto"/>
        <w:jc w:val="center"/>
        <w:tblLayout w:type="fixed"/>
        <w:tblCellMar>
          <w:top w:w="0" w:type="dxa"/>
          <w:left w:w="0" w:type="dxa"/>
          <w:bottom w:w="0" w:type="dxa"/>
          <w:right w:w="0" w:type="dxa"/>
        </w:tblCellMar>
      </w:tblPr>
      <w:tblGrid>
        <w:gridCol w:w="1243"/>
        <w:gridCol w:w="3090"/>
        <w:gridCol w:w="1350"/>
        <w:gridCol w:w="3000"/>
      </w:tblGrid>
      <w:tr w14:paraId="51BD10D3">
        <w:tblPrEx>
          <w:tblCellMar>
            <w:top w:w="0" w:type="dxa"/>
            <w:left w:w="0" w:type="dxa"/>
            <w:bottom w:w="0" w:type="dxa"/>
            <w:right w:w="0" w:type="dxa"/>
          </w:tblCellMar>
        </w:tblPrEx>
        <w:trPr>
          <w:trHeight w:val="600" w:hRule="atLeast"/>
          <w:jc w:val="center"/>
        </w:trPr>
        <w:tc>
          <w:tcPr>
            <w:tcW w:w="1243" w:type="dxa"/>
            <w:tcBorders>
              <w:top w:val="nil"/>
              <w:left w:val="nil"/>
              <w:bottom w:val="nil"/>
              <w:right w:val="nil"/>
            </w:tcBorders>
            <w:noWrap w:val="0"/>
            <w:tcMar>
              <w:top w:w="15" w:type="dxa"/>
              <w:left w:w="15" w:type="dxa"/>
              <w:right w:w="15" w:type="dxa"/>
            </w:tcMar>
            <w:vAlign w:val="center"/>
          </w:tcPr>
          <w:p w14:paraId="2286CB6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甲方（章）：</w:t>
            </w:r>
          </w:p>
        </w:tc>
        <w:tc>
          <w:tcPr>
            <w:tcW w:w="3090" w:type="dxa"/>
            <w:tcBorders>
              <w:top w:val="nil"/>
              <w:left w:val="nil"/>
              <w:bottom w:val="nil"/>
              <w:right w:val="nil"/>
            </w:tcBorders>
            <w:noWrap w:val="0"/>
            <w:tcMar>
              <w:top w:w="15" w:type="dxa"/>
              <w:left w:w="15" w:type="dxa"/>
              <w:right w:w="15" w:type="dxa"/>
            </w:tcMar>
            <w:vAlign w:val="center"/>
          </w:tcPr>
          <w:p w14:paraId="3A34213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安康市中心医院</w:t>
            </w:r>
          </w:p>
        </w:tc>
        <w:tc>
          <w:tcPr>
            <w:tcW w:w="1350" w:type="dxa"/>
            <w:tcBorders>
              <w:top w:val="nil"/>
              <w:left w:val="nil"/>
              <w:bottom w:val="nil"/>
              <w:right w:val="nil"/>
            </w:tcBorders>
            <w:noWrap w:val="0"/>
            <w:tcMar>
              <w:top w:w="15" w:type="dxa"/>
              <w:left w:w="15" w:type="dxa"/>
              <w:right w:w="15" w:type="dxa"/>
            </w:tcMar>
            <w:vAlign w:val="center"/>
          </w:tcPr>
          <w:p w14:paraId="457550E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乙方（章）：</w:t>
            </w:r>
          </w:p>
        </w:tc>
        <w:tc>
          <w:tcPr>
            <w:tcW w:w="3000" w:type="dxa"/>
            <w:tcBorders>
              <w:top w:val="nil"/>
              <w:left w:val="nil"/>
              <w:bottom w:val="nil"/>
              <w:right w:val="nil"/>
            </w:tcBorders>
            <w:noWrap w:val="0"/>
            <w:tcMar>
              <w:top w:w="15" w:type="dxa"/>
              <w:left w:w="15" w:type="dxa"/>
              <w:right w:w="15" w:type="dxa"/>
            </w:tcMar>
            <w:vAlign w:val="center"/>
          </w:tcPr>
          <w:p w14:paraId="2C8B234D">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p>
        </w:tc>
      </w:tr>
      <w:tr w14:paraId="71960C19">
        <w:tblPrEx>
          <w:tblCellMar>
            <w:top w:w="0" w:type="dxa"/>
            <w:left w:w="0" w:type="dxa"/>
            <w:bottom w:w="0" w:type="dxa"/>
            <w:right w:w="0" w:type="dxa"/>
          </w:tblCellMar>
        </w:tblPrEx>
        <w:trPr>
          <w:trHeight w:val="504" w:hRule="atLeast"/>
          <w:jc w:val="center"/>
        </w:trPr>
        <w:tc>
          <w:tcPr>
            <w:tcW w:w="1243" w:type="dxa"/>
            <w:tcBorders>
              <w:top w:val="nil"/>
              <w:left w:val="nil"/>
              <w:bottom w:val="nil"/>
              <w:right w:val="nil"/>
            </w:tcBorders>
            <w:noWrap w:val="0"/>
            <w:tcMar>
              <w:top w:w="15" w:type="dxa"/>
              <w:left w:w="15" w:type="dxa"/>
              <w:right w:w="15" w:type="dxa"/>
            </w:tcMar>
            <w:vAlign w:val="center"/>
          </w:tcPr>
          <w:p w14:paraId="4070ECC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开 户 行：</w:t>
            </w:r>
          </w:p>
        </w:tc>
        <w:tc>
          <w:tcPr>
            <w:tcW w:w="3090" w:type="dxa"/>
            <w:tcBorders>
              <w:top w:val="nil"/>
              <w:left w:val="nil"/>
              <w:bottom w:val="nil"/>
              <w:right w:val="nil"/>
            </w:tcBorders>
            <w:noWrap w:val="0"/>
            <w:tcMar>
              <w:top w:w="15" w:type="dxa"/>
              <w:left w:w="15" w:type="dxa"/>
              <w:right w:w="15" w:type="dxa"/>
            </w:tcMar>
            <w:vAlign w:val="center"/>
          </w:tcPr>
          <w:p w14:paraId="69534390">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中国农业银行安康市江北支行营业部 </w:t>
            </w:r>
          </w:p>
        </w:tc>
        <w:tc>
          <w:tcPr>
            <w:tcW w:w="1350" w:type="dxa"/>
            <w:tcBorders>
              <w:top w:val="nil"/>
              <w:left w:val="nil"/>
              <w:bottom w:val="nil"/>
              <w:right w:val="nil"/>
            </w:tcBorders>
            <w:noWrap w:val="0"/>
            <w:tcMar>
              <w:top w:w="15" w:type="dxa"/>
              <w:left w:w="15" w:type="dxa"/>
              <w:right w:w="15" w:type="dxa"/>
            </w:tcMar>
            <w:vAlign w:val="center"/>
          </w:tcPr>
          <w:p w14:paraId="18D0D2C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开 户 行：</w:t>
            </w:r>
          </w:p>
        </w:tc>
        <w:tc>
          <w:tcPr>
            <w:tcW w:w="3000" w:type="dxa"/>
            <w:tcBorders>
              <w:top w:val="nil"/>
              <w:left w:val="nil"/>
              <w:bottom w:val="nil"/>
              <w:right w:val="nil"/>
            </w:tcBorders>
            <w:noWrap w:val="0"/>
            <w:tcMar>
              <w:top w:w="15" w:type="dxa"/>
              <w:left w:w="15" w:type="dxa"/>
              <w:right w:w="15" w:type="dxa"/>
            </w:tcMar>
            <w:vAlign w:val="center"/>
          </w:tcPr>
          <w:p w14:paraId="03068A70">
            <w:pPr>
              <w:keepNext w:val="0"/>
              <w:keepLines w:val="0"/>
              <w:pageBreakBefore w:val="0"/>
              <w:widowControl/>
              <w:suppressLineNumbers w:val="0"/>
              <w:kinsoku/>
              <w:wordWrap/>
              <w:overflowPunct/>
              <w:topLinePunct w:val="0"/>
              <w:bidi w:val="0"/>
              <w:adjustRightInd w:val="0"/>
              <w:snapToGrid w:val="0"/>
              <w:spacing w:line="360" w:lineRule="auto"/>
              <w:ind w:left="0" w:leftChars="0" w:firstLine="480" w:firstLineChars="200"/>
              <w:jc w:val="both"/>
              <w:textAlignment w:val="center"/>
              <w:rPr>
                <w:rFonts w:hint="eastAsia" w:ascii="宋体" w:hAnsi="宋体" w:eastAsia="宋体" w:cs="宋体"/>
                <w:color w:val="auto"/>
                <w:kern w:val="2"/>
                <w:sz w:val="24"/>
                <w:szCs w:val="24"/>
                <w:lang w:val="en-US" w:eastAsia="zh-CN" w:bidi="ar-SA"/>
              </w:rPr>
            </w:pPr>
          </w:p>
        </w:tc>
      </w:tr>
      <w:tr w14:paraId="619CE729">
        <w:tblPrEx>
          <w:tblCellMar>
            <w:top w:w="0" w:type="dxa"/>
            <w:left w:w="0" w:type="dxa"/>
            <w:bottom w:w="0" w:type="dxa"/>
            <w:right w:w="0" w:type="dxa"/>
          </w:tblCellMar>
        </w:tblPrEx>
        <w:trPr>
          <w:trHeight w:val="483" w:hRule="atLeast"/>
          <w:jc w:val="center"/>
        </w:trPr>
        <w:tc>
          <w:tcPr>
            <w:tcW w:w="1243" w:type="dxa"/>
            <w:tcBorders>
              <w:top w:val="nil"/>
              <w:left w:val="nil"/>
              <w:bottom w:val="nil"/>
              <w:right w:val="nil"/>
            </w:tcBorders>
            <w:noWrap w:val="0"/>
            <w:tcMar>
              <w:top w:w="15" w:type="dxa"/>
              <w:left w:w="15" w:type="dxa"/>
              <w:right w:w="15" w:type="dxa"/>
            </w:tcMar>
            <w:vAlign w:val="center"/>
          </w:tcPr>
          <w:p w14:paraId="22F96EB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纳税人识别号：</w:t>
            </w:r>
          </w:p>
        </w:tc>
        <w:tc>
          <w:tcPr>
            <w:tcW w:w="3090" w:type="dxa"/>
            <w:tcBorders>
              <w:top w:val="nil"/>
              <w:left w:val="nil"/>
              <w:bottom w:val="nil"/>
              <w:right w:val="nil"/>
            </w:tcBorders>
            <w:noWrap w:val="0"/>
            <w:tcMar>
              <w:top w:w="15" w:type="dxa"/>
              <w:left w:w="15" w:type="dxa"/>
              <w:right w:w="15" w:type="dxa"/>
            </w:tcMar>
            <w:vAlign w:val="center"/>
          </w:tcPr>
          <w:p w14:paraId="715C3F98">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12610900436135176R</w:t>
            </w:r>
          </w:p>
        </w:tc>
        <w:tc>
          <w:tcPr>
            <w:tcW w:w="1350" w:type="dxa"/>
            <w:tcBorders>
              <w:top w:val="nil"/>
              <w:left w:val="nil"/>
              <w:bottom w:val="nil"/>
              <w:right w:val="nil"/>
            </w:tcBorders>
            <w:noWrap w:val="0"/>
            <w:tcMar>
              <w:top w:w="15" w:type="dxa"/>
              <w:left w:w="15" w:type="dxa"/>
              <w:right w:w="15" w:type="dxa"/>
            </w:tcMar>
            <w:vAlign w:val="center"/>
          </w:tcPr>
          <w:p w14:paraId="5470569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账    号：</w:t>
            </w:r>
          </w:p>
        </w:tc>
        <w:tc>
          <w:tcPr>
            <w:tcW w:w="3000" w:type="dxa"/>
            <w:tcBorders>
              <w:top w:val="nil"/>
              <w:left w:val="nil"/>
              <w:bottom w:val="nil"/>
              <w:right w:val="nil"/>
            </w:tcBorders>
            <w:noWrap w:val="0"/>
            <w:tcMar>
              <w:top w:w="15" w:type="dxa"/>
              <w:left w:w="15" w:type="dxa"/>
              <w:right w:w="15" w:type="dxa"/>
            </w:tcMar>
            <w:vAlign w:val="center"/>
          </w:tcPr>
          <w:p w14:paraId="32CD69B5">
            <w:pPr>
              <w:keepNext w:val="0"/>
              <w:keepLines w:val="0"/>
              <w:pageBreakBefore w:val="0"/>
              <w:widowControl/>
              <w:suppressLineNumbers w:val="0"/>
              <w:kinsoku/>
              <w:wordWrap/>
              <w:overflowPunct/>
              <w:topLinePunct w:val="0"/>
              <w:bidi w:val="0"/>
              <w:adjustRightInd w:val="0"/>
              <w:snapToGrid w:val="0"/>
              <w:spacing w:line="360" w:lineRule="auto"/>
              <w:ind w:left="0" w:leftChars="0" w:firstLine="480" w:firstLineChars="200"/>
              <w:jc w:val="both"/>
              <w:textAlignment w:val="center"/>
              <w:rPr>
                <w:rFonts w:hint="eastAsia" w:ascii="宋体" w:hAnsi="宋体" w:eastAsia="宋体" w:cs="宋体"/>
                <w:color w:val="auto"/>
                <w:kern w:val="2"/>
                <w:sz w:val="24"/>
                <w:szCs w:val="24"/>
                <w:lang w:val="en-US" w:eastAsia="zh-CN" w:bidi="ar-SA"/>
              </w:rPr>
            </w:pPr>
          </w:p>
        </w:tc>
      </w:tr>
      <w:tr w14:paraId="1F61AFC0">
        <w:tblPrEx>
          <w:tblCellMar>
            <w:top w:w="0" w:type="dxa"/>
            <w:left w:w="0" w:type="dxa"/>
            <w:bottom w:w="0" w:type="dxa"/>
            <w:right w:w="0" w:type="dxa"/>
          </w:tblCellMar>
        </w:tblPrEx>
        <w:trPr>
          <w:trHeight w:val="564" w:hRule="atLeast"/>
          <w:jc w:val="center"/>
        </w:trPr>
        <w:tc>
          <w:tcPr>
            <w:tcW w:w="1243" w:type="dxa"/>
            <w:tcBorders>
              <w:top w:val="nil"/>
              <w:left w:val="nil"/>
              <w:bottom w:val="nil"/>
              <w:right w:val="nil"/>
            </w:tcBorders>
            <w:noWrap w:val="0"/>
            <w:tcMar>
              <w:top w:w="15" w:type="dxa"/>
              <w:left w:w="15" w:type="dxa"/>
              <w:right w:w="15" w:type="dxa"/>
            </w:tcMar>
            <w:vAlign w:val="center"/>
          </w:tcPr>
          <w:p w14:paraId="026D847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地    址：</w:t>
            </w:r>
          </w:p>
        </w:tc>
        <w:tc>
          <w:tcPr>
            <w:tcW w:w="3090" w:type="dxa"/>
            <w:tcBorders>
              <w:top w:val="nil"/>
              <w:left w:val="nil"/>
              <w:bottom w:val="nil"/>
              <w:right w:val="nil"/>
            </w:tcBorders>
            <w:noWrap w:val="0"/>
            <w:tcMar>
              <w:top w:w="15" w:type="dxa"/>
              <w:left w:w="15" w:type="dxa"/>
              <w:right w:w="15" w:type="dxa"/>
            </w:tcMar>
            <w:vAlign w:val="center"/>
          </w:tcPr>
          <w:p w14:paraId="090FAF6B">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安康市汉滨区金州南路85号</w:t>
            </w:r>
          </w:p>
        </w:tc>
        <w:tc>
          <w:tcPr>
            <w:tcW w:w="1350" w:type="dxa"/>
            <w:tcBorders>
              <w:top w:val="nil"/>
              <w:left w:val="nil"/>
              <w:bottom w:val="nil"/>
              <w:right w:val="nil"/>
            </w:tcBorders>
            <w:noWrap w:val="0"/>
            <w:tcMar>
              <w:top w:w="15" w:type="dxa"/>
              <w:left w:w="15" w:type="dxa"/>
              <w:right w:w="15" w:type="dxa"/>
            </w:tcMar>
            <w:vAlign w:val="center"/>
          </w:tcPr>
          <w:p w14:paraId="70200B16">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联系电话：</w:t>
            </w:r>
          </w:p>
        </w:tc>
        <w:tc>
          <w:tcPr>
            <w:tcW w:w="3000" w:type="dxa"/>
            <w:tcBorders>
              <w:top w:val="nil"/>
              <w:left w:val="nil"/>
              <w:bottom w:val="nil"/>
              <w:right w:val="nil"/>
            </w:tcBorders>
            <w:noWrap w:val="0"/>
            <w:tcMar>
              <w:top w:w="15" w:type="dxa"/>
              <w:left w:w="15" w:type="dxa"/>
              <w:right w:w="15" w:type="dxa"/>
            </w:tcMar>
            <w:vAlign w:val="center"/>
          </w:tcPr>
          <w:p w14:paraId="512B49E8">
            <w:pPr>
              <w:keepNext w:val="0"/>
              <w:keepLines w:val="0"/>
              <w:pageBreakBefore w:val="0"/>
              <w:widowControl/>
              <w:suppressLineNumbers w:val="0"/>
              <w:kinsoku/>
              <w:wordWrap/>
              <w:overflowPunct/>
              <w:topLinePunct w:val="0"/>
              <w:bidi w:val="0"/>
              <w:adjustRightInd w:val="0"/>
              <w:snapToGrid w:val="0"/>
              <w:spacing w:line="360" w:lineRule="auto"/>
              <w:ind w:left="0" w:leftChars="0" w:firstLine="480" w:firstLineChars="200"/>
              <w:jc w:val="both"/>
              <w:textAlignment w:val="center"/>
              <w:rPr>
                <w:rFonts w:hint="eastAsia" w:ascii="宋体" w:hAnsi="宋体" w:eastAsia="宋体" w:cs="宋体"/>
                <w:color w:val="auto"/>
                <w:kern w:val="2"/>
                <w:sz w:val="24"/>
                <w:szCs w:val="24"/>
                <w:lang w:val="en-US" w:eastAsia="zh-CN" w:bidi="ar-SA"/>
              </w:rPr>
            </w:pPr>
          </w:p>
        </w:tc>
      </w:tr>
      <w:tr w14:paraId="49791470">
        <w:tblPrEx>
          <w:tblCellMar>
            <w:top w:w="0" w:type="dxa"/>
            <w:left w:w="0" w:type="dxa"/>
            <w:bottom w:w="0" w:type="dxa"/>
            <w:right w:w="0" w:type="dxa"/>
          </w:tblCellMar>
        </w:tblPrEx>
        <w:trPr>
          <w:trHeight w:val="786" w:hRule="atLeast"/>
          <w:jc w:val="center"/>
        </w:trPr>
        <w:tc>
          <w:tcPr>
            <w:tcW w:w="1243" w:type="dxa"/>
            <w:tcBorders>
              <w:top w:val="nil"/>
              <w:left w:val="nil"/>
              <w:bottom w:val="nil"/>
              <w:right w:val="nil"/>
            </w:tcBorders>
            <w:noWrap w:val="0"/>
            <w:tcMar>
              <w:top w:w="15" w:type="dxa"/>
              <w:left w:w="15" w:type="dxa"/>
              <w:right w:w="15" w:type="dxa"/>
            </w:tcMar>
            <w:vAlign w:val="center"/>
          </w:tcPr>
          <w:p w14:paraId="5B5888F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法人代表：</w:t>
            </w:r>
          </w:p>
        </w:tc>
        <w:tc>
          <w:tcPr>
            <w:tcW w:w="3090" w:type="dxa"/>
            <w:tcBorders>
              <w:top w:val="nil"/>
              <w:left w:val="nil"/>
              <w:bottom w:val="nil"/>
              <w:right w:val="nil"/>
            </w:tcBorders>
            <w:noWrap w:val="0"/>
            <w:tcMar>
              <w:top w:w="15" w:type="dxa"/>
              <w:left w:w="15" w:type="dxa"/>
              <w:right w:w="15" w:type="dxa"/>
            </w:tcMar>
            <w:vAlign w:val="center"/>
          </w:tcPr>
          <w:p w14:paraId="09ECD153">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p>
          <w:p w14:paraId="194EECDA">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p>
        </w:tc>
        <w:tc>
          <w:tcPr>
            <w:tcW w:w="1350" w:type="dxa"/>
            <w:tcBorders>
              <w:top w:val="nil"/>
              <w:left w:val="nil"/>
              <w:bottom w:val="nil"/>
              <w:right w:val="nil"/>
            </w:tcBorders>
            <w:noWrap w:val="0"/>
            <w:tcMar>
              <w:top w:w="15" w:type="dxa"/>
              <w:left w:w="15" w:type="dxa"/>
              <w:right w:w="15" w:type="dxa"/>
            </w:tcMar>
            <w:vAlign w:val="center"/>
          </w:tcPr>
          <w:p w14:paraId="425B804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法人代表：</w:t>
            </w:r>
          </w:p>
        </w:tc>
        <w:tc>
          <w:tcPr>
            <w:tcW w:w="3000" w:type="dxa"/>
            <w:tcBorders>
              <w:top w:val="nil"/>
              <w:left w:val="nil"/>
              <w:bottom w:val="nil"/>
              <w:right w:val="nil"/>
            </w:tcBorders>
            <w:noWrap w:val="0"/>
            <w:tcMar>
              <w:top w:w="15" w:type="dxa"/>
              <w:left w:w="15" w:type="dxa"/>
              <w:right w:w="15" w:type="dxa"/>
            </w:tcMar>
            <w:vAlign w:val="center"/>
          </w:tcPr>
          <w:p w14:paraId="7451D308">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p>
        </w:tc>
      </w:tr>
      <w:tr w14:paraId="41A64432">
        <w:tblPrEx>
          <w:tblCellMar>
            <w:top w:w="0" w:type="dxa"/>
            <w:left w:w="0" w:type="dxa"/>
            <w:bottom w:w="0" w:type="dxa"/>
            <w:right w:w="0" w:type="dxa"/>
          </w:tblCellMar>
        </w:tblPrEx>
        <w:trPr>
          <w:trHeight w:val="731" w:hRule="atLeast"/>
          <w:jc w:val="center"/>
        </w:trPr>
        <w:tc>
          <w:tcPr>
            <w:tcW w:w="1243" w:type="dxa"/>
            <w:tcBorders>
              <w:top w:val="nil"/>
              <w:left w:val="nil"/>
              <w:bottom w:val="nil"/>
              <w:right w:val="nil"/>
            </w:tcBorders>
            <w:noWrap w:val="0"/>
            <w:tcMar>
              <w:top w:w="15" w:type="dxa"/>
              <w:left w:w="15" w:type="dxa"/>
              <w:right w:w="15" w:type="dxa"/>
            </w:tcMar>
            <w:vAlign w:val="top"/>
          </w:tcPr>
          <w:p w14:paraId="1EAAAA15">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委 托 人：</w:t>
            </w:r>
          </w:p>
        </w:tc>
        <w:tc>
          <w:tcPr>
            <w:tcW w:w="3090" w:type="dxa"/>
            <w:tcBorders>
              <w:top w:val="nil"/>
              <w:left w:val="nil"/>
              <w:bottom w:val="nil"/>
              <w:right w:val="nil"/>
            </w:tcBorders>
            <w:noWrap w:val="0"/>
            <w:tcMar>
              <w:top w:w="15" w:type="dxa"/>
              <w:left w:w="15" w:type="dxa"/>
              <w:right w:w="15" w:type="dxa"/>
            </w:tcMar>
            <w:vAlign w:val="top"/>
          </w:tcPr>
          <w:p w14:paraId="453346B3">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kern w:val="2"/>
                <w:sz w:val="24"/>
                <w:szCs w:val="24"/>
                <w:lang w:val="en-US" w:eastAsia="zh-CN" w:bidi="ar-SA"/>
              </w:rPr>
            </w:pPr>
          </w:p>
        </w:tc>
        <w:tc>
          <w:tcPr>
            <w:tcW w:w="1350" w:type="dxa"/>
            <w:tcBorders>
              <w:top w:val="nil"/>
              <w:left w:val="nil"/>
              <w:bottom w:val="nil"/>
              <w:right w:val="nil"/>
            </w:tcBorders>
            <w:noWrap w:val="0"/>
            <w:tcMar>
              <w:top w:w="15" w:type="dxa"/>
              <w:left w:w="15" w:type="dxa"/>
              <w:right w:w="15" w:type="dxa"/>
            </w:tcMar>
            <w:vAlign w:val="top"/>
          </w:tcPr>
          <w:p w14:paraId="24AED14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地    址：</w:t>
            </w:r>
          </w:p>
        </w:tc>
        <w:tc>
          <w:tcPr>
            <w:tcW w:w="3000" w:type="dxa"/>
            <w:tcBorders>
              <w:top w:val="nil"/>
              <w:left w:val="nil"/>
              <w:bottom w:val="nil"/>
              <w:right w:val="nil"/>
            </w:tcBorders>
            <w:noWrap w:val="0"/>
            <w:tcMar>
              <w:top w:w="15" w:type="dxa"/>
              <w:left w:w="15" w:type="dxa"/>
              <w:right w:w="15" w:type="dxa"/>
            </w:tcMar>
            <w:vAlign w:val="top"/>
          </w:tcPr>
          <w:p w14:paraId="70403BD4">
            <w:pPr>
              <w:keepNext w:val="0"/>
              <w:keepLines w:val="0"/>
              <w:pageBreakBefore w:val="0"/>
              <w:widowControl/>
              <w:suppressLineNumbers w:val="0"/>
              <w:kinsoku/>
              <w:wordWrap/>
              <w:overflowPunct/>
              <w:topLinePunct w:val="0"/>
              <w:bidi w:val="0"/>
              <w:adjustRightInd w:val="0"/>
              <w:snapToGrid w:val="0"/>
              <w:spacing w:line="360" w:lineRule="auto"/>
              <w:ind w:left="0" w:leftChars="0" w:firstLine="480" w:firstLineChars="200"/>
              <w:jc w:val="both"/>
              <w:textAlignment w:val="center"/>
              <w:rPr>
                <w:rFonts w:hint="eastAsia" w:ascii="宋体" w:hAnsi="宋体" w:eastAsia="宋体" w:cs="宋体"/>
                <w:color w:val="auto"/>
                <w:kern w:val="2"/>
                <w:sz w:val="24"/>
                <w:szCs w:val="24"/>
                <w:lang w:val="en-US" w:eastAsia="zh-CN" w:bidi="ar-SA"/>
              </w:rPr>
            </w:pPr>
          </w:p>
        </w:tc>
      </w:tr>
    </w:tbl>
    <w:p w14:paraId="3B36ECE6">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66F03304">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七</w:t>
      </w:r>
      <w:r>
        <w:rPr>
          <w:rFonts w:hint="eastAsia" w:ascii="宋体" w:hAnsi="宋体" w:eastAsia="宋体" w:cs="Times New Roman"/>
          <w:b/>
          <w:bCs/>
          <w:color w:val="auto"/>
          <w:kern w:val="44"/>
          <w:sz w:val="44"/>
          <w:szCs w:val="44"/>
          <w:lang w:val="en-US" w:eastAsia="zh-CN" w:bidi="ar-SA"/>
        </w:rPr>
        <w:t>章</w:t>
      </w:r>
      <w:r>
        <w:rPr>
          <w:rFonts w:hint="eastAsia" w:ascii="宋体" w:hAnsi="宋体" w:eastAsia="宋体" w:cs="Times New Roman"/>
          <w:color w:val="auto"/>
          <w:highlight w:val="none"/>
          <w:lang w:val="en-US" w:eastAsia="zh-CN"/>
        </w:rPr>
        <w:t xml:space="preserve"> </w:t>
      </w:r>
      <w:bookmarkStart w:id="117" w:name="_Toc28814"/>
      <w:r>
        <w:rPr>
          <w:rFonts w:hint="eastAsia" w:ascii="宋体" w:hAnsi="宋体" w:eastAsia="宋体" w:cs="Times New Roman"/>
          <w:color w:val="auto"/>
          <w:highlight w:val="none"/>
          <w:lang w:val="en-US" w:eastAsia="zh-CN"/>
        </w:rPr>
        <w:t>投标文件</w:t>
      </w:r>
      <w:bookmarkEnd w:id="111"/>
      <w:bookmarkEnd w:id="112"/>
      <w:r>
        <w:rPr>
          <w:rFonts w:hint="eastAsia" w:ascii="宋体" w:hAnsi="宋体" w:eastAsia="宋体" w:cs="Times New Roman"/>
          <w:color w:val="auto"/>
          <w:highlight w:val="none"/>
          <w:lang w:val="en-US" w:eastAsia="zh-CN"/>
        </w:rPr>
        <w:t>（格式）</w:t>
      </w:r>
      <w:bookmarkEnd w:id="113"/>
      <w:bookmarkEnd w:id="114"/>
      <w:bookmarkEnd w:id="115"/>
      <w:bookmarkEnd w:id="117"/>
    </w:p>
    <w:bookmarkEnd w:id="116"/>
    <w:p w14:paraId="51BD0770">
      <w:pPr>
        <w:widowControl/>
        <w:spacing w:line="400" w:lineRule="exact"/>
        <w:jc w:val="right"/>
        <w:rPr>
          <w:rFonts w:cs="仿宋" w:asciiTheme="minorEastAsia" w:hAnsiTheme="minorEastAsia" w:eastAsiaTheme="minorEastAsia"/>
          <w:b/>
          <w:sz w:val="36"/>
          <w:szCs w:val="36"/>
          <w:highlight w:val="none"/>
          <w:bdr w:val="single" w:color="auto" w:sz="4" w:space="0"/>
          <w:shd w:val="pct10" w:color="auto" w:fill="FFFFFF"/>
        </w:rPr>
      </w:pPr>
      <w:r>
        <w:rPr>
          <w:rFonts w:hint="eastAsia" w:cs="仿宋" w:asciiTheme="minorEastAsia" w:hAnsiTheme="minorEastAsia" w:eastAsiaTheme="minorEastAsia"/>
          <w:b/>
          <w:sz w:val="36"/>
          <w:szCs w:val="36"/>
          <w:highlight w:val="none"/>
          <w:bdr w:val="single" w:color="auto" w:sz="4" w:space="0"/>
          <w:shd w:val="pct10" w:color="auto" w:fill="FFFFFF"/>
        </w:rPr>
        <w:t>政府采购项目</w:t>
      </w:r>
    </w:p>
    <w:p w14:paraId="590407A2">
      <w:pPr>
        <w:rPr>
          <w:highlight w:val="none"/>
        </w:rPr>
      </w:pPr>
    </w:p>
    <w:p w14:paraId="40C809EB">
      <w:pPr>
        <w:widowControl/>
        <w:spacing w:line="440" w:lineRule="exact"/>
        <w:rPr>
          <w:rFonts w:cs="仿宋" w:asciiTheme="minorEastAsia" w:hAnsiTheme="minorEastAsia" w:eastAsiaTheme="minorEastAsia"/>
          <w:bCs/>
          <w:sz w:val="32"/>
          <w:szCs w:val="32"/>
          <w:highlight w:val="none"/>
        </w:rPr>
      </w:pPr>
      <w:r>
        <w:rPr>
          <w:rFonts w:hint="eastAsia" w:ascii="宋体" w:hAnsi="宋体" w:cs="宋体"/>
          <w:b/>
          <w:bCs/>
          <w:kern w:val="44"/>
          <w:sz w:val="32"/>
          <w:szCs w:val="32"/>
          <w:highlight w:val="none"/>
        </w:rPr>
        <w:t>项目编号</w:t>
      </w:r>
      <w:r>
        <w:rPr>
          <w:rFonts w:hint="eastAsia" w:ascii="宋体" w:hAnsi="宋体" w:cs="宋体"/>
          <w:b/>
          <w:bCs/>
          <w:kern w:val="44"/>
          <w:sz w:val="32"/>
          <w:szCs w:val="32"/>
          <w:highlight w:val="none"/>
          <w:lang w:eastAsia="zh-CN"/>
        </w:rPr>
        <w:t>：</w:t>
      </w:r>
      <w:r>
        <w:rPr>
          <w:rFonts w:hint="eastAsia" w:cs="仿宋" w:asciiTheme="minorEastAsia" w:hAnsiTheme="minorEastAsia" w:eastAsiaTheme="minorEastAsia"/>
          <w:bCs/>
          <w:sz w:val="32"/>
          <w:szCs w:val="32"/>
          <w:highlight w:val="none"/>
        </w:rPr>
        <w:t xml:space="preserve"> </w:t>
      </w:r>
    </w:p>
    <w:p w14:paraId="5ADEB6FE">
      <w:pPr>
        <w:spacing w:line="480" w:lineRule="exact"/>
        <w:rPr>
          <w:rFonts w:ascii="宋体" w:hAnsi="宋体"/>
          <w:b/>
          <w:sz w:val="180"/>
          <w:szCs w:val="48"/>
          <w:highlight w:val="none"/>
        </w:rPr>
      </w:pPr>
    </w:p>
    <w:p w14:paraId="19991F97">
      <w:pPr>
        <w:spacing w:line="480" w:lineRule="exact"/>
        <w:rPr>
          <w:rFonts w:ascii="宋体" w:hAnsi="宋体"/>
          <w:b/>
          <w:sz w:val="180"/>
          <w:szCs w:val="48"/>
          <w:highlight w:val="none"/>
        </w:rPr>
      </w:pPr>
    </w:p>
    <w:p w14:paraId="65451B99">
      <w:pPr>
        <w:spacing w:line="480" w:lineRule="exact"/>
        <w:rPr>
          <w:rFonts w:ascii="宋体" w:hAnsi="宋体"/>
          <w:b/>
          <w:sz w:val="180"/>
          <w:szCs w:val="48"/>
          <w:highlight w:val="none"/>
        </w:rPr>
      </w:pPr>
    </w:p>
    <w:p w14:paraId="207A3786">
      <w:pPr>
        <w:spacing w:line="480" w:lineRule="exact"/>
        <w:rPr>
          <w:rFonts w:ascii="宋体" w:hAnsi="宋体"/>
          <w:b/>
          <w:sz w:val="180"/>
          <w:szCs w:val="48"/>
          <w:highlight w:val="none"/>
        </w:rPr>
      </w:pPr>
    </w:p>
    <w:p w14:paraId="10156A56">
      <w:pPr>
        <w:pStyle w:val="64"/>
        <w:spacing w:line="360" w:lineRule="auto"/>
        <w:ind w:left="3970" w:leftChars="418" w:hanging="3092" w:hangingChars="700"/>
        <w:rPr>
          <w:rFonts w:ascii="宋体" w:hAnsi="宋体"/>
          <w:b/>
          <w:sz w:val="44"/>
          <w:szCs w:val="20"/>
          <w:highlight w:val="none"/>
        </w:rPr>
      </w:pPr>
      <w:r>
        <w:rPr>
          <w:rFonts w:hint="eastAsia" w:ascii="宋体" w:hAnsi="宋体"/>
          <w:b/>
          <w:sz w:val="44"/>
          <w:szCs w:val="20"/>
          <w:highlight w:val="none"/>
        </w:rPr>
        <w:t xml:space="preserve"> </w:t>
      </w:r>
      <w:r>
        <w:rPr>
          <w:rFonts w:hint="eastAsia" w:ascii="宋体" w:hAnsi="宋体"/>
          <w:b/>
          <w:sz w:val="44"/>
          <w:szCs w:val="20"/>
          <w:highlight w:val="none"/>
          <w:u w:val="single"/>
        </w:rPr>
        <w:t xml:space="preserve">                       </w:t>
      </w:r>
      <w:r>
        <w:rPr>
          <w:rFonts w:hint="eastAsia" w:ascii="宋体" w:hAnsi="宋体"/>
          <w:b/>
          <w:sz w:val="44"/>
          <w:szCs w:val="20"/>
          <w:highlight w:val="none"/>
        </w:rPr>
        <w:t xml:space="preserve"> 项目</w:t>
      </w:r>
    </w:p>
    <w:p w14:paraId="1505852F">
      <w:pPr>
        <w:rPr>
          <w:highlight w:val="none"/>
        </w:rPr>
      </w:pPr>
    </w:p>
    <w:p w14:paraId="6CB9F5AE">
      <w:pPr>
        <w:rPr>
          <w:highlight w:val="none"/>
        </w:rPr>
      </w:pPr>
    </w:p>
    <w:p w14:paraId="731AF45A">
      <w:pPr>
        <w:spacing w:line="360" w:lineRule="auto"/>
        <w:jc w:val="center"/>
        <w:rPr>
          <w:rFonts w:ascii="宋体" w:hAnsi="宋体"/>
          <w:b/>
          <w:sz w:val="28"/>
          <w:szCs w:val="28"/>
          <w:highlight w:val="none"/>
        </w:rPr>
      </w:pPr>
      <w:r>
        <w:rPr>
          <w:rFonts w:hint="eastAsia" w:ascii="宋体" w:hAnsi="宋体"/>
          <w:sz w:val="72"/>
          <w:szCs w:val="72"/>
          <w:highlight w:val="none"/>
        </w:rPr>
        <w:t>投标文件</w:t>
      </w:r>
    </w:p>
    <w:p w14:paraId="4D8EF62F">
      <w:pPr>
        <w:spacing w:line="360" w:lineRule="auto"/>
        <w:rPr>
          <w:rFonts w:ascii="宋体" w:hAnsi="宋体"/>
          <w:b/>
          <w:sz w:val="28"/>
          <w:szCs w:val="28"/>
          <w:highlight w:val="none"/>
        </w:rPr>
      </w:pPr>
    </w:p>
    <w:p w14:paraId="5C3E06F4">
      <w:pPr>
        <w:spacing w:line="360" w:lineRule="auto"/>
        <w:jc w:val="center"/>
        <w:rPr>
          <w:rFonts w:ascii="宋体" w:hAnsi="宋体"/>
          <w:b/>
          <w:sz w:val="28"/>
          <w:szCs w:val="28"/>
          <w:highlight w:val="none"/>
        </w:rPr>
      </w:pPr>
    </w:p>
    <w:p w14:paraId="5C560AEC">
      <w:pPr>
        <w:widowControl/>
        <w:spacing w:line="360" w:lineRule="auto"/>
        <w:ind w:left="199" w:leftChars="95" w:firstLine="360" w:firstLineChars="150"/>
        <w:rPr>
          <w:rFonts w:ascii="宋体" w:hAnsi="宋体"/>
          <w:sz w:val="24"/>
          <w:szCs w:val="24"/>
          <w:highlight w:val="none"/>
        </w:rPr>
      </w:pPr>
    </w:p>
    <w:p w14:paraId="2C1B7906">
      <w:pPr>
        <w:widowControl/>
        <w:spacing w:line="360" w:lineRule="auto"/>
        <w:ind w:left="199" w:leftChars="95" w:firstLine="360" w:firstLineChars="150"/>
        <w:rPr>
          <w:rFonts w:ascii="宋体" w:hAnsi="宋体"/>
          <w:sz w:val="24"/>
          <w:szCs w:val="24"/>
          <w:highlight w:val="none"/>
        </w:rPr>
      </w:pPr>
    </w:p>
    <w:p w14:paraId="28704FD9">
      <w:pPr>
        <w:pStyle w:val="40"/>
        <w:rPr>
          <w:highlight w:val="none"/>
        </w:rPr>
      </w:pPr>
    </w:p>
    <w:p w14:paraId="3A70FEA7">
      <w:pPr>
        <w:widowControl/>
        <w:spacing w:line="360" w:lineRule="auto"/>
        <w:ind w:left="199" w:leftChars="95" w:firstLine="360" w:firstLineChars="150"/>
        <w:rPr>
          <w:rFonts w:ascii="宋体" w:hAnsi="宋体"/>
          <w:sz w:val="24"/>
          <w:szCs w:val="24"/>
          <w:highlight w:val="none"/>
          <w:u w:val="single"/>
        </w:rPr>
      </w:pPr>
    </w:p>
    <w:p w14:paraId="01CA77F7">
      <w:pPr>
        <w:snapToGrid w:val="0"/>
        <w:spacing w:line="360" w:lineRule="auto"/>
        <w:ind w:firstLine="640" w:firstLineChars="200"/>
        <w:jc w:val="left"/>
        <w:rPr>
          <w:rFonts w:ascii="宋体"/>
          <w:sz w:val="32"/>
          <w:szCs w:val="32"/>
          <w:highlight w:val="none"/>
          <w:u w:val="single"/>
        </w:rPr>
      </w:pPr>
      <w:bookmarkStart w:id="118" w:name="_Toc484890086"/>
      <w:bookmarkStart w:id="119" w:name="_Toc528240831"/>
      <w:r>
        <w:rPr>
          <w:rFonts w:hint="eastAsia" w:ascii="宋体" w:hAnsi="宋体" w:cs="宋体"/>
          <w:sz w:val="32"/>
          <w:szCs w:val="32"/>
          <w:highlight w:val="none"/>
          <w:lang w:val="zh-CN"/>
        </w:rPr>
        <w:t>供应商（单位名称及公章）：</w:t>
      </w:r>
      <w:r>
        <w:rPr>
          <w:rFonts w:hint="eastAsia" w:ascii="宋体" w:hAnsi="宋体" w:cs="宋体"/>
          <w:sz w:val="24"/>
          <w:szCs w:val="24"/>
          <w:highlight w:val="none"/>
        </w:rPr>
        <w:t>____________________________</w:t>
      </w:r>
    </w:p>
    <w:p w14:paraId="1E18BE4E">
      <w:pPr>
        <w:snapToGrid w:val="0"/>
        <w:spacing w:line="360" w:lineRule="auto"/>
        <w:ind w:firstLine="640" w:firstLineChars="200"/>
        <w:jc w:val="left"/>
        <w:rPr>
          <w:highlight w:val="none"/>
        </w:rPr>
      </w:pPr>
      <w:r>
        <w:rPr>
          <w:rFonts w:hint="eastAsia" w:ascii="宋体" w:hAnsi="宋体" w:cs="宋体"/>
          <w:sz w:val="32"/>
          <w:szCs w:val="32"/>
          <w:highlight w:val="none"/>
          <w:lang w:val="zh-CN"/>
        </w:rPr>
        <w:t>法定代表人</w:t>
      </w:r>
      <w:r>
        <w:rPr>
          <w:rFonts w:hint="eastAsia" w:ascii="宋体" w:hAnsi="宋体" w:cs="宋体"/>
          <w:sz w:val="32"/>
          <w:szCs w:val="32"/>
          <w:highlight w:val="none"/>
        </w:rPr>
        <w:t>或</w:t>
      </w:r>
      <w:r>
        <w:rPr>
          <w:rFonts w:hint="eastAsia" w:ascii="宋体" w:hAnsi="宋体" w:cs="宋体"/>
          <w:sz w:val="32"/>
          <w:szCs w:val="32"/>
          <w:highlight w:val="none"/>
          <w:lang w:val="zh-CN"/>
        </w:rPr>
        <w:t>被授权人（签字</w:t>
      </w:r>
      <w:r>
        <w:rPr>
          <w:rFonts w:hint="eastAsia" w:ascii="宋体" w:hAnsi="宋体" w:cs="宋体"/>
          <w:sz w:val="32"/>
          <w:szCs w:val="32"/>
          <w:highlight w:val="none"/>
        </w:rPr>
        <w:t>或盖章</w:t>
      </w:r>
      <w:r>
        <w:rPr>
          <w:rFonts w:hint="eastAsia" w:ascii="宋体" w:hAnsi="宋体" w:cs="宋体"/>
          <w:sz w:val="32"/>
          <w:szCs w:val="32"/>
          <w:highlight w:val="none"/>
          <w:lang w:val="zh-CN"/>
        </w:rPr>
        <w:t>）：</w:t>
      </w:r>
      <w:r>
        <w:rPr>
          <w:rFonts w:hint="eastAsia" w:ascii="宋体" w:hAnsi="宋体" w:cs="宋体"/>
          <w:sz w:val="24"/>
          <w:szCs w:val="24"/>
          <w:highlight w:val="none"/>
        </w:rPr>
        <w:t>_________________</w:t>
      </w:r>
    </w:p>
    <w:p w14:paraId="608E911B">
      <w:pPr>
        <w:snapToGrid w:val="0"/>
        <w:spacing w:line="360" w:lineRule="auto"/>
        <w:ind w:firstLine="640" w:firstLineChars="200"/>
        <w:jc w:val="left"/>
        <w:rPr>
          <w:rFonts w:ascii="宋体"/>
          <w:sz w:val="36"/>
          <w:szCs w:val="36"/>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lang w:val="zh-CN"/>
        </w:rPr>
        <w:t>：</w:t>
      </w:r>
      <w:r>
        <w:rPr>
          <w:rFonts w:hint="eastAsia" w:ascii="宋体" w:hAnsi="宋体" w:cs="宋体"/>
          <w:sz w:val="24"/>
          <w:szCs w:val="24"/>
          <w:highlight w:val="none"/>
        </w:rPr>
        <w:t>________________________________________________________</w:t>
      </w:r>
    </w:p>
    <w:p w14:paraId="2F10E6EF">
      <w:pPr>
        <w:widowControl/>
        <w:ind w:firstLine="2400" w:firstLineChars="250"/>
        <w:jc w:val="left"/>
        <w:rPr>
          <w:sz w:val="96"/>
          <w:highlight w:val="none"/>
        </w:rPr>
      </w:pPr>
    </w:p>
    <w:p w14:paraId="63DB5255">
      <w:pPr>
        <w:pStyle w:val="36"/>
        <w:rPr>
          <w:highlight w:val="none"/>
        </w:rPr>
      </w:pPr>
    </w:p>
    <w:p w14:paraId="146E8FD1">
      <w:pPr>
        <w:widowControl/>
        <w:jc w:val="center"/>
        <w:rPr>
          <w:sz w:val="52"/>
          <w:szCs w:val="18"/>
          <w:highlight w:val="none"/>
        </w:rPr>
      </w:pPr>
      <w:r>
        <w:rPr>
          <w:rFonts w:hint="eastAsia"/>
          <w:sz w:val="52"/>
          <w:szCs w:val="18"/>
          <w:highlight w:val="none"/>
        </w:rPr>
        <w:t>目   录</w:t>
      </w:r>
    </w:p>
    <w:p w14:paraId="246169B2">
      <w:pPr>
        <w:widowControl/>
        <w:jc w:val="left"/>
        <w:rPr>
          <w:sz w:val="36"/>
          <w:highlight w:val="none"/>
        </w:rPr>
      </w:pPr>
    </w:p>
    <w:p w14:paraId="2769FC2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一、投标函</w:t>
      </w:r>
    </w:p>
    <w:p w14:paraId="57EA2330">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二、投标一览表</w:t>
      </w:r>
    </w:p>
    <w:p w14:paraId="2825F4D4">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三</w:t>
      </w:r>
      <w:r>
        <w:rPr>
          <w:rFonts w:hint="eastAsia" w:cs="仿宋" w:asciiTheme="minorEastAsia" w:hAnsiTheme="minorEastAsia" w:eastAsiaTheme="minorEastAsia"/>
          <w:b w:val="0"/>
          <w:szCs w:val="28"/>
          <w:highlight w:val="none"/>
          <w:lang w:eastAsia="zh-CN"/>
        </w:rPr>
        <w:t>、</w:t>
      </w:r>
      <w:r>
        <w:rPr>
          <w:rFonts w:hint="eastAsia" w:cs="仿宋" w:asciiTheme="minorEastAsia" w:hAnsiTheme="minorEastAsia" w:eastAsiaTheme="minorEastAsia"/>
          <w:b w:val="0"/>
          <w:szCs w:val="28"/>
          <w:highlight w:val="none"/>
        </w:rPr>
        <w:t>资格证明文件</w:t>
      </w:r>
    </w:p>
    <w:p w14:paraId="3371E5F0">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四、技术商务</w:t>
      </w:r>
      <w:r>
        <w:rPr>
          <w:rFonts w:hint="eastAsia" w:cs="仿宋" w:asciiTheme="minorEastAsia" w:hAnsiTheme="minorEastAsia" w:eastAsiaTheme="minorEastAsia"/>
          <w:b w:val="0"/>
          <w:szCs w:val="28"/>
          <w:highlight w:val="none"/>
          <w:lang w:val="en-US" w:eastAsia="zh-CN"/>
        </w:rPr>
        <w:t>响应</w:t>
      </w:r>
      <w:r>
        <w:rPr>
          <w:rFonts w:hint="eastAsia" w:cs="仿宋" w:asciiTheme="minorEastAsia" w:hAnsiTheme="minorEastAsia" w:eastAsiaTheme="minorEastAsia"/>
          <w:b w:val="0"/>
          <w:szCs w:val="28"/>
          <w:highlight w:val="none"/>
        </w:rPr>
        <w:t>偏离表</w:t>
      </w:r>
    </w:p>
    <w:p w14:paraId="46EEF511">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五、投标方案</w:t>
      </w:r>
    </w:p>
    <w:p w14:paraId="03D68FDB">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六、采购服务机构拒绝政府采购领域商业贿赂承诺书</w:t>
      </w:r>
    </w:p>
    <w:p w14:paraId="3C6E3947">
      <w:pPr>
        <w:widowControl/>
        <w:spacing w:line="360" w:lineRule="auto"/>
        <w:jc w:val="left"/>
        <w:rPr>
          <w:rFonts w:ascii="Calibri Light" w:hAnsi="Calibri Light"/>
          <w:b/>
          <w:bCs/>
          <w:sz w:val="36"/>
          <w:szCs w:val="32"/>
          <w:highlight w:val="none"/>
        </w:rPr>
      </w:pPr>
      <w:r>
        <w:rPr>
          <w:sz w:val="22"/>
          <w:highlight w:val="none"/>
        </w:rPr>
        <w:br w:type="page"/>
      </w:r>
    </w:p>
    <w:bookmarkEnd w:id="118"/>
    <w:bookmarkEnd w:id="119"/>
    <w:p w14:paraId="35828005">
      <w:pPr>
        <w:pStyle w:val="3"/>
        <w:spacing w:before="0" w:after="0"/>
        <w:ind w:firstLine="482" w:firstLineChars="150"/>
        <w:jc w:val="center"/>
        <w:rPr>
          <w:highlight w:val="none"/>
        </w:rPr>
      </w:pPr>
      <w:bookmarkStart w:id="120" w:name="_Toc23258623"/>
      <w:bookmarkStart w:id="121" w:name="_Toc26541334"/>
      <w:bookmarkStart w:id="122" w:name="_Toc484890087"/>
      <w:r>
        <w:rPr>
          <w:rFonts w:hint="eastAsia"/>
          <w:highlight w:val="none"/>
        </w:rPr>
        <w:t>一、投标函</w:t>
      </w:r>
      <w:bookmarkEnd w:id="120"/>
      <w:bookmarkEnd w:id="121"/>
    </w:p>
    <w:p w14:paraId="39342B5B">
      <w:pPr>
        <w:spacing w:line="360" w:lineRule="auto"/>
        <w:rPr>
          <w:rFonts w:ascii="宋体" w:hAnsi="宋体" w:cs="宋体"/>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安康尚昊招标代理有限公司</w:t>
      </w:r>
    </w:p>
    <w:p w14:paraId="3FE861D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我方确认收到贵方提供的项目及其相关服务的招标文件的全部内容。我方</w:t>
      </w:r>
      <w:r>
        <w:rPr>
          <w:rFonts w:hint="eastAsia" w:ascii="宋体" w:hAnsi="宋体" w:cs="宋体"/>
          <w:bCs/>
          <w:sz w:val="24"/>
          <w:szCs w:val="24"/>
          <w:highlight w:val="none"/>
          <w:u w:val="single"/>
        </w:rPr>
        <w:t>（投标人名称）</w:t>
      </w:r>
      <w:r>
        <w:rPr>
          <w:rFonts w:hint="eastAsia" w:ascii="宋体" w:hAnsi="宋体" w:cs="宋体"/>
          <w:bCs/>
          <w:sz w:val="24"/>
          <w:szCs w:val="24"/>
          <w:highlight w:val="none"/>
        </w:rPr>
        <w:t>作为本项目投标人正式授权</w:t>
      </w:r>
      <w:r>
        <w:rPr>
          <w:rFonts w:hint="eastAsia" w:ascii="宋体" w:hAnsi="宋体" w:cs="宋体"/>
          <w:bCs/>
          <w:sz w:val="24"/>
          <w:szCs w:val="24"/>
          <w:highlight w:val="none"/>
          <w:u w:val="single"/>
        </w:rPr>
        <w:t>（被授权代表全名、职务）</w:t>
      </w:r>
      <w:r>
        <w:rPr>
          <w:rFonts w:hint="eastAsia" w:ascii="宋体" w:hAnsi="宋体" w:cs="宋体"/>
          <w:bCs/>
          <w:sz w:val="24"/>
          <w:szCs w:val="24"/>
          <w:highlight w:val="none"/>
        </w:rPr>
        <w:t>代表我方进行有关投标的一切事宜。在此提交的投标文件。我方已完全明白招标文件的所有条款要求，并</w:t>
      </w:r>
      <w:r>
        <w:rPr>
          <w:rFonts w:hint="eastAsia" w:ascii="宋体" w:hAnsi="宋体" w:cs="宋体"/>
          <w:kern w:val="0"/>
          <w:sz w:val="24"/>
          <w:szCs w:val="24"/>
          <w:highlight w:val="none"/>
        </w:rPr>
        <w:t>声明如下</w:t>
      </w:r>
      <w:r>
        <w:rPr>
          <w:rFonts w:hint="eastAsia" w:ascii="宋体" w:hAnsi="宋体" w:cs="宋体"/>
          <w:bCs/>
          <w:sz w:val="24"/>
          <w:szCs w:val="24"/>
          <w:highlight w:val="none"/>
        </w:rPr>
        <w:t>：</w:t>
      </w:r>
    </w:p>
    <w:p w14:paraId="737CA38A">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1.我方决定参加：</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rPr>
        <w:t>的报价，</w:t>
      </w:r>
      <w:r>
        <w:rPr>
          <w:rFonts w:hint="eastAsia" w:ascii="宋体" w:hAnsi="宋体" w:cs="宋体"/>
          <w:sz w:val="24"/>
          <w:szCs w:val="24"/>
        </w:rPr>
        <w:t>我公司的响应总报价为：人民币（大写）：______________元；（小写）￥：______元</w:t>
      </w:r>
      <w:r>
        <w:rPr>
          <w:rFonts w:hint="eastAsia" w:ascii="宋体" w:hAnsi="宋体" w:cs="宋体"/>
          <w:sz w:val="24"/>
          <w:szCs w:val="24"/>
          <w:lang w:eastAsia="zh-CN"/>
        </w:rPr>
        <w:t>。</w:t>
      </w:r>
    </w:p>
    <w:p w14:paraId="691279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2.本投标文件的有效期为投标文件递交截止日起</w:t>
      </w:r>
      <w:r>
        <w:rPr>
          <w:rFonts w:hint="eastAsia" w:ascii="宋体" w:hAnsi="宋体" w:cs="宋体"/>
          <w:sz w:val="24"/>
          <w:szCs w:val="24"/>
          <w:highlight w:val="none"/>
          <w:u w:val="single"/>
        </w:rPr>
        <w:t xml:space="preserve"> （有效期不得少于90天） </w:t>
      </w:r>
      <w:r>
        <w:rPr>
          <w:rFonts w:hint="eastAsia" w:ascii="宋体" w:hAnsi="宋体" w:cs="宋体"/>
          <w:sz w:val="24"/>
          <w:szCs w:val="24"/>
          <w:highlight w:val="none"/>
        </w:rPr>
        <w:t>日历天有效，如被确定为中标单位，有效期将延至合同终止日为止，投标文件始终有效并不撤回已递交的投标文件。</w:t>
      </w:r>
    </w:p>
    <w:p w14:paraId="0DF677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3.我方已详细研究了招标文件的所有内容包括修正</w:t>
      </w:r>
      <w:r>
        <w:rPr>
          <w:rFonts w:hint="eastAsia" w:ascii="宋体" w:hAnsi="宋体" w:cs="宋体"/>
          <w:sz w:val="24"/>
          <w:szCs w:val="24"/>
          <w:highlight w:val="none"/>
          <w:lang w:eastAsia="zh-CN"/>
        </w:rPr>
        <w:t>（</w:t>
      </w:r>
      <w:r>
        <w:rPr>
          <w:rFonts w:hint="eastAsia" w:ascii="宋体" w:hAnsi="宋体" w:cs="宋体"/>
          <w:sz w:val="24"/>
          <w:szCs w:val="24"/>
          <w:highlight w:val="none"/>
        </w:rPr>
        <w:t>如果有</w:t>
      </w:r>
      <w:r>
        <w:rPr>
          <w:rFonts w:hint="eastAsia" w:ascii="宋体" w:hAnsi="宋体" w:cs="宋体"/>
          <w:sz w:val="24"/>
          <w:szCs w:val="24"/>
          <w:highlight w:val="none"/>
          <w:lang w:eastAsia="zh-CN"/>
        </w:rPr>
        <w:t>）</w:t>
      </w:r>
      <w:r>
        <w:rPr>
          <w:rFonts w:hint="eastAsia" w:ascii="宋体" w:hAnsi="宋体" w:cs="宋体"/>
          <w:sz w:val="24"/>
          <w:szCs w:val="24"/>
          <w:highlight w:val="none"/>
        </w:rPr>
        <w:t>和所有已提供的参考资料以及有关格式并完全明白，我方同意放弃对这些文件所提出异议的权利。</w:t>
      </w:r>
    </w:p>
    <w:p w14:paraId="2331DB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4.我方同意按照贵方可能提出的要求提供与报价有关的</w:t>
      </w:r>
      <w:r>
        <w:rPr>
          <w:rFonts w:hint="eastAsia" w:ascii="宋体" w:hAnsi="宋体" w:cs="宋体"/>
          <w:sz w:val="24"/>
          <w:szCs w:val="24"/>
          <w:highlight w:val="none"/>
          <w:lang w:eastAsia="zh-CN"/>
        </w:rPr>
        <w:t>任何其他</w:t>
      </w:r>
      <w:r>
        <w:rPr>
          <w:rFonts w:hint="eastAsia" w:ascii="宋体" w:hAnsi="宋体" w:cs="宋体"/>
          <w:sz w:val="24"/>
          <w:szCs w:val="24"/>
          <w:highlight w:val="none"/>
        </w:rPr>
        <w:t>材料或信息。</w:t>
      </w:r>
    </w:p>
    <w:p w14:paraId="0CCDDF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5.我方完全服从和尊重评委会所作的评定结果，同时清楚理解到最低报价并非意味着必定获得中标资格。</w:t>
      </w:r>
    </w:p>
    <w:p w14:paraId="497BBB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C9FF9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7.我方自行承担因投标文件错误、缺漏、不清晰而导致的一切后果。</w:t>
      </w:r>
    </w:p>
    <w:p w14:paraId="3708B51D">
      <w:pPr>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0146FD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我方如被确定为中标单位，我方同意按照招标文件规定及时向采购代理机构缴纳代理服务费。</w:t>
      </w:r>
    </w:p>
    <w:p w14:paraId="08B973A7">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hint="eastAsia" w:ascii="宋体" w:hAnsi="宋体"/>
          <w:sz w:val="24"/>
          <w:szCs w:val="24"/>
          <w:highlight w:val="none"/>
          <w:lang w:val="en-US" w:eastAsia="zh-CN"/>
        </w:rPr>
        <w:t>.</w:t>
      </w:r>
      <w:r>
        <w:rPr>
          <w:rFonts w:hint="eastAsia" w:ascii="宋体" w:hAnsi="宋体"/>
          <w:sz w:val="24"/>
          <w:szCs w:val="24"/>
          <w:highlight w:val="none"/>
        </w:rPr>
        <w:t>所有关于本投标文件的函电，请按下列地址联系。</w:t>
      </w:r>
    </w:p>
    <w:p w14:paraId="663C9F6A">
      <w:pPr>
        <w:spacing w:line="360" w:lineRule="auto"/>
        <w:ind w:firstLine="211"/>
        <w:rPr>
          <w:rFonts w:ascii="宋体" w:hAnsi="宋体" w:cs="仿宋"/>
          <w:sz w:val="24"/>
          <w:szCs w:val="24"/>
          <w:highlight w:val="none"/>
        </w:rPr>
      </w:pPr>
      <w:r>
        <w:rPr>
          <w:rFonts w:hint="eastAsia" w:ascii="宋体" w:hAnsi="宋体" w:cs="仿宋"/>
          <w:sz w:val="24"/>
          <w:szCs w:val="24"/>
          <w:highlight w:val="none"/>
        </w:rPr>
        <w:t>投标人名称（盖章）</w:t>
      </w:r>
    </w:p>
    <w:p w14:paraId="43D7C191">
      <w:pPr>
        <w:spacing w:line="360" w:lineRule="auto"/>
        <w:ind w:firstLine="211"/>
        <w:rPr>
          <w:rFonts w:ascii="宋体" w:hAnsi="宋体"/>
          <w:sz w:val="24"/>
          <w:szCs w:val="24"/>
          <w:highlight w:val="none"/>
        </w:rPr>
      </w:pPr>
      <w:r>
        <w:rPr>
          <w:rFonts w:hint="eastAsia" w:ascii="宋体" w:hAnsi="宋体"/>
          <w:sz w:val="24"/>
          <w:szCs w:val="24"/>
          <w:highlight w:val="none"/>
        </w:rPr>
        <w:t>法定代表人：（签字或盖章）</w:t>
      </w:r>
    </w:p>
    <w:p w14:paraId="6882C677">
      <w:pPr>
        <w:spacing w:line="360" w:lineRule="auto"/>
        <w:ind w:firstLine="211"/>
        <w:rPr>
          <w:rFonts w:ascii="宋体" w:hAnsi="宋体"/>
          <w:sz w:val="24"/>
          <w:szCs w:val="24"/>
          <w:highlight w:val="none"/>
        </w:rPr>
      </w:pPr>
      <w:r>
        <w:rPr>
          <w:rFonts w:hint="eastAsia" w:ascii="宋体" w:hAnsi="宋体"/>
          <w:sz w:val="24"/>
          <w:szCs w:val="24"/>
          <w:highlight w:val="none"/>
        </w:rPr>
        <w:t xml:space="preserve">地    址：                         </w:t>
      </w:r>
    </w:p>
    <w:p w14:paraId="3009917E">
      <w:pPr>
        <w:spacing w:line="360" w:lineRule="auto"/>
        <w:ind w:firstLine="211"/>
        <w:rPr>
          <w:rFonts w:ascii="宋体" w:hAnsi="宋体"/>
          <w:sz w:val="24"/>
          <w:szCs w:val="24"/>
          <w:highlight w:val="none"/>
        </w:rPr>
      </w:pPr>
      <w:r>
        <w:rPr>
          <w:rFonts w:hint="eastAsia" w:ascii="宋体" w:hAnsi="宋体"/>
          <w:sz w:val="24"/>
          <w:szCs w:val="24"/>
          <w:highlight w:val="none"/>
        </w:rPr>
        <w:t xml:space="preserve">开 户 行：                   </w:t>
      </w:r>
    </w:p>
    <w:p w14:paraId="4F0F3196">
      <w:pPr>
        <w:spacing w:line="360" w:lineRule="auto"/>
        <w:ind w:firstLine="211"/>
        <w:rPr>
          <w:rFonts w:ascii="宋体" w:hAnsi="宋体"/>
          <w:sz w:val="24"/>
          <w:szCs w:val="24"/>
          <w:highlight w:val="none"/>
        </w:rPr>
      </w:pPr>
      <w:r>
        <w:rPr>
          <w:rFonts w:hint="eastAsia" w:ascii="宋体" w:hAnsi="宋体"/>
          <w:sz w:val="24"/>
          <w:szCs w:val="24"/>
          <w:highlight w:val="none"/>
          <w:lang w:eastAsia="zh-CN"/>
        </w:rPr>
        <w:t>账</w:t>
      </w:r>
      <w:r>
        <w:rPr>
          <w:rFonts w:hint="eastAsia" w:ascii="宋体" w:hAnsi="宋体"/>
          <w:sz w:val="24"/>
          <w:szCs w:val="24"/>
          <w:highlight w:val="none"/>
        </w:rPr>
        <w:t xml:space="preserve">    号：                         </w:t>
      </w:r>
      <w:bookmarkStart w:id="123" w:name="OLE_LINK79"/>
    </w:p>
    <w:p w14:paraId="1D155A5E">
      <w:pPr>
        <w:spacing w:line="360" w:lineRule="auto"/>
        <w:ind w:firstLine="211"/>
        <w:rPr>
          <w:rFonts w:ascii="宋体" w:hAnsi="宋体"/>
          <w:sz w:val="24"/>
          <w:szCs w:val="24"/>
          <w:highlight w:val="none"/>
        </w:rPr>
      </w:pPr>
      <w:r>
        <w:rPr>
          <w:rFonts w:hint="eastAsia" w:ascii="宋体" w:hAnsi="宋体"/>
          <w:sz w:val="24"/>
          <w:szCs w:val="24"/>
          <w:highlight w:val="none"/>
        </w:rPr>
        <w:t xml:space="preserve">电    话：                   传    真：                        </w:t>
      </w:r>
    </w:p>
    <w:p w14:paraId="5B35DACC">
      <w:pPr>
        <w:spacing w:line="360" w:lineRule="auto"/>
        <w:ind w:firstLine="211"/>
        <w:rPr>
          <w:rFonts w:ascii="宋体" w:hAnsi="宋体"/>
          <w:sz w:val="24"/>
          <w:szCs w:val="24"/>
          <w:highlight w:val="none"/>
        </w:rPr>
      </w:pPr>
      <w:r>
        <w:rPr>
          <w:rFonts w:hint="eastAsia" w:ascii="宋体" w:hAnsi="宋体"/>
          <w:sz w:val="24"/>
          <w:szCs w:val="24"/>
          <w:highlight w:val="none"/>
        </w:rPr>
        <w:t>邮    编：</w:t>
      </w:r>
    </w:p>
    <w:p w14:paraId="5364BDEF">
      <w:pPr>
        <w:spacing w:line="360" w:lineRule="auto"/>
        <w:ind w:firstLine="211"/>
        <w:rPr>
          <w:rFonts w:hint="eastAsia" w:ascii="宋体" w:hAnsi="宋体"/>
          <w:sz w:val="24"/>
          <w:szCs w:val="24"/>
          <w:highlight w:val="none"/>
        </w:rPr>
      </w:pPr>
      <w:r>
        <w:rPr>
          <w:rFonts w:hint="eastAsia" w:ascii="宋体" w:hAnsi="宋体"/>
          <w:sz w:val="24"/>
          <w:szCs w:val="24"/>
          <w:highlight w:val="none"/>
        </w:rPr>
        <w:t>日    期：    年     月     日</w:t>
      </w:r>
    </w:p>
    <w:p w14:paraId="3AF3C9E3">
      <w:pPr>
        <w:rPr>
          <w:rFonts w:hint="eastAsia" w:ascii="宋体" w:hAnsi="宋体"/>
          <w:sz w:val="24"/>
          <w:szCs w:val="24"/>
          <w:highlight w:val="none"/>
        </w:rPr>
      </w:pPr>
      <w:r>
        <w:rPr>
          <w:rFonts w:hint="eastAsia" w:ascii="宋体" w:hAnsi="宋体"/>
          <w:sz w:val="24"/>
          <w:szCs w:val="24"/>
          <w:highlight w:val="none"/>
        </w:rPr>
        <w:br w:type="page"/>
      </w:r>
    </w:p>
    <w:p w14:paraId="22BC74D6">
      <w:pPr>
        <w:pStyle w:val="3"/>
        <w:pageBreakBefore w:val="0"/>
        <w:widowControl w:val="0"/>
        <w:numPr>
          <w:ilvl w:val="0"/>
          <w:numId w:val="0"/>
        </w:numPr>
        <w:kinsoku/>
        <w:wordWrap/>
        <w:overflowPunct/>
        <w:topLinePunct w:val="0"/>
        <w:bidi w:val="0"/>
        <w:adjustRightInd w:val="0"/>
        <w:snapToGrid w:val="0"/>
        <w:spacing w:before="0" w:after="0" w:line="360" w:lineRule="auto"/>
        <w:ind w:left="0" w:leftChars="0" w:firstLine="0" w:firstLineChars="0"/>
        <w:jc w:val="center"/>
        <w:textAlignment w:val="auto"/>
        <w:rPr>
          <w:rFonts w:hint="eastAsia"/>
          <w:highlight w:val="none"/>
        </w:rPr>
      </w:pPr>
      <w:bookmarkStart w:id="124" w:name="_Toc26541335"/>
      <w:bookmarkStart w:id="125" w:name="_Toc23258624"/>
      <w:bookmarkStart w:id="126" w:name="OLE_LINK80"/>
      <w:bookmarkStart w:id="127" w:name="_Toc528240832"/>
      <w:r>
        <w:rPr>
          <w:rFonts w:hint="eastAsia" w:ascii="Calibri Light" w:hAnsi="Calibri Light" w:eastAsia="宋体" w:cs="Times New Roman"/>
          <w:b/>
          <w:bCs/>
          <w:kern w:val="2"/>
          <w:sz w:val="32"/>
          <w:szCs w:val="32"/>
          <w:lang w:val="en-US" w:eastAsia="zh-CN" w:bidi="ar-SA"/>
        </w:rPr>
        <w:t>二、</w:t>
      </w:r>
      <w:r>
        <w:rPr>
          <w:rFonts w:hint="eastAsia"/>
          <w:highlight w:val="none"/>
        </w:rPr>
        <w:t>投标一览表</w:t>
      </w:r>
      <w:bookmarkEnd w:id="124"/>
      <w:bookmarkEnd w:id="125"/>
    </w:p>
    <w:p w14:paraId="12129873">
      <w:pPr>
        <w:pageBreakBefore w:val="0"/>
        <w:widowControl w:val="0"/>
        <w:numPr>
          <w:ilvl w:val="0"/>
          <w:numId w:val="0"/>
        </w:numPr>
        <w:kinsoku/>
        <w:wordWrap/>
        <w:overflowPunct/>
        <w:topLinePunct w:val="0"/>
        <w:bidi w:val="0"/>
        <w:adjustRightInd w:val="0"/>
        <w:snapToGrid w:val="0"/>
        <w:spacing w:line="360" w:lineRule="auto"/>
        <w:ind w:left="0" w:leftChars="0"/>
        <w:jc w:val="center"/>
        <w:textAlignment w:val="auto"/>
        <w:rPr>
          <w:rFonts w:hint="default" w:eastAsia="宋体"/>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u w:val="single"/>
          <w:lang w:val="en-US" w:eastAsia="zh-CN"/>
        </w:rPr>
        <w:t xml:space="preserve"> </w:t>
      </w:r>
    </w:p>
    <w:bookmarkEnd w:id="122"/>
    <w:bookmarkEnd w:id="123"/>
    <w:bookmarkEnd w:id="126"/>
    <w:bookmarkEnd w:id="127"/>
    <w:p w14:paraId="3BA6CE74">
      <w:pPr>
        <w:widowControl/>
        <w:wordWrap w:val="0"/>
        <w:spacing w:line="360" w:lineRule="auto"/>
        <w:jc w:val="left"/>
        <w:rPr>
          <w:rFonts w:ascii="宋体" w:hAnsi="宋体" w:cs="宋体"/>
          <w:sz w:val="24"/>
          <w:highlight w:val="none"/>
        </w:rPr>
      </w:pPr>
      <w:r>
        <w:rPr>
          <w:rFonts w:hint="eastAsia" w:ascii="宋体" w:hAnsi="宋体" w:cs="宋体"/>
          <w:sz w:val="24"/>
          <w:highlight w:val="none"/>
        </w:rPr>
        <w:t xml:space="preserve">项目名称： </w:t>
      </w:r>
      <w:bookmarkStart w:id="186" w:name="_GoBack"/>
      <w:bookmarkEnd w:id="186"/>
    </w:p>
    <w:p w14:paraId="189CF900">
      <w:pPr>
        <w:kinsoku w:val="0"/>
        <w:spacing w:line="360" w:lineRule="auto"/>
        <w:jc w:val="left"/>
        <w:rPr>
          <w:rFonts w:ascii="宋体" w:hAnsi="宋体"/>
          <w:sz w:val="24"/>
          <w:szCs w:val="24"/>
          <w:highlight w:val="none"/>
        </w:rPr>
      </w:pPr>
      <w:r>
        <w:rPr>
          <w:rFonts w:hint="eastAsia" w:ascii="宋体" w:hAnsi="宋体" w:cs="宋体"/>
          <w:sz w:val="24"/>
          <w:highlight w:val="none"/>
        </w:rPr>
        <w:t xml:space="preserve">项目编号：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u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44"/>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806"/>
        <w:gridCol w:w="2406"/>
        <w:gridCol w:w="2252"/>
      </w:tblGrid>
      <w:tr w14:paraId="251B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05CBF4D8">
            <w:pPr>
              <w:jc w:val="center"/>
              <w:rPr>
                <w:rFonts w:ascii="宋体" w:hAnsi="宋体" w:cs="宋体"/>
                <w:kern w:val="0"/>
                <w:sz w:val="24"/>
                <w:szCs w:val="24"/>
              </w:rPr>
            </w:pPr>
            <w:r>
              <w:rPr>
                <w:rFonts w:hint="eastAsia" w:ascii="宋体" w:hAnsi="宋体" w:cs="宋体"/>
                <w:kern w:val="0"/>
                <w:sz w:val="24"/>
                <w:szCs w:val="24"/>
              </w:rPr>
              <w:t>投标总报价</w:t>
            </w:r>
          </w:p>
          <w:p w14:paraId="021C52B7">
            <w:pPr>
              <w:jc w:val="center"/>
              <w:rPr>
                <w:rFonts w:ascii="宋体" w:hAnsi="宋体" w:cs="宋体"/>
                <w:kern w:val="0"/>
                <w:sz w:val="24"/>
                <w:szCs w:val="24"/>
                <w:highlight w:val="none"/>
              </w:rPr>
            </w:pPr>
            <w:r>
              <w:rPr>
                <w:rFonts w:hint="eastAsia" w:ascii="宋体" w:hAnsi="宋体" w:cs="宋体"/>
                <w:kern w:val="0"/>
                <w:sz w:val="24"/>
                <w:szCs w:val="24"/>
              </w:rPr>
              <w:t>（元）</w:t>
            </w:r>
          </w:p>
        </w:tc>
        <w:tc>
          <w:tcPr>
            <w:tcW w:w="2806" w:type="dxa"/>
            <w:vAlign w:val="center"/>
          </w:tcPr>
          <w:p w14:paraId="42F859B5">
            <w:pPr>
              <w:jc w:val="center"/>
              <w:rPr>
                <w:rFonts w:ascii="宋体" w:hAnsi="宋体" w:cs="宋体"/>
                <w:kern w:val="0"/>
                <w:sz w:val="24"/>
                <w:szCs w:val="24"/>
                <w:highlight w:val="none"/>
              </w:rPr>
            </w:pPr>
            <w:r>
              <w:rPr>
                <w:rFonts w:hint="eastAsia" w:ascii="宋体" w:hAnsi="宋体" w:cs="宋体"/>
                <w:color w:val="auto"/>
                <w:kern w:val="0"/>
                <w:sz w:val="24"/>
                <w:szCs w:val="24"/>
                <w:highlight w:val="none"/>
              </w:rPr>
              <w:t>合同履行期</w:t>
            </w:r>
          </w:p>
        </w:tc>
        <w:tc>
          <w:tcPr>
            <w:tcW w:w="2406" w:type="dxa"/>
            <w:vAlign w:val="center"/>
          </w:tcPr>
          <w:p w14:paraId="0FF76615">
            <w:pPr>
              <w:jc w:val="center"/>
              <w:rPr>
                <w:rFonts w:ascii="宋体" w:hAnsi="宋体" w:cs="宋体"/>
                <w:kern w:val="0"/>
                <w:sz w:val="24"/>
                <w:szCs w:val="24"/>
                <w:highlight w:val="none"/>
              </w:rPr>
            </w:pPr>
            <w:r>
              <w:rPr>
                <w:rFonts w:hint="eastAsia" w:ascii="宋体" w:hAnsi="宋体" w:eastAsia="宋体" w:cs="宋体"/>
                <w:color w:val="auto"/>
                <w:kern w:val="0"/>
                <w:sz w:val="24"/>
                <w:szCs w:val="24"/>
                <w:highlight w:val="none"/>
                <w:lang w:val="en-US" w:eastAsia="zh-CN"/>
              </w:rPr>
              <w:t>售后服务期限</w:t>
            </w:r>
          </w:p>
        </w:tc>
        <w:tc>
          <w:tcPr>
            <w:tcW w:w="2252" w:type="dxa"/>
            <w:vAlign w:val="center"/>
          </w:tcPr>
          <w:p w14:paraId="73906EE0">
            <w:pPr>
              <w:jc w:val="center"/>
              <w:rPr>
                <w:rFonts w:hint="eastAsia" w:ascii="宋体" w:hAnsi="宋体" w:cs="宋体"/>
                <w:kern w:val="0"/>
                <w:sz w:val="24"/>
                <w:szCs w:val="24"/>
                <w:highlight w:val="none"/>
              </w:rPr>
            </w:pPr>
            <w:r>
              <w:rPr>
                <w:rFonts w:hint="eastAsia" w:ascii="宋体" w:hAnsi="宋体" w:cs="宋体"/>
                <w:kern w:val="0"/>
                <w:sz w:val="24"/>
                <w:szCs w:val="24"/>
                <w:highlight w:val="none"/>
              </w:rPr>
              <w:t>备注</w:t>
            </w:r>
          </w:p>
        </w:tc>
      </w:tr>
      <w:tr w14:paraId="787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651A2EE1">
            <w:pPr>
              <w:jc w:val="center"/>
              <w:rPr>
                <w:rFonts w:ascii="宋体" w:hAnsi="宋体" w:cs="宋体"/>
                <w:kern w:val="0"/>
                <w:sz w:val="24"/>
                <w:szCs w:val="24"/>
                <w:highlight w:val="none"/>
              </w:rPr>
            </w:pPr>
          </w:p>
        </w:tc>
        <w:tc>
          <w:tcPr>
            <w:tcW w:w="2806" w:type="dxa"/>
            <w:vAlign w:val="center"/>
          </w:tcPr>
          <w:p w14:paraId="7CB6A04A">
            <w:pPr>
              <w:jc w:val="center"/>
              <w:rPr>
                <w:rFonts w:ascii="宋体" w:hAnsi="宋体" w:cs="宋体"/>
                <w:kern w:val="0"/>
                <w:sz w:val="24"/>
                <w:szCs w:val="24"/>
                <w:highlight w:val="none"/>
              </w:rPr>
            </w:pPr>
          </w:p>
        </w:tc>
        <w:tc>
          <w:tcPr>
            <w:tcW w:w="2406" w:type="dxa"/>
            <w:vAlign w:val="center"/>
          </w:tcPr>
          <w:p w14:paraId="5FAFBC37">
            <w:pPr>
              <w:jc w:val="center"/>
              <w:rPr>
                <w:rFonts w:ascii="宋体" w:hAnsi="宋体" w:cs="宋体"/>
                <w:kern w:val="0"/>
                <w:sz w:val="24"/>
                <w:szCs w:val="24"/>
                <w:highlight w:val="none"/>
              </w:rPr>
            </w:pPr>
          </w:p>
        </w:tc>
        <w:tc>
          <w:tcPr>
            <w:tcW w:w="2252" w:type="dxa"/>
            <w:vAlign w:val="center"/>
          </w:tcPr>
          <w:p w14:paraId="72804D3D">
            <w:pPr>
              <w:jc w:val="center"/>
              <w:rPr>
                <w:rFonts w:ascii="宋体" w:hAnsi="宋体" w:cs="宋体"/>
                <w:kern w:val="0"/>
                <w:sz w:val="24"/>
                <w:szCs w:val="24"/>
                <w:highlight w:val="none"/>
              </w:rPr>
            </w:pPr>
          </w:p>
        </w:tc>
      </w:tr>
      <w:tr w14:paraId="317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3A12D8AF">
            <w:pPr>
              <w:jc w:val="left"/>
              <w:rPr>
                <w:rFonts w:ascii="宋体" w:hAnsi="宋体" w:cs="宋体"/>
                <w:color w:val="auto"/>
                <w:kern w:val="0"/>
                <w:sz w:val="24"/>
                <w:szCs w:val="24"/>
                <w:highlight w:val="none"/>
              </w:rPr>
            </w:pPr>
            <w:bookmarkStart w:id="128" w:name="OLE_LINK16"/>
            <w:r>
              <w:rPr>
                <w:rFonts w:hint="eastAsia" w:ascii="宋体" w:hAnsi="宋体" w:cs="宋体"/>
                <w:color w:val="auto"/>
                <w:kern w:val="0"/>
                <w:sz w:val="24"/>
                <w:szCs w:val="24"/>
                <w:highlight w:val="none"/>
              </w:rPr>
              <w:t>投标</w:t>
            </w:r>
            <w:r>
              <w:rPr>
                <w:rFonts w:hint="eastAsia" w:ascii="宋体" w:hAnsi="宋体" w:cs="宋体"/>
                <w:color w:val="auto"/>
                <w:kern w:val="0"/>
                <w:sz w:val="24"/>
                <w:szCs w:val="24"/>
                <w:highlight w:val="none"/>
                <w:lang w:val="en-US" w:eastAsia="zh-CN"/>
              </w:rPr>
              <w:t>总价大写：</w:t>
            </w:r>
            <w:bookmarkEnd w:id="128"/>
            <w:r>
              <w:rPr>
                <w:rFonts w:hint="eastAsia" w:ascii="宋体" w:hAnsi="宋体" w:cs="宋体"/>
                <w:color w:val="auto"/>
                <w:kern w:val="0"/>
                <w:sz w:val="24"/>
                <w:szCs w:val="24"/>
                <w:highlight w:val="none"/>
              </w:rPr>
              <w:t xml:space="preserve">                       </w:t>
            </w:r>
          </w:p>
        </w:tc>
      </w:tr>
      <w:tr w14:paraId="04A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69D8DEB">
            <w:pPr>
              <w:rPr>
                <w:rFonts w:hint="default" w:ascii="宋体" w:hAnsi="宋体" w:eastAsia="宋体" w:cs="宋体"/>
                <w:color w:val="auto"/>
                <w:kern w:val="0"/>
                <w:sz w:val="24"/>
                <w:szCs w:val="24"/>
                <w:highlight w:val="none"/>
                <w:lang w:val="en-US" w:eastAsia="zh-CN"/>
              </w:rPr>
            </w:pPr>
            <w:r>
              <w:rPr>
                <w:rFonts w:hint="eastAsia" w:ascii="宋体" w:hAnsi="宋体" w:cs="宋体"/>
                <w:kern w:val="0"/>
                <w:sz w:val="24"/>
                <w:szCs w:val="24"/>
              </w:rPr>
              <w:t>备注：表内总报价保留小数点后两位。</w:t>
            </w:r>
          </w:p>
        </w:tc>
      </w:tr>
    </w:tbl>
    <w:p w14:paraId="27BD4C7A">
      <w:pPr>
        <w:kinsoku w:val="0"/>
        <w:spacing w:line="500" w:lineRule="exact"/>
        <w:rPr>
          <w:rFonts w:ascii="宋体" w:hAnsi="宋体"/>
          <w:sz w:val="24"/>
          <w:szCs w:val="24"/>
          <w:highlight w:val="none"/>
        </w:rPr>
      </w:pPr>
      <w:r>
        <w:rPr>
          <w:rFonts w:hint="eastAsia" w:ascii="宋体" w:hAnsi="宋体"/>
          <w:sz w:val="24"/>
          <w:szCs w:val="24"/>
          <w:highlight w:val="none"/>
        </w:rPr>
        <w:t xml:space="preserve">                                                               </w:t>
      </w:r>
    </w:p>
    <w:p w14:paraId="6B2D0553">
      <w:pPr>
        <w:widowControl/>
        <w:rPr>
          <w:rFonts w:ascii="宋体" w:hAnsi="宋体" w:cs="宋体"/>
          <w:bCs/>
          <w:kern w:val="0"/>
          <w:sz w:val="24"/>
          <w:highlight w:val="none"/>
        </w:rPr>
      </w:pPr>
      <w:r>
        <w:rPr>
          <w:rFonts w:hint="eastAsia" w:ascii="宋体" w:hAnsi="宋体" w:cs="宋体"/>
          <w:bCs/>
          <w:kern w:val="0"/>
          <w:sz w:val="24"/>
          <w:highlight w:val="none"/>
        </w:rPr>
        <w:t>说明：</w:t>
      </w:r>
    </w:p>
    <w:p w14:paraId="0A193155">
      <w:pPr>
        <w:numPr>
          <w:ilvl w:val="0"/>
          <w:numId w:val="4"/>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任何有选择的报价将不予接受（不可修正或者另行备注此报价表），否则按无效文件处理。</w:t>
      </w:r>
    </w:p>
    <w:p w14:paraId="65478D08">
      <w:pPr>
        <w:numPr>
          <w:ilvl w:val="0"/>
          <w:numId w:val="4"/>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投标报价表中标明完成本次招标所要求的货物、服务且验收合格的所有费用，</w:t>
      </w:r>
      <w:r>
        <w:rPr>
          <w:rFonts w:hint="eastAsia" w:ascii="宋体" w:hAnsi="宋体" w:cs="宋体"/>
          <w:sz w:val="24"/>
          <w:highlight w:val="none"/>
          <w:lang w:val="en-US" w:eastAsia="zh-CN"/>
        </w:rPr>
        <w:t>以及</w:t>
      </w:r>
      <w:r>
        <w:rPr>
          <w:rFonts w:hint="eastAsia" w:ascii="宋体" w:hAnsi="宋体" w:cs="宋体"/>
          <w:sz w:val="24"/>
          <w:highlight w:val="none"/>
        </w:rPr>
        <w:t>履行合同产生的一切相关费用。</w:t>
      </w:r>
    </w:p>
    <w:p w14:paraId="515347A0">
      <w:pPr>
        <w:rPr>
          <w:highlight w:val="none"/>
        </w:rPr>
      </w:pPr>
    </w:p>
    <w:p w14:paraId="43C89C32">
      <w:pPr>
        <w:pStyle w:val="40"/>
        <w:rPr>
          <w:highlight w:val="none"/>
        </w:rPr>
      </w:pPr>
    </w:p>
    <w:p w14:paraId="33C0B136">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D794984">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4E2BDC70">
      <w:pPr>
        <w:tabs>
          <w:tab w:val="left" w:pos="3045"/>
        </w:tabs>
        <w:spacing w:line="360" w:lineRule="auto"/>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rPr>
        <w:tab/>
      </w:r>
    </w:p>
    <w:p w14:paraId="30647E6B">
      <w:pPr>
        <w:widowControl/>
        <w:jc w:val="left"/>
        <w:rPr>
          <w:rFonts w:ascii="Calibri Light" w:hAnsi="Calibri Light"/>
          <w:b/>
          <w:bCs/>
          <w:sz w:val="32"/>
          <w:szCs w:val="32"/>
          <w:highlight w:val="none"/>
        </w:rPr>
      </w:pPr>
      <w:bookmarkStart w:id="129" w:name="_Toc484890088"/>
      <w:r>
        <w:rPr>
          <w:highlight w:val="none"/>
        </w:rPr>
        <w:br w:type="page"/>
      </w:r>
    </w:p>
    <w:bookmarkEnd w:id="129"/>
    <w:p w14:paraId="4CF71BC7">
      <w:pPr>
        <w:pStyle w:val="3"/>
        <w:jc w:val="center"/>
        <w:rPr>
          <w:highlight w:val="none"/>
        </w:rPr>
      </w:pPr>
      <w:bookmarkStart w:id="130" w:name="_Toc26541336"/>
      <w:bookmarkStart w:id="131" w:name="_Toc23258626"/>
      <w:bookmarkStart w:id="132" w:name="_Toc26541337"/>
      <w:r>
        <w:rPr>
          <w:rFonts w:hint="eastAsia"/>
          <w:highlight w:val="none"/>
        </w:rPr>
        <w:t>投标分项报价表</w:t>
      </w:r>
      <w:bookmarkEnd w:id="130"/>
    </w:p>
    <w:p w14:paraId="5E33B565">
      <w:pPr>
        <w:rPr>
          <w:highlight w:val="none"/>
        </w:rPr>
      </w:pPr>
    </w:p>
    <w:p w14:paraId="4A356AAE">
      <w:pPr>
        <w:rPr>
          <w:rFonts w:hint="eastAsia" w:ascii="宋体" w:hAnsi="宋体"/>
          <w:sz w:val="24"/>
          <w:szCs w:val="24"/>
        </w:rPr>
      </w:pPr>
      <w:r>
        <w:rPr>
          <w:rFonts w:hint="eastAsia" w:ascii="宋体" w:hAnsi="宋体"/>
          <w:sz w:val="24"/>
          <w:szCs w:val="24"/>
        </w:rPr>
        <w:t xml:space="preserve">项目名称：   </w:t>
      </w:r>
    </w:p>
    <w:p w14:paraId="51116899">
      <w:pPr>
        <w:rPr>
          <w:rFonts w:hint="eastAsia" w:ascii="宋体" w:hAnsi="宋体"/>
          <w:sz w:val="24"/>
          <w:szCs w:val="24"/>
        </w:rPr>
      </w:pPr>
      <w:r>
        <w:rPr>
          <w:rFonts w:hint="eastAsia" w:ascii="宋体" w:hAnsi="宋体"/>
          <w:sz w:val="24"/>
          <w:szCs w:val="24"/>
        </w:rPr>
        <w:t xml:space="preserve">项目编号：     </w:t>
      </w:r>
    </w:p>
    <w:tbl>
      <w:tblPr>
        <w:tblStyle w:val="4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76D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noWrap w:val="0"/>
            <w:vAlign w:val="center"/>
          </w:tcPr>
          <w:p w14:paraId="1EBF34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568" w:type="dxa"/>
            <w:noWrap w:val="0"/>
            <w:vAlign w:val="center"/>
          </w:tcPr>
          <w:p w14:paraId="2CABAA2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964" w:type="dxa"/>
            <w:noWrap w:val="0"/>
            <w:vAlign w:val="center"/>
          </w:tcPr>
          <w:p w14:paraId="5F32A17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品牌</w:t>
            </w:r>
          </w:p>
        </w:tc>
        <w:tc>
          <w:tcPr>
            <w:tcW w:w="1254" w:type="dxa"/>
            <w:noWrap w:val="0"/>
            <w:vAlign w:val="center"/>
          </w:tcPr>
          <w:p w14:paraId="3A3D20B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规格型号</w:t>
            </w:r>
          </w:p>
        </w:tc>
        <w:tc>
          <w:tcPr>
            <w:tcW w:w="1025" w:type="dxa"/>
            <w:noWrap w:val="0"/>
            <w:vAlign w:val="center"/>
          </w:tcPr>
          <w:p w14:paraId="6F60E4D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厂家</w:t>
            </w:r>
          </w:p>
        </w:tc>
        <w:tc>
          <w:tcPr>
            <w:tcW w:w="1025" w:type="dxa"/>
            <w:noWrap w:val="0"/>
            <w:vAlign w:val="center"/>
          </w:tcPr>
          <w:p w14:paraId="745F663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874" w:type="dxa"/>
            <w:noWrap w:val="0"/>
            <w:vAlign w:val="center"/>
          </w:tcPr>
          <w:p w14:paraId="3381B6C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942" w:type="dxa"/>
            <w:gridSpan w:val="2"/>
            <w:noWrap w:val="0"/>
            <w:vAlign w:val="center"/>
          </w:tcPr>
          <w:p w14:paraId="5E12724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c>
          <w:tcPr>
            <w:tcW w:w="1029" w:type="dxa"/>
            <w:noWrap w:val="0"/>
            <w:vAlign w:val="center"/>
          </w:tcPr>
          <w:p w14:paraId="0914F3D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合计</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元</w:t>
            </w:r>
            <w:r>
              <w:rPr>
                <w:rFonts w:hint="eastAsia" w:ascii="宋体" w:hAnsi="宋体" w:cs="宋体"/>
                <w:color w:val="auto"/>
                <w:sz w:val="24"/>
                <w:szCs w:val="24"/>
                <w:highlight w:val="none"/>
                <w:shd w:val="clear" w:color="auto" w:fill="auto"/>
                <w:lang w:eastAsia="zh-CN"/>
              </w:rPr>
              <w:t>）</w:t>
            </w:r>
          </w:p>
        </w:tc>
      </w:tr>
      <w:tr w14:paraId="338C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0099915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568" w:type="dxa"/>
            <w:noWrap w:val="0"/>
            <w:vAlign w:val="center"/>
          </w:tcPr>
          <w:p w14:paraId="28D94F4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181457D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1BDD378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58E8567">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2B77E9AF">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3E27F735">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50AE24D6">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16256EBD">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0D37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742F415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p>
        </w:tc>
        <w:tc>
          <w:tcPr>
            <w:tcW w:w="1568" w:type="dxa"/>
            <w:noWrap w:val="0"/>
            <w:vAlign w:val="center"/>
          </w:tcPr>
          <w:p w14:paraId="7C27AAC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25EBB85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148E08D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6786467A">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5D2C9ABB">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0F812053">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018C5937">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25E163C8">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3A4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noWrap w:val="0"/>
            <w:vAlign w:val="center"/>
          </w:tcPr>
          <w:p w14:paraId="25C098C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1568" w:type="dxa"/>
            <w:noWrap w:val="0"/>
            <w:vAlign w:val="center"/>
          </w:tcPr>
          <w:p w14:paraId="0CCF142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964" w:type="dxa"/>
            <w:noWrap w:val="0"/>
            <w:vAlign w:val="center"/>
          </w:tcPr>
          <w:p w14:paraId="792AAD8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254" w:type="dxa"/>
            <w:noWrap w:val="0"/>
            <w:vAlign w:val="center"/>
          </w:tcPr>
          <w:p w14:paraId="56960A6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408E863E">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5" w:type="dxa"/>
            <w:noWrap w:val="0"/>
            <w:vAlign w:val="center"/>
          </w:tcPr>
          <w:p w14:paraId="32D67FD3">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874" w:type="dxa"/>
            <w:noWrap w:val="0"/>
            <w:vAlign w:val="center"/>
          </w:tcPr>
          <w:p w14:paraId="71553143">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942" w:type="dxa"/>
            <w:gridSpan w:val="2"/>
            <w:noWrap w:val="0"/>
            <w:vAlign w:val="center"/>
          </w:tcPr>
          <w:p w14:paraId="05CDFE58">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shd w:val="clear" w:color="auto" w:fill="auto"/>
              </w:rPr>
            </w:pPr>
          </w:p>
        </w:tc>
        <w:tc>
          <w:tcPr>
            <w:tcW w:w="1029" w:type="dxa"/>
            <w:noWrap w:val="0"/>
            <w:vAlign w:val="center"/>
          </w:tcPr>
          <w:p w14:paraId="567BEFB7">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p>
        </w:tc>
      </w:tr>
      <w:tr w14:paraId="254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noWrap w:val="0"/>
            <w:vAlign w:val="center"/>
          </w:tcPr>
          <w:p w14:paraId="77693F6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lang w:val="en-US" w:eastAsia="zh-CN"/>
              </w:rPr>
              <w:t>...</w:t>
            </w:r>
          </w:p>
        </w:tc>
        <w:tc>
          <w:tcPr>
            <w:tcW w:w="1568" w:type="dxa"/>
            <w:noWrap w:val="0"/>
            <w:vAlign w:val="center"/>
          </w:tcPr>
          <w:p w14:paraId="01A2987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6DCE6FB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2DFAA52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0AA69CD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44A7CCC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586618B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0BEC1AF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65D156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0E70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noWrap w:val="0"/>
            <w:vAlign w:val="center"/>
          </w:tcPr>
          <w:p w14:paraId="5478000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22CFC3A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1912286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225A557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502735C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3F3C91E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246D76E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1AAAED4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24A5186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266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noWrap w:val="0"/>
            <w:vAlign w:val="center"/>
          </w:tcPr>
          <w:p w14:paraId="3168454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lang w:val="en-US" w:eastAsia="zh-CN"/>
              </w:rPr>
            </w:pPr>
          </w:p>
        </w:tc>
        <w:tc>
          <w:tcPr>
            <w:tcW w:w="1568" w:type="dxa"/>
            <w:noWrap w:val="0"/>
            <w:vAlign w:val="center"/>
          </w:tcPr>
          <w:p w14:paraId="54FCBCD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64" w:type="dxa"/>
            <w:noWrap w:val="0"/>
            <w:vAlign w:val="center"/>
          </w:tcPr>
          <w:p w14:paraId="324A068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254" w:type="dxa"/>
            <w:noWrap w:val="0"/>
            <w:vAlign w:val="center"/>
          </w:tcPr>
          <w:p w14:paraId="1085501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7DC4D49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25" w:type="dxa"/>
            <w:noWrap w:val="0"/>
            <w:vAlign w:val="center"/>
          </w:tcPr>
          <w:p w14:paraId="37B36C7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874" w:type="dxa"/>
            <w:noWrap w:val="0"/>
            <w:vAlign w:val="center"/>
          </w:tcPr>
          <w:p w14:paraId="11830DA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933" w:type="dxa"/>
            <w:noWrap w:val="0"/>
            <w:vAlign w:val="center"/>
          </w:tcPr>
          <w:p w14:paraId="0E91676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c>
          <w:tcPr>
            <w:tcW w:w="1038" w:type="dxa"/>
            <w:gridSpan w:val="2"/>
            <w:noWrap w:val="0"/>
            <w:vAlign w:val="center"/>
          </w:tcPr>
          <w:p w14:paraId="28DE511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pacing w:val="-6"/>
                <w:sz w:val="24"/>
                <w:szCs w:val="24"/>
                <w:highlight w:val="none"/>
                <w:shd w:val="clear" w:color="auto" w:fill="auto"/>
              </w:rPr>
            </w:pPr>
          </w:p>
        </w:tc>
      </w:tr>
      <w:tr w14:paraId="52D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2832AD24">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总报价（人民币大写）：                                 （￥                元）</w:t>
            </w:r>
          </w:p>
        </w:tc>
      </w:tr>
      <w:tr w14:paraId="1FE6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110F10D9">
            <w:pPr>
              <w:pStyle w:val="23"/>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备注：表内报价内容以元为单位。</w:t>
            </w:r>
          </w:p>
        </w:tc>
      </w:tr>
    </w:tbl>
    <w:p w14:paraId="4C0314A5">
      <w:pPr>
        <w:rPr>
          <w:rFonts w:hint="eastAsia" w:ascii="宋体" w:hAnsi="宋体"/>
          <w:b/>
          <w:sz w:val="24"/>
          <w:szCs w:val="24"/>
          <w:lang w:val="en-US" w:eastAsia="zh-CN"/>
        </w:rPr>
      </w:pPr>
    </w:p>
    <w:p w14:paraId="315CFF0F">
      <w:pPr>
        <w:rPr>
          <w:rFonts w:hint="eastAsia" w:ascii="宋体" w:hAnsi="宋体"/>
          <w:b/>
          <w:sz w:val="24"/>
          <w:szCs w:val="24"/>
          <w:lang w:val="en-US" w:eastAsia="zh-CN"/>
        </w:rPr>
      </w:pPr>
    </w:p>
    <w:p w14:paraId="2A0DC064">
      <w:pPr>
        <w:rPr>
          <w:rFonts w:ascii="宋体" w:hAnsi="宋体" w:cs="仿宋"/>
          <w:sz w:val="24"/>
          <w:szCs w:val="24"/>
          <w:highlight w:val="none"/>
        </w:rPr>
      </w:pPr>
      <w:r>
        <w:rPr>
          <w:rFonts w:hint="eastAsia" w:ascii="宋体" w:hAnsi="宋体"/>
          <w:b/>
          <w:sz w:val="24"/>
          <w:szCs w:val="24"/>
          <w:lang w:val="en-US" w:eastAsia="zh-CN"/>
        </w:rPr>
        <w:t>注：</w:t>
      </w:r>
      <w:r>
        <w:rPr>
          <w:rFonts w:hint="eastAsia" w:ascii="宋体" w:hAnsi="宋体" w:cs="仿宋"/>
          <w:sz w:val="24"/>
          <w:szCs w:val="24"/>
          <w:highlight w:val="none"/>
        </w:rPr>
        <w:t>1.投标人可根据实际情况自行扩展表格细项。</w:t>
      </w:r>
    </w:p>
    <w:p w14:paraId="5C957263">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2.如果分项报价合计与投标总报价不一致，以分项报价合计为准进行结算。</w:t>
      </w:r>
    </w:p>
    <w:p w14:paraId="6EBA8E14">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如果不提供详细分项报价将视为没有实质性响应招标文件。</w:t>
      </w:r>
    </w:p>
    <w:p w14:paraId="186259FF">
      <w:pPr>
        <w:pStyle w:val="17"/>
        <w:ind w:firstLine="480" w:firstLineChars="200"/>
        <w:rPr>
          <w:rFonts w:hint="default"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4.如中标，本表内容将作为采购人验收、查找内容之一。</w:t>
      </w:r>
    </w:p>
    <w:p w14:paraId="12EB2362">
      <w:pPr>
        <w:spacing w:line="360" w:lineRule="auto"/>
        <w:ind w:firstLine="480" w:firstLineChars="200"/>
        <w:rPr>
          <w:rFonts w:ascii="宋体" w:hAnsi="宋体" w:cs="仿宋"/>
          <w:sz w:val="24"/>
          <w:szCs w:val="24"/>
          <w:highlight w:val="none"/>
        </w:rPr>
      </w:pPr>
    </w:p>
    <w:p w14:paraId="3F0D79FA">
      <w:pPr>
        <w:spacing w:line="360" w:lineRule="auto"/>
        <w:ind w:firstLine="480" w:firstLineChars="200"/>
        <w:rPr>
          <w:rFonts w:ascii="宋体" w:hAnsi="宋体" w:cs="仿宋"/>
          <w:sz w:val="24"/>
          <w:szCs w:val="24"/>
          <w:highlight w:val="none"/>
        </w:rPr>
      </w:pPr>
    </w:p>
    <w:p w14:paraId="14F4FA24">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6DC2F50">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6278EE1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08821F5">
      <w:pPr>
        <w:rPr>
          <w:rFonts w:hint="eastAsia"/>
          <w:highlight w:val="none"/>
        </w:rPr>
      </w:pPr>
    </w:p>
    <w:p w14:paraId="1CD833B5">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rPr>
        <w:sectPr>
          <w:headerReference r:id="rId16" w:type="default"/>
          <w:footerReference r:id="rId17" w:type="default"/>
          <w:pgSz w:w="11905" w:h="16838"/>
          <w:pgMar w:top="1247" w:right="1417" w:bottom="1247" w:left="1417" w:header="964" w:footer="992" w:gutter="0"/>
          <w:pgNumType w:fmt="decimal" w:chapStyle="1"/>
          <w:cols w:space="0" w:num="1"/>
          <w:rtlGutter w:val="0"/>
          <w:docGrid w:type="lines" w:linePitch="326" w:charSpace="0"/>
        </w:sectPr>
      </w:pPr>
      <w:r>
        <w:rPr>
          <w:rFonts w:hint="eastAsia"/>
        </w:rPr>
        <w:br w:type="page"/>
      </w:r>
    </w:p>
    <w:p w14:paraId="305E149A">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highlight w:val="none"/>
        </w:rPr>
      </w:pPr>
      <w:r>
        <w:rPr>
          <w:rFonts w:hint="eastAsia"/>
          <w:highlight w:val="none"/>
        </w:rPr>
        <w:t>三 、资格证明文件</w:t>
      </w:r>
    </w:p>
    <w:p w14:paraId="046B2089">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outlineLvl w:val="9"/>
        <w:rPr>
          <w:rFonts w:hint="eastAsia" w:ascii="宋体" w:hAnsi="宋体" w:eastAsia="宋体" w:cs="宋体"/>
          <w:color w:val="auto"/>
          <w:sz w:val="24"/>
          <w:szCs w:val="24"/>
          <w:lang w:val="en-US" w:eastAsia="zh-CN"/>
        </w:rPr>
      </w:pPr>
      <w:bookmarkStart w:id="133" w:name="OLE_LINK38"/>
      <w:bookmarkStart w:id="134" w:name="OLE_LINK37"/>
    </w:p>
    <w:p w14:paraId="5C34B6D9">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146B63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24047A09">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129F2CA">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D1A6CF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428A8B35">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F411E8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818E0BE">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8.提供书面声明，承诺具备履行合同所需的设备和专业技术能力承诺书（可附设备清单或技术人员简历佐证）。</w:t>
      </w:r>
    </w:p>
    <w:p w14:paraId="1BB8A962">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p w14:paraId="29062CD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ascii="宋体" w:hAnsi="宋体"/>
          <w:color w:val="auto"/>
          <w:kern w:val="0"/>
          <w:sz w:val="24"/>
          <w:szCs w:val="24"/>
        </w:rPr>
        <w:sectPr>
          <w:pgSz w:w="11905" w:h="16838"/>
          <w:pgMar w:top="1247" w:right="1417" w:bottom="1247" w:left="1417" w:header="964" w:footer="992" w:gutter="0"/>
          <w:pgNumType w:fmt="decimal" w:chapStyle="1"/>
          <w:cols w:space="0" w:num="1"/>
          <w:rtlGutter w:val="0"/>
          <w:docGrid w:type="lines" w:linePitch="326" w:charSpace="0"/>
        </w:sectPr>
      </w:pPr>
    </w:p>
    <w:bookmarkEnd w:id="133"/>
    <w:bookmarkEnd w:id="134"/>
    <w:p w14:paraId="01760CF2">
      <w:pPr>
        <w:jc w:val="center"/>
        <w:rPr>
          <w:rFonts w:ascii="Calibri Light" w:hAnsi="Calibri Light"/>
          <w:b/>
          <w:bCs/>
          <w:sz w:val="32"/>
          <w:szCs w:val="32"/>
          <w:highlight w:val="none"/>
        </w:rPr>
      </w:pPr>
      <w:r>
        <w:rPr>
          <w:rFonts w:hint="eastAsia" w:ascii="宋体" w:hAnsi="宋体" w:cs="Arial"/>
          <w:b/>
          <w:color w:val="000000"/>
          <w:kern w:val="0"/>
          <w:sz w:val="32"/>
          <w:szCs w:val="32"/>
          <w:highlight w:val="none"/>
        </w:rPr>
        <w:t>法定代表人证明书</w:t>
      </w:r>
    </w:p>
    <w:p w14:paraId="03B68D15">
      <w:pPr>
        <w:tabs>
          <w:tab w:val="left" w:pos="210"/>
        </w:tabs>
        <w:spacing w:line="320" w:lineRule="exact"/>
        <w:jc w:val="center"/>
        <w:rPr>
          <w:rFonts w:ascii="宋体" w:hAnsi="宋体" w:cs="Arial"/>
          <w:b/>
          <w:color w:val="000000"/>
          <w:kern w:val="0"/>
          <w:sz w:val="32"/>
          <w:szCs w:val="32"/>
          <w:highlight w:val="none"/>
        </w:rPr>
      </w:pPr>
    </w:p>
    <w:tbl>
      <w:tblPr>
        <w:tblStyle w:val="44"/>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D2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2B60DE8">
            <w:pPr>
              <w:tabs>
                <w:tab w:val="left" w:pos="210"/>
              </w:tabs>
              <w:spacing w:line="320" w:lineRule="exac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致：安康尚昊招标代理有限公司</w:t>
            </w:r>
          </w:p>
        </w:tc>
      </w:tr>
      <w:tr w14:paraId="4F2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D38F50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w:t>
            </w:r>
          </w:p>
          <w:p w14:paraId="2E4AE9A1">
            <w:pPr>
              <w:tabs>
                <w:tab w:val="left" w:pos="210"/>
              </w:tabs>
              <w:spacing w:line="320" w:lineRule="exact"/>
              <w:jc w:val="center"/>
              <w:rPr>
                <w:rFonts w:ascii="宋体" w:hAnsi="宋体" w:cs="Arial"/>
                <w:color w:val="000000"/>
                <w:kern w:val="0"/>
                <w:sz w:val="24"/>
                <w:szCs w:val="24"/>
                <w:highlight w:val="none"/>
              </w:rPr>
            </w:pPr>
          </w:p>
          <w:p w14:paraId="151DFBD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业</w:t>
            </w:r>
          </w:p>
          <w:p w14:paraId="5468026E">
            <w:pPr>
              <w:tabs>
                <w:tab w:val="left" w:pos="210"/>
              </w:tabs>
              <w:spacing w:line="320" w:lineRule="exact"/>
              <w:jc w:val="center"/>
              <w:rPr>
                <w:rFonts w:ascii="宋体" w:hAnsi="宋体" w:cs="Arial"/>
                <w:color w:val="000000"/>
                <w:kern w:val="0"/>
                <w:sz w:val="24"/>
                <w:szCs w:val="24"/>
                <w:highlight w:val="none"/>
              </w:rPr>
            </w:pPr>
          </w:p>
          <w:p w14:paraId="746E33F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w:t>
            </w:r>
          </w:p>
          <w:p w14:paraId="48A13AD6">
            <w:pPr>
              <w:tabs>
                <w:tab w:val="left" w:pos="210"/>
              </w:tabs>
              <w:spacing w:line="320" w:lineRule="exact"/>
              <w:jc w:val="center"/>
              <w:rPr>
                <w:rFonts w:ascii="宋体" w:hAnsi="宋体" w:cs="Arial"/>
                <w:color w:val="000000"/>
                <w:kern w:val="0"/>
                <w:sz w:val="24"/>
                <w:szCs w:val="24"/>
                <w:highlight w:val="none"/>
              </w:rPr>
            </w:pPr>
          </w:p>
          <w:p w14:paraId="1E6372B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人</w:t>
            </w:r>
          </w:p>
        </w:tc>
        <w:tc>
          <w:tcPr>
            <w:tcW w:w="2223" w:type="dxa"/>
            <w:vAlign w:val="center"/>
          </w:tcPr>
          <w:p w14:paraId="5F5AB61C">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企业名称</w:t>
            </w:r>
          </w:p>
        </w:tc>
        <w:tc>
          <w:tcPr>
            <w:tcW w:w="6797" w:type="dxa"/>
            <w:gridSpan w:val="4"/>
            <w:vAlign w:val="center"/>
          </w:tcPr>
          <w:p w14:paraId="79E41800">
            <w:pPr>
              <w:tabs>
                <w:tab w:val="left" w:pos="210"/>
              </w:tabs>
              <w:spacing w:line="320" w:lineRule="exact"/>
              <w:jc w:val="center"/>
              <w:rPr>
                <w:rFonts w:ascii="宋体" w:hAnsi="宋体" w:cs="Arial"/>
                <w:color w:val="000000"/>
                <w:kern w:val="0"/>
                <w:sz w:val="24"/>
                <w:szCs w:val="24"/>
                <w:highlight w:val="none"/>
              </w:rPr>
            </w:pPr>
          </w:p>
        </w:tc>
      </w:tr>
      <w:tr w14:paraId="4007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5E42410">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9CC3243">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法定地址</w:t>
            </w:r>
          </w:p>
        </w:tc>
        <w:tc>
          <w:tcPr>
            <w:tcW w:w="6797" w:type="dxa"/>
            <w:gridSpan w:val="4"/>
            <w:vAlign w:val="center"/>
          </w:tcPr>
          <w:p w14:paraId="3EF12D72">
            <w:pPr>
              <w:tabs>
                <w:tab w:val="left" w:pos="210"/>
              </w:tabs>
              <w:spacing w:line="320" w:lineRule="exact"/>
              <w:jc w:val="center"/>
              <w:rPr>
                <w:rFonts w:ascii="宋体" w:hAnsi="宋体" w:cs="Arial"/>
                <w:color w:val="000000"/>
                <w:kern w:val="0"/>
                <w:sz w:val="24"/>
                <w:szCs w:val="24"/>
                <w:highlight w:val="none"/>
              </w:rPr>
            </w:pPr>
          </w:p>
        </w:tc>
      </w:tr>
      <w:tr w14:paraId="00E2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5A1CEDE">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4BD30DD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邮政编码</w:t>
            </w:r>
          </w:p>
        </w:tc>
        <w:tc>
          <w:tcPr>
            <w:tcW w:w="6797" w:type="dxa"/>
            <w:gridSpan w:val="4"/>
            <w:vAlign w:val="center"/>
          </w:tcPr>
          <w:p w14:paraId="2FEAC2FA">
            <w:pPr>
              <w:tabs>
                <w:tab w:val="left" w:pos="210"/>
              </w:tabs>
              <w:spacing w:line="320" w:lineRule="exact"/>
              <w:jc w:val="center"/>
              <w:rPr>
                <w:rFonts w:ascii="宋体" w:hAnsi="宋体" w:cs="Arial"/>
                <w:color w:val="000000"/>
                <w:kern w:val="0"/>
                <w:sz w:val="24"/>
                <w:szCs w:val="24"/>
                <w:highlight w:val="none"/>
              </w:rPr>
            </w:pPr>
          </w:p>
        </w:tc>
      </w:tr>
      <w:tr w14:paraId="355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275B19A">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0F4037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工商登记机关</w:t>
            </w:r>
          </w:p>
        </w:tc>
        <w:tc>
          <w:tcPr>
            <w:tcW w:w="6797" w:type="dxa"/>
            <w:gridSpan w:val="4"/>
            <w:vAlign w:val="center"/>
          </w:tcPr>
          <w:p w14:paraId="6B6F7AF3">
            <w:pPr>
              <w:tabs>
                <w:tab w:val="left" w:pos="210"/>
              </w:tabs>
              <w:spacing w:line="320" w:lineRule="exact"/>
              <w:jc w:val="center"/>
              <w:rPr>
                <w:rFonts w:ascii="宋体" w:hAnsi="宋体" w:cs="Arial"/>
                <w:color w:val="000000"/>
                <w:kern w:val="0"/>
                <w:sz w:val="24"/>
                <w:szCs w:val="24"/>
                <w:highlight w:val="none"/>
              </w:rPr>
            </w:pPr>
          </w:p>
        </w:tc>
      </w:tr>
      <w:tr w14:paraId="332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A6418B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A5ACC3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税务登记机关</w:t>
            </w:r>
          </w:p>
        </w:tc>
        <w:tc>
          <w:tcPr>
            <w:tcW w:w="6797" w:type="dxa"/>
            <w:gridSpan w:val="4"/>
            <w:vAlign w:val="center"/>
          </w:tcPr>
          <w:p w14:paraId="3072B86D">
            <w:pPr>
              <w:tabs>
                <w:tab w:val="left" w:pos="210"/>
              </w:tabs>
              <w:spacing w:line="320" w:lineRule="exact"/>
              <w:rPr>
                <w:rFonts w:ascii="宋体" w:hAnsi="宋体" w:cs="Arial"/>
                <w:color w:val="000000"/>
                <w:kern w:val="0"/>
                <w:sz w:val="24"/>
                <w:szCs w:val="24"/>
                <w:highlight w:val="none"/>
              </w:rPr>
            </w:pPr>
          </w:p>
        </w:tc>
      </w:tr>
      <w:tr w14:paraId="55EC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729E6677">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2E5BCC5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机构代码证号</w:t>
            </w:r>
          </w:p>
        </w:tc>
        <w:tc>
          <w:tcPr>
            <w:tcW w:w="6797" w:type="dxa"/>
            <w:gridSpan w:val="4"/>
            <w:vAlign w:val="center"/>
          </w:tcPr>
          <w:p w14:paraId="0167CAC7">
            <w:pPr>
              <w:tabs>
                <w:tab w:val="left" w:pos="210"/>
              </w:tabs>
              <w:spacing w:line="320" w:lineRule="exact"/>
              <w:jc w:val="center"/>
              <w:rPr>
                <w:rFonts w:ascii="宋体" w:hAnsi="宋体" w:cs="Arial"/>
                <w:color w:val="000000"/>
                <w:kern w:val="0"/>
                <w:sz w:val="24"/>
                <w:szCs w:val="24"/>
                <w:highlight w:val="none"/>
              </w:rPr>
            </w:pPr>
          </w:p>
        </w:tc>
      </w:tr>
      <w:tr w14:paraId="05F4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95D27C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w:t>
            </w:r>
          </w:p>
        </w:tc>
        <w:tc>
          <w:tcPr>
            <w:tcW w:w="2223" w:type="dxa"/>
            <w:vAlign w:val="center"/>
          </w:tcPr>
          <w:p w14:paraId="6EEB1B7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姓名</w:t>
            </w:r>
          </w:p>
        </w:tc>
        <w:tc>
          <w:tcPr>
            <w:tcW w:w="2408" w:type="dxa"/>
            <w:gridSpan w:val="2"/>
            <w:vAlign w:val="center"/>
          </w:tcPr>
          <w:p w14:paraId="7383FFC4">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07F8A71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性别</w:t>
            </w:r>
          </w:p>
        </w:tc>
        <w:tc>
          <w:tcPr>
            <w:tcW w:w="2171" w:type="dxa"/>
            <w:vAlign w:val="center"/>
          </w:tcPr>
          <w:p w14:paraId="0FA449C3">
            <w:pPr>
              <w:tabs>
                <w:tab w:val="left" w:pos="210"/>
              </w:tabs>
              <w:spacing w:line="320" w:lineRule="exact"/>
              <w:jc w:val="center"/>
              <w:rPr>
                <w:rFonts w:ascii="宋体" w:hAnsi="宋体" w:cs="Arial"/>
                <w:color w:val="000000"/>
                <w:kern w:val="0"/>
                <w:sz w:val="24"/>
                <w:szCs w:val="24"/>
                <w:highlight w:val="none"/>
              </w:rPr>
            </w:pPr>
          </w:p>
        </w:tc>
      </w:tr>
      <w:tr w14:paraId="4362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D755ED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23FF70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职务</w:t>
            </w:r>
          </w:p>
        </w:tc>
        <w:tc>
          <w:tcPr>
            <w:tcW w:w="2408" w:type="dxa"/>
            <w:gridSpan w:val="2"/>
            <w:vAlign w:val="center"/>
          </w:tcPr>
          <w:p w14:paraId="6A29C849">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549332FE">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联系电话</w:t>
            </w:r>
          </w:p>
        </w:tc>
        <w:tc>
          <w:tcPr>
            <w:tcW w:w="2171" w:type="dxa"/>
            <w:vAlign w:val="center"/>
          </w:tcPr>
          <w:p w14:paraId="2D1A8F57">
            <w:pPr>
              <w:tabs>
                <w:tab w:val="left" w:pos="210"/>
              </w:tabs>
              <w:spacing w:line="320" w:lineRule="exact"/>
              <w:jc w:val="center"/>
              <w:rPr>
                <w:rFonts w:ascii="宋体" w:hAnsi="宋体" w:cs="Arial"/>
                <w:color w:val="000000"/>
                <w:kern w:val="0"/>
                <w:sz w:val="24"/>
                <w:szCs w:val="24"/>
                <w:highlight w:val="none"/>
              </w:rPr>
            </w:pPr>
          </w:p>
        </w:tc>
      </w:tr>
      <w:tr w14:paraId="5CF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A46BB09">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8280F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传真</w:t>
            </w:r>
          </w:p>
        </w:tc>
        <w:tc>
          <w:tcPr>
            <w:tcW w:w="6797" w:type="dxa"/>
            <w:gridSpan w:val="4"/>
            <w:vAlign w:val="center"/>
          </w:tcPr>
          <w:p w14:paraId="01FE4BB9">
            <w:pPr>
              <w:tabs>
                <w:tab w:val="left" w:pos="210"/>
              </w:tabs>
              <w:spacing w:line="320" w:lineRule="exact"/>
              <w:jc w:val="center"/>
              <w:rPr>
                <w:rFonts w:ascii="宋体" w:hAnsi="宋体" w:cs="Arial"/>
                <w:color w:val="000000"/>
                <w:kern w:val="0"/>
                <w:sz w:val="24"/>
                <w:szCs w:val="24"/>
                <w:highlight w:val="none"/>
              </w:rPr>
            </w:pPr>
          </w:p>
        </w:tc>
      </w:tr>
      <w:tr w14:paraId="6D34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421A98D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法定代表人身份证复印件</w:t>
            </w:r>
          </w:p>
        </w:tc>
        <w:tc>
          <w:tcPr>
            <w:tcW w:w="4441" w:type="dxa"/>
            <w:gridSpan w:val="2"/>
            <w:vMerge w:val="restart"/>
            <w:vAlign w:val="center"/>
          </w:tcPr>
          <w:p w14:paraId="4CDA6EF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（粘贴处）</w:t>
            </w:r>
          </w:p>
        </w:tc>
        <w:tc>
          <w:tcPr>
            <w:tcW w:w="4579" w:type="dxa"/>
            <w:gridSpan w:val="3"/>
            <w:vAlign w:val="center"/>
          </w:tcPr>
          <w:p w14:paraId="62F4F6C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法定代表人签字或盖章</w:t>
            </w:r>
          </w:p>
        </w:tc>
      </w:tr>
      <w:tr w14:paraId="7988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41027165">
            <w:pPr>
              <w:tabs>
                <w:tab w:val="left" w:pos="210"/>
              </w:tabs>
              <w:spacing w:line="320" w:lineRule="exact"/>
              <w:jc w:val="center"/>
              <w:rPr>
                <w:rFonts w:ascii="宋体" w:hAnsi="宋体" w:cs="Arial"/>
                <w:color w:val="000000"/>
                <w:kern w:val="0"/>
                <w:sz w:val="24"/>
                <w:szCs w:val="24"/>
                <w:highlight w:val="none"/>
              </w:rPr>
            </w:pPr>
          </w:p>
        </w:tc>
        <w:tc>
          <w:tcPr>
            <w:tcW w:w="4441" w:type="dxa"/>
            <w:gridSpan w:val="2"/>
            <w:vMerge w:val="continue"/>
            <w:vAlign w:val="center"/>
          </w:tcPr>
          <w:p w14:paraId="6BB5D06E">
            <w:pPr>
              <w:tabs>
                <w:tab w:val="left" w:pos="210"/>
              </w:tabs>
              <w:spacing w:line="320" w:lineRule="exact"/>
              <w:jc w:val="center"/>
              <w:rPr>
                <w:rFonts w:ascii="宋体" w:hAnsi="宋体" w:cs="Arial"/>
                <w:color w:val="000000"/>
                <w:kern w:val="0"/>
                <w:sz w:val="24"/>
                <w:szCs w:val="24"/>
                <w:highlight w:val="none"/>
              </w:rPr>
            </w:pPr>
          </w:p>
        </w:tc>
        <w:tc>
          <w:tcPr>
            <w:tcW w:w="4579" w:type="dxa"/>
            <w:gridSpan w:val="3"/>
            <w:vAlign w:val="bottom"/>
          </w:tcPr>
          <w:p w14:paraId="5A8343C9">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（公章）</w:t>
            </w:r>
          </w:p>
          <w:p w14:paraId="7FD34701">
            <w:pPr>
              <w:tabs>
                <w:tab w:val="left" w:pos="210"/>
              </w:tabs>
              <w:spacing w:line="320" w:lineRule="exact"/>
              <w:jc w:val="center"/>
              <w:rPr>
                <w:rFonts w:ascii="宋体" w:hAnsi="宋体" w:cs="Arial"/>
                <w:color w:val="000000"/>
                <w:kern w:val="0"/>
                <w:sz w:val="24"/>
                <w:szCs w:val="24"/>
                <w:highlight w:val="none"/>
              </w:rPr>
            </w:pPr>
          </w:p>
          <w:p w14:paraId="516B2779">
            <w:pPr>
              <w:tabs>
                <w:tab w:val="left" w:pos="210"/>
              </w:tabs>
              <w:spacing w:line="320" w:lineRule="exact"/>
              <w:jc w:val="center"/>
              <w:rPr>
                <w:rFonts w:ascii="宋体" w:hAnsi="宋体" w:cs="Arial"/>
                <w:color w:val="000000"/>
                <w:kern w:val="0"/>
                <w:sz w:val="24"/>
                <w:szCs w:val="24"/>
                <w:highlight w:val="none"/>
              </w:rPr>
            </w:pPr>
          </w:p>
          <w:p w14:paraId="166F0FFD">
            <w:pPr>
              <w:tabs>
                <w:tab w:val="left" w:pos="210"/>
              </w:tabs>
              <w:spacing w:line="320" w:lineRule="exact"/>
              <w:jc w:val="center"/>
              <w:rPr>
                <w:rFonts w:ascii="宋体" w:hAnsi="宋体" w:cs="Arial"/>
                <w:color w:val="000000"/>
                <w:kern w:val="0"/>
                <w:sz w:val="24"/>
                <w:szCs w:val="24"/>
                <w:highlight w:val="none"/>
              </w:rPr>
            </w:pPr>
          </w:p>
          <w:p w14:paraId="78C29817">
            <w:pPr>
              <w:tabs>
                <w:tab w:val="left" w:pos="210"/>
              </w:tabs>
              <w:spacing w:line="320" w:lineRule="exact"/>
              <w:jc w:val="righ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年  月  日 </w:t>
            </w:r>
          </w:p>
        </w:tc>
      </w:tr>
    </w:tbl>
    <w:p w14:paraId="37B89BC0">
      <w:pPr>
        <w:widowControl/>
        <w:jc w:val="left"/>
        <w:rPr>
          <w:rFonts w:ascii="Calibri Light" w:hAnsi="Calibri Light"/>
          <w:b/>
          <w:bCs/>
          <w:sz w:val="32"/>
          <w:szCs w:val="32"/>
          <w:highlight w:val="none"/>
        </w:rPr>
      </w:pPr>
    </w:p>
    <w:p w14:paraId="487AE4EF">
      <w:pPr>
        <w:pStyle w:val="3"/>
        <w:jc w:val="center"/>
        <w:rPr>
          <w:highlight w:val="none"/>
        </w:rPr>
      </w:pPr>
      <w:bookmarkStart w:id="135" w:name="_Toc22911714"/>
      <w:bookmarkStart w:id="136" w:name="_Toc26541338"/>
      <w:bookmarkStart w:id="137" w:name="_Toc22910776"/>
      <w:bookmarkStart w:id="138" w:name="_Toc22911935"/>
      <w:bookmarkStart w:id="139" w:name="_Toc23258627"/>
      <w:r>
        <w:rPr>
          <w:rFonts w:hint="eastAsia"/>
          <w:highlight w:val="none"/>
        </w:rPr>
        <w:t>法人授权委托书</w:t>
      </w:r>
      <w:bookmarkEnd w:id="135"/>
      <w:bookmarkEnd w:id="136"/>
      <w:bookmarkEnd w:id="137"/>
      <w:bookmarkEnd w:id="138"/>
      <w:bookmarkEnd w:id="139"/>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（招标项目名称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44"/>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6E7C6064">
      <w:pPr>
        <w:pStyle w:val="3"/>
        <w:jc w:val="center"/>
        <w:rPr>
          <w:rFonts w:ascii="宋体" w:hAnsi="宋体" w:cs="宋体"/>
          <w:highlight w:val="none"/>
        </w:rPr>
      </w:pPr>
      <w:bookmarkStart w:id="140" w:name="_Toc24284"/>
      <w:r>
        <w:rPr>
          <w:rFonts w:hint="eastAsia" w:ascii="宋体" w:hAnsi="宋体" w:cs="宋体"/>
          <w:highlight w:val="none"/>
        </w:rPr>
        <w:t>无重大违法记录声明</w:t>
      </w:r>
      <w:bookmarkEnd w:id="140"/>
    </w:p>
    <w:p w14:paraId="1FCDE31C">
      <w:pPr>
        <w:adjustRightInd w:val="0"/>
        <w:snapToGrid w:val="0"/>
        <w:spacing w:line="408" w:lineRule="auto"/>
        <w:rPr>
          <w:rFonts w:ascii="宋体" w:hAnsi="宋体" w:cs="宋体"/>
          <w:kern w:val="0"/>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742A979B">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）公告内容，参与投标，提供采购人需求中规定的全部内容。作为参加本次政府采购活动的投标人，郑重承诺：</w:t>
      </w:r>
    </w:p>
    <w:p w14:paraId="7B412683">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DB7BAD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0138F7B7">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本公司对上述承诺的真实性负责，如有虚假，我方自行承担一切后果及法律责任。</w:t>
      </w:r>
    </w:p>
    <w:p w14:paraId="63089581">
      <w:pPr>
        <w:adjustRightInd w:val="0"/>
        <w:snapToGrid w:val="0"/>
        <w:spacing w:line="408" w:lineRule="auto"/>
        <w:rPr>
          <w:rFonts w:ascii="宋体" w:hAnsi="宋体" w:cs="宋体"/>
          <w:b/>
          <w:bCs/>
          <w:sz w:val="24"/>
          <w:szCs w:val="24"/>
          <w:highlight w:val="none"/>
        </w:rPr>
      </w:pPr>
      <w:r>
        <w:rPr>
          <w:rFonts w:hint="eastAsia" w:ascii="宋体" w:hAnsi="宋体" w:cs="宋体"/>
          <w:bCs/>
          <w:sz w:val="24"/>
          <w:szCs w:val="24"/>
          <w:highlight w:val="none"/>
        </w:rPr>
        <w:t xml:space="preserve">    </w:t>
      </w:r>
      <w:r>
        <w:rPr>
          <w:rFonts w:hint="eastAsia" w:ascii="宋体" w:hAnsi="宋体" w:cs="宋体"/>
          <w:b/>
          <w:bCs/>
          <w:sz w:val="24"/>
          <w:szCs w:val="24"/>
          <w:highlight w:val="none"/>
        </w:rPr>
        <w:t>注：在对投标文件中此声明函真实性和有效性进行审查、验证时，如有造假/情况不一致/未按要求提供的，按无效文件处理。</w:t>
      </w:r>
    </w:p>
    <w:p w14:paraId="12E2AEA5">
      <w:pPr>
        <w:adjustRightInd w:val="0"/>
        <w:snapToGrid w:val="0"/>
        <w:spacing w:line="408" w:lineRule="auto"/>
        <w:rPr>
          <w:rFonts w:ascii="宋体" w:hAnsi="宋体" w:cs="宋体"/>
          <w:bCs/>
          <w:sz w:val="24"/>
          <w:szCs w:val="24"/>
          <w:highlight w:val="none"/>
        </w:rPr>
      </w:pPr>
    </w:p>
    <w:p w14:paraId="3F62A5D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DC86A27">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7B13E761">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EAAD183">
      <w:pPr>
        <w:rPr>
          <w:rFonts w:ascii="宋体" w:hAnsi="宋体" w:cs="宋体"/>
          <w:highlight w:val="none"/>
        </w:rPr>
      </w:pPr>
      <w:r>
        <w:rPr>
          <w:rFonts w:ascii="宋体" w:hAnsi="宋体" w:cs="宋体"/>
          <w:highlight w:val="none"/>
        </w:rPr>
        <w:br w:type="page"/>
      </w:r>
    </w:p>
    <w:p w14:paraId="6F6BA814"/>
    <w:p w14:paraId="5711483B">
      <w:pPr>
        <w:rPr>
          <w:rFonts w:hint="eastAsia" w:ascii="宋体" w:hAnsi="宋体" w:cs="宋体"/>
          <w:b/>
          <w:bCs/>
          <w:sz w:val="28"/>
          <w:szCs w:val="28"/>
          <w:highlight w:val="none"/>
        </w:rPr>
      </w:pPr>
    </w:p>
    <w:p w14:paraId="6B46C5DD">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投标人非联合体投标声明</w:t>
      </w:r>
    </w:p>
    <w:p w14:paraId="24E31FF8">
      <w:pPr>
        <w:adjustRightInd w:val="0"/>
        <w:snapToGrid w:val="0"/>
        <w:spacing w:line="360" w:lineRule="auto"/>
        <w:rPr>
          <w:rFonts w:ascii="仿宋" w:hAnsi="仿宋" w:eastAsia="仿宋" w:cs="黑体"/>
          <w:bCs/>
          <w:sz w:val="28"/>
          <w:szCs w:val="28"/>
          <w:highlight w:val="none"/>
        </w:rPr>
      </w:pPr>
    </w:p>
    <w:p w14:paraId="34FC6BFE">
      <w:pPr>
        <w:adjustRightInd w:val="0"/>
        <w:snapToGrid w:val="0"/>
        <w:spacing w:line="408" w:lineRule="auto"/>
        <w:rPr>
          <w:rFonts w:ascii="宋体" w:hAnsi="宋体" w:cs="宋体"/>
          <w:bCs/>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28579F3C">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）招标内容，参与投标，提供采购人需求中规定的全部内容。本公司就参加投标工作，</w:t>
      </w:r>
      <w:r>
        <w:rPr>
          <w:rFonts w:hint="eastAsia" w:ascii="宋体" w:hAnsi="宋体" w:cs="宋体"/>
          <w:bCs/>
          <w:sz w:val="24"/>
          <w:szCs w:val="24"/>
          <w:highlight w:val="none"/>
          <w:lang w:eastAsia="zh-CN"/>
        </w:rPr>
        <w:t>做出</w:t>
      </w:r>
      <w:r>
        <w:rPr>
          <w:rFonts w:hint="eastAsia" w:ascii="宋体" w:hAnsi="宋体" w:cs="宋体"/>
          <w:bCs/>
          <w:sz w:val="24"/>
          <w:szCs w:val="24"/>
          <w:highlight w:val="none"/>
        </w:rPr>
        <w:t>郑重声明：</w:t>
      </w:r>
    </w:p>
    <w:p w14:paraId="086AC3A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1.本公司保证在本项目投标中不与其他单位围标、串标，不出让投标资格，不向采购人、采购代理机构和评标委员会成员行贿。</w:t>
      </w:r>
    </w:p>
    <w:p w14:paraId="22AB38D4">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2.本公司保证本项目并非联合体投标，本项目服务由本公司独立承担。</w:t>
      </w:r>
    </w:p>
    <w:p w14:paraId="3719896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本公司违反上述保证，或本声明陈述与事实不符，经查实，我方自行承担一切后果及法律责任</w:t>
      </w:r>
      <w:r>
        <w:rPr>
          <w:rFonts w:hint="eastAsia" w:ascii="宋体" w:hAnsi="宋体" w:cs="宋体"/>
          <w:bCs/>
          <w:sz w:val="24"/>
          <w:szCs w:val="24"/>
          <w:highlight w:val="none"/>
          <w:lang w:eastAsia="zh-CN"/>
        </w:rPr>
        <w:t>。</w:t>
      </w:r>
    </w:p>
    <w:p w14:paraId="1E2F8136">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特此声明。</w:t>
      </w:r>
    </w:p>
    <w:p w14:paraId="6FE5DE2B">
      <w:pPr>
        <w:snapToGrid w:val="0"/>
        <w:spacing w:line="408" w:lineRule="auto"/>
        <w:rPr>
          <w:rFonts w:ascii="宋体" w:hAnsi="宋体" w:cs="宋体"/>
          <w:bCs/>
          <w:sz w:val="24"/>
          <w:szCs w:val="24"/>
          <w:highlight w:val="none"/>
        </w:rPr>
      </w:pPr>
    </w:p>
    <w:p w14:paraId="0034600F">
      <w:pPr>
        <w:snapToGrid w:val="0"/>
        <w:spacing w:line="408" w:lineRule="auto"/>
        <w:rPr>
          <w:rFonts w:ascii="宋体" w:hAnsi="宋体" w:cs="宋体"/>
          <w:bCs/>
          <w:sz w:val="24"/>
          <w:szCs w:val="24"/>
          <w:highlight w:val="none"/>
        </w:rPr>
      </w:pPr>
    </w:p>
    <w:p w14:paraId="1E426400">
      <w:pPr>
        <w:snapToGrid w:val="0"/>
        <w:spacing w:line="408" w:lineRule="auto"/>
        <w:rPr>
          <w:rFonts w:ascii="宋体" w:hAnsi="宋体" w:cs="宋体"/>
          <w:bCs/>
          <w:sz w:val="24"/>
          <w:szCs w:val="24"/>
          <w:highlight w:val="none"/>
        </w:rPr>
      </w:pPr>
    </w:p>
    <w:p w14:paraId="1726BEE9">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16F53FF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EBE3034">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0F47F6C1">
      <w:pPr>
        <w:adjustRightInd w:val="0"/>
        <w:snapToGrid w:val="0"/>
        <w:spacing w:line="360" w:lineRule="auto"/>
        <w:jc w:val="center"/>
        <w:rPr>
          <w:rFonts w:ascii="宋体" w:hAnsi="宋体" w:cs="宋体"/>
          <w:b/>
          <w:bCs/>
          <w:sz w:val="28"/>
          <w:szCs w:val="28"/>
          <w:highlight w:val="none"/>
        </w:rPr>
      </w:pPr>
    </w:p>
    <w:p w14:paraId="1FF36EFC">
      <w:pPr>
        <w:pStyle w:val="40"/>
        <w:rPr>
          <w:rFonts w:ascii="宋体" w:hAnsi="宋体" w:cs="宋体"/>
          <w:b/>
          <w:bCs/>
          <w:sz w:val="28"/>
          <w:szCs w:val="28"/>
          <w:highlight w:val="none"/>
        </w:rPr>
      </w:pPr>
    </w:p>
    <w:p w14:paraId="378AB14F">
      <w:pPr>
        <w:rPr>
          <w:rFonts w:ascii="宋体" w:hAnsi="宋体" w:cs="宋体"/>
          <w:b/>
          <w:bCs/>
          <w:sz w:val="28"/>
          <w:szCs w:val="28"/>
          <w:highlight w:val="none"/>
        </w:rPr>
      </w:pPr>
    </w:p>
    <w:p w14:paraId="7628D5C1">
      <w:pPr>
        <w:pStyle w:val="40"/>
        <w:rPr>
          <w:rFonts w:ascii="宋体" w:hAnsi="宋体" w:cs="宋体"/>
          <w:b/>
          <w:bCs/>
          <w:sz w:val="28"/>
          <w:szCs w:val="28"/>
          <w:highlight w:val="none"/>
        </w:rPr>
      </w:pPr>
    </w:p>
    <w:p w14:paraId="3095BE7C">
      <w:pPr>
        <w:rPr>
          <w:rFonts w:ascii="宋体" w:hAnsi="宋体" w:cs="宋体"/>
          <w:b/>
          <w:bCs/>
          <w:sz w:val="28"/>
          <w:szCs w:val="28"/>
          <w:highlight w:val="none"/>
        </w:rPr>
      </w:pPr>
    </w:p>
    <w:p w14:paraId="683A76BF">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2DDCA43F">
      <w:pPr>
        <w:pStyle w:val="144"/>
        <w:keepNext w:val="0"/>
        <w:keepLines w:val="0"/>
        <w:pageBreakBefore w:val="0"/>
        <w:widowControl/>
        <w:kinsoku/>
        <w:wordWrap/>
        <w:overflowPunct/>
        <w:topLinePunct w:val="0"/>
        <w:autoSpaceDE/>
        <w:autoSpaceDN/>
        <w:bidi w:val="0"/>
        <w:adjustRightInd w:val="0"/>
        <w:snapToGrid w:val="0"/>
        <w:spacing w:line="360" w:lineRule="auto"/>
        <w:ind w:left="0" w:firstLine="720" w:firstLineChars="3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5B2A0800">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0FD2E3E0">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10B6C0C6">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7E2EF61F">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val="0"/>
          <w:color w:val="000000"/>
          <w:sz w:val="24"/>
          <w:szCs w:val="24"/>
        </w:rPr>
        <w:t>本企业对上述声明内容的真实性负责。如有虚假，将依法承担相应责任。</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44"/>
        <w:rPr>
          <w:rFonts w:hint="eastAsia"/>
          <w:lang w:val="en-US" w:eastAsia="zh-CN"/>
        </w:rPr>
      </w:pPr>
    </w:p>
    <w:p w14:paraId="1FC9E77D">
      <w:pPr>
        <w:pStyle w:val="4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6D20B05">
      <w:pPr>
        <w:pStyle w:val="67"/>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6D624100">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7EC3FF08">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4A41D65">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493846EE">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4883FAD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74E63F5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3E009A2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279AC170">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6B49590C">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05F53693">
      <w:pPr>
        <w:pStyle w:val="144"/>
        <w:rPr>
          <w:rFonts w:hint="eastAsia"/>
          <w:highlight w:val="none"/>
          <w:lang w:val="en-US" w:eastAsia="zh-CN"/>
        </w:rPr>
      </w:pPr>
    </w:p>
    <w:p w14:paraId="426C461E">
      <w:pPr>
        <w:pStyle w:val="42"/>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注：1</w:t>
      </w:r>
      <w:r>
        <w:rPr>
          <w:rFonts w:hint="eastAsia" w:cs="宋体"/>
          <w:bCs/>
          <w:kern w:val="2"/>
          <w:sz w:val="24"/>
          <w:szCs w:val="24"/>
          <w:highlight w:val="none"/>
          <w:lang w:val="en-US" w:eastAsia="zh-CN" w:bidi="ar-SA"/>
        </w:rPr>
        <w:t>.</w:t>
      </w:r>
      <w:r>
        <w:rPr>
          <w:rFonts w:hint="eastAsia" w:ascii="宋体" w:hAnsi="宋体" w:eastAsia="宋体" w:cs="宋体"/>
          <w:bCs/>
          <w:kern w:val="2"/>
          <w:sz w:val="24"/>
          <w:szCs w:val="24"/>
          <w:highlight w:val="none"/>
          <w:lang w:val="en-US" w:eastAsia="zh-CN" w:bidi="ar-SA"/>
        </w:rPr>
        <w:t>从业人员、营业收入、资产总额填报上一年度数据，无上一年度数据的新成立企业可不填报。</w:t>
      </w:r>
    </w:p>
    <w:p w14:paraId="4F28DC0A">
      <w:pPr>
        <w:pStyle w:val="60"/>
        <w:rPr>
          <w:rFonts w:hint="eastAsia"/>
          <w:highlight w:val="none"/>
        </w:rPr>
        <w:sectPr>
          <w:footerReference r:id="rId19" w:type="first"/>
          <w:footerReference r:id="rId18" w:type="default"/>
          <w:pgSz w:w="11905" w:h="16838"/>
          <w:pgMar w:top="1247" w:right="1417" w:bottom="1247" w:left="1417" w:header="964" w:footer="992" w:gutter="0"/>
          <w:pgNumType w:fmt="decimal" w:chapStyle="1"/>
          <w:cols w:space="0" w:num="1"/>
          <w:rtlGutter w:val="0"/>
          <w:docGrid w:type="lines" w:linePitch="326" w:charSpace="0"/>
        </w:sectPr>
      </w:pPr>
    </w:p>
    <w:p w14:paraId="319A3A7B">
      <w:pPr>
        <w:spacing w:line="360" w:lineRule="auto"/>
        <w:jc w:val="center"/>
        <w:outlineLvl w:val="1"/>
        <w:rPr>
          <w:rFonts w:hAnsi="宋体" w:cs="宋体"/>
          <w:b/>
          <w:sz w:val="28"/>
          <w:szCs w:val="28"/>
          <w:highlight w:val="none"/>
        </w:rPr>
      </w:pPr>
      <w:r>
        <w:rPr>
          <w:rFonts w:hint="eastAsia" w:hAnsi="宋体" w:cs="宋体"/>
          <w:b/>
          <w:sz w:val="28"/>
          <w:szCs w:val="28"/>
          <w:highlight w:val="none"/>
        </w:rPr>
        <w:t>投标产品属节能、环境标志产品列表（如有）</w:t>
      </w:r>
    </w:p>
    <w:p w14:paraId="54443B82">
      <w:pPr>
        <w:spacing w:line="360" w:lineRule="auto"/>
        <w:outlineLvl w:val="1"/>
        <w:rPr>
          <w:rFonts w:hAnsi="宋体" w:cs="宋体"/>
          <w:sz w:val="24"/>
          <w:szCs w:val="24"/>
          <w:highlight w:val="none"/>
        </w:rPr>
      </w:pPr>
      <w:r>
        <w:rPr>
          <w:rFonts w:hint="eastAsia" w:hAnsi="宋体" w:cs="宋体"/>
          <w:sz w:val="24"/>
          <w:szCs w:val="24"/>
          <w:highlight w:val="none"/>
        </w:rPr>
        <w:t>项目名称：</w:t>
      </w:r>
    </w:p>
    <w:p w14:paraId="01E03FF2">
      <w:pPr>
        <w:spacing w:line="360" w:lineRule="auto"/>
        <w:jc w:val="left"/>
        <w:outlineLvl w:val="1"/>
        <w:rPr>
          <w:rFonts w:hAnsi="宋体" w:cs="宋体"/>
          <w:sz w:val="24"/>
          <w:szCs w:val="24"/>
          <w:highlight w:val="none"/>
        </w:rPr>
      </w:pPr>
      <w:r>
        <w:rPr>
          <w:rFonts w:hint="eastAsia" w:hAnsi="宋体" w:cs="宋体"/>
          <w:sz w:val="24"/>
          <w:szCs w:val="24"/>
          <w:highlight w:val="none"/>
        </w:rPr>
        <w:t xml:space="preserve">项目编号： </w:t>
      </w:r>
    </w:p>
    <w:p w14:paraId="3E57494C">
      <w:pPr>
        <w:adjustRightInd w:val="0"/>
        <w:snapToGrid w:val="0"/>
        <w:spacing w:line="360" w:lineRule="auto"/>
        <w:outlineLvl w:val="1"/>
        <w:rPr>
          <w:rFonts w:hAnsi="宋体" w:cs="宋体"/>
          <w:sz w:val="24"/>
          <w:szCs w:val="24"/>
          <w:highlight w:val="none"/>
        </w:rPr>
      </w:pPr>
    </w:p>
    <w:tbl>
      <w:tblPr>
        <w:tblStyle w:val="44"/>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559898B">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45F6677">
            <w:pPr>
              <w:spacing w:after="120" w:line="360" w:lineRule="auto"/>
              <w:jc w:val="center"/>
              <w:outlineLvl w:val="1"/>
              <w:rPr>
                <w:rFonts w:hAnsi="宋体" w:cs="宋体"/>
                <w:sz w:val="24"/>
                <w:szCs w:val="24"/>
                <w:highlight w:val="none"/>
              </w:rPr>
            </w:pPr>
            <w:r>
              <w:rPr>
                <w:rFonts w:hint="eastAsia" w:hAnsi="宋体" w:cs="宋体"/>
                <w:sz w:val="24"/>
                <w:szCs w:val="24"/>
                <w:highlight w:val="none"/>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B75A401">
            <w:pPr>
              <w:spacing w:after="120" w:line="360" w:lineRule="auto"/>
              <w:jc w:val="center"/>
              <w:outlineLvl w:val="1"/>
              <w:rPr>
                <w:rFonts w:hAnsi="宋体" w:cs="宋体"/>
                <w:sz w:val="24"/>
                <w:szCs w:val="24"/>
                <w:highlight w:val="none"/>
              </w:rPr>
            </w:pPr>
            <w:r>
              <w:rPr>
                <w:rFonts w:hint="eastAsia" w:hAnsi="宋体" w:cs="宋体"/>
                <w:sz w:val="24"/>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2BF11A72">
            <w:pPr>
              <w:spacing w:before="163" w:beforeLines="50" w:after="120" w:line="360" w:lineRule="auto"/>
              <w:jc w:val="center"/>
              <w:outlineLvl w:val="1"/>
              <w:rPr>
                <w:rFonts w:hAnsi="宋体" w:cs="宋体"/>
                <w:sz w:val="24"/>
                <w:szCs w:val="24"/>
                <w:highlight w:val="none"/>
              </w:rPr>
            </w:pPr>
            <w:r>
              <w:rPr>
                <w:rFonts w:hint="eastAsia" w:hAnsi="宋体" w:cs="宋体"/>
                <w:sz w:val="24"/>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0A6C4E6E">
            <w:pPr>
              <w:spacing w:after="120" w:line="360" w:lineRule="auto"/>
              <w:jc w:val="center"/>
              <w:outlineLvl w:val="1"/>
              <w:rPr>
                <w:rFonts w:hAnsi="宋体" w:cs="宋体"/>
                <w:sz w:val="24"/>
                <w:szCs w:val="24"/>
                <w:highlight w:val="none"/>
              </w:rPr>
            </w:pPr>
            <w:r>
              <w:rPr>
                <w:rFonts w:hint="eastAsia" w:hAnsi="宋体" w:cs="宋体"/>
                <w:sz w:val="24"/>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4E240C6A">
            <w:pPr>
              <w:spacing w:after="120" w:line="360" w:lineRule="auto"/>
              <w:jc w:val="center"/>
              <w:outlineLvl w:val="1"/>
              <w:rPr>
                <w:rFonts w:hAnsi="宋体" w:cs="宋体"/>
                <w:sz w:val="24"/>
                <w:szCs w:val="24"/>
                <w:highlight w:val="none"/>
              </w:rPr>
            </w:pPr>
            <w:r>
              <w:rPr>
                <w:rFonts w:hint="eastAsia" w:hAnsi="宋体" w:cs="宋体"/>
                <w:sz w:val="24"/>
                <w:szCs w:val="24"/>
                <w:highlight w:val="none"/>
              </w:rPr>
              <w:t>单价</w:t>
            </w:r>
          </w:p>
          <w:p w14:paraId="498257A5">
            <w:pPr>
              <w:spacing w:after="120" w:line="360" w:lineRule="auto"/>
              <w:jc w:val="center"/>
              <w:outlineLvl w:val="1"/>
              <w:rPr>
                <w:rFonts w:hAnsi="宋体" w:cs="宋体"/>
                <w:bCs/>
                <w:sz w:val="24"/>
                <w:szCs w:val="24"/>
                <w:highlight w:val="none"/>
              </w:rPr>
            </w:pPr>
            <w:r>
              <w:rPr>
                <w:rFonts w:hint="eastAsia" w:hAnsi="宋体" w:cs="宋体"/>
                <w:sz w:val="24"/>
                <w:szCs w:val="24"/>
                <w:highlight w:val="none"/>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3CA33DD6">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总价</w:t>
            </w:r>
          </w:p>
          <w:p w14:paraId="395180C4">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（元）</w:t>
            </w:r>
          </w:p>
        </w:tc>
      </w:tr>
      <w:tr w14:paraId="73612E20">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A2BE8F">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1</w:t>
            </w:r>
          </w:p>
        </w:tc>
        <w:tc>
          <w:tcPr>
            <w:tcW w:w="1862" w:type="dxa"/>
            <w:tcBorders>
              <w:top w:val="single" w:color="auto" w:sz="6" w:space="0"/>
              <w:left w:val="single" w:color="auto" w:sz="6" w:space="0"/>
              <w:bottom w:val="single" w:color="auto" w:sz="4" w:space="0"/>
              <w:right w:val="single" w:color="auto" w:sz="6" w:space="0"/>
            </w:tcBorders>
            <w:vAlign w:val="center"/>
          </w:tcPr>
          <w:p w14:paraId="6F8EE1FA">
            <w:pPr>
              <w:spacing w:before="163" w:beforeLines="50" w:line="360" w:lineRule="auto"/>
              <w:jc w:val="center"/>
              <w:outlineLvl w:val="1"/>
              <w:rPr>
                <w:rFonts w:hAnsi="宋体" w:cs="宋体"/>
                <w:sz w:val="24"/>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3B7C2EF8">
            <w:pPr>
              <w:spacing w:before="163" w:beforeLines="50" w:line="360" w:lineRule="auto"/>
              <w:jc w:val="center"/>
              <w:outlineLvl w:val="1"/>
              <w:rPr>
                <w:rFonts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5F0551A">
            <w:pPr>
              <w:spacing w:before="163" w:beforeLines="50" w:line="360" w:lineRule="auto"/>
              <w:jc w:val="center"/>
              <w:outlineLvl w:val="1"/>
              <w:rPr>
                <w:rFonts w:hAnsi="宋体" w:cs="宋体"/>
                <w:sz w:val="24"/>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4DB2EAC6">
            <w:pPr>
              <w:spacing w:before="163" w:beforeLines="50" w:line="360" w:lineRule="auto"/>
              <w:jc w:val="center"/>
              <w:outlineLvl w:val="1"/>
              <w:rPr>
                <w:rFonts w:hAnsi="宋体" w:cs="宋体"/>
                <w:sz w:val="24"/>
                <w:szCs w:val="24"/>
                <w:highlight w:val="none"/>
              </w:rPr>
            </w:pPr>
          </w:p>
        </w:tc>
        <w:tc>
          <w:tcPr>
            <w:tcW w:w="1312" w:type="dxa"/>
            <w:tcBorders>
              <w:top w:val="single" w:color="auto" w:sz="6" w:space="0"/>
              <w:left w:val="single" w:color="auto" w:sz="6" w:space="0"/>
              <w:bottom w:val="single" w:color="auto" w:sz="4" w:space="0"/>
              <w:right w:val="single" w:color="auto" w:sz="6" w:space="0"/>
            </w:tcBorders>
            <w:vAlign w:val="center"/>
          </w:tcPr>
          <w:p w14:paraId="75270723">
            <w:pPr>
              <w:spacing w:before="163" w:beforeLines="50" w:line="360" w:lineRule="auto"/>
              <w:jc w:val="center"/>
              <w:outlineLvl w:val="1"/>
              <w:rPr>
                <w:rFonts w:hAnsi="宋体" w:cs="宋体"/>
                <w:sz w:val="24"/>
                <w:szCs w:val="24"/>
                <w:highlight w:val="none"/>
              </w:rPr>
            </w:pPr>
          </w:p>
        </w:tc>
      </w:tr>
      <w:tr w14:paraId="1C0856B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666B352">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2</w:t>
            </w:r>
          </w:p>
        </w:tc>
        <w:tc>
          <w:tcPr>
            <w:tcW w:w="1862" w:type="dxa"/>
            <w:tcBorders>
              <w:top w:val="single" w:color="auto" w:sz="4" w:space="0"/>
              <w:left w:val="single" w:color="auto" w:sz="6" w:space="0"/>
              <w:bottom w:val="single" w:color="auto" w:sz="6" w:space="0"/>
              <w:right w:val="single" w:color="auto" w:sz="6" w:space="0"/>
            </w:tcBorders>
            <w:vAlign w:val="center"/>
          </w:tcPr>
          <w:p w14:paraId="21E86D52">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BFBC37F">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DF1EE72">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8D2F865">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CB9BB9">
            <w:pPr>
              <w:spacing w:before="163" w:beforeLines="50" w:line="360" w:lineRule="auto"/>
              <w:jc w:val="center"/>
              <w:outlineLvl w:val="1"/>
              <w:rPr>
                <w:rFonts w:hAnsi="宋体" w:cs="宋体"/>
                <w:sz w:val="24"/>
                <w:szCs w:val="24"/>
                <w:highlight w:val="none"/>
              </w:rPr>
            </w:pPr>
          </w:p>
        </w:tc>
      </w:tr>
      <w:tr w14:paraId="2F394E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849559">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3</w:t>
            </w:r>
          </w:p>
        </w:tc>
        <w:tc>
          <w:tcPr>
            <w:tcW w:w="1862" w:type="dxa"/>
            <w:tcBorders>
              <w:top w:val="single" w:color="auto" w:sz="4" w:space="0"/>
              <w:left w:val="single" w:color="auto" w:sz="6" w:space="0"/>
              <w:bottom w:val="single" w:color="auto" w:sz="6" w:space="0"/>
              <w:right w:val="single" w:color="auto" w:sz="6" w:space="0"/>
            </w:tcBorders>
            <w:vAlign w:val="center"/>
          </w:tcPr>
          <w:p w14:paraId="0C01FBC1">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81F7A92">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774095D">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AFFFAEA">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40CA0D">
            <w:pPr>
              <w:spacing w:before="163" w:beforeLines="50" w:line="360" w:lineRule="auto"/>
              <w:jc w:val="center"/>
              <w:outlineLvl w:val="1"/>
              <w:rPr>
                <w:rFonts w:hAnsi="宋体" w:cs="宋体"/>
                <w:sz w:val="24"/>
                <w:szCs w:val="24"/>
                <w:highlight w:val="none"/>
              </w:rPr>
            </w:pPr>
          </w:p>
        </w:tc>
      </w:tr>
      <w:tr w14:paraId="21E0C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E622170">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7B6A78B8">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5442E55">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DE20A06">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A953652">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2FA4E5FA">
            <w:pPr>
              <w:spacing w:before="163" w:beforeLines="50" w:line="360" w:lineRule="auto"/>
              <w:jc w:val="center"/>
              <w:outlineLvl w:val="1"/>
              <w:rPr>
                <w:rFonts w:hAnsi="宋体" w:cs="宋体"/>
                <w:sz w:val="24"/>
                <w:szCs w:val="24"/>
                <w:highlight w:val="none"/>
              </w:rPr>
            </w:pPr>
          </w:p>
        </w:tc>
      </w:tr>
      <w:tr w14:paraId="7903C05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B245D0">
            <w:pPr>
              <w:spacing w:before="326" w:beforeLines="100" w:line="360" w:lineRule="auto"/>
              <w:jc w:val="center"/>
              <w:outlineLvl w:val="1"/>
              <w:rPr>
                <w:rFonts w:hAnsi="宋体" w:cs="宋体"/>
                <w:b/>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200DCDFC">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17EC44">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44FC7BF">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AA81393">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0948134">
            <w:pPr>
              <w:spacing w:before="163" w:beforeLines="50" w:line="360" w:lineRule="auto"/>
              <w:jc w:val="center"/>
              <w:outlineLvl w:val="1"/>
              <w:rPr>
                <w:rFonts w:hAnsi="宋体" w:cs="宋体"/>
                <w:sz w:val="24"/>
                <w:szCs w:val="24"/>
                <w:highlight w:val="none"/>
              </w:rPr>
            </w:pPr>
          </w:p>
        </w:tc>
      </w:tr>
      <w:tr w14:paraId="2B12EC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C2513E5">
            <w:pPr>
              <w:spacing w:line="360" w:lineRule="auto"/>
              <w:jc w:val="center"/>
              <w:outlineLvl w:val="1"/>
              <w:rPr>
                <w:rFonts w:hAnsi="宋体" w:cs="宋体"/>
                <w:sz w:val="24"/>
                <w:szCs w:val="24"/>
                <w:highlight w:val="none"/>
              </w:rPr>
            </w:pPr>
            <w:r>
              <w:rPr>
                <w:rFonts w:hint="eastAsia" w:hAnsi="宋体" w:cs="宋体"/>
                <w:sz w:val="24"/>
                <w:szCs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CB54739">
            <w:pPr>
              <w:spacing w:before="163" w:beforeLines="50" w:line="360" w:lineRule="auto"/>
              <w:jc w:val="left"/>
              <w:outlineLvl w:val="1"/>
              <w:rPr>
                <w:rFonts w:hAnsi="宋体" w:cs="宋体"/>
                <w:sz w:val="24"/>
                <w:szCs w:val="24"/>
                <w:highlight w:val="none"/>
              </w:rPr>
            </w:pPr>
            <w:r>
              <w:rPr>
                <w:rFonts w:hint="eastAsia" w:hAnsi="宋体" w:cs="宋体"/>
                <w:sz w:val="24"/>
                <w:szCs w:val="24"/>
                <w:highlight w:val="none"/>
              </w:rPr>
              <w:t>大写：                                小写：</w:t>
            </w:r>
          </w:p>
        </w:tc>
      </w:tr>
      <w:tr w14:paraId="38AF7E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8FBC0FB">
            <w:pPr>
              <w:spacing w:line="360" w:lineRule="auto"/>
              <w:jc w:val="center"/>
              <w:outlineLvl w:val="1"/>
              <w:rPr>
                <w:rFonts w:hAnsi="宋体" w:cs="宋体"/>
                <w:sz w:val="24"/>
                <w:szCs w:val="24"/>
                <w:highlight w:val="none"/>
              </w:rPr>
            </w:pPr>
            <w:r>
              <w:rPr>
                <w:rFonts w:hint="eastAsia" w:hAnsi="宋体" w:cs="宋体"/>
                <w:sz w:val="24"/>
                <w:szCs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639DAB4">
            <w:pPr>
              <w:spacing w:before="163" w:beforeLines="50" w:line="360" w:lineRule="auto"/>
              <w:jc w:val="center"/>
              <w:outlineLvl w:val="1"/>
              <w:rPr>
                <w:rFonts w:hAnsi="宋体" w:cs="宋体"/>
                <w:sz w:val="24"/>
                <w:szCs w:val="24"/>
                <w:highlight w:val="none"/>
              </w:rPr>
            </w:pPr>
            <w:r>
              <w:rPr>
                <w:rFonts w:hint="eastAsia" w:hAnsi="宋体" w:cs="宋体"/>
                <w:spacing w:val="-6"/>
                <w:sz w:val="24"/>
                <w:szCs w:val="24"/>
                <w:highlight w:val="none"/>
              </w:rPr>
              <w:t>保留小数点后两位。</w:t>
            </w:r>
          </w:p>
        </w:tc>
      </w:tr>
    </w:tbl>
    <w:p w14:paraId="2269F576">
      <w:pPr>
        <w:adjustRightInd w:val="0"/>
        <w:snapToGrid w:val="0"/>
        <w:spacing w:line="360" w:lineRule="auto"/>
        <w:outlineLvl w:val="1"/>
        <w:rPr>
          <w:rFonts w:hAnsi="宋体" w:cs="宋体"/>
          <w:sz w:val="24"/>
          <w:szCs w:val="24"/>
          <w:highlight w:val="none"/>
        </w:rPr>
      </w:pPr>
    </w:p>
    <w:p w14:paraId="6DD63FA1">
      <w:pPr>
        <w:adjustRightInd w:val="0"/>
        <w:snapToGrid w:val="0"/>
        <w:spacing w:line="360" w:lineRule="auto"/>
        <w:outlineLvl w:val="1"/>
        <w:rPr>
          <w:rFonts w:hAnsi="宋体" w:cs="宋体"/>
          <w:sz w:val="24"/>
          <w:szCs w:val="24"/>
          <w:highlight w:val="none"/>
        </w:rPr>
      </w:pPr>
    </w:p>
    <w:p w14:paraId="234F613F">
      <w:pPr>
        <w:adjustRightInd w:val="0"/>
        <w:snapToGrid w:val="0"/>
        <w:spacing w:line="360" w:lineRule="auto"/>
        <w:outlineLvl w:val="1"/>
        <w:rPr>
          <w:rFonts w:hAnsi="宋体" w:cs="宋体"/>
          <w:bCs/>
          <w:sz w:val="24"/>
          <w:szCs w:val="24"/>
          <w:highlight w:val="none"/>
        </w:rPr>
      </w:pPr>
      <w:r>
        <w:rPr>
          <w:rFonts w:hint="eastAsia" w:hAnsi="宋体" w:cs="宋体"/>
          <w:sz w:val="24"/>
          <w:szCs w:val="24"/>
          <w:highlight w:val="none"/>
        </w:rPr>
        <w:t>说明：</w:t>
      </w:r>
      <w:r>
        <w:rPr>
          <w:rFonts w:hint="eastAsia" w:hAnsi="宋体" w:cs="宋体"/>
          <w:bCs/>
          <w:sz w:val="24"/>
          <w:szCs w:val="24"/>
          <w:highlight w:val="none"/>
        </w:rPr>
        <w:t>1</w:t>
      </w:r>
      <w:r>
        <w:rPr>
          <w:rFonts w:hint="eastAsia" w:hAnsi="宋体" w:cs="宋体"/>
          <w:bCs/>
          <w:sz w:val="24"/>
          <w:szCs w:val="24"/>
          <w:highlight w:val="none"/>
          <w:lang w:val="en-US" w:eastAsia="zh-CN"/>
        </w:rPr>
        <w:t>.</w:t>
      </w:r>
      <w:r>
        <w:rPr>
          <w:rFonts w:hint="eastAsia" w:hAnsi="宋体" w:cs="宋体"/>
          <w:sz w:val="24"/>
          <w:szCs w:val="24"/>
          <w:highlight w:val="none"/>
        </w:rPr>
        <w:t>供应商提供的产品</w:t>
      </w:r>
      <w:r>
        <w:rPr>
          <w:rFonts w:hint="eastAsia" w:hAnsi="宋体" w:cs="宋体"/>
          <w:bCs/>
          <w:sz w:val="24"/>
          <w:szCs w:val="24"/>
          <w:highlight w:val="none"/>
        </w:rPr>
        <w:t>属于《节能产品政府采购清单》中节能产品，《环境标志产品政府采购清单》中环境标志产品，应按招标文件要求</w:t>
      </w:r>
      <w:r>
        <w:rPr>
          <w:rFonts w:hint="eastAsia" w:hAnsi="宋体" w:cs="宋体"/>
          <w:sz w:val="24"/>
          <w:szCs w:val="24"/>
          <w:highlight w:val="none"/>
        </w:rPr>
        <w:t>提供相关证明材料。</w:t>
      </w:r>
    </w:p>
    <w:p w14:paraId="48784C72">
      <w:pPr>
        <w:pStyle w:val="146"/>
        <w:spacing w:line="360" w:lineRule="auto"/>
        <w:ind w:left="420" w:leftChars="200" w:firstLine="240" w:firstLineChars="100"/>
        <w:outlineLvl w:val="1"/>
        <w:rPr>
          <w:rFonts w:hAnsi="宋体" w:cs="宋体"/>
          <w:sz w:val="24"/>
          <w:highlight w:val="none"/>
        </w:rPr>
      </w:pPr>
      <w:r>
        <w:rPr>
          <w:rFonts w:hint="eastAsia" w:hAnsi="宋体" w:cs="宋体"/>
          <w:bCs/>
          <w:sz w:val="24"/>
          <w:highlight w:val="none"/>
        </w:rPr>
        <w:t>2</w:t>
      </w:r>
      <w:r>
        <w:rPr>
          <w:rFonts w:hint="eastAsia" w:hAnsi="宋体" w:cs="宋体"/>
          <w:bCs/>
          <w:sz w:val="24"/>
          <w:highlight w:val="none"/>
          <w:lang w:val="en-US" w:eastAsia="zh-CN"/>
        </w:rPr>
        <w:t>.</w:t>
      </w:r>
      <w:r>
        <w:rPr>
          <w:rFonts w:hint="eastAsia" w:hAnsi="宋体" w:cs="宋体"/>
          <w:bCs/>
          <w:sz w:val="24"/>
          <w:highlight w:val="none"/>
        </w:rPr>
        <w:t>未按上述要求提供、</w:t>
      </w:r>
      <w:r>
        <w:rPr>
          <w:rFonts w:hint="eastAsia" w:hAnsi="宋体" w:cs="宋体"/>
          <w:sz w:val="24"/>
          <w:highlight w:val="none"/>
        </w:rPr>
        <w:t>填写</w:t>
      </w:r>
      <w:r>
        <w:rPr>
          <w:rFonts w:hint="eastAsia" w:hAnsi="宋体" w:cs="宋体"/>
          <w:bCs/>
          <w:sz w:val="24"/>
          <w:highlight w:val="none"/>
        </w:rPr>
        <w:t>的，评标时不予以考虑。</w:t>
      </w:r>
    </w:p>
    <w:p w14:paraId="337B387A">
      <w:pPr>
        <w:pStyle w:val="28"/>
        <w:rPr>
          <w:rFonts w:ascii="Calibri Light" w:hAnsi="Calibri Light"/>
          <w:b/>
          <w:bCs/>
          <w:sz w:val="24"/>
          <w:szCs w:val="24"/>
          <w:highlight w:val="none"/>
        </w:rPr>
      </w:pPr>
    </w:p>
    <w:p w14:paraId="67089226">
      <w:pPr>
        <w:spacing w:line="360" w:lineRule="auto"/>
        <w:ind w:firstLine="480" w:firstLineChars="200"/>
        <w:outlineLvl w:val="0"/>
        <w:rPr>
          <w:rFonts w:ascii="宋体" w:hAnsi="宋体"/>
          <w:sz w:val="24"/>
          <w:szCs w:val="24"/>
          <w:highlight w:val="none"/>
        </w:rPr>
      </w:pPr>
      <w:bookmarkStart w:id="141" w:name="_Toc32440"/>
      <w:r>
        <w:rPr>
          <w:rFonts w:hint="eastAsia" w:ascii="宋体" w:hAnsi="宋体"/>
          <w:sz w:val="24"/>
          <w:szCs w:val="24"/>
          <w:highlight w:val="none"/>
        </w:rPr>
        <w:t>供应商名称（公章）</w:t>
      </w:r>
      <w:bookmarkEnd w:id="141"/>
    </w:p>
    <w:p w14:paraId="62D10E69">
      <w:pPr>
        <w:spacing w:line="360" w:lineRule="auto"/>
        <w:ind w:firstLine="720" w:firstLineChars="300"/>
        <w:outlineLvl w:val="0"/>
        <w:rPr>
          <w:rFonts w:ascii="宋体" w:hAnsi="宋体"/>
          <w:sz w:val="24"/>
          <w:szCs w:val="24"/>
          <w:highlight w:val="none"/>
        </w:rPr>
      </w:pPr>
      <w:bookmarkStart w:id="142" w:name="_Toc32743"/>
      <w:r>
        <w:rPr>
          <w:rFonts w:hint="eastAsia" w:ascii="宋体" w:hAnsi="宋体"/>
          <w:sz w:val="24"/>
          <w:szCs w:val="24"/>
          <w:highlight w:val="none"/>
        </w:rPr>
        <w:t>年  月  日</w:t>
      </w:r>
      <w:bookmarkEnd w:id="142"/>
    </w:p>
    <w:p w14:paraId="4355A201">
      <w:pPr>
        <w:pStyle w:val="28"/>
        <w:rPr>
          <w:rFonts w:ascii="Calibri Light" w:hAnsi="Calibri Light"/>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5213943C">
      <w:pPr>
        <w:spacing w:line="360" w:lineRule="auto"/>
        <w:jc w:val="center"/>
        <w:outlineLvl w:val="1"/>
        <w:rPr>
          <w:rFonts w:hAnsi="宋体" w:cs="宋体"/>
          <w:b/>
          <w:sz w:val="28"/>
          <w:szCs w:val="28"/>
          <w:highlight w:val="none"/>
        </w:rPr>
      </w:pPr>
      <w:bookmarkStart w:id="143" w:name="OLE_LINK14"/>
      <w:bookmarkStart w:id="144" w:name="OLE_LINK13"/>
      <w:r>
        <w:rPr>
          <w:rFonts w:hint="eastAsia" w:ascii="宋体" w:hAnsi="宋体"/>
          <w:b/>
          <w:bCs/>
          <w:sz w:val="24"/>
          <w:szCs w:val="28"/>
          <w:highlight w:val="none"/>
        </w:rPr>
        <w:t>残疾人福利性单位声明函</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304AFE3F">
      <w:pPr>
        <w:spacing w:line="360" w:lineRule="auto"/>
        <w:jc w:val="center"/>
        <w:rPr>
          <w:rFonts w:ascii="宋体" w:hAnsi="宋体"/>
          <w:b/>
          <w:bCs/>
          <w:sz w:val="24"/>
          <w:szCs w:val="28"/>
          <w:highlight w:val="none"/>
        </w:rPr>
      </w:pPr>
      <w:r>
        <w:rPr>
          <w:rFonts w:hint="eastAsia" w:ascii="宋体" w:hAnsi="宋体"/>
          <w:b/>
          <w:bCs/>
          <w:sz w:val="24"/>
          <w:szCs w:val="28"/>
          <w:highlight w:val="none"/>
        </w:rPr>
        <w:t xml:space="preserve">  </w:t>
      </w:r>
    </w:p>
    <w:bookmarkEnd w:id="143"/>
    <w:bookmarkEnd w:id="144"/>
    <w:p w14:paraId="431A3CC6">
      <w:pPr>
        <w:spacing w:line="588" w:lineRule="exact"/>
        <w:rPr>
          <w:rFonts w:ascii="宋体" w:hAnsi="宋体"/>
          <w:b/>
          <w:spacing w:val="6"/>
          <w:sz w:val="28"/>
          <w:szCs w:val="30"/>
          <w:highlight w:val="none"/>
        </w:rPr>
      </w:pPr>
    </w:p>
    <w:p w14:paraId="07A07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w:t>
      </w:r>
      <w:r>
        <w:rPr>
          <w:rFonts w:hint="eastAsia" w:ascii="宋体" w:hAnsi="宋体"/>
          <w:sz w:val="24"/>
          <w:szCs w:val="24"/>
          <w:highlight w:val="none"/>
          <w:lang w:eastAsia="zh-CN"/>
        </w:rPr>
        <w:t>〔2017〕141号</w:t>
      </w:r>
      <w:r>
        <w:rPr>
          <w:rFonts w:hint="eastAsia" w:ascii="宋体" w:hAnsi="宋体"/>
          <w:sz w:val="24"/>
          <w:szCs w:val="24"/>
          <w:highlight w:val="none"/>
        </w:rPr>
        <w:t>）的规定，本单位为符合条件的残疾人福利性单位，且本单位参加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22B6935">
      <w:pPr>
        <w:spacing w:line="360" w:lineRule="auto"/>
        <w:rPr>
          <w:rFonts w:ascii="宋体" w:hAnsi="宋体"/>
          <w:sz w:val="24"/>
          <w:szCs w:val="24"/>
          <w:highlight w:val="none"/>
        </w:rPr>
      </w:pPr>
      <w:r>
        <w:rPr>
          <w:rFonts w:hint="eastAsia" w:ascii="宋体" w:hAnsi="宋体"/>
          <w:sz w:val="24"/>
          <w:szCs w:val="24"/>
          <w:highlight w:val="none"/>
        </w:rPr>
        <w:t xml:space="preserve">    本单位对上述声明的真实性负责。如有虚假，将依法承担相应责任。</w:t>
      </w:r>
    </w:p>
    <w:p w14:paraId="6E4BFFE1">
      <w:pPr>
        <w:spacing w:line="360" w:lineRule="auto"/>
        <w:rPr>
          <w:rFonts w:ascii="宋体" w:hAnsi="宋体"/>
          <w:sz w:val="24"/>
          <w:szCs w:val="24"/>
          <w:highlight w:val="none"/>
        </w:rPr>
      </w:pPr>
    </w:p>
    <w:p w14:paraId="388C3423">
      <w:pPr>
        <w:spacing w:line="360" w:lineRule="auto"/>
        <w:rPr>
          <w:rFonts w:ascii="宋体" w:hAnsi="宋体"/>
          <w:sz w:val="24"/>
          <w:szCs w:val="24"/>
          <w:highlight w:val="none"/>
        </w:rPr>
      </w:pPr>
    </w:p>
    <w:p w14:paraId="76E880A8">
      <w:pPr>
        <w:spacing w:line="360" w:lineRule="auto"/>
        <w:ind w:firstLine="6120" w:firstLineChars="2550"/>
        <w:outlineLvl w:val="0"/>
        <w:rPr>
          <w:rFonts w:ascii="宋体" w:hAnsi="宋体"/>
          <w:sz w:val="24"/>
          <w:szCs w:val="24"/>
          <w:highlight w:val="none"/>
        </w:rPr>
      </w:pPr>
      <w:bookmarkStart w:id="145" w:name="_Toc15190"/>
      <w:bookmarkStart w:id="146" w:name="_Toc27331"/>
      <w:r>
        <w:rPr>
          <w:rFonts w:hint="eastAsia" w:ascii="宋体" w:hAnsi="宋体"/>
          <w:sz w:val="24"/>
          <w:szCs w:val="24"/>
          <w:highlight w:val="none"/>
        </w:rPr>
        <w:t>供应商名称（公章）</w:t>
      </w:r>
      <w:bookmarkEnd w:id="145"/>
      <w:bookmarkEnd w:id="146"/>
    </w:p>
    <w:p w14:paraId="2B82DDC5">
      <w:pPr>
        <w:spacing w:line="360" w:lineRule="auto"/>
        <w:ind w:firstLine="6600" w:firstLineChars="2750"/>
        <w:outlineLvl w:val="0"/>
        <w:rPr>
          <w:rFonts w:ascii="宋体" w:hAnsi="宋体"/>
          <w:sz w:val="24"/>
          <w:szCs w:val="24"/>
          <w:highlight w:val="none"/>
        </w:rPr>
      </w:pPr>
      <w:bookmarkStart w:id="147" w:name="_Toc19112"/>
      <w:bookmarkStart w:id="148" w:name="_Toc4481"/>
      <w:r>
        <w:rPr>
          <w:rFonts w:hint="eastAsia" w:ascii="宋体" w:hAnsi="宋体"/>
          <w:sz w:val="24"/>
          <w:szCs w:val="24"/>
          <w:highlight w:val="none"/>
        </w:rPr>
        <w:t>年  月  日</w:t>
      </w:r>
      <w:bookmarkEnd w:id="147"/>
      <w:bookmarkEnd w:id="148"/>
    </w:p>
    <w:p w14:paraId="622E2637">
      <w:pPr>
        <w:spacing w:line="360" w:lineRule="auto"/>
        <w:ind w:firstLine="480" w:firstLineChars="200"/>
        <w:rPr>
          <w:rFonts w:ascii="宋体" w:hAnsi="宋体"/>
          <w:sz w:val="24"/>
          <w:szCs w:val="24"/>
          <w:highlight w:val="none"/>
        </w:rPr>
      </w:pPr>
    </w:p>
    <w:p w14:paraId="7EDB80DB">
      <w:pPr>
        <w:spacing w:line="360" w:lineRule="auto"/>
        <w:ind w:firstLine="480" w:firstLineChars="200"/>
        <w:rPr>
          <w:rFonts w:ascii="宋体" w:hAnsi="宋体"/>
          <w:sz w:val="24"/>
          <w:szCs w:val="24"/>
          <w:highlight w:val="none"/>
        </w:rPr>
      </w:pPr>
    </w:p>
    <w:p w14:paraId="07BFBC28">
      <w:pPr>
        <w:spacing w:line="360" w:lineRule="auto"/>
        <w:ind w:firstLine="480" w:firstLineChars="200"/>
        <w:rPr>
          <w:rFonts w:ascii="宋体" w:hAnsi="宋体"/>
          <w:sz w:val="24"/>
          <w:szCs w:val="24"/>
          <w:highlight w:val="none"/>
        </w:rPr>
      </w:pPr>
    </w:p>
    <w:p w14:paraId="590F0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hint="eastAsia" w:ascii="宋体" w:hAnsi="宋体"/>
          <w:sz w:val="24"/>
          <w:szCs w:val="24"/>
          <w:highlight w:val="none"/>
          <w:lang w:val="en-US" w:eastAsia="zh-CN"/>
        </w:rPr>
        <w:t>.</w:t>
      </w:r>
      <w:r>
        <w:rPr>
          <w:rFonts w:hint="eastAsia" w:ascii="宋体" w:hAnsi="宋体"/>
          <w:sz w:val="24"/>
          <w:szCs w:val="24"/>
          <w:highlight w:val="none"/>
        </w:rPr>
        <w:t>非残疾人福利性单位不提供此声明函</w:t>
      </w:r>
    </w:p>
    <w:p w14:paraId="7380779D">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FE2E5B">
      <w:pPr>
        <w:keepNext/>
        <w:keepLines/>
        <w:spacing w:line="415" w:lineRule="auto"/>
        <w:jc w:val="center"/>
        <w:outlineLvl w:val="1"/>
        <w:rPr>
          <w:rFonts w:ascii="Calibri Light" w:hAnsi="Calibri Light"/>
          <w:b/>
          <w:bCs/>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0E92F0F1">
      <w:pPr>
        <w:pStyle w:val="3"/>
        <w:ind w:firstLine="482" w:firstLineChars="150"/>
        <w:jc w:val="center"/>
        <w:rPr>
          <w:highlight w:val="none"/>
        </w:rPr>
      </w:pPr>
      <w:r>
        <w:rPr>
          <w:rFonts w:hint="eastAsia"/>
          <w:highlight w:val="none"/>
        </w:rPr>
        <w:t>四、技术商务</w:t>
      </w:r>
      <w:r>
        <w:rPr>
          <w:rFonts w:hint="eastAsia"/>
          <w:highlight w:val="none"/>
          <w:lang w:val="en-US" w:eastAsia="zh-CN"/>
        </w:rPr>
        <w:t>响应</w:t>
      </w:r>
      <w:r>
        <w:rPr>
          <w:rFonts w:hint="eastAsia"/>
          <w:highlight w:val="none"/>
        </w:rPr>
        <w:t>偏离表</w:t>
      </w:r>
    </w:p>
    <w:p w14:paraId="017CCE59">
      <w:pPr>
        <w:pStyle w:val="3"/>
        <w:spacing w:before="0" w:after="0"/>
        <w:ind w:firstLine="361" w:firstLineChars="150"/>
        <w:jc w:val="center"/>
        <w:rPr>
          <w:sz w:val="24"/>
          <w:szCs w:val="24"/>
          <w:highlight w:val="none"/>
        </w:rPr>
      </w:pPr>
      <w:r>
        <w:rPr>
          <w:rFonts w:hint="eastAsia"/>
          <w:sz w:val="24"/>
          <w:szCs w:val="24"/>
          <w:highlight w:val="none"/>
          <w:lang w:val="en-US" w:eastAsia="zh-CN"/>
        </w:rPr>
        <w:t>技术响应</w:t>
      </w:r>
      <w:r>
        <w:rPr>
          <w:rFonts w:hint="eastAsia"/>
          <w:sz w:val="24"/>
          <w:szCs w:val="24"/>
          <w:highlight w:val="none"/>
        </w:rPr>
        <w:t>偏离表</w:t>
      </w:r>
    </w:p>
    <w:tbl>
      <w:tblPr>
        <w:tblStyle w:val="4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5F57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7C3DEFF8">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621" w:type="dxa"/>
            <w:vAlign w:val="center"/>
          </w:tcPr>
          <w:p w14:paraId="2F4F6804">
            <w:pPr>
              <w:spacing w:line="360" w:lineRule="auto"/>
              <w:jc w:val="center"/>
              <w:rPr>
                <w:rFonts w:ascii="宋体" w:hAnsi="宋体" w:cs="宋体"/>
                <w:b/>
                <w:szCs w:val="21"/>
                <w:highlight w:val="none"/>
              </w:rPr>
            </w:pPr>
            <w:r>
              <w:rPr>
                <w:rFonts w:hint="eastAsia" w:ascii="宋体" w:hAnsi="宋体" w:cs="宋体"/>
                <w:b/>
                <w:szCs w:val="21"/>
                <w:highlight w:val="none"/>
              </w:rPr>
              <w:t>招标文件</w:t>
            </w:r>
            <w:r>
              <w:rPr>
                <w:rFonts w:hint="eastAsia" w:ascii="宋体" w:hAnsi="宋体" w:cs="宋体"/>
                <w:b/>
                <w:szCs w:val="21"/>
                <w:highlight w:val="none"/>
                <w:lang w:val="en-US" w:eastAsia="zh-CN"/>
              </w:rPr>
              <w:t>技术</w:t>
            </w:r>
            <w:r>
              <w:rPr>
                <w:rFonts w:hint="eastAsia" w:ascii="宋体" w:hAnsi="宋体" w:cs="宋体"/>
                <w:b/>
                <w:szCs w:val="21"/>
                <w:highlight w:val="none"/>
              </w:rPr>
              <w:t>要求</w:t>
            </w:r>
          </w:p>
        </w:tc>
        <w:tc>
          <w:tcPr>
            <w:tcW w:w="3363" w:type="dxa"/>
            <w:vAlign w:val="center"/>
          </w:tcPr>
          <w:p w14:paraId="5BE419CC">
            <w:pPr>
              <w:spacing w:line="360" w:lineRule="auto"/>
              <w:jc w:val="center"/>
              <w:rPr>
                <w:rFonts w:hint="eastAsia" w:ascii="宋体" w:hAnsi="宋体" w:eastAsia="宋体" w:cs="宋体"/>
                <w:b/>
                <w:szCs w:val="21"/>
                <w:highlight w:val="none"/>
                <w:lang w:val="en-US" w:eastAsia="zh-CN"/>
              </w:rPr>
            </w:pPr>
            <w:r>
              <w:rPr>
                <w:rFonts w:hint="eastAsia" w:ascii="宋体" w:hAnsi="宋体" w:cs="宋体"/>
                <w:b/>
                <w:szCs w:val="21"/>
              </w:rPr>
              <w:t>投标文件</w:t>
            </w:r>
            <w:r>
              <w:rPr>
                <w:rFonts w:hint="eastAsia" w:ascii="宋体" w:hAnsi="宋体" w:cs="宋体"/>
                <w:b/>
                <w:szCs w:val="21"/>
                <w:lang w:val="en-US" w:eastAsia="zh-CN"/>
              </w:rPr>
              <w:t>技术参数应答</w:t>
            </w:r>
          </w:p>
        </w:tc>
        <w:tc>
          <w:tcPr>
            <w:tcW w:w="1583" w:type="dxa"/>
            <w:vAlign w:val="center"/>
          </w:tcPr>
          <w:p w14:paraId="7AD4A1ED">
            <w:pPr>
              <w:wordWrap w:val="0"/>
              <w:jc w:val="center"/>
              <w:rPr>
                <w:rFonts w:ascii="宋体" w:hAnsi="宋体" w:cs="宋体"/>
                <w:b/>
                <w:szCs w:val="21"/>
                <w:highlight w:val="none"/>
              </w:rPr>
            </w:pPr>
            <w:r>
              <w:rPr>
                <w:rFonts w:hint="eastAsia" w:ascii="宋体" w:hAnsi="宋体" w:cs="宋体"/>
                <w:b/>
                <w:szCs w:val="21"/>
                <w:highlight w:val="none"/>
              </w:rPr>
              <w:t>偏离</w:t>
            </w:r>
          </w:p>
          <w:p w14:paraId="26F09041">
            <w:pPr>
              <w:spacing w:line="360" w:lineRule="auto"/>
              <w:jc w:val="center"/>
              <w:rPr>
                <w:rFonts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04C5D006">
            <w:pPr>
              <w:spacing w:line="360" w:lineRule="auto"/>
              <w:jc w:val="center"/>
              <w:rPr>
                <w:rFonts w:ascii="宋体" w:hAnsi="宋体" w:cs="宋体"/>
                <w:b/>
                <w:szCs w:val="21"/>
                <w:highlight w:val="none"/>
              </w:rPr>
            </w:pPr>
            <w:r>
              <w:rPr>
                <w:rFonts w:hint="eastAsia" w:ascii="宋体" w:hAnsi="宋体" w:cs="宋体"/>
                <w:b/>
                <w:szCs w:val="21"/>
                <w:highlight w:val="none"/>
              </w:rPr>
              <w:t>偏离简述</w:t>
            </w:r>
          </w:p>
        </w:tc>
      </w:tr>
      <w:tr w14:paraId="26D7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4617EB4">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2621" w:type="dxa"/>
          </w:tcPr>
          <w:p w14:paraId="2E415E2A">
            <w:pPr>
              <w:jc w:val="center"/>
              <w:rPr>
                <w:rFonts w:ascii="宋体" w:hAnsi="宋体"/>
                <w:sz w:val="24"/>
                <w:szCs w:val="24"/>
                <w:highlight w:val="none"/>
              </w:rPr>
            </w:pPr>
          </w:p>
        </w:tc>
        <w:tc>
          <w:tcPr>
            <w:tcW w:w="3363" w:type="dxa"/>
          </w:tcPr>
          <w:p w14:paraId="35C2DFF9">
            <w:pPr>
              <w:jc w:val="center"/>
              <w:rPr>
                <w:rFonts w:ascii="宋体" w:hAnsi="宋体"/>
                <w:sz w:val="24"/>
                <w:szCs w:val="24"/>
                <w:highlight w:val="none"/>
              </w:rPr>
            </w:pPr>
          </w:p>
        </w:tc>
        <w:tc>
          <w:tcPr>
            <w:tcW w:w="1583" w:type="dxa"/>
          </w:tcPr>
          <w:p w14:paraId="1A4EF2E5">
            <w:pPr>
              <w:jc w:val="center"/>
              <w:rPr>
                <w:rFonts w:ascii="宋体" w:hAnsi="宋体"/>
                <w:sz w:val="24"/>
                <w:szCs w:val="24"/>
                <w:highlight w:val="none"/>
              </w:rPr>
            </w:pPr>
          </w:p>
        </w:tc>
        <w:tc>
          <w:tcPr>
            <w:tcW w:w="1369" w:type="dxa"/>
          </w:tcPr>
          <w:p w14:paraId="01044C86">
            <w:pPr>
              <w:jc w:val="center"/>
              <w:rPr>
                <w:rFonts w:ascii="宋体" w:hAnsi="宋体"/>
                <w:sz w:val="24"/>
                <w:szCs w:val="24"/>
                <w:highlight w:val="none"/>
              </w:rPr>
            </w:pPr>
          </w:p>
        </w:tc>
      </w:tr>
      <w:tr w14:paraId="100D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FF9A3B5">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2621" w:type="dxa"/>
          </w:tcPr>
          <w:p w14:paraId="67D7B651">
            <w:pPr>
              <w:jc w:val="center"/>
              <w:rPr>
                <w:rFonts w:ascii="宋体" w:hAnsi="宋体"/>
                <w:sz w:val="24"/>
                <w:szCs w:val="24"/>
                <w:highlight w:val="none"/>
              </w:rPr>
            </w:pPr>
          </w:p>
        </w:tc>
        <w:tc>
          <w:tcPr>
            <w:tcW w:w="3363" w:type="dxa"/>
          </w:tcPr>
          <w:p w14:paraId="62B6F8DD">
            <w:pPr>
              <w:jc w:val="center"/>
              <w:rPr>
                <w:rFonts w:ascii="宋体" w:hAnsi="宋体"/>
                <w:sz w:val="24"/>
                <w:szCs w:val="24"/>
                <w:highlight w:val="none"/>
              </w:rPr>
            </w:pPr>
          </w:p>
        </w:tc>
        <w:tc>
          <w:tcPr>
            <w:tcW w:w="1583" w:type="dxa"/>
          </w:tcPr>
          <w:p w14:paraId="46AF6029">
            <w:pPr>
              <w:jc w:val="center"/>
              <w:rPr>
                <w:rFonts w:ascii="宋体" w:hAnsi="宋体"/>
                <w:sz w:val="24"/>
                <w:szCs w:val="24"/>
                <w:highlight w:val="none"/>
              </w:rPr>
            </w:pPr>
          </w:p>
        </w:tc>
        <w:tc>
          <w:tcPr>
            <w:tcW w:w="1369" w:type="dxa"/>
          </w:tcPr>
          <w:p w14:paraId="195BCDD3">
            <w:pPr>
              <w:jc w:val="center"/>
              <w:rPr>
                <w:rFonts w:ascii="宋体" w:hAnsi="宋体"/>
                <w:sz w:val="24"/>
                <w:szCs w:val="24"/>
                <w:highlight w:val="none"/>
              </w:rPr>
            </w:pPr>
          </w:p>
        </w:tc>
      </w:tr>
      <w:tr w14:paraId="5DCBD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665B089">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2621" w:type="dxa"/>
          </w:tcPr>
          <w:p w14:paraId="0F91A447">
            <w:pPr>
              <w:jc w:val="center"/>
              <w:rPr>
                <w:rFonts w:ascii="宋体" w:hAnsi="宋体"/>
                <w:sz w:val="24"/>
                <w:szCs w:val="24"/>
                <w:highlight w:val="none"/>
              </w:rPr>
            </w:pPr>
          </w:p>
        </w:tc>
        <w:tc>
          <w:tcPr>
            <w:tcW w:w="3363" w:type="dxa"/>
          </w:tcPr>
          <w:p w14:paraId="7470587B">
            <w:pPr>
              <w:jc w:val="center"/>
              <w:rPr>
                <w:rFonts w:ascii="宋体" w:hAnsi="宋体"/>
                <w:sz w:val="24"/>
                <w:szCs w:val="24"/>
                <w:highlight w:val="none"/>
              </w:rPr>
            </w:pPr>
          </w:p>
        </w:tc>
        <w:tc>
          <w:tcPr>
            <w:tcW w:w="1583" w:type="dxa"/>
          </w:tcPr>
          <w:p w14:paraId="4A4E3590">
            <w:pPr>
              <w:jc w:val="center"/>
              <w:rPr>
                <w:rFonts w:ascii="宋体" w:hAnsi="宋体"/>
                <w:sz w:val="24"/>
                <w:szCs w:val="24"/>
                <w:highlight w:val="none"/>
              </w:rPr>
            </w:pPr>
          </w:p>
        </w:tc>
        <w:tc>
          <w:tcPr>
            <w:tcW w:w="1369" w:type="dxa"/>
          </w:tcPr>
          <w:p w14:paraId="1F679F0E">
            <w:pPr>
              <w:jc w:val="center"/>
              <w:rPr>
                <w:rFonts w:ascii="宋体" w:hAnsi="宋体"/>
                <w:sz w:val="24"/>
                <w:szCs w:val="24"/>
                <w:highlight w:val="none"/>
              </w:rPr>
            </w:pPr>
          </w:p>
        </w:tc>
      </w:tr>
      <w:tr w14:paraId="0E2C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C8E490E">
            <w:pPr>
              <w:spacing w:line="360" w:lineRule="auto"/>
              <w:jc w:val="center"/>
              <w:rPr>
                <w:rFonts w:ascii="宋体" w:hAnsi="宋体" w:cs="宋体"/>
                <w:b/>
                <w:szCs w:val="21"/>
                <w:highlight w:val="none"/>
              </w:rPr>
            </w:pPr>
            <w:r>
              <w:rPr>
                <w:rFonts w:hint="eastAsia" w:ascii="宋体" w:hAnsi="宋体" w:cs="宋体"/>
                <w:b/>
                <w:szCs w:val="21"/>
                <w:highlight w:val="none"/>
              </w:rPr>
              <w:t>4</w:t>
            </w:r>
          </w:p>
        </w:tc>
        <w:tc>
          <w:tcPr>
            <w:tcW w:w="2621" w:type="dxa"/>
          </w:tcPr>
          <w:p w14:paraId="5186103F">
            <w:pPr>
              <w:jc w:val="center"/>
              <w:rPr>
                <w:rFonts w:ascii="宋体" w:hAnsi="宋体"/>
                <w:sz w:val="24"/>
                <w:szCs w:val="24"/>
                <w:highlight w:val="none"/>
              </w:rPr>
            </w:pPr>
          </w:p>
        </w:tc>
        <w:tc>
          <w:tcPr>
            <w:tcW w:w="3363" w:type="dxa"/>
          </w:tcPr>
          <w:p w14:paraId="3D43A2DA">
            <w:pPr>
              <w:jc w:val="center"/>
              <w:rPr>
                <w:rFonts w:ascii="宋体" w:hAnsi="宋体"/>
                <w:sz w:val="24"/>
                <w:szCs w:val="24"/>
                <w:highlight w:val="none"/>
              </w:rPr>
            </w:pPr>
          </w:p>
        </w:tc>
        <w:tc>
          <w:tcPr>
            <w:tcW w:w="1583" w:type="dxa"/>
          </w:tcPr>
          <w:p w14:paraId="60BCF7EF">
            <w:pPr>
              <w:jc w:val="center"/>
              <w:rPr>
                <w:rFonts w:ascii="宋体" w:hAnsi="宋体"/>
                <w:sz w:val="24"/>
                <w:szCs w:val="24"/>
                <w:highlight w:val="none"/>
              </w:rPr>
            </w:pPr>
          </w:p>
        </w:tc>
        <w:tc>
          <w:tcPr>
            <w:tcW w:w="1369" w:type="dxa"/>
          </w:tcPr>
          <w:p w14:paraId="623FDD61">
            <w:pPr>
              <w:jc w:val="center"/>
              <w:rPr>
                <w:rFonts w:ascii="宋体" w:hAnsi="宋体"/>
                <w:sz w:val="24"/>
                <w:szCs w:val="24"/>
                <w:highlight w:val="none"/>
              </w:rPr>
            </w:pPr>
          </w:p>
        </w:tc>
      </w:tr>
      <w:tr w14:paraId="4FCA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9F84030">
            <w:pPr>
              <w:spacing w:line="360" w:lineRule="auto"/>
              <w:jc w:val="center"/>
              <w:rPr>
                <w:rFonts w:ascii="宋体" w:hAnsi="宋体" w:cs="宋体"/>
                <w:b/>
                <w:szCs w:val="21"/>
                <w:highlight w:val="none"/>
              </w:rPr>
            </w:pPr>
            <w:r>
              <w:rPr>
                <w:rFonts w:hint="eastAsia" w:ascii="宋体" w:hAnsi="宋体" w:cs="宋体"/>
                <w:b/>
                <w:szCs w:val="21"/>
                <w:highlight w:val="none"/>
              </w:rPr>
              <w:t>……</w:t>
            </w:r>
          </w:p>
        </w:tc>
        <w:tc>
          <w:tcPr>
            <w:tcW w:w="2621" w:type="dxa"/>
          </w:tcPr>
          <w:p w14:paraId="36A32E7E">
            <w:pPr>
              <w:jc w:val="center"/>
              <w:rPr>
                <w:rFonts w:ascii="宋体" w:hAnsi="宋体"/>
                <w:sz w:val="24"/>
                <w:szCs w:val="24"/>
                <w:highlight w:val="none"/>
              </w:rPr>
            </w:pPr>
          </w:p>
        </w:tc>
        <w:tc>
          <w:tcPr>
            <w:tcW w:w="3363" w:type="dxa"/>
          </w:tcPr>
          <w:p w14:paraId="596F482F">
            <w:pPr>
              <w:jc w:val="center"/>
              <w:rPr>
                <w:rFonts w:ascii="宋体" w:hAnsi="宋体"/>
                <w:sz w:val="24"/>
                <w:szCs w:val="24"/>
                <w:highlight w:val="none"/>
              </w:rPr>
            </w:pPr>
          </w:p>
        </w:tc>
        <w:tc>
          <w:tcPr>
            <w:tcW w:w="1583" w:type="dxa"/>
          </w:tcPr>
          <w:p w14:paraId="3FDE138C">
            <w:pPr>
              <w:jc w:val="center"/>
              <w:rPr>
                <w:rFonts w:ascii="宋体" w:hAnsi="宋体"/>
                <w:sz w:val="24"/>
                <w:szCs w:val="24"/>
                <w:highlight w:val="none"/>
              </w:rPr>
            </w:pPr>
          </w:p>
        </w:tc>
        <w:tc>
          <w:tcPr>
            <w:tcW w:w="1369" w:type="dxa"/>
          </w:tcPr>
          <w:p w14:paraId="4BCD9304">
            <w:pPr>
              <w:jc w:val="center"/>
              <w:rPr>
                <w:rFonts w:ascii="宋体" w:hAnsi="宋体"/>
                <w:sz w:val="24"/>
                <w:szCs w:val="24"/>
                <w:highlight w:val="none"/>
              </w:rPr>
            </w:pPr>
          </w:p>
        </w:tc>
      </w:tr>
    </w:tbl>
    <w:p w14:paraId="4BE3588B">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bookmarkStart w:id="149" w:name="OLE_LINK56"/>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如有漏报、瞒报招标文件所要求的性能指标等，将视为没有实质性响应招标文件。招标文件第四章技术参数必须逐条响应，</w:t>
      </w:r>
      <w:r>
        <w:rPr>
          <w:rFonts w:hint="eastAsia" w:ascii="宋体" w:hAnsi="宋体" w:eastAsia="宋体" w:cs="仿宋"/>
          <w:sz w:val="24"/>
          <w:szCs w:val="24"/>
          <w:lang w:val="en-US" w:eastAsia="zh-CN"/>
        </w:rPr>
        <w:t>技术偏离表</w:t>
      </w:r>
      <w:r>
        <w:rPr>
          <w:rFonts w:hint="eastAsia" w:ascii="宋体" w:hAnsi="宋体" w:cs="仿宋"/>
          <w:sz w:val="24"/>
          <w:szCs w:val="24"/>
          <w:lang w:val="en-US" w:eastAsia="zh-CN"/>
        </w:rPr>
        <w:t>各项内容</w:t>
      </w:r>
      <w:r>
        <w:rPr>
          <w:rFonts w:hint="eastAsia" w:ascii="宋体" w:hAnsi="宋体" w:eastAsia="宋体" w:cs="仿宋"/>
          <w:sz w:val="24"/>
          <w:szCs w:val="24"/>
          <w:lang w:val="en-US" w:eastAsia="zh-CN"/>
        </w:rPr>
        <w:t>不得复制粘贴采购文件技术参数要求，否则视为无效投标技术</w:t>
      </w:r>
      <w:r>
        <w:rPr>
          <w:rFonts w:hint="eastAsia" w:ascii="宋体" w:hAnsi="宋体" w:cs="仿宋"/>
          <w:sz w:val="24"/>
          <w:szCs w:val="24"/>
        </w:rPr>
        <w:t>；</w:t>
      </w:r>
    </w:p>
    <w:p w14:paraId="2676D47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sz w:val="24"/>
          <w:szCs w:val="24"/>
        </w:rPr>
        <w:t>“投标文件技术参数应答”必须与投标文件中提供的证明材料的响应情况相一致。若在评审环节发现该项与</w:t>
      </w:r>
      <w:r>
        <w:rPr>
          <w:rFonts w:hint="eastAsia" w:ascii="宋体" w:hAnsi="宋体" w:cs="仿宋"/>
          <w:sz w:val="24"/>
          <w:szCs w:val="24"/>
          <w:lang w:val="en-US" w:eastAsia="zh-CN"/>
        </w:rPr>
        <w:t>投标</w:t>
      </w:r>
      <w:r>
        <w:rPr>
          <w:rFonts w:hint="eastAsia" w:ascii="宋体" w:hAnsi="宋体" w:cs="仿宋"/>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bookmarkEnd w:id="149"/>
    <w:p w14:paraId="64530127">
      <w:pPr>
        <w:ind w:firstLine="480" w:firstLineChars="200"/>
        <w:jc w:val="both"/>
        <w:rPr>
          <w:rFonts w:ascii="宋体" w:hAnsi="宋体"/>
          <w:b/>
          <w:sz w:val="24"/>
          <w:szCs w:val="24"/>
          <w:highlight w:val="none"/>
        </w:rPr>
      </w:pPr>
      <w:r>
        <w:rPr>
          <w:rFonts w:hint="eastAsia" w:ascii="宋体" w:hAnsi="宋体" w:eastAsia="宋体" w:cs="仿宋"/>
          <w:kern w:val="2"/>
          <w:sz w:val="24"/>
          <w:szCs w:val="24"/>
          <w:lang w:val="en-US" w:eastAsia="zh-CN" w:bidi="ar-SA"/>
        </w:rPr>
        <w:t>3.在技术偏离表简述</w:t>
      </w:r>
      <w:r>
        <w:rPr>
          <w:rFonts w:hint="eastAsia" w:ascii="宋体" w:hAnsi="宋体" w:cs="仿宋"/>
          <w:kern w:val="2"/>
          <w:sz w:val="24"/>
          <w:szCs w:val="24"/>
          <w:lang w:val="en-US" w:eastAsia="zh-CN" w:bidi="ar-SA"/>
        </w:rPr>
        <w:t>中</w:t>
      </w:r>
      <w:r>
        <w:rPr>
          <w:rFonts w:hint="eastAsia" w:ascii="宋体" w:hAnsi="宋体" w:eastAsia="宋体" w:cs="仿宋"/>
          <w:kern w:val="2"/>
          <w:sz w:val="24"/>
          <w:szCs w:val="24"/>
          <w:lang w:val="en-US" w:eastAsia="zh-CN" w:bidi="ar-SA"/>
        </w:rPr>
        <w:t>必须</w:t>
      </w:r>
      <w:r>
        <w:rPr>
          <w:rFonts w:hint="eastAsia" w:ascii="宋体" w:hAnsi="宋体" w:cs="仿宋"/>
          <w:kern w:val="2"/>
          <w:sz w:val="24"/>
          <w:szCs w:val="24"/>
          <w:lang w:val="en-US" w:eastAsia="zh-CN" w:bidi="ar-SA"/>
        </w:rPr>
        <w:t>标明相应</w:t>
      </w:r>
      <w:r>
        <w:rPr>
          <w:rFonts w:hint="eastAsia" w:ascii="宋体" w:hAnsi="宋体" w:eastAsia="宋体" w:cs="仿宋"/>
          <w:kern w:val="2"/>
          <w:sz w:val="24"/>
          <w:szCs w:val="24"/>
          <w:lang w:val="en-US" w:eastAsia="zh-CN" w:bidi="ar-SA"/>
        </w:rPr>
        <w:t>证明材料对应的具体页码。</w:t>
      </w:r>
    </w:p>
    <w:p w14:paraId="5E89E889">
      <w:pPr>
        <w:jc w:val="center"/>
        <w:rPr>
          <w:rFonts w:ascii="宋体" w:hAnsi="宋体"/>
          <w:b/>
          <w:sz w:val="24"/>
          <w:szCs w:val="24"/>
          <w:highlight w:val="none"/>
        </w:rPr>
      </w:pPr>
    </w:p>
    <w:p w14:paraId="402B0095">
      <w:pPr>
        <w:pStyle w:val="2"/>
      </w:pPr>
    </w:p>
    <w:p w14:paraId="4152D9A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705CF7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8BBAC5D">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B47FDD1">
      <w:pPr>
        <w:pStyle w:val="3"/>
        <w:jc w:val="center"/>
        <w:rPr>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hint="eastAsia"/>
          <w:highlight w:val="none"/>
        </w:rPr>
        <w:t xml:space="preserve"> </w:t>
      </w:r>
    </w:p>
    <w:p w14:paraId="7D1F394F">
      <w:pPr>
        <w:pStyle w:val="3"/>
        <w:ind w:firstLine="482" w:firstLineChars="150"/>
        <w:jc w:val="center"/>
        <w:rPr>
          <w:highlight w:val="none"/>
        </w:rPr>
      </w:pPr>
      <w:bookmarkStart w:id="150" w:name="_Toc23258629"/>
      <w:bookmarkStart w:id="151" w:name="_Toc26541340"/>
      <w:r>
        <w:rPr>
          <w:rFonts w:hint="eastAsia"/>
          <w:highlight w:val="none"/>
        </w:rPr>
        <w:t>商务响应偏离表</w:t>
      </w:r>
      <w:bookmarkEnd w:id="150"/>
      <w:bookmarkEnd w:id="151"/>
    </w:p>
    <w:tbl>
      <w:tblPr>
        <w:tblStyle w:val="4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C2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5B2C1F5">
            <w:pPr>
              <w:wordWrap w:val="0"/>
              <w:jc w:val="center"/>
              <w:rPr>
                <w:rFonts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1EEC8E5D">
            <w:pPr>
              <w:wordWrap w:val="0"/>
              <w:jc w:val="center"/>
              <w:rPr>
                <w:rFonts w:ascii="宋体" w:hAnsi="宋体" w:cs="宋体"/>
                <w:sz w:val="24"/>
                <w:szCs w:val="24"/>
                <w:highlight w:val="none"/>
              </w:rPr>
            </w:pPr>
            <w:r>
              <w:rPr>
                <w:rFonts w:hint="eastAsia" w:ascii="宋体" w:hAnsi="宋体" w:cs="宋体"/>
                <w:b/>
                <w:szCs w:val="21"/>
                <w:highlight w:val="none"/>
              </w:rPr>
              <w:t>招标文件商务要求</w:t>
            </w:r>
          </w:p>
        </w:tc>
        <w:tc>
          <w:tcPr>
            <w:tcW w:w="2552" w:type="dxa"/>
            <w:vAlign w:val="center"/>
          </w:tcPr>
          <w:p w14:paraId="22FD1FCC">
            <w:pPr>
              <w:wordWrap w:val="0"/>
              <w:jc w:val="center"/>
              <w:rPr>
                <w:rFonts w:ascii="宋体" w:hAnsi="宋体" w:cs="宋体"/>
                <w:sz w:val="24"/>
                <w:szCs w:val="24"/>
                <w:highlight w:val="none"/>
              </w:rPr>
            </w:pPr>
            <w:r>
              <w:rPr>
                <w:rFonts w:hint="eastAsia" w:ascii="宋体" w:hAnsi="宋体" w:cs="宋体"/>
                <w:b/>
                <w:szCs w:val="21"/>
                <w:highlight w:val="none"/>
              </w:rPr>
              <w:t>投标文件商务应答</w:t>
            </w:r>
          </w:p>
        </w:tc>
        <w:tc>
          <w:tcPr>
            <w:tcW w:w="1516" w:type="dxa"/>
            <w:vAlign w:val="center"/>
          </w:tcPr>
          <w:p w14:paraId="202157CF">
            <w:pPr>
              <w:wordWrap w:val="0"/>
              <w:jc w:val="center"/>
              <w:rPr>
                <w:rFonts w:ascii="宋体" w:hAnsi="宋体" w:cs="宋体"/>
                <w:b/>
                <w:szCs w:val="21"/>
                <w:highlight w:val="none"/>
              </w:rPr>
            </w:pPr>
            <w:r>
              <w:rPr>
                <w:rFonts w:hint="eastAsia" w:ascii="宋体" w:hAnsi="宋体" w:cs="宋体"/>
                <w:b/>
                <w:szCs w:val="21"/>
                <w:highlight w:val="none"/>
              </w:rPr>
              <w:t>偏离</w:t>
            </w:r>
          </w:p>
          <w:p w14:paraId="7BFA8DFF">
            <w:pPr>
              <w:wordWrap w:val="0"/>
              <w:jc w:val="center"/>
              <w:rPr>
                <w:rFonts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61012718">
            <w:pPr>
              <w:wordWrap w:val="0"/>
              <w:jc w:val="center"/>
              <w:rPr>
                <w:rFonts w:ascii="宋体" w:hAnsi="宋体" w:cs="宋体"/>
                <w:b/>
                <w:szCs w:val="21"/>
                <w:highlight w:val="none"/>
              </w:rPr>
            </w:pPr>
            <w:r>
              <w:rPr>
                <w:rFonts w:hint="eastAsia" w:ascii="宋体" w:hAnsi="宋体" w:cs="宋体"/>
                <w:b/>
                <w:szCs w:val="21"/>
                <w:highlight w:val="none"/>
              </w:rPr>
              <w:t>偏离简述</w:t>
            </w:r>
          </w:p>
        </w:tc>
      </w:tr>
      <w:tr w14:paraId="4F6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7652DE">
            <w:pPr>
              <w:wordWrap w:val="0"/>
              <w:jc w:val="center"/>
              <w:rPr>
                <w:rFonts w:ascii="宋体" w:hAnsi="宋体" w:cs="宋体"/>
                <w:b/>
                <w:szCs w:val="21"/>
                <w:highlight w:val="none"/>
              </w:rPr>
            </w:pPr>
            <w:r>
              <w:rPr>
                <w:rFonts w:hint="eastAsia" w:ascii="宋体" w:hAnsi="宋体" w:cs="宋体"/>
                <w:b/>
                <w:szCs w:val="21"/>
                <w:highlight w:val="none"/>
              </w:rPr>
              <w:t>1</w:t>
            </w:r>
          </w:p>
        </w:tc>
        <w:tc>
          <w:tcPr>
            <w:tcW w:w="2835" w:type="dxa"/>
            <w:vAlign w:val="center"/>
          </w:tcPr>
          <w:p w14:paraId="233DB773">
            <w:pPr>
              <w:spacing w:line="360" w:lineRule="auto"/>
              <w:rPr>
                <w:rFonts w:ascii="宋体" w:hAnsi="宋体"/>
                <w:sz w:val="24"/>
                <w:szCs w:val="24"/>
                <w:highlight w:val="none"/>
              </w:rPr>
            </w:pPr>
          </w:p>
        </w:tc>
        <w:tc>
          <w:tcPr>
            <w:tcW w:w="2552" w:type="dxa"/>
            <w:vAlign w:val="center"/>
          </w:tcPr>
          <w:p w14:paraId="1718D205">
            <w:pPr>
              <w:spacing w:line="360" w:lineRule="auto"/>
              <w:rPr>
                <w:rFonts w:ascii="宋体" w:hAnsi="宋体"/>
                <w:sz w:val="24"/>
                <w:szCs w:val="24"/>
                <w:highlight w:val="none"/>
              </w:rPr>
            </w:pPr>
          </w:p>
        </w:tc>
        <w:tc>
          <w:tcPr>
            <w:tcW w:w="1516" w:type="dxa"/>
            <w:vAlign w:val="center"/>
          </w:tcPr>
          <w:p w14:paraId="0237548C">
            <w:pPr>
              <w:spacing w:line="360" w:lineRule="auto"/>
              <w:rPr>
                <w:rFonts w:ascii="宋体" w:hAnsi="宋体"/>
                <w:sz w:val="24"/>
                <w:szCs w:val="24"/>
                <w:highlight w:val="none"/>
              </w:rPr>
            </w:pPr>
          </w:p>
        </w:tc>
        <w:tc>
          <w:tcPr>
            <w:tcW w:w="1516" w:type="dxa"/>
            <w:vAlign w:val="center"/>
          </w:tcPr>
          <w:p w14:paraId="554749E0">
            <w:pPr>
              <w:spacing w:line="360" w:lineRule="auto"/>
              <w:rPr>
                <w:rFonts w:ascii="宋体" w:hAnsi="宋体"/>
                <w:sz w:val="24"/>
                <w:szCs w:val="24"/>
                <w:highlight w:val="none"/>
              </w:rPr>
            </w:pPr>
          </w:p>
        </w:tc>
      </w:tr>
      <w:tr w14:paraId="2E4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EC8432D">
            <w:pPr>
              <w:wordWrap w:val="0"/>
              <w:jc w:val="center"/>
              <w:rPr>
                <w:rFonts w:ascii="宋体" w:hAnsi="宋体" w:cs="宋体"/>
                <w:b/>
                <w:szCs w:val="21"/>
                <w:highlight w:val="none"/>
              </w:rPr>
            </w:pPr>
            <w:r>
              <w:rPr>
                <w:rFonts w:hint="eastAsia" w:ascii="宋体" w:hAnsi="宋体" w:cs="宋体"/>
                <w:b/>
                <w:szCs w:val="21"/>
                <w:highlight w:val="none"/>
              </w:rPr>
              <w:t>2</w:t>
            </w:r>
          </w:p>
        </w:tc>
        <w:tc>
          <w:tcPr>
            <w:tcW w:w="2835" w:type="dxa"/>
            <w:vAlign w:val="center"/>
          </w:tcPr>
          <w:p w14:paraId="3444DC00">
            <w:pPr>
              <w:spacing w:line="360" w:lineRule="auto"/>
              <w:rPr>
                <w:rFonts w:ascii="宋体" w:hAnsi="宋体"/>
                <w:sz w:val="24"/>
                <w:szCs w:val="24"/>
                <w:highlight w:val="none"/>
              </w:rPr>
            </w:pPr>
          </w:p>
        </w:tc>
        <w:tc>
          <w:tcPr>
            <w:tcW w:w="2552" w:type="dxa"/>
            <w:vAlign w:val="center"/>
          </w:tcPr>
          <w:p w14:paraId="0759E3B4">
            <w:pPr>
              <w:spacing w:line="360" w:lineRule="auto"/>
              <w:rPr>
                <w:rFonts w:ascii="宋体" w:hAnsi="宋体"/>
                <w:sz w:val="24"/>
                <w:szCs w:val="24"/>
                <w:highlight w:val="none"/>
              </w:rPr>
            </w:pPr>
          </w:p>
        </w:tc>
        <w:tc>
          <w:tcPr>
            <w:tcW w:w="1516" w:type="dxa"/>
            <w:vAlign w:val="center"/>
          </w:tcPr>
          <w:p w14:paraId="3ADDBB59">
            <w:pPr>
              <w:spacing w:line="360" w:lineRule="auto"/>
              <w:rPr>
                <w:rFonts w:ascii="宋体" w:hAnsi="宋体"/>
                <w:sz w:val="24"/>
                <w:szCs w:val="24"/>
                <w:highlight w:val="none"/>
              </w:rPr>
            </w:pPr>
          </w:p>
        </w:tc>
        <w:tc>
          <w:tcPr>
            <w:tcW w:w="1516" w:type="dxa"/>
            <w:vAlign w:val="center"/>
          </w:tcPr>
          <w:p w14:paraId="2827FB3A">
            <w:pPr>
              <w:spacing w:line="360" w:lineRule="auto"/>
              <w:rPr>
                <w:rFonts w:ascii="宋体" w:hAnsi="宋体"/>
                <w:sz w:val="24"/>
                <w:szCs w:val="24"/>
                <w:highlight w:val="none"/>
              </w:rPr>
            </w:pPr>
          </w:p>
        </w:tc>
      </w:tr>
      <w:tr w14:paraId="5FC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7CC2EA">
            <w:pPr>
              <w:wordWrap w:val="0"/>
              <w:jc w:val="center"/>
              <w:rPr>
                <w:rFonts w:ascii="宋体" w:hAnsi="宋体" w:cs="宋体"/>
                <w:b/>
                <w:szCs w:val="21"/>
                <w:highlight w:val="none"/>
              </w:rPr>
            </w:pPr>
            <w:r>
              <w:rPr>
                <w:rFonts w:hint="eastAsia" w:ascii="宋体" w:hAnsi="宋体" w:cs="宋体"/>
                <w:b/>
                <w:szCs w:val="21"/>
                <w:highlight w:val="none"/>
              </w:rPr>
              <w:t>3</w:t>
            </w:r>
          </w:p>
        </w:tc>
        <w:tc>
          <w:tcPr>
            <w:tcW w:w="2835" w:type="dxa"/>
            <w:vAlign w:val="center"/>
          </w:tcPr>
          <w:p w14:paraId="48906902">
            <w:pPr>
              <w:spacing w:line="360" w:lineRule="auto"/>
              <w:rPr>
                <w:rFonts w:ascii="宋体" w:hAnsi="宋体"/>
                <w:sz w:val="24"/>
                <w:szCs w:val="24"/>
                <w:highlight w:val="none"/>
              </w:rPr>
            </w:pPr>
          </w:p>
        </w:tc>
        <w:tc>
          <w:tcPr>
            <w:tcW w:w="2552" w:type="dxa"/>
            <w:vAlign w:val="center"/>
          </w:tcPr>
          <w:p w14:paraId="3279202A">
            <w:pPr>
              <w:spacing w:line="360" w:lineRule="auto"/>
              <w:rPr>
                <w:rFonts w:ascii="宋体" w:hAnsi="宋体"/>
                <w:sz w:val="24"/>
                <w:szCs w:val="24"/>
                <w:highlight w:val="none"/>
              </w:rPr>
            </w:pPr>
          </w:p>
        </w:tc>
        <w:tc>
          <w:tcPr>
            <w:tcW w:w="1516" w:type="dxa"/>
            <w:vAlign w:val="center"/>
          </w:tcPr>
          <w:p w14:paraId="43B7125F">
            <w:pPr>
              <w:spacing w:line="360" w:lineRule="auto"/>
              <w:rPr>
                <w:rFonts w:ascii="宋体" w:hAnsi="宋体"/>
                <w:sz w:val="24"/>
                <w:szCs w:val="24"/>
                <w:highlight w:val="none"/>
              </w:rPr>
            </w:pPr>
          </w:p>
        </w:tc>
        <w:tc>
          <w:tcPr>
            <w:tcW w:w="1516" w:type="dxa"/>
            <w:vAlign w:val="center"/>
          </w:tcPr>
          <w:p w14:paraId="1436F371">
            <w:pPr>
              <w:spacing w:line="360" w:lineRule="auto"/>
              <w:rPr>
                <w:rFonts w:ascii="宋体" w:hAnsi="宋体"/>
                <w:sz w:val="24"/>
                <w:szCs w:val="24"/>
                <w:highlight w:val="none"/>
              </w:rPr>
            </w:pPr>
          </w:p>
        </w:tc>
      </w:tr>
      <w:tr w14:paraId="10C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04B2F62">
            <w:pPr>
              <w:wordWrap w:val="0"/>
              <w:jc w:val="center"/>
              <w:rPr>
                <w:rFonts w:ascii="宋体" w:hAnsi="宋体" w:cs="宋体"/>
                <w:b/>
                <w:szCs w:val="21"/>
                <w:highlight w:val="none"/>
              </w:rPr>
            </w:pPr>
            <w:r>
              <w:rPr>
                <w:rFonts w:hint="eastAsia" w:ascii="宋体" w:hAnsi="宋体" w:cs="宋体"/>
                <w:b/>
                <w:szCs w:val="21"/>
                <w:highlight w:val="none"/>
              </w:rPr>
              <w:t>...</w:t>
            </w:r>
          </w:p>
        </w:tc>
        <w:tc>
          <w:tcPr>
            <w:tcW w:w="2835" w:type="dxa"/>
            <w:vAlign w:val="center"/>
          </w:tcPr>
          <w:p w14:paraId="567E699A">
            <w:pPr>
              <w:spacing w:line="360" w:lineRule="auto"/>
              <w:rPr>
                <w:rFonts w:ascii="宋体" w:hAnsi="宋体"/>
                <w:sz w:val="24"/>
                <w:szCs w:val="24"/>
                <w:highlight w:val="none"/>
              </w:rPr>
            </w:pPr>
          </w:p>
        </w:tc>
        <w:tc>
          <w:tcPr>
            <w:tcW w:w="2552" w:type="dxa"/>
            <w:vAlign w:val="center"/>
          </w:tcPr>
          <w:p w14:paraId="469818C7">
            <w:pPr>
              <w:spacing w:line="360" w:lineRule="auto"/>
              <w:rPr>
                <w:rFonts w:ascii="宋体" w:hAnsi="宋体"/>
                <w:sz w:val="24"/>
                <w:szCs w:val="24"/>
                <w:highlight w:val="none"/>
              </w:rPr>
            </w:pPr>
          </w:p>
        </w:tc>
        <w:tc>
          <w:tcPr>
            <w:tcW w:w="1516" w:type="dxa"/>
            <w:vAlign w:val="center"/>
          </w:tcPr>
          <w:p w14:paraId="16120D9E">
            <w:pPr>
              <w:spacing w:line="360" w:lineRule="auto"/>
              <w:rPr>
                <w:rFonts w:ascii="宋体" w:hAnsi="宋体"/>
                <w:sz w:val="24"/>
                <w:szCs w:val="24"/>
                <w:highlight w:val="none"/>
              </w:rPr>
            </w:pPr>
          </w:p>
        </w:tc>
        <w:tc>
          <w:tcPr>
            <w:tcW w:w="1516" w:type="dxa"/>
            <w:vAlign w:val="center"/>
          </w:tcPr>
          <w:p w14:paraId="2375FB55">
            <w:pPr>
              <w:spacing w:line="360" w:lineRule="auto"/>
              <w:rPr>
                <w:rFonts w:ascii="宋体" w:hAnsi="宋体"/>
                <w:sz w:val="24"/>
                <w:szCs w:val="24"/>
                <w:highlight w:val="none"/>
              </w:rPr>
            </w:pPr>
          </w:p>
        </w:tc>
      </w:tr>
    </w:tbl>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注：对招标文件中要求的商务条款响应并详细说明。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8CD4CB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59577F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A55842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311040B">
      <w:pPr>
        <w:spacing w:line="360" w:lineRule="auto"/>
        <w:ind w:firstLine="420" w:firstLineChars="175"/>
        <w:rPr>
          <w:rFonts w:ascii="宋体" w:hAnsi="宋体"/>
          <w:bCs/>
          <w:sz w:val="24"/>
          <w:szCs w:val="24"/>
          <w:highlight w:val="none"/>
        </w:rPr>
      </w:pPr>
    </w:p>
    <w:p w14:paraId="4A70F2FB">
      <w:pPr>
        <w:widowControl/>
        <w:jc w:val="left"/>
        <w:rPr>
          <w:rFonts w:ascii="Calibri Light" w:hAnsi="Calibri Light"/>
          <w:b/>
          <w:bCs/>
          <w:sz w:val="32"/>
          <w:szCs w:val="32"/>
          <w:highlight w:val="none"/>
        </w:rPr>
      </w:pPr>
    </w:p>
    <w:p w14:paraId="7815C07E">
      <w:pPr>
        <w:widowControl/>
        <w:jc w:val="left"/>
        <w:rPr>
          <w:rFonts w:ascii="Calibri Light" w:hAnsi="Calibri Light"/>
          <w:b/>
          <w:bCs/>
          <w:sz w:val="32"/>
          <w:szCs w:val="32"/>
          <w:highlight w:val="none"/>
        </w:rPr>
      </w:pPr>
    </w:p>
    <w:p w14:paraId="77D945F4">
      <w:pPr>
        <w:rPr>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31"/>
    <w:bookmarkEnd w:id="132"/>
    <w:p w14:paraId="15E8FBBF">
      <w:pPr>
        <w:pStyle w:val="3"/>
        <w:ind w:firstLine="482" w:firstLineChars="150"/>
        <w:jc w:val="center"/>
        <w:rPr>
          <w:rFonts w:ascii="Times New Roman" w:hAnsi="Times New Roman"/>
          <w:color w:val="auto"/>
          <w:szCs w:val="36"/>
          <w:highlight w:val="none"/>
        </w:rPr>
      </w:pPr>
      <w:bookmarkStart w:id="152" w:name="_Toc26541341"/>
      <w:bookmarkStart w:id="153" w:name="_Toc23258630"/>
      <w:bookmarkStart w:id="154" w:name="_Toc528240833"/>
      <w:bookmarkStart w:id="155" w:name="_Toc484890090"/>
      <w:bookmarkStart w:id="156" w:name="_Toc484198843"/>
      <w:r>
        <w:rPr>
          <w:rFonts w:hint="eastAsia" w:ascii="Times New Roman" w:hAnsi="Times New Roman"/>
          <w:color w:val="auto"/>
          <w:szCs w:val="36"/>
          <w:highlight w:val="none"/>
        </w:rPr>
        <w:t>五、投标方案</w:t>
      </w:r>
      <w:bookmarkEnd w:id="152"/>
      <w:bookmarkEnd w:id="153"/>
    </w:p>
    <w:p w14:paraId="6B7B2602">
      <w:pPr>
        <w:spacing w:line="460" w:lineRule="exact"/>
        <w:ind w:firstLine="482" w:firstLineChars="200"/>
        <w:jc w:val="left"/>
        <w:rPr>
          <w:rFonts w:hint="eastAsia" w:ascii="宋体" w:hAnsi="宋体" w:cs="宋体"/>
          <w:b/>
          <w:color w:val="auto"/>
          <w:sz w:val="24"/>
        </w:rPr>
      </w:pPr>
      <w:r>
        <w:rPr>
          <w:rFonts w:hint="eastAsia" w:ascii="宋体" w:hAnsi="宋体" w:cs="宋体"/>
          <w:b/>
          <w:color w:val="auto"/>
          <w:sz w:val="24"/>
        </w:rPr>
        <w:t>供应商按照招标文件的要求编制投标方案，投标方案由供应商自行编写，无具体格式，参照招标文件中的《综合评分明细表》各条款的要求</w:t>
      </w:r>
      <w:r>
        <w:rPr>
          <w:rFonts w:hint="eastAsia" w:ascii="宋体" w:hAnsi="宋体" w:cs="宋体"/>
          <w:b/>
          <w:color w:val="auto"/>
          <w:sz w:val="24"/>
          <w:lang w:val="en-US" w:eastAsia="zh-CN"/>
        </w:rPr>
        <w:t>及</w:t>
      </w:r>
      <w:r>
        <w:rPr>
          <w:rFonts w:hint="eastAsia" w:ascii="宋体" w:hAnsi="宋体" w:cs="宋体"/>
          <w:b/>
          <w:color w:val="auto"/>
          <w:sz w:val="24"/>
        </w:rPr>
        <w:t>《采购内容》进行编制投标方案。包含但不限于以下内容：</w:t>
      </w:r>
    </w:p>
    <w:p w14:paraId="7EB0ADED">
      <w:pPr>
        <w:pageBreakBefore w:val="0"/>
        <w:kinsoku/>
        <w:wordWrap/>
        <w:overflowPunct/>
        <w:topLinePunct w:val="0"/>
        <w:bidi w:val="0"/>
        <w:snapToGrid/>
        <w:spacing w:line="48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1.实施方案</w:t>
      </w:r>
    </w:p>
    <w:p w14:paraId="76972C16">
      <w:pPr>
        <w:pageBreakBefore w:val="0"/>
        <w:kinsoku/>
        <w:wordWrap/>
        <w:overflowPunct/>
        <w:topLinePunct w:val="0"/>
        <w:bidi w:val="0"/>
        <w:snapToGrid/>
        <w:spacing w:line="48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2.采购产品来源渠道</w:t>
      </w:r>
    </w:p>
    <w:p w14:paraId="0D8B29B4">
      <w:pPr>
        <w:pageBreakBefore w:val="0"/>
        <w:kinsoku/>
        <w:wordWrap/>
        <w:overflowPunct/>
        <w:topLinePunct w:val="0"/>
        <w:bidi w:val="0"/>
        <w:snapToGrid/>
        <w:spacing w:line="48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3.业绩</w:t>
      </w:r>
    </w:p>
    <w:p w14:paraId="77F5170E">
      <w:pPr>
        <w:pageBreakBefore w:val="0"/>
        <w:kinsoku/>
        <w:wordWrap/>
        <w:overflowPunct/>
        <w:topLinePunct w:val="0"/>
        <w:bidi w:val="0"/>
        <w:snapToGrid/>
        <w:spacing w:line="48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4.售后服务</w:t>
      </w:r>
    </w:p>
    <w:p w14:paraId="35E5CCED">
      <w:pPr>
        <w:pageBreakBefore w:val="0"/>
        <w:kinsoku/>
        <w:wordWrap/>
        <w:overflowPunct/>
        <w:topLinePunct w:val="0"/>
        <w:bidi w:val="0"/>
        <w:snapToGrid/>
        <w:spacing w:line="48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5.投标供应商认为有必要说明的其他问题</w:t>
      </w:r>
    </w:p>
    <w:p w14:paraId="0B913736">
      <w:pPr>
        <w:spacing w:line="360" w:lineRule="auto"/>
        <w:ind w:firstLine="640" w:firstLineChars="200"/>
        <w:rPr>
          <w:rFonts w:hint="default" w:ascii="宋体" w:hAnsi="宋体" w:eastAsia="宋体"/>
          <w:color w:val="auto"/>
          <w:sz w:val="32"/>
          <w:szCs w:val="32"/>
          <w:lang w:val="en-US" w:eastAsia="zh-CN"/>
        </w:rPr>
      </w:pPr>
      <w:r>
        <w:rPr>
          <w:rFonts w:hint="eastAsia" w:ascii="宋体" w:hAnsi="宋体"/>
          <w:color w:val="auto"/>
          <w:sz w:val="32"/>
          <w:szCs w:val="32"/>
          <w:lang w:val="en-US" w:eastAsia="zh-CN"/>
        </w:rPr>
        <w:t>……</w:t>
      </w:r>
    </w:p>
    <w:p w14:paraId="7A60763E">
      <w:pPr>
        <w:spacing w:line="360" w:lineRule="auto"/>
        <w:ind w:firstLine="480" w:firstLineChars="200"/>
        <w:rPr>
          <w:rFonts w:ascii="宋体" w:hAnsi="宋体"/>
          <w:sz w:val="24"/>
          <w:szCs w:val="24"/>
          <w:highlight w:val="none"/>
        </w:rPr>
      </w:pPr>
    </w:p>
    <w:p w14:paraId="45388A55">
      <w:pPr>
        <w:widowControl/>
        <w:jc w:val="left"/>
        <w:rPr>
          <w:rFonts w:ascii="Calibri Light" w:hAnsi="Calibri Light"/>
          <w:b/>
          <w:bCs/>
          <w:sz w:val="32"/>
          <w:szCs w:val="32"/>
          <w:highlight w:val="none"/>
        </w:rPr>
      </w:pPr>
      <w:r>
        <w:rPr>
          <w:rFonts w:ascii="Calibri Light" w:hAnsi="Calibri Light"/>
          <w:b/>
          <w:bCs/>
          <w:sz w:val="32"/>
          <w:szCs w:val="32"/>
          <w:highlight w:val="none"/>
        </w:rPr>
        <w:br w:type="page"/>
      </w:r>
    </w:p>
    <w:bookmarkEnd w:id="154"/>
    <w:bookmarkEnd w:id="155"/>
    <w:bookmarkEnd w:id="156"/>
    <w:p w14:paraId="49F5786A">
      <w:pPr>
        <w:keepNext w:val="0"/>
        <w:keepLines w:val="0"/>
        <w:pageBreakBefore w:val="0"/>
        <w:widowControl w:val="0"/>
        <w:kinsoku/>
        <w:wordWrap/>
        <w:overflowPunct/>
        <w:topLinePunct w:val="0"/>
        <w:autoSpaceDE/>
        <w:autoSpaceDN/>
        <w:bidi w:val="0"/>
        <w:adjustRightInd w:val="0"/>
        <w:snapToGrid w:val="0"/>
        <w:spacing w:line="360" w:lineRule="auto"/>
        <w:ind w:left="0" w:right="0" w:firstLine="2650" w:firstLineChars="1100"/>
        <w:jc w:val="both"/>
        <w:textAlignment w:val="auto"/>
        <w:rPr>
          <w:rFonts w:hint="eastAsia" w:ascii="宋体" w:hAnsi="宋体" w:eastAsia="宋体" w:cs="宋体"/>
          <w:sz w:val="24"/>
          <w:szCs w:val="24"/>
        </w:rPr>
      </w:pPr>
      <w:bookmarkStart w:id="157" w:name="_Toc17592"/>
      <w:bookmarkStart w:id="158" w:name="_Toc214"/>
      <w:bookmarkStart w:id="159" w:name="_Toc4115"/>
      <w:bookmarkStart w:id="160" w:name="_Toc14631"/>
      <w:bookmarkStart w:id="161" w:name="_Toc403077652"/>
      <w:bookmarkStart w:id="162" w:name="_Toc2768"/>
      <w:bookmarkStart w:id="163" w:name="_Toc396304714"/>
      <w:bookmarkStart w:id="164" w:name="_Toc426457710"/>
      <w:bookmarkStart w:id="165" w:name="_Toc528240693"/>
      <w:bookmarkStart w:id="166" w:name="_Toc528240837"/>
      <w:bookmarkStart w:id="167" w:name="_Toc519864403"/>
      <w:bookmarkStart w:id="168" w:name="_Toc484198846"/>
      <w:bookmarkStart w:id="169" w:name="_Toc23258632"/>
      <w:bookmarkStart w:id="170" w:name="_Toc26541343"/>
      <w:bookmarkStart w:id="171" w:name="_Toc484198847"/>
      <w:r>
        <w:rPr>
          <w:rFonts w:hint="eastAsia" w:ascii="宋体" w:hAnsi="宋体" w:cs="宋体"/>
          <w:b/>
          <w:bCs/>
          <w:kern w:val="20"/>
          <w:sz w:val="24"/>
          <w:szCs w:val="24"/>
          <w:highlight w:val="none"/>
          <w:lang w:val="en-US" w:eastAsia="zh-CN"/>
        </w:rPr>
        <w:t xml:space="preserve">  </w:t>
      </w:r>
      <w:bookmarkEnd w:id="157"/>
      <w:bookmarkEnd w:id="158"/>
      <w:bookmarkEnd w:id="159"/>
      <w:bookmarkEnd w:id="160"/>
      <w:bookmarkEnd w:id="161"/>
      <w:bookmarkEnd w:id="162"/>
      <w:bookmarkEnd w:id="163"/>
      <w:bookmarkEnd w:id="164"/>
      <w:r>
        <w:rPr>
          <w:rFonts w:hint="eastAsia" w:ascii="宋体" w:hAnsi="宋体" w:eastAsia="宋体" w:cs="宋体"/>
          <w:b/>
          <w:bCs/>
          <w:spacing w:val="-4"/>
          <w:sz w:val="24"/>
          <w:szCs w:val="24"/>
        </w:rPr>
        <w:t>拟派本项目人员配备汇总表</w:t>
      </w:r>
    </w:p>
    <w:p w14:paraId="2ACE257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10"/>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29"/>
        <w:gridCol w:w="1147"/>
        <w:gridCol w:w="1148"/>
        <w:gridCol w:w="1147"/>
        <w:gridCol w:w="1010"/>
        <w:gridCol w:w="1462"/>
        <w:gridCol w:w="1257"/>
      </w:tblGrid>
      <w:tr w14:paraId="7187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07" w:type="dxa"/>
            <w:textDirection w:val="tbRlV"/>
            <w:vAlign w:val="center"/>
          </w:tcPr>
          <w:p w14:paraId="121273A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29" w:type="dxa"/>
            <w:vAlign w:val="center"/>
          </w:tcPr>
          <w:p w14:paraId="75A19077">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147" w:type="dxa"/>
            <w:vAlign w:val="center"/>
          </w:tcPr>
          <w:p w14:paraId="5C68E434">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8" w:type="dxa"/>
            <w:vAlign w:val="center"/>
          </w:tcPr>
          <w:p w14:paraId="4D275972">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212"/>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出生日</w:t>
            </w:r>
            <w:r>
              <w:rPr>
                <w:rFonts w:hint="eastAsia" w:ascii="宋体" w:hAnsi="宋体" w:eastAsia="宋体" w:cs="宋体"/>
                <w:sz w:val="24"/>
                <w:szCs w:val="24"/>
              </w:rPr>
              <w:t xml:space="preserve"> 期</w:t>
            </w:r>
          </w:p>
        </w:tc>
        <w:tc>
          <w:tcPr>
            <w:tcW w:w="1147" w:type="dxa"/>
            <w:vAlign w:val="center"/>
          </w:tcPr>
          <w:p w14:paraId="40E7314C">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学历</w:t>
            </w:r>
          </w:p>
        </w:tc>
        <w:tc>
          <w:tcPr>
            <w:tcW w:w="1010" w:type="dxa"/>
            <w:vAlign w:val="center"/>
          </w:tcPr>
          <w:p w14:paraId="298AD1B6">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专业</w:t>
            </w:r>
          </w:p>
        </w:tc>
        <w:tc>
          <w:tcPr>
            <w:tcW w:w="1462" w:type="dxa"/>
            <w:vAlign w:val="center"/>
          </w:tcPr>
          <w:p w14:paraId="2EC9A99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资格/职</w:t>
            </w:r>
            <w:r>
              <w:rPr>
                <w:rFonts w:hint="eastAsia" w:ascii="宋体" w:hAnsi="宋体" w:eastAsia="宋体" w:cs="宋体"/>
                <w:sz w:val="24"/>
                <w:szCs w:val="24"/>
              </w:rPr>
              <w:t>称</w:t>
            </w:r>
          </w:p>
        </w:tc>
        <w:tc>
          <w:tcPr>
            <w:tcW w:w="1257" w:type="dxa"/>
            <w:vAlign w:val="center"/>
          </w:tcPr>
          <w:p w14:paraId="30B5750A">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在本项目</w:t>
            </w:r>
          </w:p>
          <w:p w14:paraId="0116D954">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拟任职务</w:t>
            </w:r>
          </w:p>
        </w:tc>
      </w:tr>
      <w:tr w14:paraId="7C52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4EBFCF9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29" w:type="dxa"/>
            <w:vAlign w:val="center"/>
          </w:tcPr>
          <w:p w14:paraId="115B260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9CF610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5437E09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61B80D1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C2A8F0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C0005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4E7FB54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项目负责</w:t>
            </w:r>
          </w:p>
          <w:p w14:paraId="41A0824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tc>
      </w:tr>
      <w:tr w14:paraId="2FD4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D0B1F6F">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29" w:type="dxa"/>
            <w:vAlign w:val="center"/>
          </w:tcPr>
          <w:p w14:paraId="64724B0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CAEFAE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6979B9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B3C3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40C9BA7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45C14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8D275B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2378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65E2F4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29" w:type="dxa"/>
            <w:vAlign w:val="center"/>
          </w:tcPr>
          <w:p w14:paraId="77A01FC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A10C8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799CE5C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4B3CC39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67D976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57C465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043A3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12E9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A6CFC6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14E7279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c>
          <w:tcPr>
            <w:tcW w:w="1229" w:type="dxa"/>
            <w:vAlign w:val="center"/>
          </w:tcPr>
          <w:p w14:paraId="33243A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928484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C68FC4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33E51F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E8AC28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35C63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0A6A01E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25D902E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r>
      <w:tr w14:paraId="6AA0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13D0E1E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7793B98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C1A1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2C6CC3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7D63A0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F9905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7714CCE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2879F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C4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650D772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B84EA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E32A00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137DD7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A11B95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27880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0A77009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114C181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19B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07" w:type="dxa"/>
            <w:vAlign w:val="center"/>
          </w:tcPr>
          <w:p w14:paraId="660FDDA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F35A16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0B97F1D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18BF229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53BE42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07F4944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48C22B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EC44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784DC86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pacing w:val="-1"/>
          <w:sz w:val="24"/>
          <w:szCs w:val="24"/>
        </w:rPr>
      </w:pPr>
    </w:p>
    <w:p w14:paraId="15B5BBA7">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注：拟派本项目人员须为供应商本单位人员。</w:t>
      </w:r>
    </w:p>
    <w:p w14:paraId="2411BF43">
      <w:pPr>
        <w:rPr>
          <w:highlight w:val="none"/>
        </w:rPr>
      </w:pPr>
    </w:p>
    <w:p w14:paraId="6803452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bookmarkStart w:id="172" w:name="_Hlt491765944"/>
      <w:bookmarkEnd w:id="172"/>
      <w:bookmarkStart w:id="173" w:name="_Hlt491572882"/>
      <w:bookmarkEnd w:id="173"/>
      <w:bookmarkStart w:id="174" w:name="_Hlt491573425"/>
      <w:bookmarkEnd w:id="174"/>
      <w:bookmarkStart w:id="175" w:name="_Hlt491765868"/>
      <w:bookmarkEnd w:id="175"/>
      <w:bookmarkStart w:id="176" w:name="_Hlt491766019"/>
      <w:bookmarkEnd w:id="176"/>
      <w:r>
        <w:rPr>
          <w:rFonts w:hint="eastAsia" w:ascii="宋体" w:hAnsi="宋体" w:eastAsia="宋体" w:cs="宋体"/>
          <w:bCs/>
          <w:sz w:val="24"/>
          <w:szCs w:val="24"/>
          <w:highlight w:val="none"/>
        </w:rPr>
        <w:t>投标人名称（加盖公章）：</w:t>
      </w:r>
    </w:p>
    <w:p w14:paraId="385120C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0E65893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52572C74">
      <w:pPr>
        <w:jc w:val="center"/>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0E49908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2"/>
        <w:rPr>
          <w:rFonts w:hint="eastAsia" w:ascii="宋体" w:hAnsi="宋体" w:eastAsia="宋体" w:cs="宋体"/>
          <w:sz w:val="24"/>
          <w:szCs w:val="24"/>
        </w:rPr>
      </w:pPr>
      <w:r>
        <w:rPr>
          <w:rFonts w:hint="eastAsia" w:ascii="宋体" w:hAnsi="宋体" w:eastAsia="宋体" w:cs="宋体"/>
          <w:b/>
          <w:bCs/>
          <w:spacing w:val="-4"/>
          <w:sz w:val="24"/>
          <w:szCs w:val="24"/>
        </w:rPr>
        <w:t>项目负责人资历表</w:t>
      </w:r>
    </w:p>
    <w:p w14:paraId="4BAB6B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10"/>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403"/>
        <w:gridCol w:w="1297"/>
        <w:gridCol w:w="849"/>
        <w:gridCol w:w="1145"/>
        <w:gridCol w:w="1450"/>
        <w:gridCol w:w="2475"/>
      </w:tblGrid>
      <w:tr w14:paraId="1974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075" w:type="dxa"/>
            <w:gridSpan w:val="2"/>
            <w:vAlign w:val="center"/>
          </w:tcPr>
          <w:p w14:paraId="7A20610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297" w:type="dxa"/>
            <w:vAlign w:val="center"/>
          </w:tcPr>
          <w:p w14:paraId="13DA07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849" w:type="dxa"/>
            <w:vAlign w:val="center"/>
          </w:tcPr>
          <w:p w14:paraId="386B9D08">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5" w:type="dxa"/>
            <w:vAlign w:val="center"/>
          </w:tcPr>
          <w:p w14:paraId="2F87CE1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5E25D0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出生日期</w:t>
            </w:r>
          </w:p>
        </w:tc>
        <w:tc>
          <w:tcPr>
            <w:tcW w:w="2475" w:type="dxa"/>
            <w:vAlign w:val="center"/>
          </w:tcPr>
          <w:p w14:paraId="7B0C257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6C15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075" w:type="dxa"/>
            <w:gridSpan w:val="2"/>
            <w:vAlign w:val="center"/>
          </w:tcPr>
          <w:p w14:paraId="24254C22">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704"/>
              <w:jc w:val="right"/>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毕</w:t>
            </w:r>
            <w:r>
              <w:rPr>
                <w:rFonts w:hint="eastAsia" w:ascii="宋体" w:hAnsi="宋体" w:eastAsia="宋体" w:cs="宋体"/>
                <w:spacing w:val="-4"/>
                <w:sz w:val="24"/>
                <w:szCs w:val="24"/>
              </w:rPr>
              <w:t>业院校及专</w:t>
            </w:r>
            <w:r>
              <w:rPr>
                <w:rFonts w:hint="eastAsia" w:ascii="宋体" w:hAnsi="宋体" w:eastAsia="宋体" w:cs="宋体"/>
                <w:sz w:val="24"/>
                <w:szCs w:val="24"/>
              </w:rPr>
              <w:t>业</w:t>
            </w:r>
          </w:p>
        </w:tc>
        <w:tc>
          <w:tcPr>
            <w:tcW w:w="3291" w:type="dxa"/>
            <w:gridSpan w:val="3"/>
            <w:vAlign w:val="center"/>
          </w:tcPr>
          <w:p w14:paraId="73CA4B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BB033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7167AD81">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毕业时间</w:t>
            </w:r>
          </w:p>
        </w:tc>
        <w:tc>
          <w:tcPr>
            <w:tcW w:w="2475" w:type="dxa"/>
            <w:vAlign w:val="center"/>
          </w:tcPr>
          <w:p w14:paraId="7BB258E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F4B3FA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5D10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768F9B8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从事本专业</w:t>
            </w:r>
          </w:p>
          <w:p w14:paraId="51A5FAD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3291" w:type="dxa"/>
            <w:gridSpan w:val="3"/>
            <w:vAlign w:val="center"/>
          </w:tcPr>
          <w:p w14:paraId="0284842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393314B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386FCA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入职时间</w:t>
            </w:r>
          </w:p>
        </w:tc>
        <w:tc>
          <w:tcPr>
            <w:tcW w:w="2475" w:type="dxa"/>
            <w:vAlign w:val="center"/>
          </w:tcPr>
          <w:p w14:paraId="42A81A9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203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2075" w:type="dxa"/>
            <w:gridSpan w:val="2"/>
            <w:vAlign w:val="center"/>
          </w:tcPr>
          <w:p w14:paraId="5A601D2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pacing w:val="-5"/>
                <w:sz w:val="24"/>
                <w:szCs w:val="24"/>
              </w:rPr>
              <w:t>执业注册</w:t>
            </w:r>
            <w:r>
              <w:rPr>
                <w:rFonts w:hint="eastAsia" w:ascii="宋体" w:hAnsi="宋体" w:cs="宋体"/>
                <w:spacing w:val="-5"/>
                <w:sz w:val="24"/>
                <w:szCs w:val="24"/>
                <w:lang w:val="en-US" w:eastAsia="zh-CN"/>
              </w:rPr>
              <w:t>号</w:t>
            </w:r>
          </w:p>
        </w:tc>
        <w:tc>
          <w:tcPr>
            <w:tcW w:w="3291" w:type="dxa"/>
            <w:gridSpan w:val="3"/>
            <w:vAlign w:val="center"/>
          </w:tcPr>
          <w:p w14:paraId="553DD4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4A0D9B5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联系电话</w:t>
            </w:r>
          </w:p>
        </w:tc>
        <w:tc>
          <w:tcPr>
            <w:tcW w:w="2475" w:type="dxa"/>
            <w:vAlign w:val="center"/>
          </w:tcPr>
          <w:p w14:paraId="365F12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5543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075" w:type="dxa"/>
            <w:gridSpan w:val="2"/>
            <w:vAlign w:val="center"/>
          </w:tcPr>
          <w:p w14:paraId="40D4A1BB">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身份证号码</w:t>
            </w:r>
          </w:p>
        </w:tc>
        <w:tc>
          <w:tcPr>
            <w:tcW w:w="7216" w:type="dxa"/>
            <w:gridSpan w:val="5"/>
            <w:vAlign w:val="center"/>
          </w:tcPr>
          <w:p w14:paraId="11248A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C2B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6678865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pacing w:val="2"/>
                <w:sz w:val="24"/>
                <w:szCs w:val="24"/>
              </w:rPr>
            </w:pPr>
            <w:r>
              <w:rPr>
                <w:rFonts w:hint="eastAsia" w:ascii="宋体" w:hAnsi="宋体" w:eastAsia="宋体" w:cs="宋体"/>
                <w:spacing w:val="-3"/>
                <w:sz w:val="24"/>
                <w:szCs w:val="24"/>
              </w:rPr>
              <w:t>在本项目拟任</w:t>
            </w:r>
            <w:r>
              <w:rPr>
                <w:rFonts w:hint="eastAsia" w:ascii="宋体" w:hAnsi="宋体" w:eastAsia="宋体" w:cs="宋体"/>
                <w:spacing w:val="2"/>
                <w:sz w:val="24"/>
                <w:szCs w:val="24"/>
              </w:rPr>
              <w:t xml:space="preserve"> </w:t>
            </w:r>
          </w:p>
          <w:p w14:paraId="5655F77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职务及职责</w:t>
            </w:r>
          </w:p>
        </w:tc>
        <w:tc>
          <w:tcPr>
            <w:tcW w:w="7216" w:type="dxa"/>
            <w:gridSpan w:val="5"/>
            <w:vAlign w:val="center"/>
          </w:tcPr>
          <w:p w14:paraId="3E311A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7FC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3" w:hRule="atLeast"/>
        </w:trPr>
        <w:tc>
          <w:tcPr>
            <w:tcW w:w="9291" w:type="dxa"/>
            <w:gridSpan w:val="7"/>
            <w:vAlign w:val="center"/>
          </w:tcPr>
          <w:p w14:paraId="555563E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主要经历</w:t>
            </w:r>
          </w:p>
        </w:tc>
      </w:tr>
      <w:tr w14:paraId="73AD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center"/>
          </w:tcPr>
          <w:p w14:paraId="7DC7DC9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5144" w:type="dxa"/>
            <w:gridSpan w:val="5"/>
            <w:vAlign w:val="center"/>
          </w:tcPr>
          <w:p w14:paraId="2F1B952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参加过的同类项目</w:t>
            </w:r>
          </w:p>
        </w:tc>
        <w:tc>
          <w:tcPr>
            <w:tcW w:w="2475" w:type="dxa"/>
            <w:vAlign w:val="center"/>
          </w:tcPr>
          <w:p w14:paraId="6F09168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该项目中任职</w:t>
            </w:r>
          </w:p>
        </w:tc>
      </w:tr>
      <w:tr w14:paraId="08DB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672" w:type="dxa"/>
            <w:vAlign w:val="center"/>
          </w:tcPr>
          <w:p w14:paraId="4C9AD6E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3856CB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620BC2E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7E08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72" w:type="dxa"/>
            <w:vAlign w:val="center"/>
          </w:tcPr>
          <w:p w14:paraId="00963DA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6EC52C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4AF651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89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672" w:type="dxa"/>
            <w:vAlign w:val="center"/>
          </w:tcPr>
          <w:p w14:paraId="3B3C2F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79378FC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0592C33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5492ABE8">
      <w:pPr>
        <w:keepNext w:val="0"/>
        <w:keepLines w:val="0"/>
        <w:pageBreakBefore w:val="0"/>
        <w:widowControl w:val="0"/>
        <w:kinsoku/>
        <w:wordWrap/>
        <w:overflowPunct/>
        <w:topLinePunct w:val="0"/>
        <w:autoSpaceDE/>
        <w:autoSpaceDN/>
        <w:bidi w:val="0"/>
        <w:adjustRightInd w:val="0"/>
        <w:snapToGrid w:val="0"/>
        <w:spacing w:line="360" w:lineRule="auto"/>
        <w:ind w:left="0" w:right="0" w:firstLine="4"/>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拟派本项目负责人应为供应商本单位人员。供应商所报的项目负责</w:t>
      </w:r>
      <w:r>
        <w:rPr>
          <w:rFonts w:hint="eastAsia" w:ascii="宋体" w:hAnsi="宋体" w:eastAsia="宋体" w:cs="宋体"/>
          <w:spacing w:val="-1"/>
          <w:sz w:val="24"/>
          <w:szCs w:val="24"/>
        </w:rPr>
        <w:t>人，在项目实施中应保持一致，未经采购人同意不得更换。</w:t>
      </w:r>
    </w:p>
    <w:p w14:paraId="6489E7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如有，需附职称证书、经验证明材料。</w:t>
      </w:r>
    </w:p>
    <w:p w14:paraId="57159656">
      <w:pPr>
        <w:jc w:val="center"/>
        <w:rPr>
          <w:rFonts w:hint="eastAsia" w:ascii="宋体" w:hAnsi="宋体" w:cs="宋体"/>
          <w:b/>
          <w:bCs/>
          <w:sz w:val="24"/>
          <w:szCs w:val="24"/>
          <w:highlight w:val="none"/>
        </w:rPr>
      </w:pPr>
    </w:p>
    <w:p w14:paraId="4F1A20FC">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投标人名称（加盖公章）：</w:t>
      </w:r>
    </w:p>
    <w:p w14:paraId="4928EC9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522BEDC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4C31DBEC">
      <w:pPr>
        <w:pStyle w:val="16"/>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62FEB90F">
      <w:pPr>
        <w:jc w:val="center"/>
        <w:rPr>
          <w:rFonts w:ascii="宋体" w:hAnsi="宋体" w:cs="宋体"/>
          <w:b/>
          <w:bCs/>
          <w:sz w:val="24"/>
          <w:szCs w:val="24"/>
          <w:highlight w:val="none"/>
        </w:rPr>
      </w:pPr>
      <w:r>
        <w:rPr>
          <w:rFonts w:hint="eastAsia" w:ascii="宋体" w:hAnsi="宋体" w:cs="宋体"/>
          <w:b/>
          <w:bCs/>
          <w:sz w:val="24"/>
          <w:szCs w:val="24"/>
          <w:highlight w:val="none"/>
        </w:rPr>
        <w:t>业绩情况一览表</w:t>
      </w:r>
    </w:p>
    <w:p w14:paraId="5423FCD8">
      <w:pPr>
        <w:pStyle w:val="65"/>
        <w:rPr>
          <w:highlight w:val="none"/>
        </w:rPr>
      </w:pPr>
    </w:p>
    <w:bookmarkEnd w:id="165"/>
    <w:bookmarkEnd w:id="166"/>
    <w:bookmarkEnd w:id="167"/>
    <w:bookmarkEnd w:id="168"/>
    <w:bookmarkEnd w:id="169"/>
    <w:bookmarkEnd w:id="170"/>
    <w:tbl>
      <w:tblPr>
        <w:tblStyle w:val="44"/>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43FF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E725D9">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404" w:type="dxa"/>
            <w:vAlign w:val="center"/>
          </w:tcPr>
          <w:p w14:paraId="3B5E78BC">
            <w:pPr>
              <w:jc w:val="center"/>
              <w:rPr>
                <w:rFonts w:ascii="宋体" w:hAnsi="宋体" w:cs="宋体"/>
                <w:b/>
                <w:bCs/>
                <w:sz w:val="24"/>
                <w:szCs w:val="24"/>
                <w:highlight w:val="none"/>
              </w:rPr>
            </w:pPr>
            <w:r>
              <w:rPr>
                <w:rFonts w:hint="eastAsia" w:ascii="宋体" w:hAnsi="宋体" w:cs="宋体"/>
                <w:b/>
                <w:bCs/>
                <w:sz w:val="24"/>
                <w:szCs w:val="24"/>
                <w:highlight w:val="none"/>
              </w:rPr>
              <w:t>项目名称</w:t>
            </w:r>
          </w:p>
        </w:tc>
        <w:tc>
          <w:tcPr>
            <w:tcW w:w="2069" w:type="dxa"/>
            <w:vAlign w:val="center"/>
          </w:tcPr>
          <w:p w14:paraId="2DA557E0">
            <w:pPr>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合同</w:t>
            </w:r>
            <w:r>
              <w:rPr>
                <w:rFonts w:hint="eastAsia" w:ascii="宋体" w:hAnsi="宋体" w:cs="宋体"/>
                <w:b/>
                <w:bCs/>
                <w:sz w:val="24"/>
                <w:szCs w:val="24"/>
                <w:highlight w:val="none"/>
                <w:lang w:val="en-US" w:eastAsia="zh-CN"/>
              </w:rPr>
              <w:t>主要内容</w:t>
            </w:r>
          </w:p>
        </w:tc>
        <w:tc>
          <w:tcPr>
            <w:tcW w:w="1244" w:type="dxa"/>
            <w:vAlign w:val="center"/>
          </w:tcPr>
          <w:p w14:paraId="38AEBFBD">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合同金额</w:t>
            </w:r>
          </w:p>
        </w:tc>
        <w:tc>
          <w:tcPr>
            <w:tcW w:w="1820" w:type="dxa"/>
            <w:vAlign w:val="center"/>
          </w:tcPr>
          <w:p w14:paraId="33575AA0">
            <w:pPr>
              <w:wordWrap w:val="0"/>
              <w:jc w:val="center"/>
              <w:rPr>
                <w:rFonts w:ascii="宋体" w:hAnsi="宋体" w:cs="宋体"/>
                <w:b/>
                <w:bCs/>
                <w:sz w:val="24"/>
                <w:szCs w:val="24"/>
                <w:highlight w:val="none"/>
              </w:rPr>
            </w:pPr>
            <w:r>
              <w:rPr>
                <w:rFonts w:hint="eastAsia" w:ascii="宋体" w:hAnsi="宋体" w:cs="宋体"/>
                <w:b/>
                <w:bCs/>
                <w:sz w:val="24"/>
                <w:szCs w:val="24"/>
                <w:highlight w:val="none"/>
              </w:rPr>
              <w:t>合同签订</w:t>
            </w:r>
          </w:p>
          <w:p w14:paraId="3687AD5E">
            <w:pPr>
              <w:jc w:val="center"/>
              <w:rPr>
                <w:rFonts w:ascii="宋体" w:hAnsi="宋体" w:cs="宋体"/>
                <w:b/>
                <w:bCs/>
                <w:sz w:val="24"/>
                <w:szCs w:val="24"/>
                <w:highlight w:val="none"/>
              </w:rPr>
            </w:pPr>
            <w:r>
              <w:rPr>
                <w:rFonts w:hint="eastAsia" w:ascii="宋体" w:hAnsi="宋体" w:cs="宋体"/>
                <w:b/>
                <w:bCs/>
                <w:sz w:val="24"/>
                <w:szCs w:val="24"/>
                <w:highlight w:val="none"/>
              </w:rPr>
              <w:t>时间</w:t>
            </w:r>
          </w:p>
        </w:tc>
        <w:tc>
          <w:tcPr>
            <w:tcW w:w="1820" w:type="dxa"/>
            <w:vAlign w:val="center"/>
          </w:tcPr>
          <w:p w14:paraId="1200A958">
            <w:pPr>
              <w:jc w:val="center"/>
              <w:rPr>
                <w:rFonts w:ascii="宋体" w:hAnsi="宋体" w:cs="宋体"/>
                <w:b/>
                <w:bCs/>
                <w:sz w:val="24"/>
                <w:szCs w:val="24"/>
                <w:highlight w:val="none"/>
              </w:rPr>
            </w:pPr>
            <w:r>
              <w:rPr>
                <w:rFonts w:hint="eastAsia" w:ascii="宋体" w:hAnsi="宋体" w:cs="宋体"/>
                <w:b/>
                <w:bCs/>
                <w:sz w:val="24"/>
                <w:szCs w:val="24"/>
                <w:highlight w:val="none"/>
              </w:rPr>
              <w:t>采购单位名称</w:t>
            </w:r>
          </w:p>
        </w:tc>
      </w:tr>
      <w:tr w14:paraId="7F38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9CAE533">
            <w:pPr>
              <w:ind w:left="120"/>
              <w:jc w:val="center"/>
              <w:rPr>
                <w:rFonts w:ascii="宋体" w:hAnsi="宋体"/>
                <w:sz w:val="24"/>
                <w:szCs w:val="24"/>
                <w:highlight w:val="none"/>
              </w:rPr>
            </w:pPr>
            <w:r>
              <w:rPr>
                <w:rFonts w:hint="eastAsia" w:ascii="宋体" w:hAnsi="宋体"/>
                <w:sz w:val="24"/>
                <w:szCs w:val="24"/>
                <w:highlight w:val="none"/>
              </w:rPr>
              <w:t>1</w:t>
            </w:r>
          </w:p>
        </w:tc>
        <w:tc>
          <w:tcPr>
            <w:tcW w:w="1404" w:type="dxa"/>
            <w:vAlign w:val="center"/>
          </w:tcPr>
          <w:p w14:paraId="2A605250">
            <w:pPr>
              <w:jc w:val="center"/>
              <w:rPr>
                <w:rFonts w:ascii="宋体" w:hAnsi="宋体"/>
                <w:sz w:val="24"/>
                <w:szCs w:val="24"/>
                <w:highlight w:val="none"/>
              </w:rPr>
            </w:pPr>
          </w:p>
        </w:tc>
        <w:tc>
          <w:tcPr>
            <w:tcW w:w="2069" w:type="dxa"/>
            <w:vAlign w:val="center"/>
          </w:tcPr>
          <w:p w14:paraId="76D556E4">
            <w:pPr>
              <w:jc w:val="center"/>
              <w:rPr>
                <w:rFonts w:ascii="宋体" w:hAnsi="宋体"/>
                <w:sz w:val="24"/>
                <w:szCs w:val="24"/>
                <w:highlight w:val="none"/>
              </w:rPr>
            </w:pPr>
          </w:p>
        </w:tc>
        <w:tc>
          <w:tcPr>
            <w:tcW w:w="1244" w:type="dxa"/>
          </w:tcPr>
          <w:p w14:paraId="36476E12">
            <w:pPr>
              <w:jc w:val="center"/>
              <w:rPr>
                <w:rFonts w:ascii="宋体" w:hAnsi="宋体"/>
                <w:sz w:val="24"/>
                <w:szCs w:val="24"/>
                <w:highlight w:val="none"/>
              </w:rPr>
            </w:pPr>
          </w:p>
        </w:tc>
        <w:tc>
          <w:tcPr>
            <w:tcW w:w="1820" w:type="dxa"/>
          </w:tcPr>
          <w:p w14:paraId="609E3F21">
            <w:pPr>
              <w:jc w:val="center"/>
              <w:rPr>
                <w:rFonts w:ascii="宋体" w:hAnsi="宋体"/>
                <w:sz w:val="24"/>
                <w:szCs w:val="24"/>
                <w:highlight w:val="none"/>
              </w:rPr>
            </w:pPr>
          </w:p>
        </w:tc>
        <w:tc>
          <w:tcPr>
            <w:tcW w:w="1820" w:type="dxa"/>
          </w:tcPr>
          <w:p w14:paraId="66707E87">
            <w:pPr>
              <w:jc w:val="center"/>
              <w:rPr>
                <w:rFonts w:ascii="宋体" w:hAnsi="宋体"/>
                <w:sz w:val="24"/>
                <w:szCs w:val="24"/>
                <w:highlight w:val="none"/>
              </w:rPr>
            </w:pPr>
          </w:p>
        </w:tc>
      </w:tr>
      <w:tr w14:paraId="544F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48C828">
            <w:pPr>
              <w:ind w:left="120"/>
              <w:jc w:val="center"/>
              <w:rPr>
                <w:rFonts w:ascii="宋体" w:hAnsi="宋体"/>
                <w:sz w:val="24"/>
                <w:szCs w:val="24"/>
                <w:highlight w:val="none"/>
              </w:rPr>
            </w:pPr>
            <w:r>
              <w:rPr>
                <w:rFonts w:hint="eastAsia" w:ascii="宋体" w:hAnsi="宋体"/>
                <w:sz w:val="24"/>
                <w:szCs w:val="24"/>
                <w:highlight w:val="none"/>
              </w:rPr>
              <w:t>2</w:t>
            </w:r>
          </w:p>
        </w:tc>
        <w:tc>
          <w:tcPr>
            <w:tcW w:w="1404" w:type="dxa"/>
            <w:vAlign w:val="center"/>
          </w:tcPr>
          <w:p w14:paraId="769F4074">
            <w:pPr>
              <w:jc w:val="center"/>
              <w:rPr>
                <w:rFonts w:ascii="宋体" w:hAnsi="宋体"/>
                <w:sz w:val="24"/>
                <w:szCs w:val="24"/>
                <w:highlight w:val="none"/>
              </w:rPr>
            </w:pPr>
          </w:p>
        </w:tc>
        <w:tc>
          <w:tcPr>
            <w:tcW w:w="2069" w:type="dxa"/>
            <w:vAlign w:val="center"/>
          </w:tcPr>
          <w:p w14:paraId="799DFD90">
            <w:pPr>
              <w:jc w:val="center"/>
              <w:rPr>
                <w:rFonts w:ascii="宋体" w:hAnsi="宋体"/>
                <w:sz w:val="24"/>
                <w:szCs w:val="24"/>
                <w:highlight w:val="none"/>
              </w:rPr>
            </w:pPr>
          </w:p>
        </w:tc>
        <w:tc>
          <w:tcPr>
            <w:tcW w:w="1244" w:type="dxa"/>
          </w:tcPr>
          <w:p w14:paraId="729E4FD4">
            <w:pPr>
              <w:jc w:val="center"/>
              <w:rPr>
                <w:rFonts w:ascii="宋体" w:hAnsi="宋体"/>
                <w:sz w:val="24"/>
                <w:szCs w:val="24"/>
                <w:highlight w:val="none"/>
              </w:rPr>
            </w:pPr>
          </w:p>
        </w:tc>
        <w:tc>
          <w:tcPr>
            <w:tcW w:w="1820" w:type="dxa"/>
          </w:tcPr>
          <w:p w14:paraId="2BB5C06C">
            <w:pPr>
              <w:jc w:val="center"/>
              <w:rPr>
                <w:rFonts w:ascii="宋体" w:hAnsi="宋体"/>
                <w:sz w:val="24"/>
                <w:szCs w:val="24"/>
                <w:highlight w:val="none"/>
              </w:rPr>
            </w:pPr>
          </w:p>
        </w:tc>
        <w:tc>
          <w:tcPr>
            <w:tcW w:w="1820" w:type="dxa"/>
          </w:tcPr>
          <w:p w14:paraId="1C988998">
            <w:pPr>
              <w:jc w:val="center"/>
              <w:rPr>
                <w:rFonts w:ascii="宋体" w:hAnsi="宋体"/>
                <w:sz w:val="24"/>
                <w:szCs w:val="24"/>
                <w:highlight w:val="none"/>
              </w:rPr>
            </w:pPr>
          </w:p>
        </w:tc>
      </w:tr>
      <w:tr w14:paraId="04C5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424F8DA">
            <w:pPr>
              <w:ind w:left="120"/>
              <w:jc w:val="center"/>
              <w:rPr>
                <w:rFonts w:ascii="宋体" w:hAnsi="宋体"/>
                <w:sz w:val="24"/>
                <w:szCs w:val="24"/>
                <w:highlight w:val="none"/>
              </w:rPr>
            </w:pPr>
            <w:r>
              <w:rPr>
                <w:rFonts w:hint="eastAsia" w:ascii="宋体" w:hAnsi="宋体"/>
                <w:sz w:val="24"/>
                <w:szCs w:val="24"/>
                <w:highlight w:val="none"/>
              </w:rPr>
              <w:t>3</w:t>
            </w:r>
          </w:p>
        </w:tc>
        <w:tc>
          <w:tcPr>
            <w:tcW w:w="1404" w:type="dxa"/>
            <w:vAlign w:val="center"/>
          </w:tcPr>
          <w:p w14:paraId="73A0F363">
            <w:pPr>
              <w:jc w:val="center"/>
              <w:rPr>
                <w:rFonts w:ascii="宋体" w:hAnsi="宋体"/>
                <w:sz w:val="24"/>
                <w:szCs w:val="24"/>
                <w:highlight w:val="none"/>
              </w:rPr>
            </w:pPr>
          </w:p>
        </w:tc>
        <w:tc>
          <w:tcPr>
            <w:tcW w:w="2069" w:type="dxa"/>
            <w:vAlign w:val="center"/>
          </w:tcPr>
          <w:p w14:paraId="38BF0859">
            <w:pPr>
              <w:jc w:val="center"/>
              <w:rPr>
                <w:rFonts w:ascii="宋体" w:hAnsi="宋体"/>
                <w:sz w:val="24"/>
                <w:szCs w:val="24"/>
                <w:highlight w:val="none"/>
              </w:rPr>
            </w:pPr>
          </w:p>
        </w:tc>
        <w:tc>
          <w:tcPr>
            <w:tcW w:w="1244" w:type="dxa"/>
          </w:tcPr>
          <w:p w14:paraId="2567254F">
            <w:pPr>
              <w:jc w:val="center"/>
              <w:rPr>
                <w:rFonts w:ascii="宋体" w:hAnsi="宋体"/>
                <w:sz w:val="24"/>
                <w:szCs w:val="24"/>
                <w:highlight w:val="none"/>
              </w:rPr>
            </w:pPr>
          </w:p>
        </w:tc>
        <w:tc>
          <w:tcPr>
            <w:tcW w:w="1820" w:type="dxa"/>
          </w:tcPr>
          <w:p w14:paraId="5F37FF8F">
            <w:pPr>
              <w:jc w:val="center"/>
              <w:rPr>
                <w:rFonts w:ascii="宋体" w:hAnsi="宋体"/>
                <w:sz w:val="24"/>
                <w:szCs w:val="24"/>
                <w:highlight w:val="none"/>
              </w:rPr>
            </w:pPr>
          </w:p>
        </w:tc>
        <w:tc>
          <w:tcPr>
            <w:tcW w:w="1820" w:type="dxa"/>
          </w:tcPr>
          <w:p w14:paraId="55870B28">
            <w:pPr>
              <w:jc w:val="center"/>
              <w:rPr>
                <w:rFonts w:ascii="宋体" w:hAnsi="宋体"/>
                <w:sz w:val="24"/>
                <w:szCs w:val="24"/>
                <w:highlight w:val="none"/>
              </w:rPr>
            </w:pPr>
          </w:p>
        </w:tc>
      </w:tr>
      <w:tr w14:paraId="6A82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2B35E7">
            <w:pPr>
              <w:ind w:left="120"/>
              <w:jc w:val="center"/>
              <w:rPr>
                <w:rFonts w:ascii="宋体" w:hAnsi="宋体"/>
                <w:sz w:val="24"/>
                <w:szCs w:val="24"/>
                <w:highlight w:val="none"/>
              </w:rPr>
            </w:pPr>
            <w:r>
              <w:rPr>
                <w:rFonts w:hint="eastAsia" w:ascii="宋体" w:hAnsi="宋体"/>
                <w:sz w:val="24"/>
                <w:szCs w:val="24"/>
                <w:highlight w:val="none"/>
              </w:rPr>
              <w:t>4</w:t>
            </w:r>
          </w:p>
        </w:tc>
        <w:tc>
          <w:tcPr>
            <w:tcW w:w="1404" w:type="dxa"/>
            <w:vAlign w:val="center"/>
          </w:tcPr>
          <w:p w14:paraId="7456A8DB">
            <w:pPr>
              <w:jc w:val="center"/>
              <w:rPr>
                <w:rFonts w:ascii="宋体" w:hAnsi="宋体"/>
                <w:sz w:val="24"/>
                <w:szCs w:val="24"/>
                <w:highlight w:val="none"/>
              </w:rPr>
            </w:pPr>
          </w:p>
        </w:tc>
        <w:tc>
          <w:tcPr>
            <w:tcW w:w="2069" w:type="dxa"/>
            <w:vAlign w:val="center"/>
          </w:tcPr>
          <w:p w14:paraId="55BE2DD6">
            <w:pPr>
              <w:jc w:val="center"/>
              <w:rPr>
                <w:rFonts w:ascii="宋体" w:hAnsi="宋体"/>
                <w:sz w:val="24"/>
                <w:szCs w:val="24"/>
                <w:highlight w:val="none"/>
              </w:rPr>
            </w:pPr>
          </w:p>
        </w:tc>
        <w:tc>
          <w:tcPr>
            <w:tcW w:w="1244" w:type="dxa"/>
          </w:tcPr>
          <w:p w14:paraId="24087326">
            <w:pPr>
              <w:jc w:val="center"/>
              <w:rPr>
                <w:rFonts w:ascii="宋体" w:hAnsi="宋体"/>
                <w:sz w:val="24"/>
                <w:szCs w:val="24"/>
                <w:highlight w:val="none"/>
              </w:rPr>
            </w:pPr>
          </w:p>
        </w:tc>
        <w:tc>
          <w:tcPr>
            <w:tcW w:w="1820" w:type="dxa"/>
          </w:tcPr>
          <w:p w14:paraId="03A06966">
            <w:pPr>
              <w:jc w:val="center"/>
              <w:rPr>
                <w:rFonts w:ascii="宋体" w:hAnsi="宋体"/>
                <w:sz w:val="24"/>
                <w:szCs w:val="24"/>
                <w:highlight w:val="none"/>
              </w:rPr>
            </w:pPr>
          </w:p>
        </w:tc>
        <w:tc>
          <w:tcPr>
            <w:tcW w:w="1820" w:type="dxa"/>
          </w:tcPr>
          <w:p w14:paraId="6216AA05">
            <w:pPr>
              <w:jc w:val="center"/>
              <w:rPr>
                <w:rFonts w:ascii="宋体" w:hAnsi="宋体"/>
                <w:sz w:val="24"/>
                <w:szCs w:val="24"/>
                <w:highlight w:val="none"/>
              </w:rPr>
            </w:pPr>
          </w:p>
        </w:tc>
      </w:tr>
      <w:tr w14:paraId="1521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E9CFDA0">
            <w:pPr>
              <w:ind w:left="120"/>
              <w:jc w:val="center"/>
              <w:rPr>
                <w:rFonts w:ascii="宋体" w:hAnsi="宋体"/>
                <w:sz w:val="24"/>
                <w:szCs w:val="24"/>
                <w:highlight w:val="none"/>
              </w:rPr>
            </w:pPr>
            <w:r>
              <w:rPr>
                <w:rFonts w:hint="eastAsia" w:ascii="宋体" w:hAnsi="宋体"/>
                <w:sz w:val="24"/>
                <w:szCs w:val="24"/>
                <w:highlight w:val="none"/>
              </w:rPr>
              <w:t>5</w:t>
            </w:r>
          </w:p>
        </w:tc>
        <w:tc>
          <w:tcPr>
            <w:tcW w:w="1404" w:type="dxa"/>
            <w:vAlign w:val="center"/>
          </w:tcPr>
          <w:p w14:paraId="353A9588">
            <w:pPr>
              <w:jc w:val="center"/>
              <w:rPr>
                <w:rFonts w:ascii="宋体" w:hAnsi="宋体"/>
                <w:sz w:val="24"/>
                <w:szCs w:val="24"/>
                <w:highlight w:val="none"/>
              </w:rPr>
            </w:pPr>
          </w:p>
        </w:tc>
        <w:tc>
          <w:tcPr>
            <w:tcW w:w="2069" w:type="dxa"/>
            <w:vAlign w:val="center"/>
          </w:tcPr>
          <w:p w14:paraId="5C470B4F">
            <w:pPr>
              <w:jc w:val="center"/>
              <w:rPr>
                <w:rFonts w:ascii="宋体" w:hAnsi="宋体"/>
                <w:sz w:val="24"/>
                <w:szCs w:val="24"/>
                <w:highlight w:val="none"/>
              </w:rPr>
            </w:pPr>
          </w:p>
        </w:tc>
        <w:tc>
          <w:tcPr>
            <w:tcW w:w="1244" w:type="dxa"/>
          </w:tcPr>
          <w:p w14:paraId="23FA4765">
            <w:pPr>
              <w:jc w:val="center"/>
              <w:rPr>
                <w:rFonts w:ascii="宋体" w:hAnsi="宋体"/>
                <w:sz w:val="24"/>
                <w:szCs w:val="24"/>
                <w:highlight w:val="none"/>
              </w:rPr>
            </w:pPr>
          </w:p>
        </w:tc>
        <w:tc>
          <w:tcPr>
            <w:tcW w:w="1820" w:type="dxa"/>
          </w:tcPr>
          <w:p w14:paraId="2BC5EB1E">
            <w:pPr>
              <w:jc w:val="center"/>
              <w:rPr>
                <w:rFonts w:ascii="宋体" w:hAnsi="宋体"/>
                <w:sz w:val="24"/>
                <w:szCs w:val="24"/>
                <w:highlight w:val="none"/>
              </w:rPr>
            </w:pPr>
          </w:p>
        </w:tc>
        <w:tc>
          <w:tcPr>
            <w:tcW w:w="1820" w:type="dxa"/>
          </w:tcPr>
          <w:p w14:paraId="0BF462CC">
            <w:pPr>
              <w:jc w:val="center"/>
              <w:rPr>
                <w:rFonts w:ascii="宋体" w:hAnsi="宋体"/>
                <w:sz w:val="24"/>
                <w:szCs w:val="24"/>
                <w:highlight w:val="none"/>
              </w:rPr>
            </w:pPr>
          </w:p>
        </w:tc>
      </w:tr>
      <w:tr w14:paraId="4F26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30BC3730">
            <w:pPr>
              <w:jc w:val="center"/>
              <w:rPr>
                <w:rFonts w:ascii="宋体" w:hAnsi="宋体"/>
                <w:sz w:val="24"/>
                <w:szCs w:val="24"/>
                <w:highlight w:val="none"/>
              </w:rPr>
            </w:pPr>
            <w:r>
              <w:rPr>
                <w:rFonts w:hint="eastAsia" w:ascii="宋体" w:hAnsi="宋体"/>
                <w:sz w:val="24"/>
                <w:szCs w:val="24"/>
                <w:highlight w:val="none"/>
              </w:rPr>
              <w:t>…</w:t>
            </w:r>
          </w:p>
        </w:tc>
        <w:tc>
          <w:tcPr>
            <w:tcW w:w="1404" w:type="dxa"/>
            <w:vAlign w:val="center"/>
          </w:tcPr>
          <w:p w14:paraId="55AAB3BF">
            <w:pPr>
              <w:jc w:val="center"/>
              <w:rPr>
                <w:rFonts w:ascii="宋体" w:hAnsi="宋体"/>
                <w:sz w:val="24"/>
                <w:szCs w:val="24"/>
                <w:highlight w:val="none"/>
              </w:rPr>
            </w:pPr>
          </w:p>
        </w:tc>
        <w:tc>
          <w:tcPr>
            <w:tcW w:w="2069" w:type="dxa"/>
            <w:vAlign w:val="center"/>
          </w:tcPr>
          <w:p w14:paraId="72DE7AF8">
            <w:pPr>
              <w:jc w:val="center"/>
              <w:rPr>
                <w:rFonts w:ascii="宋体" w:hAnsi="宋体"/>
                <w:sz w:val="24"/>
                <w:szCs w:val="24"/>
                <w:highlight w:val="none"/>
              </w:rPr>
            </w:pPr>
          </w:p>
        </w:tc>
        <w:tc>
          <w:tcPr>
            <w:tcW w:w="1244" w:type="dxa"/>
          </w:tcPr>
          <w:p w14:paraId="34290929">
            <w:pPr>
              <w:jc w:val="center"/>
              <w:rPr>
                <w:rFonts w:ascii="宋体" w:hAnsi="宋体"/>
                <w:sz w:val="24"/>
                <w:szCs w:val="24"/>
                <w:highlight w:val="none"/>
              </w:rPr>
            </w:pPr>
          </w:p>
        </w:tc>
        <w:tc>
          <w:tcPr>
            <w:tcW w:w="1820" w:type="dxa"/>
          </w:tcPr>
          <w:p w14:paraId="1E444DB1">
            <w:pPr>
              <w:jc w:val="center"/>
              <w:rPr>
                <w:rFonts w:ascii="宋体" w:hAnsi="宋体"/>
                <w:sz w:val="24"/>
                <w:szCs w:val="24"/>
                <w:highlight w:val="none"/>
              </w:rPr>
            </w:pPr>
          </w:p>
        </w:tc>
        <w:tc>
          <w:tcPr>
            <w:tcW w:w="1820" w:type="dxa"/>
          </w:tcPr>
          <w:p w14:paraId="1D4FE5F9">
            <w:pPr>
              <w:jc w:val="center"/>
              <w:rPr>
                <w:rFonts w:ascii="宋体" w:hAnsi="宋体"/>
                <w:sz w:val="24"/>
                <w:szCs w:val="24"/>
                <w:highlight w:val="none"/>
              </w:rPr>
            </w:pPr>
          </w:p>
        </w:tc>
      </w:tr>
    </w:tbl>
    <w:p w14:paraId="3EEA0B7E">
      <w:pPr>
        <w:tabs>
          <w:tab w:val="left" w:pos="8782"/>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注：1.投标人应如实列出以上情况，如有隐瞒，一经查实将导致其报价申请被拒绝。</w:t>
      </w:r>
    </w:p>
    <w:p w14:paraId="082CD8CC">
      <w:pPr>
        <w:tabs>
          <w:tab w:val="left" w:pos="8782"/>
        </w:tabs>
        <w:snapToGrid w:val="0"/>
        <w:spacing w:line="360" w:lineRule="auto"/>
        <w:ind w:firstLine="840" w:firstLineChars="350"/>
        <w:rPr>
          <w:rFonts w:ascii="宋体" w:hAnsi="宋体"/>
          <w:sz w:val="24"/>
          <w:szCs w:val="24"/>
          <w:highlight w:val="none"/>
        </w:rPr>
      </w:pPr>
      <w:r>
        <w:rPr>
          <w:rFonts w:hint="eastAsia" w:ascii="宋体" w:hAnsi="宋体"/>
          <w:sz w:val="24"/>
          <w:szCs w:val="24"/>
          <w:highlight w:val="none"/>
        </w:rPr>
        <w:t xml:space="preserve">2.投标人应提供双方签订的合同（合同复印件加盖公章附在投标文件中）。 </w:t>
      </w:r>
    </w:p>
    <w:p w14:paraId="5EA38083">
      <w:pPr>
        <w:tabs>
          <w:tab w:val="left" w:pos="8782"/>
        </w:tabs>
        <w:snapToGrid w:val="0"/>
        <w:spacing w:line="360" w:lineRule="auto"/>
        <w:ind w:firstLine="840" w:firstLineChars="350"/>
        <w:rPr>
          <w:rFonts w:ascii="宋体" w:hAnsi="宋体"/>
          <w:sz w:val="24"/>
          <w:szCs w:val="24"/>
          <w:highlight w:val="none"/>
        </w:rPr>
      </w:pPr>
    </w:p>
    <w:p w14:paraId="615ACDEA">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2ABBF8B">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41016F5">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A2859B6">
      <w:pPr>
        <w:spacing w:line="360" w:lineRule="auto"/>
        <w:ind w:firstLine="2520" w:firstLineChars="1050"/>
        <w:rPr>
          <w:rFonts w:ascii="宋体" w:hAnsi="宋体" w:cs="仿宋_GB2312"/>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71"/>
    <w:p w14:paraId="61AAA77A">
      <w:pPr>
        <w:pStyle w:val="3"/>
        <w:ind w:firstLine="482" w:firstLineChars="150"/>
        <w:jc w:val="center"/>
        <w:rPr>
          <w:highlight w:val="none"/>
        </w:rPr>
      </w:pPr>
      <w:bookmarkStart w:id="177" w:name="_Toc26541345"/>
      <w:bookmarkStart w:id="178" w:name="_Toc23258634"/>
      <w:bookmarkStart w:id="179" w:name="_Toc1106"/>
      <w:bookmarkStart w:id="180" w:name="_Toc528240840"/>
      <w:r>
        <w:rPr>
          <w:rFonts w:hint="eastAsia"/>
          <w:highlight w:val="none"/>
        </w:rPr>
        <w:t>六 、采购服务机构拒绝政府采购领域商业贿赂承诺书</w:t>
      </w:r>
      <w:bookmarkEnd w:id="177"/>
      <w:bookmarkEnd w:id="178"/>
      <w:bookmarkEnd w:id="179"/>
      <w:bookmarkEnd w:id="180"/>
    </w:p>
    <w:p w14:paraId="039D4D51">
      <w:pPr>
        <w:widowControl/>
        <w:spacing w:line="480" w:lineRule="exact"/>
        <w:jc w:val="center"/>
        <w:rPr>
          <w:rFonts w:ascii="宋体" w:hAnsi="宋体" w:cs="仿宋"/>
          <w:bCs/>
          <w:kern w:val="0"/>
          <w:sz w:val="24"/>
          <w:szCs w:val="28"/>
          <w:highlight w:val="none"/>
        </w:rPr>
      </w:pPr>
      <w:r>
        <w:rPr>
          <w:rFonts w:hint="eastAsia" w:ascii="宋体" w:hAnsi="宋体" w:cs="仿宋"/>
          <w:bCs/>
          <w:kern w:val="0"/>
          <w:sz w:val="24"/>
          <w:szCs w:val="28"/>
          <w:highlight w:val="none"/>
        </w:rPr>
        <w:t>政府采购供应商拒绝政府采购领域商业贿赂承诺书</w:t>
      </w:r>
    </w:p>
    <w:p w14:paraId="63EB27F9">
      <w:pPr>
        <w:widowControl/>
        <w:spacing w:line="240" w:lineRule="exact"/>
        <w:ind w:firstLine="420" w:firstLineChars="200"/>
        <w:jc w:val="left"/>
        <w:rPr>
          <w:rFonts w:ascii="宋体" w:hAnsi="宋体" w:cs="仿宋"/>
          <w:bCs/>
          <w:kern w:val="0"/>
          <w:szCs w:val="21"/>
          <w:highlight w:val="none"/>
        </w:rPr>
      </w:pPr>
    </w:p>
    <w:p w14:paraId="0EE0A909">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 xml:space="preserve">为响应党中央、国务院关于治理政府采购领域商业贿赂行为的号召，我单位在此庄严承诺： </w:t>
      </w:r>
    </w:p>
    <w:p w14:paraId="24785BF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1</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在参与政府采购活动中遵纪守法、诚信经营、公平竞标。 </w:t>
      </w:r>
    </w:p>
    <w:p w14:paraId="15C61D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2</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不向采购人、招标代理机构和政府采购评审专家进行任何形式的商业贿赂以谋取交易机会。 </w:t>
      </w:r>
    </w:p>
    <w:p w14:paraId="65D9421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3</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不向政府采购招标代理机构和采购人提供虚假</w:t>
      </w:r>
      <w:r>
        <w:rPr>
          <w:rFonts w:hint="eastAsia" w:ascii="宋体" w:hAnsi="宋体" w:cs="仿宋"/>
          <w:bCs/>
          <w:kern w:val="0"/>
          <w:sz w:val="24"/>
          <w:szCs w:val="28"/>
          <w:highlight w:val="none"/>
          <w:lang w:val="en-US" w:eastAsia="zh-CN"/>
        </w:rPr>
        <w:t>资格</w:t>
      </w:r>
      <w:r>
        <w:rPr>
          <w:rFonts w:hint="eastAsia" w:ascii="宋体" w:hAnsi="宋体" w:cs="仿宋"/>
          <w:bCs/>
          <w:kern w:val="0"/>
          <w:sz w:val="24"/>
          <w:szCs w:val="28"/>
          <w:highlight w:val="none"/>
        </w:rPr>
        <w:t xml:space="preserve">文件或采用虚假应标方式参与政府采购市场竞争并谋取成交、成交。 </w:t>
      </w:r>
    </w:p>
    <w:p w14:paraId="4CC4DA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4</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不采取“围标、陪标”等商业欺诈手段获得政府采购定单。 </w:t>
      </w:r>
    </w:p>
    <w:p w14:paraId="2E9E274F">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5</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不采取不正当手段低毁、排挤其他供应商。 </w:t>
      </w:r>
    </w:p>
    <w:p w14:paraId="17696336">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6</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lang w:eastAsia="zh-CN"/>
        </w:rPr>
        <w:t>不再提供</w:t>
      </w:r>
      <w:r>
        <w:rPr>
          <w:rFonts w:hint="eastAsia" w:ascii="宋体" w:hAnsi="宋体" w:cs="仿宋"/>
          <w:bCs/>
          <w:kern w:val="0"/>
          <w:sz w:val="24"/>
          <w:szCs w:val="28"/>
          <w:highlight w:val="none"/>
        </w:rPr>
        <w:t xml:space="preserve">商品和服务时“偷梁换柱、以次充好”损害采购人的合法权益。 </w:t>
      </w:r>
    </w:p>
    <w:p w14:paraId="38DB9891">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7</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不与采购人、招标代理机构政府采购评审专家</w:t>
      </w:r>
      <w:r>
        <w:rPr>
          <w:rFonts w:hint="eastAsia" w:ascii="宋体" w:hAnsi="宋体" w:cs="仿宋"/>
          <w:bCs/>
          <w:kern w:val="0"/>
          <w:sz w:val="24"/>
          <w:szCs w:val="28"/>
          <w:highlight w:val="none"/>
          <w:lang w:eastAsia="zh-CN"/>
        </w:rPr>
        <w:t>或其他</w:t>
      </w:r>
      <w:r>
        <w:rPr>
          <w:rFonts w:hint="eastAsia" w:ascii="宋体" w:hAnsi="宋体" w:cs="仿宋"/>
          <w:bCs/>
          <w:kern w:val="0"/>
          <w:sz w:val="24"/>
          <w:szCs w:val="28"/>
          <w:highlight w:val="none"/>
        </w:rPr>
        <w:t xml:space="preserve">供应商恶意串通，进行质疑和投诉，维护政府采购市场秩序。 </w:t>
      </w:r>
    </w:p>
    <w:p w14:paraId="225F4B9E">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8</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尊重和接受政府采购监督管理部门的监督和政府招标代理机构招标要求，承担因违约行为给采购人造成的损失。 </w:t>
      </w:r>
    </w:p>
    <w:p w14:paraId="7D153A3F">
      <w:pPr>
        <w:widowControl/>
        <w:spacing w:line="440" w:lineRule="exact"/>
        <w:ind w:firstLine="480" w:firstLineChars="200"/>
        <w:rPr>
          <w:rFonts w:ascii="宋体" w:hAnsi="宋体" w:cs="仿宋"/>
          <w:bCs/>
          <w:kern w:val="0"/>
          <w:sz w:val="22"/>
          <w:szCs w:val="24"/>
          <w:highlight w:val="none"/>
        </w:rPr>
      </w:pPr>
      <w:r>
        <w:rPr>
          <w:rFonts w:hint="eastAsia" w:ascii="宋体" w:hAnsi="宋体" w:cs="仿宋"/>
          <w:bCs/>
          <w:kern w:val="0"/>
          <w:sz w:val="24"/>
          <w:szCs w:val="28"/>
          <w:highlight w:val="none"/>
        </w:rPr>
        <w:t>9</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不发生其他有悖于政府采购公开、公平、公正和诚信原则的行为。 </w:t>
      </w:r>
    </w:p>
    <w:p w14:paraId="2BE4020E">
      <w:pPr>
        <w:widowControl/>
        <w:spacing w:line="440" w:lineRule="exact"/>
        <w:ind w:firstLine="960" w:firstLineChars="400"/>
        <w:rPr>
          <w:rFonts w:ascii="宋体" w:hAnsi="宋体" w:cs="仿宋"/>
          <w:bCs/>
          <w:kern w:val="0"/>
          <w:sz w:val="24"/>
          <w:szCs w:val="28"/>
          <w:highlight w:val="none"/>
        </w:rPr>
      </w:pPr>
    </w:p>
    <w:p w14:paraId="7F2844B5">
      <w:pPr>
        <w:widowControl/>
        <w:spacing w:line="440" w:lineRule="exact"/>
        <w:ind w:firstLine="960" w:firstLineChars="400"/>
        <w:rPr>
          <w:rFonts w:ascii="宋体" w:hAnsi="宋体" w:cs="仿宋"/>
          <w:bCs/>
          <w:kern w:val="0"/>
          <w:sz w:val="24"/>
          <w:szCs w:val="28"/>
          <w:highlight w:val="none"/>
        </w:rPr>
      </w:pPr>
      <w:r>
        <w:rPr>
          <w:rFonts w:hint="eastAsia" w:ascii="宋体" w:hAnsi="宋体" w:cs="仿宋"/>
          <w:bCs/>
          <w:kern w:val="0"/>
          <w:sz w:val="24"/>
          <w:szCs w:val="28"/>
          <w:highlight w:val="none"/>
        </w:rPr>
        <w:t>承诺单位：</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（盖章）</w:t>
      </w:r>
    </w:p>
    <w:p w14:paraId="259D385A">
      <w:pPr>
        <w:widowControl/>
        <w:spacing w:line="44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全权代表：</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（签字） </w:t>
      </w:r>
    </w:p>
    <w:p w14:paraId="6E6C289D">
      <w:pPr>
        <w:widowControl/>
        <w:spacing w:line="520" w:lineRule="exact"/>
        <w:ind w:firstLine="480" w:firstLineChars="200"/>
        <w:rPr>
          <w:rFonts w:ascii="宋体" w:hAnsi="宋体" w:cs="仿宋"/>
          <w:bCs/>
          <w:kern w:val="0"/>
          <w:sz w:val="24"/>
          <w:szCs w:val="28"/>
          <w:highlight w:val="none"/>
          <w:u w:val="single"/>
        </w:rPr>
      </w:pPr>
      <w:r>
        <w:rPr>
          <w:rFonts w:hint="eastAsia" w:ascii="宋体" w:hAnsi="宋体" w:cs="仿宋"/>
          <w:bCs/>
          <w:kern w:val="0"/>
          <w:sz w:val="24"/>
          <w:szCs w:val="28"/>
          <w:highlight w:val="none"/>
        </w:rPr>
        <w:t xml:space="preserve">    地　　址：</w:t>
      </w:r>
      <w:r>
        <w:rPr>
          <w:rFonts w:hint="eastAsia" w:ascii="宋体" w:hAnsi="宋体" w:cs="仿宋"/>
          <w:bCs/>
          <w:kern w:val="0"/>
          <w:sz w:val="24"/>
          <w:szCs w:val="28"/>
          <w:highlight w:val="none"/>
          <w:u w:val="single"/>
        </w:rPr>
        <w:t xml:space="preserve">                              </w:t>
      </w:r>
    </w:p>
    <w:p w14:paraId="01F44D42">
      <w:pPr>
        <w:widowControl/>
        <w:spacing w:line="52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xml:space="preserve">    邮    编：</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w:t>
      </w:r>
    </w:p>
    <w:p w14:paraId="59B9A2C8">
      <w:pPr>
        <w:widowControl/>
        <w:spacing w:line="520" w:lineRule="exact"/>
        <w:ind w:firstLine="720" w:firstLineChars="300"/>
        <w:rPr>
          <w:rFonts w:ascii="宋体" w:hAnsi="宋体" w:cs="仿宋"/>
          <w:bCs/>
          <w:kern w:val="0"/>
          <w:sz w:val="24"/>
          <w:szCs w:val="28"/>
          <w:highlight w:val="none"/>
        </w:rPr>
      </w:pPr>
      <w:r>
        <w:rPr>
          <w:rFonts w:hint="eastAsia" w:ascii="宋体" w:hAnsi="宋体" w:cs="仿宋"/>
          <w:bCs/>
          <w:kern w:val="0"/>
          <w:sz w:val="24"/>
          <w:szCs w:val="28"/>
          <w:highlight w:val="none"/>
        </w:rPr>
        <w:t> 电　　话：</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　　 </w:t>
      </w:r>
    </w:p>
    <w:p w14:paraId="24535FB8">
      <w:pPr>
        <w:widowControl/>
        <w:spacing w:line="340" w:lineRule="exact"/>
        <w:rPr>
          <w:rFonts w:ascii="宋体" w:hAnsi="宋体" w:cs="仿宋"/>
          <w:bCs/>
          <w:kern w:val="0"/>
          <w:sz w:val="24"/>
          <w:szCs w:val="28"/>
          <w:highlight w:val="none"/>
        </w:rPr>
      </w:pPr>
    </w:p>
    <w:p w14:paraId="33421093">
      <w:pPr>
        <w:widowControl/>
        <w:spacing w:line="340" w:lineRule="exact"/>
        <w:ind w:firstLine="4920" w:firstLineChars="2050"/>
        <w:rPr>
          <w:rFonts w:ascii="宋体" w:hAnsi="宋体" w:cs="仿宋"/>
          <w:bCs/>
          <w:sz w:val="36"/>
          <w:szCs w:val="40"/>
          <w:highlight w:val="none"/>
        </w:rPr>
      </w:pPr>
      <w:r>
        <w:rPr>
          <w:rFonts w:hint="eastAsia" w:ascii="宋体" w:hAnsi="宋体" w:cs="仿宋"/>
          <w:bCs/>
          <w:kern w:val="0"/>
          <w:sz w:val="24"/>
          <w:szCs w:val="28"/>
          <w:highlight w:val="none"/>
        </w:rPr>
        <w:t>年　　月　　日</w:t>
      </w:r>
    </w:p>
    <w:p w14:paraId="32741132">
      <w:pPr>
        <w:widowControl/>
        <w:spacing w:line="640" w:lineRule="exact"/>
        <w:jc w:val="center"/>
        <w:rPr>
          <w:rFonts w:ascii="宋体" w:hAnsi="宋体" w:cs="仿宋"/>
          <w:bCs/>
          <w:sz w:val="36"/>
          <w:szCs w:val="40"/>
          <w:highlight w:val="none"/>
        </w:rPr>
      </w:pPr>
    </w:p>
    <w:p w14:paraId="2D9C7D8A">
      <w:pPr>
        <w:widowControl/>
        <w:tabs>
          <w:tab w:val="left" w:pos="3930"/>
        </w:tabs>
        <w:spacing w:line="400" w:lineRule="exact"/>
        <w:jc w:val="left"/>
        <w:rPr>
          <w:rFonts w:ascii="宋体" w:hAnsi="宋体" w:cs="仿宋"/>
          <w:bCs/>
          <w:sz w:val="40"/>
          <w:szCs w:val="40"/>
          <w:highlight w:val="none"/>
        </w:rPr>
      </w:pPr>
      <w:r>
        <w:rPr>
          <w:rFonts w:hint="eastAsia" w:ascii="宋体" w:hAnsi="宋体" w:cs="仿宋"/>
          <w:bCs/>
          <w:sz w:val="40"/>
          <w:szCs w:val="40"/>
          <w:highlight w:val="none"/>
        </w:rPr>
        <w:tab/>
      </w:r>
    </w:p>
    <w:p w14:paraId="6BCB999D">
      <w:pPr>
        <w:widowControl/>
        <w:shd w:val="clear" w:color="auto" w:fill="FFFFFF"/>
        <w:spacing w:before="100" w:beforeAutospacing="1" w:after="100" w:afterAutospacing="1" w:line="360" w:lineRule="atLeast"/>
        <w:jc w:val="center"/>
        <w:rPr>
          <w:rFonts w:ascii="宋体" w:hAnsi="宋体" w:cs="仿宋"/>
          <w:bCs/>
          <w:color w:val="000000"/>
          <w:kern w:val="0"/>
          <w:sz w:val="32"/>
          <w:szCs w:val="32"/>
          <w:highlight w:val="none"/>
        </w:rPr>
      </w:pPr>
    </w:p>
    <w:p w14:paraId="1D9DF169">
      <w:pPr>
        <w:widowControl/>
        <w:shd w:val="clear" w:color="auto" w:fill="FFFFFF"/>
        <w:spacing w:before="100" w:beforeAutospacing="1" w:after="100" w:afterAutospacing="1" w:line="400" w:lineRule="exact"/>
        <w:jc w:val="center"/>
        <w:rPr>
          <w:rFonts w:hint="eastAsia" w:ascii="宋体" w:hAnsi="宋体" w:cs="仿宋"/>
          <w:bCs/>
          <w:color w:val="000000"/>
          <w:kern w:val="0"/>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3F14F6D0">
      <w:pPr>
        <w:widowControl/>
        <w:shd w:val="clear" w:color="auto" w:fill="FFFFFF"/>
        <w:spacing w:before="100" w:beforeAutospacing="1" w:after="100" w:afterAutospacing="1" w:line="400" w:lineRule="exact"/>
        <w:jc w:val="center"/>
        <w:rPr>
          <w:rFonts w:ascii="宋体" w:hAnsi="宋体" w:cs="仿宋"/>
          <w:bCs/>
          <w:color w:val="000000"/>
          <w:kern w:val="0"/>
          <w:sz w:val="24"/>
          <w:szCs w:val="24"/>
          <w:highlight w:val="none"/>
        </w:rPr>
      </w:pPr>
      <w:r>
        <w:rPr>
          <w:rFonts w:hint="eastAsia" w:ascii="宋体" w:hAnsi="宋体" w:cs="仿宋"/>
          <w:bCs/>
          <w:color w:val="000000"/>
          <w:kern w:val="0"/>
          <w:sz w:val="32"/>
          <w:szCs w:val="32"/>
          <w:highlight w:val="none"/>
        </w:rPr>
        <w:t>承诺书Ⅱ</w:t>
      </w:r>
    </w:p>
    <w:p w14:paraId="66F5552E">
      <w:pPr>
        <w:widowControl/>
        <w:spacing w:line="440" w:lineRule="exact"/>
        <w:rPr>
          <w:rFonts w:ascii="宋体" w:hAnsi="宋体"/>
          <w:sz w:val="24"/>
          <w:szCs w:val="28"/>
          <w:highlight w:val="none"/>
        </w:rPr>
      </w:pPr>
      <w:r>
        <w:rPr>
          <w:rFonts w:hint="eastAsia" w:ascii="宋体" w:hAnsi="宋体"/>
          <w:sz w:val="24"/>
          <w:szCs w:val="28"/>
          <w:highlight w:val="none"/>
        </w:rPr>
        <w:t>致：安康尚昊招标代理有限公司</w:t>
      </w:r>
    </w:p>
    <w:p w14:paraId="140344FC">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为了诚实、客观、有序地参与政府采购活动，愿就以下内容作出承诺：</w:t>
      </w:r>
    </w:p>
    <w:p w14:paraId="3702564B">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w:t>
      </w:r>
      <w:r>
        <w:rPr>
          <w:rFonts w:hint="eastAsia" w:ascii="宋体" w:hAnsi="宋体"/>
          <w:sz w:val="24"/>
          <w:szCs w:val="28"/>
          <w:highlight w:val="none"/>
        </w:rPr>
        <w:t>参加采购代理机构组织的政府采购活动时，严格按照招标文件的规定和要求提供所需的相关材料，并对所提供的各类资料的真实性负责，不虚假应标，不虚列业绩。</w:t>
      </w:r>
    </w:p>
    <w:p w14:paraId="5644432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2</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尊重参与政府采购活动各相关方的合法行为，接受政府采购活动依法形成的意见、结果。</w:t>
      </w:r>
    </w:p>
    <w:p w14:paraId="5877CB0F">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3</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依法参加政府采购活动，不围标、串标，维护市场秩序。近三年因项目质量问题的不法行为记录为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4696C42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4</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作为参加贵公司组织的采购项目的响应单位，本公司承诺：在参加本项目招标之前不存在被依法禁止经营行为、财产被接管或冻结的情况，如有隐瞒实情，愿承担一切责任及后果。</w:t>
      </w:r>
    </w:p>
    <w:p w14:paraId="2E33A918">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5</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近三年受到有关行政主管部门的行政处理、不良行为记录为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25042BD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6</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参加本次招标提交的所有</w:t>
      </w:r>
      <w:r>
        <w:rPr>
          <w:rFonts w:hint="eastAsia" w:ascii="宋体" w:hAnsi="宋体" w:cs="仿宋"/>
          <w:bCs/>
          <w:color w:val="000000"/>
          <w:kern w:val="0"/>
          <w:sz w:val="24"/>
          <w:szCs w:val="28"/>
          <w:highlight w:val="none"/>
          <w:lang w:val="en-US" w:eastAsia="zh-CN"/>
        </w:rPr>
        <w:t>资格</w:t>
      </w:r>
      <w:r>
        <w:rPr>
          <w:rFonts w:hint="eastAsia" w:ascii="宋体" w:hAnsi="宋体" w:cs="仿宋"/>
          <w:bCs/>
          <w:color w:val="000000"/>
          <w:kern w:val="0"/>
          <w:sz w:val="24"/>
          <w:szCs w:val="28"/>
          <w:highlight w:val="none"/>
        </w:rPr>
        <w:t>证明文件及业绩证明是真实的、有效的，如有隐瞒实情，愿承担一切责任及后果。</w:t>
      </w:r>
    </w:p>
    <w:p w14:paraId="78D75A7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7</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3EA9DCF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8</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认真履行成交单位应承担的责任和义务，全面执行采购合同规定的各项内容，保质保量地按时提供采购物品。</w:t>
      </w:r>
    </w:p>
    <w:p w14:paraId="1245077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若本企业（单位）发生有悖于上述承诺的行为，愿意接受《中华人民共和国政府采购法》和《中华人民共和国政府采购法实施条例》中对响应单位的相关处理。</w:t>
      </w:r>
    </w:p>
    <w:p w14:paraId="10C49770">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本承诺是采购项目响应文件的组成部分。</w:t>
      </w:r>
    </w:p>
    <w:p w14:paraId="174C2158">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承诺单位：</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（盖章）</w:t>
      </w:r>
    </w:p>
    <w:p w14:paraId="329FCCFB">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全权代表：</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（签字）</w:t>
      </w:r>
    </w:p>
    <w:p w14:paraId="748DD156">
      <w:pPr>
        <w:widowControl/>
        <w:shd w:val="clear" w:color="auto" w:fill="FFFFFF"/>
        <w:spacing w:line="440" w:lineRule="exact"/>
        <w:ind w:right="480" w:firstLine="2152" w:firstLineChars="897"/>
        <w:jc w:val="center"/>
        <w:rPr>
          <w:rFonts w:ascii="宋体" w:hAnsi="宋体" w:cs="仿宋"/>
          <w:bCs/>
          <w:sz w:val="24"/>
          <w:szCs w:val="28"/>
          <w:highlight w:val="none"/>
        </w:rPr>
      </w:pPr>
      <w:r>
        <w:rPr>
          <w:rFonts w:hint="eastAsia" w:ascii="宋体" w:hAnsi="宋体" w:cs="仿宋"/>
          <w:bCs/>
          <w:color w:val="000000"/>
          <w:kern w:val="0"/>
          <w:sz w:val="24"/>
          <w:szCs w:val="28"/>
          <w:highlight w:val="none"/>
        </w:rPr>
        <w:t xml:space="preserve">                 日    期：</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年</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月</w:t>
      </w:r>
      <w:r>
        <w:rPr>
          <w:rFonts w:hint="eastAsia" w:ascii="宋体" w:hAnsi="宋体" w:cs="仿宋"/>
          <w:bCs/>
          <w:sz w:val="28"/>
          <w:szCs w:val="32"/>
          <w:highlight w:val="none"/>
          <w:u w:val="single"/>
        </w:rPr>
        <w:t xml:space="preserve">    </w:t>
      </w:r>
      <w:r>
        <w:rPr>
          <w:rFonts w:hint="eastAsia" w:ascii="宋体" w:hAnsi="宋体" w:cs="仿宋"/>
          <w:bCs/>
          <w:sz w:val="24"/>
          <w:szCs w:val="28"/>
          <w:highlight w:val="none"/>
        </w:rPr>
        <w:t>日</w:t>
      </w:r>
    </w:p>
    <w:p w14:paraId="29D54F74">
      <w:pPr>
        <w:keepNext/>
        <w:keepLines/>
        <w:adjustRightInd w:val="0"/>
        <w:spacing w:line="416" w:lineRule="atLeast"/>
        <w:jc w:val="center"/>
        <w:textAlignment w:val="baseline"/>
        <w:outlineLvl w:val="1"/>
        <w:rPr>
          <w:rFonts w:ascii="宋体" w:hAnsi="宋体" w:cs="宋体"/>
          <w:b/>
          <w:bCs/>
          <w:sz w:val="28"/>
          <w:szCs w:val="28"/>
          <w:highlight w:val="none"/>
        </w:rPr>
        <w:sectPr>
          <w:footerReference r:id="rId20" w:type="default"/>
          <w:pgSz w:w="11905" w:h="16838"/>
          <w:pgMar w:top="1247" w:right="1417" w:bottom="1247" w:left="1417" w:header="964" w:footer="992" w:gutter="0"/>
          <w:pgNumType w:fmt="decimal" w:chapStyle="1"/>
          <w:cols w:space="0" w:num="1"/>
          <w:rtlGutter w:val="0"/>
          <w:docGrid w:type="lines" w:linePitch="326" w:charSpace="0"/>
        </w:sectPr>
      </w:pPr>
      <w:bookmarkStart w:id="181" w:name="_Toc536202403"/>
      <w:bookmarkStart w:id="182" w:name="_Toc536202334"/>
      <w:bookmarkStart w:id="183" w:name="_Toc536429343"/>
      <w:bookmarkStart w:id="184" w:name="_Toc25514"/>
      <w:bookmarkStart w:id="185" w:name="_Toc536429396"/>
    </w:p>
    <w:p w14:paraId="51030AC4">
      <w:pPr>
        <w:pStyle w:val="28"/>
        <w:rPr>
          <w:highlight w:val="none"/>
        </w:rPr>
      </w:pPr>
    </w:p>
    <w:p w14:paraId="427DE5AC">
      <w:pPr>
        <w:pStyle w:val="28"/>
        <w:rPr>
          <w:highlight w:val="none"/>
        </w:rPr>
      </w:pPr>
    </w:p>
    <w:p w14:paraId="54B356C1">
      <w:pPr>
        <w:pStyle w:val="28"/>
        <w:rPr>
          <w:highlight w:val="none"/>
        </w:rPr>
      </w:pPr>
    </w:p>
    <w:p w14:paraId="7460985D">
      <w:pPr>
        <w:pStyle w:val="28"/>
        <w:rPr>
          <w:highlight w:val="none"/>
        </w:rPr>
      </w:pPr>
    </w:p>
    <w:p w14:paraId="3E3EE1A0">
      <w:pPr>
        <w:pStyle w:val="28"/>
        <w:rPr>
          <w:highlight w:val="none"/>
        </w:rPr>
      </w:pPr>
    </w:p>
    <w:p w14:paraId="42CE78B8">
      <w:pPr>
        <w:pStyle w:val="28"/>
        <w:rPr>
          <w:highlight w:val="none"/>
        </w:rPr>
      </w:pPr>
    </w:p>
    <w:p w14:paraId="6E85C16B">
      <w:pPr>
        <w:pStyle w:val="28"/>
        <w:rPr>
          <w:highlight w:val="none"/>
        </w:rPr>
      </w:pPr>
    </w:p>
    <w:p w14:paraId="33B27300">
      <w:pPr>
        <w:pStyle w:val="28"/>
        <w:rPr>
          <w:highlight w:val="none"/>
        </w:rPr>
      </w:pPr>
    </w:p>
    <w:p w14:paraId="79278969">
      <w:pPr>
        <w:pStyle w:val="28"/>
        <w:rPr>
          <w:highlight w:val="none"/>
        </w:rPr>
      </w:pPr>
    </w:p>
    <w:p w14:paraId="45AEA527">
      <w:pPr>
        <w:pStyle w:val="28"/>
        <w:rPr>
          <w:highlight w:val="none"/>
        </w:rPr>
      </w:pPr>
    </w:p>
    <w:p w14:paraId="0FD3B2C1">
      <w:pPr>
        <w:pStyle w:val="28"/>
        <w:rPr>
          <w:highlight w:val="none"/>
        </w:rPr>
      </w:pPr>
    </w:p>
    <w:p w14:paraId="54E85FA9">
      <w:pPr>
        <w:pStyle w:val="28"/>
        <w:rPr>
          <w:highlight w:val="none"/>
        </w:rPr>
      </w:pPr>
    </w:p>
    <w:p w14:paraId="76E2FBE5">
      <w:pPr>
        <w:pStyle w:val="28"/>
        <w:rPr>
          <w:highlight w:val="none"/>
        </w:rPr>
      </w:pPr>
    </w:p>
    <w:p w14:paraId="7E448D48">
      <w:pPr>
        <w:pStyle w:val="28"/>
        <w:rPr>
          <w:highlight w:val="none"/>
        </w:rPr>
      </w:pPr>
    </w:p>
    <w:p w14:paraId="6CAA5B50">
      <w:pPr>
        <w:pStyle w:val="28"/>
        <w:rPr>
          <w:highlight w:val="none"/>
        </w:rPr>
      </w:pPr>
    </w:p>
    <w:p w14:paraId="3B22BA76">
      <w:pPr>
        <w:pStyle w:val="28"/>
        <w:rPr>
          <w:highlight w:val="none"/>
        </w:rPr>
      </w:pPr>
    </w:p>
    <w:p w14:paraId="0B397E76">
      <w:pPr>
        <w:pStyle w:val="28"/>
        <w:rPr>
          <w:highlight w:val="none"/>
        </w:rPr>
      </w:pPr>
    </w:p>
    <w:p w14:paraId="600DC74D">
      <w:pPr>
        <w:pStyle w:val="28"/>
        <w:rPr>
          <w:highlight w:val="none"/>
        </w:rPr>
      </w:pPr>
    </w:p>
    <w:p w14:paraId="12EF8167">
      <w:pPr>
        <w:pStyle w:val="28"/>
        <w:rPr>
          <w:highlight w:val="none"/>
        </w:rPr>
      </w:pPr>
    </w:p>
    <w:p w14:paraId="3675DDC4">
      <w:pPr>
        <w:pStyle w:val="28"/>
        <w:rPr>
          <w:highlight w:val="none"/>
        </w:rPr>
      </w:pPr>
    </w:p>
    <w:p w14:paraId="74D6C168">
      <w:pPr>
        <w:pStyle w:val="28"/>
        <w:rPr>
          <w:highlight w:val="none"/>
        </w:rPr>
      </w:pPr>
    </w:p>
    <w:p w14:paraId="0CBEB5A2">
      <w:pPr>
        <w:pStyle w:val="28"/>
        <w:rPr>
          <w:highlight w:val="none"/>
        </w:rPr>
      </w:pPr>
    </w:p>
    <w:p w14:paraId="575ADE38">
      <w:pPr>
        <w:pStyle w:val="28"/>
        <w:rPr>
          <w:highlight w:val="none"/>
        </w:rPr>
      </w:pPr>
    </w:p>
    <w:p w14:paraId="035459A6">
      <w:pPr>
        <w:pStyle w:val="28"/>
        <w:rPr>
          <w:highlight w:val="none"/>
        </w:rPr>
      </w:pPr>
    </w:p>
    <w:p w14:paraId="3CD93608">
      <w:pPr>
        <w:pStyle w:val="28"/>
        <w:rPr>
          <w:highlight w:val="none"/>
        </w:rPr>
      </w:pPr>
    </w:p>
    <w:p w14:paraId="05486995">
      <w:pPr>
        <w:pStyle w:val="28"/>
        <w:rPr>
          <w:highlight w:val="none"/>
        </w:rPr>
      </w:pPr>
    </w:p>
    <w:p w14:paraId="0795B9F5">
      <w:pPr>
        <w:pStyle w:val="28"/>
        <w:rPr>
          <w:highlight w:val="none"/>
        </w:rPr>
      </w:pPr>
    </w:p>
    <w:p w14:paraId="606B0F65">
      <w:pPr>
        <w:pStyle w:val="28"/>
        <w:rPr>
          <w:highlight w:val="none"/>
        </w:rPr>
      </w:pPr>
    </w:p>
    <w:p w14:paraId="2B877C85">
      <w:pPr>
        <w:pStyle w:val="28"/>
        <w:rPr>
          <w:highlight w:val="none"/>
        </w:rPr>
      </w:pPr>
    </w:p>
    <w:p w14:paraId="33627EF9">
      <w:pPr>
        <w:pStyle w:val="28"/>
        <w:rPr>
          <w:highlight w:val="none"/>
        </w:rPr>
      </w:pPr>
    </w:p>
    <w:p w14:paraId="7E152984">
      <w:pPr>
        <w:pStyle w:val="28"/>
        <w:rPr>
          <w:highlight w:val="none"/>
        </w:rPr>
      </w:pPr>
    </w:p>
    <w:p w14:paraId="66A86F02">
      <w:pPr>
        <w:pStyle w:val="28"/>
        <w:rPr>
          <w:highlight w:val="none"/>
        </w:rPr>
      </w:pPr>
    </w:p>
    <w:p w14:paraId="36CCFB62">
      <w:pPr>
        <w:pStyle w:val="28"/>
        <w:rPr>
          <w:highlight w:val="none"/>
        </w:rPr>
      </w:pPr>
    </w:p>
    <w:p w14:paraId="5A00EC1C">
      <w:pPr>
        <w:pStyle w:val="28"/>
        <w:rPr>
          <w:highlight w:val="none"/>
        </w:rPr>
      </w:pPr>
    </w:p>
    <w:p w14:paraId="547F62DE">
      <w:pPr>
        <w:pStyle w:val="17"/>
      </w:pPr>
    </w:p>
    <w:p w14:paraId="61D10178">
      <w:pPr>
        <w:pStyle w:val="28"/>
        <w:rPr>
          <w:highlight w:val="none"/>
        </w:rPr>
      </w:pPr>
    </w:p>
    <w:p w14:paraId="319801F8">
      <w:pPr>
        <w:pStyle w:val="28"/>
        <w:rPr>
          <w:highlight w:val="none"/>
        </w:rPr>
      </w:pPr>
    </w:p>
    <w:p w14:paraId="76748A6D">
      <w:pPr>
        <w:pStyle w:val="28"/>
        <w:rPr>
          <w:highlight w:val="none"/>
        </w:rPr>
      </w:pPr>
    </w:p>
    <w:p w14:paraId="5520C318">
      <w:pPr>
        <w:pStyle w:val="28"/>
        <w:rPr>
          <w:highlight w:val="none"/>
        </w:rPr>
      </w:pPr>
    </w:p>
    <w:p w14:paraId="194B755C">
      <w:pPr>
        <w:pStyle w:val="28"/>
        <w:rPr>
          <w:highlight w:val="none"/>
        </w:rPr>
      </w:pPr>
    </w:p>
    <w:p w14:paraId="759C97A3">
      <w:pPr>
        <w:pStyle w:val="28"/>
        <w:rPr>
          <w:highlight w:val="none"/>
        </w:rPr>
      </w:pPr>
    </w:p>
    <w:p w14:paraId="02D69810">
      <w:pPr>
        <w:pStyle w:val="28"/>
        <w:rPr>
          <w:highlight w:val="none"/>
        </w:rPr>
      </w:pPr>
    </w:p>
    <w:p w14:paraId="0B1456DA">
      <w:pPr>
        <w:pStyle w:val="28"/>
        <w:rPr>
          <w:highlight w:val="none"/>
        </w:rPr>
      </w:pPr>
    </w:p>
    <w:p w14:paraId="2BD28036">
      <w:pPr>
        <w:pStyle w:val="28"/>
        <w:rPr>
          <w:highlight w:val="none"/>
        </w:rPr>
      </w:pPr>
    </w:p>
    <w:p w14:paraId="0AC4547D">
      <w:pPr>
        <w:pStyle w:val="28"/>
        <w:rPr>
          <w:highlight w:val="none"/>
        </w:rPr>
      </w:pPr>
    </w:p>
    <w:p w14:paraId="31B20FBB">
      <w:pPr>
        <w:spacing w:line="440" w:lineRule="exact"/>
        <w:rPr>
          <w:sz w:val="32"/>
          <w:szCs w:val="32"/>
          <w:highlight w:val="none"/>
        </w:rPr>
      </w:pPr>
      <w:r>
        <w:rPr>
          <w:rFonts w:hint="eastAsia"/>
          <w:sz w:val="32"/>
          <w:szCs w:val="32"/>
          <w:highlight w:val="none"/>
        </w:rPr>
        <w:t xml:space="preserve">安康尚昊招标代理有限公司 </w:t>
      </w:r>
      <w:r>
        <w:rPr>
          <w:rFonts w:ascii="宋体" w:hAnsi="宋体"/>
          <w:b/>
          <w:sz w:val="52"/>
          <w:szCs w:val="52"/>
          <w:highlight w:val="none"/>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highlight w:val="none"/>
        </w:rPr>
        <w:t xml:space="preserve"> </w:t>
      </w:r>
    </w:p>
    <w:p w14:paraId="3109D41D">
      <w:pPr>
        <w:spacing w:line="440" w:lineRule="exact"/>
        <w:jc w:val="center"/>
        <w:rPr>
          <w:sz w:val="32"/>
          <w:szCs w:val="32"/>
          <w:highlight w:val="none"/>
        </w:rPr>
      </w:pPr>
      <w:r>
        <w:rPr>
          <w:rFonts w:hint="eastAsia"/>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5A52710C">
      <w:pPr>
        <w:autoSpaceDE w:val="0"/>
        <w:autoSpaceDN w:val="0"/>
        <w:spacing w:line="440" w:lineRule="exact"/>
        <w:ind w:firstLine="129" w:firstLineChars="50"/>
        <w:rPr>
          <w:rFonts w:hint="eastAsia" w:hAnsi="宋体" w:eastAsia="宋体"/>
          <w:sz w:val="24"/>
          <w:szCs w:val="24"/>
          <w:highlight w:val="none"/>
          <w:lang w:eastAsia="zh-CN"/>
        </w:rPr>
      </w:pPr>
      <w:r>
        <w:rPr>
          <w:rFonts w:hint="eastAsia" w:hAnsi="宋体"/>
          <w:spacing w:val="9"/>
          <w:kern w:val="0"/>
          <w:sz w:val="24"/>
          <w:szCs w:val="24"/>
          <w:highlight w:val="none"/>
          <w:fitText w:val="1050" w:id="1122636368"/>
        </w:rPr>
        <w:t xml:space="preserve">地    </w:t>
      </w:r>
      <w:r>
        <w:rPr>
          <w:rFonts w:hint="eastAsia" w:hAnsi="宋体"/>
          <w:spacing w:val="0"/>
          <w:kern w:val="0"/>
          <w:sz w:val="24"/>
          <w:szCs w:val="24"/>
          <w:highlight w:val="none"/>
          <w:fitText w:val="1050" w:id="1122636368"/>
        </w:rPr>
        <w:t>址</w:t>
      </w:r>
      <w:r>
        <w:rPr>
          <w:rFonts w:hint="eastAsia" w:hAnsi="宋体"/>
          <w:spacing w:val="-6"/>
          <w:sz w:val="24"/>
          <w:szCs w:val="24"/>
          <w:highlight w:val="none"/>
        </w:rPr>
        <w:t>：</w:t>
      </w:r>
      <w:r>
        <w:rPr>
          <w:rFonts w:hint="eastAsia" w:hAnsi="宋体"/>
          <w:spacing w:val="-6"/>
          <w:sz w:val="24"/>
          <w:szCs w:val="24"/>
          <w:highlight w:val="none"/>
          <w:lang w:eastAsia="zh-CN"/>
        </w:rPr>
        <w:t>安康市高新区高新观澜8栋二单元801室</w:t>
      </w:r>
    </w:p>
    <w:p w14:paraId="2789F626">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1"/>
        </w:rPr>
        <w:t xml:space="preserve">邮    </w:t>
      </w:r>
      <w:r>
        <w:rPr>
          <w:rFonts w:hint="eastAsia" w:hAnsi="宋体"/>
          <w:spacing w:val="0"/>
          <w:kern w:val="0"/>
          <w:sz w:val="24"/>
          <w:szCs w:val="24"/>
          <w:highlight w:val="none"/>
          <w:fitText w:val="1050" w:id="1"/>
        </w:rPr>
        <w:t>编</w:t>
      </w:r>
      <w:r>
        <w:rPr>
          <w:rFonts w:hint="eastAsia" w:hAnsi="宋体"/>
          <w:sz w:val="24"/>
          <w:szCs w:val="24"/>
          <w:highlight w:val="none"/>
        </w:rPr>
        <w:t>：725000</w:t>
      </w:r>
    </w:p>
    <w:p w14:paraId="36AC5477">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2"/>
        </w:rPr>
        <w:t xml:space="preserve">电    </w:t>
      </w:r>
      <w:r>
        <w:rPr>
          <w:rFonts w:hint="eastAsia" w:hAnsi="宋体"/>
          <w:spacing w:val="0"/>
          <w:kern w:val="0"/>
          <w:sz w:val="24"/>
          <w:szCs w:val="24"/>
          <w:highlight w:val="none"/>
          <w:fitText w:val="1050" w:id="2"/>
        </w:rPr>
        <w:t>话</w:t>
      </w:r>
      <w:r>
        <w:rPr>
          <w:rFonts w:hint="eastAsia" w:hAnsi="宋体"/>
          <w:sz w:val="24"/>
          <w:szCs w:val="24"/>
          <w:highlight w:val="none"/>
        </w:rPr>
        <w:t>：15991480332</w:t>
      </w:r>
    </w:p>
    <w:p w14:paraId="09D2F52B">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3"/>
        </w:rPr>
        <w:t>公司名</w:t>
      </w:r>
      <w:r>
        <w:rPr>
          <w:rFonts w:hint="eastAsia" w:hAnsi="宋体"/>
          <w:spacing w:val="0"/>
          <w:kern w:val="0"/>
          <w:sz w:val="24"/>
          <w:szCs w:val="24"/>
          <w:highlight w:val="none"/>
          <w:fitText w:val="1050" w:id="3"/>
        </w:rPr>
        <w:t>称</w:t>
      </w:r>
      <w:r>
        <w:rPr>
          <w:rFonts w:hint="eastAsia" w:hAnsi="宋体"/>
          <w:sz w:val="24"/>
          <w:szCs w:val="24"/>
          <w:highlight w:val="none"/>
        </w:rPr>
        <w:t>：安康尚昊招标代理有限公司</w:t>
      </w:r>
    </w:p>
    <w:p w14:paraId="6A1629F8">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4"/>
        </w:rPr>
        <w:t>开户银</w:t>
      </w:r>
      <w:r>
        <w:rPr>
          <w:rFonts w:hint="eastAsia" w:hAnsi="宋体"/>
          <w:spacing w:val="0"/>
          <w:kern w:val="0"/>
          <w:sz w:val="24"/>
          <w:szCs w:val="24"/>
          <w:highlight w:val="none"/>
          <w:fitText w:val="1050" w:id="4"/>
        </w:rPr>
        <w:t>行</w:t>
      </w:r>
      <w:r>
        <w:rPr>
          <w:rFonts w:hint="eastAsia" w:hAnsi="宋体"/>
          <w:sz w:val="24"/>
          <w:szCs w:val="24"/>
          <w:highlight w:val="none"/>
        </w:rPr>
        <w:t>：中国建设银行股份有限公司安康分行营业部</w:t>
      </w:r>
    </w:p>
    <w:p w14:paraId="279491C2">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5"/>
        </w:rPr>
        <w:t xml:space="preserve">账    </w:t>
      </w:r>
      <w:r>
        <w:rPr>
          <w:rFonts w:hint="eastAsia" w:hAnsi="宋体"/>
          <w:spacing w:val="0"/>
          <w:kern w:val="0"/>
          <w:sz w:val="24"/>
          <w:szCs w:val="24"/>
          <w:highlight w:val="none"/>
          <w:fitText w:val="1050" w:id="5"/>
        </w:rPr>
        <w:t>号</w:t>
      </w:r>
      <w:r>
        <w:rPr>
          <w:rFonts w:hint="eastAsia" w:hAnsi="宋体"/>
          <w:sz w:val="24"/>
          <w:szCs w:val="24"/>
          <w:highlight w:val="none"/>
        </w:rPr>
        <w:t>：</w:t>
      </w:r>
      <w:r>
        <w:rPr>
          <w:rFonts w:hint="eastAsia" w:ascii="宋体" w:hAnsi="宋体" w:cs="宋体"/>
          <w:sz w:val="24"/>
          <w:szCs w:val="28"/>
          <w:highlight w:val="none"/>
        </w:rPr>
        <w:t>61050166371100000492</w:t>
      </w:r>
      <w:r>
        <w:rPr>
          <w:rFonts w:hint="eastAsia" w:hAnsi="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4F833AFC">
      <w:pPr>
        <w:rPr>
          <w:rFonts w:hAnsi="宋体"/>
          <w:b/>
          <w:sz w:val="32"/>
          <w:szCs w:val="32"/>
          <w:highlight w:val="none"/>
        </w:rPr>
      </w:pPr>
    </w:p>
    <w:bookmarkEnd w:id="181"/>
    <w:bookmarkEnd w:id="182"/>
    <w:bookmarkEnd w:id="183"/>
    <w:bookmarkEnd w:id="184"/>
    <w:bookmarkEnd w:id="185"/>
    <w:p w14:paraId="221EA0DE">
      <w:pPr>
        <w:widowControl/>
        <w:jc w:val="left"/>
        <w:rPr>
          <w:rFonts w:ascii="宋体" w:hAnsi="宋体" w:cs="宋体"/>
          <w:b/>
          <w:spacing w:val="6"/>
          <w:sz w:val="24"/>
          <w:szCs w:val="24"/>
          <w:highlight w:val="none"/>
        </w:rPr>
      </w:pPr>
    </w:p>
    <w:p w14:paraId="108E6C17">
      <w:pPr>
        <w:widowControl/>
        <w:jc w:val="left"/>
        <w:rPr>
          <w:rFonts w:ascii="宋体" w:hAnsi="宋体" w:cs="宋体"/>
          <w:b/>
          <w:spacing w:val="6"/>
          <w:sz w:val="24"/>
          <w:szCs w:val="24"/>
          <w:highlight w:val="none"/>
        </w:rPr>
      </w:pPr>
    </w:p>
    <w:sectPr>
      <w:footerReference r:id="rId21" w:type="default"/>
      <w:pgSz w:w="11905" w:h="16838"/>
      <w:pgMar w:top="1247" w:right="1417" w:bottom="1247" w:left="1417" w:header="964" w:footer="992" w:gutter="0"/>
      <w:pgNumType w:fmt="decimal" w:chapStyle="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思源宋体 CN Light">
    <w:altName w:val="宋体"/>
    <w:panose1 w:val="02020300000000000000"/>
    <w:charset w:val="86"/>
    <w:family w:val="auto"/>
    <w:pitch w:val="default"/>
    <w:sig w:usb0="00000000" w:usb1="00000000" w:usb2="00000016" w:usb3="00000000" w:csb0="60060107"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DAA9">
    <w:pPr>
      <w:pStyle w:val="28"/>
      <w:jc w:val="center"/>
    </w:pPr>
    <w:sdt>
      <w:sdtPr>
        <w:id w:val="-1667619469"/>
        <w:showingPlcHdr/>
      </w:sdtPr>
      <w:sdtContent>
        <w:r>
          <w:t xml:space="preserve">     </w:t>
        </w:r>
      </w:sdtContent>
    </w:sdt>
  </w:p>
  <w:p w14:paraId="36B0C62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FBBF">
    <w:pPr>
      <w:pStyle w:val="2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1C2F1">
                          <w:pPr>
                            <w:pStyle w:val="28"/>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63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B81C2F1">
                    <w:pPr>
                      <w:pStyle w:val="28"/>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63</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2B1">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59A9">
    <w:pPr>
      <w:pStyle w:val="2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09818">
                          <w:pPr>
                            <w:pStyle w:val="2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0309818">
                    <w:pPr>
                      <w:pStyle w:val="2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63</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F7A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A6C5">
    <w:pPr>
      <w:pStyle w:val="28"/>
    </w:pPr>
  </w:p>
  <w:p w14:paraId="06EF125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FB4A">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48C2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048C2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r>
      <w:rPr>
        <w:rFonts w:hint="eastAsia"/>
        <w:lang w:val="en-US" w:eastAsia="zh-CN"/>
      </w:rPr>
      <w:t xml:space="preserve">  </w:t>
    </w:r>
    <w:sdt>
      <w:sdtPr>
        <w:id w:val="-353192850"/>
      </w:sdtPr>
      <w:sdtContent>
        <w:r>
          <w:t xml:space="preserve">     </w:t>
        </w:r>
      </w:sdtContent>
    </w:sdt>
  </w:p>
  <w:p w14:paraId="71EA1DF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131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A6C7">
    <w:pPr>
      <w:pStyle w:val="28"/>
    </w:pPr>
    <w:r>
      <w:rPr>
        <w:sz w:val="18"/>
      </w:rPr>
      <mc:AlternateContent>
        <mc:Choice Requires="wps">
          <w:drawing>
            <wp:anchor distT="0" distB="0" distL="114300" distR="114300" simplePos="0" relativeHeight="251664384" behindDoc="0" locked="0" layoutInCell="1" allowOverlap="1">
              <wp:simplePos x="0" y="0"/>
              <wp:positionH relativeFrom="margin">
                <wp:posOffset>2306955</wp:posOffset>
              </wp:positionH>
              <wp:positionV relativeFrom="paragraph">
                <wp:posOffset>-10795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8FE1">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65pt;margin-top:-0.85pt;height:144pt;width:144pt;mso-position-horizontal-relative:margin;mso-wrap-style:none;z-index:251664384;mso-width-relative:page;mso-height-relative:page;" filled="f" stroked="f" coordsize="21600,21600" o:gfxdata="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alZv9cAAAAKAQAADwAAAAAAAAABACAAAAAiAAAAZHJzL2Rvd25yZXYueG1s&#10;UEsBAhQAFAAAAAgAh07iQOZTTZkyAgAAYwQAAA4AAAAAAAAAAQAgAAAAJgEAAGRycy9lMm9Eb2Mu&#10;eG1sUEsFBgAAAAAGAAYAWQEAAMoFAAAAAA==&#10;">
              <v:fill on="f" focussize="0,0"/>
              <v:stroke on="f" weight="0.5pt"/>
              <v:imagedata o:title=""/>
              <o:lock v:ext="edit" aspectratio="f"/>
              <v:textbox inset="0mm,0mm,0mm,0mm" style="mso-fit-shape-to-text:t;">
                <w:txbxContent>
                  <w:p w14:paraId="51748FE1">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63</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A5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0FDC">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7970">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277970">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63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58BC">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BFAB">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CC4BFAB">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8E5A">
    <w:pPr>
      <w:spacing w:line="173" w:lineRule="auto"/>
      <w:ind w:left="439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posOffset>2390775</wp:posOffset>
              </wp:positionH>
              <wp:positionV relativeFrom="paragraph">
                <wp:posOffset>-107315</wp:posOffset>
              </wp:positionV>
              <wp:extent cx="977900" cy="20383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77900"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968B6">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25pt;margin-top:-8.45pt;height:16.05pt;width:77pt;mso-position-horizontal-relative:margin;z-index:251667456;mso-width-relative:page;mso-height-relative:page;" filled="f" stroked="f" coordsize="21600,21600" o:gfxdata="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TMHi2AAAAAoBAAAPAAAAAAAAAAEAIAAAACIAAABkcnMvZG93&#10;bnJldi54bWxQSwECFAAUAAAACACHTuJAcFNQCjkCAABjBAAADgAAAAAAAAABACAAAAAnAQAAZHJz&#10;L2Uyb0RvYy54bWxQSwUGAAAAAAYABgBZAQAA0gUAAAAA&#10;">
              <v:fill on="f" focussize="0,0"/>
              <v:stroke on="f" weight="0.5pt"/>
              <v:imagedata o:title=""/>
              <o:lock v:ext="edit" aspectratio="f"/>
              <v:textbox inset="0mm,0mm,0mm,0mm">
                <w:txbxContent>
                  <w:p w14:paraId="685968B6">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6DFA">
    <w:pPr>
      <w:pStyle w:val="29"/>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A1E6">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E7AB">
    <w:pPr>
      <w:pStyle w:val="29"/>
      <w:rPr>
        <w:rFonts w:hint="eastAsia" w:eastAsia="宋体"/>
        <w:lang w:eastAsia="zh-CN"/>
      </w:rPr>
    </w:pPr>
    <w:r>
      <w:rPr>
        <w:rFonts w:hint="eastAsia"/>
      </w:rPr>
      <w:t>项目名称：</w:t>
    </w:r>
    <w:r>
      <w:rPr>
        <w:rFonts w:hint="eastAsia"/>
        <w:lang w:eastAsia="zh-CN"/>
      </w:rPr>
      <w:t>安康市中心医院资产管理系统及资产数据治理服务采购项目</w:t>
    </w:r>
    <w:r>
      <w:rPr>
        <w:rFonts w:hint="eastAsia"/>
      </w:rPr>
      <w:t xml:space="preserve">      </w:t>
    </w:r>
    <w:r>
      <w:rPr>
        <w:rFonts w:hint="eastAsia"/>
        <w:lang w:val="en-US" w:eastAsia="zh-CN"/>
      </w:rPr>
      <w:t xml:space="preserve"> </w:t>
    </w:r>
    <w:r>
      <w:rPr>
        <w:rFonts w:hint="eastAsia"/>
      </w:rPr>
      <w:t xml:space="preserve">    项目编号：</w:t>
    </w:r>
    <w:r>
      <w:rPr>
        <w:rFonts w:hint="eastAsia"/>
        <w:lang w:eastAsia="zh-CN"/>
      </w:rPr>
      <w:t>AKSH2025-ZGK-186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A74B">
    <w:pPr>
      <w:pStyle w:val="29"/>
    </w:pPr>
    <w:r>
      <w:rPr>
        <w:rFonts w:hint="default"/>
        <w:lang w:val="en-US" w:eastAsia="zh-CN"/>
      </w:rPr>
      <w:t>项目名称：</w:t>
    </w:r>
    <w:r>
      <w:rPr>
        <w:rFonts w:hint="eastAsia"/>
        <w:lang w:val="en-US" w:eastAsia="zh-CN"/>
      </w:rPr>
      <w:t>安康市中心医院资产管理系统及资产数据治理服务采购项目</w:t>
    </w:r>
    <w:r>
      <w:rPr>
        <w:rFonts w:hint="default"/>
        <w:lang w:val="en-US" w:eastAsia="zh-CN"/>
      </w:rPr>
      <w:t xml:space="preserve">                 项目编号：</w:t>
    </w:r>
    <w:r>
      <w:rPr>
        <w:rFonts w:hint="eastAsia"/>
        <w:lang w:val="en-US" w:eastAsia="zh-CN"/>
      </w:rPr>
      <w:t>AKSH2025-ZGK-119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7B5">
    <w:pPr>
      <w:pStyle w:val="29"/>
      <w:rPr>
        <w:rFonts w:hint="eastAsia" w:eastAsia="宋体"/>
        <w:lang w:eastAsia="zh-CN"/>
      </w:rPr>
    </w:pPr>
    <w:r>
      <w:rPr>
        <w:rFonts w:hint="eastAsia"/>
      </w:rPr>
      <w:t>项目名称：</w:t>
    </w:r>
    <w:r>
      <w:rPr>
        <w:rFonts w:hint="eastAsia"/>
        <w:lang w:eastAsia="zh-CN"/>
      </w:rPr>
      <w:t>安康市中心医院资产管理系统及资产数据治理服务采购项目</w:t>
    </w:r>
    <w:r>
      <w:rPr>
        <w:rFonts w:hint="eastAsia"/>
      </w:rPr>
      <w:t xml:space="preserve">           项目编号：</w:t>
    </w:r>
    <w:r>
      <w:rPr>
        <w:rFonts w:hint="eastAsia"/>
        <w:lang w:eastAsia="zh-CN"/>
      </w:rPr>
      <w:t>AKSH2025-ZGK-186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0992">
    <w:pPr>
      <w:pStyle w:val="29"/>
    </w:pPr>
    <w:r>
      <w:rPr>
        <w:rFonts w:hint="eastAsia"/>
      </w:rPr>
      <w:t>项目名称：</w:t>
    </w:r>
    <w:r>
      <w:rPr>
        <w:rFonts w:hint="eastAsia"/>
        <w:lang w:eastAsia="zh-CN"/>
      </w:rPr>
      <w:t>安康市中心医院资产管理系统及资产数据治理服务采购项目</w:t>
    </w:r>
    <w:r>
      <w:rPr>
        <w:rFonts w:hint="eastAsia"/>
      </w:rPr>
      <w:t xml:space="preserve">           项目编号：</w:t>
    </w:r>
    <w:r>
      <w:rPr>
        <w:rFonts w:hint="eastAsia"/>
        <w:lang w:eastAsia="zh-CN"/>
      </w:rPr>
      <w:t>AKSH2025-ZGK-186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CAD1E914"/>
    <w:multiLevelType w:val="singleLevel"/>
    <w:tmpl w:val="CAD1E914"/>
    <w:lvl w:ilvl="0" w:tentative="0">
      <w:start w:val="1"/>
      <w:numFmt w:val="decimal"/>
      <w:suff w:val="nothing"/>
      <w:lvlText w:val="%1、"/>
      <w:lvlJc w:val="left"/>
    </w:lvl>
  </w:abstractNum>
  <w:abstractNum w:abstractNumId="2">
    <w:nsid w:val="E04A14EE"/>
    <w:multiLevelType w:val="singleLevel"/>
    <w:tmpl w:val="E04A14EE"/>
    <w:lvl w:ilvl="0" w:tentative="0">
      <w:start w:val="1"/>
      <w:numFmt w:val="decimal"/>
      <w:lvlText w:val="%1"/>
      <w:lvlJc w:val="left"/>
      <w:pPr>
        <w:tabs>
          <w:tab w:val="left" w:pos="420"/>
        </w:tabs>
        <w:ind w:left="425" w:leftChars="0" w:hanging="425" w:firstLineChars="0"/>
      </w:pPr>
      <w:rPr>
        <w:rFonts w:hint="default"/>
      </w:rPr>
    </w:lvl>
  </w:abstractNum>
  <w:abstractNum w:abstractNumId="3">
    <w:nsid w:val="776A65AA"/>
    <w:multiLevelType w:val="multilevel"/>
    <w:tmpl w:val="776A65AA"/>
    <w:lvl w:ilvl="0" w:tentative="0">
      <w:start w:val="1"/>
      <w:numFmt w:val="bullet"/>
      <w:pStyle w:val="1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2DD9"/>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1E108A6"/>
    <w:rsid w:val="021B5783"/>
    <w:rsid w:val="026711A0"/>
    <w:rsid w:val="02727A5F"/>
    <w:rsid w:val="027730B6"/>
    <w:rsid w:val="02C70E02"/>
    <w:rsid w:val="02D70B22"/>
    <w:rsid w:val="03010138"/>
    <w:rsid w:val="0323286F"/>
    <w:rsid w:val="03500C6E"/>
    <w:rsid w:val="03534346"/>
    <w:rsid w:val="035E679E"/>
    <w:rsid w:val="036B5288"/>
    <w:rsid w:val="03784128"/>
    <w:rsid w:val="03884AFD"/>
    <w:rsid w:val="0392549E"/>
    <w:rsid w:val="039C7A8B"/>
    <w:rsid w:val="03AD3BAD"/>
    <w:rsid w:val="03D72A11"/>
    <w:rsid w:val="041E7CD6"/>
    <w:rsid w:val="047D553E"/>
    <w:rsid w:val="04B46AF1"/>
    <w:rsid w:val="04E039DF"/>
    <w:rsid w:val="04E67986"/>
    <w:rsid w:val="04F810FA"/>
    <w:rsid w:val="05040900"/>
    <w:rsid w:val="052B676F"/>
    <w:rsid w:val="0530634F"/>
    <w:rsid w:val="053C444E"/>
    <w:rsid w:val="05C9596A"/>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C763C7"/>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91279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3A1216"/>
    <w:rsid w:val="164E56C9"/>
    <w:rsid w:val="1650767C"/>
    <w:rsid w:val="168D251B"/>
    <w:rsid w:val="16B32572"/>
    <w:rsid w:val="16B8739E"/>
    <w:rsid w:val="16CC5640"/>
    <w:rsid w:val="16D91CA3"/>
    <w:rsid w:val="16E86977"/>
    <w:rsid w:val="17141A67"/>
    <w:rsid w:val="1731604E"/>
    <w:rsid w:val="17D830F9"/>
    <w:rsid w:val="17DF2F33"/>
    <w:rsid w:val="180A3513"/>
    <w:rsid w:val="18187335"/>
    <w:rsid w:val="18264AFD"/>
    <w:rsid w:val="1866007F"/>
    <w:rsid w:val="18763BB0"/>
    <w:rsid w:val="187E62DA"/>
    <w:rsid w:val="189A5EB5"/>
    <w:rsid w:val="190A6B14"/>
    <w:rsid w:val="19385A12"/>
    <w:rsid w:val="194431F1"/>
    <w:rsid w:val="19501DA2"/>
    <w:rsid w:val="1A00227A"/>
    <w:rsid w:val="1AB37429"/>
    <w:rsid w:val="1ACE53C3"/>
    <w:rsid w:val="1AD062AE"/>
    <w:rsid w:val="1AF06347"/>
    <w:rsid w:val="1B3A75C2"/>
    <w:rsid w:val="1B6552A9"/>
    <w:rsid w:val="1B6C6AB0"/>
    <w:rsid w:val="1B9F1FF1"/>
    <w:rsid w:val="1BA57A16"/>
    <w:rsid w:val="1BBB5228"/>
    <w:rsid w:val="1C361A6C"/>
    <w:rsid w:val="1C820C62"/>
    <w:rsid w:val="1CAF501E"/>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787665"/>
    <w:rsid w:val="25942819"/>
    <w:rsid w:val="261826FE"/>
    <w:rsid w:val="263D7FA9"/>
    <w:rsid w:val="265F6558"/>
    <w:rsid w:val="266B4134"/>
    <w:rsid w:val="266E6230"/>
    <w:rsid w:val="2689369D"/>
    <w:rsid w:val="26AB684E"/>
    <w:rsid w:val="26C6120C"/>
    <w:rsid w:val="26E8081A"/>
    <w:rsid w:val="271801C5"/>
    <w:rsid w:val="27604BCE"/>
    <w:rsid w:val="27A43722"/>
    <w:rsid w:val="27CB38B6"/>
    <w:rsid w:val="27D77B3A"/>
    <w:rsid w:val="27E64D5A"/>
    <w:rsid w:val="280966AA"/>
    <w:rsid w:val="287C62C3"/>
    <w:rsid w:val="28FB0A17"/>
    <w:rsid w:val="28FD18FA"/>
    <w:rsid w:val="2910333F"/>
    <w:rsid w:val="2932400A"/>
    <w:rsid w:val="2954668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F73565"/>
    <w:rsid w:val="2D1351AB"/>
    <w:rsid w:val="2D1A539D"/>
    <w:rsid w:val="2D3F5F6E"/>
    <w:rsid w:val="2D4D491F"/>
    <w:rsid w:val="2D5277D9"/>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20166B"/>
    <w:rsid w:val="315E6F80"/>
    <w:rsid w:val="317A2FB4"/>
    <w:rsid w:val="318268C7"/>
    <w:rsid w:val="31E905E6"/>
    <w:rsid w:val="31EE5A75"/>
    <w:rsid w:val="31F47A7B"/>
    <w:rsid w:val="32250664"/>
    <w:rsid w:val="322D1449"/>
    <w:rsid w:val="3231002A"/>
    <w:rsid w:val="32540C53"/>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64A0BAA"/>
    <w:rsid w:val="36A5082F"/>
    <w:rsid w:val="36E76FF6"/>
    <w:rsid w:val="371279DA"/>
    <w:rsid w:val="372F3DF7"/>
    <w:rsid w:val="373B63F3"/>
    <w:rsid w:val="37D937C6"/>
    <w:rsid w:val="37E55F42"/>
    <w:rsid w:val="380C4200"/>
    <w:rsid w:val="380F0F17"/>
    <w:rsid w:val="385B5313"/>
    <w:rsid w:val="386D2BC2"/>
    <w:rsid w:val="389F6131"/>
    <w:rsid w:val="38BC68E1"/>
    <w:rsid w:val="38ED5568"/>
    <w:rsid w:val="393954A2"/>
    <w:rsid w:val="39761CB6"/>
    <w:rsid w:val="39892238"/>
    <w:rsid w:val="39AE71B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8D41A3"/>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4210EE"/>
    <w:rsid w:val="4D9B034C"/>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6F0EAF"/>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161C9A"/>
    <w:rsid w:val="5B39654C"/>
    <w:rsid w:val="5B4E6197"/>
    <w:rsid w:val="5B520425"/>
    <w:rsid w:val="5B7901FE"/>
    <w:rsid w:val="5B917759"/>
    <w:rsid w:val="5BD6561E"/>
    <w:rsid w:val="5C466933"/>
    <w:rsid w:val="5CB16383"/>
    <w:rsid w:val="5CF9164A"/>
    <w:rsid w:val="5D2654A7"/>
    <w:rsid w:val="5D4C2123"/>
    <w:rsid w:val="5D825F58"/>
    <w:rsid w:val="5D8F675B"/>
    <w:rsid w:val="5D9A56C3"/>
    <w:rsid w:val="5DC8384A"/>
    <w:rsid w:val="5E692C2E"/>
    <w:rsid w:val="5E9C4698"/>
    <w:rsid w:val="5EA363A2"/>
    <w:rsid w:val="5EB76C7A"/>
    <w:rsid w:val="5EF37463"/>
    <w:rsid w:val="5F37766E"/>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050FB"/>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C07663"/>
    <w:rsid w:val="6DC94C72"/>
    <w:rsid w:val="6DE94229"/>
    <w:rsid w:val="6E0C5660"/>
    <w:rsid w:val="6E47015B"/>
    <w:rsid w:val="6ED81470"/>
    <w:rsid w:val="6EF1792B"/>
    <w:rsid w:val="6F4549EA"/>
    <w:rsid w:val="6F6404DD"/>
    <w:rsid w:val="6F6D49E6"/>
    <w:rsid w:val="6FC87AB9"/>
    <w:rsid w:val="6FDB7B76"/>
    <w:rsid w:val="70167772"/>
    <w:rsid w:val="70220F7D"/>
    <w:rsid w:val="703E4E0C"/>
    <w:rsid w:val="70433998"/>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3950456"/>
    <w:rsid w:val="73C6500C"/>
    <w:rsid w:val="742C1313"/>
    <w:rsid w:val="74325A6C"/>
    <w:rsid w:val="743E0A9F"/>
    <w:rsid w:val="744426B4"/>
    <w:rsid w:val="74833D0A"/>
    <w:rsid w:val="74B5695F"/>
    <w:rsid w:val="75321767"/>
    <w:rsid w:val="75CD4430"/>
    <w:rsid w:val="76253084"/>
    <w:rsid w:val="763B5CFA"/>
    <w:rsid w:val="76530DD9"/>
    <w:rsid w:val="767F6A10"/>
    <w:rsid w:val="76D31640"/>
    <w:rsid w:val="77132D1E"/>
    <w:rsid w:val="77AF51B3"/>
    <w:rsid w:val="77BE05A4"/>
    <w:rsid w:val="77D70E57"/>
    <w:rsid w:val="78227E54"/>
    <w:rsid w:val="7850156B"/>
    <w:rsid w:val="786D480C"/>
    <w:rsid w:val="78911886"/>
    <w:rsid w:val="79312F28"/>
    <w:rsid w:val="798B35A0"/>
    <w:rsid w:val="79AE7223"/>
    <w:rsid w:val="79B80F53"/>
    <w:rsid w:val="79C03601"/>
    <w:rsid w:val="79D30D16"/>
    <w:rsid w:val="79E41DB5"/>
    <w:rsid w:val="79F90358"/>
    <w:rsid w:val="79FE3AAC"/>
    <w:rsid w:val="7A275B0C"/>
    <w:rsid w:val="7AA37F79"/>
    <w:rsid w:val="7AA4616C"/>
    <w:rsid w:val="7AB45CF1"/>
    <w:rsid w:val="7AD176EE"/>
    <w:rsid w:val="7B07090C"/>
    <w:rsid w:val="7B1A63C8"/>
    <w:rsid w:val="7B3030D1"/>
    <w:rsid w:val="7B38234C"/>
    <w:rsid w:val="7B461556"/>
    <w:rsid w:val="7B507741"/>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autoRedefine/>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1"/>
    <w:autoRedefine/>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2"/>
    <w:autoRedefine/>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3"/>
    <w:autoRedefine/>
    <w:semiHidden/>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4"/>
    <w:autoRedefine/>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5"/>
    <w:autoRedefine/>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6"/>
    <w:autoRedefine/>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7"/>
    <w:autoRedefine/>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260"/>
      <w:jc w:val="left"/>
    </w:pPr>
    <w:rPr>
      <w:rFonts w:asciiTheme="minorHAnsi" w:hAnsiTheme="minorHAnsi"/>
      <w:sz w:val="18"/>
      <w:szCs w:val="18"/>
    </w:rPr>
  </w:style>
  <w:style w:type="paragraph" w:styleId="12">
    <w:name w:val="Normal Indent"/>
    <w:basedOn w:val="1"/>
    <w:next w:val="13"/>
    <w:autoRedefine/>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autoRedefine/>
    <w:unhideWhenUsed/>
    <w:qFormat/>
    <w:uiPriority w:val="0"/>
    <w:pPr>
      <w:ind w:left="630"/>
      <w:jc w:val="left"/>
    </w:pPr>
    <w:rPr>
      <w:rFonts w:asciiTheme="minorHAnsi" w:hAnsiTheme="minorHAnsi"/>
      <w:sz w:val="18"/>
      <w:szCs w:val="18"/>
    </w:rPr>
  </w:style>
  <w:style w:type="paragraph" w:styleId="14">
    <w:name w:val="Document Map"/>
    <w:basedOn w:val="1"/>
    <w:link w:val="78"/>
    <w:autoRedefine/>
    <w:qFormat/>
    <w:uiPriority w:val="0"/>
    <w:rPr>
      <w:rFonts w:ascii="宋体"/>
      <w:sz w:val="18"/>
      <w:szCs w:val="18"/>
    </w:rPr>
  </w:style>
  <w:style w:type="paragraph" w:styleId="15">
    <w:name w:val="annotation text"/>
    <w:basedOn w:val="1"/>
    <w:link w:val="79"/>
    <w:autoRedefine/>
    <w:qFormat/>
    <w:uiPriority w:val="99"/>
    <w:pPr>
      <w:jc w:val="left"/>
    </w:pPr>
  </w:style>
  <w:style w:type="paragraph" w:styleId="16">
    <w:name w:val="Body Text 3"/>
    <w:basedOn w:val="1"/>
    <w:autoRedefine/>
    <w:unhideWhenUsed/>
    <w:qFormat/>
    <w:uiPriority w:val="99"/>
    <w:pPr>
      <w:spacing w:after="120"/>
    </w:pPr>
    <w:rPr>
      <w:sz w:val="16"/>
      <w:szCs w:val="16"/>
    </w:rPr>
  </w:style>
  <w:style w:type="paragraph" w:styleId="17">
    <w:name w:val="Body Text"/>
    <w:basedOn w:val="1"/>
    <w:next w:val="1"/>
    <w:link w:val="80"/>
    <w:autoRedefine/>
    <w:qFormat/>
    <w:uiPriority w:val="1"/>
    <w:pPr>
      <w:autoSpaceDE w:val="0"/>
      <w:autoSpaceDN w:val="0"/>
      <w:jc w:val="left"/>
    </w:pPr>
    <w:rPr>
      <w:rFonts w:ascii="宋体" w:hAnsi="宋体" w:cs="宋体"/>
      <w:kern w:val="0"/>
      <w:sz w:val="18"/>
      <w:szCs w:val="18"/>
      <w:lang w:val="zh-CN" w:bidi="zh-CN"/>
    </w:rPr>
  </w:style>
  <w:style w:type="paragraph" w:styleId="18">
    <w:name w:val="Body Text Indent"/>
    <w:basedOn w:val="1"/>
    <w:autoRedefine/>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0">
    <w:name w:val="index 4"/>
    <w:basedOn w:val="1"/>
    <w:next w:val="1"/>
    <w:qFormat/>
    <w:uiPriority w:val="0"/>
    <w:pPr>
      <w:ind w:left="600" w:leftChars="600"/>
    </w:pPr>
    <w:rPr>
      <w:rFonts w:ascii="Times New Roman" w:hAnsi="Times New Roman" w:eastAsia="宋体" w:cs="Times New Roman"/>
    </w:rPr>
  </w:style>
  <w:style w:type="paragraph" w:styleId="21">
    <w:name w:val="toc 5"/>
    <w:basedOn w:val="1"/>
    <w:next w:val="1"/>
    <w:autoRedefine/>
    <w:unhideWhenUsed/>
    <w:qFormat/>
    <w:uiPriority w:val="0"/>
    <w:pPr>
      <w:ind w:left="840"/>
      <w:jc w:val="left"/>
    </w:pPr>
    <w:rPr>
      <w:rFonts w:asciiTheme="minorHAnsi" w:hAnsiTheme="minorHAnsi"/>
      <w:sz w:val="18"/>
      <w:szCs w:val="18"/>
    </w:rPr>
  </w:style>
  <w:style w:type="paragraph" w:styleId="22">
    <w:name w:val="toc 3"/>
    <w:basedOn w:val="1"/>
    <w:next w:val="1"/>
    <w:autoRedefine/>
    <w:qFormat/>
    <w:uiPriority w:val="39"/>
    <w:pPr>
      <w:ind w:left="420"/>
      <w:jc w:val="left"/>
    </w:pPr>
    <w:rPr>
      <w:rFonts w:asciiTheme="minorHAnsi" w:hAnsiTheme="minorHAnsi"/>
      <w:i/>
      <w:iCs/>
      <w:sz w:val="20"/>
      <w:szCs w:val="20"/>
    </w:rPr>
  </w:style>
  <w:style w:type="paragraph" w:styleId="23">
    <w:name w:val="Plain Text"/>
    <w:basedOn w:val="1"/>
    <w:link w:val="81"/>
    <w:autoRedefine/>
    <w:qFormat/>
    <w:uiPriority w:val="0"/>
    <w:rPr>
      <w:rFonts w:ascii="宋体" w:hAnsi="Courier New" w:cs="Courier New" w:eastAsiaTheme="minorEastAsia"/>
      <w:szCs w:val="21"/>
    </w:rPr>
  </w:style>
  <w:style w:type="paragraph" w:styleId="24">
    <w:name w:val="toc 8"/>
    <w:basedOn w:val="1"/>
    <w:next w:val="1"/>
    <w:autoRedefine/>
    <w:unhideWhenUsed/>
    <w:qFormat/>
    <w:uiPriority w:val="0"/>
    <w:pPr>
      <w:ind w:left="1470"/>
      <w:jc w:val="left"/>
    </w:pPr>
    <w:rPr>
      <w:rFonts w:asciiTheme="minorHAnsi" w:hAnsiTheme="minorHAnsi"/>
      <w:sz w:val="18"/>
      <w:szCs w:val="18"/>
    </w:rPr>
  </w:style>
  <w:style w:type="paragraph" w:styleId="25">
    <w:name w:val="Date"/>
    <w:basedOn w:val="1"/>
    <w:next w:val="1"/>
    <w:link w:val="82"/>
    <w:autoRedefine/>
    <w:qFormat/>
    <w:uiPriority w:val="0"/>
    <w:pPr>
      <w:ind w:left="100" w:leftChars="2500"/>
    </w:pPr>
  </w:style>
  <w:style w:type="paragraph" w:styleId="26">
    <w:name w:val="Body Text Indent 2"/>
    <w:basedOn w:val="1"/>
    <w:autoRedefine/>
    <w:qFormat/>
    <w:uiPriority w:val="0"/>
    <w:pPr>
      <w:ind w:firstLine="540" w:firstLineChars="257"/>
    </w:pPr>
    <w:rPr>
      <w:szCs w:val="24"/>
    </w:rPr>
  </w:style>
  <w:style w:type="paragraph" w:styleId="27">
    <w:name w:val="Balloon Text"/>
    <w:basedOn w:val="1"/>
    <w:link w:val="83"/>
    <w:autoRedefine/>
    <w:qFormat/>
    <w:uiPriority w:val="99"/>
    <w:rPr>
      <w:sz w:val="18"/>
      <w:szCs w:val="18"/>
    </w:rPr>
  </w:style>
  <w:style w:type="paragraph" w:styleId="28">
    <w:name w:val="footer"/>
    <w:basedOn w:val="1"/>
    <w:link w:val="84"/>
    <w:autoRedefine/>
    <w:qFormat/>
    <w:uiPriority w:val="99"/>
    <w:pPr>
      <w:tabs>
        <w:tab w:val="center" w:pos="4153"/>
        <w:tab w:val="right" w:pos="8306"/>
      </w:tabs>
      <w:snapToGrid w:val="0"/>
      <w:jc w:val="left"/>
    </w:pPr>
    <w:rPr>
      <w:sz w:val="18"/>
      <w:szCs w:val="18"/>
    </w:rPr>
  </w:style>
  <w:style w:type="paragraph" w:styleId="29">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Theme="minorHAnsi" w:hAnsiTheme="minorHAnsi"/>
      <w:b/>
      <w:bCs/>
      <w:caps/>
      <w:sz w:val="20"/>
      <w:szCs w:val="20"/>
    </w:rPr>
  </w:style>
  <w:style w:type="paragraph" w:styleId="31">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32">
    <w:name w:val="toc 6"/>
    <w:basedOn w:val="1"/>
    <w:next w:val="1"/>
    <w:autoRedefine/>
    <w:unhideWhenUsed/>
    <w:qFormat/>
    <w:uiPriority w:val="0"/>
    <w:pPr>
      <w:ind w:left="1050"/>
      <w:jc w:val="left"/>
    </w:pPr>
    <w:rPr>
      <w:rFonts w:asciiTheme="minorHAnsi" w:hAnsiTheme="minorHAnsi"/>
      <w:sz w:val="18"/>
      <w:szCs w:val="18"/>
    </w:rPr>
  </w:style>
  <w:style w:type="paragraph" w:styleId="33">
    <w:name w:val="Body Text Indent 3"/>
    <w:basedOn w:val="1"/>
    <w:autoRedefine/>
    <w:semiHidden/>
    <w:unhideWhenUsed/>
    <w:qFormat/>
    <w:uiPriority w:val="0"/>
    <w:pPr>
      <w:spacing w:after="120"/>
      <w:ind w:left="420" w:leftChars="200"/>
    </w:pPr>
    <w:rPr>
      <w:sz w:val="16"/>
      <w:szCs w:val="16"/>
    </w:rPr>
  </w:style>
  <w:style w:type="paragraph" w:styleId="34">
    <w:name w:val="toc 2"/>
    <w:basedOn w:val="1"/>
    <w:next w:val="1"/>
    <w:autoRedefine/>
    <w:qFormat/>
    <w:uiPriority w:val="39"/>
    <w:pPr>
      <w:ind w:left="210"/>
      <w:jc w:val="left"/>
    </w:pPr>
    <w:rPr>
      <w:rFonts w:asciiTheme="minorHAnsi" w:hAnsiTheme="minorHAnsi"/>
      <w:smallCaps/>
      <w:sz w:val="20"/>
      <w:szCs w:val="20"/>
    </w:rPr>
  </w:style>
  <w:style w:type="paragraph" w:styleId="35">
    <w:name w:val="toc 9"/>
    <w:basedOn w:val="1"/>
    <w:next w:val="1"/>
    <w:autoRedefine/>
    <w:unhideWhenUsed/>
    <w:qFormat/>
    <w:uiPriority w:val="0"/>
    <w:pPr>
      <w:ind w:left="1680"/>
      <w:jc w:val="left"/>
    </w:pPr>
    <w:rPr>
      <w:rFonts w:asciiTheme="minorHAnsi" w:hAnsiTheme="minorHAnsi"/>
      <w:sz w:val="18"/>
      <w:szCs w:val="18"/>
    </w:rPr>
  </w:style>
  <w:style w:type="paragraph" w:styleId="36">
    <w:name w:val="Body Text 2"/>
    <w:basedOn w:val="1"/>
    <w:autoRedefine/>
    <w:qFormat/>
    <w:uiPriority w:val="0"/>
    <w:pPr>
      <w:jc w:val="center"/>
    </w:pPr>
    <w:rPr>
      <w:b/>
      <w:bCs/>
      <w:spacing w:val="-20"/>
      <w:w w:val="130"/>
      <w:sz w:val="48"/>
      <w:szCs w:val="48"/>
    </w:rPr>
  </w:style>
  <w:style w:type="paragraph" w:styleId="3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8">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0">
    <w:name w:val="Title"/>
    <w:basedOn w:val="1"/>
    <w:link w:val="113"/>
    <w:autoRedefine/>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1">
    <w:name w:val="annotation subject"/>
    <w:basedOn w:val="15"/>
    <w:next w:val="1"/>
    <w:link w:val="87"/>
    <w:autoRedefine/>
    <w:qFormat/>
    <w:uiPriority w:val="99"/>
    <w:rPr>
      <w:b/>
      <w:bCs/>
    </w:rPr>
  </w:style>
  <w:style w:type="paragraph" w:styleId="42">
    <w:name w:val="Body Text First Indent"/>
    <w:basedOn w:val="17"/>
    <w:autoRedefine/>
    <w:qFormat/>
    <w:uiPriority w:val="0"/>
    <w:pPr>
      <w:ind w:firstLine="420" w:firstLineChars="100"/>
    </w:pPr>
    <w:rPr>
      <w:sz w:val="34"/>
    </w:rPr>
  </w:style>
  <w:style w:type="paragraph" w:styleId="43">
    <w:name w:val="Body Text First Indent 2"/>
    <w:basedOn w:val="18"/>
    <w:next w:val="1"/>
    <w:autoRedefine/>
    <w:qFormat/>
    <w:uiPriority w:val="99"/>
    <w:pPr>
      <w:tabs>
        <w:tab w:val="left" w:pos="4900"/>
      </w:tabs>
      <w:ind w:firstLine="420" w:firstLineChars="200"/>
    </w:pPr>
  </w:style>
  <w:style w:type="table" w:styleId="45">
    <w:name w:val="Table Grid"/>
    <w:basedOn w:val="4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autoRedefine/>
    <w:qFormat/>
    <w:uiPriority w:val="0"/>
    <w:rPr>
      <w:b/>
      <w:bCs/>
    </w:rPr>
  </w:style>
  <w:style w:type="character" w:styleId="48">
    <w:name w:val="FollowedHyperlink"/>
    <w:basedOn w:val="46"/>
    <w:autoRedefine/>
    <w:semiHidden/>
    <w:unhideWhenUsed/>
    <w:qFormat/>
    <w:uiPriority w:val="99"/>
    <w:rPr>
      <w:color w:val="800080" w:themeColor="followedHyperlink"/>
      <w:u w:val="single"/>
      <w14:textFill>
        <w14:solidFill>
          <w14:schemeClr w14:val="folHlink"/>
        </w14:solidFill>
      </w14:textFill>
    </w:rPr>
  </w:style>
  <w:style w:type="character" w:styleId="49">
    <w:name w:val="Emphasis"/>
    <w:basedOn w:val="46"/>
    <w:autoRedefine/>
    <w:qFormat/>
    <w:uiPriority w:val="0"/>
    <w:rPr>
      <w:b/>
    </w:rPr>
  </w:style>
  <w:style w:type="character" w:styleId="50">
    <w:name w:val="HTML Definition"/>
    <w:basedOn w:val="46"/>
    <w:autoRedefine/>
    <w:semiHidden/>
    <w:unhideWhenUsed/>
    <w:qFormat/>
    <w:uiPriority w:val="0"/>
  </w:style>
  <w:style w:type="character" w:styleId="51">
    <w:name w:val="HTML Typewriter"/>
    <w:basedOn w:val="46"/>
    <w:autoRedefine/>
    <w:semiHidden/>
    <w:unhideWhenUsed/>
    <w:qFormat/>
    <w:uiPriority w:val="0"/>
    <w:rPr>
      <w:rFonts w:hint="default" w:ascii="monospace" w:hAnsi="monospace" w:eastAsia="monospace" w:cs="monospace"/>
      <w:sz w:val="20"/>
    </w:rPr>
  </w:style>
  <w:style w:type="character" w:styleId="52">
    <w:name w:val="HTML Acronym"/>
    <w:basedOn w:val="46"/>
    <w:autoRedefine/>
    <w:semiHidden/>
    <w:unhideWhenUsed/>
    <w:qFormat/>
    <w:uiPriority w:val="0"/>
  </w:style>
  <w:style w:type="character" w:styleId="53">
    <w:name w:val="HTML Variable"/>
    <w:basedOn w:val="46"/>
    <w:autoRedefine/>
    <w:semiHidden/>
    <w:unhideWhenUsed/>
    <w:qFormat/>
    <w:uiPriority w:val="0"/>
  </w:style>
  <w:style w:type="character" w:styleId="54">
    <w:name w:val="Hyperlink"/>
    <w:autoRedefine/>
    <w:qFormat/>
    <w:uiPriority w:val="99"/>
    <w:rPr>
      <w:color w:val="0000FF"/>
      <w:u w:val="single"/>
    </w:rPr>
  </w:style>
  <w:style w:type="character" w:styleId="55">
    <w:name w:val="HTML Code"/>
    <w:basedOn w:val="46"/>
    <w:autoRedefine/>
    <w:semiHidden/>
    <w:unhideWhenUsed/>
    <w:qFormat/>
    <w:uiPriority w:val="0"/>
    <w:rPr>
      <w:rFonts w:hint="default" w:ascii="monospace" w:hAnsi="monospace" w:eastAsia="monospace" w:cs="monospace"/>
      <w:sz w:val="20"/>
    </w:rPr>
  </w:style>
  <w:style w:type="character" w:styleId="56">
    <w:name w:val="annotation reference"/>
    <w:basedOn w:val="46"/>
    <w:autoRedefine/>
    <w:qFormat/>
    <w:uiPriority w:val="0"/>
    <w:rPr>
      <w:sz w:val="21"/>
      <w:szCs w:val="21"/>
    </w:rPr>
  </w:style>
  <w:style w:type="character" w:styleId="57">
    <w:name w:val="HTML Cite"/>
    <w:basedOn w:val="46"/>
    <w:autoRedefine/>
    <w:semiHidden/>
    <w:unhideWhenUsed/>
    <w:qFormat/>
    <w:uiPriority w:val="0"/>
  </w:style>
  <w:style w:type="character" w:styleId="58">
    <w:name w:val="HTML Keyboard"/>
    <w:basedOn w:val="46"/>
    <w:autoRedefine/>
    <w:semiHidden/>
    <w:unhideWhenUsed/>
    <w:qFormat/>
    <w:uiPriority w:val="0"/>
    <w:rPr>
      <w:rFonts w:ascii="monospace" w:hAnsi="monospace" w:eastAsia="monospace" w:cs="monospace"/>
      <w:sz w:val="20"/>
    </w:rPr>
  </w:style>
  <w:style w:type="character" w:styleId="59">
    <w:name w:val="HTML Sample"/>
    <w:basedOn w:val="46"/>
    <w:autoRedefine/>
    <w:semiHidden/>
    <w:unhideWhenUsed/>
    <w:qFormat/>
    <w:uiPriority w:val="0"/>
    <w:rPr>
      <w:rFonts w:hint="default" w:ascii="monospace" w:hAnsi="monospace" w:eastAsia="monospace" w:cs="monospace"/>
    </w:rPr>
  </w:style>
  <w:style w:type="paragraph" w:customStyle="1" w:styleId="60">
    <w:name w:val="style4"/>
    <w:basedOn w:val="61"/>
    <w:next w:val="63"/>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1">
    <w:name w:val="正文1"/>
    <w:next w:val="62"/>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2">
    <w:name w:val="正文文本1"/>
    <w:basedOn w:val="61"/>
    <w:next w:val="60"/>
    <w:autoRedefine/>
    <w:qFormat/>
    <w:uiPriority w:val="0"/>
    <w:pPr>
      <w:spacing w:after="120"/>
    </w:pPr>
    <w:rPr>
      <w:rFonts w:ascii="Times New Roman" w:hAnsi="Times New Roman" w:eastAsia="宋体" w:cs="Times New Roman"/>
      <w:kern w:val="0"/>
      <w:sz w:val="20"/>
    </w:rPr>
  </w:style>
  <w:style w:type="paragraph" w:customStyle="1" w:styleId="63">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autoRedefine/>
    <w:qFormat/>
    <w:uiPriority w:val="34"/>
    <w:pPr>
      <w:ind w:firstLine="420" w:firstLineChars="200"/>
    </w:pPr>
    <w:rPr>
      <w:rFonts w:ascii="Calibri" w:hAnsi="Calibri"/>
    </w:rPr>
  </w:style>
  <w:style w:type="paragraph" w:customStyle="1" w:styleId="65">
    <w:name w:val="TOC 标题1"/>
    <w:basedOn w:val="2"/>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6">
    <w:name w:val="标题 2 Char1"/>
    <w:basedOn w:val="1"/>
    <w:autoRedefine/>
    <w:qFormat/>
    <w:uiPriority w:val="0"/>
  </w:style>
  <w:style w:type="paragraph" w:customStyle="1" w:styleId="67">
    <w:name w:val="+正文"/>
    <w:basedOn w:val="1"/>
    <w:autoRedefine/>
    <w:qFormat/>
    <w:uiPriority w:val="99"/>
    <w:pPr>
      <w:spacing w:line="360" w:lineRule="auto"/>
      <w:ind w:firstLine="200" w:firstLineChars="200"/>
    </w:pPr>
  </w:style>
  <w:style w:type="paragraph" w:customStyle="1" w:styleId="6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9">
    <w:name w:val="标题 1 字符"/>
    <w:basedOn w:val="46"/>
    <w:link w:val="2"/>
    <w:autoRedefine/>
    <w:qFormat/>
    <w:uiPriority w:val="0"/>
    <w:rPr>
      <w:b/>
      <w:bCs/>
      <w:kern w:val="44"/>
      <w:sz w:val="44"/>
      <w:szCs w:val="44"/>
    </w:rPr>
  </w:style>
  <w:style w:type="character" w:customStyle="1" w:styleId="70">
    <w:name w:val="标题 2 字符"/>
    <w:basedOn w:val="46"/>
    <w:link w:val="3"/>
    <w:autoRedefine/>
    <w:qFormat/>
    <w:uiPriority w:val="0"/>
    <w:rPr>
      <w:rFonts w:ascii="Calibri Light" w:hAnsi="Calibri Light" w:eastAsia="宋体" w:cs="Times New Roman"/>
      <w:b/>
      <w:bCs/>
      <w:kern w:val="2"/>
      <w:sz w:val="32"/>
      <w:szCs w:val="32"/>
    </w:rPr>
  </w:style>
  <w:style w:type="character" w:customStyle="1" w:styleId="71">
    <w:name w:val="标题 3 字符"/>
    <w:basedOn w:val="46"/>
    <w:link w:val="4"/>
    <w:autoRedefine/>
    <w:qFormat/>
    <w:uiPriority w:val="9"/>
    <w:rPr>
      <w:b/>
      <w:bCs/>
      <w:kern w:val="2"/>
      <w:sz w:val="32"/>
      <w:szCs w:val="32"/>
    </w:rPr>
  </w:style>
  <w:style w:type="character" w:customStyle="1" w:styleId="72">
    <w:name w:val="标题 4 字符"/>
    <w:basedOn w:val="46"/>
    <w:link w:val="5"/>
    <w:autoRedefine/>
    <w:qFormat/>
    <w:uiPriority w:val="9"/>
    <w:rPr>
      <w:rFonts w:asciiTheme="majorHAnsi" w:hAnsiTheme="majorHAnsi" w:eastAsiaTheme="majorEastAsia" w:cstheme="majorBidi"/>
      <w:b/>
      <w:bCs/>
      <w:kern w:val="2"/>
      <w:sz w:val="28"/>
      <w:szCs w:val="28"/>
    </w:rPr>
  </w:style>
  <w:style w:type="character" w:customStyle="1" w:styleId="73">
    <w:name w:val="标题 5 字符"/>
    <w:basedOn w:val="46"/>
    <w:link w:val="6"/>
    <w:autoRedefine/>
    <w:semiHidden/>
    <w:qFormat/>
    <w:uiPriority w:val="9"/>
    <w:rPr>
      <w:rFonts w:eastAsia="楷体"/>
      <w:b/>
      <w:bCs/>
      <w:sz w:val="24"/>
      <w:szCs w:val="28"/>
    </w:rPr>
  </w:style>
  <w:style w:type="character" w:customStyle="1" w:styleId="74">
    <w:name w:val="标题 6 字符"/>
    <w:basedOn w:val="46"/>
    <w:link w:val="7"/>
    <w:autoRedefine/>
    <w:qFormat/>
    <w:uiPriority w:val="0"/>
    <w:rPr>
      <w:rFonts w:ascii="Cambria" w:hAnsi="Cambria" w:eastAsia="楷体"/>
      <w:b/>
      <w:bCs/>
      <w:kern w:val="2"/>
      <w:sz w:val="24"/>
      <w:szCs w:val="24"/>
    </w:rPr>
  </w:style>
  <w:style w:type="character" w:customStyle="1" w:styleId="75">
    <w:name w:val="标题 7 字符"/>
    <w:basedOn w:val="46"/>
    <w:link w:val="8"/>
    <w:autoRedefine/>
    <w:qFormat/>
    <w:uiPriority w:val="0"/>
    <w:rPr>
      <w:rFonts w:eastAsia="黑体"/>
      <w:b/>
      <w:bCs/>
      <w:kern w:val="2"/>
      <w:sz w:val="24"/>
      <w:szCs w:val="24"/>
    </w:rPr>
  </w:style>
  <w:style w:type="character" w:customStyle="1" w:styleId="76">
    <w:name w:val="标题 8 字符"/>
    <w:basedOn w:val="46"/>
    <w:link w:val="9"/>
    <w:autoRedefine/>
    <w:qFormat/>
    <w:uiPriority w:val="0"/>
    <w:rPr>
      <w:rFonts w:ascii="Arial" w:hAnsi="Arial" w:eastAsia="黑体"/>
      <w:b/>
      <w:kern w:val="2"/>
      <w:sz w:val="24"/>
      <w:szCs w:val="24"/>
    </w:rPr>
  </w:style>
  <w:style w:type="character" w:customStyle="1" w:styleId="77">
    <w:name w:val="标题 9 字符"/>
    <w:basedOn w:val="46"/>
    <w:link w:val="10"/>
    <w:autoRedefine/>
    <w:qFormat/>
    <w:uiPriority w:val="0"/>
    <w:rPr>
      <w:rFonts w:ascii="Arial" w:hAnsi="Arial" w:eastAsia="黑体"/>
      <w:b/>
      <w:kern w:val="2"/>
      <w:sz w:val="24"/>
      <w:szCs w:val="21"/>
    </w:rPr>
  </w:style>
  <w:style w:type="character" w:customStyle="1" w:styleId="78">
    <w:name w:val="文档结构图 字符"/>
    <w:basedOn w:val="46"/>
    <w:link w:val="14"/>
    <w:autoRedefine/>
    <w:qFormat/>
    <w:uiPriority w:val="0"/>
    <w:rPr>
      <w:rFonts w:ascii="宋体"/>
      <w:kern w:val="2"/>
      <w:sz w:val="18"/>
      <w:szCs w:val="18"/>
    </w:rPr>
  </w:style>
  <w:style w:type="character" w:customStyle="1" w:styleId="79">
    <w:name w:val="批注文字 字符"/>
    <w:basedOn w:val="46"/>
    <w:link w:val="15"/>
    <w:autoRedefine/>
    <w:qFormat/>
    <w:uiPriority w:val="99"/>
    <w:rPr>
      <w:kern w:val="2"/>
      <w:sz w:val="21"/>
      <w:szCs w:val="22"/>
    </w:rPr>
  </w:style>
  <w:style w:type="character" w:customStyle="1" w:styleId="80">
    <w:name w:val="正文文本 字符"/>
    <w:basedOn w:val="46"/>
    <w:link w:val="17"/>
    <w:autoRedefine/>
    <w:qFormat/>
    <w:uiPriority w:val="1"/>
    <w:rPr>
      <w:rFonts w:ascii="宋体" w:hAnsi="宋体" w:cs="宋体"/>
      <w:sz w:val="18"/>
      <w:szCs w:val="18"/>
      <w:lang w:val="zh-CN" w:bidi="zh-CN"/>
    </w:rPr>
  </w:style>
  <w:style w:type="character" w:customStyle="1" w:styleId="81">
    <w:name w:val="纯文本 字符"/>
    <w:basedOn w:val="46"/>
    <w:link w:val="23"/>
    <w:autoRedefine/>
    <w:qFormat/>
    <w:uiPriority w:val="0"/>
    <w:rPr>
      <w:rFonts w:ascii="宋体" w:hAnsi="Courier New" w:cs="Courier New" w:eastAsiaTheme="minorEastAsia"/>
      <w:kern w:val="2"/>
      <w:sz w:val="21"/>
      <w:szCs w:val="21"/>
    </w:rPr>
  </w:style>
  <w:style w:type="character" w:customStyle="1" w:styleId="82">
    <w:name w:val="日期 字符"/>
    <w:basedOn w:val="46"/>
    <w:link w:val="25"/>
    <w:autoRedefine/>
    <w:qFormat/>
    <w:uiPriority w:val="0"/>
    <w:rPr>
      <w:kern w:val="2"/>
      <w:sz w:val="21"/>
      <w:szCs w:val="22"/>
    </w:rPr>
  </w:style>
  <w:style w:type="character" w:customStyle="1" w:styleId="83">
    <w:name w:val="批注框文本 字符"/>
    <w:basedOn w:val="46"/>
    <w:link w:val="27"/>
    <w:autoRedefine/>
    <w:qFormat/>
    <w:uiPriority w:val="99"/>
    <w:rPr>
      <w:kern w:val="2"/>
      <w:sz w:val="18"/>
      <w:szCs w:val="18"/>
    </w:rPr>
  </w:style>
  <w:style w:type="character" w:customStyle="1" w:styleId="84">
    <w:name w:val="页脚 字符"/>
    <w:basedOn w:val="46"/>
    <w:link w:val="28"/>
    <w:autoRedefine/>
    <w:qFormat/>
    <w:uiPriority w:val="99"/>
    <w:rPr>
      <w:kern w:val="2"/>
      <w:sz w:val="18"/>
      <w:szCs w:val="18"/>
    </w:rPr>
  </w:style>
  <w:style w:type="character" w:customStyle="1" w:styleId="85">
    <w:name w:val="页眉 字符"/>
    <w:basedOn w:val="46"/>
    <w:link w:val="29"/>
    <w:autoRedefine/>
    <w:qFormat/>
    <w:uiPriority w:val="99"/>
    <w:rPr>
      <w:kern w:val="2"/>
      <w:sz w:val="18"/>
      <w:szCs w:val="18"/>
    </w:rPr>
  </w:style>
  <w:style w:type="character" w:customStyle="1" w:styleId="86">
    <w:name w:val="HTML 预设格式 字符"/>
    <w:basedOn w:val="46"/>
    <w:link w:val="38"/>
    <w:autoRedefine/>
    <w:qFormat/>
    <w:uiPriority w:val="99"/>
    <w:rPr>
      <w:rFonts w:ascii="宋体" w:hAnsi="宋体" w:cs="宋体"/>
      <w:sz w:val="24"/>
      <w:szCs w:val="24"/>
    </w:rPr>
  </w:style>
  <w:style w:type="character" w:customStyle="1" w:styleId="87">
    <w:name w:val="批注主题 字符"/>
    <w:basedOn w:val="79"/>
    <w:link w:val="41"/>
    <w:autoRedefine/>
    <w:qFormat/>
    <w:uiPriority w:val="99"/>
    <w:rPr>
      <w:b/>
      <w:bCs/>
      <w:kern w:val="2"/>
      <w:sz w:val="21"/>
      <w:szCs w:val="22"/>
    </w:rPr>
  </w:style>
  <w:style w:type="character" w:customStyle="1" w:styleId="88">
    <w:name w:val="high-light-bg4"/>
    <w:basedOn w:val="46"/>
    <w:autoRedefine/>
    <w:qFormat/>
    <w:uiPriority w:val="0"/>
  </w:style>
  <w:style w:type="paragraph" w:customStyle="1" w:styleId="89">
    <w:name w:val="列出段落2"/>
    <w:basedOn w:val="1"/>
    <w:autoRedefine/>
    <w:qFormat/>
    <w:uiPriority w:val="34"/>
    <w:pPr>
      <w:ind w:firstLine="420" w:firstLineChars="200"/>
    </w:pPr>
  </w:style>
  <w:style w:type="paragraph" w:customStyle="1" w:styleId="90">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91">
    <w:name w:val="List Paragraph"/>
    <w:basedOn w:val="1"/>
    <w:link w:val="92"/>
    <w:autoRedefine/>
    <w:qFormat/>
    <w:uiPriority w:val="34"/>
    <w:pPr>
      <w:ind w:firstLine="420" w:firstLineChars="200"/>
    </w:pPr>
    <w:rPr>
      <w:rFonts w:ascii="Calibri" w:hAnsi="Calibri"/>
    </w:rPr>
  </w:style>
  <w:style w:type="character" w:customStyle="1" w:styleId="92">
    <w:name w:val="列表段落 字符"/>
    <w:basedOn w:val="46"/>
    <w:link w:val="91"/>
    <w:autoRedefine/>
    <w:qFormat/>
    <w:uiPriority w:val="0"/>
    <w:rPr>
      <w:rFonts w:ascii="Calibri" w:hAnsi="Calibri"/>
      <w:kern w:val="2"/>
      <w:sz w:val="21"/>
      <w:szCs w:val="22"/>
    </w:rPr>
  </w:style>
  <w:style w:type="character" w:customStyle="1" w:styleId="93">
    <w:name w:val="Table Text Char1"/>
    <w:link w:val="94"/>
    <w:autoRedefine/>
    <w:qFormat/>
    <w:locked/>
    <w:uiPriority w:val="0"/>
    <w:rPr>
      <w:rFonts w:ascii="Arial" w:hAnsi="Arial" w:cs="Arial"/>
    </w:rPr>
  </w:style>
  <w:style w:type="paragraph" w:customStyle="1" w:styleId="94">
    <w:name w:val="Table Text"/>
    <w:basedOn w:val="1"/>
    <w:link w:val="93"/>
    <w:autoRedefine/>
    <w:qFormat/>
    <w:uiPriority w:val="0"/>
    <w:pPr>
      <w:widowControl/>
      <w:snapToGrid w:val="0"/>
      <w:spacing w:before="80" w:after="80"/>
      <w:jc w:val="left"/>
    </w:pPr>
    <w:rPr>
      <w:rFonts w:ascii="Arial" w:hAnsi="Arial"/>
      <w:kern w:val="0"/>
      <w:sz w:val="20"/>
      <w:szCs w:val="20"/>
    </w:rPr>
  </w:style>
  <w:style w:type="paragraph" w:customStyle="1" w:styleId="95">
    <w:name w:val="Char"/>
    <w:basedOn w:val="1"/>
    <w:autoRedefine/>
    <w:qFormat/>
    <w:uiPriority w:val="0"/>
    <w:pPr>
      <w:adjustRightInd w:val="0"/>
      <w:spacing w:line="360" w:lineRule="auto"/>
    </w:pPr>
    <w:rPr>
      <w:rFonts w:ascii="Calibri" w:hAnsi="Calibri"/>
      <w:kern w:val="0"/>
      <w:sz w:val="24"/>
    </w:rPr>
  </w:style>
  <w:style w:type="character" w:customStyle="1" w:styleId="96">
    <w:name w:val="mh-gray2"/>
    <w:basedOn w:val="46"/>
    <w:autoRedefine/>
    <w:qFormat/>
    <w:uiPriority w:val="0"/>
  </w:style>
  <w:style w:type="paragraph" w:customStyle="1" w:styleId="97">
    <w:name w:val="表格文字"/>
    <w:basedOn w:val="1"/>
    <w:autoRedefine/>
    <w:qFormat/>
    <w:uiPriority w:val="0"/>
    <w:pPr>
      <w:spacing w:before="120" w:after="120"/>
    </w:pPr>
    <w:rPr>
      <w:rFonts w:ascii="新宋体" w:hAnsi="宋体" w:eastAsia="新宋体" w:cstheme="minorBidi"/>
      <w:bCs/>
      <w:color w:val="000000"/>
      <w:sz w:val="18"/>
      <w:szCs w:val="18"/>
    </w:rPr>
  </w:style>
  <w:style w:type="character" w:customStyle="1" w:styleId="98">
    <w:name w:val="font31"/>
    <w:basedOn w:val="46"/>
    <w:autoRedefine/>
    <w:qFormat/>
    <w:uiPriority w:val="0"/>
    <w:rPr>
      <w:rFonts w:hint="eastAsia" w:ascii="宋体" w:hAnsi="宋体" w:eastAsia="宋体" w:cs="宋体"/>
      <w:b/>
      <w:color w:val="000000"/>
      <w:sz w:val="20"/>
      <w:szCs w:val="20"/>
      <w:u w:val="none"/>
    </w:rPr>
  </w:style>
  <w:style w:type="character" w:customStyle="1" w:styleId="99">
    <w:name w:val="font21"/>
    <w:basedOn w:val="46"/>
    <w:autoRedefine/>
    <w:qFormat/>
    <w:uiPriority w:val="0"/>
    <w:rPr>
      <w:rFonts w:hint="eastAsia" w:ascii="宋体" w:hAnsi="宋体" w:eastAsia="宋体" w:cs="宋体"/>
      <w:color w:val="000000"/>
      <w:sz w:val="20"/>
      <w:szCs w:val="20"/>
      <w:u w:val="none"/>
    </w:rPr>
  </w:style>
  <w:style w:type="character" w:customStyle="1" w:styleId="100">
    <w:name w:val="font11"/>
    <w:basedOn w:val="46"/>
    <w:autoRedefine/>
    <w:qFormat/>
    <w:uiPriority w:val="0"/>
    <w:rPr>
      <w:rFonts w:hint="eastAsia" w:ascii="宋体" w:hAnsi="宋体" w:eastAsia="宋体" w:cs="宋体"/>
      <w:color w:val="000000"/>
      <w:sz w:val="20"/>
      <w:szCs w:val="20"/>
      <w:u w:val="none"/>
    </w:rPr>
  </w:style>
  <w:style w:type="character" w:customStyle="1" w:styleId="101">
    <w:name w:val="font61"/>
    <w:basedOn w:val="46"/>
    <w:autoRedefine/>
    <w:qFormat/>
    <w:uiPriority w:val="0"/>
    <w:rPr>
      <w:rFonts w:hint="default" w:ascii="Times New Roman" w:hAnsi="Times New Roman" w:cs="Times New Roman"/>
      <w:b/>
      <w:color w:val="000000"/>
      <w:sz w:val="20"/>
      <w:szCs w:val="20"/>
      <w:u w:val="none"/>
    </w:rPr>
  </w:style>
  <w:style w:type="character" w:customStyle="1" w:styleId="102">
    <w:name w:val="font41"/>
    <w:basedOn w:val="46"/>
    <w:autoRedefine/>
    <w:qFormat/>
    <w:uiPriority w:val="0"/>
    <w:rPr>
      <w:rFonts w:hint="eastAsia" w:ascii="宋体" w:hAnsi="宋体" w:eastAsia="宋体" w:cs="宋体"/>
      <w:b/>
      <w:color w:val="000000"/>
      <w:sz w:val="20"/>
      <w:szCs w:val="20"/>
      <w:u w:val="none"/>
    </w:rPr>
  </w:style>
  <w:style w:type="character" w:customStyle="1" w:styleId="103">
    <w:name w:val="font01"/>
    <w:basedOn w:val="46"/>
    <w:autoRedefine/>
    <w:qFormat/>
    <w:uiPriority w:val="0"/>
    <w:rPr>
      <w:rFonts w:hint="default" w:ascii="Times New Roman" w:hAnsi="Times New Roman" w:cs="Times New Roman"/>
      <w:b/>
      <w:color w:val="000000"/>
      <w:sz w:val="20"/>
      <w:szCs w:val="20"/>
      <w:u w:val="none"/>
    </w:rPr>
  </w:style>
  <w:style w:type="character" w:customStyle="1" w:styleId="104">
    <w:name w:val="font51"/>
    <w:basedOn w:val="46"/>
    <w:autoRedefine/>
    <w:qFormat/>
    <w:uiPriority w:val="0"/>
    <w:rPr>
      <w:rFonts w:hint="default" w:ascii="Times New Roman" w:hAnsi="Times New Roman" w:cs="Times New Roman"/>
      <w:color w:val="000000"/>
      <w:sz w:val="20"/>
      <w:szCs w:val="20"/>
      <w:u w:val="none"/>
    </w:rPr>
  </w:style>
  <w:style w:type="character" w:customStyle="1" w:styleId="105">
    <w:name w:val="书籍标题1"/>
    <w:basedOn w:val="46"/>
    <w:autoRedefine/>
    <w:qFormat/>
    <w:uiPriority w:val="0"/>
    <w:rPr>
      <w:rFonts w:ascii="Times New Roman" w:hAnsi="Times New Roman" w:eastAsia="宋体"/>
      <w:b/>
      <w:bCs/>
      <w:smallCaps/>
      <w:spacing w:val="5"/>
    </w:rPr>
  </w:style>
  <w:style w:type="character" w:customStyle="1" w:styleId="106">
    <w:name w:val="font71"/>
    <w:basedOn w:val="46"/>
    <w:autoRedefine/>
    <w:qFormat/>
    <w:uiPriority w:val="0"/>
    <w:rPr>
      <w:rFonts w:hint="eastAsia" w:ascii="宋体" w:hAnsi="宋体" w:eastAsia="宋体" w:cs="宋体"/>
      <w:color w:val="000000"/>
      <w:sz w:val="18"/>
      <w:szCs w:val="18"/>
      <w:u w:val="none"/>
    </w:rPr>
  </w:style>
  <w:style w:type="paragraph" w:customStyle="1" w:styleId="107">
    <w:name w:val="Default"/>
    <w:next w:val="3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110">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1">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112">
    <w:name w:val="样式 标题 5 + 五号 居中 段前: 1.5 磅 段后: 1.5 磅 行距: 多倍行距 1.57 字行"/>
    <w:basedOn w:val="6"/>
    <w:autoRedefine/>
    <w:qFormat/>
    <w:uiPriority w:val="0"/>
    <w:pPr>
      <w:widowControl w:val="0"/>
      <w:tabs>
        <w:tab w:val="left" w:pos="360"/>
      </w:tabs>
      <w:spacing w:before="30" w:after="30" w:line="377" w:lineRule="auto"/>
      <w:jc w:val="center"/>
    </w:pPr>
    <w:rPr>
      <w:rFonts w:cs="宋体"/>
      <w:kern w:val="2"/>
      <w:sz w:val="21"/>
      <w:szCs w:val="20"/>
    </w:rPr>
  </w:style>
  <w:style w:type="character" w:customStyle="1" w:styleId="113">
    <w:name w:val="标题 字符"/>
    <w:link w:val="40"/>
    <w:autoRedefine/>
    <w:qFormat/>
    <w:uiPriority w:val="0"/>
    <w:rPr>
      <w:rFonts w:ascii="Cambria" w:hAnsi="Cambria"/>
      <w:b/>
      <w:bCs/>
      <w:sz w:val="36"/>
      <w:szCs w:val="32"/>
    </w:rPr>
  </w:style>
  <w:style w:type="character" w:customStyle="1" w:styleId="114">
    <w:name w:val="标题 Char1"/>
    <w:basedOn w:val="46"/>
    <w:autoRedefine/>
    <w:qFormat/>
    <w:uiPriority w:val="10"/>
    <w:rPr>
      <w:rFonts w:asciiTheme="majorHAnsi" w:hAnsiTheme="majorHAnsi" w:cstheme="majorBidi"/>
      <w:b/>
      <w:bCs/>
      <w:kern w:val="2"/>
      <w:sz w:val="32"/>
      <w:szCs w:val="32"/>
    </w:rPr>
  </w:style>
  <w:style w:type="paragraph" w:customStyle="1" w:styleId="115">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6">
    <w:name w:val="参考标准_w"/>
    <w:basedOn w:val="1"/>
    <w:next w:val="1"/>
    <w:autoRedefine/>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7">
    <w:name w:val="列出段落 字符"/>
    <w:autoRedefine/>
    <w:qFormat/>
    <w:locked/>
    <w:uiPriority w:val="34"/>
    <w:rPr>
      <w:kern w:val="2"/>
      <w:sz w:val="24"/>
      <w:szCs w:val="24"/>
    </w:rPr>
  </w:style>
  <w:style w:type="paragraph" w:customStyle="1" w:styleId="11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xl505"/>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3">
    <w:name w:val="xl506"/>
    <w:basedOn w:val="1"/>
    <w:autoRedefine/>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4">
    <w:name w:val="xl5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5">
    <w:name w:val="xl5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6">
    <w:name w:val="xl5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8">
    <w:name w:val="xl5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9">
    <w:name w:val="xl51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1">
    <w:name w:val="xl5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8"/>
    <w:basedOn w:val="1"/>
    <w:autoRedefine/>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9"/>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7">
    <w:name w:val="fontstyle01"/>
    <w:basedOn w:val="46"/>
    <w:autoRedefine/>
    <w:qFormat/>
    <w:uiPriority w:val="0"/>
    <w:rPr>
      <w:rFonts w:hint="eastAsia" w:ascii="宋体" w:hAnsi="宋体" w:eastAsia="宋体"/>
      <w:color w:val="000000"/>
      <w:sz w:val="28"/>
      <w:szCs w:val="28"/>
    </w:rPr>
  </w:style>
  <w:style w:type="character" w:customStyle="1" w:styleId="138">
    <w:name w:val="fontstyle21"/>
    <w:basedOn w:val="46"/>
    <w:autoRedefine/>
    <w:qFormat/>
    <w:uiPriority w:val="0"/>
    <w:rPr>
      <w:rFonts w:hint="default" w:ascii="TimesNewRomanPSMT" w:hAnsi="TimesNewRomanPSMT"/>
      <w:color w:val="000000"/>
      <w:sz w:val="28"/>
      <w:szCs w:val="28"/>
    </w:rPr>
  </w:style>
  <w:style w:type="table" w:customStyle="1" w:styleId="139">
    <w:name w:val="网格表 5 深色 - 着色 11"/>
    <w:basedOn w:val="44"/>
    <w:autoRedefine/>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0">
    <w:name w:val="修订1"/>
    <w:autoRedefine/>
    <w:hidden/>
    <w:semiHidden/>
    <w:qFormat/>
    <w:uiPriority w:val="99"/>
    <w:rPr>
      <w:rFonts w:ascii="Times New Roman" w:hAnsi="Times New Roman" w:eastAsia="楷体" w:cs="Times New Roman"/>
      <w:sz w:val="28"/>
      <w:lang w:val="en-US" w:eastAsia="zh-CN" w:bidi="ar-SA"/>
    </w:rPr>
  </w:style>
  <w:style w:type="paragraph" w:customStyle="1" w:styleId="141">
    <w:name w:val="列出段落"/>
    <w:basedOn w:val="1"/>
    <w:autoRedefine/>
    <w:qFormat/>
    <w:uiPriority w:val="0"/>
    <w:pPr>
      <w:ind w:firstLine="420" w:firstLineChars="200"/>
    </w:pPr>
    <w:rPr>
      <w:szCs w:val="24"/>
    </w:rPr>
  </w:style>
  <w:style w:type="character" w:customStyle="1" w:styleId="142">
    <w:name w:val="mini-outputtext1"/>
    <w:basedOn w:val="46"/>
    <w:autoRedefine/>
    <w:qFormat/>
    <w:uiPriority w:val="0"/>
  </w:style>
  <w:style w:type="paragraph" w:customStyle="1" w:styleId="143">
    <w:name w:val="List Paragraph_5bffc895-034f-4de1-b636-ffb285cb1a9a"/>
    <w:basedOn w:val="1"/>
    <w:autoRedefine/>
    <w:qFormat/>
    <w:uiPriority w:val="34"/>
    <w:pPr>
      <w:ind w:firstLine="420" w:firstLineChars="200"/>
    </w:pPr>
  </w:style>
  <w:style w:type="paragraph" w:customStyle="1" w:styleId="144">
    <w:name w:val="正文格式"/>
    <w:basedOn w:val="1"/>
    <w:autoRedefine/>
    <w:qFormat/>
    <w:uiPriority w:val="0"/>
    <w:pPr>
      <w:adjustRightInd w:val="0"/>
      <w:snapToGrid w:val="0"/>
      <w:spacing w:line="400" w:lineRule="atLeast"/>
      <w:ind w:firstLine="482"/>
      <w:textAlignment w:val="baseline"/>
    </w:pPr>
  </w:style>
  <w:style w:type="table" w:customStyle="1" w:styleId="145">
    <w:name w:val="TableGrid"/>
    <w:autoRedefine/>
    <w:qFormat/>
    <w:uiPriority w:val="0"/>
    <w:rPr>
      <w:kern w:val="2"/>
      <w:sz w:val="21"/>
      <w:szCs w:val="22"/>
    </w:rPr>
    <w:tblPr>
      <w:tblCellMar>
        <w:top w:w="0" w:type="dxa"/>
        <w:left w:w="0" w:type="dxa"/>
        <w:bottom w:w="0" w:type="dxa"/>
        <w:right w:w="0" w:type="dxa"/>
      </w:tblCellMar>
    </w:tblPr>
  </w:style>
  <w:style w:type="paragraph" w:customStyle="1" w:styleId="146">
    <w:name w:val="Char1"/>
    <w:basedOn w:val="1"/>
    <w:autoRedefine/>
    <w:qFormat/>
    <w:uiPriority w:val="0"/>
    <w:pPr>
      <w:tabs>
        <w:tab w:val="left" w:pos="360"/>
      </w:tabs>
      <w:ind w:left="360" w:hanging="360" w:hangingChars="200"/>
    </w:pPr>
    <w:rPr>
      <w:szCs w:val="24"/>
    </w:rPr>
  </w:style>
  <w:style w:type="paragraph" w:customStyle="1" w:styleId="147">
    <w:name w:val="HTML Preformatted"/>
    <w:basedOn w:val="1"/>
    <w:autoRedefine/>
    <w:qFormat/>
    <w:uiPriority w:val="0"/>
    <w:rPr>
      <w:rFonts w:ascii="Courier New" w:hAnsi="Courier New"/>
      <w:sz w:val="20"/>
    </w:rPr>
  </w:style>
  <w:style w:type="paragraph" w:customStyle="1" w:styleId="148">
    <w:name w:val="正文 New"/>
    <w:autoRedefine/>
    <w:qFormat/>
    <w:uiPriority w:val="99"/>
    <w:pPr>
      <w:widowControl w:val="0"/>
      <w:jc w:val="both"/>
    </w:pPr>
    <w:rPr>
      <w:rFonts w:ascii="Calibri" w:hAnsi="Calibri" w:eastAsia="宋体" w:cs="Times New Roman"/>
      <w:lang w:val="en-US" w:eastAsia="zh-CN" w:bidi="ar-SA"/>
    </w:rPr>
  </w:style>
  <w:style w:type="paragraph" w:customStyle="1" w:styleId="149">
    <w:name w:val="_正文"/>
    <w:basedOn w:val="1"/>
    <w:autoRedefine/>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0">
    <w:name w:val="NormalCharacter"/>
    <w:autoRedefine/>
    <w:qFormat/>
    <w:uiPriority w:val="0"/>
    <w:rPr>
      <w:kern w:val="2"/>
      <w:sz w:val="21"/>
      <w:szCs w:val="24"/>
      <w:lang w:val="en-US" w:eastAsia="zh-CN" w:bidi="ar-SA"/>
    </w:rPr>
  </w:style>
  <w:style w:type="paragraph" w:customStyle="1" w:styleId="151">
    <w:name w:val="_Style 9"/>
    <w:basedOn w:val="18"/>
    <w:next w:val="43"/>
    <w:autoRedefine/>
    <w:unhideWhenUsed/>
    <w:qFormat/>
    <w:uiPriority w:val="99"/>
    <w:pPr>
      <w:spacing w:after="0"/>
      <w:ind w:left="0" w:leftChars="0" w:firstLine="420" w:firstLineChars="200"/>
    </w:pPr>
    <w:rPr>
      <w:rFonts w:ascii="Arial" w:hAnsi="Arial" w:eastAsia="仿宋_GB2312"/>
      <w:sz w:val="28"/>
      <w:szCs w:val="20"/>
    </w:rPr>
  </w:style>
  <w:style w:type="character" w:customStyle="1" w:styleId="152">
    <w:name w:val="font101"/>
    <w:basedOn w:val="46"/>
    <w:autoRedefine/>
    <w:qFormat/>
    <w:uiPriority w:val="0"/>
    <w:rPr>
      <w:rFonts w:hint="eastAsia" w:ascii="宋体" w:hAnsi="宋体" w:eastAsia="宋体" w:cs="宋体"/>
      <w:color w:val="333333"/>
      <w:sz w:val="21"/>
      <w:szCs w:val="21"/>
      <w:u w:val="none"/>
    </w:rPr>
  </w:style>
  <w:style w:type="character" w:customStyle="1" w:styleId="153">
    <w:name w:val="font111"/>
    <w:basedOn w:val="46"/>
    <w:autoRedefine/>
    <w:qFormat/>
    <w:uiPriority w:val="0"/>
    <w:rPr>
      <w:rFonts w:hint="eastAsia" w:ascii="宋体" w:hAnsi="宋体" w:eastAsia="宋体" w:cs="宋体"/>
      <w:color w:val="000000"/>
      <w:sz w:val="20"/>
      <w:szCs w:val="20"/>
      <w:u w:val="single"/>
    </w:rPr>
  </w:style>
  <w:style w:type="paragraph" w:customStyle="1" w:styleId="154">
    <w:name w:val="_Style 4"/>
    <w:basedOn w:val="1"/>
    <w:qFormat/>
    <w:uiPriority w:val="99"/>
    <w:pPr>
      <w:ind w:firstLine="420" w:firstLineChars="200"/>
    </w:pPr>
  </w:style>
  <w:style w:type="paragraph" w:customStyle="1" w:styleId="155">
    <w:name w:val="1正文"/>
    <w:basedOn w:val="39"/>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56">
    <w:name w:val="样式 首行缩进:  2 字符"/>
    <w:basedOn w:val="1"/>
    <w:qFormat/>
    <w:uiPriority w:val="0"/>
    <w:pPr>
      <w:ind w:firstLine="560"/>
    </w:pPr>
    <w:rPr>
      <w:rFonts w:eastAsia="仿宋_GB2312" w:cs="宋体"/>
      <w:sz w:val="24"/>
      <w:szCs w:val="20"/>
    </w:rPr>
  </w:style>
  <w:style w:type="table" w:customStyle="1" w:styleId="157">
    <w:name w:val="Table Normal1"/>
    <w:autoRedefine/>
    <w:semiHidden/>
    <w:unhideWhenUsed/>
    <w:qFormat/>
    <w:uiPriority w:val="0"/>
    <w:tblPr>
      <w:tblCellMar>
        <w:top w:w="0" w:type="dxa"/>
        <w:left w:w="0" w:type="dxa"/>
        <w:bottom w:w="0" w:type="dxa"/>
        <w:right w:w="0" w:type="dxa"/>
      </w:tblCellMar>
    </w:tblPr>
  </w:style>
  <w:style w:type="paragraph" w:customStyle="1" w:styleId="158">
    <w:name w:val="M正文"/>
    <w:basedOn w:val="1"/>
    <w:qFormat/>
    <w:uiPriority w:val="0"/>
    <w:pPr>
      <w:spacing w:line="360" w:lineRule="auto"/>
      <w:ind w:firstLine="48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12317</Words>
  <Characters>13636</Characters>
  <Lines>349</Lines>
  <Paragraphs>98</Paragraphs>
  <TotalTime>17</TotalTime>
  <ScaleCrop>false</ScaleCrop>
  <LinksUpToDate>false</LinksUpToDate>
  <CharactersWithSpaces>13751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2026-01-06T06:53:00Z</cp:lastPrinted>
  <dcterms:modified xsi:type="dcterms:W3CDTF">2026-02-09T03:44:50Z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82B21F59CB6641CFA695A83D814A68D9_13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